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18FDB6">
      <w:pPr>
        <w:pStyle w:val="2"/>
        <w:spacing w:line="252" w:lineRule="auto"/>
      </w:pPr>
      <w:bookmarkStart w:id="746" w:name="_GoBack"/>
      <w:bookmarkEnd w:id="746"/>
    </w:p>
    <w:p w14:paraId="40866CD7">
      <w:pPr>
        <w:pStyle w:val="2"/>
        <w:spacing w:line="252" w:lineRule="auto"/>
      </w:pPr>
    </w:p>
    <w:p w14:paraId="29E1B705">
      <w:pPr>
        <w:pStyle w:val="2"/>
        <w:spacing w:line="253" w:lineRule="auto"/>
      </w:pPr>
    </w:p>
    <w:p w14:paraId="016DA5DA">
      <w:pPr>
        <w:pStyle w:val="2"/>
        <w:spacing w:line="253" w:lineRule="auto"/>
      </w:pPr>
    </w:p>
    <w:p w14:paraId="12322ABB">
      <w:pPr>
        <w:pStyle w:val="2"/>
        <w:spacing w:line="253" w:lineRule="auto"/>
      </w:pPr>
    </w:p>
    <w:p w14:paraId="064D80BF">
      <w:pPr>
        <w:pStyle w:val="2"/>
        <w:spacing w:line="253" w:lineRule="auto"/>
      </w:pPr>
    </w:p>
    <w:p w14:paraId="3D869D97">
      <w:pPr>
        <w:pStyle w:val="2"/>
        <w:spacing w:line="253" w:lineRule="auto"/>
      </w:pPr>
    </w:p>
    <w:p w14:paraId="591F9024">
      <w:pPr>
        <w:pStyle w:val="2"/>
        <w:spacing w:line="253" w:lineRule="auto"/>
      </w:pPr>
    </w:p>
    <w:p w14:paraId="0174183A">
      <w:pPr>
        <w:pStyle w:val="2"/>
        <w:spacing w:line="253" w:lineRule="auto"/>
      </w:pPr>
    </w:p>
    <w:p w14:paraId="0160D7A1">
      <w:pPr>
        <w:pStyle w:val="2"/>
        <w:spacing w:line="253" w:lineRule="auto"/>
      </w:pPr>
    </w:p>
    <w:p w14:paraId="606E80A7">
      <w:pPr>
        <w:pStyle w:val="2"/>
        <w:spacing w:line="253" w:lineRule="auto"/>
      </w:pPr>
    </w:p>
    <w:p w14:paraId="72ED35E6">
      <w:pPr>
        <w:spacing w:before="185" w:line="185" w:lineRule="auto"/>
        <w:ind w:left="1373"/>
        <w:outlineLvl w:val="0"/>
        <w:rPr>
          <w:rFonts w:ascii="微软雅黑" w:hAnsi="微软雅黑" w:eastAsia="微软雅黑" w:cs="微软雅黑"/>
          <w:sz w:val="43"/>
          <w:szCs w:val="43"/>
        </w:rPr>
      </w:pPr>
      <w:r>
        <w:rPr>
          <w:rFonts w:ascii="微软雅黑" w:hAnsi="微软雅黑" w:eastAsia="微软雅黑" w:cs="微软雅黑"/>
          <w:spacing w:val="8"/>
          <w:sz w:val="43"/>
          <w:szCs w:val="43"/>
        </w:rPr>
        <w:t>应急管理行政处罚裁量权基准</w:t>
      </w:r>
    </w:p>
    <w:p w14:paraId="6BAA05CD">
      <w:pPr>
        <w:pStyle w:val="2"/>
        <w:spacing w:line="242" w:lineRule="auto"/>
      </w:pPr>
    </w:p>
    <w:p w14:paraId="24EA26A6">
      <w:pPr>
        <w:pStyle w:val="2"/>
        <w:spacing w:line="242" w:lineRule="auto"/>
      </w:pPr>
    </w:p>
    <w:p w14:paraId="4C18F007">
      <w:pPr>
        <w:pStyle w:val="2"/>
        <w:spacing w:line="242" w:lineRule="auto"/>
      </w:pPr>
    </w:p>
    <w:p w14:paraId="2F137871">
      <w:pPr>
        <w:pStyle w:val="2"/>
        <w:spacing w:line="242" w:lineRule="auto"/>
      </w:pPr>
    </w:p>
    <w:p w14:paraId="4D73F1BA">
      <w:pPr>
        <w:pStyle w:val="2"/>
        <w:spacing w:line="242" w:lineRule="auto"/>
      </w:pPr>
    </w:p>
    <w:p w14:paraId="3D3A8E5E">
      <w:pPr>
        <w:pStyle w:val="2"/>
        <w:spacing w:line="242" w:lineRule="auto"/>
      </w:pPr>
    </w:p>
    <w:p w14:paraId="5205A8D3">
      <w:pPr>
        <w:pStyle w:val="2"/>
        <w:spacing w:line="242" w:lineRule="auto"/>
      </w:pPr>
    </w:p>
    <w:p w14:paraId="379FC946">
      <w:pPr>
        <w:pStyle w:val="2"/>
        <w:spacing w:line="242" w:lineRule="auto"/>
      </w:pPr>
    </w:p>
    <w:p w14:paraId="4E6CB070">
      <w:pPr>
        <w:pStyle w:val="2"/>
        <w:spacing w:line="242" w:lineRule="auto"/>
      </w:pPr>
    </w:p>
    <w:p w14:paraId="356E1F3C">
      <w:pPr>
        <w:pStyle w:val="2"/>
        <w:spacing w:line="242" w:lineRule="auto"/>
      </w:pPr>
    </w:p>
    <w:p w14:paraId="27611AC3">
      <w:pPr>
        <w:pStyle w:val="2"/>
        <w:spacing w:line="242" w:lineRule="auto"/>
      </w:pPr>
    </w:p>
    <w:p w14:paraId="11187B05">
      <w:pPr>
        <w:pStyle w:val="2"/>
        <w:spacing w:line="242" w:lineRule="auto"/>
      </w:pPr>
    </w:p>
    <w:p w14:paraId="63DED75D">
      <w:pPr>
        <w:pStyle w:val="2"/>
        <w:spacing w:line="242" w:lineRule="auto"/>
      </w:pPr>
    </w:p>
    <w:p w14:paraId="096ECA46">
      <w:pPr>
        <w:pStyle w:val="2"/>
        <w:spacing w:line="242" w:lineRule="auto"/>
      </w:pPr>
    </w:p>
    <w:p w14:paraId="69DC6B23">
      <w:pPr>
        <w:pStyle w:val="2"/>
        <w:spacing w:line="242" w:lineRule="auto"/>
      </w:pPr>
    </w:p>
    <w:p w14:paraId="1261E93B">
      <w:pPr>
        <w:pStyle w:val="2"/>
        <w:spacing w:line="243" w:lineRule="auto"/>
      </w:pPr>
    </w:p>
    <w:p w14:paraId="78C9DCA4">
      <w:pPr>
        <w:pStyle w:val="2"/>
        <w:spacing w:line="243" w:lineRule="auto"/>
      </w:pPr>
    </w:p>
    <w:p w14:paraId="198A40D9">
      <w:pPr>
        <w:pStyle w:val="2"/>
        <w:spacing w:line="243" w:lineRule="auto"/>
      </w:pPr>
    </w:p>
    <w:p w14:paraId="29DA16FD">
      <w:pPr>
        <w:pStyle w:val="2"/>
        <w:spacing w:line="243" w:lineRule="auto"/>
      </w:pPr>
    </w:p>
    <w:p w14:paraId="21347A26">
      <w:pPr>
        <w:pStyle w:val="2"/>
        <w:spacing w:line="243" w:lineRule="auto"/>
      </w:pPr>
    </w:p>
    <w:p w14:paraId="41CD69BC">
      <w:pPr>
        <w:pStyle w:val="2"/>
        <w:spacing w:line="243" w:lineRule="auto"/>
      </w:pPr>
    </w:p>
    <w:p w14:paraId="3204505F">
      <w:pPr>
        <w:pStyle w:val="2"/>
        <w:spacing w:line="243" w:lineRule="auto"/>
      </w:pPr>
    </w:p>
    <w:p w14:paraId="7A303A77">
      <w:pPr>
        <w:pStyle w:val="2"/>
        <w:spacing w:line="243" w:lineRule="auto"/>
      </w:pPr>
    </w:p>
    <w:p w14:paraId="1DD1C5ED">
      <w:pPr>
        <w:pStyle w:val="2"/>
        <w:spacing w:line="243" w:lineRule="auto"/>
      </w:pPr>
    </w:p>
    <w:p w14:paraId="31774DAA">
      <w:pPr>
        <w:pStyle w:val="2"/>
        <w:spacing w:line="243" w:lineRule="auto"/>
      </w:pPr>
    </w:p>
    <w:p w14:paraId="560A6255">
      <w:pPr>
        <w:pStyle w:val="2"/>
        <w:spacing w:line="243" w:lineRule="auto"/>
      </w:pPr>
    </w:p>
    <w:p w14:paraId="594ED414">
      <w:pPr>
        <w:pStyle w:val="2"/>
        <w:spacing w:line="243" w:lineRule="auto"/>
      </w:pPr>
    </w:p>
    <w:p w14:paraId="01BB4946">
      <w:pPr>
        <w:pStyle w:val="2"/>
        <w:spacing w:line="243" w:lineRule="auto"/>
      </w:pPr>
    </w:p>
    <w:p w14:paraId="7F96DFBE">
      <w:pPr>
        <w:pStyle w:val="2"/>
        <w:spacing w:line="243" w:lineRule="auto"/>
      </w:pPr>
    </w:p>
    <w:p w14:paraId="098111BE">
      <w:pPr>
        <w:pStyle w:val="2"/>
        <w:spacing w:line="243" w:lineRule="auto"/>
      </w:pPr>
    </w:p>
    <w:p w14:paraId="77185EF9">
      <w:pPr>
        <w:pStyle w:val="2"/>
        <w:spacing w:line="243" w:lineRule="auto"/>
      </w:pPr>
    </w:p>
    <w:p w14:paraId="4929685E">
      <w:pPr>
        <w:pStyle w:val="2"/>
        <w:spacing w:line="243" w:lineRule="auto"/>
      </w:pPr>
    </w:p>
    <w:p w14:paraId="23DF4814">
      <w:pPr>
        <w:pStyle w:val="2"/>
        <w:spacing w:line="243" w:lineRule="auto"/>
      </w:pPr>
    </w:p>
    <w:p w14:paraId="027981C7">
      <w:pPr>
        <w:pStyle w:val="2"/>
        <w:spacing w:line="243" w:lineRule="auto"/>
      </w:pPr>
    </w:p>
    <w:p w14:paraId="2D33D75C">
      <w:pPr>
        <w:spacing w:before="133" w:line="201" w:lineRule="auto"/>
        <w:ind w:left="3318"/>
        <w:rPr>
          <w:rFonts w:ascii="微软雅黑" w:hAnsi="微软雅黑" w:eastAsia="微软雅黑" w:cs="微软雅黑"/>
          <w:sz w:val="31"/>
          <w:szCs w:val="31"/>
        </w:rPr>
      </w:pPr>
      <w:r>
        <w:rPr>
          <w:rFonts w:ascii="宋体" w:hAnsi="宋体" w:eastAsia="宋体" w:cs="宋体"/>
          <w:spacing w:val="-4"/>
          <w:sz w:val="31"/>
          <w:szCs w:val="31"/>
        </w:rPr>
        <w:t>2024</w:t>
      </w:r>
      <w:r>
        <w:rPr>
          <w:rFonts w:ascii="微软雅黑" w:hAnsi="微软雅黑" w:eastAsia="微软雅黑" w:cs="微软雅黑"/>
          <w:spacing w:val="-4"/>
          <w:sz w:val="31"/>
          <w:szCs w:val="31"/>
        </w:rPr>
        <w:t>年</w:t>
      </w:r>
      <w:r>
        <w:rPr>
          <w:rFonts w:ascii="宋体" w:hAnsi="宋体" w:eastAsia="宋体" w:cs="宋体"/>
          <w:spacing w:val="-4"/>
          <w:sz w:val="31"/>
          <w:szCs w:val="31"/>
        </w:rPr>
        <w:t>11</w:t>
      </w:r>
      <w:r>
        <w:rPr>
          <w:rFonts w:ascii="微软雅黑" w:hAnsi="微软雅黑" w:eastAsia="微软雅黑" w:cs="微软雅黑"/>
          <w:spacing w:val="-4"/>
          <w:sz w:val="31"/>
          <w:szCs w:val="31"/>
        </w:rPr>
        <w:t>月</w:t>
      </w:r>
    </w:p>
    <w:p w14:paraId="54F80C2C">
      <w:pPr>
        <w:spacing w:line="201" w:lineRule="auto"/>
        <w:rPr>
          <w:rFonts w:ascii="微软雅黑" w:hAnsi="微软雅黑" w:eastAsia="微软雅黑" w:cs="微软雅黑"/>
          <w:sz w:val="31"/>
          <w:szCs w:val="31"/>
        </w:rPr>
        <w:sectPr>
          <w:footerReference r:id="rId5" w:type="default"/>
          <w:pgSz w:w="11906" w:h="16839"/>
          <w:pgMar w:top="1431" w:right="1474" w:bottom="1114" w:left="1785" w:header="0" w:footer="837" w:gutter="0"/>
          <w:cols w:space="720" w:num="1"/>
        </w:sectPr>
      </w:pPr>
    </w:p>
    <w:p w14:paraId="785D87B5">
      <w:pPr>
        <w:pStyle w:val="2"/>
        <w:spacing w:line="280" w:lineRule="auto"/>
      </w:pPr>
    </w:p>
    <w:p w14:paraId="156A03A7">
      <w:pPr>
        <w:pStyle w:val="2"/>
        <w:spacing w:line="280" w:lineRule="auto"/>
      </w:pPr>
    </w:p>
    <w:sdt>
      <w:sdtPr>
        <w:rPr>
          <w:rFonts w:ascii="微软雅黑" w:hAnsi="微软雅黑" w:eastAsia="微软雅黑" w:cs="微软雅黑"/>
          <w:sz w:val="43"/>
          <w:szCs w:val="43"/>
        </w:rPr>
        <w:id w:val="147482113"/>
        <w:docPartObj>
          <w:docPartGallery w:val="Table of Contents"/>
          <w:docPartUnique/>
        </w:docPartObj>
      </w:sdtPr>
      <w:sdtEndPr>
        <w:rPr>
          <w:rFonts w:ascii="宋体" w:hAnsi="宋体" w:eastAsia="宋体" w:cs="宋体"/>
          <w:sz w:val="22"/>
          <w:szCs w:val="22"/>
        </w:rPr>
      </w:sdtEndPr>
      <w:sdtContent>
        <w:p w14:paraId="6B13E7FE">
          <w:pPr>
            <w:spacing w:before="185" w:line="478" w:lineRule="exact"/>
            <w:ind w:left="4049"/>
            <w:rPr>
              <w:rFonts w:ascii="微软雅黑" w:hAnsi="微软雅黑" w:eastAsia="微软雅黑" w:cs="微软雅黑"/>
              <w:sz w:val="43"/>
              <w:szCs w:val="43"/>
            </w:rPr>
          </w:pPr>
          <w:r>
            <w:rPr>
              <w:rFonts w:ascii="微软雅黑" w:hAnsi="微软雅黑" w:eastAsia="微软雅黑" w:cs="微软雅黑"/>
              <w:spacing w:val="-15"/>
              <w:sz w:val="43"/>
              <w:szCs w:val="43"/>
            </w:rPr>
            <w:t>目录</w:t>
          </w:r>
        </w:p>
        <w:p w14:paraId="147E037F">
          <w:pPr>
            <w:tabs>
              <w:tab w:val="right" w:leader="dot" w:pos="8824"/>
            </w:tabs>
            <w:spacing w:before="31" w:line="273" w:lineRule="exact"/>
            <w:rPr>
              <w:rFonts w:ascii="宋体" w:hAnsi="宋体" w:eastAsia="宋体" w:cs="宋体"/>
              <w:sz w:val="23"/>
              <w:szCs w:val="23"/>
            </w:rPr>
          </w:pPr>
          <w:bookmarkStart w:id="0" w:name="bookmark1"/>
          <w:bookmarkEnd w:id="0"/>
          <w:r>
            <w:fldChar w:fldCharType="begin"/>
          </w:r>
          <w:r>
            <w:instrText xml:space="preserve"> HYPERLINK \l "bookmark2" </w:instrText>
          </w:r>
          <w:r>
            <w:fldChar w:fldCharType="separate"/>
          </w:r>
          <w:r>
            <w:rPr>
              <w:rFonts w:ascii="微软雅黑" w:hAnsi="微软雅黑" w:eastAsia="微软雅黑" w:cs="微软雅黑"/>
              <w:spacing w:val="-2"/>
              <w:position w:val="-2"/>
              <w:sz w:val="28"/>
              <w:szCs w:val="28"/>
            </w:rPr>
            <w:t>第一部分适用说明</w:t>
          </w:r>
          <w:r>
            <w:rPr>
              <w:rFonts w:ascii="微软雅黑" w:hAnsi="微软雅黑" w:eastAsia="微软雅黑" w:cs="微软雅黑"/>
              <w:position w:val="-2"/>
              <w:sz w:val="28"/>
              <w:szCs w:val="28"/>
            </w:rPr>
            <w:tab/>
          </w:r>
          <w:r>
            <w:rPr>
              <w:rFonts w:ascii="宋体" w:hAnsi="宋体" w:eastAsia="宋体" w:cs="宋体"/>
              <w:spacing w:val="-10"/>
              <w:position w:val="-2"/>
              <w:sz w:val="23"/>
              <w:szCs w:val="23"/>
            </w:rPr>
            <w:t>15</w:t>
          </w:r>
          <w:r>
            <w:rPr>
              <w:rFonts w:ascii="宋体" w:hAnsi="宋体" w:eastAsia="宋体" w:cs="宋体"/>
              <w:spacing w:val="-10"/>
              <w:position w:val="-2"/>
              <w:sz w:val="23"/>
              <w:szCs w:val="23"/>
            </w:rPr>
            <w:fldChar w:fldCharType="end"/>
          </w:r>
        </w:p>
        <w:p w14:paraId="460CF328">
          <w:pPr>
            <w:tabs>
              <w:tab w:val="right" w:leader="dot" w:pos="8824"/>
            </w:tabs>
            <w:spacing w:before="69" w:line="272" w:lineRule="exact"/>
            <w:rPr>
              <w:rFonts w:ascii="宋体" w:hAnsi="宋体" w:eastAsia="宋体" w:cs="宋体"/>
              <w:sz w:val="23"/>
              <w:szCs w:val="23"/>
            </w:rPr>
          </w:pPr>
          <w:bookmarkStart w:id="1" w:name="bookmark3"/>
          <w:bookmarkEnd w:id="1"/>
          <w:r>
            <w:fldChar w:fldCharType="begin"/>
          </w:r>
          <w:r>
            <w:instrText xml:space="preserve"> HYPERLINK \l "bookmark4" </w:instrText>
          </w:r>
          <w:r>
            <w:fldChar w:fldCharType="separate"/>
          </w:r>
          <w:r>
            <w:rPr>
              <w:rFonts w:ascii="微软雅黑" w:hAnsi="微软雅黑" w:eastAsia="微软雅黑" w:cs="微软雅黑"/>
              <w:spacing w:val="-2"/>
              <w:position w:val="-2"/>
              <w:sz w:val="28"/>
              <w:szCs w:val="28"/>
            </w:rPr>
            <w:t>第二部分裁量细则</w:t>
          </w:r>
          <w:r>
            <w:rPr>
              <w:rFonts w:ascii="微软雅黑" w:hAnsi="微软雅黑" w:eastAsia="微软雅黑" w:cs="微软雅黑"/>
              <w:position w:val="-2"/>
              <w:sz w:val="28"/>
              <w:szCs w:val="28"/>
            </w:rPr>
            <w:tab/>
          </w:r>
          <w:r>
            <w:rPr>
              <w:rFonts w:ascii="宋体" w:hAnsi="宋体" w:eastAsia="宋体" w:cs="宋体"/>
              <w:spacing w:val="-3"/>
              <w:position w:val="-2"/>
              <w:sz w:val="23"/>
              <w:szCs w:val="23"/>
            </w:rPr>
            <w:t>20</w:t>
          </w:r>
          <w:r>
            <w:rPr>
              <w:rFonts w:ascii="宋体" w:hAnsi="宋体" w:eastAsia="宋体" w:cs="宋体"/>
              <w:spacing w:val="-3"/>
              <w:position w:val="-2"/>
              <w:sz w:val="23"/>
              <w:szCs w:val="23"/>
            </w:rPr>
            <w:fldChar w:fldCharType="end"/>
          </w:r>
        </w:p>
        <w:p w14:paraId="45E2FAF3">
          <w:pPr>
            <w:tabs>
              <w:tab w:val="right" w:leader="dot" w:pos="8834"/>
            </w:tabs>
            <w:spacing w:before="34" w:line="216" w:lineRule="auto"/>
            <w:ind w:left="18"/>
            <w:rPr>
              <w:rFonts w:ascii="宋体" w:hAnsi="宋体" w:eastAsia="宋体" w:cs="宋体"/>
              <w:sz w:val="22"/>
              <w:szCs w:val="22"/>
            </w:rPr>
          </w:pPr>
          <w:bookmarkStart w:id="2" w:name="bookmark5"/>
          <w:bookmarkEnd w:id="2"/>
          <w:r>
            <w:rPr>
              <w:rFonts w:ascii="仿宋" w:hAnsi="仿宋" w:eastAsia="仿宋" w:cs="仿宋"/>
              <w:spacing w:val="-1"/>
              <w:sz w:val="22"/>
              <w:szCs w:val="22"/>
            </w:rPr>
            <w:t>1</w:t>
          </w:r>
          <w:r>
            <w:rPr>
              <w:rFonts w:ascii="宋体" w:hAnsi="宋体" w:eastAsia="宋体" w:cs="宋体"/>
              <w:spacing w:val="-1"/>
              <w:sz w:val="22"/>
              <w:szCs w:val="22"/>
            </w:rPr>
            <w:t>．</w:t>
          </w:r>
          <w:r>
            <w:fldChar w:fldCharType="begin"/>
          </w:r>
          <w:r>
            <w:instrText xml:space="preserve"> HYPERLINK \l "bookmark6" </w:instrText>
          </w:r>
          <w:r>
            <w:fldChar w:fldCharType="separate"/>
          </w:r>
          <w:r>
            <w:rPr>
              <w:rFonts w:ascii="微软雅黑" w:hAnsi="微软雅黑" w:eastAsia="微软雅黑" w:cs="微软雅黑"/>
              <w:spacing w:val="-1"/>
              <w:sz w:val="22"/>
              <w:szCs w:val="22"/>
            </w:rPr>
            <w:t>生产经营单位的主要负责人未履行法定的安全生产管理职责的</w:t>
          </w:r>
          <w:r>
            <w:rPr>
              <w:rFonts w:ascii="微软雅黑" w:hAnsi="微软雅黑" w:eastAsia="微软雅黑" w:cs="微软雅黑"/>
              <w:sz w:val="22"/>
              <w:szCs w:val="22"/>
            </w:rPr>
            <w:tab/>
          </w:r>
          <w:r>
            <w:rPr>
              <w:rFonts w:ascii="宋体" w:hAnsi="宋体" w:eastAsia="宋体" w:cs="宋体"/>
              <w:spacing w:val="-6"/>
              <w:sz w:val="22"/>
              <w:szCs w:val="22"/>
            </w:rPr>
            <w:t>20</w:t>
          </w:r>
          <w:r>
            <w:rPr>
              <w:rFonts w:ascii="宋体" w:hAnsi="宋体" w:eastAsia="宋体" w:cs="宋体"/>
              <w:spacing w:val="-6"/>
              <w:sz w:val="22"/>
              <w:szCs w:val="22"/>
            </w:rPr>
            <w:fldChar w:fldCharType="end"/>
          </w:r>
        </w:p>
        <w:p w14:paraId="3FB491F3">
          <w:pPr>
            <w:tabs>
              <w:tab w:val="right" w:leader="dot" w:pos="8835"/>
            </w:tabs>
            <w:spacing w:line="216" w:lineRule="auto"/>
            <w:ind w:left="4"/>
            <w:rPr>
              <w:rFonts w:ascii="宋体" w:hAnsi="宋体" w:eastAsia="宋体" w:cs="宋体"/>
              <w:sz w:val="22"/>
              <w:szCs w:val="22"/>
            </w:rPr>
          </w:pPr>
          <w:bookmarkStart w:id="3" w:name="bookmark7"/>
          <w:bookmarkEnd w:id="3"/>
          <w:r>
            <w:rPr>
              <w:rFonts w:ascii="仿宋" w:hAnsi="仿宋" w:eastAsia="仿宋" w:cs="仿宋"/>
              <w:sz w:val="22"/>
              <w:szCs w:val="22"/>
            </w:rPr>
            <w:t>2</w:t>
          </w:r>
          <w:r>
            <w:rPr>
              <w:rFonts w:ascii="宋体" w:hAnsi="宋体" w:eastAsia="宋体" w:cs="宋体"/>
              <w:sz w:val="22"/>
              <w:szCs w:val="22"/>
            </w:rPr>
            <w:t>．</w:t>
          </w:r>
          <w:r>
            <w:fldChar w:fldCharType="begin"/>
          </w:r>
          <w:r>
            <w:instrText xml:space="preserve"> HYPERLINK \l "bookmark8" </w:instrText>
          </w:r>
          <w:r>
            <w:fldChar w:fldCharType="separate"/>
          </w:r>
          <w:r>
            <w:rPr>
              <w:rFonts w:ascii="微软雅黑" w:hAnsi="微软雅黑" w:eastAsia="微软雅黑" w:cs="微软雅黑"/>
              <w:sz w:val="22"/>
              <w:szCs w:val="22"/>
            </w:rPr>
            <w:t>生产经营单位的其他负责人和安全生产管理人员未履行安全生产</w:t>
          </w:r>
          <w:r>
            <w:rPr>
              <w:rFonts w:ascii="微软雅黑" w:hAnsi="微软雅黑" w:eastAsia="微软雅黑" w:cs="微软雅黑"/>
              <w:spacing w:val="-1"/>
              <w:sz w:val="22"/>
              <w:szCs w:val="22"/>
            </w:rPr>
            <w:t>管理职责的</w:t>
          </w:r>
          <w:r>
            <w:rPr>
              <w:rFonts w:ascii="微软雅黑" w:hAnsi="微软雅黑" w:eastAsia="微软雅黑" w:cs="微软雅黑"/>
              <w:sz w:val="22"/>
              <w:szCs w:val="22"/>
            </w:rPr>
            <w:tab/>
          </w:r>
          <w:r>
            <w:rPr>
              <w:rFonts w:ascii="宋体" w:hAnsi="宋体" w:eastAsia="宋体" w:cs="宋体"/>
              <w:spacing w:val="-6"/>
              <w:sz w:val="22"/>
              <w:szCs w:val="22"/>
            </w:rPr>
            <w:t>21</w:t>
          </w:r>
          <w:r>
            <w:rPr>
              <w:rFonts w:ascii="宋体" w:hAnsi="宋体" w:eastAsia="宋体" w:cs="宋体"/>
              <w:spacing w:val="-6"/>
              <w:sz w:val="22"/>
              <w:szCs w:val="22"/>
            </w:rPr>
            <w:fldChar w:fldCharType="end"/>
          </w:r>
        </w:p>
        <w:p w14:paraId="161940D7">
          <w:pPr>
            <w:tabs>
              <w:tab w:val="right" w:leader="dot" w:pos="8837"/>
            </w:tabs>
            <w:spacing w:line="216" w:lineRule="auto"/>
            <w:ind w:left="6"/>
            <w:rPr>
              <w:rFonts w:ascii="宋体" w:hAnsi="宋体" w:eastAsia="宋体" w:cs="宋体"/>
              <w:sz w:val="22"/>
              <w:szCs w:val="22"/>
            </w:rPr>
          </w:pPr>
          <w:bookmarkStart w:id="4" w:name="bookmark9"/>
          <w:bookmarkEnd w:id="4"/>
          <w:r>
            <w:rPr>
              <w:rFonts w:ascii="仿宋" w:hAnsi="仿宋" w:eastAsia="仿宋" w:cs="仿宋"/>
              <w:sz w:val="22"/>
              <w:szCs w:val="22"/>
            </w:rPr>
            <w:t>3</w:t>
          </w:r>
          <w:r>
            <w:rPr>
              <w:rFonts w:ascii="宋体" w:hAnsi="宋体" w:eastAsia="宋体" w:cs="宋体"/>
              <w:sz w:val="22"/>
              <w:szCs w:val="22"/>
            </w:rPr>
            <w:t>．</w:t>
          </w:r>
          <w:r>
            <w:fldChar w:fldCharType="begin"/>
          </w:r>
          <w:r>
            <w:instrText xml:space="preserve"> HYPERLINK \l "bookmark10" </w:instrText>
          </w:r>
          <w:r>
            <w:fldChar w:fldCharType="separate"/>
          </w:r>
          <w:r>
            <w:rPr>
              <w:rFonts w:ascii="微软雅黑" w:hAnsi="微软雅黑" w:eastAsia="微软雅黑" w:cs="微软雅黑"/>
              <w:sz w:val="22"/>
              <w:szCs w:val="22"/>
            </w:rPr>
            <w:t>生产经营单位及其主要负责人或者其他人员违反操作规程或者安全</w:t>
          </w:r>
          <w:r>
            <w:rPr>
              <w:rFonts w:ascii="微软雅黑" w:hAnsi="微软雅黑" w:eastAsia="微软雅黑" w:cs="微软雅黑"/>
              <w:spacing w:val="-1"/>
              <w:sz w:val="22"/>
              <w:szCs w:val="22"/>
            </w:rPr>
            <w:t>管理规定作业的</w:t>
          </w:r>
          <w:r>
            <w:rPr>
              <w:rFonts w:ascii="微软雅黑" w:hAnsi="微软雅黑" w:eastAsia="微软雅黑" w:cs="微软雅黑"/>
              <w:sz w:val="22"/>
              <w:szCs w:val="22"/>
            </w:rPr>
            <w:tab/>
          </w:r>
          <w:r>
            <w:rPr>
              <w:rFonts w:ascii="宋体" w:hAnsi="宋体" w:eastAsia="宋体" w:cs="宋体"/>
              <w:spacing w:val="-6"/>
              <w:sz w:val="22"/>
              <w:szCs w:val="22"/>
            </w:rPr>
            <w:t>22</w:t>
          </w:r>
          <w:r>
            <w:rPr>
              <w:rFonts w:ascii="宋体" w:hAnsi="宋体" w:eastAsia="宋体" w:cs="宋体"/>
              <w:spacing w:val="-6"/>
              <w:sz w:val="22"/>
              <w:szCs w:val="22"/>
            </w:rPr>
            <w:fldChar w:fldCharType="end"/>
          </w:r>
        </w:p>
        <w:p w14:paraId="5EE052C5">
          <w:pPr>
            <w:spacing w:line="409" w:lineRule="exact"/>
            <w:ind w:left="1"/>
            <w:rPr>
              <w:rFonts w:ascii="微软雅黑" w:hAnsi="微软雅黑" w:eastAsia="微软雅黑" w:cs="微软雅黑"/>
              <w:sz w:val="22"/>
              <w:szCs w:val="22"/>
            </w:rPr>
          </w:pPr>
          <w:bookmarkStart w:id="5" w:name="bookmark11"/>
          <w:bookmarkEnd w:id="5"/>
          <w:r>
            <w:rPr>
              <w:rFonts w:ascii="仿宋" w:hAnsi="仿宋" w:eastAsia="仿宋" w:cs="仿宋"/>
              <w:spacing w:val="-2"/>
              <w:position w:val="5"/>
              <w:sz w:val="22"/>
              <w:szCs w:val="22"/>
            </w:rPr>
            <w:t>4</w:t>
          </w:r>
          <w:r>
            <w:rPr>
              <w:rFonts w:ascii="宋体" w:hAnsi="宋体" w:eastAsia="宋体" w:cs="宋体"/>
              <w:spacing w:val="-2"/>
              <w:position w:val="5"/>
              <w:sz w:val="22"/>
              <w:szCs w:val="22"/>
            </w:rPr>
            <w:t>．</w:t>
          </w:r>
          <w:r>
            <w:fldChar w:fldCharType="begin"/>
          </w:r>
          <w:r>
            <w:instrText xml:space="preserve"> HYPERLINK \l "bookmark12" </w:instrText>
          </w:r>
          <w:r>
            <w:fldChar w:fldCharType="separate"/>
          </w:r>
          <w:r>
            <w:rPr>
              <w:rFonts w:ascii="微软雅黑" w:hAnsi="微软雅黑" w:eastAsia="微软雅黑" w:cs="微软雅黑"/>
              <w:spacing w:val="-2"/>
              <w:position w:val="5"/>
              <w:sz w:val="22"/>
              <w:szCs w:val="22"/>
            </w:rPr>
            <w:t>生产经营单位及其主要负责人或者其他人员违章指挥从业人员或者强令从业人员违章、冒</w:t>
          </w:r>
          <w:r>
            <w:rPr>
              <w:rFonts w:ascii="微软雅黑" w:hAnsi="微软雅黑" w:eastAsia="微软雅黑" w:cs="微软雅黑"/>
              <w:spacing w:val="-2"/>
              <w:position w:val="5"/>
              <w:sz w:val="22"/>
              <w:szCs w:val="22"/>
            </w:rPr>
            <w:fldChar w:fldCharType="end"/>
          </w:r>
        </w:p>
        <w:p w14:paraId="3C2B2114">
          <w:pPr>
            <w:tabs>
              <w:tab w:val="right" w:leader="dot" w:pos="8825"/>
            </w:tabs>
            <w:spacing w:before="6" w:line="168" w:lineRule="auto"/>
            <w:ind w:left="25"/>
            <w:rPr>
              <w:rFonts w:ascii="宋体" w:hAnsi="宋体" w:eastAsia="宋体" w:cs="宋体"/>
              <w:sz w:val="22"/>
              <w:szCs w:val="22"/>
            </w:rPr>
          </w:pPr>
          <w:bookmarkStart w:id="6" w:name="bookmark11"/>
          <w:bookmarkEnd w:id="6"/>
          <w:r>
            <w:fldChar w:fldCharType="begin"/>
          </w:r>
          <w:r>
            <w:instrText xml:space="preserve"> HYPERLINK \l "bookmark11" </w:instrText>
          </w:r>
          <w:r>
            <w:fldChar w:fldCharType="separate"/>
          </w:r>
          <w:r>
            <w:rPr>
              <w:rFonts w:ascii="微软雅黑" w:hAnsi="微软雅黑" w:eastAsia="微软雅黑" w:cs="微软雅黑"/>
              <w:spacing w:val="-6"/>
              <w:sz w:val="22"/>
              <w:szCs w:val="22"/>
            </w:rPr>
            <w:t>险作业的</w:t>
          </w:r>
          <w:r>
            <w:rPr>
              <w:rFonts w:ascii="微软雅黑" w:hAnsi="微软雅黑" w:eastAsia="微软雅黑" w:cs="微软雅黑"/>
              <w:sz w:val="22"/>
              <w:szCs w:val="22"/>
            </w:rPr>
            <w:tab/>
          </w:r>
          <w:r>
            <w:rPr>
              <w:rFonts w:ascii="宋体" w:hAnsi="宋体" w:eastAsia="宋体" w:cs="宋体"/>
              <w:spacing w:val="-6"/>
              <w:sz w:val="22"/>
              <w:szCs w:val="22"/>
            </w:rPr>
            <w:t>22</w:t>
          </w:r>
          <w:r>
            <w:rPr>
              <w:rFonts w:ascii="宋体" w:hAnsi="宋体" w:eastAsia="宋体" w:cs="宋体"/>
              <w:spacing w:val="-6"/>
              <w:sz w:val="22"/>
              <w:szCs w:val="22"/>
            </w:rPr>
            <w:fldChar w:fldCharType="end"/>
          </w:r>
        </w:p>
        <w:p w14:paraId="2E934CBA">
          <w:pPr>
            <w:tabs>
              <w:tab w:val="right" w:leader="dot" w:pos="8835"/>
            </w:tabs>
            <w:spacing w:before="1" w:line="216" w:lineRule="auto"/>
            <w:ind w:left="6"/>
            <w:rPr>
              <w:rFonts w:ascii="宋体" w:hAnsi="宋体" w:eastAsia="宋体" w:cs="宋体"/>
              <w:sz w:val="22"/>
              <w:szCs w:val="22"/>
            </w:rPr>
          </w:pPr>
          <w:bookmarkStart w:id="7" w:name="bookmark13"/>
          <w:bookmarkEnd w:id="7"/>
          <w:r>
            <w:rPr>
              <w:rFonts w:ascii="仿宋" w:hAnsi="仿宋" w:eastAsia="仿宋" w:cs="仿宋"/>
              <w:sz w:val="22"/>
              <w:szCs w:val="22"/>
            </w:rPr>
            <w:t>5</w:t>
          </w:r>
          <w:r>
            <w:rPr>
              <w:rFonts w:ascii="宋体" w:hAnsi="宋体" w:eastAsia="宋体" w:cs="宋体"/>
              <w:sz w:val="22"/>
              <w:szCs w:val="22"/>
            </w:rPr>
            <w:t>．</w:t>
          </w:r>
          <w:r>
            <w:fldChar w:fldCharType="begin"/>
          </w:r>
          <w:r>
            <w:instrText xml:space="preserve"> HYPERLINK \l "bookmark14" </w:instrText>
          </w:r>
          <w:r>
            <w:fldChar w:fldCharType="separate"/>
          </w:r>
          <w:r>
            <w:rPr>
              <w:rFonts w:ascii="微软雅黑" w:hAnsi="微软雅黑" w:eastAsia="微软雅黑" w:cs="微软雅黑"/>
              <w:sz w:val="22"/>
              <w:szCs w:val="22"/>
            </w:rPr>
            <w:t>生产经营单位及其主要负责人或者其他人员发现从业人员</w:t>
          </w:r>
          <w:r>
            <w:rPr>
              <w:rFonts w:ascii="微软雅黑" w:hAnsi="微软雅黑" w:eastAsia="微软雅黑" w:cs="微软雅黑"/>
              <w:spacing w:val="-1"/>
              <w:sz w:val="22"/>
              <w:szCs w:val="22"/>
            </w:rPr>
            <w:t>违章作业不加制止的</w:t>
          </w:r>
          <w:r>
            <w:rPr>
              <w:rFonts w:ascii="微软雅黑" w:hAnsi="微软雅黑" w:eastAsia="微软雅黑" w:cs="微软雅黑"/>
              <w:sz w:val="22"/>
              <w:szCs w:val="22"/>
            </w:rPr>
            <w:tab/>
          </w:r>
          <w:r>
            <w:rPr>
              <w:rFonts w:ascii="宋体" w:hAnsi="宋体" w:eastAsia="宋体" w:cs="宋体"/>
              <w:spacing w:val="-6"/>
              <w:sz w:val="22"/>
              <w:szCs w:val="22"/>
            </w:rPr>
            <w:t>23</w:t>
          </w:r>
          <w:r>
            <w:rPr>
              <w:rFonts w:ascii="宋体" w:hAnsi="宋体" w:eastAsia="宋体" w:cs="宋体"/>
              <w:spacing w:val="-6"/>
              <w:sz w:val="22"/>
              <w:szCs w:val="22"/>
            </w:rPr>
            <w:fldChar w:fldCharType="end"/>
          </w:r>
        </w:p>
        <w:p w14:paraId="7C90AC00">
          <w:pPr>
            <w:spacing w:line="410" w:lineRule="exact"/>
            <w:ind w:left="3"/>
            <w:rPr>
              <w:rFonts w:ascii="微软雅黑" w:hAnsi="微软雅黑" w:eastAsia="微软雅黑" w:cs="微软雅黑"/>
              <w:sz w:val="22"/>
              <w:szCs w:val="22"/>
            </w:rPr>
          </w:pPr>
          <w:bookmarkStart w:id="8" w:name="bookmark15"/>
          <w:bookmarkEnd w:id="8"/>
          <w:r>
            <w:rPr>
              <w:rFonts w:ascii="仿宋" w:hAnsi="仿宋" w:eastAsia="仿宋" w:cs="仿宋"/>
              <w:spacing w:val="-2"/>
              <w:position w:val="5"/>
              <w:sz w:val="22"/>
              <w:szCs w:val="22"/>
            </w:rPr>
            <w:t>6</w:t>
          </w:r>
          <w:r>
            <w:rPr>
              <w:rFonts w:ascii="宋体" w:hAnsi="宋体" w:eastAsia="宋体" w:cs="宋体"/>
              <w:spacing w:val="-2"/>
              <w:position w:val="5"/>
              <w:sz w:val="22"/>
              <w:szCs w:val="22"/>
            </w:rPr>
            <w:t>．</w:t>
          </w:r>
          <w:r>
            <w:fldChar w:fldCharType="begin"/>
          </w:r>
          <w:r>
            <w:instrText xml:space="preserve"> HYPERLINK \l "bookmark16" </w:instrText>
          </w:r>
          <w:r>
            <w:fldChar w:fldCharType="separate"/>
          </w:r>
          <w:r>
            <w:rPr>
              <w:rFonts w:ascii="微软雅黑" w:hAnsi="微软雅黑" w:eastAsia="微软雅黑" w:cs="微软雅黑"/>
              <w:spacing w:val="-2"/>
              <w:position w:val="5"/>
              <w:sz w:val="22"/>
              <w:szCs w:val="22"/>
            </w:rPr>
            <w:t>生产经营单位及其主要负责人或者其他人员超过核定的生产能力、强度或者定员</w:t>
          </w:r>
          <w:r>
            <w:rPr>
              <w:rFonts w:ascii="微软雅黑" w:hAnsi="微软雅黑" w:eastAsia="微软雅黑" w:cs="微软雅黑"/>
              <w:spacing w:val="-3"/>
              <w:position w:val="5"/>
              <w:sz w:val="22"/>
              <w:szCs w:val="22"/>
            </w:rPr>
            <w:t>进行生产</w:t>
          </w:r>
          <w:r>
            <w:rPr>
              <w:rFonts w:ascii="微软雅黑" w:hAnsi="微软雅黑" w:eastAsia="微软雅黑" w:cs="微软雅黑"/>
              <w:spacing w:val="-3"/>
              <w:position w:val="5"/>
              <w:sz w:val="22"/>
              <w:szCs w:val="22"/>
            </w:rPr>
            <w:fldChar w:fldCharType="end"/>
          </w:r>
        </w:p>
        <w:p w14:paraId="40A8D6C0">
          <w:pPr>
            <w:tabs>
              <w:tab w:val="right" w:leader="dot" w:pos="8822"/>
            </w:tabs>
            <w:spacing w:before="5" w:line="168" w:lineRule="auto"/>
            <w:ind w:left="27"/>
            <w:rPr>
              <w:rFonts w:ascii="宋体" w:hAnsi="宋体" w:eastAsia="宋体" w:cs="宋体"/>
              <w:sz w:val="22"/>
              <w:szCs w:val="22"/>
            </w:rPr>
          </w:pPr>
          <w:bookmarkStart w:id="9" w:name="bookmark15"/>
          <w:bookmarkEnd w:id="9"/>
          <w:r>
            <w:fldChar w:fldCharType="begin"/>
          </w:r>
          <w:r>
            <w:instrText xml:space="preserve"> HYPERLINK \l "bookmark15" </w:instrText>
          </w:r>
          <w:r>
            <w:fldChar w:fldCharType="separate"/>
          </w:r>
          <w:r>
            <w:rPr>
              <w:rFonts w:ascii="微软雅黑" w:hAnsi="微软雅黑" w:eastAsia="微软雅黑" w:cs="微软雅黑"/>
              <w:spacing w:val="-21"/>
              <w:w w:val="94"/>
              <w:sz w:val="22"/>
              <w:szCs w:val="22"/>
            </w:rPr>
            <w:t>的</w:t>
          </w:r>
          <w:r>
            <w:rPr>
              <w:rFonts w:ascii="微软雅黑" w:hAnsi="微软雅黑" w:eastAsia="微软雅黑" w:cs="微软雅黑"/>
              <w:sz w:val="22"/>
              <w:szCs w:val="22"/>
            </w:rPr>
            <w:tab/>
          </w:r>
          <w:r>
            <w:rPr>
              <w:rFonts w:ascii="宋体" w:hAnsi="宋体" w:eastAsia="宋体" w:cs="宋体"/>
              <w:spacing w:val="-6"/>
              <w:sz w:val="22"/>
              <w:szCs w:val="22"/>
            </w:rPr>
            <w:t>24</w:t>
          </w:r>
          <w:r>
            <w:rPr>
              <w:rFonts w:ascii="宋体" w:hAnsi="宋体" w:eastAsia="宋体" w:cs="宋体"/>
              <w:spacing w:val="-6"/>
              <w:sz w:val="22"/>
              <w:szCs w:val="22"/>
            </w:rPr>
            <w:fldChar w:fldCharType="end"/>
          </w:r>
        </w:p>
        <w:p w14:paraId="4D799F83">
          <w:pPr>
            <w:spacing w:line="410" w:lineRule="exact"/>
            <w:ind w:left="7"/>
            <w:rPr>
              <w:rFonts w:ascii="微软雅黑" w:hAnsi="微软雅黑" w:eastAsia="微软雅黑" w:cs="微软雅黑"/>
              <w:sz w:val="22"/>
              <w:szCs w:val="22"/>
            </w:rPr>
          </w:pPr>
          <w:bookmarkStart w:id="10" w:name="bookmark17"/>
          <w:bookmarkEnd w:id="10"/>
          <w:r>
            <w:rPr>
              <w:rFonts w:ascii="仿宋" w:hAnsi="仿宋" w:eastAsia="仿宋" w:cs="仿宋"/>
              <w:spacing w:val="-2"/>
              <w:position w:val="5"/>
              <w:sz w:val="22"/>
              <w:szCs w:val="22"/>
            </w:rPr>
            <w:t>7</w:t>
          </w:r>
          <w:r>
            <w:rPr>
              <w:rFonts w:ascii="宋体" w:hAnsi="宋体" w:eastAsia="宋体" w:cs="宋体"/>
              <w:spacing w:val="-2"/>
              <w:position w:val="5"/>
              <w:sz w:val="22"/>
              <w:szCs w:val="22"/>
            </w:rPr>
            <w:t>．</w:t>
          </w:r>
          <w:r>
            <w:fldChar w:fldCharType="begin"/>
          </w:r>
          <w:r>
            <w:instrText xml:space="preserve"> HYPERLINK \l "bookmark18" </w:instrText>
          </w:r>
          <w:r>
            <w:fldChar w:fldCharType="separate"/>
          </w:r>
          <w:r>
            <w:rPr>
              <w:rFonts w:ascii="微软雅黑" w:hAnsi="微软雅黑" w:eastAsia="微软雅黑" w:cs="微软雅黑"/>
              <w:spacing w:val="-2"/>
              <w:position w:val="5"/>
              <w:sz w:val="22"/>
              <w:szCs w:val="22"/>
            </w:rPr>
            <w:t>生产经营单位及其主要负责人或者其他人员对被查封或者扣押的设施、</w:t>
          </w:r>
          <w:r>
            <w:rPr>
              <w:rFonts w:ascii="微软雅黑" w:hAnsi="微软雅黑" w:eastAsia="微软雅黑" w:cs="微软雅黑"/>
              <w:spacing w:val="-3"/>
              <w:position w:val="5"/>
              <w:sz w:val="22"/>
              <w:szCs w:val="22"/>
            </w:rPr>
            <w:t>设备、器材、危险</w:t>
          </w:r>
          <w:r>
            <w:rPr>
              <w:rFonts w:ascii="微软雅黑" w:hAnsi="微软雅黑" w:eastAsia="微软雅黑" w:cs="微软雅黑"/>
              <w:spacing w:val="-3"/>
              <w:position w:val="5"/>
              <w:sz w:val="22"/>
              <w:szCs w:val="22"/>
            </w:rPr>
            <w:fldChar w:fldCharType="end"/>
          </w:r>
        </w:p>
        <w:p w14:paraId="390F1F68">
          <w:pPr>
            <w:tabs>
              <w:tab w:val="right" w:leader="dot" w:pos="8829"/>
            </w:tabs>
            <w:spacing w:before="8" w:line="167" w:lineRule="auto"/>
            <w:ind w:left="13"/>
            <w:rPr>
              <w:rFonts w:ascii="宋体" w:hAnsi="宋体" w:eastAsia="宋体" w:cs="宋体"/>
              <w:sz w:val="22"/>
              <w:szCs w:val="22"/>
            </w:rPr>
          </w:pPr>
          <w:bookmarkStart w:id="11" w:name="bookmark17"/>
          <w:bookmarkEnd w:id="11"/>
          <w:r>
            <w:fldChar w:fldCharType="begin"/>
          </w:r>
          <w:r>
            <w:instrText xml:space="preserve"> HYPERLINK \l "bookmark17" </w:instrText>
          </w:r>
          <w:r>
            <w:fldChar w:fldCharType="separate"/>
          </w:r>
          <w:r>
            <w:rPr>
              <w:rFonts w:ascii="微软雅黑" w:hAnsi="微软雅黑" w:eastAsia="微软雅黑" w:cs="微软雅黑"/>
              <w:spacing w:val="-1"/>
              <w:sz w:val="22"/>
              <w:szCs w:val="22"/>
            </w:rPr>
            <w:t>物品和作业场所，擅自启封或者使用的</w:t>
          </w:r>
          <w:r>
            <w:rPr>
              <w:rFonts w:ascii="微软雅黑" w:hAnsi="微软雅黑" w:eastAsia="微软雅黑" w:cs="微软雅黑"/>
              <w:sz w:val="22"/>
              <w:szCs w:val="22"/>
            </w:rPr>
            <w:tab/>
          </w:r>
          <w:r>
            <w:rPr>
              <w:rFonts w:ascii="宋体" w:hAnsi="宋体" w:eastAsia="宋体" w:cs="宋体"/>
              <w:spacing w:val="-6"/>
              <w:sz w:val="22"/>
              <w:szCs w:val="22"/>
            </w:rPr>
            <w:t>24</w:t>
          </w:r>
          <w:r>
            <w:rPr>
              <w:rFonts w:ascii="宋体" w:hAnsi="宋体" w:eastAsia="宋体" w:cs="宋体"/>
              <w:spacing w:val="-6"/>
              <w:sz w:val="22"/>
              <w:szCs w:val="22"/>
            </w:rPr>
            <w:fldChar w:fldCharType="end"/>
          </w:r>
        </w:p>
        <w:p w14:paraId="1A663876">
          <w:pPr>
            <w:spacing w:line="410" w:lineRule="exact"/>
            <w:ind w:left="2"/>
            <w:rPr>
              <w:rFonts w:ascii="微软雅黑" w:hAnsi="微软雅黑" w:eastAsia="微软雅黑" w:cs="微软雅黑"/>
              <w:sz w:val="22"/>
              <w:szCs w:val="22"/>
            </w:rPr>
          </w:pPr>
          <w:bookmarkStart w:id="12" w:name="bookmark19"/>
          <w:bookmarkEnd w:id="12"/>
          <w:r>
            <w:rPr>
              <w:rFonts w:ascii="仿宋" w:hAnsi="仿宋" w:eastAsia="仿宋" w:cs="仿宋"/>
              <w:spacing w:val="3"/>
              <w:position w:val="5"/>
              <w:sz w:val="22"/>
              <w:szCs w:val="22"/>
            </w:rPr>
            <w:t>8</w:t>
          </w:r>
          <w:r>
            <w:rPr>
              <w:rFonts w:ascii="宋体" w:hAnsi="宋体" w:eastAsia="宋体" w:cs="宋体"/>
              <w:spacing w:val="3"/>
              <w:position w:val="5"/>
              <w:sz w:val="22"/>
              <w:szCs w:val="22"/>
            </w:rPr>
            <w:t>．</w:t>
          </w:r>
          <w:r>
            <w:fldChar w:fldCharType="begin"/>
          </w:r>
          <w:r>
            <w:instrText xml:space="preserve"> HYPERLINK \l "bookmark20" </w:instrText>
          </w:r>
          <w:r>
            <w:fldChar w:fldCharType="separate"/>
          </w:r>
          <w:r>
            <w:rPr>
              <w:rFonts w:ascii="微软雅黑" w:hAnsi="微软雅黑" w:eastAsia="微软雅黑" w:cs="微软雅黑"/>
              <w:spacing w:val="3"/>
              <w:position w:val="5"/>
              <w:sz w:val="22"/>
              <w:szCs w:val="22"/>
            </w:rPr>
            <w:t>生产经营单位及其主要负责人或者其他人员故意提供虚假情况或者隐瞒存在的事故隐患</w:t>
          </w:r>
          <w:r>
            <w:rPr>
              <w:rFonts w:ascii="微软雅黑" w:hAnsi="微软雅黑" w:eastAsia="微软雅黑" w:cs="微软雅黑"/>
              <w:spacing w:val="3"/>
              <w:position w:val="5"/>
              <w:sz w:val="22"/>
              <w:szCs w:val="22"/>
            </w:rPr>
            <w:fldChar w:fldCharType="end"/>
          </w:r>
        </w:p>
        <w:p w14:paraId="01680B12">
          <w:pPr>
            <w:tabs>
              <w:tab w:val="right" w:leader="dot" w:pos="8825"/>
            </w:tabs>
            <w:spacing w:before="7" w:line="167" w:lineRule="auto"/>
            <w:ind w:left="32"/>
            <w:rPr>
              <w:rFonts w:ascii="宋体" w:hAnsi="宋体" w:eastAsia="宋体" w:cs="宋体"/>
              <w:sz w:val="22"/>
              <w:szCs w:val="22"/>
            </w:rPr>
          </w:pPr>
          <w:bookmarkStart w:id="13" w:name="bookmark19"/>
          <w:bookmarkEnd w:id="13"/>
          <w:r>
            <w:fldChar w:fldCharType="begin"/>
          </w:r>
          <w:r>
            <w:instrText xml:space="preserve"> HYPERLINK \l "bookmark19" </w:instrText>
          </w:r>
          <w:r>
            <w:fldChar w:fldCharType="separate"/>
          </w:r>
          <w:r>
            <w:rPr>
              <w:rFonts w:ascii="微软雅黑" w:hAnsi="微软雅黑" w:eastAsia="微软雅黑" w:cs="微软雅黑"/>
              <w:spacing w:val="-4"/>
              <w:sz w:val="22"/>
              <w:szCs w:val="22"/>
            </w:rPr>
            <w:t>以及其他安全问题的</w:t>
          </w:r>
          <w:r>
            <w:rPr>
              <w:rFonts w:ascii="微软雅黑" w:hAnsi="微软雅黑" w:eastAsia="微软雅黑" w:cs="微软雅黑"/>
              <w:sz w:val="22"/>
              <w:szCs w:val="22"/>
            </w:rPr>
            <w:tab/>
          </w:r>
          <w:r>
            <w:rPr>
              <w:rFonts w:ascii="宋体" w:hAnsi="宋体" w:eastAsia="宋体" w:cs="宋体"/>
              <w:spacing w:val="-6"/>
              <w:sz w:val="22"/>
              <w:szCs w:val="22"/>
            </w:rPr>
            <w:t>25</w:t>
          </w:r>
          <w:r>
            <w:rPr>
              <w:rFonts w:ascii="宋体" w:hAnsi="宋体" w:eastAsia="宋体" w:cs="宋体"/>
              <w:spacing w:val="-6"/>
              <w:sz w:val="22"/>
              <w:szCs w:val="22"/>
            </w:rPr>
            <w:fldChar w:fldCharType="end"/>
          </w:r>
        </w:p>
        <w:p w14:paraId="703C6484">
          <w:pPr>
            <w:spacing w:line="216" w:lineRule="auto"/>
            <w:ind w:left="2"/>
            <w:rPr>
              <w:rFonts w:ascii="宋体" w:hAnsi="宋体" w:eastAsia="宋体" w:cs="宋体"/>
              <w:sz w:val="22"/>
              <w:szCs w:val="22"/>
            </w:rPr>
          </w:pPr>
          <w:bookmarkStart w:id="14" w:name="bookmark21"/>
          <w:bookmarkEnd w:id="14"/>
          <w:r>
            <w:rPr>
              <w:rFonts w:ascii="仿宋" w:hAnsi="仿宋" w:eastAsia="仿宋" w:cs="仿宋"/>
              <w:spacing w:val="-1"/>
              <w:sz w:val="22"/>
              <w:szCs w:val="22"/>
            </w:rPr>
            <w:t>9</w:t>
          </w:r>
          <w:r>
            <w:rPr>
              <w:rFonts w:ascii="宋体" w:hAnsi="宋体" w:eastAsia="宋体" w:cs="宋体"/>
              <w:spacing w:val="-1"/>
              <w:sz w:val="22"/>
              <w:szCs w:val="22"/>
            </w:rPr>
            <w:t>．</w:t>
          </w:r>
          <w:r>
            <w:fldChar w:fldCharType="begin"/>
          </w:r>
          <w:r>
            <w:instrText xml:space="preserve"> HYPERLINK \l "bookmark22" </w:instrText>
          </w:r>
          <w:r>
            <w:fldChar w:fldCharType="separate"/>
          </w:r>
          <w:r>
            <w:rPr>
              <w:rFonts w:ascii="微软雅黑" w:hAnsi="微软雅黑" w:eastAsia="微软雅黑" w:cs="微软雅黑"/>
              <w:spacing w:val="-1"/>
              <w:sz w:val="22"/>
              <w:szCs w:val="22"/>
            </w:rPr>
            <w:t>生产经营单位及其主要负责人或者其他人员拒不执行依法下达的安全监管监察指令的</w:t>
          </w:r>
          <w:r>
            <w:rPr>
              <w:rFonts w:ascii="宋体" w:hAnsi="宋体" w:eastAsia="宋体" w:cs="宋体"/>
              <w:spacing w:val="-1"/>
              <w:sz w:val="22"/>
              <w:szCs w:val="22"/>
            </w:rPr>
            <w:t>25</w:t>
          </w:r>
          <w:r>
            <w:rPr>
              <w:rFonts w:ascii="宋体" w:hAnsi="宋体" w:eastAsia="宋体" w:cs="宋体"/>
              <w:spacing w:val="-1"/>
              <w:sz w:val="22"/>
              <w:szCs w:val="22"/>
            </w:rPr>
            <w:fldChar w:fldCharType="end"/>
          </w:r>
        </w:p>
        <w:p w14:paraId="52724A03">
          <w:pPr>
            <w:spacing w:line="411" w:lineRule="exact"/>
            <w:ind w:left="18"/>
            <w:rPr>
              <w:rFonts w:ascii="微软雅黑" w:hAnsi="微软雅黑" w:eastAsia="微软雅黑" w:cs="微软雅黑"/>
              <w:sz w:val="22"/>
              <w:szCs w:val="22"/>
            </w:rPr>
          </w:pPr>
          <w:bookmarkStart w:id="15" w:name="bookmark23"/>
          <w:bookmarkEnd w:id="15"/>
          <w:r>
            <w:rPr>
              <w:rFonts w:ascii="仿宋" w:hAnsi="仿宋" w:eastAsia="仿宋" w:cs="仿宋"/>
              <w:position w:val="5"/>
              <w:sz w:val="22"/>
              <w:szCs w:val="22"/>
            </w:rPr>
            <w:t>10</w:t>
          </w:r>
          <w:r>
            <w:rPr>
              <w:rFonts w:ascii="宋体" w:hAnsi="宋体" w:eastAsia="宋体" w:cs="宋体"/>
              <w:position w:val="5"/>
              <w:sz w:val="22"/>
              <w:szCs w:val="22"/>
            </w:rPr>
            <w:t>．</w:t>
          </w:r>
          <w:r>
            <w:fldChar w:fldCharType="begin"/>
          </w:r>
          <w:r>
            <w:instrText xml:space="preserve"> HYPERLINK \l "bookmark24" </w:instrText>
          </w:r>
          <w:r>
            <w:fldChar w:fldCharType="separate"/>
          </w:r>
          <w:r>
            <w:rPr>
              <w:rFonts w:ascii="微软雅黑" w:hAnsi="微软雅黑" w:eastAsia="微软雅黑" w:cs="微软雅黑"/>
              <w:position w:val="5"/>
              <w:sz w:val="22"/>
              <w:szCs w:val="22"/>
            </w:rPr>
            <w:t>未按规定保证安全生产所必需的资金投入致使生产经营单位不具备安全生产条件，导致</w:t>
          </w:r>
          <w:r>
            <w:rPr>
              <w:rFonts w:ascii="微软雅黑" w:hAnsi="微软雅黑" w:eastAsia="微软雅黑" w:cs="微软雅黑"/>
              <w:position w:val="5"/>
              <w:sz w:val="22"/>
              <w:szCs w:val="22"/>
            </w:rPr>
            <w:fldChar w:fldCharType="end"/>
          </w:r>
        </w:p>
        <w:p w14:paraId="1142BC01">
          <w:pPr>
            <w:tabs>
              <w:tab w:val="right" w:leader="dot" w:pos="8825"/>
            </w:tabs>
            <w:spacing w:before="7" w:line="167" w:lineRule="auto"/>
            <w:ind w:left="8"/>
            <w:rPr>
              <w:rFonts w:ascii="宋体" w:hAnsi="宋体" w:eastAsia="宋体" w:cs="宋体"/>
              <w:sz w:val="22"/>
              <w:szCs w:val="22"/>
            </w:rPr>
          </w:pPr>
          <w:bookmarkStart w:id="16" w:name="bookmark23"/>
          <w:bookmarkEnd w:id="16"/>
          <w:r>
            <w:fldChar w:fldCharType="begin"/>
          </w:r>
          <w:r>
            <w:instrText xml:space="preserve"> HYPERLINK \l "bookmark23" </w:instrText>
          </w:r>
          <w:r>
            <w:fldChar w:fldCharType="separate"/>
          </w:r>
          <w:r>
            <w:rPr>
              <w:rFonts w:ascii="微软雅黑" w:hAnsi="微软雅黑" w:eastAsia="微软雅黑" w:cs="微软雅黑"/>
              <w:spacing w:val="-1"/>
              <w:sz w:val="22"/>
              <w:szCs w:val="22"/>
            </w:rPr>
            <w:t>发生生产安全事故的</w:t>
          </w:r>
          <w:r>
            <w:rPr>
              <w:rFonts w:ascii="微软雅黑" w:hAnsi="微软雅黑" w:eastAsia="微软雅黑" w:cs="微软雅黑"/>
              <w:sz w:val="22"/>
              <w:szCs w:val="22"/>
            </w:rPr>
            <w:tab/>
          </w:r>
          <w:r>
            <w:rPr>
              <w:rFonts w:ascii="宋体" w:hAnsi="宋体" w:eastAsia="宋体" w:cs="宋体"/>
              <w:spacing w:val="-6"/>
              <w:sz w:val="22"/>
              <w:szCs w:val="22"/>
            </w:rPr>
            <w:t>26</w:t>
          </w:r>
          <w:r>
            <w:rPr>
              <w:rFonts w:ascii="宋体" w:hAnsi="宋体" w:eastAsia="宋体" w:cs="宋体"/>
              <w:spacing w:val="-6"/>
              <w:sz w:val="22"/>
              <w:szCs w:val="22"/>
            </w:rPr>
            <w:fldChar w:fldCharType="end"/>
          </w:r>
        </w:p>
        <w:p w14:paraId="62A81F9F">
          <w:pPr>
            <w:spacing w:line="216" w:lineRule="auto"/>
            <w:ind w:left="18"/>
            <w:rPr>
              <w:rFonts w:ascii="宋体" w:hAnsi="宋体" w:eastAsia="宋体" w:cs="宋体"/>
              <w:sz w:val="22"/>
              <w:szCs w:val="22"/>
            </w:rPr>
          </w:pPr>
          <w:bookmarkStart w:id="17" w:name="bookmark25"/>
          <w:bookmarkEnd w:id="17"/>
          <w:r>
            <w:rPr>
              <w:rFonts w:ascii="仿宋" w:hAnsi="仿宋" w:eastAsia="仿宋" w:cs="仿宋"/>
              <w:spacing w:val="-1"/>
              <w:sz w:val="22"/>
              <w:szCs w:val="22"/>
            </w:rPr>
            <w:t>11</w:t>
          </w:r>
          <w:r>
            <w:rPr>
              <w:rFonts w:ascii="宋体" w:hAnsi="宋体" w:eastAsia="宋体" w:cs="宋体"/>
              <w:spacing w:val="-1"/>
              <w:sz w:val="22"/>
              <w:szCs w:val="22"/>
            </w:rPr>
            <w:t>．</w:t>
          </w:r>
          <w:r>
            <w:fldChar w:fldCharType="begin"/>
          </w:r>
          <w:r>
            <w:instrText xml:space="preserve"> HYPERLINK \l "bookmark26" </w:instrText>
          </w:r>
          <w:r>
            <w:fldChar w:fldCharType="separate"/>
          </w:r>
          <w:r>
            <w:rPr>
              <w:rFonts w:ascii="微软雅黑" w:hAnsi="微软雅黑" w:eastAsia="微软雅黑" w:cs="微软雅黑"/>
              <w:spacing w:val="-1"/>
              <w:sz w:val="22"/>
              <w:szCs w:val="22"/>
            </w:rPr>
            <w:t>生产经营单位未将安全培训工作纳入本单位工作计划并保证安全培训工作所需资金的</w:t>
          </w:r>
          <w:r>
            <w:rPr>
              <w:rFonts w:ascii="宋体" w:hAnsi="宋体" w:eastAsia="宋体" w:cs="宋体"/>
              <w:spacing w:val="-2"/>
              <w:sz w:val="22"/>
              <w:szCs w:val="22"/>
            </w:rPr>
            <w:t>27</w:t>
          </w:r>
          <w:r>
            <w:rPr>
              <w:rFonts w:ascii="宋体" w:hAnsi="宋体" w:eastAsia="宋体" w:cs="宋体"/>
              <w:spacing w:val="-2"/>
              <w:sz w:val="22"/>
              <w:szCs w:val="22"/>
            </w:rPr>
            <w:fldChar w:fldCharType="end"/>
          </w:r>
        </w:p>
        <w:p w14:paraId="746FBAD9">
          <w:pPr>
            <w:tabs>
              <w:tab w:val="right" w:leader="dot" w:pos="8835"/>
            </w:tabs>
            <w:spacing w:line="216" w:lineRule="auto"/>
            <w:ind w:left="18"/>
            <w:rPr>
              <w:rFonts w:ascii="宋体" w:hAnsi="宋体" w:eastAsia="宋体" w:cs="宋体"/>
              <w:sz w:val="22"/>
              <w:szCs w:val="22"/>
            </w:rPr>
          </w:pPr>
          <w:bookmarkStart w:id="18" w:name="bookmark27"/>
          <w:bookmarkEnd w:id="18"/>
          <w:r>
            <w:rPr>
              <w:rFonts w:ascii="仿宋" w:hAnsi="仿宋" w:eastAsia="仿宋" w:cs="仿宋"/>
              <w:spacing w:val="-1"/>
              <w:sz w:val="22"/>
              <w:szCs w:val="22"/>
            </w:rPr>
            <w:t>12</w:t>
          </w:r>
          <w:r>
            <w:rPr>
              <w:rFonts w:ascii="宋体" w:hAnsi="宋体" w:eastAsia="宋体" w:cs="宋体"/>
              <w:spacing w:val="-1"/>
              <w:sz w:val="22"/>
              <w:szCs w:val="22"/>
            </w:rPr>
            <w:t>．</w:t>
          </w:r>
          <w:r>
            <w:fldChar w:fldCharType="begin"/>
          </w:r>
          <w:r>
            <w:instrText xml:space="preserve"> HYPERLINK \l "bookmark28" </w:instrText>
          </w:r>
          <w:r>
            <w:fldChar w:fldCharType="separate"/>
          </w:r>
          <w:r>
            <w:rPr>
              <w:rFonts w:ascii="微软雅黑" w:hAnsi="微软雅黑" w:eastAsia="微软雅黑" w:cs="微软雅黑"/>
              <w:spacing w:val="-1"/>
              <w:sz w:val="22"/>
              <w:szCs w:val="22"/>
            </w:rPr>
            <w:t>生产经营单位未按规定设置安全生产管理机构或者配备安全生产管理人员的</w:t>
          </w:r>
          <w:r>
            <w:rPr>
              <w:rFonts w:ascii="微软雅黑" w:hAnsi="微软雅黑" w:eastAsia="微软雅黑" w:cs="微软雅黑"/>
              <w:sz w:val="22"/>
              <w:szCs w:val="22"/>
            </w:rPr>
            <w:tab/>
          </w:r>
          <w:r>
            <w:rPr>
              <w:rFonts w:ascii="宋体" w:hAnsi="宋体" w:eastAsia="宋体" w:cs="宋体"/>
              <w:spacing w:val="-6"/>
              <w:sz w:val="22"/>
              <w:szCs w:val="22"/>
            </w:rPr>
            <w:t>28</w:t>
          </w:r>
          <w:r>
            <w:rPr>
              <w:rFonts w:ascii="宋体" w:hAnsi="宋体" w:eastAsia="宋体" w:cs="宋体"/>
              <w:spacing w:val="-6"/>
              <w:sz w:val="22"/>
              <w:szCs w:val="22"/>
            </w:rPr>
            <w:fldChar w:fldCharType="end"/>
          </w:r>
        </w:p>
        <w:p w14:paraId="02FDBBAA">
          <w:pPr>
            <w:tabs>
              <w:tab w:val="right" w:leader="dot" w:pos="8830"/>
            </w:tabs>
            <w:spacing w:before="1" w:line="216" w:lineRule="auto"/>
            <w:ind w:left="18"/>
            <w:rPr>
              <w:rFonts w:ascii="宋体" w:hAnsi="宋体" w:eastAsia="宋体" w:cs="宋体"/>
              <w:sz w:val="22"/>
              <w:szCs w:val="22"/>
            </w:rPr>
          </w:pPr>
          <w:bookmarkStart w:id="19" w:name="bookmark29"/>
          <w:bookmarkEnd w:id="19"/>
          <w:r>
            <w:rPr>
              <w:rFonts w:ascii="仿宋" w:hAnsi="仿宋" w:eastAsia="仿宋" w:cs="仿宋"/>
              <w:spacing w:val="-1"/>
              <w:sz w:val="22"/>
              <w:szCs w:val="22"/>
            </w:rPr>
            <w:t>13</w:t>
          </w:r>
          <w:r>
            <w:rPr>
              <w:rFonts w:ascii="宋体" w:hAnsi="宋体" w:eastAsia="宋体" w:cs="宋体"/>
              <w:spacing w:val="-1"/>
              <w:sz w:val="22"/>
              <w:szCs w:val="22"/>
            </w:rPr>
            <w:t>．</w:t>
          </w:r>
          <w:r>
            <w:fldChar w:fldCharType="begin"/>
          </w:r>
          <w:r>
            <w:instrText xml:space="preserve"> HYPERLINK \l "bookmark30" </w:instrText>
          </w:r>
          <w:r>
            <w:fldChar w:fldCharType="separate"/>
          </w:r>
          <w:r>
            <w:rPr>
              <w:rFonts w:ascii="微软雅黑" w:hAnsi="微软雅黑" w:eastAsia="微软雅黑" w:cs="微软雅黑"/>
              <w:spacing w:val="-1"/>
              <w:sz w:val="22"/>
              <w:szCs w:val="22"/>
            </w:rPr>
            <w:t>生产经营单位未按规定配备注册安全工程师的</w:t>
          </w:r>
          <w:r>
            <w:rPr>
              <w:rFonts w:ascii="微软雅黑" w:hAnsi="微软雅黑" w:eastAsia="微软雅黑" w:cs="微软雅黑"/>
              <w:sz w:val="22"/>
              <w:szCs w:val="22"/>
            </w:rPr>
            <w:tab/>
          </w:r>
          <w:r>
            <w:rPr>
              <w:rFonts w:ascii="宋体" w:hAnsi="宋体" w:eastAsia="宋体" w:cs="宋体"/>
              <w:spacing w:val="-7"/>
              <w:sz w:val="22"/>
              <w:szCs w:val="22"/>
            </w:rPr>
            <w:t>30</w:t>
          </w:r>
          <w:r>
            <w:rPr>
              <w:rFonts w:ascii="宋体" w:hAnsi="宋体" w:eastAsia="宋体" w:cs="宋体"/>
              <w:spacing w:val="-7"/>
              <w:sz w:val="22"/>
              <w:szCs w:val="22"/>
            </w:rPr>
            <w:fldChar w:fldCharType="end"/>
          </w:r>
        </w:p>
        <w:p w14:paraId="579B518D">
          <w:pPr>
            <w:tabs>
              <w:tab w:val="right" w:leader="dot" w:pos="8835"/>
            </w:tabs>
            <w:spacing w:line="216" w:lineRule="auto"/>
            <w:ind w:left="18"/>
            <w:rPr>
              <w:rFonts w:ascii="宋体" w:hAnsi="宋体" w:eastAsia="宋体" w:cs="宋体"/>
              <w:sz w:val="22"/>
              <w:szCs w:val="22"/>
            </w:rPr>
          </w:pPr>
          <w:bookmarkStart w:id="20" w:name="bookmark31"/>
          <w:bookmarkEnd w:id="20"/>
          <w:r>
            <w:rPr>
              <w:rFonts w:ascii="仿宋" w:hAnsi="仿宋" w:eastAsia="仿宋" w:cs="仿宋"/>
              <w:spacing w:val="-1"/>
              <w:sz w:val="22"/>
              <w:szCs w:val="22"/>
            </w:rPr>
            <w:t>14</w:t>
          </w:r>
          <w:r>
            <w:rPr>
              <w:rFonts w:ascii="宋体" w:hAnsi="宋体" w:eastAsia="宋体" w:cs="宋体"/>
              <w:spacing w:val="-1"/>
              <w:sz w:val="22"/>
              <w:szCs w:val="22"/>
            </w:rPr>
            <w:t>．</w:t>
          </w:r>
          <w:r>
            <w:fldChar w:fldCharType="begin"/>
          </w:r>
          <w:r>
            <w:instrText xml:space="preserve"> HYPERLINK \l "bookmark32" </w:instrText>
          </w:r>
          <w:r>
            <w:fldChar w:fldCharType="separate"/>
          </w:r>
          <w:r>
            <w:rPr>
              <w:rFonts w:ascii="微软雅黑" w:hAnsi="微软雅黑" w:eastAsia="微软雅黑" w:cs="微软雅黑"/>
              <w:spacing w:val="-1"/>
              <w:sz w:val="22"/>
              <w:szCs w:val="22"/>
            </w:rPr>
            <w:t>生产经营单位未建立专门安全管理制度、未采取可靠的安全措施的</w:t>
          </w:r>
          <w:r>
            <w:rPr>
              <w:rFonts w:ascii="微软雅黑" w:hAnsi="微软雅黑" w:eastAsia="微软雅黑" w:cs="微软雅黑"/>
              <w:sz w:val="22"/>
              <w:szCs w:val="22"/>
            </w:rPr>
            <w:tab/>
          </w:r>
          <w:r>
            <w:rPr>
              <w:rFonts w:ascii="宋体" w:hAnsi="宋体" w:eastAsia="宋体" w:cs="宋体"/>
              <w:spacing w:val="-7"/>
              <w:sz w:val="22"/>
              <w:szCs w:val="22"/>
            </w:rPr>
            <w:t>31</w:t>
          </w:r>
          <w:r>
            <w:rPr>
              <w:rFonts w:ascii="宋体" w:hAnsi="宋体" w:eastAsia="宋体" w:cs="宋体"/>
              <w:spacing w:val="-7"/>
              <w:sz w:val="22"/>
              <w:szCs w:val="22"/>
            </w:rPr>
            <w:fldChar w:fldCharType="end"/>
          </w:r>
        </w:p>
        <w:p w14:paraId="55050D35">
          <w:pPr>
            <w:tabs>
              <w:tab w:val="right" w:leader="dot" w:pos="8835"/>
            </w:tabs>
            <w:spacing w:line="216" w:lineRule="auto"/>
            <w:ind w:left="18"/>
            <w:rPr>
              <w:rFonts w:ascii="宋体" w:hAnsi="宋体" w:eastAsia="宋体" w:cs="宋体"/>
              <w:sz w:val="22"/>
              <w:szCs w:val="22"/>
            </w:rPr>
          </w:pPr>
          <w:bookmarkStart w:id="21" w:name="bookmark33"/>
          <w:bookmarkEnd w:id="21"/>
          <w:r>
            <w:rPr>
              <w:rFonts w:ascii="仿宋" w:hAnsi="仿宋" w:eastAsia="仿宋" w:cs="仿宋"/>
              <w:spacing w:val="-1"/>
              <w:sz w:val="22"/>
              <w:szCs w:val="22"/>
            </w:rPr>
            <w:t>15</w:t>
          </w:r>
          <w:r>
            <w:rPr>
              <w:rFonts w:ascii="宋体" w:hAnsi="宋体" w:eastAsia="宋体" w:cs="宋体"/>
              <w:spacing w:val="-1"/>
              <w:sz w:val="22"/>
              <w:szCs w:val="22"/>
            </w:rPr>
            <w:t>．</w:t>
          </w:r>
          <w:r>
            <w:fldChar w:fldCharType="begin"/>
          </w:r>
          <w:r>
            <w:instrText xml:space="preserve"> HYPERLINK \l "bookmark34" </w:instrText>
          </w:r>
          <w:r>
            <w:fldChar w:fldCharType="separate"/>
          </w:r>
          <w:r>
            <w:rPr>
              <w:rFonts w:ascii="微软雅黑" w:hAnsi="微软雅黑" w:eastAsia="微软雅黑" w:cs="微软雅黑"/>
              <w:spacing w:val="-1"/>
              <w:sz w:val="22"/>
              <w:szCs w:val="22"/>
            </w:rPr>
            <w:t>生产经营单位主要负责人和安全生产管理人员未按照规定经考核合格的</w:t>
          </w:r>
          <w:r>
            <w:rPr>
              <w:rFonts w:ascii="微软雅黑" w:hAnsi="微软雅黑" w:eastAsia="微软雅黑" w:cs="微软雅黑"/>
              <w:sz w:val="22"/>
              <w:szCs w:val="22"/>
            </w:rPr>
            <w:tab/>
          </w:r>
          <w:r>
            <w:rPr>
              <w:rFonts w:ascii="宋体" w:hAnsi="宋体" w:eastAsia="宋体" w:cs="宋体"/>
              <w:spacing w:val="-7"/>
              <w:sz w:val="22"/>
              <w:szCs w:val="22"/>
            </w:rPr>
            <w:t>32</w:t>
          </w:r>
          <w:r>
            <w:rPr>
              <w:rFonts w:ascii="宋体" w:hAnsi="宋体" w:eastAsia="宋体" w:cs="宋体"/>
              <w:spacing w:val="-7"/>
              <w:sz w:val="22"/>
              <w:szCs w:val="22"/>
            </w:rPr>
            <w:fldChar w:fldCharType="end"/>
          </w:r>
        </w:p>
        <w:p w14:paraId="3C0DBD1B">
          <w:pPr>
            <w:spacing w:line="410" w:lineRule="exact"/>
            <w:jc w:val="right"/>
            <w:rPr>
              <w:rFonts w:ascii="微软雅黑" w:hAnsi="微软雅黑" w:eastAsia="微软雅黑" w:cs="微软雅黑"/>
              <w:sz w:val="22"/>
              <w:szCs w:val="22"/>
            </w:rPr>
          </w:pPr>
          <w:bookmarkStart w:id="22" w:name="bookmark35"/>
          <w:bookmarkEnd w:id="22"/>
          <w:r>
            <w:rPr>
              <w:rFonts w:ascii="仿宋" w:hAnsi="仿宋" w:eastAsia="仿宋" w:cs="仿宋"/>
              <w:spacing w:val="-3"/>
              <w:position w:val="5"/>
              <w:sz w:val="22"/>
              <w:szCs w:val="22"/>
            </w:rPr>
            <w:t>16</w:t>
          </w:r>
          <w:r>
            <w:rPr>
              <w:rFonts w:ascii="宋体" w:hAnsi="宋体" w:eastAsia="宋体" w:cs="宋体"/>
              <w:spacing w:val="-3"/>
              <w:position w:val="5"/>
              <w:sz w:val="22"/>
              <w:szCs w:val="22"/>
            </w:rPr>
            <w:t>．</w:t>
          </w:r>
          <w:r>
            <w:fldChar w:fldCharType="begin"/>
          </w:r>
          <w:r>
            <w:instrText xml:space="preserve"> HYPERLINK \l "bookmark36" </w:instrText>
          </w:r>
          <w:r>
            <w:fldChar w:fldCharType="separate"/>
          </w:r>
          <w:r>
            <w:rPr>
              <w:rFonts w:ascii="微软雅黑" w:hAnsi="微软雅黑" w:eastAsia="微软雅黑" w:cs="微软雅黑"/>
              <w:spacing w:val="-3"/>
              <w:position w:val="5"/>
              <w:sz w:val="22"/>
              <w:szCs w:val="22"/>
            </w:rPr>
            <w:t>生产经营单位未按规定对从业人员、被派遣劳动者、实习</w:t>
          </w:r>
          <w:r>
            <w:rPr>
              <w:rFonts w:ascii="微软雅黑" w:hAnsi="微软雅黑" w:eastAsia="微软雅黑" w:cs="微软雅黑"/>
              <w:spacing w:val="-4"/>
              <w:position w:val="5"/>
              <w:sz w:val="22"/>
              <w:szCs w:val="22"/>
            </w:rPr>
            <w:t>学生进行安全生产教育和培训，</w:t>
          </w:r>
          <w:r>
            <w:rPr>
              <w:rFonts w:ascii="微软雅黑" w:hAnsi="微软雅黑" w:eastAsia="微软雅黑" w:cs="微软雅黑"/>
              <w:spacing w:val="-4"/>
              <w:position w:val="5"/>
              <w:sz w:val="22"/>
              <w:szCs w:val="22"/>
            </w:rPr>
            <w:fldChar w:fldCharType="end"/>
          </w:r>
        </w:p>
        <w:p w14:paraId="78834E92">
          <w:pPr>
            <w:tabs>
              <w:tab w:val="right" w:leader="dot" w:pos="8830"/>
            </w:tabs>
            <w:spacing w:before="8" w:line="167" w:lineRule="auto"/>
            <w:ind w:left="9"/>
            <w:rPr>
              <w:rFonts w:ascii="宋体" w:hAnsi="宋体" w:eastAsia="宋体" w:cs="宋体"/>
              <w:sz w:val="22"/>
              <w:szCs w:val="22"/>
            </w:rPr>
          </w:pPr>
          <w:bookmarkStart w:id="23" w:name="bookmark35"/>
          <w:bookmarkEnd w:id="23"/>
          <w:r>
            <w:fldChar w:fldCharType="begin"/>
          </w:r>
          <w:r>
            <w:instrText xml:space="preserve"> HYPERLINK \l "bookmark35" </w:instrText>
          </w:r>
          <w:r>
            <w:fldChar w:fldCharType="separate"/>
          </w:r>
          <w:r>
            <w:rPr>
              <w:rFonts w:ascii="微软雅黑" w:hAnsi="微软雅黑" w:eastAsia="微软雅黑" w:cs="微软雅黑"/>
              <w:spacing w:val="-1"/>
              <w:sz w:val="22"/>
              <w:szCs w:val="22"/>
            </w:rPr>
            <w:t>或者未按照规定如实告知有关的安全生产事项的</w:t>
          </w:r>
          <w:r>
            <w:rPr>
              <w:rFonts w:ascii="微软雅黑" w:hAnsi="微软雅黑" w:eastAsia="微软雅黑" w:cs="微软雅黑"/>
              <w:sz w:val="22"/>
              <w:szCs w:val="22"/>
            </w:rPr>
            <w:tab/>
          </w:r>
          <w:r>
            <w:rPr>
              <w:rFonts w:ascii="宋体" w:hAnsi="宋体" w:eastAsia="宋体" w:cs="宋体"/>
              <w:spacing w:val="-7"/>
              <w:sz w:val="22"/>
              <w:szCs w:val="22"/>
            </w:rPr>
            <w:t>33</w:t>
          </w:r>
          <w:r>
            <w:rPr>
              <w:rFonts w:ascii="宋体" w:hAnsi="宋体" w:eastAsia="宋体" w:cs="宋体"/>
              <w:spacing w:val="-7"/>
              <w:sz w:val="22"/>
              <w:szCs w:val="22"/>
            </w:rPr>
            <w:fldChar w:fldCharType="end"/>
          </w:r>
        </w:p>
        <w:p w14:paraId="651E5BAA">
          <w:pPr>
            <w:tabs>
              <w:tab w:val="right" w:leader="dot" w:pos="8832"/>
            </w:tabs>
            <w:spacing w:line="216" w:lineRule="auto"/>
            <w:ind w:left="18"/>
            <w:rPr>
              <w:rFonts w:ascii="宋体" w:hAnsi="宋体" w:eastAsia="宋体" w:cs="宋体"/>
              <w:sz w:val="22"/>
              <w:szCs w:val="22"/>
            </w:rPr>
          </w:pPr>
          <w:bookmarkStart w:id="24" w:name="bookmark37"/>
          <w:bookmarkEnd w:id="24"/>
          <w:r>
            <w:rPr>
              <w:rFonts w:ascii="仿宋" w:hAnsi="仿宋" w:eastAsia="仿宋" w:cs="仿宋"/>
              <w:spacing w:val="-1"/>
              <w:sz w:val="22"/>
              <w:szCs w:val="22"/>
            </w:rPr>
            <w:t>17</w:t>
          </w:r>
          <w:r>
            <w:rPr>
              <w:rFonts w:ascii="宋体" w:hAnsi="宋体" w:eastAsia="宋体" w:cs="宋体"/>
              <w:spacing w:val="-1"/>
              <w:sz w:val="22"/>
              <w:szCs w:val="22"/>
            </w:rPr>
            <w:t>．</w:t>
          </w:r>
          <w:r>
            <w:fldChar w:fldCharType="begin"/>
          </w:r>
          <w:r>
            <w:instrText xml:space="preserve"> HYPERLINK \l "bookmark38" </w:instrText>
          </w:r>
          <w:r>
            <w:fldChar w:fldCharType="separate"/>
          </w:r>
          <w:r>
            <w:rPr>
              <w:rFonts w:ascii="微软雅黑" w:hAnsi="微软雅黑" w:eastAsia="微软雅黑" w:cs="微软雅黑"/>
              <w:spacing w:val="-1"/>
              <w:sz w:val="22"/>
              <w:szCs w:val="22"/>
            </w:rPr>
            <w:t>生产经营单位未如实记录安全生产教育和培训情况的</w:t>
          </w:r>
          <w:r>
            <w:rPr>
              <w:rFonts w:ascii="微软雅黑" w:hAnsi="微软雅黑" w:eastAsia="微软雅黑" w:cs="微软雅黑"/>
              <w:sz w:val="22"/>
              <w:szCs w:val="22"/>
            </w:rPr>
            <w:tab/>
          </w:r>
          <w:r>
            <w:rPr>
              <w:rFonts w:ascii="宋体" w:hAnsi="宋体" w:eastAsia="宋体" w:cs="宋体"/>
              <w:spacing w:val="-7"/>
              <w:sz w:val="22"/>
              <w:szCs w:val="22"/>
            </w:rPr>
            <w:t>35</w:t>
          </w:r>
          <w:r>
            <w:rPr>
              <w:rFonts w:ascii="宋体" w:hAnsi="宋体" w:eastAsia="宋体" w:cs="宋体"/>
              <w:spacing w:val="-7"/>
              <w:sz w:val="22"/>
              <w:szCs w:val="22"/>
            </w:rPr>
            <w:fldChar w:fldCharType="end"/>
          </w:r>
        </w:p>
        <w:p w14:paraId="530BA360">
          <w:pPr>
            <w:tabs>
              <w:tab w:val="right" w:leader="dot" w:pos="8835"/>
            </w:tabs>
            <w:spacing w:line="216" w:lineRule="auto"/>
            <w:ind w:left="18"/>
            <w:rPr>
              <w:rFonts w:ascii="宋体" w:hAnsi="宋体" w:eastAsia="宋体" w:cs="宋体"/>
              <w:sz w:val="22"/>
              <w:szCs w:val="22"/>
            </w:rPr>
          </w:pPr>
          <w:bookmarkStart w:id="25" w:name="bookmark39"/>
          <w:bookmarkEnd w:id="25"/>
          <w:r>
            <w:rPr>
              <w:rFonts w:ascii="仿宋" w:hAnsi="仿宋" w:eastAsia="仿宋" w:cs="仿宋"/>
              <w:spacing w:val="-1"/>
              <w:sz w:val="22"/>
              <w:szCs w:val="22"/>
            </w:rPr>
            <w:t>18</w:t>
          </w:r>
          <w:r>
            <w:rPr>
              <w:rFonts w:ascii="宋体" w:hAnsi="宋体" w:eastAsia="宋体" w:cs="宋体"/>
              <w:spacing w:val="-1"/>
              <w:sz w:val="22"/>
              <w:szCs w:val="22"/>
            </w:rPr>
            <w:t>．</w:t>
          </w:r>
          <w:r>
            <w:fldChar w:fldCharType="begin"/>
          </w:r>
          <w:r>
            <w:instrText xml:space="preserve"> HYPERLINK \l "bookmark40" </w:instrText>
          </w:r>
          <w:r>
            <w:fldChar w:fldCharType="separate"/>
          </w:r>
          <w:r>
            <w:rPr>
              <w:rFonts w:ascii="微软雅黑" w:hAnsi="微软雅黑" w:eastAsia="微软雅黑" w:cs="微软雅黑"/>
              <w:spacing w:val="-1"/>
              <w:sz w:val="22"/>
              <w:szCs w:val="22"/>
            </w:rPr>
            <w:t>生产经营单位未支付从业人员安全培训期间工资及安全培训费用的</w:t>
          </w:r>
          <w:r>
            <w:rPr>
              <w:rFonts w:ascii="微软雅黑" w:hAnsi="微软雅黑" w:eastAsia="微软雅黑" w:cs="微软雅黑"/>
              <w:sz w:val="22"/>
              <w:szCs w:val="22"/>
            </w:rPr>
            <w:tab/>
          </w:r>
          <w:r>
            <w:rPr>
              <w:rFonts w:ascii="宋体" w:hAnsi="宋体" w:eastAsia="宋体" w:cs="宋体"/>
              <w:spacing w:val="-7"/>
              <w:sz w:val="22"/>
              <w:szCs w:val="22"/>
            </w:rPr>
            <w:t>37</w:t>
          </w:r>
          <w:r>
            <w:rPr>
              <w:rFonts w:ascii="宋体" w:hAnsi="宋体" w:eastAsia="宋体" w:cs="宋体"/>
              <w:spacing w:val="-7"/>
              <w:sz w:val="22"/>
              <w:szCs w:val="22"/>
            </w:rPr>
            <w:fldChar w:fldCharType="end"/>
          </w:r>
        </w:p>
        <w:p w14:paraId="4B89343B">
          <w:pPr>
            <w:tabs>
              <w:tab w:val="right" w:leader="dot" w:pos="8832"/>
            </w:tabs>
            <w:spacing w:line="216" w:lineRule="auto"/>
            <w:ind w:left="18"/>
            <w:rPr>
              <w:rFonts w:ascii="宋体" w:hAnsi="宋体" w:eastAsia="宋体" w:cs="宋体"/>
              <w:sz w:val="22"/>
              <w:szCs w:val="22"/>
            </w:rPr>
          </w:pPr>
          <w:bookmarkStart w:id="26" w:name="bookmark41"/>
          <w:bookmarkEnd w:id="26"/>
          <w:r>
            <w:rPr>
              <w:rFonts w:ascii="仿宋" w:hAnsi="仿宋" w:eastAsia="仿宋" w:cs="仿宋"/>
              <w:spacing w:val="-1"/>
              <w:sz w:val="22"/>
              <w:szCs w:val="22"/>
            </w:rPr>
            <w:t>19</w:t>
          </w:r>
          <w:r>
            <w:rPr>
              <w:rFonts w:ascii="宋体" w:hAnsi="宋体" w:eastAsia="宋体" w:cs="宋体"/>
              <w:spacing w:val="-1"/>
              <w:sz w:val="22"/>
              <w:szCs w:val="22"/>
            </w:rPr>
            <w:t>．</w:t>
          </w:r>
          <w:r>
            <w:fldChar w:fldCharType="begin"/>
          </w:r>
          <w:r>
            <w:instrText xml:space="preserve"> HYPERLINK \l "bookmark42" </w:instrText>
          </w:r>
          <w:r>
            <w:fldChar w:fldCharType="separate"/>
          </w:r>
          <w:r>
            <w:rPr>
              <w:rFonts w:ascii="微软雅黑" w:hAnsi="微软雅黑" w:eastAsia="微软雅黑" w:cs="微软雅黑"/>
              <w:spacing w:val="-1"/>
              <w:sz w:val="22"/>
              <w:szCs w:val="22"/>
            </w:rPr>
            <w:t>生产经营单位从业人员安全培训的时间不符合规定的</w:t>
          </w:r>
          <w:r>
            <w:rPr>
              <w:rFonts w:ascii="微软雅黑" w:hAnsi="微软雅黑" w:eastAsia="微软雅黑" w:cs="微软雅黑"/>
              <w:sz w:val="22"/>
              <w:szCs w:val="22"/>
            </w:rPr>
            <w:tab/>
          </w:r>
          <w:r>
            <w:rPr>
              <w:rFonts w:ascii="宋体" w:hAnsi="宋体" w:eastAsia="宋体" w:cs="宋体"/>
              <w:spacing w:val="-7"/>
              <w:sz w:val="22"/>
              <w:szCs w:val="22"/>
            </w:rPr>
            <w:t>37</w:t>
          </w:r>
          <w:r>
            <w:rPr>
              <w:rFonts w:ascii="宋体" w:hAnsi="宋体" w:eastAsia="宋体" w:cs="宋体"/>
              <w:spacing w:val="-7"/>
              <w:sz w:val="22"/>
              <w:szCs w:val="22"/>
            </w:rPr>
            <w:fldChar w:fldCharType="end"/>
          </w:r>
        </w:p>
        <w:p w14:paraId="4AAFD05F">
          <w:pPr>
            <w:spacing w:before="1" w:line="216" w:lineRule="auto"/>
            <w:ind w:left="4"/>
            <w:rPr>
              <w:rFonts w:ascii="宋体" w:hAnsi="宋体" w:eastAsia="宋体" w:cs="宋体"/>
              <w:sz w:val="22"/>
              <w:szCs w:val="22"/>
            </w:rPr>
          </w:pPr>
          <w:bookmarkStart w:id="27" w:name="bookmark43"/>
          <w:bookmarkEnd w:id="27"/>
          <w:r>
            <w:rPr>
              <w:rFonts w:ascii="仿宋" w:hAnsi="仿宋" w:eastAsia="仿宋" w:cs="仿宋"/>
              <w:spacing w:val="-1"/>
              <w:sz w:val="22"/>
              <w:szCs w:val="22"/>
            </w:rPr>
            <w:t>20</w:t>
          </w:r>
          <w:r>
            <w:rPr>
              <w:rFonts w:ascii="宋体" w:hAnsi="宋体" w:eastAsia="宋体" w:cs="宋体"/>
              <w:spacing w:val="-1"/>
              <w:sz w:val="22"/>
              <w:szCs w:val="22"/>
            </w:rPr>
            <w:t>．</w:t>
          </w:r>
          <w:r>
            <w:fldChar w:fldCharType="begin"/>
          </w:r>
          <w:r>
            <w:instrText xml:space="preserve"> HYPERLINK \l "bookmark44" </w:instrText>
          </w:r>
          <w:r>
            <w:fldChar w:fldCharType="separate"/>
          </w:r>
          <w:r>
            <w:rPr>
              <w:rFonts w:ascii="微软雅黑" w:hAnsi="微软雅黑" w:eastAsia="微软雅黑" w:cs="微软雅黑"/>
              <w:spacing w:val="-1"/>
              <w:sz w:val="22"/>
              <w:szCs w:val="22"/>
            </w:rPr>
            <w:t>危险物品生产经营单位新招的危险工艺操作岗位人员，未经实习期满独立上岗作业的</w:t>
          </w:r>
          <w:r>
            <w:rPr>
              <w:rFonts w:ascii="宋体" w:hAnsi="宋体" w:eastAsia="宋体" w:cs="宋体"/>
              <w:spacing w:val="-1"/>
              <w:sz w:val="22"/>
              <w:szCs w:val="22"/>
            </w:rPr>
            <w:t>38</w:t>
          </w:r>
          <w:r>
            <w:rPr>
              <w:rFonts w:ascii="宋体" w:hAnsi="宋体" w:eastAsia="宋体" w:cs="宋体"/>
              <w:spacing w:val="-1"/>
              <w:sz w:val="22"/>
              <w:szCs w:val="22"/>
            </w:rPr>
            <w:fldChar w:fldCharType="end"/>
          </w:r>
        </w:p>
        <w:p w14:paraId="368110B4">
          <w:pPr>
            <w:tabs>
              <w:tab w:val="right" w:leader="dot" w:pos="8835"/>
            </w:tabs>
            <w:spacing w:line="216" w:lineRule="auto"/>
            <w:ind w:left="4"/>
            <w:rPr>
              <w:rFonts w:ascii="宋体" w:hAnsi="宋体" w:eastAsia="宋体" w:cs="宋体"/>
              <w:sz w:val="22"/>
              <w:szCs w:val="22"/>
            </w:rPr>
          </w:pPr>
          <w:bookmarkStart w:id="28" w:name="bookmark45"/>
          <w:bookmarkEnd w:id="28"/>
          <w:r>
            <w:rPr>
              <w:rFonts w:ascii="仿宋" w:hAnsi="仿宋" w:eastAsia="仿宋" w:cs="仿宋"/>
              <w:sz w:val="22"/>
              <w:szCs w:val="22"/>
            </w:rPr>
            <w:t>21</w:t>
          </w:r>
          <w:r>
            <w:rPr>
              <w:rFonts w:ascii="宋体" w:hAnsi="宋体" w:eastAsia="宋体" w:cs="宋体"/>
              <w:sz w:val="22"/>
              <w:szCs w:val="22"/>
            </w:rPr>
            <w:t>．</w:t>
          </w:r>
          <w:r>
            <w:fldChar w:fldCharType="begin"/>
          </w:r>
          <w:r>
            <w:instrText xml:space="preserve"> HYPERLINK \l "bookmark46" </w:instrText>
          </w:r>
          <w:r>
            <w:fldChar w:fldCharType="separate"/>
          </w:r>
          <w:r>
            <w:rPr>
              <w:rFonts w:ascii="微软雅黑" w:hAnsi="微软雅黑" w:eastAsia="微软雅黑" w:cs="微软雅黑"/>
              <w:sz w:val="22"/>
              <w:szCs w:val="22"/>
            </w:rPr>
            <w:t>生产经营单位出现法定情形，相关人员未按照规定重新参</w:t>
          </w:r>
          <w:r>
            <w:rPr>
              <w:rFonts w:ascii="微软雅黑" w:hAnsi="微软雅黑" w:eastAsia="微软雅黑" w:cs="微软雅黑"/>
              <w:spacing w:val="-1"/>
              <w:sz w:val="22"/>
              <w:szCs w:val="22"/>
            </w:rPr>
            <w:t>加安全培训的</w:t>
          </w:r>
          <w:r>
            <w:rPr>
              <w:rFonts w:ascii="微软雅黑" w:hAnsi="微软雅黑" w:eastAsia="微软雅黑" w:cs="微软雅黑"/>
              <w:sz w:val="22"/>
              <w:szCs w:val="22"/>
            </w:rPr>
            <w:tab/>
          </w:r>
          <w:r>
            <w:rPr>
              <w:rFonts w:ascii="宋体" w:hAnsi="宋体" w:eastAsia="宋体" w:cs="宋体"/>
              <w:spacing w:val="-7"/>
              <w:sz w:val="22"/>
              <w:szCs w:val="22"/>
            </w:rPr>
            <w:t>39</w:t>
          </w:r>
          <w:r>
            <w:rPr>
              <w:rFonts w:ascii="宋体" w:hAnsi="宋体" w:eastAsia="宋体" w:cs="宋体"/>
              <w:spacing w:val="-7"/>
              <w:sz w:val="22"/>
              <w:szCs w:val="22"/>
            </w:rPr>
            <w:fldChar w:fldCharType="end"/>
          </w:r>
        </w:p>
        <w:p w14:paraId="3DB41866">
          <w:pPr>
            <w:tabs>
              <w:tab w:val="right" w:leader="dot" w:pos="8830"/>
            </w:tabs>
            <w:spacing w:line="216" w:lineRule="auto"/>
            <w:ind w:left="4"/>
            <w:rPr>
              <w:rFonts w:ascii="宋体" w:hAnsi="宋体" w:eastAsia="宋体" w:cs="宋体"/>
              <w:sz w:val="22"/>
              <w:szCs w:val="22"/>
            </w:rPr>
          </w:pPr>
          <w:bookmarkStart w:id="29" w:name="bookmark47"/>
          <w:bookmarkEnd w:id="29"/>
          <w:r>
            <w:rPr>
              <w:rFonts w:ascii="仿宋" w:hAnsi="仿宋" w:eastAsia="仿宋" w:cs="仿宋"/>
              <w:spacing w:val="-1"/>
              <w:sz w:val="22"/>
              <w:szCs w:val="22"/>
            </w:rPr>
            <w:t>22</w:t>
          </w:r>
          <w:r>
            <w:rPr>
              <w:rFonts w:ascii="宋体" w:hAnsi="宋体" w:eastAsia="宋体" w:cs="宋体"/>
              <w:spacing w:val="-1"/>
              <w:sz w:val="22"/>
              <w:szCs w:val="22"/>
            </w:rPr>
            <w:t>．</w:t>
          </w:r>
          <w:r>
            <w:fldChar w:fldCharType="begin"/>
          </w:r>
          <w:r>
            <w:instrText xml:space="preserve"> HYPERLINK \l "bookmark48" </w:instrText>
          </w:r>
          <w:r>
            <w:fldChar w:fldCharType="separate"/>
          </w:r>
          <w:r>
            <w:rPr>
              <w:rFonts w:ascii="微软雅黑" w:hAnsi="微软雅黑" w:eastAsia="微软雅黑" w:cs="微软雅黑"/>
              <w:spacing w:val="-1"/>
              <w:sz w:val="22"/>
              <w:szCs w:val="22"/>
            </w:rPr>
            <w:t>安全培训机构不具备安全培训条件的</w:t>
          </w:r>
          <w:r>
            <w:rPr>
              <w:rFonts w:ascii="微软雅黑" w:hAnsi="微软雅黑" w:eastAsia="微软雅黑" w:cs="微软雅黑"/>
              <w:sz w:val="22"/>
              <w:szCs w:val="22"/>
            </w:rPr>
            <w:tab/>
          </w:r>
          <w:r>
            <w:rPr>
              <w:rFonts w:ascii="宋体" w:hAnsi="宋体" w:eastAsia="宋体" w:cs="宋体"/>
              <w:spacing w:val="-7"/>
              <w:sz w:val="22"/>
              <w:szCs w:val="22"/>
            </w:rPr>
            <w:t>39</w:t>
          </w:r>
          <w:r>
            <w:rPr>
              <w:rFonts w:ascii="宋体" w:hAnsi="宋体" w:eastAsia="宋体" w:cs="宋体"/>
              <w:spacing w:val="-7"/>
              <w:sz w:val="22"/>
              <w:szCs w:val="22"/>
            </w:rPr>
            <w:fldChar w:fldCharType="end"/>
          </w:r>
        </w:p>
        <w:p w14:paraId="16029785">
          <w:pPr>
            <w:tabs>
              <w:tab w:val="right" w:leader="dot" w:pos="8832"/>
            </w:tabs>
            <w:spacing w:line="216" w:lineRule="auto"/>
            <w:ind w:left="4"/>
            <w:rPr>
              <w:rFonts w:ascii="宋体" w:hAnsi="宋体" w:eastAsia="宋体" w:cs="宋体"/>
              <w:sz w:val="22"/>
              <w:szCs w:val="22"/>
            </w:rPr>
          </w:pPr>
          <w:bookmarkStart w:id="30" w:name="bookmark49"/>
          <w:bookmarkEnd w:id="30"/>
          <w:r>
            <w:rPr>
              <w:rFonts w:ascii="仿宋" w:hAnsi="仿宋" w:eastAsia="仿宋" w:cs="仿宋"/>
              <w:sz w:val="22"/>
              <w:szCs w:val="22"/>
            </w:rPr>
            <w:t>23</w:t>
          </w:r>
          <w:r>
            <w:rPr>
              <w:rFonts w:ascii="宋体" w:hAnsi="宋体" w:eastAsia="宋体" w:cs="宋体"/>
              <w:sz w:val="22"/>
              <w:szCs w:val="22"/>
            </w:rPr>
            <w:t>．</w:t>
          </w:r>
          <w:r>
            <w:fldChar w:fldCharType="begin"/>
          </w:r>
          <w:r>
            <w:instrText xml:space="preserve"> HYPERLINK \l "bookmark50" </w:instrText>
          </w:r>
          <w:r>
            <w:fldChar w:fldCharType="separate"/>
          </w:r>
          <w:r>
            <w:rPr>
              <w:rFonts w:ascii="微软雅黑" w:hAnsi="微软雅黑" w:eastAsia="微软雅黑" w:cs="微软雅黑"/>
              <w:sz w:val="22"/>
              <w:szCs w:val="22"/>
            </w:rPr>
            <w:t>安全培训机构未按照统一的培训大纲组织</w:t>
          </w:r>
          <w:r>
            <w:rPr>
              <w:rFonts w:ascii="微软雅黑" w:hAnsi="微软雅黑" w:eastAsia="微软雅黑" w:cs="微软雅黑"/>
              <w:spacing w:val="-1"/>
              <w:sz w:val="22"/>
              <w:szCs w:val="22"/>
            </w:rPr>
            <w:t>教学培训的</w:t>
          </w:r>
          <w:r>
            <w:rPr>
              <w:rFonts w:ascii="微软雅黑" w:hAnsi="微软雅黑" w:eastAsia="微软雅黑" w:cs="微软雅黑"/>
              <w:sz w:val="22"/>
              <w:szCs w:val="22"/>
            </w:rPr>
            <w:tab/>
          </w:r>
          <w:r>
            <w:rPr>
              <w:rFonts w:ascii="宋体" w:hAnsi="宋体" w:eastAsia="宋体" w:cs="宋体"/>
              <w:spacing w:val="-4"/>
              <w:sz w:val="22"/>
              <w:szCs w:val="22"/>
            </w:rPr>
            <w:t>40</w:t>
          </w:r>
          <w:r>
            <w:rPr>
              <w:rFonts w:ascii="宋体" w:hAnsi="宋体" w:eastAsia="宋体" w:cs="宋体"/>
              <w:spacing w:val="-4"/>
              <w:sz w:val="22"/>
              <w:szCs w:val="22"/>
            </w:rPr>
            <w:fldChar w:fldCharType="end"/>
          </w:r>
        </w:p>
        <w:p w14:paraId="3BEAFAA2">
          <w:pPr>
            <w:tabs>
              <w:tab w:val="right" w:leader="dot" w:pos="8832"/>
            </w:tabs>
            <w:spacing w:before="1" w:line="216" w:lineRule="auto"/>
            <w:ind w:left="4"/>
            <w:rPr>
              <w:rFonts w:ascii="宋体" w:hAnsi="宋体" w:eastAsia="宋体" w:cs="宋体"/>
              <w:sz w:val="22"/>
              <w:szCs w:val="22"/>
            </w:rPr>
          </w:pPr>
          <w:bookmarkStart w:id="31" w:name="bookmark51"/>
          <w:bookmarkEnd w:id="31"/>
          <w:r>
            <w:rPr>
              <w:rFonts w:ascii="仿宋" w:hAnsi="仿宋" w:eastAsia="仿宋" w:cs="仿宋"/>
              <w:sz w:val="22"/>
              <w:szCs w:val="22"/>
            </w:rPr>
            <w:t>24</w:t>
          </w:r>
          <w:r>
            <w:rPr>
              <w:rFonts w:ascii="宋体" w:hAnsi="宋体" w:eastAsia="宋体" w:cs="宋体"/>
              <w:sz w:val="22"/>
              <w:szCs w:val="22"/>
            </w:rPr>
            <w:t>．</w:t>
          </w:r>
          <w:r>
            <w:fldChar w:fldCharType="begin"/>
          </w:r>
          <w:r>
            <w:instrText xml:space="preserve"> HYPERLINK \l "bookmark52" </w:instrText>
          </w:r>
          <w:r>
            <w:fldChar w:fldCharType="separate"/>
          </w:r>
          <w:r>
            <w:rPr>
              <w:rFonts w:ascii="微软雅黑" w:hAnsi="微软雅黑" w:eastAsia="微软雅黑" w:cs="微软雅黑"/>
              <w:sz w:val="22"/>
              <w:szCs w:val="22"/>
            </w:rPr>
            <w:t>安全培训机构未建立培训档案或者培训档案</w:t>
          </w:r>
          <w:r>
            <w:rPr>
              <w:rFonts w:ascii="微软雅黑" w:hAnsi="微软雅黑" w:eastAsia="微软雅黑" w:cs="微软雅黑"/>
              <w:spacing w:val="-1"/>
              <w:sz w:val="22"/>
              <w:szCs w:val="22"/>
            </w:rPr>
            <w:t>管理不规范的</w:t>
          </w:r>
          <w:r>
            <w:rPr>
              <w:rFonts w:ascii="微软雅黑" w:hAnsi="微软雅黑" w:eastAsia="微软雅黑" w:cs="微软雅黑"/>
              <w:sz w:val="22"/>
              <w:szCs w:val="22"/>
            </w:rPr>
            <w:tab/>
          </w:r>
          <w:r>
            <w:rPr>
              <w:rFonts w:ascii="宋体" w:hAnsi="宋体" w:eastAsia="宋体" w:cs="宋体"/>
              <w:spacing w:val="-4"/>
              <w:sz w:val="22"/>
              <w:szCs w:val="22"/>
            </w:rPr>
            <w:t>40</w:t>
          </w:r>
          <w:r>
            <w:rPr>
              <w:rFonts w:ascii="宋体" w:hAnsi="宋体" w:eastAsia="宋体" w:cs="宋体"/>
              <w:spacing w:val="-4"/>
              <w:sz w:val="22"/>
              <w:szCs w:val="22"/>
            </w:rPr>
            <w:fldChar w:fldCharType="end"/>
          </w:r>
        </w:p>
        <w:p w14:paraId="4DEC6FB6">
          <w:pPr>
            <w:tabs>
              <w:tab w:val="right" w:leader="dot" w:pos="8835"/>
            </w:tabs>
            <w:spacing w:line="216" w:lineRule="auto"/>
            <w:ind w:left="4"/>
            <w:rPr>
              <w:rFonts w:ascii="宋体" w:hAnsi="宋体" w:eastAsia="宋体" w:cs="宋体"/>
              <w:sz w:val="22"/>
              <w:szCs w:val="22"/>
            </w:rPr>
          </w:pPr>
          <w:bookmarkStart w:id="32" w:name="bookmark53"/>
          <w:bookmarkEnd w:id="32"/>
          <w:r>
            <w:rPr>
              <w:rFonts w:ascii="仿宋" w:hAnsi="仿宋" w:eastAsia="仿宋" w:cs="仿宋"/>
              <w:sz w:val="22"/>
              <w:szCs w:val="22"/>
            </w:rPr>
            <w:t>25</w:t>
          </w:r>
          <w:r>
            <w:rPr>
              <w:rFonts w:ascii="宋体" w:hAnsi="宋体" w:eastAsia="宋体" w:cs="宋体"/>
              <w:sz w:val="22"/>
              <w:szCs w:val="22"/>
            </w:rPr>
            <w:t>．</w:t>
          </w:r>
          <w:r>
            <w:fldChar w:fldCharType="begin"/>
          </w:r>
          <w:r>
            <w:instrText xml:space="preserve"> HYPERLINK \l "bookmark54" </w:instrText>
          </w:r>
          <w:r>
            <w:fldChar w:fldCharType="separate"/>
          </w:r>
          <w:r>
            <w:rPr>
              <w:rFonts w:ascii="微软雅黑" w:hAnsi="微软雅黑" w:eastAsia="微软雅黑" w:cs="微软雅黑"/>
              <w:sz w:val="22"/>
              <w:szCs w:val="22"/>
            </w:rPr>
            <w:t>安全培训机构采取不正当竞争手段，故意贬低、诋毁其他安</w:t>
          </w:r>
          <w:r>
            <w:rPr>
              <w:rFonts w:ascii="微软雅黑" w:hAnsi="微软雅黑" w:eastAsia="微软雅黑" w:cs="微软雅黑"/>
              <w:spacing w:val="-1"/>
              <w:sz w:val="22"/>
              <w:szCs w:val="22"/>
            </w:rPr>
            <w:t>全培训机构的</w:t>
          </w:r>
          <w:r>
            <w:rPr>
              <w:rFonts w:ascii="微软雅黑" w:hAnsi="微软雅黑" w:eastAsia="微软雅黑" w:cs="微软雅黑"/>
              <w:sz w:val="22"/>
              <w:szCs w:val="22"/>
            </w:rPr>
            <w:tab/>
          </w:r>
          <w:r>
            <w:rPr>
              <w:rFonts w:ascii="宋体" w:hAnsi="宋体" w:eastAsia="宋体" w:cs="宋体"/>
              <w:spacing w:val="-4"/>
              <w:sz w:val="22"/>
              <w:szCs w:val="22"/>
            </w:rPr>
            <w:t>41</w:t>
          </w:r>
          <w:r>
            <w:rPr>
              <w:rFonts w:ascii="宋体" w:hAnsi="宋体" w:eastAsia="宋体" w:cs="宋体"/>
              <w:spacing w:val="-4"/>
              <w:sz w:val="22"/>
              <w:szCs w:val="22"/>
            </w:rPr>
            <w:fldChar w:fldCharType="end"/>
          </w:r>
        </w:p>
        <w:p w14:paraId="35A99EFD">
          <w:pPr>
            <w:spacing w:line="410" w:lineRule="exact"/>
            <w:ind w:left="4"/>
            <w:rPr>
              <w:rFonts w:ascii="微软雅黑" w:hAnsi="微软雅黑" w:eastAsia="微软雅黑" w:cs="微软雅黑"/>
              <w:sz w:val="22"/>
              <w:szCs w:val="22"/>
            </w:rPr>
          </w:pPr>
          <w:bookmarkStart w:id="33" w:name="bookmark55"/>
          <w:bookmarkEnd w:id="33"/>
          <w:r>
            <w:rPr>
              <w:rFonts w:ascii="仿宋" w:hAnsi="仿宋" w:eastAsia="仿宋" w:cs="仿宋"/>
              <w:spacing w:val="1"/>
              <w:position w:val="5"/>
              <w:sz w:val="22"/>
              <w:szCs w:val="22"/>
            </w:rPr>
            <w:t>26</w:t>
          </w:r>
          <w:r>
            <w:rPr>
              <w:rFonts w:ascii="宋体" w:hAnsi="宋体" w:eastAsia="宋体" w:cs="宋体"/>
              <w:spacing w:val="1"/>
              <w:position w:val="5"/>
              <w:sz w:val="22"/>
              <w:szCs w:val="22"/>
            </w:rPr>
            <w:t>．</w:t>
          </w:r>
          <w:r>
            <w:fldChar w:fldCharType="begin"/>
          </w:r>
          <w:r>
            <w:instrText xml:space="preserve"> HYPERLINK \l "bookmark56" </w:instrText>
          </w:r>
          <w:r>
            <w:fldChar w:fldCharType="separate"/>
          </w:r>
          <w:r>
            <w:rPr>
              <w:rFonts w:ascii="微软雅黑" w:hAnsi="微软雅黑" w:eastAsia="微软雅黑" w:cs="微软雅黑"/>
              <w:spacing w:val="1"/>
              <w:position w:val="5"/>
              <w:sz w:val="22"/>
              <w:szCs w:val="22"/>
            </w:rPr>
            <w:t>生产经营单位特种作业人员未按规定经专门</w:t>
          </w:r>
          <w:r>
            <w:rPr>
              <w:rFonts w:ascii="微软雅黑" w:hAnsi="微软雅黑" w:eastAsia="微软雅黑" w:cs="微软雅黑"/>
              <w:position w:val="5"/>
              <w:sz w:val="22"/>
              <w:szCs w:val="22"/>
            </w:rPr>
            <w:t>的安全作业培训并取得相应资格，上岗作业</w:t>
          </w:r>
          <w:r>
            <w:rPr>
              <w:rFonts w:ascii="微软雅黑" w:hAnsi="微软雅黑" w:eastAsia="微软雅黑" w:cs="微软雅黑"/>
              <w:position w:val="5"/>
              <w:sz w:val="22"/>
              <w:szCs w:val="22"/>
            </w:rPr>
            <w:fldChar w:fldCharType="end"/>
          </w:r>
        </w:p>
        <w:p w14:paraId="6228F0AB">
          <w:pPr>
            <w:tabs>
              <w:tab w:val="right" w:leader="dot" w:pos="8822"/>
            </w:tabs>
            <w:spacing w:before="7" w:line="206" w:lineRule="auto"/>
            <w:ind w:left="27"/>
            <w:rPr>
              <w:rFonts w:ascii="宋体" w:hAnsi="宋体" w:eastAsia="宋体" w:cs="宋体"/>
              <w:sz w:val="22"/>
              <w:szCs w:val="22"/>
            </w:rPr>
          </w:pPr>
          <w:bookmarkStart w:id="34" w:name="bookmark55"/>
          <w:bookmarkEnd w:id="34"/>
          <w:r>
            <w:fldChar w:fldCharType="begin"/>
          </w:r>
          <w:r>
            <w:instrText xml:space="preserve"> HYPERLINK \l "bookmark55" </w:instrText>
          </w:r>
          <w:r>
            <w:fldChar w:fldCharType="separate"/>
          </w:r>
          <w:r>
            <w:rPr>
              <w:rFonts w:ascii="微软雅黑" w:hAnsi="微软雅黑" w:eastAsia="微软雅黑" w:cs="微软雅黑"/>
              <w:spacing w:val="-21"/>
              <w:w w:val="94"/>
              <w:sz w:val="22"/>
              <w:szCs w:val="22"/>
            </w:rPr>
            <w:t>的</w:t>
          </w:r>
          <w:r>
            <w:rPr>
              <w:rFonts w:ascii="微软雅黑" w:hAnsi="微软雅黑" w:eastAsia="微软雅黑" w:cs="微软雅黑"/>
              <w:sz w:val="22"/>
              <w:szCs w:val="22"/>
            </w:rPr>
            <w:tab/>
          </w:r>
          <w:r>
            <w:rPr>
              <w:rFonts w:ascii="宋体" w:hAnsi="宋体" w:eastAsia="宋体" w:cs="宋体"/>
              <w:spacing w:val="-4"/>
              <w:sz w:val="22"/>
              <w:szCs w:val="22"/>
            </w:rPr>
            <w:t>41</w:t>
          </w:r>
          <w:r>
            <w:rPr>
              <w:rFonts w:ascii="宋体" w:hAnsi="宋体" w:eastAsia="宋体" w:cs="宋体"/>
              <w:spacing w:val="-4"/>
              <w:sz w:val="22"/>
              <w:szCs w:val="22"/>
            </w:rPr>
            <w:fldChar w:fldCharType="end"/>
          </w:r>
        </w:p>
      </w:sdtContent>
    </w:sdt>
    <w:p w14:paraId="5185EFD3">
      <w:pPr>
        <w:spacing w:line="206" w:lineRule="auto"/>
        <w:rPr>
          <w:rFonts w:ascii="宋体" w:hAnsi="宋体" w:eastAsia="宋体" w:cs="宋体"/>
          <w:sz w:val="22"/>
          <w:szCs w:val="22"/>
        </w:rPr>
        <w:sectPr>
          <w:footerReference r:id="rId6" w:type="default"/>
          <w:pgSz w:w="11906" w:h="16839"/>
          <w:pgMar w:top="1431" w:right="1413" w:bottom="1112" w:left="1591" w:header="0" w:footer="837" w:gutter="0"/>
          <w:cols w:space="720" w:num="1"/>
        </w:sectPr>
      </w:pPr>
    </w:p>
    <w:p w14:paraId="15AE0B69">
      <w:pPr>
        <w:pStyle w:val="2"/>
        <w:spacing w:line="284" w:lineRule="auto"/>
      </w:pPr>
    </w:p>
    <w:p w14:paraId="3FA9F5EE">
      <w:pPr>
        <w:pStyle w:val="2"/>
        <w:spacing w:line="284" w:lineRule="auto"/>
      </w:pPr>
    </w:p>
    <w:sdt>
      <w:sdtPr>
        <w:rPr>
          <w:rFonts w:ascii="仿宋" w:hAnsi="仿宋" w:eastAsia="仿宋" w:cs="仿宋"/>
          <w:sz w:val="22"/>
          <w:szCs w:val="22"/>
        </w:rPr>
        <w:id w:val="147476914"/>
        <w:docPartObj>
          <w:docPartGallery w:val="Table of Contents"/>
          <w:docPartUnique/>
        </w:docPartObj>
      </w:sdtPr>
      <w:sdtEndPr>
        <w:rPr>
          <w:rFonts w:ascii="微软雅黑" w:hAnsi="微软雅黑" w:eastAsia="微软雅黑" w:cs="微软雅黑"/>
          <w:position w:val="2"/>
          <w:sz w:val="22"/>
          <w:szCs w:val="22"/>
        </w:rPr>
      </w:sdtEndPr>
      <w:sdtContent>
        <w:p w14:paraId="3C66D9E2">
          <w:pPr>
            <w:spacing w:before="95" w:line="410" w:lineRule="exact"/>
            <w:ind w:left="10"/>
            <w:rPr>
              <w:rFonts w:ascii="微软雅黑" w:hAnsi="微软雅黑" w:eastAsia="微软雅黑" w:cs="微软雅黑"/>
              <w:sz w:val="22"/>
              <w:szCs w:val="22"/>
            </w:rPr>
          </w:pPr>
          <w:bookmarkStart w:id="35" w:name="bookmark57"/>
          <w:bookmarkEnd w:id="35"/>
          <w:r>
            <w:rPr>
              <w:rFonts w:ascii="仿宋" w:hAnsi="仿宋" w:eastAsia="仿宋" w:cs="仿宋"/>
              <w:position w:val="5"/>
              <w:sz w:val="22"/>
              <w:szCs w:val="22"/>
            </w:rPr>
            <w:t>27</w:t>
          </w:r>
          <w:r>
            <w:rPr>
              <w:rFonts w:ascii="宋体" w:hAnsi="宋体" w:eastAsia="宋体" w:cs="宋体"/>
              <w:position w:val="5"/>
              <w:sz w:val="22"/>
              <w:szCs w:val="22"/>
            </w:rPr>
            <w:t>．</w:t>
          </w:r>
          <w:r>
            <w:fldChar w:fldCharType="begin"/>
          </w:r>
          <w:r>
            <w:instrText xml:space="preserve"> HYPERLINK \l "bookmark58" </w:instrText>
          </w:r>
          <w:r>
            <w:fldChar w:fldCharType="separate"/>
          </w:r>
          <w:r>
            <w:rPr>
              <w:rFonts w:ascii="微软雅黑" w:hAnsi="微软雅黑" w:eastAsia="微软雅黑" w:cs="微软雅黑"/>
              <w:position w:val="5"/>
              <w:sz w:val="22"/>
              <w:szCs w:val="22"/>
            </w:rPr>
            <w:t>生产经营单位非法印制、伪造、倒卖特种作业操作证，或者使用非法印制、伪造、倒卖</w:t>
          </w:r>
          <w:r>
            <w:rPr>
              <w:rFonts w:ascii="微软雅黑" w:hAnsi="微软雅黑" w:eastAsia="微软雅黑" w:cs="微软雅黑"/>
              <w:position w:val="5"/>
              <w:sz w:val="22"/>
              <w:szCs w:val="22"/>
            </w:rPr>
            <w:fldChar w:fldCharType="end"/>
          </w:r>
        </w:p>
        <w:p w14:paraId="12E00767">
          <w:pPr>
            <w:tabs>
              <w:tab w:val="right" w:leader="dot" w:pos="8832"/>
            </w:tabs>
            <w:spacing w:before="7" w:line="167" w:lineRule="auto"/>
            <w:ind w:left="32"/>
            <w:rPr>
              <w:rFonts w:ascii="宋体" w:hAnsi="宋体" w:eastAsia="宋体" w:cs="宋体"/>
              <w:sz w:val="22"/>
              <w:szCs w:val="22"/>
            </w:rPr>
          </w:pPr>
          <w:bookmarkStart w:id="36" w:name="bookmark57"/>
          <w:bookmarkEnd w:id="36"/>
          <w:r>
            <w:fldChar w:fldCharType="begin"/>
          </w:r>
          <w:r>
            <w:instrText xml:space="preserve"> HYPERLINK \l "bookmark57" </w:instrText>
          </w:r>
          <w:r>
            <w:fldChar w:fldCharType="separate"/>
          </w:r>
          <w:r>
            <w:rPr>
              <w:rFonts w:ascii="微软雅黑" w:hAnsi="微软雅黑" w:eastAsia="微软雅黑" w:cs="微软雅黑"/>
              <w:spacing w:val="-3"/>
              <w:sz w:val="22"/>
              <w:szCs w:val="22"/>
            </w:rPr>
            <w:t>的特种作业操作证的</w:t>
          </w:r>
          <w:r>
            <w:rPr>
              <w:rFonts w:ascii="微软雅黑" w:hAnsi="微软雅黑" w:eastAsia="微软雅黑" w:cs="微软雅黑"/>
              <w:sz w:val="22"/>
              <w:szCs w:val="22"/>
            </w:rPr>
            <w:tab/>
          </w:r>
          <w:r>
            <w:rPr>
              <w:rFonts w:ascii="宋体" w:hAnsi="宋体" w:eastAsia="宋体" w:cs="宋体"/>
              <w:spacing w:val="-4"/>
              <w:sz w:val="22"/>
              <w:szCs w:val="22"/>
            </w:rPr>
            <w:t>42</w:t>
          </w:r>
          <w:r>
            <w:rPr>
              <w:rFonts w:ascii="宋体" w:hAnsi="宋体" w:eastAsia="宋体" w:cs="宋体"/>
              <w:spacing w:val="-4"/>
              <w:sz w:val="22"/>
              <w:szCs w:val="22"/>
            </w:rPr>
            <w:fldChar w:fldCharType="end"/>
          </w:r>
        </w:p>
        <w:p w14:paraId="415B629A">
          <w:pPr>
            <w:spacing w:line="409" w:lineRule="exact"/>
            <w:ind w:left="10"/>
            <w:rPr>
              <w:rFonts w:ascii="微软雅黑" w:hAnsi="微软雅黑" w:eastAsia="微软雅黑" w:cs="微软雅黑"/>
              <w:sz w:val="22"/>
              <w:szCs w:val="22"/>
            </w:rPr>
          </w:pPr>
          <w:bookmarkStart w:id="37" w:name="bookmark59"/>
          <w:bookmarkEnd w:id="37"/>
          <w:r>
            <w:rPr>
              <w:rFonts w:ascii="仿宋" w:hAnsi="仿宋" w:eastAsia="仿宋" w:cs="仿宋"/>
              <w:spacing w:val="1"/>
              <w:position w:val="5"/>
              <w:sz w:val="22"/>
              <w:szCs w:val="22"/>
            </w:rPr>
            <w:t>28</w:t>
          </w:r>
          <w:r>
            <w:rPr>
              <w:rFonts w:ascii="宋体" w:hAnsi="宋体" w:eastAsia="宋体" w:cs="宋体"/>
              <w:spacing w:val="1"/>
              <w:position w:val="5"/>
              <w:sz w:val="22"/>
              <w:szCs w:val="22"/>
            </w:rPr>
            <w:t>．</w:t>
          </w:r>
          <w:r>
            <w:fldChar w:fldCharType="begin"/>
          </w:r>
          <w:r>
            <w:instrText xml:space="preserve"> HYPERLINK \l "bookmark60" </w:instrText>
          </w:r>
          <w:r>
            <w:fldChar w:fldCharType="separate"/>
          </w:r>
          <w:r>
            <w:rPr>
              <w:rFonts w:ascii="微软雅黑" w:hAnsi="微软雅黑" w:eastAsia="微软雅黑" w:cs="微软雅黑"/>
              <w:spacing w:val="1"/>
              <w:position w:val="5"/>
              <w:sz w:val="22"/>
              <w:szCs w:val="22"/>
            </w:rPr>
            <w:t>生产经营单位未按照规定对金属冶炼建设项</w:t>
          </w:r>
          <w:r>
            <w:rPr>
              <w:rFonts w:ascii="微软雅黑" w:hAnsi="微软雅黑" w:eastAsia="微软雅黑" w:cs="微软雅黑"/>
              <w:position w:val="5"/>
              <w:sz w:val="22"/>
              <w:szCs w:val="22"/>
            </w:rPr>
            <w:t>目或者用于生产、储存、装卸危险物品的建</w:t>
          </w:r>
          <w:r>
            <w:rPr>
              <w:rFonts w:ascii="微软雅黑" w:hAnsi="微软雅黑" w:eastAsia="微软雅黑" w:cs="微软雅黑"/>
              <w:position w:val="5"/>
              <w:sz w:val="22"/>
              <w:szCs w:val="22"/>
            </w:rPr>
            <w:fldChar w:fldCharType="end"/>
          </w:r>
        </w:p>
        <w:p w14:paraId="71CB9B74">
          <w:pPr>
            <w:tabs>
              <w:tab w:val="right" w:leader="dot" w:pos="8832"/>
            </w:tabs>
            <w:spacing w:before="7" w:line="167" w:lineRule="auto"/>
            <w:ind w:left="11"/>
            <w:rPr>
              <w:rFonts w:ascii="宋体" w:hAnsi="宋体" w:eastAsia="宋体" w:cs="宋体"/>
              <w:sz w:val="22"/>
              <w:szCs w:val="22"/>
            </w:rPr>
          </w:pPr>
          <w:bookmarkStart w:id="38" w:name="bookmark59"/>
          <w:bookmarkEnd w:id="38"/>
          <w:r>
            <w:fldChar w:fldCharType="begin"/>
          </w:r>
          <w:r>
            <w:instrText xml:space="preserve"> HYPERLINK \l "bookmark59" </w:instrText>
          </w:r>
          <w:r>
            <w:fldChar w:fldCharType="separate"/>
          </w:r>
          <w:r>
            <w:rPr>
              <w:rFonts w:ascii="微软雅黑" w:hAnsi="微软雅黑" w:eastAsia="微软雅黑" w:cs="微软雅黑"/>
              <w:spacing w:val="-1"/>
              <w:sz w:val="22"/>
              <w:szCs w:val="22"/>
            </w:rPr>
            <w:t>设项目进行安全评价的</w:t>
          </w:r>
          <w:r>
            <w:rPr>
              <w:rFonts w:ascii="微软雅黑" w:hAnsi="微软雅黑" w:eastAsia="微软雅黑" w:cs="微软雅黑"/>
              <w:sz w:val="22"/>
              <w:szCs w:val="22"/>
            </w:rPr>
            <w:tab/>
          </w:r>
          <w:r>
            <w:rPr>
              <w:rFonts w:ascii="宋体" w:hAnsi="宋体" w:eastAsia="宋体" w:cs="宋体"/>
              <w:spacing w:val="-4"/>
              <w:sz w:val="22"/>
              <w:szCs w:val="22"/>
            </w:rPr>
            <w:t>43</w:t>
          </w:r>
          <w:r>
            <w:rPr>
              <w:rFonts w:ascii="宋体" w:hAnsi="宋体" w:eastAsia="宋体" w:cs="宋体"/>
              <w:spacing w:val="-4"/>
              <w:sz w:val="22"/>
              <w:szCs w:val="22"/>
            </w:rPr>
            <w:fldChar w:fldCharType="end"/>
          </w:r>
        </w:p>
        <w:p w14:paraId="1470DF90">
          <w:pPr>
            <w:spacing w:line="409" w:lineRule="exact"/>
            <w:ind w:left="10"/>
            <w:rPr>
              <w:rFonts w:ascii="微软雅黑" w:hAnsi="微软雅黑" w:eastAsia="微软雅黑" w:cs="微软雅黑"/>
              <w:sz w:val="22"/>
              <w:szCs w:val="22"/>
            </w:rPr>
          </w:pPr>
          <w:bookmarkStart w:id="39" w:name="bookmark61"/>
          <w:bookmarkEnd w:id="39"/>
          <w:r>
            <w:rPr>
              <w:rFonts w:ascii="仿宋" w:hAnsi="仿宋" w:eastAsia="仿宋" w:cs="仿宋"/>
              <w:spacing w:val="1"/>
              <w:position w:val="5"/>
              <w:sz w:val="22"/>
              <w:szCs w:val="22"/>
            </w:rPr>
            <w:t>29</w:t>
          </w:r>
          <w:r>
            <w:rPr>
              <w:rFonts w:ascii="宋体" w:hAnsi="宋体" w:eastAsia="宋体" w:cs="宋体"/>
              <w:spacing w:val="1"/>
              <w:position w:val="5"/>
              <w:sz w:val="22"/>
              <w:szCs w:val="22"/>
            </w:rPr>
            <w:t>．</w:t>
          </w:r>
          <w:r>
            <w:fldChar w:fldCharType="begin"/>
          </w:r>
          <w:r>
            <w:instrText xml:space="preserve"> HYPERLINK \l "bookmark62" </w:instrText>
          </w:r>
          <w:r>
            <w:fldChar w:fldCharType="separate"/>
          </w:r>
          <w:r>
            <w:rPr>
              <w:rFonts w:ascii="微软雅黑" w:hAnsi="微软雅黑" w:eastAsia="微软雅黑" w:cs="微软雅黑"/>
              <w:spacing w:val="1"/>
              <w:position w:val="5"/>
              <w:sz w:val="22"/>
              <w:szCs w:val="22"/>
            </w:rPr>
            <w:t>金属冶炼建设项目或者用于生产、储存、装</w:t>
          </w:r>
          <w:r>
            <w:rPr>
              <w:rFonts w:ascii="微软雅黑" w:hAnsi="微软雅黑" w:eastAsia="微软雅黑" w:cs="微软雅黑"/>
              <w:position w:val="5"/>
              <w:sz w:val="22"/>
              <w:szCs w:val="22"/>
            </w:rPr>
            <w:t>卸危险物品的建设项目没有安全设施设计或</w:t>
          </w:r>
          <w:r>
            <w:rPr>
              <w:rFonts w:ascii="微软雅黑" w:hAnsi="微软雅黑" w:eastAsia="微软雅黑" w:cs="微软雅黑"/>
              <w:position w:val="5"/>
              <w:sz w:val="22"/>
              <w:szCs w:val="22"/>
            </w:rPr>
            <w:fldChar w:fldCharType="end"/>
          </w:r>
        </w:p>
        <w:p w14:paraId="431DE5AE">
          <w:pPr>
            <w:tabs>
              <w:tab w:val="right" w:leader="dot" w:pos="8837"/>
            </w:tabs>
            <w:spacing w:before="6" w:line="168" w:lineRule="auto"/>
            <w:ind w:left="14"/>
            <w:rPr>
              <w:rFonts w:ascii="宋体" w:hAnsi="宋体" w:eastAsia="宋体" w:cs="宋体"/>
              <w:sz w:val="22"/>
              <w:szCs w:val="22"/>
            </w:rPr>
          </w:pPr>
          <w:bookmarkStart w:id="40" w:name="bookmark61"/>
          <w:bookmarkEnd w:id="40"/>
          <w:r>
            <w:fldChar w:fldCharType="begin"/>
          </w:r>
          <w:r>
            <w:instrText xml:space="preserve"> HYPERLINK \l "bookmark61" </w:instrText>
          </w:r>
          <w:r>
            <w:fldChar w:fldCharType="separate"/>
          </w:r>
          <w:r>
            <w:rPr>
              <w:rFonts w:ascii="微软雅黑" w:hAnsi="微软雅黑" w:eastAsia="微软雅黑" w:cs="微软雅黑"/>
              <w:spacing w:val="-1"/>
              <w:sz w:val="22"/>
              <w:szCs w:val="22"/>
            </w:rPr>
            <w:t>者安全设施设计未按照规定报经有关部门审查同意的</w:t>
          </w:r>
          <w:r>
            <w:rPr>
              <w:rFonts w:ascii="微软雅黑" w:hAnsi="微软雅黑" w:eastAsia="微软雅黑" w:cs="微软雅黑"/>
              <w:sz w:val="22"/>
              <w:szCs w:val="22"/>
            </w:rPr>
            <w:tab/>
          </w:r>
          <w:r>
            <w:rPr>
              <w:rFonts w:ascii="宋体" w:hAnsi="宋体" w:eastAsia="宋体" w:cs="宋体"/>
              <w:spacing w:val="-4"/>
              <w:sz w:val="22"/>
              <w:szCs w:val="22"/>
            </w:rPr>
            <w:t>44</w:t>
          </w:r>
          <w:r>
            <w:rPr>
              <w:rFonts w:ascii="宋体" w:hAnsi="宋体" w:eastAsia="宋体" w:cs="宋体"/>
              <w:spacing w:val="-4"/>
              <w:sz w:val="22"/>
              <w:szCs w:val="22"/>
            </w:rPr>
            <w:fldChar w:fldCharType="end"/>
          </w:r>
        </w:p>
        <w:p w14:paraId="557A3C6C">
          <w:pPr>
            <w:spacing w:line="410" w:lineRule="exact"/>
            <w:ind w:left="12"/>
            <w:rPr>
              <w:rFonts w:ascii="微软雅黑" w:hAnsi="微软雅黑" w:eastAsia="微软雅黑" w:cs="微软雅黑"/>
              <w:sz w:val="22"/>
              <w:szCs w:val="22"/>
            </w:rPr>
          </w:pPr>
          <w:bookmarkStart w:id="41" w:name="bookmark63"/>
          <w:bookmarkEnd w:id="41"/>
          <w:r>
            <w:rPr>
              <w:rFonts w:ascii="仿宋" w:hAnsi="仿宋" w:eastAsia="仿宋" w:cs="仿宋"/>
              <w:spacing w:val="1"/>
              <w:position w:val="5"/>
              <w:sz w:val="22"/>
              <w:szCs w:val="22"/>
            </w:rPr>
            <w:t>30</w:t>
          </w:r>
          <w:r>
            <w:rPr>
              <w:rFonts w:ascii="宋体" w:hAnsi="宋体" w:eastAsia="宋体" w:cs="宋体"/>
              <w:spacing w:val="1"/>
              <w:position w:val="5"/>
              <w:sz w:val="22"/>
              <w:szCs w:val="22"/>
            </w:rPr>
            <w:t>．</w:t>
          </w:r>
          <w:r>
            <w:fldChar w:fldCharType="begin"/>
          </w:r>
          <w:r>
            <w:instrText xml:space="preserve"> HYPERLINK \l "bookmark64" </w:instrText>
          </w:r>
          <w:r>
            <w:fldChar w:fldCharType="separate"/>
          </w:r>
          <w:r>
            <w:rPr>
              <w:rFonts w:ascii="微软雅黑" w:hAnsi="微软雅黑" w:eastAsia="微软雅黑" w:cs="微软雅黑"/>
              <w:spacing w:val="1"/>
              <w:position w:val="5"/>
              <w:sz w:val="22"/>
              <w:szCs w:val="22"/>
            </w:rPr>
            <w:t>金属冶炼建设项目或者用于生产、储存、</w:t>
          </w:r>
          <w:r>
            <w:rPr>
              <w:rFonts w:ascii="微软雅黑" w:hAnsi="微软雅黑" w:eastAsia="微软雅黑" w:cs="微软雅黑"/>
              <w:position w:val="5"/>
              <w:sz w:val="22"/>
              <w:szCs w:val="22"/>
            </w:rPr>
            <w:t>装卸危险物品的建设项目的施工单位未按照批</w:t>
          </w:r>
          <w:r>
            <w:rPr>
              <w:rFonts w:ascii="微软雅黑" w:hAnsi="微软雅黑" w:eastAsia="微软雅黑" w:cs="微软雅黑"/>
              <w:position w:val="5"/>
              <w:sz w:val="22"/>
              <w:szCs w:val="22"/>
            </w:rPr>
            <w:fldChar w:fldCharType="end"/>
          </w:r>
        </w:p>
        <w:p w14:paraId="125C99A0">
          <w:pPr>
            <w:tabs>
              <w:tab w:val="right" w:leader="dot" w:pos="8832"/>
            </w:tabs>
            <w:spacing w:before="8" w:line="167" w:lineRule="auto"/>
            <w:ind w:left="16"/>
            <w:rPr>
              <w:rFonts w:ascii="宋体" w:hAnsi="宋体" w:eastAsia="宋体" w:cs="宋体"/>
              <w:sz w:val="22"/>
              <w:szCs w:val="22"/>
            </w:rPr>
          </w:pPr>
          <w:bookmarkStart w:id="42" w:name="bookmark63"/>
          <w:bookmarkEnd w:id="42"/>
          <w:r>
            <w:fldChar w:fldCharType="begin"/>
          </w:r>
          <w:r>
            <w:instrText xml:space="preserve"> HYPERLINK \l "bookmark63" </w:instrText>
          </w:r>
          <w:r>
            <w:fldChar w:fldCharType="separate"/>
          </w:r>
          <w:r>
            <w:rPr>
              <w:rFonts w:ascii="微软雅黑" w:hAnsi="微软雅黑" w:eastAsia="微软雅黑" w:cs="微软雅黑"/>
              <w:spacing w:val="-2"/>
              <w:sz w:val="22"/>
              <w:szCs w:val="22"/>
            </w:rPr>
            <w:t>准的安全设施设计施工的</w:t>
          </w:r>
          <w:r>
            <w:rPr>
              <w:rFonts w:ascii="微软雅黑" w:hAnsi="微软雅黑" w:eastAsia="微软雅黑" w:cs="微软雅黑"/>
              <w:sz w:val="22"/>
              <w:szCs w:val="22"/>
            </w:rPr>
            <w:tab/>
          </w:r>
          <w:r>
            <w:rPr>
              <w:rFonts w:ascii="宋体" w:hAnsi="宋体" w:eastAsia="宋体" w:cs="宋体"/>
              <w:spacing w:val="-4"/>
              <w:sz w:val="22"/>
              <w:szCs w:val="22"/>
            </w:rPr>
            <w:t>45</w:t>
          </w:r>
          <w:r>
            <w:rPr>
              <w:rFonts w:ascii="宋体" w:hAnsi="宋体" w:eastAsia="宋体" w:cs="宋体"/>
              <w:spacing w:val="-4"/>
              <w:sz w:val="22"/>
              <w:szCs w:val="22"/>
            </w:rPr>
            <w:fldChar w:fldCharType="end"/>
          </w:r>
        </w:p>
        <w:p w14:paraId="59264976">
          <w:pPr>
            <w:spacing w:line="409" w:lineRule="exact"/>
            <w:ind w:left="12"/>
            <w:rPr>
              <w:rFonts w:ascii="微软雅黑" w:hAnsi="微软雅黑" w:eastAsia="微软雅黑" w:cs="微软雅黑"/>
              <w:sz w:val="22"/>
              <w:szCs w:val="22"/>
            </w:rPr>
          </w:pPr>
          <w:bookmarkStart w:id="43" w:name="bookmark65"/>
          <w:bookmarkEnd w:id="43"/>
          <w:r>
            <w:rPr>
              <w:rFonts w:ascii="仿宋" w:hAnsi="仿宋" w:eastAsia="仿宋" w:cs="仿宋"/>
              <w:spacing w:val="1"/>
              <w:position w:val="5"/>
              <w:sz w:val="22"/>
              <w:szCs w:val="22"/>
            </w:rPr>
            <w:t>31</w:t>
          </w:r>
          <w:r>
            <w:rPr>
              <w:rFonts w:ascii="宋体" w:hAnsi="宋体" w:eastAsia="宋体" w:cs="宋体"/>
              <w:spacing w:val="1"/>
              <w:position w:val="5"/>
              <w:sz w:val="22"/>
              <w:szCs w:val="22"/>
            </w:rPr>
            <w:t>．</w:t>
          </w:r>
          <w:r>
            <w:fldChar w:fldCharType="begin"/>
          </w:r>
          <w:r>
            <w:instrText xml:space="preserve"> HYPERLINK \l "bookmark66" </w:instrText>
          </w:r>
          <w:r>
            <w:fldChar w:fldCharType="separate"/>
          </w:r>
          <w:r>
            <w:rPr>
              <w:rFonts w:ascii="微软雅黑" w:hAnsi="微软雅黑" w:eastAsia="微软雅黑" w:cs="微软雅黑"/>
              <w:spacing w:val="1"/>
              <w:position w:val="5"/>
              <w:sz w:val="22"/>
              <w:szCs w:val="22"/>
            </w:rPr>
            <w:t>金属冶炼建设项目或者用于生产、储存、</w:t>
          </w:r>
          <w:r>
            <w:rPr>
              <w:rFonts w:ascii="微软雅黑" w:hAnsi="微软雅黑" w:eastAsia="微软雅黑" w:cs="微软雅黑"/>
              <w:position w:val="5"/>
              <w:sz w:val="22"/>
              <w:szCs w:val="22"/>
            </w:rPr>
            <w:t>装卸危险物品的建设项目竣工投入生产或者使</w:t>
          </w:r>
          <w:r>
            <w:rPr>
              <w:rFonts w:ascii="微软雅黑" w:hAnsi="微软雅黑" w:eastAsia="微软雅黑" w:cs="微软雅黑"/>
              <w:position w:val="5"/>
              <w:sz w:val="22"/>
              <w:szCs w:val="22"/>
            </w:rPr>
            <w:fldChar w:fldCharType="end"/>
          </w:r>
        </w:p>
        <w:p w14:paraId="761CA7A0">
          <w:pPr>
            <w:tabs>
              <w:tab w:val="right" w:leader="dot" w:pos="8834"/>
            </w:tabs>
            <w:spacing w:before="8" w:line="167" w:lineRule="auto"/>
            <w:ind w:left="14"/>
            <w:rPr>
              <w:rFonts w:ascii="宋体" w:hAnsi="宋体" w:eastAsia="宋体" w:cs="宋体"/>
              <w:sz w:val="22"/>
              <w:szCs w:val="22"/>
            </w:rPr>
          </w:pPr>
          <w:bookmarkStart w:id="44" w:name="bookmark65"/>
          <w:bookmarkEnd w:id="44"/>
          <w:r>
            <w:fldChar w:fldCharType="begin"/>
          </w:r>
          <w:r>
            <w:instrText xml:space="preserve"> HYPERLINK \l "bookmark65" </w:instrText>
          </w:r>
          <w:r>
            <w:fldChar w:fldCharType="separate"/>
          </w:r>
          <w:r>
            <w:rPr>
              <w:rFonts w:ascii="微软雅黑" w:hAnsi="微软雅黑" w:eastAsia="微软雅黑" w:cs="微软雅黑"/>
              <w:spacing w:val="-1"/>
              <w:sz w:val="22"/>
              <w:szCs w:val="22"/>
            </w:rPr>
            <w:t>用前，安全设施未经验收合格的</w:t>
          </w:r>
          <w:r>
            <w:rPr>
              <w:rFonts w:ascii="微软雅黑" w:hAnsi="微软雅黑" w:eastAsia="微软雅黑" w:cs="微软雅黑"/>
              <w:sz w:val="22"/>
              <w:szCs w:val="22"/>
            </w:rPr>
            <w:tab/>
          </w:r>
          <w:r>
            <w:rPr>
              <w:rFonts w:ascii="宋体" w:hAnsi="宋体" w:eastAsia="宋体" w:cs="宋体"/>
              <w:spacing w:val="-4"/>
              <w:sz w:val="22"/>
              <w:szCs w:val="22"/>
            </w:rPr>
            <w:t>47</w:t>
          </w:r>
          <w:r>
            <w:rPr>
              <w:rFonts w:ascii="宋体" w:hAnsi="宋体" w:eastAsia="宋体" w:cs="宋体"/>
              <w:spacing w:val="-4"/>
              <w:sz w:val="22"/>
              <w:szCs w:val="22"/>
            </w:rPr>
            <w:fldChar w:fldCharType="end"/>
          </w:r>
        </w:p>
        <w:p w14:paraId="2CEE844F">
          <w:pPr>
            <w:spacing w:line="409" w:lineRule="exact"/>
            <w:ind w:left="12"/>
            <w:rPr>
              <w:rFonts w:ascii="微软雅黑" w:hAnsi="微软雅黑" w:eastAsia="微软雅黑" w:cs="微软雅黑"/>
              <w:sz w:val="22"/>
              <w:szCs w:val="22"/>
            </w:rPr>
          </w:pPr>
          <w:bookmarkStart w:id="45" w:name="bookmark67"/>
          <w:bookmarkEnd w:id="45"/>
          <w:r>
            <w:rPr>
              <w:rFonts w:ascii="仿宋" w:hAnsi="仿宋" w:eastAsia="仿宋" w:cs="仿宋"/>
              <w:spacing w:val="1"/>
              <w:position w:val="5"/>
              <w:sz w:val="22"/>
              <w:szCs w:val="22"/>
            </w:rPr>
            <w:t>32</w:t>
          </w:r>
          <w:r>
            <w:rPr>
              <w:rFonts w:ascii="宋体" w:hAnsi="宋体" w:eastAsia="宋体" w:cs="宋体"/>
              <w:spacing w:val="1"/>
              <w:position w:val="5"/>
              <w:sz w:val="22"/>
              <w:szCs w:val="22"/>
            </w:rPr>
            <w:t>．</w:t>
          </w:r>
          <w:r>
            <w:fldChar w:fldCharType="begin"/>
          </w:r>
          <w:r>
            <w:instrText xml:space="preserve"> HYPERLINK \l "bookmark68" </w:instrText>
          </w:r>
          <w:r>
            <w:fldChar w:fldCharType="separate"/>
          </w:r>
          <w:r>
            <w:rPr>
              <w:rFonts w:ascii="微软雅黑" w:hAnsi="微软雅黑" w:eastAsia="微软雅黑" w:cs="微软雅黑"/>
              <w:spacing w:val="1"/>
              <w:position w:val="5"/>
              <w:sz w:val="22"/>
              <w:szCs w:val="22"/>
            </w:rPr>
            <w:t>使用危险化学品从事生产并且使用量达到</w:t>
          </w:r>
          <w:r>
            <w:rPr>
              <w:rFonts w:ascii="微软雅黑" w:hAnsi="微软雅黑" w:eastAsia="微软雅黑" w:cs="微软雅黑"/>
              <w:position w:val="5"/>
              <w:sz w:val="22"/>
              <w:szCs w:val="22"/>
            </w:rPr>
            <w:t>规定数量的化工建设项目以及法律、行政法规</w:t>
          </w:r>
          <w:r>
            <w:rPr>
              <w:rFonts w:ascii="微软雅黑" w:hAnsi="微软雅黑" w:eastAsia="微软雅黑" w:cs="微软雅黑"/>
              <w:position w:val="5"/>
              <w:sz w:val="22"/>
              <w:szCs w:val="22"/>
            </w:rPr>
            <w:fldChar w:fldCharType="end"/>
          </w:r>
        </w:p>
        <w:p w14:paraId="56453840">
          <w:pPr>
            <w:tabs>
              <w:tab w:val="right" w:leader="dot" w:pos="8837"/>
            </w:tabs>
            <w:spacing w:before="7" w:line="168" w:lineRule="auto"/>
            <w:ind w:left="14"/>
            <w:rPr>
              <w:rFonts w:ascii="宋体" w:hAnsi="宋体" w:eastAsia="宋体" w:cs="宋体"/>
              <w:sz w:val="22"/>
              <w:szCs w:val="22"/>
            </w:rPr>
          </w:pPr>
          <w:bookmarkStart w:id="46" w:name="bookmark67"/>
          <w:bookmarkEnd w:id="46"/>
          <w:r>
            <w:fldChar w:fldCharType="begin"/>
          </w:r>
          <w:r>
            <w:instrText xml:space="preserve"> HYPERLINK \l "bookmark67" </w:instrText>
          </w:r>
          <w:r>
            <w:fldChar w:fldCharType="separate"/>
          </w:r>
          <w:r>
            <w:rPr>
              <w:rFonts w:ascii="微软雅黑" w:hAnsi="微软雅黑" w:eastAsia="微软雅黑" w:cs="微软雅黑"/>
              <w:spacing w:val="-1"/>
              <w:sz w:val="22"/>
              <w:szCs w:val="22"/>
            </w:rPr>
            <w:t>和国务院规定其他建设项目，没有安全设施设计的</w:t>
          </w:r>
          <w:r>
            <w:rPr>
              <w:rFonts w:ascii="微软雅黑" w:hAnsi="微软雅黑" w:eastAsia="微软雅黑" w:cs="微软雅黑"/>
              <w:sz w:val="22"/>
              <w:szCs w:val="22"/>
            </w:rPr>
            <w:tab/>
          </w:r>
          <w:r>
            <w:rPr>
              <w:rFonts w:ascii="宋体" w:hAnsi="宋体" w:eastAsia="宋体" w:cs="宋体"/>
              <w:spacing w:val="-4"/>
              <w:sz w:val="22"/>
              <w:szCs w:val="22"/>
            </w:rPr>
            <w:t>48</w:t>
          </w:r>
          <w:r>
            <w:rPr>
              <w:rFonts w:ascii="宋体" w:hAnsi="宋体" w:eastAsia="宋体" w:cs="宋体"/>
              <w:spacing w:val="-4"/>
              <w:sz w:val="22"/>
              <w:szCs w:val="22"/>
            </w:rPr>
            <w:fldChar w:fldCharType="end"/>
          </w:r>
        </w:p>
        <w:p w14:paraId="5FE9B05E">
          <w:pPr>
            <w:spacing w:line="409" w:lineRule="exact"/>
            <w:ind w:left="12"/>
            <w:rPr>
              <w:rFonts w:ascii="微软雅黑" w:hAnsi="微软雅黑" w:eastAsia="微软雅黑" w:cs="微软雅黑"/>
              <w:sz w:val="22"/>
              <w:szCs w:val="22"/>
            </w:rPr>
          </w:pPr>
          <w:bookmarkStart w:id="47" w:name="bookmark69"/>
          <w:bookmarkEnd w:id="47"/>
          <w:r>
            <w:rPr>
              <w:rFonts w:ascii="仿宋" w:hAnsi="仿宋" w:eastAsia="仿宋" w:cs="仿宋"/>
              <w:spacing w:val="1"/>
              <w:position w:val="5"/>
              <w:sz w:val="22"/>
              <w:szCs w:val="22"/>
            </w:rPr>
            <w:t>33</w:t>
          </w:r>
          <w:r>
            <w:rPr>
              <w:rFonts w:ascii="宋体" w:hAnsi="宋体" w:eastAsia="宋体" w:cs="宋体"/>
              <w:spacing w:val="1"/>
              <w:position w:val="5"/>
              <w:sz w:val="22"/>
              <w:szCs w:val="22"/>
            </w:rPr>
            <w:t>．</w:t>
          </w:r>
          <w:r>
            <w:fldChar w:fldCharType="begin"/>
          </w:r>
          <w:r>
            <w:instrText xml:space="preserve"> HYPERLINK \l "bookmark70" </w:instrText>
          </w:r>
          <w:r>
            <w:fldChar w:fldCharType="separate"/>
          </w:r>
          <w:r>
            <w:rPr>
              <w:rFonts w:ascii="微软雅黑" w:hAnsi="微软雅黑" w:eastAsia="微软雅黑" w:cs="微软雅黑"/>
              <w:spacing w:val="1"/>
              <w:position w:val="5"/>
              <w:sz w:val="22"/>
              <w:szCs w:val="22"/>
            </w:rPr>
            <w:t>使用危险化学品从事生产并且使用量达到</w:t>
          </w:r>
          <w:r>
            <w:rPr>
              <w:rFonts w:ascii="微软雅黑" w:hAnsi="微软雅黑" w:eastAsia="微软雅黑" w:cs="微软雅黑"/>
              <w:position w:val="5"/>
              <w:sz w:val="22"/>
              <w:szCs w:val="22"/>
            </w:rPr>
            <w:t>规定数量的化工建设项目以及法律、行政法规</w:t>
          </w:r>
          <w:r>
            <w:rPr>
              <w:rFonts w:ascii="微软雅黑" w:hAnsi="微软雅黑" w:eastAsia="微软雅黑" w:cs="微软雅黑"/>
              <w:position w:val="5"/>
              <w:sz w:val="22"/>
              <w:szCs w:val="22"/>
            </w:rPr>
            <w:fldChar w:fldCharType="end"/>
          </w:r>
        </w:p>
        <w:p w14:paraId="5EC80B7E">
          <w:pPr>
            <w:tabs>
              <w:tab w:val="right" w:leader="dot" w:pos="8842"/>
            </w:tabs>
            <w:spacing w:before="8" w:line="167" w:lineRule="auto"/>
            <w:ind w:left="14"/>
            <w:rPr>
              <w:rFonts w:ascii="宋体" w:hAnsi="宋体" w:eastAsia="宋体" w:cs="宋体"/>
              <w:sz w:val="22"/>
              <w:szCs w:val="22"/>
            </w:rPr>
          </w:pPr>
          <w:bookmarkStart w:id="48" w:name="bookmark69"/>
          <w:bookmarkEnd w:id="48"/>
          <w:r>
            <w:fldChar w:fldCharType="begin"/>
          </w:r>
          <w:r>
            <w:instrText xml:space="preserve"> HYPERLINK \l "bookmark69" </w:instrText>
          </w:r>
          <w:r>
            <w:fldChar w:fldCharType="separate"/>
          </w:r>
          <w:r>
            <w:rPr>
              <w:rFonts w:ascii="微软雅黑" w:hAnsi="微软雅黑" w:eastAsia="微软雅黑" w:cs="微软雅黑"/>
              <w:sz w:val="22"/>
              <w:szCs w:val="22"/>
            </w:rPr>
            <w:t>和国务院规定其他建设项目，安全设施设计未组织审查</w:t>
          </w:r>
          <w:r>
            <w:rPr>
              <w:rFonts w:ascii="微软雅黑" w:hAnsi="微软雅黑" w:eastAsia="微软雅黑" w:cs="微软雅黑"/>
              <w:spacing w:val="-1"/>
              <w:sz w:val="22"/>
              <w:szCs w:val="22"/>
            </w:rPr>
            <w:t>，并形成书面审查报告的</w:t>
          </w:r>
          <w:r>
            <w:rPr>
              <w:rFonts w:ascii="微软雅黑" w:hAnsi="微软雅黑" w:eastAsia="微软雅黑" w:cs="微软雅黑"/>
              <w:sz w:val="22"/>
              <w:szCs w:val="22"/>
            </w:rPr>
            <w:tab/>
          </w:r>
          <w:r>
            <w:rPr>
              <w:rFonts w:ascii="宋体" w:hAnsi="宋体" w:eastAsia="宋体" w:cs="宋体"/>
              <w:spacing w:val="-5"/>
              <w:sz w:val="22"/>
              <w:szCs w:val="22"/>
            </w:rPr>
            <w:t>48</w:t>
          </w:r>
          <w:r>
            <w:rPr>
              <w:rFonts w:ascii="宋体" w:hAnsi="宋体" w:eastAsia="宋体" w:cs="宋体"/>
              <w:spacing w:val="-5"/>
              <w:sz w:val="22"/>
              <w:szCs w:val="22"/>
            </w:rPr>
            <w:fldChar w:fldCharType="end"/>
          </w:r>
        </w:p>
        <w:p w14:paraId="7910717A">
          <w:pPr>
            <w:spacing w:line="409" w:lineRule="exact"/>
            <w:ind w:left="12"/>
            <w:rPr>
              <w:rFonts w:ascii="微软雅黑" w:hAnsi="微软雅黑" w:eastAsia="微软雅黑" w:cs="微软雅黑"/>
              <w:sz w:val="22"/>
              <w:szCs w:val="22"/>
            </w:rPr>
          </w:pPr>
          <w:bookmarkStart w:id="49" w:name="bookmark71"/>
          <w:bookmarkEnd w:id="49"/>
          <w:r>
            <w:rPr>
              <w:rFonts w:ascii="仿宋" w:hAnsi="仿宋" w:eastAsia="仿宋" w:cs="仿宋"/>
              <w:spacing w:val="1"/>
              <w:position w:val="5"/>
              <w:sz w:val="22"/>
              <w:szCs w:val="22"/>
            </w:rPr>
            <w:t>34</w:t>
          </w:r>
          <w:r>
            <w:rPr>
              <w:rFonts w:ascii="宋体" w:hAnsi="宋体" w:eastAsia="宋体" w:cs="宋体"/>
              <w:spacing w:val="1"/>
              <w:position w:val="5"/>
              <w:sz w:val="22"/>
              <w:szCs w:val="22"/>
            </w:rPr>
            <w:t>．</w:t>
          </w:r>
          <w:r>
            <w:fldChar w:fldCharType="begin"/>
          </w:r>
          <w:r>
            <w:instrText xml:space="preserve"> HYPERLINK \l "bookmark72" </w:instrText>
          </w:r>
          <w:r>
            <w:fldChar w:fldCharType="separate"/>
          </w:r>
          <w:r>
            <w:rPr>
              <w:rFonts w:ascii="微软雅黑" w:hAnsi="微软雅黑" w:eastAsia="微软雅黑" w:cs="微软雅黑"/>
              <w:spacing w:val="1"/>
              <w:position w:val="5"/>
              <w:sz w:val="22"/>
              <w:szCs w:val="22"/>
            </w:rPr>
            <w:t>使用危险化学品从事生产并且使用量达到</w:t>
          </w:r>
          <w:r>
            <w:rPr>
              <w:rFonts w:ascii="微软雅黑" w:hAnsi="微软雅黑" w:eastAsia="微软雅黑" w:cs="微软雅黑"/>
              <w:position w:val="5"/>
              <w:sz w:val="22"/>
              <w:szCs w:val="22"/>
            </w:rPr>
            <w:t>规定数量的化工建设项目以及法律、行政法规</w:t>
          </w:r>
          <w:r>
            <w:rPr>
              <w:rFonts w:ascii="微软雅黑" w:hAnsi="微软雅黑" w:eastAsia="微软雅黑" w:cs="微软雅黑"/>
              <w:position w:val="5"/>
              <w:sz w:val="22"/>
              <w:szCs w:val="22"/>
            </w:rPr>
            <w:fldChar w:fldCharType="end"/>
          </w:r>
        </w:p>
        <w:p w14:paraId="0FA2D009">
          <w:pPr>
            <w:tabs>
              <w:tab w:val="right" w:leader="dot" w:pos="8839"/>
            </w:tabs>
            <w:spacing w:before="8" w:line="167" w:lineRule="auto"/>
            <w:ind w:left="14"/>
            <w:rPr>
              <w:rFonts w:ascii="宋体" w:hAnsi="宋体" w:eastAsia="宋体" w:cs="宋体"/>
              <w:sz w:val="22"/>
              <w:szCs w:val="22"/>
            </w:rPr>
          </w:pPr>
          <w:bookmarkStart w:id="50" w:name="bookmark71"/>
          <w:bookmarkEnd w:id="50"/>
          <w:r>
            <w:fldChar w:fldCharType="begin"/>
          </w:r>
          <w:r>
            <w:instrText xml:space="preserve"> HYPERLINK \l "bookmark71" </w:instrText>
          </w:r>
          <w:r>
            <w:fldChar w:fldCharType="separate"/>
          </w:r>
          <w:r>
            <w:rPr>
              <w:rFonts w:ascii="微软雅黑" w:hAnsi="微软雅黑" w:eastAsia="微软雅黑" w:cs="微软雅黑"/>
              <w:spacing w:val="-1"/>
              <w:sz w:val="22"/>
              <w:szCs w:val="22"/>
            </w:rPr>
            <w:t>和国务院规定其他建设项目，施工单位未按照安全设施设计施工的</w:t>
          </w:r>
          <w:r>
            <w:rPr>
              <w:rFonts w:ascii="微软雅黑" w:hAnsi="微软雅黑" w:eastAsia="微软雅黑" w:cs="微软雅黑"/>
              <w:sz w:val="22"/>
              <w:szCs w:val="22"/>
            </w:rPr>
            <w:tab/>
          </w:r>
          <w:r>
            <w:rPr>
              <w:rFonts w:ascii="宋体" w:hAnsi="宋体" w:eastAsia="宋体" w:cs="宋体"/>
              <w:spacing w:val="-4"/>
              <w:sz w:val="22"/>
              <w:szCs w:val="22"/>
            </w:rPr>
            <w:t>49</w:t>
          </w:r>
          <w:r>
            <w:rPr>
              <w:rFonts w:ascii="宋体" w:hAnsi="宋体" w:eastAsia="宋体" w:cs="宋体"/>
              <w:spacing w:val="-4"/>
              <w:sz w:val="22"/>
              <w:szCs w:val="22"/>
            </w:rPr>
            <w:fldChar w:fldCharType="end"/>
          </w:r>
        </w:p>
        <w:p w14:paraId="20E0A813">
          <w:pPr>
            <w:spacing w:line="410" w:lineRule="exact"/>
            <w:ind w:left="12"/>
            <w:rPr>
              <w:rFonts w:ascii="微软雅黑" w:hAnsi="微软雅黑" w:eastAsia="微软雅黑" w:cs="微软雅黑"/>
              <w:sz w:val="22"/>
              <w:szCs w:val="22"/>
            </w:rPr>
          </w:pPr>
          <w:bookmarkStart w:id="51" w:name="bookmark73"/>
          <w:bookmarkEnd w:id="51"/>
          <w:r>
            <w:rPr>
              <w:rFonts w:ascii="仿宋" w:hAnsi="仿宋" w:eastAsia="仿宋" w:cs="仿宋"/>
              <w:spacing w:val="1"/>
              <w:position w:val="5"/>
              <w:sz w:val="22"/>
              <w:szCs w:val="22"/>
            </w:rPr>
            <w:t>35</w:t>
          </w:r>
          <w:r>
            <w:rPr>
              <w:rFonts w:ascii="宋体" w:hAnsi="宋体" w:eastAsia="宋体" w:cs="宋体"/>
              <w:spacing w:val="1"/>
              <w:position w:val="5"/>
              <w:sz w:val="22"/>
              <w:szCs w:val="22"/>
            </w:rPr>
            <w:t>．</w:t>
          </w:r>
          <w:r>
            <w:fldChar w:fldCharType="begin"/>
          </w:r>
          <w:r>
            <w:instrText xml:space="preserve"> HYPERLINK \l "bookmark74" </w:instrText>
          </w:r>
          <w:r>
            <w:fldChar w:fldCharType="separate"/>
          </w:r>
          <w:r>
            <w:rPr>
              <w:rFonts w:ascii="微软雅黑" w:hAnsi="微软雅黑" w:eastAsia="微软雅黑" w:cs="微软雅黑"/>
              <w:spacing w:val="1"/>
              <w:position w:val="5"/>
              <w:sz w:val="22"/>
              <w:szCs w:val="22"/>
            </w:rPr>
            <w:t>使用危险化学品从事生产并且使用量达到</w:t>
          </w:r>
          <w:r>
            <w:rPr>
              <w:rFonts w:ascii="微软雅黑" w:hAnsi="微软雅黑" w:eastAsia="微软雅黑" w:cs="微软雅黑"/>
              <w:position w:val="5"/>
              <w:sz w:val="22"/>
              <w:szCs w:val="22"/>
            </w:rPr>
            <w:t>规定数量的化工建设项目以及法律、行政法规</w:t>
          </w:r>
          <w:r>
            <w:rPr>
              <w:rFonts w:ascii="微软雅黑" w:hAnsi="微软雅黑" w:eastAsia="微软雅黑" w:cs="微软雅黑"/>
              <w:position w:val="5"/>
              <w:sz w:val="22"/>
              <w:szCs w:val="22"/>
            </w:rPr>
            <w:fldChar w:fldCharType="end"/>
          </w:r>
        </w:p>
        <w:p w14:paraId="5EB0E1D9">
          <w:pPr>
            <w:spacing w:before="6" w:line="202" w:lineRule="auto"/>
            <w:ind w:left="14"/>
            <w:rPr>
              <w:rFonts w:ascii="微软雅黑" w:hAnsi="微软雅黑" w:eastAsia="微软雅黑" w:cs="微软雅黑"/>
              <w:sz w:val="22"/>
              <w:szCs w:val="22"/>
            </w:rPr>
          </w:pPr>
          <w:bookmarkStart w:id="52" w:name="bookmark73"/>
          <w:bookmarkEnd w:id="52"/>
          <w:r>
            <w:fldChar w:fldCharType="begin"/>
          </w:r>
          <w:r>
            <w:instrText xml:space="preserve"> HYPERLINK \l "bookmark73" </w:instrText>
          </w:r>
          <w:r>
            <w:fldChar w:fldCharType="separate"/>
          </w:r>
          <w:r>
            <w:rPr>
              <w:rFonts w:ascii="微软雅黑" w:hAnsi="微软雅黑" w:eastAsia="微软雅黑" w:cs="微软雅黑"/>
              <w:sz w:val="22"/>
              <w:szCs w:val="22"/>
            </w:rPr>
            <w:t>和国务院规定其他建设项目，投入生产或者使用前，安全设施未经竣工验收合格，并形成书</w:t>
          </w:r>
          <w:r>
            <w:rPr>
              <w:rFonts w:ascii="微软雅黑" w:hAnsi="微软雅黑" w:eastAsia="微软雅黑" w:cs="微软雅黑"/>
              <w:sz w:val="22"/>
              <w:szCs w:val="22"/>
            </w:rPr>
            <w:fldChar w:fldCharType="end"/>
          </w:r>
        </w:p>
        <w:p w14:paraId="4D74D871">
          <w:pPr>
            <w:tabs>
              <w:tab w:val="right" w:leader="dot" w:pos="8830"/>
            </w:tabs>
            <w:spacing w:before="24" w:line="167" w:lineRule="auto"/>
            <w:ind w:left="20"/>
            <w:rPr>
              <w:rFonts w:ascii="宋体" w:hAnsi="宋体" w:eastAsia="宋体" w:cs="宋体"/>
              <w:sz w:val="22"/>
              <w:szCs w:val="22"/>
            </w:rPr>
          </w:pPr>
          <w:bookmarkStart w:id="53" w:name="bookmark73"/>
          <w:bookmarkEnd w:id="53"/>
          <w:r>
            <w:fldChar w:fldCharType="begin"/>
          </w:r>
          <w:r>
            <w:instrText xml:space="preserve"> HYPERLINK \l "bookmark73" </w:instrText>
          </w:r>
          <w:r>
            <w:fldChar w:fldCharType="separate"/>
          </w:r>
          <w:r>
            <w:rPr>
              <w:rFonts w:ascii="微软雅黑" w:hAnsi="微软雅黑" w:eastAsia="微软雅黑" w:cs="微软雅黑"/>
              <w:spacing w:val="-4"/>
              <w:sz w:val="22"/>
              <w:szCs w:val="22"/>
            </w:rPr>
            <w:t>面报告的</w:t>
          </w:r>
          <w:r>
            <w:rPr>
              <w:rFonts w:ascii="微软雅黑" w:hAnsi="微软雅黑" w:eastAsia="微软雅黑" w:cs="微软雅黑"/>
              <w:sz w:val="22"/>
              <w:szCs w:val="22"/>
            </w:rPr>
            <w:tab/>
          </w:r>
          <w:r>
            <w:rPr>
              <w:rFonts w:ascii="宋体" w:hAnsi="宋体" w:eastAsia="宋体" w:cs="宋体"/>
              <w:spacing w:val="-4"/>
              <w:sz w:val="22"/>
              <w:szCs w:val="22"/>
            </w:rPr>
            <w:t>49</w:t>
          </w:r>
          <w:r>
            <w:rPr>
              <w:rFonts w:ascii="宋体" w:hAnsi="宋体" w:eastAsia="宋体" w:cs="宋体"/>
              <w:spacing w:val="-4"/>
              <w:sz w:val="22"/>
              <w:szCs w:val="22"/>
            </w:rPr>
            <w:fldChar w:fldCharType="end"/>
          </w:r>
        </w:p>
        <w:p w14:paraId="036708A7">
          <w:pPr>
            <w:spacing w:line="409" w:lineRule="exact"/>
            <w:ind w:left="12"/>
            <w:rPr>
              <w:rFonts w:ascii="微软雅黑" w:hAnsi="微软雅黑" w:eastAsia="微软雅黑" w:cs="微软雅黑"/>
              <w:sz w:val="22"/>
              <w:szCs w:val="22"/>
            </w:rPr>
          </w:pPr>
          <w:bookmarkStart w:id="54" w:name="bookmark75"/>
          <w:bookmarkEnd w:id="54"/>
          <w:r>
            <w:rPr>
              <w:rFonts w:ascii="仿宋" w:hAnsi="仿宋" w:eastAsia="仿宋" w:cs="仿宋"/>
              <w:spacing w:val="1"/>
              <w:position w:val="5"/>
              <w:sz w:val="22"/>
              <w:szCs w:val="22"/>
            </w:rPr>
            <w:t>36</w:t>
          </w:r>
          <w:r>
            <w:rPr>
              <w:rFonts w:ascii="宋体" w:hAnsi="宋体" w:eastAsia="宋体" w:cs="宋体"/>
              <w:spacing w:val="1"/>
              <w:position w:val="5"/>
              <w:sz w:val="22"/>
              <w:szCs w:val="22"/>
            </w:rPr>
            <w:t>．</w:t>
          </w:r>
          <w:r>
            <w:fldChar w:fldCharType="begin"/>
          </w:r>
          <w:r>
            <w:instrText xml:space="preserve"> HYPERLINK \l "bookmark76" </w:instrText>
          </w:r>
          <w:r>
            <w:fldChar w:fldCharType="separate"/>
          </w:r>
          <w:r>
            <w:rPr>
              <w:rFonts w:ascii="微软雅黑" w:hAnsi="微软雅黑" w:eastAsia="微软雅黑" w:cs="微软雅黑"/>
              <w:spacing w:val="1"/>
              <w:position w:val="5"/>
              <w:sz w:val="22"/>
              <w:szCs w:val="22"/>
            </w:rPr>
            <w:t>已经批准的建设项目安全设施设计发生重</w:t>
          </w:r>
          <w:r>
            <w:rPr>
              <w:rFonts w:ascii="微软雅黑" w:hAnsi="微软雅黑" w:eastAsia="微软雅黑" w:cs="微软雅黑"/>
              <w:position w:val="5"/>
              <w:sz w:val="22"/>
              <w:szCs w:val="22"/>
            </w:rPr>
            <w:t>大变更，生产经营单位未报原批准部门审查同</w:t>
          </w:r>
          <w:r>
            <w:rPr>
              <w:rFonts w:ascii="微软雅黑" w:hAnsi="微软雅黑" w:eastAsia="微软雅黑" w:cs="微软雅黑"/>
              <w:position w:val="5"/>
              <w:sz w:val="22"/>
              <w:szCs w:val="22"/>
            </w:rPr>
            <w:fldChar w:fldCharType="end"/>
          </w:r>
        </w:p>
        <w:p w14:paraId="46291389">
          <w:pPr>
            <w:tabs>
              <w:tab w:val="right" w:leader="dot" w:pos="8832"/>
            </w:tabs>
            <w:spacing w:before="7" w:line="168" w:lineRule="auto"/>
            <w:ind w:left="21"/>
            <w:rPr>
              <w:rFonts w:ascii="宋体" w:hAnsi="宋体" w:eastAsia="宋体" w:cs="宋体"/>
              <w:sz w:val="22"/>
              <w:szCs w:val="22"/>
            </w:rPr>
          </w:pPr>
          <w:bookmarkStart w:id="55" w:name="bookmark75"/>
          <w:bookmarkEnd w:id="55"/>
          <w:r>
            <w:fldChar w:fldCharType="begin"/>
          </w:r>
          <w:r>
            <w:instrText xml:space="preserve"> HYPERLINK \l "bookmark75" </w:instrText>
          </w:r>
          <w:r>
            <w:fldChar w:fldCharType="separate"/>
          </w:r>
          <w:r>
            <w:rPr>
              <w:rFonts w:ascii="微软雅黑" w:hAnsi="微软雅黑" w:eastAsia="微软雅黑" w:cs="微软雅黑"/>
              <w:spacing w:val="-2"/>
              <w:sz w:val="22"/>
              <w:szCs w:val="22"/>
            </w:rPr>
            <w:t>意擅自开工建设的</w:t>
          </w:r>
          <w:r>
            <w:rPr>
              <w:rFonts w:ascii="微软雅黑" w:hAnsi="微软雅黑" w:eastAsia="微软雅黑" w:cs="微软雅黑"/>
              <w:sz w:val="22"/>
              <w:szCs w:val="22"/>
            </w:rPr>
            <w:tab/>
          </w:r>
          <w:r>
            <w:rPr>
              <w:rFonts w:ascii="宋体" w:hAnsi="宋体" w:eastAsia="宋体" w:cs="宋体"/>
              <w:spacing w:val="-7"/>
              <w:sz w:val="22"/>
              <w:szCs w:val="22"/>
            </w:rPr>
            <w:t>50</w:t>
          </w:r>
          <w:r>
            <w:rPr>
              <w:rFonts w:ascii="宋体" w:hAnsi="宋体" w:eastAsia="宋体" w:cs="宋体"/>
              <w:spacing w:val="-7"/>
              <w:sz w:val="22"/>
              <w:szCs w:val="22"/>
            </w:rPr>
            <w:fldChar w:fldCharType="end"/>
          </w:r>
        </w:p>
        <w:p w14:paraId="173119FE">
          <w:pPr>
            <w:spacing w:line="411" w:lineRule="exact"/>
            <w:ind w:left="12"/>
            <w:rPr>
              <w:rFonts w:ascii="微软雅黑" w:hAnsi="微软雅黑" w:eastAsia="微软雅黑" w:cs="微软雅黑"/>
              <w:sz w:val="22"/>
              <w:szCs w:val="22"/>
            </w:rPr>
          </w:pPr>
          <w:bookmarkStart w:id="56" w:name="bookmark77"/>
          <w:bookmarkEnd w:id="56"/>
          <w:r>
            <w:rPr>
              <w:rFonts w:ascii="仿宋" w:hAnsi="仿宋" w:eastAsia="仿宋" w:cs="仿宋"/>
              <w:spacing w:val="1"/>
              <w:position w:val="5"/>
              <w:sz w:val="22"/>
              <w:szCs w:val="22"/>
            </w:rPr>
            <w:t>37</w:t>
          </w:r>
          <w:r>
            <w:rPr>
              <w:rFonts w:ascii="宋体" w:hAnsi="宋体" w:eastAsia="宋体" w:cs="宋体"/>
              <w:spacing w:val="1"/>
              <w:position w:val="5"/>
              <w:sz w:val="22"/>
              <w:szCs w:val="22"/>
            </w:rPr>
            <w:t>．</w:t>
          </w:r>
          <w:r>
            <w:fldChar w:fldCharType="begin"/>
          </w:r>
          <w:r>
            <w:instrText xml:space="preserve"> HYPERLINK \l "bookmark78" </w:instrText>
          </w:r>
          <w:r>
            <w:fldChar w:fldCharType="separate"/>
          </w:r>
          <w:r>
            <w:rPr>
              <w:rFonts w:ascii="微软雅黑" w:hAnsi="微软雅黑" w:eastAsia="微软雅黑" w:cs="微软雅黑"/>
              <w:spacing w:val="1"/>
              <w:position w:val="5"/>
              <w:sz w:val="22"/>
              <w:szCs w:val="22"/>
            </w:rPr>
            <w:t>生产经营单位未在有较大危险因素的生产</w:t>
          </w:r>
          <w:r>
            <w:rPr>
              <w:rFonts w:ascii="微软雅黑" w:hAnsi="微软雅黑" w:eastAsia="微软雅黑" w:cs="微软雅黑"/>
              <w:position w:val="5"/>
              <w:sz w:val="22"/>
              <w:szCs w:val="22"/>
            </w:rPr>
            <w:t>经营场所和有关设施、设备上设置明显的安全</w:t>
          </w:r>
          <w:r>
            <w:rPr>
              <w:rFonts w:ascii="微软雅黑" w:hAnsi="微软雅黑" w:eastAsia="微软雅黑" w:cs="微软雅黑"/>
              <w:position w:val="5"/>
              <w:sz w:val="22"/>
              <w:szCs w:val="22"/>
            </w:rPr>
            <w:fldChar w:fldCharType="end"/>
          </w:r>
        </w:p>
        <w:p w14:paraId="0D9E81C5">
          <w:pPr>
            <w:tabs>
              <w:tab w:val="right" w:leader="dot" w:pos="8830"/>
            </w:tabs>
            <w:spacing w:before="6" w:line="167" w:lineRule="auto"/>
            <w:ind w:left="13"/>
            <w:rPr>
              <w:rFonts w:ascii="宋体" w:hAnsi="宋体" w:eastAsia="宋体" w:cs="宋体"/>
              <w:sz w:val="22"/>
              <w:szCs w:val="22"/>
            </w:rPr>
          </w:pPr>
          <w:bookmarkStart w:id="57" w:name="bookmark77"/>
          <w:bookmarkEnd w:id="57"/>
          <w:r>
            <w:fldChar w:fldCharType="begin"/>
          </w:r>
          <w:r>
            <w:instrText xml:space="preserve"> HYPERLINK \l "bookmark77" </w:instrText>
          </w:r>
          <w:r>
            <w:fldChar w:fldCharType="separate"/>
          </w:r>
          <w:r>
            <w:rPr>
              <w:rFonts w:ascii="微软雅黑" w:hAnsi="微软雅黑" w:eastAsia="微软雅黑" w:cs="微软雅黑"/>
              <w:spacing w:val="-2"/>
              <w:sz w:val="22"/>
              <w:szCs w:val="22"/>
            </w:rPr>
            <w:t>警示标志的</w:t>
          </w:r>
          <w:r>
            <w:rPr>
              <w:rFonts w:ascii="微软雅黑" w:hAnsi="微软雅黑" w:eastAsia="微软雅黑" w:cs="微软雅黑"/>
              <w:sz w:val="22"/>
              <w:szCs w:val="22"/>
            </w:rPr>
            <w:tab/>
          </w:r>
          <w:r>
            <w:rPr>
              <w:rFonts w:ascii="宋体" w:hAnsi="宋体" w:eastAsia="宋体" w:cs="宋体"/>
              <w:spacing w:val="-7"/>
              <w:sz w:val="22"/>
              <w:szCs w:val="22"/>
            </w:rPr>
            <w:t>50</w:t>
          </w:r>
          <w:r>
            <w:rPr>
              <w:rFonts w:ascii="宋体" w:hAnsi="宋体" w:eastAsia="宋体" w:cs="宋体"/>
              <w:spacing w:val="-7"/>
              <w:sz w:val="22"/>
              <w:szCs w:val="22"/>
            </w:rPr>
            <w:fldChar w:fldCharType="end"/>
          </w:r>
        </w:p>
        <w:p w14:paraId="2956CB3A">
          <w:pPr>
            <w:spacing w:line="410" w:lineRule="exact"/>
            <w:ind w:left="12"/>
            <w:rPr>
              <w:rFonts w:ascii="微软雅黑" w:hAnsi="微软雅黑" w:eastAsia="微软雅黑" w:cs="微软雅黑"/>
              <w:sz w:val="22"/>
              <w:szCs w:val="22"/>
            </w:rPr>
          </w:pPr>
          <w:bookmarkStart w:id="58" w:name="bookmark79"/>
          <w:bookmarkEnd w:id="58"/>
          <w:r>
            <w:rPr>
              <w:rFonts w:ascii="仿宋" w:hAnsi="仿宋" w:eastAsia="仿宋" w:cs="仿宋"/>
              <w:spacing w:val="1"/>
              <w:position w:val="5"/>
              <w:sz w:val="22"/>
              <w:szCs w:val="22"/>
            </w:rPr>
            <w:t>38</w:t>
          </w:r>
          <w:r>
            <w:rPr>
              <w:rFonts w:ascii="宋体" w:hAnsi="宋体" w:eastAsia="宋体" w:cs="宋体"/>
              <w:spacing w:val="1"/>
              <w:position w:val="5"/>
              <w:sz w:val="22"/>
              <w:szCs w:val="22"/>
            </w:rPr>
            <w:t>．</w:t>
          </w:r>
          <w:r>
            <w:fldChar w:fldCharType="begin"/>
          </w:r>
          <w:r>
            <w:instrText xml:space="preserve"> HYPERLINK \l "bookmark80" </w:instrText>
          </w:r>
          <w:r>
            <w:fldChar w:fldCharType="separate"/>
          </w:r>
          <w:r>
            <w:rPr>
              <w:rFonts w:ascii="微软雅黑" w:hAnsi="微软雅黑" w:eastAsia="微软雅黑" w:cs="微软雅黑"/>
              <w:spacing w:val="1"/>
              <w:position w:val="5"/>
              <w:sz w:val="22"/>
              <w:szCs w:val="22"/>
            </w:rPr>
            <w:t>生产经营单位安全设备的安装、使用、检</w:t>
          </w:r>
          <w:r>
            <w:rPr>
              <w:rFonts w:ascii="微软雅黑" w:hAnsi="微软雅黑" w:eastAsia="微软雅黑" w:cs="微软雅黑"/>
              <w:position w:val="5"/>
              <w:sz w:val="22"/>
              <w:szCs w:val="22"/>
            </w:rPr>
            <w:t>测、改造和报废不符合国家标准或者行业标准</w:t>
          </w:r>
          <w:r>
            <w:rPr>
              <w:rFonts w:ascii="微软雅黑" w:hAnsi="微软雅黑" w:eastAsia="微软雅黑" w:cs="微软雅黑"/>
              <w:position w:val="5"/>
              <w:sz w:val="22"/>
              <w:szCs w:val="22"/>
            </w:rPr>
            <w:fldChar w:fldCharType="end"/>
          </w:r>
        </w:p>
        <w:p w14:paraId="4096B341">
          <w:pPr>
            <w:tabs>
              <w:tab w:val="right" w:leader="dot" w:pos="8829"/>
            </w:tabs>
            <w:spacing w:before="7" w:line="167" w:lineRule="auto"/>
            <w:ind w:left="32"/>
            <w:rPr>
              <w:rFonts w:ascii="宋体" w:hAnsi="宋体" w:eastAsia="宋体" w:cs="宋体"/>
              <w:sz w:val="22"/>
              <w:szCs w:val="22"/>
            </w:rPr>
          </w:pPr>
          <w:bookmarkStart w:id="59" w:name="bookmark79"/>
          <w:bookmarkEnd w:id="59"/>
          <w:r>
            <w:fldChar w:fldCharType="begin"/>
          </w:r>
          <w:r>
            <w:instrText xml:space="preserve"> HYPERLINK \l "bookmark79" </w:instrText>
          </w:r>
          <w:r>
            <w:fldChar w:fldCharType="separate"/>
          </w:r>
          <w:r>
            <w:rPr>
              <w:rFonts w:ascii="微软雅黑" w:hAnsi="微软雅黑" w:eastAsia="微软雅黑" w:cs="微软雅黑"/>
              <w:spacing w:val="-21"/>
              <w:w w:val="94"/>
              <w:sz w:val="22"/>
              <w:szCs w:val="22"/>
            </w:rPr>
            <w:t>的</w:t>
          </w:r>
          <w:r>
            <w:rPr>
              <w:rFonts w:ascii="微软雅黑" w:hAnsi="微软雅黑" w:eastAsia="微软雅黑" w:cs="微软雅黑"/>
              <w:sz w:val="22"/>
              <w:szCs w:val="22"/>
            </w:rPr>
            <w:tab/>
          </w:r>
          <w:r>
            <w:rPr>
              <w:rFonts w:ascii="宋体" w:hAnsi="宋体" w:eastAsia="宋体" w:cs="宋体"/>
              <w:spacing w:val="-7"/>
              <w:sz w:val="22"/>
              <w:szCs w:val="22"/>
            </w:rPr>
            <w:t>53</w:t>
          </w:r>
          <w:r>
            <w:rPr>
              <w:rFonts w:ascii="宋体" w:hAnsi="宋体" w:eastAsia="宋体" w:cs="宋体"/>
              <w:spacing w:val="-7"/>
              <w:sz w:val="22"/>
              <w:szCs w:val="22"/>
            </w:rPr>
            <w:fldChar w:fldCharType="end"/>
          </w:r>
        </w:p>
        <w:p w14:paraId="00E218FB">
          <w:pPr>
            <w:tabs>
              <w:tab w:val="right" w:leader="dot" w:pos="8840"/>
            </w:tabs>
            <w:spacing w:before="1" w:line="216" w:lineRule="auto"/>
            <w:ind w:left="12"/>
            <w:rPr>
              <w:rFonts w:ascii="宋体" w:hAnsi="宋体" w:eastAsia="宋体" w:cs="宋体"/>
              <w:sz w:val="22"/>
              <w:szCs w:val="22"/>
            </w:rPr>
          </w:pPr>
          <w:bookmarkStart w:id="60" w:name="bookmark81"/>
          <w:bookmarkEnd w:id="60"/>
          <w:r>
            <w:rPr>
              <w:rFonts w:ascii="仿宋" w:hAnsi="仿宋" w:eastAsia="仿宋" w:cs="仿宋"/>
              <w:sz w:val="22"/>
              <w:szCs w:val="22"/>
            </w:rPr>
            <w:t>39</w:t>
          </w:r>
          <w:r>
            <w:rPr>
              <w:rFonts w:ascii="宋体" w:hAnsi="宋体" w:eastAsia="宋体" w:cs="宋体"/>
              <w:sz w:val="22"/>
              <w:szCs w:val="22"/>
            </w:rPr>
            <w:t>．</w:t>
          </w:r>
          <w:r>
            <w:fldChar w:fldCharType="begin"/>
          </w:r>
          <w:r>
            <w:instrText xml:space="preserve"> HYPERLINK \l "bookmark82" </w:instrText>
          </w:r>
          <w:r>
            <w:fldChar w:fldCharType="separate"/>
          </w:r>
          <w:r>
            <w:rPr>
              <w:rFonts w:ascii="微软雅黑" w:hAnsi="微软雅黑" w:eastAsia="微软雅黑" w:cs="微软雅黑"/>
              <w:sz w:val="22"/>
              <w:szCs w:val="22"/>
            </w:rPr>
            <w:t>生产经营单位未对安全设备进行经常性维护、</w:t>
          </w:r>
          <w:r>
            <w:rPr>
              <w:rFonts w:ascii="微软雅黑" w:hAnsi="微软雅黑" w:eastAsia="微软雅黑" w:cs="微软雅黑"/>
              <w:spacing w:val="-1"/>
              <w:sz w:val="22"/>
              <w:szCs w:val="22"/>
            </w:rPr>
            <w:t>保养和定期检测的</w:t>
          </w:r>
          <w:r>
            <w:rPr>
              <w:rFonts w:ascii="微软雅黑" w:hAnsi="微软雅黑" w:eastAsia="微软雅黑" w:cs="微软雅黑"/>
              <w:sz w:val="22"/>
              <w:szCs w:val="22"/>
            </w:rPr>
            <w:tab/>
          </w:r>
          <w:r>
            <w:rPr>
              <w:rFonts w:ascii="宋体" w:hAnsi="宋体" w:eastAsia="宋体" w:cs="宋体"/>
              <w:spacing w:val="-8"/>
              <w:sz w:val="22"/>
              <w:szCs w:val="22"/>
            </w:rPr>
            <w:t>55</w:t>
          </w:r>
          <w:r>
            <w:rPr>
              <w:rFonts w:ascii="宋体" w:hAnsi="宋体" w:eastAsia="宋体" w:cs="宋体"/>
              <w:spacing w:val="-8"/>
              <w:sz w:val="22"/>
              <w:szCs w:val="22"/>
            </w:rPr>
            <w:fldChar w:fldCharType="end"/>
          </w:r>
        </w:p>
        <w:p w14:paraId="07280341">
          <w:pPr>
            <w:spacing w:line="410" w:lineRule="exact"/>
            <w:ind w:left="6"/>
            <w:rPr>
              <w:rFonts w:ascii="微软雅黑" w:hAnsi="微软雅黑" w:eastAsia="微软雅黑" w:cs="微软雅黑"/>
              <w:sz w:val="22"/>
              <w:szCs w:val="22"/>
            </w:rPr>
          </w:pPr>
          <w:bookmarkStart w:id="61" w:name="bookmark83"/>
          <w:bookmarkEnd w:id="61"/>
          <w:r>
            <w:rPr>
              <w:rFonts w:ascii="仿宋" w:hAnsi="仿宋" w:eastAsia="仿宋" w:cs="仿宋"/>
              <w:spacing w:val="1"/>
              <w:position w:val="5"/>
              <w:sz w:val="22"/>
              <w:szCs w:val="22"/>
            </w:rPr>
            <w:t>40</w:t>
          </w:r>
          <w:r>
            <w:rPr>
              <w:rFonts w:ascii="宋体" w:hAnsi="宋体" w:eastAsia="宋体" w:cs="宋体"/>
              <w:spacing w:val="1"/>
              <w:position w:val="5"/>
              <w:sz w:val="22"/>
              <w:szCs w:val="22"/>
            </w:rPr>
            <w:t>．</w:t>
          </w:r>
          <w:r>
            <w:fldChar w:fldCharType="begin"/>
          </w:r>
          <w:r>
            <w:instrText xml:space="preserve"> HYPERLINK \l "bookmark84" </w:instrText>
          </w:r>
          <w:r>
            <w:fldChar w:fldCharType="separate"/>
          </w:r>
          <w:r>
            <w:rPr>
              <w:rFonts w:ascii="微软雅黑" w:hAnsi="微软雅黑" w:eastAsia="微软雅黑" w:cs="微软雅黑"/>
              <w:spacing w:val="1"/>
              <w:position w:val="5"/>
              <w:sz w:val="22"/>
              <w:szCs w:val="22"/>
            </w:rPr>
            <w:t>生产经营单位关闭、破坏直接关系生产安全的监控、</w:t>
          </w:r>
          <w:r>
            <w:rPr>
              <w:rFonts w:ascii="微软雅黑" w:hAnsi="微软雅黑" w:eastAsia="微软雅黑" w:cs="微软雅黑"/>
              <w:position w:val="5"/>
              <w:sz w:val="22"/>
              <w:szCs w:val="22"/>
            </w:rPr>
            <w:t>报警、防护、救生设备、设施，或</w:t>
          </w:r>
          <w:r>
            <w:rPr>
              <w:rFonts w:ascii="微软雅黑" w:hAnsi="微软雅黑" w:eastAsia="微软雅黑" w:cs="微软雅黑"/>
              <w:position w:val="5"/>
              <w:sz w:val="22"/>
              <w:szCs w:val="22"/>
            </w:rPr>
            <w:fldChar w:fldCharType="end"/>
          </w:r>
        </w:p>
        <w:p w14:paraId="5234F877">
          <w:pPr>
            <w:tabs>
              <w:tab w:val="right" w:leader="dot" w:pos="8835"/>
            </w:tabs>
            <w:spacing w:before="7" w:line="167" w:lineRule="auto"/>
            <w:ind w:left="14"/>
            <w:rPr>
              <w:rFonts w:ascii="宋体" w:hAnsi="宋体" w:eastAsia="宋体" w:cs="宋体"/>
              <w:sz w:val="22"/>
              <w:szCs w:val="22"/>
            </w:rPr>
          </w:pPr>
          <w:bookmarkStart w:id="62" w:name="bookmark83"/>
          <w:bookmarkEnd w:id="62"/>
          <w:r>
            <w:fldChar w:fldCharType="begin"/>
          </w:r>
          <w:r>
            <w:instrText xml:space="preserve"> HYPERLINK \l "bookmark83" </w:instrText>
          </w:r>
          <w:r>
            <w:fldChar w:fldCharType="separate"/>
          </w:r>
          <w:r>
            <w:rPr>
              <w:rFonts w:ascii="微软雅黑" w:hAnsi="微软雅黑" w:eastAsia="微软雅黑" w:cs="微软雅黑"/>
              <w:spacing w:val="-1"/>
              <w:sz w:val="22"/>
              <w:szCs w:val="22"/>
            </w:rPr>
            <w:t>者篡改、隐瞒、销毁其相关数据、信息的</w:t>
          </w:r>
          <w:r>
            <w:rPr>
              <w:rFonts w:ascii="微软雅黑" w:hAnsi="微软雅黑" w:eastAsia="微软雅黑" w:cs="微软雅黑"/>
              <w:sz w:val="22"/>
              <w:szCs w:val="22"/>
            </w:rPr>
            <w:tab/>
          </w:r>
          <w:r>
            <w:rPr>
              <w:rFonts w:ascii="宋体" w:hAnsi="宋体" w:eastAsia="宋体" w:cs="宋体"/>
              <w:spacing w:val="-7"/>
              <w:sz w:val="22"/>
              <w:szCs w:val="22"/>
            </w:rPr>
            <w:t>57</w:t>
          </w:r>
          <w:r>
            <w:rPr>
              <w:rFonts w:ascii="宋体" w:hAnsi="宋体" w:eastAsia="宋体" w:cs="宋体"/>
              <w:spacing w:val="-7"/>
              <w:sz w:val="22"/>
              <w:szCs w:val="22"/>
            </w:rPr>
            <w:fldChar w:fldCharType="end"/>
          </w:r>
        </w:p>
        <w:p w14:paraId="5C6F5D2A">
          <w:pPr>
            <w:spacing w:line="411" w:lineRule="exact"/>
            <w:ind w:left="6"/>
            <w:rPr>
              <w:rFonts w:ascii="微软雅黑" w:hAnsi="微软雅黑" w:eastAsia="微软雅黑" w:cs="微软雅黑"/>
              <w:sz w:val="22"/>
              <w:szCs w:val="22"/>
            </w:rPr>
          </w:pPr>
          <w:bookmarkStart w:id="63" w:name="bookmark85"/>
          <w:bookmarkEnd w:id="63"/>
          <w:r>
            <w:rPr>
              <w:rFonts w:ascii="仿宋" w:hAnsi="仿宋" w:eastAsia="仿宋" w:cs="仿宋"/>
              <w:spacing w:val="1"/>
              <w:position w:val="5"/>
              <w:sz w:val="22"/>
              <w:szCs w:val="22"/>
            </w:rPr>
            <w:t>41</w:t>
          </w:r>
          <w:r>
            <w:rPr>
              <w:rFonts w:ascii="宋体" w:hAnsi="宋体" w:eastAsia="宋体" w:cs="宋体"/>
              <w:spacing w:val="1"/>
              <w:position w:val="5"/>
              <w:sz w:val="22"/>
              <w:szCs w:val="22"/>
            </w:rPr>
            <w:t>．</w:t>
          </w:r>
          <w:r>
            <w:fldChar w:fldCharType="begin"/>
          </w:r>
          <w:r>
            <w:instrText xml:space="preserve"> HYPERLINK \l "bookmark86" </w:instrText>
          </w:r>
          <w:r>
            <w:fldChar w:fldCharType="separate"/>
          </w:r>
          <w:r>
            <w:rPr>
              <w:rFonts w:ascii="微软雅黑" w:hAnsi="微软雅黑" w:eastAsia="微软雅黑" w:cs="微软雅黑"/>
              <w:spacing w:val="1"/>
              <w:position w:val="5"/>
              <w:sz w:val="22"/>
              <w:szCs w:val="22"/>
            </w:rPr>
            <w:t>危险物品的容器、运输工具，以及涉及人身安全、危</w:t>
          </w:r>
          <w:r>
            <w:rPr>
              <w:rFonts w:ascii="微软雅黑" w:hAnsi="微软雅黑" w:eastAsia="微软雅黑" w:cs="微软雅黑"/>
              <w:position w:val="5"/>
              <w:sz w:val="22"/>
              <w:szCs w:val="22"/>
            </w:rPr>
            <w:t>险性较大的海洋石油开采特种设备</w:t>
          </w:r>
          <w:r>
            <w:rPr>
              <w:rFonts w:ascii="微软雅黑" w:hAnsi="微软雅黑" w:eastAsia="微软雅黑" w:cs="微软雅黑"/>
              <w:position w:val="5"/>
              <w:sz w:val="22"/>
              <w:szCs w:val="22"/>
            </w:rPr>
            <w:fldChar w:fldCharType="end"/>
          </w:r>
        </w:p>
        <w:p w14:paraId="3DEA0311">
          <w:pPr>
            <w:spacing w:before="5" w:line="202" w:lineRule="auto"/>
            <w:ind w:left="14"/>
            <w:rPr>
              <w:rFonts w:ascii="微软雅黑" w:hAnsi="微软雅黑" w:eastAsia="微软雅黑" w:cs="微软雅黑"/>
              <w:sz w:val="22"/>
              <w:szCs w:val="22"/>
            </w:rPr>
          </w:pPr>
          <w:bookmarkStart w:id="64" w:name="bookmark85"/>
          <w:bookmarkEnd w:id="64"/>
          <w:r>
            <w:fldChar w:fldCharType="begin"/>
          </w:r>
          <w:r>
            <w:instrText xml:space="preserve"> HYPERLINK \l "bookmark85" </w:instrText>
          </w:r>
          <w:r>
            <w:fldChar w:fldCharType="separate"/>
          </w:r>
          <w:r>
            <w:rPr>
              <w:rFonts w:ascii="微软雅黑" w:hAnsi="微软雅黑" w:eastAsia="微软雅黑" w:cs="微软雅黑"/>
              <w:sz w:val="22"/>
              <w:szCs w:val="22"/>
            </w:rPr>
            <w:t>和矿山井下特种设备未经具有专业资质的机构检测、检验合格，取得安全使用证或者安全标</w:t>
          </w:r>
          <w:r>
            <w:rPr>
              <w:rFonts w:ascii="微软雅黑" w:hAnsi="微软雅黑" w:eastAsia="微软雅黑" w:cs="微软雅黑"/>
              <w:sz w:val="22"/>
              <w:szCs w:val="22"/>
            </w:rPr>
            <w:fldChar w:fldCharType="end"/>
          </w:r>
        </w:p>
        <w:p w14:paraId="19C6F78B">
          <w:pPr>
            <w:tabs>
              <w:tab w:val="right" w:leader="dot" w:pos="8830"/>
            </w:tabs>
            <w:spacing w:before="24" w:line="167" w:lineRule="auto"/>
            <w:ind w:left="22"/>
            <w:rPr>
              <w:rFonts w:ascii="宋体" w:hAnsi="宋体" w:eastAsia="宋体" w:cs="宋体"/>
              <w:sz w:val="22"/>
              <w:szCs w:val="22"/>
            </w:rPr>
          </w:pPr>
          <w:bookmarkStart w:id="65" w:name="bookmark85"/>
          <w:bookmarkEnd w:id="65"/>
          <w:r>
            <w:fldChar w:fldCharType="begin"/>
          </w:r>
          <w:r>
            <w:instrText xml:space="preserve"> HYPERLINK \l "bookmark85" </w:instrText>
          </w:r>
          <w:r>
            <w:fldChar w:fldCharType="separate"/>
          </w:r>
          <w:r>
            <w:rPr>
              <w:rFonts w:ascii="微软雅黑" w:hAnsi="微软雅黑" w:eastAsia="微软雅黑" w:cs="微软雅黑"/>
              <w:spacing w:val="-3"/>
              <w:sz w:val="22"/>
              <w:szCs w:val="22"/>
            </w:rPr>
            <w:t>志，投入使用的</w:t>
          </w:r>
          <w:r>
            <w:rPr>
              <w:rFonts w:ascii="微软雅黑" w:hAnsi="微软雅黑" w:eastAsia="微软雅黑" w:cs="微软雅黑"/>
              <w:sz w:val="22"/>
              <w:szCs w:val="22"/>
            </w:rPr>
            <w:tab/>
          </w:r>
          <w:r>
            <w:rPr>
              <w:rFonts w:ascii="宋体" w:hAnsi="宋体" w:eastAsia="宋体" w:cs="宋体"/>
              <w:spacing w:val="-7"/>
              <w:sz w:val="22"/>
              <w:szCs w:val="22"/>
            </w:rPr>
            <w:t>59</w:t>
          </w:r>
          <w:r>
            <w:rPr>
              <w:rFonts w:ascii="宋体" w:hAnsi="宋体" w:eastAsia="宋体" w:cs="宋体"/>
              <w:spacing w:val="-7"/>
              <w:sz w:val="22"/>
              <w:szCs w:val="22"/>
            </w:rPr>
            <w:fldChar w:fldCharType="end"/>
          </w:r>
        </w:p>
        <w:p w14:paraId="385BD10A">
          <w:pPr>
            <w:tabs>
              <w:tab w:val="right" w:leader="dot" w:pos="8839"/>
            </w:tabs>
            <w:spacing w:line="216" w:lineRule="auto"/>
            <w:ind w:left="6"/>
            <w:rPr>
              <w:rFonts w:ascii="宋体" w:hAnsi="宋体" w:eastAsia="宋体" w:cs="宋体"/>
              <w:sz w:val="22"/>
              <w:szCs w:val="22"/>
            </w:rPr>
          </w:pPr>
          <w:bookmarkStart w:id="66" w:name="bookmark87"/>
          <w:bookmarkEnd w:id="66"/>
          <w:r>
            <w:rPr>
              <w:rFonts w:ascii="仿宋" w:hAnsi="仿宋" w:eastAsia="仿宋" w:cs="仿宋"/>
              <w:sz w:val="22"/>
              <w:szCs w:val="22"/>
            </w:rPr>
            <w:t>42</w:t>
          </w:r>
          <w:r>
            <w:rPr>
              <w:rFonts w:ascii="宋体" w:hAnsi="宋体" w:eastAsia="宋体" w:cs="宋体"/>
              <w:sz w:val="22"/>
              <w:szCs w:val="22"/>
            </w:rPr>
            <w:t>．</w:t>
          </w:r>
          <w:r>
            <w:fldChar w:fldCharType="begin"/>
          </w:r>
          <w:r>
            <w:instrText xml:space="preserve"> HYPERLINK \l "bookmark88" </w:instrText>
          </w:r>
          <w:r>
            <w:fldChar w:fldCharType="separate"/>
          </w:r>
          <w:r>
            <w:rPr>
              <w:rFonts w:ascii="微软雅黑" w:hAnsi="微软雅黑" w:eastAsia="微软雅黑" w:cs="微软雅黑"/>
              <w:sz w:val="22"/>
              <w:szCs w:val="22"/>
            </w:rPr>
            <w:t>生产经营单位使用应当淘汰的危及生产安全的工艺、设</w:t>
          </w:r>
          <w:r>
            <w:rPr>
              <w:rFonts w:ascii="微软雅黑" w:hAnsi="微软雅黑" w:eastAsia="微软雅黑" w:cs="微软雅黑"/>
              <w:spacing w:val="-1"/>
              <w:sz w:val="22"/>
              <w:szCs w:val="22"/>
            </w:rPr>
            <w:t>备的</w:t>
          </w:r>
          <w:r>
            <w:rPr>
              <w:rFonts w:ascii="微软雅黑" w:hAnsi="微软雅黑" w:eastAsia="微软雅黑" w:cs="微软雅黑"/>
              <w:sz w:val="22"/>
              <w:szCs w:val="22"/>
            </w:rPr>
            <w:tab/>
          </w:r>
          <w:r>
            <w:rPr>
              <w:rFonts w:ascii="宋体" w:hAnsi="宋体" w:eastAsia="宋体" w:cs="宋体"/>
              <w:spacing w:val="-6"/>
              <w:sz w:val="22"/>
              <w:szCs w:val="22"/>
            </w:rPr>
            <w:t>60</w:t>
          </w:r>
          <w:r>
            <w:rPr>
              <w:rFonts w:ascii="宋体" w:hAnsi="宋体" w:eastAsia="宋体" w:cs="宋体"/>
              <w:spacing w:val="-6"/>
              <w:sz w:val="22"/>
              <w:szCs w:val="22"/>
            </w:rPr>
            <w:fldChar w:fldCharType="end"/>
          </w:r>
        </w:p>
        <w:p w14:paraId="601590F0">
          <w:pPr>
            <w:spacing w:line="410" w:lineRule="exact"/>
            <w:ind w:left="6"/>
            <w:rPr>
              <w:rFonts w:ascii="微软雅黑" w:hAnsi="微软雅黑" w:eastAsia="微软雅黑" w:cs="微软雅黑"/>
              <w:sz w:val="22"/>
              <w:szCs w:val="22"/>
            </w:rPr>
          </w:pPr>
          <w:bookmarkStart w:id="67" w:name="bookmark89"/>
          <w:bookmarkEnd w:id="67"/>
          <w:r>
            <w:rPr>
              <w:rFonts w:ascii="仿宋" w:hAnsi="仿宋" w:eastAsia="仿宋" w:cs="仿宋"/>
              <w:spacing w:val="-3"/>
              <w:position w:val="5"/>
              <w:sz w:val="22"/>
              <w:szCs w:val="22"/>
            </w:rPr>
            <w:t>43</w:t>
          </w:r>
          <w:r>
            <w:rPr>
              <w:rFonts w:ascii="宋体" w:hAnsi="宋体" w:eastAsia="宋体" w:cs="宋体"/>
              <w:spacing w:val="-3"/>
              <w:position w:val="5"/>
              <w:sz w:val="22"/>
              <w:szCs w:val="22"/>
            </w:rPr>
            <w:t>．</w:t>
          </w:r>
          <w:r>
            <w:fldChar w:fldCharType="begin"/>
          </w:r>
          <w:r>
            <w:instrText xml:space="preserve"> HYPERLINK \l "bookmark90" </w:instrText>
          </w:r>
          <w:r>
            <w:fldChar w:fldCharType="separate"/>
          </w:r>
          <w:r>
            <w:rPr>
              <w:rFonts w:ascii="微软雅黑" w:hAnsi="微软雅黑" w:eastAsia="微软雅黑" w:cs="微软雅黑"/>
              <w:spacing w:val="-3"/>
              <w:position w:val="5"/>
              <w:sz w:val="22"/>
              <w:szCs w:val="22"/>
            </w:rPr>
            <w:t>生产经营单位对重大危险源未登记建档，未进行定期检</w:t>
          </w:r>
          <w:r>
            <w:rPr>
              <w:rFonts w:ascii="微软雅黑" w:hAnsi="微软雅黑" w:eastAsia="微软雅黑" w:cs="微软雅黑"/>
              <w:spacing w:val="-4"/>
              <w:position w:val="5"/>
              <w:sz w:val="22"/>
              <w:szCs w:val="22"/>
            </w:rPr>
            <w:t>测、评估、监控，未制定应急预</w:t>
          </w:r>
          <w:r>
            <w:rPr>
              <w:rFonts w:ascii="微软雅黑" w:hAnsi="微软雅黑" w:eastAsia="微软雅黑" w:cs="微软雅黑"/>
              <w:spacing w:val="-4"/>
              <w:position w:val="5"/>
              <w:sz w:val="22"/>
              <w:szCs w:val="22"/>
            </w:rPr>
            <w:fldChar w:fldCharType="end"/>
          </w:r>
        </w:p>
        <w:p w14:paraId="7E1574E7">
          <w:pPr>
            <w:tabs>
              <w:tab w:val="right" w:leader="dot" w:pos="8832"/>
            </w:tabs>
            <w:spacing w:before="7" w:line="167" w:lineRule="auto"/>
            <w:ind w:left="18"/>
            <w:rPr>
              <w:rFonts w:ascii="宋体" w:hAnsi="宋体" w:eastAsia="宋体" w:cs="宋体"/>
              <w:sz w:val="22"/>
              <w:szCs w:val="22"/>
            </w:rPr>
          </w:pPr>
          <w:bookmarkStart w:id="68" w:name="bookmark89"/>
          <w:bookmarkEnd w:id="68"/>
          <w:r>
            <w:fldChar w:fldCharType="begin"/>
          </w:r>
          <w:r>
            <w:instrText xml:space="preserve"> HYPERLINK \l "bookmark89" </w:instrText>
          </w:r>
          <w:r>
            <w:fldChar w:fldCharType="separate"/>
          </w:r>
          <w:r>
            <w:rPr>
              <w:rFonts w:ascii="微软雅黑" w:hAnsi="微软雅黑" w:eastAsia="微软雅黑" w:cs="微软雅黑"/>
              <w:spacing w:val="-2"/>
              <w:sz w:val="22"/>
              <w:szCs w:val="22"/>
            </w:rPr>
            <w:t>案，或者未告知应急措施的</w:t>
          </w:r>
          <w:r>
            <w:rPr>
              <w:rFonts w:ascii="微软雅黑" w:hAnsi="微软雅黑" w:eastAsia="微软雅黑" w:cs="微软雅黑"/>
              <w:sz w:val="22"/>
              <w:szCs w:val="22"/>
            </w:rPr>
            <w:tab/>
          </w:r>
          <w:r>
            <w:rPr>
              <w:rFonts w:ascii="宋体" w:hAnsi="宋体" w:eastAsia="宋体" w:cs="宋体"/>
              <w:spacing w:val="-6"/>
              <w:sz w:val="22"/>
              <w:szCs w:val="22"/>
            </w:rPr>
            <w:t>60</w:t>
          </w:r>
          <w:r>
            <w:rPr>
              <w:rFonts w:ascii="宋体" w:hAnsi="宋体" w:eastAsia="宋体" w:cs="宋体"/>
              <w:spacing w:val="-6"/>
              <w:sz w:val="22"/>
              <w:szCs w:val="22"/>
            </w:rPr>
            <w:fldChar w:fldCharType="end"/>
          </w:r>
        </w:p>
        <w:p w14:paraId="23DC0133">
          <w:pPr>
            <w:spacing w:line="411" w:lineRule="exact"/>
            <w:ind w:left="6"/>
            <w:rPr>
              <w:rFonts w:ascii="微软雅黑" w:hAnsi="微软雅黑" w:eastAsia="微软雅黑" w:cs="微软雅黑"/>
              <w:sz w:val="22"/>
              <w:szCs w:val="22"/>
            </w:rPr>
          </w:pPr>
          <w:bookmarkStart w:id="69" w:name="bookmark91"/>
          <w:bookmarkEnd w:id="69"/>
          <w:r>
            <w:rPr>
              <w:rFonts w:ascii="仿宋" w:hAnsi="仿宋" w:eastAsia="仿宋" w:cs="仿宋"/>
              <w:spacing w:val="1"/>
              <w:position w:val="5"/>
              <w:sz w:val="22"/>
              <w:szCs w:val="22"/>
            </w:rPr>
            <w:t>44</w:t>
          </w:r>
          <w:r>
            <w:rPr>
              <w:rFonts w:ascii="宋体" w:hAnsi="宋体" w:eastAsia="宋体" w:cs="宋体"/>
              <w:spacing w:val="1"/>
              <w:position w:val="5"/>
              <w:sz w:val="22"/>
              <w:szCs w:val="22"/>
            </w:rPr>
            <w:t>．</w:t>
          </w:r>
          <w:r>
            <w:fldChar w:fldCharType="begin"/>
          </w:r>
          <w:r>
            <w:instrText xml:space="preserve"> HYPERLINK \l "bookmark92" </w:instrText>
          </w:r>
          <w:r>
            <w:fldChar w:fldCharType="separate"/>
          </w:r>
          <w:r>
            <w:rPr>
              <w:rFonts w:ascii="微软雅黑" w:hAnsi="微软雅黑" w:eastAsia="微软雅黑" w:cs="微软雅黑"/>
              <w:spacing w:val="1"/>
              <w:position w:val="5"/>
              <w:sz w:val="22"/>
              <w:szCs w:val="22"/>
            </w:rPr>
            <w:t>生产经营单位未建立安全风险分级管控制度或者未按</w:t>
          </w:r>
          <w:r>
            <w:rPr>
              <w:rFonts w:ascii="微软雅黑" w:hAnsi="微软雅黑" w:eastAsia="微软雅黑" w:cs="微软雅黑"/>
              <w:position w:val="5"/>
              <w:sz w:val="22"/>
              <w:szCs w:val="22"/>
            </w:rPr>
            <w:t>照安全风险分级采取相应管控措施</w:t>
          </w:r>
          <w:r>
            <w:rPr>
              <w:rFonts w:ascii="微软雅黑" w:hAnsi="微软雅黑" w:eastAsia="微软雅黑" w:cs="微软雅黑"/>
              <w:position w:val="5"/>
              <w:sz w:val="22"/>
              <w:szCs w:val="22"/>
            </w:rPr>
            <w:fldChar w:fldCharType="end"/>
          </w:r>
        </w:p>
        <w:p w14:paraId="552A9CAF">
          <w:pPr>
            <w:tabs>
              <w:tab w:val="right" w:leader="dot" w:pos="8829"/>
            </w:tabs>
            <w:spacing w:before="5" w:line="168" w:lineRule="auto"/>
            <w:ind w:left="32"/>
            <w:rPr>
              <w:rFonts w:ascii="宋体" w:hAnsi="宋体" w:eastAsia="宋体" w:cs="宋体"/>
              <w:sz w:val="22"/>
              <w:szCs w:val="22"/>
            </w:rPr>
          </w:pPr>
          <w:bookmarkStart w:id="70" w:name="bookmark91"/>
          <w:bookmarkEnd w:id="70"/>
          <w:r>
            <w:fldChar w:fldCharType="begin"/>
          </w:r>
          <w:r>
            <w:instrText xml:space="preserve"> HYPERLINK \l "bookmark91" </w:instrText>
          </w:r>
          <w:r>
            <w:fldChar w:fldCharType="separate"/>
          </w:r>
          <w:r>
            <w:rPr>
              <w:rFonts w:ascii="微软雅黑" w:hAnsi="微软雅黑" w:eastAsia="微软雅黑" w:cs="微软雅黑"/>
              <w:spacing w:val="-21"/>
              <w:w w:val="94"/>
              <w:sz w:val="22"/>
              <w:szCs w:val="22"/>
            </w:rPr>
            <w:t>的</w:t>
          </w:r>
          <w:r>
            <w:rPr>
              <w:rFonts w:ascii="微软雅黑" w:hAnsi="微软雅黑" w:eastAsia="微软雅黑" w:cs="微软雅黑"/>
              <w:sz w:val="22"/>
              <w:szCs w:val="22"/>
            </w:rPr>
            <w:tab/>
          </w:r>
          <w:r>
            <w:rPr>
              <w:rFonts w:ascii="宋体" w:hAnsi="宋体" w:eastAsia="宋体" w:cs="宋体"/>
              <w:spacing w:val="-6"/>
              <w:sz w:val="22"/>
              <w:szCs w:val="22"/>
            </w:rPr>
            <w:t>62</w:t>
          </w:r>
          <w:r>
            <w:rPr>
              <w:rFonts w:ascii="宋体" w:hAnsi="宋体" w:eastAsia="宋体" w:cs="宋体"/>
              <w:spacing w:val="-6"/>
              <w:sz w:val="22"/>
              <w:szCs w:val="22"/>
            </w:rPr>
            <w:fldChar w:fldCharType="end"/>
          </w:r>
        </w:p>
        <w:p w14:paraId="0D862DFF">
          <w:pPr>
            <w:spacing w:line="410" w:lineRule="exact"/>
            <w:ind w:left="6"/>
            <w:rPr>
              <w:rFonts w:ascii="微软雅黑" w:hAnsi="微软雅黑" w:eastAsia="微软雅黑" w:cs="微软雅黑"/>
              <w:sz w:val="22"/>
              <w:szCs w:val="22"/>
            </w:rPr>
          </w:pPr>
          <w:bookmarkStart w:id="71" w:name="bookmark93"/>
          <w:bookmarkEnd w:id="71"/>
          <w:r>
            <w:rPr>
              <w:rFonts w:ascii="仿宋" w:hAnsi="仿宋" w:eastAsia="仿宋" w:cs="仿宋"/>
              <w:spacing w:val="1"/>
              <w:position w:val="5"/>
              <w:sz w:val="22"/>
              <w:szCs w:val="22"/>
            </w:rPr>
            <w:t>45</w:t>
          </w:r>
          <w:r>
            <w:rPr>
              <w:rFonts w:ascii="宋体" w:hAnsi="宋体" w:eastAsia="宋体" w:cs="宋体"/>
              <w:spacing w:val="1"/>
              <w:position w:val="5"/>
              <w:sz w:val="22"/>
              <w:szCs w:val="22"/>
            </w:rPr>
            <w:t>．</w:t>
          </w:r>
          <w:r>
            <w:fldChar w:fldCharType="begin"/>
          </w:r>
          <w:r>
            <w:instrText xml:space="preserve"> HYPERLINK \l "bookmark94" </w:instrText>
          </w:r>
          <w:r>
            <w:fldChar w:fldCharType="separate"/>
          </w:r>
          <w:r>
            <w:rPr>
              <w:rFonts w:ascii="微软雅黑" w:hAnsi="微软雅黑" w:eastAsia="微软雅黑" w:cs="微软雅黑"/>
              <w:spacing w:val="1"/>
              <w:position w:val="5"/>
              <w:sz w:val="22"/>
              <w:szCs w:val="22"/>
            </w:rPr>
            <w:t>生产经营单位未建立事故隐患排查治理制度，或者重</w:t>
          </w:r>
          <w:r>
            <w:rPr>
              <w:rFonts w:ascii="微软雅黑" w:hAnsi="微软雅黑" w:eastAsia="微软雅黑" w:cs="微软雅黑"/>
              <w:position w:val="5"/>
              <w:sz w:val="22"/>
              <w:szCs w:val="22"/>
            </w:rPr>
            <w:t>大事故隐患排查治理情况未按照规</w:t>
          </w:r>
          <w:r>
            <w:rPr>
              <w:rFonts w:ascii="微软雅黑" w:hAnsi="微软雅黑" w:eastAsia="微软雅黑" w:cs="微软雅黑"/>
              <w:position w:val="5"/>
              <w:sz w:val="22"/>
              <w:szCs w:val="22"/>
            </w:rPr>
            <w:fldChar w:fldCharType="end"/>
          </w:r>
        </w:p>
      </w:sdtContent>
    </w:sdt>
    <w:p w14:paraId="751CD232">
      <w:pPr>
        <w:spacing w:line="410" w:lineRule="exact"/>
        <w:rPr>
          <w:rFonts w:ascii="微软雅黑" w:hAnsi="微软雅黑" w:eastAsia="微软雅黑" w:cs="微软雅黑"/>
          <w:sz w:val="22"/>
          <w:szCs w:val="22"/>
        </w:rPr>
        <w:sectPr>
          <w:footerReference r:id="rId7" w:type="default"/>
          <w:pgSz w:w="11906" w:h="16839"/>
          <w:pgMar w:top="1431" w:right="1477" w:bottom="1114" w:left="1586" w:header="0" w:footer="837" w:gutter="0"/>
          <w:cols w:space="720" w:num="1"/>
        </w:sectPr>
      </w:pPr>
    </w:p>
    <w:p w14:paraId="4357A924">
      <w:pPr>
        <w:pStyle w:val="2"/>
        <w:spacing w:line="322" w:lineRule="auto"/>
      </w:pPr>
    </w:p>
    <w:p w14:paraId="3CD6D22B">
      <w:pPr>
        <w:pStyle w:val="2"/>
        <w:spacing w:line="322" w:lineRule="auto"/>
      </w:pPr>
    </w:p>
    <w:sdt>
      <w:sdtPr>
        <w:rPr>
          <w:rFonts w:ascii="微软雅黑" w:hAnsi="微软雅黑" w:eastAsia="微软雅黑" w:cs="微软雅黑"/>
          <w:sz w:val="22"/>
          <w:szCs w:val="22"/>
        </w:rPr>
        <w:id w:val="147477686"/>
        <w:docPartObj>
          <w:docPartGallery w:val="Table of Contents"/>
          <w:docPartUnique/>
        </w:docPartObj>
      </w:sdtPr>
      <w:sdtEndPr>
        <w:rPr>
          <w:rFonts w:ascii="微软雅黑" w:hAnsi="微软雅黑" w:eastAsia="微软雅黑" w:cs="微软雅黑"/>
          <w:position w:val="2"/>
          <w:sz w:val="22"/>
          <w:szCs w:val="22"/>
        </w:rPr>
      </w:sdtEndPr>
      <w:sdtContent>
        <w:p w14:paraId="3863AB4B">
          <w:pPr>
            <w:tabs>
              <w:tab w:val="right" w:leader="dot" w:pos="8822"/>
            </w:tabs>
            <w:spacing w:before="95" w:line="158" w:lineRule="auto"/>
            <w:ind w:left="5"/>
            <w:rPr>
              <w:rFonts w:ascii="宋体" w:hAnsi="宋体" w:eastAsia="宋体" w:cs="宋体"/>
              <w:sz w:val="22"/>
              <w:szCs w:val="22"/>
            </w:rPr>
          </w:pPr>
          <w:bookmarkStart w:id="72" w:name="bookmark95"/>
          <w:bookmarkEnd w:id="72"/>
          <w:r>
            <w:fldChar w:fldCharType="begin"/>
          </w:r>
          <w:r>
            <w:instrText xml:space="preserve"> HYPERLINK \l "bookmark96" </w:instrText>
          </w:r>
          <w:r>
            <w:fldChar w:fldCharType="separate"/>
          </w:r>
          <w:r>
            <w:rPr>
              <w:rFonts w:ascii="微软雅黑" w:hAnsi="微软雅黑" w:eastAsia="微软雅黑" w:cs="微软雅黑"/>
              <w:spacing w:val="-2"/>
              <w:sz w:val="22"/>
              <w:szCs w:val="22"/>
            </w:rPr>
            <w:t>定报告的</w:t>
          </w:r>
          <w:r>
            <w:rPr>
              <w:rFonts w:ascii="微软雅黑" w:hAnsi="微软雅黑" w:eastAsia="微软雅黑" w:cs="微软雅黑"/>
              <w:sz w:val="22"/>
              <w:szCs w:val="22"/>
            </w:rPr>
            <w:tab/>
          </w:r>
          <w:r>
            <w:rPr>
              <w:rFonts w:ascii="宋体" w:hAnsi="宋体" w:eastAsia="宋体" w:cs="宋体"/>
              <w:spacing w:val="-6"/>
              <w:sz w:val="22"/>
              <w:szCs w:val="22"/>
            </w:rPr>
            <w:t>63</w:t>
          </w:r>
          <w:r>
            <w:rPr>
              <w:rFonts w:ascii="宋体" w:hAnsi="宋体" w:eastAsia="宋体" w:cs="宋体"/>
              <w:spacing w:val="-6"/>
              <w:sz w:val="22"/>
              <w:szCs w:val="22"/>
            </w:rPr>
            <w:fldChar w:fldCharType="end"/>
          </w:r>
        </w:p>
        <w:p w14:paraId="218B073F">
          <w:pPr>
            <w:tabs>
              <w:tab w:val="right" w:leader="dot" w:pos="8829"/>
            </w:tabs>
            <w:spacing w:before="15" w:line="216" w:lineRule="auto"/>
            <w:rPr>
              <w:rFonts w:ascii="宋体" w:hAnsi="宋体" w:eastAsia="宋体" w:cs="宋体"/>
              <w:sz w:val="22"/>
              <w:szCs w:val="22"/>
            </w:rPr>
          </w:pPr>
          <w:bookmarkStart w:id="73" w:name="bookmark97"/>
          <w:bookmarkEnd w:id="73"/>
          <w:r>
            <w:rPr>
              <w:rFonts w:ascii="仿宋" w:hAnsi="仿宋" w:eastAsia="仿宋" w:cs="仿宋"/>
              <w:spacing w:val="-1"/>
              <w:sz w:val="22"/>
              <w:szCs w:val="22"/>
            </w:rPr>
            <w:t>46</w:t>
          </w:r>
          <w:r>
            <w:rPr>
              <w:rFonts w:ascii="宋体" w:hAnsi="宋体" w:eastAsia="宋体" w:cs="宋体"/>
              <w:spacing w:val="-1"/>
              <w:sz w:val="22"/>
              <w:szCs w:val="22"/>
            </w:rPr>
            <w:t>．</w:t>
          </w:r>
          <w:r>
            <w:fldChar w:fldCharType="begin"/>
          </w:r>
          <w:r>
            <w:instrText xml:space="preserve"> HYPERLINK \l "bookmark98" </w:instrText>
          </w:r>
          <w:r>
            <w:fldChar w:fldCharType="separate"/>
          </w:r>
          <w:r>
            <w:rPr>
              <w:rFonts w:ascii="微软雅黑" w:hAnsi="微软雅黑" w:eastAsia="微软雅黑" w:cs="微软雅黑"/>
              <w:spacing w:val="-1"/>
              <w:sz w:val="22"/>
              <w:szCs w:val="22"/>
            </w:rPr>
            <w:t>生产经营单位未采取措施消除事故隐患的</w:t>
          </w:r>
          <w:r>
            <w:rPr>
              <w:rFonts w:ascii="微软雅黑" w:hAnsi="微软雅黑" w:eastAsia="微软雅黑" w:cs="微软雅黑"/>
              <w:sz w:val="22"/>
              <w:szCs w:val="22"/>
            </w:rPr>
            <w:tab/>
          </w:r>
          <w:r>
            <w:rPr>
              <w:rFonts w:ascii="宋体" w:hAnsi="宋体" w:eastAsia="宋体" w:cs="宋体"/>
              <w:spacing w:val="-6"/>
              <w:sz w:val="22"/>
              <w:szCs w:val="22"/>
            </w:rPr>
            <w:t>64</w:t>
          </w:r>
          <w:r>
            <w:rPr>
              <w:rFonts w:ascii="宋体" w:hAnsi="宋体" w:eastAsia="宋体" w:cs="宋体"/>
              <w:spacing w:val="-6"/>
              <w:sz w:val="22"/>
              <w:szCs w:val="22"/>
            </w:rPr>
            <w:fldChar w:fldCharType="end"/>
          </w:r>
        </w:p>
        <w:p w14:paraId="3C785286">
          <w:pPr>
            <w:tabs>
              <w:tab w:val="right" w:leader="dot" w:pos="8835"/>
            </w:tabs>
            <w:spacing w:line="216" w:lineRule="auto"/>
            <w:rPr>
              <w:rFonts w:ascii="宋体" w:hAnsi="宋体" w:eastAsia="宋体" w:cs="宋体"/>
              <w:sz w:val="22"/>
              <w:szCs w:val="22"/>
            </w:rPr>
          </w:pPr>
          <w:bookmarkStart w:id="74" w:name="bookmark99"/>
          <w:bookmarkEnd w:id="74"/>
          <w:r>
            <w:rPr>
              <w:rFonts w:ascii="仿宋" w:hAnsi="仿宋" w:eastAsia="仿宋" w:cs="仿宋"/>
              <w:sz w:val="22"/>
              <w:szCs w:val="22"/>
            </w:rPr>
            <w:t>47</w:t>
          </w:r>
          <w:r>
            <w:rPr>
              <w:rFonts w:ascii="宋体" w:hAnsi="宋体" w:eastAsia="宋体" w:cs="宋体"/>
              <w:sz w:val="22"/>
              <w:szCs w:val="22"/>
            </w:rPr>
            <w:t>．</w:t>
          </w:r>
          <w:r>
            <w:fldChar w:fldCharType="begin"/>
          </w:r>
          <w:r>
            <w:instrText xml:space="preserve"> HYPERLINK \l "bookmark100" </w:instrText>
          </w:r>
          <w:r>
            <w:fldChar w:fldCharType="separate"/>
          </w:r>
          <w:r>
            <w:rPr>
              <w:rFonts w:ascii="微软雅黑" w:hAnsi="微软雅黑" w:eastAsia="微软雅黑" w:cs="微软雅黑"/>
              <w:sz w:val="22"/>
              <w:szCs w:val="22"/>
            </w:rPr>
            <w:t>生产经营单位未将事故隐患排查治理情况如实记录或者未向从业人</w:t>
          </w:r>
          <w:r>
            <w:rPr>
              <w:rFonts w:ascii="微软雅黑" w:hAnsi="微软雅黑" w:eastAsia="微软雅黑" w:cs="微软雅黑"/>
              <w:spacing w:val="-1"/>
              <w:sz w:val="22"/>
              <w:szCs w:val="22"/>
            </w:rPr>
            <w:t>员通报的</w:t>
          </w:r>
          <w:r>
            <w:rPr>
              <w:rFonts w:ascii="微软雅黑" w:hAnsi="微软雅黑" w:eastAsia="微软雅黑" w:cs="微软雅黑"/>
              <w:sz w:val="22"/>
              <w:szCs w:val="22"/>
            </w:rPr>
            <w:tab/>
          </w:r>
          <w:r>
            <w:rPr>
              <w:rFonts w:ascii="宋体" w:hAnsi="宋体" w:eastAsia="宋体" w:cs="宋体"/>
              <w:spacing w:val="-6"/>
              <w:sz w:val="22"/>
              <w:szCs w:val="22"/>
            </w:rPr>
            <w:t>65</w:t>
          </w:r>
          <w:r>
            <w:rPr>
              <w:rFonts w:ascii="宋体" w:hAnsi="宋体" w:eastAsia="宋体" w:cs="宋体"/>
              <w:spacing w:val="-6"/>
              <w:sz w:val="22"/>
              <w:szCs w:val="22"/>
            </w:rPr>
            <w:fldChar w:fldCharType="end"/>
          </w:r>
        </w:p>
        <w:p w14:paraId="3AFD83A3">
          <w:pPr>
            <w:tabs>
              <w:tab w:val="right" w:leader="dot" w:pos="8832"/>
            </w:tabs>
            <w:spacing w:line="216" w:lineRule="auto"/>
            <w:rPr>
              <w:rFonts w:ascii="宋体" w:hAnsi="宋体" w:eastAsia="宋体" w:cs="宋体"/>
              <w:sz w:val="22"/>
              <w:szCs w:val="22"/>
            </w:rPr>
          </w:pPr>
          <w:bookmarkStart w:id="75" w:name="bookmark101"/>
          <w:bookmarkEnd w:id="75"/>
          <w:r>
            <w:rPr>
              <w:rFonts w:ascii="仿宋" w:hAnsi="仿宋" w:eastAsia="仿宋" w:cs="仿宋"/>
              <w:sz w:val="22"/>
              <w:szCs w:val="22"/>
            </w:rPr>
            <w:t>48</w:t>
          </w:r>
          <w:r>
            <w:rPr>
              <w:rFonts w:ascii="宋体" w:hAnsi="宋体" w:eastAsia="宋体" w:cs="宋体"/>
              <w:sz w:val="22"/>
              <w:szCs w:val="22"/>
            </w:rPr>
            <w:t>．</w:t>
          </w:r>
          <w:r>
            <w:fldChar w:fldCharType="begin"/>
          </w:r>
          <w:r>
            <w:instrText xml:space="preserve"> HYPERLINK \l "bookmark102" </w:instrText>
          </w:r>
          <w:r>
            <w:fldChar w:fldCharType="separate"/>
          </w:r>
          <w:r>
            <w:rPr>
              <w:rFonts w:ascii="微软雅黑" w:hAnsi="微软雅黑" w:eastAsia="微软雅黑" w:cs="微软雅黑"/>
              <w:sz w:val="22"/>
              <w:szCs w:val="22"/>
            </w:rPr>
            <w:t>生产经营单位未按规定上报事故隐患排查治理统计分析</w:t>
          </w:r>
          <w:r>
            <w:rPr>
              <w:rFonts w:ascii="微软雅黑" w:hAnsi="微软雅黑" w:eastAsia="微软雅黑" w:cs="微软雅黑"/>
              <w:spacing w:val="-1"/>
              <w:sz w:val="22"/>
              <w:szCs w:val="22"/>
            </w:rPr>
            <w:t>表的</w:t>
          </w:r>
          <w:r>
            <w:rPr>
              <w:rFonts w:ascii="微软雅黑" w:hAnsi="微软雅黑" w:eastAsia="微软雅黑" w:cs="微软雅黑"/>
              <w:sz w:val="22"/>
              <w:szCs w:val="22"/>
            </w:rPr>
            <w:tab/>
          </w:r>
          <w:r>
            <w:rPr>
              <w:rFonts w:ascii="宋体" w:hAnsi="宋体" w:eastAsia="宋体" w:cs="宋体"/>
              <w:spacing w:val="-6"/>
              <w:sz w:val="22"/>
              <w:szCs w:val="22"/>
            </w:rPr>
            <w:t>66</w:t>
          </w:r>
          <w:r>
            <w:rPr>
              <w:rFonts w:ascii="宋体" w:hAnsi="宋体" w:eastAsia="宋体" w:cs="宋体"/>
              <w:spacing w:val="-6"/>
              <w:sz w:val="22"/>
              <w:szCs w:val="22"/>
            </w:rPr>
            <w:fldChar w:fldCharType="end"/>
          </w:r>
        </w:p>
        <w:p w14:paraId="47791B2D">
          <w:pPr>
            <w:tabs>
              <w:tab w:val="right" w:leader="dot" w:pos="8830"/>
            </w:tabs>
            <w:spacing w:line="216" w:lineRule="auto"/>
            <w:rPr>
              <w:rFonts w:ascii="宋体" w:hAnsi="宋体" w:eastAsia="宋体" w:cs="宋体"/>
              <w:sz w:val="22"/>
              <w:szCs w:val="22"/>
            </w:rPr>
          </w:pPr>
          <w:bookmarkStart w:id="76" w:name="bookmark103"/>
          <w:bookmarkEnd w:id="76"/>
          <w:r>
            <w:rPr>
              <w:rFonts w:ascii="仿宋" w:hAnsi="仿宋" w:eastAsia="仿宋" w:cs="仿宋"/>
              <w:sz w:val="22"/>
              <w:szCs w:val="22"/>
            </w:rPr>
            <w:t>49</w:t>
          </w:r>
          <w:r>
            <w:rPr>
              <w:rFonts w:ascii="宋体" w:hAnsi="宋体" w:eastAsia="宋体" w:cs="宋体"/>
              <w:sz w:val="22"/>
              <w:szCs w:val="22"/>
            </w:rPr>
            <w:t>．</w:t>
          </w:r>
          <w:r>
            <w:fldChar w:fldCharType="begin"/>
          </w:r>
          <w:r>
            <w:instrText xml:space="preserve"> HYPERLINK \l "bookmark104" </w:instrText>
          </w:r>
          <w:r>
            <w:fldChar w:fldCharType="separate"/>
          </w:r>
          <w:r>
            <w:rPr>
              <w:rFonts w:ascii="微软雅黑" w:hAnsi="微软雅黑" w:eastAsia="微软雅黑" w:cs="微软雅黑"/>
              <w:sz w:val="22"/>
              <w:szCs w:val="22"/>
            </w:rPr>
            <w:t>生产经营单位未制定重大事故隐患治理方</w:t>
          </w:r>
          <w:r>
            <w:rPr>
              <w:rFonts w:ascii="微软雅黑" w:hAnsi="微软雅黑" w:eastAsia="微软雅黑" w:cs="微软雅黑"/>
              <w:spacing w:val="-1"/>
              <w:sz w:val="22"/>
              <w:szCs w:val="22"/>
            </w:rPr>
            <w:t>案的</w:t>
          </w:r>
          <w:r>
            <w:rPr>
              <w:rFonts w:ascii="微软雅黑" w:hAnsi="微软雅黑" w:eastAsia="微软雅黑" w:cs="微软雅黑"/>
              <w:sz w:val="22"/>
              <w:szCs w:val="22"/>
            </w:rPr>
            <w:tab/>
          </w:r>
          <w:r>
            <w:rPr>
              <w:rFonts w:ascii="宋体" w:hAnsi="宋体" w:eastAsia="宋体" w:cs="宋体"/>
              <w:spacing w:val="-6"/>
              <w:sz w:val="22"/>
              <w:szCs w:val="22"/>
            </w:rPr>
            <w:t>67</w:t>
          </w:r>
          <w:r>
            <w:rPr>
              <w:rFonts w:ascii="宋体" w:hAnsi="宋体" w:eastAsia="宋体" w:cs="宋体"/>
              <w:spacing w:val="-6"/>
              <w:sz w:val="22"/>
              <w:szCs w:val="22"/>
            </w:rPr>
            <w:fldChar w:fldCharType="end"/>
          </w:r>
        </w:p>
        <w:p w14:paraId="15F189B4">
          <w:pPr>
            <w:tabs>
              <w:tab w:val="right" w:leader="dot" w:pos="8832"/>
            </w:tabs>
            <w:spacing w:line="216" w:lineRule="auto"/>
            <w:ind w:left="5"/>
            <w:rPr>
              <w:rFonts w:ascii="宋体" w:hAnsi="宋体" w:eastAsia="宋体" w:cs="宋体"/>
              <w:sz w:val="22"/>
              <w:szCs w:val="22"/>
            </w:rPr>
          </w:pPr>
          <w:bookmarkStart w:id="77" w:name="bookmark105"/>
          <w:bookmarkEnd w:id="77"/>
          <w:r>
            <w:rPr>
              <w:rFonts w:ascii="仿宋" w:hAnsi="仿宋" w:eastAsia="仿宋" w:cs="仿宋"/>
              <w:sz w:val="22"/>
              <w:szCs w:val="22"/>
            </w:rPr>
            <w:t>50</w:t>
          </w:r>
          <w:r>
            <w:rPr>
              <w:rFonts w:ascii="宋体" w:hAnsi="宋体" w:eastAsia="宋体" w:cs="宋体"/>
              <w:sz w:val="22"/>
              <w:szCs w:val="22"/>
            </w:rPr>
            <w:t>．</w:t>
          </w:r>
          <w:r>
            <w:fldChar w:fldCharType="begin"/>
          </w:r>
          <w:r>
            <w:instrText xml:space="preserve"> HYPERLINK \l "bookmark106" </w:instrText>
          </w:r>
          <w:r>
            <w:fldChar w:fldCharType="separate"/>
          </w:r>
          <w:r>
            <w:rPr>
              <w:rFonts w:ascii="微软雅黑" w:hAnsi="微软雅黑" w:eastAsia="微软雅黑" w:cs="微软雅黑"/>
              <w:sz w:val="22"/>
              <w:szCs w:val="22"/>
            </w:rPr>
            <w:t>生产经营单位未对事故隐患进行排查治</w:t>
          </w:r>
          <w:r>
            <w:rPr>
              <w:rFonts w:ascii="微软雅黑" w:hAnsi="微软雅黑" w:eastAsia="微软雅黑" w:cs="微软雅黑"/>
              <w:spacing w:val="-1"/>
              <w:sz w:val="22"/>
              <w:szCs w:val="22"/>
            </w:rPr>
            <w:t>理擅自生产经营的</w:t>
          </w:r>
          <w:r>
            <w:rPr>
              <w:rFonts w:ascii="微软雅黑" w:hAnsi="微软雅黑" w:eastAsia="微软雅黑" w:cs="微软雅黑"/>
              <w:sz w:val="22"/>
              <w:szCs w:val="22"/>
            </w:rPr>
            <w:tab/>
          </w:r>
          <w:r>
            <w:rPr>
              <w:rFonts w:ascii="宋体" w:hAnsi="宋体" w:eastAsia="宋体" w:cs="宋体"/>
              <w:spacing w:val="-6"/>
              <w:sz w:val="22"/>
              <w:szCs w:val="22"/>
            </w:rPr>
            <w:t>67</w:t>
          </w:r>
          <w:r>
            <w:rPr>
              <w:rFonts w:ascii="宋体" w:hAnsi="宋体" w:eastAsia="宋体" w:cs="宋体"/>
              <w:spacing w:val="-6"/>
              <w:sz w:val="22"/>
              <w:szCs w:val="22"/>
            </w:rPr>
            <w:fldChar w:fldCharType="end"/>
          </w:r>
        </w:p>
        <w:p w14:paraId="15A45D61">
          <w:pPr>
            <w:tabs>
              <w:tab w:val="right" w:leader="dot" w:pos="8832"/>
            </w:tabs>
            <w:spacing w:line="216" w:lineRule="auto"/>
            <w:ind w:left="5"/>
            <w:rPr>
              <w:rFonts w:ascii="宋体" w:hAnsi="宋体" w:eastAsia="宋体" w:cs="宋体"/>
              <w:sz w:val="22"/>
              <w:szCs w:val="22"/>
            </w:rPr>
          </w:pPr>
          <w:bookmarkStart w:id="78" w:name="bookmark107"/>
          <w:bookmarkEnd w:id="78"/>
          <w:r>
            <w:rPr>
              <w:rFonts w:ascii="仿宋" w:hAnsi="仿宋" w:eastAsia="仿宋" w:cs="仿宋"/>
              <w:sz w:val="22"/>
              <w:szCs w:val="22"/>
            </w:rPr>
            <w:t>51</w:t>
          </w:r>
          <w:r>
            <w:rPr>
              <w:rFonts w:ascii="宋体" w:hAnsi="宋体" w:eastAsia="宋体" w:cs="宋体"/>
              <w:sz w:val="22"/>
              <w:szCs w:val="22"/>
            </w:rPr>
            <w:t>．</w:t>
          </w:r>
          <w:r>
            <w:fldChar w:fldCharType="begin"/>
          </w:r>
          <w:r>
            <w:instrText xml:space="preserve"> HYPERLINK \l "bookmark108" </w:instrText>
          </w:r>
          <w:r>
            <w:fldChar w:fldCharType="separate"/>
          </w:r>
          <w:r>
            <w:rPr>
              <w:rFonts w:ascii="微软雅黑" w:hAnsi="微软雅黑" w:eastAsia="微软雅黑" w:cs="微软雅黑"/>
              <w:sz w:val="22"/>
              <w:szCs w:val="22"/>
            </w:rPr>
            <w:t>生产经营单位整改不合格或者未经审查同意擅</w:t>
          </w:r>
          <w:r>
            <w:rPr>
              <w:rFonts w:ascii="微软雅黑" w:hAnsi="微软雅黑" w:eastAsia="微软雅黑" w:cs="微软雅黑"/>
              <w:spacing w:val="-1"/>
              <w:sz w:val="22"/>
              <w:szCs w:val="22"/>
            </w:rPr>
            <w:t>自恢复生产经营的</w:t>
          </w:r>
          <w:r>
            <w:rPr>
              <w:rFonts w:ascii="微软雅黑" w:hAnsi="微软雅黑" w:eastAsia="微软雅黑" w:cs="微软雅黑"/>
              <w:sz w:val="22"/>
              <w:szCs w:val="22"/>
            </w:rPr>
            <w:tab/>
          </w:r>
          <w:r>
            <w:rPr>
              <w:rFonts w:ascii="宋体" w:hAnsi="宋体" w:eastAsia="宋体" w:cs="宋体"/>
              <w:spacing w:val="-6"/>
              <w:sz w:val="22"/>
              <w:szCs w:val="22"/>
            </w:rPr>
            <w:t>68</w:t>
          </w:r>
          <w:r>
            <w:rPr>
              <w:rFonts w:ascii="宋体" w:hAnsi="宋体" w:eastAsia="宋体" w:cs="宋体"/>
              <w:spacing w:val="-6"/>
              <w:sz w:val="22"/>
              <w:szCs w:val="22"/>
            </w:rPr>
            <w:fldChar w:fldCharType="end"/>
          </w:r>
        </w:p>
        <w:p w14:paraId="4469A17A">
          <w:pPr>
            <w:spacing w:line="409" w:lineRule="exact"/>
            <w:ind w:left="5"/>
            <w:rPr>
              <w:rFonts w:ascii="微软雅黑" w:hAnsi="微软雅黑" w:eastAsia="微软雅黑" w:cs="微软雅黑"/>
              <w:sz w:val="22"/>
              <w:szCs w:val="22"/>
            </w:rPr>
          </w:pPr>
          <w:bookmarkStart w:id="79" w:name="bookmark109"/>
          <w:bookmarkEnd w:id="79"/>
          <w:r>
            <w:rPr>
              <w:rFonts w:ascii="仿宋" w:hAnsi="仿宋" w:eastAsia="仿宋" w:cs="仿宋"/>
              <w:spacing w:val="1"/>
              <w:position w:val="5"/>
              <w:sz w:val="22"/>
              <w:szCs w:val="22"/>
            </w:rPr>
            <w:t>52</w:t>
          </w:r>
          <w:r>
            <w:rPr>
              <w:rFonts w:ascii="宋体" w:hAnsi="宋体" w:eastAsia="宋体" w:cs="宋体"/>
              <w:spacing w:val="1"/>
              <w:position w:val="5"/>
              <w:sz w:val="22"/>
              <w:szCs w:val="22"/>
            </w:rPr>
            <w:t>．</w:t>
          </w:r>
          <w:r>
            <w:fldChar w:fldCharType="begin"/>
          </w:r>
          <w:r>
            <w:instrText xml:space="preserve"> HYPERLINK \l "bookmark110" </w:instrText>
          </w:r>
          <w:r>
            <w:fldChar w:fldCharType="separate"/>
          </w:r>
          <w:r>
            <w:rPr>
              <w:rFonts w:ascii="微软雅黑" w:hAnsi="微软雅黑" w:eastAsia="微软雅黑" w:cs="微软雅黑"/>
              <w:spacing w:val="1"/>
              <w:position w:val="5"/>
              <w:sz w:val="22"/>
              <w:szCs w:val="22"/>
            </w:rPr>
            <w:t>生产经营单位的生产、经营、储存、使用</w:t>
          </w:r>
          <w:r>
            <w:rPr>
              <w:rFonts w:ascii="微软雅黑" w:hAnsi="微软雅黑" w:eastAsia="微软雅黑" w:cs="微软雅黑"/>
              <w:position w:val="5"/>
              <w:sz w:val="22"/>
              <w:szCs w:val="22"/>
            </w:rPr>
            <w:t>危险物品的车间、商店、仓库与员工宿舍在同</w:t>
          </w:r>
          <w:r>
            <w:rPr>
              <w:rFonts w:ascii="微软雅黑" w:hAnsi="微软雅黑" w:eastAsia="微软雅黑" w:cs="微软雅黑"/>
              <w:position w:val="5"/>
              <w:sz w:val="22"/>
              <w:szCs w:val="22"/>
            </w:rPr>
            <w:fldChar w:fldCharType="end"/>
          </w:r>
        </w:p>
        <w:p w14:paraId="5046A295">
          <w:pPr>
            <w:tabs>
              <w:tab w:val="right" w:leader="dot" w:pos="8830"/>
            </w:tabs>
            <w:spacing w:before="6" w:line="168" w:lineRule="auto"/>
            <w:ind w:left="18"/>
            <w:rPr>
              <w:rFonts w:ascii="宋体" w:hAnsi="宋体" w:eastAsia="宋体" w:cs="宋体"/>
              <w:sz w:val="22"/>
              <w:szCs w:val="22"/>
            </w:rPr>
          </w:pPr>
          <w:bookmarkStart w:id="80" w:name="bookmark109"/>
          <w:bookmarkEnd w:id="80"/>
          <w:r>
            <w:fldChar w:fldCharType="begin"/>
          </w:r>
          <w:r>
            <w:instrText xml:space="preserve"> HYPERLINK \l "bookmark109" </w:instrText>
          </w:r>
          <w:r>
            <w:fldChar w:fldCharType="separate"/>
          </w:r>
          <w:r>
            <w:rPr>
              <w:rFonts w:ascii="微软雅黑" w:hAnsi="微软雅黑" w:eastAsia="微软雅黑" w:cs="微软雅黑"/>
              <w:spacing w:val="-1"/>
              <w:sz w:val="22"/>
              <w:szCs w:val="22"/>
            </w:rPr>
            <w:t>一座建筑内，或者与员工宿舍的距离不符合安全要求的</w:t>
          </w:r>
          <w:r>
            <w:rPr>
              <w:rFonts w:ascii="微软雅黑" w:hAnsi="微软雅黑" w:eastAsia="微软雅黑" w:cs="微软雅黑"/>
              <w:sz w:val="22"/>
              <w:szCs w:val="22"/>
            </w:rPr>
            <w:tab/>
          </w:r>
          <w:r>
            <w:rPr>
              <w:rFonts w:ascii="宋体" w:hAnsi="宋体" w:eastAsia="宋体" w:cs="宋体"/>
              <w:spacing w:val="-6"/>
              <w:sz w:val="22"/>
              <w:szCs w:val="22"/>
            </w:rPr>
            <w:t>68</w:t>
          </w:r>
          <w:r>
            <w:rPr>
              <w:rFonts w:ascii="宋体" w:hAnsi="宋体" w:eastAsia="宋体" w:cs="宋体"/>
              <w:spacing w:val="-6"/>
              <w:sz w:val="22"/>
              <w:szCs w:val="22"/>
            </w:rPr>
            <w:fldChar w:fldCharType="end"/>
          </w:r>
        </w:p>
        <w:p w14:paraId="4FB990DE">
          <w:pPr>
            <w:spacing w:line="410" w:lineRule="exact"/>
            <w:ind w:left="5"/>
            <w:rPr>
              <w:rFonts w:ascii="微软雅黑" w:hAnsi="微软雅黑" w:eastAsia="微软雅黑" w:cs="微软雅黑"/>
              <w:sz w:val="22"/>
              <w:szCs w:val="22"/>
            </w:rPr>
          </w:pPr>
          <w:bookmarkStart w:id="81" w:name="bookmark111"/>
          <w:bookmarkEnd w:id="81"/>
          <w:r>
            <w:rPr>
              <w:rFonts w:ascii="仿宋" w:hAnsi="仿宋" w:eastAsia="仿宋" w:cs="仿宋"/>
              <w:spacing w:val="1"/>
              <w:position w:val="5"/>
              <w:sz w:val="22"/>
              <w:szCs w:val="22"/>
            </w:rPr>
            <w:t>53</w:t>
          </w:r>
          <w:r>
            <w:rPr>
              <w:rFonts w:ascii="宋体" w:hAnsi="宋体" w:eastAsia="宋体" w:cs="宋体"/>
              <w:spacing w:val="1"/>
              <w:position w:val="5"/>
              <w:sz w:val="22"/>
              <w:szCs w:val="22"/>
            </w:rPr>
            <w:t>．</w:t>
          </w:r>
          <w:r>
            <w:fldChar w:fldCharType="begin"/>
          </w:r>
          <w:r>
            <w:instrText xml:space="preserve"> HYPERLINK \l "bookmark112" </w:instrText>
          </w:r>
          <w:r>
            <w:fldChar w:fldCharType="separate"/>
          </w:r>
          <w:r>
            <w:rPr>
              <w:rFonts w:ascii="微软雅黑" w:hAnsi="微软雅黑" w:eastAsia="微软雅黑" w:cs="微软雅黑"/>
              <w:spacing w:val="1"/>
              <w:position w:val="5"/>
              <w:sz w:val="22"/>
              <w:szCs w:val="22"/>
            </w:rPr>
            <w:t>生产经营单位的生产经营场所和员工宿舍</w:t>
          </w:r>
          <w:r>
            <w:rPr>
              <w:rFonts w:ascii="微软雅黑" w:hAnsi="微软雅黑" w:eastAsia="微软雅黑" w:cs="微软雅黑"/>
              <w:position w:val="5"/>
              <w:sz w:val="22"/>
              <w:szCs w:val="22"/>
            </w:rPr>
            <w:t>未设有符合紧急疏散需要、标志明显、保持畅</w:t>
          </w:r>
          <w:r>
            <w:rPr>
              <w:rFonts w:ascii="微软雅黑" w:hAnsi="微软雅黑" w:eastAsia="微软雅黑" w:cs="微软雅黑"/>
              <w:position w:val="5"/>
              <w:sz w:val="22"/>
              <w:szCs w:val="22"/>
            </w:rPr>
            <w:fldChar w:fldCharType="end"/>
          </w:r>
        </w:p>
        <w:p w14:paraId="3D37C236">
          <w:pPr>
            <w:spacing w:before="8" w:line="167" w:lineRule="auto"/>
            <w:jc w:val="right"/>
            <w:rPr>
              <w:rFonts w:ascii="宋体" w:hAnsi="宋体" w:eastAsia="宋体" w:cs="宋体"/>
              <w:sz w:val="22"/>
              <w:szCs w:val="22"/>
            </w:rPr>
          </w:pPr>
          <w:bookmarkStart w:id="82" w:name="bookmark111"/>
          <w:bookmarkEnd w:id="82"/>
          <w:r>
            <w:fldChar w:fldCharType="begin"/>
          </w:r>
          <w:r>
            <w:instrText xml:space="preserve"> HYPERLINK \l "bookmark111" </w:instrText>
          </w:r>
          <w:r>
            <w:fldChar w:fldCharType="separate"/>
          </w:r>
          <w:r>
            <w:rPr>
              <w:rFonts w:ascii="微软雅黑" w:hAnsi="微软雅黑" w:eastAsia="微软雅黑" w:cs="微软雅黑"/>
              <w:sz w:val="22"/>
              <w:szCs w:val="22"/>
            </w:rPr>
            <w:t>通的出口、疏散通道，或者占用、锁闭、封堵生产经营场</w:t>
          </w:r>
          <w:r>
            <w:rPr>
              <w:rFonts w:ascii="微软雅黑" w:hAnsi="微软雅黑" w:eastAsia="微软雅黑" w:cs="微软雅黑"/>
              <w:spacing w:val="-1"/>
              <w:sz w:val="22"/>
              <w:szCs w:val="22"/>
            </w:rPr>
            <w:t>所或者员工宿舍出口、疏散通道的</w:t>
          </w:r>
          <w:r>
            <w:rPr>
              <w:rFonts w:ascii="宋体" w:hAnsi="宋体" w:eastAsia="宋体" w:cs="宋体"/>
              <w:spacing w:val="-1"/>
              <w:sz w:val="22"/>
              <w:szCs w:val="22"/>
            </w:rPr>
            <w:t>69</w:t>
          </w:r>
          <w:r>
            <w:rPr>
              <w:rFonts w:ascii="宋体" w:hAnsi="宋体" w:eastAsia="宋体" w:cs="宋体"/>
              <w:spacing w:val="-1"/>
              <w:sz w:val="22"/>
              <w:szCs w:val="22"/>
            </w:rPr>
            <w:fldChar w:fldCharType="end"/>
          </w:r>
        </w:p>
        <w:p w14:paraId="514BBD55">
          <w:pPr>
            <w:spacing w:line="410" w:lineRule="exact"/>
            <w:ind w:left="5"/>
            <w:rPr>
              <w:rFonts w:ascii="微软雅黑" w:hAnsi="微软雅黑" w:eastAsia="微软雅黑" w:cs="微软雅黑"/>
              <w:sz w:val="22"/>
              <w:szCs w:val="22"/>
            </w:rPr>
          </w:pPr>
          <w:bookmarkStart w:id="83" w:name="bookmark111"/>
          <w:bookmarkEnd w:id="83"/>
          <w:r>
            <w:rPr>
              <w:rFonts w:ascii="仿宋" w:hAnsi="仿宋" w:eastAsia="仿宋" w:cs="仿宋"/>
              <w:spacing w:val="1"/>
              <w:position w:val="5"/>
              <w:sz w:val="22"/>
              <w:szCs w:val="22"/>
            </w:rPr>
            <w:t>54</w:t>
          </w:r>
          <w:r>
            <w:rPr>
              <w:rFonts w:ascii="宋体" w:hAnsi="宋体" w:eastAsia="宋体" w:cs="宋体"/>
              <w:spacing w:val="1"/>
              <w:position w:val="5"/>
              <w:sz w:val="22"/>
              <w:szCs w:val="22"/>
            </w:rPr>
            <w:t>．</w:t>
          </w:r>
          <w:r>
            <w:fldChar w:fldCharType="begin"/>
          </w:r>
          <w:r>
            <w:instrText xml:space="preserve"> HYPERLINK \l "bookmark113" </w:instrText>
          </w:r>
          <w:r>
            <w:fldChar w:fldCharType="separate"/>
          </w:r>
          <w:r>
            <w:rPr>
              <w:rFonts w:ascii="微软雅黑" w:hAnsi="微软雅黑" w:eastAsia="微软雅黑" w:cs="微软雅黑"/>
              <w:spacing w:val="1"/>
              <w:position w:val="5"/>
              <w:sz w:val="22"/>
              <w:szCs w:val="22"/>
            </w:rPr>
            <w:t>生产经营单位进行爆破、吊装、动火、临</w:t>
          </w:r>
          <w:r>
            <w:rPr>
              <w:rFonts w:ascii="微软雅黑" w:hAnsi="微软雅黑" w:eastAsia="微软雅黑" w:cs="微软雅黑"/>
              <w:position w:val="5"/>
              <w:sz w:val="22"/>
              <w:szCs w:val="22"/>
            </w:rPr>
            <w:t>时用电以及国务院应急管理部门会同国务院有</w:t>
          </w:r>
          <w:r>
            <w:rPr>
              <w:rFonts w:ascii="微软雅黑" w:hAnsi="微软雅黑" w:eastAsia="微软雅黑" w:cs="微软雅黑"/>
              <w:position w:val="5"/>
              <w:sz w:val="22"/>
              <w:szCs w:val="22"/>
            </w:rPr>
            <w:fldChar w:fldCharType="end"/>
          </w:r>
        </w:p>
        <w:p w14:paraId="22D1EDEA">
          <w:pPr>
            <w:tabs>
              <w:tab w:val="right" w:leader="dot" w:pos="8832"/>
            </w:tabs>
            <w:spacing w:before="7" w:line="167" w:lineRule="auto"/>
            <w:ind w:left="12"/>
            <w:rPr>
              <w:rFonts w:ascii="宋体" w:hAnsi="宋体" w:eastAsia="宋体" w:cs="宋体"/>
              <w:sz w:val="22"/>
              <w:szCs w:val="22"/>
            </w:rPr>
          </w:pPr>
          <w:bookmarkStart w:id="84" w:name="bookmark111"/>
          <w:bookmarkEnd w:id="84"/>
          <w:r>
            <w:fldChar w:fldCharType="begin"/>
          </w:r>
          <w:r>
            <w:instrText xml:space="preserve"> HYPERLINK \l "bookmark111" </w:instrText>
          </w:r>
          <w:r>
            <w:fldChar w:fldCharType="separate"/>
          </w:r>
          <w:r>
            <w:rPr>
              <w:rFonts w:ascii="微软雅黑" w:hAnsi="微软雅黑" w:eastAsia="微软雅黑" w:cs="微软雅黑"/>
              <w:spacing w:val="-1"/>
              <w:sz w:val="22"/>
              <w:szCs w:val="22"/>
            </w:rPr>
            <w:t>关部门规定的其他危险作业，未安排专门人员进行现场安全管理的</w:t>
          </w:r>
          <w:r>
            <w:rPr>
              <w:rFonts w:ascii="微软雅黑" w:hAnsi="微软雅黑" w:eastAsia="微软雅黑" w:cs="微软雅黑"/>
              <w:sz w:val="22"/>
              <w:szCs w:val="22"/>
            </w:rPr>
            <w:tab/>
          </w:r>
          <w:r>
            <w:rPr>
              <w:rFonts w:ascii="宋体" w:hAnsi="宋体" w:eastAsia="宋体" w:cs="宋体"/>
              <w:spacing w:val="-7"/>
              <w:sz w:val="22"/>
              <w:szCs w:val="22"/>
            </w:rPr>
            <w:t>70</w:t>
          </w:r>
          <w:r>
            <w:rPr>
              <w:rFonts w:ascii="宋体" w:hAnsi="宋体" w:eastAsia="宋体" w:cs="宋体"/>
              <w:spacing w:val="-7"/>
              <w:sz w:val="22"/>
              <w:szCs w:val="22"/>
            </w:rPr>
            <w:fldChar w:fldCharType="end"/>
          </w:r>
        </w:p>
        <w:p w14:paraId="0AF3A650">
          <w:pPr>
            <w:tabs>
              <w:tab w:val="right" w:leader="dot" w:pos="8835"/>
            </w:tabs>
            <w:spacing w:line="216" w:lineRule="auto"/>
            <w:ind w:left="5"/>
            <w:rPr>
              <w:rFonts w:ascii="宋体" w:hAnsi="宋体" w:eastAsia="宋体" w:cs="宋体"/>
              <w:sz w:val="22"/>
              <w:szCs w:val="22"/>
            </w:rPr>
          </w:pPr>
          <w:bookmarkStart w:id="85" w:name="bookmark114"/>
          <w:bookmarkEnd w:id="85"/>
          <w:r>
            <w:rPr>
              <w:rFonts w:ascii="仿宋" w:hAnsi="仿宋" w:eastAsia="仿宋" w:cs="仿宋"/>
              <w:sz w:val="22"/>
              <w:szCs w:val="22"/>
            </w:rPr>
            <w:t>55</w:t>
          </w:r>
          <w:r>
            <w:rPr>
              <w:rFonts w:ascii="宋体" w:hAnsi="宋体" w:eastAsia="宋体" w:cs="宋体"/>
              <w:sz w:val="22"/>
              <w:szCs w:val="22"/>
            </w:rPr>
            <w:t>．</w:t>
          </w:r>
          <w:r>
            <w:fldChar w:fldCharType="begin"/>
          </w:r>
          <w:r>
            <w:instrText xml:space="preserve"> HYPERLINK \l "bookmark115" </w:instrText>
          </w:r>
          <w:r>
            <w:fldChar w:fldCharType="separate"/>
          </w:r>
          <w:r>
            <w:rPr>
              <w:rFonts w:ascii="微软雅黑" w:hAnsi="微软雅黑" w:eastAsia="微软雅黑" w:cs="微软雅黑"/>
              <w:sz w:val="22"/>
              <w:szCs w:val="22"/>
            </w:rPr>
            <w:t>生产经营单位未为从业人员提供符合国家标准或者行业标准</w:t>
          </w:r>
          <w:r>
            <w:rPr>
              <w:rFonts w:ascii="微软雅黑" w:hAnsi="微软雅黑" w:eastAsia="微软雅黑" w:cs="微软雅黑"/>
              <w:spacing w:val="-1"/>
              <w:sz w:val="22"/>
              <w:szCs w:val="22"/>
            </w:rPr>
            <w:t>的劳动防护用品的</w:t>
          </w:r>
          <w:r>
            <w:rPr>
              <w:rFonts w:ascii="微软雅黑" w:hAnsi="微软雅黑" w:eastAsia="微软雅黑" w:cs="微软雅黑"/>
              <w:sz w:val="22"/>
              <w:szCs w:val="22"/>
            </w:rPr>
            <w:tab/>
          </w:r>
          <w:r>
            <w:rPr>
              <w:rFonts w:ascii="宋体" w:hAnsi="宋体" w:eastAsia="宋体" w:cs="宋体"/>
              <w:spacing w:val="-7"/>
              <w:sz w:val="22"/>
              <w:szCs w:val="22"/>
            </w:rPr>
            <w:t>71</w:t>
          </w:r>
          <w:r>
            <w:rPr>
              <w:rFonts w:ascii="宋体" w:hAnsi="宋体" w:eastAsia="宋体" w:cs="宋体"/>
              <w:spacing w:val="-7"/>
              <w:sz w:val="22"/>
              <w:szCs w:val="22"/>
            </w:rPr>
            <w:fldChar w:fldCharType="end"/>
          </w:r>
        </w:p>
        <w:p w14:paraId="39AE1EA9">
          <w:pPr>
            <w:spacing w:line="411" w:lineRule="exact"/>
            <w:ind w:left="5"/>
            <w:rPr>
              <w:rFonts w:ascii="微软雅黑" w:hAnsi="微软雅黑" w:eastAsia="微软雅黑" w:cs="微软雅黑"/>
              <w:sz w:val="22"/>
              <w:szCs w:val="22"/>
            </w:rPr>
          </w:pPr>
          <w:bookmarkStart w:id="86" w:name="bookmark116"/>
          <w:bookmarkEnd w:id="86"/>
          <w:r>
            <w:rPr>
              <w:rFonts w:ascii="仿宋" w:hAnsi="仿宋" w:eastAsia="仿宋" w:cs="仿宋"/>
              <w:position w:val="5"/>
              <w:sz w:val="22"/>
              <w:szCs w:val="22"/>
            </w:rPr>
            <w:t>56</w:t>
          </w:r>
          <w:r>
            <w:rPr>
              <w:rFonts w:ascii="宋体" w:hAnsi="宋体" w:eastAsia="宋体" w:cs="宋体"/>
              <w:position w:val="5"/>
              <w:sz w:val="22"/>
              <w:szCs w:val="22"/>
            </w:rPr>
            <w:t>．</w:t>
          </w:r>
          <w:r>
            <w:fldChar w:fldCharType="begin"/>
          </w:r>
          <w:r>
            <w:instrText xml:space="preserve"> HYPERLINK \l "bookmark117" </w:instrText>
          </w:r>
          <w:r>
            <w:fldChar w:fldCharType="separate"/>
          </w:r>
          <w:r>
            <w:rPr>
              <w:rFonts w:ascii="微软雅黑" w:hAnsi="微软雅黑" w:eastAsia="微软雅黑" w:cs="微软雅黑"/>
              <w:position w:val="5"/>
              <w:sz w:val="22"/>
              <w:szCs w:val="22"/>
            </w:rPr>
            <w:t>两个以上生产经营单位在同一作业区域内进行可能危及对</w:t>
          </w:r>
          <w:r>
            <w:rPr>
              <w:rFonts w:ascii="微软雅黑" w:hAnsi="微软雅黑" w:eastAsia="微软雅黑" w:cs="微软雅黑"/>
              <w:spacing w:val="-1"/>
              <w:position w:val="5"/>
              <w:sz w:val="22"/>
              <w:szCs w:val="22"/>
            </w:rPr>
            <w:t>方安全生产的生产经营活动，</w:t>
          </w:r>
          <w:r>
            <w:rPr>
              <w:rFonts w:ascii="微软雅黑" w:hAnsi="微软雅黑" w:eastAsia="微软雅黑" w:cs="微软雅黑"/>
              <w:spacing w:val="-1"/>
              <w:position w:val="5"/>
              <w:sz w:val="22"/>
              <w:szCs w:val="22"/>
            </w:rPr>
            <w:fldChar w:fldCharType="end"/>
          </w:r>
        </w:p>
        <w:p w14:paraId="1A25C397">
          <w:pPr>
            <w:tabs>
              <w:tab w:val="right" w:leader="dot" w:pos="8835"/>
            </w:tabs>
            <w:spacing w:before="7" w:line="167" w:lineRule="auto"/>
            <w:ind w:left="6"/>
            <w:rPr>
              <w:rFonts w:ascii="宋体" w:hAnsi="宋体" w:eastAsia="宋体" w:cs="宋体"/>
              <w:sz w:val="22"/>
              <w:szCs w:val="22"/>
            </w:rPr>
          </w:pPr>
          <w:bookmarkStart w:id="87" w:name="bookmark116"/>
          <w:bookmarkEnd w:id="87"/>
          <w:r>
            <w:fldChar w:fldCharType="begin"/>
          </w:r>
          <w:r>
            <w:instrText xml:space="preserve"> HYPERLINK \l "bookmark116" </w:instrText>
          </w:r>
          <w:r>
            <w:fldChar w:fldCharType="separate"/>
          </w:r>
          <w:r>
            <w:rPr>
              <w:rFonts w:ascii="微软雅黑" w:hAnsi="微软雅黑" w:eastAsia="微软雅黑" w:cs="微软雅黑"/>
              <w:sz w:val="22"/>
              <w:szCs w:val="22"/>
            </w:rPr>
            <w:t>未签订安全生产管理协议或者未指定专职安全生产管理人员进</w:t>
          </w:r>
          <w:r>
            <w:rPr>
              <w:rFonts w:ascii="微软雅黑" w:hAnsi="微软雅黑" w:eastAsia="微软雅黑" w:cs="微软雅黑"/>
              <w:spacing w:val="-1"/>
              <w:sz w:val="22"/>
              <w:szCs w:val="22"/>
            </w:rPr>
            <w:t>行安全检查与协调的</w:t>
          </w:r>
          <w:r>
            <w:rPr>
              <w:rFonts w:ascii="微软雅黑" w:hAnsi="微软雅黑" w:eastAsia="微软雅黑" w:cs="微软雅黑"/>
              <w:sz w:val="22"/>
              <w:szCs w:val="22"/>
            </w:rPr>
            <w:tab/>
          </w:r>
          <w:r>
            <w:rPr>
              <w:rFonts w:ascii="宋体" w:hAnsi="宋体" w:eastAsia="宋体" w:cs="宋体"/>
              <w:spacing w:val="-7"/>
              <w:sz w:val="22"/>
              <w:szCs w:val="22"/>
            </w:rPr>
            <w:t>73</w:t>
          </w:r>
          <w:r>
            <w:rPr>
              <w:rFonts w:ascii="宋体" w:hAnsi="宋体" w:eastAsia="宋体" w:cs="宋体"/>
              <w:spacing w:val="-7"/>
              <w:sz w:val="22"/>
              <w:szCs w:val="22"/>
            </w:rPr>
            <w:fldChar w:fldCharType="end"/>
          </w:r>
        </w:p>
        <w:p w14:paraId="335B0904">
          <w:pPr>
            <w:spacing w:line="409" w:lineRule="exact"/>
            <w:ind w:left="5"/>
            <w:rPr>
              <w:rFonts w:ascii="微软雅黑" w:hAnsi="微软雅黑" w:eastAsia="微软雅黑" w:cs="微软雅黑"/>
              <w:sz w:val="22"/>
              <w:szCs w:val="22"/>
            </w:rPr>
          </w:pPr>
          <w:bookmarkStart w:id="88" w:name="bookmark118"/>
          <w:bookmarkEnd w:id="88"/>
          <w:r>
            <w:rPr>
              <w:rFonts w:ascii="仿宋" w:hAnsi="仿宋" w:eastAsia="仿宋" w:cs="仿宋"/>
              <w:spacing w:val="1"/>
              <w:position w:val="5"/>
              <w:sz w:val="22"/>
              <w:szCs w:val="22"/>
            </w:rPr>
            <w:t>57</w:t>
          </w:r>
          <w:r>
            <w:rPr>
              <w:rFonts w:ascii="宋体" w:hAnsi="宋体" w:eastAsia="宋体" w:cs="宋体"/>
              <w:spacing w:val="1"/>
              <w:position w:val="5"/>
              <w:sz w:val="22"/>
              <w:szCs w:val="22"/>
            </w:rPr>
            <w:t>．</w:t>
          </w:r>
          <w:r>
            <w:fldChar w:fldCharType="begin"/>
          </w:r>
          <w:r>
            <w:instrText xml:space="preserve"> HYPERLINK \l "bookmark119" </w:instrText>
          </w:r>
          <w:r>
            <w:fldChar w:fldCharType="separate"/>
          </w:r>
          <w:r>
            <w:rPr>
              <w:rFonts w:ascii="微软雅黑" w:hAnsi="微软雅黑" w:eastAsia="微软雅黑" w:cs="微软雅黑"/>
              <w:spacing w:val="1"/>
              <w:position w:val="5"/>
              <w:sz w:val="22"/>
              <w:szCs w:val="22"/>
            </w:rPr>
            <w:t>生产经营单位将生产经营项目、场所、设</w:t>
          </w:r>
          <w:r>
            <w:rPr>
              <w:rFonts w:ascii="微软雅黑" w:hAnsi="微软雅黑" w:eastAsia="微软雅黑" w:cs="微软雅黑"/>
              <w:position w:val="5"/>
              <w:sz w:val="22"/>
              <w:szCs w:val="22"/>
            </w:rPr>
            <w:t>备发包或者出租给不具备安全生产条件或者相</w:t>
          </w:r>
          <w:r>
            <w:rPr>
              <w:rFonts w:ascii="微软雅黑" w:hAnsi="微软雅黑" w:eastAsia="微软雅黑" w:cs="微软雅黑"/>
              <w:position w:val="5"/>
              <w:sz w:val="22"/>
              <w:szCs w:val="22"/>
            </w:rPr>
            <w:fldChar w:fldCharType="end"/>
          </w:r>
        </w:p>
        <w:p w14:paraId="11181B39">
          <w:pPr>
            <w:tabs>
              <w:tab w:val="right" w:leader="dot" w:pos="8825"/>
            </w:tabs>
            <w:spacing w:before="6" w:line="168" w:lineRule="auto"/>
            <w:ind w:left="11"/>
            <w:rPr>
              <w:rFonts w:ascii="宋体" w:hAnsi="宋体" w:eastAsia="宋体" w:cs="宋体"/>
              <w:sz w:val="22"/>
              <w:szCs w:val="22"/>
            </w:rPr>
          </w:pPr>
          <w:bookmarkStart w:id="89" w:name="bookmark118"/>
          <w:bookmarkEnd w:id="89"/>
          <w:r>
            <w:fldChar w:fldCharType="begin"/>
          </w:r>
          <w:r>
            <w:instrText xml:space="preserve"> HYPERLINK \l "bookmark118" </w:instrText>
          </w:r>
          <w:r>
            <w:fldChar w:fldCharType="separate"/>
          </w:r>
          <w:r>
            <w:rPr>
              <w:rFonts w:ascii="微软雅黑" w:hAnsi="微软雅黑" w:eastAsia="微软雅黑" w:cs="微软雅黑"/>
              <w:spacing w:val="-2"/>
              <w:sz w:val="22"/>
              <w:szCs w:val="22"/>
            </w:rPr>
            <w:t>应资质的单位或者个人的</w:t>
          </w:r>
          <w:r>
            <w:rPr>
              <w:rFonts w:ascii="微软雅黑" w:hAnsi="微软雅黑" w:eastAsia="微软雅黑" w:cs="微软雅黑"/>
              <w:sz w:val="22"/>
              <w:szCs w:val="22"/>
            </w:rPr>
            <w:tab/>
          </w:r>
          <w:r>
            <w:rPr>
              <w:rFonts w:ascii="宋体" w:hAnsi="宋体" w:eastAsia="宋体" w:cs="宋体"/>
              <w:spacing w:val="-7"/>
              <w:sz w:val="22"/>
              <w:szCs w:val="22"/>
            </w:rPr>
            <w:t>74</w:t>
          </w:r>
          <w:r>
            <w:rPr>
              <w:rFonts w:ascii="宋体" w:hAnsi="宋体" w:eastAsia="宋体" w:cs="宋体"/>
              <w:spacing w:val="-7"/>
              <w:sz w:val="22"/>
              <w:szCs w:val="22"/>
            </w:rPr>
            <w:fldChar w:fldCharType="end"/>
          </w:r>
        </w:p>
        <w:p w14:paraId="3C83CBCD">
          <w:pPr>
            <w:spacing w:line="411" w:lineRule="exact"/>
            <w:ind w:left="5"/>
            <w:rPr>
              <w:rFonts w:ascii="微软雅黑" w:hAnsi="微软雅黑" w:eastAsia="微软雅黑" w:cs="微软雅黑"/>
              <w:sz w:val="22"/>
              <w:szCs w:val="22"/>
            </w:rPr>
          </w:pPr>
          <w:bookmarkStart w:id="90" w:name="bookmark120"/>
          <w:bookmarkEnd w:id="90"/>
          <w:r>
            <w:rPr>
              <w:rFonts w:ascii="仿宋" w:hAnsi="仿宋" w:eastAsia="仿宋" w:cs="仿宋"/>
              <w:spacing w:val="-2"/>
              <w:position w:val="5"/>
              <w:sz w:val="22"/>
              <w:szCs w:val="22"/>
            </w:rPr>
            <w:t>58</w:t>
          </w:r>
          <w:r>
            <w:rPr>
              <w:rFonts w:ascii="宋体" w:hAnsi="宋体" w:eastAsia="宋体" w:cs="宋体"/>
              <w:spacing w:val="-2"/>
              <w:position w:val="5"/>
              <w:sz w:val="22"/>
              <w:szCs w:val="22"/>
            </w:rPr>
            <w:t>．</w:t>
          </w:r>
          <w:r>
            <w:fldChar w:fldCharType="begin"/>
          </w:r>
          <w:r>
            <w:instrText xml:space="preserve"> HYPERLINK \l "bookmark121" </w:instrText>
          </w:r>
          <w:r>
            <w:fldChar w:fldCharType="separate"/>
          </w:r>
          <w:r>
            <w:rPr>
              <w:rFonts w:ascii="微软雅黑" w:hAnsi="微软雅黑" w:eastAsia="微软雅黑" w:cs="微软雅黑"/>
              <w:spacing w:val="-2"/>
              <w:position w:val="5"/>
              <w:sz w:val="22"/>
              <w:szCs w:val="22"/>
            </w:rPr>
            <w:t>生产经营单位未与承包单位、承租单位签订专</w:t>
          </w:r>
          <w:r>
            <w:rPr>
              <w:rFonts w:ascii="微软雅黑" w:hAnsi="微软雅黑" w:eastAsia="微软雅黑" w:cs="微软雅黑"/>
              <w:spacing w:val="-3"/>
              <w:position w:val="5"/>
              <w:sz w:val="22"/>
              <w:szCs w:val="22"/>
            </w:rPr>
            <w:t>门的安全生产管理协议或者未在承包合同、</w:t>
          </w:r>
          <w:r>
            <w:rPr>
              <w:rFonts w:ascii="微软雅黑" w:hAnsi="微软雅黑" w:eastAsia="微软雅黑" w:cs="微软雅黑"/>
              <w:spacing w:val="-3"/>
              <w:position w:val="5"/>
              <w:sz w:val="22"/>
              <w:szCs w:val="22"/>
            </w:rPr>
            <w:fldChar w:fldCharType="end"/>
          </w:r>
        </w:p>
        <w:p w14:paraId="396B0916">
          <w:pPr>
            <w:spacing w:before="8" w:line="202" w:lineRule="auto"/>
            <w:ind w:left="8"/>
            <w:rPr>
              <w:rFonts w:ascii="微软雅黑" w:hAnsi="微软雅黑" w:eastAsia="微软雅黑" w:cs="微软雅黑"/>
              <w:sz w:val="22"/>
              <w:szCs w:val="22"/>
            </w:rPr>
          </w:pPr>
          <w:bookmarkStart w:id="91" w:name="bookmark120"/>
          <w:bookmarkEnd w:id="91"/>
          <w:r>
            <w:fldChar w:fldCharType="begin"/>
          </w:r>
          <w:r>
            <w:instrText xml:space="preserve"> HYPERLINK \l "bookmark120" </w:instrText>
          </w:r>
          <w:r>
            <w:fldChar w:fldCharType="separate"/>
          </w:r>
          <w:r>
            <w:rPr>
              <w:rFonts w:ascii="微软雅黑" w:hAnsi="微软雅黑" w:eastAsia="微软雅黑" w:cs="微软雅黑"/>
              <w:sz w:val="22"/>
              <w:szCs w:val="22"/>
            </w:rPr>
            <w:t>租赁合同中明确各自的安全生产管理职责，或者未对承包单位、承租单位的安全生产统一协</w:t>
          </w:r>
          <w:r>
            <w:rPr>
              <w:rFonts w:ascii="微软雅黑" w:hAnsi="微软雅黑" w:eastAsia="微软雅黑" w:cs="微软雅黑"/>
              <w:sz w:val="22"/>
              <w:szCs w:val="22"/>
            </w:rPr>
            <w:fldChar w:fldCharType="end"/>
          </w:r>
        </w:p>
        <w:p w14:paraId="13325495">
          <w:pPr>
            <w:tabs>
              <w:tab w:val="right" w:leader="dot" w:pos="8824"/>
            </w:tabs>
            <w:spacing w:before="19" w:line="168" w:lineRule="auto"/>
            <w:ind w:left="4"/>
            <w:rPr>
              <w:rFonts w:ascii="宋体" w:hAnsi="宋体" w:eastAsia="宋体" w:cs="宋体"/>
              <w:sz w:val="22"/>
              <w:szCs w:val="22"/>
            </w:rPr>
          </w:pPr>
          <w:bookmarkStart w:id="92" w:name="bookmark120"/>
          <w:bookmarkEnd w:id="92"/>
          <w:r>
            <w:fldChar w:fldCharType="begin"/>
          </w:r>
          <w:r>
            <w:instrText xml:space="preserve"> HYPERLINK \l "bookmark120" </w:instrText>
          </w:r>
          <w:r>
            <w:fldChar w:fldCharType="separate"/>
          </w:r>
          <w:r>
            <w:rPr>
              <w:rFonts w:ascii="微软雅黑" w:hAnsi="微软雅黑" w:eastAsia="微软雅黑" w:cs="微软雅黑"/>
              <w:spacing w:val="-2"/>
              <w:sz w:val="22"/>
              <w:szCs w:val="22"/>
            </w:rPr>
            <w:t>调、管理的</w:t>
          </w:r>
          <w:r>
            <w:rPr>
              <w:rFonts w:ascii="微软雅黑" w:hAnsi="微软雅黑" w:eastAsia="微软雅黑" w:cs="微软雅黑"/>
              <w:sz w:val="22"/>
              <w:szCs w:val="22"/>
            </w:rPr>
            <w:tab/>
          </w:r>
          <w:r>
            <w:rPr>
              <w:rFonts w:ascii="宋体" w:hAnsi="宋体" w:eastAsia="宋体" w:cs="宋体"/>
              <w:spacing w:val="-7"/>
              <w:sz w:val="22"/>
              <w:szCs w:val="22"/>
            </w:rPr>
            <w:t>74</w:t>
          </w:r>
          <w:r>
            <w:rPr>
              <w:rFonts w:ascii="宋体" w:hAnsi="宋体" w:eastAsia="宋体" w:cs="宋体"/>
              <w:spacing w:val="-7"/>
              <w:sz w:val="22"/>
              <w:szCs w:val="22"/>
            </w:rPr>
            <w:fldChar w:fldCharType="end"/>
          </w:r>
        </w:p>
        <w:p w14:paraId="029D181D">
          <w:pPr>
            <w:tabs>
              <w:tab w:val="right" w:leader="dot" w:pos="8834"/>
            </w:tabs>
            <w:spacing w:before="1" w:line="216" w:lineRule="auto"/>
            <w:ind w:left="5"/>
            <w:rPr>
              <w:rFonts w:ascii="宋体" w:hAnsi="宋体" w:eastAsia="宋体" w:cs="宋体"/>
              <w:sz w:val="22"/>
              <w:szCs w:val="22"/>
            </w:rPr>
          </w:pPr>
          <w:bookmarkStart w:id="93" w:name="bookmark122"/>
          <w:bookmarkEnd w:id="93"/>
          <w:r>
            <w:rPr>
              <w:rFonts w:ascii="仿宋" w:hAnsi="仿宋" w:eastAsia="仿宋" w:cs="仿宋"/>
              <w:sz w:val="22"/>
              <w:szCs w:val="22"/>
            </w:rPr>
            <w:t>59</w:t>
          </w:r>
          <w:r>
            <w:rPr>
              <w:rFonts w:ascii="宋体" w:hAnsi="宋体" w:eastAsia="宋体" w:cs="宋体"/>
              <w:sz w:val="22"/>
              <w:szCs w:val="22"/>
            </w:rPr>
            <w:t>．</w:t>
          </w:r>
          <w:r>
            <w:fldChar w:fldCharType="begin"/>
          </w:r>
          <w:r>
            <w:instrText xml:space="preserve"> HYPERLINK \l "bookmark123" </w:instrText>
          </w:r>
          <w:r>
            <w:fldChar w:fldCharType="separate"/>
          </w:r>
          <w:r>
            <w:rPr>
              <w:rFonts w:ascii="微软雅黑" w:hAnsi="微软雅黑" w:eastAsia="微软雅黑" w:cs="微软雅黑"/>
              <w:sz w:val="22"/>
              <w:szCs w:val="22"/>
            </w:rPr>
            <w:t>高危行业、领域的生产经营单位未按照国家规定投保安全</w:t>
          </w:r>
          <w:r>
            <w:rPr>
              <w:rFonts w:ascii="微软雅黑" w:hAnsi="微软雅黑" w:eastAsia="微软雅黑" w:cs="微软雅黑"/>
              <w:spacing w:val="-1"/>
              <w:sz w:val="22"/>
              <w:szCs w:val="22"/>
            </w:rPr>
            <w:t>生产责任保险的</w:t>
          </w:r>
          <w:r>
            <w:rPr>
              <w:rFonts w:ascii="微软雅黑" w:hAnsi="微软雅黑" w:eastAsia="微软雅黑" w:cs="微软雅黑"/>
              <w:sz w:val="22"/>
              <w:szCs w:val="22"/>
            </w:rPr>
            <w:tab/>
          </w:r>
          <w:r>
            <w:rPr>
              <w:rFonts w:ascii="宋体" w:hAnsi="宋体" w:eastAsia="宋体" w:cs="宋体"/>
              <w:spacing w:val="-7"/>
              <w:sz w:val="22"/>
              <w:szCs w:val="22"/>
            </w:rPr>
            <w:t>75</w:t>
          </w:r>
          <w:r>
            <w:rPr>
              <w:rFonts w:ascii="宋体" w:hAnsi="宋体" w:eastAsia="宋体" w:cs="宋体"/>
              <w:spacing w:val="-7"/>
              <w:sz w:val="22"/>
              <w:szCs w:val="22"/>
            </w:rPr>
            <w:fldChar w:fldCharType="end"/>
          </w:r>
        </w:p>
        <w:p w14:paraId="0D8FE030">
          <w:pPr>
            <w:spacing w:line="410" w:lineRule="exact"/>
            <w:ind w:left="2"/>
            <w:rPr>
              <w:rFonts w:ascii="微软雅黑" w:hAnsi="微软雅黑" w:eastAsia="微软雅黑" w:cs="微软雅黑"/>
              <w:sz w:val="22"/>
              <w:szCs w:val="22"/>
            </w:rPr>
          </w:pPr>
          <w:bookmarkStart w:id="94" w:name="bookmark124"/>
          <w:bookmarkEnd w:id="94"/>
          <w:r>
            <w:rPr>
              <w:rFonts w:ascii="仿宋" w:hAnsi="仿宋" w:eastAsia="仿宋" w:cs="仿宋"/>
              <w:spacing w:val="1"/>
              <w:position w:val="5"/>
              <w:sz w:val="22"/>
              <w:szCs w:val="22"/>
            </w:rPr>
            <w:t>60</w:t>
          </w:r>
          <w:r>
            <w:rPr>
              <w:rFonts w:ascii="宋体" w:hAnsi="宋体" w:eastAsia="宋体" w:cs="宋体"/>
              <w:spacing w:val="1"/>
              <w:position w:val="5"/>
              <w:sz w:val="22"/>
              <w:szCs w:val="22"/>
            </w:rPr>
            <w:t>．</w:t>
          </w:r>
          <w:r>
            <w:fldChar w:fldCharType="begin"/>
          </w:r>
          <w:r>
            <w:instrText xml:space="preserve"> HYPERLINK \l "bookmark125" </w:instrText>
          </w:r>
          <w:r>
            <w:fldChar w:fldCharType="separate"/>
          </w:r>
          <w:r>
            <w:rPr>
              <w:rFonts w:ascii="微软雅黑" w:hAnsi="微软雅黑" w:eastAsia="微软雅黑" w:cs="微软雅黑"/>
              <w:spacing w:val="1"/>
              <w:position w:val="5"/>
              <w:sz w:val="22"/>
              <w:szCs w:val="22"/>
            </w:rPr>
            <w:t>生产经营单位与从业人员订立协议，免除或者</w:t>
          </w:r>
          <w:r>
            <w:rPr>
              <w:rFonts w:ascii="微软雅黑" w:hAnsi="微软雅黑" w:eastAsia="微软雅黑" w:cs="微软雅黑"/>
              <w:position w:val="5"/>
              <w:sz w:val="22"/>
              <w:szCs w:val="22"/>
            </w:rPr>
            <w:t>减轻其对从业人员因生产安全事故伤亡依</w:t>
          </w:r>
          <w:r>
            <w:rPr>
              <w:rFonts w:ascii="微软雅黑" w:hAnsi="微软雅黑" w:eastAsia="微软雅黑" w:cs="微软雅黑"/>
              <w:position w:val="5"/>
              <w:sz w:val="22"/>
              <w:szCs w:val="22"/>
            </w:rPr>
            <w:fldChar w:fldCharType="end"/>
          </w:r>
        </w:p>
        <w:p w14:paraId="02926ADE">
          <w:pPr>
            <w:tabs>
              <w:tab w:val="right" w:leader="dot" w:pos="8825"/>
            </w:tabs>
            <w:spacing w:before="5" w:line="168" w:lineRule="auto"/>
            <w:ind w:left="16"/>
            <w:rPr>
              <w:rFonts w:ascii="宋体" w:hAnsi="宋体" w:eastAsia="宋体" w:cs="宋体"/>
              <w:sz w:val="22"/>
              <w:szCs w:val="22"/>
            </w:rPr>
          </w:pPr>
          <w:bookmarkStart w:id="95" w:name="bookmark124"/>
          <w:bookmarkEnd w:id="95"/>
          <w:r>
            <w:fldChar w:fldCharType="begin"/>
          </w:r>
          <w:r>
            <w:instrText xml:space="preserve"> HYPERLINK \l "bookmark124" </w:instrText>
          </w:r>
          <w:r>
            <w:fldChar w:fldCharType="separate"/>
          </w:r>
          <w:r>
            <w:rPr>
              <w:rFonts w:ascii="微软雅黑" w:hAnsi="微软雅黑" w:eastAsia="微软雅黑" w:cs="微软雅黑"/>
              <w:spacing w:val="-3"/>
              <w:sz w:val="22"/>
              <w:szCs w:val="22"/>
            </w:rPr>
            <w:t>法应承担的责任的</w:t>
          </w:r>
          <w:r>
            <w:rPr>
              <w:rFonts w:ascii="微软雅黑" w:hAnsi="微软雅黑" w:eastAsia="微软雅黑" w:cs="微软雅黑"/>
              <w:sz w:val="22"/>
              <w:szCs w:val="22"/>
            </w:rPr>
            <w:tab/>
          </w:r>
          <w:r>
            <w:rPr>
              <w:rFonts w:ascii="宋体" w:hAnsi="宋体" w:eastAsia="宋体" w:cs="宋体"/>
              <w:spacing w:val="-7"/>
              <w:sz w:val="22"/>
              <w:szCs w:val="22"/>
            </w:rPr>
            <w:t>76</w:t>
          </w:r>
          <w:r>
            <w:rPr>
              <w:rFonts w:ascii="宋体" w:hAnsi="宋体" w:eastAsia="宋体" w:cs="宋体"/>
              <w:spacing w:val="-7"/>
              <w:sz w:val="22"/>
              <w:szCs w:val="22"/>
            </w:rPr>
            <w:fldChar w:fldCharType="end"/>
          </w:r>
        </w:p>
        <w:p w14:paraId="611B556F">
          <w:pPr>
            <w:tabs>
              <w:tab w:val="right" w:leader="dot" w:pos="8830"/>
            </w:tabs>
            <w:spacing w:before="1" w:line="216" w:lineRule="auto"/>
            <w:ind w:left="2"/>
            <w:rPr>
              <w:rFonts w:ascii="宋体" w:hAnsi="宋体" w:eastAsia="宋体" w:cs="宋体"/>
              <w:sz w:val="22"/>
              <w:szCs w:val="22"/>
            </w:rPr>
          </w:pPr>
          <w:bookmarkStart w:id="96" w:name="bookmark126"/>
          <w:bookmarkEnd w:id="96"/>
          <w:r>
            <w:rPr>
              <w:rFonts w:ascii="仿宋" w:hAnsi="仿宋" w:eastAsia="仿宋" w:cs="仿宋"/>
              <w:spacing w:val="-1"/>
              <w:sz w:val="22"/>
              <w:szCs w:val="22"/>
            </w:rPr>
            <w:t>61</w:t>
          </w:r>
          <w:r>
            <w:rPr>
              <w:rFonts w:ascii="宋体" w:hAnsi="宋体" w:eastAsia="宋体" w:cs="宋体"/>
              <w:spacing w:val="-1"/>
              <w:sz w:val="22"/>
              <w:szCs w:val="22"/>
            </w:rPr>
            <w:t>．</w:t>
          </w:r>
          <w:r>
            <w:fldChar w:fldCharType="begin"/>
          </w:r>
          <w:r>
            <w:instrText xml:space="preserve"> HYPERLINK \l "bookmark127" </w:instrText>
          </w:r>
          <w:r>
            <w:fldChar w:fldCharType="separate"/>
          </w:r>
          <w:r>
            <w:rPr>
              <w:rFonts w:ascii="微软雅黑" w:hAnsi="微软雅黑" w:eastAsia="微软雅黑" w:cs="微软雅黑"/>
              <w:spacing w:val="-1"/>
              <w:sz w:val="22"/>
              <w:szCs w:val="22"/>
            </w:rPr>
            <w:t>未经注册擅自以注册安全工程师名义执业的</w:t>
          </w:r>
          <w:r>
            <w:rPr>
              <w:rFonts w:ascii="微软雅黑" w:hAnsi="微软雅黑" w:eastAsia="微软雅黑" w:cs="微软雅黑"/>
              <w:sz w:val="22"/>
              <w:szCs w:val="22"/>
            </w:rPr>
            <w:tab/>
          </w:r>
          <w:r>
            <w:rPr>
              <w:rFonts w:ascii="宋体" w:hAnsi="宋体" w:eastAsia="宋体" w:cs="宋体"/>
              <w:spacing w:val="-7"/>
              <w:sz w:val="22"/>
              <w:szCs w:val="22"/>
            </w:rPr>
            <w:t>77</w:t>
          </w:r>
          <w:r>
            <w:rPr>
              <w:rFonts w:ascii="宋体" w:hAnsi="宋体" w:eastAsia="宋体" w:cs="宋体"/>
              <w:spacing w:val="-7"/>
              <w:sz w:val="22"/>
              <w:szCs w:val="22"/>
            </w:rPr>
            <w:fldChar w:fldCharType="end"/>
          </w:r>
        </w:p>
        <w:p w14:paraId="57A538B6">
          <w:pPr>
            <w:tabs>
              <w:tab w:val="right" w:leader="dot" w:pos="8832"/>
            </w:tabs>
            <w:spacing w:line="216" w:lineRule="auto"/>
            <w:ind w:left="2"/>
            <w:rPr>
              <w:rFonts w:ascii="宋体" w:hAnsi="宋体" w:eastAsia="宋体" w:cs="宋体"/>
              <w:sz w:val="22"/>
              <w:szCs w:val="22"/>
            </w:rPr>
          </w:pPr>
          <w:bookmarkStart w:id="97" w:name="bookmark128"/>
          <w:bookmarkEnd w:id="97"/>
          <w:r>
            <w:rPr>
              <w:rFonts w:ascii="仿宋" w:hAnsi="仿宋" w:eastAsia="仿宋" w:cs="仿宋"/>
              <w:sz w:val="22"/>
              <w:szCs w:val="22"/>
            </w:rPr>
            <w:t>62</w:t>
          </w:r>
          <w:r>
            <w:rPr>
              <w:rFonts w:ascii="宋体" w:hAnsi="宋体" w:eastAsia="宋体" w:cs="宋体"/>
              <w:sz w:val="22"/>
              <w:szCs w:val="22"/>
            </w:rPr>
            <w:t>．</w:t>
          </w:r>
          <w:r>
            <w:fldChar w:fldCharType="begin"/>
          </w:r>
          <w:r>
            <w:instrText xml:space="preserve"> HYPERLINK \l "bookmark129" </w:instrText>
          </w:r>
          <w:r>
            <w:fldChar w:fldCharType="separate"/>
          </w:r>
          <w:r>
            <w:rPr>
              <w:rFonts w:ascii="微软雅黑" w:hAnsi="微软雅黑" w:eastAsia="微软雅黑" w:cs="微软雅黑"/>
              <w:sz w:val="22"/>
              <w:szCs w:val="22"/>
            </w:rPr>
            <w:t>注册安全工程师以欺骗、贿赂等不正当手段取</w:t>
          </w:r>
          <w:r>
            <w:rPr>
              <w:rFonts w:ascii="微软雅黑" w:hAnsi="微软雅黑" w:eastAsia="微软雅黑" w:cs="微软雅黑"/>
              <w:spacing w:val="-1"/>
              <w:sz w:val="22"/>
              <w:szCs w:val="22"/>
            </w:rPr>
            <w:t>得执业证的</w:t>
          </w:r>
          <w:r>
            <w:rPr>
              <w:rFonts w:ascii="微软雅黑" w:hAnsi="微软雅黑" w:eastAsia="微软雅黑" w:cs="微软雅黑"/>
              <w:sz w:val="22"/>
              <w:szCs w:val="22"/>
            </w:rPr>
            <w:tab/>
          </w:r>
          <w:r>
            <w:rPr>
              <w:rFonts w:ascii="宋体" w:hAnsi="宋体" w:eastAsia="宋体" w:cs="宋体"/>
              <w:spacing w:val="-7"/>
              <w:sz w:val="22"/>
              <w:szCs w:val="22"/>
            </w:rPr>
            <w:t>77</w:t>
          </w:r>
          <w:r>
            <w:rPr>
              <w:rFonts w:ascii="宋体" w:hAnsi="宋体" w:eastAsia="宋体" w:cs="宋体"/>
              <w:spacing w:val="-7"/>
              <w:sz w:val="22"/>
              <w:szCs w:val="22"/>
            </w:rPr>
            <w:fldChar w:fldCharType="end"/>
          </w:r>
        </w:p>
        <w:p w14:paraId="5945FA77">
          <w:pPr>
            <w:tabs>
              <w:tab w:val="right" w:leader="dot" w:pos="8830"/>
            </w:tabs>
            <w:spacing w:line="216" w:lineRule="auto"/>
            <w:ind w:left="2"/>
            <w:rPr>
              <w:rFonts w:ascii="宋体" w:hAnsi="宋体" w:eastAsia="宋体" w:cs="宋体"/>
              <w:sz w:val="22"/>
              <w:szCs w:val="22"/>
            </w:rPr>
          </w:pPr>
          <w:bookmarkStart w:id="98" w:name="bookmark130"/>
          <w:bookmarkEnd w:id="98"/>
          <w:r>
            <w:rPr>
              <w:rFonts w:ascii="仿宋" w:hAnsi="仿宋" w:eastAsia="仿宋" w:cs="仿宋"/>
              <w:sz w:val="22"/>
              <w:szCs w:val="22"/>
            </w:rPr>
            <w:t>63</w:t>
          </w:r>
          <w:r>
            <w:rPr>
              <w:rFonts w:ascii="宋体" w:hAnsi="宋体" w:eastAsia="宋体" w:cs="宋体"/>
              <w:sz w:val="22"/>
              <w:szCs w:val="22"/>
            </w:rPr>
            <w:t>．</w:t>
          </w:r>
          <w:r>
            <w:fldChar w:fldCharType="begin"/>
          </w:r>
          <w:r>
            <w:instrText xml:space="preserve"> HYPERLINK \l "bookmark131" </w:instrText>
          </w:r>
          <w:r>
            <w:fldChar w:fldCharType="separate"/>
          </w:r>
          <w:r>
            <w:rPr>
              <w:rFonts w:ascii="微软雅黑" w:hAnsi="微软雅黑" w:eastAsia="微软雅黑" w:cs="微软雅黑"/>
              <w:sz w:val="22"/>
              <w:szCs w:val="22"/>
            </w:rPr>
            <w:t>注册安全工程师以个人名义承接业务、</w:t>
          </w:r>
          <w:r>
            <w:rPr>
              <w:rFonts w:ascii="微软雅黑" w:hAnsi="微软雅黑" w:eastAsia="微软雅黑" w:cs="微软雅黑"/>
              <w:spacing w:val="-1"/>
              <w:sz w:val="22"/>
              <w:szCs w:val="22"/>
            </w:rPr>
            <w:t>收取费用的</w:t>
          </w:r>
          <w:r>
            <w:rPr>
              <w:rFonts w:ascii="微软雅黑" w:hAnsi="微软雅黑" w:eastAsia="微软雅黑" w:cs="微软雅黑"/>
              <w:sz w:val="22"/>
              <w:szCs w:val="22"/>
            </w:rPr>
            <w:tab/>
          </w:r>
          <w:r>
            <w:rPr>
              <w:rFonts w:ascii="宋体" w:hAnsi="宋体" w:eastAsia="宋体" w:cs="宋体"/>
              <w:spacing w:val="-7"/>
              <w:sz w:val="22"/>
              <w:szCs w:val="22"/>
            </w:rPr>
            <w:t>78</w:t>
          </w:r>
          <w:r>
            <w:rPr>
              <w:rFonts w:ascii="宋体" w:hAnsi="宋体" w:eastAsia="宋体" w:cs="宋体"/>
              <w:spacing w:val="-7"/>
              <w:sz w:val="22"/>
              <w:szCs w:val="22"/>
            </w:rPr>
            <w:fldChar w:fldCharType="end"/>
          </w:r>
        </w:p>
        <w:p w14:paraId="208DCDC0">
          <w:pPr>
            <w:tabs>
              <w:tab w:val="right" w:leader="dot" w:pos="8832"/>
            </w:tabs>
            <w:spacing w:before="1" w:line="216" w:lineRule="auto"/>
            <w:ind w:left="2"/>
            <w:rPr>
              <w:rFonts w:ascii="宋体" w:hAnsi="宋体" w:eastAsia="宋体" w:cs="宋体"/>
              <w:sz w:val="22"/>
              <w:szCs w:val="22"/>
            </w:rPr>
          </w:pPr>
          <w:bookmarkStart w:id="99" w:name="bookmark132"/>
          <w:bookmarkEnd w:id="99"/>
          <w:r>
            <w:rPr>
              <w:rFonts w:ascii="仿宋" w:hAnsi="仿宋" w:eastAsia="仿宋" w:cs="仿宋"/>
              <w:sz w:val="22"/>
              <w:szCs w:val="22"/>
            </w:rPr>
            <w:t>64</w:t>
          </w:r>
          <w:r>
            <w:rPr>
              <w:rFonts w:ascii="宋体" w:hAnsi="宋体" w:eastAsia="宋体" w:cs="宋体"/>
              <w:sz w:val="22"/>
              <w:szCs w:val="22"/>
            </w:rPr>
            <w:t>．</w:t>
          </w:r>
          <w:r>
            <w:fldChar w:fldCharType="begin"/>
          </w:r>
          <w:r>
            <w:instrText xml:space="preserve"> HYPERLINK \l "bookmark133" </w:instrText>
          </w:r>
          <w:r>
            <w:fldChar w:fldCharType="separate"/>
          </w:r>
          <w:r>
            <w:rPr>
              <w:rFonts w:ascii="微软雅黑" w:hAnsi="微软雅黑" w:eastAsia="微软雅黑" w:cs="微软雅黑"/>
              <w:sz w:val="22"/>
              <w:szCs w:val="22"/>
            </w:rPr>
            <w:t>注册安全工程师出租、出借、涂改、变造执业证</w:t>
          </w:r>
          <w:r>
            <w:rPr>
              <w:rFonts w:ascii="微软雅黑" w:hAnsi="微软雅黑" w:eastAsia="微软雅黑" w:cs="微软雅黑"/>
              <w:spacing w:val="-1"/>
              <w:sz w:val="22"/>
              <w:szCs w:val="22"/>
            </w:rPr>
            <w:t>和执业印章的</w:t>
          </w:r>
          <w:r>
            <w:rPr>
              <w:rFonts w:ascii="微软雅黑" w:hAnsi="微软雅黑" w:eastAsia="微软雅黑" w:cs="微软雅黑"/>
              <w:sz w:val="22"/>
              <w:szCs w:val="22"/>
            </w:rPr>
            <w:tab/>
          </w:r>
          <w:r>
            <w:rPr>
              <w:rFonts w:ascii="宋体" w:hAnsi="宋体" w:eastAsia="宋体" w:cs="宋体"/>
              <w:spacing w:val="-7"/>
              <w:sz w:val="22"/>
              <w:szCs w:val="22"/>
            </w:rPr>
            <w:t>79</w:t>
          </w:r>
          <w:r>
            <w:rPr>
              <w:rFonts w:ascii="宋体" w:hAnsi="宋体" w:eastAsia="宋体" w:cs="宋体"/>
              <w:spacing w:val="-7"/>
              <w:sz w:val="22"/>
              <w:szCs w:val="22"/>
            </w:rPr>
            <w:fldChar w:fldCharType="end"/>
          </w:r>
        </w:p>
        <w:p w14:paraId="40E5743D">
          <w:pPr>
            <w:tabs>
              <w:tab w:val="right" w:leader="dot" w:pos="8832"/>
            </w:tabs>
            <w:spacing w:line="216" w:lineRule="auto"/>
            <w:ind w:left="2"/>
            <w:rPr>
              <w:rFonts w:ascii="宋体" w:hAnsi="宋体" w:eastAsia="宋体" w:cs="宋体"/>
              <w:sz w:val="22"/>
              <w:szCs w:val="22"/>
            </w:rPr>
          </w:pPr>
          <w:bookmarkStart w:id="100" w:name="bookmark134"/>
          <w:bookmarkEnd w:id="100"/>
          <w:r>
            <w:rPr>
              <w:rFonts w:ascii="仿宋" w:hAnsi="仿宋" w:eastAsia="仿宋" w:cs="仿宋"/>
              <w:sz w:val="22"/>
              <w:szCs w:val="22"/>
            </w:rPr>
            <w:t>65</w:t>
          </w:r>
          <w:r>
            <w:rPr>
              <w:rFonts w:ascii="宋体" w:hAnsi="宋体" w:eastAsia="宋体" w:cs="宋体"/>
              <w:sz w:val="22"/>
              <w:szCs w:val="22"/>
            </w:rPr>
            <w:t>．</w:t>
          </w:r>
          <w:r>
            <w:fldChar w:fldCharType="begin"/>
          </w:r>
          <w:r>
            <w:instrText xml:space="preserve"> HYPERLINK \l "bookmark135" </w:instrText>
          </w:r>
          <w:r>
            <w:fldChar w:fldCharType="separate"/>
          </w:r>
          <w:r>
            <w:rPr>
              <w:rFonts w:ascii="微软雅黑" w:hAnsi="微软雅黑" w:eastAsia="微软雅黑" w:cs="微软雅黑"/>
              <w:sz w:val="22"/>
              <w:szCs w:val="22"/>
            </w:rPr>
            <w:t>注册安全工程师泄漏执业过程中应当保守的秘密并造成</w:t>
          </w:r>
          <w:r>
            <w:rPr>
              <w:rFonts w:ascii="微软雅黑" w:hAnsi="微软雅黑" w:eastAsia="微软雅黑" w:cs="微软雅黑"/>
              <w:spacing w:val="-1"/>
              <w:sz w:val="22"/>
              <w:szCs w:val="22"/>
            </w:rPr>
            <w:t>严重后果的</w:t>
          </w:r>
          <w:r>
            <w:rPr>
              <w:rFonts w:ascii="微软雅黑" w:hAnsi="微软雅黑" w:eastAsia="微软雅黑" w:cs="微软雅黑"/>
              <w:sz w:val="22"/>
              <w:szCs w:val="22"/>
            </w:rPr>
            <w:tab/>
          </w:r>
          <w:r>
            <w:rPr>
              <w:rFonts w:ascii="宋体" w:hAnsi="宋体" w:eastAsia="宋体" w:cs="宋体"/>
              <w:spacing w:val="-7"/>
              <w:sz w:val="22"/>
              <w:szCs w:val="22"/>
            </w:rPr>
            <w:t>79</w:t>
          </w:r>
          <w:r>
            <w:rPr>
              <w:rFonts w:ascii="宋体" w:hAnsi="宋体" w:eastAsia="宋体" w:cs="宋体"/>
              <w:spacing w:val="-7"/>
              <w:sz w:val="22"/>
              <w:szCs w:val="22"/>
            </w:rPr>
            <w:fldChar w:fldCharType="end"/>
          </w:r>
        </w:p>
        <w:p w14:paraId="511767C3">
          <w:pPr>
            <w:tabs>
              <w:tab w:val="right" w:leader="dot" w:pos="8834"/>
            </w:tabs>
            <w:spacing w:line="216" w:lineRule="auto"/>
            <w:ind w:left="2"/>
            <w:rPr>
              <w:rFonts w:ascii="宋体" w:hAnsi="宋体" w:eastAsia="宋体" w:cs="宋体"/>
              <w:sz w:val="22"/>
              <w:szCs w:val="22"/>
            </w:rPr>
          </w:pPr>
          <w:bookmarkStart w:id="101" w:name="bookmark136"/>
          <w:bookmarkEnd w:id="101"/>
          <w:r>
            <w:rPr>
              <w:rFonts w:ascii="仿宋" w:hAnsi="仿宋" w:eastAsia="仿宋" w:cs="仿宋"/>
              <w:sz w:val="22"/>
              <w:szCs w:val="22"/>
            </w:rPr>
            <w:t>66</w:t>
          </w:r>
          <w:r>
            <w:rPr>
              <w:rFonts w:ascii="宋体" w:hAnsi="宋体" w:eastAsia="宋体" w:cs="宋体"/>
              <w:sz w:val="22"/>
              <w:szCs w:val="22"/>
            </w:rPr>
            <w:t>．</w:t>
          </w:r>
          <w:r>
            <w:fldChar w:fldCharType="begin"/>
          </w:r>
          <w:r>
            <w:instrText xml:space="preserve"> HYPERLINK \l "bookmark137" </w:instrText>
          </w:r>
          <w:r>
            <w:fldChar w:fldCharType="separate"/>
          </w:r>
          <w:r>
            <w:rPr>
              <w:rFonts w:ascii="微软雅黑" w:hAnsi="微软雅黑" w:eastAsia="微软雅黑" w:cs="微软雅黑"/>
              <w:sz w:val="22"/>
              <w:szCs w:val="22"/>
            </w:rPr>
            <w:t>注册安全工程师利用执业之便，贪污、索贿、受贿或者谋取不</w:t>
          </w:r>
          <w:r>
            <w:rPr>
              <w:rFonts w:ascii="微软雅黑" w:hAnsi="微软雅黑" w:eastAsia="微软雅黑" w:cs="微软雅黑"/>
              <w:spacing w:val="-1"/>
              <w:sz w:val="22"/>
              <w:szCs w:val="22"/>
            </w:rPr>
            <w:t>正当利益的</w:t>
          </w:r>
          <w:r>
            <w:rPr>
              <w:rFonts w:ascii="微软雅黑" w:hAnsi="微软雅黑" w:eastAsia="微软雅黑" w:cs="微软雅黑"/>
              <w:sz w:val="22"/>
              <w:szCs w:val="22"/>
            </w:rPr>
            <w:tab/>
          </w:r>
          <w:r>
            <w:rPr>
              <w:rFonts w:ascii="宋体" w:hAnsi="宋体" w:eastAsia="宋体" w:cs="宋体"/>
              <w:spacing w:val="-5"/>
              <w:sz w:val="22"/>
              <w:szCs w:val="22"/>
            </w:rPr>
            <w:t>80</w:t>
          </w:r>
          <w:r>
            <w:rPr>
              <w:rFonts w:ascii="宋体" w:hAnsi="宋体" w:eastAsia="宋体" w:cs="宋体"/>
              <w:spacing w:val="-5"/>
              <w:sz w:val="22"/>
              <w:szCs w:val="22"/>
            </w:rPr>
            <w:fldChar w:fldCharType="end"/>
          </w:r>
        </w:p>
        <w:p w14:paraId="2DCA557D">
          <w:pPr>
            <w:tabs>
              <w:tab w:val="right" w:leader="dot" w:pos="8829"/>
            </w:tabs>
            <w:spacing w:line="216" w:lineRule="auto"/>
            <w:ind w:left="2"/>
            <w:rPr>
              <w:rFonts w:ascii="宋体" w:hAnsi="宋体" w:eastAsia="宋体" w:cs="宋体"/>
              <w:sz w:val="22"/>
              <w:szCs w:val="22"/>
            </w:rPr>
          </w:pPr>
          <w:bookmarkStart w:id="102" w:name="bookmark138"/>
          <w:bookmarkEnd w:id="102"/>
          <w:r>
            <w:rPr>
              <w:rFonts w:ascii="仿宋" w:hAnsi="仿宋" w:eastAsia="仿宋" w:cs="仿宋"/>
              <w:spacing w:val="-1"/>
              <w:sz w:val="22"/>
              <w:szCs w:val="22"/>
            </w:rPr>
            <w:t>67</w:t>
          </w:r>
          <w:r>
            <w:rPr>
              <w:rFonts w:ascii="宋体" w:hAnsi="宋体" w:eastAsia="宋体" w:cs="宋体"/>
              <w:spacing w:val="-1"/>
              <w:sz w:val="22"/>
              <w:szCs w:val="22"/>
            </w:rPr>
            <w:t>．</w:t>
          </w:r>
          <w:r>
            <w:fldChar w:fldCharType="begin"/>
          </w:r>
          <w:r>
            <w:instrText xml:space="preserve"> HYPERLINK \l "bookmark139" </w:instrText>
          </w:r>
          <w:r>
            <w:fldChar w:fldCharType="separate"/>
          </w:r>
          <w:r>
            <w:rPr>
              <w:rFonts w:ascii="微软雅黑" w:hAnsi="微软雅黑" w:eastAsia="微软雅黑" w:cs="微软雅黑"/>
              <w:spacing w:val="-1"/>
              <w:sz w:val="22"/>
              <w:szCs w:val="22"/>
            </w:rPr>
            <w:t>注册安全工程师提供虚假执业活动成果的</w:t>
          </w:r>
          <w:r>
            <w:rPr>
              <w:rFonts w:ascii="微软雅黑" w:hAnsi="微软雅黑" w:eastAsia="微软雅黑" w:cs="微软雅黑"/>
              <w:sz w:val="22"/>
              <w:szCs w:val="22"/>
            </w:rPr>
            <w:tab/>
          </w:r>
          <w:r>
            <w:rPr>
              <w:rFonts w:ascii="宋体" w:hAnsi="宋体" w:eastAsia="宋体" w:cs="宋体"/>
              <w:spacing w:val="-5"/>
              <w:sz w:val="22"/>
              <w:szCs w:val="22"/>
            </w:rPr>
            <w:t>80</w:t>
          </w:r>
          <w:r>
            <w:rPr>
              <w:rFonts w:ascii="宋体" w:hAnsi="宋体" w:eastAsia="宋体" w:cs="宋体"/>
              <w:spacing w:val="-5"/>
              <w:sz w:val="22"/>
              <w:szCs w:val="22"/>
            </w:rPr>
            <w:fldChar w:fldCharType="end"/>
          </w:r>
        </w:p>
        <w:p w14:paraId="6B2FC74F">
          <w:pPr>
            <w:tabs>
              <w:tab w:val="right" w:leader="dot" w:pos="8834"/>
            </w:tabs>
            <w:spacing w:before="1" w:line="216" w:lineRule="auto"/>
            <w:ind w:left="2"/>
            <w:rPr>
              <w:rFonts w:ascii="宋体" w:hAnsi="宋体" w:eastAsia="宋体" w:cs="宋体"/>
              <w:sz w:val="22"/>
              <w:szCs w:val="22"/>
            </w:rPr>
          </w:pPr>
          <w:bookmarkStart w:id="103" w:name="bookmark140"/>
          <w:bookmarkEnd w:id="103"/>
          <w:r>
            <w:rPr>
              <w:rFonts w:ascii="仿宋" w:hAnsi="仿宋" w:eastAsia="仿宋" w:cs="仿宋"/>
              <w:sz w:val="22"/>
              <w:szCs w:val="22"/>
            </w:rPr>
            <w:t>68</w:t>
          </w:r>
          <w:r>
            <w:rPr>
              <w:rFonts w:ascii="宋体" w:hAnsi="宋体" w:eastAsia="宋体" w:cs="宋体"/>
              <w:sz w:val="22"/>
              <w:szCs w:val="22"/>
            </w:rPr>
            <w:t>．</w:t>
          </w:r>
          <w:r>
            <w:fldChar w:fldCharType="begin"/>
          </w:r>
          <w:r>
            <w:instrText xml:space="preserve"> HYPERLINK \l "bookmark141" </w:instrText>
          </w:r>
          <w:r>
            <w:fldChar w:fldCharType="separate"/>
          </w:r>
          <w:r>
            <w:rPr>
              <w:rFonts w:ascii="微软雅黑" w:hAnsi="微软雅黑" w:eastAsia="微软雅黑" w:cs="微软雅黑"/>
              <w:sz w:val="22"/>
              <w:szCs w:val="22"/>
            </w:rPr>
            <w:t>注册安全工程师超出执业范围或者聘用单位业务范围从</w:t>
          </w:r>
          <w:r>
            <w:rPr>
              <w:rFonts w:ascii="微软雅黑" w:hAnsi="微软雅黑" w:eastAsia="微软雅黑" w:cs="微软雅黑"/>
              <w:spacing w:val="-1"/>
              <w:sz w:val="22"/>
              <w:szCs w:val="22"/>
            </w:rPr>
            <w:t>事执业活动的</w:t>
          </w:r>
          <w:r>
            <w:rPr>
              <w:rFonts w:ascii="微软雅黑" w:hAnsi="微软雅黑" w:eastAsia="微软雅黑" w:cs="微软雅黑"/>
              <w:sz w:val="22"/>
              <w:szCs w:val="22"/>
            </w:rPr>
            <w:tab/>
          </w:r>
          <w:r>
            <w:rPr>
              <w:rFonts w:ascii="宋体" w:hAnsi="宋体" w:eastAsia="宋体" w:cs="宋体"/>
              <w:spacing w:val="-5"/>
              <w:sz w:val="22"/>
              <w:szCs w:val="22"/>
            </w:rPr>
            <w:t>81</w:t>
          </w:r>
          <w:r>
            <w:rPr>
              <w:rFonts w:ascii="宋体" w:hAnsi="宋体" w:eastAsia="宋体" w:cs="宋体"/>
              <w:spacing w:val="-5"/>
              <w:sz w:val="22"/>
              <w:szCs w:val="22"/>
            </w:rPr>
            <w:fldChar w:fldCharType="end"/>
          </w:r>
        </w:p>
        <w:p w14:paraId="4B9D38B4">
          <w:pPr>
            <w:tabs>
              <w:tab w:val="right" w:leader="dot" w:pos="8832"/>
            </w:tabs>
            <w:spacing w:line="216" w:lineRule="auto"/>
            <w:ind w:left="2"/>
            <w:rPr>
              <w:rFonts w:ascii="宋体" w:hAnsi="宋体" w:eastAsia="宋体" w:cs="宋体"/>
              <w:sz w:val="22"/>
              <w:szCs w:val="22"/>
            </w:rPr>
          </w:pPr>
          <w:bookmarkStart w:id="104" w:name="bookmark142"/>
          <w:bookmarkEnd w:id="104"/>
          <w:r>
            <w:rPr>
              <w:rFonts w:ascii="仿宋" w:hAnsi="仿宋" w:eastAsia="仿宋" w:cs="仿宋"/>
              <w:sz w:val="22"/>
              <w:szCs w:val="22"/>
            </w:rPr>
            <w:t>69</w:t>
          </w:r>
          <w:r>
            <w:rPr>
              <w:rFonts w:ascii="宋体" w:hAnsi="宋体" w:eastAsia="宋体" w:cs="宋体"/>
              <w:sz w:val="22"/>
              <w:szCs w:val="22"/>
            </w:rPr>
            <w:t>．</w:t>
          </w:r>
          <w:r>
            <w:fldChar w:fldCharType="begin"/>
          </w:r>
          <w:r>
            <w:instrText xml:space="preserve"> HYPERLINK \l "bookmark143" </w:instrText>
          </w:r>
          <w:r>
            <w:fldChar w:fldCharType="separate"/>
          </w:r>
          <w:r>
            <w:rPr>
              <w:rFonts w:ascii="微软雅黑" w:hAnsi="微软雅黑" w:eastAsia="微软雅黑" w:cs="微软雅黑"/>
              <w:sz w:val="22"/>
              <w:szCs w:val="22"/>
            </w:rPr>
            <w:t>生产经营单位未按照规定制定生产安全事故应急</w:t>
          </w:r>
          <w:r>
            <w:rPr>
              <w:rFonts w:ascii="微软雅黑" w:hAnsi="微软雅黑" w:eastAsia="微软雅黑" w:cs="微软雅黑"/>
              <w:spacing w:val="-1"/>
              <w:sz w:val="22"/>
              <w:szCs w:val="22"/>
            </w:rPr>
            <w:t>救援预案的</w:t>
          </w:r>
          <w:r>
            <w:rPr>
              <w:rFonts w:ascii="微软雅黑" w:hAnsi="微软雅黑" w:eastAsia="微软雅黑" w:cs="微软雅黑"/>
              <w:sz w:val="22"/>
              <w:szCs w:val="22"/>
            </w:rPr>
            <w:tab/>
          </w:r>
          <w:r>
            <w:rPr>
              <w:rFonts w:ascii="宋体" w:hAnsi="宋体" w:eastAsia="宋体" w:cs="宋体"/>
              <w:spacing w:val="-5"/>
              <w:sz w:val="22"/>
              <w:szCs w:val="22"/>
            </w:rPr>
            <w:t>81</w:t>
          </w:r>
          <w:r>
            <w:rPr>
              <w:rFonts w:ascii="宋体" w:hAnsi="宋体" w:eastAsia="宋体" w:cs="宋体"/>
              <w:spacing w:val="-5"/>
              <w:sz w:val="22"/>
              <w:szCs w:val="22"/>
            </w:rPr>
            <w:fldChar w:fldCharType="end"/>
          </w:r>
        </w:p>
        <w:p w14:paraId="2216B0D6">
          <w:pPr>
            <w:tabs>
              <w:tab w:val="right" w:leader="dot" w:pos="8829"/>
            </w:tabs>
            <w:spacing w:line="216" w:lineRule="auto"/>
            <w:ind w:left="6"/>
            <w:rPr>
              <w:rFonts w:ascii="宋体" w:hAnsi="宋体" w:eastAsia="宋体" w:cs="宋体"/>
              <w:sz w:val="22"/>
              <w:szCs w:val="22"/>
            </w:rPr>
          </w:pPr>
          <w:bookmarkStart w:id="105" w:name="bookmark144"/>
          <w:bookmarkEnd w:id="105"/>
          <w:r>
            <w:rPr>
              <w:rFonts w:ascii="仿宋" w:hAnsi="仿宋" w:eastAsia="仿宋" w:cs="仿宋"/>
              <w:spacing w:val="-1"/>
              <w:sz w:val="22"/>
              <w:szCs w:val="22"/>
            </w:rPr>
            <w:t>70</w:t>
          </w:r>
          <w:r>
            <w:rPr>
              <w:rFonts w:ascii="宋体" w:hAnsi="宋体" w:eastAsia="宋体" w:cs="宋体"/>
              <w:spacing w:val="-1"/>
              <w:sz w:val="22"/>
              <w:szCs w:val="22"/>
            </w:rPr>
            <w:t>．</w:t>
          </w:r>
          <w:r>
            <w:fldChar w:fldCharType="begin"/>
          </w:r>
          <w:r>
            <w:instrText xml:space="preserve"> HYPERLINK \l "bookmark145" </w:instrText>
          </w:r>
          <w:r>
            <w:fldChar w:fldCharType="separate"/>
          </w:r>
          <w:r>
            <w:rPr>
              <w:rFonts w:ascii="微软雅黑" w:hAnsi="微软雅黑" w:eastAsia="微软雅黑" w:cs="微软雅黑"/>
              <w:spacing w:val="-1"/>
              <w:sz w:val="22"/>
              <w:szCs w:val="22"/>
            </w:rPr>
            <w:t>生产经营单位未定期组织应急预案演练的</w:t>
          </w:r>
          <w:r>
            <w:rPr>
              <w:rFonts w:ascii="微软雅黑" w:hAnsi="微软雅黑" w:eastAsia="微软雅黑" w:cs="微软雅黑"/>
              <w:sz w:val="22"/>
              <w:szCs w:val="22"/>
            </w:rPr>
            <w:tab/>
          </w:r>
          <w:r>
            <w:rPr>
              <w:rFonts w:ascii="宋体" w:hAnsi="宋体" w:eastAsia="宋体" w:cs="宋体"/>
              <w:spacing w:val="-5"/>
              <w:sz w:val="22"/>
              <w:szCs w:val="22"/>
            </w:rPr>
            <w:t>83</w:t>
          </w:r>
          <w:r>
            <w:rPr>
              <w:rFonts w:ascii="宋体" w:hAnsi="宋体" w:eastAsia="宋体" w:cs="宋体"/>
              <w:spacing w:val="-5"/>
              <w:sz w:val="22"/>
              <w:szCs w:val="22"/>
            </w:rPr>
            <w:fldChar w:fldCharType="end"/>
          </w:r>
        </w:p>
        <w:p w14:paraId="45C4BD66">
          <w:pPr>
            <w:tabs>
              <w:tab w:val="right" w:leader="dot" w:pos="8832"/>
            </w:tabs>
            <w:spacing w:line="216" w:lineRule="auto"/>
            <w:ind w:left="6"/>
            <w:rPr>
              <w:rFonts w:ascii="宋体" w:hAnsi="宋体" w:eastAsia="宋体" w:cs="宋体"/>
              <w:sz w:val="22"/>
              <w:szCs w:val="22"/>
            </w:rPr>
          </w:pPr>
          <w:bookmarkStart w:id="106" w:name="bookmark146"/>
          <w:bookmarkEnd w:id="106"/>
          <w:r>
            <w:rPr>
              <w:rFonts w:ascii="仿宋" w:hAnsi="仿宋" w:eastAsia="仿宋" w:cs="仿宋"/>
              <w:sz w:val="22"/>
              <w:szCs w:val="22"/>
            </w:rPr>
            <w:t>71</w:t>
          </w:r>
          <w:r>
            <w:rPr>
              <w:rFonts w:ascii="宋体" w:hAnsi="宋体" w:eastAsia="宋体" w:cs="宋体"/>
              <w:sz w:val="22"/>
              <w:szCs w:val="22"/>
            </w:rPr>
            <w:t>．</w:t>
          </w:r>
          <w:r>
            <w:fldChar w:fldCharType="begin"/>
          </w:r>
          <w:r>
            <w:instrText xml:space="preserve"> HYPERLINK \l "bookmark147" </w:instrText>
          </w:r>
          <w:r>
            <w:fldChar w:fldCharType="separate"/>
          </w:r>
          <w:r>
            <w:rPr>
              <w:rFonts w:ascii="微软雅黑" w:hAnsi="微软雅黑" w:eastAsia="微软雅黑" w:cs="微软雅黑"/>
              <w:sz w:val="22"/>
              <w:szCs w:val="22"/>
            </w:rPr>
            <w:t>生产经营单位未将生产安全事故应急</w:t>
          </w:r>
          <w:r>
            <w:rPr>
              <w:rFonts w:ascii="微软雅黑" w:hAnsi="微软雅黑" w:eastAsia="微软雅黑" w:cs="微软雅黑"/>
              <w:spacing w:val="-1"/>
              <w:sz w:val="22"/>
              <w:szCs w:val="22"/>
            </w:rPr>
            <w:t>救援预案报送备案的</w:t>
          </w:r>
          <w:r>
            <w:rPr>
              <w:rFonts w:ascii="微软雅黑" w:hAnsi="微软雅黑" w:eastAsia="微软雅黑" w:cs="微软雅黑"/>
              <w:sz w:val="22"/>
              <w:szCs w:val="22"/>
            </w:rPr>
            <w:tab/>
          </w:r>
          <w:r>
            <w:rPr>
              <w:rFonts w:ascii="宋体" w:hAnsi="宋体" w:eastAsia="宋体" w:cs="宋体"/>
              <w:spacing w:val="-5"/>
              <w:sz w:val="22"/>
              <w:szCs w:val="22"/>
            </w:rPr>
            <w:t>87</w:t>
          </w:r>
          <w:r>
            <w:rPr>
              <w:rFonts w:ascii="宋体" w:hAnsi="宋体" w:eastAsia="宋体" w:cs="宋体"/>
              <w:spacing w:val="-5"/>
              <w:sz w:val="22"/>
              <w:szCs w:val="22"/>
            </w:rPr>
            <w:fldChar w:fldCharType="end"/>
          </w:r>
        </w:p>
        <w:p w14:paraId="3CC21CDB">
          <w:pPr>
            <w:spacing w:before="1" w:line="216" w:lineRule="auto"/>
            <w:ind w:left="6"/>
            <w:rPr>
              <w:rFonts w:ascii="宋体" w:hAnsi="宋体" w:eastAsia="宋体" w:cs="宋体"/>
              <w:sz w:val="22"/>
              <w:szCs w:val="22"/>
            </w:rPr>
          </w:pPr>
          <w:bookmarkStart w:id="107" w:name="bookmark148"/>
          <w:bookmarkEnd w:id="107"/>
          <w:r>
            <w:rPr>
              <w:rFonts w:ascii="仿宋" w:hAnsi="仿宋" w:eastAsia="仿宋" w:cs="仿宋"/>
              <w:spacing w:val="-1"/>
              <w:sz w:val="22"/>
              <w:szCs w:val="22"/>
            </w:rPr>
            <w:t>72</w:t>
          </w:r>
          <w:r>
            <w:rPr>
              <w:rFonts w:ascii="宋体" w:hAnsi="宋体" w:eastAsia="宋体" w:cs="宋体"/>
              <w:spacing w:val="-1"/>
              <w:sz w:val="22"/>
              <w:szCs w:val="22"/>
            </w:rPr>
            <w:t>．</w:t>
          </w:r>
          <w:r>
            <w:fldChar w:fldCharType="begin"/>
          </w:r>
          <w:r>
            <w:instrText xml:space="preserve"> HYPERLINK \l "bookmark149" </w:instrText>
          </w:r>
          <w:r>
            <w:fldChar w:fldCharType="separate"/>
          </w:r>
          <w:r>
            <w:rPr>
              <w:rFonts w:ascii="微软雅黑" w:hAnsi="微软雅黑" w:eastAsia="微软雅黑" w:cs="微软雅黑"/>
              <w:spacing w:val="-1"/>
              <w:sz w:val="22"/>
              <w:szCs w:val="22"/>
            </w:rPr>
            <w:t>生产经营单位在应急预案编制前未按照规定开展风险辨识、评估和应急资源调查的</w:t>
          </w:r>
          <w:r>
            <w:rPr>
              <w:rFonts w:ascii="宋体" w:hAnsi="宋体" w:eastAsia="宋体" w:cs="宋体"/>
              <w:spacing w:val="-1"/>
              <w:sz w:val="22"/>
              <w:szCs w:val="22"/>
            </w:rPr>
            <w:t>.89</w:t>
          </w:r>
          <w:r>
            <w:rPr>
              <w:rFonts w:ascii="宋体" w:hAnsi="宋体" w:eastAsia="宋体" w:cs="宋体"/>
              <w:spacing w:val="-1"/>
              <w:sz w:val="22"/>
              <w:szCs w:val="22"/>
            </w:rPr>
            <w:fldChar w:fldCharType="end"/>
          </w:r>
        </w:p>
        <w:p w14:paraId="6246C090">
          <w:pPr>
            <w:spacing w:line="403" w:lineRule="exact"/>
            <w:ind w:left="6"/>
            <w:rPr>
              <w:rFonts w:ascii="微软雅黑" w:hAnsi="微软雅黑" w:eastAsia="微软雅黑" w:cs="微软雅黑"/>
              <w:sz w:val="22"/>
              <w:szCs w:val="22"/>
            </w:rPr>
          </w:pPr>
          <w:bookmarkStart w:id="108" w:name="bookmark150"/>
          <w:bookmarkEnd w:id="108"/>
          <w:r>
            <w:rPr>
              <w:rFonts w:ascii="仿宋" w:hAnsi="仿宋" w:eastAsia="仿宋" w:cs="仿宋"/>
              <w:spacing w:val="1"/>
              <w:position w:val="5"/>
              <w:sz w:val="22"/>
              <w:szCs w:val="22"/>
            </w:rPr>
            <w:t>73</w:t>
          </w:r>
          <w:r>
            <w:rPr>
              <w:rFonts w:ascii="宋体" w:hAnsi="宋体" w:eastAsia="宋体" w:cs="宋体"/>
              <w:spacing w:val="1"/>
              <w:position w:val="5"/>
              <w:sz w:val="22"/>
              <w:szCs w:val="22"/>
            </w:rPr>
            <w:t>．</w:t>
          </w:r>
          <w:r>
            <w:fldChar w:fldCharType="begin"/>
          </w:r>
          <w:r>
            <w:instrText xml:space="preserve"> HYPERLINK \l "bookmark151" </w:instrText>
          </w:r>
          <w:r>
            <w:fldChar w:fldCharType="separate"/>
          </w:r>
          <w:r>
            <w:rPr>
              <w:rFonts w:ascii="微软雅黑" w:hAnsi="微软雅黑" w:eastAsia="微软雅黑" w:cs="微软雅黑"/>
              <w:spacing w:val="1"/>
              <w:position w:val="5"/>
              <w:sz w:val="22"/>
              <w:szCs w:val="22"/>
            </w:rPr>
            <w:t>矿山、金属冶炼企业和易燃易爆物品</w:t>
          </w:r>
          <w:r>
            <w:rPr>
              <w:rFonts w:ascii="微软雅黑" w:hAnsi="微软雅黑" w:eastAsia="微软雅黑" w:cs="微软雅黑"/>
              <w:position w:val="5"/>
              <w:sz w:val="22"/>
              <w:szCs w:val="22"/>
            </w:rPr>
            <w:t>、危险化学品的生产、经营（带储存设施的）、储</w:t>
          </w:r>
          <w:r>
            <w:rPr>
              <w:rFonts w:ascii="微软雅黑" w:hAnsi="微软雅黑" w:eastAsia="微软雅黑" w:cs="微软雅黑"/>
              <w:position w:val="5"/>
              <w:sz w:val="22"/>
              <w:szCs w:val="22"/>
            </w:rPr>
            <w:fldChar w:fldCharType="end"/>
          </w:r>
        </w:p>
      </w:sdtContent>
    </w:sdt>
    <w:p w14:paraId="3FD31AED">
      <w:pPr>
        <w:spacing w:line="403" w:lineRule="exact"/>
        <w:rPr>
          <w:rFonts w:ascii="微软雅黑" w:hAnsi="微软雅黑" w:eastAsia="微软雅黑" w:cs="微软雅黑"/>
          <w:sz w:val="22"/>
          <w:szCs w:val="22"/>
        </w:rPr>
        <w:sectPr>
          <w:footerReference r:id="rId8" w:type="default"/>
          <w:pgSz w:w="11906" w:h="16839"/>
          <w:pgMar w:top="1431" w:right="1300" w:bottom="1112" w:left="1593" w:header="0" w:footer="837" w:gutter="0"/>
          <w:cols w:space="720" w:num="1"/>
        </w:sectPr>
      </w:pPr>
    </w:p>
    <w:p w14:paraId="1621441D">
      <w:pPr>
        <w:pStyle w:val="2"/>
        <w:spacing w:line="322" w:lineRule="auto"/>
      </w:pPr>
    </w:p>
    <w:p w14:paraId="7387B0E1">
      <w:pPr>
        <w:pStyle w:val="2"/>
        <w:spacing w:line="322" w:lineRule="auto"/>
      </w:pPr>
    </w:p>
    <w:sdt>
      <w:sdtPr>
        <w:rPr>
          <w:rFonts w:ascii="微软雅黑" w:hAnsi="微软雅黑" w:eastAsia="微软雅黑" w:cs="微软雅黑"/>
          <w:sz w:val="22"/>
          <w:szCs w:val="22"/>
        </w:rPr>
        <w:id w:val="147472180"/>
        <w:docPartObj>
          <w:docPartGallery w:val="Table of Contents"/>
          <w:docPartUnique/>
        </w:docPartObj>
      </w:sdtPr>
      <w:sdtEndPr>
        <w:rPr>
          <w:rFonts w:ascii="宋体" w:hAnsi="宋体" w:eastAsia="宋体" w:cs="宋体"/>
          <w:position w:val="2"/>
          <w:sz w:val="22"/>
          <w:szCs w:val="22"/>
        </w:rPr>
      </w:sdtEndPr>
      <w:sdtContent>
        <w:p w14:paraId="40577BD2">
          <w:pPr>
            <w:spacing w:before="95" w:line="202" w:lineRule="auto"/>
            <w:ind w:left="12"/>
            <w:rPr>
              <w:rFonts w:ascii="微软雅黑" w:hAnsi="微软雅黑" w:eastAsia="微软雅黑" w:cs="微软雅黑"/>
              <w:sz w:val="22"/>
              <w:szCs w:val="22"/>
            </w:rPr>
          </w:pPr>
          <w:bookmarkStart w:id="109" w:name="bookmark152"/>
          <w:bookmarkEnd w:id="109"/>
          <w:r>
            <w:fldChar w:fldCharType="begin"/>
          </w:r>
          <w:r>
            <w:instrText xml:space="preserve"> HYPERLINK \l "bookmark153" </w:instrText>
          </w:r>
          <w:r>
            <w:fldChar w:fldCharType="separate"/>
          </w:r>
          <w:r>
            <w:rPr>
              <w:rFonts w:ascii="微软雅黑" w:hAnsi="微软雅黑" w:eastAsia="微软雅黑" w:cs="微软雅黑"/>
              <w:spacing w:val="1"/>
              <w:sz w:val="22"/>
              <w:szCs w:val="22"/>
            </w:rPr>
            <w:t>存、运输企业，以及使用危险化学品达到国家</w:t>
          </w:r>
          <w:r>
            <w:rPr>
              <w:rFonts w:ascii="微软雅黑" w:hAnsi="微软雅黑" w:eastAsia="微软雅黑" w:cs="微软雅黑"/>
              <w:sz w:val="22"/>
              <w:szCs w:val="22"/>
            </w:rPr>
            <w:t>规定数量的化工企业、烟花爆竹生产、批发经</w:t>
          </w:r>
          <w:r>
            <w:rPr>
              <w:rFonts w:ascii="微软雅黑" w:hAnsi="微软雅黑" w:eastAsia="微软雅黑" w:cs="微软雅黑"/>
              <w:sz w:val="22"/>
              <w:szCs w:val="22"/>
            </w:rPr>
            <w:fldChar w:fldCharType="end"/>
          </w:r>
        </w:p>
        <w:p w14:paraId="6BC5CEC1">
          <w:pPr>
            <w:tabs>
              <w:tab w:val="right" w:leader="dot" w:pos="8840"/>
            </w:tabs>
            <w:spacing w:before="23" w:line="167" w:lineRule="auto"/>
            <w:ind w:left="24"/>
            <w:rPr>
              <w:rFonts w:ascii="宋体" w:hAnsi="宋体" w:eastAsia="宋体" w:cs="宋体"/>
              <w:sz w:val="22"/>
              <w:szCs w:val="22"/>
            </w:rPr>
          </w:pPr>
          <w:bookmarkStart w:id="110" w:name="bookmark154"/>
          <w:bookmarkEnd w:id="110"/>
          <w:r>
            <w:fldChar w:fldCharType="begin"/>
          </w:r>
          <w:r>
            <w:instrText xml:space="preserve"> HYPERLINK \l "bookmark154" </w:instrText>
          </w:r>
          <w:r>
            <w:fldChar w:fldCharType="separate"/>
          </w:r>
          <w:r>
            <w:rPr>
              <w:rFonts w:ascii="微软雅黑" w:hAnsi="微软雅黑" w:eastAsia="微软雅黑" w:cs="微软雅黑"/>
              <w:spacing w:val="-1"/>
              <w:sz w:val="22"/>
              <w:szCs w:val="22"/>
            </w:rPr>
            <w:t>营企业和中型规模以上的其他生产经营单位，未按照规定开展应急预案评审的</w:t>
          </w:r>
          <w:r>
            <w:rPr>
              <w:rFonts w:ascii="微软雅黑" w:hAnsi="微软雅黑" w:eastAsia="微软雅黑" w:cs="微软雅黑"/>
              <w:sz w:val="22"/>
              <w:szCs w:val="22"/>
            </w:rPr>
            <w:tab/>
          </w:r>
          <w:r>
            <w:rPr>
              <w:rFonts w:ascii="宋体" w:hAnsi="宋体" w:eastAsia="宋体" w:cs="宋体"/>
              <w:spacing w:val="-5"/>
              <w:sz w:val="22"/>
              <w:szCs w:val="22"/>
            </w:rPr>
            <w:t>90</w:t>
          </w:r>
          <w:r>
            <w:rPr>
              <w:rFonts w:ascii="宋体" w:hAnsi="宋体" w:eastAsia="宋体" w:cs="宋体"/>
              <w:spacing w:val="-5"/>
              <w:sz w:val="22"/>
              <w:szCs w:val="22"/>
            </w:rPr>
            <w:fldChar w:fldCharType="end"/>
          </w:r>
        </w:p>
        <w:p w14:paraId="7988B991">
          <w:pPr>
            <w:spacing w:line="409" w:lineRule="exact"/>
            <w:ind w:left="13"/>
            <w:rPr>
              <w:rFonts w:ascii="微软雅黑" w:hAnsi="微软雅黑" w:eastAsia="微软雅黑" w:cs="微软雅黑"/>
              <w:sz w:val="22"/>
              <w:szCs w:val="22"/>
            </w:rPr>
          </w:pPr>
          <w:bookmarkStart w:id="111" w:name="bookmark155"/>
          <w:bookmarkEnd w:id="111"/>
          <w:r>
            <w:rPr>
              <w:rFonts w:ascii="仿宋" w:hAnsi="仿宋" w:eastAsia="仿宋" w:cs="仿宋"/>
              <w:position w:val="5"/>
              <w:sz w:val="22"/>
              <w:szCs w:val="22"/>
            </w:rPr>
            <w:t>74</w:t>
          </w:r>
          <w:r>
            <w:rPr>
              <w:rFonts w:ascii="宋体" w:hAnsi="宋体" w:eastAsia="宋体" w:cs="宋体"/>
              <w:position w:val="5"/>
              <w:sz w:val="22"/>
              <w:szCs w:val="22"/>
            </w:rPr>
            <w:t>．</w:t>
          </w:r>
          <w:r>
            <w:fldChar w:fldCharType="begin"/>
          </w:r>
          <w:r>
            <w:instrText xml:space="preserve"> HYPERLINK \l "bookmark156" </w:instrText>
          </w:r>
          <w:r>
            <w:fldChar w:fldCharType="separate"/>
          </w:r>
          <w:r>
            <w:rPr>
              <w:rFonts w:ascii="微软雅黑" w:hAnsi="微软雅黑" w:eastAsia="微软雅黑" w:cs="微软雅黑"/>
              <w:position w:val="5"/>
              <w:sz w:val="22"/>
              <w:szCs w:val="22"/>
            </w:rPr>
            <w:t>事故风险可能影响周边单位、人员的，生产经营单位未将事故风险的性质、影响范围和</w:t>
          </w:r>
          <w:r>
            <w:rPr>
              <w:rFonts w:ascii="微软雅黑" w:hAnsi="微软雅黑" w:eastAsia="微软雅黑" w:cs="微软雅黑"/>
              <w:position w:val="5"/>
              <w:sz w:val="22"/>
              <w:szCs w:val="22"/>
            </w:rPr>
            <w:fldChar w:fldCharType="end"/>
          </w:r>
        </w:p>
        <w:p w14:paraId="139F551E">
          <w:pPr>
            <w:tabs>
              <w:tab w:val="right" w:leader="dot" w:pos="8835"/>
            </w:tabs>
            <w:spacing w:before="7" w:line="167" w:lineRule="auto"/>
            <w:ind w:left="18"/>
            <w:rPr>
              <w:rFonts w:ascii="宋体" w:hAnsi="宋体" w:eastAsia="宋体" w:cs="宋体"/>
              <w:sz w:val="22"/>
              <w:szCs w:val="22"/>
            </w:rPr>
          </w:pPr>
          <w:bookmarkStart w:id="112" w:name="bookmark155"/>
          <w:bookmarkEnd w:id="112"/>
          <w:r>
            <w:fldChar w:fldCharType="begin"/>
          </w:r>
          <w:r>
            <w:instrText xml:space="preserve"> HYPERLINK \l "bookmark155" </w:instrText>
          </w:r>
          <w:r>
            <w:fldChar w:fldCharType="separate"/>
          </w:r>
          <w:r>
            <w:rPr>
              <w:rFonts w:ascii="微软雅黑" w:hAnsi="微软雅黑" w:eastAsia="微软雅黑" w:cs="微软雅黑"/>
              <w:spacing w:val="-1"/>
              <w:sz w:val="22"/>
              <w:szCs w:val="22"/>
            </w:rPr>
            <w:t>应急防范措施告知周边单位和人员的</w:t>
          </w:r>
          <w:r>
            <w:rPr>
              <w:rFonts w:ascii="微软雅黑" w:hAnsi="微软雅黑" w:eastAsia="微软雅黑" w:cs="微软雅黑"/>
              <w:sz w:val="22"/>
              <w:szCs w:val="22"/>
            </w:rPr>
            <w:tab/>
          </w:r>
          <w:r>
            <w:rPr>
              <w:rFonts w:ascii="宋体" w:hAnsi="宋体" w:eastAsia="宋体" w:cs="宋体"/>
              <w:spacing w:val="-5"/>
              <w:sz w:val="22"/>
              <w:szCs w:val="22"/>
            </w:rPr>
            <w:t>91</w:t>
          </w:r>
          <w:r>
            <w:rPr>
              <w:rFonts w:ascii="宋体" w:hAnsi="宋体" w:eastAsia="宋体" w:cs="宋体"/>
              <w:spacing w:val="-5"/>
              <w:sz w:val="22"/>
              <w:szCs w:val="22"/>
            </w:rPr>
            <w:fldChar w:fldCharType="end"/>
          </w:r>
        </w:p>
        <w:p w14:paraId="64B75FE9">
          <w:pPr>
            <w:tabs>
              <w:tab w:val="right" w:leader="dot" w:pos="8837"/>
            </w:tabs>
            <w:spacing w:line="216" w:lineRule="auto"/>
            <w:ind w:left="13"/>
            <w:rPr>
              <w:rFonts w:ascii="宋体" w:hAnsi="宋体" w:eastAsia="宋体" w:cs="宋体"/>
              <w:sz w:val="22"/>
              <w:szCs w:val="22"/>
            </w:rPr>
          </w:pPr>
          <w:bookmarkStart w:id="113" w:name="bookmark157"/>
          <w:bookmarkEnd w:id="113"/>
          <w:r>
            <w:rPr>
              <w:rFonts w:ascii="仿宋" w:hAnsi="仿宋" w:eastAsia="仿宋" w:cs="仿宋"/>
              <w:spacing w:val="-1"/>
              <w:sz w:val="22"/>
              <w:szCs w:val="22"/>
            </w:rPr>
            <w:t>75</w:t>
          </w:r>
          <w:r>
            <w:rPr>
              <w:rFonts w:ascii="宋体" w:hAnsi="宋体" w:eastAsia="宋体" w:cs="宋体"/>
              <w:spacing w:val="-1"/>
              <w:sz w:val="22"/>
              <w:szCs w:val="22"/>
            </w:rPr>
            <w:t>．</w:t>
          </w:r>
          <w:r>
            <w:fldChar w:fldCharType="begin"/>
          </w:r>
          <w:r>
            <w:instrText xml:space="preserve"> HYPERLINK \l "bookmark158" </w:instrText>
          </w:r>
          <w:r>
            <w:fldChar w:fldCharType="separate"/>
          </w:r>
          <w:r>
            <w:rPr>
              <w:rFonts w:ascii="微软雅黑" w:hAnsi="微软雅黑" w:eastAsia="微软雅黑" w:cs="微软雅黑"/>
              <w:spacing w:val="-1"/>
              <w:sz w:val="22"/>
              <w:szCs w:val="22"/>
            </w:rPr>
            <w:t>生产经营单位未按照规定开展应急预案评估的</w:t>
          </w:r>
          <w:r>
            <w:rPr>
              <w:rFonts w:ascii="微软雅黑" w:hAnsi="微软雅黑" w:eastAsia="微软雅黑" w:cs="微软雅黑"/>
              <w:sz w:val="22"/>
              <w:szCs w:val="22"/>
            </w:rPr>
            <w:tab/>
          </w:r>
          <w:r>
            <w:rPr>
              <w:rFonts w:ascii="宋体" w:hAnsi="宋体" w:eastAsia="宋体" w:cs="宋体"/>
              <w:spacing w:val="-5"/>
              <w:sz w:val="22"/>
              <w:szCs w:val="22"/>
            </w:rPr>
            <w:t>92</w:t>
          </w:r>
          <w:r>
            <w:rPr>
              <w:rFonts w:ascii="宋体" w:hAnsi="宋体" w:eastAsia="宋体" w:cs="宋体"/>
              <w:spacing w:val="-5"/>
              <w:sz w:val="22"/>
              <w:szCs w:val="22"/>
            </w:rPr>
            <w:fldChar w:fldCharType="end"/>
          </w:r>
        </w:p>
        <w:p w14:paraId="3CF6BCF4">
          <w:pPr>
            <w:tabs>
              <w:tab w:val="right" w:leader="dot" w:pos="8837"/>
            </w:tabs>
            <w:spacing w:line="216" w:lineRule="auto"/>
            <w:ind w:left="13"/>
            <w:rPr>
              <w:rFonts w:ascii="宋体" w:hAnsi="宋体" w:eastAsia="宋体" w:cs="宋体"/>
              <w:sz w:val="22"/>
              <w:szCs w:val="22"/>
            </w:rPr>
          </w:pPr>
          <w:bookmarkStart w:id="114" w:name="bookmark159"/>
          <w:bookmarkEnd w:id="114"/>
          <w:r>
            <w:rPr>
              <w:rFonts w:ascii="仿宋" w:hAnsi="仿宋" w:eastAsia="仿宋" w:cs="仿宋"/>
              <w:spacing w:val="-1"/>
              <w:sz w:val="22"/>
              <w:szCs w:val="22"/>
            </w:rPr>
            <w:t>76</w:t>
          </w:r>
          <w:r>
            <w:rPr>
              <w:rFonts w:ascii="宋体" w:hAnsi="宋体" w:eastAsia="宋体" w:cs="宋体"/>
              <w:spacing w:val="-1"/>
              <w:sz w:val="22"/>
              <w:szCs w:val="22"/>
            </w:rPr>
            <w:t>．</w:t>
          </w:r>
          <w:r>
            <w:fldChar w:fldCharType="begin"/>
          </w:r>
          <w:r>
            <w:instrText xml:space="preserve"> HYPERLINK \l "bookmark160" </w:instrText>
          </w:r>
          <w:r>
            <w:fldChar w:fldCharType="separate"/>
          </w:r>
          <w:r>
            <w:rPr>
              <w:rFonts w:ascii="微软雅黑" w:hAnsi="微软雅黑" w:eastAsia="微软雅黑" w:cs="微软雅黑"/>
              <w:spacing w:val="-1"/>
              <w:sz w:val="22"/>
              <w:szCs w:val="22"/>
            </w:rPr>
            <w:t>生产经营单位未按照规定进行应急预案修订的</w:t>
          </w:r>
          <w:r>
            <w:rPr>
              <w:rFonts w:ascii="微软雅黑" w:hAnsi="微软雅黑" w:eastAsia="微软雅黑" w:cs="微软雅黑"/>
              <w:sz w:val="22"/>
              <w:szCs w:val="22"/>
            </w:rPr>
            <w:tab/>
          </w:r>
          <w:r>
            <w:rPr>
              <w:rFonts w:ascii="宋体" w:hAnsi="宋体" w:eastAsia="宋体" w:cs="宋体"/>
              <w:spacing w:val="-5"/>
              <w:sz w:val="22"/>
              <w:szCs w:val="22"/>
            </w:rPr>
            <w:t>93</w:t>
          </w:r>
          <w:r>
            <w:rPr>
              <w:rFonts w:ascii="宋体" w:hAnsi="宋体" w:eastAsia="宋体" w:cs="宋体"/>
              <w:spacing w:val="-5"/>
              <w:sz w:val="22"/>
              <w:szCs w:val="22"/>
            </w:rPr>
            <w:fldChar w:fldCharType="end"/>
          </w:r>
        </w:p>
        <w:p w14:paraId="556E296D">
          <w:pPr>
            <w:tabs>
              <w:tab w:val="right" w:leader="dot" w:pos="8837"/>
            </w:tabs>
            <w:spacing w:line="216" w:lineRule="auto"/>
            <w:ind w:left="13"/>
            <w:rPr>
              <w:rFonts w:ascii="宋体" w:hAnsi="宋体" w:eastAsia="宋体" w:cs="宋体"/>
              <w:sz w:val="22"/>
              <w:szCs w:val="22"/>
            </w:rPr>
          </w:pPr>
          <w:bookmarkStart w:id="115" w:name="bookmark161"/>
          <w:bookmarkEnd w:id="115"/>
          <w:r>
            <w:rPr>
              <w:rFonts w:ascii="仿宋" w:hAnsi="仿宋" w:eastAsia="仿宋" w:cs="仿宋"/>
              <w:spacing w:val="-1"/>
              <w:sz w:val="22"/>
              <w:szCs w:val="22"/>
            </w:rPr>
            <w:t>77</w:t>
          </w:r>
          <w:r>
            <w:rPr>
              <w:rFonts w:ascii="宋体" w:hAnsi="宋体" w:eastAsia="宋体" w:cs="宋体"/>
              <w:spacing w:val="-1"/>
              <w:sz w:val="22"/>
              <w:szCs w:val="22"/>
            </w:rPr>
            <w:t>．</w:t>
          </w:r>
          <w:r>
            <w:fldChar w:fldCharType="begin"/>
          </w:r>
          <w:r>
            <w:instrText xml:space="preserve"> HYPERLINK \l "bookmark162" </w:instrText>
          </w:r>
          <w:r>
            <w:fldChar w:fldCharType="separate"/>
          </w:r>
          <w:r>
            <w:rPr>
              <w:rFonts w:ascii="微软雅黑" w:hAnsi="微软雅黑" w:eastAsia="微软雅黑" w:cs="微软雅黑"/>
              <w:spacing w:val="-1"/>
              <w:sz w:val="22"/>
              <w:szCs w:val="22"/>
            </w:rPr>
            <w:t>生产经营单位未落实应急预案规定的应急物资及装备的</w:t>
          </w:r>
          <w:r>
            <w:rPr>
              <w:rFonts w:ascii="微软雅黑" w:hAnsi="微软雅黑" w:eastAsia="微软雅黑" w:cs="微软雅黑"/>
              <w:sz w:val="22"/>
              <w:szCs w:val="22"/>
            </w:rPr>
            <w:tab/>
          </w:r>
          <w:r>
            <w:rPr>
              <w:rFonts w:ascii="宋体" w:hAnsi="宋体" w:eastAsia="宋体" w:cs="宋体"/>
              <w:spacing w:val="-5"/>
              <w:sz w:val="22"/>
              <w:szCs w:val="22"/>
            </w:rPr>
            <w:t>94</w:t>
          </w:r>
          <w:r>
            <w:rPr>
              <w:rFonts w:ascii="宋体" w:hAnsi="宋体" w:eastAsia="宋体" w:cs="宋体"/>
              <w:spacing w:val="-5"/>
              <w:sz w:val="22"/>
              <w:szCs w:val="22"/>
            </w:rPr>
            <w:fldChar w:fldCharType="end"/>
          </w:r>
        </w:p>
        <w:p w14:paraId="1C4EC0FA">
          <w:pPr>
            <w:spacing w:line="411" w:lineRule="exact"/>
            <w:ind w:left="13"/>
            <w:rPr>
              <w:rFonts w:ascii="微软雅黑" w:hAnsi="微软雅黑" w:eastAsia="微软雅黑" w:cs="微软雅黑"/>
              <w:sz w:val="22"/>
              <w:szCs w:val="22"/>
            </w:rPr>
          </w:pPr>
          <w:bookmarkStart w:id="116" w:name="bookmark163"/>
          <w:bookmarkEnd w:id="116"/>
          <w:r>
            <w:rPr>
              <w:rFonts w:ascii="仿宋" w:hAnsi="仿宋" w:eastAsia="仿宋" w:cs="仿宋"/>
              <w:spacing w:val="1"/>
              <w:position w:val="5"/>
              <w:sz w:val="22"/>
              <w:szCs w:val="22"/>
            </w:rPr>
            <w:t>78</w:t>
          </w:r>
          <w:r>
            <w:rPr>
              <w:rFonts w:ascii="宋体" w:hAnsi="宋体" w:eastAsia="宋体" w:cs="宋体"/>
              <w:spacing w:val="1"/>
              <w:position w:val="5"/>
              <w:sz w:val="22"/>
              <w:szCs w:val="22"/>
            </w:rPr>
            <w:t>．</w:t>
          </w:r>
          <w:r>
            <w:fldChar w:fldCharType="begin"/>
          </w:r>
          <w:r>
            <w:instrText xml:space="preserve"> HYPERLINK \l "bookmark164" </w:instrText>
          </w:r>
          <w:r>
            <w:fldChar w:fldCharType="separate"/>
          </w:r>
          <w:r>
            <w:rPr>
              <w:rFonts w:ascii="微软雅黑" w:hAnsi="微软雅黑" w:eastAsia="微软雅黑" w:cs="微软雅黑"/>
              <w:spacing w:val="1"/>
              <w:position w:val="5"/>
              <w:sz w:val="22"/>
              <w:szCs w:val="22"/>
            </w:rPr>
            <w:t>危险物品的生产、经营、储存单位以及</w:t>
          </w:r>
          <w:r>
            <w:rPr>
              <w:rFonts w:ascii="微软雅黑" w:hAnsi="微软雅黑" w:eastAsia="微软雅黑" w:cs="微软雅黑"/>
              <w:position w:val="5"/>
              <w:sz w:val="22"/>
              <w:szCs w:val="22"/>
            </w:rPr>
            <w:t>金属冶炼单位未建立应急救援组织或者生产经营</w:t>
          </w:r>
          <w:r>
            <w:rPr>
              <w:rFonts w:ascii="微软雅黑" w:hAnsi="微软雅黑" w:eastAsia="微软雅黑" w:cs="微软雅黑"/>
              <w:position w:val="5"/>
              <w:sz w:val="22"/>
              <w:szCs w:val="22"/>
            </w:rPr>
            <w:fldChar w:fldCharType="end"/>
          </w:r>
        </w:p>
        <w:p w14:paraId="30C5DD07">
          <w:pPr>
            <w:tabs>
              <w:tab w:val="right" w:leader="dot" w:pos="8835"/>
            </w:tabs>
            <w:spacing w:before="5" w:line="168" w:lineRule="auto"/>
            <w:ind w:left="16"/>
            <w:rPr>
              <w:rFonts w:ascii="宋体" w:hAnsi="宋体" w:eastAsia="宋体" w:cs="宋体"/>
              <w:sz w:val="22"/>
              <w:szCs w:val="22"/>
            </w:rPr>
          </w:pPr>
          <w:bookmarkStart w:id="117" w:name="bookmark163"/>
          <w:bookmarkEnd w:id="117"/>
          <w:r>
            <w:fldChar w:fldCharType="begin"/>
          </w:r>
          <w:r>
            <w:instrText xml:space="preserve"> HYPERLINK \l "bookmark163" </w:instrText>
          </w:r>
          <w:r>
            <w:fldChar w:fldCharType="separate"/>
          </w:r>
          <w:r>
            <w:rPr>
              <w:rFonts w:ascii="微软雅黑" w:hAnsi="微软雅黑" w:eastAsia="微软雅黑" w:cs="微软雅黑"/>
              <w:spacing w:val="-1"/>
              <w:sz w:val="22"/>
              <w:szCs w:val="22"/>
            </w:rPr>
            <w:t>规模较小、未指定兼职应急救援人员的</w:t>
          </w:r>
          <w:r>
            <w:rPr>
              <w:rFonts w:ascii="微软雅黑" w:hAnsi="微软雅黑" w:eastAsia="微软雅黑" w:cs="微软雅黑"/>
              <w:sz w:val="22"/>
              <w:szCs w:val="22"/>
            </w:rPr>
            <w:tab/>
          </w:r>
          <w:r>
            <w:rPr>
              <w:rFonts w:ascii="宋体" w:hAnsi="宋体" w:eastAsia="宋体" w:cs="宋体"/>
              <w:spacing w:val="-5"/>
              <w:sz w:val="22"/>
              <w:szCs w:val="22"/>
            </w:rPr>
            <w:t>95</w:t>
          </w:r>
          <w:r>
            <w:rPr>
              <w:rFonts w:ascii="宋体" w:hAnsi="宋体" w:eastAsia="宋体" w:cs="宋体"/>
              <w:spacing w:val="-5"/>
              <w:sz w:val="22"/>
              <w:szCs w:val="22"/>
            </w:rPr>
            <w:fldChar w:fldCharType="end"/>
          </w:r>
        </w:p>
        <w:p w14:paraId="3D62509D">
          <w:pPr>
            <w:spacing w:line="411" w:lineRule="exact"/>
            <w:ind w:left="13"/>
            <w:rPr>
              <w:rFonts w:ascii="微软雅黑" w:hAnsi="微软雅黑" w:eastAsia="微软雅黑" w:cs="微软雅黑"/>
              <w:sz w:val="22"/>
              <w:szCs w:val="22"/>
            </w:rPr>
          </w:pPr>
          <w:bookmarkStart w:id="118" w:name="bookmark165"/>
          <w:bookmarkEnd w:id="118"/>
          <w:r>
            <w:rPr>
              <w:rFonts w:ascii="仿宋" w:hAnsi="仿宋" w:eastAsia="仿宋" w:cs="仿宋"/>
              <w:spacing w:val="1"/>
              <w:position w:val="5"/>
              <w:sz w:val="22"/>
              <w:szCs w:val="22"/>
            </w:rPr>
            <w:t>79</w:t>
          </w:r>
          <w:r>
            <w:rPr>
              <w:rFonts w:ascii="宋体" w:hAnsi="宋体" w:eastAsia="宋体" w:cs="宋体"/>
              <w:spacing w:val="1"/>
              <w:position w:val="5"/>
              <w:sz w:val="22"/>
              <w:szCs w:val="22"/>
            </w:rPr>
            <w:t>．</w:t>
          </w:r>
          <w:r>
            <w:fldChar w:fldCharType="begin"/>
          </w:r>
          <w:r>
            <w:instrText xml:space="preserve"> HYPERLINK \l "bookmark166" </w:instrText>
          </w:r>
          <w:r>
            <w:fldChar w:fldCharType="separate"/>
          </w:r>
          <w:r>
            <w:rPr>
              <w:rFonts w:ascii="微软雅黑" w:hAnsi="微软雅黑" w:eastAsia="微软雅黑" w:cs="微软雅黑"/>
              <w:spacing w:val="1"/>
              <w:position w:val="5"/>
              <w:sz w:val="22"/>
              <w:szCs w:val="22"/>
            </w:rPr>
            <w:t>危险物品的生产、经营、储存单位以及</w:t>
          </w:r>
          <w:r>
            <w:rPr>
              <w:rFonts w:ascii="微软雅黑" w:hAnsi="微软雅黑" w:eastAsia="微软雅黑" w:cs="微软雅黑"/>
              <w:position w:val="5"/>
              <w:sz w:val="22"/>
              <w:szCs w:val="22"/>
            </w:rPr>
            <w:t>金属冶炼单位未配备必要的应急救援器材、设备</w:t>
          </w:r>
          <w:r>
            <w:rPr>
              <w:rFonts w:ascii="微软雅黑" w:hAnsi="微软雅黑" w:eastAsia="微软雅黑" w:cs="微软雅黑"/>
              <w:position w:val="5"/>
              <w:sz w:val="22"/>
              <w:szCs w:val="22"/>
            </w:rPr>
            <w:fldChar w:fldCharType="end"/>
          </w:r>
        </w:p>
        <w:p w14:paraId="165F2F70">
          <w:pPr>
            <w:tabs>
              <w:tab w:val="right" w:leader="dot" w:pos="8837"/>
            </w:tabs>
            <w:spacing w:before="6" w:line="167" w:lineRule="auto"/>
            <w:ind w:left="14"/>
            <w:rPr>
              <w:rFonts w:ascii="宋体" w:hAnsi="宋体" w:eastAsia="宋体" w:cs="宋体"/>
              <w:sz w:val="22"/>
              <w:szCs w:val="22"/>
            </w:rPr>
          </w:pPr>
          <w:bookmarkStart w:id="119" w:name="bookmark165"/>
          <w:bookmarkEnd w:id="119"/>
          <w:r>
            <w:fldChar w:fldCharType="begin"/>
          </w:r>
          <w:r>
            <w:instrText xml:space="preserve"> HYPERLINK \l "bookmark165" </w:instrText>
          </w:r>
          <w:r>
            <w:fldChar w:fldCharType="separate"/>
          </w:r>
          <w:r>
            <w:rPr>
              <w:rFonts w:ascii="微软雅黑" w:hAnsi="微软雅黑" w:eastAsia="微软雅黑" w:cs="微软雅黑"/>
              <w:spacing w:val="-1"/>
              <w:sz w:val="22"/>
              <w:szCs w:val="22"/>
            </w:rPr>
            <w:t>和物资，并进行经常性维护、保养，保证正常运转的</w:t>
          </w:r>
          <w:r>
            <w:rPr>
              <w:rFonts w:ascii="微软雅黑" w:hAnsi="微软雅黑" w:eastAsia="微软雅黑" w:cs="微软雅黑"/>
              <w:sz w:val="22"/>
              <w:szCs w:val="22"/>
            </w:rPr>
            <w:tab/>
          </w:r>
          <w:r>
            <w:rPr>
              <w:rFonts w:ascii="宋体" w:hAnsi="宋体" w:eastAsia="宋体" w:cs="宋体"/>
              <w:spacing w:val="-5"/>
              <w:sz w:val="22"/>
              <w:szCs w:val="22"/>
            </w:rPr>
            <w:t>95</w:t>
          </w:r>
          <w:r>
            <w:rPr>
              <w:rFonts w:ascii="宋体" w:hAnsi="宋体" w:eastAsia="宋体" w:cs="宋体"/>
              <w:spacing w:val="-5"/>
              <w:sz w:val="22"/>
              <w:szCs w:val="22"/>
            </w:rPr>
            <w:fldChar w:fldCharType="end"/>
          </w:r>
        </w:p>
        <w:p w14:paraId="545F5D2D">
          <w:pPr>
            <w:spacing w:line="411" w:lineRule="exact"/>
            <w:ind w:left="8"/>
            <w:rPr>
              <w:rFonts w:ascii="微软雅黑" w:hAnsi="微软雅黑" w:eastAsia="微软雅黑" w:cs="微软雅黑"/>
              <w:sz w:val="22"/>
              <w:szCs w:val="22"/>
            </w:rPr>
          </w:pPr>
          <w:bookmarkStart w:id="120" w:name="bookmark167"/>
          <w:bookmarkEnd w:id="120"/>
          <w:r>
            <w:rPr>
              <w:rFonts w:ascii="仿宋" w:hAnsi="仿宋" w:eastAsia="仿宋" w:cs="仿宋"/>
              <w:spacing w:val="1"/>
              <w:position w:val="5"/>
              <w:sz w:val="22"/>
              <w:szCs w:val="22"/>
            </w:rPr>
            <w:t>80</w:t>
          </w:r>
          <w:r>
            <w:rPr>
              <w:rFonts w:ascii="宋体" w:hAnsi="宋体" w:eastAsia="宋体" w:cs="宋体"/>
              <w:spacing w:val="1"/>
              <w:position w:val="5"/>
              <w:sz w:val="22"/>
              <w:szCs w:val="22"/>
            </w:rPr>
            <w:t>．</w:t>
          </w:r>
          <w:r>
            <w:fldChar w:fldCharType="begin"/>
          </w:r>
          <w:r>
            <w:instrText xml:space="preserve"> HYPERLINK \l "bookmark168" </w:instrText>
          </w:r>
          <w:r>
            <w:fldChar w:fldCharType="separate"/>
          </w:r>
          <w:r>
            <w:rPr>
              <w:rFonts w:ascii="微软雅黑" w:hAnsi="微软雅黑" w:eastAsia="微软雅黑" w:cs="微软雅黑"/>
              <w:spacing w:val="1"/>
              <w:position w:val="5"/>
              <w:sz w:val="22"/>
              <w:szCs w:val="22"/>
            </w:rPr>
            <w:t>危险化学品、烟花爆竹生产企业和石油天然气企</w:t>
          </w:r>
          <w:r>
            <w:rPr>
              <w:rFonts w:ascii="微软雅黑" w:hAnsi="微软雅黑" w:eastAsia="微软雅黑" w:cs="微软雅黑"/>
              <w:position w:val="5"/>
              <w:sz w:val="22"/>
              <w:szCs w:val="22"/>
            </w:rPr>
            <w:t>业未取得安全生产许可证擅自进行生产</w:t>
          </w:r>
          <w:r>
            <w:rPr>
              <w:rFonts w:ascii="微软雅黑" w:hAnsi="微软雅黑" w:eastAsia="微软雅黑" w:cs="微软雅黑"/>
              <w:position w:val="5"/>
              <w:sz w:val="22"/>
              <w:szCs w:val="22"/>
            </w:rPr>
            <w:fldChar w:fldCharType="end"/>
          </w:r>
        </w:p>
        <w:p w14:paraId="4CF6FF42">
          <w:pPr>
            <w:tabs>
              <w:tab w:val="right" w:leader="dot" w:pos="8829"/>
            </w:tabs>
            <w:spacing w:before="7" w:line="167" w:lineRule="auto"/>
            <w:ind w:left="32"/>
            <w:rPr>
              <w:rFonts w:ascii="宋体" w:hAnsi="宋体" w:eastAsia="宋体" w:cs="宋体"/>
              <w:sz w:val="22"/>
              <w:szCs w:val="22"/>
            </w:rPr>
          </w:pPr>
          <w:bookmarkStart w:id="121" w:name="bookmark167"/>
          <w:bookmarkEnd w:id="121"/>
          <w:r>
            <w:fldChar w:fldCharType="begin"/>
          </w:r>
          <w:r>
            <w:instrText xml:space="preserve"> HYPERLINK \l "bookmark167" </w:instrText>
          </w:r>
          <w:r>
            <w:fldChar w:fldCharType="separate"/>
          </w:r>
          <w:r>
            <w:rPr>
              <w:rFonts w:ascii="微软雅黑" w:hAnsi="微软雅黑" w:eastAsia="微软雅黑" w:cs="微软雅黑"/>
              <w:spacing w:val="-21"/>
              <w:w w:val="94"/>
              <w:sz w:val="22"/>
              <w:szCs w:val="22"/>
            </w:rPr>
            <w:t>的</w:t>
          </w:r>
          <w:r>
            <w:rPr>
              <w:rFonts w:ascii="微软雅黑" w:hAnsi="微软雅黑" w:eastAsia="微软雅黑" w:cs="微软雅黑"/>
              <w:sz w:val="22"/>
              <w:szCs w:val="22"/>
            </w:rPr>
            <w:tab/>
          </w:r>
          <w:r>
            <w:rPr>
              <w:rFonts w:ascii="宋体" w:hAnsi="宋体" w:eastAsia="宋体" w:cs="宋体"/>
              <w:spacing w:val="-5"/>
              <w:sz w:val="22"/>
              <w:szCs w:val="22"/>
            </w:rPr>
            <w:t>96</w:t>
          </w:r>
          <w:r>
            <w:rPr>
              <w:rFonts w:ascii="宋体" w:hAnsi="宋体" w:eastAsia="宋体" w:cs="宋体"/>
              <w:spacing w:val="-5"/>
              <w:sz w:val="22"/>
              <w:szCs w:val="22"/>
            </w:rPr>
            <w:fldChar w:fldCharType="end"/>
          </w:r>
        </w:p>
        <w:p w14:paraId="1BF3ACF5">
          <w:pPr>
            <w:spacing w:line="216" w:lineRule="auto"/>
            <w:jc w:val="right"/>
            <w:rPr>
              <w:rFonts w:ascii="宋体" w:hAnsi="宋体" w:eastAsia="宋体" w:cs="宋体"/>
              <w:sz w:val="22"/>
              <w:szCs w:val="22"/>
            </w:rPr>
          </w:pPr>
          <w:bookmarkStart w:id="122" w:name="bookmark169"/>
          <w:bookmarkEnd w:id="122"/>
          <w:r>
            <w:rPr>
              <w:rFonts w:ascii="仿宋" w:hAnsi="仿宋" w:eastAsia="仿宋" w:cs="仿宋"/>
              <w:sz w:val="22"/>
              <w:szCs w:val="22"/>
            </w:rPr>
            <w:t>81</w:t>
          </w:r>
          <w:r>
            <w:rPr>
              <w:rFonts w:ascii="宋体" w:hAnsi="宋体" w:eastAsia="宋体" w:cs="宋体"/>
              <w:sz w:val="22"/>
              <w:szCs w:val="22"/>
            </w:rPr>
            <w:t>．</w:t>
          </w:r>
          <w:r>
            <w:fldChar w:fldCharType="begin"/>
          </w:r>
          <w:r>
            <w:instrText xml:space="preserve"> HYPERLINK \l "bookmark170" </w:instrText>
          </w:r>
          <w:r>
            <w:fldChar w:fldCharType="separate"/>
          </w:r>
          <w:r>
            <w:rPr>
              <w:rFonts w:ascii="微软雅黑" w:hAnsi="微软雅黑" w:eastAsia="微软雅黑" w:cs="微软雅黑"/>
              <w:sz w:val="22"/>
              <w:szCs w:val="22"/>
            </w:rPr>
            <w:t>危险化学品、烟花爆竹生产企业和石油天然气企业未按规定办理安</w:t>
          </w:r>
          <w:r>
            <w:rPr>
              <w:rFonts w:ascii="微软雅黑" w:hAnsi="微软雅黑" w:eastAsia="微软雅黑" w:cs="微软雅黑"/>
              <w:spacing w:val="-1"/>
              <w:sz w:val="22"/>
              <w:szCs w:val="22"/>
            </w:rPr>
            <w:t>全生产许可证延期的</w:t>
          </w:r>
          <w:r>
            <w:rPr>
              <w:rFonts w:ascii="宋体" w:hAnsi="宋体" w:eastAsia="宋体" w:cs="宋体"/>
              <w:spacing w:val="-1"/>
              <w:sz w:val="22"/>
              <w:szCs w:val="22"/>
            </w:rPr>
            <w:t>97</w:t>
          </w:r>
          <w:r>
            <w:rPr>
              <w:rFonts w:ascii="宋体" w:hAnsi="宋体" w:eastAsia="宋体" w:cs="宋体"/>
              <w:spacing w:val="-1"/>
              <w:sz w:val="22"/>
              <w:szCs w:val="22"/>
            </w:rPr>
            <w:fldChar w:fldCharType="end"/>
          </w:r>
        </w:p>
        <w:p w14:paraId="6EAFE5AC">
          <w:pPr>
            <w:tabs>
              <w:tab w:val="right" w:leader="dot" w:pos="8840"/>
            </w:tabs>
            <w:spacing w:line="216" w:lineRule="auto"/>
            <w:ind w:left="8"/>
            <w:rPr>
              <w:rFonts w:ascii="宋体" w:hAnsi="宋体" w:eastAsia="宋体" w:cs="宋体"/>
              <w:sz w:val="22"/>
              <w:szCs w:val="22"/>
            </w:rPr>
          </w:pPr>
          <w:bookmarkStart w:id="123" w:name="bookmark169"/>
          <w:bookmarkEnd w:id="123"/>
          <w:r>
            <w:rPr>
              <w:rFonts w:ascii="仿宋" w:hAnsi="仿宋" w:eastAsia="仿宋" w:cs="仿宋"/>
              <w:sz w:val="22"/>
              <w:szCs w:val="22"/>
            </w:rPr>
            <w:t>82</w:t>
          </w:r>
          <w:r>
            <w:rPr>
              <w:rFonts w:ascii="宋体" w:hAnsi="宋体" w:eastAsia="宋体" w:cs="宋体"/>
              <w:sz w:val="22"/>
              <w:szCs w:val="22"/>
            </w:rPr>
            <w:t>．</w:t>
          </w:r>
          <w:r>
            <w:fldChar w:fldCharType="begin"/>
          </w:r>
          <w:r>
            <w:instrText xml:space="preserve"> HYPERLINK \l "bookmark171" </w:instrText>
          </w:r>
          <w:r>
            <w:fldChar w:fldCharType="separate"/>
          </w:r>
          <w:r>
            <w:rPr>
              <w:rFonts w:ascii="微软雅黑" w:hAnsi="微软雅黑" w:eastAsia="微软雅黑" w:cs="微软雅黑"/>
              <w:sz w:val="22"/>
              <w:szCs w:val="22"/>
            </w:rPr>
            <w:t>危险化学品、烟花爆竹生产企业和石油天然气企业转让安全生产</w:t>
          </w:r>
          <w:r>
            <w:rPr>
              <w:rFonts w:ascii="微软雅黑" w:hAnsi="微软雅黑" w:eastAsia="微软雅黑" w:cs="微软雅黑"/>
              <w:spacing w:val="-1"/>
              <w:sz w:val="22"/>
              <w:szCs w:val="22"/>
            </w:rPr>
            <w:t>许可证的</w:t>
          </w:r>
          <w:r>
            <w:rPr>
              <w:rFonts w:ascii="微软雅黑" w:hAnsi="微软雅黑" w:eastAsia="微软雅黑" w:cs="微软雅黑"/>
              <w:sz w:val="22"/>
              <w:szCs w:val="22"/>
            </w:rPr>
            <w:tab/>
          </w:r>
          <w:r>
            <w:rPr>
              <w:rFonts w:ascii="宋体" w:hAnsi="宋体" w:eastAsia="宋体" w:cs="宋体"/>
              <w:spacing w:val="-5"/>
              <w:sz w:val="22"/>
              <w:szCs w:val="22"/>
            </w:rPr>
            <w:t>99</w:t>
          </w:r>
          <w:r>
            <w:rPr>
              <w:rFonts w:ascii="宋体" w:hAnsi="宋体" w:eastAsia="宋体" w:cs="宋体"/>
              <w:spacing w:val="-5"/>
              <w:sz w:val="22"/>
              <w:szCs w:val="22"/>
            </w:rPr>
            <w:fldChar w:fldCharType="end"/>
          </w:r>
        </w:p>
        <w:p w14:paraId="04211968">
          <w:pPr>
            <w:tabs>
              <w:tab w:val="right" w:leader="dot" w:pos="8842"/>
            </w:tabs>
            <w:spacing w:line="216" w:lineRule="auto"/>
            <w:ind w:left="8"/>
            <w:rPr>
              <w:rFonts w:ascii="宋体" w:hAnsi="宋体" w:eastAsia="宋体" w:cs="宋体"/>
              <w:sz w:val="22"/>
              <w:szCs w:val="22"/>
            </w:rPr>
          </w:pPr>
          <w:bookmarkStart w:id="124" w:name="bookmark172"/>
          <w:bookmarkEnd w:id="124"/>
          <w:r>
            <w:rPr>
              <w:rFonts w:ascii="仿宋" w:hAnsi="仿宋" w:eastAsia="仿宋" w:cs="仿宋"/>
              <w:sz w:val="22"/>
              <w:szCs w:val="22"/>
            </w:rPr>
            <w:t>83</w:t>
          </w:r>
          <w:r>
            <w:rPr>
              <w:rFonts w:ascii="宋体" w:hAnsi="宋体" w:eastAsia="宋体" w:cs="宋体"/>
              <w:sz w:val="22"/>
              <w:szCs w:val="22"/>
            </w:rPr>
            <w:t>．</w:t>
          </w:r>
          <w:r>
            <w:fldChar w:fldCharType="begin"/>
          </w:r>
          <w:r>
            <w:instrText xml:space="preserve"> HYPERLINK \l "bookmark173" </w:instrText>
          </w:r>
          <w:r>
            <w:fldChar w:fldCharType="separate"/>
          </w:r>
          <w:r>
            <w:rPr>
              <w:rFonts w:ascii="微软雅黑" w:hAnsi="微软雅黑" w:eastAsia="微软雅黑" w:cs="微软雅黑"/>
              <w:sz w:val="22"/>
              <w:szCs w:val="22"/>
            </w:rPr>
            <w:t>危险化学品、烟花爆竹生产企业和石油天然气企业接受转让的安全生产</w:t>
          </w:r>
          <w:r>
            <w:rPr>
              <w:rFonts w:ascii="微软雅黑" w:hAnsi="微软雅黑" w:eastAsia="微软雅黑" w:cs="微软雅黑"/>
              <w:spacing w:val="-1"/>
              <w:sz w:val="22"/>
              <w:szCs w:val="22"/>
            </w:rPr>
            <w:t>许可证的</w:t>
          </w:r>
          <w:r>
            <w:rPr>
              <w:rFonts w:ascii="微软雅黑" w:hAnsi="微软雅黑" w:eastAsia="微软雅黑" w:cs="微软雅黑"/>
              <w:sz w:val="22"/>
              <w:szCs w:val="22"/>
            </w:rPr>
            <w:tab/>
          </w:r>
          <w:r>
            <w:rPr>
              <w:rFonts w:ascii="宋体" w:hAnsi="宋体" w:eastAsia="宋体" w:cs="宋体"/>
              <w:spacing w:val="-9"/>
              <w:sz w:val="22"/>
              <w:szCs w:val="22"/>
            </w:rPr>
            <w:t>101</w:t>
          </w:r>
          <w:r>
            <w:rPr>
              <w:rFonts w:ascii="宋体" w:hAnsi="宋体" w:eastAsia="宋体" w:cs="宋体"/>
              <w:spacing w:val="-9"/>
              <w:sz w:val="22"/>
              <w:szCs w:val="22"/>
            </w:rPr>
            <w:fldChar w:fldCharType="end"/>
          </w:r>
        </w:p>
        <w:p w14:paraId="33E01127">
          <w:pPr>
            <w:spacing w:line="410" w:lineRule="exact"/>
            <w:ind w:left="8"/>
            <w:rPr>
              <w:rFonts w:ascii="微软雅黑" w:hAnsi="微软雅黑" w:eastAsia="微软雅黑" w:cs="微软雅黑"/>
              <w:sz w:val="22"/>
              <w:szCs w:val="22"/>
            </w:rPr>
          </w:pPr>
          <w:bookmarkStart w:id="125" w:name="bookmark174"/>
          <w:bookmarkEnd w:id="125"/>
          <w:r>
            <w:rPr>
              <w:rFonts w:ascii="仿宋" w:hAnsi="仿宋" w:eastAsia="仿宋" w:cs="仿宋"/>
              <w:spacing w:val="1"/>
              <w:position w:val="5"/>
              <w:sz w:val="22"/>
              <w:szCs w:val="22"/>
            </w:rPr>
            <w:t>84</w:t>
          </w:r>
          <w:r>
            <w:rPr>
              <w:rFonts w:ascii="宋体" w:hAnsi="宋体" w:eastAsia="宋体" w:cs="宋体"/>
              <w:spacing w:val="1"/>
              <w:position w:val="5"/>
              <w:sz w:val="22"/>
              <w:szCs w:val="22"/>
            </w:rPr>
            <w:t>．</w:t>
          </w:r>
          <w:r>
            <w:fldChar w:fldCharType="begin"/>
          </w:r>
          <w:r>
            <w:instrText xml:space="preserve"> HYPERLINK \l "bookmark175" </w:instrText>
          </w:r>
          <w:r>
            <w:fldChar w:fldCharType="separate"/>
          </w:r>
          <w:r>
            <w:rPr>
              <w:rFonts w:ascii="微软雅黑" w:hAnsi="微软雅黑" w:eastAsia="微软雅黑" w:cs="微软雅黑"/>
              <w:spacing w:val="1"/>
              <w:position w:val="5"/>
              <w:sz w:val="22"/>
              <w:szCs w:val="22"/>
            </w:rPr>
            <w:t>危险化学品、烟花爆竹生产企业和石油天然气企</w:t>
          </w:r>
          <w:r>
            <w:rPr>
              <w:rFonts w:ascii="微软雅黑" w:hAnsi="微软雅黑" w:eastAsia="微软雅黑" w:cs="微软雅黑"/>
              <w:position w:val="5"/>
              <w:sz w:val="22"/>
              <w:szCs w:val="22"/>
            </w:rPr>
            <w:t>业冒用或者使用伪造的安全生产许可证</w:t>
          </w:r>
          <w:r>
            <w:rPr>
              <w:rFonts w:ascii="微软雅黑" w:hAnsi="微软雅黑" w:eastAsia="微软雅黑" w:cs="微软雅黑"/>
              <w:position w:val="5"/>
              <w:sz w:val="22"/>
              <w:szCs w:val="22"/>
            </w:rPr>
            <w:fldChar w:fldCharType="end"/>
          </w:r>
        </w:p>
        <w:p w14:paraId="2DA771F6">
          <w:pPr>
            <w:tabs>
              <w:tab w:val="right" w:leader="dot" w:pos="8829"/>
            </w:tabs>
            <w:spacing w:before="6" w:line="168" w:lineRule="auto"/>
            <w:ind w:left="32"/>
            <w:rPr>
              <w:rFonts w:ascii="宋体" w:hAnsi="宋体" w:eastAsia="宋体" w:cs="宋体"/>
              <w:sz w:val="22"/>
              <w:szCs w:val="22"/>
            </w:rPr>
          </w:pPr>
          <w:bookmarkStart w:id="126" w:name="bookmark174"/>
          <w:bookmarkEnd w:id="126"/>
          <w:r>
            <w:fldChar w:fldCharType="begin"/>
          </w:r>
          <w:r>
            <w:instrText xml:space="preserve"> HYPERLINK \l "bookmark174" </w:instrText>
          </w:r>
          <w:r>
            <w:fldChar w:fldCharType="separate"/>
          </w:r>
          <w:r>
            <w:rPr>
              <w:rFonts w:ascii="微软雅黑" w:hAnsi="微软雅黑" w:eastAsia="微软雅黑" w:cs="微软雅黑"/>
              <w:spacing w:val="-21"/>
              <w:w w:val="94"/>
              <w:sz w:val="22"/>
              <w:szCs w:val="22"/>
            </w:rPr>
            <w:t>的</w:t>
          </w:r>
          <w:r>
            <w:rPr>
              <w:rFonts w:ascii="微软雅黑" w:hAnsi="微软雅黑" w:eastAsia="微软雅黑" w:cs="微软雅黑"/>
              <w:sz w:val="22"/>
              <w:szCs w:val="22"/>
            </w:rPr>
            <w:tab/>
          </w:r>
          <w:r>
            <w:rPr>
              <w:rFonts w:ascii="宋体" w:hAnsi="宋体" w:eastAsia="宋体" w:cs="宋体"/>
              <w:spacing w:val="-9"/>
              <w:sz w:val="22"/>
              <w:szCs w:val="22"/>
            </w:rPr>
            <w:t>103</w:t>
          </w:r>
          <w:r>
            <w:rPr>
              <w:rFonts w:ascii="宋体" w:hAnsi="宋体" w:eastAsia="宋体" w:cs="宋体"/>
              <w:spacing w:val="-9"/>
              <w:sz w:val="22"/>
              <w:szCs w:val="22"/>
            </w:rPr>
            <w:fldChar w:fldCharType="end"/>
          </w:r>
        </w:p>
        <w:p w14:paraId="4DDD01B0">
          <w:pPr>
            <w:spacing w:line="411" w:lineRule="exact"/>
            <w:ind w:left="8"/>
            <w:rPr>
              <w:rFonts w:ascii="微软雅黑" w:hAnsi="微软雅黑" w:eastAsia="微软雅黑" w:cs="微软雅黑"/>
              <w:sz w:val="22"/>
              <w:szCs w:val="22"/>
            </w:rPr>
          </w:pPr>
          <w:bookmarkStart w:id="127" w:name="bookmark176"/>
          <w:bookmarkEnd w:id="127"/>
          <w:r>
            <w:rPr>
              <w:rFonts w:ascii="仿宋" w:hAnsi="仿宋" w:eastAsia="仿宋" w:cs="仿宋"/>
              <w:spacing w:val="1"/>
              <w:position w:val="5"/>
              <w:sz w:val="22"/>
              <w:szCs w:val="22"/>
            </w:rPr>
            <w:t>85</w:t>
          </w:r>
          <w:r>
            <w:rPr>
              <w:rFonts w:ascii="宋体" w:hAnsi="宋体" w:eastAsia="宋体" w:cs="宋体"/>
              <w:spacing w:val="1"/>
              <w:position w:val="5"/>
              <w:sz w:val="22"/>
              <w:szCs w:val="22"/>
            </w:rPr>
            <w:t>．</w:t>
          </w:r>
          <w:r>
            <w:fldChar w:fldCharType="begin"/>
          </w:r>
          <w:r>
            <w:instrText xml:space="preserve"> HYPERLINK \l "bookmark177" </w:instrText>
          </w:r>
          <w:r>
            <w:fldChar w:fldCharType="separate"/>
          </w:r>
          <w:r>
            <w:rPr>
              <w:rFonts w:ascii="微软雅黑" w:hAnsi="微软雅黑" w:eastAsia="微软雅黑" w:cs="微软雅黑"/>
              <w:spacing w:val="1"/>
              <w:position w:val="5"/>
              <w:sz w:val="22"/>
              <w:szCs w:val="22"/>
            </w:rPr>
            <w:t>知道或者应当知道生产经营单位未取得安全生产</w:t>
          </w:r>
          <w:r>
            <w:rPr>
              <w:rFonts w:ascii="微软雅黑" w:hAnsi="微软雅黑" w:eastAsia="微软雅黑" w:cs="微软雅黑"/>
              <w:position w:val="5"/>
              <w:sz w:val="22"/>
              <w:szCs w:val="22"/>
            </w:rPr>
            <w:t>许可证或者其他批准文件擅自从事生产</w:t>
          </w:r>
          <w:r>
            <w:rPr>
              <w:rFonts w:ascii="微软雅黑" w:hAnsi="微软雅黑" w:eastAsia="微软雅黑" w:cs="微软雅黑"/>
              <w:position w:val="5"/>
              <w:sz w:val="22"/>
              <w:szCs w:val="22"/>
            </w:rPr>
            <w:fldChar w:fldCharType="end"/>
          </w:r>
        </w:p>
        <w:p w14:paraId="42FDEE90">
          <w:pPr>
            <w:tabs>
              <w:tab w:val="right" w:leader="dot" w:pos="8839"/>
            </w:tabs>
            <w:spacing w:before="7" w:line="167" w:lineRule="auto"/>
            <w:ind w:left="17"/>
            <w:rPr>
              <w:rFonts w:ascii="宋体" w:hAnsi="宋体" w:eastAsia="宋体" w:cs="宋体"/>
              <w:sz w:val="22"/>
              <w:szCs w:val="22"/>
            </w:rPr>
          </w:pPr>
          <w:bookmarkStart w:id="128" w:name="bookmark176"/>
          <w:bookmarkEnd w:id="128"/>
          <w:r>
            <w:fldChar w:fldCharType="begin"/>
          </w:r>
          <w:r>
            <w:instrText xml:space="preserve"> HYPERLINK \l "bookmark176" </w:instrText>
          </w:r>
          <w:r>
            <w:fldChar w:fldCharType="separate"/>
          </w:r>
          <w:r>
            <w:rPr>
              <w:rFonts w:ascii="微软雅黑" w:hAnsi="微软雅黑" w:eastAsia="微软雅黑" w:cs="微软雅黑"/>
              <w:spacing w:val="-1"/>
              <w:sz w:val="22"/>
              <w:szCs w:val="22"/>
            </w:rPr>
            <w:t>经营活动，仍为其提供生产经营场所、运输、保管、仓储等条件的</w:t>
          </w:r>
          <w:r>
            <w:rPr>
              <w:rFonts w:ascii="微软雅黑" w:hAnsi="微软雅黑" w:eastAsia="微软雅黑" w:cs="微软雅黑"/>
              <w:sz w:val="22"/>
              <w:szCs w:val="22"/>
            </w:rPr>
            <w:tab/>
          </w:r>
          <w:r>
            <w:rPr>
              <w:rFonts w:ascii="宋体" w:hAnsi="宋体" w:eastAsia="宋体" w:cs="宋体"/>
              <w:spacing w:val="-9"/>
              <w:sz w:val="22"/>
              <w:szCs w:val="22"/>
            </w:rPr>
            <w:t>104</w:t>
          </w:r>
          <w:r>
            <w:rPr>
              <w:rFonts w:ascii="宋体" w:hAnsi="宋体" w:eastAsia="宋体" w:cs="宋体"/>
              <w:spacing w:val="-9"/>
              <w:sz w:val="22"/>
              <w:szCs w:val="22"/>
            </w:rPr>
            <w:fldChar w:fldCharType="end"/>
          </w:r>
        </w:p>
        <w:p w14:paraId="12D78B48">
          <w:pPr>
            <w:spacing w:line="409" w:lineRule="exact"/>
            <w:ind w:left="8"/>
            <w:rPr>
              <w:rFonts w:ascii="微软雅黑" w:hAnsi="微软雅黑" w:eastAsia="微软雅黑" w:cs="微软雅黑"/>
              <w:sz w:val="22"/>
              <w:szCs w:val="22"/>
            </w:rPr>
          </w:pPr>
          <w:bookmarkStart w:id="129" w:name="bookmark178"/>
          <w:bookmarkEnd w:id="129"/>
          <w:r>
            <w:rPr>
              <w:rFonts w:ascii="仿宋" w:hAnsi="仿宋" w:eastAsia="仿宋" w:cs="仿宋"/>
              <w:spacing w:val="1"/>
              <w:position w:val="5"/>
              <w:sz w:val="22"/>
              <w:szCs w:val="22"/>
            </w:rPr>
            <w:t>86</w:t>
          </w:r>
          <w:r>
            <w:rPr>
              <w:rFonts w:ascii="宋体" w:hAnsi="宋体" w:eastAsia="宋体" w:cs="宋体"/>
              <w:spacing w:val="1"/>
              <w:position w:val="5"/>
              <w:sz w:val="22"/>
              <w:szCs w:val="22"/>
            </w:rPr>
            <w:t>．</w:t>
          </w:r>
          <w:r>
            <w:fldChar w:fldCharType="begin"/>
          </w:r>
          <w:r>
            <w:instrText xml:space="preserve"> HYPERLINK \l "bookmark179" </w:instrText>
          </w:r>
          <w:r>
            <w:fldChar w:fldCharType="separate"/>
          </w:r>
          <w:r>
            <w:rPr>
              <w:rFonts w:ascii="微软雅黑" w:hAnsi="微软雅黑" w:eastAsia="微软雅黑" w:cs="微软雅黑"/>
              <w:spacing w:val="1"/>
              <w:position w:val="5"/>
              <w:sz w:val="22"/>
              <w:szCs w:val="22"/>
            </w:rPr>
            <w:t>生产经营单位及其有关人员弄虚作假，骗取或者</w:t>
          </w:r>
          <w:r>
            <w:rPr>
              <w:rFonts w:ascii="微软雅黑" w:hAnsi="微软雅黑" w:eastAsia="微软雅黑" w:cs="微软雅黑"/>
              <w:position w:val="5"/>
              <w:sz w:val="22"/>
              <w:szCs w:val="22"/>
            </w:rPr>
            <w:t>勾结、串通行政审批工作人员取得安全</w:t>
          </w:r>
          <w:r>
            <w:rPr>
              <w:rFonts w:ascii="微软雅黑" w:hAnsi="微软雅黑" w:eastAsia="微软雅黑" w:cs="微软雅黑"/>
              <w:position w:val="5"/>
              <w:sz w:val="22"/>
              <w:szCs w:val="22"/>
            </w:rPr>
            <w:fldChar w:fldCharType="end"/>
          </w:r>
        </w:p>
        <w:p w14:paraId="753CA2DF">
          <w:pPr>
            <w:tabs>
              <w:tab w:val="right" w:leader="dot" w:pos="8834"/>
            </w:tabs>
            <w:spacing w:before="8" w:line="167" w:lineRule="auto"/>
            <w:ind w:left="24"/>
            <w:rPr>
              <w:rFonts w:ascii="宋体" w:hAnsi="宋体" w:eastAsia="宋体" w:cs="宋体"/>
              <w:sz w:val="22"/>
              <w:szCs w:val="22"/>
            </w:rPr>
          </w:pPr>
          <w:bookmarkStart w:id="130" w:name="bookmark178"/>
          <w:bookmarkEnd w:id="130"/>
          <w:r>
            <w:fldChar w:fldCharType="begin"/>
          </w:r>
          <w:r>
            <w:instrText xml:space="preserve"> HYPERLINK \l "bookmark178" </w:instrText>
          </w:r>
          <w:r>
            <w:fldChar w:fldCharType="separate"/>
          </w:r>
          <w:r>
            <w:rPr>
              <w:rFonts w:ascii="微软雅黑" w:hAnsi="微软雅黑" w:eastAsia="微软雅黑" w:cs="微软雅黑"/>
              <w:spacing w:val="-2"/>
              <w:sz w:val="22"/>
              <w:szCs w:val="22"/>
            </w:rPr>
            <w:t>生产许可证书及其他批准文件的</w:t>
          </w:r>
          <w:r>
            <w:rPr>
              <w:rFonts w:ascii="微软雅黑" w:hAnsi="微软雅黑" w:eastAsia="微软雅黑" w:cs="微软雅黑"/>
              <w:sz w:val="22"/>
              <w:szCs w:val="22"/>
            </w:rPr>
            <w:tab/>
          </w:r>
          <w:r>
            <w:rPr>
              <w:rFonts w:ascii="宋体" w:hAnsi="宋体" w:eastAsia="宋体" w:cs="宋体"/>
              <w:spacing w:val="-9"/>
              <w:sz w:val="22"/>
              <w:szCs w:val="22"/>
            </w:rPr>
            <w:t>105</w:t>
          </w:r>
          <w:r>
            <w:rPr>
              <w:rFonts w:ascii="宋体" w:hAnsi="宋体" w:eastAsia="宋体" w:cs="宋体"/>
              <w:spacing w:val="-9"/>
              <w:sz w:val="22"/>
              <w:szCs w:val="22"/>
            </w:rPr>
            <w:fldChar w:fldCharType="end"/>
          </w:r>
        </w:p>
        <w:p w14:paraId="1C0699FE">
          <w:pPr>
            <w:tabs>
              <w:tab w:val="right" w:leader="dot" w:pos="8835"/>
            </w:tabs>
            <w:spacing w:line="216" w:lineRule="auto"/>
            <w:ind w:left="8"/>
            <w:rPr>
              <w:rFonts w:ascii="宋体" w:hAnsi="宋体" w:eastAsia="宋体" w:cs="宋体"/>
              <w:sz w:val="22"/>
              <w:szCs w:val="22"/>
            </w:rPr>
          </w:pPr>
          <w:bookmarkStart w:id="131" w:name="bookmark180"/>
          <w:bookmarkEnd w:id="131"/>
          <w:r>
            <w:rPr>
              <w:rFonts w:ascii="仿宋" w:hAnsi="仿宋" w:eastAsia="仿宋" w:cs="仿宋"/>
              <w:spacing w:val="-1"/>
              <w:sz w:val="22"/>
              <w:szCs w:val="22"/>
            </w:rPr>
            <w:t>87</w:t>
          </w:r>
          <w:r>
            <w:rPr>
              <w:rFonts w:ascii="宋体" w:hAnsi="宋体" w:eastAsia="宋体" w:cs="宋体"/>
              <w:spacing w:val="-1"/>
              <w:sz w:val="22"/>
              <w:szCs w:val="22"/>
            </w:rPr>
            <w:t>．</w:t>
          </w:r>
          <w:r>
            <w:fldChar w:fldCharType="begin"/>
          </w:r>
          <w:r>
            <w:instrText xml:space="preserve"> HYPERLINK \l "bookmark181" </w:instrText>
          </w:r>
          <w:r>
            <w:fldChar w:fldCharType="separate"/>
          </w:r>
          <w:r>
            <w:rPr>
              <w:rFonts w:ascii="微软雅黑" w:hAnsi="微软雅黑" w:eastAsia="微软雅黑" w:cs="微软雅黑"/>
              <w:spacing w:val="-1"/>
              <w:sz w:val="22"/>
              <w:szCs w:val="22"/>
            </w:rPr>
            <w:t>生产经营单位拒绝、阻碍监督检查的</w:t>
          </w:r>
          <w:r>
            <w:rPr>
              <w:rFonts w:ascii="微软雅黑" w:hAnsi="微软雅黑" w:eastAsia="微软雅黑" w:cs="微软雅黑"/>
              <w:sz w:val="22"/>
              <w:szCs w:val="22"/>
            </w:rPr>
            <w:tab/>
          </w:r>
          <w:r>
            <w:rPr>
              <w:rFonts w:ascii="宋体" w:hAnsi="宋体" w:eastAsia="宋体" w:cs="宋体"/>
              <w:spacing w:val="-9"/>
              <w:sz w:val="22"/>
              <w:szCs w:val="22"/>
            </w:rPr>
            <w:t>105</w:t>
          </w:r>
          <w:r>
            <w:rPr>
              <w:rFonts w:ascii="宋体" w:hAnsi="宋体" w:eastAsia="宋体" w:cs="宋体"/>
              <w:spacing w:val="-9"/>
              <w:sz w:val="22"/>
              <w:szCs w:val="22"/>
            </w:rPr>
            <w:fldChar w:fldCharType="end"/>
          </w:r>
        </w:p>
        <w:p w14:paraId="6D589ECD">
          <w:pPr>
            <w:spacing w:line="410" w:lineRule="exact"/>
            <w:ind w:left="8"/>
            <w:rPr>
              <w:rFonts w:ascii="微软雅黑" w:hAnsi="微软雅黑" w:eastAsia="微软雅黑" w:cs="微软雅黑"/>
              <w:sz w:val="22"/>
              <w:szCs w:val="22"/>
            </w:rPr>
          </w:pPr>
          <w:bookmarkStart w:id="132" w:name="bookmark182"/>
          <w:bookmarkEnd w:id="132"/>
          <w:r>
            <w:rPr>
              <w:rFonts w:ascii="仿宋" w:hAnsi="仿宋" w:eastAsia="仿宋" w:cs="仿宋"/>
              <w:spacing w:val="1"/>
              <w:position w:val="5"/>
              <w:sz w:val="22"/>
              <w:szCs w:val="22"/>
            </w:rPr>
            <w:t>88</w:t>
          </w:r>
          <w:r>
            <w:rPr>
              <w:rFonts w:ascii="宋体" w:hAnsi="宋体" w:eastAsia="宋体" w:cs="宋体"/>
              <w:spacing w:val="1"/>
              <w:position w:val="5"/>
              <w:sz w:val="22"/>
              <w:szCs w:val="22"/>
            </w:rPr>
            <w:t>．</w:t>
          </w:r>
          <w:r>
            <w:fldChar w:fldCharType="begin"/>
          </w:r>
          <w:r>
            <w:instrText xml:space="preserve"> HYPERLINK \l "bookmark183" </w:instrText>
          </w:r>
          <w:r>
            <w:fldChar w:fldCharType="separate"/>
          </w:r>
          <w:r>
            <w:rPr>
              <w:rFonts w:ascii="微软雅黑" w:hAnsi="微软雅黑" w:eastAsia="微软雅黑" w:cs="微软雅黑"/>
              <w:spacing w:val="1"/>
              <w:position w:val="5"/>
              <w:sz w:val="22"/>
              <w:szCs w:val="22"/>
            </w:rPr>
            <w:t>生产经营单位的主要负责人不立即组织抢救或者</w:t>
          </w:r>
          <w:r>
            <w:rPr>
              <w:rFonts w:ascii="微软雅黑" w:hAnsi="微软雅黑" w:eastAsia="微软雅黑" w:cs="微软雅黑"/>
              <w:position w:val="5"/>
              <w:sz w:val="22"/>
              <w:szCs w:val="22"/>
            </w:rPr>
            <w:t>在事故调查处理期间擅离职守或者逃匿</w:t>
          </w:r>
          <w:r>
            <w:rPr>
              <w:rFonts w:ascii="微软雅黑" w:hAnsi="微软雅黑" w:eastAsia="微软雅黑" w:cs="微软雅黑"/>
              <w:position w:val="5"/>
              <w:sz w:val="22"/>
              <w:szCs w:val="22"/>
            </w:rPr>
            <w:fldChar w:fldCharType="end"/>
          </w:r>
        </w:p>
        <w:p w14:paraId="72B26690">
          <w:pPr>
            <w:tabs>
              <w:tab w:val="right" w:leader="dot" w:pos="8829"/>
            </w:tabs>
            <w:spacing w:before="7" w:line="167" w:lineRule="auto"/>
            <w:ind w:left="32"/>
            <w:rPr>
              <w:rFonts w:ascii="宋体" w:hAnsi="宋体" w:eastAsia="宋体" w:cs="宋体"/>
              <w:sz w:val="22"/>
              <w:szCs w:val="22"/>
            </w:rPr>
          </w:pPr>
          <w:bookmarkStart w:id="133" w:name="bookmark182"/>
          <w:bookmarkEnd w:id="133"/>
          <w:r>
            <w:fldChar w:fldCharType="begin"/>
          </w:r>
          <w:r>
            <w:instrText xml:space="preserve"> HYPERLINK \l "bookmark182" </w:instrText>
          </w:r>
          <w:r>
            <w:fldChar w:fldCharType="separate"/>
          </w:r>
          <w:r>
            <w:rPr>
              <w:rFonts w:ascii="微软雅黑" w:hAnsi="微软雅黑" w:eastAsia="微软雅黑" w:cs="微软雅黑"/>
              <w:spacing w:val="-21"/>
              <w:w w:val="94"/>
              <w:sz w:val="22"/>
              <w:szCs w:val="22"/>
            </w:rPr>
            <w:t>的</w:t>
          </w:r>
          <w:r>
            <w:rPr>
              <w:rFonts w:ascii="微软雅黑" w:hAnsi="微软雅黑" w:eastAsia="微软雅黑" w:cs="微软雅黑"/>
              <w:sz w:val="22"/>
              <w:szCs w:val="22"/>
            </w:rPr>
            <w:tab/>
          </w:r>
          <w:r>
            <w:rPr>
              <w:rFonts w:ascii="宋体" w:hAnsi="宋体" w:eastAsia="宋体" w:cs="宋体"/>
              <w:spacing w:val="-9"/>
              <w:sz w:val="22"/>
              <w:szCs w:val="22"/>
            </w:rPr>
            <w:t>106</w:t>
          </w:r>
          <w:r>
            <w:rPr>
              <w:rFonts w:ascii="宋体" w:hAnsi="宋体" w:eastAsia="宋体" w:cs="宋体"/>
              <w:spacing w:val="-9"/>
              <w:sz w:val="22"/>
              <w:szCs w:val="22"/>
            </w:rPr>
            <w:fldChar w:fldCharType="end"/>
          </w:r>
        </w:p>
        <w:p w14:paraId="32D06A89">
          <w:pPr>
            <w:tabs>
              <w:tab w:val="right" w:leader="dot" w:pos="8840"/>
            </w:tabs>
            <w:spacing w:before="1" w:line="216" w:lineRule="auto"/>
            <w:ind w:left="8"/>
            <w:rPr>
              <w:rFonts w:ascii="宋体" w:hAnsi="宋体" w:eastAsia="宋体" w:cs="宋体"/>
              <w:sz w:val="22"/>
              <w:szCs w:val="22"/>
            </w:rPr>
          </w:pPr>
          <w:bookmarkStart w:id="134" w:name="bookmark184"/>
          <w:bookmarkEnd w:id="134"/>
          <w:r>
            <w:rPr>
              <w:rFonts w:ascii="仿宋" w:hAnsi="仿宋" w:eastAsia="仿宋" w:cs="仿宋"/>
              <w:sz w:val="22"/>
              <w:szCs w:val="22"/>
            </w:rPr>
            <w:t>89</w:t>
          </w:r>
          <w:r>
            <w:rPr>
              <w:rFonts w:ascii="宋体" w:hAnsi="宋体" w:eastAsia="宋体" w:cs="宋体"/>
              <w:sz w:val="22"/>
              <w:szCs w:val="22"/>
            </w:rPr>
            <w:t>．</w:t>
          </w:r>
          <w:r>
            <w:fldChar w:fldCharType="begin"/>
          </w:r>
          <w:r>
            <w:instrText xml:space="preserve"> HYPERLINK \l "bookmark185" </w:instrText>
          </w:r>
          <w:r>
            <w:fldChar w:fldCharType="separate"/>
          </w:r>
          <w:r>
            <w:rPr>
              <w:rFonts w:ascii="微软雅黑" w:hAnsi="微软雅黑" w:eastAsia="微软雅黑" w:cs="微软雅黑"/>
              <w:sz w:val="22"/>
              <w:szCs w:val="22"/>
            </w:rPr>
            <w:t>生产经营单位的主要负责人对生产安全事故隐瞒不报、谎报</w:t>
          </w:r>
          <w:r>
            <w:rPr>
              <w:rFonts w:ascii="微软雅黑" w:hAnsi="微软雅黑" w:eastAsia="微软雅黑" w:cs="微软雅黑"/>
              <w:spacing w:val="-1"/>
              <w:sz w:val="22"/>
              <w:szCs w:val="22"/>
            </w:rPr>
            <w:t>或者迟报的</w:t>
          </w:r>
          <w:r>
            <w:rPr>
              <w:rFonts w:ascii="微软雅黑" w:hAnsi="微软雅黑" w:eastAsia="微软雅黑" w:cs="微软雅黑"/>
              <w:sz w:val="22"/>
              <w:szCs w:val="22"/>
            </w:rPr>
            <w:tab/>
          </w:r>
          <w:r>
            <w:rPr>
              <w:rFonts w:ascii="宋体" w:hAnsi="宋体" w:eastAsia="宋体" w:cs="宋体"/>
              <w:spacing w:val="-9"/>
              <w:sz w:val="22"/>
              <w:szCs w:val="22"/>
            </w:rPr>
            <w:t>108</w:t>
          </w:r>
          <w:r>
            <w:rPr>
              <w:rFonts w:ascii="宋体" w:hAnsi="宋体" w:eastAsia="宋体" w:cs="宋体"/>
              <w:spacing w:val="-9"/>
              <w:sz w:val="22"/>
              <w:szCs w:val="22"/>
            </w:rPr>
            <w:fldChar w:fldCharType="end"/>
          </w:r>
        </w:p>
        <w:p w14:paraId="007269FD">
          <w:pPr>
            <w:tabs>
              <w:tab w:val="right" w:leader="dot" w:pos="8835"/>
            </w:tabs>
            <w:spacing w:line="216" w:lineRule="auto"/>
            <w:ind w:left="8"/>
            <w:rPr>
              <w:rFonts w:ascii="宋体" w:hAnsi="宋体" w:eastAsia="宋体" w:cs="宋体"/>
              <w:sz w:val="22"/>
              <w:szCs w:val="22"/>
            </w:rPr>
          </w:pPr>
          <w:bookmarkStart w:id="135" w:name="bookmark186"/>
          <w:bookmarkEnd w:id="135"/>
          <w:r>
            <w:rPr>
              <w:rFonts w:ascii="仿宋" w:hAnsi="仿宋" w:eastAsia="仿宋" w:cs="仿宋"/>
              <w:spacing w:val="-1"/>
              <w:sz w:val="22"/>
              <w:szCs w:val="22"/>
            </w:rPr>
            <w:t>90</w:t>
          </w:r>
          <w:r>
            <w:rPr>
              <w:rFonts w:ascii="宋体" w:hAnsi="宋体" w:eastAsia="宋体" w:cs="宋体"/>
              <w:spacing w:val="-1"/>
              <w:sz w:val="22"/>
              <w:szCs w:val="22"/>
            </w:rPr>
            <w:t>．</w:t>
          </w:r>
          <w:r>
            <w:fldChar w:fldCharType="begin"/>
          </w:r>
          <w:r>
            <w:instrText xml:space="preserve"> HYPERLINK \l "bookmark187" </w:instrText>
          </w:r>
          <w:r>
            <w:fldChar w:fldCharType="separate"/>
          </w:r>
          <w:r>
            <w:rPr>
              <w:rFonts w:ascii="微软雅黑" w:hAnsi="微软雅黑" w:eastAsia="微软雅黑" w:cs="微软雅黑"/>
              <w:spacing w:val="-1"/>
              <w:sz w:val="22"/>
              <w:szCs w:val="22"/>
            </w:rPr>
            <w:t>事故发生单位主要负责人漏报事故的</w:t>
          </w:r>
          <w:r>
            <w:rPr>
              <w:rFonts w:ascii="微软雅黑" w:hAnsi="微软雅黑" w:eastAsia="微软雅黑" w:cs="微软雅黑"/>
              <w:sz w:val="22"/>
              <w:szCs w:val="22"/>
            </w:rPr>
            <w:tab/>
          </w:r>
          <w:r>
            <w:rPr>
              <w:rFonts w:ascii="宋体" w:hAnsi="宋体" w:eastAsia="宋体" w:cs="宋体"/>
              <w:spacing w:val="-9"/>
              <w:sz w:val="22"/>
              <w:szCs w:val="22"/>
            </w:rPr>
            <w:t>111</w:t>
          </w:r>
          <w:r>
            <w:rPr>
              <w:rFonts w:ascii="宋体" w:hAnsi="宋体" w:eastAsia="宋体" w:cs="宋体"/>
              <w:spacing w:val="-9"/>
              <w:sz w:val="22"/>
              <w:szCs w:val="22"/>
            </w:rPr>
            <w:fldChar w:fldCharType="end"/>
          </w:r>
        </w:p>
        <w:p w14:paraId="7CB92F78">
          <w:pPr>
            <w:spacing w:line="409" w:lineRule="exact"/>
            <w:ind w:left="8"/>
            <w:rPr>
              <w:rFonts w:ascii="微软雅黑" w:hAnsi="微软雅黑" w:eastAsia="微软雅黑" w:cs="微软雅黑"/>
              <w:sz w:val="22"/>
              <w:szCs w:val="22"/>
            </w:rPr>
          </w:pPr>
          <w:bookmarkStart w:id="136" w:name="bookmark188"/>
          <w:bookmarkEnd w:id="136"/>
          <w:r>
            <w:rPr>
              <w:rFonts w:ascii="仿宋" w:hAnsi="仿宋" w:eastAsia="仿宋" w:cs="仿宋"/>
              <w:spacing w:val="1"/>
              <w:position w:val="5"/>
              <w:sz w:val="22"/>
              <w:szCs w:val="22"/>
            </w:rPr>
            <w:t>91</w:t>
          </w:r>
          <w:r>
            <w:rPr>
              <w:rFonts w:ascii="宋体" w:hAnsi="宋体" w:eastAsia="宋体" w:cs="宋体"/>
              <w:spacing w:val="1"/>
              <w:position w:val="5"/>
              <w:sz w:val="22"/>
              <w:szCs w:val="22"/>
            </w:rPr>
            <w:t>．</w:t>
          </w:r>
          <w:r>
            <w:fldChar w:fldCharType="begin"/>
          </w:r>
          <w:r>
            <w:instrText xml:space="preserve"> HYPERLINK \l "bookmark189" </w:instrText>
          </w:r>
          <w:r>
            <w:fldChar w:fldCharType="separate"/>
          </w:r>
          <w:r>
            <w:rPr>
              <w:rFonts w:ascii="微软雅黑" w:hAnsi="微软雅黑" w:eastAsia="微软雅黑" w:cs="微软雅黑"/>
              <w:spacing w:val="1"/>
              <w:position w:val="5"/>
              <w:sz w:val="22"/>
              <w:szCs w:val="22"/>
            </w:rPr>
            <w:t>事故发生单位主要负责人伪造、故意破坏事故现</w:t>
          </w:r>
          <w:r>
            <w:rPr>
              <w:rFonts w:ascii="微软雅黑" w:hAnsi="微软雅黑" w:eastAsia="微软雅黑" w:cs="微软雅黑"/>
              <w:position w:val="5"/>
              <w:sz w:val="22"/>
              <w:szCs w:val="22"/>
            </w:rPr>
            <w:t>场，或者转移、隐匿资金、财产、销毁</w:t>
          </w:r>
          <w:r>
            <w:rPr>
              <w:rFonts w:ascii="微软雅黑" w:hAnsi="微软雅黑" w:eastAsia="微软雅黑" w:cs="微软雅黑"/>
              <w:position w:val="5"/>
              <w:sz w:val="22"/>
              <w:szCs w:val="22"/>
            </w:rPr>
            <w:fldChar w:fldCharType="end"/>
          </w:r>
        </w:p>
        <w:p w14:paraId="671E9A90">
          <w:pPr>
            <w:spacing w:before="9" w:line="202" w:lineRule="auto"/>
            <w:ind w:left="17"/>
            <w:rPr>
              <w:rFonts w:ascii="微软雅黑" w:hAnsi="微软雅黑" w:eastAsia="微软雅黑" w:cs="微软雅黑"/>
              <w:sz w:val="22"/>
              <w:szCs w:val="22"/>
            </w:rPr>
          </w:pPr>
          <w:bookmarkStart w:id="137" w:name="bookmark188"/>
          <w:bookmarkEnd w:id="137"/>
          <w:r>
            <w:fldChar w:fldCharType="begin"/>
          </w:r>
          <w:r>
            <w:instrText xml:space="preserve"> HYPERLINK \l "bookmark188" </w:instrText>
          </w:r>
          <w:r>
            <w:fldChar w:fldCharType="separate"/>
          </w:r>
          <w:r>
            <w:rPr>
              <w:rFonts w:ascii="微软雅黑" w:hAnsi="微软雅黑" w:eastAsia="微软雅黑" w:cs="微软雅黑"/>
              <w:spacing w:val="-1"/>
              <w:sz w:val="22"/>
              <w:szCs w:val="22"/>
            </w:rPr>
            <w:t>有关证据、资料，或者拒绝接受调查，或者拒绝提供有关情况和资料，或者在</w:t>
          </w:r>
          <w:r>
            <w:rPr>
              <w:rFonts w:ascii="微软雅黑" w:hAnsi="微软雅黑" w:eastAsia="微软雅黑" w:cs="微软雅黑"/>
              <w:spacing w:val="-2"/>
              <w:sz w:val="22"/>
              <w:szCs w:val="22"/>
            </w:rPr>
            <w:t>事故调查中作</w:t>
          </w:r>
          <w:r>
            <w:rPr>
              <w:rFonts w:ascii="微软雅黑" w:hAnsi="微软雅黑" w:eastAsia="微软雅黑" w:cs="微软雅黑"/>
              <w:spacing w:val="-2"/>
              <w:sz w:val="22"/>
              <w:szCs w:val="22"/>
            </w:rPr>
            <w:fldChar w:fldCharType="end"/>
          </w:r>
        </w:p>
        <w:p w14:paraId="3848DE7B">
          <w:pPr>
            <w:tabs>
              <w:tab w:val="right" w:leader="dot" w:pos="8832"/>
            </w:tabs>
            <w:spacing w:before="20" w:line="168" w:lineRule="auto"/>
            <w:ind w:left="18"/>
            <w:rPr>
              <w:rFonts w:ascii="宋体" w:hAnsi="宋体" w:eastAsia="宋体" w:cs="宋体"/>
              <w:sz w:val="22"/>
              <w:szCs w:val="22"/>
            </w:rPr>
          </w:pPr>
          <w:bookmarkStart w:id="138" w:name="bookmark188"/>
          <w:bookmarkEnd w:id="138"/>
          <w:r>
            <w:fldChar w:fldCharType="begin"/>
          </w:r>
          <w:r>
            <w:instrText xml:space="preserve"> HYPERLINK \l "bookmark188" </w:instrText>
          </w:r>
          <w:r>
            <w:fldChar w:fldCharType="separate"/>
          </w:r>
          <w:r>
            <w:rPr>
              <w:rFonts w:ascii="微软雅黑" w:hAnsi="微软雅黑" w:eastAsia="微软雅黑" w:cs="微软雅黑"/>
              <w:spacing w:val="-1"/>
              <w:sz w:val="22"/>
              <w:szCs w:val="22"/>
            </w:rPr>
            <w:t>伪证，或者指使他人作伪证的</w:t>
          </w:r>
          <w:r>
            <w:rPr>
              <w:rFonts w:ascii="微软雅黑" w:hAnsi="微软雅黑" w:eastAsia="微软雅黑" w:cs="微软雅黑"/>
              <w:sz w:val="22"/>
              <w:szCs w:val="22"/>
            </w:rPr>
            <w:tab/>
          </w:r>
          <w:r>
            <w:rPr>
              <w:rFonts w:ascii="宋体" w:hAnsi="宋体" w:eastAsia="宋体" w:cs="宋体"/>
              <w:spacing w:val="-9"/>
              <w:sz w:val="22"/>
              <w:szCs w:val="22"/>
            </w:rPr>
            <w:t>112</w:t>
          </w:r>
          <w:r>
            <w:rPr>
              <w:rFonts w:ascii="宋体" w:hAnsi="宋体" w:eastAsia="宋体" w:cs="宋体"/>
              <w:spacing w:val="-9"/>
              <w:sz w:val="22"/>
              <w:szCs w:val="22"/>
            </w:rPr>
            <w:fldChar w:fldCharType="end"/>
          </w:r>
        </w:p>
        <w:p w14:paraId="6B1161A5">
          <w:pPr>
            <w:spacing w:line="410" w:lineRule="exact"/>
            <w:ind w:left="8"/>
            <w:rPr>
              <w:rFonts w:ascii="微软雅黑" w:hAnsi="微软雅黑" w:eastAsia="微软雅黑" w:cs="微软雅黑"/>
              <w:sz w:val="22"/>
              <w:szCs w:val="22"/>
            </w:rPr>
          </w:pPr>
          <w:bookmarkStart w:id="139" w:name="bookmark190"/>
          <w:bookmarkEnd w:id="139"/>
          <w:r>
            <w:rPr>
              <w:rFonts w:ascii="仿宋" w:hAnsi="仿宋" w:eastAsia="仿宋" w:cs="仿宋"/>
              <w:spacing w:val="1"/>
              <w:position w:val="5"/>
              <w:sz w:val="22"/>
              <w:szCs w:val="22"/>
            </w:rPr>
            <w:t>92</w:t>
          </w:r>
          <w:r>
            <w:rPr>
              <w:rFonts w:ascii="宋体" w:hAnsi="宋体" w:eastAsia="宋体" w:cs="宋体"/>
              <w:spacing w:val="1"/>
              <w:position w:val="5"/>
              <w:sz w:val="22"/>
              <w:szCs w:val="22"/>
            </w:rPr>
            <w:t>．</w:t>
          </w:r>
          <w:r>
            <w:fldChar w:fldCharType="begin"/>
          </w:r>
          <w:r>
            <w:instrText xml:space="preserve"> HYPERLINK \l "bookmark191" </w:instrText>
          </w:r>
          <w:r>
            <w:fldChar w:fldCharType="separate"/>
          </w:r>
          <w:r>
            <w:rPr>
              <w:rFonts w:ascii="微软雅黑" w:hAnsi="微软雅黑" w:eastAsia="微软雅黑" w:cs="微软雅黑"/>
              <w:spacing w:val="1"/>
              <w:position w:val="5"/>
              <w:sz w:val="22"/>
              <w:szCs w:val="22"/>
            </w:rPr>
            <w:t>事故发生单位直接负责的主管人员和其他直接责</w:t>
          </w:r>
          <w:r>
            <w:rPr>
              <w:rFonts w:ascii="微软雅黑" w:hAnsi="微软雅黑" w:eastAsia="微软雅黑" w:cs="微软雅黑"/>
              <w:position w:val="5"/>
              <w:sz w:val="22"/>
              <w:szCs w:val="22"/>
            </w:rPr>
            <w:t>任人员有《生产安全事故报告和调查处</w:t>
          </w:r>
          <w:r>
            <w:rPr>
              <w:rFonts w:ascii="微软雅黑" w:hAnsi="微软雅黑" w:eastAsia="微软雅黑" w:cs="微软雅黑"/>
              <w:position w:val="5"/>
              <w:sz w:val="22"/>
              <w:szCs w:val="22"/>
            </w:rPr>
            <w:fldChar w:fldCharType="end"/>
          </w:r>
        </w:p>
        <w:p w14:paraId="700B8CB7">
          <w:pPr>
            <w:tabs>
              <w:tab w:val="right" w:leader="dot" w:pos="8835"/>
            </w:tabs>
            <w:spacing w:before="7" w:line="167" w:lineRule="auto"/>
            <w:ind w:left="11"/>
            <w:rPr>
              <w:rFonts w:ascii="宋体" w:hAnsi="宋体" w:eastAsia="宋体" w:cs="宋体"/>
              <w:sz w:val="22"/>
              <w:szCs w:val="22"/>
            </w:rPr>
          </w:pPr>
          <w:bookmarkStart w:id="140" w:name="bookmark190"/>
          <w:bookmarkEnd w:id="140"/>
          <w:r>
            <w:fldChar w:fldCharType="begin"/>
          </w:r>
          <w:r>
            <w:instrText xml:space="preserve"> HYPERLINK \l "bookmark190" </w:instrText>
          </w:r>
          <w:r>
            <w:fldChar w:fldCharType="separate"/>
          </w:r>
          <w:r>
            <w:rPr>
              <w:rFonts w:ascii="微软雅黑" w:hAnsi="微软雅黑" w:eastAsia="微软雅黑" w:cs="微软雅黑"/>
              <w:spacing w:val="-1"/>
              <w:sz w:val="22"/>
              <w:szCs w:val="22"/>
            </w:rPr>
            <w:t>理条例》第三十六条规定的行为之一的</w:t>
          </w:r>
          <w:r>
            <w:rPr>
              <w:rFonts w:ascii="微软雅黑" w:hAnsi="微软雅黑" w:eastAsia="微软雅黑" w:cs="微软雅黑"/>
              <w:sz w:val="22"/>
              <w:szCs w:val="22"/>
            </w:rPr>
            <w:tab/>
          </w:r>
          <w:r>
            <w:rPr>
              <w:rFonts w:ascii="宋体" w:hAnsi="宋体" w:eastAsia="宋体" w:cs="宋体"/>
              <w:spacing w:val="-9"/>
              <w:sz w:val="22"/>
              <w:szCs w:val="22"/>
            </w:rPr>
            <w:t>113</w:t>
          </w:r>
          <w:r>
            <w:rPr>
              <w:rFonts w:ascii="宋体" w:hAnsi="宋体" w:eastAsia="宋体" w:cs="宋体"/>
              <w:spacing w:val="-9"/>
              <w:sz w:val="22"/>
              <w:szCs w:val="22"/>
            </w:rPr>
            <w:fldChar w:fldCharType="end"/>
          </w:r>
        </w:p>
        <w:p w14:paraId="22A34FA3">
          <w:pPr>
            <w:spacing w:line="410" w:lineRule="exact"/>
            <w:ind w:left="8"/>
            <w:rPr>
              <w:rFonts w:ascii="微软雅黑" w:hAnsi="微软雅黑" w:eastAsia="微软雅黑" w:cs="微软雅黑"/>
              <w:sz w:val="22"/>
              <w:szCs w:val="22"/>
            </w:rPr>
          </w:pPr>
          <w:bookmarkStart w:id="141" w:name="bookmark192"/>
          <w:bookmarkEnd w:id="141"/>
          <w:r>
            <w:rPr>
              <w:rFonts w:ascii="仿宋" w:hAnsi="仿宋" w:eastAsia="仿宋" w:cs="仿宋"/>
              <w:spacing w:val="1"/>
              <w:position w:val="5"/>
              <w:sz w:val="22"/>
              <w:szCs w:val="22"/>
            </w:rPr>
            <w:t>93</w:t>
          </w:r>
          <w:r>
            <w:rPr>
              <w:rFonts w:ascii="宋体" w:hAnsi="宋体" w:eastAsia="宋体" w:cs="宋体"/>
              <w:spacing w:val="1"/>
              <w:position w:val="5"/>
              <w:sz w:val="22"/>
              <w:szCs w:val="22"/>
            </w:rPr>
            <w:t>．</w:t>
          </w:r>
          <w:r>
            <w:fldChar w:fldCharType="begin"/>
          </w:r>
          <w:r>
            <w:instrText xml:space="preserve"> HYPERLINK \l "bookmark193" </w:instrText>
          </w:r>
          <w:r>
            <w:fldChar w:fldCharType="separate"/>
          </w:r>
          <w:r>
            <w:rPr>
              <w:rFonts w:ascii="微软雅黑" w:hAnsi="微软雅黑" w:eastAsia="微软雅黑" w:cs="微软雅黑"/>
              <w:spacing w:val="1"/>
              <w:position w:val="5"/>
              <w:sz w:val="22"/>
              <w:szCs w:val="22"/>
            </w:rPr>
            <w:t>事故发生单位有《生产安全事故报告和调查</w:t>
          </w:r>
          <w:r>
            <w:rPr>
              <w:rFonts w:ascii="微软雅黑" w:hAnsi="微软雅黑" w:eastAsia="微软雅黑" w:cs="微软雅黑"/>
              <w:position w:val="5"/>
              <w:sz w:val="22"/>
              <w:szCs w:val="22"/>
            </w:rPr>
            <w:t>处理条例》第三十六条第一项至第五项规定</w:t>
          </w:r>
          <w:r>
            <w:rPr>
              <w:rFonts w:ascii="微软雅黑" w:hAnsi="微软雅黑" w:eastAsia="微软雅黑" w:cs="微软雅黑"/>
              <w:position w:val="5"/>
              <w:sz w:val="22"/>
              <w:szCs w:val="22"/>
            </w:rPr>
            <w:fldChar w:fldCharType="end"/>
          </w:r>
        </w:p>
        <w:p w14:paraId="41ABC34E">
          <w:pPr>
            <w:tabs>
              <w:tab w:val="right" w:leader="dot" w:pos="8830"/>
            </w:tabs>
            <w:spacing w:before="8" w:line="167" w:lineRule="auto"/>
            <w:ind w:left="32"/>
            <w:rPr>
              <w:rFonts w:ascii="宋体" w:hAnsi="宋体" w:eastAsia="宋体" w:cs="宋体"/>
              <w:sz w:val="22"/>
              <w:szCs w:val="22"/>
            </w:rPr>
          </w:pPr>
          <w:bookmarkStart w:id="142" w:name="bookmark192"/>
          <w:bookmarkEnd w:id="142"/>
          <w:r>
            <w:fldChar w:fldCharType="begin"/>
          </w:r>
          <w:r>
            <w:instrText xml:space="preserve"> HYPERLINK \l "bookmark192" </w:instrText>
          </w:r>
          <w:r>
            <w:fldChar w:fldCharType="separate"/>
          </w:r>
          <w:r>
            <w:rPr>
              <w:rFonts w:ascii="微软雅黑" w:hAnsi="微软雅黑" w:eastAsia="微软雅黑" w:cs="微软雅黑"/>
              <w:spacing w:val="-5"/>
              <w:sz w:val="22"/>
              <w:szCs w:val="22"/>
            </w:rPr>
            <w:t>的行为之一的</w:t>
          </w:r>
          <w:r>
            <w:rPr>
              <w:rFonts w:ascii="微软雅黑" w:hAnsi="微软雅黑" w:eastAsia="微软雅黑" w:cs="微软雅黑"/>
              <w:sz w:val="22"/>
              <w:szCs w:val="22"/>
            </w:rPr>
            <w:tab/>
          </w:r>
          <w:r>
            <w:rPr>
              <w:rFonts w:ascii="宋体" w:hAnsi="宋体" w:eastAsia="宋体" w:cs="宋体"/>
              <w:spacing w:val="-9"/>
              <w:sz w:val="22"/>
              <w:szCs w:val="22"/>
            </w:rPr>
            <w:t>115</w:t>
          </w:r>
          <w:r>
            <w:rPr>
              <w:rFonts w:ascii="宋体" w:hAnsi="宋体" w:eastAsia="宋体" w:cs="宋体"/>
              <w:spacing w:val="-9"/>
              <w:sz w:val="22"/>
              <w:szCs w:val="22"/>
            </w:rPr>
            <w:fldChar w:fldCharType="end"/>
          </w:r>
        </w:p>
        <w:p w14:paraId="5B64E4F2">
          <w:pPr>
            <w:spacing w:line="410" w:lineRule="exact"/>
            <w:ind w:left="8"/>
            <w:rPr>
              <w:rFonts w:ascii="微软雅黑" w:hAnsi="微软雅黑" w:eastAsia="微软雅黑" w:cs="微软雅黑"/>
              <w:sz w:val="22"/>
              <w:szCs w:val="22"/>
            </w:rPr>
          </w:pPr>
          <w:bookmarkStart w:id="143" w:name="bookmark194"/>
          <w:bookmarkEnd w:id="143"/>
          <w:r>
            <w:rPr>
              <w:rFonts w:ascii="仿宋" w:hAnsi="仿宋" w:eastAsia="仿宋" w:cs="仿宋"/>
              <w:spacing w:val="1"/>
              <w:position w:val="5"/>
              <w:sz w:val="22"/>
              <w:szCs w:val="22"/>
            </w:rPr>
            <w:t>94</w:t>
          </w:r>
          <w:r>
            <w:rPr>
              <w:rFonts w:ascii="宋体" w:hAnsi="宋体" w:eastAsia="宋体" w:cs="宋体"/>
              <w:spacing w:val="1"/>
              <w:position w:val="5"/>
              <w:sz w:val="22"/>
              <w:szCs w:val="22"/>
            </w:rPr>
            <w:t>．</w:t>
          </w:r>
          <w:r>
            <w:fldChar w:fldCharType="begin"/>
          </w:r>
          <w:r>
            <w:instrText xml:space="preserve"> HYPERLINK \l "bookmark195" </w:instrText>
          </w:r>
          <w:r>
            <w:fldChar w:fldCharType="separate"/>
          </w:r>
          <w:r>
            <w:rPr>
              <w:rFonts w:ascii="微软雅黑" w:hAnsi="微软雅黑" w:eastAsia="微软雅黑" w:cs="微软雅黑"/>
              <w:spacing w:val="1"/>
              <w:position w:val="5"/>
              <w:sz w:val="22"/>
              <w:szCs w:val="22"/>
            </w:rPr>
            <w:t>生产经营单位的主要负责人未履行《中华人民共</w:t>
          </w:r>
          <w:r>
            <w:rPr>
              <w:rFonts w:ascii="微软雅黑" w:hAnsi="微软雅黑" w:eastAsia="微软雅黑" w:cs="微软雅黑"/>
              <w:position w:val="5"/>
              <w:sz w:val="22"/>
              <w:szCs w:val="22"/>
            </w:rPr>
            <w:t>和国安全生产法》规定的安全生产管理</w:t>
          </w:r>
          <w:r>
            <w:rPr>
              <w:rFonts w:ascii="微软雅黑" w:hAnsi="微软雅黑" w:eastAsia="微软雅黑" w:cs="微软雅黑"/>
              <w:position w:val="5"/>
              <w:sz w:val="22"/>
              <w:szCs w:val="22"/>
            </w:rPr>
            <w:fldChar w:fldCharType="end"/>
          </w:r>
        </w:p>
        <w:p w14:paraId="296D1543">
          <w:pPr>
            <w:tabs>
              <w:tab w:val="right" w:leader="dot" w:pos="8834"/>
            </w:tabs>
            <w:spacing w:before="6" w:line="168" w:lineRule="auto"/>
            <w:ind w:left="18"/>
            <w:rPr>
              <w:rFonts w:ascii="宋体" w:hAnsi="宋体" w:eastAsia="宋体" w:cs="宋体"/>
              <w:sz w:val="22"/>
              <w:szCs w:val="22"/>
            </w:rPr>
          </w:pPr>
          <w:bookmarkStart w:id="144" w:name="bookmark194"/>
          <w:bookmarkEnd w:id="144"/>
          <w:r>
            <w:fldChar w:fldCharType="begin"/>
          </w:r>
          <w:r>
            <w:instrText xml:space="preserve"> HYPERLINK \l "bookmark194" </w:instrText>
          </w:r>
          <w:r>
            <w:fldChar w:fldCharType="separate"/>
          </w:r>
          <w:r>
            <w:rPr>
              <w:rFonts w:ascii="微软雅黑" w:hAnsi="微软雅黑" w:eastAsia="微软雅黑" w:cs="微软雅黑"/>
              <w:spacing w:val="-2"/>
              <w:sz w:val="22"/>
              <w:szCs w:val="22"/>
            </w:rPr>
            <w:t>职责，导致发生生产安全事故的</w:t>
          </w:r>
          <w:r>
            <w:rPr>
              <w:rFonts w:ascii="微软雅黑" w:hAnsi="微软雅黑" w:eastAsia="微软雅黑" w:cs="微软雅黑"/>
              <w:sz w:val="22"/>
              <w:szCs w:val="22"/>
            </w:rPr>
            <w:tab/>
          </w:r>
          <w:r>
            <w:rPr>
              <w:rFonts w:ascii="宋体" w:hAnsi="宋体" w:eastAsia="宋体" w:cs="宋体"/>
              <w:spacing w:val="-9"/>
              <w:sz w:val="22"/>
              <w:szCs w:val="22"/>
            </w:rPr>
            <w:t>117</w:t>
          </w:r>
          <w:r>
            <w:rPr>
              <w:rFonts w:ascii="宋体" w:hAnsi="宋体" w:eastAsia="宋体" w:cs="宋体"/>
              <w:spacing w:val="-9"/>
              <w:sz w:val="22"/>
              <w:szCs w:val="22"/>
            </w:rPr>
            <w:fldChar w:fldCharType="end"/>
          </w:r>
        </w:p>
        <w:p w14:paraId="4A522C3C">
          <w:pPr>
            <w:tabs>
              <w:tab w:val="right" w:leader="dot" w:pos="8837"/>
            </w:tabs>
            <w:spacing w:line="410" w:lineRule="exact"/>
            <w:ind w:left="8"/>
            <w:rPr>
              <w:rFonts w:ascii="宋体" w:hAnsi="宋体" w:eastAsia="宋体" w:cs="宋体"/>
              <w:sz w:val="22"/>
              <w:szCs w:val="22"/>
            </w:rPr>
          </w:pPr>
          <w:bookmarkStart w:id="145" w:name="bookmark196"/>
          <w:bookmarkEnd w:id="145"/>
          <w:r>
            <w:rPr>
              <w:rFonts w:ascii="仿宋" w:hAnsi="仿宋" w:eastAsia="仿宋" w:cs="仿宋"/>
              <w:position w:val="5"/>
              <w:sz w:val="22"/>
              <w:szCs w:val="22"/>
            </w:rPr>
            <w:t>95</w:t>
          </w:r>
          <w:r>
            <w:rPr>
              <w:rFonts w:ascii="宋体" w:hAnsi="宋体" w:eastAsia="宋体" w:cs="宋体"/>
              <w:position w:val="5"/>
              <w:sz w:val="22"/>
              <w:szCs w:val="22"/>
            </w:rPr>
            <w:t>．</w:t>
          </w:r>
          <w:r>
            <w:fldChar w:fldCharType="begin"/>
          </w:r>
          <w:r>
            <w:instrText xml:space="preserve"> HYPERLINK \l "bookmark197" </w:instrText>
          </w:r>
          <w:r>
            <w:fldChar w:fldCharType="separate"/>
          </w:r>
          <w:r>
            <w:rPr>
              <w:rFonts w:ascii="微软雅黑" w:hAnsi="微软雅黑" w:eastAsia="微软雅黑" w:cs="微软雅黑"/>
              <w:position w:val="5"/>
              <w:sz w:val="22"/>
              <w:szCs w:val="22"/>
            </w:rPr>
            <w:t>生产经营单位对一般生产安全事故发生</w:t>
          </w:r>
          <w:r>
            <w:rPr>
              <w:rFonts w:ascii="微软雅黑" w:hAnsi="微软雅黑" w:eastAsia="微软雅黑" w:cs="微软雅黑"/>
              <w:spacing w:val="-1"/>
              <w:position w:val="5"/>
              <w:sz w:val="22"/>
              <w:szCs w:val="22"/>
            </w:rPr>
            <w:t>负有责任的</w:t>
          </w:r>
          <w:r>
            <w:rPr>
              <w:rFonts w:ascii="微软雅黑" w:hAnsi="微软雅黑" w:eastAsia="微软雅黑" w:cs="微软雅黑"/>
              <w:position w:val="5"/>
              <w:sz w:val="22"/>
              <w:szCs w:val="22"/>
            </w:rPr>
            <w:tab/>
          </w:r>
          <w:r>
            <w:rPr>
              <w:rFonts w:ascii="宋体" w:hAnsi="宋体" w:eastAsia="宋体" w:cs="宋体"/>
              <w:spacing w:val="-9"/>
              <w:position w:val="5"/>
              <w:sz w:val="22"/>
              <w:szCs w:val="22"/>
            </w:rPr>
            <w:t>118</w:t>
          </w:r>
          <w:r>
            <w:rPr>
              <w:rFonts w:ascii="宋体" w:hAnsi="宋体" w:eastAsia="宋体" w:cs="宋体"/>
              <w:spacing w:val="-9"/>
              <w:position w:val="5"/>
              <w:sz w:val="22"/>
              <w:szCs w:val="22"/>
            </w:rPr>
            <w:fldChar w:fldCharType="end"/>
          </w:r>
        </w:p>
      </w:sdtContent>
    </w:sdt>
    <w:p w14:paraId="4FEB36D6">
      <w:pPr>
        <w:spacing w:line="410" w:lineRule="exact"/>
        <w:rPr>
          <w:rFonts w:ascii="宋体" w:hAnsi="宋体" w:eastAsia="宋体" w:cs="宋体"/>
          <w:sz w:val="22"/>
          <w:szCs w:val="22"/>
        </w:rPr>
        <w:sectPr>
          <w:footerReference r:id="rId9" w:type="default"/>
          <w:pgSz w:w="11906" w:h="16839"/>
          <w:pgMar w:top="1431" w:right="1300" w:bottom="1114" w:left="1586" w:header="0" w:footer="837" w:gutter="0"/>
          <w:cols w:space="720" w:num="1"/>
        </w:sectPr>
      </w:pPr>
    </w:p>
    <w:p w14:paraId="31C3831A">
      <w:pPr>
        <w:pStyle w:val="2"/>
        <w:spacing w:line="284" w:lineRule="auto"/>
      </w:pPr>
    </w:p>
    <w:p w14:paraId="493814AC">
      <w:pPr>
        <w:pStyle w:val="2"/>
        <w:spacing w:line="285" w:lineRule="auto"/>
      </w:pPr>
    </w:p>
    <w:sdt>
      <w:sdtPr>
        <w:rPr>
          <w:rFonts w:ascii="仿宋" w:hAnsi="仿宋" w:eastAsia="仿宋" w:cs="仿宋"/>
          <w:sz w:val="22"/>
          <w:szCs w:val="22"/>
        </w:rPr>
        <w:id w:val="147461034"/>
        <w:docPartObj>
          <w:docPartGallery w:val="Table of Contents"/>
          <w:docPartUnique/>
        </w:docPartObj>
      </w:sdtPr>
      <w:sdtEndPr>
        <w:rPr>
          <w:rFonts w:ascii="微软雅黑" w:hAnsi="微软雅黑" w:eastAsia="微软雅黑" w:cs="微软雅黑"/>
          <w:position w:val="2"/>
          <w:sz w:val="22"/>
          <w:szCs w:val="22"/>
        </w:rPr>
      </w:sdtEndPr>
      <w:sdtContent>
        <w:p w14:paraId="7FBAE4DD">
          <w:pPr>
            <w:tabs>
              <w:tab w:val="right" w:leader="dot" w:pos="8829"/>
            </w:tabs>
            <w:spacing w:before="94" w:line="216" w:lineRule="auto"/>
            <w:rPr>
              <w:rFonts w:ascii="宋体" w:hAnsi="宋体" w:eastAsia="宋体" w:cs="宋体"/>
              <w:sz w:val="22"/>
              <w:szCs w:val="22"/>
            </w:rPr>
          </w:pPr>
          <w:bookmarkStart w:id="146" w:name="bookmark198"/>
          <w:bookmarkEnd w:id="146"/>
          <w:r>
            <w:rPr>
              <w:rFonts w:ascii="仿宋" w:hAnsi="仿宋" w:eastAsia="仿宋" w:cs="仿宋"/>
              <w:sz w:val="22"/>
              <w:szCs w:val="22"/>
            </w:rPr>
            <w:t>96</w:t>
          </w:r>
          <w:r>
            <w:rPr>
              <w:rFonts w:ascii="宋体" w:hAnsi="宋体" w:eastAsia="宋体" w:cs="宋体"/>
              <w:sz w:val="22"/>
              <w:szCs w:val="22"/>
            </w:rPr>
            <w:t>．</w:t>
          </w:r>
          <w:r>
            <w:fldChar w:fldCharType="begin"/>
          </w:r>
          <w:r>
            <w:instrText xml:space="preserve"> HYPERLINK \l "bookmark199" </w:instrText>
          </w:r>
          <w:r>
            <w:fldChar w:fldCharType="separate"/>
          </w:r>
          <w:r>
            <w:rPr>
              <w:rFonts w:ascii="微软雅黑" w:hAnsi="微软雅黑" w:eastAsia="微软雅黑" w:cs="微软雅黑"/>
              <w:sz w:val="22"/>
              <w:szCs w:val="22"/>
            </w:rPr>
            <w:t>生产经营单位对较大生产安全事故发生</w:t>
          </w:r>
          <w:r>
            <w:rPr>
              <w:rFonts w:ascii="微软雅黑" w:hAnsi="微软雅黑" w:eastAsia="微软雅黑" w:cs="微软雅黑"/>
              <w:spacing w:val="-1"/>
              <w:sz w:val="22"/>
              <w:szCs w:val="22"/>
            </w:rPr>
            <w:t>负有责任的</w:t>
          </w:r>
          <w:r>
            <w:rPr>
              <w:rFonts w:ascii="微软雅黑" w:hAnsi="微软雅黑" w:eastAsia="微软雅黑" w:cs="微软雅黑"/>
              <w:sz w:val="22"/>
              <w:szCs w:val="22"/>
            </w:rPr>
            <w:tab/>
          </w:r>
          <w:r>
            <w:rPr>
              <w:rFonts w:ascii="宋体" w:hAnsi="宋体" w:eastAsia="宋体" w:cs="宋体"/>
              <w:spacing w:val="-9"/>
              <w:sz w:val="22"/>
              <w:szCs w:val="22"/>
            </w:rPr>
            <w:t>119</w:t>
          </w:r>
          <w:r>
            <w:rPr>
              <w:rFonts w:ascii="宋体" w:hAnsi="宋体" w:eastAsia="宋体" w:cs="宋体"/>
              <w:spacing w:val="-9"/>
              <w:sz w:val="22"/>
              <w:szCs w:val="22"/>
            </w:rPr>
            <w:fldChar w:fldCharType="end"/>
          </w:r>
        </w:p>
        <w:p w14:paraId="22540843">
          <w:pPr>
            <w:tabs>
              <w:tab w:val="right" w:leader="dot" w:pos="8829"/>
            </w:tabs>
            <w:spacing w:line="216" w:lineRule="auto"/>
            <w:rPr>
              <w:rFonts w:ascii="宋体" w:hAnsi="宋体" w:eastAsia="宋体" w:cs="宋体"/>
              <w:sz w:val="22"/>
              <w:szCs w:val="22"/>
            </w:rPr>
          </w:pPr>
          <w:bookmarkStart w:id="147" w:name="bookmark200"/>
          <w:bookmarkEnd w:id="147"/>
          <w:r>
            <w:rPr>
              <w:rFonts w:ascii="仿宋" w:hAnsi="仿宋" w:eastAsia="仿宋" w:cs="仿宋"/>
              <w:sz w:val="22"/>
              <w:szCs w:val="22"/>
            </w:rPr>
            <w:t>97</w:t>
          </w:r>
          <w:r>
            <w:rPr>
              <w:rFonts w:ascii="宋体" w:hAnsi="宋体" w:eastAsia="宋体" w:cs="宋体"/>
              <w:sz w:val="22"/>
              <w:szCs w:val="22"/>
            </w:rPr>
            <w:t>．</w:t>
          </w:r>
          <w:r>
            <w:fldChar w:fldCharType="begin"/>
          </w:r>
          <w:r>
            <w:instrText xml:space="preserve"> HYPERLINK \l "bookmark201" </w:instrText>
          </w:r>
          <w:r>
            <w:fldChar w:fldCharType="separate"/>
          </w:r>
          <w:r>
            <w:rPr>
              <w:rFonts w:ascii="微软雅黑" w:hAnsi="微软雅黑" w:eastAsia="微软雅黑" w:cs="微软雅黑"/>
              <w:sz w:val="22"/>
              <w:szCs w:val="22"/>
            </w:rPr>
            <w:t>生产经营单位对重大生产安全事故发生</w:t>
          </w:r>
          <w:r>
            <w:rPr>
              <w:rFonts w:ascii="微软雅黑" w:hAnsi="微软雅黑" w:eastAsia="微软雅黑" w:cs="微软雅黑"/>
              <w:spacing w:val="-1"/>
              <w:sz w:val="22"/>
              <w:szCs w:val="22"/>
            </w:rPr>
            <w:t>负有责任的</w:t>
          </w:r>
          <w:r>
            <w:rPr>
              <w:rFonts w:ascii="微软雅黑" w:hAnsi="微软雅黑" w:eastAsia="微软雅黑" w:cs="微软雅黑"/>
              <w:sz w:val="22"/>
              <w:szCs w:val="22"/>
            </w:rPr>
            <w:tab/>
          </w:r>
          <w:r>
            <w:rPr>
              <w:rFonts w:ascii="宋体" w:hAnsi="宋体" w:eastAsia="宋体" w:cs="宋体"/>
              <w:spacing w:val="-9"/>
              <w:sz w:val="22"/>
              <w:szCs w:val="22"/>
            </w:rPr>
            <w:t>121</w:t>
          </w:r>
          <w:r>
            <w:rPr>
              <w:rFonts w:ascii="宋体" w:hAnsi="宋体" w:eastAsia="宋体" w:cs="宋体"/>
              <w:spacing w:val="-9"/>
              <w:sz w:val="22"/>
              <w:szCs w:val="22"/>
            </w:rPr>
            <w:fldChar w:fldCharType="end"/>
          </w:r>
        </w:p>
        <w:p w14:paraId="5F77EDE3">
          <w:pPr>
            <w:tabs>
              <w:tab w:val="right" w:leader="dot" w:pos="8830"/>
            </w:tabs>
            <w:spacing w:line="216" w:lineRule="auto"/>
            <w:rPr>
              <w:rFonts w:ascii="宋体" w:hAnsi="宋体" w:eastAsia="宋体" w:cs="宋体"/>
              <w:sz w:val="22"/>
              <w:szCs w:val="22"/>
            </w:rPr>
          </w:pPr>
          <w:bookmarkStart w:id="148" w:name="bookmark202"/>
          <w:bookmarkEnd w:id="148"/>
          <w:r>
            <w:rPr>
              <w:rFonts w:ascii="仿宋" w:hAnsi="仿宋" w:eastAsia="仿宋" w:cs="仿宋"/>
              <w:sz w:val="22"/>
              <w:szCs w:val="22"/>
            </w:rPr>
            <w:t>98</w:t>
          </w:r>
          <w:r>
            <w:rPr>
              <w:rFonts w:ascii="宋体" w:hAnsi="宋体" w:eastAsia="宋体" w:cs="宋体"/>
              <w:sz w:val="22"/>
              <w:szCs w:val="22"/>
            </w:rPr>
            <w:t>．</w:t>
          </w:r>
          <w:r>
            <w:fldChar w:fldCharType="begin"/>
          </w:r>
          <w:r>
            <w:instrText xml:space="preserve"> HYPERLINK \l "bookmark203" </w:instrText>
          </w:r>
          <w:r>
            <w:fldChar w:fldCharType="separate"/>
          </w:r>
          <w:r>
            <w:rPr>
              <w:rFonts w:ascii="微软雅黑" w:hAnsi="微软雅黑" w:eastAsia="微软雅黑" w:cs="微软雅黑"/>
              <w:sz w:val="22"/>
              <w:szCs w:val="22"/>
            </w:rPr>
            <w:t>生产经营单位对特别重大生产安全事故发生</w:t>
          </w:r>
          <w:r>
            <w:rPr>
              <w:rFonts w:ascii="微软雅黑" w:hAnsi="微软雅黑" w:eastAsia="微软雅黑" w:cs="微软雅黑"/>
              <w:spacing w:val="-1"/>
              <w:sz w:val="22"/>
              <w:szCs w:val="22"/>
            </w:rPr>
            <w:t>负有责任的</w:t>
          </w:r>
          <w:r>
            <w:rPr>
              <w:rFonts w:ascii="微软雅黑" w:hAnsi="微软雅黑" w:eastAsia="微软雅黑" w:cs="微软雅黑"/>
              <w:sz w:val="22"/>
              <w:szCs w:val="22"/>
            </w:rPr>
            <w:tab/>
          </w:r>
          <w:r>
            <w:rPr>
              <w:rFonts w:ascii="宋体" w:hAnsi="宋体" w:eastAsia="宋体" w:cs="宋体"/>
              <w:spacing w:val="-9"/>
              <w:sz w:val="22"/>
              <w:szCs w:val="22"/>
            </w:rPr>
            <w:t>122</w:t>
          </w:r>
          <w:r>
            <w:rPr>
              <w:rFonts w:ascii="宋体" w:hAnsi="宋体" w:eastAsia="宋体" w:cs="宋体"/>
              <w:spacing w:val="-9"/>
              <w:sz w:val="22"/>
              <w:szCs w:val="22"/>
            </w:rPr>
            <w:fldChar w:fldCharType="end"/>
          </w:r>
        </w:p>
        <w:p w14:paraId="34EFD7BC">
          <w:pPr>
            <w:tabs>
              <w:tab w:val="right" w:leader="dot" w:pos="8830"/>
            </w:tabs>
            <w:spacing w:line="216" w:lineRule="auto"/>
            <w:rPr>
              <w:rFonts w:ascii="宋体" w:hAnsi="宋体" w:eastAsia="宋体" w:cs="宋体"/>
              <w:sz w:val="22"/>
              <w:szCs w:val="22"/>
            </w:rPr>
          </w:pPr>
          <w:bookmarkStart w:id="149" w:name="bookmark204"/>
          <w:bookmarkEnd w:id="149"/>
          <w:r>
            <w:rPr>
              <w:rFonts w:ascii="仿宋" w:hAnsi="仿宋" w:eastAsia="仿宋" w:cs="仿宋"/>
              <w:sz w:val="22"/>
              <w:szCs w:val="22"/>
            </w:rPr>
            <w:t>99</w:t>
          </w:r>
          <w:r>
            <w:rPr>
              <w:rFonts w:ascii="宋体" w:hAnsi="宋体" w:eastAsia="宋体" w:cs="宋体"/>
              <w:sz w:val="22"/>
              <w:szCs w:val="22"/>
            </w:rPr>
            <w:t>．</w:t>
          </w:r>
          <w:r>
            <w:fldChar w:fldCharType="begin"/>
          </w:r>
          <w:r>
            <w:instrText xml:space="preserve"> HYPERLINK \l "bookmark205" </w:instrText>
          </w:r>
          <w:r>
            <w:fldChar w:fldCharType="separate"/>
          </w:r>
          <w:r>
            <w:rPr>
              <w:rFonts w:ascii="微软雅黑" w:hAnsi="微软雅黑" w:eastAsia="微软雅黑" w:cs="微软雅黑"/>
              <w:sz w:val="22"/>
              <w:szCs w:val="22"/>
            </w:rPr>
            <w:t>生产经营单位迟报、漏报、谎报或者瞒报较大</w:t>
          </w:r>
          <w:r>
            <w:rPr>
              <w:rFonts w:ascii="微软雅黑" w:hAnsi="微软雅黑" w:eastAsia="微软雅黑" w:cs="微软雅黑"/>
              <w:spacing w:val="-1"/>
              <w:sz w:val="22"/>
              <w:szCs w:val="22"/>
            </w:rPr>
            <w:t>涉险事故的</w:t>
          </w:r>
          <w:r>
            <w:rPr>
              <w:rFonts w:ascii="微软雅黑" w:hAnsi="微软雅黑" w:eastAsia="微软雅黑" w:cs="微软雅黑"/>
              <w:sz w:val="22"/>
              <w:szCs w:val="22"/>
            </w:rPr>
            <w:tab/>
          </w:r>
          <w:r>
            <w:rPr>
              <w:rFonts w:ascii="宋体" w:hAnsi="宋体" w:eastAsia="宋体" w:cs="宋体"/>
              <w:spacing w:val="-9"/>
              <w:sz w:val="22"/>
              <w:szCs w:val="22"/>
            </w:rPr>
            <w:t>124</w:t>
          </w:r>
          <w:r>
            <w:rPr>
              <w:rFonts w:ascii="宋体" w:hAnsi="宋体" w:eastAsia="宋体" w:cs="宋体"/>
              <w:spacing w:val="-9"/>
              <w:sz w:val="22"/>
              <w:szCs w:val="22"/>
            </w:rPr>
            <w:fldChar w:fldCharType="end"/>
          </w:r>
        </w:p>
        <w:p w14:paraId="3131CD57">
          <w:pPr>
            <w:tabs>
              <w:tab w:val="right" w:leader="dot" w:pos="8832"/>
            </w:tabs>
            <w:spacing w:line="216" w:lineRule="auto"/>
            <w:ind w:left="15"/>
            <w:rPr>
              <w:rFonts w:ascii="宋体" w:hAnsi="宋体" w:eastAsia="宋体" w:cs="宋体"/>
              <w:sz w:val="22"/>
              <w:szCs w:val="22"/>
            </w:rPr>
          </w:pPr>
          <w:bookmarkStart w:id="150" w:name="bookmark206"/>
          <w:bookmarkEnd w:id="150"/>
          <w:r>
            <w:rPr>
              <w:rFonts w:ascii="仿宋" w:hAnsi="仿宋" w:eastAsia="仿宋" w:cs="仿宋"/>
              <w:spacing w:val="-1"/>
              <w:sz w:val="22"/>
              <w:szCs w:val="22"/>
            </w:rPr>
            <w:t>100</w:t>
          </w:r>
          <w:r>
            <w:rPr>
              <w:rFonts w:ascii="宋体" w:hAnsi="宋体" w:eastAsia="宋体" w:cs="宋体"/>
              <w:spacing w:val="-1"/>
              <w:sz w:val="22"/>
              <w:szCs w:val="22"/>
            </w:rPr>
            <w:t>．</w:t>
          </w:r>
          <w:r>
            <w:fldChar w:fldCharType="begin"/>
          </w:r>
          <w:r>
            <w:instrText xml:space="preserve"> HYPERLINK \l "bookmark207" </w:instrText>
          </w:r>
          <w:r>
            <w:fldChar w:fldCharType="separate"/>
          </w:r>
          <w:r>
            <w:rPr>
              <w:rFonts w:ascii="微软雅黑" w:hAnsi="微软雅黑" w:eastAsia="微软雅黑" w:cs="微软雅黑"/>
              <w:spacing w:val="-1"/>
              <w:sz w:val="22"/>
              <w:szCs w:val="22"/>
            </w:rPr>
            <w:t>危险化学品生产企业未按规定时限提出安全生产许可证变更申请的</w:t>
          </w:r>
          <w:r>
            <w:rPr>
              <w:rFonts w:ascii="微软雅黑" w:hAnsi="微软雅黑" w:eastAsia="微软雅黑" w:cs="微软雅黑"/>
              <w:sz w:val="22"/>
              <w:szCs w:val="22"/>
            </w:rPr>
            <w:tab/>
          </w:r>
          <w:r>
            <w:rPr>
              <w:rFonts w:ascii="宋体" w:hAnsi="宋体" w:eastAsia="宋体" w:cs="宋体"/>
              <w:spacing w:val="-9"/>
              <w:sz w:val="22"/>
              <w:szCs w:val="22"/>
            </w:rPr>
            <w:t>124</w:t>
          </w:r>
          <w:r>
            <w:rPr>
              <w:rFonts w:ascii="宋体" w:hAnsi="宋体" w:eastAsia="宋体" w:cs="宋体"/>
              <w:spacing w:val="-9"/>
              <w:sz w:val="22"/>
              <w:szCs w:val="22"/>
            </w:rPr>
            <w:fldChar w:fldCharType="end"/>
          </w:r>
        </w:p>
        <w:p w14:paraId="7A3FD500">
          <w:pPr>
            <w:spacing w:line="216" w:lineRule="auto"/>
            <w:jc w:val="right"/>
            <w:rPr>
              <w:rFonts w:ascii="宋体" w:hAnsi="宋体" w:eastAsia="宋体" w:cs="宋体"/>
              <w:sz w:val="22"/>
              <w:szCs w:val="22"/>
            </w:rPr>
          </w:pPr>
          <w:bookmarkStart w:id="151" w:name="bookmark208"/>
          <w:bookmarkEnd w:id="151"/>
          <w:r>
            <w:rPr>
              <w:rFonts w:ascii="仿宋" w:hAnsi="仿宋" w:eastAsia="仿宋" w:cs="仿宋"/>
              <w:spacing w:val="-1"/>
              <w:sz w:val="22"/>
              <w:szCs w:val="22"/>
            </w:rPr>
            <w:t>101</w:t>
          </w:r>
          <w:r>
            <w:rPr>
              <w:rFonts w:ascii="宋体" w:hAnsi="宋体" w:eastAsia="宋体" w:cs="宋体"/>
              <w:spacing w:val="-1"/>
              <w:sz w:val="22"/>
              <w:szCs w:val="22"/>
            </w:rPr>
            <w:t>．</w:t>
          </w:r>
          <w:r>
            <w:fldChar w:fldCharType="begin"/>
          </w:r>
          <w:r>
            <w:instrText xml:space="preserve"> HYPERLINK \l "bookmark209" </w:instrText>
          </w:r>
          <w:r>
            <w:fldChar w:fldCharType="separate"/>
          </w:r>
          <w:r>
            <w:rPr>
              <w:rFonts w:ascii="微软雅黑" w:hAnsi="微软雅黑" w:eastAsia="微软雅黑" w:cs="微软雅黑"/>
              <w:spacing w:val="-1"/>
              <w:sz w:val="22"/>
              <w:szCs w:val="22"/>
            </w:rPr>
            <w:t>危险化学品生产企业未按规定时限提出安全生产许可证变更申请并且擅自投入运行的</w:t>
          </w:r>
          <w:r>
            <w:rPr>
              <w:rFonts w:ascii="宋体" w:hAnsi="宋体" w:eastAsia="宋体" w:cs="宋体"/>
              <w:spacing w:val="-1"/>
              <w:sz w:val="22"/>
              <w:szCs w:val="22"/>
            </w:rPr>
            <w:t>125</w:t>
          </w:r>
          <w:r>
            <w:rPr>
              <w:rFonts w:ascii="宋体" w:hAnsi="宋体" w:eastAsia="宋体" w:cs="宋体"/>
              <w:spacing w:val="-1"/>
              <w:sz w:val="22"/>
              <w:szCs w:val="22"/>
            </w:rPr>
            <w:fldChar w:fldCharType="end"/>
          </w:r>
        </w:p>
        <w:p w14:paraId="1C13FD19">
          <w:pPr>
            <w:tabs>
              <w:tab w:val="right" w:leader="dot" w:pos="8829"/>
            </w:tabs>
            <w:spacing w:line="216" w:lineRule="auto"/>
            <w:ind w:left="15"/>
            <w:rPr>
              <w:rFonts w:ascii="宋体" w:hAnsi="宋体" w:eastAsia="宋体" w:cs="宋体"/>
              <w:sz w:val="22"/>
              <w:szCs w:val="22"/>
            </w:rPr>
          </w:pPr>
          <w:bookmarkStart w:id="152" w:name="bookmark208"/>
          <w:bookmarkEnd w:id="152"/>
          <w:r>
            <w:rPr>
              <w:rFonts w:ascii="仿宋" w:hAnsi="仿宋" w:eastAsia="仿宋" w:cs="仿宋"/>
              <w:spacing w:val="-1"/>
              <w:sz w:val="22"/>
              <w:szCs w:val="22"/>
            </w:rPr>
            <w:t>102</w:t>
          </w:r>
          <w:r>
            <w:rPr>
              <w:rFonts w:ascii="宋体" w:hAnsi="宋体" w:eastAsia="宋体" w:cs="宋体"/>
              <w:spacing w:val="-1"/>
              <w:sz w:val="22"/>
              <w:szCs w:val="22"/>
            </w:rPr>
            <w:t>．</w:t>
          </w:r>
          <w:r>
            <w:fldChar w:fldCharType="begin"/>
          </w:r>
          <w:r>
            <w:instrText xml:space="preserve"> HYPERLINK \l "bookmark210" </w:instrText>
          </w:r>
          <w:r>
            <w:fldChar w:fldCharType="separate"/>
          </w:r>
          <w:r>
            <w:rPr>
              <w:rFonts w:ascii="微软雅黑" w:hAnsi="微软雅黑" w:eastAsia="微软雅黑" w:cs="微软雅黑"/>
              <w:spacing w:val="-1"/>
              <w:sz w:val="22"/>
              <w:szCs w:val="22"/>
            </w:rPr>
            <w:t>未取得危险化学品经营许可证从事危险化学品经营的</w:t>
          </w:r>
          <w:r>
            <w:rPr>
              <w:rFonts w:ascii="微软雅黑" w:hAnsi="微软雅黑" w:eastAsia="微软雅黑" w:cs="微软雅黑"/>
              <w:sz w:val="22"/>
              <w:szCs w:val="22"/>
            </w:rPr>
            <w:tab/>
          </w:r>
          <w:r>
            <w:rPr>
              <w:rFonts w:ascii="宋体" w:hAnsi="宋体" w:eastAsia="宋体" w:cs="宋体"/>
              <w:spacing w:val="-9"/>
              <w:sz w:val="22"/>
              <w:szCs w:val="22"/>
            </w:rPr>
            <w:t>126</w:t>
          </w:r>
          <w:r>
            <w:rPr>
              <w:rFonts w:ascii="宋体" w:hAnsi="宋体" w:eastAsia="宋体" w:cs="宋体"/>
              <w:spacing w:val="-9"/>
              <w:sz w:val="22"/>
              <w:szCs w:val="22"/>
            </w:rPr>
            <w:fldChar w:fldCharType="end"/>
          </w:r>
        </w:p>
        <w:p w14:paraId="53CA4553">
          <w:pPr>
            <w:tabs>
              <w:tab w:val="right" w:leader="dot" w:pos="8832"/>
            </w:tabs>
            <w:spacing w:line="216" w:lineRule="auto"/>
            <w:ind w:left="15"/>
            <w:rPr>
              <w:rFonts w:ascii="宋体" w:hAnsi="宋体" w:eastAsia="宋体" w:cs="宋体"/>
              <w:sz w:val="22"/>
              <w:szCs w:val="22"/>
            </w:rPr>
          </w:pPr>
          <w:bookmarkStart w:id="153" w:name="bookmark211"/>
          <w:bookmarkEnd w:id="153"/>
          <w:r>
            <w:rPr>
              <w:rFonts w:ascii="仿宋" w:hAnsi="仿宋" w:eastAsia="仿宋" w:cs="仿宋"/>
              <w:spacing w:val="-1"/>
              <w:sz w:val="22"/>
              <w:szCs w:val="22"/>
            </w:rPr>
            <w:t>103</w:t>
          </w:r>
          <w:r>
            <w:rPr>
              <w:rFonts w:ascii="宋体" w:hAnsi="宋体" w:eastAsia="宋体" w:cs="宋体"/>
              <w:spacing w:val="-1"/>
              <w:sz w:val="22"/>
              <w:szCs w:val="22"/>
            </w:rPr>
            <w:t>．</w:t>
          </w:r>
          <w:r>
            <w:fldChar w:fldCharType="begin"/>
          </w:r>
          <w:r>
            <w:instrText xml:space="preserve"> HYPERLINK \l "bookmark212" </w:instrText>
          </w:r>
          <w:r>
            <w:fldChar w:fldCharType="separate"/>
          </w:r>
          <w:r>
            <w:rPr>
              <w:rFonts w:ascii="微软雅黑" w:hAnsi="微软雅黑" w:eastAsia="微软雅黑" w:cs="微软雅黑"/>
              <w:spacing w:val="-1"/>
              <w:sz w:val="22"/>
              <w:szCs w:val="22"/>
            </w:rPr>
            <w:t>危险化学品经营企业在经营许可证有效期届满后仍然从事危险化学品经营的</w:t>
          </w:r>
          <w:r>
            <w:rPr>
              <w:rFonts w:ascii="微软雅黑" w:hAnsi="微软雅黑" w:eastAsia="微软雅黑" w:cs="微软雅黑"/>
              <w:sz w:val="22"/>
              <w:szCs w:val="22"/>
            </w:rPr>
            <w:tab/>
          </w:r>
          <w:r>
            <w:rPr>
              <w:rFonts w:ascii="宋体" w:hAnsi="宋体" w:eastAsia="宋体" w:cs="宋体"/>
              <w:spacing w:val="-9"/>
              <w:sz w:val="22"/>
              <w:szCs w:val="22"/>
            </w:rPr>
            <w:t>127</w:t>
          </w:r>
          <w:r>
            <w:rPr>
              <w:rFonts w:ascii="宋体" w:hAnsi="宋体" w:eastAsia="宋体" w:cs="宋体"/>
              <w:spacing w:val="-9"/>
              <w:sz w:val="22"/>
              <w:szCs w:val="22"/>
            </w:rPr>
            <w:fldChar w:fldCharType="end"/>
          </w:r>
        </w:p>
        <w:p w14:paraId="4BFA981F">
          <w:pPr>
            <w:tabs>
              <w:tab w:val="right" w:leader="dot" w:pos="8829"/>
            </w:tabs>
            <w:spacing w:line="216" w:lineRule="auto"/>
            <w:ind w:left="15"/>
            <w:rPr>
              <w:rFonts w:ascii="宋体" w:hAnsi="宋体" w:eastAsia="宋体" w:cs="宋体"/>
              <w:sz w:val="22"/>
              <w:szCs w:val="22"/>
            </w:rPr>
          </w:pPr>
          <w:bookmarkStart w:id="154" w:name="bookmark213"/>
          <w:bookmarkEnd w:id="154"/>
          <w:r>
            <w:rPr>
              <w:rFonts w:ascii="仿宋" w:hAnsi="仿宋" w:eastAsia="仿宋" w:cs="仿宋"/>
              <w:spacing w:val="-1"/>
              <w:sz w:val="22"/>
              <w:szCs w:val="22"/>
            </w:rPr>
            <w:t>104</w:t>
          </w:r>
          <w:r>
            <w:rPr>
              <w:rFonts w:ascii="宋体" w:hAnsi="宋体" w:eastAsia="宋体" w:cs="宋体"/>
              <w:spacing w:val="-1"/>
              <w:sz w:val="22"/>
              <w:szCs w:val="22"/>
            </w:rPr>
            <w:t>．</w:t>
          </w:r>
          <w:r>
            <w:fldChar w:fldCharType="begin"/>
          </w:r>
          <w:r>
            <w:instrText xml:space="preserve"> HYPERLINK \l "bookmark214" </w:instrText>
          </w:r>
          <w:r>
            <w:fldChar w:fldCharType="separate"/>
          </w:r>
          <w:r>
            <w:rPr>
              <w:rFonts w:ascii="微软雅黑" w:hAnsi="微软雅黑" w:eastAsia="微软雅黑" w:cs="微软雅黑"/>
              <w:spacing w:val="-1"/>
              <w:sz w:val="22"/>
              <w:szCs w:val="22"/>
            </w:rPr>
            <w:t>危险化学品经营企业未按规定办理经营许可证变更的</w:t>
          </w:r>
          <w:r>
            <w:rPr>
              <w:rFonts w:ascii="微软雅黑" w:hAnsi="微软雅黑" w:eastAsia="微软雅黑" w:cs="微软雅黑"/>
              <w:sz w:val="22"/>
              <w:szCs w:val="22"/>
            </w:rPr>
            <w:tab/>
          </w:r>
          <w:r>
            <w:rPr>
              <w:rFonts w:ascii="宋体" w:hAnsi="宋体" w:eastAsia="宋体" w:cs="宋体"/>
              <w:spacing w:val="-9"/>
              <w:sz w:val="22"/>
              <w:szCs w:val="22"/>
            </w:rPr>
            <w:t>128</w:t>
          </w:r>
          <w:r>
            <w:rPr>
              <w:rFonts w:ascii="宋体" w:hAnsi="宋体" w:eastAsia="宋体" w:cs="宋体"/>
              <w:spacing w:val="-9"/>
              <w:sz w:val="22"/>
              <w:szCs w:val="22"/>
            </w:rPr>
            <w:fldChar w:fldCharType="end"/>
          </w:r>
        </w:p>
        <w:p w14:paraId="0DEBFA68">
          <w:pPr>
            <w:spacing w:before="1" w:line="216" w:lineRule="auto"/>
            <w:jc w:val="right"/>
            <w:rPr>
              <w:rFonts w:ascii="宋体" w:hAnsi="宋体" w:eastAsia="宋体" w:cs="宋体"/>
              <w:sz w:val="22"/>
              <w:szCs w:val="22"/>
            </w:rPr>
          </w:pPr>
          <w:bookmarkStart w:id="155" w:name="bookmark215"/>
          <w:bookmarkEnd w:id="155"/>
          <w:r>
            <w:rPr>
              <w:rFonts w:ascii="仿宋" w:hAnsi="仿宋" w:eastAsia="仿宋" w:cs="仿宋"/>
              <w:spacing w:val="-1"/>
              <w:sz w:val="22"/>
              <w:szCs w:val="22"/>
            </w:rPr>
            <w:t>105</w:t>
          </w:r>
          <w:r>
            <w:rPr>
              <w:rFonts w:ascii="宋体" w:hAnsi="宋体" w:eastAsia="宋体" w:cs="宋体"/>
              <w:spacing w:val="-1"/>
              <w:sz w:val="22"/>
              <w:szCs w:val="22"/>
            </w:rPr>
            <w:t>．</w:t>
          </w:r>
          <w:r>
            <w:fldChar w:fldCharType="begin"/>
          </w:r>
          <w:r>
            <w:instrText xml:space="preserve"> HYPERLINK \l "bookmark216" </w:instrText>
          </w:r>
          <w:r>
            <w:fldChar w:fldCharType="separate"/>
          </w:r>
          <w:r>
            <w:rPr>
              <w:rFonts w:ascii="微软雅黑" w:hAnsi="微软雅黑" w:eastAsia="微软雅黑" w:cs="微软雅黑"/>
              <w:spacing w:val="-1"/>
              <w:sz w:val="22"/>
              <w:szCs w:val="22"/>
            </w:rPr>
            <w:t>伪造、变造或者出租、出借、转让经营许可证，或者使用伪造、变造的经营许可证的</w:t>
          </w:r>
          <w:r>
            <w:rPr>
              <w:rFonts w:ascii="宋体" w:hAnsi="宋体" w:eastAsia="宋体" w:cs="宋体"/>
              <w:spacing w:val="-1"/>
              <w:sz w:val="22"/>
              <w:szCs w:val="22"/>
            </w:rPr>
            <w:t>129</w:t>
          </w:r>
          <w:r>
            <w:rPr>
              <w:rFonts w:ascii="宋体" w:hAnsi="宋体" w:eastAsia="宋体" w:cs="宋体"/>
              <w:spacing w:val="-1"/>
              <w:sz w:val="22"/>
              <w:szCs w:val="22"/>
            </w:rPr>
            <w:fldChar w:fldCharType="end"/>
          </w:r>
        </w:p>
        <w:p w14:paraId="2DBD8A2B">
          <w:pPr>
            <w:spacing w:line="410" w:lineRule="exact"/>
            <w:ind w:left="15"/>
            <w:rPr>
              <w:rFonts w:ascii="微软雅黑" w:hAnsi="微软雅黑" w:eastAsia="微软雅黑" w:cs="微软雅黑"/>
              <w:sz w:val="22"/>
              <w:szCs w:val="22"/>
            </w:rPr>
          </w:pPr>
          <w:bookmarkStart w:id="156" w:name="bookmark217"/>
          <w:bookmarkEnd w:id="156"/>
          <w:r>
            <w:rPr>
              <w:rFonts w:ascii="仿宋" w:hAnsi="仿宋" w:eastAsia="仿宋" w:cs="仿宋"/>
              <w:spacing w:val="-2"/>
              <w:position w:val="5"/>
              <w:sz w:val="22"/>
              <w:szCs w:val="22"/>
            </w:rPr>
            <w:t>106</w:t>
          </w:r>
          <w:r>
            <w:rPr>
              <w:rFonts w:ascii="宋体" w:hAnsi="宋体" w:eastAsia="宋体" w:cs="宋体"/>
              <w:spacing w:val="-2"/>
              <w:position w:val="5"/>
              <w:sz w:val="22"/>
              <w:szCs w:val="22"/>
            </w:rPr>
            <w:t>．</w:t>
          </w:r>
          <w:r>
            <w:fldChar w:fldCharType="begin"/>
          </w:r>
          <w:r>
            <w:instrText xml:space="preserve"> HYPERLINK \l "bookmark218" </w:instrText>
          </w:r>
          <w:r>
            <w:fldChar w:fldCharType="separate"/>
          </w:r>
          <w:r>
            <w:rPr>
              <w:rFonts w:ascii="微软雅黑" w:hAnsi="微软雅黑" w:eastAsia="微软雅黑" w:cs="微软雅黑"/>
              <w:spacing w:val="-2"/>
              <w:position w:val="5"/>
              <w:sz w:val="22"/>
              <w:szCs w:val="22"/>
            </w:rPr>
            <w:t>化工企业未取得危险化学品安全使用许可证使用危</w:t>
          </w:r>
          <w:r>
            <w:rPr>
              <w:rFonts w:ascii="微软雅黑" w:hAnsi="微软雅黑" w:eastAsia="微软雅黑" w:cs="微软雅黑"/>
              <w:spacing w:val="-3"/>
              <w:position w:val="5"/>
              <w:sz w:val="22"/>
              <w:szCs w:val="22"/>
            </w:rPr>
            <w:t>险化学品从事生产，且达到危险化学</w:t>
          </w:r>
          <w:r>
            <w:rPr>
              <w:rFonts w:ascii="微软雅黑" w:hAnsi="微软雅黑" w:eastAsia="微软雅黑" w:cs="微软雅黑"/>
              <w:spacing w:val="-3"/>
              <w:position w:val="5"/>
              <w:sz w:val="22"/>
              <w:szCs w:val="22"/>
            </w:rPr>
            <w:fldChar w:fldCharType="end"/>
          </w:r>
        </w:p>
        <w:p w14:paraId="69D8D09A">
          <w:pPr>
            <w:tabs>
              <w:tab w:val="right" w:leader="dot" w:pos="8825"/>
            </w:tabs>
            <w:spacing w:before="5" w:line="168" w:lineRule="auto"/>
            <w:ind w:left="29"/>
            <w:rPr>
              <w:rFonts w:ascii="宋体" w:hAnsi="宋体" w:eastAsia="宋体" w:cs="宋体"/>
              <w:sz w:val="22"/>
              <w:szCs w:val="22"/>
            </w:rPr>
          </w:pPr>
          <w:bookmarkStart w:id="157" w:name="bookmark217"/>
          <w:bookmarkEnd w:id="157"/>
          <w:r>
            <w:fldChar w:fldCharType="begin"/>
          </w:r>
          <w:r>
            <w:instrText xml:space="preserve"> HYPERLINK \l "bookmark217" </w:instrText>
          </w:r>
          <w:r>
            <w:fldChar w:fldCharType="separate"/>
          </w:r>
          <w:r>
            <w:rPr>
              <w:rFonts w:ascii="微软雅黑" w:hAnsi="微软雅黑" w:eastAsia="微软雅黑" w:cs="微软雅黑"/>
              <w:spacing w:val="-3"/>
              <w:sz w:val="22"/>
              <w:szCs w:val="22"/>
            </w:rPr>
            <w:t>品使用量的数量标准规定的</w:t>
          </w:r>
          <w:r>
            <w:rPr>
              <w:rFonts w:ascii="微软雅黑" w:hAnsi="微软雅黑" w:eastAsia="微软雅黑" w:cs="微软雅黑"/>
              <w:sz w:val="22"/>
              <w:szCs w:val="22"/>
            </w:rPr>
            <w:tab/>
          </w:r>
          <w:r>
            <w:rPr>
              <w:rFonts w:ascii="宋体" w:hAnsi="宋体" w:eastAsia="宋体" w:cs="宋体"/>
              <w:spacing w:val="-9"/>
              <w:sz w:val="22"/>
              <w:szCs w:val="22"/>
            </w:rPr>
            <w:t>130</w:t>
          </w:r>
          <w:r>
            <w:rPr>
              <w:rFonts w:ascii="宋体" w:hAnsi="宋体" w:eastAsia="宋体" w:cs="宋体"/>
              <w:spacing w:val="-9"/>
              <w:sz w:val="22"/>
              <w:szCs w:val="22"/>
            </w:rPr>
            <w:fldChar w:fldCharType="end"/>
          </w:r>
        </w:p>
        <w:p w14:paraId="62A0BF7A">
          <w:pPr>
            <w:spacing w:line="410" w:lineRule="exact"/>
            <w:ind w:left="15"/>
            <w:rPr>
              <w:rFonts w:ascii="微软雅黑" w:hAnsi="微软雅黑" w:eastAsia="微软雅黑" w:cs="微软雅黑"/>
              <w:sz w:val="22"/>
              <w:szCs w:val="22"/>
            </w:rPr>
          </w:pPr>
          <w:bookmarkStart w:id="158" w:name="bookmark219"/>
          <w:bookmarkEnd w:id="158"/>
          <w:r>
            <w:rPr>
              <w:rFonts w:ascii="仿宋" w:hAnsi="仿宋" w:eastAsia="仿宋" w:cs="仿宋"/>
              <w:spacing w:val="-2"/>
              <w:position w:val="5"/>
              <w:sz w:val="22"/>
              <w:szCs w:val="22"/>
            </w:rPr>
            <w:t>107</w:t>
          </w:r>
          <w:r>
            <w:rPr>
              <w:rFonts w:ascii="宋体" w:hAnsi="宋体" w:eastAsia="宋体" w:cs="宋体"/>
              <w:spacing w:val="-2"/>
              <w:position w:val="5"/>
              <w:sz w:val="22"/>
              <w:szCs w:val="22"/>
            </w:rPr>
            <w:t>．</w:t>
          </w:r>
          <w:r>
            <w:fldChar w:fldCharType="begin"/>
          </w:r>
          <w:r>
            <w:instrText xml:space="preserve"> HYPERLINK \l "bookmark220" </w:instrText>
          </w:r>
          <w:r>
            <w:fldChar w:fldCharType="separate"/>
          </w:r>
          <w:r>
            <w:rPr>
              <w:rFonts w:ascii="微软雅黑" w:hAnsi="微软雅黑" w:eastAsia="微软雅黑" w:cs="微软雅黑"/>
              <w:spacing w:val="-2"/>
              <w:position w:val="5"/>
              <w:sz w:val="22"/>
              <w:szCs w:val="22"/>
            </w:rPr>
            <w:t>化工企业在安全使用许可证有效期届满后未办理延期</w:t>
          </w:r>
          <w:r>
            <w:rPr>
              <w:rFonts w:ascii="微软雅黑" w:hAnsi="微软雅黑" w:eastAsia="微软雅黑" w:cs="微软雅黑"/>
              <w:spacing w:val="-3"/>
              <w:position w:val="5"/>
              <w:sz w:val="22"/>
              <w:szCs w:val="22"/>
            </w:rPr>
            <w:t>手续，仍然使用危险化学品从事生</w:t>
          </w:r>
          <w:r>
            <w:rPr>
              <w:rFonts w:ascii="微软雅黑" w:hAnsi="微软雅黑" w:eastAsia="微软雅黑" w:cs="微软雅黑"/>
              <w:spacing w:val="-3"/>
              <w:position w:val="5"/>
              <w:sz w:val="22"/>
              <w:szCs w:val="22"/>
            </w:rPr>
            <w:fldChar w:fldCharType="end"/>
          </w:r>
        </w:p>
        <w:p w14:paraId="6E153F8A">
          <w:pPr>
            <w:tabs>
              <w:tab w:val="right" w:leader="dot" w:pos="8827"/>
            </w:tabs>
            <w:spacing w:before="8" w:line="167" w:lineRule="auto"/>
            <w:ind w:left="5"/>
            <w:rPr>
              <w:rFonts w:ascii="宋体" w:hAnsi="宋体" w:eastAsia="宋体" w:cs="宋体"/>
              <w:sz w:val="22"/>
              <w:szCs w:val="22"/>
            </w:rPr>
          </w:pPr>
          <w:bookmarkStart w:id="159" w:name="bookmark219"/>
          <w:bookmarkEnd w:id="159"/>
          <w:r>
            <w:fldChar w:fldCharType="begin"/>
          </w:r>
          <w:r>
            <w:instrText xml:space="preserve"> HYPERLINK \l "bookmark219" </w:instrText>
          </w:r>
          <w:r>
            <w:fldChar w:fldCharType="separate"/>
          </w:r>
          <w:r>
            <w:rPr>
              <w:rFonts w:ascii="微软雅黑" w:hAnsi="微软雅黑" w:eastAsia="微软雅黑" w:cs="微软雅黑"/>
              <w:spacing w:val="-1"/>
              <w:sz w:val="22"/>
              <w:szCs w:val="22"/>
            </w:rPr>
            <w:t>产，且达到危险化学品使用量的数量标准规定的</w:t>
          </w:r>
          <w:r>
            <w:rPr>
              <w:rFonts w:ascii="微软雅黑" w:hAnsi="微软雅黑" w:eastAsia="微软雅黑" w:cs="微软雅黑"/>
              <w:sz w:val="22"/>
              <w:szCs w:val="22"/>
            </w:rPr>
            <w:tab/>
          </w:r>
          <w:r>
            <w:rPr>
              <w:rFonts w:ascii="宋体" w:hAnsi="宋体" w:eastAsia="宋体" w:cs="宋体"/>
              <w:spacing w:val="-9"/>
              <w:sz w:val="22"/>
              <w:szCs w:val="22"/>
            </w:rPr>
            <w:t>130</w:t>
          </w:r>
          <w:r>
            <w:rPr>
              <w:rFonts w:ascii="宋体" w:hAnsi="宋体" w:eastAsia="宋体" w:cs="宋体"/>
              <w:spacing w:val="-9"/>
              <w:sz w:val="22"/>
              <w:szCs w:val="22"/>
            </w:rPr>
            <w:fldChar w:fldCharType="end"/>
          </w:r>
        </w:p>
        <w:p w14:paraId="32A8A9F5">
          <w:pPr>
            <w:spacing w:line="410" w:lineRule="exact"/>
            <w:ind w:left="15"/>
            <w:rPr>
              <w:rFonts w:ascii="微软雅黑" w:hAnsi="微软雅黑" w:eastAsia="微软雅黑" w:cs="微软雅黑"/>
              <w:sz w:val="22"/>
              <w:szCs w:val="22"/>
            </w:rPr>
          </w:pPr>
          <w:bookmarkStart w:id="160" w:name="bookmark221"/>
          <w:bookmarkEnd w:id="160"/>
          <w:r>
            <w:rPr>
              <w:rFonts w:ascii="仿宋" w:hAnsi="仿宋" w:eastAsia="仿宋" w:cs="仿宋"/>
              <w:spacing w:val="-2"/>
              <w:position w:val="5"/>
              <w:sz w:val="22"/>
              <w:szCs w:val="22"/>
            </w:rPr>
            <w:t>108</w:t>
          </w:r>
          <w:r>
            <w:rPr>
              <w:rFonts w:ascii="宋体" w:hAnsi="宋体" w:eastAsia="宋体" w:cs="宋体"/>
              <w:spacing w:val="-2"/>
              <w:position w:val="5"/>
              <w:sz w:val="22"/>
              <w:szCs w:val="22"/>
            </w:rPr>
            <w:t>．</w:t>
          </w:r>
          <w:r>
            <w:fldChar w:fldCharType="begin"/>
          </w:r>
          <w:r>
            <w:instrText xml:space="preserve"> HYPERLINK \l "bookmark222" </w:instrText>
          </w:r>
          <w:r>
            <w:fldChar w:fldCharType="separate"/>
          </w:r>
          <w:r>
            <w:rPr>
              <w:rFonts w:ascii="微软雅黑" w:hAnsi="微软雅黑" w:eastAsia="微软雅黑" w:cs="微软雅黑"/>
              <w:spacing w:val="-2"/>
              <w:position w:val="5"/>
              <w:sz w:val="22"/>
              <w:szCs w:val="22"/>
            </w:rPr>
            <w:t>企业伪造、变造或者出租、出借、转让安全使用许可</w:t>
          </w:r>
          <w:r>
            <w:rPr>
              <w:rFonts w:ascii="微软雅黑" w:hAnsi="微软雅黑" w:eastAsia="微软雅黑" w:cs="微软雅黑"/>
              <w:spacing w:val="-3"/>
              <w:position w:val="5"/>
              <w:sz w:val="22"/>
              <w:szCs w:val="22"/>
            </w:rPr>
            <w:t>证，或者使用伪造、变造的安全使</w:t>
          </w:r>
          <w:r>
            <w:rPr>
              <w:rFonts w:ascii="微软雅黑" w:hAnsi="微软雅黑" w:eastAsia="微软雅黑" w:cs="微软雅黑"/>
              <w:spacing w:val="-3"/>
              <w:position w:val="5"/>
              <w:sz w:val="22"/>
              <w:szCs w:val="22"/>
            </w:rPr>
            <w:fldChar w:fldCharType="end"/>
          </w:r>
        </w:p>
        <w:p w14:paraId="459F6F3D">
          <w:pPr>
            <w:tabs>
              <w:tab w:val="right" w:leader="dot" w:pos="8822"/>
            </w:tabs>
            <w:spacing w:before="7" w:line="167" w:lineRule="auto"/>
            <w:ind w:left="5"/>
            <w:rPr>
              <w:rFonts w:ascii="宋体" w:hAnsi="宋体" w:eastAsia="宋体" w:cs="宋体"/>
              <w:sz w:val="22"/>
              <w:szCs w:val="22"/>
            </w:rPr>
          </w:pPr>
          <w:bookmarkStart w:id="161" w:name="bookmark221"/>
          <w:bookmarkEnd w:id="161"/>
          <w:r>
            <w:fldChar w:fldCharType="begin"/>
          </w:r>
          <w:r>
            <w:instrText xml:space="preserve"> HYPERLINK \l "bookmark221" </w:instrText>
          </w:r>
          <w:r>
            <w:fldChar w:fldCharType="separate"/>
          </w:r>
          <w:r>
            <w:rPr>
              <w:rFonts w:ascii="微软雅黑" w:hAnsi="微软雅黑" w:eastAsia="微软雅黑" w:cs="微软雅黑"/>
              <w:spacing w:val="-2"/>
              <w:sz w:val="22"/>
              <w:szCs w:val="22"/>
            </w:rPr>
            <w:t>用许可证的</w:t>
          </w:r>
          <w:r>
            <w:rPr>
              <w:rFonts w:ascii="微软雅黑" w:hAnsi="微软雅黑" w:eastAsia="微软雅黑" w:cs="微软雅黑"/>
              <w:sz w:val="22"/>
              <w:szCs w:val="22"/>
            </w:rPr>
            <w:tab/>
          </w:r>
          <w:r>
            <w:rPr>
              <w:rFonts w:ascii="宋体" w:hAnsi="宋体" w:eastAsia="宋体" w:cs="宋体"/>
              <w:spacing w:val="-9"/>
              <w:sz w:val="22"/>
              <w:szCs w:val="22"/>
            </w:rPr>
            <w:t>131</w:t>
          </w:r>
          <w:r>
            <w:rPr>
              <w:rFonts w:ascii="宋体" w:hAnsi="宋体" w:eastAsia="宋体" w:cs="宋体"/>
              <w:spacing w:val="-9"/>
              <w:sz w:val="22"/>
              <w:szCs w:val="22"/>
            </w:rPr>
            <w:fldChar w:fldCharType="end"/>
          </w:r>
        </w:p>
        <w:p w14:paraId="54DD1F7F">
          <w:pPr>
            <w:spacing w:line="410" w:lineRule="exact"/>
            <w:ind w:left="15"/>
            <w:rPr>
              <w:rFonts w:ascii="微软雅黑" w:hAnsi="微软雅黑" w:eastAsia="微软雅黑" w:cs="微软雅黑"/>
              <w:sz w:val="22"/>
              <w:szCs w:val="22"/>
            </w:rPr>
          </w:pPr>
          <w:bookmarkStart w:id="162" w:name="bookmark223"/>
          <w:bookmarkEnd w:id="162"/>
          <w:r>
            <w:rPr>
              <w:rFonts w:ascii="仿宋" w:hAnsi="仿宋" w:eastAsia="仿宋" w:cs="仿宋"/>
              <w:spacing w:val="-5"/>
              <w:position w:val="5"/>
              <w:sz w:val="22"/>
              <w:szCs w:val="22"/>
            </w:rPr>
            <w:t>109</w:t>
          </w:r>
          <w:r>
            <w:rPr>
              <w:rFonts w:ascii="宋体" w:hAnsi="宋体" w:eastAsia="宋体" w:cs="宋体"/>
              <w:spacing w:val="-5"/>
              <w:position w:val="5"/>
              <w:sz w:val="22"/>
              <w:szCs w:val="22"/>
            </w:rPr>
            <w:t>．</w:t>
          </w:r>
          <w:r>
            <w:fldChar w:fldCharType="begin"/>
          </w:r>
          <w:r>
            <w:instrText xml:space="preserve"> HYPERLINK \l "bookmark224" </w:instrText>
          </w:r>
          <w:r>
            <w:fldChar w:fldCharType="separate"/>
          </w:r>
          <w:r>
            <w:rPr>
              <w:rFonts w:ascii="微软雅黑" w:hAnsi="微软雅黑" w:eastAsia="微软雅黑" w:cs="微软雅黑"/>
              <w:spacing w:val="-5"/>
              <w:position w:val="5"/>
              <w:sz w:val="22"/>
              <w:szCs w:val="22"/>
            </w:rPr>
            <w:t>企业在安全使用许可证有效期内主要负</w:t>
          </w:r>
          <w:r>
            <w:rPr>
              <w:rFonts w:ascii="微软雅黑" w:hAnsi="微软雅黑" w:eastAsia="微软雅黑" w:cs="微软雅黑"/>
              <w:spacing w:val="-6"/>
              <w:position w:val="5"/>
              <w:sz w:val="22"/>
              <w:szCs w:val="22"/>
            </w:rPr>
            <w:t>责人、企业名称、注册地址、隶属关系发生变更，</w:t>
          </w:r>
          <w:r>
            <w:rPr>
              <w:rFonts w:ascii="微软雅黑" w:hAnsi="微软雅黑" w:eastAsia="微软雅黑" w:cs="微软雅黑"/>
              <w:spacing w:val="-6"/>
              <w:position w:val="5"/>
              <w:sz w:val="22"/>
              <w:szCs w:val="22"/>
            </w:rPr>
            <w:fldChar w:fldCharType="end"/>
          </w:r>
        </w:p>
        <w:p w14:paraId="1EE07445">
          <w:pPr>
            <w:spacing w:before="6" w:line="168" w:lineRule="auto"/>
            <w:ind w:left="4"/>
            <w:rPr>
              <w:rFonts w:ascii="宋体" w:hAnsi="宋体" w:eastAsia="宋体" w:cs="宋体"/>
              <w:sz w:val="22"/>
              <w:szCs w:val="22"/>
            </w:rPr>
          </w:pPr>
          <w:bookmarkStart w:id="163" w:name="bookmark223"/>
          <w:bookmarkEnd w:id="163"/>
          <w:r>
            <w:fldChar w:fldCharType="begin"/>
          </w:r>
          <w:r>
            <w:instrText xml:space="preserve"> HYPERLINK \l "bookmark223" </w:instrText>
          </w:r>
          <w:r>
            <w:fldChar w:fldCharType="separate"/>
          </w:r>
          <w:r>
            <w:rPr>
              <w:rFonts w:ascii="微软雅黑" w:hAnsi="微软雅黑" w:eastAsia="微软雅黑" w:cs="微软雅黑"/>
              <w:spacing w:val="-1"/>
              <w:sz w:val="22"/>
              <w:szCs w:val="22"/>
            </w:rPr>
            <w:t>未按法定时限提出安全使用许可证变更申请或者将隶属关系变更证明材料</w:t>
          </w:r>
          <w:r>
            <w:rPr>
              <w:rFonts w:ascii="微软雅黑" w:hAnsi="微软雅黑" w:eastAsia="微软雅黑" w:cs="微软雅黑"/>
              <w:spacing w:val="-2"/>
              <w:sz w:val="22"/>
              <w:szCs w:val="22"/>
            </w:rPr>
            <w:t>报发证机关的</w:t>
          </w:r>
          <w:r>
            <w:rPr>
              <w:rFonts w:ascii="宋体" w:hAnsi="宋体" w:eastAsia="宋体" w:cs="宋体"/>
              <w:spacing w:val="-2"/>
              <w:sz w:val="22"/>
              <w:szCs w:val="22"/>
            </w:rPr>
            <w:t>132</w:t>
          </w:r>
          <w:r>
            <w:rPr>
              <w:rFonts w:ascii="宋体" w:hAnsi="宋体" w:eastAsia="宋体" w:cs="宋体"/>
              <w:spacing w:val="-2"/>
              <w:sz w:val="22"/>
              <w:szCs w:val="22"/>
            </w:rPr>
            <w:fldChar w:fldCharType="end"/>
          </w:r>
        </w:p>
        <w:p w14:paraId="5E8C5103">
          <w:pPr>
            <w:spacing w:line="410" w:lineRule="exact"/>
            <w:ind w:left="15"/>
            <w:rPr>
              <w:rFonts w:ascii="微软雅黑" w:hAnsi="微软雅黑" w:eastAsia="微软雅黑" w:cs="微软雅黑"/>
              <w:sz w:val="22"/>
              <w:szCs w:val="22"/>
            </w:rPr>
          </w:pPr>
          <w:bookmarkStart w:id="164" w:name="bookmark225"/>
          <w:bookmarkEnd w:id="164"/>
          <w:r>
            <w:rPr>
              <w:rFonts w:ascii="仿宋" w:hAnsi="仿宋" w:eastAsia="仿宋" w:cs="仿宋"/>
              <w:spacing w:val="-2"/>
              <w:position w:val="5"/>
              <w:sz w:val="22"/>
              <w:szCs w:val="22"/>
            </w:rPr>
            <w:t>110</w:t>
          </w:r>
          <w:r>
            <w:rPr>
              <w:rFonts w:ascii="宋体" w:hAnsi="宋体" w:eastAsia="宋体" w:cs="宋体"/>
              <w:spacing w:val="-2"/>
              <w:position w:val="5"/>
              <w:sz w:val="22"/>
              <w:szCs w:val="22"/>
            </w:rPr>
            <w:t>．</w:t>
          </w:r>
          <w:r>
            <w:fldChar w:fldCharType="begin"/>
          </w:r>
          <w:r>
            <w:instrText xml:space="preserve"> HYPERLINK \l "bookmark226" </w:instrText>
          </w:r>
          <w:r>
            <w:fldChar w:fldCharType="separate"/>
          </w:r>
          <w:r>
            <w:rPr>
              <w:rFonts w:ascii="微软雅黑" w:hAnsi="微软雅黑" w:eastAsia="微软雅黑" w:cs="微软雅黑"/>
              <w:spacing w:val="-2"/>
              <w:position w:val="5"/>
              <w:sz w:val="22"/>
              <w:szCs w:val="22"/>
            </w:rPr>
            <w:t>企业在安全使用许可证有效期内有增加使用的危险</w:t>
          </w:r>
          <w:r>
            <w:rPr>
              <w:rFonts w:ascii="微软雅黑" w:hAnsi="微软雅黑" w:eastAsia="微软雅黑" w:cs="微软雅黑"/>
              <w:spacing w:val="-3"/>
              <w:position w:val="5"/>
              <w:sz w:val="22"/>
              <w:szCs w:val="22"/>
            </w:rPr>
            <w:t>化学品品种，且达到危险化学品使用</w:t>
          </w:r>
          <w:r>
            <w:rPr>
              <w:rFonts w:ascii="微软雅黑" w:hAnsi="微软雅黑" w:eastAsia="微软雅黑" w:cs="微软雅黑"/>
              <w:spacing w:val="-3"/>
              <w:position w:val="5"/>
              <w:sz w:val="22"/>
              <w:szCs w:val="22"/>
            </w:rPr>
            <w:fldChar w:fldCharType="end"/>
          </w:r>
        </w:p>
        <w:p w14:paraId="3AD05BC1">
          <w:pPr>
            <w:tabs>
              <w:tab w:val="right" w:leader="dot" w:pos="8830"/>
            </w:tabs>
            <w:spacing w:before="7" w:line="167" w:lineRule="auto"/>
            <w:ind w:left="7"/>
            <w:rPr>
              <w:rFonts w:ascii="宋体" w:hAnsi="宋体" w:eastAsia="宋体" w:cs="宋体"/>
              <w:sz w:val="22"/>
              <w:szCs w:val="22"/>
            </w:rPr>
          </w:pPr>
          <w:bookmarkStart w:id="165" w:name="bookmark225"/>
          <w:bookmarkEnd w:id="165"/>
          <w:r>
            <w:fldChar w:fldCharType="begin"/>
          </w:r>
          <w:r>
            <w:instrText xml:space="preserve"> HYPERLINK \l "bookmark225" </w:instrText>
          </w:r>
          <w:r>
            <w:fldChar w:fldCharType="separate"/>
          </w:r>
          <w:r>
            <w:rPr>
              <w:rFonts w:ascii="微软雅黑" w:hAnsi="微软雅黑" w:eastAsia="微软雅黑" w:cs="微软雅黑"/>
              <w:spacing w:val="-1"/>
              <w:sz w:val="22"/>
              <w:szCs w:val="22"/>
            </w:rPr>
            <w:t>量的数量标准规定等情形，未按规定提出变更申请，继续从事生产的</w:t>
          </w:r>
          <w:r>
            <w:rPr>
              <w:rFonts w:ascii="微软雅黑" w:hAnsi="微软雅黑" w:eastAsia="微软雅黑" w:cs="微软雅黑"/>
              <w:sz w:val="22"/>
              <w:szCs w:val="22"/>
            </w:rPr>
            <w:tab/>
          </w:r>
          <w:r>
            <w:rPr>
              <w:rFonts w:ascii="宋体" w:hAnsi="宋体" w:eastAsia="宋体" w:cs="宋体"/>
              <w:spacing w:val="-9"/>
              <w:sz w:val="22"/>
              <w:szCs w:val="22"/>
            </w:rPr>
            <w:t>133</w:t>
          </w:r>
          <w:r>
            <w:rPr>
              <w:rFonts w:ascii="宋体" w:hAnsi="宋体" w:eastAsia="宋体" w:cs="宋体"/>
              <w:spacing w:val="-9"/>
              <w:sz w:val="22"/>
              <w:szCs w:val="22"/>
            </w:rPr>
            <w:fldChar w:fldCharType="end"/>
          </w:r>
        </w:p>
        <w:p w14:paraId="3A6030DB">
          <w:pPr>
            <w:spacing w:line="411" w:lineRule="exact"/>
            <w:ind w:left="15"/>
            <w:rPr>
              <w:rFonts w:ascii="微软雅黑" w:hAnsi="微软雅黑" w:eastAsia="微软雅黑" w:cs="微软雅黑"/>
              <w:sz w:val="22"/>
              <w:szCs w:val="22"/>
            </w:rPr>
          </w:pPr>
          <w:bookmarkStart w:id="166" w:name="bookmark227"/>
          <w:bookmarkEnd w:id="166"/>
          <w:r>
            <w:rPr>
              <w:rFonts w:ascii="仿宋" w:hAnsi="仿宋" w:eastAsia="仿宋" w:cs="仿宋"/>
              <w:spacing w:val="-2"/>
              <w:position w:val="5"/>
              <w:sz w:val="22"/>
              <w:szCs w:val="22"/>
            </w:rPr>
            <w:t>111</w:t>
          </w:r>
          <w:r>
            <w:rPr>
              <w:rFonts w:ascii="宋体" w:hAnsi="宋体" w:eastAsia="宋体" w:cs="宋体"/>
              <w:spacing w:val="-2"/>
              <w:position w:val="5"/>
              <w:sz w:val="22"/>
              <w:szCs w:val="22"/>
            </w:rPr>
            <w:t>．</w:t>
          </w:r>
          <w:r>
            <w:fldChar w:fldCharType="begin"/>
          </w:r>
          <w:r>
            <w:instrText xml:space="preserve"> HYPERLINK \l "bookmark228" </w:instrText>
          </w:r>
          <w:r>
            <w:fldChar w:fldCharType="separate"/>
          </w:r>
          <w:r>
            <w:rPr>
              <w:rFonts w:ascii="微软雅黑" w:hAnsi="微软雅黑" w:eastAsia="微软雅黑" w:cs="微软雅黑"/>
              <w:spacing w:val="-2"/>
              <w:position w:val="5"/>
              <w:sz w:val="22"/>
              <w:szCs w:val="22"/>
            </w:rPr>
            <w:t>未经安全条件审查或者安全条件审查未通过，新建、改建、</w:t>
          </w:r>
          <w:r>
            <w:rPr>
              <w:rFonts w:ascii="微软雅黑" w:hAnsi="微软雅黑" w:eastAsia="微软雅黑" w:cs="微软雅黑"/>
              <w:spacing w:val="-3"/>
              <w:position w:val="5"/>
              <w:sz w:val="22"/>
              <w:szCs w:val="22"/>
            </w:rPr>
            <w:t>扩建生产、储存危险化学品</w:t>
          </w:r>
          <w:r>
            <w:rPr>
              <w:rFonts w:ascii="微软雅黑" w:hAnsi="微软雅黑" w:eastAsia="微软雅黑" w:cs="微软雅黑"/>
              <w:spacing w:val="-3"/>
              <w:position w:val="5"/>
              <w:sz w:val="22"/>
              <w:szCs w:val="22"/>
            </w:rPr>
            <w:fldChar w:fldCharType="end"/>
          </w:r>
        </w:p>
        <w:p w14:paraId="5BE69A51">
          <w:pPr>
            <w:tabs>
              <w:tab w:val="right" w:leader="dot" w:pos="8822"/>
            </w:tabs>
            <w:spacing w:before="6" w:line="167" w:lineRule="auto"/>
            <w:ind w:left="24"/>
            <w:rPr>
              <w:rFonts w:ascii="宋体" w:hAnsi="宋体" w:eastAsia="宋体" w:cs="宋体"/>
              <w:sz w:val="22"/>
              <w:szCs w:val="22"/>
            </w:rPr>
          </w:pPr>
          <w:bookmarkStart w:id="167" w:name="bookmark227"/>
          <w:bookmarkEnd w:id="167"/>
          <w:r>
            <w:fldChar w:fldCharType="begin"/>
          </w:r>
          <w:r>
            <w:instrText xml:space="preserve"> HYPERLINK \l "bookmark227" </w:instrText>
          </w:r>
          <w:r>
            <w:fldChar w:fldCharType="separate"/>
          </w:r>
          <w:r>
            <w:rPr>
              <w:rFonts w:ascii="微软雅黑" w:hAnsi="微软雅黑" w:eastAsia="微软雅黑" w:cs="微软雅黑"/>
              <w:spacing w:val="-5"/>
              <w:sz w:val="22"/>
              <w:szCs w:val="22"/>
            </w:rPr>
            <w:t>的建设项目的</w:t>
          </w:r>
          <w:r>
            <w:rPr>
              <w:rFonts w:ascii="微软雅黑" w:hAnsi="微软雅黑" w:eastAsia="微软雅黑" w:cs="微软雅黑"/>
              <w:sz w:val="22"/>
              <w:szCs w:val="22"/>
            </w:rPr>
            <w:tab/>
          </w:r>
          <w:r>
            <w:rPr>
              <w:rFonts w:ascii="宋体" w:hAnsi="宋体" w:eastAsia="宋体" w:cs="宋体"/>
              <w:spacing w:val="-9"/>
              <w:sz w:val="22"/>
              <w:szCs w:val="22"/>
            </w:rPr>
            <w:t>134</w:t>
          </w:r>
          <w:r>
            <w:rPr>
              <w:rFonts w:ascii="宋体" w:hAnsi="宋体" w:eastAsia="宋体" w:cs="宋体"/>
              <w:spacing w:val="-9"/>
              <w:sz w:val="22"/>
              <w:szCs w:val="22"/>
            </w:rPr>
            <w:fldChar w:fldCharType="end"/>
          </w:r>
        </w:p>
        <w:p w14:paraId="037A4AE6">
          <w:pPr>
            <w:spacing w:line="411" w:lineRule="exact"/>
            <w:ind w:left="15"/>
            <w:rPr>
              <w:rFonts w:ascii="微软雅黑" w:hAnsi="微软雅黑" w:eastAsia="微软雅黑" w:cs="微软雅黑"/>
              <w:sz w:val="22"/>
              <w:szCs w:val="22"/>
            </w:rPr>
          </w:pPr>
          <w:bookmarkStart w:id="168" w:name="bookmark229"/>
          <w:bookmarkEnd w:id="168"/>
          <w:r>
            <w:rPr>
              <w:rFonts w:ascii="仿宋" w:hAnsi="仿宋" w:eastAsia="仿宋" w:cs="仿宋"/>
              <w:spacing w:val="-2"/>
              <w:position w:val="5"/>
              <w:sz w:val="22"/>
              <w:szCs w:val="22"/>
            </w:rPr>
            <w:t>112</w:t>
          </w:r>
          <w:r>
            <w:rPr>
              <w:rFonts w:ascii="宋体" w:hAnsi="宋体" w:eastAsia="宋体" w:cs="宋体"/>
              <w:spacing w:val="-2"/>
              <w:position w:val="5"/>
              <w:sz w:val="22"/>
              <w:szCs w:val="22"/>
            </w:rPr>
            <w:t>．</w:t>
          </w:r>
          <w:r>
            <w:fldChar w:fldCharType="begin"/>
          </w:r>
          <w:r>
            <w:instrText xml:space="preserve"> HYPERLINK \l "bookmark230" </w:instrText>
          </w:r>
          <w:r>
            <w:fldChar w:fldCharType="separate"/>
          </w:r>
          <w:r>
            <w:rPr>
              <w:rFonts w:ascii="微软雅黑" w:hAnsi="微软雅黑" w:eastAsia="微软雅黑" w:cs="微软雅黑"/>
              <w:spacing w:val="-2"/>
              <w:position w:val="5"/>
              <w:sz w:val="22"/>
              <w:szCs w:val="22"/>
            </w:rPr>
            <w:t>危险化学品单位未按照《危险化学品重大危险源监</w:t>
          </w:r>
          <w:r>
            <w:rPr>
              <w:rFonts w:ascii="微软雅黑" w:hAnsi="微软雅黑" w:eastAsia="微软雅黑" w:cs="微软雅黑"/>
              <w:spacing w:val="-3"/>
              <w:position w:val="5"/>
              <w:sz w:val="22"/>
              <w:szCs w:val="22"/>
            </w:rPr>
            <w:t>督管理暂行规定》要求对重大危险源</w:t>
          </w:r>
          <w:r>
            <w:rPr>
              <w:rFonts w:ascii="微软雅黑" w:hAnsi="微软雅黑" w:eastAsia="微软雅黑" w:cs="微软雅黑"/>
              <w:spacing w:val="-3"/>
              <w:position w:val="5"/>
              <w:sz w:val="22"/>
              <w:szCs w:val="22"/>
            </w:rPr>
            <w:fldChar w:fldCharType="end"/>
          </w:r>
        </w:p>
        <w:p w14:paraId="72158D6D">
          <w:pPr>
            <w:tabs>
              <w:tab w:val="right" w:leader="dot" w:pos="8825"/>
            </w:tabs>
            <w:spacing w:before="5" w:line="168" w:lineRule="auto"/>
            <w:rPr>
              <w:rFonts w:ascii="宋体" w:hAnsi="宋体" w:eastAsia="宋体" w:cs="宋体"/>
              <w:sz w:val="22"/>
              <w:szCs w:val="22"/>
            </w:rPr>
          </w:pPr>
          <w:bookmarkStart w:id="169" w:name="bookmark229"/>
          <w:bookmarkEnd w:id="169"/>
          <w:r>
            <w:fldChar w:fldCharType="begin"/>
          </w:r>
          <w:r>
            <w:instrText xml:space="preserve"> HYPERLINK \l "bookmark229" </w:instrText>
          </w:r>
          <w:r>
            <w:fldChar w:fldCharType="separate"/>
          </w:r>
          <w:r>
            <w:rPr>
              <w:rFonts w:ascii="微软雅黑" w:hAnsi="微软雅黑" w:eastAsia="微软雅黑" w:cs="微软雅黑"/>
              <w:spacing w:val="-1"/>
              <w:sz w:val="22"/>
              <w:szCs w:val="22"/>
            </w:rPr>
            <w:t>进行安全评估或者安全评价的</w:t>
          </w:r>
          <w:r>
            <w:rPr>
              <w:rFonts w:ascii="微软雅黑" w:hAnsi="微软雅黑" w:eastAsia="微软雅黑" w:cs="微软雅黑"/>
              <w:sz w:val="22"/>
              <w:szCs w:val="22"/>
            </w:rPr>
            <w:tab/>
          </w:r>
          <w:r>
            <w:rPr>
              <w:rFonts w:ascii="宋体" w:hAnsi="宋体" w:eastAsia="宋体" w:cs="宋体"/>
              <w:spacing w:val="-9"/>
              <w:sz w:val="22"/>
              <w:szCs w:val="22"/>
            </w:rPr>
            <w:t>136</w:t>
          </w:r>
          <w:r>
            <w:rPr>
              <w:rFonts w:ascii="宋体" w:hAnsi="宋体" w:eastAsia="宋体" w:cs="宋体"/>
              <w:spacing w:val="-9"/>
              <w:sz w:val="22"/>
              <w:szCs w:val="22"/>
            </w:rPr>
            <w:fldChar w:fldCharType="end"/>
          </w:r>
        </w:p>
        <w:p w14:paraId="134CA0F3">
          <w:pPr>
            <w:tabs>
              <w:tab w:val="right" w:leader="dot" w:pos="8832"/>
            </w:tabs>
            <w:spacing w:line="216" w:lineRule="auto"/>
            <w:ind w:left="15"/>
            <w:rPr>
              <w:rFonts w:ascii="宋体" w:hAnsi="宋体" w:eastAsia="宋体" w:cs="宋体"/>
              <w:sz w:val="22"/>
              <w:szCs w:val="22"/>
            </w:rPr>
          </w:pPr>
          <w:bookmarkStart w:id="170" w:name="bookmark231"/>
          <w:bookmarkEnd w:id="170"/>
          <w:r>
            <w:rPr>
              <w:rFonts w:ascii="仿宋" w:hAnsi="仿宋" w:eastAsia="仿宋" w:cs="仿宋"/>
              <w:spacing w:val="-1"/>
              <w:sz w:val="22"/>
              <w:szCs w:val="22"/>
            </w:rPr>
            <w:t>113</w:t>
          </w:r>
          <w:r>
            <w:rPr>
              <w:rFonts w:ascii="宋体" w:hAnsi="宋体" w:eastAsia="宋体" w:cs="宋体"/>
              <w:spacing w:val="-1"/>
              <w:sz w:val="22"/>
              <w:szCs w:val="22"/>
            </w:rPr>
            <w:t>．</w:t>
          </w:r>
          <w:r>
            <w:fldChar w:fldCharType="begin"/>
          </w:r>
          <w:r>
            <w:instrText xml:space="preserve"> HYPERLINK \l "bookmark232" </w:instrText>
          </w:r>
          <w:r>
            <w:fldChar w:fldCharType="separate"/>
          </w:r>
          <w:r>
            <w:rPr>
              <w:rFonts w:ascii="微软雅黑" w:hAnsi="微软雅黑" w:eastAsia="微软雅黑" w:cs="微软雅黑"/>
              <w:spacing w:val="-1"/>
              <w:sz w:val="22"/>
              <w:szCs w:val="22"/>
            </w:rPr>
            <w:t>危险化学品单位未在构成重大危险源的场所设置明显的安全警示标志的</w:t>
          </w:r>
          <w:r>
            <w:rPr>
              <w:rFonts w:ascii="微软雅黑" w:hAnsi="微软雅黑" w:eastAsia="微软雅黑" w:cs="微软雅黑"/>
              <w:sz w:val="22"/>
              <w:szCs w:val="22"/>
            </w:rPr>
            <w:tab/>
          </w:r>
          <w:r>
            <w:rPr>
              <w:rFonts w:ascii="宋体" w:hAnsi="宋体" w:eastAsia="宋体" w:cs="宋体"/>
              <w:spacing w:val="-9"/>
              <w:sz w:val="22"/>
              <w:szCs w:val="22"/>
            </w:rPr>
            <w:t>137</w:t>
          </w:r>
          <w:r>
            <w:rPr>
              <w:rFonts w:ascii="宋体" w:hAnsi="宋体" w:eastAsia="宋体" w:cs="宋体"/>
              <w:spacing w:val="-9"/>
              <w:sz w:val="22"/>
              <w:szCs w:val="22"/>
            </w:rPr>
            <w:fldChar w:fldCharType="end"/>
          </w:r>
        </w:p>
        <w:p w14:paraId="3836431C">
          <w:pPr>
            <w:tabs>
              <w:tab w:val="right" w:leader="dot" w:pos="8832"/>
            </w:tabs>
            <w:spacing w:before="1" w:line="216" w:lineRule="auto"/>
            <w:ind w:left="15"/>
            <w:rPr>
              <w:rFonts w:ascii="宋体" w:hAnsi="宋体" w:eastAsia="宋体" w:cs="宋体"/>
              <w:sz w:val="22"/>
              <w:szCs w:val="22"/>
            </w:rPr>
          </w:pPr>
          <w:bookmarkStart w:id="171" w:name="bookmark233"/>
          <w:bookmarkEnd w:id="171"/>
          <w:r>
            <w:rPr>
              <w:rFonts w:ascii="仿宋" w:hAnsi="仿宋" w:eastAsia="仿宋" w:cs="仿宋"/>
              <w:spacing w:val="-1"/>
              <w:sz w:val="22"/>
              <w:szCs w:val="22"/>
            </w:rPr>
            <w:t>114</w:t>
          </w:r>
          <w:r>
            <w:rPr>
              <w:rFonts w:ascii="宋体" w:hAnsi="宋体" w:eastAsia="宋体" w:cs="宋体"/>
              <w:spacing w:val="-1"/>
              <w:sz w:val="22"/>
              <w:szCs w:val="22"/>
            </w:rPr>
            <w:t>．</w:t>
          </w:r>
          <w:r>
            <w:fldChar w:fldCharType="begin"/>
          </w:r>
          <w:r>
            <w:instrText xml:space="preserve"> HYPERLINK \l "bookmark234" </w:instrText>
          </w:r>
          <w:r>
            <w:fldChar w:fldCharType="separate"/>
          </w:r>
          <w:r>
            <w:rPr>
              <w:rFonts w:ascii="微软雅黑" w:hAnsi="微软雅黑" w:eastAsia="微软雅黑" w:cs="微软雅黑"/>
              <w:spacing w:val="-1"/>
              <w:sz w:val="22"/>
              <w:szCs w:val="22"/>
            </w:rPr>
            <w:t>危险化学品单位未对重大危险源中的设备、设施等进行定期检测、检验的</w:t>
          </w:r>
          <w:r>
            <w:rPr>
              <w:rFonts w:ascii="微软雅黑" w:hAnsi="微软雅黑" w:eastAsia="微软雅黑" w:cs="微软雅黑"/>
              <w:sz w:val="22"/>
              <w:szCs w:val="22"/>
            </w:rPr>
            <w:tab/>
          </w:r>
          <w:r>
            <w:rPr>
              <w:rFonts w:ascii="宋体" w:hAnsi="宋体" w:eastAsia="宋体" w:cs="宋体"/>
              <w:spacing w:val="-9"/>
              <w:sz w:val="22"/>
              <w:szCs w:val="22"/>
            </w:rPr>
            <w:t>138</w:t>
          </w:r>
          <w:r>
            <w:rPr>
              <w:rFonts w:ascii="宋体" w:hAnsi="宋体" w:eastAsia="宋体" w:cs="宋体"/>
              <w:spacing w:val="-9"/>
              <w:sz w:val="22"/>
              <w:szCs w:val="22"/>
            </w:rPr>
            <w:fldChar w:fldCharType="end"/>
          </w:r>
        </w:p>
        <w:p w14:paraId="448D7CA4">
          <w:pPr>
            <w:tabs>
              <w:tab w:val="right" w:leader="dot" w:pos="8829"/>
            </w:tabs>
            <w:spacing w:line="216" w:lineRule="auto"/>
            <w:ind w:left="15"/>
            <w:rPr>
              <w:rFonts w:ascii="宋体" w:hAnsi="宋体" w:eastAsia="宋体" w:cs="宋体"/>
              <w:sz w:val="22"/>
              <w:szCs w:val="22"/>
            </w:rPr>
          </w:pPr>
          <w:bookmarkStart w:id="172" w:name="bookmark235"/>
          <w:bookmarkEnd w:id="172"/>
          <w:r>
            <w:rPr>
              <w:rFonts w:ascii="仿宋" w:hAnsi="仿宋" w:eastAsia="仿宋" w:cs="仿宋"/>
              <w:spacing w:val="-1"/>
              <w:sz w:val="22"/>
              <w:szCs w:val="22"/>
            </w:rPr>
            <w:t>115</w:t>
          </w:r>
          <w:r>
            <w:rPr>
              <w:rFonts w:ascii="宋体" w:hAnsi="宋体" w:eastAsia="宋体" w:cs="宋体"/>
              <w:spacing w:val="-1"/>
              <w:sz w:val="22"/>
              <w:szCs w:val="22"/>
            </w:rPr>
            <w:t>．</w:t>
          </w:r>
          <w:r>
            <w:fldChar w:fldCharType="begin"/>
          </w:r>
          <w:r>
            <w:instrText xml:space="preserve"> HYPERLINK \l "bookmark236" </w:instrText>
          </w:r>
          <w:r>
            <w:fldChar w:fldCharType="separate"/>
          </w:r>
          <w:r>
            <w:rPr>
              <w:rFonts w:ascii="微软雅黑" w:hAnsi="微软雅黑" w:eastAsia="微软雅黑" w:cs="微软雅黑"/>
              <w:spacing w:val="-1"/>
              <w:sz w:val="22"/>
              <w:szCs w:val="22"/>
            </w:rPr>
            <w:t>危险化学品单位未按照标准对重大危险源进行辨识的</w:t>
          </w:r>
          <w:r>
            <w:rPr>
              <w:rFonts w:ascii="微软雅黑" w:hAnsi="微软雅黑" w:eastAsia="微软雅黑" w:cs="微软雅黑"/>
              <w:sz w:val="22"/>
              <w:szCs w:val="22"/>
            </w:rPr>
            <w:tab/>
          </w:r>
          <w:r>
            <w:rPr>
              <w:rFonts w:ascii="宋体" w:hAnsi="宋体" w:eastAsia="宋体" w:cs="宋体"/>
              <w:spacing w:val="-9"/>
              <w:sz w:val="22"/>
              <w:szCs w:val="22"/>
            </w:rPr>
            <w:t>139</w:t>
          </w:r>
          <w:r>
            <w:rPr>
              <w:rFonts w:ascii="宋体" w:hAnsi="宋体" w:eastAsia="宋体" w:cs="宋体"/>
              <w:spacing w:val="-9"/>
              <w:sz w:val="22"/>
              <w:szCs w:val="22"/>
            </w:rPr>
            <w:fldChar w:fldCharType="end"/>
          </w:r>
        </w:p>
        <w:p w14:paraId="3CA8C324">
          <w:pPr>
            <w:spacing w:line="411" w:lineRule="exact"/>
            <w:ind w:left="15"/>
            <w:rPr>
              <w:rFonts w:ascii="微软雅黑" w:hAnsi="微软雅黑" w:eastAsia="微软雅黑" w:cs="微软雅黑"/>
              <w:sz w:val="22"/>
              <w:szCs w:val="22"/>
            </w:rPr>
          </w:pPr>
          <w:bookmarkStart w:id="173" w:name="bookmark237"/>
          <w:bookmarkEnd w:id="173"/>
          <w:r>
            <w:rPr>
              <w:rFonts w:ascii="仿宋" w:hAnsi="仿宋" w:eastAsia="仿宋" w:cs="仿宋"/>
              <w:spacing w:val="-2"/>
              <w:position w:val="5"/>
              <w:sz w:val="22"/>
              <w:szCs w:val="22"/>
            </w:rPr>
            <w:t>116</w:t>
          </w:r>
          <w:r>
            <w:rPr>
              <w:rFonts w:ascii="宋体" w:hAnsi="宋体" w:eastAsia="宋体" w:cs="宋体"/>
              <w:spacing w:val="-2"/>
              <w:position w:val="5"/>
              <w:sz w:val="22"/>
              <w:szCs w:val="22"/>
            </w:rPr>
            <w:t>．</w:t>
          </w:r>
          <w:r>
            <w:fldChar w:fldCharType="begin"/>
          </w:r>
          <w:r>
            <w:instrText xml:space="preserve"> HYPERLINK \l "bookmark238" </w:instrText>
          </w:r>
          <w:r>
            <w:fldChar w:fldCharType="separate"/>
          </w:r>
          <w:r>
            <w:rPr>
              <w:rFonts w:ascii="微软雅黑" w:hAnsi="微软雅黑" w:eastAsia="微软雅黑" w:cs="微软雅黑"/>
              <w:spacing w:val="-2"/>
              <w:position w:val="5"/>
              <w:sz w:val="22"/>
              <w:szCs w:val="22"/>
            </w:rPr>
            <w:t>危险化学品单位未按规定明确重大危险源中关键装</w:t>
          </w:r>
          <w:r>
            <w:rPr>
              <w:rFonts w:ascii="微软雅黑" w:hAnsi="微软雅黑" w:eastAsia="微软雅黑" w:cs="微软雅黑"/>
              <w:spacing w:val="-3"/>
              <w:position w:val="5"/>
              <w:sz w:val="22"/>
              <w:szCs w:val="22"/>
            </w:rPr>
            <w:t>置、重点部位的责任人或者责任机构</w:t>
          </w:r>
          <w:r>
            <w:rPr>
              <w:rFonts w:ascii="微软雅黑" w:hAnsi="微软雅黑" w:eastAsia="微软雅黑" w:cs="微软雅黑"/>
              <w:spacing w:val="-3"/>
              <w:position w:val="5"/>
              <w:sz w:val="22"/>
              <w:szCs w:val="22"/>
            </w:rPr>
            <w:fldChar w:fldCharType="end"/>
          </w:r>
        </w:p>
        <w:p w14:paraId="2DD5BC50">
          <w:pPr>
            <w:tabs>
              <w:tab w:val="right" w:leader="dot" w:pos="8820"/>
            </w:tabs>
            <w:spacing w:before="6" w:line="167" w:lineRule="auto"/>
            <w:ind w:left="24"/>
            <w:rPr>
              <w:rFonts w:ascii="宋体" w:hAnsi="宋体" w:eastAsia="宋体" w:cs="宋体"/>
              <w:sz w:val="22"/>
              <w:szCs w:val="22"/>
            </w:rPr>
          </w:pPr>
          <w:bookmarkStart w:id="174" w:name="bookmark237"/>
          <w:bookmarkEnd w:id="174"/>
          <w:r>
            <w:fldChar w:fldCharType="begin"/>
          </w:r>
          <w:r>
            <w:instrText xml:space="preserve"> HYPERLINK \l "bookmark237" </w:instrText>
          </w:r>
          <w:r>
            <w:fldChar w:fldCharType="separate"/>
          </w:r>
          <w:r>
            <w:rPr>
              <w:rFonts w:ascii="微软雅黑" w:hAnsi="微软雅黑" w:eastAsia="微软雅黑" w:cs="微软雅黑"/>
              <w:spacing w:val="-21"/>
              <w:w w:val="94"/>
              <w:sz w:val="22"/>
              <w:szCs w:val="22"/>
            </w:rPr>
            <w:t>的</w:t>
          </w:r>
          <w:r>
            <w:rPr>
              <w:rFonts w:ascii="微软雅黑" w:hAnsi="微软雅黑" w:eastAsia="微软雅黑" w:cs="微软雅黑"/>
              <w:sz w:val="22"/>
              <w:szCs w:val="22"/>
            </w:rPr>
            <w:tab/>
          </w:r>
          <w:r>
            <w:rPr>
              <w:rFonts w:ascii="宋体" w:hAnsi="宋体" w:eastAsia="宋体" w:cs="宋体"/>
              <w:spacing w:val="-9"/>
              <w:sz w:val="22"/>
              <w:szCs w:val="22"/>
            </w:rPr>
            <w:t>140</w:t>
          </w:r>
          <w:r>
            <w:rPr>
              <w:rFonts w:ascii="宋体" w:hAnsi="宋体" w:eastAsia="宋体" w:cs="宋体"/>
              <w:spacing w:val="-9"/>
              <w:sz w:val="22"/>
              <w:szCs w:val="22"/>
            </w:rPr>
            <w:fldChar w:fldCharType="end"/>
          </w:r>
        </w:p>
        <w:p w14:paraId="12429214">
          <w:pPr>
            <w:tabs>
              <w:tab w:val="right" w:leader="dot" w:pos="8830"/>
            </w:tabs>
            <w:spacing w:before="1" w:line="216" w:lineRule="auto"/>
            <w:ind w:left="15"/>
            <w:rPr>
              <w:rFonts w:ascii="宋体" w:hAnsi="宋体" w:eastAsia="宋体" w:cs="宋体"/>
              <w:sz w:val="22"/>
              <w:szCs w:val="22"/>
            </w:rPr>
          </w:pPr>
          <w:bookmarkStart w:id="175" w:name="bookmark239"/>
          <w:bookmarkEnd w:id="175"/>
          <w:r>
            <w:rPr>
              <w:rFonts w:ascii="仿宋" w:hAnsi="仿宋" w:eastAsia="仿宋" w:cs="仿宋"/>
              <w:spacing w:val="-1"/>
              <w:sz w:val="22"/>
              <w:szCs w:val="22"/>
            </w:rPr>
            <w:t>117</w:t>
          </w:r>
          <w:r>
            <w:rPr>
              <w:rFonts w:ascii="宋体" w:hAnsi="宋体" w:eastAsia="宋体" w:cs="宋体"/>
              <w:spacing w:val="-1"/>
              <w:sz w:val="22"/>
              <w:szCs w:val="22"/>
            </w:rPr>
            <w:t>．</w:t>
          </w:r>
          <w:r>
            <w:fldChar w:fldCharType="begin"/>
          </w:r>
          <w:r>
            <w:instrText xml:space="preserve"> HYPERLINK \l "bookmark240" </w:instrText>
          </w:r>
          <w:r>
            <w:fldChar w:fldCharType="separate"/>
          </w:r>
          <w:r>
            <w:rPr>
              <w:rFonts w:ascii="微软雅黑" w:hAnsi="微软雅黑" w:eastAsia="微软雅黑" w:cs="微软雅黑"/>
              <w:spacing w:val="-1"/>
              <w:sz w:val="22"/>
              <w:szCs w:val="22"/>
            </w:rPr>
            <w:t>危险化学品单位未按规定进行重大危险源备案或者核销的</w:t>
          </w:r>
          <w:r>
            <w:rPr>
              <w:rFonts w:ascii="微软雅黑" w:hAnsi="微软雅黑" w:eastAsia="微软雅黑" w:cs="微软雅黑"/>
              <w:sz w:val="22"/>
              <w:szCs w:val="22"/>
            </w:rPr>
            <w:tab/>
          </w:r>
          <w:r>
            <w:rPr>
              <w:rFonts w:ascii="宋体" w:hAnsi="宋体" w:eastAsia="宋体" w:cs="宋体"/>
              <w:spacing w:val="-9"/>
              <w:sz w:val="22"/>
              <w:szCs w:val="22"/>
            </w:rPr>
            <w:t>140</w:t>
          </w:r>
          <w:r>
            <w:rPr>
              <w:rFonts w:ascii="宋体" w:hAnsi="宋体" w:eastAsia="宋体" w:cs="宋体"/>
              <w:spacing w:val="-9"/>
              <w:sz w:val="22"/>
              <w:szCs w:val="22"/>
            </w:rPr>
            <w:fldChar w:fldCharType="end"/>
          </w:r>
        </w:p>
        <w:p w14:paraId="433E1D4C">
          <w:pPr>
            <w:spacing w:line="410" w:lineRule="exact"/>
            <w:ind w:left="15"/>
            <w:rPr>
              <w:rFonts w:ascii="微软雅黑" w:hAnsi="微软雅黑" w:eastAsia="微软雅黑" w:cs="微软雅黑"/>
              <w:sz w:val="22"/>
              <w:szCs w:val="22"/>
            </w:rPr>
          </w:pPr>
          <w:bookmarkStart w:id="176" w:name="bookmark241"/>
          <w:bookmarkEnd w:id="176"/>
          <w:r>
            <w:rPr>
              <w:rFonts w:ascii="仿宋" w:hAnsi="仿宋" w:eastAsia="仿宋" w:cs="仿宋"/>
              <w:spacing w:val="-2"/>
              <w:position w:val="5"/>
              <w:sz w:val="22"/>
              <w:szCs w:val="22"/>
            </w:rPr>
            <w:t>118</w:t>
          </w:r>
          <w:r>
            <w:rPr>
              <w:rFonts w:ascii="宋体" w:hAnsi="宋体" w:eastAsia="宋体" w:cs="宋体"/>
              <w:spacing w:val="-2"/>
              <w:position w:val="5"/>
              <w:sz w:val="22"/>
              <w:szCs w:val="22"/>
            </w:rPr>
            <w:t>．</w:t>
          </w:r>
          <w:r>
            <w:fldChar w:fldCharType="begin"/>
          </w:r>
          <w:r>
            <w:instrText xml:space="preserve"> HYPERLINK \l "bookmark242" </w:instrText>
          </w:r>
          <w:r>
            <w:fldChar w:fldCharType="separate"/>
          </w:r>
          <w:r>
            <w:rPr>
              <w:rFonts w:ascii="微软雅黑" w:hAnsi="微软雅黑" w:eastAsia="微软雅黑" w:cs="微软雅黑"/>
              <w:spacing w:val="-2"/>
              <w:position w:val="5"/>
              <w:sz w:val="22"/>
              <w:szCs w:val="22"/>
            </w:rPr>
            <w:t>危险化学品单位未按规定建立应急救援组织或者配</w:t>
          </w:r>
          <w:r>
            <w:rPr>
              <w:rFonts w:ascii="微软雅黑" w:hAnsi="微软雅黑" w:eastAsia="微软雅黑" w:cs="微软雅黑"/>
              <w:spacing w:val="-3"/>
              <w:position w:val="5"/>
              <w:sz w:val="22"/>
              <w:szCs w:val="22"/>
            </w:rPr>
            <w:t>备应急救援人员，以及配备必要的防</w:t>
          </w:r>
          <w:r>
            <w:rPr>
              <w:rFonts w:ascii="微软雅黑" w:hAnsi="微软雅黑" w:eastAsia="微软雅黑" w:cs="微软雅黑"/>
              <w:spacing w:val="-3"/>
              <w:position w:val="5"/>
              <w:sz w:val="22"/>
              <w:szCs w:val="22"/>
            </w:rPr>
            <w:fldChar w:fldCharType="end"/>
          </w:r>
        </w:p>
        <w:p w14:paraId="224D0C97">
          <w:pPr>
            <w:tabs>
              <w:tab w:val="right" w:leader="dot" w:pos="8827"/>
            </w:tabs>
            <w:spacing w:before="7" w:line="167" w:lineRule="auto"/>
            <w:ind w:left="10"/>
            <w:rPr>
              <w:rFonts w:ascii="宋体" w:hAnsi="宋体" w:eastAsia="宋体" w:cs="宋体"/>
              <w:sz w:val="22"/>
              <w:szCs w:val="22"/>
            </w:rPr>
          </w:pPr>
          <w:bookmarkStart w:id="177" w:name="bookmark241"/>
          <w:bookmarkEnd w:id="177"/>
          <w:r>
            <w:fldChar w:fldCharType="begin"/>
          </w:r>
          <w:r>
            <w:instrText xml:space="preserve"> HYPERLINK \l "bookmark241" </w:instrText>
          </w:r>
          <w:r>
            <w:fldChar w:fldCharType="separate"/>
          </w:r>
          <w:r>
            <w:rPr>
              <w:rFonts w:ascii="微软雅黑" w:hAnsi="微软雅黑" w:eastAsia="微软雅黑" w:cs="微软雅黑"/>
              <w:spacing w:val="-1"/>
              <w:sz w:val="22"/>
              <w:szCs w:val="22"/>
            </w:rPr>
            <w:t>护装备及器材、设备、物资，并保障其完好的</w:t>
          </w:r>
          <w:r>
            <w:rPr>
              <w:rFonts w:ascii="微软雅黑" w:hAnsi="微软雅黑" w:eastAsia="微软雅黑" w:cs="微软雅黑"/>
              <w:sz w:val="22"/>
              <w:szCs w:val="22"/>
            </w:rPr>
            <w:tab/>
          </w:r>
          <w:r>
            <w:rPr>
              <w:rFonts w:ascii="宋体" w:hAnsi="宋体" w:eastAsia="宋体" w:cs="宋体"/>
              <w:spacing w:val="-9"/>
              <w:sz w:val="22"/>
              <w:szCs w:val="22"/>
            </w:rPr>
            <w:t>142</w:t>
          </w:r>
          <w:r>
            <w:rPr>
              <w:rFonts w:ascii="宋体" w:hAnsi="宋体" w:eastAsia="宋体" w:cs="宋体"/>
              <w:spacing w:val="-9"/>
              <w:sz w:val="22"/>
              <w:szCs w:val="22"/>
            </w:rPr>
            <w:fldChar w:fldCharType="end"/>
          </w:r>
        </w:p>
        <w:p w14:paraId="1F88294A">
          <w:pPr>
            <w:spacing w:line="410" w:lineRule="exact"/>
            <w:ind w:left="15"/>
            <w:rPr>
              <w:rFonts w:ascii="微软雅黑" w:hAnsi="微软雅黑" w:eastAsia="微软雅黑" w:cs="微软雅黑"/>
              <w:sz w:val="22"/>
              <w:szCs w:val="22"/>
            </w:rPr>
          </w:pPr>
          <w:bookmarkStart w:id="178" w:name="bookmark243"/>
          <w:bookmarkEnd w:id="178"/>
          <w:r>
            <w:rPr>
              <w:rFonts w:ascii="仿宋" w:hAnsi="仿宋" w:eastAsia="仿宋" w:cs="仿宋"/>
              <w:spacing w:val="-2"/>
              <w:position w:val="5"/>
              <w:sz w:val="22"/>
              <w:szCs w:val="22"/>
            </w:rPr>
            <w:t>119</w:t>
          </w:r>
          <w:r>
            <w:rPr>
              <w:rFonts w:ascii="宋体" w:hAnsi="宋体" w:eastAsia="宋体" w:cs="宋体"/>
              <w:spacing w:val="-2"/>
              <w:position w:val="5"/>
              <w:sz w:val="22"/>
              <w:szCs w:val="22"/>
            </w:rPr>
            <w:t>．</w:t>
          </w:r>
          <w:r>
            <w:fldChar w:fldCharType="begin"/>
          </w:r>
          <w:r>
            <w:instrText xml:space="preserve"> HYPERLINK \l "bookmark244" </w:instrText>
          </w:r>
          <w:r>
            <w:fldChar w:fldCharType="separate"/>
          </w:r>
          <w:r>
            <w:rPr>
              <w:rFonts w:ascii="微软雅黑" w:hAnsi="微软雅黑" w:eastAsia="微软雅黑" w:cs="微软雅黑"/>
              <w:spacing w:val="-2"/>
              <w:position w:val="5"/>
              <w:sz w:val="22"/>
              <w:szCs w:val="22"/>
            </w:rPr>
            <w:t>危险化学品单位未将重大危险源可能引发的事故后</w:t>
          </w:r>
          <w:r>
            <w:rPr>
              <w:rFonts w:ascii="微软雅黑" w:hAnsi="微软雅黑" w:eastAsia="微软雅黑" w:cs="微软雅黑"/>
              <w:spacing w:val="-3"/>
              <w:position w:val="5"/>
              <w:sz w:val="22"/>
              <w:szCs w:val="22"/>
            </w:rPr>
            <w:t>果、应急措施等信息告知可能受影响</w:t>
          </w:r>
          <w:r>
            <w:rPr>
              <w:rFonts w:ascii="微软雅黑" w:hAnsi="微软雅黑" w:eastAsia="微软雅黑" w:cs="微软雅黑"/>
              <w:spacing w:val="-3"/>
              <w:position w:val="5"/>
              <w:sz w:val="22"/>
              <w:szCs w:val="22"/>
            </w:rPr>
            <w:fldChar w:fldCharType="end"/>
          </w:r>
        </w:p>
        <w:p w14:paraId="4284E056">
          <w:pPr>
            <w:tabs>
              <w:tab w:val="right" w:leader="dot" w:pos="8824"/>
            </w:tabs>
            <w:spacing w:before="7" w:line="167" w:lineRule="auto"/>
            <w:ind w:left="24"/>
            <w:rPr>
              <w:rFonts w:ascii="宋体" w:hAnsi="宋体" w:eastAsia="宋体" w:cs="宋体"/>
              <w:sz w:val="22"/>
              <w:szCs w:val="22"/>
            </w:rPr>
          </w:pPr>
          <w:bookmarkStart w:id="179" w:name="bookmark243"/>
          <w:bookmarkEnd w:id="179"/>
          <w:r>
            <w:fldChar w:fldCharType="begin"/>
          </w:r>
          <w:r>
            <w:instrText xml:space="preserve"> HYPERLINK \l "bookmark243" </w:instrText>
          </w:r>
          <w:r>
            <w:fldChar w:fldCharType="separate"/>
          </w:r>
          <w:r>
            <w:rPr>
              <w:rFonts w:ascii="微软雅黑" w:hAnsi="微软雅黑" w:eastAsia="微软雅黑" w:cs="微软雅黑"/>
              <w:spacing w:val="-3"/>
              <w:sz w:val="22"/>
              <w:szCs w:val="22"/>
            </w:rPr>
            <w:t>的单位、区域及人员的</w:t>
          </w:r>
          <w:r>
            <w:rPr>
              <w:rFonts w:ascii="微软雅黑" w:hAnsi="微软雅黑" w:eastAsia="微软雅黑" w:cs="微软雅黑"/>
              <w:sz w:val="22"/>
              <w:szCs w:val="22"/>
            </w:rPr>
            <w:tab/>
          </w:r>
          <w:r>
            <w:rPr>
              <w:rFonts w:ascii="宋体" w:hAnsi="宋体" w:eastAsia="宋体" w:cs="宋体"/>
              <w:spacing w:val="-9"/>
              <w:sz w:val="22"/>
              <w:szCs w:val="22"/>
            </w:rPr>
            <w:t>143</w:t>
          </w:r>
          <w:r>
            <w:rPr>
              <w:rFonts w:ascii="宋体" w:hAnsi="宋体" w:eastAsia="宋体" w:cs="宋体"/>
              <w:spacing w:val="-9"/>
              <w:sz w:val="22"/>
              <w:szCs w:val="22"/>
            </w:rPr>
            <w:fldChar w:fldCharType="end"/>
          </w:r>
        </w:p>
        <w:p w14:paraId="1DE2BE37">
          <w:pPr>
            <w:spacing w:line="410" w:lineRule="exact"/>
            <w:ind w:left="15"/>
            <w:rPr>
              <w:rFonts w:ascii="微软雅黑" w:hAnsi="微软雅黑" w:eastAsia="微软雅黑" w:cs="微软雅黑"/>
              <w:sz w:val="22"/>
              <w:szCs w:val="22"/>
            </w:rPr>
          </w:pPr>
          <w:bookmarkStart w:id="180" w:name="bookmark245"/>
          <w:bookmarkEnd w:id="180"/>
          <w:r>
            <w:rPr>
              <w:rFonts w:ascii="仿宋" w:hAnsi="仿宋" w:eastAsia="仿宋" w:cs="仿宋"/>
              <w:spacing w:val="-2"/>
              <w:position w:val="5"/>
              <w:sz w:val="22"/>
              <w:szCs w:val="22"/>
            </w:rPr>
            <w:t>120</w:t>
          </w:r>
          <w:r>
            <w:rPr>
              <w:rFonts w:ascii="宋体" w:hAnsi="宋体" w:eastAsia="宋体" w:cs="宋体"/>
              <w:spacing w:val="-2"/>
              <w:position w:val="5"/>
              <w:sz w:val="22"/>
              <w:szCs w:val="22"/>
            </w:rPr>
            <w:t>．</w:t>
          </w:r>
          <w:r>
            <w:fldChar w:fldCharType="begin"/>
          </w:r>
          <w:r>
            <w:instrText xml:space="preserve"> HYPERLINK \l "bookmark246" </w:instrText>
          </w:r>
          <w:r>
            <w:fldChar w:fldCharType="separate"/>
          </w:r>
          <w:r>
            <w:rPr>
              <w:rFonts w:ascii="微软雅黑" w:hAnsi="微软雅黑" w:eastAsia="微软雅黑" w:cs="微软雅黑"/>
              <w:spacing w:val="-2"/>
              <w:position w:val="5"/>
              <w:sz w:val="22"/>
              <w:szCs w:val="22"/>
            </w:rPr>
            <w:t>生产、储存、使用危险化学品的单位，危险化学品的储存方</w:t>
          </w:r>
          <w:r>
            <w:rPr>
              <w:rFonts w:ascii="微软雅黑" w:hAnsi="微软雅黑" w:eastAsia="微软雅黑" w:cs="微软雅黑"/>
              <w:spacing w:val="-3"/>
              <w:position w:val="5"/>
              <w:sz w:val="22"/>
              <w:szCs w:val="22"/>
            </w:rPr>
            <w:t>式、方法或者储存数量不符</w:t>
          </w:r>
          <w:r>
            <w:rPr>
              <w:rFonts w:ascii="微软雅黑" w:hAnsi="微软雅黑" w:eastAsia="微软雅黑" w:cs="微软雅黑"/>
              <w:spacing w:val="-3"/>
              <w:position w:val="5"/>
              <w:sz w:val="22"/>
              <w:szCs w:val="22"/>
            </w:rPr>
            <w:fldChar w:fldCharType="end"/>
          </w:r>
        </w:p>
        <w:p w14:paraId="14F74094">
          <w:pPr>
            <w:tabs>
              <w:tab w:val="right" w:leader="dot" w:pos="8822"/>
            </w:tabs>
            <w:spacing w:before="6" w:line="168" w:lineRule="auto"/>
            <w:ind w:left="4"/>
            <w:rPr>
              <w:rFonts w:ascii="宋体" w:hAnsi="宋体" w:eastAsia="宋体" w:cs="宋体"/>
              <w:sz w:val="22"/>
              <w:szCs w:val="22"/>
            </w:rPr>
          </w:pPr>
          <w:bookmarkStart w:id="181" w:name="bookmark245"/>
          <w:bookmarkEnd w:id="181"/>
          <w:r>
            <w:fldChar w:fldCharType="begin"/>
          </w:r>
          <w:r>
            <w:instrText xml:space="preserve"> HYPERLINK \l "bookmark245" </w:instrText>
          </w:r>
          <w:r>
            <w:fldChar w:fldCharType="separate"/>
          </w:r>
          <w:r>
            <w:rPr>
              <w:rFonts w:ascii="微软雅黑" w:hAnsi="微软雅黑" w:eastAsia="微软雅黑" w:cs="微软雅黑"/>
              <w:spacing w:val="-2"/>
              <w:sz w:val="22"/>
              <w:szCs w:val="22"/>
            </w:rPr>
            <w:t>合规定的</w:t>
          </w:r>
          <w:r>
            <w:rPr>
              <w:rFonts w:ascii="微软雅黑" w:hAnsi="微软雅黑" w:eastAsia="微软雅黑" w:cs="微软雅黑"/>
              <w:sz w:val="22"/>
              <w:szCs w:val="22"/>
            </w:rPr>
            <w:tab/>
          </w:r>
          <w:r>
            <w:rPr>
              <w:rFonts w:ascii="宋体" w:hAnsi="宋体" w:eastAsia="宋体" w:cs="宋体"/>
              <w:spacing w:val="-9"/>
              <w:sz w:val="22"/>
              <w:szCs w:val="22"/>
            </w:rPr>
            <w:t>144</w:t>
          </w:r>
          <w:r>
            <w:rPr>
              <w:rFonts w:ascii="宋体" w:hAnsi="宋体" w:eastAsia="宋体" w:cs="宋体"/>
              <w:spacing w:val="-9"/>
              <w:sz w:val="22"/>
              <w:szCs w:val="22"/>
            </w:rPr>
            <w:fldChar w:fldCharType="end"/>
          </w:r>
        </w:p>
        <w:p w14:paraId="6B503DD5">
          <w:pPr>
            <w:spacing w:line="403" w:lineRule="exact"/>
            <w:ind w:left="15"/>
            <w:rPr>
              <w:rFonts w:ascii="微软雅黑" w:hAnsi="微软雅黑" w:eastAsia="微软雅黑" w:cs="微软雅黑"/>
              <w:sz w:val="22"/>
              <w:szCs w:val="22"/>
            </w:rPr>
          </w:pPr>
          <w:bookmarkStart w:id="182" w:name="bookmark247"/>
          <w:bookmarkEnd w:id="182"/>
          <w:r>
            <w:rPr>
              <w:rFonts w:ascii="仿宋" w:hAnsi="仿宋" w:eastAsia="仿宋" w:cs="仿宋"/>
              <w:spacing w:val="-2"/>
              <w:position w:val="5"/>
              <w:sz w:val="22"/>
              <w:szCs w:val="22"/>
            </w:rPr>
            <w:t>121</w:t>
          </w:r>
          <w:r>
            <w:rPr>
              <w:rFonts w:ascii="宋体" w:hAnsi="宋体" w:eastAsia="宋体" w:cs="宋体"/>
              <w:spacing w:val="-2"/>
              <w:position w:val="5"/>
              <w:sz w:val="22"/>
              <w:szCs w:val="22"/>
            </w:rPr>
            <w:t>．</w:t>
          </w:r>
          <w:r>
            <w:fldChar w:fldCharType="begin"/>
          </w:r>
          <w:r>
            <w:instrText xml:space="preserve"> HYPERLINK \l "bookmark248" </w:instrText>
          </w:r>
          <w:r>
            <w:fldChar w:fldCharType="separate"/>
          </w:r>
          <w:r>
            <w:rPr>
              <w:rFonts w:ascii="微软雅黑" w:hAnsi="微软雅黑" w:eastAsia="微软雅黑" w:cs="微软雅黑"/>
              <w:spacing w:val="-2"/>
              <w:position w:val="5"/>
              <w:sz w:val="22"/>
              <w:szCs w:val="22"/>
            </w:rPr>
            <w:t>危险化学品生产企业未提供化学品安全技术说明</w:t>
          </w:r>
          <w:r>
            <w:rPr>
              <w:rFonts w:ascii="微软雅黑" w:hAnsi="微软雅黑" w:eastAsia="微软雅黑" w:cs="微软雅黑"/>
              <w:spacing w:val="-3"/>
              <w:position w:val="5"/>
              <w:sz w:val="22"/>
              <w:szCs w:val="22"/>
            </w:rPr>
            <w:t>书，或者未在包装（包括外包装件）上</w:t>
          </w:r>
          <w:r>
            <w:rPr>
              <w:rFonts w:ascii="微软雅黑" w:hAnsi="微软雅黑" w:eastAsia="微软雅黑" w:cs="微软雅黑"/>
              <w:spacing w:val="-3"/>
              <w:position w:val="5"/>
              <w:sz w:val="22"/>
              <w:szCs w:val="22"/>
            </w:rPr>
            <w:fldChar w:fldCharType="end"/>
          </w:r>
        </w:p>
      </w:sdtContent>
    </w:sdt>
    <w:p w14:paraId="5A18E849">
      <w:pPr>
        <w:spacing w:line="403" w:lineRule="exact"/>
        <w:rPr>
          <w:rFonts w:ascii="微软雅黑" w:hAnsi="微软雅黑" w:eastAsia="微软雅黑" w:cs="微软雅黑"/>
          <w:sz w:val="22"/>
          <w:szCs w:val="22"/>
        </w:rPr>
        <w:sectPr>
          <w:footerReference r:id="rId10" w:type="default"/>
          <w:pgSz w:w="11906" w:h="16839"/>
          <w:pgMar w:top="1431" w:right="1301" w:bottom="1114" w:left="1594" w:header="0" w:footer="837" w:gutter="0"/>
          <w:cols w:space="720" w:num="1"/>
        </w:sectPr>
      </w:pPr>
    </w:p>
    <w:p w14:paraId="01E65043">
      <w:pPr>
        <w:pStyle w:val="2"/>
        <w:spacing w:line="322" w:lineRule="auto"/>
      </w:pPr>
    </w:p>
    <w:p w14:paraId="4F7DC972">
      <w:pPr>
        <w:pStyle w:val="2"/>
        <w:spacing w:line="322" w:lineRule="auto"/>
      </w:pPr>
    </w:p>
    <w:sdt>
      <w:sdtPr>
        <w:rPr>
          <w:rFonts w:ascii="微软雅黑" w:hAnsi="微软雅黑" w:eastAsia="微软雅黑" w:cs="微软雅黑"/>
          <w:sz w:val="22"/>
          <w:szCs w:val="22"/>
        </w:rPr>
        <w:id w:val="147476167"/>
        <w:docPartObj>
          <w:docPartGallery w:val="Table of Contents"/>
          <w:docPartUnique/>
        </w:docPartObj>
      </w:sdtPr>
      <w:sdtEndPr>
        <w:rPr>
          <w:rFonts w:ascii="宋体" w:hAnsi="宋体" w:eastAsia="宋体" w:cs="宋体"/>
          <w:sz w:val="22"/>
          <w:szCs w:val="22"/>
        </w:rPr>
      </w:sdtEndPr>
      <w:sdtContent>
        <w:p w14:paraId="3E12533E">
          <w:pPr>
            <w:tabs>
              <w:tab w:val="right" w:leader="dot" w:pos="8832"/>
            </w:tabs>
            <w:spacing w:before="95" w:line="158" w:lineRule="auto"/>
            <w:ind w:left="13"/>
            <w:rPr>
              <w:rFonts w:ascii="宋体" w:hAnsi="宋体" w:eastAsia="宋体" w:cs="宋体"/>
              <w:sz w:val="22"/>
              <w:szCs w:val="22"/>
            </w:rPr>
          </w:pPr>
          <w:bookmarkStart w:id="183" w:name="bookmark249"/>
          <w:bookmarkEnd w:id="183"/>
          <w:r>
            <w:fldChar w:fldCharType="begin"/>
          </w:r>
          <w:r>
            <w:instrText xml:space="preserve"> HYPERLINK \l "bookmark250" </w:instrText>
          </w:r>
          <w:r>
            <w:fldChar w:fldCharType="separate"/>
          </w:r>
          <w:r>
            <w:rPr>
              <w:rFonts w:ascii="微软雅黑" w:hAnsi="微软雅黑" w:eastAsia="微软雅黑" w:cs="微软雅黑"/>
              <w:spacing w:val="-1"/>
              <w:sz w:val="22"/>
              <w:szCs w:val="22"/>
            </w:rPr>
            <w:t>粘贴、拴挂化学品安全标签的</w:t>
          </w:r>
          <w:r>
            <w:rPr>
              <w:rFonts w:ascii="微软雅黑" w:hAnsi="微软雅黑" w:eastAsia="微软雅黑" w:cs="微软雅黑"/>
              <w:sz w:val="22"/>
              <w:szCs w:val="22"/>
            </w:rPr>
            <w:tab/>
          </w:r>
          <w:r>
            <w:rPr>
              <w:rFonts w:ascii="宋体" w:hAnsi="宋体" w:eastAsia="宋体" w:cs="宋体"/>
              <w:spacing w:val="-9"/>
              <w:sz w:val="22"/>
              <w:szCs w:val="22"/>
            </w:rPr>
            <w:t>145</w:t>
          </w:r>
          <w:r>
            <w:rPr>
              <w:rFonts w:ascii="宋体" w:hAnsi="宋体" w:eastAsia="宋体" w:cs="宋体"/>
              <w:spacing w:val="-9"/>
              <w:sz w:val="22"/>
              <w:szCs w:val="22"/>
            </w:rPr>
            <w:fldChar w:fldCharType="end"/>
          </w:r>
        </w:p>
        <w:p w14:paraId="3F3B5AE8">
          <w:pPr>
            <w:spacing w:before="15" w:line="410" w:lineRule="exact"/>
            <w:ind w:left="24"/>
            <w:rPr>
              <w:rFonts w:ascii="微软雅黑" w:hAnsi="微软雅黑" w:eastAsia="微软雅黑" w:cs="微软雅黑"/>
              <w:sz w:val="22"/>
              <w:szCs w:val="22"/>
            </w:rPr>
          </w:pPr>
          <w:bookmarkStart w:id="184" w:name="bookmark251"/>
          <w:bookmarkEnd w:id="184"/>
          <w:r>
            <w:rPr>
              <w:rFonts w:ascii="仿宋" w:hAnsi="仿宋" w:eastAsia="仿宋" w:cs="仿宋"/>
              <w:spacing w:val="-2"/>
              <w:position w:val="5"/>
              <w:sz w:val="22"/>
              <w:szCs w:val="22"/>
            </w:rPr>
            <w:t>122</w:t>
          </w:r>
          <w:r>
            <w:rPr>
              <w:rFonts w:ascii="宋体" w:hAnsi="宋体" w:eastAsia="宋体" w:cs="宋体"/>
              <w:spacing w:val="-2"/>
              <w:position w:val="5"/>
              <w:sz w:val="22"/>
              <w:szCs w:val="22"/>
            </w:rPr>
            <w:t>．</w:t>
          </w:r>
          <w:r>
            <w:fldChar w:fldCharType="begin"/>
          </w:r>
          <w:r>
            <w:instrText xml:space="preserve"> HYPERLINK \l "bookmark252" </w:instrText>
          </w:r>
          <w:r>
            <w:fldChar w:fldCharType="separate"/>
          </w:r>
          <w:r>
            <w:rPr>
              <w:rFonts w:ascii="微软雅黑" w:hAnsi="微软雅黑" w:eastAsia="微软雅黑" w:cs="微软雅黑"/>
              <w:spacing w:val="-2"/>
              <w:position w:val="5"/>
              <w:sz w:val="22"/>
              <w:szCs w:val="22"/>
            </w:rPr>
            <w:t>危险化学品生产企业提供的化学品安全技术说明书与其生产的危险</w:t>
          </w:r>
          <w:r>
            <w:rPr>
              <w:rFonts w:ascii="微软雅黑" w:hAnsi="微软雅黑" w:eastAsia="微软雅黑" w:cs="微软雅黑"/>
              <w:spacing w:val="-3"/>
              <w:position w:val="5"/>
              <w:sz w:val="22"/>
              <w:szCs w:val="22"/>
            </w:rPr>
            <w:t>化学品不相符，或者</w:t>
          </w:r>
          <w:r>
            <w:rPr>
              <w:rFonts w:ascii="微软雅黑" w:hAnsi="微软雅黑" w:eastAsia="微软雅黑" w:cs="微软雅黑"/>
              <w:spacing w:val="-3"/>
              <w:position w:val="5"/>
              <w:sz w:val="22"/>
              <w:szCs w:val="22"/>
            </w:rPr>
            <w:fldChar w:fldCharType="end"/>
          </w:r>
        </w:p>
        <w:p w14:paraId="39801DAC">
          <w:pPr>
            <w:spacing w:before="5" w:line="198" w:lineRule="auto"/>
            <w:ind w:left="12"/>
            <w:rPr>
              <w:rFonts w:ascii="微软雅黑" w:hAnsi="微软雅黑" w:eastAsia="微软雅黑" w:cs="微软雅黑"/>
              <w:sz w:val="22"/>
              <w:szCs w:val="22"/>
            </w:rPr>
          </w:pPr>
          <w:bookmarkStart w:id="185" w:name="bookmark251"/>
          <w:bookmarkEnd w:id="185"/>
          <w:r>
            <w:fldChar w:fldCharType="begin"/>
          </w:r>
          <w:r>
            <w:instrText xml:space="preserve"> HYPERLINK \l "bookmark251" </w:instrText>
          </w:r>
          <w:r>
            <w:fldChar w:fldCharType="separate"/>
          </w:r>
          <w:r>
            <w:rPr>
              <w:rFonts w:ascii="微软雅黑" w:hAnsi="微软雅黑" w:eastAsia="微软雅黑" w:cs="微软雅黑"/>
              <w:spacing w:val="-1"/>
              <w:sz w:val="22"/>
              <w:szCs w:val="22"/>
            </w:rPr>
            <w:t>在包装（包括外包装件）粘贴、拴挂的化学</w:t>
          </w:r>
          <w:r>
            <w:rPr>
              <w:rFonts w:ascii="微软雅黑" w:hAnsi="微软雅黑" w:eastAsia="微软雅黑" w:cs="微软雅黑"/>
              <w:spacing w:val="-2"/>
              <w:sz w:val="22"/>
              <w:szCs w:val="22"/>
            </w:rPr>
            <w:t>品安全标签与包装内危险化学品不相符，或者化</w:t>
          </w:r>
          <w:r>
            <w:rPr>
              <w:rFonts w:ascii="微软雅黑" w:hAnsi="微软雅黑" w:eastAsia="微软雅黑" w:cs="微软雅黑"/>
              <w:spacing w:val="-2"/>
              <w:sz w:val="22"/>
              <w:szCs w:val="22"/>
            </w:rPr>
            <w:fldChar w:fldCharType="end"/>
          </w:r>
        </w:p>
        <w:p w14:paraId="68F90187">
          <w:pPr>
            <w:tabs>
              <w:tab w:val="right" w:leader="dot" w:pos="8840"/>
            </w:tabs>
            <w:spacing w:before="29" w:line="167" w:lineRule="auto"/>
            <w:ind w:left="24"/>
            <w:rPr>
              <w:rFonts w:ascii="宋体" w:hAnsi="宋体" w:eastAsia="宋体" w:cs="宋体"/>
              <w:sz w:val="22"/>
              <w:szCs w:val="22"/>
            </w:rPr>
          </w:pPr>
          <w:bookmarkStart w:id="186" w:name="bookmark251"/>
          <w:bookmarkEnd w:id="186"/>
          <w:r>
            <w:fldChar w:fldCharType="begin"/>
          </w:r>
          <w:r>
            <w:instrText xml:space="preserve"> HYPERLINK \l "bookmark251" </w:instrText>
          </w:r>
          <w:r>
            <w:fldChar w:fldCharType="separate"/>
          </w:r>
          <w:r>
            <w:rPr>
              <w:rFonts w:ascii="微软雅黑" w:hAnsi="微软雅黑" w:eastAsia="微软雅黑" w:cs="微软雅黑"/>
              <w:spacing w:val="-1"/>
              <w:sz w:val="22"/>
              <w:szCs w:val="22"/>
            </w:rPr>
            <w:t>学品安全技术说明书、化学品安全标签所载明的内容不符合国家标准要求的</w:t>
          </w:r>
          <w:r>
            <w:rPr>
              <w:rFonts w:ascii="微软雅黑" w:hAnsi="微软雅黑" w:eastAsia="微软雅黑" w:cs="微软雅黑"/>
              <w:sz w:val="22"/>
              <w:szCs w:val="22"/>
            </w:rPr>
            <w:tab/>
          </w:r>
          <w:r>
            <w:rPr>
              <w:rFonts w:ascii="宋体" w:hAnsi="宋体" w:eastAsia="宋体" w:cs="宋体"/>
              <w:spacing w:val="-9"/>
              <w:sz w:val="22"/>
              <w:szCs w:val="22"/>
            </w:rPr>
            <w:t>146</w:t>
          </w:r>
          <w:r>
            <w:rPr>
              <w:rFonts w:ascii="宋体" w:hAnsi="宋体" w:eastAsia="宋体" w:cs="宋体"/>
              <w:spacing w:val="-9"/>
              <w:sz w:val="22"/>
              <w:szCs w:val="22"/>
            </w:rPr>
            <w:fldChar w:fldCharType="end"/>
          </w:r>
        </w:p>
        <w:p w14:paraId="23652759">
          <w:pPr>
            <w:spacing w:line="410" w:lineRule="exact"/>
            <w:ind w:left="24"/>
            <w:rPr>
              <w:rFonts w:ascii="微软雅黑" w:hAnsi="微软雅黑" w:eastAsia="微软雅黑" w:cs="微软雅黑"/>
              <w:sz w:val="22"/>
              <w:szCs w:val="22"/>
            </w:rPr>
          </w:pPr>
          <w:bookmarkStart w:id="187" w:name="bookmark253"/>
          <w:bookmarkEnd w:id="187"/>
          <w:r>
            <w:rPr>
              <w:rFonts w:ascii="仿宋" w:hAnsi="仿宋" w:eastAsia="仿宋" w:cs="仿宋"/>
              <w:spacing w:val="-2"/>
              <w:position w:val="5"/>
              <w:sz w:val="22"/>
              <w:szCs w:val="22"/>
            </w:rPr>
            <w:t>123</w:t>
          </w:r>
          <w:r>
            <w:rPr>
              <w:rFonts w:ascii="宋体" w:hAnsi="宋体" w:eastAsia="宋体" w:cs="宋体"/>
              <w:spacing w:val="-2"/>
              <w:position w:val="5"/>
              <w:sz w:val="22"/>
              <w:szCs w:val="22"/>
            </w:rPr>
            <w:t>．</w:t>
          </w:r>
          <w:r>
            <w:fldChar w:fldCharType="begin"/>
          </w:r>
          <w:r>
            <w:instrText xml:space="preserve"> HYPERLINK \l "bookmark254" </w:instrText>
          </w:r>
          <w:r>
            <w:fldChar w:fldCharType="separate"/>
          </w:r>
          <w:r>
            <w:rPr>
              <w:rFonts w:ascii="微软雅黑" w:hAnsi="微软雅黑" w:eastAsia="微软雅黑" w:cs="微软雅黑"/>
              <w:spacing w:val="-2"/>
              <w:position w:val="5"/>
              <w:sz w:val="22"/>
              <w:szCs w:val="22"/>
            </w:rPr>
            <w:t>危险化学品生产企业发现其生产的危险化学品有新</w:t>
          </w:r>
          <w:r>
            <w:rPr>
              <w:rFonts w:ascii="微软雅黑" w:hAnsi="微软雅黑" w:eastAsia="微软雅黑" w:cs="微软雅黑"/>
              <w:spacing w:val="-3"/>
              <w:position w:val="5"/>
              <w:sz w:val="22"/>
              <w:szCs w:val="22"/>
            </w:rPr>
            <w:t>的危险特性不立即公告，或者不及时</w:t>
          </w:r>
          <w:r>
            <w:rPr>
              <w:rFonts w:ascii="微软雅黑" w:hAnsi="微软雅黑" w:eastAsia="微软雅黑" w:cs="微软雅黑"/>
              <w:spacing w:val="-3"/>
              <w:position w:val="5"/>
              <w:sz w:val="22"/>
              <w:szCs w:val="22"/>
            </w:rPr>
            <w:fldChar w:fldCharType="end"/>
          </w:r>
        </w:p>
        <w:p w14:paraId="4612F3BA">
          <w:pPr>
            <w:tabs>
              <w:tab w:val="right" w:leader="dot" w:pos="8837"/>
            </w:tabs>
            <w:spacing w:before="5" w:line="168" w:lineRule="auto"/>
            <w:ind w:left="10"/>
            <w:rPr>
              <w:rFonts w:ascii="宋体" w:hAnsi="宋体" w:eastAsia="宋体" w:cs="宋体"/>
              <w:sz w:val="22"/>
              <w:szCs w:val="22"/>
            </w:rPr>
          </w:pPr>
          <w:bookmarkStart w:id="188" w:name="bookmark253"/>
          <w:bookmarkEnd w:id="188"/>
          <w:r>
            <w:fldChar w:fldCharType="begin"/>
          </w:r>
          <w:r>
            <w:instrText xml:space="preserve"> HYPERLINK \l "bookmark253" </w:instrText>
          </w:r>
          <w:r>
            <w:fldChar w:fldCharType="separate"/>
          </w:r>
          <w:r>
            <w:rPr>
              <w:rFonts w:ascii="微软雅黑" w:hAnsi="微软雅黑" w:eastAsia="微软雅黑" w:cs="微软雅黑"/>
              <w:spacing w:val="-1"/>
              <w:sz w:val="22"/>
              <w:szCs w:val="22"/>
            </w:rPr>
            <w:t>修订其化学品安全技术说明书和化学品安全标签的</w:t>
          </w:r>
          <w:r>
            <w:rPr>
              <w:rFonts w:ascii="微软雅黑" w:hAnsi="微软雅黑" w:eastAsia="微软雅黑" w:cs="微软雅黑"/>
              <w:sz w:val="22"/>
              <w:szCs w:val="22"/>
            </w:rPr>
            <w:tab/>
          </w:r>
          <w:r>
            <w:rPr>
              <w:rFonts w:ascii="宋体" w:hAnsi="宋体" w:eastAsia="宋体" w:cs="宋体"/>
              <w:spacing w:val="-9"/>
              <w:sz w:val="22"/>
              <w:szCs w:val="22"/>
            </w:rPr>
            <w:t>147</w:t>
          </w:r>
          <w:r>
            <w:rPr>
              <w:rFonts w:ascii="宋体" w:hAnsi="宋体" w:eastAsia="宋体" w:cs="宋体"/>
              <w:spacing w:val="-9"/>
              <w:sz w:val="22"/>
              <w:szCs w:val="22"/>
            </w:rPr>
            <w:fldChar w:fldCharType="end"/>
          </w:r>
        </w:p>
        <w:p w14:paraId="31DE1C61">
          <w:pPr>
            <w:spacing w:line="411" w:lineRule="exact"/>
            <w:ind w:left="24"/>
            <w:rPr>
              <w:rFonts w:ascii="微软雅黑" w:hAnsi="微软雅黑" w:eastAsia="微软雅黑" w:cs="微软雅黑"/>
              <w:sz w:val="22"/>
              <w:szCs w:val="22"/>
            </w:rPr>
          </w:pPr>
          <w:bookmarkStart w:id="189" w:name="bookmark255"/>
          <w:bookmarkEnd w:id="189"/>
          <w:r>
            <w:rPr>
              <w:rFonts w:ascii="仿宋" w:hAnsi="仿宋" w:eastAsia="仿宋" w:cs="仿宋"/>
              <w:spacing w:val="3"/>
              <w:position w:val="5"/>
              <w:sz w:val="22"/>
              <w:szCs w:val="22"/>
            </w:rPr>
            <w:t>124</w:t>
          </w:r>
          <w:r>
            <w:rPr>
              <w:rFonts w:ascii="宋体" w:hAnsi="宋体" w:eastAsia="宋体" w:cs="宋体"/>
              <w:spacing w:val="3"/>
              <w:position w:val="5"/>
              <w:sz w:val="22"/>
              <w:szCs w:val="22"/>
            </w:rPr>
            <w:t>．</w:t>
          </w:r>
          <w:r>
            <w:fldChar w:fldCharType="begin"/>
          </w:r>
          <w:r>
            <w:instrText xml:space="preserve"> HYPERLINK \l "bookmark256" </w:instrText>
          </w:r>
          <w:r>
            <w:fldChar w:fldCharType="separate"/>
          </w:r>
          <w:r>
            <w:rPr>
              <w:rFonts w:ascii="微软雅黑" w:hAnsi="微软雅黑" w:eastAsia="微软雅黑" w:cs="微软雅黑"/>
              <w:spacing w:val="3"/>
              <w:position w:val="5"/>
              <w:sz w:val="22"/>
              <w:szCs w:val="22"/>
            </w:rPr>
            <w:t>危险化学品经营企业经营没有化学品安全技术说明书和化学品安</w:t>
          </w:r>
          <w:r>
            <w:rPr>
              <w:rFonts w:ascii="微软雅黑" w:hAnsi="微软雅黑" w:eastAsia="微软雅黑" w:cs="微软雅黑"/>
              <w:spacing w:val="2"/>
              <w:position w:val="5"/>
              <w:sz w:val="22"/>
              <w:szCs w:val="22"/>
            </w:rPr>
            <w:t>全标签的危险化学品</w:t>
          </w:r>
          <w:r>
            <w:rPr>
              <w:rFonts w:ascii="微软雅黑" w:hAnsi="微软雅黑" w:eastAsia="微软雅黑" w:cs="微软雅黑"/>
              <w:spacing w:val="2"/>
              <w:position w:val="5"/>
              <w:sz w:val="22"/>
              <w:szCs w:val="22"/>
            </w:rPr>
            <w:fldChar w:fldCharType="end"/>
          </w:r>
        </w:p>
        <w:p w14:paraId="5152F76C">
          <w:pPr>
            <w:tabs>
              <w:tab w:val="right" w:leader="dot" w:pos="8829"/>
            </w:tabs>
            <w:spacing w:before="7" w:line="167" w:lineRule="auto"/>
            <w:ind w:left="32"/>
            <w:rPr>
              <w:rFonts w:ascii="宋体" w:hAnsi="宋体" w:eastAsia="宋体" w:cs="宋体"/>
              <w:sz w:val="22"/>
              <w:szCs w:val="22"/>
            </w:rPr>
          </w:pPr>
          <w:bookmarkStart w:id="190" w:name="bookmark255"/>
          <w:bookmarkEnd w:id="190"/>
          <w:r>
            <w:fldChar w:fldCharType="begin"/>
          </w:r>
          <w:r>
            <w:instrText xml:space="preserve"> HYPERLINK \l "bookmark255" </w:instrText>
          </w:r>
          <w:r>
            <w:fldChar w:fldCharType="separate"/>
          </w:r>
          <w:r>
            <w:rPr>
              <w:rFonts w:ascii="微软雅黑" w:hAnsi="微软雅黑" w:eastAsia="微软雅黑" w:cs="微软雅黑"/>
              <w:spacing w:val="-21"/>
              <w:w w:val="94"/>
              <w:sz w:val="22"/>
              <w:szCs w:val="22"/>
            </w:rPr>
            <w:t>的</w:t>
          </w:r>
          <w:r>
            <w:rPr>
              <w:rFonts w:ascii="微软雅黑" w:hAnsi="微软雅黑" w:eastAsia="微软雅黑" w:cs="微软雅黑"/>
              <w:sz w:val="22"/>
              <w:szCs w:val="22"/>
            </w:rPr>
            <w:tab/>
          </w:r>
          <w:r>
            <w:rPr>
              <w:rFonts w:ascii="宋体" w:hAnsi="宋体" w:eastAsia="宋体" w:cs="宋体"/>
              <w:spacing w:val="-9"/>
              <w:sz w:val="22"/>
              <w:szCs w:val="22"/>
            </w:rPr>
            <w:t>148</w:t>
          </w:r>
          <w:r>
            <w:rPr>
              <w:rFonts w:ascii="宋体" w:hAnsi="宋体" w:eastAsia="宋体" w:cs="宋体"/>
              <w:spacing w:val="-9"/>
              <w:sz w:val="22"/>
              <w:szCs w:val="22"/>
            </w:rPr>
            <w:fldChar w:fldCharType="end"/>
          </w:r>
        </w:p>
        <w:p w14:paraId="54D5C32E">
          <w:pPr>
            <w:spacing w:line="403" w:lineRule="exact"/>
            <w:ind w:left="24"/>
            <w:rPr>
              <w:rFonts w:ascii="微软雅黑" w:hAnsi="微软雅黑" w:eastAsia="微软雅黑" w:cs="微软雅黑"/>
              <w:sz w:val="22"/>
              <w:szCs w:val="22"/>
            </w:rPr>
          </w:pPr>
          <w:bookmarkStart w:id="191" w:name="bookmark257"/>
          <w:bookmarkEnd w:id="191"/>
          <w:r>
            <w:rPr>
              <w:rFonts w:ascii="仿宋" w:hAnsi="仿宋" w:eastAsia="仿宋" w:cs="仿宋"/>
              <w:spacing w:val="-2"/>
              <w:position w:val="5"/>
              <w:sz w:val="22"/>
              <w:szCs w:val="22"/>
            </w:rPr>
            <w:t>125</w:t>
          </w:r>
          <w:r>
            <w:rPr>
              <w:rFonts w:ascii="宋体" w:hAnsi="宋体" w:eastAsia="宋体" w:cs="宋体"/>
              <w:spacing w:val="-2"/>
              <w:position w:val="5"/>
              <w:sz w:val="22"/>
              <w:szCs w:val="22"/>
            </w:rPr>
            <w:t>．</w:t>
          </w:r>
          <w:r>
            <w:fldChar w:fldCharType="begin"/>
          </w:r>
          <w:r>
            <w:instrText xml:space="preserve"> HYPERLINK \l "bookmark258" </w:instrText>
          </w:r>
          <w:r>
            <w:fldChar w:fldCharType="separate"/>
          </w:r>
          <w:r>
            <w:rPr>
              <w:rFonts w:ascii="微软雅黑" w:hAnsi="微软雅黑" w:eastAsia="微软雅黑" w:cs="微软雅黑"/>
              <w:spacing w:val="-2"/>
              <w:position w:val="5"/>
              <w:sz w:val="22"/>
              <w:szCs w:val="22"/>
            </w:rPr>
            <w:t>危险化学品包装物、容器的材质以及包装的型式</w:t>
          </w:r>
          <w:r>
            <w:rPr>
              <w:rFonts w:ascii="微软雅黑" w:hAnsi="微软雅黑" w:eastAsia="微软雅黑" w:cs="微软雅黑"/>
              <w:spacing w:val="-3"/>
              <w:position w:val="5"/>
              <w:sz w:val="22"/>
              <w:szCs w:val="22"/>
            </w:rPr>
            <w:t>、规格、方法和单件质量（重量）与所</w:t>
          </w:r>
          <w:r>
            <w:rPr>
              <w:rFonts w:ascii="微软雅黑" w:hAnsi="微软雅黑" w:eastAsia="微软雅黑" w:cs="微软雅黑"/>
              <w:spacing w:val="-3"/>
              <w:position w:val="5"/>
              <w:sz w:val="22"/>
              <w:szCs w:val="22"/>
            </w:rPr>
            <w:fldChar w:fldCharType="end"/>
          </w:r>
        </w:p>
        <w:p w14:paraId="4838EFC9">
          <w:pPr>
            <w:tabs>
              <w:tab w:val="right" w:leader="dot" w:pos="8835"/>
            </w:tabs>
            <w:spacing w:before="14" w:line="167" w:lineRule="auto"/>
            <w:ind w:left="9"/>
            <w:rPr>
              <w:rFonts w:ascii="宋体" w:hAnsi="宋体" w:eastAsia="宋体" w:cs="宋体"/>
              <w:sz w:val="22"/>
              <w:szCs w:val="22"/>
            </w:rPr>
          </w:pPr>
          <w:bookmarkStart w:id="192" w:name="bookmark257"/>
          <w:bookmarkEnd w:id="192"/>
          <w:r>
            <w:fldChar w:fldCharType="begin"/>
          </w:r>
          <w:r>
            <w:instrText xml:space="preserve"> HYPERLINK \l "bookmark257" </w:instrText>
          </w:r>
          <w:r>
            <w:fldChar w:fldCharType="separate"/>
          </w:r>
          <w:r>
            <w:rPr>
              <w:rFonts w:ascii="微软雅黑" w:hAnsi="微软雅黑" w:eastAsia="微软雅黑" w:cs="微软雅黑"/>
              <w:spacing w:val="-1"/>
              <w:sz w:val="22"/>
              <w:szCs w:val="22"/>
            </w:rPr>
            <w:t>包装的危险化学品的性质和用途不相适应的</w:t>
          </w:r>
          <w:r>
            <w:rPr>
              <w:rFonts w:ascii="微软雅黑" w:hAnsi="微软雅黑" w:eastAsia="微软雅黑" w:cs="微软雅黑"/>
              <w:sz w:val="22"/>
              <w:szCs w:val="22"/>
            </w:rPr>
            <w:tab/>
          </w:r>
          <w:r>
            <w:rPr>
              <w:rFonts w:ascii="宋体" w:hAnsi="宋体" w:eastAsia="宋体" w:cs="宋体"/>
              <w:spacing w:val="-9"/>
              <w:sz w:val="22"/>
              <w:szCs w:val="22"/>
            </w:rPr>
            <w:t>149</w:t>
          </w:r>
          <w:r>
            <w:rPr>
              <w:rFonts w:ascii="宋体" w:hAnsi="宋体" w:eastAsia="宋体" w:cs="宋体"/>
              <w:spacing w:val="-9"/>
              <w:sz w:val="22"/>
              <w:szCs w:val="22"/>
            </w:rPr>
            <w:fldChar w:fldCharType="end"/>
          </w:r>
        </w:p>
        <w:p w14:paraId="0B24A4D6">
          <w:pPr>
            <w:spacing w:line="409" w:lineRule="exact"/>
            <w:ind w:left="24"/>
            <w:rPr>
              <w:rFonts w:ascii="微软雅黑" w:hAnsi="微软雅黑" w:eastAsia="微软雅黑" w:cs="微软雅黑"/>
              <w:sz w:val="22"/>
              <w:szCs w:val="22"/>
            </w:rPr>
          </w:pPr>
          <w:bookmarkStart w:id="193" w:name="bookmark259"/>
          <w:bookmarkEnd w:id="193"/>
          <w:r>
            <w:rPr>
              <w:rFonts w:ascii="仿宋" w:hAnsi="仿宋" w:eastAsia="仿宋" w:cs="仿宋"/>
              <w:spacing w:val="-2"/>
              <w:position w:val="5"/>
              <w:sz w:val="22"/>
              <w:szCs w:val="22"/>
            </w:rPr>
            <w:t>126</w:t>
          </w:r>
          <w:r>
            <w:rPr>
              <w:rFonts w:ascii="宋体" w:hAnsi="宋体" w:eastAsia="宋体" w:cs="宋体"/>
              <w:spacing w:val="-2"/>
              <w:position w:val="5"/>
              <w:sz w:val="22"/>
              <w:szCs w:val="22"/>
            </w:rPr>
            <w:t>．</w:t>
          </w:r>
          <w:r>
            <w:fldChar w:fldCharType="begin"/>
          </w:r>
          <w:r>
            <w:instrText xml:space="preserve"> HYPERLINK \l "bookmark260" </w:instrText>
          </w:r>
          <w:r>
            <w:fldChar w:fldCharType="separate"/>
          </w:r>
          <w:r>
            <w:rPr>
              <w:rFonts w:ascii="微软雅黑" w:hAnsi="微软雅黑" w:eastAsia="微软雅黑" w:cs="微软雅黑"/>
              <w:spacing w:val="-2"/>
              <w:position w:val="5"/>
              <w:sz w:val="22"/>
              <w:szCs w:val="22"/>
            </w:rPr>
            <w:t>危险化学品专用仓库未设专人负责管理，或者对储</w:t>
          </w:r>
          <w:r>
            <w:rPr>
              <w:rFonts w:ascii="微软雅黑" w:hAnsi="微软雅黑" w:eastAsia="微软雅黑" w:cs="微软雅黑"/>
              <w:spacing w:val="-3"/>
              <w:position w:val="5"/>
              <w:sz w:val="22"/>
              <w:szCs w:val="22"/>
            </w:rPr>
            <w:t>存的剧毒化学品以及储存数量构成重</w:t>
          </w:r>
          <w:r>
            <w:rPr>
              <w:rFonts w:ascii="微软雅黑" w:hAnsi="微软雅黑" w:eastAsia="微软雅黑" w:cs="微软雅黑"/>
              <w:spacing w:val="-3"/>
              <w:position w:val="5"/>
              <w:sz w:val="22"/>
              <w:szCs w:val="22"/>
            </w:rPr>
            <w:fldChar w:fldCharType="end"/>
          </w:r>
        </w:p>
        <w:p w14:paraId="782B4EB5">
          <w:pPr>
            <w:tabs>
              <w:tab w:val="right" w:leader="dot" w:pos="8839"/>
            </w:tabs>
            <w:spacing w:before="7" w:line="168" w:lineRule="auto"/>
            <w:ind w:left="19"/>
            <w:rPr>
              <w:rFonts w:ascii="宋体" w:hAnsi="宋体" w:eastAsia="宋体" w:cs="宋体"/>
              <w:sz w:val="22"/>
              <w:szCs w:val="22"/>
            </w:rPr>
          </w:pPr>
          <w:bookmarkStart w:id="194" w:name="bookmark259"/>
          <w:bookmarkEnd w:id="194"/>
          <w:r>
            <w:fldChar w:fldCharType="begin"/>
          </w:r>
          <w:r>
            <w:instrText xml:space="preserve"> HYPERLINK \l "bookmark259" </w:instrText>
          </w:r>
          <w:r>
            <w:fldChar w:fldCharType="separate"/>
          </w:r>
          <w:r>
            <w:rPr>
              <w:rFonts w:ascii="微软雅黑" w:hAnsi="微软雅黑" w:eastAsia="微软雅黑" w:cs="微软雅黑"/>
              <w:spacing w:val="-1"/>
              <w:sz w:val="22"/>
              <w:szCs w:val="22"/>
            </w:rPr>
            <w:t>大危险源的其他危险化学品未实行双人收发、双人保管制度的</w:t>
          </w:r>
          <w:r>
            <w:rPr>
              <w:rFonts w:ascii="微软雅黑" w:hAnsi="微软雅黑" w:eastAsia="微软雅黑" w:cs="微软雅黑"/>
              <w:sz w:val="22"/>
              <w:szCs w:val="22"/>
            </w:rPr>
            <w:tab/>
          </w:r>
          <w:r>
            <w:rPr>
              <w:rFonts w:ascii="宋体" w:hAnsi="宋体" w:eastAsia="宋体" w:cs="宋体"/>
              <w:spacing w:val="-9"/>
              <w:sz w:val="22"/>
              <w:szCs w:val="22"/>
            </w:rPr>
            <w:t>150</w:t>
          </w:r>
          <w:r>
            <w:rPr>
              <w:rFonts w:ascii="宋体" w:hAnsi="宋体" w:eastAsia="宋体" w:cs="宋体"/>
              <w:spacing w:val="-9"/>
              <w:sz w:val="22"/>
              <w:szCs w:val="22"/>
            </w:rPr>
            <w:fldChar w:fldCharType="end"/>
          </w:r>
        </w:p>
        <w:p w14:paraId="7C978926">
          <w:pPr>
            <w:tabs>
              <w:tab w:val="right" w:leader="dot" w:pos="8840"/>
            </w:tabs>
            <w:spacing w:line="216" w:lineRule="auto"/>
            <w:ind w:left="24"/>
            <w:rPr>
              <w:rFonts w:ascii="宋体" w:hAnsi="宋体" w:eastAsia="宋体" w:cs="宋体"/>
              <w:sz w:val="22"/>
              <w:szCs w:val="22"/>
            </w:rPr>
          </w:pPr>
          <w:bookmarkStart w:id="195" w:name="bookmark261"/>
          <w:bookmarkEnd w:id="195"/>
          <w:r>
            <w:rPr>
              <w:rFonts w:ascii="仿宋" w:hAnsi="仿宋" w:eastAsia="仿宋" w:cs="仿宋"/>
              <w:spacing w:val="-1"/>
              <w:sz w:val="22"/>
              <w:szCs w:val="22"/>
            </w:rPr>
            <w:t>127</w:t>
          </w:r>
          <w:r>
            <w:rPr>
              <w:rFonts w:ascii="宋体" w:hAnsi="宋体" w:eastAsia="宋体" w:cs="宋体"/>
              <w:spacing w:val="-1"/>
              <w:sz w:val="22"/>
              <w:szCs w:val="22"/>
            </w:rPr>
            <w:t>．</w:t>
          </w:r>
          <w:r>
            <w:fldChar w:fldCharType="begin"/>
          </w:r>
          <w:r>
            <w:instrText xml:space="preserve"> HYPERLINK \l "bookmark262" </w:instrText>
          </w:r>
          <w:r>
            <w:fldChar w:fldCharType="separate"/>
          </w:r>
          <w:r>
            <w:rPr>
              <w:rFonts w:ascii="微软雅黑" w:hAnsi="微软雅黑" w:eastAsia="微软雅黑" w:cs="微软雅黑"/>
              <w:spacing w:val="-1"/>
              <w:sz w:val="22"/>
              <w:szCs w:val="22"/>
            </w:rPr>
            <w:t>储存危险化学品的单位未建立危险化学品出入库核查、登记制度的</w:t>
          </w:r>
          <w:r>
            <w:rPr>
              <w:rFonts w:ascii="微软雅黑" w:hAnsi="微软雅黑" w:eastAsia="微软雅黑" w:cs="微软雅黑"/>
              <w:sz w:val="22"/>
              <w:szCs w:val="22"/>
            </w:rPr>
            <w:tab/>
          </w:r>
          <w:r>
            <w:rPr>
              <w:rFonts w:ascii="宋体" w:hAnsi="宋体" w:eastAsia="宋体" w:cs="宋体"/>
              <w:spacing w:val="-9"/>
              <w:sz w:val="22"/>
              <w:szCs w:val="22"/>
            </w:rPr>
            <w:t>151</w:t>
          </w:r>
          <w:r>
            <w:rPr>
              <w:rFonts w:ascii="宋体" w:hAnsi="宋体" w:eastAsia="宋体" w:cs="宋体"/>
              <w:spacing w:val="-9"/>
              <w:sz w:val="22"/>
              <w:szCs w:val="22"/>
            </w:rPr>
            <w:fldChar w:fldCharType="end"/>
          </w:r>
        </w:p>
        <w:p w14:paraId="53DE0641">
          <w:pPr>
            <w:tabs>
              <w:tab w:val="right" w:leader="dot" w:pos="8835"/>
            </w:tabs>
            <w:spacing w:before="1" w:line="216" w:lineRule="auto"/>
            <w:ind w:left="24"/>
            <w:rPr>
              <w:rFonts w:ascii="宋体" w:hAnsi="宋体" w:eastAsia="宋体" w:cs="宋体"/>
              <w:sz w:val="22"/>
              <w:szCs w:val="22"/>
            </w:rPr>
          </w:pPr>
          <w:bookmarkStart w:id="196" w:name="bookmark263"/>
          <w:bookmarkEnd w:id="196"/>
          <w:r>
            <w:rPr>
              <w:rFonts w:ascii="仿宋" w:hAnsi="仿宋" w:eastAsia="仿宋" w:cs="仿宋"/>
              <w:spacing w:val="-1"/>
              <w:sz w:val="22"/>
              <w:szCs w:val="22"/>
            </w:rPr>
            <w:t>128</w:t>
          </w:r>
          <w:r>
            <w:rPr>
              <w:rFonts w:ascii="宋体" w:hAnsi="宋体" w:eastAsia="宋体" w:cs="宋体"/>
              <w:spacing w:val="-1"/>
              <w:sz w:val="22"/>
              <w:szCs w:val="22"/>
            </w:rPr>
            <w:t>．</w:t>
          </w:r>
          <w:r>
            <w:fldChar w:fldCharType="begin"/>
          </w:r>
          <w:r>
            <w:instrText xml:space="preserve"> HYPERLINK \l "bookmark264" </w:instrText>
          </w:r>
          <w:r>
            <w:fldChar w:fldCharType="separate"/>
          </w:r>
          <w:r>
            <w:rPr>
              <w:rFonts w:ascii="微软雅黑" w:hAnsi="微软雅黑" w:eastAsia="微软雅黑" w:cs="微软雅黑"/>
              <w:spacing w:val="-1"/>
              <w:sz w:val="22"/>
              <w:szCs w:val="22"/>
            </w:rPr>
            <w:t>危险化学品专用仓库未设置明显标志的</w:t>
          </w:r>
          <w:r>
            <w:rPr>
              <w:rFonts w:ascii="微软雅黑" w:hAnsi="微软雅黑" w:eastAsia="微软雅黑" w:cs="微软雅黑"/>
              <w:sz w:val="22"/>
              <w:szCs w:val="22"/>
            </w:rPr>
            <w:tab/>
          </w:r>
          <w:r>
            <w:rPr>
              <w:rFonts w:ascii="宋体" w:hAnsi="宋体" w:eastAsia="宋体" w:cs="宋体"/>
              <w:spacing w:val="-9"/>
              <w:sz w:val="22"/>
              <w:szCs w:val="22"/>
            </w:rPr>
            <w:t>151</w:t>
          </w:r>
          <w:r>
            <w:rPr>
              <w:rFonts w:ascii="宋体" w:hAnsi="宋体" w:eastAsia="宋体" w:cs="宋体"/>
              <w:spacing w:val="-9"/>
              <w:sz w:val="22"/>
              <w:szCs w:val="22"/>
            </w:rPr>
            <w:fldChar w:fldCharType="end"/>
          </w:r>
        </w:p>
        <w:p w14:paraId="3F3A6077">
          <w:pPr>
            <w:tabs>
              <w:tab w:val="right" w:leader="dot" w:pos="8840"/>
            </w:tabs>
            <w:spacing w:line="216" w:lineRule="auto"/>
            <w:ind w:left="24"/>
            <w:rPr>
              <w:rFonts w:ascii="宋体" w:hAnsi="宋体" w:eastAsia="宋体" w:cs="宋体"/>
              <w:sz w:val="22"/>
              <w:szCs w:val="22"/>
            </w:rPr>
          </w:pPr>
          <w:bookmarkStart w:id="197" w:name="bookmark265"/>
          <w:bookmarkEnd w:id="197"/>
          <w:r>
            <w:rPr>
              <w:rFonts w:ascii="仿宋" w:hAnsi="仿宋" w:eastAsia="仿宋" w:cs="仿宋"/>
              <w:spacing w:val="-1"/>
              <w:sz w:val="22"/>
              <w:szCs w:val="22"/>
            </w:rPr>
            <w:t>129</w:t>
          </w:r>
          <w:r>
            <w:rPr>
              <w:rFonts w:ascii="宋体" w:hAnsi="宋体" w:eastAsia="宋体" w:cs="宋体"/>
              <w:spacing w:val="-1"/>
              <w:sz w:val="22"/>
              <w:szCs w:val="22"/>
            </w:rPr>
            <w:t>．</w:t>
          </w:r>
          <w:r>
            <w:fldChar w:fldCharType="begin"/>
          </w:r>
          <w:r>
            <w:instrText xml:space="preserve"> HYPERLINK \l "bookmark266" </w:instrText>
          </w:r>
          <w:r>
            <w:fldChar w:fldCharType="separate"/>
          </w:r>
          <w:r>
            <w:rPr>
              <w:rFonts w:ascii="微软雅黑" w:hAnsi="微软雅黑" w:eastAsia="微软雅黑" w:cs="微软雅黑"/>
              <w:spacing w:val="-1"/>
              <w:sz w:val="22"/>
              <w:szCs w:val="22"/>
            </w:rPr>
            <w:t>生产、储存危险化学品的单位未在作业场所设置通信、报警装置的</w:t>
          </w:r>
          <w:r>
            <w:rPr>
              <w:rFonts w:ascii="微软雅黑" w:hAnsi="微软雅黑" w:eastAsia="微软雅黑" w:cs="微软雅黑"/>
              <w:sz w:val="22"/>
              <w:szCs w:val="22"/>
            </w:rPr>
            <w:tab/>
          </w:r>
          <w:r>
            <w:rPr>
              <w:rFonts w:ascii="宋体" w:hAnsi="宋体" w:eastAsia="宋体" w:cs="宋体"/>
              <w:spacing w:val="-9"/>
              <w:sz w:val="22"/>
              <w:szCs w:val="22"/>
            </w:rPr>
            <w:t>152</w:t>
          </w:r>
          <w:r>
            <w:rPr>
              <w:rFonts w:ascii="宋体" w:hAnsi="宋体" w:eastAsia="宋体" w:cs="宋体"/>
              <w:spacing w:val="-9"/>
              <w:sz w:val="22"/>
              <w:szCs w:val="22"/>
            </w:rPr>
            <w:fldChar w:fldCharType="end"/>
          </w:r>
        </w:p>
        <w:p w14:paraId="2DF9D913">
          <w:pPr>
            <w:tabs>
              <w:tab w:val="right" w:leader="dot" w:pos="8842"/>
            </w:tabs>
            <w:spacing w:line="216" w:lineRule="auto"/>
            <w:ind w:left="24"/>
            <w:rPr>
              <w:rFonts w:ascii="宋体" w:hAnsi="宋体" w:eastAsia="宋体" w:cs="宋体"/>
              <w:sz w:val="22"/>
              <w:szCs w:val="22"/>
            </w:rPr>
          </w:pPr>
          <w:bookmarkStart w:id="198" w:name="bookmark267"/>
          <w:bookmarkEnd w:id="198"/>
          <w:r>
            <w:rPr>
              <w:rFonts w:ascii="仿宋" w:hAnsi="仿宋" w:eastAsia="仿宋" w:cs="仿宋"/>
              <w:spacing w:val="-1"/>
              <w:sz w:val="22"/>
              <w:szCs w:val="22"/>
            </w:rPr>
            <w:t>130</w:t>
          </w:r>
          <w:r>
            <w:rPr>
              <w:rFonts w:ascii="宋体" w:hAnsi="宋体" w:eastAsia="宋体" w:cs="宋体"/>
              <w:spacing w:val="-1"/>
              <w:sz w:val="22"/>
              <w:szCs w:val="22"/>
            </w:rPr>
            <w:t>．</w:t>
          </w:r>
          <w:r>
            <w:fldChar w:fldCharType="begin"/>
          </w:r>
          <w:r>
            <w:instrText xml:space="preserve"> HYPERLINK \l "bookmark268" </w:instrText>
          </w:r>
          <w:r>
            <w:fldChar w:fldCharType="separate"/>
          </w:r>
          <w:r>
            <w:rPr>
              <w:rFonts w:ascii="微软雅黑" w:hAnsi="微软雅黑" w:eastAsia="微软雅黑" w:cs="微软雅黑"/>
              <w:spacing w:val="-1"/>
              <w:sz w:val="22"/>
              <w:szCs w:val="22"/>
            </w:rPr>
            <w:t>生产、储存危险化学品的单位未按规定对危险化学品管道定期检查、检测的</w:t>
          </w:r>
          <w:r>
            <w:rPr>
              <w:rFonts w:ascii="微软雅黑" w:hAnsi="微软雅黑" w:eastAsia="微软雅黑" w:cs="微软雅黑"/>
              <w:sz w:val="22"/>
              <w:szCs w:val="22"/>
            </w:rPr>
            <w:tab/>
          </w:r>
          <w:r>
            <w:rPr>
              <w:rFonts w:ascii="宋体" w:hAnsi="宋体" w:eastAsia="宋体" w:cs="宋体"/>
              <w:spacing w:val="-9"/>
              <w:sz w:val="22"/>
              <w:szCs w:val="22"/>
            </w:rPr>
            <w:t>153</w:t>
          </w:r>
          <w:r>
            <w:rPr>
              <w:rFonts w:ascii="宋体" w:hAnsi="宋体" w:eastAsia="宋体" w:cs="宋体"/>
              <w:spacing w:val="-9"/>
              <w:sz w:val="22"/>
              <w:szCs w:val="22"/>
            </w:rPr>
            <w:fldChar w:fldCharType="end"/>
          </w:r>
        </w:p>
        <w:p w14:paraId="7371EF10">
          <w:pPr>
            <w:spacing w:line="411" w:lineRule="exact"/>
            <w:ind w:left="24"/>
            <w:rPr>
              <w:rFonts w:ascii="微软雅黑" w:hAnsi="微软雅黑" w:eastAsia="微软雅黑" w:cs="微软雅黑"/>
              <w:sz w:val="22"/>
              <w:szCs w:val="22"/>
            </w:rPr>
          </w:pPr>
          <w:bookmarkStart w:id="199" w:name="bookmark269"/>
          <w:bookmarkEnd w:id="199"/>
          <w:r>
            <w:rPr>
              <w:rFonts w:ascii="仿宋" w:hAnsi="仿宋" w:eastAsia="仿宋" w:cs="仿宋"/>
              <w:spacing w:val="-2"/>
              <w:position w:val="5"/>
              <w:sz w:val="22"/>
              <w:szCs w:val="22"/>
            </w:rPr>
            <w:t>131</w:t>
          </w:r>
          <w:r>
            <w:rPr>
              <w:rFonts w:ascii="宋体" w:hAnsi="宋体" w:eastAsia="宋体" w:cs="宋体"/>
              <w:spacing w:val="-2"/>
              <w:position w:val="5"/>
              <w:sz w:val="22"/>
              <w:szCs w:val="22"/>
            </w:rPr>
            <w:t>．</w:t>
          </w:r>
          <w:r>
            <w:fldChar w:fldCharType="begin"/>
          </w:r>
          <w:r>
            <w:instrText xml:space="preserve"> HYPERLINK \l "bookmark270" </w:instrText>
          </w:r>
          <w:r>
            <w:fldChar w:fldCharType="separate"/>
          </w:r>
          <w:r>
            <w:rPr>
              <w:rFonts w:ascii="微软雅黑" w:hAnsi="微软雅黑" w:eastAsia="微软雅黑" w:cs="微软雅黑"/>
              <w:spacing w:val="-2"/>
              <w:position w:val="5"/>
              <w:sz w:val="22"/>
              <w:szCs w:val="22"/>
            </w:rPr>
            <w:t>进行可能危及危险化学品管道安全的施工作业，施</w:t>
          </w:r>
          <w:r>
            <w:rPr>
              <w:rFonts w:ascii="微软雅黑" w:hAnsi="微软雅黑" w:eastAsia="微软雅黑" w:cs="微软雅黑"/>
              <w:spacing w:val="-3"/>
              <w:position w:val="5"/>
              <w:sz w:val="22"/>
              <w:szCs w:val="22"/>
            </w:rPr>
            <w:t>工单位存在未按照规定书面通知管道</w:t>
          </w:r>
          <w:r>
            <w:rPr>
              <w:rFonts w:ascii="微软雅黑" w:hAnsi="微软雅黑" w:eastAsia="微软雅黑" w:cs="微软雅黑"/>
              <w:spacing w:val="-3"/>
              <w:position w:val="5"/>
              <w:sz w:val="22"/>
              <w:szCs w:val="22"/>
            </w:rPr>
            <w:fldChar w:fldCharType="end"/>
          </w:r>
        </w:p>
        <w:p w14:paraId="3376D5C4">
          <w:pPr>
            <w:tabs>
              <w:tab w:val="right" w:leader="dot" w:pos="8830"/>
            </w:tabs>
            <w:spacing w:before="5" w:line="168" w:lineRule="auto"/>
            <w:ind w:left="17"/>
            <w:rPr>
              <w:rFonts w:ascii="宋体" w:hAnsi="宋体" w:eastAsia="宋体" w:cs="宋体"/>
              <w:sz w:val="22"/>
              <w:szCs w:val="22"/>
            </w:rPr>
          </w:pPr>
          <w:bookmarkStart w:id="200" w:name="bookmark269"/>
          <w:bookmarkEnd w:id="200"/>
          <w:r>
            <w:fldChar w:fldCharType="begin"/>
          </w:r>
          <w:r>
            <w:instrText xml:space="preserve"> HYPERLINK \l "bookmark269" </w:instrText>
          </w:r>
          <w:r>
            <w:fldChar w:fldCharType="separate"/>
          </w:r>
          <w:r>
            <w:rPr>
              <w:rFonts w:ascii="微软雅黑" w:hAnsi="微软雅黑" w:eastAsia="微软雅黑" w:cs="微软雅黑"/>
              <w:spacing w:val="-2"/>
              <w:sz w:val="22"/>
              <w:szCs w:val="22"/>
            </w:rPr>
            <w:t>单位等行为的</w:t>
          </w:r>
          <w:r>
            <w:rPr>
              <w:rFonts w:ascii="微软雅黑" w:hAnsi="微软雅黑" w:eastAsia="微软雅黑" w:cs="微软雅黑"/>
              <w:sz w:val="22"/>
              <w:szCs w:val="22"/>
            </w:rPr>
            <w:tab/>
          </w:r>
          <w:r>
            <w:rPr>
              <w:rFonts w:ascii="宋体" w:hAnsi="宋体" w:eastAsia="宋体" w:cs="宋体"/>
              <w:spacing w:val="-9"/>
              <w:sz w:val="22"/>
              <w:szCs w:val="22"/>
            </w:rPr>
            <w:t>154</w:t>
          </w:r>
          <w:r>
            <w:rPr>
              <w:rFonts w:ascii="宋体" w:hAnsi="宋体" w:eastAsia="宋体" w:cs="宋体"/>
              <w:spacing w:val="-9"/>
              <w:sz w:val="22"/>
              <w:szCs w:val="22"/>
            </w:rPr>
            <w:fldChar w:fldCharType="end"/>
          </w:r>
        </w:p>
        <w:p w14:paraId="2819C5A1">
          <w:pPr>
            <w:spacing w:line="410" w:lineRule="exact"/>
            <w:ind w:left="24"/>
            <w:rPr>
              <w:rFonts w:ascii="微软雅黑" w:hAnsi="微软雅黑" w:eastAsia="微软雅黑" w:cs="微软雅黑"/>
              <w:sz w:val="22"/>
              <w:szCs w:val="22"/>
            </w:rPr>
          </w:pPr>
          <w:bookmarkStart w:id="201" w:name="bookmark271"/>
          <w:bookmarkEnd w:id="201"/>
          <w:r>
            <w:rPr>
              <w:rFonts w:ascii="仿宋" w:hAnsi="仿宋" w:eastAsia="仿宋" w:cs="仿宋"/>
              <w:spacing w:val="-2"/>
              <w:position w:val="5"/>
              <w:sz w:val="22"/>
              <w:szCs w:val="22"/>
            </w:rPr>
            <w:t>132</w:t>
          </w:r>
          <w:r>
            <w:rPr>
              <w:rFonts w:ascii="宋体" w:hAnsi="宋体" w:eastAsia="宋体" w:cs="宋体"/>
              <w:spacing w:val="-2"/>
              <w:position w:val="5"/>
              <w:sz w:val="22"/>
              <w:szCs w:val="22"/>
            </w:rPr>
            <w:t>．</w:t>
          </w:r>
          <w:r>
            <w:fldChar w:fldCharType="begin"/>
          </w:r>
          <w:r>
            <w:instrText xml:space="preserve"> HYPERLINK \l "bookmark272" </w:instrText>
          </w:r>
          <w:r>
            <w:fldChar w:fldCharType="separate"/>
          </w:r>
          <w:r>
            <w:rPr>
              <w:rFonts w:ascii="微软雅黑" w:hAnsi="微软雅黑" w:eastAsia="微软雅黑" w:cs="微软雅黑"/>
              <w:spacing w:val="-2"/>
              <w:position w:val="5"/>
              <w:sz w:val="22"/>
              <w:szCs w:val="22"/>
            </w:rPr>
            <w:t>转产、停产、停止使用的危险化学品管道，管道单位未</w:t>
          </w:r>
          <w:r>
            <w:rPr>
              <w:rFonts w:ascii="微软雅黑" w:hAnsi="微软雅黑" w:eastAsia="微软雅黑" w:cs="微软雅黑"/>
              <w:spacing w:val="-3"/>
              <w:position w:val="5"/>
              <w:sz w:val="22"/>
              <w:szCs w:val="22"/>
            </w:rPr>
            <w:t>采取有效措施及时、妥善处置的</w:t>
          </w:r>
          <w:r>
            <w:rPr>
              <w:rFonts w:ascii="微软雅黑" w:hAnsi="微软雅黑" w:eastAsia="微软雅黑" w:cs="微软雅黑"/>
              <w:spacing w:val="-3"/>
              <w:position w:val="5"/>
              <w:sz w:val="22"/>
              <w:szCs w:val="22"/>
            </w:rPr>
            <w:fldChar w:fldCharType="end"/>
          </w:r>
        </w:p>
        <w:p w14:paraId="4BB4B778">
          <w:pPr>
            <w:tabs>
              <w:tab w:val="right" w:leader="dot" w:pos="8829"/>
            </w:tabs>
            <w:spacing w:before="46" w:line="185" w:lineRule="auto"/>
            <w:ind w:left="69"/>
            <w:rPr>
              <w:rFonts w:ascii="宋体" w:hAnsi="宋体" w:eastAsia="宋体" w:cs="宋体"/>
              <w:sz w:val="22"/>
              <w:szCs w:val="22"/>
            </w:rPr>
          </w:pPr>
          <w:bookmarkStart w:id="202" w:name="bookmark271"/>
          <w:bookmarkEnd w:id="202"/>
          <w:r>
            <w:fldChar w:fldCharType="begin"/>
          </w:r>
          <w:r>
            <w:instrText xml:space="preserve"> HYPERLINK \l "bookmark271" </w:instrText>
          </w:r>
          <w:r>
            <w:fldChar w:fldCharType="separate"/>
          </w:r>
          <w:r>
            <w:rPr>
              <w:rFonts w:ascii="宋体" w:hAnsi="宋体" w:eastAsia="宋体" w:cs="宋体"/>
              <w:sz w:val="22"/>
              <w:szCs w:val="22"/>
            </w:rPr>
            <w:tab/>
          </w:r>
          <w:r>
            <w:rPr>
              <w:rFonts w:ascii="宋体" w:hAnsi="宋体" w:eastAsia="宋体" w:cs="宋体"/>
              <w:spacing w:val="-9"/>
              <w:sz w:val="22"/>
              <w:szCs w:val="22"/>
            </w:rPr>
            <w:t>155</w:t>
          </w:r>
          <w:r>
            <w:rPr>
              <w:rFonts w:ascii="宋体" w:hAnsi="宋体" w:eastAsia="宋体" w:cs="宋体"/>
              <w:spacing w:val="-9"/>
              <w:sz w:val="22"/>
              <w:szCs w:val="22"/>
            </w:rPr>
            <w:fldChar w:fldCharType="end"/>
          </w:r>
        </w:p>
        <w:p w14:paraId="4053AE0A">
          <w:pPr>
            <w:spacing w:before="4" w:line="216" w:lineRule="auto"/>
            <w:ind w:left="24"/>
            <w:rPr>
              <w:rFonts w:ascii="宋体" w:hAnsi="宋体" w:eastAsia="宋体" w:cs="宋体"/>
              <w:sz w:val="22"/>
              <w:szCs w:val="22"/>
            </w:rPr>
          </w:pPr>
          <w:bookmarkStart w:id="203" w:name="bookmark273"/>
          <w:bookmarkEnd w:id="203"/>
          <w:r>
            <w:rPr>
              <w:rFonts w:ascii="仿宋" w:hAnsi="仿宋" w:eastAsia="仿宋" w:cs="仿宋"/>
              <w:spacing w:val="-1"/>
              <w:sz w:val="22"/>
              <w:szCs w:val="22"/>
            </w:rPr>
            <w:t>133</w:t>
          </w:r>
          <w:r>
            <w:rPr>
              <w:rFonts w:ascii="宋体" w:hAnsi="宋体" w:eastAsia="宋体" w:cs="宋体"/>
              <w:spacing w:val="-1"/>
              <w:sz w:val="22"/>
              <w:szCs w:val="22"/>
            </w:rPr>
            <w:t>．</w:t>
          </w:r>
          <w:r>
            <w:fldChar w:fldCharType="begin"/>
          </w:r>
          <w:r>
            <w:instrText xml:space="preserve"> HYPERLINK \l "bookmark274" </w:instrText>
          </w:r>
          <w:r>
            <w:fldChar w:fldCharType="separate"/>
          </w:r>
          <w:r>
            <w:rPr>
              <w:rFonts w:ascii="微软雅黑" w:hAnsi="微软雅黑" w:eastAsia="微软雅黑" w:cs="微软雅黑"/>
              <w:spacing w:val="-1"/>
              <w:sz w:val="22"/>
              <w:szCs w:val="22"/>
            </w:rPr>
            <w:t>转产、停产、停止使用的危险化学品管道，管道单位未按规定将处置方案报备的</w:t>
          </w:r>
          <w:r>
            <w:rPr>
              <w:rFonts w:ascii="宋体" w:hAnsi="宋体" w:eastAsia="宋体" w:cs="宋体"/>
              <w:spacing w:val="-1"/>
              <w:sz w:val="22"/>
              <w:szCs w:val="22"/>
            </w:rPr>
            <w:t>.1</w:t>
          </w:r>
          <w:r>
            <w:rPr>
              <w:rFonts w:ascii="宋体" w:hAnsi="宋体" w:eastAsia="宋体" w:cs="宋体"/>
              <w:spacing w:val="-2"/>
              <w:sz w:val="22"/>
              <w:szCs w:val="22"/>
            </w:rPr>
            <w:t>55</w:t>
          </w:r>
          <w:r>
            <w:rPr>
              <w:rFonts w:ascii="宋体" w:hAnsi="宋体" w:eastAsia="宋体" w:cs="宋体"/>
              <w:spacing w:val="-2"/>
              <w:sz w:val="22"/>
              <w:szCs w:val="22"/>
            </w:rPr>
            <w:fldChar w:fldCharType="end"/>
          </w:r>
        </w:p>
        <w:p w14:paraId="7E3473C6">
          <w:pPr>
            <w:tabs>
              <w:tab w:val="right" w:leader="dot" w:pos="8839"/>
            </w:tabs>
            <w:spacing w:line="216" w:lineRule="auto"/>
            <w:ind w:left="24"/>
            <w:rPr>
              <w:rFonts w:ascii="宋体" w:hAnsi="宋体" w:eastAsia="宋体" w:cs="宋体"/>
              <w:sz w:val="22"/>
              <w:szCs w:val="22"/>
            </w:rPr>
          </w:pPr>
          <w:bookmarkStart w:id="204" w:name="bookmark275"/>
          <w:bookmarkEnd w:id="204"/>
          <w:r>
            <w:rPr>
              <w:rFonts w:ascii="仿宋" w:hAnsi="仿宋" w:eastAsia="仿宋" w:cs="仿宋"/>
              <w:spacing w:val="-1"/>
              <w:sz w:val="22"/>
              <w:szCs w:val="22"/>
            </w:rPr>
            <w:t>134</w:t>
          </w:r>
          <w:r>
            <w:rPr>
              <w:rFonts w:ascii="宋体" w:hAnsi="宋体" w:eastAsia="宋体" w:cs="宋体"/>
              <w:spacing w:val="-1"/>
              <w:sz w:val="22"/>
              <w:szCs w:val="22"/>
            </w:rPr>
            <w:t>．</w:t>
          </w:r>
          <w:r>
            <w:fldChar w:fldCharType="begin"/>
          </w:r>
          <w:r>
            <w:instrText xml:space="preserve"> HYPERLINK \l "bookmark276" </w:instrText>
          </w:r>
          <w:r>
            <w:fldChar w:fldCharType="separate"/>
          </w:r>
          <w:r>
            <w:rPr>
              <w:rFonts w:ascii="微软雅黑" w:hAnsi="微软雅黑" w:eastAsia="微软雅黑" w:cs="微软雅黑"/>
              <w:spacing w:val="-1"/>
              <w:sz w:val="22"/>
              <w:szCs w:val="22"/>
            </w:rPr>
            <w:t>危险化学品建设项目安全设施竣工后未进行检验、检测的</w:t>
          </w:r>
          <w:r>
            <w:rPr>
              <w:rFonts w:ascii="微软雅黑" w:hAnsi="微软雅黑" w:eastAsia="微软雅黑" w:cs="微软雅黑"/>
              <w:sz w:val="22"/>
              <w:szCs w:val="22"/>
            </w:rPr>
            <w:tab/>
          </w:r>
          <w:r>
            <w:rPr>
              <w:rFonts w:ascii="宋体" w:hAnsi="宋体" w:eastAsia="宋体" w:cs="宋体"/>
              <w:spacing w:val="-9"/>
              <w:sz w:val="22"/>
              <w:szCs w:val="22"/>
            </w:rPr>
            <w:t>156</w:t>
          </w:r>
          <w:r>
            <w:rPr>
              <w:rFonts w:ascii="宋体" w:hAnsi="宋体" w:eastAsia="宋体" w:cs="宋体"/>
              <w:spacing w:val="-9"/>
              <w:sz w:val="22"/>
              <w:szCs w:val="22"/>
            </w:rPr>
            <w:fldChar w:fldCharType="end"/>
          </w:r>
        </w:p>
        <w:p w14:paraId="615E14BA">
          <w:pPr>
            <w:tabs>
              <w:tab w:val="right" w:leader="dot" w:pos="8840"/>
            </w:tabs>
            <w:spacing w:line="216" w:lineRule="auto"/>
            <w:ind w:left="24"/>
            <w:rPr>
              <w:rFonts w:ascii="宋体" w:hAnsi="宋体" w:eastAsia="宋体" w:cs="宋体"/>
              <w:sz w:val="22"/>
              <w:szCs w:val="22"/>
            </w:rPr>
          </w:pPr>
          <w:bookmarkStart w:id="205" w:name="bookmark277"/>
          <w:bookmarkEnd w:id="205"/>
          <w:r>
            <w:rPr>
              <w:rFonts w:ascii="仿宋" w:hAnsi="仿宋" w:eastAsia="仿宋" w:cs="仿宋"/>
              <w:spacing w:val="-1"/>
              <w:sz w:val="22"/>
              <w:szCs w:val="22"/>
            </w:rPr>
            <w:t>135</w:t>
          </w:r>
          <w:r>
            <w:rPr>
              <w:rFonts w:ascii="宋体" w:hAnsi="宋体" w:eastAsia="宋体" w:cs="宋体"/>
              <w:spacing w:val="-1"/>
              <w:sz w:val="22"/>
              <w:szCs w:val="22"/>
            </w:rPr>
            <w:t>．</w:t>
          </w:r>
          <w:r>
            <w:fldChar w:fldCharType="begin"/>
          </w:r>
          <w:r>
            <w:instrText xml:space="preserve"> HYPERLINK \l "bookmark278" </w:instrText>
          </w:r>
          <w:r>
            <w:fldChar w:fldCharType="separate"/>
          </w:r>
          <w:r>
            <w:rPr>
              <w:rFonts w:ascii="微软雅黑" w:hAnsi="微软雅黑" w:eastAsia="微软雅黑" w:cs="微软雅黑"/>
              <w:spacing w:val="-1"/>
              <w:sz w:val="22"/>
              <w:szCs w:val="22"/>
            </w:rPr>
            <w:t>危险化学品建设单位在申请建设项目安全审查时提供虚假文件、资料的</w:t>
          </w:r>
          <w:r>
            <w:rPr>
              <w:rFonts w:ascii="微软雅黑" w:hAnsi="微软雅黑" w:eastAsia="微软雅黑" w:cs="微软雅黑"/>
              <w:sz w:val="22"/>
              <w:szCs w:val="22"/>
            </w:rPr>
            <w:tab/>
          </w:r>
          <w:r>
            <w:rPr>
              <w:rFonts w:ascii="宋体" w:hAnsi="宋体" w:eastAsia="宋体" w:cs="宋体"/>
              <w:spacing w:val="-9"/>
              <w:sz w:val="22"/>
              <w:szCs w:val="22"/>
            </w:rPr>
            <w:t>157</w:t>
          </w:r>
          <w:r>
            <w:rPr>
              <w:rFonts w:ascii="宋体" w:hAnsi="宋体" w:eastAsia="宋体" w:cs="宋体"/>
              <w:spacing w:val="-9"/>
              <w:sz w:val="22"/>
              <w:szCs w:val="22"/>
            </w:rPr>
            <w:fldChar w:fldCharType="end"/>
          </w:r>
        </w:p>
        <w:p w14:paraId="1A6E1549">
          <w:pPr>
            <w:spacing w:line="404" w:lineRule="exact"/>
            <w:ind w:left="24"/>
            <w:rPr>
              <w:rFonts w:ascii="微软雅黑" w:hAnsi="微软雅黑" w:eastAsia="微软雅黑" w:cs="微软雅黑"/>
              <w:sz w:val="22"/>
              <w:szCs w:val="22"/>
            </w:rPr>
          </w:pPr>
          <w:bookmarkStart w:id="206" w:name="bookmark279"/>
          <w:bookmarkEnd w:id="206"/>
          <w:r>
            <w:rPr>
              <w:rFonts w:ascii="仿宋" w:hAnsi="仿宋" w:eastAsia="仿宋" w:cs="仿宋"/>
              <w:spacing w:val="-2"/>
              <w:position w:val="5"/>
              <w:sz w:val="22"/>
              <w:szCs w:val="22"/>
            </w:rPr>
            <w:t>136</w:t>
          </w:r>
          <w:r>
            <w:rPr>
              <w:rFonts w:ascii="宋体" w:hAnsi="宋体" w:eastAsia="宋体" w:cs="宋体"/>
              <w:spacing w:val="-2"/>
              <w:position w:val="5"/>
              <w:sz w:val="22"/>
              <w:szCs w:val="22"/>
            </w:rPr>
            <w:t>．</w:t>
          </w:r>
          <w:r>
            <w:fldChar w:fldCharType="begin"/>
          </w:r>
          <w:r>
            <w:instrText xml:space="preserve"> HYPERLINK \l "bookmark280" </w:instrText>
          </w:r>
          <w:r>
            <w:fldChar w:fldCharType="separate"/>
          </w:r>
          <w:r>
            <w:rPr>
              <w:rFonts w:ascii="微软雅黑" w:hAnsi="微软雅黑" w:eastAsia="微软雅黑" w:cs="微软雅黑"/>
              <w:spacing w:val="-2"/>
              <w:position w:val="5"/>
              <w:sz w:val="22"/>
              <w:szCs w:val="22"/>
            </w:rPr>
            <w:t>危险化学品建设单位未组织有关单位和专家研究提</w:t>
          </w:r>
          <w:r>
            <w:rPr>
              <w:rFonts w:ascii="微软雅黑" w:hAnsi="微软雅黑" w:eastAsia="微软雅黑" w:cs="微软雅黑"/>
              <w:spacing w:val="-3"/>
              <w:position w:val="5"/>
              <w:sz w:val="22"/>
              <w:szCs w:val="22"/>
            </w:rPr>
            <w:t>出试生产（使用）可能出现的安全问</w:t>
          </w:r>
          <w:r>
            <w:rPr>
              <w:rFonts w:ascii="微软雅黑" w:hAnsi="微软雅黑" w:eastAsia="微软雅黑" w:cs="微软雅黑"/>
              <w:spacing w:val="-3"/>
              <w:position w:val="5"/>
              <w:sz w:val="22"/>
              <w:szCs w:val="22"/>
            </w:rPr>
            <w:fldChar w:fldCharType="end"/>
          </w:r>
        </w:p>
        <w:p w14:paraId="626D36EB">
          <w:pPr>
            <w:tabs>
              <w:tab w:val="right" w:leader="dot" w:pos="8840"/>
            </w:tabs>
            <w:spacing w:before="14" w:line="167" w:lineRule="auto"/>
            <w:ind w:left="13"/>
            <w:rPr>
              <w:rFonts w:ascii="宋体" w:hAnsi="宋体" w:eastAsia="宋体" w:cs="宋体"/>
              <w:sz w:val="22"/>
              <w:szCs w:val="22"/>
            </w:rPr>
          </w:pPr>
          <w:bookmarkStart w:id="207" w:name="bookmark279"/>
          <w:bookmarkEnd w:id="207"/>
          <w:r>
            <w:fldChar w:fldCharType="begin"/>
          </w:r>
          <w:r>
            <w:instrText xml:space="preserve"> HYPERLINK \l "bookmark279" </w:instrText>
          </w:r>
          <w:r>
            <w:fldChar w:fldCharType="separate"/>
          </w:r>
          <w:r>
            <w:rPr>
              <w:rFonts w:ascii="微软雅黑" w:hAnsi="微软雅黑" w:eastAsia="微软雅黑" w:cs="微软雅黑"/>
              <w:spacing w:val="-5"/>
              <w:sz w:val="22"/>
              <w:szCs w:val="22"/>
            </w:rPr>
            <w:t>题及对策，或者未制定周密的试生产（使用）方案，进行试生产（使用）的</w:t>
          </w:r>
          <w:r>
            <w:rPr>
              <w:rFonts w:ascii="微软雅黑" w:hAnsi="微软雅黑" w:eastAsia="微软雅黑" w:cs="微软雅黑"/>
              <w:sz w:val="22"/>
              <w:szCs w:val="22"/>
            </w:rPr>
            <w:tab/>
          </w:r>
          <w:r>
            <w:rPr>
              <w:rFonts w:ascii="宋体" w:hAnsi="宋体" w:eastAsia="宋体" w:cs="宋体"/>
              <w:spacing w:val="-9"/>
              <w:sz w:val="22"/>
              <w:szCs w:val="22"/>
            </w:rPr>
            <w:t>157</w:t>
          </w:r>
          <w:r>
            <w:rPr>
              <w:rFonts w:ascii="宋体" w:hAnsi="宋体" w:eastAsia="宋体" w:cs="宋体"/>
              <w:spacing w:val="-9"/>
              <w:sz w:val="22"/>
              <w:szCs w:val="22"/>
            </w:rPr>
            <w:fldChar w:fldCharType="end"/>
          </w:r>
        </w:p>
        <w:p w14:paraId="2364D967">
          <w:pPr>
            <w:spacing w:line="403" w:lineRule="exact"/>
            <w:jc w:val="right"/>
            <w:rPr>
              <w:rFonts w:ascii="微软雅黑" w:hAnsi="微软雅黑" w:eastAsia="微软雅黑" w:cs="微软雅黑"/>
              <w:sz w:val="22"/>
              <w:szCs w:val="22"/>
            </w:rPr>
          </w:pPr>
          <w:bookmarkStart w:id="208" w:name="bookmark281"/>
          <w:bookmarkEnd w:id="208"/>
          <w:r>
            <w:rPr>
              <w:rFonts w:ascii="仿宋" w:hAnsi="仿宋" w:eastAsia="仿宋" w:cs="仿宋"/>
              <w:spacing w:val="-5"/>
              <w:position w:val="5"/>
              <w:sz w:val="22"/>
              <w:szCs w:val="22"/>
            </w:rPr>
            <w:t>137</w:t>
          </w:r>
          <w:r>
            <w:rPr>
              <w:rFonts w:ascii="宋体" w:hAnsi="宋体" w:eastAsia="宋体" w:cs="宋体"/>
              <w:spacing w:val="-5"/>
              <w:position w:val="5"/>
              <w:sz w:val="22"/>
              <w:szCs w:val="22"/>
            </w:rPr>
            <w:t>．</w:t>
          </w:r>
          <w:r>
            <w:fldChar w:fldCharType="begin"/>
          </w:r>
          <w:r>
            <w:instrText xml:space="preserve"> HYPERLINK \l "bookmark282" </w:instrText>
          </w:r>
          <w:r>
            <w:fldChar w:fldCharType="separate"/>
          </w:r>
          <w:r>
            <w:rPr>
              <w:rFonts w:ascii="微软雅黑" w:hAnsi="微软雅黑" w:eastAsia="微软雅黑" w:cs="微软雅黑"/>
              <w:spacing w:val="-5"/>
              <w:position w:val="5"/>
              <w:sz w:val="22"/>
              <w:szCs w:val="22"/>
            </w:rPr>
            <w:t>危险化学品建设单位未组织有关专家对试生产（使用）方案进行审查、对试生产（使用）</w:t>
          </w:r>
          <w:r>
            <w:rPr>
              <w:rFonts w:ascii="微软雅黑" w:hAnsi="微软雅黑" w:eastAsia="微软雅黑" w:cs="微软雅黑"/>
              <w:spacing w:val="-5"/>
              <w:position w:val="5"/>
              <w:sz w:val="22"/>
              <w:szCs w:val="22"/>
            </w:rPr>
            <w:fldChar w:fldCharType="end"/>
          </w:r>
        </w:p>
        <w:p w14:paraId="63EF18A8">
          <w:pPr>
            <w:tabs>
              <w:tab w:val="right" w:leader="dot" w:pos="8832"/>
            </w:tabs>
            <w:spacing w:before="12" w:line="168" w:lineRule="auto"/>
            <w:ind w:left="13"/>
            <w:rPr>
              <w:rFonts w:ascii="宋体" w:hAnsi="宋体" w:eastAsia="宋体" w:cs="宋体"/>
              <w:sz w:val="22"/>
              <w:szCs w:val="22"/>
            </w:rPr>
          </w:pPr>
          <w:bookmarkStart w:id="209" w:name="bookmark281"/>
          <w:bookmarkEnd w:id="209"/>
          <w:r>
            <w:fldChar w:fldCharType="begin"/>
          </w:r>
          <w:r>
            <w:instrText xml:space="preserve"> HYPERLINK \l "bookmark281" </w:instrText>
          </w:r>
          <w:r>
            <w:fldChar w:fldCharType="separate"/>
          </w:r>
          <w:r>
            <w:rPr>
              <w:rFonts w:ascii="微软雅黑" w:hAnsi="微软雅黑" w:eastAsia="微软雅黑" w:cs="微软雅黑"/>
              <w:spacing w:val="-1"/>
              <w:sz w:val="22"/>
              <w:szCs w:val="22"/>
            </w:rPr>
            <w:t>条件进行检查确认的</w:t>
          </w:r>
          <w:r>
            <w:rPr>
              <w:rFonts w:ascii="微软雅黑" w:hAnsi="微软雅黑" w:eastAsia="微软雅黑" w:cs="微软雅黑"/>
              <w:sz w:val="22"/>
              <w:szCs w:val="22"/>
            </w:rPr>
            <w:tab/>
          </w:r>
          <w:r>
            <w:rPr>
              <w:rFonts w:ascii="宋体" w:hAnsi="宋体" w:eastAsia="宋体" w:cs="宋体"/>
              <w:spacing w:val="-9"/>
              <w:sz w:val="22"/>
              <w:szCs w:val="22"/>
            </w:rPr>
            <w:t>158</w:t>
          </w:r>
          <w:r>
            <w:rPr>
              <w:rFonts w:ascii="宋体" w:hAnsi="宋体" w:eastAsia="宋体" w:cs="宋体"/>
              <w:spacing w:val="-9"/>
              <w:sz w:val="22"/>
              <w:szCs w:val="22"/>
            </w:rPr>
            <w:fldChar w:fldCharType="end"/>
          </w:r>
        </w:p>
        <w:p w14:paraId="79B263B0">
          <w:pPr>
            <w:tabs>
              <w:tab w:val="right" w:leader="dot" w:pos="8840"/>
            </w:tabs>
            <w:spacing w:before="1" w:line="216" w:lineRule="auto"/>
            <w:ind w:left="24"/>
            <w:rPr>
              <w:rFonts w:ascii="宋体" w:hAnsi="宋体" w:eastAsia="宋体" w:cs="宋体"/>
              <w:sz w:val="22"/>
              <w:szCs w:val="22"/>
            </w:rPr>
          </w:pPr>
          <w:bookmarkStart w:id="210" w:name="bookmark283"/>
          <w:bookmarkEnd w:id="210"/>
          <w:r>
            <w:rPr>
              <w:rFonts w:ascii="仿宋" w:hAnsi="仿宋" w:eastAsia="仿宋" w:cs="仿宋"/>
              <w:spacing w:val="-1"/>
              <w:sz w:val="22"/>
              <w:szCs w:val="22"/>
            </w:rPr>
            <w:t>138</w:t>
          </w:r>
          <w:r>
            <w:rPr>
              <w:rFonts w:ascii="宋体" w:hAnsi="宋体" w:eastAsia="宋体" w:cs="宋体"/>
              <w:spacing w:val="-1"/>
              <w:sz w:val="22"/>
              <w:szCs w:val="22"/>
            </w:rPr>
            <w:t>．</w:t>
          </w:r>
          <w:r>
            <w:fldChar w:fldCharType="begin"/>
          </w:r>
          <w:r>
            <w:instrText xml:space="preserve"> HYPERLINK \l "bookmark284" </w:instrText>
          </w:r>
          <w:r>
            <w:fldChar w:fldCharType="separate"/>
          </w:r>
          <w:r>
            <w:rPr>
              <w:rFonts w:ascii="微软雅黑" w:hAnsi="微软雅黑" w:eastAsia="微软雅黑" w:cs="微软雅黑"/>
              <w:spacing w:val="-1"/>
              <w:sz w:val="22"/>
              <w:szCs w:val="22"/>
            </w:rPr>
            <w:t>化学品单位未按规定对化学品进行物理危险性鉴定或者分类的</w:t>
          </w:r>
          <w:r>
            <w:rPr>
              <w:rFonts w:ascii="微软雅黑" w:hAnsi="微软雅黑" w:eastAsia="微软雅黑" w:cs="微软雅黑"/>
              <w:sz w:val="22"/>
              <w:szCs w:val="22"/>
            </w:rPr>
            <w:tab/>
          </w:r>
          <w:r>
            <w:rPr>
              <w:rFonts w:ascii="宋体" w:hAnsi="宋体" w:eastAsia="宋体" w:cs="宋体"/>
              <w:spacing w:val="-9"/>
              <w:sz w:val="22"/>
              <w:szCs w:val="22"/>
            </w:rPr>
            <w:t>159</w:t>
          </w:r>
          <w:r>
            <w:rPr>
              <w:rFonts w:ascii="宋体" w:hAnsi="宋体" w:eastAsia="宋体" w:cs="宋体"/>
              <w:spacing w:val="-9"/>
              <w:sz w:val="22"/>
              <w:szCs w:val="22"/>
            </w:rPr>
            <w:fldChar w:fldCharType="end"/>
          </w:r>
        </w:p>
        <w:p w14:paraId="488B1518">
          <w:pPr>
            <w:tabs>
              <w:tab w:val="right" w:leader="dot" w:pos="8840"/>
            </w:tabs>
            <w:spacing w:line="216" w:lineRule="auto"/>
            <w:ind w:left="24"/>
            <w:rPr>
              <w:rFonts w:ascii="宋体" w:hAnsi="宋体" w:eastAsia="宋体" w:cs="宋体"/>
              <w:sz w:val="22"/>
              <w:szCs w:val="22"/>
            </w:rPr>
          </w:pPr>
          <w:bookmarkStart w:id="211" w:name="bookmark285"/>
          <w:bookmarkEnd w:id="211"/>
          <w:r>
            <w:rPr>
              <w:rFonts w:ascii="仿宋" w:hAnsi="仿宋" w:eastAsia="仿宋" w:cs="仿宋"/>
              <w:spacing w:val="-1"/>
              <w:sz w:val="22"/>
              <w:szCs w:val="22"/>
            </w:rPr>
            <w:t>139</w:t>
          </w:r>
          <w:r>
            <w:rPr>
              <w:rFonts w:ascii="宋体" w:hAnsi="宋体" w:eastAsia="宋体" w:cs="宋体"/>
              <w:spacing w:val="-1"/>
              <w:sz w:val="22"/>
              <w:szCs w:val="22"/>
            </w:rPr>
            <w:t>．</w:t>
          </w:r>
          <w:r>
            <w:fldChar w:fldCharType="begin"/>
          </w:r>
          <w:r>
            <w:instrText xml:space="preserve"> HYPERLINK \l "bookmark286" </w:instrText>
          </w:r>
          <w:r>
            <w:fldChar w:fldCharType="separate"/>
          </w:r>
          <w:r>
            <w:rPr>
              <w:rFonts w:ascii="微软雅黑" w:hAnsi="微软雅黑" w:eastAsia="微软雅黑" w:cs="微软雅黑"/>
              <w:spacing w:val="-1"/>
              <w:sz w:val="22"/>
              <w:szCs w:val="22"/>
            </w:rPr>
            <w:t>化学品单位未按规定建立化学品物理危险性鉴定与分类管理档案的</w:t>
          </w:r>
          <w:r>
            <w:rPr>
              <w:rFonts w:ascii="微软雅黑" w:hAnsi="微软雅黑" w:eastAsia="微软雅黑" w:cs="微软雅黑"/>
              <w:sz w:val="22"/>
              <w:szCs w:val="22"/>
            </w:rPr>
            <w:tab/>
          </w:r>
          <w:r>
            <w:rPr>
              <w:rFonts w:ascii="宋体" w:hAnsi="宋体" w:eastAsia="宋体" w:cs="宋体"/>
              <w:spacing w:val="-9"/>
              <w:sz w:val="22"/>
              <w:szCs w:val="22"/>
            </w:rPr>
            <w:t>159</w:t>
          </w:r>
          <w:r>
            <w:rPr>
              <w:rFonts w:ascii="宋体" w:hAnsi="宋体" w:eastAsia="宋体" w:cs="宋体"/>
              <w:spacing w:val="-9"/>
              <w:sz w:val="22"/>
              <w:szCs w:val="22"/>
            </w:rPr>
            <w:fldChar w:fldCharType="end"/>
          </w:r>
        </w:p>
        <w:p w14:paraId="65AB6800">
          <w:pPr>
            <w:spacing w:line="410" w:lineRule="exact"/>
            <w:ind w:left="24"/>
            <w:rPr>
              <w:rFonts w:ascii="微软雅黑" w:hAnsi="微软雅黑" w:eastAsia="微软雅黑" w:cs="微软雅黑"/>
              <w:sz w:val="22"/>
              <w:szCs w:val="22"/>
            </w:rPr>
          </w:pPr>
          <w:bookmarkStart w:id="212" w:name="bookmark287"/>
          <w:bookmarkEnd w:id="212"/>
          <w:r>
            <w:rPr>
              <w:rFonts w:ascii="仿宋" w:hAnsi="仿宋" w:eastAsia="仿宋" w:cs="仿宋"/>
              <w:spacing w:val="-2"/>
              <w:position w:val="5"/>
              <w:sz w:val="22"/>
              <w:szCs w:val="22"/>
            </w:rPr>
            <w:t>140</w:t>
          </w:r>
          <w:r>
            <w:rPr>
              <w:rFonts w:ascii="宋体" w:hAnsi="宋体" w:eastAsia="宋体" w:cs="宋体"/>
              <w:spacing w:val="-2"/>
              <w:position w:val="5"/>
              <w:sz w:val="22"/>
              <w:szCs w:val="22"/>
            </w:rPr>
            <w:t>．</w:t>
          </w:r>
          <w:r>
            <w:fldChar w:fldCharType="begin"/>
          </w:r>
          <w:r>
            <w:instrText xml:space="preserve"> HYPERLINK \l "bookmark288" </w:instrText>
          </w:r>
          <w:r>
            <w:fldChar w:fldCharType="separate"/>
          </w:r>
          <w:r>
            <w:rPr>
              <w:rFonts w:ascii="微软雅黑" w:hAnsi="微软雅黑" w:eastAsia="微软雅黑" w:cs="微软雅黑"/>
              <w:spacing w:val="-2"/>
              <w:position w:val="5"/>
              <w:sz w:val="22"/>
              <w:szCs w:val="22"/>
            </w:rPr>
            <w:t>化学品单位在办理化学品物理危险性的鉴定过程中，隐</w:t>
          </w:r>
          <w:r>
            <w:rPr>
              <w:rFonts w:ascii="微软雅黑" w:hAnsi="微软雅黑" w:eastAsia="微软雅黑" w:cs="微软雅黑"/>
              <w:spacing w:val="-3"/>
              <w:position w:val="5"/>
              <w:sz w:val="22"/>
              <w:szCs w:val="22"/>
            </w:rPr>
            <w:t>瞒化学品的危险性成分、含量等</w:t>
          </w:r>
          <w:r>
            <w:rPr>
              <w:rFonts w:ascii="微软雅黑" w:hAnsi="微软雅黑" w:eastAsia="微软雅黑" w:cs="微软雅黑"/>
              <w:spacing w:val="-3"/>
              <w:position w:val="5"/>
              <w:sz w:val="22"/>
              <w:szCs w:val="22"/>
            </w:rPr>
            <w:fldChar w:fldCharType="end"/>
          </w:r>
        </w:p>
        <w:p w14:paraId="01B7879C">
          <w:pPr>
            <w:tabs>
              <w:tab w:val="right" w:leader="dot" w:pos="8832"/>
            </w:tabs>
            <w:spacing w:before="7" w:line="167" w:lineRule="auto"/>
            <w:ind w:left="16"/>
            <w:rPr>
              <w:rFonts w:ascii="宋体" w:hAnsi="宋体" w:eastAsia="宋体" w:cs="宋体"/>
              <w:sz w:val="22"/>
              <w:szCs w:val="22"/>
            </w:rPr>
          </w:pPr>
          <w:bookmarkStart w:id="213" w:name="bookmark287"/>
          <w:bookmarkEnd w:id="213"/>
          <w:r>
            <w:fldChar w:fldCharType="begin"/>
          </w:r>
          <w:r>
            <w:instrText xml:space="preserve"> HYPERLINK \l "bookmark287" </w:instrText>
          </w:r>
          <w:r>
            <w:fldChar w:fldCharType="separate"/>
          </w:r>
          <w:r>
            <w:rPr>
              <w:rFonts w:ascii="微软雅黑" w:hAnsi="微软雅黑" w:eastAsia="微软雅黑" w:cs="微软雅黑"/>
              <w:spacing w:val="-1"/>
              <w:sz w:val="22"/>
              <w:szCs w:val="22"/>
            </w:rPr>
            <w:t>相关信息或者提供虚假材料的</w:t>
          </w:r>
          <w:r>
            <w:rPr>
              <w:rFonts w:ascii="微软雅黑" w:hAnsi="微软雅黑" w:eastAsia="微软雅黑" w:cs="微软雅黑"/>
              <w:sz w:val="22"/>
              <w:szCs w:val="22"/>
            </w:rPr>
            <w:tab/>
          </w:r>
          <w:r>
            <w:rPr>
              <w:rFonts w:ascii="宋体" w:hAnsi="宋体" w:eastAsia="宋体" w:cs="宋体"/>
              <w:spacing w:val="-9"/>
              <w:sz w:val="22"/>
              <w:szCs w:val="22"/>
            </w:rPr>
            <w:t>160</w:t>
          </w:r>
          <w:r>
            <w:rPr>
              <w:rFonts w:ascii="宋体" w:hAnsi="宋体" w:eastAsia="宋体" w:cs="宋体"/>
              <w:spacing w:val="-9"/>
              <w:sz w:val="22"/>
              <w:szCs w:val="22"/>
            </w:rPr>
            <w:fldChar w:fldCharType="end"/>
          </w:r>
        </w:p>
        <w:p w14:paraId="317542EA">
          <w:pPr>
            <w:tabs>
              <w:tab w:val="right" w:leader="dot" w:pos="8842"/>
            </w:tabs>
            <w:spacing w:before="1" w:line="216" w:lineRule="auto"/>
            <w:ind w:left="24"/>
            <w:rPr>
              <w:rFonts w:ascii="宋体" w:hAnsi="宋体" w:eastAsia="宋体" w:cs="宋体"/>
              <w:sz w:val="22"/>
              <w:szCs w:val="22"/>
            </w:rPr>
          </w:pPr>
          <w:bookmarkStart w:id="214" w:name="bookmark289"/>
          <w:bookmarkEnd w:id="214"/>
          <w:r>
            <w:rPr>
              <w:rFonts w:ascii="仿宋" w:hAnsi="仿宋" w:eastAsia="仿宋" w:cs="仿宋"/>
              <w:spacing w:val="-1"/>
              <w:sz w:val="22"/>
              <w:szCs w:val="22"/>
            </w:rPr>
            <w:t>141</w:t>
          </w:r>
          <w:r>
            <w:rPr>
              <w:rFonts w:ascii="宋体" w:hAnsi="宋体" w:eastAsia="宋体" w:cs="宋体"/>
              <w:spacing w:val="-1"/>
              <w:sz w:val="22"/>
              <w:szCs w:val="22"/>
            </w:rPr>
            <w:t>．</w:t>
          </w:r>
          <w:r>
            <w:fldChar w:fldCharType="begin"/>
          </w:r>
          <w:r>
            <w:instrText xml:space="preserve"> HYPERLINK \l "bookmark290" </w:instrText>
          </w:r>
          <w:r>
            <w:fldChar w:fldCharType="separate"/>
          </w:r>
          <w:r>
            <w:rPr>
              <w:rFonts w:ascii="微软雅黑" w:hAnsi="微软雅黑" w:eastAsia="微软雅黑" w:cs="微软雅黑"/>
              <w:spacing w:val="-1"/>
              <w:sz w:val="22"/>
              <w:szCs w:val="22"/>
            </w:rPr>
            <w:t>鉴定机构在物理危险性鉴定过程中伪造、篡改数据或者有其他弄虚作假行为的</w:t>
          </w:r>
          <w:r>
            <w:rPr>
              <w:rFonts w:ascii="微软雅黑" w:hAnsi="微软雅黑" w:eastAsia="微软雅黑" w:cs="微软雅黑"/>
              <w:sz w:val="22"/>
              <w:szCs w:val="22"/>
            </w:rPr>
            <w:tab/>
          </w:r>
          <w:r>
            <w:rPr>
              <w:rFonts w:ascii="宋体" w:hAnsi="宋体" w:eastAsia="宋体" w:cs="宋体"/>
              <w:spacing w:val="-9"/>
              <w:sz w:val="22"/>
              <w:szCs w:val="22"/>
            </w:rPr>
            <w:t>160</w:t>
          </w:r>
          <w:r>
            <w:rPr>
              <w:rFonts w:ascii="宋体" w:hAnsi="宋体" w:eastAsia="宋体" w:cs="宋体"/>
              <w:spacing w:val="-9"/>
              <w:sz w:val="22"/>
              <w:szCs w:val="22"/>
            </w:rPr>
            <w:fldChar w:fldCharType="end"/>
          </w:r>
        </w:p>
        <w:p w14:paraId="4BA6512A">
          <w:pPr>
            <w:tabs>
              <w:tab w:val="right" w:leader="dot" w:pos="8840"/>
            </w:tabs>
            <w:spacing w:line="216" w:lineRule="auto"/>
            <w:ind w:left="24"/>
            <w:rPr>
              <w:rFonts w:ascii="宋体" w:hAnsi="宋体" w:eastAsia="宋体" w:cs="宋体"/>
              <w:sz w:val="22"/>
              <w:szCs w:val="22"/>
            </w:rPr>
          </w:pPr>
          <w:bookmarkStart w:id="215" w:name="bookmark291"/>
          <w:bookmarkEnd w:id="215"/>
          <w:r>
            <w:rPr>
              <w:rFonts w:ascii="仿宋" w:hAnsi="仿宋" w:eastAsia="仿宋" w:cs="仿宋"/>
              <w:spacing w:val="-1"/>
              <w:sz w:val="22"/>
              <w:szCs w:val="22"/>
            </w:rPr>
            <w:t>142</w:t>
          </w:r>
          <w:r>
            <w:rPr>
              <w:rFonts w:ascii="宋体" w:hAnsi="宋体" w:eastAsia="宋体" w:cs="宋体"/>
              <w:spacing w:val="-1"/>
              <w:sz w:val="22"/>
              <w:szCs w:val="22"/>
            </w:rPr>
            <w:t>．</w:t>
          </w:r>
          <w:r>
            <w:fldChar w:fldCharType="begin"/>
          </w:r>
          <w:r>
            <w:instrText xml:space="preserve"> HYPERLINK \l "bookmark292" </w:instrText>
          </w:r>
          <w:r>
            <w:fldChar w:fldCharType="separate"/>
          </w:r>
          <w:r>
            <w:rPr>
              <w:rFonts w:ascii="微软雅黑" w:hAnsi="微软雅黑" w:eastAsia="微软雅黑" w:cs="微软雅黑"/>
              <w:spacing w:val="-1"/>
              <w:sz w:val="22"/>
              <w:szCs w:val="22"/>
            </w:rPr>
            <w:t>鉴定机构在物理危险性鉴定过程中未通过监督检查，仍从事鉴定工作的</w:t>
          </w:r>
          <w:r>
            <w:rPr>
              <w:rFonts w:ascii="微软雅黑" w:hAnsi="微软雅黑" w:eastAsia="微软雅黑" w:cs="微软雅黑"/>
              <w:sz w:val="22"/>
              <w:szCs w:val="22"/>
            </w:rPr>
            <w:tab/>
          </w:r>
          <w:r>
            <w:rPr>
              <w:rFonts w:ascii="宋体" w:hAnsi="宋体" w:eastAsia="宋体" w:cs="宋体"/>
              <w:spacing w:val="-9"/>
              <w:sz w:val="22"/>
              <w:szCs w:val="22"/>
            </w:rPr>
            <w:t>160</w:t>
          </w:r>
          <w:r>
            <w:rPr>
              <w:rFonts w:ascii="宋体" w:hAnsi="宋体" w:eastAsia="宋体" w:cs="宋体"/>
              <w:spacing w:val="-9"/>
              <w:sz w:val="22"/>
              <w:szCs w:val="22"/>
            </w:rPr>
            <w:fldChar w:fldCharType="end"/>
          </w:r>
        </w:p>
        <w:p w14:paraId="5A169453">
          <w:pPr>
            <w:tabs>
              <w:tab w:val="right" w:leader="dot" w:pos="8840"/>
            </w:tabs>
            <w:spacing w:line="216" w:lineRule="auto"/>
            <w:ind w:left="24"/>
            <w:rPr>
              <w:rFonts w:ascii="宋体" w:hAnsi="宋体" w:eastAsia="宋体" w:cs="宋体"/>
              <w:sz w:val="22"/>
              <w:szCs w:val="22"/>
            </w:rPr>
          </w:pPr>
          <w:bookmarkStart w:id="216" w:name="bookmark293"/>
          <w:bookmarkEnd w:id="216"/>
          <w:r>
            <w:rPr>
              <w:rFonts w:ascii="仿宋" w:hAnsi="仿宋" w:eastAsia="仿宋" w:cs="仿宋"/>
              <w:spacing w:val="-1"/>
              <w:sz w:val="22"/>
              <w:szCs w:val="22"/>
            </w:rPr>
            <w:t>143</w:t>
          </w:r>
          <w:r>
            <w:rPr>
              <w:rFonts w:ascii="宋体" w:hAnsi="宋体" w:eastAsia="宋体" w:cs="宋体"/>
              <w:spacing w:val="-1"/>
              <w:sz w:val="22"/>
              <w:szCs w:val="22"/>
            </w:rPr>
            <w:t>．</w:t>
          </w:r>
          <w:r>
            <w:fldChar w:fldCharType="begin"/>
          </w:r>
          <w:r>
            <w:instrText xml:space="preserve"> HYPERLINK \l "bookmark294" </w:instrText>
          </w:r>
          <w:r>
            <w:fldChar w:fldCharType="separate"/>
          </w:r>
          <w:r>
            <w:rPr>
              <w:rFonts w:ascii="微软雅黑" w:hAnsi="微软雅黑" w:eastAsia="微软雅黑" w:cs="微软雅黑"/>
              <w:spacing w:val="-1"/>
              <w:sz w:val="22"/>
              <w:szCs w:val="22"/>
            </w:rPr>
            <w:t>鉴定机构在物理危险性鉴定过程中泄露化学品单位商业秘密的</w:t>
          </w:r>
          <w:r>
            <w:rPr>
              <w:rFonts w:ascii="微软雅黑" w:hAnsi="微软雅黑" w:eastAsia="微软雅黑" w:cs="微软雅黑"/>
              <w:sz w:val="22"/>
              <w:szCs w:val="22"/>
            </w:rPr>
            <w:tab/>
          </w:r>
          <w:r>
            <w:rPr>
              <w:rFonts w:ascii="宋体" w:hAnsi="宋体" w:eastAsia="宋体" w:cs="宋体"/>
              <w:spacing w:val="-9"/>
              <w:sz w:val="22"/>
              <w:szCs w:val="22"/>
            </w:rPr>
            <w:t>161</w:t>
          </w:r>
          <w:r>
            <w:rPr>
              <w:rFonts w:ascii="宋体" w:hAnsi="宋体" w:eastAsia="宋体" w:cs="宋体"/>
              <w:spacing w:val="-9"/>
              <w:sz w:val="22"/>
              <w:szCs w:val="22"/>
            </w:rPr>
            <w:fldChar w:fldCharType="end"/>
          </w:r>
        </w:p>
        <w:p w14:paraId="5F6C824C">
          <w:pPr>
            <w:tabs>
              <w:tab w:val="right" w:leader="dot" w:pos="8840"/>
            </w:tabs>
            <w:spacing w:line="216" w:lineRule="auto"/>
            <w:ind w:left="24"/>
            <w:rPr>
              <w:rFonts w:ascii="宋体" w:hAnsi="宋体" w:eastAsia="宋体" w:cs="宋体"/>
              <w:sz w:val="22"/>
              <w:szCs w:val="22"/>
            </w:rPr>
          </w:pPr>
          <w:bookmarkStart w:id="217" w:name="bookmark295"/>
          <w:bookmarkEnd w:id="217"/>
          <w:r>
            <w:rPr>
              <w:rFonts w:ascii="仿宋" w:hAnsi="仿宋" w:eastAsia="仿宋" w:cs="仿宋"/>
              <w:spacing w:val="-1"/>
              <w:sz w:val="22"/>
              <w:szCs w:val="22"/>
            </w:rPr>
            <w:t>144</w:t>
          </w:r>
          <w:r>
            <w:rPr>
              <w:rFonts w:ascii="宋体" w:hAnsi="宋体" w:eastAsia="宋体" w:cs="宋体"/>
              <w:spacing w:val="-1"/>
              <w:sz w:val="22"/>
              <w:szCs w:val="22"/>
            </w:rPr>
            <w:t>．</w:t>
          </w:r>
          <w:r>
            <w:fldChar w:fldCharType="begin"/>
          </w:r>
          <w:r>
            <w:instrText xml:space="preserve"> HYPERLINK \l "bookmark296" </w:instrText>
          </w:r>
          <w:r>
            <w:fldChar w:fldCharType="separate"/>
          </w:r>
          <w:r>
            <w:rPr>
              <w:rFonts w:ascii="微软雅黑" w:hAnsi="微软雅黑" w:eastAsia="微软雅黑" w:cs="微软雅黑"/>
              <w:spacing w:val="-1"/>
              <w:sz w:val="22"/>
              <w:szCs w:val="22"/>
            </w:rPr>
            <w:t>生产、经营、使用国家禁止生产、经营、使用的危险化学品的</w:t>
          </w:r>
          <w:r>
            <w:rPr>
              <w:rFonts w:ascii="微软雅黑" w:hAnsi="微软雅黑" w:eastAsia="微软雅黑" w:cs="微软雅黑"/>
              <w:sz w:val="22"/>
              <w:szCs w:val="22"/>
            </w:rPr>
            <w:tab/>
          </w:r>
          <w:r>
            <w:rPr>
              <w:rFonts w:ascii="宋体" w:hAnsi="宋体" w:eastAsia="宋体" w:cs="宋体"/>
              <w:spacing w:val="-9"/>
              <w:sz w:val="22"/>
              <w:szCs w:val="22"/>
            </w:rPr>
            <w:t>161</w:t>
          </w:r>
          <w:r>
            <w:rPr>
              <w:rFonts w:ascii="宋体" w:hAnsi="宋体" w:eastAsia="宋体" w:cs="宋体"/>
              <w:spacing w:val="-9"/>
              <w:sz w:val="22"/>
              <w:szCs w:val="22"/>
            </w:rPr>
            <w:fldChar w:fldCharType="end"/>
          </w:r>
        </w:p>
        <w:p w14:paraId="3968BD6C">
          <w:pPr>
            <w:spacing w:line="410" w:lineRule="exact"/>
            <w:ind w:left="24"/>
            <w:rPr>
              <w:rFonts w:ascii="微软雅黑" w:hAnsi="微软雅黑" w:eastAsia="微软雅黑" w:cs="微软雅黑"/>
              <w:sz w:val="22"/>
              <w:szCs w:val="22"/>
            </w:rPr>
          </w:pPr>
          <w:bookmarkStart w:id="218" w:name="bookmark297"/>
          <w:bookmarkEnd w:id="218"/>
          <w:r>
            <w:rPr>
              <w:rFonts w:ascii="仿宋" w:hAnsi="仿宋" w:eastAsia="仿宋" w:cs="仿宋"/>
              <w:spacing w:val="-2"/>
              <w:position w:val="5"/>
              <w:sz w:val="22"/>
              <w:szCs w:val="22"/>
            </w:rPr>
            <w:t>145</w:t>
          </w:r>
          <w:r>
            <w:rPr>
              <w:rFonts w:ascii="宋体" w:hAnsi="宋体" w:eastAsia="宋体" w:cs="宋体"/>
              <w:spacing w:val="-2"/>
              <w:position w:val="5"/>
              <w:sz w:val="22"/>
              <w:szCs w:val="22"/>
            </w:rPr>
            <w:t>．</w:t>
          </w:r>
          <w:r>
            <w:fldChar w:fldCharType="begin"/>
          </w:r>
          <w:r>
            <w:instrText xml:space="preserve"> HYPERLINK \l "bookmark298" </w:instrText>
          </w:r>
          <w:r>
            <w:fldChar w:fldCharType="separate"/>
          </w:r>
          <w:r>
            <w:rPr>
              <w:rFonts w:ascii="微软雅黑" w:hAnsi="微软雅黑" w:eastAsia="微软雅黑" w:cs="微软雅黑"/>
              <w:spacing w:val="-2"/>
              <w:position w:val="5"/>
              <w:sz w:val="22"/>
              <w:szCs w:val="22"/>
            </w:rPr>
            <w:t>生产、储存危险化学品的企业或者使用危险化学品</w:t>
          </w:r>
          <w:r>
            <w:rPr>
              <w:rFonts w:ascii="微软雅黑" w:hAnsi="微软雅黑" w:eastAsia="微软雅黑" w:cs="微软雅黑"/>
              <w:spacing w:val="-3"/>
              <w:position w:val="5"/>
              <w:sz w:val="22"/>
              <w:szCs w:val="22"/>
            </w:rPr>
            <w:t>从事生产的企业未按照规定将安全评</w:t>
          </w:r>
          <w:r>
            <w:rPr>
              <w:rFonts w:ascii="微软雅黑" w:hAnsi="微软雅黑" w:eastAsia="微软雅黑" w:cs="微软雅黑"/>
              <w:spacing w:val="-3"/>
              <w:position w:val="5"/>
              <w:sz w:val="22"/>
              <w:szCs w:val="22"/>
            </w:rPr>
            <w:fldChar w:fldCharType="end"/>
          </w:r>
        </w:p>
        <w:p w14:paraId="5462C4CA">
          <w:pPr>
            <w:tabs>
              <w:tab w:val="right" w:leader="dot" w:pos="8835"/>
            </w:tabs>
            <w:spacing w:before="8" w:line="202" w:lineRule="auto"/>
            <w:ind w:left="11"/>
            <w:rPr>
              <w:rFonts w:ascii="宋体" w:hAnsi="宋体" w:eastAsia="宋体" w:cs="宋体"/>
              <w:sz w:val="22"/>
              <w:szCs w:val="22"/>
            </w:rPr>
          </w:pPr>
          <w:bookmarkStart w:id="219" w:name="bookmark297"/>
          <w:bookmarkEnd w:id="219"/>
          <w:r>
            <w:fldChar w:fldCharType="begin"/>
          </w:r>
          <w:r>
            <w:instrText xml:space="preserve"> HYPERLINK \l "bookmark297" </w:instrText>
          </w:r>
          <w:r>
            <w:fldChar w:fldCharType="separate"/>
          </w:r>
          <w:r>
            <w:rPr>
              <w:rFonts w:ascii="微软雅黑" w:hAnsi="微软雅黑" w:eastAsia="微软雅黑" w:cs="微软雅黑"/>
              <w:spacing w:val="-1"/>
              <w:sz w:val="22"/>
              <w:szCs w:val="22"/>
            </w:rPr>
            <w:t>价报告以及整改方案的落实情况备案的</w:t>
          </w:r>
          <w:r>
            <w:rPr>
              <w:rFonts w:ascii="微软雅黑" w:hAnsi="微软雅黑" w:eastAsia="微软雅黑" w:cs="微软雅黑"/>
              <w:sz w:val="22"/>
              <w:szCs w:val="22"/>
            </w:rPr>
            <w:tab/>
          </w:r>
          <w:r>
            <w:rPr>
              <w:rFonts w:ascii="宋体" w:hAnsi="宋体" w:eastAsia="宋体" w:cs="宋体"/>
              <w:spacing w:val="-9"/>
              <w:sz w:val="22"/>
              <w:szCs w:val="22"/>
            </w:rPr>
            <w:t>162</w:t>
          </w:r>
          <w:r>
            <w:rPr>
              <w:rFonts w:ascii="宋体" w:hAnsi="宋体" w:eastAsia="宋体" w:cs="宋体"/>
              <w:spacing w:val="-9"/>
              <w:sz w:val="22"/>
              <w:szCs w:val="22"/>
            </w:rPr>
            <w:fldChar w:fldCharType="end"/>
          </w:r>
        </w:p>
      </w:sdtContent>
    </w:sdt>
    <w:p w14:paraId="072DBA07">
      <w:pPr>
        <w:spacing w:line="202" w:lineRule="auto"/>
        <w:rPr>
          <w:rFonts w:ascii="宋体" w:hAnsi="宋体" w:eastAsia="宋体" w:cs="宋体"/>
          <w:sz w:val="22"/>
          <w:szCs w:val="22"/>
        </w:rPr>
        <w:sectPr>
          <w:footerReference r:id="rId11" w:type="default"/>
          <w:pgSz w:w="11906" w:h="16839"/>
          <w:pgMar w:top="1431" w:right="1366" w:bottom="1116" w:left="1586" w:header="0" w:footer="837" w:gutter="0"/>
          <w:cols w:space="720" w:num="1"/>
        </w:sectPr>
      </w:pPr>
    </w:p>
    <w:p w14:paraId="5266BD50">
      <w:pPr>
        <w:pStyle w:val="2"/>
        <w:spacing w:line="284" w:lineRule="auto"/>
      </w:pPr>
    </w:p>
    <w:p w14:paraId="1ABD36BC">
      <w:pPr>
        <w:pStyle w:val="2"/>
        <w:spacing w:line="284" w:lineRule="auto"/>
      </w:pPr>
    </w:p>
    <w:sdt>
      <w:sdtPr>
        <w:rPr>
          <w:rFonts w:ascii="仿宋" w:hAnsi="仿宋" w:eastAsia="仿宋" w:cs="仿宋"/>
          <w:sz w:val="22"/>
          <w:szCs w:val="22"/>
        </w:rPr>
        <w:id w:val="147478278"/>
        <w:docPartObj>
          <w:docPartGallery w:val="Table of Contents"/>
          <w:docPartUnique/>
        </w:docPartObj>
      </w:sdtPr>
      <w:sdtEndPr>
        <w:rPr>
          <w:rFonts w:ascii="宋体" w:hAnsi="宋体" w:eastAsia="宋体" w:cs="宋体"/>
          <w:position w:val="2"/>
          <w:sz w:val="22"/>
          <w:szCs w:val="22"/>
        </w:rPr>
      </w:sdtEndPr>
      <w:sdtContent>
        <w:p w14:paraId="58AAB754">
          <w:pPr>
            <w:spacing w:before="95" w:line="409" w:lineRule="exact"/>
            <w:ind w:left="11"/>
            <w:rPr>
              <w:rFonts w:ascii="微软雅黑" w:hAnsi="微软雅黑" w:eastAsia="微软雅黑" w:cs="微软雅黑"/>
              <w:sz w:val="22"/>
              <w:szCs w:val="22"/>
            </w:rPr>
          </w:pPr>
          <w:bookmarkStart w:id="220" w:name="bookmark299"/>
          <w:bookmarkEnd w:id="220"/>
          <w:r>
            <w:rPr>
              <w:rFonts w:ascii="仿宋" w:hAnsi="仿宋" w:eastAsia="仿宋" w:cs="仿宋"/>
              <w:spacing w:val="3"/>
              <w:position w:val="5"/>
              <w:sz w:val="22"/>
              <w:szCs w:val="22"/>
            </w:rPr>
            <w:t>146</w:t>
          </w:r>
          <w:r>
            <w:rPr>
              <w:rFonts w:ascii="宋体" w:hAnsi="宋体" w:eastAsia="宋体" w:cs="宋体"/>
              <w:spacing w:val="3"/>
              <w:position w:val="5"/>
              <w:sz w:val="22"/>
              <w:szCs w:val="22"/>
            </w:rPr>
            <w:t>．</w:t>
          </w:r>
          <w:r>
            <w:fldChar w:fldCharType="begin"/>
          </w:r>
          <w:r>
            <w:instrText xml:space="preserve"> HYPERLINK \l "bookmark300" </w:instrText>
          </w:r>
          <w:r>
            <w:fldChar w:fldCharType="separate"/>
          </w:r>
          <w:r>
            <w:rPr>
              <w:rFonts w:ascii="微软雅黑" w:hAnsi="微软雅黑" w:eastAsia="微软雅黑" w:cs="微软雅黑"/>
              <w:spacing w:val="3"/>
              <w:position w:val="5"/>
              <w:sz w:val="22"/>
              <w:szCs w:val="22"/>
            </w:rPr>
            <w:t>储存危险化学品的单位未将其剧毒化学品以及储存数量构成重大</w:t>
          </w:r>
          <w:r>
            <w:rPr>
              <w:rFonts w:ascii="微软雅黑" w:hAnsi="微软雅黑" w:eastAsia="微软雅黑" w:cs="微软雅黑"/>
              <w:spacing w:val="2"/>
              <w:position w:val="5"/>
              <w:sz w:val="22"/>
              <w:szCs w:val="22"/>
            </w:rPr>
            <w:t>危险源的其他危险化</w:t>
          </w:r>
          <w:r>
            <w:rPr>
              <w:rFonts w:ascii="微软雅黑" w:hAnsi="微软雅黑" w:eastAsia="微软雅黑" w:cs="微软雅黑"/>
              <w:spacing w:val="2"/>
              <w:position w:val="5"/>
              <w:sz w:val="22"/>
              <w:szCs w:val="22"/>
            </w:rPr>
            <w:fldChar w:fldCharType="end"/>
          </w:r>
        </w:p>
        <w:p w14:paraId="783F79A2">
          <w:pPr>
            <w:tabs>
              <w:tab w:val="right" w:leader="dot" w:pos="8825"/>
            </w:tabs>
            <w:spacing w:before="8" w:line="167" w:lineRule="auto"/>
            <w:ind w:left="11"/>
            <w:rPr>
              <w:rFonts w:ascii="宋体" w:hAnsi="宋体" w:eastAsia="宋体" w:cs="宋体"/>
              <w:sz w:val="22"/>
              <w:szCs w:val="22"/>
            </w:rPr>
          </w:pPr>
          <w:bookmarkStart w:id="221" w:name="bookmark299"/>
          <w:bookmarkEnd w:id="221"/>
          <w:r>
            <w:fldChar w:fldCharType="begin"/>
          </w:r>
          <w:r>
            <w:instrText xml:space="preserve"> HYPERLINK \l "bookmark299" </w:instrText>
          </w:r>
          <w:r>
            <w:fldChar w:fldCharType="separate"/>
          </w:r>
          <w:r>
            <w:rPr>
              <w:rFonts w:ascii="微软雅黑" w:hAnsi="微软雅黑" w:eastAsia="微软雅黑" w:cs="微软雅黑"/>
              <w:spacing w:val="-1"/>
              <w:sz w:val="22"/>
              <w:szCs w:val="22"/>
            </w:rPr>
            <w:t>学品的储存数量、储存地点以及管理人员的情况备案的</w:t>
          </w:r>
          <w:r>
            <w:rPr>
              <w:rFonts w:ascii="微软雅黑" w:hAnsi="微软雅黑" w:eastAsia="微软雅黑" w:cs="微软雅黑"/>
              <w:sz w:val="22"/>
              <w:szCs w:val="22"/>
            </w:rPr>
            <w:tab/>
          </w:r>
          <w:r>
            <w:rPr>
              <w:rFonts w:ascii="宋体" w:hAnsi="宋体" w:eastAsia="宋体" w:cs="宋体"/>
              <w:spacing w:val="-9"/>
              <w:sz w:val="22"/>
              <w:szCs w:val="22"/>
            </w:rPr>
            <w:t>163</w:t>
          </w:r>
          <w:r>
            <w:rPr>
              <w:rFonts w:ascii="宋体" w:hAnsi="宋体" w:eastAsia="宋体" w:cs="宋体"/>
              <w:spacing w:val="-9"/>
              <w:sz w:val="22"/>
              <w:szCs w:val="22"/>
            </w:rPr>
            <w:fldChar w:fldCharType="end"/>
          </w:r>
        </w:p>
        <w:p w14:paraId="41FA320A">
          <w:pPr>
            <w:spacing w:line="410" w:lineRule="exact"/>
            <w:ind w:left="11"/>
            <w:rPr>
              <w:rFonts w:ascii="微软雅黑" w:hAnsi="微软雅黑" w:eastAsia="微软雅黑" w:cs="微软雅黑"/>
              <w:sz w:val="22"/>
              <w:szCs w:val="22"/>
            </w:rPr>
          </w:pPr>
          <w:bookmarkStart w:id="222" w:name="bookmark301"/>
          <w:bookmarkEnd w:id="222"/>
          <w:r>
            <w:rPr>
              <w:rFonts w:ascii="仿宋" w:hAnsi="仿宋" w:eastAsia="仿宋" w:cs="仿宋"/>
              <w:spacing w:val="-2"/>
              <w:position w:val="5"/>
              <w:sz w:val="22"/>
              <w:szCs w:val="22"/>
            </w:rPr>
            <w:t>147</w:t>
          </w:r>
          <w:r>
            <w:rPr>
              <w:rFonts w:ascii="宋体" w:hAnsi="宋体" w:eastAsia="宋体" w:cs="宋体"/>
              <w:spacing w:val="-2"/>
              <w:position w:val="5"/>
              <w:sz w:val="22"/>
              <w:szCs w:val="22"/>
            </w:rPr>
            <w:t>．</w:t>
          </w:r>
          <w:r>
            <w:fldChar w:fldCharType="begin"/>
          </w:r>
          <w:r>
            <w:instrText xml:space="preserve"> HYPERLINK \l "bookmark302" </w:instrText>
          </w:r>
          <w:r>
            <w:fldChar w:fldCharType="separate"/>
          </w:r>
          <w:r>
            <w:rPr>
              <w:rFonts w:ascii="微软雅黑" w:hAnsi="微软雅黑" w:eastAsia="微软雅黑" w:cs="微软雅黑"/>
              <w:spacing w:val="-2"/>
              <w:position w:val="5"/>
              <w:sz w:val="22"/>
              <w:szCs w:val="22"/>
            </w:rPr>
            <w:t>生产、储存、使用危险化学品的单位转产、停产、停</w:t>
          </w:r>
          <w:r>
            <w:rPr>
              <w:rFonts w:ascii="微软雅黑" w:hAnsi="微软雅黑" w:eastAsia="微软雅黑" w:cs="微软雅黑"/>
              <w:spacing w:val="-3"/>
              <w:position w:val="5"/>
              <w:sz w:val="22"/>
              <w:szCs w:val="22"/>
            </w:rPr>
            <w:t>业或者解散，未采取有效措施处置</w:t>
          </w:r>
          <w:r>
            <w:rPr>
              <w:rFonts w:ascii="微软雅黑" w:hAnsi="微软雅黑" w:eastAsia="微软雅黑" w:cs="微软雅黑"/>
              <w:spacing w:val="-3"/>
              <w:position w:val="5"/>
              <w:sz w:val="22"/>
              <w:szCs w:val="22"/>
            </w:rPr>
            <w:fldChar w:fldCharType="end"/>
          </w:r>
        </w:p>
        <w:p w14:paraId="3EEF0F9C">
          <w:pPr>
            <w:tabs>
              <w:tab w:val="right" w:leader="dot" w:pos="8829"/>
            </w:tabs>
            <w:spacing w:before="7" w:line="167" w:lineRule="auto"/>
            <w:rPr>
              <w:rFonts w:ascii="宋体" w:hAnsi="宋体" w:eastAsia="宋体" w:cs="宋体"/>
              <w:sz w:val="22"/>
              <w:szCs w:val="22"/>
            </w:rPr>
          </w:pPr>
          <w:bookmarkStart w:id="223" w:name="bookmark301"/>
          <w:bookmarkEnd w:id="223"/>
          <w:r>
            <w:fldChar w:fldCharType="begin"/>
          </w:r>
          <w:r>
            <w:instrText xml:space="preserve"> HYPERLINK \l "bookmark301" </w:instrText>
          </w:r>
          <w:r>
            <w:fldChar w:fldCharType="separate"/>
          </w:r>
          <w:r>
            <w:rPr>
              <w:rFonts w:ascii="微软雅黑" w:hAnsi="微软雅黑" w:eastAsia="微软雅黑" w:cs="微软雅黑"/>
              <w:sz w:val="22"/>
              <w:szCs w:val="22"/>
            </w:rPr>
            <w:t>危险化学品生产装置、储存设施以及库存的危险化学品，或</w:t>
          </w:r>
          <w:r>
            <w:rPr>
              <w:rFonts w:ascii="微软雅黑" w:hAnsi="微软雅黑" w:eastAsia="微软雅黑" w:cs="微软雅黑"/>
              <w:spacing w:val="-1"/>
              <w:sz w:val="22"/>
              <w:szCs w:val="22"/>
            </w:rPr>
            <w:t>者丢弃危险化学品的</w:t>
          </w:r>
          <w:r>
            <w:rPr>
              <w:rFonts w:ascii="微软雅黑" w:hAnsi="微软雅黑" w:eastAsia="微软雅黑" w:cs="微软雅黑"/>
              <w:sz w:val="22"/>
              <w:szCs w:val="22"/>
            </w:rPr>
            <w:tab/>
          </w:r>
          <w:r>
            <w:rPr>
              <w:rFonts w:ascii="宋体" w:hAnsi="宋体" w:eastAsia="宋体" w:cs="宋体"/>
              <w:spacing w:val="-9"/>
              <w:sz w:val="22"/>
              <w:szCs w:val="22"/>
            </w:rPr>
            <w:t>163</w:t>
          </w:r>
          <w:r>
            <w:rPr>
              <w:rFonts w:ascii="宋体" w:hAnsi="宋体" w:eastAsia="宋体" w:cs="宋体"/>
              <w:spacing w:val="-9"/>
              <w:sz w:val="22"/>
              <w:szCs w:val="22"/>
            </w:rPr>
            <w:fldChar w:fldCharType="end"/>
          </w:r>
        </w:p>
        <w:p w14:paraId="5BFC16EE">
          <w:pPr>
            <w:spacing w:line="410" w:lineRule="exact"/>
            <w:ind w:left="11"/>
            <w:rPr>
              <w:rFonts w:ascii="微软雅黑" w:hAnsi="微软雅黑" w:eastAsia="微软雅黑" w:cs="微软雅黑"/>
              <w:sz w:val="22"/>
              <w:szCs w:val="22"/>
            </w:rPr>
          </w:pPr>
          <w:bookmarkStart w:id="224" w:name="bookmark303"/>
          <w:bookmarkEnd w:id="224"/>
          <w:r>
            <w:rPr>
              <w:rFonts w:ascii="仿宋" w:hAnsi="仿宋" w:eastAsia="仿宋" w:cs="仿宋"/>
              <w:spacing w:val="-5"/>
              <w:position w:val="5"/>
              <w:sz w:val="22"/>
              <w:szCs w:val="22"/>
            </w:rPr>
            <w:t>148</w:t>
          </w:r>
          <w:r>
            <w:rPr>
              <w:rFonts w:ascii="宋体" w:hAnsi="宋体" w:eastAsia="宋体" w:cs="宋体"/>
              <w:spacing w:val="-5"/>
              <w:position w:val="5"/>
              <w:sz w:val="22"/>
              <w:szCs w:val="22"/>
            </w:rPr>
            <w:t>．</w:t>
          </w:r>
          <w:r>
            <w:fldChar w:fldCharType="begin"/>
          </w:r>
          <w:r>
            <w:instrText xml:space="preserve"> HYPERLINK \l "bookmark304" </w:instrText>
          </w:r>
          <w:r>
            <w:fldChar w:fldCharType="separate"/>
          </w:r>
          <w:r>
            <w:rPr>
              <w:rFonts w:ascii="微软雅黑" w:hAnsi="微软雅黑" w:eastAsia="微软雅黑" w:cs="微软雅黑"/>
              <w:spacing w:val="-5"/>
              <w:position w:val="5"/>
              <w:sz w:val="22"/>
              <w:szCs w:val="22"/>
            </w:rPr>
            <w:t>生产、储存、使用危险化学品的单位对重复使用的危险化学品包装物、容器</w:t>
          </w:r>
          <w:r>
            <w:rPr>
              <w:rFonts w:ascii="微软雅黑" w:hAnsi="微软雅黑" w:eastAsia="微软雅黑" w:cs="微软雅黑"/>
              <w:spacing w:val="-6"/>
              <w:position w:val="5"/>
              <w:sz w:val="22"/>
              <w:szCs w:val="22"/>
            </w:rPr>
            <w:t>，在重复使</w:t>
          </w:r>
          <w:r>
            <w:rPr>
              <w:rFonts w:ascii="微软雅黑" w:hAnsi="微软雅黑" w:eastAsia="微软雅黑" w:cs="微软雅黑"/>
              <w:spacing w:val="-6"/>
              <w:position w:val="5"/>
              <w:sz w:val="22"/>
              <w:szCs w:val="22"/>
            </w:rPr>
            <w:fldChar w:fldCharType="end"/>
          </w:r>
        </w:p>
        <w:p w14:paraId="252B188F">
          <w:pPr>
            <w:tabs>
              <w:tab w:val="right" w:leader="dot" w:pos="8819"/>
            </w:tabs>
            <w:spacing w:before="5" w:line="168" w:lineRule="auto"/>
            <w:ind w:left="2"/>
            <w:rPr>
              <w:rFonts w:ascii="宋体" w:hAnsi="宋体" w:eastAsia="宋体" w:cs="宋体"/>
              <w:sz w:val="22"/>
              <w:szCs w:val="22"/>
            </w:rPr>
          </w:pPr>
          <w:bookmarkStart w:id="225" w:name="bookmark303"/>
          <w:bookmarkEnd w:id="225"/>
          <w:r>
            <w:fldChar w:fldCharType="begin"/>
          </w:r>
          <w:r>
            <w:instrText xml:space="preserve"> HYPERLINK \l "bookmark303" </w:instrText>
          </w:r>
          <w:r>
            <w:fldChar w:fldCharType="separate"/>
          </w:r>
          <w:r>
            <w:rPr>
              <w:rFonts w:ascii="微软雅黑" w:hAnsi="微软雅黑" w:eastAsia="微软雅黑" w:cs="微软雅黑"/>
              <w:spacing w:val="-2"/>
              <w:sz w:val="22"/>
              <w:szCs w:val="22"/>
            </w:rPr>
            <w:t>用前不进行检查的</w:t>
          </w:r>
          <w:r>
            <w:rPr>
              <w:rFonts w:ascii="微软雅黑" w:hAnsi="微软雅黑" w:eastAsia="微软雅黑" w:cs="微软雅黑"/>
              <w:sz w:val="22"/>
              <w:szCs w:val="22"/>
            </w:rPr>
            <w:tab/>
          </w:r>
          <w:r>
            <w:rPr>
              <w:rFonts w:ascii="宋体" w:hAnsi="宋体" w:eastAsia="宋体" w:cs="宋体"/>
              <w:spacing w:val="-9"/>
              <w:sz w:val="22"/>
              <w:szCs w:val="22"/>
            </w:rPr>
            <w:t>164</w:t>
          </w:r>
          <w:r>
            <w:rPr>
              <w:rFonts w:ascii="宋体" w:hAnsi="宋体" w:eastAsia="宋体" w:cs="宋体"/>
              <w:spacing w:val="-9"/>
              <w:sz w:val="22"/>
              <w:szCs w:val="22"/>
            </w:rPr>
            <w:fldChar w:fldCharType="end"/>
          </w:r>
        </w:p>
        <w:p w14:paraId="5533FC93">
          <w:pPr>
            <w:spacing w:line="410" w:lineRule="exact"/>
            <w:ind w:left="11"/>
            <w:rPr>
              <w:rFonts w:ascii="微软雅黑" w:hAnsi="微软雅黑" w:eastAsia="微软雅黑" w:cs="微软雅黑"/>
              <w:sz w:val="22"/>
              <w:szCs w:val="22"/>
            </w:rPr>
          </w:pPr>
          <w:bookmarkStart w:id="226" w:name="bookmark305"/>
          <w:bookmarkEnd w:id="226"/>
          <w:r>
            <w:rPr>
              <w:rFonts w:ascii="仿宋" w:hAnsi="仿宋" w:eastAsia="仿宋" w:cs="仿宋"/>
              <w:spacing w:val="-2"/>
              <w:position w:val="5"/>
              <w:sz w:val="22"/>
              <w:szCs w:val="22"/>
            </w:rPr>
            <w:t>149</w:t>
          </w:r>
          <w:r>
            <w:rPr>
              <w:rFonts w:ascii="宋体" w:hAnsi="宋体" w:eastAsia="宋体" w:cs="宋体"/>
              <w:spacing w:val="-2"/>
              <w:position w:val="5"/>
              <w:sz w:val="22"/>
              <w:szCs w:val="22"/>
            </w:rPr>
            <w:t>．</w:t>
          </w:r>
          <w:r>
            <w:fldChar w:fldCharType="begin"/>
          </w:r>
          <w:r>
            <w:instrText xml:space="preserve"> HYPERLINK \l "bookmark306" </w:instrText>
          </w:r>
          <w:r>
            <w:fldChar w:fldCharType="separate"/>
          </w:r>
          <w:r>
            <w:rPr>
              <w:rFonts w:ascii="微软雅黑" w:hAnsi="微软雅黑" w:eastAsia="微软雅黑" w:cs="微软雅黑"/>
              <w:spacing w:val="-2"/>
              <w:position w:val="5"/>
              <w:sz w:val="22"/>
              <w:szCs w:val="22"/>
            </w:rPr>
            <w:t>生产、储存、使用危险化学品的单位未根据其生产、</w:t>
          </w:r>
          <w:r>
            <w:rPr>
              <w:rFonts w:ascii="微软雅黑" w:hAnsi="微软雅黑" w:eastAsia="微软雅黑" w:cs="微软雅黑"/>
              <w:spacing w:val="-3"/>
              <w:position w:val="5"/>
              <w:sz w:val="22"/>
              <w:szCs w:val="22"/>
            </w:rPr>
            <w:t>储存的危险化学品的种类和危险特</w:t>
          </w:r>
          <w:r>
            <w:rPr>
              <w:rFonts w:ascii="微软雅黑" w:hAnsi="微软雅黑" w:eastAsia="微软雅黑" w:cs="微软雅黑"/>
              <w:spacing w:val="-3"/>
              <w:position w:val="5"/>
              <w:sz w:val="22"/>
              <w:szCs w:val="22"/>
            </w:rPr>
            <w:fldChar w:fldCharType="end"/>
          </w:r>
        </w:p>
        <w:p w14:paraId="75A886FD">
          <w:pPr>
            <w:tabs>
              <w:tab w:val="right" w:leader="dot" w:pos="8824"/>
            </w:tabs>
            <w:spacing w:before="7" w:line="167" w:lineRule="auto"/>
            <w:ind w:left="8"/>
            <w:rPr>
              <w:rFonts w:ascii="宋体" w:hAnsi="宋体" w:eastAsia="宋体" w:cs="宋体"/>
              <w:sz w:val="22"/>
              <w:szCs w:val="22"/>
            </w:rPr>
          </w:pPr>
          <w:bookmarkStart w:id="227" w:name="bookmark305"/>
          <w:bookmarkEnd w:id="227"/>
          <w:r>
            <w:fldChar w:fldCharType="begin"/>
          </w:r>
          <w:r>
            <w:instrText xml:space="preserve"> HYPERLINK \l "bookmark305" </w:instrText>
          </w:r>
          <w:r>
            <w:fldChar w:fldCharType="separate"/>
          </w:r>
          <w:r>
            <w:rPr>
              <w:rFonts w:ascii="微软雅黑" w:hAnsi="微软雅黑" w:eastAsia="微软雅黑" w:cs="微软雅黑"/>
              <w:spacing w:val="-1"/>
              <w:sz w:val="22"/>
              <w:szCs w:val="22"/>
            </w:rPr>
            <w:t>性，在作业场所设置相关安全设施、设备的</w:t>
          </w:r>
          <w:r>
            <w:rPr>
              <w:rFonts w:ascii="微软雅黑" w:hAnsi="微软雅黑" w:eastAsia="微软雅黑" w:cs="微软雅黑"/>
              <w:sz w:val="22"/>
              <w:szCs w:val="22"/>
            </w:rPr>
            <w:tab/>
          </w:r>
          <w:r>
            <w:rPr>
              <w:rFonts w:ascii="宋体" w:hAnsi="宋体" w:eastAsia="宋体" w:cs="宋体"/>
              <w:spacing w:val="-9"/>
              <w:sz w:val="22"/>
              <w:szCs w:val="22"/>
            </w:rPr>
            <w:t>165</w:t>
          </w:r>
          <w:r>
            <w:rPr>
              <w:rFonts w:ascii="宋体" w:hAnsi="宋体" w:eastAsia="宋体" w:cs="宋体"/>
              <w:spacing w:val="-9"/>
              <w:sz w:val="22"/>
              <w:szCs w:val="22"/>
            </w:rPr>
            <w:fldChar w:fldCharType="end"/>
          </w:r>
        </w:p>
        <w:p w14:paraId="3F779B0E">
          <w:pPr>
            <w:spacing w:line="216" w:lineRule="auto"/>
            <w:jc w:val="right"/>
            <w:rPr>
              <w:rFonts w:ascii="宋体" w:hAnsi="宋体" w:eastAsia="宋体" w:cs="宋体"/>
              <w:sz w:val="22"/>
              <w:szCs w:val="22"/>
            </w:rPr>
          </w:pPr>
          <w:bookmarkStart w:id="228" w:name="bookmark307"/>
          <w:bookmarkEnd w:id="228"/>
          <w:r>
            <w:rPr>
              <w:rFonts w:ascii="仿宋" w:hAnsi="仿宋" w:eastAsia="仿宋" w:cs="仿宋"/>
              <w:spacing w:val="-1"/>
              <w:sz w:val="22"/>
              <w:szCs w:val="22"/>
            </w:rPr>
            <w:t>150</w:t>
          </w:r>
          <w:r>
            <w:rPr>
              <w:rFonts w:ascii="宋体" w:hAnsi="宋体" w:eastAsia="宋体" w:cs="宋体"/>
              <w:spacing w:val="-1"/>
              <w:sz w:val="22"/>
              <w:szCs w:val="22"/>
            </w:rPr>
            <w:t>．</w:t>
          </w:r>
          <w:r>
            <w:fldChar w:fldCharType="begin"/>
          </w:r>
          <w:r>
            <w:instrText xml:space="preserve"> HYPERLINK \l "bookmark308" </w:instrText>
          </w:r>
          <w:r>
            <w:fldChar w:fldCharType="separate"/>
          </w:r>
          <w:r>
            <w:rPr>
              <w:rFonts w:ascii="微软雅黑" w:hAnsi="微软雅黑" w:eastAsia="微软雅黑" w:cs="微软雅黑"/>
              <w:spacing w:val="-1"/>
              <w:sz w:val="22"/>
              <w:szCs w:val="22"/>
            </w:rPr>
            <w:t>生产、储存、使用危险化学品的单位未按规定对其安全生产条件定期进行安全评价的</w:t>
          </w:r>
          <w:r>
            <w:rPr>
              <w:rFonts w:ascii="宋体" w:hAnsi="宋体" w:eastAsia="宋体" w:cs="宋体"/>
              <w:spacing w:val="-1"/>
              <w:sz w:val="22"/>
              <w:szCs w:val="22"/>
            </w:rPr>
            <w:t>167</w:t>
          </w:r>
          <w:r>
            <w:rPr>
              <w:rFonts w:ascii="宋体" w:hAnsi="宋体" w:eastAsia="宋体" w:cs="宋体"/>
              <w:spacing w:val="-1"/>
              <w:sz w:val="22"/>
              <w:szCs w:val="22"/>
            </w:rPr>
            <w:fldChar w:fldCharType="end"/>
          </w:r>
        </w:p>
        <w:p w14:paraId="1DE400F6">
          <w:pPr>
            <w:spacing w:line="410" w:lineRule="exact"/>
            <w:ind w:left="11"/>
            <w:rPr>
              <w:rFonts w:ascii="微软雅黑" w:hAnsi="微软雅黑" w:eastAsia="微软雅黑" w:cs="微软雅黑"/>
              <w:sz w:val="22"/>
              <w:szCs w:val="22"/>
            </w:rPr>
          </w:pPr>
          <w:bookmarkStart w:id="229" w:name="bookmark309"/>
          <w:bookmarkEnd w:id="229"/>
          <w:r>
            <w:rPr>
              <w:rFonts w:ascii="仿宋" w:hAnsi="仿宋" w:eastAsia="仿宋" w:cs="仿宋"/>
              <w:spacing w:val="-2"/>
              <w:position w:val="5"/>
              <w:sz w:val="22"/>
              <w:szCs w:val="22"/>
            </w:rPr>
            <w:t>151</w:t>
          </w:r>
          <w:r>
            <w:rPr>
              <w:rFonts w:ascii="宋体" w:hAnsi="宋体" w:eastAsia="宋体" w:cs="宋体"/>
              <w:spacing w:val="-2"/>
              <w:position w:val="5"/>
              <w:sz w:val="22"/>
              <w:szCs w:val="22"/>
            </w:rPr>
            <w:t>．</w:t>
          </w:r>
          <w:r>
            <w:fldChar w:fldCharType="begin"/>
          </w:r>
          <w:r>
            <w:instrText xml:space="preserve"> HYPERLINK \l "bookmark310" </w:instrText>
          </w:r>
          <w:r>
            <w:fldChar w:fldCharType="separate"/>
          </w:r>
          <w:r>
            <w:rPr>
              <w:rFonts w:ascii="微软雅黑" w:hAnsi="微软雅黑" w:eastAsia="微软雅黑" w:cs="微软雅黑"/>
              <w:spacing w:val="-2"/>
              <w:position w:val="5"/>
              <w:sz w:val="22"/>
              <w:szCs w:val="22"/>
            </w:rPr>
            <w:t>生产、储存、使用危险化学品的单位未将危险化学品</w:t>
          </w:r>
          <w:r>
            <w:rPr>
              <w:rFonts w:ascii="微软雅黑" w:hAnsi="微软雅黑" w:eastAsia="微软雅黑" w:cs="微软雅黑"/>
              <w:spacing w:val="-3"/>
              <w:position w:val="5"/>
              <w:sz w:val="22"/>
              <w:szCs w:val="22"/>
            </w:rPr>
            <w:t>储存在专用仓库内，或者未将剧毒</w:t>
          </w:r>
          <w:r>
            <w:rPr>
              <w:rFonts w:ascii="微软雅黑" w:hAnsi="微软雅黑" w:eastAsia="微软雅黑" w:cs="微软雅黑"/>
              <w:spacing w:val="-3"/>
              <w:position w:val="5"/>
              <w:sz w:val="22"/>
              <w:szCs w:val="22"/>
            </w:rPr>
            <w:fldChar w:fldCharType="end"/>
          </w:r>
        </w:p>
        <w:p w14:paraId="33AA0B9D">
          <w:pPr>
            <w:tabs>
              <w:tab w:val="right" w:leader="dot" w:pos="8829"/>
            </w:tabs>
            <w:spacing w:before="7" w:line="167" w:lineRule="auto"/>
            <w:ind w:left="5"/>
            <w:rPr>
              <w:rFonts w:ascii="宋体" w:hAnsi="宋体" w:eastAsia="宋体" w:cs="宋体"/>
              <w:sz w:val="22"/>
              <w:szCs w:val="22"/>
            </w:rPr>
          </w:pPr>
          <w:bookmarkStart w:id="230" w:name="bookmark309"/>
          <w:bookmarkEnd w:id="230"/>
          <w:r>
            <w:fldChar w:fldCharType="begin"/>
          </w:r>
          <w:r>
            <w:instrText xml:space="preserve"> HYPERLINK \l "bookmark309" </w:instrText>
          </w:r>
          <w:r>
            <w:fldChar w:fldCharType="separate"/>
          </w:r>
          <w:r>
            <w:rPr>
              <w:rFonts w:ascii="微软雅黑" w:hAnsi="微软雅黑" w:eastAsia="微软雅黑" w:cs="微软雅黑"/>
              <w:sz w:val="22"/>
              <w:szCs w:val="22"/>
            </w:rPr>
            <w:t>化学品以及储存数量构成重大危险源的其他危</w:t>
          </w:r>
          <w:r>
            <w:rPr>
              <w:rFonts w:ascii="微软雅黑" w:hAnsi="微软雅黑" w:eastAsia="微软雅黑" w:cs="微软雅黑"/>
              <w:spacing w:val="-1"/>
              <w:sz w:val="22"/>
              <w:szCs w:val="22"/>
            </w:rPr>
            <w:t>险化学品在专用仓库内单独存放的</w:t>
          </w:r>
          <w:r>
            <w:rPr>
              <w:rFonts w:ascii="微软雅黑" w:hAnsi="微软雅黑" w:eastAsia="微软雅黑" w:cs="微软雅黑"/>
              <w:sz w:val="22"/>
              <w:szCs w:val="22"/>
            </w:rPr>
            <w:tab/>
          </w:r>
          <w:r>
            <w:rPr>
              <w:rFonts w:ascii="宋体" w:hAnsi="宋体" w:eastAsia="宋体" w:cs="宋体"/>
              <w:spacing w:val="-9"/>
              <w:sz w:val="22"/>
              <w:szCs w:val="22"/>
            </w:rPr>
            <w:t>168</w:t>
          </w:r>
          <w:r>
            <w:rPr>
              <w:rFonts w:ascii="宋体" w:hAnsi="宋体" w:eastAsia="宋体" w:cs="宋体"/>
              <w:spacing w:val="-9"/>
              <w:sz w:val="22"/>
              <w:szCs w:val="22"/>
            </w:rPr>
            <w:fldChar w:fldCharType="end"/>
          </w:r>
        </w:p>
        <w:p w14:paraId="78701C53">
          <w:pPr>
            <w:spacing w:line="410" w:lineRule="exact"/>
            <w:ind w:left="11"/>
            <w:rPr>
              <w:rFonts w:ascii="微软雅黑" w:hAnsi="微软雅黑" w:eastAsia="微软雅黑" w:cs="微软雅黑"/>
              <w:sz w:val="22"/>
              <w:szCs w:val="22"/>
            </w:rPr>
          </w:pPr>
          <w:bookmarkStart w:id="231" w:name="bookmark311"/>
          <w:bookmarkEnd w:id="231"/>
          <w:r>
            <w:rPr>
              <w:rFonts w:ascii="仿宋" w:hAnsi="仿宋" w:eastAsia="仿宋" w:cs="仿宋"/>
              <w:spacing w:val="-2"/>
              <w:position w:val="5"/>
              <w:sz w:val="22"/>
              <w:szCs w:val="22"/>
            </w:rPr>
            <w:t>152</w:t>
          </w:r>
          <w:r>
            <w:rPr>
              <w:rFonts w:ascii="宋体" w:hAnsi="宋体" w:eastAsia="宋体" w:cs="宋体"/>
              <w:spacing w:val="-2"/>
              <w:position w:val="5"/>
              <w:sz w:val="22"/>
              <w:szCs w:val="22"/>
            </w:rPr>
            <w:t>．</w:t>
          </w:r>
          <w:r>
            <w:fldChar w:fldCharType="begin"/>
          </w:r>
          <w:r>
            <w:instrText xml:space="preserve"> HYPERLINK \l "bookmark312" </w:instrText>
          </w:r>
          <w:r>
            <w:fldChar w:fldCharType="separate"/>
          </w:r>
          <w:r>
            <w:rPr>
              <w:rFonts w:ascii="微软雅黑" w:hAnsi="微软雅黑" w:eastAsia="微软雅黑" w:cs="微软雅黑"/>
              <w:spacing w:val="-2"/>
              <w:position w:val="5"/>
              <w:sz w:val="22"/>
              <w:szCs w:val="22"/>
            </w:rPr>
            <w:t>生产、储存、使用危险化学品的单位危险化学品专</w:t>
          </w:r>
          <w:r>
            <w:rPr>
              <w:rFonts w:ascii="微软雅黑" w:hAnsi="微软雅黑" w:eastAsia="微软雅黑" w:cs="微软雅黑"/>
              <w:spacing w:val="-3"/>
              <w:position w:val="5"/>
              <w:sz w:val="22"/>
              <w:szCs w:val="22"/>
            </w:rPr>
            <w:t>用仓库不符合国家标准、行业标准的</w:t>
          </w:r>
          <w:r>
            <w:rPr>
              <w:rFonts w:ascii="微软雅黑" w:hAnsi="微软雅黑" w:eastAsia="微软雅黑" w:cs="微软雅黑"/>
              <w:spacing w:val="-3"/>
              <w:position w:val="5"/>
              <w:sz w:val="22"/>
              <w:szCs w:val="22"/>
            </w:rPr>
            <w:fldChar w:fldCharType="end"/>
          </w:r>
        </w:p>
        <w:p w14:paraId="2210F76F">
          <w:pPr>
            <w:tabs>
              <w:tab w:val="right" w:leader="dot" w:pos="8817"/>
            </w:tabs>
            <w:spacing w:before="8" w:line="167" w:lineRule="auto"/>
            <w:ind w:left="6"/>
            <w:rPr>
              <w:rFonts w:ascii="宋体" w:hAnsi="宋体" w:eastAsia="宋体" w:cs="宋体"/>
              <w:sz w:val="22"/>
              <w:szCs w:val="22"/>
            </w:rPr>
          </w:pPr>
          <w:bookmarkStart w:id="232" w:name="bookmark311"/>
          <w:bookmarkEnd w:id="232"/>
          <w:r>
            <w:fldChar w:fldCharType="begin"/>
          </w:r>
          <w:r>
            <w:instrText xml:space="preserve"> HYPERLINK \l "bookmark311" </w:instrText>
          </w:r>
          <w:r>
            <w:fldChar w:fldCharType="separate"/>
          </w:r>
          <w:r>
            <w:rPr>
              <w:rFonts w:ascii="微软雅黑" w:hAnsi="微软雅黑" w:eastAsia="微软雅黑" w:cs="微软雅黑"/>
              <w:spacing w:val="-7"/>
              <w:sz w:val="22"/>
              <w:szCs w:val="22"/>
            </w:rPr>
            <w:t>要求的</w:t>
          </w:r>
          <w:r>
            <w:rPr>
              <w:rFonts w:ascii="微软雅黑" w:hAnsi="微软雅黑" w:eastAsia="微软雅黑" w:cs="微软雅黑"/>
              <w:sz w:val="22"/>
              <w:szCs w:val="22"/>
            </w:rPr>
            <w:tab/>
          </w:r>
          <w:r>
            <w:rPr>
              <w:rFonts w:ascii="宋体" w:hAnsi="宋体" w:eastAsia="宋体" w:cs="宋体"/>
              <w:spacing w:val="-9"/>
              <w:sz w:val="22"/>
              <w:szCs w:val="22"/>
            </w:rPr>
            <w:t>170</w:t>
          </w:r>
          <w:r>
            <w:rPr>
              <w:rFonts w:ascii="宋体" w:hAnsi="宋体" w:eastAsia="宋体" w:cs="宋体"/>
              <w:spacing w:val="-9"/>
              <w:sz w:val="22"/>
              <w:szCs w:val="22"/>
            </w:rPr>
            <w:fldChar w:fldCharType="end"/>
          </w:r>
        </w:p>
        <w:p w14:paraId="4C7EDB79">
          <w:pPr>
            <w:spacing w:line="410" w:lineRule="exact"/>
            <w:ind w:left="11"/>
            <w:rPr>
              <w:rFonts w:ascii="微软雅黑" w:hAnsi="微软雅黑" w:eastAsia="微软雅黑" w:cs="微软雅黑"/>
              <w:sz w:val="22"/>
              <w:szCs w:val="22"/>
            </w:rPr>
          </w:pPr>
          <w:bookmarkStart w:id="233" w:name="bookmark313"/>
          <w:bookmarkEnd w:id="233"/>
          <w:r>
            <w:rPr>
              <w:rFonts w:ascii="仿宋" w:hAnsi="仿宋" w:eastAsia="仿宋" w:cs="仿宋"/>
              <w:spacing w:val="-5"/>
              <w:position w:val="5"/>
              <w:sz w:val="22"/>
              <w:szCs w:val="22"/>
            </w:rPr>
            <w:t>153</w:t>
          </w:r>
          <w:r>
            <w:rPr>
              <w:rFonts w:ascii="宋体" w:hAnsi="宋体" w:eastAsia="宋体" w:cs="宋体"/>
              <w:spacing w:val="-5"/>
              <w:position w:val="5"/>
              <w:sz w:val="22"/>
              <w:szCs w:val="22"/>
            </w:rPr>
            <w:t>．</w:t>
          </w:r>
          <w:r>
            <w:fldChar w:fldCharType="begin"/>
          </w:r>
          <w:r>
            <w:instrText xml:space="preserve"> HYPERLINK \l "bookmark314" </w:instrText>
          </w:r>
          <w:r>
            <w:fldChar w:fldCharType="separate"/>
          </w:r>
          <w:r>
            <w:rPr>
              <w:rFonts w:ascii="微软雅黑" w:hAnsi="微软雅黑" w:eastAsia="微软雅黑" w:cs="微软雅黑"/>
              <w:spacing w:val="-5"/>
              <w:position w:val="5"/>
              <w:sz w:val="22"/>
              <w:szCs w:val="22"/>
            </w:rPr>
            <w:t>生产、储存、使用危险化学品的单位未对危险化学品专用仓库的安全</w:t>
          </w:r>
          <w:r>
            <w:rPr>
              <w:rFonts w:ascii="微软雅黑" w:hAnsi="微软雅黑" w:eastAsia="微软雅黑" w:cs="微软雅黑"/>
              <w:spacing w:val="-6"/>
              <w:position w:val="5"/>
              <w:sz w:val="22"/>
              <w:szCs w:val="22"/>
            </w:rPr>
            <w:t>设施定期进行检测、</w:t>
          </w:r>
          <w:r>
            <w:rPr>
              <w:rFonts w:ascii="微软雅黑" w:hAnsi="微软雅黑" w:eastAsia="微软雅黑" w:cs="微软雅黑"/>
              <w:spacing w:val="-6"/>
              <w:position w:val="5"/>
              <w:sz w:val="22"/>
              <w:szCs w:val="22"/>
            </w:rPr>
            <w:fldChar w:fldCharType="end"/>
          </w:r>
        </w:p>
        <w:p w14:paraId="59A69638">
          <w:pPr>
            <w:tabs>
              <w:tab w:val="right" w:leader="dot" w:pos="8817"/>
            </w:tabs>
            <w:spacing w:before="5" w:line="168" w:lineRule="auto"/>
            <w:rPr>
              <w:rFonts w:ascii="宋体" w:hAnsi="宋体" w:eastAsia="宋体" w:cs="宋体"/>
              <w:sz w:val="22"/>
              <w:szCs w:val="22"/>
            </w:rPr>
          </w:pPr>
          <w:bookmarkStart w:id="234" w:name="bookmark313"/>
          <w:bookmarkEnd w:id="234"/>
          <w:r>
            <w:fldChar w:fldCharType="begin"/>
          </w:r>
          <w:r>
            <w:instrText xml:space="preserve"> HYPERLINK \l "bookmark313" </w:instrText>
          </w:r>
          <w:r>
            <w:fldChar w:fldCharType="separate"/>
          </w:r>
          <w:r>
            <w:rPr>
              <w:rFonts w:ascii="微软雅黑" w:hAnsi="微软雅黑" w:eastAsia="微软雅黑" w:cs="微软雅黑"/>
              <w:spacing w:val="-5"/>
              <w:sz w:val="22"/>
              <w:szCs w:val="22"/>
            </w:rPr>
            <w:t>检验的</w:t>
          </w:r>
          <w:r>
            <w:rPr>
              <w:rFonts w:ascii="微软雅黑" w:hAnsi="微软雅黑" w:eastAsia="微软雅黑" w:cs="微软雅黑"/>
              <w:sz w:val="22"/>
              <w:szCs w:val="22"/>
            </w:rPr>
            <w:tab/>
          </w:r>
          <w:r>
            <w:rPr>
              <w:rFonts w:ascii="宋体" w:hAnsi="宋体" w:eastAsia="宋体" w:cs="宋体"/>
              <w:spacing w:val="-9"/>
              <w:sz w:val="22"/>
              <w:szCs w:val="22"/>
            </w:rPr>
            <w:t>171</w:t>
          </w:r>
          <w:r>
            <w:rPr>
              <w:rFonts w:ascii="宋体" w:hAnsi="宋体" w:eastAsia="宋体" w:cs="宋体"/>
              <w:spacing w:val="-9"/>
              <w:sz w:val="22"/>
              <w:szCs w:val="22"/>
            </w:rPr>
            <w:fldChar w:fldCharType="end"/>
          </w:r>
        </w:p>
        <w:p w14:paraId="476C5EEF">
          <w:pPr>
            <w:spacing w:line="411" w:lineRule="exact"/>
            <w:ind w:left="11"/>
            <w:rPr>
              <w:rFonts w:ascii="微软雅黑" w:hAnsi="微软雅黑" w:eastAsia="微软雅黑" w:cs="微软雅黑"/>
              <w:sz w:val="22"/>
              <w:szCs w:val="22"/>
            </w:rPr>
          </w:pPr>
          <w:bookmarkStart w:id="235" w:name="bookmark315"/>
          <w:bookmarkEnd w:id="235"/>
          <w:r>
            <w:rPr>
              <w:rFonts w:ascii="仿宋" w:hAnsi="仿宋" w:eastAsia="仿宋" w:cs="仿宋"/>
              <w:spacing w:val="-2"/>
              <w:position w:val="5"/>
              <w:sz w:val="22"/>
              <w:szCs w:val="22"/>
            </w:rPr>
            <w:t>154</w:t>
          </w:r>
          <w:r>
            <w:rPr>
              <w:rFonts w:ascii="宋体" w:hAnsi="宋体" w:eastAsia="宋体" w:cs="宋体"/>
              <w:spacing w:val="-2"/>
              <w:position w:val="5"/>
              <w:sz w:val="22"/>
              <w:szCs w:val="22"/>
            </w:rPr>
            <w:t>．</w:t>
          </w:r>
          <w:r>
            <w:fldChar w:fldCharType="begin"/>
          </w:r>
          <w:r>
            <w:instrText xml:space="preserve"> HYPERLINK \l "bookmark316" </w:instrText>
          </w:r>
          <w:r>
            <w:fldChar w:fldCharType="separate"/>
          </w:r>
          <w:r>
            <w:rPr>
              <w:rFonts w:ascii="微软雅黑" w:hAnsi="微软雅黑" w:eastAsia="微软雅黑" w:cs="微软雅黑"/>
              <w:spacing w:val="-2"/>
              <w:position w:val="5"/>
              <w:sz w:val="22"/>
              <w:szCs w:val="22"/>
            </w:rPr>
            <w:t>危险化学品生产企业、经营企业向不具有相关许可</w:t>
          </w:r>
          <w:r>
            <w:rPr>
              <w:rFonts w:ascii="微软雅黑" w:hAnsi="微软雅黑" w:eastAsia="微软雅黑" w:cs="微软雅黑"/>
              <w:spacing w:val="-3"/>
              <w:position w:val="5"/>
              <w:sz w:val="22"/>
              <w:szCs w:val="22"/>
            </w:rPr>
            <w:t>证件或者证明文件的单位销售剧毒化</w:t>
          </w:r>
          <w:r>
            <w:rPr>
              <w:rFonts w:ascii="微软雅黑" w:hAnsi="微软雅黑" w:eastAsia="微软雅黑" w:cs="微软雅黑"/>
              <w:spacing w:val="-3"/>
              <w:position w:val="5"/>
              <w:sz w:val="22"/>
              <w:szCs w:val="22"/>
            </w:rPr>
            <w:fldChar w:fldCharType="end"/>
          </w:r>
        </w:p>
        <w:p w14:paraId="5BDB9DCE">
          <w:pPr>
            <w:tabs>
              <w:tab w:val="right" w:leader="dot" w:pos="8820"/>
            </w:tabs>
            <w:spacing w:before="7" w:line="167" w:lineRule="auto"/>
            <w:ind w:left="11"/>
            <w:rPr>
              <w:rFonts w:ascii="宋体" w:hAnsi="宋体" w:eastAsia="宋体" w:cs="宋体"/>
              <w:sz w:val="22"/>
              <w:szCs w:val="22"/>
            </w:rPr>
          </w:pPr>
          <w:bookmarkStart w:id="236" w:name="bookmark315"/>
          <w:bookmarkEnd w:id="236"/>
          <w:r>
            <w:fldChar w:fldCharType="begin"/>
          </w:r>
          <w:r>
            <w:instrText xml:space="preserve"> HYPERLINK \l "bookmark315" </w:instrText>
          </w:r>
          <w:r>
            <w:fldChar w:fldCharType="separate"/>
          </w:r>
          <w:r>
            <w:rPr>
              <w:rFonts w:ascii="微软雅黑" w:hAnsi="微软雅黑" w:eastAsia="微软雅黑" w:cs="微软雅黑"/>
              <w:spacing w:val="-2"/>
              <w:sz w:val="22"/>
              <w:szCs w:val="22"/>
            </w:rPr>
            <w:t>学品、易制爆危险化学品的</w:t>
          </w:r>
          <w:r>
            <w:rPr>
              <w:rFonts w:ascii="微软雅黑" w:hAnsi="微软雅黑" w:eastAsia="微软雅黑" w:cs="微软雅黑"/>
              <w:sz w:val="22"/>
              <w:szCs w:val="22"/>
            </w:rPr>
            <w:tab/>
          </w:r>
          <w:r>
            <w:rPr>
              <w:rFonts w:ascii="宋体" w:hAnsi="宋体" w:eastAsia="宋体" w:cs="宋体"/>
              <w:spacing w:val="-9"/>
              <w:sz w:val="22"/>
              <w:szCs w:val="22"/>
            </w:rPr>
            <w:t>172</w:t>
          </w:r>
          <w:r>
            <w:rPr>
              <w:rFonts w:ascii="宋体" w:hAnsi="宋体" w:eastAsia="宋体" w:cs="宋体"/>
              <w:spacing w:val="-9"/>
              <w:sz w:val="22"/>
              <w:szCs w:val="22"/>
            </w:rPr>
            <w:fldChar w:fldCharType="end"/>
          </w:r>
        </w:p>
        <w:p w14:paraId="6832D613">
          <w:pPr>
            <w:spacing w:line="409" w:lineRule="exact"/>
            <w:ind w:left="11"/>
            <w:rPr>
              <w:rFonts w:ascii="微软雅黑" w:hAnsi="微软雅黑" w:eastAsia="微软雅黑" w:cs="微软雅黑"/>
              <w:sz w:val="22"/>
              <w:szCs w:val="22"/>
            </w:rPr>
          </w:pPr>
          <w:bookmarkStart w:id="237" w:name="bookmark317"/>
          <w:bookmarkEnd w:id="237"/>
          <w:r>
            <w:rPr>
              <w:rFonts w:ascii="仿宋" w:hAnsi="仿宋" w:eastAsia="仿宋" w:cs="仿宋"/>
              <w:spacing w:val="-2"/>
              <w:position w:val="5"/>
              <w:sz w:val="22"/>
              <w:szCs w:val="22"/>
            </w:rPr>
            <w:t>155</w:t>
          </w:r>
          <w:r>
            <w:rPr>
              <w:rFonts w:ascii="宋体" w:hAnsi="宋体" w:eastAsia="宋体" w:cs="宋体"/>
              <w:spacing w:val="-2"/>
              <w:position w:val="5"/>
              <w:sz w:val="22"/>
              <w:szCs w:val="22"/>
            </w:rPr>
            <w:t>．</w:t>
          </w:r>
          <w:r>
            <w:fldChar w:fldCharType="begin"/>
          </w:r>
          <w:r>
            <w:instrText xml:space="preserve"> HYPERLINK \l "bookmark318" </w:instrText>
          </w:r>
          <w:r>
            <w:fldChar w:fldCharType="separate"/>
          </w:r>
          <w:r>
            <w:rPr>
              <w:rFonts w:ascii="微软雅黑" w:hAnsi="微软雅黑" w:eastAsia="微软雅黑" w:cs="微软雅黑"/>
              <w:spacing w:val="-2"/>
              <w:position w:val="5"/>
              <w:sz w:val="22"/>
              <w:szCs w:val="22"/>
            </w:rPr>
            <w:t>危险化学品生产企业、经营企业不按照剧毒化学品</w:t>
          </w:r>
          <w:r>
            <w:rPr>
              <w:rFonts w:ascii="微软雅黑" w:hAnsi="微软雅黑" w:eastAsia="微软雅黑" w:cs="微软雅黑"/>
              <w:spacing w:val="-3"/>
              <w:position w:val="5"/>
              <w:sz w:val="22"/>
              <w:szCs w:val="22"/>
            </w:rPr>
            <w:t>购买许可证载明的品种、数量销售剧</w:t>
          </w:r>
          <w:r>
            <w:rPr>
              <w:rFonts w:ascii="微软雅黑" w:hAnsi="微软雅黑" w:eastAsia="微软雅黑" w:cs="微软雅黑"/>
              <w:spacing w:val="-3"/>
              <w:position w:val="5"/>
              <w:sz w:val="22"/>
              <w:szCs w:val="22"/>
            </w:rPr>
            <w:fldChar w:fldCharType="end"/>
          </w:r>
        </w:p>
        <w:p w14:paraId="3F3C33F2">
          <w:pPr>
            <w:tabs>
              <w:tab w:val="right" w:leader="dot" w:pos="8817"/>
            </w:tabs>
            <w:spacing w:before="8" w:line="167" w:lineRule="auto"/>
            <w:ind w:left="4"/>
            <w:rPr>
              <w:rFonts w:ascii="宋体" w:hAnsi="宋体" w:eastAsia="宋体" w:cs="宋体"/>
              <w:sz w:val="22"/>
              <w:szCs w:val="22"/>
            </w:rPr>
          </w:pPr>
          <w:bookmarkStart w:id="238" w:name="bookmark317"/>
          <w:bookmarkEnd w:id="238"/>
          <w:r>
            <w:fldChar w:fldCharType="begin"/>
          </w:r>
          <w:r>
            <w:instrText xml:space="preserve"> HYPERLINK \l "bookmark317" </w:instrText>
          </w:r>
          <w:r>
            <w:fldChar w:fldCharType="separate"/>
          </w:r>
          <w:r>
            <w:rPr>
              <w:rFonts w:ascii="微软雅黑" w:hAnsi="微软雅黑" w:eastAsia="微软雅黑" w:cs="微软雅黑"/>
              <w:spacing w:val="-3"/>
              <w:sz w:val="22"/>
              <w:szCs w:val="22"/>
            </w:rPr>
            <w:t>毒化学品的</w:t>
          </w:r>
          <w:r>
            <w:rPr>
              <w:rFonts w:ascii="微软雅黑" w:hAnsi="微软雅黑" w:eastAsia="微软雅黑" w:cs="微软雅黑"/>
              <w:sz w:val="22"/>
              <w:szCs w:val="22"/>
            </w:rPr>
            <w:tab/>
          </w:r>
          <w:r>
            <w:rPr>
              <w:rFonts w:ascii="宋体" w:hAnsi="宋体" w:eastAsia="宋体" w:cs="宋体"/>
              <w:spacing w:val="-9"/>
              <w:sz w:val="22"/>
              <w:szCs w:val="22"/>
            </w:rPr>
            <w:t>173</w:t>
          </w:r>
          <w:r>
            <w:rPr>
              <w:rFonts w:ascii="宋体" w:hAnsi="宋体" w:eastAsia="宋体" w:cs="宋体"/>
              <w:spacing w:val="-9"/>
              <w:sz w:val="22"/>
              <w:szCs w:val="22"/>
            </w:rPr>
            <w:fldChar w:fldCharType="end"/>
          </w:r>
        </w:p>
        <w:p w14:paraId="6C8148A3">
          <w:pPr>
            <w:spacing w:line="403" w:lineRule="exact"/>
            <w:ind w:left="11"/>
            <w:rPr>
              <w:rFonts w:ascii="微软雅黑" w:hAnsi="微软雅黑" w:eastAsia="微软雅黑" w:cs="微软雅黑"/>
              <w:sz w:val="22"/>
              <w:szCs w:val="22"/>
            </w:rPr>
          </w:pPr>
          <w:bookmarkStart w:id="239" w:name="bookmark319"/>
          <w:bookmarkEnd w:id="239"/>
          <w:r>
            <w:rPr>
              <w:rFonts w:ascii="仿宋" w:hAnsi="仿宋" w:eastAsia="仿宋" w:cs="仿宋"/>
              <w:spacing w:val="-5"/>
              <w:position w:val="5"/>
              <w:sz w:val="22"/>
              <w:szCs w:val="22"/>
            </w:rPr>
            <w:t>156</w:t>
          </w:r>
          <w:r>
            <w:rPr>
              <w:rFonts w:ascii="宋体" w:hAnsi="宋体" w:eastAsia="宋体" w:cs="宋体"/>
              <w:spacing w:val="-5"/>
              <w:position w:val="5"/>
              <w:sz w:val="22"/>
              <w:szCs w:val="22"/>
            </w:rPr>
            <w:t>．</w:t>
          </w:r>
          <w:r>
            <w:fldChar w:fldCharType="begin"/>
          </w:r>
          <w:r>
            <w:instrText xml:space="preserve"> HYPERLINK \l "bookmark320" </w:instrText>
          </w:r>
          <w:r>
            <w:fldChar w:fldCharType="separate"/>
          </w:r>
          <w:r>
            <w:rPr>
              <w:rFonts w:ascii="微软雅黑" w:hAnsi="微软雅黑" w:eastAsia="微软雅黑" w:cs="微软雅黑"/>
              <w:spacing w:val="-5"/>
              <w:position w:val="5"/>
              <w:sz w:val="22"/>
              <w:szCs w:val="22"/>
            </w:rPr>
            <w:t>危险化学品生产企业、经营企业向个人销售剧毒化学品（属</w:t>
          </w:r>
          <w:r>
            <w:rPr>
              <w:rFonts w:ascii="微软雅黑" w:hAnsi="微软雅黑" w:eastAsia="微软雅黑" w:cs="微软雅黑"/>
              <w:spacing w:val="-6"/>
              <w:position w:val="5"/>
              <w:sz w:val="22"/>
              <w:szCs w:val="22"/>
            </w:rPr>
            <w:t>于剧毒化学品的农药除外）、</w:t>
          </w:r>
          <w:r>
            <w:rPr>
              <w:rFonts w:ascii="微软雅黑" w:hAnsi="微软雅黑" w:eastAsia="微软雅黑" w:cs="微软雅黑"/>
              <w:spacing w:val="-6"/>
              <w:position w:val="5"/>
              <w:sz w:val="22"/>
              <w:szCs w:val="22"/>
            </w:rPr>
            <w:fldChar w:fldCharType="end"/>
          </w:r>
        </w:p>
        <w:p w14:paraId="5E108228">
          <w:pPr>
            <w:tabs>
              <w:tab w:val="right" w:leader="dot" w:pos="8820"/>
            </w:tabs>
            <w:spacing w:before="13" w:line="168" w:lineRule="auto"/>
            <w:ind w:left="12"/>
            <w:rPr>
              <w:rFonts w:ascii="宋体" w:hAnsi="宋体" w:eastAsia="宋体" w:cs="宋体"/>
              <w:sz w:val="22"/>
              <w:szCs w:val="22"/>
            </w:rPr>
          </w:pPr>
          <w:bookmarkStart w:id="240" w:name="bookmark319"/>
          <w:bookmarkEnd w:id="240"/>
          <w:r>
            <w:fldChar w:fldCharType="begin"/>
          </w:r>
          <w:r>
            <w:instrText xml:space="preserve"> HYPERLINK \l "bookmark319" </w:instrText>
          </w:r>
          <w:r>
            <w:fldChar w:fldCharType="separate"/>
          </w:r>
          <w:r>
            <w:rPr>
              <w:rFonts w:ascii="微软雅黑" w:hAnsi="微软雅黑" w:eastAsia="微软雅黑" w:cs="微软雅黑"/>
              <w:spacing w:val="-3"/>
              <w:sz w:val="22"/>
              <w:szCs w:val="22"/>
            </w:rPr>
            <w:t>易制爆危险化学品的</w:t>
          </w:r>
          <w:r>
            <w:rPr>
              <w:rFonts w:ascii="微软雅黑" w:hAnsi="微软雅黑" w:eastAsia="微软雅黑" w:cs="微软雅黑"/>
              <w:sz w:val="22"/>
              <w:szCs w:val="22"/>
            </w:rPr>
            <w:tab/>
          </w:r>
          <w:r>
            <w:rPr>
              <w:rFonts w:ascii="宋体" w:hAnsi="宋体" w:eastAsia="宋体" w:cs="宋体"/>
              <w:spacing w:val="-9"/>
              <w:sz w:val="22"/>
              <w:szCs w:val="22"/>
            </w:rPr>
            <w:t>174</w:t>
          </w:r>
          <w:r>
            <w:rPr>
              <w:rFonts w:ascii="宋体" w:hAnsi="宋体" w:eastAsia="宋体" w:cs="宋体"/>
              <w:spacing w:val="-9"/>
              <w:sz w:val="22"/>
              <w:szCs w:val="22"/>
            </w:rPr>
            <w:fldChar w:fldCharType="end"/>
          </w:r>
        </w:p>
        <w:p w14:paraId="71D5C2B2">
          <w:pPr>
            <w:spacing w:line="410" w:lineRule="exact"/>
            <w:ind w:left="11"/>
            <w:rPr>
              <w:rFonts w:ascii="微软雅黑" w:hAnsi="微软雅黑" w:eastAsia="微软雅黑" w:cs="微软雅黑"/>
              <w:sz w:val="22"/>
              <w:szCs w:val="22"/>
            </w:rPr>
          </w:pPr>
          <w:bookmarkStart w:id="241" w:name="bookmark321"/>
          <w:bookmarkEnd w:id="241"/>
          <w:r>
            <w:rPr>
              <w:rFonts w:ascii="仿宋" w:hAnsi="仿宋" w:eastAsia="仿宋" w:cs="仿宋"/>
              <w:spacing w:val="-2"/>
              <w:position w:val="5"/>
              <w:sz w:val="22"/>
              <w:szCs w:val="22"/>
            </w:rPr>
            <w:t>157</w:t>
          </w:r>
          <w:r>
            <w:rPr>
              <w:rFonts w:ascii="宋体" w:hAnsi="宋体" w:eastAsia="宋体" w:cs="宋体"/>
              <w:spacing w:val="-2"/>
              <w:position w:val="5"/>
              <w:sz w:val="22"/>
              <w:szCs w:val="22"/>
            </w:rPr>
            <w:t>．</w:t>
          </w:r>
          <w:r>
            <w:fldChar w:fldCharType="begin"/>
          </w:r>
          <w:r>
            <w:instrText xml:space="preserve"> HYPERLINK \l "bookmark322" </w:instrText>
          </w:r>
          <w:r>
            <w:fldChar w:fldCharType="separate"/>
          </w:r>
          <w:r>
            <w:rPr>
              <w:rFonts w:ascii="微软雅黑" w:hAnsi="微软雅黑" w:eastAsia="微软雅黑" w:cs="微软雅黑"/>
              <w:spacing w:val="-2"/>
              <w:position w:val="5"/>
              <w:sz w:val="22"/>
              <w:szCs w:val="22"/>
            </w:rPr>
            <w:t>危险化学品生产企业、进口企业不办理危险化学品</w:t>
          </w:r>
          <w:r>
            <w:rPr>
              <w:rFonts w:ascii="微软雅黑" w:hAnsi="微软雅黑" w:eastAsia="微软雅黑" w:cs="微软雅黑"/>
              <w:spacing w:val="-3"/>
              <w:position w:val="5"/>
              <w:sz w:val="22"/>
              <w:szCs w:val="22"/>
            </w:rPr>
            <w:t>登记，或者发现其生产、进口的危险</w:t>
          </w:r>
          <w:r>
            <w:rPr>
              <w:rFonts w:ascii="微软雅黑" w:hAnsi="微软雅黑" w:eastAsia="微软雅黑" w:cs="微软雅黑"/>
              <w:spacing w:val="-3"/>
              <w:position w:val="5"/>
              <w:sz w:val="22"/>
              <w:szCs w:val="22"/>
            </w:rPr>
            <w:fldChar w:fldCharType="end"/>
          </w:r>
        </w:p>
        <w:p w14:paraId="284D51A2">
          <w:pPr>
            <w:tabs>
              <w:tab w:val="right" w:leader="dot" w:pos="8827"/>
            </w:tabs>
            <w:spacing w:before="7" w:line="167" w:lineRule="auto"/>
            <w:ind w:left="5"/>
            <w:rPr>
              <w:rFonts w:ascii="宋体" w:hAnsi="宋体" w:eastAsia="宋体" w:cs="宋体"/>
              <w:sz w:val="22"/>
              <w:szCs w:val="22"/>
            </w:rPr>
          </w:pPr>
          <w:bookmarkStart w:id="242" w:name="bookmark321"/>
          <w:bookmarkEnd w:id="242"/>
          <w:r>
            <w:fldChar w:fldCharType="begin"/>
          </w:r>
          <w:r>
            <w:instrText xml:space="preserve"> HYPERLINK \l "bookmark321" </w:instrText>
          </w:r>
          <w:r>
            <w:fldChar w:fldCharType="separate"/>
          </w:r>
          <w:r>
            <w:rPr>
              <w:rFonts w:ascii="微软雅黑" w:hAnsi="微软雅黑" w:eastAsia="微软雅黑" w:cs="微软雅黑"/>
              <w:spacing w:val="-1"/>
              <w:sz w:val="22"/>
              <w:szCs w:val="22"/>
            </w:rPr>
            <w:t>化学品有新的危险特性不办理危险化学品登记内容变更手续的</w:t>
          </w:r>
          <w:r>
            <w:rPr>
              <w:rFonts w:ascii="微软雅黑" w:hAnsi="微软雅黑" w:eastAsia="微软雅黑" w:cs="微软雅黑"/>
              <w:sz w:val="22"/>
              <w:szCs w:val="22"/>
            </w:rPr>
            <w:tab/>
          </w:r>
          <w:r>
            <w:rPr>
              <w:rFonts w:ascii="宋体" w:hAnsi="宋体" w:eastAsia="宋体" w:cs="宋体"/>
              <w:spacing w:val="-9"/>
              <w:sz w:val="22"/>
              <w:szCs w:val="22"/>
            </w:rPr>
            <w:t>174</w:t>
          </w:r>
          <w:r>
            <w:rPr>
              <w:rFonts w:ascii="宋体" w:hAnsi="宋体" w:eastAsia="宋体" w:cs="宋体"/>
              <w:spacing w:val="-9"/>
              <w:sz w:val="22"/>
              <w:szCs w:val="22"/>
            </w:rPr>
            <w:fldChar w:fldCharType="end"/>
          </w:r>
        </w:p>
        <w:p w14:paraId="60847B01">
          <w:pPr>
            <w:spacing w:line="410" w:lineRule="exact"/>
            <w:ind w:left="11"/>
            <w:rPr>
              <w:rFonts w:ascii="微软雅黑" w:hAnsi="微软雅黑" w:eastAsia="微软雅黑" w:cs="微软雅黑"/>
              <w:sz w:val="22"/>
              <w:szCs w:val="22"/>
            </w:rPr>
          </w:pPr>
          <w:bookmarkStart w:id="243" w:name="bookmark323"/>
          <w:bookmarkEnd w:id="243"/>
          <w:r>
            <w:rPr>
              <w:rFonts w:ascii="仿宋" w:hAnsi="仿宋" w:eastAsia="仿宋" w:cs="仿宋"/>
              <w:spacing w:val="-2"/>
              <w:position w:val="5"/>
              <w:sz w:val="22"/>
              <w:szCs w:val="22"/>
            </w:rPr>
            <w:t>158</w:t>
          </w:r>
          <w:r>
            <w:rPr>
              <w:rFonts w:ascii="宋体" w:hAnsi="宋体" w:eastAsia="宋体" w:cs="宋体"/>
              <w:spacing w:val="-2"/>
              <w:position w:val="5"/>
              <w:sz w:val="22"/>
              <w:szCs w:val="22"/>
            </w:rPr>
            <w:t>．</w:t>
          </w:r>
          <w:r>
            <w:fldChar w:fldCharType="begin"/>
          </w:r>
          <w:r>
            <w:instrText xml:space="preserve"> HYPERLINK \l "bookmark324" </w:instrText>
          </w:r>
          <w:r>
            <w:fldChar w:fldCharType="separate"/>
          </w:r>
          <w:r>
            <w:rPr>
              <w:rFonts w:ascii="微软雅黑" w:hAnsi="微软雅黑" w:eastAsia="微软雅黑" w:cs="微软雅黑"/>
              <w:spacing w:val="-2"/>
              <w:position w:val="5"/>
              <w:sz w:val="22"/>
              <w:szCs w:val="22"/>
            </w:rPr>
            <w:t>危险化学品生产企业、进口企业在危险化学品登</w:t>
          </w:r>
          <w:r>
            <w:rPr>
              <w:rFonts w:ascii="微软雅黑" w:hAnsi="微软雅黑" w:eastAsia="微软雅黑" w:cs="微软雅黑"/>
              <w:spacing w:val="-3"/>
              <w:position w:val="5"/>
              <w:sz w:val="22"/>
              <w:szCs w:val="22"/>
            </w:rPr>
            <w:t>记证有效期内企业名称、注册地址、应</w:t>
          </w:r>
          <w:r>
            <w:rPr>
              <w:rFonts w:ascii="微软雅黑" w:hAnsi="微软雅黑" w:eastAsia="微软雅黑" w:cs="微软雅黑"/>
              <w:spacing w:val="-3"/>
              <w:position w:val="5"/>
              <w:sz w:val="22"/>
              <w:szCs w:val="22"/>
            </w:rPr>
            <w:fldChar w:fldCharType="end"/>
          </w:r>
        </w:p>
        <w:p w14:paraId="4C41E9E5">
          <w:pPr>
            <w:tabs>
              <w:tab w:val="right" w:leader="dot" w:pos="8827"/>
            </w:tabs>
            <w:spacing w:before="7" w:line="167" w:lineRule="auto"/>
            <w:ind w:left="15"/>
            <w:rPr>
              <w:rFonts w:ascii="宋体" w:hAnsi="宋体" w:eastAsia="宋体" w:cs="宋体"/>
              <w:sz w:val="22"/>
              <w:szCs w:val="22"/>
            </w:rPr>
          </w:pPr>
          <w:bookmarkStart w:id="244" w:name="bookmark323"/>
          <w:bookmarkEnd w:id="244"/>
          <w:r>
            <w:fldChar w:fldCharType="begin"/>
          </w:r>
          <w:r>
            <w:instrText xml:space="preserve"> HYPERLINK \l "bookmark323" </w:instrText>
          </w:r>
          <w:r>
            <w:fldChar w:fldCharType="separate"/>
          </w:r>
          <w:r>
            <w:rPr>
              <w:rFonts w:ascii="微软雅黑" w:hAnsi="微软雅黑" w:eastAsia="微软雅黑" w:cs="微软雅黑"/>
              <w:spacing w:val="-1"/>
              <w:sz w:val="22"/>
              <w:szCs w:val="22"/>
            </w:rPr>
            <w:t>急咨询服务电话发生变化，未按规定按时办理危险化学品登记变更手续的</w:t>
          </w:r>
          <w:r>
            <w:rPr>
              <w:rFonts w:ascii="微软雅黑" w:hAnsi="微软雅黑" w:eastAsia="微软雅黑" w:cs="微软雅黑"/>
              <w:sz w:val="22"/>
              <w:szCs w:val="22"/>
            </w:rPr>
            <w:tab/>
          </w:r>
          <w:r>
            <w:rPr>
              <w:rFonts w:ascii="宋体" w:hAnsi="宋体" w:eastAsia="宋体" w:cs="宋体"/>
              <w:spacing w:val="-9"/>
              <w:sz w:val="22"/>
              <w:szCs w:val="22"/>
            </w:rPr>
            <w:t>176</w:t>
          </w:r>
          <w:r>
            <w:rPr>
              <w:rFonts w:ascii="宋体" w:hAnsi="宋体" w:eastAsia="宋体" w:cs="宋体"/>
              <w:spacing w:val="-9"/>
              <w:sz w:val="22"/>
              <w:szCs w:val="22"/>
            </w:rPr>
            <w:fldChar w:fldCharType="end"/>
          </w:r>
        </w:p>
        <w:p w14:paraId="35736C29">
          <w:pPr>
            <w:spacing w:line="411" w:lineRule="exact"/>
            <w:ind w:left="11"/>
            <w:rPr>
              <w:rFonts w:ascii="微软雅黑" w:hAnsi="微软雅黑" w:eastAsia="微软雅黑" w:cs="微软雅黑"/>
              <w:sz w:val="22"/>
              <w:szCs w:val="22"/>
            </w:rPr>
          </w:pPr>
          <w:bookmarkStart w:id="245" w:name="bookmark325"/>
          <w:bookmarkEnd w:id="245"/>
          <w:r>
            <w:rPr>
              <w:rFonts w:ascii="仿宋" w:hAnsi="仿宋" w:eastAsia="仿宋" w:cs="仿宋"/>
              <w:spacing w:val="-2"/>
              <w:position w:val="5"/>
              <w:sz w:val="22"/>
              <w:szCs w:val="22"/>
            </w:rPr>
            <w:t>159</w:t>
          </w:r>
          <w:r>
            <w:rPr>
              <w:rFonts w:ascii="宋体" w:hAnsi="宋体" w:eastAsia="宋体" w:cs="宋体"/>
              <w:spacing w:val="-2"/>
              <w:position w:val="5"/>
              <w:sz w:val="22"/>
              <w:szCs w:val="22"/>
            </w:rPr>
            <w:t>．</w:t>
          </w:r>
          <w:r>
            <w:fldChar w:fldCharType="begin"/>
          </w:r>
          <w:r>
            <w:instrText xml:space="preserve"> HYPERLINK \l "bookmark326" </w:instrText>
          </w:r>
          <w:r>
            <w:fldChar w:fldCharType="separate"/>
          </w:r>
          <w:r>
            <w:rPr>
              <w:rFonts w:ascii="微软雅黑" w:hAnsi="微软雅黑" w:eastAsia="微软雅黑" w:cs="微软雅黑"/>
              <w:spacing w:val="-2"/>
              <w:position w:val="5"/>
              <w:sz w:val="22"/>
              <w:szCs w:val="22"/>
            </w:rPr>
            <w:t>危险化学品生产企业、进口企业在危险化学品登记证</w:t>
          </w:r>
          <w:r>
            <w:rPr>
              <w:rFonts w:ascii="微软雅黑" w:hAnsi="微软雅黑" w:eastAsia="微软雅黑" w:cs="微软雅黑"/>
              <w:spacing w:val="-3"/>
              <w:position w:val="5"/>
              <w:sz w:val="22"/>
              <w:szCs w:val="22"/>
            </w:rPr>
            <w:t>有效期满后，未按规定申请复核换</w:t>
          </w:r>
          <w:r>
            <w:rPr>
              <w:rFonts w:ascii="微软雅黑" w:hAnsi="微软雅黑" w:eastAsia="微软雅黑" w:cs="微软雅黑"/>
              <w:spacing w:val="-3"/>
              <w:position w:val="5"/>
              <w:sz w:val="22"/>
              <w:szCs w:val="22"/>
            </w:rPr>
            <w:fldChar w:fldCharType="end"/>
          </w:r>
        </w:p>
        <w:p w14:paraId="417437D8">
          <w:pPr>
            <w:tabs>
              <w:tab w:val="right" w:leader="dot" w:pos="8820"/>
            </w:tabs>
            <w:spacing w:before="5" w:line="168" w:lineRule="auto"/>
            <w:ind w:left="1"/>
            <w:rPr>
              <w:rFonts w:ascii="宋体" w:hAnsi="宋体" w:eastAsia="宋体" w:cs="宋体"/>
              <w:sz w:val="22"/>
              <w:szCs w:val="22"/>
            </w:rPr>
          </w:pPr>
          <w:bookmarkStart w:id="246" w:name="bookmark325"/>
          <w:bookmarkEnd w:id="246"/>
          <w:r>
            <w:fldChar w:fldCharType="begin"/>
          </w:r>
          <w:r>
            <w:instrText xml:space="preserve"> HYPERLINK \l "bookmark325" </w:instrText>
          </w:r>
          <w:r>
            <w:fldChar w:fldCharType="separate"/>
          </w:r>
          <w:r>
            <w:rPr>
              <w:rFonts w:ascii="微软雅黑" w:hAnsi="微软雅黑" w:eastAsia="微软雅黑" w:cs="微软雅黑"/>
              <w:spacing w:val="-1"/>
              <w:sz w:val="22"/>
              <w:szCs w:val="22"/>
            </w:rPr>
            <w:t>证，继续进行生产或者进口的</w:t>
          </w:r>
          <w:r>
            <w:rPr>
              <w:rFonts w:ascii="微软雅黑" w:hAnsi="微软雅黑" w:eastAsia="微软雅黑" w:cs="微软雅黑"/>
              <w:sz w:val="22"/>
              <w:szCs w:val="22"/>
            </w:rPr>
            <w:tab/>
          </w:r>
          <w:r>
            <w:rPr>
              <w:rFonts w:ascii="宋体" w:hAnsi="宋体" w:eastAsia="宋体" w:cs="宋体"/>
              <w:spacing w:val="-9"/>
              <w:sz w:val="22"/>
              <w:szCs w:val="22"/>
            </w:rPr>
            <w:t>177</w:t>
          </w:r>
          <w:r>
            <w:rPr>
              <w:rFonts w:ascii="宋体" w:hAnsi="宋体" w:eastAsia="宋体" w:cs="宋体"/>
              <w:spacing w:val="-9"/>
              <w:sz w:val="22"/>
              <w:szCs w:val="22"/>
            </w:rPr>
            <w:fldChar w:fldCharType="end"/>
          </w:r>
        </w:p>
        <w:p w14:paraId="363C23CF">
          <w:pPr>
            <w:spacing w:line="410" w:lineRule="exact"/>
            <w:ind w:left="11"/>
            <w:rPr>
              <w:rFonts w:ascii="微软雅黑" w:hAnsi="微软雅黑" w:eastAsia="微软雅黑" w:cs="微软雅黑"/>
              <w:sz w:val="22"/>
              <w:szCs w:val="22"/>
            </w:rPr>
          </w:pPr>
          <w:bookmarkStart w:id="247" w:name="bookmark327"/>
          <w:bookmarkEnd w:id="247"/>
          <w:r>
            <w:rPr>
              <w:rFonts w:ascii="仿宋" w:hAnsi="仿宋" w:eastAsia="仿宋" w:cs="仿宋"/>
              <w:spacing w:val="-2"/>
              <w:position w:val="5"/>
              <w:sz w:val="22"/>
              <w:szCs w:val="22"/>
            </w:rPr>
            <w:t>160</w:t>
          </w:r>
          <w:r>
            <w:rPr>
              <w:rFonts w:ascii="宋体" w:hAnsi="宋体" w:eastAsia="宋体" w:cs="宋体"/>
              <w:spacing w:val="-2"/>
              <w:position w:val="5"/>
              <w:sz w:val="22"/>
              <w:szCs w:val="22"/>
            </w:rPr>
            <w:t>．</w:t>
          </w:r>
          <w:r>
            <w:fldChar w:fldCharType="begin"/>
          </w:r>
          <w:r>
            <w:instrText xml:space="preserve"> HYPERLINK \l "bookmark328" </w:instrText>
          </w:r>
          <w:r>
            <w:fldChar w:fldCharType="separate"/>
          </w:r>
          <w:r>
            <w:rPr>
              <w:rFonts w:ascii="微软雅黑" w:hAnsi="微软雅黑" w:eastAsia="微软雅黑" w:cs="微软雅黑"/>
              <w:spacing w:val="-2"/>
              <w:position w:val="5"/>
              <w:sz w:val="22"/>
              <w:szCs w:val="22"/>
            </w:rPr>
            <w:t>危险化学品生产企业、进口企业转让、冒用或者使用</w:t>
          </w:r>
          <w:r>
            <w:rPr>
              <w:rFonts w:ascii="微软雅黑" w:hAnsi="微软雅黑" w:eastAsia="微软雅黑" w:cs="微软雅黑"/>
              <w:spacing w:val="-3"/>
              <w:position w:val="5"/>
              <w:sz w:val="22"/>
              <w:szCs w:val="22"/>
            </w:rPr>
            <w:t>伪造的危险化学品登记证，或者不</w:t>
          </w:r>
          <w:r>
            <w:rPr>
              <w:rFonts w:ascii="微软雅黑" w:hAnsi="微软雅黑" w:eastAsia="微软雅黑" w:cs="微软雅黑"/>
              <w:spacing w:val="-3"/>
              <w:position w:val="5"/>
              <w:sz w:val="22"/>
              <w:szCs w:val="22"/>
            </w:rPr>
            <w:fldChar w:fldCharType="end"/>
          </w:r>
        </w:p>
        <w:p w14:paraId="21EAA236">
          <w:pPr>
            <w:tabs>
              <w:tab w:val="right" w:leader="dot" w:pos="8822"/>
            </w:tabs>
            <w:spacing w:before="8" w:line="167" w:lineRule="auto"/>
            <w:ind w:left="5"/>
            <w:rPr>
              <w:rFonts w:ascii="宋体" w:hAnsi="宋体" w:eastAsia="宋体" w:cs="宋体"/>
              <w:sz w:val="22"/>
              <w:szCs w:val="22"/>
            </w:rPr>
          </w:pPr>
          <w:bookmarkStart w:id="248" w:name="bookmark327"/>
          <w:bookmarkEnd w:id="248"/>
          <w:r>
            <w:fldChar w:fldCharType="begin"/>
          </w:r>
          <w:r>
            <w:instrText xml:space="preserve"> HYPERLINK \l "bookmark327" </w:instrText>
          </w:r>
          <w:r>
            <w:fldChar w:fldCharType="separate"/>
          </w:r>
          <w:r>
            <w:rPr>
              <w:rFonts w:ascii="微软雅黑" w:hAnsi="微软雅黑" w:eastAsia="微软雅黑" w:cs="微软雅黑"/>
              <w:spacing w:val="-1"/>
              <w:sz w:val="22"/>
              <w:szCs w:val="22"/>
            </w:rPr>
            <w:t>如实填报登记内容、提交有关材料的</w:t>
          </w:r>
          <w:r>
            <w:rPr>
              <w:rFonts w:ascii="微软雅黑" w:hAnsi="微软雅黑" w:eastAsia="微软雅黑" w:cs="微软雅黑"/>
              <w:sz w:val="22"/>
              <w:szCs w:val="22"/>
            </w:rPr>
            <w:tab/>
          </w:r>
          <w:r>
            <w:rPr>
              <w:rFonts w:ascii="宋体" w:hAnsi="宋体" w:eastAsia="宋体" w:cs="宋体"/>
              <w:spacing w:val="-9"/>
              <w:sz w:val="22"/>
              <w:szCs w:val="22"/>
            </w:rPr>
            <w:t>178</w:t>
          </w:r>
          <w:r>
            <w:rPr>
              <w:rFonts w:ascii="宋体" w:hAnsi="宋体" w:eastAsia="宋体" w:cs="宋体"/>
              <w:spacing w:val="-9"/>
              <w:sz w:val="22"/>
              <w:szCs w:val="22"/>
            </w:rPr>
            <w:fldChar w:fldCharType="end"/>
          </w:r>
        </w:p>
        <w:p w14:paraId="4E03550E">
          <w:pPr>
            <w:spacing w:line="411" w:lineRule="exact"/>
            <w:ind w:left="11"/>
            <w:rPr>
              <w:rFonts w:ascii="微软雅黑" w:hAnsi="微软雅黑" w:eastAsia="微软雅黑" w:cs="微软雅黑"/>
              <w:sz w:val="22"/>
              <w:szCs w:val="22"/>
            </w:rPr>
          </w:pPr>
          <w:bookmarkStart w:id="249" w:name="bookmark329"/>
          <w:bookmarkEnd w:id="249"/>
          <w:r>
            <w:rPr>
              <w:rFonts w:ascii="仿宋" w:hAnsi="仿宋" w:eastAsia="仿宋" w:cs="仿宋"/>
              <w:spacing w:val="-2"/>
              <w:position w:val="5"/>
              <w:sz w:val="22"/>
              <w:szCs w:val="22"/>
            </w:rPr>
            <w:t>161</w:t>
          </w:r>
          <w:r>
            <w:rPr>
              <w:rFonts w:ascii="宋体" w:hAnsi="宋体" w:eastAsia="宋体" w:cs="宋体"/>
              <w:spacing w:val="-2"/>
              <w:position w:val="5"/>
              <w:sz w:val="22"/>
              <w:szCs w:val="22"/>
            </w:rPr>
            <w:t>．</w:t>
          </w:r>
          <w:r>
            <w:fldChar w:fldCharType="begin"/>
          </w:r>
          <w:r>
            <w:instrText xml:space="preserve"> HYPERLINK \l "bookmark330" </w:instrText>
          </w:r>
          <w:r>
            <w:fldChar w:fldCharType="separate"/>
          </w:r>
          <w:r>
            <w:rPr>
              <w:rFonts w:ascii="微软雅黑" w:hAnsi="微软雅黑" w:eastAsia="微软雅黑" w:cs="微软雅黑"/>
              <w:spacing w:val="-2"/>
              <w:position w:val="5"/>
              <w:sz w:val="22"/>
              <w:szCs w:val="22"/>
            </w:rPr>
            <w:t>危险化学品生产企业、进口企业拒绝、阻挠登记机构对</w:t>
          </w:r>
          <w:r>
            <w:rPr>
              <w:rFonts w:ascii="微软雅黑" w:hAnsi="微软雅黑" w:eastAsia="微软雅黑" w:cs="微软雅黑"/>
              <w:spacing w:val="-3"/>
              <w:position w:val="5"/>
              <w:sz w:val="22"/>
              <w:szCs w:val="22"/>
            </w:rPr>
            <w:t>本企业危险化学品登记情况进行</w:t>
          </w:r>
          <w:r>
            <w:rPr>
              <w:rFonts w:ascii="微软雅黑" w:hAnsi="微软雅黑" w:eastAsia="微软雅黑" w:cs="微软雅黑"/>
              <w:spacing w:val="-3"/>
              <w:position w:val="5"/>
              <w:sz w:val="22"/>
              <w:szCs w:val="22"/>
            </w:rPr>
            <w:fldChar w:fldCharType="end"/>
          </w:r>
        </w:p>
        <w:p w14:paraId="48BAB2A3">
          <w:pPr>
            <w:tabs>
              <w:tab w:val="right" w:leader="dot" w:pos="8817"/>
            </w:tabs>
            <w:spacing w:before="6" w:line="167" w:lineRule="auto"/>
            <w:ind w:left="2"/>
            <w:rPr>
              <w:rFonts w:ascii="宋体" w:hAnsi="宋体" w:eastAsia="宋体" w:cs="宋体"/>
              <w:sz w:val="22"/>
              <w:szCs w:val="22"/>
            </w:rPr>
          </w:pPr>
          <w:bookmarkStart w:id="250" w:name="bookmark329"/>
          <w:bookmarkEnd w:id="250"/>
          <w:r>
            <w:fldChar w:fldCharType="begin"/>
          </w:r>
          <w:r>
            <w:instrText xml:space="preserve"> HYPERLINK \l "bookmark329" </w:instrText>
          </w:r>
          <w:r>
            <w:fldChar w:fldCharType="separate"/>
          </w:r>
          <w:r>
            <w:rPr>
              <w:rFonts w:ascii="微软雅黑" w:hAnsi="微软雅黑" w:eastAsia="微软雅黑" w:cs="微软雅黑"/>
              <w:spacing w:val="-2"/>
              <w:sz w:val="22"/>
              <w:szCs w:val="22"/>
            </w:rPr>
            <w:t>现场核查的</w:t>
          </w:r>
          <w:r>
            <w:rPr>
              <w:rFonts w:ascii="微软雅黑" w:hAnsi="微软雅黑" w:eastAsia="微软雅黑" w:cs="微软雅黑"/>
              <w:sz w:val="22"/>
              <w:szCs w:val="22"/>
            </w:rPr>
            <w:tab/>
          </w:r>
          <w:r>
            <w:rPr>
              <w:rFonts w:ascii="宋体" w:hAnsi="宋体" w:eastAsia="宋体" w:cs="宋体"/>
              <w:spacing w:val="-9"/>
              <w:sz w:val="22"/>
              <w:szCs w:val="22"/>
            </w:rPr>
            <w:t>179</w:t>
          </w:r>
          <w:r>
            <w:rPr>
              <w:rFonts w:ascii="宋体" w:hAnsi="宋体" w:eastAsia="宋体" w:cs="宋体"/>
              <w:spacing w:val="-9"/>
              <w:sz w:val="22"/>
              <w:szCs w:val="22"/>
            </w:rPr>
            <w:fldChar w:fldCharType="end"/>
          </w:r>
        </w:p>
        <w:p w14:paraId="11706574">
          <w:pPr>
            <w:spacing w:line="410" w:lineRule="exact"/>
            <w:ind w:left="11"/>
            <w:rPr>
              <w:rFonts w:ascii="微软雅黑" w:hAnsi="微软雅黑" w:eastAsia="微软雅黑" w:cs="微软雅黑"/>
              <w:sz w:val="22"/>
              <w:szCs w:val="22"/>
            </w:rPr>
          </w:pPr>
          <w:bookmarkStart w:id="251" w:name="bookmark331"/>
          <w:bookmarkEnd w:id="251"/>
          <w:r>
            <w:rPr>
              <w:rFonts w:ascii="仿宋" w:hAnsi="仿宋" w:eastAsia="仿宋" w:cs="仿宋"/>
              <w:spacing w:val="-2"/>
              <w:position w:val="5"/>
              <w:sz w:val="22"/>
              <w:szCs w:val="22"/>
            </w:rPr>
            <w:t>162</w:t>
          </w:r>
          <w:r>
            <w:rPr>
              <w:rFonts w:ascii="宋体" w:hAnsi="宋体" w:eastAsia="宋体" w:cs="宋体"/>
              <w:spacing w:val="-2"/>
              <w:position w:val="5"/>
              <w:sz w:val="22"/>
              <w:szCs w:val="22"/>
            </w:rPr>
            <w:t>．</w:t>
          </w:r>
          <w:r>
            <w:fldChar w:fldCharType="begin"/>
          </w:r>
          <w:r>
            <w:instrText xml:space="preserve"> HYPERLINK \l "bookmark332" </w:instrText>
          </w:r>
          <w:r>
            <w:fldChar w:fldCharType="separate"/>
          </w:r>
          <w:r>
            <w:rPr>
              <w:rFonts w:ascii="微软雅黑" w:hAnsi="微软雅黑" w:eastAsia="微软雅黑" w:cs="微软雅黑"/>
              <w:spacing w:val="-2"/>
              <w:position w:val="5"/>
              <w:sz w:val="22"/>
              <w:szCs w:val="22"/>
            </w:rPr>
            <w:t>危险化学品生产企业、进口企业未按规定向用户提</w:t>
          </w:r>
          <w:r>
            <w:rPr>
              <w:rFonts w:ascii="微软雅黑" w:hAnsi="微软雅黑" w:eastAsia="微软雅黑" w:cs="微软雅黑"/>
              <w:spacing w:val="-3"/>
              <w:position w:val="5"/>
              <w:sz w:val="22"/>
              <w:szCs w:val="22"/>
            </w:rPr>
            <w:t>供应急咨询服务或者应急咨询服务不</w:t>
          </w:r>
          <w:r>
            <w:rPr>
              <w:rFonts w:ascii="微软雅黑" w:hAnsi="微软雅黑" w:eastAsia="微软雅黑" w:cs="微软雅黑"/>
              <w:spacing w:val="-3"/>
              <w:position w:val="5"/>
              <w:sz w:val="22"/>
              <w:szCs w:val="22"/>
            </w:rPr>
            <w:fldChar w:fldCharType="end"/>
          </w:r>
        </w:p>
        <w:p w14:paraId="0D0D6B67">
          <w:pPr>
            <w:tabs>
              <w:tab w:val="right" w:leader="dot" w:pos="8817"/>
            </w:tabs>
            <w:spacing w:before="6" w:line="168" w:lineRule="auto"/>
            <w:ind w:left="4"/>
            <w:rPr>
              <w:rFonts w:ascii="宋体" w:hAnsi="宋体" w:eastAsia="宋体" w:cs="宋体"/>
              <w:sz w:val="22"/>
              <w:szCs w:val="22"/>
            </w:rPr>
          </w:pPr>
          <w:bookmarkStart w:id="252" w:name="bookmark331"/>
          <w:bookmarkEnd w:id="252"/>
          <w:r>
            <w:fldChar w:fldCharType="begin"/>
          </w:r>
          <w:r>
            <w:instrText xml:space="preserve"> HYPERLINK \l "bookmark331" </w:instrText>
          </w:r>
          <w:r>
            <w:fldChar w:fldCharType="separate"/>
          </w:r>
          <w:r>
            <w:rPr>
              <w:rFonts w:ascii="微软雅黑" w:hAnsi="微软雅黑" w:eastAsia="微软雅黑" w:cs="微软雅黑"/>
              <w:spacing w:val="-3"/>
              <w:sz w:val="22"/>
              <w:szCs w:val="22"/>
            </w:rPr>
            <w:t>符合规定的</w:t>
          </w:r>
          <w:r>
            <w:rPr>
              <w:rFonts w:ascii="微软雅黑" w:hAnsi="微软雅黑" w:eastAsia="微软雅黑" w:cs="微软雅黑"/>
              <w:sz w:val="22"/>
              <w:szCs w:val="22"/>
            </w:rPr>
            <w:tab/>
          </w:r>
          <w:r>
            <w:rPr>
              <w:rFonts w:ascii="宋体" w:hAnsi="宋体" w:eastAsia="宋体" w:cs="宋体"/>
              <w:spacing w:val="-9"/>
              <w:sz w:val="22"/>
              <w:szCs w:val="22"/>
            </w:rPr>
            <w:t>179</w:t>
          </w:r>
          <w:r>
            <w:rPr>
              <w:rFonts w:ascii="宋体" w:hAnsi="宋体" w:eastAsia="宋体" w:cs="宋体"/>
              <w:spacing w:val="-9"/>
              <w:sz w:val="22"/>
              <w:szCs w:val="22"/>
            </w:rPr>
            <w:fldChar w:fldCharType="end"/>
          </w:r>
        </w:p>
        <w:p w14:paraId="2ACFED1E">
          <w:pPr>
            <w:spacing w:line="216" w:lineRule="auto"/>
            <w:ind w:left="11"/>
            <w:rPr>
              <w:rFonts w:ascii="宋体" w:hAnsi="宋体" w:eastAsia="宋体" w:cs="宋体"/>
              <w:sz w:val="22"/>
              <w:szCs w:val="22"/>
            </w:rPr>
          </w:pPr>
          <w:bookmarkStart w:id="253" w:name="bookmark333"/>
          <w:bookmarkEnd w:id="253"/>
          <w:r>
            <w:rPr>
              <w:rFonts w:ascii="仿宋" w:hAnsi="仿宋" w:eastAsia="仿宋" w:cs="仿宋"/>
              <w:spacing w:val="-1"/>
              <w:sz w:val="22"/>
              <w:szCs w:val="22"/>
            </w:rPr>
            <w:t>163</w:t>
          </w:r>
          <w:r>
            <w:rPr>
              <w:rFonts w:ascii="宋体" w:hAnsi="宋体" w:eastAsia="宋体" w:cs="宋体"/>
              <w:spacing w:val="-1"/>
              <w:sz w:val="22"/>
              <w:szCs w:val="22"/>
            </w:rPr>
            <w:t>．</w:t>
          </w:r>
          <w:r>
            <w:fldChar w:fldCharType="begin"/>
          </w:r>
          <w:r>
            <w:instrText xml:space="preserve"> HYPERLINK \l "bookmark334" </w:instrText>
          </w:r>
          <w:r>
            <w:fldChar w:fldCharType="separate"/>
          </w:r>
          <w:r>
            <w:rPr>
              <w:rFonts w:ascii="微软雅黑" w:hAnsi="微软雅黑" w:eastAsia="微软雅黑" w:cs="微软雅黑"/>
              <w:spacing w:val="-1"/>
              <w:sz w:val="22"/>
              <w:szCs w:val="22"/>
            </w:rPr>
            <w:t>非药品类易制毒化学品生产、经营单位未按规定建立管理制度和安全管理制度的</w:t>
          </w:r>
          <w:r>
            <w:rPr>
              <w:rFonts w:ascii="宋体" w:hAnsi="宋体" w:eastAsia="宋体" w:cs="宋体"/>
              <w:spacing w:val="-1"/>
              <w:sz w:val="22"/>
              <w:szCs w:val="22"/>
            </w:rPr>
            <w:t>.1</w:t>
          </w:r>
          <w:r>
            <w:rPr>
              <w:rFonts w:ascii="宋体" w:hAnsi="宋体" w:eastAsia="宋体" w:cs="宋体"/>
              <w:spacing w:val="-2"/>
              <w:sz w:val="22"/>
              <w:szCs w:val="22"/>
            </w:rPr>
            <w:t>80</w:t>
          </w:r>
          <w:r>
            <w:rPr>
              <w:rFonts w:ascii="宋体" w:hAnsi="宋体" w:eastAsia="宋体" w:cs="宋体"/>
              <w:spacing w:val="-2"/>
              <w:sz w:val="22"/>
              <w:szCs w:val="22"/>
            </w:rPr>
            <w:fldChar w:fldCharType="end"/>
          </w:r>
        </w:p>
        <w:p w14:paraId="4F89EB56">
          <w:pPr>
            <w:tabs>
              <w:tab w:val="right" w:leader="dot" w:pos="8829"/>
            </w:tabs>
            <w:spacing w:line="216" w:lineRule="auto"/>
            <w:ind w:left="11"/>
            <w:rPr>
              <w:rFonts w:ascii="宋体" w:hAnsi="宋体" w:eastAsia="宋体" w:cs="宋体"/>
              <w:sz w:val="22"/>
              <w:szCs w:val="22"/>
            </w:rPr>
          </w:pPr>
          <w:bookmarkStart w:id="254" w:name="bookmark335"/>
          <w:bookmarkEnd w:id="254"/>
          <w:r>
            <w:rPr>
              <w:rFonts w:ascii="仿宋" w:hAnsi="仿宋" w:eastAsia="仿宋" w:cs="仿宋"/>
              <w:spacing w:val="-1"/>
              <w:sz w:val="22"/>
              <w:szCs w:val="22"/>
            </w:rPr>
            <w:t>164</w:t>
          </w:r>
          <w:r>
            <w:rPr>
              <w:rFonts w:ascii="宋体" w:hAnsi="宋体" w:eastAsia="宋体" w:cs="宋体"/>
              <w:spacing w:val="-1"/>
              <w:sz w:val="22"/>
              <w:szCs w:val="22"/>
            </w:rPr>
            <w:t>．</w:t>
          </w:r>
          <w:r>
            <w:fldChar w:fldCharType="begin"/>
          </w:r>
          <w:r>
            <w:instrText xml:space="preserve"> HYPERLINK \l "bookmark336" </w:instrText>
          </w:r>
          <w:r>
            <w:fldChar w:fldCharType="separate"/>
          </w:r>
          <w:r>
            <w:rPr>
              <w:rFonts w:ascii="微软雅黑" w:hAnsi="微软雅黑" w:eastAsia="微软雅黑" w:cs="微软雅黑"/>
              <w:spacing w:val="-1"/>
              <w:sz w:val="22"/>
              <w:szCs w:val="22"/>
            </w:rPr>
            <w:t>将非药品类易制毒化学品生产、经营许可证或者备案证明转借他人使用的</w:t>
          </w:r>
          <w:r>
            <w:rPr>
              <w:rFonts w:ascii="微软雅黑" w:hAnsi="微软雅黑" w:eastAsia="微软雅黑" w:cs="微软雅黑"/>
              <w:sz w:val="22"/>
              <w:szCs w:val="22"/>
            </w:rPr>
            <w:tab/>
          </w:r>
          <w:r>
            <w:rPr>
              <w:rFonts w:ascii="宋体" w:hAnsi="宋体" w:eastAsia="宋体" w:cs="宋体"/>
              <w:spacing w:val="-9"/>
              <w:sz w:val="22"/>
              <w:szCs w:val="22"/>
            </w:rPr>
            <w:t>182</w:t>
          </w:r>
          <w:r>
            <w:rPr>
              <w:rFonts w:ascii="宋体" w:hAnsi="宋体" w:eastAsia="宋体" w:cs="宋体"/>
              <w:spacing w:val="-9"/>
              <w:sz w:val="22"/>
              <w:szCs w:val="22"/>
            </w:rPr>
            <w:fldChar w:fldCharType="end"/>
          </w:r>
        </w:p>
        <w:p w14:paraId="51B8AFAF">
          <w:pPr>
            <w:tabs>
              <w:tab w:val="right" w:leader="dot" w:pos="8825"/>
            </w:tabs>
            <w:spacing w:before="1" w:line="216" w:lineRule="auto"/>
            <w:ind w:left="11"/>
            <w:rPr>
              <w:rFonts w:ascii="宋体" w:hAnsi="宋体" w:eastAsia="宋体" w:cs="宋体"/>
              <w:sz w:val="22"/>
              <w:szCs w:val="22"/>
            </w:rPr>
          </w:pPr>
          <w:bookmarkStart w:id="255" w:name="bookmark337"/>
          <w:bookmarkEnd w:id="255"/>
          <w:r>
            <w:rPr>
              <w:rFonts w:ascii="仿宋" w:hAnsi="仿宋" w:eastAsia="仿宋" w:cs="仿宋"/>
              <w:spacing w:val="-7"/>
              <w:sz w:val="22"/>
              <w:szCs w:val="22"/>
            </w:rPr>
            <w:t>165</w:t>
          </w:r>
          <w:r>
            <w:rPr>
              <w:rFonts w:ascii="宋体" w:hAnsi="宋体" w:eastAsia="宋体" w:cs="宋体"/>
              <w:spacing w:val="-7"/>
              <w:sz w:val="22"/>
              <w:szCs w:val="22"/>
            </w:rPr>
            <w:t>．</w:t>
          </w:r>
          <w:r>
            <w:fldChar w:fldCharType="begin"/>
          </w:r>
          <w:r>
            <w:instrText xml:space="preserve"> HYPERLINK \l "bookmark338" </w:instrText>
          </w:r>
          <w:r>
            <w:fldChar w:fldCharType="separate"/>
          </w:r>
          <w:r>
            <w:rPr>
              <w:rFonts w:ascii="微软雅黑" w:hAnsi="微软雅黑" w:eastAsia="微软雅黑" w:cs="微软雅黑"/>
              <w:spacing w:val="-7"/>
              <w:sz w:val="22"/>
              <w:szCs w:val="22"/>
            </w:rPr>
            <w:t>超出许可的品种、数量，生产、经营易制毒化学品的</w:t>
          </w:r>
          <w:r>
            <w:rPr>
              <w:rFonts w:ascii="微软雅黑" w:hAnsi="微软雅黑" w:eastAsia="微软雅黑" w:cs="微软雅黑"/>
              <w:sz w:val="22"/>
              <w:szCs w:val="22"/>
            </w:rPr>
            <w:tab/>
          </w:r>
          <w:r>
            <w:rPr>
              <w:rFonts w:ascii="宋体" w:hAnsi="宋体" w:eastAsia="宋体" w:cs="宋体"/>
              <w:spacing w:val="-9"/>
              <w:sz w:val="22"/>
              <w:szCs w:val="22"/>
            </w:rPr>
            <w:t>183</w:t>
          </w:r>
          <w:r>
            <w:rPr>
              <w:rFonts w:ascii="宋体" w:hAnsi="宋体" w:eastAsia="宋体" w:cs="宋体"/>
              <w:spacing w:val="-9"/>
              <w:sz w:val="22"/>
              <w:szCs w:val="22"/>
            </w:rPr>
            <w:fldChar w:fldCharType="end"/>
          </w:r>
        </w:p>
        <w:p w14:paraId="17404AB1">
          <w:pPr>
            <w:tabs>
              <w:tab w:val="right" w:leader="dot" w:pos="8827"/>
            </w:tabs>
            <w:spacing w:line="410" w:lineRule="exact"/>
            <w:ind w:left="11"/>
            <w:rPr>
              <w:rFonts w:ascii="宋体" w:hAnsi="宋体" w:eastAsia="宋体" w:cs="宋体"/>
              <w:sz w:val="22"/>
              <w:szCs w:val="22"/>
            </w:rPr>
          </w:pPr>
          <w:bookmarkStart w:id="256" w:name="bookmark339"/>
          <w:bookmarkEnd w:id="256"/>
          <w:r>
            <w:rPr>
              <w:rFonts w:ascii="仿宋" w:hAnsi="仿宋" w:eastAsia="仿宋" w:cs="仿宋"/>
              <w:spacing w:val="-1"/>
              <w:position w:val="5"/>
              <w:sz w:val="22"/>
              <w:szCs w:val="22"/>
            </w:rPr>
            <w:t>166</w:t>
          </w:r>
          <w:r>
            <w:rPr>
              <w:rFonts w:ascii="宋体" w:hAnsi="宋体" w:eastAsia="宋体" w:cs="宋体"/>
              <w:spacing w:val="-1"/>
              <w:position w:val="5"/>
              <w:sz w:val="22"/>
              <w:szCs w:val="22"/>
            </w:rPr>
            <w:t>．</w:t>
          </w:r>
          <w:r>
            <w:fldChar w:fldCharType="begin"/>
          </w:r>
          <w:r>
            <w:instrText xml:space="preserve"> HYPERLINK \l "bookmark340" </w:instrText>
          </w:r>
          <w:r>
            <w:fldChar w:fldCharType="separate"/>
          </w:r>
          <w:r>
            <w:rPr>
              <w:rFonts w:ascii="微软雅黑" w:hAnsi="微软雅黑" w:eastAsia="微软雅黑" w:cs="微软雅黑"/>
              <w:spacing w:val="-1"/>
              <w:position w:val="5"/>
              <w:sz w:val="22"/>
              <w:szCs w:val="22"/>
            </w:rPr>
            <w:t>非药品易制毒化学品的产品包装和使用说明书不符合规定的</w:t>
          </w:r>
          <w:r>
            <w:rPr>
              <w:rFonts w:ascii="微软雅黑" w:hAnsi="微软雅黑" w:eastAsia="微软雅黑" w:cs="微软雅黑"/>
              <w:position w:val="5"/>
              <w:sz w:val="22"/>
              <w:szCs w:val="22"/>
            </w:rPr>
            <w:tab/>
          </w:r>
          <w:r>
            <w:rPr>
              <w:rFonts w:ascii="宋体" w:hAnsi="宋体" w:eastAsia="宋体" w:cs="宋体"/>
              <w:spacing w:val="-9"/>
              <w:position w:val="5"/>
              <w:sz w:val="22"/>
              <w:szCs w:val="22"/>
            </w:rPr>
            <w:t>184</w:t>
          </w:r>
          <w:r>
            <w:rPr>
              <w:rFonts w:ascii="宋体" w:hAnsi="宋体" w:eastAsia="宋体" w:cs="宋体"/>
              <w:spacing w:val="-9"/>
              <w:position w:val="5"/>
              <w:sz w:val="22"/>
              <w:szCs w:val="22"/>
            </w:rPr>
            <w:fldChar w:fldCharType="end"/>
          </w:r>
        </w:p>
      </w:sdtContent>
    </w:sdt>
    <w:p w14:paraId="63202D29">
      <w:pPr>
        <w:spacing w:line="410" w:lineRule="exact"/>
        <w:rPr>
          <w:rFonts w:ascii="宋体" w:hAnsi="宋体" w:eastAsia="宋体" w:cs="宋体"/>
          <w:sz w:val="22"/>
          <w:szCs w:val="22"/>
        </w:rPr>
        <w:sectPr>
          <w:footerReference r:id="rId12" w:type="default"/>
          <w:pgSz w:w="11906" w:h="16839"/>
          <w:pgMar w:top="1431" w:right="1301" w:bottom="1116" w:left="1598" w:header="0" w:footer="837" w:gutter="0"/>
          <w:cols w:space="720" w:num="1"/>
        </w:sectPr>
      </w:pPr>
    </w:p>
    <w:p w14:paraId="5206BC52">
      <w:pPr>
        <w:pStyle w:val="2"/>
        <w:spacing w:line="284" w:lineRule="auto"/>
      </w:pPr>
    </w:p>
    <w:p w14:paraId="5B12216F">
      <w:pPr>
        <w:pStyle w:val="2"/>
        <w:spacing w:line="285" w:lineRule="auto"/>
      </w:pPr>
    </w:p>
    <w:sdt>
      <w:sdtPr>
        <w:rPr>
          <w:rFonts w:ascii="仿宋" w:hAnsi="仿宋" w:eastAsia="仿宋" w:cs="仿宋"/>
          <w:sz w:val="22"/>
          <w:szCs w:val="22"/>
        </w:rPr>
        <w:id w:val="147466323"/>
        <w:docPartObj>
          <w:docPartGallery w:val="Table of Contents"/>
          <w:docPartUnique/>
        </w:docPartObj>
      </w:sdtPr>
      <w:sdtEndPr>
        <w:rPr>
          <w:rFonts w:ascii="宋体" w:hAnsi="宋体" w:eastAsia="宋体" w:cs="宋体"/>
          <w:position w:val="2"/>
          <w:sz w:val="22"/>
          <w:szCs w:val="22"/>
        </w:rPr>
      </w:sdtEndPr>
      <w:sdtContent>
        <w:p w14:paraId="2F122329">
          <w:pPr>
            <w:spacing w:before="94" w:line="216" w:lineRule="auto"/>
            <w:ind w:left="24"/>
            <w:rPr>
              <w:rFonts w:ascii="宋体" w:hAnsi="宋体" w:eastAsia="宋体" w:cs="宋体"/>
              <w:sz w:val="22"/>
              <w:szCs w:val="22"/>
            </w:rPr>
          </w:pPr>
          <w:bookmarkStart w:id="257" w:name="bookmark341"/>
          <w:bookmarkEnd w:id="257"/>
          <w:r>
            <w:rPr>
              <w:rFonts w:ascii="仿宋" w:hAnsi="仿宋" w:eastAsia="仿宋" w:cs="仿宋"/>
              <w:spacing w:val="-1"/>
              <w:sz w:val="22"/>
              <w:szCs w:val="22"/>
            </w:rPr>
            <w:t>167</w:t>
          </w:r>
          <w:r>
            <w:rPr>
              <w:rFonts w:ascii="宋体" w:hAnsi="宋体" w:eastAsia="宋体" w:cs="宋体"/>
              <w:spacing w:val="-1"/>
              <w:sz w:val="22"/>
              <w:szCs w:val="22"/>
            </w:rPr>
            <w:t>．</w:t>
          </w:r>
          <w:r>
            <w:fldChar w:fldCharType="begin"/>
          </w:r>
          <w:r>
            <w:instrText xml:space="preserve"> HYPERLINK \l "bookmark342" </w:instrText>
          </w:r>
          <w:r>
            <w:fldChar w:fldCharType="separate"/>
          </w:r>
          <w:r>
            <w:rPr>
              <w:rFonts w:ascii="微软雅黑" w:hAnsi="微软雅黑" w:eastAsia="微软雅黑" w:cs="微软雅黑"/>
              <w:spacing w:val="-1"/>
              <w:sz w:val="22"/>
              <w:szCs w:val="22"/>
            </w:rPr>
            <w:t>生产、经营非药品类易制毒化学品的单位未按规定报告年度生产、经营等情况的</w:t>
          </w:r>
          <w:r>
            <w:rPr>
              <w:rFonts w:ascii="宋体" w:hAnsi="宋体" w:eastAsia="宋体" w:cs="宋体"/>
              <w:spacing w:val="-1"/>
              <w:sz w:val="22"/>
              <w:szCs w:val="22"/>
            </w:rPr>
            <w:t>.1</w:t>
          </w:r>
          <w:r>
            <w:rPr>
              <w:rFonts w:ascii="宋体" w:hAnsi="宋体" w:eastAsia="宋体" w:cs="宋体"/>
              <w:spacing w:val="-2"/>
              <w:sz w:val="22"/>
              <w:szCs w:val="22"/>
            </w:rPr>
            <w:t>85</w:t>
          </w:r>
          <w:r>
            <w:rPr>
              <w:rFonts w:ascii="宋体" w:hAnsi="宋体" w:eastAsia="宋体" w:cs="宋体"/>
              <w:spacing w:val="-2"/>
              <w:sz w:val="22"/>
              <w:szCs w:val="22"/>
            </w:rPr>
            <w:fldChar w:fldCharType="end"/>
          </w:r>
        </w:p>
        <w:p w14:paraId="7A79D870">
          <w:pPr>
            <w:tabs>
              <w:tab w:val="right" w:leader="dot" w:pos="8840"/>
            </w:tabs>
            <w:spacing w:line="216" w:lineRule="auto"/>
            <w:ind w:left="24"/>
            <w:rPr>
              <w:rFonts w:ascii="宋体" w:hAnsi="宋体" w:eastAsia="宋体" w:cs="宋体"/>
              <w:sz w:val="22"/>
              <w:szCs w:val="22"/>
            </w:rPr>
          </w:pPr>
          <w:bookmarkStart w:id="258" w:name="bookmark343"/>
          <w:bookmarkEnd w:id="258"/>
          <w:r>
            <w:rPr>
              <w:rFonts w:ascii="仿宋" w:hAnsi="仿宋" w:eastAsia="仿宋" w:cs="仿宋"/>
              <w:spacing w:val="-1"/>
              <w:sz w:val="22"/>
              <w:szCs w:val="22"/>
            </w:rPr>
            <w:t>168</w:t>
          </w:r>
          <w:r>
            <w:rPr>
              <w:rFonts w:ascii="宋体" w:hAnsi="宋体" w:eastAsia="宋体" w:cs="宋体"/>
              <w:spacing w:val="-1"/>
              <w:sz w:val="22"/>
              <w:szCs w:val="22"/>
            </w:rPr>
            <w:t>．</w:t>
          </w:r>
          <w:r>
            <w:fldChar w:fldCharType="begin"/>
          </w:r>
          <w:r>
            <w:instrText xml:space="preserve"> HYPERLINK \l "bookmark344" </w:instrText>
          </w:r>
          <w:r>
            <w:fldChar w:fldCharType="separate"/>
          </w:r>
          <w:r>
            <w:rPr>
              <w:rFonts w:ascii="微软雅黑" w:hAnsi="微软雅黑" w:eastAsia="微软雅黑" w:cs="微软雅黑"/>
              <w:spacing w:val="-1"/>
              <w:sz w:val="22"/>
              <w:szCs w:val="22"/>
            </w:rPr>
            <w:t>生产、经营非药品类易制毒化学品单位或者个人拒不接受监督检查的</w:t>
          </w:r>
          <w:r>
            <w:rPr>
              <w:rFonts w:ascii="微软雅黑" w:hAnsi="微软雅黑" w:eastAsia="微软雅黑" w:cs="微软雅黑"/>
              <w:sz w:val="22"/>
              <w:szCs w:val="22"/>
            </w:rPr>
            <w:tab/>
          </w:r>
          <w:r>
            <w:rPr>
              <w:rFonts w:ascii="宋体" w:hAnsi="宋体" w:eastAsia="宋体" w:cs="宋体"/>
              <w:spacing w:val="-9"/>
              <w:sz w:val="22"/>
              <w:szCs w:val="22"/>
            </w:rPr>
            <w:t>186</w:t>
          </w:r>
          <w:r>
            <w:rPr>
              <w:rFonts w:ascii="宋体" w:hAnsi="宋体" w:eastAsia="宋体" w:cs="宋体"/>
              <w:spacing w:val="-9"/>
              <w:sz w:val="22"/>
              <w:szCs w:val="22"/>
            </w:rPr>
            <w:fldChar w:fldCharType="end"/>
          </w:r>
        </w:p>
        <w:p w14:paraId="15096E59">
          <w:pPr>
            <w:spacing w:line="216" w:lineRule="auto"/>
            <w:jc w:val="right"/>
            <w:rPr>
              <w:rFonts w:ascii="宋体" w:hAnsi="宋体" w:eastAsia="宋体" w:cs="宋体"/>
              <w:sz w:val="22"/>
              <w:szCs w:val="22"/>
            </w:rPr>
          </w:pPr>
          <w:bookmarkStart w:id="259" w:name="bookmark345"/>
          <w:bookmarkEnd w:id="259"/>
          <w:r>
            <w:rPr>
              <w:rFonts w:ascii="仿宋" w:hAnsi="仿宋" w:eastAsia="仿宋" w:cs="仿宋"/>
              <w:spacing w:val="-1"/>
              <w:sz w:val="22"/>
              <w:szCs w:val="22"/>
            </w:rPr>
            <w:t>169</w:t>
          </w:r>
          <w:r>
            <w:rPr>
              <w:rFonts w:ascii="宋体" w:hAnsi="宋体" w:eastAsia="宋体" w:cs="宋体"/>
              <w:spacing w:val="-1"/>
              <w:sz w:val="22"/>
              <w:szCs w:val="22"/>
            </w:rPr>
            <w:t>．</w:t>
          </w:r>
          <w:r>
            <w:fldChar w:fldCharType="begin"/>
          </w:r>
          <w:r>
            <w:instrText xml:space="preserve"> HYPERLINK \l "bookmark346" </w:instrText>
          </w:r>
          <w:r>
            <w:fldChar w:fldCharType="separate"/>
          </w:r>
          <w:r>
            <w:rPr>
              <w:rFonts w:ascii="微软雅黑" w:hAnsi="微软雅黑" w:eastAsia="微软雅黑" w:cs="微软雅黑"/>
              <w:spacing w:val="-1"/>
              <w:sz w:val="22"/>
              <w:szCs w:val="22"/>
            </w:rPr>
            <w:t>烟花爆竹生产企业变更企业主要负责人或者名称，未办理安全生产许可证变更手续的</w:t>
          </w:r>
          <w:r>
            <w:rPr>
              <w:rFonts w:ascii="宋体" w:hAnsi="宋体" w:eastAsia="宋体" w:cs="宋体"/>
              <w:spacing w:val="-1"/>
              <w:sz w:val="22"/>
              <w:szCs w:val="22"/>
            </w:rPr>
            <w:t>188</w:t>
          </w:r>
          <w:r>
            <w:rPr>
              <w:rFonts w:ascii="宋体" w:hAnsi="宋体" w:eastAsia="宋体" w:cs="宋体"/>
              <w:spacing w:val="-1"/>
              <w:sz w:val="22"/>
              <w:szCs w:val="22"/>
            </w:rPr>
            <w:fldChar w:fldCharType="end"/>
          </w:r>
        </w:p>
        <w:p w14:paraId="0357F210">
          <w:pPr>
            <w:spacing w:line="403" w:lineRule="exact"/>
            <w:ind w:left="24"/>
            <w:rPr>
              <w:rFonts w:ascii="微软雅黑" w:hAnsi="微软雅黑" w:eastAsia="微软雅黑" w:cs="微软雅黑"/>
              <w:sz w:val="22"/>
              <w:szCs w:val="22"/>
            </w:rPr>
          </w:pPr>
          <w:bookmarkStart w:id="260" w:name="bookmark347"/>
          <w:bookmarkEnd w:id="260"/>
          <w:r>
            <w:rPr>
              <w:rFonts w:ascii="仿宋" w:hAnsi="仿宋" w:eastAsia="仿宋" w:cs="仿宋"/>
              <w:spacing w:val="-2"/>
              <w:position w:val="5"/>
              <w:sz w:val="22"/>
              <w:szCs w:val="22"/>
            </w:rPr>
            <w:t>170</w:t>
          </w:r>
          <w:r>
            <w:rPr>
              <w:rFonts w:ascii="宋体" w:hAnsi="宋体" w:eastAsia="宋体" w:cs="宋体"/>
              <w:spacing w:val="-2"/>
              <w:position w:val="5"/>
              <w:sz w:val="22"/>
              <w:szCs w:val="22"/>
            </w:rPr>
            <w:t>．</w:t>
          </w:r>
          <w:r>
            <w:fldChar w:fldCharType="begin"/>
          </w:r>
          <w:r>
            <w:instrText xml:space="preserve"> HYPERLINK \l "bookmark348" </w:instrText>
          </w:r>
          <w:r>
            <w:fldChar w:fldCharType="separate"/>
          </w:r>
          <w:r>
            <w:rPr>
              <w:rFonts w:ascii="微软雅黑" w:hAnsi="微软雅黑" w:eastAsia="微软雅黑" w:cs="微软雅黑"/>
              <w:spacing w:val="-2"/>
              <w:position w:val="5"/>
              <w:sz w:val="22"/>
              <w:szCs w:val="22"/>
            </w:rPr>
            <w:t>烟花爆竹生产企业改建、扩建烟花爆竹生产（含储</w:t>
          </w:r>
          <w:r>
            <w:rPr>
              <w:rFonts w:ascii="微软雅黑" w:hAnsi="微软雅黑" w:eastAsia="微软雅黑" w:cs="微软雅黑"/>
              <w:spacing w:val="-3"/>
              <w:position w:val="5"/>
              <w:sz w:val="22"/>
              <w:szCs w:val="22"/>
            </w:rPr>
            <w:t>存）设施未办理安全生产许可证变更</w:t>
          </w:r>
          <w:r>
            <w:rPr>
              <w:rFonts w:ascii="微软雅黑" w:hAnsi="微软雅黑" w:eastAsia="微软雅黑" w:cs="微软雅黑"/>
              <w:spacing w:val="-3"/>
              <w:position w:val="5"/>
              <w:sz w:val="22"/>
              <w:szCs w:val="22"/>
            </w:rPr>
            <w:fldChar w:fldCharType="end"/>
          </w:r>
        </w:p>
        <w:p w14:paraId="24F601F8">
          <w:pPr>
            <w:tabs>
              <w:tab w:val="right" w:leader="dot" w:pos="8830"/>
            </w:tabs>
            <w:spacing w:before="14" w:line="167" w:lineRule="auto"/>
            <w:ind w:left="17"/>
            <w:rPr>
              <w:rFonts w:ascii="宋体" w:hAnsi="宋体" w:eastAsia="宋体" w:cs="宋体"/>
              <w:sz w:val="22"/>
              <w:szCs w:val="22"/>
            </w:rPr>
          </w:pPr>
          <w:bookmarkStart w:id="261" w:name="bookmark347"/>
          <w:bookmarkEnd w:id="261"/>
          <w:r>
            <w:fldChar w:fldCharType="begin"/>
          </w:r>
          <w:r>
            <w:instrText xml:space="preserve"> HYPERLINK \l "bookmark347" </w:instrText>
          </w:r>
          <w:r>
            <w:fldChar w:fldCharType="separate"/>
          </w:r>
          <w:r>
            <w:rPr>
              <w:rFonts w:ascii="微软雅黑" w:hAnsi="微软雅黑" w:eastAsia="微软雅黑" w:cs="微软雅黑"/>
              <w:spacing w:val="-7"/>
              <w:sz w:val="22"/>
              <w:szCs w:val="22"/>
            </w:rPr>
            <w:t>手续的</w:t>
          </w:r>
          <w:r>
            <w:rPr>
              <w:rFonts w:ascii="微软雅黑" w:hAnsi="微软雅黑" w:eastAsia="微软雅黑" w:cs="微软雅黑"/>
              <w:sz w:val="22"/>
              <w:szCs w:val="22"/>
            </w:rPr>
            <w:tab/>
          </w:r>
          <w:r>
            <w:rPr>
              <w:rFonts w:ascii="宋体" w:hAnsi="宋体" w:eastAsia="宋体" w:cs="宋体"/>
              <w:spacing w:val="-9"/>
              <w:sz w:val="22"/>
              <w:szCs w:val="22"/>
            </w:rPr>
            <w:t>188</w:t>
          </w:r>
          <w:r>
            <w:rPr>
              <w:rFonts w:ascii="宋体" w:hAnsi="宋体" w:eastAsia="宋体" w:cs="宋体"/>
              <w:spacing w:val="-9"/>
              <w:sz w:val="22"/>
              <w:szCs w:val="22"/>
            </w:rPr>
            <w:fldChar w:fldCharType="end"/>
          </w:r>
        </w:p>
        <w:p w14:paraId="7FA1545E">
          <w:pPr>
            <w:spacing w:line="216" w:lineRule="auto"/>
            <w:ind w:left="24"/>
            <w:rPr>
              <w:rFonts w:ascii="宋体" w:hAnsi="宋体" w:eastAsia="宋体" w:cs="宋体"/>
              <w:sz w:val="22"/>
              <w:szCs w:val="22"/>
            </w:rPr>
          </w:pPr>
          <w:bookmarkStart w:id="262" w:name="bookmark349"/>
          <w:bookmarkEnd w:id="262"/>
          <w:r>
            <w:rPr>
              <w:rFonts w:ascii="仿宋" w:hAnsi="仿宋" w:eastAsia="仿宋" w:cs="仿宋"/>
              <w:spacing w:val="-1"/>
              <w:sz w:val="22"/>
              <w:szCs w:val="22"/>
            </w:rPr>
            <w:t>171</w:t>
          </w:r>
          <w:r>
            <w:rPr>
              <w:rFonts w:ascii="宋体" w:hAnsi="宋体" w:eastAsia="宋体" w:cs="宋体"/>
              <w:spacing w:val="-1"/>
              <w:sz w:val="22"/>
              <w:szCs w:val="22"/>
            </w:rPr>
            <w:t>．</w:t>
          </w:r>
          <w:r>
            <w:fldChar w:fldCharType="begin"/>
          </w:r>
          <w:r>
            <w:instrText xml:space="preserve"> HYPERLINK \l "bookmark350" </w:instrText>
          </w:r>
          <w:r>
            <w:fldChar w:fldCharType="separate"/>
          </w:r>
          <w:r>
            <w:rPr>
              <w:rFonts w:ascii="微软雅黑" w:hAnsi="微软雅黑" w:eastAsia="微软雅黑" w:cs="微软雅黑"/>
              <w:spacing w:val="-1"/>
              <w:sz w:val="22"/>
              <w:szCs w:val="22"/>
            </w:rPr>
            <w:t>烟花爆竹生产企业变更产品类别或者级别范围未办理安全生产许可证变更手续的</w:t>
          </w:r>
          <w:r>
            <w:rPr>
              <w:rFonts w:ascii="宋体" w:hAnsi="宋体" w:eastAsia="宋体" w:cs="宋体"/>
              <w:spacing w:val="-1"/>
              <w:sz w:val="22"/>
              <w:szCs w:val="22"/>
            </w:rPr>
            <w:t>.1</w:t>
          </w:r>
          <w:r>
            <w:rPr>
              <w:rFonts w:ascii="宋体" w:hAnsi="宋体" w:eastAsia="宋体" w:cs="宋体"/>
              <w:spacing w:val="-2"/>
              <w:sz w:val="22"/>
              <w:szCs w:val="22"/>
            </w:rPr>
            <w:t>89</w:t>
          </w:r>
          <w:r>
            <w:rPr>
              <w:rFonts w:ascii="宋体" w:hAnsi="宋体" w:eastAsia="宋体" w:cs="宋体"/>
              <w:spacing w:val="-2"/>
              <w:sz w:val="22"/>
              <w:szCs w:val="22"/>
            </w:rPr>
            <w:fldChar w:fldCharType="end"/>
          </w:r>
        </w:p>
        <w:p w14:paraId="741DDFD2">
          <w:pPr>
            <w:tabs>
              <w:tab w:val="right" w:leader="dot" w:pos="8837"/>
            </w:tabs>
            <w:spacing w:line="216" w:lineRule="auto"/>
            <w:ind w:left="24"/>
            <w:rPr>
              <w:rFonts w:ascii="宋体" w:hAnsi="宋体" w:eastAsia="宋体" w:cs="宋体"/>
              <w:sz w:val="22"/>
              <w:szCs w:val="22"/>
            </w:rPr>
          </w:pPr>
          <w:bookmarkStart w:id="263" w:name="bookmark351"/>
          <w:bookmarkEnd w:id="263"/>
          <w:r>
            <w:rPr>
              <w:rFonts w:ascii="仿宋" w:hAnsi="仿宋" w:eastAsia="仿宋" w:cs="仿宋"/>
              <w:spacing w:val="-1"/>
              <w:sz w:val="22"/>
              <w:szCs w:val="22"/>
            </w:rPr>
            <w:t>172</w:t>
          </w:r>
          <w:r>
            <w:rPr>
              <w:rFonts w:ascii="宋体" w:hAnsi="宋体" w:eastAsia="宋体" w:cs="宋体"/>
              <w:spacing w:val="-1"/>
              <w:sz w:val="22"/>
              <w:szCs w:val="22"/>
            </w:rPr>
            <w:t>．</w:t>
          </w:r>
          <w:r>
            <w:fldChar w:fldCharType="begin"/>
          </w:r>
          <w:r>
            <w:instrText xml:space="preserve"> HYPERLINK \l "bookmark352" </w:instrText>
          </w:r>
          <w:r>
            <w:fldChar w:fldCharType="separate"/>
          </w:r>
          <w:r>
            <w:rPr>
              <w:rFonts w:ascii="微软雅黑" w:hAnsi="微软雅黑" w:eastAsia="微软雅黑" w:cs="微软雅黑"/>
              <w:spacing w:val="-1"/>
              <w:sz w:val="22"/>
              <w:szCs w:val="22"/>
            </w:rPr>
            <w:t>企业多股东各自独立进行烟花爆竹生产活动的</w:t>
          </w:r>
          <w:r>
            <w:rPr>
              <w:rFonts w:ascii="微软雅黑" w:hAnsi="微软雅黑" w:eastAsia="微软雅黑" w:cs="微软雅黑"/>
              <w:sz w:val="22"/>
              <w:szCs w:val="22"/>
            </w:rPr>
            <w:tab/>
          </w:r>
          <w:r>
            <w:rPr>
              <w:rFonts w:ascii="宋体" w:hAnsi="宋体" w:eastAsia="宋体" w:cs="宋体"/>
              <w:spacing w:val="-9"/>
              <w:sz w:val="22"/>
              <w:szCs w:val="22"/>
            </w:rPr>
            <w:t>189</w:t>
          </w:r>
          <w:r>
            <w:rPr>
              <w:rFonts w:ascii="宋体" w:hAnsi="宋体" w:eastAsia="宋体" w:cs="宋体"/>
              <w:spacing w:val="-9"/>
              <w:sz w:val="22"/>
              <w:szCs w:val="22"/>
            </w:rPr>
            <w:fldChar w:fldCharType="end"/>
          </w:r>
        </w:p>
        <w:p w14:paraId="3AB5ED32">
          <w:pPr>
            <w:tabs>
              <w:tab w:val="right" w:leader="dot" w:pos="8840"/>
            </w:tabs>
            <w:spacing w:line="216" w:lineRule="auto"/>
            <w:ind w:left="24"/>
            <w:rPr>
              <w:rFonts w:ascii="宋体" w:hAnsi="宋体" w:eastAsia="宋体" w:cs="宋体"/>
              <w:sz w:val="22"/>
              <w:szCs w:val="22"/>
            </w:rPr>
          </w:pPr>
          <w:bookmarkStart w:id="264" w:name="bookmark353"/>
          <w:bookmarkEnd w:id="264"/>
          <w:r>
            <w:rPr>
              <w:rFonts w:ascii="仿宋" w:hAnsi="仿宋" w:eastAsia="仿宋" w:cs="仿宋"/>
              <w:spacing w:val="-1"/>
              <w:sz w:val="22"/>
              <w:szCs w:val="22"/>
            </w:rPr>
            <w:t>173</w:t>
          </w:r>
          <w:r>
            <w:rPr>
              <w:rFonts w:ascii="宋体" w:hAnsi="宋体" w:eastAsia="宋体" w:cs="宋体"/>
              <w:spacing w:val="-1"/>
              <w:sz w:val="22"/>
              <w:szCs w:val="22"/>
            </w:rPr>
            <w:t>．</w:t>
          </w:r>
          <w:r>
            <w:fldChar w:fldCharType="begin"/>
          </w:r>
          <w:r>
            <w:instrText xml:space="preserve"> HYPERLINK \l "bookmark354" </w:instrText>
          </w:r>
          <w:r>
            <w:fldChar w:fldCharType="separate"/>
          </w:r>
          <w:r>
            <w:rPr>
              <w:rFonts w:ascii="微软雅黑" w:hAnsi="微软雅黑" w:eastAsia="微软雅黑" w:cs="微软雅黑"/>
              <w:spacing w:val="-1"/>
              <w:sz w:val="22"/>
              <w:szCs w:val="22"/>
            </w:rPr>
            <w:t>从事礼花弹生产的企业将礼花弹销售给未经公安机关批准的燃放活动的</w:t>
          </w:r>
          <w:r>
            <w:rPr>
              <w:rFonts w:ascii="微软雅黑" w:hAnsi="微软雅黑" w:eastAsia="微软雅黑" w:cs="微软雅黑"/>
              <w:sz w:val="22"/>
              <w:szCs w:val="22"/>
            </w:rPr>
            <w:tab/>
          </w:r>
          <w:r>
            <w:rPr>
              <w:rFonts w:ascii="宋体" w:hAnsi="宋体" w:eastAsia="宋体" w:cs="宋体"/>
              <w:spacing w:val="-9"/>
              <w:sz w:val="22"/>
              <w:szCs w:val="22"/>
            </w:rPr>
            <w:t>190</w:t>
          </w:r>
          <w:r>
            <w:rPr>
              <w:rFonts w:ascii="宋体" w:hAnsi="宋体" w:eastAsia="宋体" w:cs="宋体"/>
              <w:spacing w:val="-9"/>
              <w:sz w:val="22"/>
              <w:szCs w:val="22"/>
            </w:rPr>
            <w:fldChar w:fldCharType="end"/>
          </w:r>
        </w:p>
        <w:p w14:paraId="45844FD1">
          <w:pPr>
            <w:tabs>
              <w:tab w:val="right" w:leader="dot" w:pos="8840"/>
            </w:tabs>
            <w:spacing w:line="216" w:lineRule="auto"/>
            <w:ind w:left="24"/>
            <w:rPr>
              <w:rFonts w:ascii="宋体" w:hAnsi="宋体" w:eastAsia="宋体" w:cs="宋体"/>
              <w:sz w:val="22"/>
              <w:szCs w:val="22"/>
            </w:rPr>
          </w:pPr>
          <w:bookmarkStart w:id="265" w:name="bookmark355"/>
          <w:bookmarkEnd w:id="265"/>
          <w:r>
            <w:rPr>
              <w:rFonts w:ascii="仿宋" w:hAnsi="仿宋" w:eastAsia="仿宋" w:cs="仿宋"/>
              <w:spacing w:val="-1"/>
              <w:sz w:val="22"/>
              <w:szCs w:val="22"/>
            </w:rPr>
            <w:t>174</w:t>
          </w:r>
          <w:r>
            <w:rPr>
              <w:rFonts w:ascii="宋体" w:hAnsi="宋体" w:eastAsia="宋体" w:cs="宋体"/>
              <w:spacing w:val="-1"/>
              <w:sz w:val="22"/>
              <w:szCs w:val="22"/>
            </w:rPr>
            <w:t>．</w:t>
          </w:r>
          <w:r>
            <w:fldChar w:fldCharType="begin"/>
          </w:r>
          <w:r>
            <w:instrText xml:space="preserve"> HYPERLINK \l "bookmark356" </w:instrText>
          </w:r>
          <w:r>
            <w:fldChar w:fldCharType="separate"/>
          </w:r>
          <w:r>
            <w:rPr>
              <w:rFonts w:ascii="微软雅黑" w:hAnsi="微软雅黑" w:eastAsia="微软雅黑" w:cs="微软雅黑"/>
              <w:spacing w:val="-1"/>
              <w:sz w:val="22"/>
              <w:szCs w:val="22"/>
            </w:rPr>
            <w:t>烟花爆竹生产企业未按照安全生产许可证核定的产品种类进行生产的</w:t>
          </w:r>
          <w:r>
            <w:rPr>
              <w:rFonts w:ascii="微软雅黑" w:hAnsi="微软雅黑" w:eastAsia="微软雅黑" w:cs="微软雅黑"/>
              <w:sz w:val="22"/>
              <w:szCs w:val="22"/>
            </w:rPr>
            <w:tab/>
          </w:r>
          <w:r>
            <w:rPr>
              <w:rFonts w:ascii="宋体" w:hAnsi="宋体" w:eastAsia="宋体" w:cs="宋体"/>
              <w:spacing w:val="-9"/>
              <w:sz w:val="22"/>
              <w:szCs w:val="22"/>
            </w:rPr>
            <w:t>190</w:t>
          </w:r>
          <w:r>
            <w:rPr>
              <w:rFonts w:ascii="宋体" w:hAnsi="宋体" w:eastAsia="宋体" w:cs="宋体"/>
              <w:spacing w:val="-9"/>
              <w:sz w:val="22"/>
              <w:szCs w:val="22"/>
            </w:rPr>
            <w:fldChar w:fldCharType="end"/>
          </w:r>
        </w:p>
        <w:p w14:paraId="24FEA01F">
          <w:pPr>
            <w:tabs>
              <w:tab w:val="right" w:leader="dot" w:pos="8842"/>
            </w:tabs>
            <w:spacing w:line="216" w:lineRule="auto"/>
            <w:ind w:left="24"/>
            <w:rPr>
              <w:rFonts w:ascii="宋体" w:hAnsi="宋体" w:eastAsia="宋体" w:cs="宋体"/>
              <w:sz w:val="22"/>
              <w:szCs w:val="22"/>
            </w:rPr>
          </w:pPr>
          <w:bookmarkStart w:id="266" w:name="bookmark357"/>
          <w:bookmarkEnd w:id="266"/>
          <w:r>
            <w:rPr>
              <w:rFonts w:ascii="仿宋" w:hAnsi="仿宋" w:eastAsia="仿宋" w:cs="仿宋"/>
              <w:spacing w:val="-1"/>
              <w:sz w:val="22"/>
              <w:szCs w:val="22"/>
            </w:rPr>
            <w:t>175</w:t>
          </w:r>
          <w:r>
            <w:rPr>
              <w:rFonts w:ascii="宋体" w:hAnsi="宋体" w:eastAsia="宋体" w:cs="宋体"/>
              <w:spacing w:val="-1"/>
              <w:sz w:val="22"/>
              <w:szCs w:val="22"/>
            </w:rPr>
            <w:t>．</w:t>
          </w:r>
          <w:r>
            <w:fldChar w:fldCharType="begin"/>
          </w:r>
          <w:r>
            <w:instrText xml:space="preserve"> HYPERLINK \l "bookmark358" </w:instrText>
          </w:r>
          <w:r>
            <w:fldChar w:fldCharType="separate"/>
          </w:r>
          <w:r>
            <w:rPr>
              <w:rFonts w:ascii="微软雅黑" w:hAnsi="微软雅黑" w:eastAsia="微软雅黑" w:cs="微软雅黑"/>
              <w:spacing w:val="-1"/>
              <w:sz w:val="22"/>
              <w:szCs w:val="22"/>
            </w:rPr>
            <w:t>烟花爆竹生产企业生产工序或者生产作业不符合有关国家标准、行业标准的</w:t>
          </w:r>
          <w:r>
            <w:rPr>
              <w:rFonts w:ascii="微软雅黑" w:hAnsi="微软雅黑" w:eastAsia="微软雅黑" w:cs="微软雅黑"/>
              <w:sz w:val="22"/>
              <w:szCs w:val="22"/>
            </w:rPr>
            <w:tab/>
          </w:r>
          <w:r>
            <w:rPr>
              <w:rFonts w:ascii="宋体" w:hAnsi="宋体" w:eastAsia="宋体" w:cs="宋体"/>
              <w:spacing w:val="-9"/>
              <w:sz w:val="22"/>
              <w:szCs w:val="22"/>
            </w:rPr>
            <w:t>191</w:t>
          </w:r>
          <w:r>
            <w:rPr>
              <w:rFonts w:ascii="宋体" w:hAnsi="宋体" w:eastAsia="宋体" w:cs="宋体"/>
              <w:spacing w:val="-9"/>
              <w:sz w:val="22"/>
              <w:szCs w:val="22"/>
            </w:rPr>
            <w:fldChar w:fldCharType="end"/>
          </w:r>
        </w:p>
        <w:p w14:paraId="21B9CA77">
          <w:pPr>
            <w:tabs>
              <w:tab w:val="right" w:leader="dot" w:pos="8840"/>
            </w:tabs>
            <w:spacing w:before="1" w:line="216" w:lineRule="auto"/>
            <w:ind w:left="24"/>
            <w:rPr>
              <w:rFonts w:ascii="宋体" w:hAnsi="宋体" w:eastAsia="宋体" w:cs="宋体"/>
              <w:sz w:val="22"/>
              <w:szCs w:val="22"/>
            </w:rPr>
          </w:pPr>
          <w:bookmarkStart w:id="267" w:name="bookmark359"/>
          <w:bookmarkEnd w:id="267"/>
          <w:r>
            <w:rPr>
              <w:rFonts w:ascii="仿宋" w:hAnsi="仿宋" w:eastAsia="仿宋" w:cs="仿宋"/>
              <w:spacing w:val="-1"/>
              <w:sz w:val="22"/>
              <w:szCs w:val="22"/>
            </w:rPr>
            <w:t>176</w:t>
          </w:r>
          <w:r>
            <w:rPr>
              <w:rFonts w:ascii="宋体" w:hAnsi="宋体" w:eastAsia="宋体" w:cs="宋体"/>
              <w:spacing w:val="-1"/>
              <w:sz w:val="22"/>
              <w:szCs w:val="22"/>
            </w:rPr>
            <w:t>．</w:t>
          </w:r>
          <w:r>
            <w:fldChar w:fldCharType="begin"/>
          </w:r>
          <w:r>
            <w:instrText xml:space="preserve"> HYPERLINK \l "bookmark360" </w:instrText>
          </w:r>
          <w:r>
            <w:fldChar w:fldCharType="separate"/>
          </w:r>
          <w:r>
            <w:rPr>
              <w:rFonts w:ascii="微软雅黑" w:hAnsi="微软雅黑" w:eastAsia="微软雅黑" w:cs="微软雅黑"/>
              <w:spacing w:val="-1"/>
              <w:sz w:val="22"/>
              <w:szCs w:val="22"/>
            </w:rPr>
            <w:t>烟花爆竹生产企业雇佣未经考核合格的人员从事危险工序作业的</w:t>
          </w:r>
          <w:r>
            <w:rPr>
              <w:rFonts w:ascii="微软雅黑" w:hAnsi="微软雅黑" w:eastAsia="微软雅黑" w:cs="微软雅黑"/>
              <w:sz w:val="22"/>
              <w:szCs w:val="22"/>
            </w:rPr>
            <w:tab/>
          </w:r>
          <w:r>
            <w:rPr>
              <w:rFonts w:ascii="宋体" w:hAnsi="宋体" w:eastAsia="宋体" w:cs="宋体"/>
              <w:spacing w:val="-9"/>
              <w:sz w:val="22"/>
              <w:szCs w:val="22"/>
            </w:rPr>
            <w:t>191</w:t>
          </w:r>
          <w:r>
            <w:rPr>
              <w:rFonts w:ascii="宋体" w:hAnsi="宋体" w:eastAsia="宋体" w:cs="宋体"/>
              <w:spacing w:val="-9"/>
              <w:sz w:val="22"/>
              <w:szCs w:val="22"/>
            </w:rPr>
            <w:fldChar w:fldCharType="end"/>
          </w:r>
        </w:p>
        <w:p w14:paraId="1762085C">
          <w:pPr>
            <w:spacing w:line="410" w:lineRule="exact"/>
            <w:ind w:left="24"/>
            <w:rPr>
              <w:rFonts w:ascii="微软雅黑" w:hAnsi="微软雅黑" w:eastAsia="微软雅黑" w:cs="微软雅黑"/>
              <w:sz w:val="22"/>
              <w:szCs w:val="22"/>
            </w:rPr>
          </w:pPr>
          <w:bookmarkStart w:id="268" w:name="bookmark361"/>
          <w:bookmarkEnd w:id="268"/>
          <w:r>
            <w:rPr>
              <w:rFonts w:ascii="仿宋" w:hAnsi="仿宋" w:eastAsia="仿宋" w:cs="仿宋"/>
              <w:spacing w:val="-2"/>
              <w:position w:val="5"/>
              <w:sz w:val="22"/>
              <w:szCs w:val="22"/>
            </w:rPr>
            <w:t>177</w:t>
          </w:r>
          <w:r>
            <w:rPr>
              <w:rFonts w:ascii="宋体" w:hAnsi="宋体" w:eastAsia="宋体" w:cs="宋体"/>
              <w:spacing w:val="-2"/>
              <w:position w:val="5"/>
              <w:sz w:val="22"/>
              <w:szCs w:val="22"/>
            </w:rPr>
            <w:t>．</w:t>
          </w:r>
          <w:r>
            <w:fldChar w:fldCharType="begin"/>
          </w:r>
          <w:r>
            <w:instrText xml:space="preserve"> HYPERLINK \l "bookmark362" </w:instrText>
          </w:r>
          <w:r>
            <w:fldChar w:fldCharType="separate"/>
          </w:r>
          <w:r>
            <w:rPr>
              <w:rFonts w:ascii="微软雅黑" w:hAnsi="微软雅黑" w:eastAsia="微软雅黑" w:cs="微软雅黑"/>
              <w:spacing w:val="-2"/>
              <w:position w:val="5"/>
              <w:sz w:val="22"/>
              <w:szCs w:val="22"/>
            </w:rPr>
            <w:t>烟花爆竹生产企业使用的原料不符合国家标准规定</w:t>
          </w:r>
          <w:r>
            <w:rPr>
              <w:rFonts w:ascii="微软雅黑" w:hAnsi="微软雅黑" w:eastAsia="微软雅黑" w:cs="微软雅黑"/>
              <w:spacing w:val="-3"/>
              <w:position w:val="5"/>
              <w:sz w:val="22"/>
              <w:szCs w:val="22"/>
            </w:rPr>
            <w:t>的，或者使用的原料超过国家标准规</w:t>
          </w:r>
          <w:r>
            <w:rPr>
              <w:rFonts w:ascii="微软雅黑" w:hAnsi="微软雅黑" w:eastAsia="微软雅黑" w:cs="微软雅黑"/>
              <w:spacing w:val="-3"/>
              <w:position w:val="5"/>
              <w:sz w:val="22"/>
              <w:szCs w:val="22"/>
            </w:rPr>
            <w:fldChar w:fldCharType="end"/>
          </w:r>
        </w:p>
        <w:p w14:paraId="52479607">
          <w:pPr>
            <w:tabs>
              <w:tab w:val="right" w:leader="dot" w:pos="8830"/>
            </w:tabs>
            <w:spacing w:before="7" w:line="167" w:lineRule="auto"/>
            <w:ind w:left="12"/>
            <w:rPr>
              <w:rFonts w:ascii="宋体" w:hAnsi="宋体" w:eastAsia="宋体" w:cs="宋体"/>
              <w:sz w:val="22"/>
              <w:szCs w:val="22"/>
            </w:rPr>
          </w:pPr>
          <w:bookmarkStart w:id="269" w:name="bookmark361"/>
          <w:bookmarkEnd w:id="269"/>
          <w:r>
            <w:fldChar w:fldCharType="begin"/>
          </w:r>
          <w:r>
            <w:instrText xml:space="preserve"> HYPERLINK \l "bookmark361" </w:instrText>
          </w:r>
          <w:r>
            <w:fldChar w:fldCharType="separate"/>
          </w:r>
          <w:r>
            <w:rPr>
              <w:rFonts w:ascii="微软雅黑" w:hAnsi="微软雅黑" w:eastAsia="微软雅黑" w:cs="微软雅黑"/>
              <w:spacing w:val="-1"/>
              <w:sz w:val="22"/>
              <w:szCs w:val="22"/>
            </w:rPr>
            <w:t>定的用量限制的</w:t>
          </w:r>
          <w:r>
            <w:rPr>
              <w:rFonts w:ascii="微软雅黑" w:hAnsi="微软雅黑" w:eastAsia="微软雅黑" w:cs="微软雅黑"/>
              <w:sz w:val="22"/>
              <w:szCs w:val="22"/>
            </w:rPr>
            <w:tab/>
          </w:r>
          <w:r>
            <w:rPr>
              <w:rFonts w:ascii="宋体" w:hAnsi="宋体" w:eastAsia="宋体" w:cs="宋体"/>
              <w:spacing w:val="-9"/>
              <w:sz w:val="22"/>
              <w:szCs w:val="22"/>
            </w:rPr>
            <w:t>192</w:t>
          </w:r>
          <w:r>
            <w:rPr>
              <w:rFonts w:ascii="宋体" w:hAnsi="宋体" w:eastAsia="宋体" w:cs="宋体"/>
              <w:spacing w:val="-9"/>
              <w:sz w:val="22"/>
              <w:szCs w:val="22"/>
            </w:rPr>
            <w:fldChar w:fldCharType="end"/>
          </w:r>
        </w:p>
        <w:p w14:paraId="71AFA661">
          <w:pPr>
            <w:spacing w:line="410" w:lineRule="exact"/>
            <w:ind w:left="24"/>
            <w:rPr>
              <w:rFonts w:ascii="微软雅黑" w:hAnsi="微软雅黑" w:eastAsia="微软雅黑" w:cs="微软雅黑"/>
              <w:sz w:val="22"/>
              <w:szCs w:val="22"/>
            </w:rPr>
          </w:pPr>
          <w:bookmarkStart w:id="270" w:name="bookmark363"/>
          <w:bookmarkEnd w:id="270"/>
          <w:r>
            <w:rPr>
              <w:rFonts w:ascii="仿宋" w:hAnsi="仿宋" w:eastAsia="仿宋" w:cs="仿宋"/>
              <w:spacing w:val="3"/>
              <w:position w:val="5"/>
              <w:sz w:val="22"/>
              <w:szCs w:val="22"/>
            </w:rPr>
            <w:t>178</w:t>
          </w:r>
          <w:r>
            <w:rPr>
              <w:rFonts w:ascii="宋体" w:hAnsi="宋体" w:eastAsia="宋体" w:cs="宋体"/>
              <w:spacing w:val="3"/>
              <w:position w:val="5"/>
              <w:sz w:val="22"/>
              <w:szCs w:val="22"/>
            </w:rPr>
            <w:t>．</w:t>
          </w:r>
          <w:r>
            <w:fldChar w:fldCharType="begin"/>
          </w:r>
          <w:r>
            <w:instrText xml:space="preserve"> HYPERLINK \l "bookmark364" </w:instrText>
          </w:r>
          <w:r>
            <w:fldChar w:fldCharType="separate"/>
          </w:r>
          <w:r>
            <w:rPr>
              <w:rFonts w:ascii="微软雅黑" w:hAnsi="微软雅黑" w:eastAsia="微软雅黑" w:cs="微软雅黑"/>
              <w:spacing w:val="3"/>
              <w:position w:val="5"/>
              <w:sz w:val="22"/>
              <w:szCs w:val="22"/>
            </w:rPr>
            <w:t>烟花爆竹生产企业使用按照国家标准规定禁止使用或者禁忌配伍</w:t>
          </w:r>
          <w:r>
            <w:rPr>
              <w:rFonts w:ascii="微软雅黑" w:hAnsi="微软雅黑" w:eastAsia="微软雅黑" w:cs="微软雅黑"/>
              <w:spacing w:val="2"/>
              <w:position w:val="5"/>
              <w:sz w:val="22"/>
              <w:szCs w:val="22"/>
            </w:rPr>
            <w:t>的物质生产烟花爆竹</w:t>
          </w:r>
          <w:r>
            <w:rPr>
              <w:rFonts w:ascii="微软雅黑" w:hAnsi="微软雅黑" w:eastAsia="微软雅黑" w:cs="微软雅黑"/>
              <w:spacing w:val="2"/>
              <w:position w:val="5"/>
              <w:sz w:val="22"/>
              <w:szCs w:val="22"/>
            </w:rPr>
            <w:fldChar w:fldCharType="end"/>
          </w:r>
        </w:p>
        <w:p w14:paraId="00D5EA17">
          <w:pPr>
            <w:tabs>
              <w:tab w:val="right" w:leader="dot" w:pos="8829"/>
            </w:tabs>
            <w:spacing w:before="6" w:line="168" w:lineRule="auto"/>
            <w:ind w:left="32"/>
            <w:rPr>
              <w:rFonts w:ascii="宋体" w:hAnsi="宋体" w:eastAsia="宋体" w:cs="宋体"/>
              <w:sz w:val="22"/>
              <w:szCs w:val="22"/>
            </w:rPr>
          </w:pPr>
          <w:bookmarkStart w:id="271" w:name="bookmark363"/>
          <w:bookmarkEnd w:id="271"/>
          <w:r>
            <w:fldChar w:fldCharType="begin"/>
          </w:r>
          <w:r>
            <w:instrText xml:space="preserve"> HYPERLINK \l "bookmark363" </w:instrText>
          </w:r>
          <w:r>
            <w:fldChar w:fldCharType="separate"/>
          </w:r>
          <w:r>
            <w:rPr>
              <w:rFonts w:ascii="微软雅黑" w:hAnsi="微软雅黑" w:eastAsia="微软雅黑" w:cs="微软雅黑"/>
              <w:spacing w:val="-21"/>
              <w:w w:val="94"/>
              <w:sz w:val="22"/>
              <w:szCs w:val="22"/>
            </w:rPr>
            <w:t>的</w:t>
          </w:r>
          <w:r>
            <w:rPr>
              <w:rFonts w:ascii="微软雅黑" w:hAnsi="微软雅黑" w:eastAsia="微软雅黑" w:cs="微软雅黑"/>
              <w:sz w:val="22"/>
              <w:szCs w:val="22"/>
            </w:rPr>
            <w:tab/>
          </w:r>
          <w:r>
            <w:rPr>
              <w:rFonts w:ascii="宋体" w:hAnsi="宋体" w:eastAsia="宋体" w:cs="宋体"/>
              <w:spacing w:val="-9"/>
              <w:sz w:val="22"/>
              <w:szCs w:val="22"/>
            </w:rPr>
            <w:t>192</w:t>
          </w:r>
          <w:r>
            <w:rPr>
              <w:rFonts w:ascii="宋体" w:hAnsi="宋体" w:eastAsia="宋体" w:cs="宋体"/>
              <w:spacing w:val="-9"/>
              <w:sz w:val="22"/>
              <w:szCs w:val="22"/>
            </w:rPr>
            <w:fldChar w:fldCharType="end"/>
          </w:r>
        </w:p>
        <w:p w14:paraId="4037F06E">
          <w:pPr>
            <w:spacing w:line="410" w:lineRule="exact"/>
            <w:ind w:left="24"/>
            <w:rPr>
              <w:rFonts w:ascii="微软雅黑" w:hAnsi="微软雅黑" w:eastAsia="微软雅黑" w:cs="微软雅黑"/>
              <w:sz w:val="22"/>
              <w:szCs w:val="22"/>
            </w:rPr>
          </w:pPr>
          <w:bookmarkStart w:id="272" w:name="bookmark365"/>
          <w:bookmarkEnd w:id="272"/>
          <w:r>
            <w:rPr>
              <w:rFonts w:ascii="仿宋" w:hAnsi="仿宋" w:eastAsia="仿宋" w:cs="仿宋"/>
              <w:spacing w:val="-2"/>
              <w:position w:val="5"/>
              <w:sz w:val="22"/>
              <w:szCs w:val="22"/>
            </w:rPr>
            <w:t>179</w:t>
          </w:r>
          <w:r>
            <w:rPr>
              <w:rFonts w:ascii="宋体" w:hAnsi="宋体" w:eastAsia="宋体" w:cs="宋体"/>
              <w:spacing w:val="-2"/>
              <w:position w:val="5"/>
              <w:sz w:val="22"/>
              <w:szCs w:val="22"/>
            </w:rPr>
            <w:t>．</w:t>
          </w:r>
          <w:r>
            <w:fldChar w:fldCharType="begin"/>
          </w:r>
          <w:r>
            <w:instrText xml:space="preserve"> HYPERLINK \l "bookmark366" </w:instrText>
          </w:r>
          <w:r>
            <w:fldChar w:fldCharType="separate"/>
          </w:r>
          <w:r>
            <w:rPr>
              <w:rFonts w:ascii="微软雅黑" w:hAnsi="微软雅黑" w:eastAsia="微软雅黑" w:cs="微软雅黑"/>
              <w:spacing w:val="-2"/>
              <w:position w:val="5"/>
              <w:sz w:val="22"/>
              <w:szCs w:val="22"/>
            </w:rPr>
            <w:t>烟花爆竹生产企业未按照国家标准的规定在烟花爆</w:t>
          </w:r>
          <w:r>
            <w:rPr>
              <w:rFonts w:ascii="微软雅黑" w:hAnsi="微软雅黑" w:eastAsia="微软雅黑" w:cs="微软雅黑"/>
              <w:spacing w:val="-3"/>
              <w:position w:val="5"/>
              <w:sz w:val="22"/>
              <w:szCs w:val="22"/>
            </w:rPr>
            <w:t>竹产品上标注燃放说明，或者未在烟</w:t>
          </w:r>
          <w:r>
            <w:rPr>
              <w:rFonts w:ascii="微软雅黑" w:hAnsi="微软雅黑" w:eastAsia="微软雅黑" w:cs="微软雅黑"/>
              <w:spacing w:val="-3"/>
              <w:position w:val="5"/>
              <w:sz w:val="22"/>
              <w:szCs w:val="22"/>
            </w:rPr>
            <w:fldChar w:fldCharType="end"/>
          </w:r>
        </w:p>
        <w:p w14:paraId="4365F927">
          <w:pPr>
            <w:tabs>
              <w:tab w:val="right" w:leader="dot" w:pos="8837"/>
            </w:tabs>
            <w:spacing w:before="7" w:line="167" w:lineRule="auto"/>
            <w:ind w:left="14"/>
            <w:rPr>
              <w:rFonts w:ascii="宋体" w:hAnsi="宋体" w:eastAsia="宋体" w:cs="宋体"/>
              <w:sz w:val="22"/>
              <w:szCs w:val="22"/>
            </w:rPr>
          </w:pPr>
          <w:bookmarkStart w:id="273" w:name="bookmark365"/>
          <w:bookmarkEnd w:id="273"/>
          <w:r>
            <w:fldChar w:fldCharType="begin"/>
          </w:r>
          <w:r>
            <w:instrText xml:space="preserve"> HYPERLINK \l "bookmark365" </w:instrText>
          </w:r>
          <w:r>
            <w:fldChar w:fldCharType="separate"/>
          </w:r>
          <w:r>
            <w:rPr>
              <w:rFonts w:ascii="微软雅黑" w:hAnsi="微软雅黑" w:eastAsia="微软雅黑" w:cs="微软雅黑"/>
              <w:spacing w:val="-1"/>
              <w:sz w:val="22"/>
              <w:szCs w:val="22"/>
            </w:rPr>
            <w:t>花爆竹的包装物上印制易燃易爆危险物品警示标志的</w:t>
          </w:r>
          <w:r>
            <w:rPr>
              <w:rFonts w:ascii="微软雅黑" w:hAnsi="微软雅黑" w:eastAsia="微软雅黑" w:cs="微软雅黑"/>
              <w:sz w:val="22"/>
              <w:szCs w:val="22"/>
            </w:rPr>
            <w:tab/>
          </w:r>
          <w:r>
            <w:rPr>
              <w:rFonts w:ascii="宋体" w:hAnsi="宋体" w:eastAsia="宋体" w:cs="宋体"/>
              <w:spacing w:val="-9"/>
              <w:sz w:val="22"/>
              <w:szCs w:val="22"/>
            </w:rPr>
            <w:t>193</w:t>
          </w:r>
          <w:r>
            <w:rPr>
              <w:rFonts w:ascii="宋体" w:hAnsi="宋体" w:eastAsia="宋体" w:cs="宋体"/>
              <w:spacing w:val="-9"/>
              <w:sz w:val="22"/>
              <w:szCs w:val="22"/>
            </w:rPr>
            <w:fldChar w:fldCharType="end"/>
          </w:r>
        </w:p>
        <w:p w14:paraId="41F5BC9B">
          <w:pPr>
            <w:spacing w:line="403" w:lineRule="exact"/>
            <w:ind w:left="24"/>
            <w:rPr>
              <w:rFonts w:ascii="微软雅黑" w:hAnsi="微软雅黑" w:eastAsia="微软雅黑" w:cs="微软雅黑"/>
              <w:sz w:val="22"/>
              <w:szCs w:val="22"/>
            </w:rPr>
          </w:pPr>
          <w:bookmarkStart w:id="274" w:name="bookmark367"/>
          <w:bookmarkEnd w:id="274"/>
          <w:r>
            <w:rPr>
              <w:rFonts w:ascii="仿宋" w:hAnsi="仿宋" w:eastAsia="仿宋" w:cs="仿宋"/>
              <w:spacing w:val="-2"/>
              <w:position w:val="5"/>
              <w:sz w:val="22"/>
              <w:szCs w:val="22"/>
            </w:rPr>
            <w:t>180</w:t>
          </w:r>
          <w:r>
            <w:rPr>
              <w:rFonts w:ascii="宋体" w:hAnsi="宋体" w:eastAsia="宋体" w:cs="宋体"/>
              <w:spacing w:val="-2"/>
              <w:position w:val="5"/>
              <w:sz w:val="22"/>
              <w:szCs w:val="22"/>
            </w:rPr>
            <w:t>．</w:t>
          </w:r>
          <w:r>
            <w:fldChar w:fldCharType="begin"/>
          </w:r>
          <w:r>
            <w:instrText xml:space="preserve"> HYPERLINK \l "bookmark368" </w:instrText>
          </w:r>
          <w:r>
            <w:fldChar w:fldCharType="separate"/>
          </w:r>
          <w:r>
            <w:rPr>
              <w:rFonts w:ascii="微软雅黑" w:hAnsi="微软雅黑" w:eastAsia="微软雅黑" w:cs="微软雅黑"/>
              <w:spacing w:val="-2"/>
              <w:position w:val="5"/>
              <w:sz w:val="22"/>
              <w:szCs w:val="22"/>
            </w:rPr>
            <w:t>对烟花爆竹生产经营企业工（库）房等进行检维修等作业前，未制定安全作业方案，或</w:t>
          </w:r>
          <w:r>
            <w:rPr>
              <w:rFonts w:ascii="微软雅黑" w:hAnsi="微软雅黑" w:eastAsia="微软雅黑" w:cs="微软雅黑"/>
              <w:spacing w:val="-2"/>
              <w:position w:val="5"/>
              <w:sz w:val="22"/>
              <w:szCs w:val="22"/>
            </w:rPr>
            <w:fldChar w:fldCharType="end"/>
          </w:r>
        </w:p>
        <w:p w14:paraId="3100A392">
          <w:pPr>
            <w:tabs>
              <w:tab w:val="right" w:leader="dot" w:pos="8837"/>
            </w:tabs>
            <w:spacing w:before="14" w:line="167" w:lineRule="auto"/>
            <w:ind w:left="14"/>
            <w:rPr>
              <w:rFonts w:ascii="宋体" w:hAnsi="宋体" w:eastAsia="宋体" w:cs="宋体"/>
              <w:sz w:val="22"/>
              <w:szCs w:val="22"/>
            </w:rPr>
          </w:pPr>
          <w:bookmarkStart w:id="275" w:name="bookmark367"/>
          <w:bookmarkEnd w:id="275"/>
          <w:r>
            <w:fldChar w:fldCharType="begin"/>
          </w:r>
          <w:r>
            <w:instrText xml:space="preserve"> HYPERLINK \l "bookmark367" </w:instrText>
          </w:r>
          <w:r>
            <w:fldChar w:fldCharType="separate"/>
          </w:r>
          <w:r>
            <w:rPr>
              <w:rFonts w:ascii="微软雅黑" w:hAnsi="微软雅黑" w:eastAsia="微软雅黑" w:cs="微软雅黑"/>
              <w:spacing w:val="-1"/>
              <w:sz w:val="22"/>
              <w:szCs w:val="22"/>
            </w:rPr>
            <w:t>者未切断被检修、维修的电气线路和机械设备电源的</w:t>
          </w:r>
          <w:r>
            <w:rPr>
              <w:rFonts w:ascii="微软雅黑" w:hAnsi="微软雅黑" w:eastAsia="微软雅黑" w:cs="微软雅黑"/>
              <w:sz w:val="22"/>
              <w:szCs w:val="22"/>
            </w:rPr>
            <w:tab/>
          </w:r>
          <w:r>
            <w:rPr>
              <w:rFonts w:ascii="宋体" w:hAnsi="宋体" w:eastAsia="宋体" w:cs="宋体"/>
              <w:spacing w:val="-9"/>
              <w:sz w:val="22"/>
              <w:szCs w:val="22"/>
            </w:rPr>
            <w:t>194</w:t>
          </w:r>
          <w:r>
            <w:rPr>
              <w:rFonts w:ascii="宋体" w:hAnsi="宋体" w:eastAsia="宋体" w:cs="宋体"/>
              <w:spacing w:val="-9"/>
              <w:sz w:val="22"/>
              <w:szCs w:val="22"/>
            </w:rPr>
            <w:fldChar w:fldCharType="end"/>
          </w:r>
        </w:p>
        <w:p w14:paraId="0392AC85">
          <w:pPr>
            <w:spacing w:line="411" w:lineRule="exact"/>
            <w:ind w:left="24"/>
            <w:rPr>
              <w:rFonts w:ascii="微软雅黑" w:hAnsi="微软雅黑" w:eastAsia="微软雅黑" w:cs="微软雅黑"/>
              <w:sz w:val="22"/>
              <w:szCs w:val="22"/>
            </w:rPr>
          </w:pPr>
          <w:bookmarkStart w:id="276" w:name="bookmark369"/>
          <w:bookmarkEnd w:id="276"/>
          <w:r>
            <w:rPr>
              <w:rFonts w:ascii="仿宋" w:hAnsi="仿宋" w:eastAsia="仿宋" w:cs="仿宋"/>
              <w:spacing w:val="-2"/>
              <w:position w:val="5"/>
              <w:sz w:val="22"/>
              <w:szCs w:val="22"/>
            </w:rPr>
            <w:t>181</w:t>
          </w:r>
          <w:r>
            <w:rPr>
              <w:rFonts w:ascii="宋体" w:hAnsi="宋体" w:eastAsia="宋体" w:cs="宋体"/>
              <w:spacing w:val="-2"/>
              <w:position w:val="5"/>
              <w:sz w:val="22"/>
              <w:szCs w:val="22"/>
            </w:rPr>
            <w:t>．</w:t>
          </w:r>
          <w:r>
            <w:fldChar w:fldCharType="begin"/>
          </w:r>
          <w:r>
            <w:instrText xml:space="preserve"> HYPERLINK \l "bookmark370" </w:instrText>
          </w:r>
          <w:r>
            <w:fldChar w:fldCharType="separate"/>
          </w:r>
          <w:r>
            <w:rPr>
              <w:rFonts w:ascii="微软雅黑" w:hAnsi="微软雅黑" w:eastAsia="微软雅黑" w:cs="微软雅黑"/>
              <w:spacing w:val="-2"/>
              <w:position w:val="5"/>
              <w:sz w:val="22"/>
              <w:szCs w:val="22"/>
            </w:rPr>
            <w:t>烟花爆竹生产企业、批发企业防范静电危害的措施</w:t>
          </w:r>
          <w:r>
            <w:rPr>
              <w:rFonts w:ascii="微软雅黑" w:hAnsi="微软雅黑" w:eastAsia="微软雅黑" w:cs="微软雅黑"/>
              <w:spacing w:val="-3"/>
              <w:position w:val="5"/>
              <w:sz w:val="22"/>
              <w:szCs w:val="22"/>
            </w:rPr>
            <w:t>不符合相关国家标准或者行业标准规</w:t>
          </w:r>
          <w:r>
            <w:rPr>
              <w:rFonts w:ascii="微软雅黑" w:hAnsi="微软雅黑" w:eastAsia="微软雅黑" w:cs="微软雅黑"/>
              <w:spacing w:val="-3"/>
              <w:position w:val="5"/>
              <w:sz w:val="22"/>
              <w:szCs w:val="22"/>
            </w:rPr>
            <w:fldChar w:fldCharType="end"/>
          </w:r>
        </w:p>
        <w:p w14:paraId="6B2A4108">
          <w:pPr>
            <w:tabs>
              <w:tab w:val="right" w:leader="dot" w:pos="8829"/>
            </w:tabs>
            <w:spacing w:before="5" w:line="168" w:lineRule="auto"/>
            <w:ind w:left="12"/>
            <w:rPr>
              <w:rFonts w:ascii="宋体" w:hAnsi="宋体" w:eastAsia="宋体" w:cs="宋体"/>
              <w:sz w:val="22"/>
              <w:szCs w:val="22"/>
            </w:rPr>
          </w:pPr>
          <w:bookmarkStart w:id="277" w:name="bookmark369"/>
          <w:bookmarkEnd w:id="277"/>
          <w:r>
            <w:fldChar w:fldCharType="begin"/>
          </w:r>
          <w:r>
            <w:instrText xml:space="preserve"> HYPERLINK \l "bookmark369" </w:instrText>
          </w:r>
          <w:r>
            <w:fldChar w:fldCharType="separate"/>
          </w:r>
          <w:r>
            <w:rPr>
              <w:rFonts w:ascii="微软雅黑" w:hAnsi="微软雅黑" w:eastAsia="微软雅黑" w:cs="微软雅黑"/>
              <w:spacing w:val="-3"/>
              <w:sz w:val="22"/>
              <w:szCs w:val="22"/>
            </w:rPr>
            <w:t>定的</w:t>
          </w:r>
          <w:r>
            <w:rPr>
              <w:rFonts w:ascii="微软雅黑" w:hAnsi="微软雅黑" w:eastAsia="微软雅黑" w:cs="微软雅黑"/>
              <w:sz w:val="22"/>
              <w:szCs w:val="22"/>
            </w:rPr>
            <w:tab/>
          </w:r>
          <w:r>
            <w:rPr>
              <w:rFonts w:ascii="宋体" w:hAnsi="宋体" w:eastAsia="宋体" w:cs="宋体"/>
              <w:spacing w:val="-9"/>
              <w:sz w:val="22"/>
              <w:szCs w:val="22"/>
            </w:rPr>
            <w:t>195</w:t>
          </w:r>
          <w:r>
            <w:rPr>
              <w:rFonts w:ascii="宋体" w:hAnsi="宋体" w:eastAsia="宋体" w:cs="宋体"/>
              <w:spacing w:val="-9"/>
              <w:sz w:val="22"/>
              <w:szCs w:val="22"/>
            </w:rPr>
            <w:fldChar w:fldCharType="end"/>
          </w:r>
        </w:p>
        <w:p w14:paraId="4E2828D9">
          <w:pPr>
            <w:tabs>
              <w:tab w:val="right" w:leader="dot" w:pos="8840"/>
            </w:tabs>
            <w:spacing w:line="216" w:lineRule="auto"/>
            <w:ind w:left="24"/>
            <w:rPr>
              <w:rFonts w:ascii="宋体" w:hAnsi="宋体" w:eastAsia="宋体" w:cs="宋体"/>
              <w:sz w:val="22"/>
              <w:szCs w:val="22"/>
            </w:rPr>
          </w:pPr>
          <w:bookmarkStart w:id="278" w:name="bookmark371"/>
          <w:bookmarkEnd w:id="278"/>
          <w:r>
            <w:rPr>
              <w:rFonts w:ascii="仿宋" w:hAnsi="仿宋" w:eastAsia="仿宋" w:cs="仿宋"/>
              <w:spacing w:val="-1"/>
              <w:sz w:val="22"/>
              <w:szCs w:val="22"/>
            </w:rPr>
            <w:t>182</w:t>
          </w:r>
          <w:r>
            <w:rPr>
              <w:rFonts w:ascii="宋体" w:hAnsi="宋体" w:eastAsia="宋体" w:cs="宋体"/>
              <w:spacing w:val="-1"/>
              <w:sz w:val="22"/>
              <w:szCs w:val="22"/>
            </w:rPr>
            <w:t>．</w:t>
          </w:r>
          <w:r>
            <w:fldChar w:fldCharType="begin"/>
          </w:r>
          <w:r>
            <w:instrText xml:space="preserve"> HYPERLINK \l "bookmark372" </w:instrText>
          </w:r>
          <w:r>
            <w:fldChar w:fldCharType="separate"/>
          </w:r>
          <w:r>
            <w:rPr>
              <w:rFonts w:ascii="微软雅黑" w:hAnsi="微软雅黑" w:eastAsia="微软雅黑" w:cs="微软雅黑"/>
              <w:spacing w:val="-1"/>
              <w:sz w:val="22"/>
              <w:szCs w:val="22"/>
            </w:rPr>
            <w:t>烟花爆竹生产企业、批发企业使用新安全设备，未进行安全性论证的</w:t>
          </w:r>
          <w:r>
            <w:rPr>
              <w:rFonts w:ascii="微软雅黑" w:hAnsi="微软雅黑" w:eastAsia="微软雅黑" w:cs="微软雅黑"/>
              <w:sz w:val="22"/>
              <w:szCs w:val="22"/>
            </w:rPr>
            <w:tab/>
          </w:r>
          <w:r>
            <w:rPr>
              <w:rFonts w:ascii="宋体" w:hAnsi="宋体" w:eastAsia="宋体" w:cs="宋体"/>
              <w:spacing w:val="-9"/>
              <w:sz w:val="22"/>
              <w:szCs w:val="22"/>
            </w:rPr>
            <w:t>196</w:t>
          </w:r>
          <w:r>
            <w:rPr>
              <w:rFonts w:ascii="宋体" w:hAnsi="宋体" w:eastAsia="宋体" w:cs="宋体"/>
              <w:spacing w:val="-9"/>
              <w:sz w:val="22"/>
              <w:szCs w:val="22"/>
            </w:rPr>
            <w:fldChar w:fldCharType="end"/>
          </w:r>
        </w:p>
        <w:p w14:paraId="3B3B253E">
          <w:pPr>
            <w:spacing w:line="404" w:lineRule="exact"/>
            <w:ind w:left="24"/>
            <w:rPr>
              <w:rFonts w:ascii="微软雅黑" w:hAnsi="微软雅黑" w:eastAsia="微软雅黑" w:cs="微软雅黑"/>
              <w:sz w:val="22"/>
              <w:szCs w:val="22"/>
            </w:rPr>
          </w:pPr>
          <w:bookmarkStart w:id="279" w:name="bookmark373"/>
          <w:bookmarkEnd w:id="279"/>
          <w:r>
            <w:rPr>
              <w:rFonts w:ascii="仿宋" w:hAnsi="仿宋" w:eastAsia="仿宋" w:cs="仿宋"/>
              <w:spacing w:val="-1"/>
              <w:position w:val="5"/>
              <w:sz w:val="22"/>
              <w:szCs w:val="22"/>
            </w:rPr>
            <w:t>183</w:t>
          </w:r>
          <w:r>
            <w:rPr>
              <w:rFonts w:ascii="宋体" w:hAnsi="宋体" w:eastAsia="宋体" w:cs="宋体"/>
              <w:spacing w:val="-1"/>
              <w:position w:val="5"/>
              <w:sz w:val="22"/>
              <w:szCs w:val="22"/>
            </w:rPr>
            <w:t>．</w:t>
          </w:r>
          <w:r>
            <w:fldChar w:fldCharType="begin"/>
          </w:r>
          <w:r>
            <w:instrText xml:space="preserve"> HYPERLINK \l "bookmark374" </w:instrText>
          </w:r>
          <w:r>
            <w:fldChar w:fldCharType="separate"/>
          </w:r>
          <w:r>
            <w:rPr>
              <w:rFonts w:ascii="微软雅黑" w:hAnsi="微软雅黑" w:eastAsia="微软雅黑" w:cs="微软雅黑"/>
              <w:spacing w:val="-1"/>
              <w:position w:val="5"/>
              <w:sz w:val="22"/>
              <w:szCs w:val="22"/>
            </w:rPr>
            <w:t>烟花爆竹生产企业、批发企业在生产区、工（库）房等有药区域对安全设备进</w:t>
          </w:r>
          <w:r>
            <w:rPr>
              <w:rFonts w:ascii="微软雅黑" w:hAnsi="微软雅黑" w:eastAsia="微软雅黑" w:cs="微软雅黑"/>
              <w:spacing w:val="-2"/>
              <w:position w:val="5"/>
              <w:sz w:val="22"/>
              <w:szCs w:val="22"/>
            </w:rPr>
            <w:t>行检测、</w:t>
          </w:r>
          <w:r>
            <w:rPr>
              <w:rFonts w:ascii="微软雅黑" w:hAnsi="微软雅黑" w:eastAsia="微软雅黑" w:cs="微软雅黑"/>
              <w:spacing w:val="-2"/>
              <w:position w:val="5"/>
              <w:sz w:val="22"/>
              <w:szCs w:val="22"/>
            </w:rPr>
            <w:fldChar w:fldCharType="end"/>
          </w:r>
        </w:p>
        <w:p w14:paraId="5B396EF1">
          <w:pPr>
            <w:tabs>
              <w:tab w:val="right" w:leader="dot" w:pos="8842"/>
            </w:tabs>
            <w:spacing w:before="12" w:line="168" w:lineRule="auto"/>
            <w:ind w:left="30"/>
            <w:rPr>
              <w:rFonts w:ascii="宋体" w:hAnsi="宋体" w:eastAsia="宋体" w:cs="宋体"/>
              <w:sz w:val="22"/>
              <w:szCs w:val="22"/>
            </w:rPr>
          </w:pPr>
          <w:bookmarkStart w:id="280" w:name="bookmark373"/>
          <w:bookmarkEnd w:id="280"/>
          <w:r>
            <w:fldChar w:fldCharType="begin"/>
          </w:r>
          <w:r>
            <w:instrText xml:space="preserve"> HYPERLINK \l "bookmark373" </w:instrText>
          </w:r>
          <w:r>
            <w:fldChar w:fldCharType="separate"/>
          </w:r>
          <w:r>
            <w:rPr>
              <w:rFonts w:ascii="微软雅黑" w:hAnsi="微软雅黑" w:eastAsia="微软雅黑" w:cs="微软雅黑"/>
              <w:spacing w:val="-1"/>
              <w:sz w:val="22"/>
              <w:szCs w:val="22"/>
            </w:rPr>
            <w:t>改造作业时，未将工（库）房内的药物、有药半成品、成品搬走并清理作业现场的</w:t>
          </w:r>
          <w:r>
            <w:rPr>
              <w:rFonts w:ascii="微软雅黑" w:hAnsi="微软雅黑" w:eastAsia="微软雅黑" w:cs="微软雅黑"/>
              <w:sz w:val="22"/>
              <w:szCs w:val="22"/>
            </w:rPr>
            <w:tab/>
          </w:r>
          <w:r>
            <w:rPr>
              <w:rFonts w:ascii="宋体" w:hAnsi="宋体" w:eastAsia="宋体" w:cs="宋体"/>
              <w:spacing w:val="-9"/>
              <w:sz w:val="22"/>
              <w:szCs w:val="22"/>
            </w:rPr>
            <w:t>197</w:t>
          </w:r>
          <w:r>
            <w:rPr>
              <w:rFonts w:ascii="宋体" w:hAnsi="宋体" w:eastAsia="宋体" w:cs="宋体"/>
              <w:spacing w:val="-9"/>
              <w:sz w:val="22"/>
              <w:szCs w:val="22"/>
            </w:rPr>
            <w:fldChar w:fldCharType="end"/>
          </w:r>
        </w:p>
        <w:p w14:paraId="30114F68">
          <w:pPr>
            <w:spacing w:line="404" w:lineRule="exact"/>
            <w:ind w:left="24"/>
            <w:rPr>
              <w:rFonts w:ascii="微软雅黑" w:hAnsi="微软雅黑" w:eastAsia="微软雅黑" w:cs="微软雅黑"/>
              <w:sz w:val="22"/>
              <w:szCs w:val="22"/>
            </w:rPr>
          </w:pPr>
          <w:bookmarkStart w:id="281" w:name="bookmark375"/>
          <w:bookmarkEnd w:id="281"/>
          <w:r>
            <w:rPr>
              <w:rFonts w:ascii="仿宋" w:hAnsi="仿宋" w:eastAsia="仿宋" w:cs="仿宋"/>
              <w:spacing w:val="-2"/>
              <w:position w:val="5"/>
              <w:sz w:val="22"/>
              <w:szCs w:val="22"/>
            </w:rPr>
            <w:t>184</w:t>
          </w:r>
          <w:r>
            <w:rPr>
              <w:rFonts w:ascii="宋体" w:hAnsi="宋体" w:eastAsia="宋体" w:cs="宋体"/>
              <w:spacing w:val="-2"/>
              <w:position w:val="5"/>
              <w:sz w:val="22"/>
              <w:szCs w:val="22"/>
            </w:rPr>
            <w:t>．</w:t>
          </w:r>
          <w:r>
            <w:fldChar w:fldCharType="begin"/>
          </w:r>
          <w:r>
            <w:instrText xml:space="preserve"> HYPERLINK \l "bookmark376" </w:instrText>
          </w:r>
          <w:r>
            <w:fldChar w:fldCharType="separate"/>
          </w:r>
          <w:r>
            <w:rPr>
              <w:rFonts w:ascii="微软雅黑" w:hAnsi="微软雅黑" w:eastAsia="微软雅黑" w:cs="微软雅黑"/>
              <w:spacing w:val="-2"/>
              <w:position w:val="5"/>
              <w:sz w:val="22"/>
              <w:szCs w:val="22"/>
            </w:rPr>
            <w:t>烟花爆竹生产企业、批发企业未建立从业人员、外</w:t>
          </w:r>
          <w:r>
            <w:rPr>
              <w:rFonts w:ascii="微软雅黑" w:hAnsi="微软雅黑" w:eastAsia="微软雅黑" w:cs="微软雅黑"/>
              <w:spacing w:val="-3"/>
              <w:position w:val="5"/>
              <w:sz w:val="22"/>
              <w:szCs w:val="22"/>
            </w:rPr>
            <w:t>来人员、车辆出入厂（库）区登记制</w:t>
          </w:r>
          <w:r>
            <w:rPr>
              <w:rFonts w:ascii="微软雅黑" w:hAnsi="微软雅黑" w:eastAsia="微软雅黑" w:cs="微软雅黑"/>
              <w:spacing w:val="-3"/>
              <w:position w:val="5"/>
              <w:sz w:val="22"/>
              <w:szCs w:val="22"/>
            </w:rPr>
            <w:fldChar w:fldCharType="end"/>
          </w:r>
        </w:p>
        <w:p w14:paraId="5D11E587">
          <w:pPr>
            <w:tabs>
              <w:tab w:val="right" w:leader="dot" w:pos="8829"/>
            </w:tabs>
            <w:spacing w:before="14" w:line="167" w:lineRule="auto"/>
            <w:ind w:left="10"/>
            <w:rPr>
              <w:rFonts w:ascii="宋体" w:hAnsi="宋体" w:eastAsia="宋体" w:cs="宋体"/>
              <w:sz w:val="22"/>
              <w:szCs w:val="22"/>
            </w:rPr>
          </w:pPr>
          <w:bookmarkStart w:id="282" w:name="bookmark375"/>
          <w:bookmarkEnd w:id="282"/>
          <w:r>
            <w:fldChar w:fldCharType="begin"/>
          </w:r>
          <w:r>
            <w:instrText xml:space="preserve"> HYPERLINK \l "bookmark375" </w:instrText>
          </w:r>
          <w:r>
            <w:fldChar w:fldCharType="separate"/>
          </w:r>
          <w:r>
            <w:rPr>
              <w:rFonts w:ascii="微软雅黑" w:hAnsi="微软雅黑" w:eastAsia="微软雅黑" w:cs="微软雅黑"/>
              <w:spacing w:val="-3"/>
              <w:sz w:val="22"/>
              <w:szCs w:val="22"/>
            </w:rPr>
            <w:t>度的</w:t>
          </w:r>
          <w:r>
            <w:rPr>
              <w:rFonts w:ascii="微软雅黑" w:hAnsi="微软雅黑" w:eastAsia="微软雅黑" w:cs="微软雅黑"/>
              <w:sz w:val="22"/>
              <w:szCs w:val="22"/>
            </w:rPr>
            <w:tab/>
          </w:r>
          <w:r>
            <w:rPr>
              <w:rFonts w:ascii="宋体" w:hAnsi="宋体" w:eastAsia="宋体" w:cs="宋体"/>
              <w:spacing w:val="-9"/>
              <w:sz w:val="22"/>
              <w:szCs w:val="22"/>
            </w:rPr>
            <w:t>197</w:t>
          </w:r>
          <w:r>
            <w:rPr>
              <w:rFonts w:ascii="宋体" w:hAnsi="宋体" w:eastAsia="宋体" w:cs="宋体"/>
              <w:spacing w:val="-9"/>
              <w:sz w:val="22"/>
              <w:szCs w:val="22"/>
            </w:rPr>
            <w:fldChar w:fldCharType="end"/>
          </w:r>
        </w:p>
        <w:p w14:paraId="352A0E26">
          <w:pPr>
            <w:tabs>
              <w:tab w:val="right" w:leader="dot" w:pos="8840"/>
            </w:tabs>
            <w:spacing w:line="216" w:lineRule="auto"/>
            <w:ind w:left="24"/>
            <w:rPr>
              <w:rFonts w:ascii="宋体" w:hAnsi="宋体" w:eastAsia="宋体" w:cs="宋体"/>
              <w:sz w:val="22"/>
              <w:szCs w:val="22"/>
            </w:rPr>
          </w:pPr>
          <w:bookmarkStart w:id="283" w:name="bookmark377"/>
          <w:bookmarkEnd w:id="283"/>
          <w:r>
            <w:rPr>
              <w:rFonts w:ascii="仿宋" w:hAnsi="仿宋" w:eastAsia="仿宋" w:cs="仿宋"/>
              <w:spacing w:val="-1"/>
              <w:sz w:val="22"/>
              <w:szCs w:val="22"/>
            </w:rPr>
            <w:t>185</w:t>
          </w:r>
          <w:r>
            <w:rPr>
              <w:rFonts w:ascii="宋体" w:hAnsi="宋体" w:eastAsia="宋体" w:cs="宋体"/>
              <w:spacing w:val="-1"/>
              <w:sz w:val="22"/>
              <w:szCs w:val="22"/>
            </w:rPr>
            <w:t>．</w:t>
          </w:r>
          <w:r>
            <w:fldChar w:fldCharType="begin"/>
          </w:r>
          <w:r>
            <w:instrText xml:space="preserve"> HYPERLINK \l "bookmark378" </w:instrText>
          </w:r>
          <w:r>
            <w:fldChar w:fldCharType="separate"/>
          </w:r>
          <w:r>
            <w:rPr>
              <w:rFonts w:ascii="微软雅黑" w:hAnsi="微软雅黑" w:eastAsia="微软雅黑" w:cs="微软雅黑"/>
              <w:spacing w:val="-1"/>
              <w:sz w:val="22"/>
              <w:szCs w:val="22"/>
            </w:rPr>
            <w:t>烟花爆竹生产企业、批发企业未建立烟花爆竹买卖合同管理制度的</w:t>
          </w:r>
          <w:r>
            <w:rPr>
              <w:rFonts w:ascii="微软雅黑" w:hAnsi="微软雅黑" w:eastAsia="微软雅黑" w:cs="微软雅黑"/>
              <w:sz w:val="22"/>
              <w:szCs w:val="22"/>
            </w:rPr>
            <w:tab/>
          </w:r>
          <w:r>
            <w:rPr>
              <w:rFonts w:ascii="宋体" w:hAnsi="宋体" w:eastAsia="宋体" w:cs="宋体"/>
              <w:spacing w:val="-9"/>
              <w:sz w:val="22"/>
              <w:szCs w:val="22"/>
            </w:rPr>
            <w:t>198</w:t>
          </w:r>
          <w:r>
            <w:rPr>
              <w:rFonts w:ascii="宋体" w:hAnsi="宋体" w:eastAsia="宋体" w:cs="宋体"/>
              <w:spacing w:val="-9"/>
              <w:sz w:val="22"/>
              <w:szCs w:val="22"/>
            </w:rPr>
            <w:fldChar w:fldCharType="end"/>
          </w:r>
        </w:p>
        <w:p w14:paraId="48DF8566">
          <w:pPr>
            <w:tabs>
              <w:tab w:val="right" w:leader="dot" w:pos="8840"/>
            </w:tabs>
            <w:spacing w:line="216" w:lineRule="auto"/>
            <w:ind w:left="24"/>
            <w:rPr>
              <w:rFonts w:ascii="宋体" w:hAnsi="宋体" w:eastAsia="宋体" w:cs="宋体"/>
              <w:sz w:val="22"/>
              <w:szCs w:val="22"/>
            </w:rPr>
          </w:pPr>
          <w:bookmarkStart w:id="284" w:name="bookmark379"/>
          <w:bookmarkEnd w:id="284"/>
          <w:r>
            <w:rPr>
              <w:rFonts w:ascii="仿宋" w:hAnsi="仿宋" w:eastAsia="仿宋" w:cs="仿宋"/>
              <w:spacing w:val="-1"/>
              <w:sz w:val="22"/>
              <w:szCs w:val="22"/>
            </w:rPr>
            <w:t>186</w:t>
          </w:r>
          <w:r>
            <w:rPr>
              <w:rFonts w:ascii="宋体" w:hAnsi="宋体" w:eastAsia="宋体" w:cs="宋体"/>
              <w:spacing w:val="-1"/>
              <w:sz w:val="22"/>
              <w:szCs w:val="22"/>
            </w:rPr>
            <w:t>．</w:t>
          </w:r>
          <w:r>
            <w:fldChar w:fldCharType="begin"/>
          </w:r>
          <w:r>
            <w:instrText xml:space="preserve"> HYPERLINK \l "bookmark380" </w:instrText>
          </w:r>
          <w:r>
            <w:fldChar w:fldCharType="separate"/>
          </w:r>
          <w:r>
            <w:rPr>
              <w:rFonts w:ascii="微软雅黑" w:hAnsi="微软雅黑" w:eastAsia="微软雅黑" w:cs="微软雅黑"/>
              <w:spacing w:val="-1"/>
              <w:sz w:val="22"/>
              <w:szCs w:val="22"/>
            </w:rPr>
            <w:t>烟花爆竹生产企业、批发企业未按规定建立烟花爆竹流向管理制度的</w:t>
          </w:r>
          <w:r>
            <w:rPr>
              <w:rFonts w:ascii="微软雅黑" w:hAnsi="微软雅黑" w:eastAsia="微软雅黑" w:cs="微软雅黑"/>
              <w:sz w:val="22"/>
              <w:szCs w:val="22"/>
            </w:rPr>
            <w:tab/>
          </w:r>
          <w:r>
            <w:rPr>
              <w:rFonts w:ascii="宋体" w:hAnsi="宋体" w:eastAsia="宋体" w:cs="宋体"/>
              <w:spacing w:val="-9"/>
              <w:sz w:val="22"/>
              <w:szCs w:val="22"/>
            </w:rPr>
            <w:t>199</w:t>
          </w:r>
          <w:r>
            <w:rPr>
              <w:rFonts w:ascii="宋体" w:hAnsi="宋体" w:eastAsia="宋体" w:cs="宋体"/>
              <w:spacing w:val="-9"/>
              <w:sz w:val="22"/>
              <w:szCs w:val="22"/>
            </w:rPr>
            <w:fldChar w:fldCharType="end"/>
          </w:r>
        </w:p>
        <w:p w14:paraId="2F02B924">
          <w:pPr>
            <w:spacing w:line="411" w:lineRule="exact"/>
            <w:ind w:left="24"/>
            <w:rPr>
              <w:rFonts w:ascii="微软雅黑" w:hAnsi="微软雅黑" w:eastAsia="微软雅黑" w:cs="微软雅黑"/>
              <w:sz w:val="22"/>
              <w:szCs w:val="22"/>
            </w:rPr>
          </w:pPr>
          <w:bookmarkStart w:id="285" w:name="bookmark381"/>
          <w:bookmarkEnd w:id="285"/>
          <w:r>
            <w:rPr>
              <w:rFonts w:ascii="仿宋" w:hAnsi="仿宋" w:eastAsia="仿宋" w:cs="仿宋"/>
              <w:spacing w:val="-2"/>
              <w:position w:val="5"/>
              <w:sz w:val="22"/>
              <w:szCs w:val="22"/>
            </w:rPr>
            <w:t>187</w:t>
          </w:r>
          <w:r>
            <w:rPr>
              <w:rFonts w:ascii="宋体" w:hAnsi="宋体" w:eastAsia="宋体" w:cs="宋体"/>
              <w:spacing w:val="-2"/>
              <w:position w:val="5"/>
              <w:sz w:val="22"/>
              <w:szCs w:val="22"/>
            </w:rPr>
            <w:t>．</w:t>
          </w:r>
          <w:r>
            <w:fldChar w:fldCharType="begin"/>
          </w:r>
          <w:r>
            <w:instrText xml:space="preserve"> HYPERLINK \l "bookmark382" </w:instrText>
          </w:r>
          <w:r>
            <w:fldChar w:fldCharType="separate"/>
          </w:r>
          <w:r>
            <w:rPr>
              <w:rFonts w:ascii="微软雅黑" w:hAnsi="微软雅黑" w:eastAsia="微软雅黑" w:cs="微软雅黑"/>
              <w:spacing w:val="-2"/>
              <w:position w:val="5"/>
              <w:sz w:val="22"/>
              <w:szCs w:val="22"/>
            </w:rPr>
            <w:t>烟花爆竹生产企业从其他企业购买烟花爆竹半成品</w:t>
          </w:r>
          <w:r>
            <w:rPr>
              <w:rFonts w:ascii="微软雅黑" w:hAnsi="微软雅黑" w:eastAsia="微软雅黑" w:cs="微软雅黑"/>
              <w:spacing w:val="-3"/>
              <w:position w:val="5"/>
              <w:sz w:val="22"/>
              <w:szCs w:val="22"/>
            </w:rPr>
            <w:t>加工后销售，或者购买其他企业烟花</w:t>
          </w:r>
          <w:r>
            <w:rPr>
              <w:rFonts w:ascii="微软雅黑" w:hAnsi="微软雅黑" w:eastAsia="微软雅黑" w:cs="微软雅黑"/>
              <w:spacing w:val="-3"/>
              <w:position w:val="5"/>
              <w:sz w:val="22"/>
              <w:szCs w:val="22"/>
            </w:rPr>
            <w:fldChar w:fldCharType="end"/>
          </w:r>
        </w:p>
        <w:p w14:paraId="448FA72D">
          <w:pPr>
            <w:tabs>
              <w:tab w:val="right" w:leader="dot" w:pos="8840"/>
            </w:tabs>
            <w:spacing w:before="5" w:line="168" w:lineRule="auto"/>
            <w:ind w:left="11"/>
            <w:rPr>
              <w:rFonts w:ascii="宋体" w:hAnsi="宋体" w:eastAsia="宋体" w:cs="宋体"/>
              <w:sz w:val="22"/>
              <w:szCs w:val="22"/>
            </w:rPr>
          </w:pPr>
          <w:bookmarkStart w:id="286" w:name="bookmark381"/>
          <w:bookmarkEnd w:id="286"/>
          <w:r>
            <w:fldChar w:fldCharType="begin"/>
          </w:r>
          <w:r>
            <w:instrText xml:space="preserve"> HYPERLINK \l "bookmark381" </w:instrText>
          </w:r>
          <w:r>
            <w:fldChar w:fldCharType="separate"/>
          </w:r>
          <w:r>
            <w:rPr>
              <w:rFonts w:ascii="微软雅黑" w:hAnsi="微软雅黑" w:eastAsia="微软雅黑" w:cs="微软雅黑"/>
              <w:sz w:val="22"/>
              <w:szCs w:val="22"/>
            </w:rPr>
            <w:t>爆竹成品加贴本企业标签后销售，或者向其他企业销售</w:t>
          </w:r>
          <w:r>
            <w:rPr>
              <w:rFonts w:ascii="微软雅黑" w:hAnsi="微软雅黑" w:eastAsia="微软雅黑" w:cs="微软雅黑"/>
              <w:spacing w:val="-1"/>
              <w:sz w:val="22"/>
              <w:szCs w:val="22"/>
            </w:rPr>
            <w:t>烟花爆竹半成品的</w:t>
          </w:r>
          <w:r>
            <w:rPr>
              <w:rFonts w:ascii="微软雅黑" w:hAnsi="微软雅黑" w:eastAsia="微软雅黑" w:cs="微软雅黑"/>
              <w:sz w:val="22"/>
              <w:szCs w:val="22"/>
            </w:rPr>
            <w:tab/>
          </w:r>
          <w:r>
            <w:rPr>
              <w:rFonts w:ascii="宋体" w:hAnsi="宋体" w:eastAsia="宋体" w:cs="宋体"/>
              <w:spacing w:val="-4"/>
              <w:sz w:val="22"/>
              <w:szCs w:val="22"/>
            </w:rPr>
            <w:t>200</w:t>
          </w:r>
          <w:r>
            <w:rPr>
              <w:rFonts w:ascii="宋体" w:hAnsi="宋体" w:eastAsia="宋体" w:cs="宋体"/>
              <w:spacing w:val="-4"/>
              <w:sz w:val="22"/>
              <w:szCs w:val="22"/>
            </w:rPr>
            <w:fldChar w:fldCharType="end"/>
          </w:r>
        </w:p>
        <w:p w14:paraId="67F53CF1">
          <w:pPr>
            <w:spacing w:line="403" w:lineRule="exact"/>
            <w:ind w:left="24"/>
            <w:rPr>
              <w:rFonts w:ascii="微软雅黑" w:hAnsi="微软雅黑" w:eastAsia="微软雅黑" w:cs="微软雅黑"/>
              <w:sz w:val="22"/>
              <w:szCs w:val="22"/>
            </w:rPr>
          </w:pPr>
          <w:bookmarkStart w:id="287" w:name="bookmark383"/>
          <w:bookmarkEnd w:id="287"/>
          <w:r>
            <w:rPr>
              <w:rFonts w:ascii="仿宋" w:hAnsi="仿宋" w:eastAsia="仿宋" w:cs="仿宋"/>
              <w:spacing w:val="-2"/>
              <w:position w:val="5"/>
              <w:sz w:val="22"/>
              <w:szCs w:val="22"/>
            </w:rPr>
            <w:t>188</w:t>
          </w:r>
          <w:r>
            <w:rPr>
              <w:rFonts w:ascii="宋体" w:hAnsi="宋体" w:eastAsia="宋体" w:cs="宋体"/>
              <w:spacing w:val="-2"/>
              <w:position w:val="5"/>
              <w:sz w:val="22"/>
              <w:szCs w:val="22"/>
            </w:rPr>
            <w:t>．</w:t>
          </w:r>
          <w:r>
            <w:fldChar w:fldCharType="begin"/>
          </w:r>
          <w:r>
            <w:instrText xml:space="preserve"> HYPERLINK \l "bookmark384" </w:instrText>
          </w:r>
          <w:r>
            <w:fldChar w:fldCharType="separate"/>
          </w:r>
          <w:r>
            <w:rPr>
              <w:rFonts w:ascii="微软雅黑" w:hAnsi="微软雅黑" w:eastAsia="微软雅黑" w:cs="微软雅黑"/>
              <w:spacing w:val="-2"/>
              <w:position w:val="5"/>
              <w:sz w:val="22"/>
              <w:szCs w:val="22"/>
            </w:rPr>
            <w:t>烟花爆竹生产企业、批发企业工（库）房没有设置准确、清</w:t>
          </w:r>
          <w:r>
            <w:rPr>
              <w:rFonts w:ascii="微软雅黑" w:hAnsi="微软雅黑" w:eastAsia="微软雅黑" w:cs="微软雅黑"/>
              <w:spacing w:val="-3"/>
              <w:position w:val="5"/>
              <w:sz w:val="22"/>
              <w:szCs w:val="22"/>
            </w:rPr>
            <w:t>晰、醒目的定员、定量、定</w:t>
          </w:r>
          <w:r>
            <w:rPr>
              <w:rFonts w:ascii="微软雅黑" w:hAnsi="微软雅黑" w:eastAsia="微软雅黑" w:cs="微软雅黑"/>
              <w:spacing w:val="-3"/>
              <w:position w:val="5"/>
              <w:sz w:val="22"/>
              <w:szCs w:val="22"/>
            </w:rPr>
            <w:fldChar w:fldCharType="end"/>
          </w:r>
        </w:p>
        <w:p w14:paraId="4AD27760">
          <w:pPr>
            <w:tabs>
              <w:tab w:val="right" w:leader="dot" w:pos="8830"/>
            </w:tabs>
            <w:spacing w:before="14" w:line="167" w:lineRule="auto"/>
            <w:ind w:left="16"/>
            <w:rPr>
              <w:rFonts w:ascii="宋体" w:hAnsi="宋体" w:eastAsia="宋体" w:cs="宋体"/>
              <w:sz w:val="22"/>
              <w:szCs w:val="22"/>
            </w:rPr>
          </w:pPr>
          <w:bookmarkStart w:id="288" w:name="bookmark383"/>
          <w:bookmarkEnd w:id="288"/>
          <w:r>
            <w:fldChar w:fldCharType="begin"/>
          </w:r>
          <w:r>
            <w:instrText xml:space="preserve"> HYPERLINK \l "bookmark383" </w:instrText>
          </w:r>
          <w:r>
            <w:fldChar w:fldCharType="separate"/>
          </w:r>
          <w:r>
            <w:rPr>
              <w:rFonts w:ascii="微软雅黑" w:hAnsi="微软雅黑" w:eastAsia="微软雅黑" w:cs="微软雅黑"/>
              <w:spacing w:val="-3"/>
              <w:sz w:val="22"/>
              <w:szCs w:val="22"/>
            </w:rPr>
            <w:t>级标识的</w:t>
          </w:r>
          <w:r>
            <w:rPr>
              <w:rFonts w:ascii="微软雅黑" w:hAnsi="微软雅黑" w:eastAsia="微软雅黑" w:cs="微软雅黑"/>
              <w:sz w:val="22"/>
              <w:szCs w:val="22"/>
            </w:rPr>
            <w:tab/>
          </w:r>
          <w:r>
            <w:rPr>
              <w:rFonts w:ascii="宋体" w:hAnsi="宋体" w:eastAsia="宋体" w:cs="宋体"/>
              <w:spacing w:val="-4"/>
              <w:sz w:val="22"/>
              <w:szCs w:val="22"/>
            </w:rPr>
            <w:t>201</w:t>
          </w:r>
          <w:r>
            <w:rPr>
              <w:rFonts w:ascii="宋体" w:hAnsi="宋体" w:eastAsia="宋体" w:cs="宋体"/>
              <w:spacing w:val="-4"/>
              <w:sz w:val="22"/>
              <w:szCs w:val="22"/>
            </w:rPr>
            <w:fldChar w:fldCharType="end"/>
          </w:r>
        </w:p>
        <w:p w14:paraId="0B3B18BA">
          <w:pPr>
            <w:tabs>
              <w:tab w:val="right" w:leader="dot" w:pos="8840"/>
            </w:tabs>
            <w:spacing w:before="1" w:line="216" w:lineRule="auto"/>
            <w:ind w:left="24"/>
            <w:rPr>
              <w:rFonts w:ascii="宋体" w:hAnsi="宋体" w:eastAsia="宋体" w:cs="宋体"/>
              <w:sz w:val="22"/>
              <w:szCs w:val="22"/>
            </w:rPr>
          </w:pPr>
          <w:bookmarkStart w:id="289" w:name="bookmark385"/>
          <w:bookmarkEnd w:id="289"/>
          <w:r>
            <w:rPr>
              <w:rFonts w:ascii="仿宋" w:hAnsi="仿宋" w:eastAsia="仿宋" w:cs="仿宋"/>
              <w:spacing w:val="-1"/>
              <w:sz w:val="22"/>
              <w:szCs w:val="22"/>
            </w:rPr>
            <w:t>189</w:t>
          </w:r>
          <w:r>
            <w:rPr>
              <w:rFonts w:ascii="宋体" w:hAnsi="宋体" w:eastAsia="宋体" w:cs="宋体"/>
              <w:spacing w:val="-1"/>
              <w:sz w:val="22"/>
              <w:szCs w:val="22"/>
            </w:rPr>
            <w:t>．</w:t>
          </w:r>
          <w:r>
            <w:fldChar w:fldCharType="begin"/>
          </w:r>
          <w:r>
            <w:instrText xml:space="preserve"> HYPERLINK \l "bookmark386" </w:instrText>
          </w:r>
          <w:r>
            <w:fldChar w:fldCharType="separate"/>
          </w:r>
          <w:r>
            <w:rPr>
              <w:rFonts w:ascii="微软雅黑" w:hAnsi="微软雅黑" w:eastAsia="微软雅黑" w:cs="微软雅黑"/>
              <w:spacing w:val="-1"/>
              <w:sz w:val="22"/>
              <w:szCs w:val="22"/>
            </w:rPr>
            <w:t>未经许可经营、超许可范围经营、许可证过期继续经营烟花爆竹的</w:t>
          </w:r>
          <w:r>
            <w:rPr>
              <w:rFonts w:ascii="微软雅黑" w:hAnsi="微软雅黑" w:eastAsia="微软雅黑" w:cs="微软雅黑"/>
              <w:sz w:val="22"/>
              <w:szCs w:val="22"/>
            </w:rPr>
            <w:tab/>
          </w:r>
          <w:r>
            <w:rPr>
              <w:rFonts w:ascii="宋体" w:hAnsi="宋体" w:eastAsia="宋体" w:cs="宋体"/>
              <w:spacing w:val="-4"/>
              <w:sz w:val="22"/>
              <w:szCs w:val="22"/>
            </w:rPr>
            <w:t>202</w:t>
          </w:r>
          <w:r>
            <w:rPr>
              <w:rFonts w:ascii="宋体" w:hAnsi="宋体" w:eastAsia="宋体" w:cs="宋体"/>
              <w:spacing w:val="-4"/>
              <w:sz w:val="22"/>
              <w:szCs w:val="22"/>
            </w:rPr>
            <w:fldChar w:fldCharType="end"/>
          </w:r>
        </w:p>
        <w:p w14:paraId="23F164C5">
          <w:pPr>
            <w:spacing w:line="216" w:lineRule="auto"/>
            <w:ind w:left="24"/>
            <w:rPr>
              <w:rFonts w:ascii="宋体" w:hAnsi="宋体" w:eastAsia="宋体" w:cs="宋体"/>
              <w:sz w:val="22"/>
              <w:szCs w:val="22"/>
            </w:rPr>
          </w:pPr>
          <w:bookmarkStart w:id="290" w:name="bookmark387"/>
          <w:bookmarkEnd w:id="290"/>
          <w:r>
            <w:rPr>
              <w:rFonts w:ascii="仿宋" w:hAnsi="仿宋" w:eastAsia="仿宋" w:cs="仿宋"/>
              <w:spacing w:val="-1"/>
              <w:sz w:val="22"/>
              <w:szCs w:val="22"/>
            </w:rPr>
            <w:t>190</w:t>
          </w:r>
          <w:r>
            <w:rPr>
              <w:rFonts w:ascii="宋体" w:hAnsi="宋体" w:eastAsia="宋体" w:cs="宋体"/>
              <w:spacing w:val="-1"/>
              <w:sz w:val="22"/>
              <w:szCs w:val="22"/>
            </w:rPr>
            <w:t>．</w:t>
          </w:r>
          <w:r>
            <w:fldChar w:fldCharType="begin"/>
          </w:r>
          <w:r>
            <w:instrText xml:space="preserve"> HYPERLINK \l "bookmark388" </w:instrText>
          </w:r>
          <w:r>
            <w:fldChar w:fldCharType="separate"/>
          </w:r>
          <w:r>
            <w:rPr>
              <w:rFonts w:ascii="微软雅黑" w:hAnsi="微软雅黑" w:eastAsia="微软雅黑" w:cs="微软雅黑"/>
              <w:spacing w:val="-1"/>
              <w:sz w:val="22"/>
              <w:szCs w:val="22"/>
            </w:rPr>
            <w:t>向未取得烟花爆竹安全生产许可的单位或者个人销售黑火药、烟火药、引火线的</w:t>
          </w:r>
          <w:r>
            <w:rPr>
              <w:rFonts w:ascii="宋体" w:hAnsi="宋体" w:eastAsia="宋体" w:cs="宋体"/>
              <w:spacing w:val="-1"/>
              <w:sz w:val="22"/>
              <w:szCs w:val="22"/>
            </w:rPr>
            <w:t>.2</w:t>
          </w:r>
          <w:r>
            <w:rPr>
              <w:rFonts w:ascii="宋体" w:hAnsi="宋体" w:eastAsia="宋体" w:cs="宋体"/>
              <w:spacing w:val="-2"/>
              <w:sz w:val="22"/>
              <w:szCs w:val="22"/>
            </w:rPr>
            <w:t>03</w:t>
          </w:r>
          <w:r>
            <w:rPr>
              <w:rFonts w:ascii="宋体" w:hAnsi="宋体" w:eastAsia="宋体" w:cs="宋体"/>
              <w:spacing w:val="-2"/>
              <w:sz w:val="22"/>
              <w:szCs w:val="22"/>
            </w:rPr>
            <w:fldChar w:fldCharType="end"/>
          </w:r>
        </w:p>
        <w:p w14:paraId="4C1F7F05">
          <w:pPr>
            <w:spacing w:line="409" w:lineRule="exact"/>
            <w:ind w:left="24"/>
            <w:rPr>
              <w:rFonts w:ascii="微软雅黑" w:hAnsi="微软雅黑" w:eastAsia="微软雅黑" w:cs="微软雅黑"/>
              <w:sz w:val="22"/>
              <w:szCs w:val="22"/>
            </w:rPr>
          </w:pPr>
          <w:bookmarkStart w:id="291" w:name="bookmark389"/>
          <w:bookmarkEnd w:id="291"/>
          <w:r>
            <w:rPr>
              <w:rFonts w:ascii="仿宋" w:hAnsi="仿宋" w:eastAsia="仿宋" w:cs="仿宋"/>
              <w:spacing w:val="-2"/>
              <w:position w:val="5"/>
              <w:sz w:val="22"/>
              <w:szCs w:val="22"/>
            </w:rPr>
            <w:t>191</w:t>
          </w:r>
          <w:r>
            <w:rPr>
              <w:rFonts w:ascii="宋体" w:hAnsi="宋体" w:eastAsia="宋体" w:cs="宋体"/>
              <w:spacing w:val="-2"/>
              <w:position w:val="5"/>
              <w:sz w:val="22"/>
              <w:szCs w:val="22"/>
            </w:rPr>
            <w:t>．</w:t>
          </w:r>
          <w:r>
            <w:fldChar w:fldCharType="begin"/>
          </w:r>
          <w:r>
            <w:instrText xml:space="preserve"> HYPERLINK \l "bookmark390" </w:instrText>
          </w:r>
          <w:r>
            <w:fldChar w:fldCharType="separate"/>
          </w:r>
          <w:r>
            <w:rPr>
              <w:rFonts w:ascii="微软雅黑" w:hAnsi="微软雅黑" w:eastAsia="微软雅黑" w:cs="微软雅黑"/>
              <w:spacing w:val="-2"/>
              <w:position w:val="5"/>
              <w:sz w:val="22"/>
              <w:szCs w:val="22"/>
            </w:rPr>
            <w:t>烟花爆竹零售经营者变更零售点名称、主要负责人或者</w:t>
          </w:r>
          <w:r>
            <w:rPr>
              <w:rFonts w:ascii="微软雅黑" w:hAnsi="微软雅黑" w:eastAsia="微软雅黑" w:cs="微软雅黑"/>
              <w:spacing w:val="-3"/>
              <w:position w:val="5"/>
              <w:sz w:val="22"/>
              <w:szCs w:val="22"/>
            </w:rPr>
            <w:t>经营场所，未重新办理零售许可</w:t>
          </w:r>
          <w:r>
            <w:rPr>
              <w:rFonts w:ascii="微软雅黑" w:hAnsi="微软雅黑" w:eastAsia="微软雅黑" w:cs="微软雅黑"/>
              <w:spacing w:val="-3"/>
              <w:position w:val="5"/>
              <w:sz w:val="22"/>
              <w:szCs w:val="22"/>
            </w:rPr>
            <w:fldChar w:fldCharType="end"/>
          </w:r>
        </w:p>
        <w:p w14:paraId="1BC0D643">
          <w:pPr>
            <w:tabs>
              <w:tab w:val="right" w:leader="dot" w:pos="8829"/>
            </w:tabs>
            <w:spacing w:before="7" w:line="168" w:lineRule="auto"/>
            <w:ind w:left="13"/>
            <w:rPr>
              <w:rFonts w:ascii="宋体" w:hAnsi="宋体" w:eastAsia="宋体" w:cs="宋体"/>
              <w:sz w:val="22"/>
              <w:szCs w:val="22"/>
            </w:rPr>
          </w:pPr>
          <w:bookmarkStart w:id="292" w:name="bookmark389"/>
          <w:bookmarkEnd w:id="292"/>
          <w:r>
            <w:fldChar w:fldCharType="begin"/>
          </w:r>
          <w:r>
            <w:instrText xml:space="preserve"> HYPERLINK \l "bookmark389" </w:instrText>
          </w:r>
          <w:r>
            <w:fldChar w:fldCharType="separate"/>
          </w:r>
          <w:r>
            <w:rPr>
              <w:rFonts w:ascii="微软雅黑" w:hAnsi="微软雅黑" w:eastAsia="微软雅黑" w:cs="微软雅黑"/>
              <w:spacing w:val="-7"/>
              <w:sz w:val="22"/>
              <w:szCs w:val="22"/>
            </w:rPr>
            <w:t>证的</w:t>
          </w:r>
          <w:r>
            <w:rPr>
              <w:rFonts w:ascii="微软雅黑" w:hAnsi="微软雅黑" w:eastAsia="微软雅黑" w:cs="微软雅黑"/>
              <w:sz w:val="22"/>
              <w:szCs w:val="22"/>
            </w:rPr>
            <w:tab/>
          </w:r>
          <w:r>
            <w:rPr>
              <w:rFonts w:ascii="宋体" w:hAnsi="宋体" w:eastAsia="宋体" w:cs="宋体"/>
              <w:spacing w:val="-4"/>
              <w:sz w:val="22"/>
              <w:szCs w:val="22"/>
            </w:rPr>
            <w:t>203</w:t>
          </w:r>
          <w:r>
            <w:rPr>
              <w:rFonts w:ascii="宋体" w:hAnsi="宋体" w:eastAsia="宋体" w:cs="宋体"/>
              <w:spacing w:val="-4"/>
              <w:sz w:val="22"/>
              <w:szCs w:val="22"/>
            </w:rPr>
            <w:fldChar w:fldCharType="end"/>
          </w:r>
        </w:p>
        <w:p w14:paraId="4D5A68C4">
          <w:pPr>
            <w:tabs>
              <w:tab w:val="right" w:leader="dot" w:pos="8840"/>
            </w:tabs>
            <w:spacing w:line="409" w:lineRule="exact"/>
            <w:ind w:left="24"/>
            <w:rPr>
              <w:rFonts w:ascii="宋体" w:hAnsi="宋体" w:eastAsia="宋体" w:cs="宋体"/>
              <w:sz w:val="22"/>
              <w:szCs w:val="22"/>
            </w:rPr>
          </w:pPr>
          <w:bookmarkStart w:id="293" w:name="bookmark391"/>
          <w:bookmarkEnd w:id="293"/>
          <w:r>
            <w:rPr>
              <w:rFonts w:ascii="仿宋" w:hAnsi="仿宋" w:eastAsia="仿宋" w:cs="仿宋"/>
              <w:spacing w:val="-1"/>
              <w:position w:val="5"/>
              <w:sz w:val="22"/>
              <w:szCs w:val="22"/>
            </w:rPr>
            <w:t>192</w:t>
          </w:r>
          <w:r>
            <w:rPr>
              <w:rFonts w:ascii="宋体" w:hAnsi="宋体" w:eastAsia="宋体" w:cs="宋体"/>
              <w:spacing w:val="-1"/>
              <w:position w:val="5"/>
              <w:sz w:val="22"/>
              <w:szCs w:val="22"/>
            </w:rPr>
            <w:t>．</w:t>
          </w:r>
          <w:r>
            <w:fldChar w:fldCharType="begin"/>
          </w:r>
          <w:r>
            <w:instrText xml:space="preserve"> HYPERLINK \l "bookmark392" </w:instrText>
          </w:r>
          <w:r>
            <w:fldChar w:fldCharType="separate"/>
          </w:r>
          <w:r>
            <w:rPr>
              <w:rFonts w:ascii="微软雅黑" w:hAnsi="微软雅黑" w:eastAsia="微软雅黑" w:cs="微软雅黑"/>
              <w:spacing w:val="-1"/>
              <w:position w:val="5"/>
              <w:sz w:val="22"/>
              <w:szCs w:val="22"/>
            </w:rPr>
            <w:t>烟花爆竹零售经营者存放的烟花爆竹数量超过零售许可证载明范围的</w:t>
          </w:r>
          <w:r>
            <w:rPr>
              <w:rFonts w:ascii="微软雅黑" w:hAnsi="微软雅黑" w:eastAsia="微软雅黑" w:cs="微软雅黑"/>
              <w:position w:val="5"/>
              <w:sz w:val="22"/>
              <w:szCs w:val="22"/>
            </w:rPr>
            <w:tab/>
          </w:r>
          <w:r>
            <w:rPr>
              <w:rFonts w:ascii="宋体" w:hAnsi="宋体" w:eastAsia="宋体" w:cs="宋体"/>
              <w:spacing w:val="-4"/>
              <w:position w:val="5"/>
              <w:sz w:val="22"/>
              <w:szCs w:val="22"/>
            </w:rPr>
            <w:t>204</w:t>
          </w:r>
          <w:r>
            <w:rPr>
              <w:rFonts w:ascii="宋体" w:hAnsi="宋体" w:eastAsia="宋体" w:cs="宋体"/>
              <w:spacing w:val="-4"/>
              <w:position w:val="5"/>
              <w:sz w:val="22"/>
              <w:szCs w:val="22"/>
            </w:rPr>
            <w:fldChar w:fldCharType="end"/>
          </w:r>
        </w:p>
      </w:sdtContent>
    </w:sdt>
    <w:p w14:paraId="38D2E86E">
      <w:pPr>
        <w:spacing w:line="409" w:lineRule="exact"/>
        <w:rPr>
          <w:rFonts w:ascii="宋体" w:hAnsi="宋体" w:eastAsia="宋体" w:cs="宋体"/>
          <w:sz w:val="22"/>
          <w:szCs w:val="22"/>
        </w:rPr>
        <w:sectPr>
          <w:footerReference r:id="rId13" w:type="default"/>
          <w:pgSz w:w="11906" w:h="16839"/>
          <w:pgMar w:top="1431" w:right="1301" w:bottom="1116" w:left="1586" w:header="0" w:footer="837" w:gutter="0"/>
          <w:cols w:space="720" w:num="1"/>
        </w:sectPr>
      </w:pPr>
    </w:p>
    <w:p w14:paraId="7DE84BCE">
      <w:pPr>
        <w:pStyle w:val="2"/>
        <w:spacing w:line="284" w:lineRule="auto"/>
      </w:pPr>
    </w:p>
    <w:p w14:paraId="5A983400">
      <w:pPr>
        <w:pStyle w:val="2"/>
        <w:spacing w:line="285" w:lineRule="auto"/>
      </w:pPr>
    </w:p>
    <w:sdt>
      <w:sdtPr>
        <w:rPr>
          <w:rFonts w:ascii="仿宋" w:hAnsi="仿宋" w:eastAsia="仿宋" w:cs="仿宋"/>
          <w:sz w:val="22"/>
          <w:szCs w:val="22"/>
        </w:rPr>
        <w:id w:val="147452384"/>
        <w:docPartObj>
          <w:docPartGallery w:val="Table of Contents"/>
          <w:docPartUnique/>
        </w:docPartObj>
      </w:sdtPr>
      <w:sdtEndPr>
        <w:rPr>
          <w:rFonts w:ascii="宋体" w:hAnsi="宋体" w:eastAsia="宋体" w:cs="宋体"/>
          <w:position w:val="2"/>
          <w:sz w:val="22"/>
          <w:szCs w:val="22"/>
        </w:rPr>
      </w:sdtEndPr>
      <w:sdtContent>
        <w:p w14:paraId="5D81050C">
          <w:pPr>
            <w:tabs>
              <w:tab w:val="right" w:leader="dot" w:pos="8830"/>
            </w:tabs>
            <w:spacing w:before="94" w:line="216" w:lineRule="auto"/>
            <w:ind w:left="13"/>
            <w:rPr>
              <w:rFonts w:ascii="宋体" w:hAnsi="宋体" w:eastAsia="宋体" w:cs="宋体"/>
              <w:sz w:val="22"/>
              <w:szCs w:val="22"/>
            </w:rPr>
          </w:pPr>
          <w:bookmarkStart w:id="294" w:name="bookmark393"/>
          <w:bookmarkEnd w:id="294"/>
          <w:r>
            <w:rPr>
              <w:rFonts w:ascii="仿宋" w:hAnsi="仿宋" w:eastAsia="仿宋" w:cs="仿宋"/>
              <w:spacing w:val="-1"/>
              <w:sz w:val="22"/>
              <w:szCs w:val="22"/>
            </w:rPr>
            <w:t>193</w:t>
          </w:r>
          <w:r>
            <w:rPr>
              <w:rFonts w:ascii="宋体" w:hAnsi="宋体" w:eastAsia="宋体" w:cs="宋体"/>
              <w:spacing w:val="-1"/>
              <w:sz w:val="22"/>
              <w:szCs w:val="22"/>
            </w:rPr>
            <w:t>．</w:t>
          </w:r>
          <w:r>
            <w:fldChar w:fldCharType="begin"/>
          </w:r>
          <w:r>
            <w:instrText xml:space="preserve"> HYPERLINK \l "bookmark394" </w:instrText>
          </w:r>
          <w:r>
            <w:fldChar w:fldCharType="separate"/>
          </w:r>
          <w:r>
            <w:rPr>
              <w:rFonts w:ascii="微软雅黑" w:hAnsi="微软雅黑" w:eastAsia="微软雅黑" w:cs="微软雅黑"/>
              <w:spacing w:val="-1"/>
              <w:sz w:val="22"/>
              <w:szCs w:val="22"/>
            </w:rPr>
            <w:t>烟花爆竹经营单位出租、出借、转让、买卖烟花爆竹经营许可证的</w:t>
          </w:r>
          <w:r>
            <w:rPr>
              <w:rFonts w:ascii="微软雅黑" w:hAnsi="微软雅黑" w:eastAsia="微软雅黑" w:cs="微软雅黑"/>
              <w:sz w:val="22"/>
              <w:szCs w:val="22"/>
            </w:rPr>
            <w:tab/>
          </w:r>
          <w:r>
            <w:rPr>
              <w:rFonts w:ascii="宋体" w:hAnsi="宋体" w:eastAsia="宋体" w:cs="宋体"/>
              <w:spacing w:val="-4"/>
              <w:sz w:val="22"/>
              <w:szCs w:val="22"/>
            </w:rPr>
            <w:t>204</w:t>
          </w:r>
          <w:r>
            <w:rPr>
              <w:rFonts w:ascii="宋体" w:hAnsi="宋体" w:eastAsia="宋体" w:cs="宋体"/>
              <w:spacing w:val="-4"/>
              <w:sz w:val="22"/>
              <w:szCs w:val="22"/>
            </w:rPr>
            <w:fldChar w:fldCharType="end"/>
          </w:r>
        </w:p>
        <w:p w14:paraId="7F63746A">
          <w:pPr>
            <w:tabs>
              <w:tab w:val="right" w:leader="dot" w:pos="8829"/>
            </w:tabs>
            <w:spacing w:line="216" w:lineRule="auto"/>
            <w:ind w:left="13"/>
            <w:rPr>
              <w:rFonts w:ascii="宋体" w:hAnsi="宋体" w:eastAsia="宋体" w:cs="宋体"/>
              <w:sz w:val="22"/>
              <w:szCs w:val="22"/>
            </w:rPr>
          </w:pPr>
          <w:bookmarkStart w:id="295" w:name="bookmark395"/>
          <w:bookmarkEnd w:id="295"/>
          <w:r>
            <w:rPr>
              <w:rFonts w:ascii="仿宋" w:hAnsi="仿宋" w:eastAsia="仿宋" w:cs="仿宋"/>
              <w:spacing w:val="-1"/>
              <w:sz w:val="22"/>
              <w:szCs w:val="22"/>
            </w:rPr>
            <w:t>194</w:t>
          </w:r>
          <w:r>
            <w:rPr>
              <w:rFonts w:ascii="宋体" w:hAnsi="宋体" w:eastAsia="宋体" w:cs="宋体"/>
              <w:spacing w:val="-1"/>
              <w:sz w:val="22"/>
              <w:szCs w:val="22"/>
            </w:rPr>
            <w:t>．</w:t>
          </w:r>
          <w:r>
            <w:fldChar w:fldCharType="begin"/>
          </w:r>
          <w:r>
            <w:instrText xml:space="preserve"> HYPERLINK \l "bookmark396" </w:instrText>
          </w:r>
          <w:r>
            <w:fldChar w:fldCharType="separate"/>
          </w:r>
          <w:r>
            <w:rPr>
              <w:rFonts w:ascii="微软雅黑" w:hAnsi="微软雅黑" w:eastAsia="微软雅黑" w:cs="微软雅黑"/>
              <w:spacing w:val="-1"/>
              <w:sz w:val="22"/>
              <w:szCs w:val="22"/>
            </w:rPr>
            <w:t>烟花爆竹经营单位冒用或者使用伪造的安全生产许可证的</w:t>
          </w:r>
          <w:r>
            <w:rPr>
              <w:rFonts w:ascii="微软雅黑" w:hAnsi="微软雅黑" w:eastAsia="微软雅黑" w:cs="微软雅黑"/>
              <w:sz w:val="22"/>
              <w:szCs w:val="22"/>
            </w:rPr>
            <w:tab/>
          </w:r>
          <w:r>
            <w:rPr>
              <w:rFonts w:ascii="宋体" w:hAnsi="宋体" w:eastAsia="宋体" w:cs="宋体"/>
              <w:spacing w:val="-4"/>
              <w:sz w:val="22"/>
              <w:szCs w:val="22"/>
            </w:rPr>
            <w:t>205</w:t>
          </w:r>
          <w:r>
            <w:rPr>
              <w:rFonts w:ascii="宋体" w:hAnsi="宋体" w:eastAsia="宋体" w:cs="宋体"/>
              <w:spacing w:val="-4"/>
              <w:sz w:val="22"/>
              <w:szCs w:val="22"/>
            </w:rPr>
            <w:fldChar w:fldCharType="end"/>
          </w:r>
        </w:p>
        <w:p w14:paraId="21A80902">
          <w:pPr>
            <w:spacing w:line="409" w:lineRule="exact"/>
            <w:ind w:left="13"/>
            <w:rPr>
              <w:rFonts w:ascii="微软雅黑" w:hAnsi="微软雅黑" w:eastAsia="微软雅黑" w:cs="微软雅黑"/>
              <w:sz w:val="22"/>
              <w:szCs w:val="22"/>
            </w:rPr>
          </w:pPr>
          <w:bookmarkStart w:id="296" w:name="bookmark397"/>
          <w:bookmarkEnd w:id="296"/>
          <w:r>
            <w:rPr>
              <w:rFonts w:ascii="仿宋" w:hAnsi="仿宋" w:eastAsia="仿宋" w:cs="仿宋"/>
              <w:spacing w:val="-2"/>
              <w:position w:val="5"/>
              <w:sz w:val="22"/>
              <w:szCs w:val="22"/>
            </w:rPr>
            <w:t>195</w:t>
          </w:r>
          <w:r>
            <w:rPr>
              <w:rFonts w:ascii="宋体" w:hAnsi="宋体" w:eastAsia="宋体" w:cs="宋体"/>
              <w:spacing w:val="-2"/>
              <w:position w:val="5"/>
              <w:sz w:val="22"/>
              <w:szCs w:val="22"/>
            </w:rPr>
            <w:t>．</w:t>
          </w:r>
          <w:r>
            <w:fldChar w:fldCharType="begin"/>
          </w:r>
          <w:r>
            <w:instrText xml:space="preserve"> HYPERLINK \l "bookmark398" </w:instrText>
          </w:r>
          <w:r>
            <w:fldChar w:fldCharType="separate"/>
          </w:r>
          <w:r>
            <w:rPr>
              <w:rFonts w:ascii="微软雅黑" w:hAnsi="微软雅黑" w:eastAsia="微软雅黑" w:cs="微软雅黑"/>
              <w:spacing w:val="-2"/>
              <w:position w:val="5"/>
              <w:sz w:val="22"/>
              <w:szCs w:val="22"/>
            </w:rPr>
            <w:t>烟花爆竹批发企业向烟花爆竹零售经营者供应非法</w:t>
          </w:r>
          <w:r>
            <w:rPr>
              <w:rFonts w:ascii="微软雅黑" w:hAnsi="微软雅黑" w:eastAsia="微软雅黑" w:cs="微软雅黑"/>
              <w:spacing w:val="-3"/>
              <w:position w:val="5"/>
              <w:sz w:val="22"/>
              <w:szCs w:val="22"/>
            </w:rPr>
            <w:t>生产、经营的烟花爆竹，或者供应按</w:t>
          </w:r>
          <w:r>
            <w:rPr>
              <w:rFonts w:ascii="微软雅黑" w:hAnsi="微软雅黑" w:eastAsia="微软雅黑" w:cs="微软雅黑"/>
              <w:spacing w:val="-3"/>
              <w:position w:val="5"/>
              <w:sz w:val="22"/>
              <w:szCs w:val="22"/>
            </w:rPr>
            <w:fldChar w:fldCharType="end"/>
          </w:r>
        </w:p>
        <w:p w14:paraId="3C26194D">
          <w:pPr>
            <w:tabs>
              <w:tab w:val="right" w:leader="dot" w:pos="8827"/>
            </w:tabs>
            <w:spacing w:before="7" w:line="167" w:lineRule="auto"/>
            <w:ind w:left="17"/>
            <w:rPr>
              <w:rFonts w:ascii="宋体" w:hAnsi="宋体" w:eastAsia="宋体" w:cs="宋体"/>
              <w:sz w:val="22"/>
              <w:szCs w:val="22"/>
            </w:rPr>
          </w:pPr>
          <w:bookmarkStart w:id="297" w:name="bookmark397"/>
          <w:bookmarkEnd w:id="297"/>
          <w:r>
            <w:fldChar w:fldCharType="begin"/>
          </w:r>
          <w:r>
            <w:instrText xml:space="preserve"> HYPERLINK \l "bookmark397" </w:instrText>
          </w:r>
          <w:r>
            <w:fldChar w:fldCharType="separate"/>
          </w:r>
          <w:r>
            <w:rPr>
              <w:rFonts w:ascii="微软雅黑" w:hAnsi="微软雅黑" w:eastAsia="微软雅黑" w:cs="微软雅黑"/>
              <w:spacing w:val="-1"/>
              <w:sz w:val="22"/>
              <w:szCs w:val="22"/>
            </w:rPr>
            <w:t>照国家标准规定应由专业燃放人员燃放的烟花爆竹的</w:t>
          </w:r>
          <w:r>
            <w:rPr>
              <w:rFonts w:ascii="微软雅黑" w:hAnsi="微软雅黑" w:eastAsia="微软雅黑" w:cs="微软雅黑"/>
              <w:sz w:val="22"/>
              <w:szCs w:val="22"/>
            </w:rPr>
            <w:tab/>
          </w:r>
          <w:r>
            <w:rPr>
              <w:rFonts w:ascii="宋体" w:hAnsi="宋体" w:eastAsia="宋体" w:cs="宋体"/>
              <w:spacing w:val="-4"/>
              <w:sz w:val="22"/>
              <w:szCs w:val="22"/>
            </w:rPr>
            <w:t>205</w:t>
          </w:r>
          <w:r>
            <w:rPr>
              <w:rFonts w:ascii="宋体" w:hAnsi="宋体" w:eastAsia="宋体" w:cs="宋体"/>
              <w:spacing w:val="-4"/>
              <w:sz w:val="22"/>
              <w:szCs w:val="22"/>
            </w:rPr>
            <w:fldChar w:fldCharType="end"/>
          </w:r>
        </w:p>
        <w:p w14:paraId="3A0C5F2A">
          <w:pPr>
            <w:spacing w:line="403" w:lineRule="exact"/>
            <w:ind w:left="13"/>
            <w:rPr>
              <w:rFonts w:ascii="微软雅黑" w:hAnsi="微软雅黑" w:eastAsia="微软雅黑" w:cs="微软雅黑"/>
              <w:sz w:val="22"/>
              <w:szCs w:val="22"/>
            </w:rPr>
          </w:pPr>
          <w:bookmarkStart w:id="298" w:name="bookmark399"/>
          <w:bookmarkEnd w:id="298"/>
          <w:r>
            <w:rPr>
              <w:rFonts w:ascii="仿宋" w:hAnsi="仿宋" w:eastAsia="仿宋" w:cs="仿宋"/>
              <w:spacing w:val="-2"/>
              <w:position w:val="5"/>
              <w:sz w:val="22"/>
              <w:szCs w:val="22"/>
            </w:rPr>
            <w:t>196</w:t>
          </w:r>
          <w:r>
            <w:rPr>
              <w:rFonts w:ascii="宋体" w:hAnsi="宋体" w:eastAsia="宋体" w:cs="宋体"/>
              <w:spacing w:val="-2"/>
              <w:position w:val="5"/>
              <w:sz w:val="22"/>
              <w:szCs w:val="22"/>
            </w:rPr>
            <w:t>．</w:t>
          </w:r>
          <w:r>
            <w:fldChar w:fldCharType="begin"/>
          </w:r>
          <w:r>
            <w:instrText xml:space="preserve"> HYPERLINK \l "bookmark400" </w:instrText>
          </w:r>
          <w:r>
            <w:fldChar w:fldCharType="separate"/>
          </w:r>
          <w:r>
            <w:rPr>
              <w:rFonts w:ascii="微软雅黑" w:hAnsi="微软雅黑" w:eastAsia="微软雅黑" w:cs="微软雅黑"/>
              <w:spacing w:val="-2"/>
              <w:position w:val="5"/>
              <w:sz w:val="22"/>
              <w:szCs w:val="22"/>
            </w:rPr>
            <w:t>烟花爆竹批发企业在城市建成区内设立烟花爆竹储存</w:t>
          </w:r>
          <w:r>
            <w:rPr>
              <w:rFonts w:ascii="微软雅黑" w:hAnsi="微软雅黑" w:eastAsia="微软雅黑" w:cs="微软雅黑"/>
              <w:spacing w:val="-3"/>
              <w:position w:val="5"/>
              <w:sz w:val="22"/>
              <w:szCs w:val="22"/>
            </w:rPr>
            <w:t>仓库，或者在批发（展示）场所摆</w:t>
          </w:r>
          <w:r>
            <w:rPr>
              <w:rFonts w:ascii="微软雅黑" w:hAnsi="微软雅黑" w:eastAsia="微软雅黑" w:cs="微软雅黑"/>
              <w:spacing w:val="-3"/>
              <w:position w:val="5"/>
              <w:sz w:val="22"/>
              <w:szCs w:val="22"/>
            </w:rPr>
            <w:fldChar w:fldCharType="end"/>
          </w:r>
        </w:p>
        <w:p w14:paraId="5D081CD2">
          <w:pPr>
            <w:tabs>
              <w:tab w:val="right" w:leader="dot" w:pos="8820"/>
            </w:tabs>
            <w:spacing w:before="12" w:line="168" w:lineRule="auto"/>
            <w:ind w:left="3"/>
            <w:rPr>
              <w:rFonts w:ascii="宋体" w:hAnsi="宋体" w:eastAsia="宋体" w:cs="宋体"/>
              <w:sz w:val="22"/>
              <w:szCs w:val="22"/>
            </w:rPr>
          </w:pPr>
          <w:bookmarkStart w:id="299" w:name="bookmark399"/>
          <w:bookmarkEnd w:id="299"/>
          <w:r>
            <w:fldChar w:fldCharType="begin"/>
          </w:r>
          <w:r>
            <w:instrText xml:space="preserve"> HYPERLINK \l "bookmark399" </w:instrText>
          </w:r>
          <w:r>
            <w:fldChar w:fldCharType="separate"/>
          </w:r>
          <w:r>
            <w:rPr>
              <w:rFonts w:ascii="微软雅黑" w:hAnsi="微软雅黑" w:eastAsia="微软雅黑" w:cs="微软雅黑"/>
              <w:spacing w:val="-2"/>
              <w:sz w:val="22"/>
              <w:szCs w:val="22"/>
            </w:rPr>
            <w:t>放有药样品的</w:t>
          </w:r>
          <w:r>
            <w:rPr>
              <w:rFonts w:ascii="微软雅黑" w:hAnsi="微软雅黑" w:eastAsia="微软雅黑" w:cs="微软雅黑"/>
              <w:sz w:val="22"/>
              <w:szCs w:val="22"/>
            </w:rPr>
            <w:tab/>
          </w:r>
          <w:r>
            <w:rPr>
              <w:rFonts w:ascii="宋体" w:hAnsi="宋体" w:eastAsia="宋体" w:cs="宋体"/>
              <w:spacing w:val="-4"/>
              <w:sz w:val="22"/>
              <w:szCs w:val="22"/>
            </w:rPr>
            <w:t>206</w:t>
          </w:r>
          <w:r>
            <w:rPr>
              <w:rFonts w:ascii="宋体" w:hAnsi="宋体" w:eastAsia="宋体" w:cs="宋体"/>
              <w:spacing w:val="-4"/>
              <w:sz w:val="22"/>
              <w:szCs w:val="22"/>
            </w:rPr>
            <w:fldChar w:fldCharType="end"/>
          </w:r>
        </w:p>
        <w:p w14:paraId="3A2CA22A">
          <w:pPr>
            <w:spacing w:before="1" w:line="216" w:lineRule="auto"/>
            <w:ind w:left="13"/>
            <w:rPr>
              <w:rFonts w:ascii="宋体" w:hAnsi="宋体" w:eastAsia="宋体" w:cs="宋体"/>
              <w:sz w:val="22"/>
              <w:szCs w:val="22"/>
            </w:rPr>
          </w:pPr>
          <w:bookmarkStart w:id="300" w:name="bookmark401"/>
          <w:bookmarkEnd w:id="300"/>
          <w:r>
            <w:rPr>
              <w:rFonts w:ascii="仿宋" w:hAnsi="仿宋" w:eastAsia="仿宋" w:cs="仿宋"/>
              <w:spacing w:val="-1"/>
              <w:sz w:val="22"/>
              <w:szCs w:val="22"/>
            </w:rPr>
            <w:t>197</w:t>
          </w:r>
          <w:r>
            <w:rPr>
              <w:rFonts w:ascii="宋体" w:hAnsi="宋体" w:eastAsia="宋体" w:cs="宋体"/>
              <w:spacing w:val="-1"/>
              <w:sz w:val="22"/>
              <w:szCs w:val="22"/>
            </w:rPr>
            <w:t>．</w:t>
          </w:r>
          <w:r>
            <w:fldChar w:fldCharType="begin"/>
          </w:r>
          <w:r>
            <w:instrText xml:space="preserve"> HYPERLINK \l "bookmark402" </w:instrText>
          </w:r>
          <w:r>
            <w:fldChar w:fldCharType="separate"/>
          </w:r>
          <w:r>
            <w:rPr>
              <w:rFonts w:ascii="微软雅黑" w:hAnsi="微软雅黑" w:eastAsia="微软雅黑" w:cs="微软雅黑"/>
              <w:spacing w:val="-1"/>
              <w:sz w:val="22"/>
              <w:szCs w:val="22"/>
            </w:rPr>
            <w:t>烟花爆竹批发企业采购和销售质量不符合国家标准或者行业标准规定的烟花爆竹的</w:t>
          </w:r>
          <w:r>
            <w:rPr>
              <w:rFonts w:ascii="宋体" w:hAnsi="宋体" w:eastAsia="宋体" w:cs="宋体"/>
              <w:spacing w:val="-1"/>
              <w:sz w:val="22"/>
              <w:szCs w:val="22"/>
            </w:rPr>
            <w:t>2</w:t>
          </w:r>
          <w:r>
            <w:rPr>
              <w:rFonts w:ascii="宋体" w:hAnsi="宋体" w:eastAsia="宋体" w:cs="宋体"/>
              <w:spacing w:val="-2"/>
              <w:sz w:val="22"/>
              <w:szCs w:val="22"/>
            </w:rPr>
            <w:t>07</w:t>
          </w:r>
          <w:r>
            <w:rPr>
              <w:rFonts w:ascii="宋体" w:hAnsi="宋体" w:eastAsia="宋体" w:cs="宋体"/>
              <w:spacing w:val="-2"/>
              <w:sz w:val="22"/>
              <w:szCs w:val="22"/>
            </w:rPr>
            <w:fldChar w:fldCharType="end"/>
          </w:r>
        </w:p>
        <w:p w14:paraId="1F8263AA">
          <w:pPr>
            <w:tabs>
              <w:tab w:val="right" w:leader="dot" w:pos="8832"/>
            </w:tabs>
            <w:spacing w:line="216" w:lineRule="auto"/>
            <w:ind w:left="13"/>
            <w:rPr>
              <w:rFonts w:ascii="宋体" w:hAnsi="宋体" w:eastAsia="宋体" w:cs="宋体"/>
              <w:sz w:val="22"/>
              <w:szCs w:val="22"/>
            </w:rPr>
          </w:pPr>
          <w:bookmarkStart w:id="301" w:name="bookmark403"/>
          <w:bookmarkEnd w:id="301"/>
          <w:r>
            <w:rPr>
              <w:rFonts w:ascii="仿宋" w:hAnsi="仿宋" w:eastAsia="仿宋" w:cs="仿宋"/>
              <w:spacing w:val="-1"/>
              <w:sz w:val="22"/>
              <w:szCs w:val="22"/>
            </w:rPr>
            <w:t>198</w:t>
          </w:r>
          <w:r>
            <w:rPr>
              <w:rFonts w:ascii="宋体" w:hAnsi="宋体" w:eastAsia="宋体" w:cs="宋体"/>
              <w:spacing w:val="-1"/>
              <w:sz w:val="22"/>
              <w:szCs w:val="22"/>
            </w:rPr>
            <w:t>．</w:t>
          </w:r>
          <w:r>
            <w:fldChar w:fldCharType="begin"/>
          </w:r>
          <w:r>
            <w:instrText xml:space="preserve"> HYPERLINK \l "bookmark404" </w:instrText>
          </w:r>
          <w:r>
            <w:fldChar w:fldCharType="separate"/>
          </w:r>
          <w:r>
            <w:rPr>
              <w:rFonts w:ascii="微软雅黑" w:hAnsi="微软雅黑" w:eastAsia="微软雅黑" w:cs="微软雅黑"/>
              <w:spacing w:val="-1"/>
              <w:sz w:val="22"/>
              <w:szCs w:val="22"/>
            </w:rPr>
            <w:t>烟花爆竹批发企业在仓库内违反国家标准或者行业标准规定储存烟花爆竹的</w:t>
          </w:r>
          <w:r>
            <w:rPr>
              <w:rFonts w:ascii="微软雅黑" w:hAnsi="微软雅黑" w:eastAsia="微软雅黑" w:cs="微软雅黑"/>
              <w:sz w:val="22"/>
              <w:szCs w:val="22"/>
            </w:rPr>
            <w:tab/>
          </w:r>
          <w:r>
            <w:rPr>
              <w:rFonts w:ascii="宋体" w:hAnsi="宋体" w:eastAsia="宋体" w:cs="宋体"/>
              <w:spacing w:val="-4"/>
              <w:sz w:val="22"/>
              <w:szCs w:val="22"/>
            </w:rPr>
            <w:t>207</w:t>
          </w:r>
          <w:r>
            <w:rPr>
              <w:rFonts w:ascii="宋体" w:hAnsi="宋体" w:eastAsia="宋体" w:cs="宋体"/>
              <w:spacing w:val="-4"/>
              <w:sz w:val="22"/>
              <w:szCs w:val="22"/>
            </w:rPr>
            <w:fldChar w:fldCharType="end"/>
          </w:r>
        </w:p>
        <w:p w14:paraId="12669359">
          <w:pPr>
            <w:tabs>
              <w:tab w:val="right" w:leader="dot" w:pos="8830"/>
            </w:tabs>
            <w:spacing w:line="216" w:lineRule="auto"/>
            <w:ind w:left="13"/>
            <w:rPr>
              <w:rFonts w:ascii="宋体" w:hAnsi="宋体" w:eastAsia="宋体" w:cs="宋体"/>
              <w:sz w:val="22"/>
              <w:szCs w:val="22"/>
            </w:rPr>
          </w:pPr>
          <w:bookmarkStart w:id="302" w:name="bookmark405"/>
          <w:bookmarkEnd w:id="302"/>
          <w:r>
            <w:rPr>
              <w:rFonts w:ascii="仿宋" w:hAnsi="仿宋" w:eastAsia="仿宋" w:cs="仿宋"/>
              <w:spacing w:val="-1"/>
              <w:sz w:val="22"/>
              <w:szCs w:val="22"/>
            </w:rPr>
            <w:t>199</w:t>
          </w:r>
          <w:r>
            <w:rPr>
              <w:rFonts w:ascii="宋体" w:hAnsi="宋体" w:eastAsia="宋体" w:cs="宋体"/>
              <w:spacing w:val="-1"/>
              <w:sz w:val="22"/>
              <w:szCs w:val="22"/>
            </w:rPr>
            <w:t>．</w:t>
          </w:r>
          <w:r>
            <w:fldChar w:fldCharType="begin"/>
          </w:r>
          <w:r>
            <w:instrText xml:space="preserve"> HYPERLINK \l "bookmark406" </w:instrText>
          </w:r>
          <w:r>
            <w:fldChar w:fldCharType="separate"/>
          </w:r>
          <w:r>
            <w:rPr>
              <w:rFonts w:ascii="微软雅黑" w:hAnsi="微软雅黑" w:eastAsia="微软雅黑" w:cs="微软雅黑"/>
              <w:spacing w:val="-1"/>
              <w:sz w:val="22"/>
              <w:szCs w:val="22"/>
            </w:rPr>
            <w:t>烟花爆竹批发企业在烟花爆竹经营许可证载明的仓库以外储存烟花爆竹的</w:t>
          </w:r>
          <w:r>
            <w:rPr>
              <w:rFonts w:ascii="微软雅黑" w:hAnsi="微软雅黑" w:eastAsia="微软雅黑" w:cs="微软雅黑"/>
              <w:sz w:val="22"/>
              <w:szCs w:val="22"/>
            </w:rPr>
            <w:tab/>
          </w:r>
          <w:r>
            <w:rPr>
              <w:rFonts w:ascii="宋体" w:hAnsi="宋体" w:eastAsia="宋体" w:cs="宋体"/>
              <w:spacing w:val="-4"/>
              <w:sz w:val="22"/>
              <w:szCs w:val="22"/>
            </w:rPr>
            <w:t>208</w:t>
          </w:r>
          <w:r>
            <w:rPr>
              <w:rFonts w:ascii="宋体" w:hAnsi="宋体" w:eastAsia="宋体" w:cs="宋体"/>
              <w:spacing w:val="-4"/>
              <w:sz w:val="22"/>
              <w:szCs w:val="22"/>
            </w:rPr>
            <w:fldChar w:fldCharType="end"/>
          </w:r>
        </w:p>
        <w:p w14:paraId="4E3D1C0D">
          <w:pPr>
            <w:spacing w:line="410" w:lineRule="exact"/>
            <w:rPr>
              <w:rFonts w:ascii="微软雅黑" w:hAnsi="微软雅黑" w:eastAsia="微软雅黑" w:cs="微软雅黑"/>
              <w:sz w:val="22"/>
              <w:szCs w:val="22"/>
            </w:rPr>
          </w:pPr>
          <w:bookmarkStart w:id="303" w:name="bookmark407"/>
          <w:bookmarkEnd w:id="303"/>
          <w:r>
            <w:rPr>
              <w:rFonts w:ascii="仿宋" w:hAnsi="仿宋" w:eastAsia="仿宋" w:cs="仿宋"/>
              <w:spacing w:val="-2"/>
              <w:position w:val="5"/>
              <w:sz w:val="22"/>
              <w:szCs w:val="22"/>
            </w:rPr>
            <w:t>200</w:t>
          </w:r>
          <w:r>
            <w:rPr>
              <w:rFonts w:ascii="宋体" w:hAnsi="宋体" w:eastAsia="宋体" w:cs="宋体"/>
              <w:spacing w:val="-2"/>
              <w:position w:val="5"/>
              <w:sz w:val="22"/>
              <w:szCs w:val="22"/>
            </w:rPr>
            <w:t>．</w:t>
          </w:r>
          <w:r>
            <w:fldChar w:fldCharType="begin"/>
          </w:r>
          <w:r>
            <w:instrText xml:space="preserve"> HYPERLINK \l "bookmark408" </w:instrText>
          </w:r>
          <w:r>
            <w:fldChar w:fldCharType="separate"/>
          </w:r>
          <w:r>
            <w:rPr>
              <w:rFonts w:ascii="微软雅黑" w:hAnsi="微软雅黑" w:eastAsia="微软雅黑" w:cs="微软雅黑"/>
              <w:spacing w:val="-2"/>
              <w:position w:val="5"/>
              <w:sz w:val="22"/>
              <w:szCs w:val="22"/>
            </w:rPr>
            <w:t>烟花爆竹批发企业对假冒伪劣、过期、含有超量、违禁药物以及其他存在严重质量</w:t>
          </w:r>
          <w:r>
            <w:rPr>
              <w:rFonts w:ascii="微软雅黑" w:hAnsi="微软雅黑" w:eastAsia="微软雅黑" w:cs="微软雅黑"/>
              <w:spacing w:val="-3"/>
              <w:position w:val="5"/>
              <w:sz w:val="22"/>
              <w:szCs w:val="22"/>
            </w:rPr>
            <w:t>问题</w:t>
          </w:r>
          <w:r>
            <w:rPr>
              <w:rFonts w:ascii="微软雅黑" w:hAnsi="微软雅黑" w:eastAsia="微软雅黑" w:cs="微软雅黑"/>
              <w:spacing w:val="-3"/>
              <w:position w:val="5"/>
              <w:sz w:val="22"/>
              <w:szCs w:val="22"/>
            </w:rPr>
            <w:fldChar w:fldCharType="end"/>
          </w:r>
        </w:p>
        <w:p w14:paraId="43375545">
          <w:pPr>
            <w:tabs>
              <w:tab w:val="right" w:leader="dot" w:pos="8822"/>
            </w:tabs>
            <w:spacing w:before="8" w:line="167" w:lineRule="auto"/>
            <w:ind w:left="22"/>
            <w:rPr>
              <w:rFonts w:ascii="宋体" w:hAnsi="宋体" w:eastAsia="宋体" w:cs="宋体"/>
              <w:sz w:val="22"/>
              <w:szCs w:val="22"/>
            </w:rPr>
          </w:pPr>
          <w:bookmarkStart w:id="304" w:name="bookmark407"/>
          <w:bookmarkEnd w:id="304"/>
          <w:r>
            <w:fldChar w:fldCharType="begin"/>
          </w:r>
          <w:r>
            <w:instrText xml:space="preserve"> HYPERLINK \l "bookmark407" </w:instrText>
          </w:r>
          <w:r>
            <w:fldChar w:fldCharType="separate"/>
          </w:r>
          <w:r>
            <w:rPr>
              <w:rFonts w:ascii="微软雅黑" w:hAnsi="微软雅黑" w:eastAsia="微软雅黑" w:cs="微软雅黑"/>
              <w:spacing w:val="-3"/>
              <w:sz w:val="22"/>
              <w:szCs w:val="22"/>
            </w:rPr>
            <w:t>的烟花爆竹未及时销毁的</w:t>
          </w:r>
          <w:r>
            <w:rPr>
              <w:rFonts w:ascii="微软雅黑" w:hAnsi="微软雅黑" w:eastAsia="微软雅黑" w:cs="微软雅黑"/>
              <w:sz w:val="22"/>
              <w:szCs w:val="22"/>
            </w:rPr>
            <w:tab/>
          </w:r>
          <w:r>
            <w:rPr>
              <w:rFonts w:ascii="宋体" w:hAnsi="宋体" w:eastAsia="宋体" w:cs="宋体"/>
              <w:spacing w:val="-4"/>
              <w:sz w:val="22"/>
              <w:szCs w:val="22"/>
            </w:rPr>
            <w:t>208</w:t>
          </w:r>
          <w:r>
            <w:rPr>
              <w:rFonts w:ascii="宋体" w:hAnsi="宋体" w:eastAsia="宋体" w:cs="宋体"/>
              <w:spacing w:val="-4"/>
              <w:sz w:val="22"/>
              <w:szCs w:val="22"/>
            </w:rPr>
            <w:fldChar w:fldCharType="end"/>
          </w:r>
        </w:p>
        <w:p w14:paraId="30301BF8">
          <w:pPr>
            <w:spacing w:line="410" w:lineRule="exact"/>
            <w:rPr>
              <w:rFonts w:ascii="微软雅黑" w:hAnsi="微软雅黑" w:eastAsia="微软雅黑" w:cs="微软雅黑"/>
              <w:sz w:val="22"/>
              <w:szCs w:val="22"/>
            </w:rPr>
          </w:pPr>
          <w:bookmarkStart w:id="305" w:name="bookmark409"/>
          <w:bookmarkEnd w:id="305"/>
          <w:r>
            <w:rPr>
              <w:rFonts w:ascii="仿宋" w:hAnsi="仿宋" w:eastAsia="仿宋" w:cs="仿宋"/>
              <w:spacing w:val="-2"/>
              <w:position w:val="5"/>
              <w:sz w:val="22"/>
              <w:szCs w:val="22"/>
            </w:rPr>
            <w:t>201</w:t>
          </w:r>
          <w:r>
            <w:rPr>
              <w:rFonts w:ascii="宋体" w:hAnsi="宋体" w:eastAsia="宋体" w:cs="宋体"/>
              <w:spacing w:val="-2"/>
              <w:position w:val="5"/>
              <w:sz w:val="22"/>
              <w:szCs w:val="22"/>
            </w:rPr>
            <w:t>．</w:t>
          </w:r>
          <w:r>
            <w:fldChar w:fldCharType="begin"/>
          </w:r>
          <w:r>
            <w:instrText xml:space="preserve"> HYPERLINK \l "bookmark410" </w:instrText>
          </w:r>
          <w:r>
            <w:fldChar w:fldCharType="separate"/>
          </w:r>
          <w:r>
            <w:rPr>
              <w:rFonts w:ascii="微软雅黑" w:hAnsi="微软雅黑" w:eastAsia="微软雅黑" w:cs="微软雅黑"/>
              <w:spacing w:val="-2"/>
              <w:position w:val="5"/>
              <w:sz w:val="22"/>
              <w:szCs w:val="22"/>
            </w:rPr>
            <w:t>烟花爆竹批发企业未执行合同管理、流向登记制度或者未按照规定应用烟花爆竹流</w:t>
          </w:r>
          <w:r>
            <w:rPr>
              <w:rFonts w:ascii="微软雅黑" w:hAnsi="微软雅黑" w:eastAsia="微软雅黑" w:cs="微软雅黑"/>
              <w:spacing w:val="-3"/>
              <w:position w:val="5"/>
              <w:sz w:val="22"/>
              <w:szCs w:val="22"/>
            </w:rPr>
            <w:t>向管</w:t>
          </w:r>
          <w:r>
            <w:rPr>
              <w:rFonts w:ascii="微软雅黑" w:hAnsi="微软雅黑" w:eastAsia="微软雅黑" w:cs="微软雅黑"/>
              <w:spacing w:val="-3"/>
              <w:position w:val="5"/>
              <w:sz w:val="22"/>
              <w:szCs w:val="22"/>
            </w:rPr>
            <w:fldChar w:fldCharType="end"/>
          </w:r>
        </w:p>
        <w:p w14:paraId="1F9E16B4">
          <w:pPr>
            <w:tabs>
              <w:tab w:val="right" w:leader="dot" w:pos="8820"/>
            </w:tabs>
            <w:spacing w:before="7" w:line="167" w:lineRule="auto"/>
            <w:rPr>
              <w:rFonts w:ascii="宋体" w:hAnsi="宋体" w:eastAsia="宋体" w:cs="宋体"/>
              <w:sz w:val="22"/>
              <w:szCs w:val="22"/>
            </w:rPr>
          </w:pPr>
          <w:bookmarkStart w:id="306" w:name="bookmark409"/>
          <w:bookmarkEnd w:id="306"/>
          <w:r>
            <w:fldChar w:fldCharType="begin"/>
          </w:r>
          <w:r>
            <w:instrText xml:space="preserve"> HYPERLINK \l "bookmark409" </w:instrText>
          </w:r>
          <w:r>
            <w:fldChar w:fldCharType="separate"/>
          </w:r>
          <w:r>
            <w:rPr>
              <w:rFonts w:ascii="微软雅黑" w:hAnsi="微软雅黑" w:eastAsia="微软雅黑" w:cs="微软雅黑"/>
              <w:spacing w:val="-1"/>
              <w:sz w:val="22"/>
              <w:szCs w:val="22"/>
            </w:rPr>
            <w:t>理信息系统的</w:t>
          </w:r>
          <w:r>
            <w:rPr>
              <w:rFonts w:ascii="微软雅黑" w:hAnsi="微软雅黑" w:eastAsia="微软雅黑" w:cs="微软雅黑"/>
              <w:sz w:val="22"/>
              <w:szCs w:val="22"/>
            </w:rPr>
            <w:tab/>
          </w:r>
          <w:r>
            <w:rPr>
              <w:rFonts w:ascii="宋体" w:hAnsi="宋体" w:eastAsia="宋体" w:cs="宋体"/>
              <w:spacing w:val="-4"/>
              <w:sz w:val="22"/>
              <w:szCs w:val="22"/>
            </w:rPr>
            <w:t>209</w:t>
          </w:r>
          <w:r>
            <w:rPr>
              <w:rFonts w:ascii="宋体" w:hAnsi="宋体" w:eastAsia="宋体" w:cs="宋体"/>
              <w:spacing w:val="-4"/>
              <w:sz w:val="22"/>
              <w:szCs w:val="22"/>
            </w:rPr>
            <w:fldChar w:fldCharType="end"/>
          </w:r>
        </w:p>
        <w:p w14:paraId="1B5E6B20">
          <w:pPr>
            <w:tabs>
              <w:tab w:val="right" w:leader="dot" w:pos="8830"/>
            </w:tabs>
            <w:spacing w:line="216" w:lineRule="auto"/>
            <w:rPr>
              <w:rFonts w:ascii="宋体" w:hAnsi="宋体" w:eastAsia="宋体" w:cs="宋体"/>
              <w:sz w:val="22"/>
              <w:szCs w:val="22"/>
            </w:rPr>
          </w:pPr>
          <w:bookmarkStart w:id="307" w:name="bookmark411"/>
          <w:bookmarkEnd w:id="307"/>
          <w:r>
            <w:rPr>
              <w:rFonts w:ascii="仿宋" w:hAnsi="仿宋" w:eastAsia="仿宋" w:cs="仿宋"/>
              <w:sz w:val="22"/>
              <w:szCs w:val="22"/>
            </w:rPr>
            <w:t>202</w:t>
          </w:r>
          <w:r>
            <w:rPr>
              <w:rFonts w:ascii="宋体" w:hAnsi="宋体" w:eastAsia="宋体" w:cs="宋体"/>
              <w:sz w:val="22"/>
              <w:szCs w:val="22"/>
            </w:rPr>
            <w:t>．</w:t>
          </w:r>
          <w:r>
            <w:fldChar w:fldCharType="begin"/>
          </w:r>
          <w:r>
            <w:instrText xml:space="preserve"> HYPERLINK \l "bookmark412" </w:instrText>
          </w:r>
          <w:r>
            <w:fldChar w:fldCharType="separate"/>
          </w:r>
          <w:r>
            <w:rPr>
              <w:rFonts w:ascii="微软雅黑" w:hAnsi="微软雅黑" w:eastAsia="微软雅黑" w:cs="微软雅黑"/>
              <w:sz w:val="22"/>
              <w:szCs w:val="22"/>
            </w:rPr>
            <w:t>烟花爆竹批发企业未将黑火药、引火线的采购、销</w:t>
          </w:r>
          <w:r>
            <w:rPr>
              <w:rFonts w:ascii="微软雅黑" w:hAnsi="微软雅黑" w:eastAsia="微软雅黑" w:cs="微软雅黑"/>
              <w:spacing w:val="-1"/>
              <w:sz w:val="22"/>
              <w:szCs w:val="22"/>
            </w:rPr>
            <w:t>售记录备案的</w:t>
          </w:r>
          <w:r>
            <w:rPr>
              <w:rFonts w:ascii="微软雅黑" w:hAnsi="微软雅黑" w:eastAsia="微软雅黑" w:cs="微软雅黑"/>
              <w:sz w:val="22"/>
              <w:szCs w:val="22"/>
            </w:rPr>
            <w:tab/>
          </w:r>
          <w:r>
            <w:rPr>
              <w:rFonts w:ascii="宋体" w:hAnsi="宋体" w:eastAsia="宋体" w:cs="宋体"/>
              <w:spacing w:val="-4"/>
              <w:sz w:val="22"/>
              <w:szCs w:val="22"/>
            </w:rPr>
            <w:t>209</w:t>
          </w:r>
          <w:r>
            <w:rPr>
              <w:rFonts w:ascii="宋体" w:hAnsi="宋体" w:eastAsia="宋体" w:cs="宋体"/>
              <w:spacing w:val="-4"/>
              <w:sz w:val="22"/>
              <w:szCs w:val="22"/>
            </w:rPr>
            <w:fldChar w:fldCharType="end"/>
          </w:r>
        </w:p>
        <w:p w14:paraId="09C7C038">
          <w:pPr>
            <w:tabs>
              <w:tab w:val="right" w:leader="dot" w:pos="8832"/>
            </w:tabs>
            <w:spacing w:before="1" w:line="216" w:lineRule="auto"/>
            <w:rPr>
              <w:rFonts w:ascii="宋体" w:hAnsi="宋体" w:eastAsia="宋体" w:cs="宋体"/>
              <w:sz w:val="22"/>
              <w:szCs w:val="22"/>
            </w:rPr>
          </w:pPr>
          <w:bookmarkStart w:id="308" w:name="bookmark413"/>
          <w:bookmarkEnd w:id="308"/>
          <w:r>
            <w:rPr>
              <w:rFonts w:ascii="仿宋" w:hAnsi="仿宋" w:eastAsia="仿宋" w:cs="仿宋"/>
              <w:sz w:val="22"/>
              <w:szCs w:val="22"/>
            </w:rPr>
            <w:t>203</w:t>
          </w:r>
          <w:r>
            <w:rPr>
              <w:rFonts w:ascii="宋体" w:hAnsi="宋体" w:eastAsia="宋体" w:cs="宋体"/>
              <w:sz w:val="22"/>
              <w:szCs w:val="22"/>
            </w:rPr>
            <w:t>．</w:t>
          </w:r>
          <w:r>
            <w:fldChar w:fldCharType="begin"/>
          </w:r>
          <w:r>
            <w:instrText xml:space="preserve"> HYPERLINK \l "bookmark414" </w:instrText>
          </w:r>
          <w:r>
            <w:fldChar w:fldCharType="separate"/>
          </w:r>
          <w:r>
            <w:rPr>
              <w:rFonts w:ascii="微软雅黑" w:hAnsi="微软雅黑" w:eastAsia="微软雅黑" w:cs="微软雅黑"/>
              <w:sz w:val="22"/>
              <w:szCs w:val="22"/>
            </w:rPr>
            <w:t>烟花爆竹批发企业仓储设施新建、改建、扩建后，未重新申请办</w:t>
          </w:r>
          <w:r>
            <w:rPr>
              <w:rFonts w:ascii="微软雅黑" w:hAnsi="微软雅黑" w:eastAsia="微软雅黑" w:cs="微软雅黑"/>
              <w:spacing w:val="-1"/>
              <w:sz w:val="22"/>
              <w:szCs w:val="22"/>
            </w:rPr>
            <w:t>理许可手续的</w:t>
          </w:r>
          <w:r>
            <w:rPr>
              <w:rFonts w:ascii="微软雅黑" w:hAnsi="微软雅黑" w:eastAsia="微软雅黑" w:cs="微软雅黑"/>
              <w:sz w:val="22"/>
              <w:szCs w:val="22"/>
            </w:rPr>
            <w:tab/>
          </w:r>
          <w:r>
            <w:rPr>
              <w:rFonts w:ascii="宋体" w:hAnsi="宋体" w:eastAsia="宋体" w:cs="宋体"/>
              <w:spacing w:val="-4"/>
              <w:sz w:val="22"/>
              <w:szCs w:val="22"/>
            </w:rPr>
            <w:t>210</w:t>
          </w:r>
          <w:r>
            <w:rPr>
              <w:rFonts w:ascii="宋体" w:hAnsi="宋体" w:eastAsia="宋体" w:cs="宋体"/>
              <w:spacing w:val="-4"/>
              <w:sz w:val="22"/>
              <w:szCs w:val="22"/>
            </w:rPr>
            <w:fldChar w:fldCharType="end"/>
          </w:r>
        </w:p>
        <w:p w14:paraId="5EEBC0DF">
          <w:pPr>
            <w:spacing w:line="410" w:lineRule="exact"/>
            <w:rPr>
              <w:rFonts w:ascii="微软雅黑" w:hAnsi="微软雅黑" w:eastAsia="微软雅黑" w:cs="微软雅黑"/>
              <w:sz w:val="22"/>
              <w:szCs w:val="22"/>
            </w:rPr>
          </w:pPr>
          <w:bookmarkStart w:id="309" w:name="bookmark415"/>
          <w:bookmarkEnd w:id="309"/>
          <w:r>
            <w:rPr>
              <w:rFonts w:ascii="仿宋" w:hAnsi="仿宋" w:eastAsia="仿宋" w:cs="仿宋"/>
              <w:spacing w:val="-2"/>
              <w:position w:val="5"/>
              <w:sz w:val="22"/>
              <w:szCs w:val="22"/>
            </w:rPr>
            <w:t>204</w:t>
          </w:r>
          <w:r>
            <w:rPr>
              <w:rFonts w:ascii="宋体" w:hAnsi="宋体" w:eastAsia="宋体" w:cs="宋体"/>
              <w:spacing w:val="-2"/>
              <w:position w:val="5"/>
              <w:sz w:val="22"/>
              <w:szCs w:val="22"/>
            </w:rPr>
            <w:t>．</w:t>
          </w:r>
          <w:r>
            <w:fldChar w:fldCharType="begin"/>
          </w:r>
          <w:r>
            <w:instrText xml:space="preserve"> HYPERLINK \l "bookmark416" </w:instrText>
          </w:r>
          <w:r>
            <w:fldChar w:fldCharType="separate"/>
          </w:r>
          <w:r>
            <w:rPr>
              <w:rFonts w:ascii="微软雅黑" w:hAnsi="微软雅黑" w:eastAsia="微软雅黑" w:cs="微软雅黑"/>
              <w:spacing w:val="-2"/>
              <w:position w:val="5"/>
              <w:sz w:val="22"/>
              <w:szCs w:val="22"/>
            </w:rPr>
            <w:t>烟花爆竹批发企业变更企业名称、主要负责人、注册地址，未申请办理许可证变更手续</w:t>
          </w:r>
          <w:r>
            <w:rPr>
              <w:rFonts w:ascii="微软雅黑" w:hAnsi="微软雅黑" w:eastAsia="微软雅黑" w:cs="微软雅黑"/>
              <w:spacing w:val="-2"/>
              <w:position w:val="5"/>
              <w:sz w:val="22"/>
              <w:szCs w:val="22"/>
            </w:rPr>
            <w:fldChar w:fldCharType="end"/>
          </w:r>
        </w:p>
        <w:p w14:paraId="32437AB4">
          <w:pPr>
            <w:tabs>
              <w:tab w:val="right" w:leader="dot" w:pos="8819"/>
            </w:tabs>
            <w:spacing w:before="7" w:line="167" w:lineRule="auto"/>
            <w:ind w:left="22"/>
            <w:rPr>
              <w:rFonts w:ascii="宋体" w:hAnsi="宋体" w:eastAsia="宋体" w:cs="宋体"/>
              <w:sz w:val="22"/>
              <w:szCs w:val="22"/>
            </w:rPr>
          </w:pPr>
          <w:bookmarkStart w:id="310" w:name="bookmark415"/>
          <w:bookmarkEnd w:id="310"/>
          <w:r>
            <w:fldChar w:fldCharType="begin"/>
          </w:r>
          <w:r>
            <w:instrText xml:space="preserve"> HYPERLINK \l "bookmark415" </w:instrText>
          </w:r>
          <w:r>
            <w:fldChar w:fldCharType="separate"/>
          </w:r>
          <w:r>
            <w:rPr>
              <w:rFonts w:ascii="微软雅黑" w:hAnsi="微软雅黑" w:eastAsia="微软雅黑" w:cs="微软雅黑"/>
              <w:spacing w:val="-21"/>
              <w:w w:val="94"/>
              <w:sz w:val="22"/>
              <w:szCs w:val="22"/>
            </w:rPr>
            <w:t>的</w:t>
          </w:r>
          <w:r>
            <w:rPr>
              <w:rFonts w:ascii="微软雅黑" w:hAnsi="微软雅黑" w:eastAsia="微软雅黑" w:cs="微软雅黑"/>
              <w:sz w:val="22"/>
              <w:szCs w:val="22"/>
            </w:rPr>
            <w:tab/>
          </w:r>
          <w:r>
            <w:rPr>
              <w:rFonts w:ascii="宋体" w:hAnsi="宋体" w:eastAsia="宋体" w:cs="宋体"/>
              <w:spacing w:val="-4"/>
              <w:sz w:val="22"/>
              <w:szCs w:val="22"/>
            </w:rPr>
            <w:t>210</w:t>
          </w:r>
          <w:r>
            <w:rPr>
              <w:rFonts w:ascii="宋体" w:hAnsi="宋体" w:eastAsia="宋体" w:cs="宋体"/>
              <w:spacing w:val="-4"/>
              <w:sz w:val="22"/>
              <w:szCs w:val="22"/>
            </w:rPr>
            <w:fldChar w:fldCharType="end"/>
          </w:r>
        </w:p>
        <w:p w14:paraId="1DF6568D">
          <w:pPr>
            <w:tabs>
              <w:tab w:val="right" w:leader="dot" w:pos="8830"/>
            </w:tabs>
            <w:spacing w:line="216" w:lineRule="auto"/>
            <w:rPr>
              <w:rFonts w:ascii="宋体" w:hAnsi="宋体" w:eastAsia="宋体" w:cs="宋体"/>
              <w:sz w:val="22"/>
              <w:szCs w:val="22"/>
            </w:rPr>
          </w:pPr>
          <w:bookmarkStart w:id="311" w:name="bookmark417"/>
          <w:bookmarkEnd w:id="311"/>
          <w:r>
            <w:rPr>
              <w:rFonts w:ascii="仿宋" w:hAnsi="仿宋" w:eastAsia="仿宋" w:cs="仿宋"/>
              <w:sz w:val="22"/>
              <w:szCs w:val="22"/>
            </w:rPr>
            <w:t>205</w:t>
          </w:r>
          <w:r>
            <w:rPr>
              <w:rFonts w:ascii="宋体" w:hAnsi="宋体" w:eastAsia="宋体" w:cs="宋体"/>
              <w:sz w:val="22"/>
              <w:szCs w:val="22"/>
            </w:rPr>
            <w:t>．</w:t>
          </w:r>
          <w:r>
            <w:fldChar w:fldCharType="begin"/>
          </w:r>
          <w:r>
            <w:instrText xml:space="preserve"> HYPERLINK \l "bookmark418" </w:instrText>
          </w:r>
          <w:r>
            <w:fldChar w:fldCharType="separate"/>
          </w:r>
          <w:r>
            <w:rPr>
              <w:rFonts w:ascii="微软雅黑" w:hAnsi="微软雅黑" w:eastAsia="微软雅黑" w:cs="微软雅黑"/>
              <w:sz w:val="22"/>
              <w:szCs w:val="22"/>
            </w:rPr>
            <w:t>烟花爆竹批发企业向未取得零售许可证的单位或者个人销</w:t>
          </w:r>
          <w:r>
            <w:rPr>
              <w:rFonts w:ascii="微软雅黑" w:hAnsi="微软雅黑" w:eastAsia="微软雅黑" w:cs="微软雅黑"/>
              <w:spacing w:val="-1"/>
              <w:sz w:val="22"/>
              <w:szCs w:val="22"/>
            </w:rPr>
            <w:t>售烟花爆竹的</w:t>
          </w:r>
          <w:r>
            <w:rPr>
              <w:rFonts w:ascii="微软雅黑" w:hAnsi="微软雅黑" w:eastAsia="微软雅黑" w:cs="微软雅黑"/>
              <w:sz w:val="22"/>
              <w:szCs w:val="22"/>
            </w:rPr>
            <w:tab/>
          </w:r>
          <w:r>
            <w:rPr>
              <w:rFonts w:ascii="宋体" w:hAnsi="宋体" w:eastAsia="宋体" w:cs="宋体"/>
              <w:spacing w:val="-4"/>
              <w:sz w:val="22"/>
              <w:szCs w:val="22"/>
            </w:rPr>
            <w:t>211</w:t>
          </w:r>
          <w:r>
            <w:rPr>
              <w:rFonts w:ascii="宋体" w:hAnsi="宋体" w:eastAsia="宋体" w:cs="宋体"/>
              <w:spacing w:val="-4"/>
              <w:sz w:val="22"/>
              <w:szCs w:val="22"/>
            </w:rPr>
            <w:fldChar w:fldCharType="end"/>
          </w:r>
        </w:p>
        <w:p w14:paraId="60E19EE6">
          <w:pPr>
            <w:spacing w:line="412" w:lineRule="exact"/>
            <w:rPr>
              <w:rFonts w:ascii="微软雅黑" w:hAnsi="微软雅黑" w:eastAsia="微软雅黑" w:cs="微软雅黑"/>
              <w:sz w:val="22"/>
              <w:szCs w:val="22"/>
            </w:rPr>
          </w:pPr>
          <w:bookmarkStart w:id="312" w:name="bookmark419"/>
          <w:bookmarkEnd w:id="312"/>
          <w:r>
            <w:rPr>
              <w:rFonts w:ascii="仿宋" w:hAnsi="仿宋" w:eastAsia="仿宋" w:cs="仿宋"/>
              <w:spacing w:val="-2"/>
              <w:position w:val="5"/>
              <w:sz w:val="22"/>
              <w:szCs w:val="22"/>
            </w:rPr>
            <w:t>206</w:t>
          </w:r>
          <w:r>
            <w:rPr>
              <w:rFonts w:ascii="宋体" w:hAnsi="宋体" w:eastAsia="宋体" w:cs="宋体"/>
              <w:spacing w:val="-2"/>
              <w:position w:val="5"/>
              <w:sz w:val="22"/>
              <w:szCs w:val="22"/>
            </w:rPr>
            <w:t>．</w:t>
          </w:r>
          <w:r>
            <w:fldChar w:fldCharType="begin"/>
          </w:r>
          <w:r>
            <w:instrText xml:space="preserve"> HYPERLINK \l "bookmark420" </w:instrText>
          </w:r>
          <w:r>
            <w:fldChar w:fldCharType="separate"/>
          </w:r>
          <w:r>
            <w:rPr>
              <w:rFonts w:ascii="微软雅黑" w:hAnsi="微软雅黑" w:eastAsia="微软雅黑" w:cs="微软雅黑"/>
              <w:spacing w:val="-2"/>
              <w:position w:val="5"/>
              <w:sz w:val="22"/>
              <w:szCs w:val="22"/>
            </w:rPr>
            <w:t>批发企业向未取得烟花爆竹安全生产许可证的单位或者个人销售烟火药、黑火药</w:t>
          </w:r>
          <w:r>
            <w:rPr>
              <w:rFonts w:ascii="微软雅黑" w:hAnsi="微软雅黑" w:eastAsia="微软雅黑" w:cs="微软雅黑"/>
              <w:spacing w:val="-3"/>
              <w:position w:val="5"/>
              <w:sz w:val="22"/>
              <w:szCs w:val="22"/>
            </w:rPr>
            <w:t>、引火</w:t>
          </w:r>
          <w:r>
            <w:rPr>
              <w:rFonts w:ascii="微软雅黑" w:hAnsi="微软雅黑" w:eastAsia="微软雅黑" w:cs="微软雅黑"/>
              <w:spacing w:val="-3"/>
              <w:position w:val="5"/>
              <w:sz w:val="22"/>
              <w:szCs w:val="22"/>
            </w:rPr>
            <w:fldChar w:fldCharType="end"/>
          </w:r>
        </w:p>
        <w:p w14:paraId="372AA014">
          <w:pPr>
            <w:tabs>
              <w:tab w:val="right" w:leader="dot" w:pos="8819"/>
            </w:tabs>
            <w:spacing w:before="5" w:line="167" w:lineRule="auto"/>
            <w:ind w:left="12"/>
            <w:rPr>
              <w:rFonts w:ascii="宋体" w:hAnsi="宋体" w:eastAsia="宋体" w:cs="宋体"/>
              <w:sz w:val="22"/>
              <w:szCs w:val="22"/>
            </w:rPr>
          </w:pPr>
          <w:bookmarkStart w:id="313" w:name="bookmark419"/>
          <w:bookmarkEnd w:id="313"/>
          <w:r>
            <w:fldChar w:fldCharType="begin"/>
          </w:r>
          <w:r>
            <w:instrText xml:space="preserve"> HYPERLINK \l "bookmark419" </w:instrText>
          </w:r>
          <w:r>
            <w:fldChar w:fldCharType="separate"/>
          </w:r>
          <w:r>
            <w:rPr>
              <w:rFonts w:ascii="微软雅黑" w:hAnsi="微软雅黑" w:eastAsia="微软雅黑" w:cs="微软雅黑"/>
              <w:spacing w:val="-12"/>
              <w:sz w:val="22"/>
              <w:szCs w:val="22"/>
            </w:rPr>
            <w:t>线的</w:t>
          </w:r>
          <w:r>
            <w:rPr>
              <w:rFonts w:ascii="微软雅黑" w:hAnsi="微软雅黑" w:eastAsia="微软雅黑" w:cs="微软雅黑"/>
              <w:sz w:val="22"/>
              <w:szCs w:val="22"/>
            </w:rPr>
            <w:tab/>
          </w:r>
          <w:r>
            <w:rPr>
              <w:rFonts w:ascii="宋体" w:hAnsi="宋体" w:eastAsia="宋体" w:cs="宋体"/>
              <w:spacing w:val="-4"/>
              <w:sz w:val="22"/>
              <w:szCs w:val="22"/>
            </w:rPr>
            <w:t>211</w:t>
          </w:r>
          <w:r>
            <w:rPr>
              <w:rFonts w:ascii="宋体" w:hAnsi="宋体" w:eastAsia="宋体" w:cs="宋体"/>
              <w:spacing w:val="-4"/>
              <w:sz w:val="22"/>
              <w:szCs w:val="22"/>
            </w:rPr>
            <w:fldChar w:fldCharType="end"/>
          </w:r>
        </w:p>
        <w:p w14:paraId="2D914387">
          <w:pPr>
            <w:spacing w:before="1" w:line="216" w:lineRule="auto"/>
            <w:rPr>
              <w:rFonts w:ascii="宋体" w:hAnsi="宋体" w:eastAsia="宋体" w:cs="宋体"/>
              <w:sz w:val="22"/>
              <w:szCs w:val="22"/>
            </w:rPr>
          </w:pPr>
          <w:bookmarkStart w:id="314" w:name="bookmark421"/>
          <w:bookmarkEnd w:id="314"/>
          <w:r>
            <w:rPr>
              <w:rFonts w:ascii="仿宋" w:hAnsi="仿宋" w:eastAsia="仿宋" w:cs="仿宋"/>
              <w:spacing w:val="-1"/>
              <w:sz w:val="22"/>
              <w:szCs w:val="22"/>
            </w:rPr>
            <w:t>207</w:t>
          </w:r>
          <w:r>
            <w:rPr>
              <w:rFonts w:ascii="宋体" w:hAnsi="宋体" w:eastAsia="宋体" w:cs="宋体"/>
              <w:spacing w:val="-1"/>
              <w:sz w:val="22"/>
              <w:szCs w:val="22"/>
            </w:rPr>
            <w:t>．</w:t>
          </w:r>
          <w:r>
            <w:fldChar w:fldCharType="begin"/>
          </w:r>
          <w:r>
            <w:instrText xml:space="preserve"> HYPERLINK \l "bookmark422" </w:instrText>
          </w:r>
          <w:r>
            <w:fldChar w:fldCharType="separate"/>
          </w:r>
          <w:r>
            <w:rPr>
              <w:rFonts w:ascii="微软雅黑" w:hAnsi="微软雅黑" w:eastAsia="微软雅黑" w:cs="微软雅黑"/>
              <w:spacing w:val="-1"/>
              <w:sz w:val="22"/>
              <w:szCs w:val="22"/>
            </w:rPr>
            <w:t>生产企业、批发企业未向零售经营者或者零售经营场所提供烟花爆竹配送服务的</w:t>
          </w:r>
          <w:r>
            <w:rPr>
              <w:rFonts w:ascii="宋体" w:hAnsi="宋体" w:eastAsia="宋体" w:cs="宋体"/>
              <w:spacing w:val="-1"/>
              <w:sz w:val="22"/>
              <w:szCs w:val="22"/>
            </w:rPr>
            <w:t>.212</w:t>
          </w:r>
          <w:r>
            <w:rPr>
              <w:rFonts w:ascii="宋体" w:hAnsi="宋体" w:eastAsia="宋体" w:cs="宋体"/>
              <w:spacing w:val="-1"/>
              <w:sz w:val="22"/>
              <w:szCs w:val="22"/>
            </w:rPr>
            <w:fldChar w:fldCharType="end"/>
          </w:r>
        </w:p>
        <w:p w14:paraId="11930951">
          <w:pPr>
            <w:spacing w:line="409" w:lineRule="exact"/>
            <w:rPr>
              <w:rFonts w:ascii="微软雅黑" w:hAnsi="微软雅黑" w:eastAsia="微软雅黑" w:cs="微软雅黑"/>
              <w:sz w:val="22"/>
              <w:szCs w:val="22"/>
            </w:rPr>
          </w:pPr>
          <w:bookmarkStart w:id="315" w:name="bookmark423"/>
          <w:bookmarkEnd w:id="315"/>
          <w:r>
            <w:rPr>
              <w:rFonts w:ascii="仿宋" w:hAnsi="仿宋" w:eastAsia="仿宋" w:cs="仿宋"/>
              <w:spacing w:val="-2"/>
              <w:position w:val="5"/>
              <w:sz w:val="22"/>
              <w:szCs w:val="22"/>
            </w:rPr>
            <w:t>208</w:t>
          </w:r>
          <w:r>
            <w:rPr>
              <w:rFonts w:ascii="宋体" w:hAnsi="宋体" w:eastAsia="宋体" w:cs="宋体"/>
              <w:spacing w:val="-2"/>
              <w:position w:val="5"/>
              <w:sz w:val="22"/>
              <w:szCs w:val="22"/>
            </w:rPr>
            <w:t>．</w:t>
          </w:r>
          <w:r>
            <w:fldChar w:fldCharType="begin"/>
          </w:r>
          <w:r>
            <w:instrText xml:space="preserve"> HYPERLINK \l "bookmark424" </w:instrText>
          </w:r>
          <w:r>
            <w:fldChar w:fldCharType="separate"/>
          </w:r>
          <w:r>
            <w:rPr>
              <w:rFonts w:ascii="微软雅黑" w:hAnsi="微软雅黑" w:eastAsia="微软雅黑" w:cs="微软雅黑"/>
              <w:spacing w:val="-2"/>
              <w:position w:val="5"/>
              <w:sz w:val="22"/>
              <w:szCs w:val="22"/>
            </w:rPr>
            <w:t>存在粉尘涉爆危险的工贸企业新建、改建、扩建工程项目安全设施没有进行粉尘防爆安</w:t>
          </w:r>
          <w:r>
            <w:rPr>
              <w:rFonts w:ascii="微软雅黑" w:hAnsi="微软雅黑" w:eastAsia="微软雅黑" w:cs="微软雅黑"/>
              <w:spacing w:val="-2"/>
              <w:position w:val="5"/>
              <w:sz w:val="22"/>
              <w:szCs w:val="22"/>
            </w:rPr>
            <w:fldChar w:fldCharType="end"/>
          </w:r>
        </w:p>
        <w:p w14:paraId="50899FD1">
          <w:pPr>
            <w:tabs>
              <w:tab w:val="right" w:leader="dot" w:pos="8824"/>
            </w:tabs>
            <w:spacing w:before="8" w:line="167" w:lineRule="auto"/>
            <w:ind w:left="1"/>
            <w:rPr>
              <w:rFonts w:ascii="宋体" w:hAnsi="宋体" w:eastAsia="宋体" w:cs="宋体"/>
              <w:sz w:val="22"/>
              <w:szCs w:val="22"/>
            </w:rPr>
          </w:pPr>
          <w:bookmarkStart w:id="316" w:name="bookmark423"/>
          <w:bookmarkEnd w:id="316"/>
          <w:r>
            <w:fldChar w:fldCharType="begin"/>
          </w:r>
          <w:r>
            <w:instrText xml:space="preserve"> HYPERLINK \l "bookmark423" </w:instrText>
          </w:r>
          <w:r>
            <w:fldChar w:fldCharType="separate"/>
          </w:r>
          <w:r>
            <w:rPr>
              <w:rFonts w:ascii="微软雅黑" w:hAnsi="微软雅黑" w:eastAsia="微软雅黑" w:cs="微软雅黑"/>
              <w:spacing w:val="-1"/>
              <w:sz w:val="22"/>
              <w:szCs w:val="22"/>
            </w:rPr>
            <w:t>全设计，或者未按照设计进行施工的</w:t>
          </w:r>
          <w:r>
            <w:rPr>
              <w:rFonts w:ascii="微软雅黑" w:hAnsi="微软雅黑" w:eastAsia="微软雅黑" w:cs="微软雅黑"/>
              <w:sz w:val="22"/>
              <w:szCs w:val="22"/>
            </w:rPr>
            <w:tab/>
          </w:r>
          <w:r>
            <w:rPr>
              <w:rFonts w:ascii="宋体" w:hAnsi="宋体" w:eastAsia="宋体" w:cs="宋体"/>
              <w:spacing w:val="-4"/>
              <w:sz w:val="22"/>
              <w:szCs w:val="22"/>
            </w:rPr>
            <w:t>212</w:t>
          </w:r>
          <w:r>
            <w:rPr>
              <w:rFonts w:ascii="宋体" w:hAnsi="宋体" w:eastAsia="宋体" w:cs="宋体"/>
              <w:spacing w:val="-4"/>
              <w:sz w:val="22"/>
              <w:szCs w:val="22"/>
            </w:rPr>
            <w:fldChar w:fldCharType="end"/>
          </w:r>
        </w:p>
        <w:p w14:paraId="2C56B108">
          <w:pPr>
            <w:spacing w:line="411" w:lineRule="exact"/>
            <w:rPr>
              <w:rFonts w:ascii="微软雅黑" w:hAnsi="微软雅黑" w:eastAsia="微软雅黑" w:cs="微软雅黑"/>
              <w:sz w:val="22"/>
              <w:szCs w:val="22"/>
            </w:rPr>
          </w:pPr>
          <w:bookmarkStart w:id="317" w:name="bookmark425"/>
          <w:bookmarkEnd w:id="317"/>
          <w:r>
            <w:rPr>
              <w:rFonts w:ascii="仿宋" w:hAnsi="仿宋" w:eastAsia="仿宋" w:cs="仿宋"/>
              <w:spacing w:val="3"/>
              <w:position w:val="5"/>
              <w:sz w:val="22"/>
              <w:szCs w:val="22"/>
            </w:rPr>
            <w:t>209</w:t>
          </w:r>
          <w:r>
            <w:rPr>
              <w:rFonts w:ascii="宋体" w:hAnsi="宋体" w:eastAsia="宋体" w:cs="宋体"/>
              <w:spacing w:val="3"/>
              <w:position w:val="5"/>
              <w:sz w:val="22"/>
              <w:szCs w:val="22"/>
            </w:rPr>
            <w:t>．</w:t>
          </w:r>
          <w:r>
            <w:fldChar w:fldCharType="begin"/>
          </w:r>
          <w:r>
            <w:instrText xml:space="preserve"> HYPERLINK \l "bookmark426" </w:instrText>
          </w:r>
          <w:r>
            <w:fldChar w:fldCharType="separate"/>
          </w:r>
          <w:r>
            <w:rPr>
              <w:rFonts w:ascii="微软雅黑" w:hAnsi="微软雅黑" w:eastAsia="微软雅黑" w:cs="微软雅黑"/>
              <w:spacing w:val="3"/>
              <w:position w:val="5"/>
              <w:sz w:val="22"/>
              <w:szCs w:val="22"/>
            </w:rPr>
            <w:t>存在粉尘涉爆危险的工贸企业未按照规定建立粉尘防爆安全管理制度或者内容不符合</w:t>
          </w:r>
          <w:r>
            <w:rPr>
              <w:rFonts w:ascii="微软雅黑" w:hAnsi="微软雅黑" w:eastAsia="微软雅黑" w:cs="微软雅黑"/>
              <w:spacing w:val="3"/>
              <w:position w:val="5"/>
              <w:sz w:val="22"/>
              <w:szCs w:val="22"/>
            </w:rPr>
            <w:fldChar w:fldCharType="end"/>
          </w:r>
        </w:p>
        <w:p w14:paraId="32486E23">
          <w:pPr>
            <w:tabs>
              <w:tab w:val="right" w:leader="dot" w:pos="8820"/>
            </w:tabs>
            <w:spacing w:before="6" w:line="167" w:lineRule="auto"/>
            <w:ind w:left="4"/>
            <w:rPr>
              <w:rFonts w:ascii="宋体" w:hAnsi="宋体" w:eastAsia="宋体" w:cs="宋体"/>
              <w:sz w:val="22"/>
              <w:szCs w:val="22"/>
            </w:rPr>
          </w:pPr>
          <w:bookmarkStart w:id="318" w:name="bookmark425"/>
          <w:bookmarkEnd w:id="318"/>
          <w:r>
            <w:fldChar w:fldCharType="begin"/>
          </w:r>
          <w:r>
            <w:instrText xml:space="preserve"> HYPERLINK \l "bookmark425" </w:instrText>
          </w:r>
          <w:r>
            <w:fldChar w:fldCharType="separate"/>
          </w:r>
          <w:r>
            <w:rPr>
              <w:rFonts w:ascii="微软雅黑" w:hAnsi="微软雅黑" w:eastAsia="微软雅黑" w:cs="微软雅黑"/>
              <w:spacing w:val="-2"/>
              <w:sz w:val="22"/>
              <w:szCs w:val="22"/>
            </w:rPr>
            <w:t>企业实际的</w:t>
          </w:r>
          <w:r>
            <w:rPr>
              <w:rFonts w:ascii="微软雅黑" w:hAnsi="微软雅黑" w:eastAsia="微软雅黑" w:cs="微软雅黑"/>
              <w:sz w:val="22"/>
              <w:szCs w:val="22"/>
            </w:rPr>
            <w:tab/>
          </w:r>
          <w:r>
            <w:rPr>
              <w:rFonts w:ascii="宋体" w:hAnsi="宋体" w:eastAsia="宋体" w:cs="宋体"/>
              <w:spacing w:val="-4"/>
              <w:sz w:val="22"/>
              <w:szCs w:val="22"/>
            </w:rPr>
            <w:t>213</w:t>
          </w:r>
          <w:r>
            <w:rPr>
              <w:rFonts w:ascii="宋体" w:hAnsi="宋体" w:eastAsia="宋体" w:cs="宋体"/>
              <w:spacing w:val="-4"/>
              <w:sz w:val="22"/>
              <w:szCs w:val="22"/>
            </w:rPr>
            <w:fldChar w:fldCharType="end"/>
          </w:r>
        </w:p>
        <w:p w14:paraId="3FE67559">
          <w:pPr>
            <w:spacing w:line="411" w:lineRule="exact"/>
            <w:rPr>
              <w:rFonts w:ascii="微软雅黑" w:hAnsi="微软雅黑" w:eastAsia="微软雅黑" w:cs="微软雅黑"/>
              <w:sz w:val="22"/>
              <w:szCs w:val="22"/>
            </w:rPr>
          </w:pPr>
          <w:bookmarkStart w:id="319" w:name="bookmark427"/>
          <w:bookmarkEnd w:id="319"/>
          <w:r>
            <w:rPr>
              <w:rFonts w:ascii="仿宋" w:hAnsi="仿宋" w:eastAsia="仿宋" w:cs="仿宋"/>
              <w:spacing w:val="-2"/>
              <w:position w:val="5"/>
              <w:sz w:val="22"/>
              <w:szCs w:val="22"/>
            </w:rPr>
            <w:t>210</w:t>
          </w:r>
          <w:r>
            <w:rPr>
              <w:rFonts w:ascii="宋体" w:hAnsi="宋体" w:eastAsia="宋体" w:cs="宋体"/>
              <w:spacing w:val="-2"/>
              <w:position w:val="5"/>
              <w:sz w:val="22"/>
              <w:szCs w:val="22"/>
            </w:rPr>
            <w:t>．</w:t>
          </w:r>
          <w:r>
            <w:fldChar w:fldCharType="begin"/>
          </w:r>
          <w:r>
            <w:instrText xml:space="preserve"> HYPERLINK \l "bookmark428" </w:instrText>
          </w:r>
          <w:r>
            <w:fldChar w:fldCharType="separate"/>
          </w:r>
          <w:r>
            <w:rPr>
              <w:rFonts w:ascii="微软雅黑" w:hAnsi="微软雅黑" w:eastAsia="微软雅黑" w:cs="微软雅黑"/>
              <w:spacing w:val="-2"/>
              <w:position w:val="5"/>
              <w:sz w:val="22"/>
              <w:szCs w:val="22"/>
            </w:rPr>
            <w:t>存在粉尘涉爆危险的工贸企业未按照规定辨识评估管控粉尘爆炸安全风险，未建</w:t>
          </w:r>
          <w:r>
            <w:rPr>
              <w:rFonts w:ascii="微软雅黑" w:hAnsi="微软雅黑" w:eastAsia="微软雅黑" w:cs="微软雅黑"/>
              <w:spacing w:val="-3"/>
              <w:position w:val="5"/>
              <w:sz w:val="22"/>
              <w:szCs w:val="22"/>
            </w:rPr>
            <w:t>立安全</w:t>
          </w:r>
          <w:r>
            <w:rPr>
              <w:rFonts w:ascii="微软雅黑" w:hAnsi="微软雅黑" w:eastAsia="微软雅黑" w:cs="微软雅黑"/>
              <w:spacing w:val="-3"/>
              <w:position w:val="5"/>
              <w:sz w:val="22"/>
              <w:szCs w:val="22"/>
            </w:rPr>
            <w:fldChar w:fldCharType="end"/>
          </w:r>
        </w:p>
        <w:p w14:paraId="6D355E56">
          <w:pPr>
            <w:tabs>
              <w:tab w:val="right" w:leader="dot" w:pos="8825"/>
            </w:tabs>
            <w:spacing w:before="5" w:line="168" w:lineRule="auto"/>
            <w:ind w:left="2"/>
            <w:rPr>
              <w:rFonts w:ascii="宋体" w:hAnsi="宋体" w:eastAsia="宋体" w:cs="宋体"/>
              <w:sz w:val="22"/>
              <w:szCs w:val="22"/>
            </w:rPr>
          </w:pPr>
          <w:bookmarkStart w:id="320" w:name="bookmark427"/>
          <w:bookmarkEnd w:id="320"/>
          <w:r>
            <w:fldChar w:fldCharType="begin"/>
          </w:r>
          <w:r>
            <w:instrText xml:space="preserve"> HYPERLINK \l "bookmark427" </w:instrText>
          </w:r>
          <w:r>
            <w:fldChar w:fldCharType="separate"/>
          </w:r>
          <w:r>
            <w:rPr>
              <w:rFonts w:ascii="微软雅黑" w:hAnsi="微软雅黑" w:eastAsia="微软雅黑" w:cs="微软雅黑"/>
              <w:spacing w:val="-1"/>
              <w:sz w:val="22"/>
              <w:szCs w:val="22"/>
            </w:rPr>
            <w:t>风险清单或者未及时维护相关信息档案的</w:t>
          </w:r>
          <w:r>
            <w:rPr>
              <w:rFonts w:ascii="微软雅黑" w:hAnsi="微软雅黑" w:eastAsia="微软雅黑" w:cs="微软雅黑"/>
              <w:sz w:val="22"/>
              <w:szCs w:val="22"/>
            </w:rPr>
            <w:tab/>
          </w:r>
          <w:r>
            <w:rPr>
              <w:rFonts w:ascii="宋体" w:hAnsi="宋体" w:eastAsia="宋体" w:cs="宋体"/>
              <w:spacing w:val="-4"/>
              <w:sz w:val="22"/>
              <w:szCs w:val="22"/>
            </w:rPr>
            <w:t>213</w:t>
          </w:r>
          <w:r>
            <w:rPr>
              <w:rFonts w:ascii="宋体" w:hAnsi="宋体" w:eastAsia="宋体" w:cs="宋体"/>
              <w:spacing w:val="-4"/>
              <w:sz w:val="22"/>
              <w:szCs w:val="22"/>
            </w:rPr>
            <w:fldChar w:fldCharType="end"/>
          </w:r>
        </w:p>
        <w:p w14:paraId="7A00C7C6">
          <w:pPr>
            <w:tabs>
              <w:tab w:val="right" w:leader="dot" w:pos="8830"/>
            </w:tabs>
            <w:spacing w:line="216" w:lineRule="auto"/>
            <w:rPr>
              <w:rFonts w:ascii="宋体" w:hAnsi="宋体" w:eastAsia="宋体" w:cs="宋体"/>
              <w:sz w:val="22"/>
              <w:szCs w:val="22"/>
            </w:rPr>
          </w:pPr>
          <w:bookmarkStart w:id="321" w:name="bookmark429"/>
          <w:bookmarkEnd w:id="321"/>
          <w:r>
            <w:rPr>
              <w:rFonts w:ascii="仿宋" w:hAnsi="仿宋" w:eastAsia="仿宋" w:cs="仿宋"/>
              <w:sz w:val="22"/>
              <w:szCs w:val="22"/>
            </w:rPr>
            <w:t>211</w:t>
          </w:r>
          <w:r>
            <w:rPr>
              <w:rFonts w:ascii="宋体" w:hAnsi="宋体" w:eastAsia="宋体" w:cs="宋体"/>
              <w:sz w:val="22"/>
              <w:szCs w:val="22"/>
            </w:rPr>
            <w:t>．</w:t>
          </w:r>
          <w:r>
            <w:fldChar w:fldCharType="begin"/>
          </w:r>
          <w:r>
            <w:instrText xml:space="preserve"> HYPERLINK \l "bookmark430" </w:instrText>
          </w:r>
          <w:r>
            <w:fldChar w:fldCharType="separate"/>
          </w:r>
          <w:r>
            <w:rPr>
              <w:rFonts w:ascii="微软雅黑" w:hAnsi="微软雅黑" w:eastAsia="微软雅黑" w:cs="微软雅黑"/>
              <w:sz w:val="22"/>
              <w:szCs w:val="22"/>
            </w:rPr>
            <w:t>存在粉尘涉爆危险的工贸企业的粉尘防爆安全设备</w:t>
          </w:r>
          <w:r>
            <w:rPr>
              <w:rFonts w:ascii="微软雅黑" w:hAnsi="微软雅黑" w:eastAsia="微软雅黑" w:cs="微软雅黑"/>
              <w:spacing w:val="-1"/>
              <w:sz w:val="22"/>
              <w:szCs w:val="22"/>
            </w:rPr>
            <w:t>未正常运行的</w:t>
          </w:r>
          <w:r>
            <w:rPr>
              <w:rFonts w:ascii="微软雅黑" w:hAnsi="微软雅黑" w:eastAsia="微软雅黑" w:cs="微软雅黑"/>
              <w:sz w:val="22"/>
              <w:szCs w:val="22"/>
            </w:rPr>
            <w:tab/>
          </w:r>
          <w:r>
            <w:rPr>
              <w:rFonts w:ascii="宋体" w:hAnsi="宋体" w:eastAsia="宋体" w:cs="宋体"/>
              <w:spacing w:val="-4"/>
              <w:sz w:val="22"/>
              <w:szCs w:val="22"/>
            </w:rPr>
            <w:t>214</w:t>
          </w:r>
          <w:r>
            <w:rPr>
              <w:rFonts w:ascii="宋体" w:hAnsi="宋体" w:eastAsia="宋体" w:cs="宋体"/>
              <w:spacing w:val="-4"/>
              <w:sz w:val="22"/>
              <w:szCs w:val="22"/>
            </w:rPr>
            <w:fldChar w:fldCharType="end"/>
          </w:r>
        </w:p>
        <w:p w14:paraId="7B313DC7">
          <w:pPr>
            <w:spacing w:before="1" w:line="216" w:lineRule="auto"/>
            <w:jc w:val="right"/>
            <w:rPr>
              <w:rFonts w:ascii="宋体" w:hAnsi="宋体" w:eastAsia="宋体" w:cs="宋体"/>
              <w:sz w:val="22"/>
              <w:szCs w:val="22"/>
            </w:rPr>
          </w:pPr>
          <w:bookmarkStart w:id="322" w:name="bookmark431"/>
          <w:bookmarkEnd w:id="322"/>
          <w:r>
            <w:rPr>
              <w:rFonts w:ascii="仿宋" w:hAnsi="仿宋" w:eastAsia="仿宋" w:cs="仿宋"/>
              <w:sz w:val="22"/>
              <w:szCs w:val="22"/>
            </w:rPr>
            <w:t>212</w:t>
          </w:r>
          <w:r>
            <w:rPr>
              <w:rFonts w:ascii="宋体" w:hAnsi="宋体" w:eastAsia="宋体" w:cs="宋体"/>
              <w:sz w:val="22"/>
              <w:szCs w:val="22"/>
            </w:rPr>
            <w:t>．</w:t>
          </w:r>
          <w:r>
            <w:fldChar w:fldCharType="begin"/>
          </w:r>
          <w:r>
            <w:instrText xml:space="preserve"> HYPERLINK \l "bookmark432" </w:instrText>
          </w:r>
          <w:r>
            <w:fldChar w:fldCharType="separate"/>
          </w:r>
          <w:r>
            <w:rPr>
              <w:rFonts w:ascii="微软雅黑" w:hAnsi="微软雅黑" w:eastAsia="微软雅黑" w:cs="微软雅黑"/>
              <w:sz w:val="22"/>
              <w:szCs w:val="22"/>
            </w:rPr>
            <w:t>工贸企业开展有限空间作业未配备监护人员，或者监护人员未</w:t>
          </w:r>
          <w:r>
            <w:rPr>
              <w:rFonts w:ascii="微软雅黑" w:hAnsi="微软雅黑" w:eastAsia="微软雅黑" w:cs="微软雅黑"/>
              <w:spacing w:val="-1"/>
              <w:sz w:val="22"/>
              <w:szCs w:val="22"/>
            </w:rPr>
            <w:t>按规定履行岗位职责的</w:t>
          </w:r>
          <w:r>
            <w:rPr>
              <w:rFonts w:ascii="宋体" w:hAnsi="宋体" w:eastAsia="宋体" w:cs="宋体"/>
              <w:spacing w:val="-1"/>
              <w:sz w:val="22"/>
              <w:szCs w:val="22"/>
            </w:rPr>
            <w:t>215</w:t>
          </w:r>
          <w:r>
            <w:rPr>
              <w:rFonts w:ascii="宋体" w:hAnsi="宋体" w:eastAsia="宋体" w:cs="宋体"/>
              <w:spacing w:val="-1"/>
              <w:sz w:val="22"/>
              <w:szCs w:val="22"/>
            </w:rPr>
            <w:fldChar w:fldCharType="end"/>
          </w:r>
        </w:p>
        <w:p w14:paraId="0A9CA1FA">
          <w:pPr>
            <w:tabs>
              <w:tab w:val="right" w:leader="dot" w:pos="8830"/>
            </w:tabs>
            <w:spacing w:line="216" w:lineRule="auto"/>
            <w:rPr>
              <w:rFonts w:ascii="宋体" w:hAnsi="宋体" w:eastAsia="宋体" w:cs="宋体"/>
              <w:sz w:val="22"/>
              <w:szCs w:val="22"/>
            </w:rPr>
          </w:pPr>
          <w:bookmarkStart w:id="323" w:name="bookmark431"/>
          <w:bookmarkEnd w:id="323"/>
          <w:r>
            <w:rPr>
              <w:rFonts w:ascii="仿宋" w:hAnsi="仿宋" w:eastAsia="仿宋" w:cs="仿宋"/>
              <w:sz w:val="22"/>
              <w:szCs w:val="22"/>
            </w:rPr>
            <w:t>213</w:t>
          </w:r>
          <w:r>
            <w:rPr>
              <w:rFonts w:ascii="宋体" w:hAnsi="宋体" w:eastAsia="宋体" w:cs="宋体"/>
              <w:sz w:val="22"/>
              <w:szCs w:val="22"/>
            </w:rPr>
            <w:t>．</w:t>
          </w:r>
          <w:r>
            <w:fldChar w:fldCharType="begin"/>
          </w:r>
          <w:r>
            <w:instrText xml:space="preserve"> HYPERLINK \l "bookmark433" </w:instrText>
          </w:r>
          <w:r>
            <w:fldChar w:fldCharType="separate"/>
          </w:r>
          <w:r>
            <w:rPr>
              <w:rFonts w:ascii="微软雅黑" w:hAnsi="微软雅黑" w:eastAsia="微软雅黑" w:cs="微软雅黑"/>
              <w:sz w:val="22"/>
              <w:szCs w:val="22"/>
            </w:rPr>
            <w:t>工贸企业未对有限空间进行辨识，或者未建立有限空间</w:t>
          </w:r>
          <w:r>
            <w:rPr>
              <w:rFonts w:ascii="微软雅黑" w:hAnsi="微软雅黑" w:eastAsia="微软雅黑" w:cs="微软雅黑"/>
              <w:spacing w:val="-1"/>
              <w:sz w:val="22"/>
              <w:szCs w:val="22"/>
            </w:rPr>
            <w:t>管理台账的</w:t>
          </w:r>
          <w:r>
            <w:rPr>
              <w:rFonts w:ascii="微软雅黑" w:hAnsi="微软雅黑" w:eastAsia="微软雅黑" w:cs="微软雅黑"/>
              <w:sz w:val="22"/>
              <w:szCs w:val="22"/>
            </w:rPr>
            <w:tab/>
          </w:r>
          <w:r>
            <w:rPr>
              <w:rFonts w:ascii="宋体" w:hAnsi="宋体" w:eastAsia="宋体" w:cs="宋体"/>
              <w:spacing w:val="-4"/>
              <w:sz w:val="22"/>
              <w:szCs w:val="22"/>
            </w:rPr>
            <w:t>215</w:t>
          </w:r>
          <w:r>
            <w:rPr>
              <w:rFonts w:ascii="宋体" w:hAnsi="宋体" w:eastAsia="宋体" w:cs="宋体"/>
              <w:spacing w:val="-4"/>
              <w:sz w:val="22"/>
              <w:szCs w:val="22"/>
            </w:rPr>
            <w:fldChar w:fldCharType="end"/>
          </w:r>
        </w:p>
        <w:p w14:paraId="6411790C">
          <w:pPr>
            <w:spacing w:line="411" w:lineRule="exact"/>
            <w:rPr>
              <w:rFonts w:ascii="微软雅黑" w:hAnsi="微软雅黑" w:eastAsia="微软雅黑" w:cs="微软雅黑"/>
              <w:sz w:val="22"/>
              <w:szCs w:val="22"/>
            </w:rPr>
          </w:pPr>
          <w:bookmarkStart w:id="324" w:name="bookmark434"/>
          <w:bookmarkEnd w:id="324"/>
          <w:r>
            <w:rPr>
              <w:rFonts w:ascii="仿宋" w:hAnsi="仿宋" w:eastAsia="仿宋" w:cs="仿宋"/>
              <w:spacing w:val="-2"/>
              <w:position w:val="5"/>
              <w:sz w:val="22"/>
              <w:szCs w:val="22"/>
            </w:rPr>
            <w:t>214</w:t>
          </w:r>
          <w:r>
            <w:rPr>
              <w:rFonts w:ascii="宋体" w:hAnsi="宋体" w:eastAsia="宋体" w:cs="宋体"/>
              <w:spacing w:val="-2"/>
              <w:position w:val="5"/>
              <w:sz w:val="22"/>
              <w:szCs w:val="22"/>
            </w:rPr>
            <w:t>．</w:t>
          </w:r>
          <w:r>
            <w:fldChar w:fldCharType="begin"/>
          </w:r>
          <w:r>
            <w:instrText xml:space="preserve"> HYPERLINK \l "bookmark435" </w:instrText>
          </w:r>
          <w:r>
            <w:fldChar w:fldCharType="separate"/>
          </w:r>
          <w:r>
            <w:rPr>
              <w:rFonts w:ascii="微软雅黑" w:hAnsi="微软雅黑" w:eastAsia="微软雅黑" w:cs="微软雅黑"/>
              <w:spacing w:val="-2"/>
              <w:position w:val="5"/>
              <w:sz w:val="22"/>
              <w:szCs w:val="22"/>
            </w:rPr>
            <w:t>工贸企业未落实有限空间作业审批，或者作业未执行“先通风、再检测、后作业”要求</w:t>
          </w:r>
          <w:r>
            <w:rPr>
              <w:rFonts w:ascii="微软雅黑" w:hAnsi="微软雅黑" w:eastAsia="微软雅黑" w:cs="微软雅黑"/>
              <w:spacing w:val="-2"/>
              <w:position w:val="5"/>
              <w:sz w:val="22"/>
              <w:szCs w:val="22"/>
            </w:rPr>
            <w:fldChar w:fldCharType="end"/>
          </w:r>
        </w:p>
        <w:p w14:paraId="7B895651">
          <w:pPr>
            <w:tabs>
              <w:tab w:val="right" w:leader="dot" w:pos="8819"/>
            </w:tabs>
            <w:spacing w:before="6" w:line="167" w:lineRule="auto"/>
            <w:ind w:left="22"/>
            <w:rPr>
              <w:rFonts w:ascii="宋体" w:hAnsi="宋体" w:eastAsia="宋体" w:cs="宋体"/>
              <w:sz w:val="22"/>
              <w:szCs w:val="22"/>
            </w:rPr>
          </w:pPr>
          <w:bookmarkStart w:id="325" w:name="bookmark434"/>
          <w:bookmarkEnd w:id="325"/>
          <w:r>
            <w:fldChar w:fldCharType="begin"/>
          </w:r>
          <w:r>
            <w:instrText xml:space="preserve"> HYPERLINK \l "bookmark434" </w:instrText>
          </w:r>
          <w:r>
            <w:fldChar w:fldCharType="separate"/>
          </w:r>
          <w:r>
            <w:rPr>
              <w:rFonts w:ascii="微软雅黑" w:hAnsi="微软雅黑" w:eastAsia="微软雅黑" w:cs="微软雅黑"/>
              <w:spacing w:val="-21"/>
              <w:w w:val="94"/>
              <w:sz w:val="22"/>
              <w:szCs w:val="22"/>
            </w:rPr>
            <w:t>的</w:t>
          </w:r>
          <w:r>
            <w:rPr>
              <w:rFonts w:ascii="微软雅黑" w:hAnsi="微软雅黑" w:eastAsia="微软雅黑" w:cs="微软雅黑"/>
              <w:sz w:val="22"/>
              <w:szCs w:val="22"/>
            </w:rPr>
            <w:tab/>
          </w:r>
          <w:r>
            <w:rPr>
              <w:rFonts w:ascii="宋体" w:hAnsi="宋体" w:eastAsia="宋体" w:cs="宋体"/>
              <w:spacing w:val="-4"/>
              <w:sz w:val="22"/>
              <w:szCs w:val="22"/>
            </w:rPr>
            <w:t>216</w:t>
          </w:r>
          <w:r>
            <w:rPr>
              <w:rFonts w:ascii="宋体" w:hAnsi="宋体" w:eastAsia="宋体" w:cs="宋体"/>
              <w:spacing w:val="-4"/>
              <w:sz w:val="22"/>
              <w:szCs w:val="22"/>
            </w:rPr>
            <w:fldChar w:fldCharType="end"/>
          </w:r>
        </w:p>
        <w:p w14:paraId="69543D23">
          <w:pPr>
            <w:tabs>
              <w:tab w:val="right" w:leader="dot" w:pos="8829"/>
            </w:tabs>
            <w:spacing w:before="1" w:line="216" w:lineRule="auto"/>
            <w:rPr>
              <w:rFonts w:ascii="宋体" w:hAnsi="宋体" w:eastAsia="宋体" w:cs="宋体"/>
              <w:sz w:val="22"/>
              <w:szCs w:val="22"/>
            </w:rPr>
          </w:pPr>
          <w:bookmarkStart w:id="326" w:name="bookmark436"/>
          <w:bookmarkEnd w:id="326"/>
          <w:r>
            <w:rPr>
              <w:rFonts w:ascii="仿宋" w:hAnsi="仿宋" w:eastAsia="仿宋" w:cs="仿宋"/>
              <w:sz w:val="22"/>
              <w:szCs w:val="22"/>
            </w:rPr>
            <w:t>215</w:t>
          </w:r>
          <w:r>
            <w:rPr>
              <w:rFonts w:ascii="宋体" w:hAnsi="宋体" w:eastAsia="宋体" w:cs="宋体"/>
              <w:sz w:val="22"/>
              <w:szCs w:val="22"/>
            </w:rPr>
            <w:t>．</w:t>
          </w:r>
          <w:r>
            <w:fldChar w:fldCharType="begin"/>
          </w:r>
          <w:r>
            <w:instrText xml:space="preserve"> HYPERLINK \l "bookmark437" </w:instrText>
          </w:r>
          <w:r>
            <w:fldChar w:fldCharType="separate"/>
          </w:r>
          <w:r>
            <w:rPr>
              <w:rFonts w:ascii="微软雅黑" w:hAnsi="微软雅黑" w:eastAsia="微软雅黑" w:cs="微软雅黑"/>
              <w:sz w:val="22"/>
              <w:szCs w:val="22"/>
            </w:rPr>
            <w:t>工贸企业有限空间作业时未按要求进行通风</w:t>
          </w:r>
          <w:r>
            <w:rPr>
              <w:rFonts w:ascii="微软雅黑" w:hAnsi="微软雅黑" w:eastAsia="微软雅黑" w:cs="微软雅黑"/>
              <w:spacing w:val="-1"/>
              <w:sz w:val="22"/>
              <w:szCs w:val="22"/>
            </w:rPr>
            <w:t>和气体检测的</w:t>
          </w:r>
          <w:r>
            <w:rPr>
              <w:rFonts w:ascii="微软雅黑" w:hAnsi="微软雅黑" w:eastAsia="微软雅黑" w:cs="微软雅黑"/>
              <w:sz w:val="22"/>
              <w:szCs w:val="22"/>
            </w:rPr>
            <w:tab/>
          </w:r>
          <w:r>
            <w:rPr>
              <w:rFonts w:ascii="宋体" w:hAnsi="宋体" w:eastAsia="宋体" w:cs="宋体"/>
              <w:spacing w:val="-4"/>
              <w:sz w:val="22"/>
              <w:szCs w:val="22"/>
            </w:rPr>
            <w:t>216</w:t>
          </w:r>
          <w:r>
            <w:rPr>
              <w:rFonts w:ascii="宋体" w:hAnsi="宋体" w:eastAsia="宋体" w:cs="宋体"/>
              <w:spacing w:val="-4"/>
              <w:sz w:val="22"/>
              <w:szCs w:val="22"/>
            </w:rPr>
            <w:fldChar w:fldCharType="end"/>
          </w:r>
        </w:p>
        <w:p w14:paraId="24470577">
          <w:pPr>
            <w:spacing w:line="410" w:lineRule="exact"/>
            <w:rPr>
              <w:rFonts w:ascii="微软雅黑" w:hAnsi="微软雅黑" w:eastAsia="微软雅黑" w:cs="微软雅黑"/>
              <w:sz w:val="22"/>
              <w:szCs w:val="22"/>
            </w:rPr>
          </w:pPr>
          <w:bookmarkStart w:id="327" w:name="bookmark438"/>
          <w:bookmarkEnd w:id="327"/>
          <w:r>
            <w:rPr>
              <w:rFonts w:ascii="仿宋" w:hAnsi="仿宋" w:eastAsia="仿宋" w:cs="仿宋"/>
              <w:spacing w:val="3"/>
              <w:position w:val="5"/>
              <w:sz w:val="22"/>
              <w:szCs w:val="22"/>
            </w:rPr>
            <w:t>216</w:t>
          </w:r>
          <w:r>
            <w:rPr>
              <w:rFonts w:ascii="宋体" w:hAnsi="宋体" w:eastAsia="宋体" w:cs="宋体"/>
              <w:spacing w:val="3"/>
              <w:position w:val="5"/>
              <w:sz w:val="22"/>
              <w:szCs w:val="22"/>
            </w:rPr>
            <w:t>．</w:t>
          </w:r>
          <w:r>
            <w:fldChar w:fldCharType="begin"/>
          </w:r>
          <w:r>
            <w:instrText xml:space="preserve"> HYPERLINK \l "bookmark439" </w:instrText>
          </w:r>
          <w:r>
            <w:fldChar w:fldCharType="separate"/>
          </w:r>
          <w:r>
            <w:rPr>
              <w:rFonts w:ascii="微软雅黑" w:hAnsi="微软雅黑" w:eastAsia="微软雅黑" w:cs="微软雅黑"/>
              <w:spacing w:val="3"/>
              <w:position w:val="5"/>
              <w:sz w:val="22"/>
              <w:szCs w:val="22"/>
            </w:rPr>
            <w:t>石油天然气企业在安全生产许可证有效期内出现采矿许可证有效期届满和采矿许可证</w:t>
          </w:r>
          <w:r>
            <w:rPr>
              <w:rFonts w:ascii="微软雅黑" w:hAnsi="微软雅黑" w:eastAsia="微软雅黑" w:cs="微软雅黑"/>
              <w:spacing w:val="3"/>
              <w:position w:val="5"/>
              <w:sz w:val="22"/>
              <w:szCs w:val="22"/>
            </w:rPr>
            <w:fldChar w:fldCharType="end"/>
          </w:r>
        </w:p>
        <w:p w14:paraId="33B71D6D">
          <w:pPr>
            <w:spacing w:before="8" w:line="202" w:lineRule="auto"/>
            <w:rPr>
              <w:rFonts w:ascii="微软雅黑" w:hAnsi="微软雅黑" w:eastAsia="微软雅黑" w:cs="微软雅黑"/>
              <w:sz w:val="22"/>
              <w:szCs w:val="22"/>
            </w:rPr>
          </w:pPr>
          <w:bookmarkStart w:id="328" w:name="bookmark438"/>
          <w:bookmarkEnd w:id="328"/>
          <w:r>
            <w:fldChar w:fldCharType="begin"/>
          </w:r>
          <w:r>
            <w:instrText xml:space="preserve"> HYPERLINK \l "bookmark438" </w:instrText>
          </w:r>
          <w:r>
            <w:fldChar w:fldCharType="separate"/>
          </w:r>
          <w:r>
            <w:rPr>
              <w:rFonts w:ascii="微软雅黑" w:hAnsi="微软雅黑" w:eastAsia="微软雅黑" w:cs="微软雅黑"/>
              <w:spacing w:val="1"/>
              <w:sz w:val="22"/>
              <w:szCs w:val="22"/>
            </w:rPr>
            <w:t>被暂扣、撤销、吊销、注销的情况，未按规定向</w:t>
          </w:r>
          <w:r>
            <w:rPr>
              <w:rFonts w:ascii="微软雅黑" w:hAnsi="微软雅黑" w:eastAsia="微软雅黑" w:cs="微软雅黑"/>
              <w:sz w:val="22"/>
              <w:szCs w:val="22"/>
            </w:rPr>
            <w:t>安全生产许可证颁发管理机关报告并交回安</w:t>
          </w:r>
          <w:r>
            <w:rPr>
              <w:rFonts w:ascii="微软雅黑" w:hAnsi="微软雅黑" w:eastAsia="微软雅黑" w:cs="微软雅黑"/>
              <w:sz w:val="22"/>
              <w:szCs w:val="22"/>
            </w:rPr>
            <w:fldChar w:fldCharType="end"/>
          </w:r>
        </w:p>
        <w:p w14:paraId="55955477">
          <w:pPr>
            <w:tabs>
              <w:tab w:val="right" w:leader="dot" w:pos="8820"/>
            </w:tabs>
            <w:spacing w:before="20" w:line="168" w:lineRule="auto"/>
            <w:ind w:left="1"/>
            <w:rPr>
              <w:rFonts w:ascii="宋体" w:hAnsi="宋体" w:eastAsia="宋体" w:cs="宋体"/>
              <w:sz w:val="22"/>
              <w:szCs w:val="22"/>
            </w:rPr>
          </w:pPr>
          <w:bookmarkStart w:id="329" w:name="bookmark438"/>
          <w:bookmarkEnd w:id="329"/>
          <w:r>
            <w:fldChar w:fldCharType="begin"/>
          </w:r>
          <w:r>
            <w:instrText xml:space="preserve"> HYPERLINK \l "bookmark438" </w:instrText>
          </w:r>
          <w:r>
            <w:fldChar w:fldCharType="separate"/>
          </w:r>
          <w:r>
            <w:rPr>
              <w:rFonts w:ascii="微软雅黑" w:hAnsi="微软雅黑" w:eastAsia="微软雅黑" w:cs="微软雅黑"/>
              <w:spacing w:val="-1"/>
              <w:sz w:val="22"/>
              <w:szCs w:val="22"/>
            </w:rPr>
            <w:t>全生产许可证的</w:t>
          </w:r>
          <w:r>
            <w:rPr>
              <w:rFonts w:ascii="微软雅黑" w:hAnsi="微软雅黑" w:eastAsia="微软雅黑" w:cs="微软雅黑"/>
              <w:sz w:val="22"/>
              <w:szCs w:val="22"/>
            </w:rPr>
            <w:tab/>
          </w:r>
          <w:r>
            <w:rPr>
              <w:rFonts w:ascii="宋体" w:hAnsi="宋体" w:eastAsia="宋体" w:cs="宋体"/>
              <w:spacing w:val="-4"/>
              <w:sz w:val="22"/>
              <w:szCs w:val="22"/>
            </w:rPr>
            <w:t>217</w:t>
          </w:r>
          <w:r>
            <w:rPr>
              <w:rFonts w:ascii="宋体" w:hAnsi="宋体" w:eastAsia="宋体" w:cs="宋体"/>
              <w:spacing w:val="-4"/>
              <w:sz w:val="22"/>
              <w:szCs w:val="22"/>
            </w:rPr>
            <w:fldChar w:fldCharType="end"/>
          </w:r>
        </w:p>
        <w:p w14:paraId="21315C81">
          <w:pPr>
            <w:spacing w:line="410" w:lineRule="exact"/>
            <w:rPr>
              <w:rFonts w:ascii="宋体" w:hAnsi="宋体" w:eastAsia="宋体" w:cs="宋体"/>
              <w:sz w:val="22"/>
              <w:szCs w:val="22"/>
            </w:rPr>
          </w:pPr>
          <w:bookmarkStart w:id="330" w:name="bookmark440"/>
          <w:bookmarkEnd w:id="330"/>
          <w:r>
            <w:rPr>
              <w:rFonts w:ascii="仿宋" w:hAnsi="仿宋" w:eastAsia="仿宋" w:cs="仿宋"/>
              <w:spacing w:val="-1"/>
              <w:position w:val="5"/>
              <w:sz w:val="22"/>
              <w:szCs w:val="22"/>
            </w:rPr>
            <w:t>217</w:t>
          </w:r>
          <w:r>
            <w:rPr>
              <w:rFonts w:ascii="宋体" w:hAnsi="宋体" w:eastAsia="宋体" w:cs="宋体"/>
              <w:spacing w:val="-1"/>
              <w:position w:val="5"/>
              <w:sz w:val="22"/>
              <w:szCs w:val="22"/>
            </w:rPr>
            <w:t>．</w:t>
          </w:r>
          <w:r>
            <w:fldChar w:fldCharType="begin"/>
          </w:r>
          <w:r>
            <w:instrText xml:space="preserve"> HYPERLINK \l "bookmark441" </w:instrText>
          </w:r>
          <w:r>
            <w:fldChar w:fldCharType="separate"/>
          </w:r>
          <w:r>
            <w:rPr>
              <w:rFonts w:ascii="微软雅黑" w:hAnsi="微软雅黑" w:eastAsia="微软雅黑" w:cs="微软雅黑"/>
              <w:spacing w:val="-1"/>
              <w:position w:val="5"/>
              <w:sz w:val="22"/>
              <w:szCs w:val="22"/>
            </w:rPr>
            <w:t>石油天然气开采发包单位未按规定对承包单位实施安全生产监督检查或者考核的</w:t>
          </w:r>
          <w:r>
            <w:rPr>
              <w:rFonts w:ascii="宋体" w:hAnsi="宋体" w:eastAsia="宋体" w:cs="宋体"/>
              <w:spacing w:val="-1"/>
              <w:position w:val="5"/>
              <w:sz w:val="22"/>
              <w:szCs w:val="22"/>
            </w:rPr>
            <w:t>.218</w:t>
          </w:r>
          <w:r>
            <w:rPr>
              <w:rFonts w:ascii="宋体" w:hAnsi="宋体" w:eastAsia="宋体" w:cs="宋体"/>
              <w:spacing w:val="-1"/>
              <w:position w:val="5"/>
              <w:sz w:val="22"/>
              <w:szCs w:val="22"/>
            </w:rPr>
            <w:fldChar w:fldCharType="end"/>
          </w:r>
        </w:p>
      </w:sdtContent>
    </w:sdt>
    <w:p w14:paraId="7846CE9A">
      <w:pPr>
        <w:spacing w:line="410" w:lineRule="exact"/>
        <w:rPr>
          <w:rFonts w:ascii="宋体" w:hAnsi="宋体" w:eastAsia="宋体" w:cs="宋体"/>
          <w:sz w:val="22"/>
          <w:szCs w:val="22"/>
        </w:rPr>
        <w:sectPr>
          <w:footerReference r:id="rId14" w:type="default"/>
          <w:pgSz w:w="11906" w:h="16839"/>
          <w:pgMar w:top="1431" w:right="1301" w:bottom="1116" w:left="1596" w:header="0" w:footer="837" w:gutter="0"/>
          <w:cols w:space="720" w:num="1"/>
        </w:sectPr>
      </w:pPr>
    </w:p>
    <w:p w14:paraId="0E57B0AF">
      <w:pPr>
        <w:pStyle w:val="2"/>
        <w:spacing w:line="284" w:lineRule="auto"/>
      </w:pPr>
    </w:p>
    <w:p w14:paraId="49297CA9">
      <w:pPr>
        <w:pStyle w:val="2"/>
        <w:spacing w:line="284" w:lineRule="auto"/>
      </w:pPr>
    </w:p>
    <w:sdt>
      <w:sdtPr>
        <w:rPr>
          <w:rFonts w:ascii="仿宋" w:hAnsi="仿宋" w:eastAsia="仿宋" w:cs="仿宋"/>
          <w:sz w:val="22"/>
          <w:szCs w:val="22"/>
        </w:rPr>
        <w:id w:val="147466798"/>
        <w:docPartObj>
          <w:docPartGallery w:val="Table of Contents"/>
          <w:docPartUnique/>
        </w:docPartObj>
      </w:sdtPr>
      <w:sdtEndPr>
        <w:rPr>
          <w:rFonts w:ascii="宋体" w:hAnsi="宋体" w:eastAsia="宋体" w:cs="宋体"/>
          <w:sz w:val="23"/>
          <w:szCs w:val="23"/>
        </w:rPr>
      </w:sdtEndPr>
      <w:sdtContent>
        <w:p w14:paraId="53F76DFC">
          <w:pPr>
            <w:spacing w:before="95" w:line="409" w:lineRule="exact"/>
            <w:ind w:left="10"/>
            <w:rPr>
              <w:rFonts w:ascii="微软雅黑" w:hAnsi="微软雅黑" w:eastAsia="微软雅黑" w:cs="微软雅黑"/>
              <w:sz w:val="22"/>
              <w:szCs w:val="22"/>
            </w:rPr>
          </w:pPr>
          <w:bookmarkStart w:id="331" w:name="bookmark442"/>
          <w:bookmarkEnd w:id="331"/>
          <w:r>
            <w:rPr>
              <w:rFonts w:ascii="仿宋" w:hAnsi="仿宋" w:eastAsia="仿宋" w:cs="仿宋"/>
              <w:spacing w:val="-2"/>
              <w:position w:val="5"/>
              <w:sz w:val="22"/>
              <w:szCs w:val="22"/>
            </w:rPr>
            <w:t>218</w:t>
          </w:r>
          <w:r>
            <w:rPr>
              <w:rFonts w:ascii="宋体" w:hAnsi="宋体" w:eastAsia="宋体" w:cs="宋体"/>
              <w:spacing w:val="-2"/>
              <w:position w:val="5"/>
              <w:sz w:val="22"/>
              <w:szCs w:val="22"/>
            </w:rPr>
            <w:t>．</w:t>
          </w:r>
          <w:r>
            <w:fldChar w:fldCharType="begin"/>
          </w:r>
          <w:r>
            <w:instrText xml:space="preserve"> HYPERLINK \l "bookmark443" </w:instrText>
          </w:r>
          <w:r>
            <w:fldChar w:fldCharType="separate"/>
          </w:r>
          <w:r>
            <w:rPr>
              <w:rFonts w:ascii="微软雅黑" w:hAnsi="微软雅黑" w:eastAsia="微软雅黑" w:cs="微软雅黑"/>
              <w:spacing w:val="-2"/>
              <w:position w:val="5"/>
              <w:sz w:val="22"/>
              <w:szCs w:val="22"/>
            </w:rPr>
            <w:t>石油天然气开采发包单位未向承包单位进行外包工程技术交底，或者未按照合同约</w:t>
          </w:r>
          <w:r>
            <w:rPr>
              <w:rFonts w:ascii="微软雅黑" w:hAnsi="微软雅黑" w:eastAsia="微软雅黑" w:cs="微软雅黑"/>
              <w:spacing w:val="-3"/>
              <w:position w:val="5"/>
              <w:sz w:val="22"/>
              <w:szCs w:val="22"/>
            </w:rPr>
            <w:t>定向</w:t>
          </w:r>
          <w:r>
            <w:rPr>
              <w:rFonts w:ascii="微软雅黑" w:hAnsi="微软雅黑" w:eastAsia="微软雅黑" w:cs="微软雅黑"/>
              <w:spacing w:val="-3"/>
              <w:position w:val="5"/>
              <w:sz w:val="22"/>
              <w:szCs w:val="22"/>
            </w:rPr>
            <w:fldChar w:fldCharType="end"/>
          </w:r>
        </w:p>
        <w:p w14:paraId="65D327FC">
          <w:pPr>
            <w:tabs>
              <w:tab w:val="right" w:leader="dot" w:pos="8832"/>
            </w:tabs>
            <w:spacing w:before="7" w:line="167" w:lineRule="auto"/>
            <w:ind w:left="14"/>
            <w:rPr>
              <w:rFonts w:ascii="宋体" w:hAnsi="宋体" w:eastAsia="宋体" w:cs="宋体"/>
              <w:sz w:val="22"/>
              <w:szCs w:val="22"/>
            </w:rPr>
          </w:pPr>
          <w:bookmarkStart w:id="332" w:name="bookmark442"/>
          <w:bookmarkEnd w:id="332"/>
          <w:r>
            <w:fldChar w:fldCharType="begin"/>
          </w:r>
          <w:r>
            <w:instrText xml:space="preserve"> HYPERLINK \l "bookmark442" </w:instrText>
          </w:r>
          <w:r>
            <w:fldChar w:fldCharType="separate"/>
          </w:r>
          <w:r>
            <w:rPr>
              <w:rFonts w:ascii="微软雅黑" w:hAnsi="微软雅黑" w:eastAsia="微软雅黑" w:cs="微软雅黑"/>
              <w:spacing w:val="-1"/>
              <w:sz w:val="22"/>
              <w:szCs w:val="22"/>
            </w:rPr>
            <w:t>承包单位提供有关资料的</w:t>
          </w:r>
          <w:r>
            <w:rPr>
              <w:rFonts w:ascii="微软雅黑" w:hAnsi="微软雅黑" w:eastAsia="微软雅黑" w:cs="微软雅黑"/>
              <w:sz w:val="22"/>
              <w:szCs w:val="22"/>
            </w:rPr>
            <w:tab/>
          </w:r>
          <w:r>
            <w:rPr>
              <w:rFonts w:ascii="宋体" w:hAnsi="宋体" w:eastAsia="宋体" w:cs="宋体"/>
              <w:spacing w:val="-4"/>
              <w:sz w:val="22"/>
              <w:szCs w:val="22"/>
            </w:rPr>
            <w:t>218</w:t>
          </w:r>
          <w:r>
            <w:rPr>
              <w:rFonts w:ascii="宋体" w:hAnsi="宋体" w:eastAsia="宋体" w:cs="宋体"/>
              <w:spacing w:val="-4"/>
              <w:sz w:val="22"/>
              <w:szCs w:val="22"/>
            </w:rPr>
            <w:fldChar w:fldCharType="end"/>
          </w:r>
        </w:p>
        <w:p w14:paraId="42CC7E04">
          <w:pPr>
            <w:tabs>
              <w:tab w:val="right" w:leader="dot" w:pos="8840"/>
            </w:tabs>
            <w:spacing w:line="216" w:lineRule="auto"/>
            <w:ind w:left="10"/>
            <w:rPr>
              <w:rFonts w:ascii="宋体" w:hAnsi="宋体" w:eastAsia="宋体" w:cs="宋体"/>
              <w:sz w:val="22"/>
              <w:szCs w:val="22"/>
            </w:rPr>
          </w:pPr>
          <w:bookmarkStart w:id="333" w:name="bookmark444"/>
          <w:bookmarkEnd w:id="333"/>
          <w:r>
            <w:rPr>
              <w:rFonts w:ascii="仿宋" w:hAnsi="仿宋" w:eastAsia="仿宋" w:cs="仿宋"/>
              <w:sz w:val="22"/>
              <w:szCs w:val="22"/>
            </w:rPr>
            <w:t>219</w:t>
          </w:r>
          <w:r>
            <w:rPr>
              <w:rFonts w:ascii="宋体" w:hAnsi="宋体" w:eastAsia="宋体" w:cs="宋体"/>
              <w:sz w:val="22"/>
              <w:szCs w:val="22"/>
            </w:rPr>
            <w:t>．</w:t>
          </w:r>
          <w:r>
            <w:fldChar w:fldCharType="begin"/>
          </w:r>
          <w:r>
            <w:instrText xml:space="preserve"> HYPERLINK \l "bookmark445" </w:instrText>
          </w:r>
          <w:r>
            <w:fldChar w:fldCharType="separate"/>
          </w:r>
          <w:r>
            <w:rPr>
              <w:rFonts w:ascii="微软雅黑" w:hAnsi="微软雅黑" w:eastAsia="微软雅黑" w:cs="微软雅黑"/>
              <w:sz w:val="22"/>
              <w:szCs w:val="22"/>
            </w:rPr>
            <w:t>石油天然气开采承包单位将发包单位投入的安全资</w:t>
          </w:r>
          <w:r>
            <w:rPr>
              <w:rFonts w:ascii="微软雅黑" w:hAnsi="微软雅黑" w:eastAsia="微软雅黑" w:cs="微软雅黑"/>
              <w:spacing w:val="-1"/>
              <w:sz w:val="22"/>
              <w:szCs w:val="22"/>
            </w:rPr>
            <w:t>金挪作他用的</w:t>
          </w:r>
          <w:r>
            <w:rPr>
              <w:rFonts w:ascii="微软雅黑" w:hAnsi="微软雅黑" w:eastAsia="微软雅黑" w:cs="微软雅黑"/>
              <w:sz w:val="22"/>
              <w:szCs w:val="22"/>
            </w:rPr>
            <w:tab/>
          </w:r>
          <w:r>
            <w:rPr>
              <w:rFonts w:ascii="宋体" w:hAnsi="宋体" w:eastAsia="宋体" w:cs="宋体"/>
              <w:spacing w:val="-4"/>
              <w:sz w:val="22"/>
              <w:szCs w:val="22"/>
            </w:rPr>
            <w:t>219</w:t>
          </w:r>
          <w:r>
            <w:rPr>
              <w:rFonts w:ascii="宋体" w:hAnsi="宋体" w:eastAsia="宋体" w:cs="宋体"/>
              <w:spacing w:val="-4"/>
              <w:sz w:val="22"/>
              <w:szCs w:val="22"/>
            </w:rPr>
            <w:fldChar w:fldCharType="end"/>
          </w:r>
        </w:p>
        <w:p w14:paraId="5A7E4A72">
          <w:pPr>
            <w:tabs>
              <w:tab w:val="right" w:leader="dot" w:pos="8839"/>
            </w:tabs>
            <w:spacing w:line="216" w:lineRule="auto"/>
            <w:ind w:left="10"/>
            <w:rPr>
              <w:rFonts w:ascii="宋体" w:hAnsi="宋体" w:eastAsia="宋体" w:cs="宋体"/>
              <w:sz w:val="22"/>
              <w:szCs w:val="22"/>
            </w:rPr>
          </w:pPr>
          <w:bookmarkStart w:id="334" w:name="bookmark446"/>
          <w:bookmarkEnd w:id="334"/>
          <w:r>
            <w:rPr>
              <w:rFonts w:ascii="仿宋" w:hAnsi="仿宋" w:eastAsia="仿宋" w:cs="仿宋"/>
              <w:sz w:val="22"/>
              <w:szCs w:val="22"/>
            </w:rPr>
            <w:t>220</w:t>
          </w:r>
          <w:r>
            <w:rPr>
              <w:rFonts w:ascii="宋体" w:hAnsi="宋体" w:eastAsia="宋体" w:cs="宋体"/>
              <w:sz w:val="22"/>
              <w:szCs w:val="22"/>
            </w:rPr>
            <w:t>．</w:t>
          </w:r>
          <w:r>
            <w:fldChar w:fldCharType="begin"/>
          </w:r>
          <w:r>
            <w:instrText xml:space="preserve"> HYPERLINK \l "bookmark447" </w:instrText>
          </w:r>
          <w:r>
            <w:fldChar w:fldCharType="separate"/>
          </w:r>
          <w:r>
            <w:rPr>
              <w:rFonts w:ascii="微软雅黑" w:hAnsi="微软雅黑" w:eastAsia="微软雅黑" w:cs="微软雅黑"/>
              <w:sz w:val="22"/>
              <w:szCs w:val="22"/>
            </w:rPr>
            <w:t>石油天然气开采承包单位未按规定排查</w:t>
          </w:r>
          <w:r>
            <w:rPr>
              <w:rFonts w:ascii="微软雅黑" w:hAnsi="微软雅黑" w:eastAsia="微软雅黑" w:cs="微软雅黑"/>
              <w:spacing w:val="-1"/>
              <w:sz w:val="22"/>
              <w:szCs w:val="22"/>
            </w:rPr>
            <w:t>治理事故隐患的</w:t>
          </w:r>
          <w:r>
            <w:rPr>
              <w:rFonts w:ascii="微软雅黑" w:hAnsi="微软雅黑" w:eastAsia="微软雅黑" w:cs="微软雅黑"/>
              <w:sz w:val="22"/>
              <w:szCs w:val="22"/>
            </w:rPr>
            <w:tab/>
          </w:r>
          <w:r>
            <w:rPr>
              <w:rFonts w:ascii="宋体" w:hAnsi="宋体" w:eastAsia="宋体" w:cs="宋体"/>
              <w:spacing w:val="-4"/>
              <w:sz w:val="22"/>
              <w:szCs w:val="22"/>
            </w:rPr>
            <w:t>219</w:t>
          </w:r>
          <w:r>
            <w:rPr>
              <w:rFonts w:ascii="宋体" w:hAnsi="宋体" w:eastAsia="宋体" w:cs="宋体"/>
              <w:spacing w:val="-4"/>
              <w:sz w:val="22"/>
              <w:szCs w:val="22"/>
            </w:rPr>
            <w:fldChar w:fldCharType="end"/>
          </w:r>
        </w:p>
        <w:p w14:paraId="57C0E66F">
          <w:pPr>
            <w:tabs>
              <w:tab w:val="right" w:leader="dot" w:pos="8840"/>
            </w:tabs>
            <w:spacing w:line="216" w:lineRule="auto"/>
            <w:ind w:left="10"/>
            <w:rPr>
              <w:rFonts w:ascii="宋体" w:hAnsi="宋体" w:eastAsia="宋体" w:cs="宋体"/>
              <w:sz w:val="22"/>
              <w:szCs w:val="22"/>
            </w:rPr>
          </w:pPr>
          <w:bookmarkStart w:id="335" w:name="bookmark448"/>
          <w:bookmarkEnd w:id="335"/>
          <w:r>
            <w:rPr>
              <w:rFonts w:ascii="仿宋" w:hAnsi="仿宋" w:eastAsia="仿宋" w:cs="仿宋"/>
              <w:sz w:val="22"/>
              <w:szCs w:val="22"/>
            </w:rPr>
            <w:t>221</w:t>
          </w:r>
          <w:r>
            <w:rPr>
              <w:rFonts w:ascii="宋体" w:hAnsi="宋体" w:eastAsia="宋体" w:cs="宋体"/>
              <w:sz w:val="22"/>
              <w:szCs w:val="22"/>
            </w:rPr>
            <w:t>．</w:t>
          </w:r>
          <w:r>
            <w:fldChar w:fldCharType="begin"/>
          </w:r>
          <w:r>
            <w:instrText xml:space="preserve"> HYPERLINK \l "bookmark449" </w:instrText>
          </w:r>
          <w:r>
            <w:fldChar w:fldCharType="separate"/>
          </w:r>
          <w:r>
            <w:rPr>
              <w:rFonts w:ascii="微软雅黑" w:hAnsi="微软雅黑" w:eastAsia="微软雅黑" w:cs="微软雅黑"/>
              <w:sz w:val="22"/>
              <w:szCs w:val="22"/>
            </w:rPr>
            <w:t>承担安全评价、认证、检测、检验职责的机构</w:t>
          </w:r>
          <w:r>
            <w:rPr>
              <w:rFonts w:ascii="微软雅黑" w:hAnsi="微软雅黑" w:eastAsia="微软雅黑" w:cs="微软雅黑"/>
              <w:spacing w:val="-1"/>
              <w:sz w:val="22"/>
              <w:szCs w:val="22"/>
            </w:rPr>
            <w:t>出具失实报告的</w:t>
          </w:r>
          <w:r>
            <w:rPr>
              <w:rFonts w:ascii="微软雅黑" w:hAnsi="微软雅黑" w:eastAsia="微软雅黑" w:cs="微软雅黑"/>
              <w:sz w:val="22"/>
              <w:szCs w:val="22"/>
            </w:rPr>
            <w:tab/>
          </w:r>
          <w:r>
            <w:rPr>
              <w:rFonts w:ascii="宋体" w:hAnsi="宋体" w:eastAsia="宋体" w:cs="宋体"/>
              <w:spacing w:val="-4"/>
              <w:sz w:val="22"/>
              <w:szCs w:val="22"/>
            </w:rPr>
            <w:t>220</w:t>
          </w:r>
          <w:r>
            <w:rPr>
              <w:rFonts w:ascii="宋体" w:hAnsi="宋体" w:eastAsia="宋体" w:cs="宋体"/>
              <w:spacing w:val="-4"/>
              <w:sz w:val="22"/>
              <w:szCs w:val="22"/>
            </w:rPr>
            <w:fldChar w:fldCharType="end"/>
          </w:r>
        </w:p>
        <w:p w14:paraId="5F6A80A8">
          <w:pPr>
            <w:spacing w:line="216" w:lineRule="auto"/>
            <w:ind w:left="10"/>
            <w:rPr>
              <w:rFonts w:ascii="宋体" w:hAnsi="宋体" w:eastAsia="宋体" w:cs="宋体"/>
              <w:sz w:val="22"/>
              <w:szCs w:val="22"/>
            </w:rPr>
          </w:pPr>
          <w:bookmarkStart w:id="336" w:name="bookmark450"/>
          <w:bookmarkEnd w:id="336"/>
          <w:r>
            <w:rPr>
              <w:rFonts w:ascii="仿宋" w:hAnsi="仿宋" w:eastAsia="仿宋" w:cs="仿宋"/>
              <w:spacing w:val="-1"/>
              <w:sz w:val="22"/>
              <w:szCs w:val="22"/>
            </w:rPr>
            <w:t>222</w:t>
          </w:r>
          <w:r>
            <w:rPr>
              <w:rFonts w:ascii="宋体" w:hAnsi="宋体" w:eastAsia="宋体" w:cs="宋体"/>
              <w:spacing w:val="-1"/>
              <w:sz w:val="22"/>
              <w:szCs w:val="22"/>
            </w:rPr>
            <w:t>．</w:t>
          </w:r>
          <w:r>
            <w:fldChar w:fldCharType="begin"/>
          </w:r>
          <w:r>
            <w:instrText xml:space="preserve"> HYPERLINK \l "bookmark451" </w:instrText>
          </w:r>
          <w:r>
            <w:fldChar w:fldCharType="separate"/>
          </w:r>
          <w:r>
            <w:rPr>
              <w:rFonts w:ascii="微软雅黑" w:hAnsi="微软雅黑" w:eastAsia="微软雅黑" w:cs="微软雅黑"/>
              <w:spacing w:val="-1"/>
              <w:sz w:val="22"/>
              <w:szCs w:val="22"/>
            </w:rPr>
            <w:t>承担安全评价、认证、检测、检验职责的机构租借资质、挂靠、出具虚假报告的</w:t>
          </w:r>
          <w:r>
            <w:rPr>
              <w:rFonts w:ascii="宋体" w:hAnsi="宋体" w:eastAsia="宋体" w:cs="宋体"/>
              <w:spacing w:val="-1"/>
              <w:sz w:val="22"/>
              <w:szCs w:val="22"/>
            </w:rPr>
            <w:t>.221</w:t>
          </w:r>
          <w:r>
            <w:rPr>
              <w:rFonts w:ascii="宋体" w:hAnsi="宋体" w:eastAsia="宋体" w:cs="宋体"/>
              <w:spacing w:val="-1"/>
              <w:sz w:val="22"/>
              <w:szCs w:val="22"/>
            </w:rPr>
            <w:fldChar w:fldCharType="end"/>
          </w:r>
        </w:p>
        <w:p w14:paraId="6C96A76D">
          <w:pPr>
            <w:spacing w:line="410" w:lineRule="exact"/>
            <w:ind w:left="10"/>
            <w:rPr>
              <w:rFonts w:ascii="微软雅黑" w:hAnsi="微软雅黑" w:eastAsia="微软雅黑" w:cs="微软雅黑"/>
              <w:sz w:val="22"/>
              <w:szCs w:val="22"/>
            </w:rPr>
          </w:pPr>
          <w:bookmarkStart w:id="337" w:name="bookmark452"/>
          <w:bookmarkEnd w:id="337"/>
          <w:r>
            <w:rPr>
              <w:rFonts w:ascii="仿宋" w:hAnsi="仿宋" w:eastAsia="仿宋" w:cs="仿宋"/>
              <w:spacing w:val="-2"/>
              <w:position w:val="5"/>
              <w:sz w:val="22"/>
              <w:szCs w:val="22"/>
            </w:rPr>
            <w:t>223</w:t>
          </w:r>
          <w:r>
            <w:rPr>
              <w:rFonts w:ascii="宋体" w:hAnsi="宋体" w:eastAsia="宋体" w:cs="宋体"/>
              <w:spacing w:val="-2"/>
              <w:position w:val="5"/>
              <w:sz w:val="22"/>
              <w:szCs w:val="22"/>
            </w:rPr>
            <w:t>．</w:t>
          </w:r>
          <w:r>
            <w:fldChar w:fldCharType="begin"/>
          </w:r>
          <w:r>
            <w:instrText xml:space="preserve"> HYPERLINK \l "bookmark453" </w:instrText>
          </w:r>
          <w:r>
            <w:fldChar w:fldCharType="separate"/>
          </w:r>
          <w:r>
            <w:rPr>
              <w:rFonts w:ascii="微软雅黑" w:hAnsi="微软雅黑" w:eastAsia="微软雅黑" w:cs="微软雅黑"/>
              <w:spacing w:val="-2"/>
              <w:position w:val="5"/>
              <w:sz w:val="22"/>
              <w:szCs w:val="22"/>
            </w:rPr>
            <w:t>安全评价检测检验机构名称等事项发生变化，未按规定向原资质认可机关提出变更申请</w:t>
          </w:r>
          <w:r>
            <w:rPr>
              <w:rFonts w:ascii="微软雅黑" w:hAnsi="微软雅黑" w:eastAsia="微软雅黑" w:cs="微软雅黑"/>
              <w:spacing w:val="-2"/>
              <w:position w:val="5"/>
              <w:sz w:val="22"/>
              <w:szCs w:val="22"/>
            </w:rPr>
            <w:fldChar w:fldCharType="end"/>
          </w:r>
        </w:p>
        <w:p w14:paraId="0FEAAC63">
          <w:pPr>
            <w:tabs>
              <w:tab w:val="right" w:leader="dot" w:pos="8829"/>
            </w:tabs>
            <w:spacing w:before="8" w:line="167" w:lineRule="auto"/>
            <w:ind w:left="32"/>
            <w:rPr>
              <w:rFonts w:ascii="宋体" w:hAnsi="宋体" w:eastAsia="宋体" w:cs="宋体"/>
              <w:sz w:val="22"/>
              <w:szCs w:val="22"/>
            </w:rPr>
          </w:pPr>
          <w:bookmarkStart w:id="338" w:name="bookmark452"/>
          <w:bookmarkEnd w:id="338"/>
          <w:r>
            <w:fldChar w:fldCharType="begin"/>
          </w:r>
          <w:r>
            <w:instrText xml:space="preserve"> HYPERLINK \l "bookmark452" </w:instrText>
          </w:r>
          <w:r>
            <w:fldChar w:fldCharType="separate"/>
          </w:r>
          <w:r>
            <w:rPr>
              <w:rFonts w:ascii="微软雅黑" w:hAnsi="微软雅黑" w:eastAsia="微软雅黑" w:cs="微软雅黑"/>
              <w:spacing w:val="-21"/>
              <w:w w:val="94"/>
              <w:sz w:val="22"/>
              <w:szCs w:val="22"/>
            </w:rPr>
            <w:t>的</w:t>
          </w:r>
          <w:r>
            <w:rPr>
              <w:rFonts w:ascii="微软雅黑" w:hAnsi="微软雅黑" w:eastAsia="微软雅黑" w:cs="微软雅黑"/>
              <w:sz w:val="22"/>
              <w:szCs w:val="22"/>
            </w:rPr>
            <w:tab/>
          </w:r>
          <w:r>
            <w:rPr>
              <w:rFonts w:ascii="宋体" w:hAnsi="宋体" w:eastAsia="宋体" w:cs="宋体"/>
              <w:spacing w:val="-4"/>
              <w:sz w:val="22"/>
              <w:szCs w:val="22"/>
            </w:rPr>
            <w:t>223</w:t>
          </w:r>
          <w:r>
            <w:rPr>
              <w:rFonts w:ascii="宋体" w:hAnsi="宋体" w:eastAsia="宋体" w:cs="宋体"/>
              <w:spacing w:val="-4"/>
              <w:sz w:val="22"/>
              <w:szCs w:val="22"/>
            </w:rPr>
            <w:fldChar w:fldCharType="end"/>
          </w:r>
        </w:p>
        <w:p w14:paraId="3386210C">
          <w:pPr>
            <w:tabs>
              <w:tab w:val="right" w:leader="dot" w:pos="8839"/>
            </w:tabs>
            <w:spacing w:line="216" w:lineRule="auto"/>
            <w:ind w:left="10"/>
            <w:rPr>
              <w:rFonts w:ascii="宋体" w:hAnsi="宋体" w:eastAsia="宋体" w:cs="宋体"/>
              <w:sz w:val="22"/>
              <w:szCs w:val="22"/>
            </w:rPr>
          </w:pPr>
          <w:bookmarkStart w:id="339" w:name="bookmark454"/>
          <w:bookmarkEnd w:id="339"/>
          <w:r>
            <w:rPr>
              <w:rFonts w:ascii="仿宋" w:hAnsi="仿宋" w:eastAsia="仿宋" w:cs="仿宋"/>
              <w:sz w:val="22"/>
              <w:szCs w:val="22"/>
            </w:rPr>
            <w:t>224</w:t>
          </w:r>
          <w:r>
            <w:rPr>
              <w:rFonts w:ascii="宋体" w:hAnsi="宋体" w:eastAsia="宋体" w:cs="宋体"/>
              <w:sz w:val="22"/>
              <w:szCs w:val="22"/>
            </w:rPr>
            <w:t>．</w:t>
          </w:r>
          <w:r>
            <w:fldChar w:fldCharType="begin"/>
          </w:r>
          <w:r>
            <w:instrText xml:space="preserve"> HYPERLINK \l "bookmark455" </w:instrText>
          </w:r>
          <w:r>
            <w:fldChar w:fldCharType="separate"/>
          </w:r>
          <w:r>
            <w:rPr>
              <w:rFonts w:ascii="微软雅黑" w:hAnsi="微软雅黑" w:eastAsia="微软雅黑" w:cs="微软雅黑"/>
              <w:sz w:val="22"/>
              <w:szCs w:val="22"/>
            </w:rPr>
            <w:t>安全评价检测检验机构未依法与委托方签订技术</w:t>
          </w:r>
          <w:r>
            <w:rPr>
              <w:rFonts w:ascii="微软雅黑" w:hAnsi="微软雅黑" w:eastAsia="微软雅黑" w:cs="微软雅黑"/>
              <w:spacing w:val="-1"/>
              <w:sz w:val="22"/>
              <w:szCs w:val="22"/>
            </w:rPr>
            <w:t>服务合同的</w:t>
          </w:r>
          <w:r>
            <w:rPr>
              <w:rFonts w:ascii="微软雅黑" w:hAnsi="微软雅黑" w:eastAsia="微软雅黑" w:cs="微软雅黑"/>
              <w:sz w:val="22"/>
              <w:szCs w:val="22"/>
            </w:rPr>
            <w:tab/>
          </w:r>
          <w:r>
            <w:rPr>
              <w:rFonts w:ascii="宋体" w:hAnsi="宋体" w:eastAsia="宋体" w:cs="宋体"/>
              <w:spacing w:val="-4"/>
              <w:sz w:val="22"/>
              <w:szCs w:val="22"/>
            </w:rPr>
            <w:t>224</w:t>
          </w:r>
          <w:r>
            <w:rPr>
              <w:rFonts w:ascii="宋体" w:hAnsi="宋体" w:eastAsia="宋体" w:cs="宋体"/>
              <w:spacing w:val="-4"/>
              <w:sz w:val="22"/>
              <w:szCs w:val="22"/>
            </w:rPr>
            <w:fldChar w:fldCharType="end"/>
          </w:r>
        </w:p>
        <w:p w14:paraId="12DF41AA">
          <w:pPr>
            <w:spacing w:line="410" w:lineRule="exact"/>
            <w:ind w:left="10"/>
            <w:rPr>
              <w:rFonts w:ascii="微软雅黑" w:hAnsi="微软雅黑" w:eastAsia="微软雅黑" w:cs="微软雅黑"/>
              <w:sz w:val="22"/>
              <w:szCs w:val="22"/>
            </w:rPr>
          </w:pPr>
          <w:bookmarkStart w:id="340" w:name="bookmark456"/>
          <w:bookmarkEnd w:id="340"/>
          <w:r>
            <w:rPr>
              <w:rFonts w:ascii="仿宋" w:hAnsi="仿宋" w:eastAsia="仿宋" w:cs="仿宋"/>
              <w:spacing w:val="-2"/>
              <w:position w:val="5"/>
              <w:sz w:val="22"/>
              <w:szCs w:val="22"/>
            </w:rPr>
            <w:t>225</w:t>
          </w:r>
          <w:r>
            <w:rPr>
              <w:rFonts w:ascii="宋体" w:hAnsi="宋体" w:eastAsia="宋体" w:cs="宋体"/>
              <w:spacing w:val="-2"/>
              <w:position w:val="5"/>
              <w:sz w:val="22"/>
              <w:szCs w:val="22"/>
            </w:rPr>
            <w:t>．</w:t>
          </w:r>
          <w:r>
            <w:fldChar w:fldCharType="begin"/>
          </w:r>
          <w:r>
            <w:instrText xml:space="preserve"> HYPERLINK \l "bookmark457" </w:instrText>
          </w:r>
          <w:r>
            <w:fldChar w:fldCharType="separate"/>
          </w:r>
          <w:r>
            <w:rPr>
              <w:rFonts w:ascii="微软雅黑" w:hAnsi="微软雅黑" w:eastAsia="微软雅黑" w:cs="微软雅黑"/>
              <w:spacing w:val="-2"/>
              <w:position w:val="5"/>
              <w:sz w:val="22"/>
              <w:szCs w:val="22"/>
            </w:rPr>
            <w:t>安全评价检测检验机构违反法规标准规定更改或者简化安全评价、检测检验程序和相关</w:t>
          </w:r>
          <w:r>
            <w:rPr>
              <w:rFonts w:ascii="微软雅黑" w:hAnsi="微软雅黑" w:eastAsia="微软雅黑" w:cs="微软雅黑"/>
              <w:spacing w:val="-2"/>
              <w:position w:val="5"/>
              <w:sz w:val="22"/>
              <w:szCs w:val="22"/>
            </w:rPr>
            <w:fldChar w:fldCharType="end"/>
          </w:r>
        </w:p>
        <w:p w14:paraId="36C82530">
          <w:pPr>
            <w:tabs>
              <w:tab w:val="right" w:leader="dot" w:pos="8830"/>
            </w:tabs>
            <w:spacing w:before="7" w:line="167" w:lineRule="auto"/>
            <w:ind w:left="43"/>
            <w:rPr>
              <w:rFonts w:ascii="宋体" w:hAnsi="宋体" w:eastAsia="宋体" w:cs="宋体"/>
              <w:sz w:val="22"/>
              <w:szCs w:val="22"/>
            </w:rPr>
          </w:pPr>
          <w:bookmarkStart w:id="341" w:name="bookmark456"/>
          <w:bookmarkEnd w:id="341"/>
          <w:r>
            <w:fldChar w:fldCharType="begin"/>
          </w:r>
          <w:r>
            <w:instrText xml:space="preserve"> HYPERLINK \l "bookmark456" </w:instrText>
          </w:r>
          <w:r>
            <w:fldChar w:fldCharType="separate"/>
          </w:r>
          <w:r>
            <w:rPr>
              <w:rFonts w:ascii="微软雅黑" w:hAnsi="微软雅黑" w:eastAsia="微软雅黑" w:cs="微软雅黑"/>
              <w:spacing w:val="-15"/>
              <w:sz w:val="22"/>
              <w:szCs w:val="22"/>
            </w:rPr>
            <w:t>内容的</w:t>
          </w:r>
          <w:r>
            <w:rPr>
              <w:rFonts w:ascii="微软雅黑" w:hAnsi="微软雅黑" w:eastAsia="微软雅黑" w:cs="微软雅黑"/>
              <w:sz w:val="22"/>
              <w:szCs w:val="22"/>
            </w:rPr>
            <w:tab/>
          </w:r>
          <w:r>
            <w:rPr>
              <w:rFonts w:ascii="宋体" w:hAnsi="宋体" w:eastAsia="宋体" w:cs="宋体"/>
              <w:spacing w:val="-4"/>
              <w:sz w:val="22"/>
              <w:szCs w:val="22"/>
            </w:rPr>
            <w:t>225</w:t>
          </w:r>
          <w:r>
            <w:rPr>
              <w:rFonts w:ascii="宋体" w:hAnsi="宋体" w:eastAsia="宋体" w:cs="宋体"/>
              <w:spacing w:val="-4"/>
              <w:sz w:val="22"/>
              <w:szCs w:val="22"/>
            </w:rPr>
            <w:fldChar w:fldCharType="end"/>
          </w:r>
        </w:p>
        <w:p w14:paraId="4A6EBCB4">
          <w:pPr>
            <w:spacing w:line="410" w:lineRule="exact"/>
            <w:ind w:left="10"/>
            <w:rPr>
              <w:rFonts w:ascii="微软雅黑" w:hAnsi="微软雅黑" w:eastAsia="微软雅黑" w:cs="微软雅黑"/>
              <w:sz w:val="22"/>
              <w:szCs w:val="22"/>
            </w:rPr>
          </w:pPr>
          <w:bookmarkStart w:id="342" w:name="bookmark458"/>
          <w:bookmarkEnd w:id="342"/>
          <w:r>
            <w:rPr>
              <w:rFonts w:ascii="仿宋" w:hAnsi="仿宋" w:eastAsia="仿宋" w:cs="仿宋"/>
              <w:spacing w:val="-2"/>
              <w:position w:val="5"/>
              <w:sz w:val="22"/>
              <w:szCs w:val="22"/>
            </w:rPr>
            <w:t>226</w:t>
          </w:r>
          <w:r>
            <w:rPr>
              <w:rFonts w:ascii="宋体" w:hAnsi="宋体" w:eastAsia="宋体" w:cs="宋体"/>
              <w:spacing w:val="-2"/>
              <w:position w:val="5"/>
              <w:sz w:val="22"/>
              <w:szCs w:val="22"/>
            </w:rPr>
            <w:t>．</w:t>
          </w:r>
          <w:r>
            <w:fldChar w:fldCharType="begin"/>
          </w:r>
          <w:r>
            <w:instrText xml:space="preserve"> HYPERLINK \l "bookmark459" </w:instrText>
          </w:r>
          <w:r>
            <w:fldChar w:fldCharType="separate"/>
          </w:r>
          <w:r>
            <w:rPr>
              <w:rFonts w:ascii="微软雅黑" w:hAnsi="微软雅黑" w:eastAsia="微软雅黑" w:cs="微软雅黑"/>
              <w:spacing w:val="-2"/>
              <w:position w:val="5"/>
              <w:sz w:val="22"/>
              <w:szCs w:val="22"/>
            </w:rPr>
            <w:t>安全评价检测检验机构未在开展现场技术服务前七个工作日内，书面告知项目实施</w:t>
          </w:r>
          <w:r>
            <w:rPr>
              <w:rFonts w:ascii="微软雅黑" w:hAnsi="微软雅黑" w:eastAsia="微软雅黑" w:cs="微软雅黑"/>
              <w:spacing w:val="-3"/>
              <w:position w:val="5"/>
              <w:sz w:val="22"/>
              <w:szCs w:val="22"/>
            </w:rPr>
            <w:t>地资</w:t>
          </w:r>
          <w:r>
            <w:rPr>
              <w:rFonts w:ascii="微软雅黑" w:hAnsi="微软雅黑" w:eastAsia="微软雅黑" w:cs="微软雅黑"/>
              <w:spacing w:val="-3"/>
              <w:position w:val="5"/>
              <w:sz w:val="22"/>
              <w:szCs w:val="22"/>
            </w:rPr>
            <w:fldChar w:fldCharType="end"/>
          </w:r>
        </w:p>
        <w:p w14:paraId="2A9D07BF">
          <w:pPr>
            <w:tabs>
              <w:tab w:val="right" w:leader="dot" w:pos="8830"/>
            </w:tabs>
            <w:spacing w:before="8" w:line="167" w:lineRule="auto"/>
            <w:ind w:left="16"/>
            <w:rPr>
              <w:rFonts w:ascii="宋体" w:hAnsi="宋体" w:eastAsia="宋体" w:cs="宋体"/>
              <w:sz w:val="22"/>
              <w:szCs w:val="22"/>
            </w:rPr>
          </w:pPr>
          <w:bookmarkStart w:id="343" w:name="bookmark458"/>
          <w:bookmarkEnd w:id="343"/>
          <w:r>
            <w:fldChar w:fldCharType="begin"/>
          </w:r>
          <w:r>
            <w:instrText xml:space="preserve"> HYPERLINK \l "bookmark458" </w:instrText>
          </w:r>
          <w:r>
            <w:fldChar w:fldCharType="separate"/>
          </w:r>
          <w:r>
            <w:rPr>
              <w:rFonts w:ascii="微软雅黑" w:hAnsi="微软雅黑" w:eastAsia="微软雅黑" w:cs="微软雅黑"/>
              <w:spacing w:val="-2"/>
              <w:sz w:val="22"/>
              <w:szCs w:val="22"/>
            </w:rPr>
            <w:t>质认可机关的</w:t>
          </w:r>
          <w:r>
            <w:rPr>
              <w:rFonts w:ascii="微软雅黑" w:hAnsi="微软雅黑" w:eastAsia="微软雅黑" w:cs="微软雅黑"/>
              <w:sz w:val="22"/>
              <w:szCs w:val="22"/>
            </w:rPr>
            <w:tab/>
          </w:r>
          <w:r>
            <w:rPr>
              <w:rFonts w:ascii="宋体" w:hAnsi="宋体" w:eastAsia="宋体" w:cs="宋体"/>
              <w:spacing w:val="-4"/>
              <w:sz w:val="22"/>
              <w:szCs w:val="22"/>
            </w:rPr>
            <w:t>226</w:t>
          </w:r>
          <w:r>
            <w:rPr>
              <w:rFonts w:ascii="宋体" w:hAnsi="宋体" w:eastAsia="宋体" w:cs="宋体"/>
              <w:spacing w:val="-4"/>
              <w:sz w:val="22"/>
              <w:szCs w:val="22"/>
            </w:rPr>
            <w:fldChar w:fldCharType="end"/>
          </w:r>
        </w:p>
        <w:p w14:paraId="5D89CF1F">
          <w:pPr>
            <w:spacing w:line="410" w:lineRule="exact"/>
            <w:ind w:left="10"/>
            <w:rPr>
              <w:rFonts w:ascii="微软雅黑" w:hAnsi="微软雅黑" w:eastAsia="微软雅黑" w:cs="微软雅黑"/>
              <w:sz w:val="22"/>
              <w:szCs w:val="22"/>
            </w:rPr>
          </w:pPr>
          <w:bookmarkStart w:id="344" w:name="bookmark460"/>
          <w:bookmarkEnd w:id="344"/>
          <w:r>
            <w:rPr>
              <w:rFonts w:ascii="仿宋" w:hAnsi="仿宋" w:eastAsia="仿宋" w:cs="仿宋"/>
              <w:spacing w:val="-2"/>
              <w:position w:val="5"/>
              <w:sz w:val="22"/>
              <w:szCs w:val="22"/>
            </w:rPr>
            <w:t>227</w:t>
          </w:r>
          <w:r>
            <w:rPr>
              <w:rFonts w:ascii="宋体" w:hAnsi="宋体" w:eastAsia="宋体" w:cs="宋体"/>
              <w:spacing w:val="-2"/>
              <w:position w:val="5"/>
              <w:sz w:val="22"/>
              <w:szCs w:val="22"/>
            </w:rPr>
            <w:t>．</w:t>
          </w:r>
          <w:r>
            <w:fldChar w:fldCharType="begin"/>
          </w:r>
          <w:r>
            <w:instrText xml:space="preserve"> HYPERLINK \l "bookmark461" </w:instrText>
          </w:r>
          <w:r>
            <w:fldChar w:fldCharType="separate"/>
          </w:r>
          <w:r>
            <w:rPr>
              <w:rFonts w:ascii="微软雅黑" w:hAnsi="微软雅黑" w:eastAsia="微软雅黑" w:cs="微软雅黑"/>
              <w:spacing w:val="-2"/>
              <w:position w:val="5"/>
              <w:sz w:val="22"/>
              <w:szCs w:val="22"/>
            </w:rPr>
            <w:t>安全评价检测检验机构未按照有关法规标准的强制性规定从事安全评价、检测检验活动</w:t>
          </w:r>
          <w:r>
            <w:rPr>
              <w:rFonts w:ascii="微软雅黑" w:hAnsi="微软雅黑" w:eastAsia="微软雅黑" w:cs="微软雅黑"/>
              <w:spacing w:val="-2"/>
              <w:position w:val="5"/>
              <w:sz w:val="22"/>
              <w:szCs w:val="22"/>
            </w:rPr>
            <w:fldChar w:fldCharType="end"/>
          </w:r>
        </w:p>
        <w:p w14:paraId="4D06BB9E">
          <w:pPr>
            <w:tabs>
              <w:tab w:val="right" w:leader="dot" w:pos="8829"/>
            </w:tabs>
            <w:spacing w:before="5" w:line="168" w:lineRule="auto"/>
            <w:ind w:left="32"/>
            <w:rPr>
              <w:rFonts w:ascii="宋体" w:hAnsi="宋体" w:eastAsia="宋体" w:cs="宋体"/>
              <w:sz w:val="22"/>
              <w:szCs w:val="22"/>
            </w:rPr>
          </w:pPr>
          <w:bookmarkStart w:id="345" w:name="bookmark460"/>
          <w:bookmarkEnd w:id="345"/>
          <w:r>
            <w:fldChar w:fldCharType="begin"/>
          </w:r>
          <w:r>
            <w:instrText xml:space="preserve"> HYPERLINK \l "bookmark460" </w:instrText>
          </w:r>
          <w:r>
            <w:fldChar w:fldCharType="separate"/>
          </w:r>
          <w:r>
            <w:rPr>
              <w:rFonts w:ascii="微软雅黑" w:hAnsi="微软雅黑" w:eastAsia="微软雅黑" w:cs="微软雅黑"/>
              <w:spacing w:val="-21"/>
              <w:w w:val="94"/>
              <w:sz w:val="22"/>
              <w:szCs w:val="22"/>
            </w:rPr>
            <w:t>的</w:t>
          </w:r>
          <w:r>
            <w:rPr>
              <w:rFonts w:ascii="微软雅黑" w:hAnsi="微软雅黑" w:eastAsia="微软雅黑" w:cs="微软雅黑"/>
              <w:sz w:val="22"/>
              <w:szCs w:val="22"/>
            </w:rPr>
            <w:tab/>
          </w:r>
          <w:r>
            <w:rPr>
              <w:rFonts w:ascii="宋体" w:hAnsi="宋体" w:eastAsia="宋体" w:cs="宋体"/>
              <w:spacing w:val="-4"/>
              <w:sz w:val="22"/>
              <w:szCs w:val="22"/>
            </w:rPr>
            <w:t>227</w:t>
          </w:r>
          <w:r>
            <w:rPr>
              <w:rFonts w:ascii="宋体" w:hAnsi="宋体" w:eastAsia="宋体" w:cs="宋体"/>
              <w:spacing w:val="-4"/>
              <w:sz w:val="22"/>
              <w:szCs w:val="22"/>
            </w:rPr>
            <w:fldChar w:fldCharType="end"/>
          </w:r>
        </w:p>
        <w:p w14:paraId="36A8552B">
          <w:pPr>
            <w:tabs>
              <w:tab w:val="right" w:leader="dot" w:pos="8842"/>
            </w:tabs>
            <w:spacing w:before="1" w:line="216" w:lineRule="auto"/>
            <w:ind w:left="10"/>
            <w:rPr>
              <w:rFonts w:ascii="宋体" w:hAnsi="宋体" w:eastAsia="宋体" w:cs="宋体"/>
              <w:sz w:val="22"/>
              <w:szCs w:val="22"/>
            </w:rPr>
          </w:pPr>
          <w:bookmarkStart w:id="346" w:name="bookmark462"/>
          <w:bookmarkEnd w:id="346"/>
          <w:r>
            <w:rPr>
              <w:rFonts w:ascii="仿宋" w:hAnsi="仿宋" w:eastAsia="仿宋" w:cs="仿宋"/>
              <w:sz w:val="22"/>
              <w:szCs w:val="22"/>
            </w:rPr>
            <w:t>228</w:t>
          </w:r>
          <w:r>
            <w:rPr>
              <w:rFonts w:ascii="宋体" w:hAnsi="宋体" w:eastAsia="宋体" w:cs="宋体"/>
              <w:sz w:val="22"/>
              <w:szCs w:val="22"/>
            </w:rPr>
            <w:t>．</w:t>
          </w:r>
          <w:r>
            <w:fldChar w:fldCharType="begin"/>
          </w:r>
          <w:r>
            <w:instrText xml:space="preserve"> HYPERLINK \l "bookmark463" </w:instrText>
          </w:r>
          <w:r>
            <w:fldChar w:fldCharType="separate"/>
          </w:r>
          <w:r>
            <w:rPr>
              <w:rFonts w:ascii="微软雅黑" w:hAnsi="微软雅黑" w:eastAsia="微软雅黑" w:cs="微软雅黑"/>
              <w:sz w:val="22"/>
              <w:szCs w:val="22"/>
            </w:rPr>
            <w:t>安全评价项目组组长及负责勘验人员不到现场实际地点开展勘验</w:t>
          </w:r>
          <w:r>
            <w:rPr>
              <w:rFonts w:ascii="微软雅黑" w:hAnsi="微软雅黑" w:eastAsia="微软雅黑" w:cs="微软雅黑"/>
              <w:spacing w:val="-1"/>
              <w:sz w:val="22"/>
              <w:szCs w:val="22"/>
            </w:rPr>
            <w:t>等有关工作的</w:t>
          </w:r>
          <w:r>
            <w:rPr>
              <w:rFonts w:ascii="微软雅黑" w:hAnsi="微软雅黑" w:eastAsia="微软雅黑" w:cs="微软雅黑"/>
              <w:sz w:val="22"/>
              <w:szCs w:val="22"/>
            </w:rPr>
            <w:tab/>
          </w:r>
          <w:r>
            <w:rPr>
              <w:rFonts w:ascii="宋体" w:hAnsi="宋体" w:eastAsia="宋体" w:cs="宋体"/>
              <w:spacing w:val="-4"/>
              <w:sz w:val="22"/>
              <w:szCs w:val="22"/>
            </w:rPr>
            <w:t>228</w:t>
          </w:r>
          <w:r>
            <w:rPr>
              <w:rFonts w:ascii="宋体" w:hAnsi="宋体" w:eastAsia="宋体" w:cs="宋体"/>
              <w:spacing w:val="-4"/>
              <w:sz w:val="22"/>
              <w:szCs w:val="22"/>
            </w:rPr>
            <w:fldChar w:fldCharType="end"/>
          </w:r>
        </w:p>
        <w:p w14:paraId="528443B2">
          <w:pPr>
            <w:spacing w:line="409" w:lineRule="exact"/>
            <w:ind w:left="10"/>
            <w:rPr>
              <w:rFonts w:ascii="微软雅黑" w:hAnsi="微软雅黑" w:eastAsia="微软雅黑" w:cs="微软雅黑"/>
              <w:sz w:val="22"/>
              <w:szCs w:val="22"/>
            </w:rPr>
          </w:pPr>
          <w:bookmarkStart w:id="347" w:name="bookmark464"/>
          <w:bookmarkEnd w:id="347"/>
          <w:r>
            <w:rPr>
              <w:rFonts w:ascii="仿宋" w:hAnsi="仿宋" w:eastAsia="仿宋" w:cs="仿宋"/>
              <w:spacing w:val="-2"/>
              <w:position w:val="5"/>
              <w:sz w:val="22"/>
              <w:szCs w:val="22"/>
            </w:rPr>
            <w:t>229</w:t>
          </w:r>
          <w:r>
            <w:rPr>
              <w:rFonts w:ascii="宋体" w:hAnsi="宋体" w:eastAsia="宋体" w:cs="宋体"/>
              <w:spacing w:val="-2"/>
              <w:position w:val="5"/>
              <w:sz w:val="22"/>
              <w:szCs w:val="22"/>
            </w:rPr>
            <w:t>．</w:t>
          </w:r>
          <w:r>
            <w:fldChar w:fldCharType="begin"/>
          </w:r>
          <w:r>
            <w:instrText xml:space="preserve"> HYPERLINK \l "bookmark465" </w:instrText>
          </w:r>
          <w:r>
            <w:fldChar w:fldCharType="separate"/>
          </w:r>
          <w:r>
            <w:rPr>
              <w:rFonts w:ascii="微软雅黑" w:hAnsi="微软雅黑" w:eastAsia="微软雅黑" w:cs="微软雅黑"/>
              <w:spacing w:val="-2"/>
              <w:position w:val="5"/>
              <w:sz w:val="22"/>
              <w:szCs w:val="22"/>
            </w:rPr>
            <w:t>安全生产检测检验机构出具的安全生产检测检验报告存在法规标准引用错误、关键</w:t>
          </w:r>
          <w:r>
            <w:rPr>
              <w:rFonts w:ascii="微软雅黑" w:hAnsi="微软雅黑" w:eastAsia="微软雅黑" w:cs="微软雅黑"/>
              <w:spacing w:val="-3"/>
              <w:position w:val="5"/>
              <w:sz w:val="22"/>
              <w:szCs w:val="22"/>
            </w:rPr>
            <w:t>项目</w:t>
          </w:r>
          <w:r>
            <w:rPr>
              <w:rFonts w:ascii="微软雅黑" w:hAnsi="微软雅黑" w:eastAsia="微软雅黑" w:cs="微软雅黑"/>
              <w:spacing w:val="-3"/>
              <w:position w:val="5"/>
              <w:sz w:val="22"/>
              <w:szCs w:val="22"/>
            </w:rPr>
            <w:fldChar w:fldCharType="end"/>
          </w:r>
        </w:p>
        <w:p w14:paraId="20B7E032">
          <w:pPr>
            <w:tabs>
              <w:tab w:val="right" w:leader="dot" w:pos="8837"/>
            </w:tabs>
            <w:spacing w:before="6" w:line="168" w:lineRule="auto"/>
            <w:ind w:left="18"/>
            <w:rPr>
              <w:rFonts w:ascii="宋体" w:hAnsi="宋体" w:eastAsia="宋体" w:cs="宋体"/>
              <w:sz w:val="22"/>
              <w:szCs w:val="22"/>
            </w:rPr>
          </w:pPr>
          <w:bookmarkStart w:id="348" w:name="bookmark464"/>
          <w:bookmarkEnd w:id="348"/>
          <w:r>
            <w:fldChar w:fldCharType="begin"/>
          </w:r>
          <w:r>
            <w:instrText xml:space="preserve"> HYPERLINK \l "bookmark464" </w:instrText>
          </w:r>
          <w:r>
            <w:fldChar w:fldCharType="separate"/>
          </w:r>
          <w:r>
            <w:rPr>
              <w:rFonts w:ascii="微软雅黑" w:hAnsi="微软雅黑" w:eastAsia="微软雅黑" w:cs="微软雅黑"/>
              <w:spacing w:val="-1"/>
              <w:sz w:val="22"/>
              <w:szCs w:val="22"/>
            </w:rPr>
            <w:t>漏检、结论不明确等重大疏漏，但尚未造成重大损失的</w:t>
          </w:r>
          <w:r>
            <w:rPr>
              <w:rFonts w:ascii="微软雅黑" w:hAnsi="微软雅黑" w:eastAsia="微软雅黑" w:cs="微软雅黑"/>
              <w:sz w:val="22"/>
              <w:szCs w:val="22"/>
            </w:rPr>
            <w:tab/>
          </w:r>
          <w:r>
            <w:rPr>
              <w:rFonts w:ascii="宋体" w:hAnsi="宋体" w:eastAsia="宋体" w:cs="宋体"/>
              <w:spacing w:val="-4"/>
              <w:sz w:val="22"/>
              <w:szCs w:val="22"/>
            </w:rPr>
            <w:t>229</w:t>
          </w:r>
          <w:r>
            <w:rPr>
              <w:rFonts w:ascii="宋体" w:hAnsi="宋体" w:eastAsia="宋体" w:cs="宋体"/>
              <w:spacing w:val="-4"/>
              <w:sz w:val="22"/>
              <w:szCs w:val="22"/>
            </w:rPr>
            <w:fldChar w:fldCharType="end"/>
          </w:r>
        </w:p>
        <w:p w14:paraId="239FA372">
          <w:pPr>
            <w:tabs>
              <w:tab w:val="right" w:leader="dot" w:pos="8839"/>
            </w:tabs>
            <w:spacing w:before="1" w:line="216" w:lineRule="auto"/>
            <w:ind w:left="10"/>
            <w:rPr>
              <w:rFonts w:ascii="宋体" w:hAnsi="宋体" w:eastAsia="宋体" w:cs="宋体"/>
              <w:sz w:val="22"/>
              <w:szCs w:val="22"/>
            </w:rPr>
          </w:pPr>
          <w:bookmarkStart w:id="349" w:name="bookmark466"/>
          <w:bookmarkEnd w:id="349"/>
          <w:r>
            <w:rPr>
              <w:rFonts w:ascii="仿宋" w:hAnsi="仿宋" w:eastAsia="仿宋" w:cs="仿宋"/>
              <w:sz w:val="22"/>
              <w:szCs w:val="22"/>
            </w:rPr>
            <w:t>230</w:t>
          </w:r>
          <w:r>
            <w:rPr>
              <w:rFonts w:ascii="宋体" w:hAnsi="宋体" w:eastAsia="宋体" w:cs="宋体"/>
              <w:sz w:val="22"/>
              <w:szCs w:val="22"/>
            </w:rPr>
            <w:t>．</w:t>
          </w:r>
          <w:r>
            <w:fldChar w:fldCharType="begin"/>
          </w:r>
          <w:r>
            <w:instrText xml:space="preserve"> HYPERLINK \l "bookmark467" </w:instrText>
          </w:r>
          <w:r>
            <w:fldChar w:fldCharType="separate"/>
          </w:r>
          <w:r>
            <w:rPr>
              <w:rFonts w:ascii="微软雅黑" w:hAnsi="微软雅黑" w:eastAsia="微软雅黑" w:cs="微软雅黑"/>
              <w:sz w:val="22"/>
              <w:szCs w:val="22"/>
            </w:rPr>
            <w:t>未按照规定采取预防措施，导致发生较大以</w:t>
          </w:r>
          <w:r>
            <w:rPr>
              <w:rFonts w:ascii="微软雅黑" w:hAnsi="微软雅黑" w:eastAsia="微软雅黑" w:cs="微软雅黑"/>
              <w:spacing w:val="-1"/>
              <w:sz w:val="22"/>
              <w:szCs w:val="22"/>
            </w:rPr>
            <w:t>上突发事件的</w:t>
          </w:r>
          <w:r>
            <w:rPr>
              <w:rFonts w:ascii="微软雅黑" w:hAnsi="微软雅黑" w:eastAsia="微软雅黑" w:cs="微软雅黑"/>
              <w:sz w:val="22"/>
              <w:szCs w:val="22"/>
            </w:rPr>
            <w:tab/>
          </w:r>
          <w:r>
            <w:rPr>
              <w:rFonts w:ascii="宋体" w:hAnsi="宋体" w:eastAsia="宋体" w:cs="宋体"/>
              <w:spacing w:val="-4"/>
              <w:sz w:val="22"/>
              <w:szCs w:val="22"/>
            </w:rPr>
            <w:t>230</w:t>
          </w:r>
          <w:r>
            <w:rPr>
              <w:rFonts w:ascii="宋体" w:hAnsi="宋体" w:eastAsia="宋体" w:cs="宋体"/>
              <w:spacing w:val="-4"/>
              <w:sz w:val="22"/>
              <w:szCs w:val="22"/>
            </w:rPr>
            <w:fldChar w:fldCharType="end"/>
          </w:r>
        </w:p>
        <w:p w14:paraId="09487397">
          <w:pPr>
            <w:tabs>
              <w:tab w:val="right" w:leader="dot" w:pos="8842"/>
            </w:tabs>
            <w:spacing w:line="216" w:lineRule="auto"/>
            <w:ind w:left="10"/>
            <w:rPr>
              <w:rFonts w:ascii="宋体" w:hAnsi="宋体" w:eastAsia="宋体" w:cs="宋体"/>
              <w:sz w:val="22"/>
              <w:szCs w:val="22"/>
            </w:rPr>
          </w:pPr>
          <w:bookmarkStart w:id="350" w:name="bookmark468"/>
          <w:bookmarkEnd w:id="350"/>
          <w:r>
            <w:rPr>
              <w:rFonts w:ascii="仿宋" w:hAnsi="仿宋" w:eastAsia="仿宋" w:cs="仿宋"/>
              <w:sz w:val="22"/>
              <w:szCs w:val="22"/>
            </w:rPr>
            <w:t>231</w:t>
          </w:r>
          <w:r>
            <w:rPr>
              <w:rFonts w:ascii="宋体" w:hAnsi="宋体" w:eastAsia="宋体" w:cs="宋体"/>
              <w:sz w:val="22"/>
              <w:szCs w:val="22"/>
            </w:rPr>
            <w:t>．</w:t>
          </w:r>
          <w:r>
            <w:fldChar w:fldCharType="begin"/>
          </w:r>
          <w:r>
            <w:instrText xml:space="preserve"> HYPERLINK \l "bookmark469" </w:instrText>
          </w:r>
          <w:r>
            <w:fldChar w:fldCharType="separate"/>
          </w:r>
          <w:r>
            <w:rPr>
              <w:rFonts w:ascii="微软雅黑" w:hAnsi="微软雅黑" w:eastAsia="微软雅黑" w:cs="微软雅黑"/>
              <w:sz w:val="22"/>
              <w:szCs w:val="22"/>
            </w:rPr>
            <w:t>未及时消除已发现的可能引发突发事件的隐患，导致发生较大以</w:t>
          </w:r>
          <w:r>
            <w:rPr>
              <w:rFonts w:ascii="微软雅黑" w:hAnsi="微软雅黑" w:eastAsia="微软雅黑" w:cs="微软雅黑"/>
              <w:spacing w:val="-1"/>
              <w:sz w:val="22"/>
              <w:szCs w:val="22"/>
            </w:rPr>
            <w:t>上突发事件的</w:t>
          </w:r>
          <w:r>
            <w:rPr>
              <w:rFonts w:ascii="微软雅黑" w:hAnsi="微软雅黑" w:eastAsia="微软雅黑" w:cs="微软雅黑"/>
              <w:sz w:val="22"/>
              <w:szCs w:val="22"/>
            </w:rPr>
            <w:tab/>
          </w:r>
          <w:r>
            <w:rPr>
              <w:rFonts w:ascii="宋体" w:hAnsi="宋体" w:eastAsia="宋体" w:cs="宋体"/>
              <w:spacing w:val="-4"/>
              <w:sz w:val="22"/>
              <w:szCs w:val="22"/>
            </w:rPr>
            <w:t>231</w:t>
          </w:r>
          <w:r>
            <w:rPr>
              <w:rFonts w:ascii="宋体" w:hAnsi="宋体" w:eastAsia="宋体" w:cs="宋体"/>
              <w:spacing w:val="-4"/>
              <w:sz w:val="22"/>
              <w:szCs w:val="22"/>
            </w:rPr>
            <w:fldChar w:fldCharType="end"/>
          </w:r>
        </w:p>
        <w:p w14:paraId="17B61971">
          <w:pPr>
            <w:spacing w:line="410" w:lineRule="exact"/>
            <w:ind w:left="10"/>
            <w:rPr>
              <w:rFonts w:ascii="微软雅黑" w:hAnsi="微软雅黑" w:eastAsia="微软雅黑" w:cs="微软雅黑"/>
              <w:sz w:val="22"/>
              <w:szCs w:val="22"/>
            </w:rPr>
          </w:pPr>
          <w:bookmarkStart w:id="351" w:name="bookmark470"/>
          <w:bookmarkEnd w:id="351"/>
          <w:r>
            <w:rPr>
              <w:rFonts w:ascii="仿宋" w:hAnsi="仿宋" w:eastAsia="仿宋" w:cs="仿宋"/>
              <w:spacing w:val="-2"/>
              <w:position w:val="5"/>
              <w:sz w:val="22"/>
              <w:szCs w:val="22"/>
            </w:rPr>
            <w:t>232</w:t>
          </w:r>
          <w:r>
            <w:rPr>
              <w:rFonts w:ascii="宋体" w:hAnsi="宋体" w:eastAsia="宋体" w:cs="宋体"/>
              <w:spacing w:val="-2"/>
              <w:position w:val="5"/>
              <w:sz w:val="22"/>
              <w:szCs w:val="22"/>
            </w:rPr>
            <w:t>．</w:t>
          </w:r>
          <w:r>
            <w:fldChar w:fldCharType="begin"/>
          </w:r>
          <w:r>
            <w:instrText xml:space="preserve"> HYPERLINK \l "bookmark471" </w:instrText>
          </w:r>
          <w:r>
            <w:fldChar w:fldCharType="separate"/>
          </w:r>
          <w:r>
            <w:rPr>
              <w:rFonts w:ascii="微软雅黑" w:hAnsi="微软雅黑" w:eastAsia="微软雅黑" w:cs="微软雅黑"/>
              <w:spacing w:val="-2"/>
              <w:position w:val="5"/>
              <w:sz w:val="22"/>
              <w:szCs w:val="22"/>
            </w:rPr>
            <w:t>未做好应急物资储备和应急设备、设施日常维护、检测工作，导致发生较大以上</w:t>
          </w:r>
          <w:r>
            <w:rPr>
              <w:rFonts w:ascii="微软雅黑" w:hAnsi="微软雅黑" w:eastAsia="微软雅黑" w:cs="微软雅黑"/>
              <w:spacing w:val="-3"/>
              <w:position w:val="5"/>
              <w:sz w:val="22"/>
              <w:szCs w:val="22"/>
            </w:rPr>
            <w:t>突发事</w:t>
          </w:r>
          <w:r>
            <w:rPr>
              <w:rFonts w:ascii="微软雅黑" w:hAnsi="微软雅黑" w:eastAsia="微软雅黑" w:cs="微软雅黑"/>
              <w:spacing w:val="-3"/>
              <w:position w:val="5"/>
              <w:sz w:val="22"/>
              <w:szCs w:val="22"/>
            </w:rPr>
            <w:fldChar w:fldCharType="end"/>
          </w:r>
        </w:p>
        <w:p w14:paraId="4BAF60C5">
          <w:pPr>
            <w:tabs>
              <w:tab w:val="right" w:leader="dot" w:pos="8832"/>
            </w:tabs>
            <w:spacing w:before="7" w:line="167" w:lineRule="auto"/>
            <w:ind w:left="13"/>
            <w:rPr>
              <w:rFonts w:ascii="宋体" w:hAnsi="宋体" w:eastAsia="宋体" w:cs="宋体"/>
              <w:sz w:val="22"/>
              <w:szCs w:val="22"/>
            </w:rPr>
          </w:pPr>
          <w:bookmarkStart w:id="352" w:name="bookmark470"/>
          <w:bookmarkEnd w:id="352"/>
          <w:r>
            <w:fldChar w:fldCharType="begin"/>
          </w:r>
          <w:r>
            <w:instrText xml:space="preserve"> HYPERLINK \l "bookmark470" </w:instrText>
          </w:r>
          <w:r>
            <w:fldChar w:fldCharType="separate"/>
          </w:r>
          <w:r>
            <w:rPr>
              <w:rFonts w:ascii="微软雅黑" w:hAnsi="微软雅黑" w:eastAsia="微软雅黑" w:cs="微软雅黑"/>
              <w:spacing w:val="-1"/>
              <w:sz w:val="22"/>
              <w:szCs w:val="22"/>
            </w:rPr>
            <w:t>件或者突发事件危害扩大的</w:t>
          </w:r>
          <w:r>
            <w:rPr>
              <w:rFonts w:ascii="微软雅黑" w:hAnsi="微软雅黑" w:eastAsia="微软雅黑" w:cs="微软雅黑"/>
              <w:sz w:val="22"/>
              <w:szCs w:val="22"/>
            </w:rPr>
            <w:tab/>
          </w:r>
          <w:r>
            <w:rPr>
              <w:rFonts w:ascii="宋体" w:hAnsi="宋体" w:eastAsia="宋体" w:cs="宋体"/>
              <w:spacing w:val="-4"/>
              <w:sz w:val="22"/>
              <w:szCs w:val="22"/>
            </w:rPr>
            <w:t>232</w:t>
          </w:r>
          <w:r>
            <w:rPr>
              <w:rFonts w:ascii="宋体" w:hAnsi="宋体" w:eastAsia="宋体" w:cs="宋体"/>
              <w:spacing w:val="-4"/>
              <w:sz w:val="22"/>
              <w:szCs w:val="22"/>
            </w:rPr>
            <w:fldChar w:fldCharType="end"/>
          </w:r>
        </w:p>
        <w:p w14:paraId="286176EF">
          <w:pPr>
            <w:tabs>
              <w:tab w:val="right" w:leader="dot" w:pos="8840"/>
            </w:tabs>
            <w:spacing w:before="1" w:line="216" w:lineRule="auto"/>
            <w:ind w:left="10"/>
            <w:rPr>
              <w:rFonts w:ascii="宋体" w:hAnsi="宋体" w:eastAsia="宋体" w:cs="宋体"/>
              <w:sz w:val="22"/>
              <w:szCs w:val="22"/>
            </w:rPr>
          </w:pPr>
          <w:bookmarkStart w:id="353" w:name="bookmark472"/>
          <w:bookmarkEnd w:id="353"/>
          <w:r>
            <w:rPr>
              <w:rFonts w:ascii="仿宋" w:hAnsi="仿宋" w:eastAsia="仿宋" w:cs="仿宋"/>
              <w:sz w:val="22"/>
              <w:szCs w:val="22"/>
            </w:rPr>
            <w:t>233</w:t>
          </w:r>
          <w:r>
            <w:rPr>
              <w:rFonts w:ascii="宋体" w:hAnsi="宋体" w:eastAsia="宋体" w:cs="宋体"/>
              <w:sz w:val="22"/>
              <w:szCs w:val="22"/>
            </w:rPr>
            <w:t>．</w:t>
          </w:r>
          <w:r>
            <w:fldChar w:fldCharType="begin"/>
          </w:r>
          <w:r>
            <w:instrText xml:space="preserve"> HYPERLINK \l "bookmark473" </w:instrText>
          </w:r>
          <w:r>
            <w:fldChar w:fldCharType="separate"/>
          </w:r>
          <w:r>
            <w:rPr>
              <w:rFonts w:ascii="微软雅黑" w:hAnsi="微软雅黑" w:eastAsia="微软雅黑" w:cs="微软雅黑"/>
              <w:sz w:val="22"/>
              <w:szCs w:val="22"/>
            </w:rPr>
            <w:t>突发事件发生后，不及时组织开展应急救援工作，造成</w:t>
          </w:r>
          <w:r>
            <w:rPr>
              <w:rFonts w:ascii="微软雅黑" w:hAnsi="微软雅黑" w:eastAsia="微软雅黑" w:cs="微软雅黑"/>
              <w:spacing w:val="-1"/>
              <w:sz w:val="22"/>
              <w:szCs w:val="22"/>
            </w:rPr>
            <w:t>严重后果的</w:t>
          </w:r>
          <w:r>
            <w:rPr>
              <w:rFonts w:ascii="微软雅黑" w:hAnsi="微软雅黑" w:eastAsia="微软雅黑" w:cs="微软雅黑"/>
              <w:sz w:val="22"/>
              <w:szCs w:val="22"/>
            </w:rPr>
            <w:tab/>
          </w:r>
          <w:r>
            <w:rPr>
              <w:rFonts w:ascii="宋体" w:hAnsi="宋体" w:eastAsia="宋体" w:cs="宋体"/>
              <w:spacing w:val="-4"/>
              <w:sz w:val="22"/>
              <w:szCs w:val="22"/>
            </w:rPr>
            <w:t>233</w:t>
          </w:r>
          <w:r>
            <w:rPr>
              <w:rFonts w:ascii="宋体" w:hAnsi="宋体" w:eastAsia="宋体" w:cs="宋体"/>
              <w:spacing w:val="-4"/>
              <w:sz w:val="22"/>
              <w:szCs w:val="22"/>
            </w:rPr>
            <w:fldChar w:fldCharType="end"/>
          </w:r>
        </w:p>
        <w:p w14:paraId="1181D2FA">
          <w:pPr>
            <w:spacing w:before="31" w:line="180" w:lineRule="auto"/>
            <w:jc w:val="right"/>
            <w:rPr>
              <w:rFonts w:ascii="宋体" w:hAnsi="宋体" w:eastAsia="宋体" w:cs="宋体"/>
              <w:sz w:val="23"/>
              <w:szCs w:val="23"/>
            </w:rPr>
          </w:pPr>
          <w:bookmarkStart w:id="354" w:name="bookmark474"/>
          <w:bookmarkEnd w:id="354"/>
          <w:r>
            <w:fldChar w:fldCharType="begin"/>
          </w:r>
          <w:r>
            <w:instrText xml:space="preserve"> HYPERLINK \l "bookmark475" </w:instrText>
          </w:r>
          <w:r>
            <w:fldChar w:fldCharType="separate"/>
          </w:r>
          <w:r>
            <w:rPr>
              <w:rFonts w:ascii="微软雅黑" w:hAnsi="微软雅黑" w:eastAsia="微软雅黑" w:cs="微软雅黑"/>
              <w:spacing w:val="-3"/>
              <w:sz w:val="28"/>
              <w:szCs w:val="28"/>
            </w:rPr>
            <w:t>第三部分应急管理轻微违法行为可以不予行政处罚事项清单（</w:t>
          </w:r>
          <w:r>
            <w:rPr>
              <w:rFonts w:ascii="微软雅黑" w:hAnsi="微软雅黑" w:eastAsia="微软雅黑" w:cs="微软雅黑"/>
              <w:spacing w:val="-4"/>
              <w:sz w:val="28"/>
              <w:szCs w:val="28"/>
            </w:rPr>
            <w:t>试行）</w:t>
          </w:r>
          <w:r>
            <w:rPr>
              <w:rFonts w:ascii="宋体" w:hAnsi="宋体" w:eastAsia="宋体" w:cs="宋体"/>
              <w:spacing w:val="-4"/>
              <w:sz w:val="23"/>
              <w:szCs w:val="23"/>
            </w:rPr>
            <w:t>235</w:t>
          </w:r>
          <w:r>
            <w:rPr>
              <w:rFonts w:ascii="宋体" w:hAnsi="宋体" w:eastAsia="宋体" w:cs="宋体"/>
              <w:spacing w:val="-4"/>
              <w:sz w:val="23"/>
              <w:szCs w:val="23"/>
            </w:rPr>
            <w:fldChar w:fldCharType="end"/>
          </w:r>
        </w:p>
      </w:sdtContent>
    </w:sdt>
    <w:p w14:paraId="0DBBDFCE">
      <w:pPr>
        <w:spacing w:line="180" w:lineRule="auto"/>
        <w:rPr>
          <w:rFonts w:ascii="宋体" w:hAnsi="宋体" w:eastAsia="宋体" w:cs="宋体"/>
          <w:sz w:val="23"/>
          <w:szCs w:val="23"/>
        </w:rPr>
        <w:sectPr>
          <w:footerReference r:id="rId15" w:type="default"/>
          <w:pgSz w:w="11906" w:h="16839"/>
          <w:pgMar w:top="1431" w:right="1421" w:bottom="1116" w:left="1586" w:header="0" w:footer="837" w:gutter="0"/>
          <w:cols w:space="720" w:num="1"/>
        </w:sectPr>
      </w:pPr>
    </w:p>
    <w:p w14:paraId="6D587DE1">
      <w:pPr>
        <w:pStyle w:val="2"/>
        <w:spacing w:line="276" w:lineRule="auto"/>
      </w:pPr>
    </w:p>
    <w:p w14:paraId="495C4101">
      <w:pPr>
        <w:pStyle w:val="2"/>
        <w:spacing w:line="276" w:lineRule="auto"/>
      </w:pPr>
    </w:p>
    <w:p w14:paraId="064A6930">
      <w:pPr>
        <w:spacing w:before="184" w:line="183" w:lineRule="auto"/>
        <w:ind w:left="2583"/>
        <w:outlineLvl w:val="0"/>
        <w:rPr>
          <w:rFonts w:ascii="微软雅黑" w:hAnsi="微软雅黑" w:eastAsia="微软雅黑" w:cs="微软雅黑"/>
          <w:sz w:val="43"/>
          <w:szCs w:val="43"/>
        </w:rPr>
      </w:pPr>
      <w:bookmarkStart w:id="355" w:name="bookmark2"/>
      <w:bookmarkEnd w:id="355"/>
      <w:r>
        <w:rPr>
          <w:rFonts w:ascii="微软雅黑" w:hAnsi="微软雅黑" w:eastAsia="微软雅黑" w:cs="微软雅黑"/>
          <w:spacing w:val="7"/>
          <w:sz w:val="43"/>
          <w:szCs w:val="43"/>
        </w:rPr>
        <w:t>第一部分适用说明</w:t>
      </w:r>
    </w:p>
    <w:p w14:paraId="7719173D">
      <w:pPr>
        <w:pStyle w:val="2"/>
        <w:spacing w:line="256" w:lineRule="auto"/>
      </w:pPr>
    </w:p>
    <w:p w14:paraId="283A9657">
      <w:pPr>
        <w:pStyle w:val="2"/>
        <w:spacing w:line="257" w:lineRule="auto"/>
      </w:pPr>
    </w:p>
    <w:p w14:paraId="0D1CAE48">
      <w:pPr>
        <w:spacing w:before="133"/>
        <w:ind w:right="70" w:firstLine="697"/>
        <w:rPr>
          <w:rFonts w:ascii="微软雅黑" w:hAnsi="微软雅黑" w:eastAsia="微软雅黑" w:cs="微软雅黑"/>
          <w:sz w:val="31"/>
          <w:szCs w:val="31"/>
        </w:rPr>
      </w:pPr>
      <w:r>
        <w:rPr>
          <w:rFonts w:ascii="微软雅黑" w:hAnsi="微软雅黑" w:eastAsia="微软雅黑" w:cs="微软雅黑"/>
          <w:spacing w:val="5"/>
          <w:sz w:val="31"/>
          <w:szCs w:val="31"/>
        </w:rPr>
        <w:t>一、为进一步指导应急管理部门规范行使行政处罚裁量权，提高行政执法水平，根据《中华人民共和国行政处罚</w:t>
      </w:r>
      <w:r>
        <w:rPr>
          <w:rFonts w:ascii="微软雅黑" w:hAnsi="微软雅黑" w:eastAsia="微软雅黑" w:cs="微软雅黑"/>
          <w:spacing w:val="4"/>
          <w:sz w:val="31"/>
          <w:szCs w:val="31"/>
        </w:rPr>
        <w:t>法》《中华</w:t>
      </w:r>
      <w:r>
        <w:rPr>
          <w:rFonts w:ascii="微软雅黑" w:hAnsi="微软雅黑" w:eastAsia="微软雅黑" w:cs="微软雅黑"/>
          <w:spacing w:val="6"/>
          <w:sz w:val="31"/>
          <w:szCs w:val="31"/>
        </w:rPr>
        <w:t>人民共和国安全生产法》等法律法规以及国务院有关规</w:t>
      </w:r>
      <w:r>
        <w:rPr>
          <w:rFonts w:ascii="微软雅黑" w:hAnsi="微软雅黑" w:eastAsia="微软雅黑" w:cs="微软雅黑"/>
          <w:spacing w:val="5"/>
          <w:sz w:val="31"/>
          <w:szCs w:val="31"/>
        </w:rPr>
        <w:t>定，制定</w:t>
      </w:r>
      <w:r>
        <w:rPr>
          <w:rFonts w:ascii="微软雅黑" w:hAnsi="微软雅黑" w:eastAsia="微软雅黑" w:cs="微软雅黑"/>
          <w:spacing w:val="8"/>
          <w:sz w:val="31"/>
          <w:szCs w:val="31"/>
        </w:rPr>
        <w:t>《应急管理行政处罚裁量权基准》（以下简称《基准》）。</w:t>
      </w:r>
    </w:p>
    <w:p w14:paraId="195C13BB">
      <w:pPr>
        <w:spacing w:before="117" w:line="243" w:lineRule="auto"/>
        <w:ind w:left="27" w:right="1" w:firstLine="665"/>
        <w:rPr>
          <w:rFonts w:ascii="微软雅黑" w:hAnsi="微软雅黑" w:eastAsia="微软雅黑" w:cs="微软雅黑"/>
          <w:sz w:val="31"/>
          <w:szCs w:val="31"/>
        </w:rPr>
      </w:pPr>
      <w:r>
        <w:rPr>
          <w:rFonts w:ascii="微软雅黑" w:hAnsi="微软雅黑" w:eastAsia="微软雅黑" w:cs="微软雅黑"/>
          <w:spacing w:val="-11"/>
          <w:sz w:val="31"/>
          <w:szCs w:val="31"/>
        </w:rPr>
        <w:t>二、《基准》适用于对应急管理违法行为的行政处罚裁量（不</w:t>
      </w:r>
      <w:r>
        <w:rPr>
          <w:rFonts w:ascii="微软雅黑" w:hAnsi="微软雅黑" w:eastAsia="微软雅黑" w:cs="微软雅黑"/>
          <w:spacing w:val="5"/>
          <w:sz w:val="31"/>
          <w:szCs w:val="31"/>
        </w:rPr>
        <w:t>含消防、矿山、地震）。根据《国务院办公厅关于进一步规范行政裁量权基准制定和管理工作的意见》《应急管理行</w:t>
      </w:r>
      <w:r>
        <w:rPr>
          <w:rFonts w:ascii="微软雅黑" w:hAnsi="微软雅黑" w:eastAsia="微软雅黑" w:cs="微软雅黑"/>
          <w:spacing w:val="4"/>
          <w:sz w:val="31"/>
          <w:szCs w:val="31"/>
        </w:rPr>
        <w:t>政裁量权基</w:t>
      </w:r>
      <w:r>
        <w:rPr>
          <w:rFonts w:ascii="微软雅黑" w:hAnsi="微软雅黑" w:eastAsia="微软雅黑" w:cs="微软雅黑"/>
          <w:spacing w:val="-2"/>
          <w:sz w:val="31"/>
          <w:szCs w:val="31"/>
        </w:rPr>
        <w:t>准暂行规定》，制定相关行政处罚裁量基准细则，包括违法行为、</w:t>
      </w:r>
      <w:r>
        <w:rPr>
          <w:rFonts w:ascii="微软雅黑" w:hAnsi="微软雅黑" w:eastAsia="微软雅黑" w:cs="微软雅黑"/>
          <w:spacing w:val="8"/>
          <w:sz w:val="31"/>
          <w:szCs w:val="31"/>
        </w:rPr>
        <w:t>法律规定、处罚依据、裁量阶次、适用条件和具体标准等内容。</w:t>
      </w:r>
    </w:p>
    <w:p w14:paraId="20B60F23">
      <w:pPr>
        <w:spacing w:before="103" w:line="241" w:lineRule="auto"/>
        <w:ind w:left="39" w:right="106" w:firstLine="657"/>
        <w:rPr>
          <w:rFonts w:ascii="微软雅黑" w:hAnsi="微软雅黑" w:eastAsia="微软雅黑" w:cs="微软雅黑"/>
          <w:sz w:val="31"/>
          <w:szCs w:val="31"/>
        </w:rPr>
      </w:pPr>
      <w:r>
        <w:rPr>
          <w:rFonts w:ascii="微软雅黑" w:hAnsi="微软雅黑" w:eastAsia="微软雅黑" w:cs="微软雅黑"/>
          <w:spacing w:val="3"/>
          <w:sz w:val="31"/>
          <w:szCs w:val="31"/>
        </w:rPr>
        <w:t>三、《基准》涉及的应急管理行政处罚裁量权，是指各级应</w:t>
      </w:r>
      <w:r>
        <w:rPr>
          <w:rFonts w:ascii="微软雅黑" w:hAnsi="微软雅黑" w:eastAsia="微软雅黑" w:cs="微软雅黑"/>
          <w:spacing w:val="2"/>
          <w:sz w:val="31"/>
          <w:szCs w:val="31"/>
        </w:rPr>
        <w:t>急管理部门在对违法行为实施</w:t>
      </w:r>
      <w:r>
        <w:rPr>
          <w:rFonts w:ascii="宋体" w:hAnsi="宋体" w:eastAsia="宋体" w:cs="宋体"/>
          <w:spacing w:val="2"/>
          <w:sz w:val="31"/>
          <w:szCs w:val="31"/>
        </w:rPr>
        <w:t>“</w:t>
      </w:r>
      <w:r>
        <w:rPr>
          <w:rFonts w:ascii="微软雅黑" w:hAnsi="微软雅黑" w:eastAsia="微软雅黑" w:cs="微软雅黑"/>
          <w:spacing w:val="2"/>
          <w:sz w:val="31"/>
          <w:szCs w:val="31"/>
        </w:rPr>
        <w:t>罚款</w:t>
      </w:r>
      <w:r>
        <w:rPr>
          <w:rFonts w:ascii="宋体" w:hAnsi="宋体" w:eastAsia="宋体" w:cs="宋体"/>
          <w:spacing w:val="2"/>
          <w:sz w:val="31"/>
          <w:szCs w:val="31"/>
        </w:rPr>
        <w:t>”</w:t>
      </w:r>
      <w:r>
        <w:rPr>
          <w:rFonts w:ascii="微软雅黑" w:hAnsi="微软雅黑" w:eastAsia="微软雅黑" w:cs="微软雅黑"/>
          <w:spacing w:val="2"/>
          <w:sz w:val="31"/>
          <w:szCs w:val="31"/>
        </w:rPr>
        <w:t>时，确定</w:t>
      </w:r>
      <w:r>
        <w:rPr>
          <w:rFonts w:ascii="宋体" w:hAnsi="宋体" w:eastAsia="宋体" w:cs="宋体"/>
          <w:spacing w:val="2"/>
          <w:sz w:val="31"/>
          <w:szCs w:val="31"/>
        </w:rPr>
        <w:t>“</w:t>
      </w:r>
      <w:r>
        <w:rPr>
          <w:rFonts w:ascii="微软雅黑" w:hAnsi="微软雅黑" w:eastAsia="微软雅黑" w:cs="微软雅黑"/>
          <w:spacing w:val="2"/>
          <w:sz w:val="31"/>
          <w:szCs w:val="31"/>
        </w:rPr>
        <w:t>罚款</w:t>
      </w:r>
      <w:r>
        <w:rPr>
          <w:rFonts w:ascii="宋体" w:hAnsi="宋体" w:eastAsia="宋体" w:cs="宋体"/>
          <w:spacing w:val="2"/>
          <w:sz w:val="31"/>
          <w:szCs w:val="31"/>
        </w:rPr>
        <w:t>”</w:t>
      </w:r>
      <w:r>
        <w:rPr>
          <w:rFonts w:ascii="微软雅黑" w:hAnsi="微软雅黑" w:eastAsia="微软雅黑" w:cs="微软雅黑"/>
          <w:spacing w:val="1"/>
          <w:sz w:val="31"/>
          <w:szCs w:val="31"/>
        </w:rPr>
        <w:t>数额的</w:t>
      </w:r>
      <w:r>
        <w:rPr>
          <w:rFonts w:ascii="微软雅黑" w:hAnsi="微软雅黑" w:eastAsia="微软雅黑" w:cs="微软雅黑"/>
          <w:spacing w:val="2"/>
          <w:sz w:val="31"/>
          <w:szCs w:val="31"/>
        </w:rPr>
        <w:t>细化条款（法条已明确固定金额的除外</w:t>
      </w:r>
      <w:r>
        <w:rPr>
          <w:rFonts w:ascii="微软雅黑" w:hAnsi="微软雅黑" w:eastAsia="微软雅黑" w:cs="微软雅黑"/>
          <w:spacing w:val="-25"/>
          <w:sz w:val="31"/>
          <w:szCs w:val="31"/>
        </w:rPr>
        <w:t>），</w:t>
      </w:r>
      <w:r>
        <w:rPr>
          <w:rFonts w:ascii="微软雅黑" w:hAnsi="微软雅黑" w:eastAsia="微软雅黑" w:cs="微软雅黑"/>
          <w:spacing w:val="2"/>
          <w:sz w:val="31"/>
          <w:szCs w:val="31"/>
        </w:rPr>
        <w:t>“警告”“责令停产</w:t>
      </w:r>
      <w:r>
        <w:rPr>
          <w:rFonts w:ascii="微软雅黑" w:hAnsi="微软雅黑" w:eastAsia="微软雅黑" w:cs="微软雅黑"/>
          <w:spacing w:val="8"/>
          <w:sz w:val="31"/>
          <w:szCs w:val="31"/>
        </w:rPr>
        <w:t>停业”等“罚款”以外的行政处罚不在《基准》规范范围。</w:t>
      </w:r>
    </w:p>
    <w:p w14:paraId="7B36EDF8">
      <w:pPr>
        <w:spacing w:before="101" w:line="246" w:lineRule="auto"/>
        <w:ind w:left="39" w:firstLine="681"/>
        <w:rPr>
          <w:rFonts w:ascii="微软雅黑" w:hAnsi="微软雅黑" w:eastAsia="微软雅黑" w:cs="微软雅黑"/>
          <w:sz w:val="31"/>
          <w:szCs w:val="31"/>
        </w:rPr>
      </w:pPr>
      <w:r>
        <w:rPr>
          <w:rFonts w:ascii="微软雅黑" w:hAnsi="微软雅黑" w:eastAsia="微软雅黑" w:cs="微软雅黑"/>
          <w:spacing w:val="1"/>
          <w:sz w:val="31"/>
          <w:szCs w:val="31"/>
        </w:rPr>
        <w:t>四、《基准》根据立法目的和行政处罚原则，综合考虑了违</w:t>
      </w:r>
      <w:r>
        <w:rPr>
          <w:rFonts w:ascii="微软雅黑" w:hAnsi="微软雅黑" w:eastAsia="微软雅黑" w:cs="微软雅黑"/>
          <w:spacing w:val="-2"/>
          <w:sz w:val="31"/>
          <w:szCs w:val="31"/>
        </w:rPr>
        <w:t>法的事实、性质、手段、后果、情节和改正措施等因素，在法</w:t>
      </w:r>
      <w:r>
        <w:rPr>
          <w:rFonts w:ascii="微软雅黑" w:hAnsi="微软雅黑" w:eastAsia="微软雅黑" w:cs="微软雅黑"/>
          <w:spacing w:val="-3"/>
          <w:sz w:val="31"/>
          <w:szCs w:val="31"/>
        </w:rPr>
        <w:t>律、</w:t>
      </w:r>
      <w:r>
        <w:rPr>
          <w:rFonts w:ascii="微软雅黑" w:hAnsi="微软雅黑" w:eastAsia="微软雅黑" w:cs="微软雅黑"/>
          <w:spacing w:val="4"/>
          <w:sz w:val="31"/>
          <w:szCs w:val="31"/>
        </w:rPr>
        <w:t>行政法规、部门规章规定的处罚幅度内，对具体条文采取分级原则进行裁量，对罚款数额进行细化。根据社会危害性、情节严重</w:t>
      </w:r>
      <w:r>
        <w:rPr>
          <w:rFonts w:ascii="微软雅黑" w:hAnsi="微软雅黑" w:eastAsia="微软雅黑" w:cs="微软雅黑"/>
          <w:spacing w:val="5"/>
          <w:sz w:val="31"/>
          <w:szCs w:val="31"/>
        </w:rPr>
        <w:t>性等，将各类违法行为划定为</w:t>
      </w:r>
      <w:r>
        <w:rPr>
          <w:rFonts w:ascii="宋体" w:hAnsi="宋体" w:eastAsia="宋体" w:cs="宋体"/>
          <w:spacing w:val="5"/>
          <w:sz w:val="31"/>
          <w:szCs w:val="31"/>
        </w:rPr>
        <w:t>A</w:t>
      </w:r>
      <w:r>
        <w:rPr>
          <w:rFonts w:ascii="微软雅黑" w:hAnsi="微软雅黑" w:eastAsia="微软雅黑" w:cs="微软雅黑"/>
          <w:spacing w:val="5"/>
          <w:sz w:val="31"/>
          <w:szCs w:val="31"/>
        </w:rPr>
        <w:t>、</w:t>
      </w:r>
      <w:r>
        <w:rPr>
          <w:rFonts w:ascii="宋体" w:hAnsi="宋体" w:eastAsia="宋体" w:cs="宋体"/>
          <w:spacing w:val="5"/>
          <w:sz w:val="31"/>
          <w:szCs w:val="31"/>
        </w:rPr>
        <w:t>B</w:t>
      </w:r>
      <w:r>
        <w:rPr>
          <w:rFonts w:ascii="微软雅黑" w:hAnsi="微软雅黑" w:eastAsia="微软雅黑" w:cs="微软雅黑"/>
          <w:spacing w:val="5"/>
          <w:sz w:val="31"/>
          <w:szCs w:val="31"/>
        </w:rPr>
        <w:t>、</w:t>
      </w:r>
      <w:r>
        <w:rPr>
          <w:rFonts w:ascii="宋体" w:hAnsi="宋体" w:eastAsia="宋体" w:cs="宋体"/>
          <w:spacing w:val="5"/>
          <w:sz w:val="31"/>
          <w:szCs w:val="31"/>
        </w:rPr>
        <w:t>C</w:t>
      </w:r>
      <w:r>
        <w:rPr>
          <w:rFonts w:ascii="微软雅黑" w:hAnsi="微软雅黑" w:eastAsia="微软雅黑" w:cs="微软雅黑"/>
          <w:spacing w:val="5"/>
          <w:sz w:val="31"/>
          <w:szCs w:val="31"/>
        </w:rPr>
        <w:t>或</w:t>
      </w:r>
      <w:r>
        <w:rPr>
          <w:rFonts w:ascii="宋体" w:hAnsi="宋体" w:eastAsia="宋体" w:cs="宋体"/>
          <w:spacing w:val="5"/>
          <w:sz w:val="31"/>
          <w:szCs w:val="31"/>
        </w:rPr>
        <w:t>A</w:t>
      </w:r>
      <w:r>
        <w:rPr>
          <w:rFonts w:ascii="微软雅黑" w:hAnsi="微软雅黑" w:eastAsia="微软雅黑" w:cs="微软雅黑"/>
          <w:spacing w:val="5"/>
          <w:sz w:val="31"/>
          <w:szCs w:val="31"/>
        </w:rPr>
        <w:t>、</w:t>
      </w:r>
      <w:r>
        <w:rPr>
          <w:rFonts w:ascii="宋体" w:hAnsi="宋体" w:eastAsia="宋体" w:cs="宋体"/>
          <w:spacing w:val="5"/>
          <w:sz w:val="31"/>
          <w:szCs w:val="31"/>
        </w:rPr>
        <w:t>B</w:t>
      </w:r>
      <w:r>
        <w:rPr>
          <w:rFonts w:ascii="微软雅黑" w:hAnsi="微软雅黑" w:eastAsia="微软雅黑" w:cs="微软雅黑"/>
          <w:spacing w:val="5"/>
          <w:sz w:val="31"/>
          <w:szCs w:val="31"/>
        </w:rPr>
        <w:t>、</w:t>
      </w:r>
      <w:r>
        <w:rPr>
          <w:rFonts w:ascii="宋体" w:hAnsi="宋体" w:eastAsia="宋体" w:cs="宋体"/>
          <w:spacing w:val="5"/>
          <w:sz w:val="31"/>
          <w:szCs w:val="31"/>
        </w:rPr>
        <w:t>C</w:t>
      </w:r>
      <w:r>
        <w:rPr>
          <w:rFonts w:ascii="微软雅黑" w:hAnsi="微软雅黑" w:eastAsia="微软雅黑" w:cs="微软雅黑"/>
          <w:spacing w:val="5"/>
          <w:sz w:val="31"/>
          <w:szCs w:val="31"/>
        </w:rPr>
        <w:t>、</w:t>
      </w:r>
      <w:r>
        <w:rPr>
          <w:rFonts w:ascii="宋体" w:hAnsi="宋体" w:eastAsia="宋体" w:cs="宋体"/>
          <w:spacing w:val="5"/>
          <w:sz w:val="31"/>
          <w:szCs w:val="31"/>
        </w:rPr>
        <w:t>D</w:t>
      </w:r>
      <w:r>
        <w:rPr>
          <w:rFonts w:ascii="微软雅黑" w:hAnsi="微软雅黑" w:eastAsia="微软雅黑" w:cs="微软雅黑"/>
          <w:spacing w:val="5"/>
          <w:sz w:val="31"/>
          <w:szCs w:val="31"/>
        </w:rPr>
        <w:t>等不同基</w:t>
      </w:r>
      <w:r>
        <w:rPr>
          <w:rFonts w:ascii="微软雅黑" w:hAnsi="微软雅黑" w:eastAsia="微软雅黑" w:cs="微软雅黑"/>
          <w:spacing w:val="4"/>
          <w:sz w:val="31"/>
          <w:szCs w:val="31"/>
        </w:rPr>
        <w:t>础裁量阶次。在不同裁量阶次内，实施行政处罚时，应当综合考</w:t>
      </w:r>
      <w:r>
        <w:rPr>
          <w:rFonts w:ascii="微软雅黑" w:hAnsi="微软雅黑" w:eastAsia="微软雅黑" w:cs="微软雅黑"/>
          <w:spacing w:val="-2"/>
          <w:sz w:val="31"/>
          <w:szCs w:val="31"/>
        </w:rPr>
        <w:t>虑违法行为的对象、后果、数额、次数、行为人</w:t>
      </w:r>
      <w:r>
        <w:rPr>
          <w:rFonts w:ascii="微软雅黑" w:hAnsi="微软雅黑" w:eastAsia="微软雅黑" w:cs="微软雅黑"/>
          <w:spacing w:val="-3"/>
          <w:sz w:val="31"/>
          <w:szCs w:val="31"/>
        </w:rPr>
        <w:t>主观过错等因素，</w:t>
      </w:r>
    </w:p>
    <w:p w14:paraId="201F1771">
      <w:pPr>
        <w:spacing w:line="246" w:lineRule="auto"/>
        <w:rPr>
          <w:rFonts w:ascii="微软雅黑" w:hAnsi="微软雅黑" w:eastAsia="微软雅黑" w:cs="微软雅黑"/>
          <w:sz w:val="31"/>
          <w:szCs w:val="31"/>
        </w:rPr>
        <w:sectPr>
          <w:footerReference r:id="rId16" w:type="default"/>
          <w:pgSz w:w="11906" w:h="16839"/>
          <w:pgMar w:top="1431" w:right="1369" w:bottom="780" w:left="1565" w:header="0" w:footer="501" w:gutter="0"/>
          <w:cols w:space="720" w:num="1"/>
        </w:sectPr>
      </w:pPr>
    </w:p>
    <w:p w14:paraId="2FE81CD0">
      <w:pPr>
        <w:pStyle w:val="2"/>
        <w:spacing w:line="347" w:lineRule="auto"/>
      </w:pPr>
    </w:p>
    <w:p w14:paraId="4E1A6CA1">
      <w:pPr>
        <w:pStyle w:val="2"/>
        <w:spacing w:line="347" w:lineRule="auto"/>
      </w:pPr>
    </w:p>
    <w:p w14:paraId="5ACBE6A0">
      <w:pPr>
        <w:spacing w:before="133" w:line="249" w:lineRule="auto"/>
        <w:ind w:left="14" w:firstLine="11"/>
        <w:rPr>
          <w:rFonts w:ascii="微软雅黑" w:hAnsi="微软雅黑" w:eastAsia="微软雅黑" w:cs="微软雅黑"/>
          <w:sz w:val="31"/>
          <w:szCs w:val="31"/>
        </w:rPr>
      </w:pPr>
      <w:r>
        <w:rPr>
          <w:rFonts w:ascii="微软雅黑" w:hAnsi="微软雅黑" w:eastAsia="微软雅黑" w:cs="微软雅黑"/>
          <w:spacing w:val="3"/>
          <w:sz w:val="31"/>
          <w:szCs w:val="31"/>
        </w:rPr>
        <w:t>判断情节轻微、情节较轻、情节较重、情节严重等具</w:t>
      </w:r>
      <w:r>
        <w:rPr>
          <w:rFonts w:ascii="微软雅黑" w:hAnsi="微软雅黑" w:eastAsia="微软雅黑" w:cs="微软雅黑"/>
          <w:spacing w:val="2"/>
          <w:sz w:val="31"/>
          <w:szCs w:val="31"/>
        </w:rPr>
        <w:t>体情形，以</w:t>
      </w:r>
      <w:r>
        <w:rPr>
          <w:rFonts w:ascii="微软雅黑" w:hAnsi="微软雅黑" w:eastAsia="微软雅黑" w:cs="微软雅黑"/>
          <w:spacing w:val="-2"/>
          <w:sz w:val="31"/>
          <w:szCs w:val="31"/>
        </w:rPr>
        <w:t>及从重、从轻、减轻等法定裁量情节，作出具体的行</w:t>
      </w:r>
      <w:r>
        <w:rPr>
          <w:rFonts w:ascii="微软雅黑" w:hAnsi="微软雅黑" w:eastAsia="微软雅黑" w:cs="微软雅黑"/>
          <w:spacing w:val="-3"/>
          <w:sz w:val="31"/>
          <w:szCs w:val="31"/>
        </w:rPr>
        <w:t>政处罚决定。</w:t>
      </w:r>
    </w:p>
    <w:p w14:paraId="6D718997">
      <w:pPr>
        <w:spacing w:before="21" w:line="243" w:lineRule="auto"/>
        <w:ind w:left="2" w:firstLine="665"/>
        <w:rPr>
          <w:rFonts w:ascii="微软雅黑" w:hAnsi="微软雅黑" w:eastAsia="微软雅黑" w:cs="微软雅黑"/>
          <w:sz w:val="31"/>
          <w:szCs w:val="31"/>
        </w:rPr>
      </w:pPr>
      <w:r>
        <w:rPr>
          <w:rFonts w:ascii="微软雅黑" w:hAnsi="微软雅黑" w:eastAsia="微软雅黑" w:cs="微软雅黑"/>
          <w:spacing w:val="3"/>
          <w:sz w:val="31"/>
          <w:szCs w:val="31"/>
        </w:rPr>
        <w:t>五、除法律、行政法规另有规定的外，《基准》适用条件中</w:t>
      </w:r>
      <w:r>
        <w:rPr>
          <w:rFonts w:ascii="微软雅黑" w:hAnsi="微软雅黑" w:eastAsia="微软雅黑" w:cs="微软雅黑"/>
          <w:spacing w:val="5"/>
          <w:sz w:val="31"/>
          <w:szCs w:val="31"/>
        </w:rPr>
        <w:t>“以上”包含本数、“以下”“以内”不包含本数，具体标准中“以上”“以下”“以内”均包含本数。针对各类违法行为设定的基础裁量阶次，其对应的裁量幅度为依法从轻处罚的下限至从</w:t>
      </w:r>
      <w:r>
        <w:rPr>
          <w:rFonts w:ascii="微软雅黑" w:hAnsi="微软雅黑" w:eastAsia="微软雅黑" w:cs="微软雅黑"/>
          <w:spacing w:val="-2"/>
          <w:sz w:val="31"/>
          <w:szCs w:val="31"/>
        </w:rPr>
        <w:t>重处罚的上限。从轻、从重处罚可以在法定处罚幅度内进行裁量。</w:t>
      </w:r>
    </w:p>
    <w:p w14:paraId="5078A8DA">
      <w:pPr>
        <w:spacing w:before="105" w:line="246" w:lineRule="auto"/>
        <w:ind w:left="17" w:right="113" w:firstLine="657"/>
        <w:rPr>
          <w:rFonts w:ascii="微软雅黑" w:hAnsi="微软雅黑" w:eastAsia="微软雅黑" w:cs="微软雅黑"/>
          <w:sz w:val="31"/>
          <w:szCs w:val="31"/>
        </w:rPr>
      </w:pPr>
      <w:r>
        <w:rPr>
          <w:rFonts w:ascii="微软雅黑" w:hAnsi="微软雅黑" w:eastAsia="微软雅黑" w:cs="微软雅黑"/>
          <w:spacing w:val="3"/>
          <w:sz w:val="31"/>
          <w:szCs w:val="31"/>
        </w:rPr>
        <w:t>六、当事人有下列情形之一的，应当依法从轻或者减轻行政处罚</w:t>
      </w:r>
      <w:r>
        <w:rPr>
          <w:rFonts w:ascii="微软雅黑" w:hAnsi="微软雅黑" w:eastAsia="微软雅黑" w:cs="微软雅黑"/>
          <w:spacing w:val="-54"/>
          <w:sz w:val="31"/>
          <w:szCs w:val="31"/>
        </w:rPr>
        <w:t>：（</w:t>
      </w:r>
      <w:r>
        <w:rPr>
          <w:rFonts w:ascii="微软雅黑" w:hAnsi="微软雅黑" w:eastAsia="微软雅黑" w:cs="微软雅黑"/>
          <w:spacing w:val="3"/>
          <w:sz w:val="31"/>
          <w:szCs w:val="31"/>
        </w:rPr>
        <w:t>一）已满十四周岁不满十八周岁的未成年人有违法行为</w:t>
      </w:r>
      <w:r>
        <w:rPr>
          <w:rFonts w:ascii="微软雅黑" w:hAnsi="微软雅黑" w:eastAsia="微软雅黑" w:cs="微软雅黑"/>
          <w:spacing w:val="8"/>
          <w:sz w:val="31"/>
          <w:szCs w:val="31"/>
        </w:rPr>
        <w:t>的</w:t>
      </w:r>
      <w:r>
        <w:rPr>
          <w:rFonts w:ascii="微软雅黑" w:hAnsi="微软雅黑" w:eastAsia="微软雅黑" w:cs="微软雅黑"/>
          <w:spacing w:val="-16"/>
          <w:sz w:val="31"/>
          <w:szCs w:val="31"/>
        </w:rPr>
        <w:t>；（</w:t>
      </w:r>
      <w:r>
        <w:rPr>
          <w:rFonts w:ascii="微软雅黑" w:hAnsi="微软雅黑" w:eastAsia="微软雅黑" w:cs="微软雅黑"/>
          <w:spacing w:val="8"/>
          <w:sz w:val="31"/>
          <w:szCs w:val="31"/>
        </w:rPr>
        <w:t>二）主动消除或者减轻违法行为危害后果的</w:t>
      </w:r>
      <w:r>
        <w:rPr>
          <w:rFonts w:ascii="微软雅黑" w:hAnsi="微软雅黑" w:eastAsia="微软雅黑" w:cs="微软雅黑"/>
          <w:spacing w:val="-16"/>
          <w:sz w:val="31"/>
          <w:szCs w:val="31"/>
        </w:rPr>
        <w:t>；（</w:t>
      </w:r>
      <w:r>
        <w:rPr>
          <w:rFonts w:ascii="微软雅黑" w:hAnsi="微软雅黑" w:eastAsia="微软雅黑" w:cs="微软雅黑"/>
          <w:spacing w:val="8"/>
          <w:sz w:val="31"/>
          <w:szCs w:val="31"/>
        </w:rPr>
        <w:t>三）受他</w:t>
      </w:r>
      <w:r>
        <w:rPr>
          <w:rFonts w:ascii="微软雅黑" w:hAnsi="微软雅黑" w:eastAsia="微软雅黑" w:cs="微软雅黑"/>
          <w:spacing w:val="7"/>
          <w:sz w:val="31"/>
          <w:szCs w:val="31"/>
        </w:rPr>
        <w:t>人胁迫或者诱骗实施违法行为的</w:t>
      </w:r>
      <w:r>
        <w:rPr>
          <w:rFonts w:ascii="微软雅黑" w:hAnsi="微软雅黑" w:eastAsia="微软雅黑" w:cs="微软雅黑"/>
          <w:spacing w:val="-28"/>
          <w:sz w:val="31"/>
          <w:szCs w:val="31"/>
        </w:rPr>
        <w:t>；（</w:t>
      </w:r>
      <w:r>
        <w:rPr>
          <w:rFonts w:ascii="微软雅黑" w:hAnsi="微软雅黑" w:eastAsia="微软雅黑" w:cs="微软雅黑"/>
          <w:spacing w:val="7"/>
          <w:sz w:val="31"/>
          <w:szCs w:val="31"/>
        </w:rPr>
        <w:t>四）配合应急管理部门查处</w:t>
      </w:r>
      <w:r>
        <w:rPr>
          <w:rFonts w:ascii="微软雅黑" w:hAnsi="微软雅黑" w:eastAsia="微软雅黑" w:cs="微软雅黑"/>
          <w:spacing w:val="9"/>
          <w:sz w:val="31"/>
          <w:szCs w:val="31"/>
        </w:rPr>
        <w:t>违法行为，有立功表现的</w:t>
      </w:r>
      <w:r>
        <w:rPr>
          <w:rFonts w:ascii="微软雅黑" w:hAnsi="微软雅黑" w:eastAsia="微软雅黑" w:cs="微软雅黑"/>
          <w:spacing w:val="-55"/>
          <w:sz w:val="31"/>
          <w:szCs w:val="31"/>
        </w:rPr>
        <w:t>；（</w:t>
      </w:r>
      <w:r>
        <w:rPr>
          <w:rFonts w:ascii="微软雅黑" w:hAnsi="微软雅黑" w:eastAsia="微软雅黑" w:cs="微软雅黑"/>
          <w:spacing w:val="9"/>
          <w:sz w:val="31"/>
          <w:szCs w:val="31"/>
        </w:rPr>
        <w:t>五）主动供述应急管理部门尚未掌</w:t>
      </w:r>
      <w:r>
        <w:rPr>
          <w:rFonts w:ascii="微软雅黑" w:hAnsi="微软雅黑" w:eastAsia="微软雅黑" w:cs="微软雅黑"/>
          <w:spacing w:val="7"/>
          <w:sz w:val="31"/>
          <w:szCs w:val="31"/>
        </w:rPr>
        <w:t>握的违法行为的</w:t>
      </w:r>
      <w:r>
        <w:rPr>
          <w:rFonts w:ascii="微软雅黑" w:hAnsi="微软雅黑" w:eastAsia="微软雅黑" w:cs="微软雅黑"/>
          <w:spacing w:val="-26"/>
          <w:sz w:val="31"/>
          <w:szCs w:val="31"/>
        </w:rPr>
        <w:t>；（</w:t>
      </w:r>
      <w:r>
        <w:rPr>
          <w:rFonts w:ascii="微软雅黑" w:hAnsi="微软雅黑" w:eastAsia="微软雅黑" w:cs="微软雅黑"/>
          <w:spacing w:val="7"/>
          <w:sz w:val="31"/>
          <w:szCs w:val="31"/>
        </w:rPr>
        <w:t>六）法律、法规、规章规定其</w:t>
      </w:r>
      <w:r>
        <w:rPr>
          <w:rFonts w:ascii="微软雅黑" w:hAnsi="微软雅黑" w:eastAsia="微软雅黑" w:cs="微软雅黑"/>
          <w:spacing w:val="6"/>
          <w:sz w:val="31"/>
          <w:szCs w:val="31"/>
        </w:rPr>
        <w:t>他从轻或者减</w:t>
      </w:r>
      <w:r>
        <w:rPr>
          <w:rFonts w:ascii="微软雅黑" w:hAnsi="微软雅黑" w:eastAsia="微软雅黑" w:cs="微软雅黑"/>
          <w:spacing w:val="2"/>
          <w:sz w:val="31"/>
          <w:szCs w:val="31"/>
        </w:rPr>
        <w:t>轻行政处罚的。</w:t>
      </w:r>
    </w:p>
    <w:p w14:paraId="5A9B4B47">
      <w:pPr>
        <w:spacing w:before="101" w:line="248" w:lineRule="auto"/>
        <w:ind w:left="23" w:right="118" w:firstLine="673"/>
        <w:rPr>
          <w:rFonts w:ascii="微软雅黑" w:hAnsi="微软雅黑" w:eastAsia="微软雅黑" w:cs="微软雅黑"/>
          <w:sz w:val="31"/>
          <w:szCs w:val="31"/>
        </w:rPr>
      </w:pPr>
      <w:r>
        <w:rPr>
          <w:rFonts w:ascii="微软雅黑" w:hAnsi="微软雅黑" w:eastAsia="微软雅黑" w:cs="微软雅黑"/>
          <w:spacing w:val="2"/>
          <w:sz w:val="31"/>
          <w:szCs w:val="31"/>
        </w:rPr>
        <w:t>尚未完全丧失辨认或者控制自己行为能力的精神病人、智力</w:t>
      </w:r>
      <w:r>
        <w:rPr>
          <w:rFonts w:ascii="微软雅黑" w:hAnsi="微软雅黑" w:eastAsia="微软雅黑" w:cs="微软雅黑"/>
          <w:spacing w:val="6"/>
          <w:sz w:val="31"/>
          <w:szCs w:val="31"/>
        </w:rPr>
        <w:t>残疾人有违法行为的，可以从轻或者减轻行政处罚。</w:t>
      </w:r>
    </w:p>
    <w:p w14:paraId="236E0E51">
      <w:pPr>
        <w:spacing w:before="23" w:line="251" w:lineRule="auto"/>
        <w:ind w:left="14" w:right="64" w:firstLine="685"/>
        <w:rPr>
          <w:rFonts w:ascii="微软雅黑" w:hAnsi="微软雅黑" w:eastAsia="微软雅黑" w:cs="微软雅黑"/>
          <w:sz w:val="31"/>
          <w:szCs w:val="31"/>
        </w:rPr>
      </w:pPr>
      <w:r>
        <w:rPr>
          <w:rFonts w:ascii="微软雅黑" w:hAnsi="微软雅黑" w:eastAsia="微软雅黑" w:cs="微软雅黑"/>
          <w:spacing w:val="2"/>
          <w:sz w:val="31"/>
          <w:szCs w:val="31"/>
        </w:rPr>
        <w:t>当事人存在从轻处罚情节的，应当在法定处罚种类和处罚幅</w:t>
      </w:r>
      <w:r>
        <w:rPr>
          <w:rFonts w:ascii="微软雅黑" w:hAnsi="微软雅黑" w:eastAsia="微软雅黑" w:cs="微软雅黑"/>
          <w:spacing w:val="5"/>
          <w:sz w:val="31"/>
          <w:szCs w:val="31"/>
        </w:rPr>
        <w:t>度内，适用较轻、较少的处罚种类或者较低</w:t>
      </w:r>
      <w:r>
        <w:rPr>
          <w:rFonts w:ascii="微软雅黑" w:hAnsi="微软雅黑" w:eastAsia="微软雅黑" w:cs="微软雅黑"/>
          <w:spacing w:val="4"/>
          <w:sz w:val="31"/>
          <w:szCs w:val="31"/>
        </w:rPr>
        <w:t>的处罚幅度。当事人存在减轻处罚情节的，应当适用法定行政处罚最低限度以下的处罚种类或者处罚幅度，包括应当并处时不并处、在法定最低罚款</w:t>
      </w:r>
      <w:r>
        <w:rPr>
          <w:rFonts w:ascii="微软雅黑" w:hAnsi="微软雅黑" w:eastAsia="微软雅黑" w:cs="微软雅黑"/>
          <w:spacing w:val="6"/>
          <w:sz w:val="31"/>
          <w:szCs w:val="31"/>
        </w:rPr>
        <w:t>限值以下确定罚款数额等情形。对当事人作出减轻处罚决定的，应当经应急管理部门负责人集体讨论。</w:t>
      </w:r>
    </w:p>
    <w:p w14:paraId="5A9F9832">
      <w:pPr>
        <w:spacing w:line="251" w:lineRule="auto"/>
        <w:rPr>
          <w:rFonts w:ascii="微软雅黑" w:hAnsi="微软雅黑" w:eastAsia="微软雅黑" w:cs="微软雅黑"/>
          <w:sz w:val="31"/>
          <w:szCs w:val="31"/>
        </w:rPr>
        <w:sectPr>
          <w:footerReference r:id="rId17" w:type="default"/>
          <w:pgSz w:w="11906" w:h="16839"/>
          <w:pgMar w:top="1431" w:right="1376" w:bottom="780" w:left="1586" w:header="0" w:footer="501" w:gutter="0"/>
          <w:cols w:space="720" w:num="1"/>
        </w:sectPr>
      </w:pPr>
    </w:p>
    <w:p w14:paraId="5D374507">
      <w:pPr>
        <w:pStyle w:val="2"/>
        <w:spacing w:line="349" w:lineRule="auto"/>
      </w:pPr>
    </w:p>
    <w:p w14:paraId="7F294B73">
      <w:pPr>
        <w:pStyle w:val="2"/>
        <w:spacing w:line="349" w:lineRule="auto"/>
      </w:pPr>
    </w:p>
    <w:p w14:paraId="4F8B9E75">
      <w:pPr>
        <w:spacing w:before="133" w:line="251" w:lineRule="auto"/>
        <w:ind w:left="6" w:firstLine="648"/>
        <w:jc w:val="both"/>
        <w:rPr>
          <w:rFonts w:ascii="微软雅黑" w:hAnsi="微软雅黑" w:eastAsia="微软雅黑" w:cs="微软雅黑"/>
          <w:sz w:val="31"/>
          <w:szCs w:val="31"/>
        </w:rPr>
      </w:pPr>
      <w:r>
        <w:rPr>
          <w:rFonts w:ascii="微软雅黑" w:hAnsi="微软雅黑" w:eastAsia="微软雅黑" w:cs="微软雅黑"/>
          <w:spacing w:val="1"/>
          <w:sz w:val="31"/>
          <w:szCs w:val="31"/>
        </w:rPr>
        <w:t>七、当事人有下列情形之一的，应当依法从重处罚</w:t>
      </w:r>
      <w:r>
        <w:rPr>
          <w:rFonts w:ascii="微软雅黑" w:hAnsi="微软雅黑" w:eastAsia="微软雅黑" w:cs="微软雅黑"/>
          <w:spacing w:val="-4"/>
          <w:sz w:val="31"/>
          <w:szCs w:val="31"/>
        </w:rPr>
        <w:t>：（</w:t>
      </w:r>
      <w:r>
        <w:rPr>
          <w:rFonts w:ascii="微软雅黑" w:hAnsi="微软雅黑" w:eastAsia="微软雅黑" w:cs="微软雅黑"/>
          <w:spacing w:val="1"/>
          <w:sz w:val="31"/>
          <w:szCs w:val="31"/>
        </w:rPr>
        <w:t>一）</w:t>
      </w:r>
      <w:r>
        <w:rPr>
          <w:rFonts w:ascii="微软雅黑" w:hAnsi="微软雅黑" w:eastAsia="微软雅黑" w:cs="微软雅黑"/>
          <w:spacing w:val="4"/>
          <w:sz w:val="31"/>
          <w:szCs w:val="31"/>
        </w:rPr>
        <w:t>因同一违法行为受过刑事处罚，或者一年内因同一种违法行为受</w:t>
      </w:r>
      <w:r>
        <w:rPr>
          <w:rFonts w:ascii="微软雅黑" w:hAnsi="微软雅黑" w:eastAsia="微软雅黑" w:cs="微软雅黑"/>
          <w:spacing w:val="7"/>
          <w:sz w:val="31"/>
          <w:szCs w:val="31"/>
        </w:rPr>
        <w:t>过行政处罚的</w:t>
      </w:r>
      <w:r>
        <w:rPr>
          <w:rFonts w:ascii="微软雅黑" w:hAnsi="微软雅黑" w:eastAsia="微软雅黑" w:cs="微软雅黑"/>
          <w:spacing w:val="-26"/>
          <w:sz w:val="31"/>
          <w:szCs w:val="31"/>
        </w:rPr>
        <w:t>；（</w:t>
      </w:r>
      <w:r>
        <w:rPr>
          <w:rFonts w:ascii="微软雅黑" w:hAnsi="微软雅黑" w:eastAsia="微软雅黑" w:cs="微软雅黑"/>
          <w:spacing w:val="7"/>
          <w:sz w:val="31"/>
          <w:szCs w:val="31"/>
        </w:rPr>
        <w:t>二）拒绝、阻碍或者以暴力方</w:t>
      </w:r>
      <w:r>
        <w:rPr>
          <w:rFonts w:ascii="微软雅黑" w:hAnsi="微软雅黑" w:eastAsia="微软雅黑" w:cs="微软雅黑"/>
          <w:spacing w:val="6"/>
          <w:sz w:val="31"/>
          <w:szCs w:val="31"/>
        </w:rPr>
        <w:t>式威胁行政执法</w:t>
      </w:r>
      <w:r>
        <w:rPr>
          <w:rFonts w:ascii="微软雅黑" w:hAnsi="微软雅黑" w:eastAsia="微软雅黑" w:cs="微软雅黑"/>
          <w:spacing w:val="8"/>
          <w:sz w:val="31"/>
          <w:szCs w:val="31"/>
        </w:rPr>
        <w:t>人员执行职务的</w:t>
      </w:r>
      <w:r>
        <w:rPr>
          <w:rFonts w:ascii="微软雅黑" w:hAnsi="微软雅黑" w:eastAsia="微软雅黑" w:cs="微软雅黑"/>
          <w:spacing w:val="-16"/>
          <w:sz w:val="31"/>
          <w:szCs w:val="31"/>
        </w:rPr>
        <w:t>；（</w:t>
      </w:r>
      <w:r>
        <w:rPr>
          <w:rFonts w:ascii="微软雅黑" w:hAnsi="微软雅黑" w:eastAsia="微软雅黑" w:cs="微软雅黑"/>
          <w:spacing w:val="8"/>
          <w:sz w:val="31"/>
          <w:szCs w:val="31"/>
        </w:rPr>
        <w:t>三）伪造、隐匿、毁灭证据的</w:t>
      </w:r>
      <w:r>
        <w:rPr>
          <w:rFonts w:ascii="微软雅黑" w:hAnsi="微软雅黑" w:eastAsia="微软雅黑" w:cs="微软雅黑"/>
          <w:spacing w:val="-16"/>
          <w:sz w:val="31"/>
          <w:szCs w:val="31"/>
        </w:rPr>
        <w:t>；（</w:t>
      </w:r>
      <w:r>
        <w:rPr>
          <w:rFonts w:ascii="微软雅黑" w:hAnsi="微软雅黑" w:eastAsia="微软雅黑" w:cs="微软雅黑"/>
          <w:spacing w:val="8"/>
          <w:sz w:val="31"/>
          <w:szCs w:val="31"/>
        </w:rPr>
        <w:t>四）</w:t>
      </w:r>
      <w:r>
        <w:rPr>
          <w:rFonts w:ascii="微软雅黑" w:hAnsi="微软雅黑" w:eastAsia="微软雅黑" w:cs="微软雅黑"/>
          <w:spacing w:val="7"/>
          <w:sz w:val="31"/>
          <w:szCs w:val="31"/>
        </w:rPr>
        <w:t>对举</w:t>
      </w:r>
      <w:r>
        <w:rPr>
          <w:rFonts w:ascii="微软雅黑" w:hAnsi="微软雅黑" w:eastAsia="微软雅黑" w:cs="微软雅黑"/>
          <w:spacing w:val="9"/>
          <w:sz w:val="31"/>
          <w:szCs w:val="31"/>
        </w:rPr>
        <w:t>报人、证人和行政执法人员打击报复的</w:t>
      </w:r>
      <w:r>
        <w:rPr>
          <w:rFonts w:ascii="微软雅黑" w:hAnsi="微软雅黑" w:eastAsia="微软雅黑" w:cs="微软雅黑"/>
          <w:spacing w:val="-53"/>
          <w:sz w:val="31"/>
          <w:szCs w:val="31"/>
        </w:rPr>
        <w:t>；（</w:t>
      </w:r>
      <w:r>
        <w:rPr>
          <w:rFonts w:ascii="微软雅黑" w:hAnsi="微软雅黑" w:eastAsia="微软雅黑" w:cs="微软雅黑"/>
          <w:spacing w:val="9"/>
          <w:sz w:val="31"/>
          <w:szCs w:val="31"/>
        </w:rPr>
        <w:t>五）法律、法规</w:t>
      </w:r>
      <w:r>
        <w:rPr>
          <w:rFonts w:ascii="微软雅黑" w:hAnsi="微软雅黑" w:eastAsia="微软雅黑" w:cs="微软雅黑"/>
          <w:spacing w:val="8"/>
          <w:sz w:val="31"/>
          <w:szCs w:val="31"/>
        </w:rPr>
        <w:t>、规</w:t>
      </w:r>
      <w:r>
        <w:rPr>
          <w:rFonts w:ascii="微软雅黑" w:hAnsi="微软雅黑" w:eastAsia="微软雅黑" w:cs="微软雅黑"/>
          <w:spacing w:val="5"/>
          <w:sz w:val="31"/>
          <w:szCs w:val="31"/>
        </w:rPr>
        <w:t>章规定其他应当从重处罚的。</w:t>
      </w:r>
    </w:p>
    <w:p w14:paraId="6E56D30A">
      <w:pPr>
        <w:spacing w:before="18" w:line="250" w:lineRule="auto"/>
        <w:ind w:left="11" w:right="69" w:firstLine="634"/>
        <w:jc w:val="both"/>
        <w:rPr>
          <w:rFonts w:ascii="微软雅黑" w:hAnsi="微软雅黑" w:eastAsia="微软雅黑" w:cs="微软雅黑"/>
          <w:sz w:val="31"/>
          <w:szCs w:val="31"/>
        </w:rPr>
      </w:pPr>
      <w:r>
        <w:rPr>
          <w:rFonts w:ascii="微软雅黑" w:hAnsi="微软雅黑" w:eastAsia="微软雅黑" w:cs="微软雅黑"/>
          <w:spacing w:val="3"/>
          <w:sz w:val="31"/>
          <w:szCs w:val="31"/>
        </w:rPr>
        <w:t>发生自然灾害、事故灾难等突发事件，为了控制、减轻和消</w:t>
      </w:r>
      <w:r>
        <w:rPr>
          <w:rFonts w:ascii="微软雅黑" w:hAnsi="微软雅黑" w:eastAsia="微软雅黑" w:cs="微软雅黑"/>
          <w:spacing w:val="6"/>
          <w:sz w:val="31"/>
          <w:szCs w:val="31"/>
        </w:rPr>
        <w:t>除突发事件引起的社会危害，对违反突发事件应对措施的行为，应当依法快速、从重处罚。</w:t>
      </w:r>
    </w:p>
    <w:p w14:paraId="659BEB8F">
      <w:pPr>
        <w:spacing w:before="19" w:line="250" w:lineRule="auto"/>
        <w:ind w:right="121" w:firstLine="685"/>
        <w:jc w:val="both"/>
        <w:rPr>
          <w:rFonts w:ascii="微软雅黑" w:hAnsi="微软雅黑" w:eastAsia="微软雅黑" w:cs="微软雅黑"/>
          <w:sz w:val="31"/>
          <w:szCs w:val="31"/>
        </w:rPr>
      </w:pPr>
      <w:r>
        <w:rPr>
          <w:rFonts w:ascii="微软雅黑" w:hAnsi="微软雅黑" w:eastAsia="微软雅黑" w:cs="微软雅黑"/>
          <w:spacing w:val="2"/>
          <w:sz w:val="31"/>
          <w:szCs w:val="31"/>
        </w:rPr>
        <w:t>当事人存在从重处罚情节的，应当在依法可以选择的处罚种</w:t>
      </w:r>
      <w:r>
        <w:rPr>
          <w:rFonts w:ascii="微软雅黑" w:hAnsi="微软雅黑" w:eastAsia="微软雅黑" w:cs="微软雅黑"/>
          <w:spacing w:val="4"/>
          <w:sz w:val="31"/>
          <w:szCs w:val="31"/>
        </w:rPr>
        <w:t>类和处罚幅度内，适用较重、较多的处罚种类或者较高的处罚幅</w:t>
      </w:r>
      <w:r>
        <w:rPr>
          <w:rFonts w:ascii="微软雅黑" w:hAnsi="微软雅黑" w:eastAsia="微软雅黑" w:cs="微软雅黑"/>
          <w:spacing w:val="-10"/>
          <w:sz w:val="31"/>
          <w:szCs w:val="31"/>
        </w:rPr>
        <w:t>度。</w:t>
      </w:r>
    </w:p>
    <w:p w14:paraId="01F24F0D">
      <w:pPr>
        <w:spacing w:before="23" w:line="251" w:lineRule="auto"/>
        <w:ind w:left="2" w:right="1" w:firstLine="640"/>
        <w:jc w:val="both"/>
        <w:rPr>
          <w:rFonts w:ascii="微软雅黑" w:hAnsi="微软雅黑" w:eastAsia="微软雅黑" w:cs="微软雅黑"/>
          <w:sz w:val="31"/>
          <w:szCs w:val="31"/>
        </w:rPr>
      </w:pPr>
      <w:r>
        <w:rPr>
          <w:rFonts w:ascii="微软雅黑" w:hAnsi="微软雅黑" w:eastAsia="微软雅黑" w:cs="微软雅黑"/>
          <w:spacing w:val="1"/>
          <w:sz w:val="31"/>
          <w:szCs w:val="31"/>
        </w:rPr>
        <w:t>八、当事人有下列情形之一的，不予行政处罚</w:t>
      </w:r>
      <w:r>
        <w:rPr>
          <w:rFonts w:ascii="微软雅黑" w:hAnsi="微软雅黑" w:eastAsia="微软雅黑" w:cs="微软雅黑"/>
          <w:spacing w:val="-37"/>
          <w:sz w:val="31"/>
          <w:szCs w:val="31"/>
        </w:rPr>
        <w:t>：（</w:t>
      </w:r>
      <w:r>
        <w:rPr>
          <w:rFonts w:ascii="微软雅黑" w:hAnsi="微软雅黑" w:eastAsia="微软雅黑" w:cs="微软雅黑"/>
          <w:spacing w:val="1"/>
          <w:sz w:val="31"/>
          <w:szCs w:val="31"/>
        </w:rPr>
        <w:t>一）不满</w:t>
      </w:r>
      <w:r>
        <w:rPr>
          <w:rFonts w:ascii="微软雅黑" w:hAnsi="微软雅黑" w:eastAsia="微软雅黑" w:cs="微软雅黑"/>
          <w:spacing w:val="7"/>
          <w:sz w:val="31"/>
          <w:szCs w:val="31"/>
        </w:rPr>
        <w:t>十四周岁的未成年人有违法行为的</w:t>
      </w:r>
      <w:r>
        <w:rPr>
          <w:rFonts w:ascii="微软雅黑" w:hAnsi="微软雅黑" w:eastAsia="微软雅黑" w:cs="微软雅黑"/>
          <w:spacing w:val="-28"/>
          <w:sz w:val="31"/>
          <w:szCs w:val="31"/>
        </w:rPr>
        <w:t>；（</w:t>
      </w:r>
      <w:r>
        <w:rPr>
          <w:rFonts w:ascii="微软雅黑" w:hAnsi="微软雅黑" w:eastAsia="微软雅黑" w:cs="微软雅黑"/>
          <w:spacing w:val="7"/>
          <w:sz w:val="31"/>
          <w:szCs w:val="31"/>
        </w:rPr>
        <w:t>二）精神病人、智力残疾</w:t>
      </w:r>
      <w:r>
        <w:rPr>
          <w:rFonts w:ascii="微软雅黑" w:hAnsi="微软雅黑" w:eastAsia="微软雅黑" w:cs="微软雅黑"/>
          <w:spacing w:val="11"/>
          <w:sz w:val="31"/>
          <w:szCs w:val="31"/>
        </w:rPr>
        <w:t>人在不能辨认或者不能控制自己行为时实施违法行为的</w:t>
      </w:r>
      <w:r>
        <w:rPr>
          <w:rFonts w:ascii="微软雅黑" w:hAnsi="微软雅黑" w:eastAsia="微软雅黑" w:cs="微软雅黑"/>
          <w:spacing w:val="-19"/>
          <w:sz w:val="31"/>
          <w:szCs w:val="31"/>
        </w:rPr>
        <w:t>；（</w:t>
      </w:r>
      <w:r>
        <w:rPr>
          <w:rFonts w:ascii="微软雅黑" w:hAnsi="微软雅黑" w:eastAsia="微软雅黑" w:cs="微软雅黑"/>
          <w:spacing w:val="11"/>
          <w:sz w:val="31"/>
          <w:szCs w:val="31"/>
        </w:rPr>
        <w:t>三）</w:t>
      </w:r>
      <w:r>
        <w:rPr>
          <w:rFonts w:ascii="微软雅黑" w:hAnsi="微软雅黑" w:eastAsia="微软雅黑" w:cs="微软雅黑"/>
          <w:spacing w:val="7"/>
          <w:sz w:val="31"/>
          <w:szCs w:val="31"/>
        </w:rPr>
        <w:t>违法行为轻微并及时改正，没有造成危害后果的</w:t>
      </w:r>
      <w:r>
        <w:rPr>
          <w:rFonts w:ascii="微软雅黑" w:hAnsi="微软雅黑" w:eastAsia="微软雅黑" w:cs="微软雅黑"/>
          <w:spacing w:val="-27"/>
          <w:sz w:val="31"/>
          <w:szCs w:val="31"/>
        </w:rPr>
        <w:t>；（</w:t>
      </w:r>
      <w:r>
        <w:rPr>
          <w:rFonts w:ascii="微软雅黑" w:hAnsi="微软雅黑" w:eastAsia="微软雅黑" w:cs="微软雅黑"/>
          <w:spacing w:val="7"/>
          <w:sz w:val="31"/>
          <w:szCs w:val="31"/>
        </w:rPr>
        <w:t>四）当事人有证据足以证明没有主观过错的</w:t>
      </w:r>
      <w:r>
        <w:rPr>
          <w:rFonts w:ascii="微软雅黑" w:hAnsi="微软雅黑" w:eastAsia="微软雅黑" w:cs="微软雅黑"/>
          <w:spacing w:val="-28"/>
          <w:sz w:val="31"/>
          <w:szCs w:val="31"/>
        </w:rPr>
        <w:t>；（</w:t>
      </w:r>
      <w:r>
        <w:rPr>
          <w:rFonts w:ascii="微软雅黑" w:hAnsi="微软雅黑" w:eastAsia="微软雅黑" w:cs="微软雅黑"/>
          <w:spacing w:val="7"/>
          <w:sz w:val="31"/>
          <w:szCs w:val="31"/>
        </w:rPr>
        <w:t>五）违法行为终了且在法定</w:t>
      </w:r>
      <w:r>
        <w:rPr>
          <w:rFonts w:ascii="微软雅黑" w:hAnsi="微软雅黑" w:eastAsia="微软雅黑" w:cs="微软雅黑"/>
          <w:spacing w:val="5"/>
          <w:sz w:val="31"/>
          <w:szCs w:val="31"/>
        </w:rPr>
        <w:t>期限内未被发现的</w:t>
      </w:r>
      <w:r>
        <w:rPr>
          <w:rFonts w:ascii="微软雅黑" w:hAnsi="微软雅黑" w:eastAsia="微软雅黑" w:cs="微软雅黑"/>
          <w:spacing w:val="-3"/>
          <w:sz w:val="31"/>
          <w:szCs w:val="31"/>
        </w:rPr>
        <w:t>；（</w:t>
      </w:r>
      <w:r>
        <w:rPr>
          <w:rFonts w:ascii="微软雅黑" w:hAnsi="微软雅黑" w:eastAsia="微软雅黑" w:cs="微软雅黑"/>
          <w:spacing w:val="5"/>
          <w:sz w:val="31"/>
          <w:szCs w:val="31"/>
        </w:rPr>
        <w:t>六）法律、法规、规章规定其他不予行政</w:t>
      </w:r>
      <w:r>
        <w:rPr>
          <w:rFonts w:ascii="微软雅黑" w:hAnsi="微软雅黑" w:eastAsia="微软雅黑" w:cs="微软雅黑"/>
          <w:spacing w:val="-3"/>
          <w:sz w:val="31"/>
          <w:szCs w:val="31"/>
        </w:rPr>
        <w:t>处罚的。</w:t>
      </w:r>
    </w:p>
    <w:p w14:paraId="56B321F1">
      <w:pPr>
        <w:spacing w:before="20" w:line="248" w:lineRule="auto"/>
        <w:ind w:left="9" w:right="119" w:firstLine="632"/>
        <w:jc w:val="both"/>
        <w:rPr>
          <w:rFonts w:ascii="微软雅黑" w:hAnsi="微软雅黑" w:eastAsia="微软雅黑" w:cs="微软雅黑"/>
          <w:sz w:val="31"/>
          <w:szCs w:val="31"/>
        </w:rPr>
      </w:pPr>
      <w:r>
        <w:rPr>
          <w:rFonts w:ascii="微软雅黑" w:hAnsi="微软雅黑" w:eastAsia="微软雅黑" w:cs="微软雅黑"/>
          <w:spacing w:val="14"/>
          <w:sz w:val="31"/>
          <w:szCs w:val="31"/>
        </w:rPr>
        <w:t>初次违法且危害后果轻微并及时改正的，可以不予行政处</w:t>
      </w:r>
      <w:r>
        <w:rPr>
          <w:rFonts w:ascii="微软雅黑" w:hAnsi="微软雅黑" w:eastAsia="微软雅黑" w:cs="微软雅黑"/>
          <w:spacing w:val="4"/>
          <w:sz w:val="31"/>
          <w:szCs w:val="31"/>
        </w:rPr>
        <w:t>罚。《基准》明确了《应急管理轻微违法行为可以不予行政处罚</w:t>
      </w:r>
      <w:r>
        <w:rPr>
          <w:rFonts w:ascii="微软雅黑" w:hAnsi="微软雅黑" w:eastAsia="微软雅黑" w:cs="微软雅黑"/>
          <w:spacing w:val="1"/>
          <w:sz w:val="31"/>
          <w:szCs w:val="31"/>
        </w:rPr>
        <w:t>事项清单（试行）》，各地可结合实际依法研究制定本</w:t>
      </w:r>
      <w:r>
        <w:rPr>
          <w:rFonts w:ascii="微软雅黑" w:hAnsi="微软雅黑" w:eastAsia="微软雅黑" w:cs="微软雅黑"/>
          <w:sz w:val="31"/>
          <w:szCs w:val="31"/>
        </w:rPr>
        <w:t>地区轻微</w:t>
      </w:r>
    </w:p>
    <w:p w14:paraId="6287628B">
      <w:pPr>
        <w:spacing w:line="248" w:lineRule="auto"/>
        <w:rPr>
          <w:rFonts w:ascii="微软雅黑" w:hAnsi="微软雅黑" w:eastAsia="微软雅黑" w:cs="微软雅黑"/>
          <w:sz w:val="31"/>
          <w:szCs w:val="31"/>
        </w:rPr>
        <w:sectPr>
          <w:footerReference r:id="rId18" w:type="default"/>
          <w:pgSz w:w="11906" w:h="16839"/>
          <w:pgMar w:top="1431" w:right="1371" w:bottom="780" w:left="1601" w:header="0" w:footer="501" w:gutter="0"/>
          <w:cols w:space="720" w:num="1"/>
        </w:sectPr>
      </w:pPr>
    </w:p>
    <w:p w14:paraId="3DC795F8">
      <w:pPr>
        <w:pStyle w:val="2"/>
        <w:spacing w:line="348" w:lineRule="auto"/>
      </w:pPr>
    </w:p>
    <w:p w14:paraId="0CD137CF">
      <w:pPr>
        <w:pStyle w:val="2"/>
        <w:spacing w:line="349" w:lineRule="auto"/>
      </w:pPr>
    </w:p>
    <w:p w14:paraId="1EE2D8F0">
      <w:pPr>
        <w:spacing w:before="133" w:line="251" w:lineRule="auto"/>
        <w:ind w:left="17" w:right="124"/>
        <w:jc w:val="both"/>
        <w:rPr>
          <w:rFonts w:ascii="微软雅黑" w:hAnsi="微软雅黑" w:eastAsia="微软雅黑" w:cs="微软雅黑"/>
          <w:sz w:val="31"/>
          <w:szCs w:val="31"/>
        </w:rPr>
      </w:pPr>
      <w:r>
        <w:rPr>
          <w:rFonts w:ascii="微软雅黑" w:hAnsi="微软雅黑" w:eastAsia="微软雅黑" w:cs="微软雅黑"/>
          <w:spacing w:val="4"/>
          <w:sz w:val="31"/>
          <w:szCs w:val="31"/>
        </w:rPr>
        <w:t>违法行为依法不予（可以不予）行政处罚事项清单。清单中未列明的违法行为，符合《中华人民共和国行政处罚法》等法律法规规定的不予行政处罚、可以不予行政处罚条件的，依法作出不予行政处罚决定。依法不予行政处罚的，应急管理部门应当通过批评教育、约谈警示、指导服务、普法宣传等措施</w:t>
      </w:r>
      <w:r>
        <w:rPr>
          <w:rFonts w:ascii="微软雅黑" w:hAnsi="微软雅黑" w:eastAsia="微软雅黑" w:cs="微软雅黑"/>
          <w:spacing w:val="3"/>
          <w:sz w:val="31"/>
          <w:szCs w:val="31"/>
        </w:rPr>
        <w:t>，教育、督促生</w:t>
      </w:r>
      <w:r>
        <w:rPr>
          <w:rFonts w:ascii="微软雅黑" w:hAnsi="微软雅黑" w:eastAsia="微软雅黑" w:cs="微软雅黑"/>
          <w:spacing w:val="7"/>
          <w:sz w:val="31"/>
          <w:szCs w:val="31"/>
        </w:rPr>
        <w:t>产经营单位及其相关人员依法依规开展生产经营活动。</w:t>
      </w:r>
    </w:p>
    <w:p w14:paraId="33A04AFB">
      <w:pPr>
        <w:spacing w:before="20" w:line="248" w:lineRule="auto"/>
        <w:ind w:left="17" w:firstLine="648"/>
        <w:rPr>
          <w:rFonts w:ascii="微软雅黑" w:hAnsi="微软雅黑" w:eastAsia="微软雅黑" w:cs="微软雅黑"/>
          <w:sz w:val="31"/>
          <w:szCs w:val="31"/>
        </w:rPr>
      </w:pPr>
      <w:r>
        <w:rPr>
          <w:rFonts w:ascii="微软雅黑" w:hAnsi="微软雅黑" w:eastAsia="微软雅黑" w:cs="微软雅黑"/>
          <w:spacing w:val="-3"/>
          <w:sz w:val="31"/>
          <w:szCs w:val="31"/>
        </w:rPr>
        <w:t>九、对同一类违法主体实施的性质相同、情节相</w:t>
      </w:r>
      <w:r>
        <w:rPr>
          <w:rFonts w:ascii="微软雅黑" w:hAnsi="微软雅黑" w:eastAsia="微软雅黑" w:cs="微软雅黑"/>
          <w:spacing w:val="-4"/>
          <w:sz w:val="31"/>
          <w:szCs w:val="31"/>
        </w:rPr>
        <w:t>同或者相近、</w:t>
      </w:r>
      <w:r>
        <w:rPr>
          <w:rFonts w:ascii="微软雅黑" w:hAnsi="微软雅黑" w:eastAsia="微软雅黑" w:cs="微软雅黑"/>
          <w:spacing w:val="4"/>
          <w:sz w:val="31"/>
          <w:szCs w:val="31"/>
        </w:rPr>
        <w:t>危害后果基本相当的违法行为，在行使行政处罚裁量权时，适用</w:t>
      </w:r>
      <w:r>
        <w:rPr>
          <w:rFonts w:ascii="微软雅黑" w:hAnsi="微软雅黑" w:eastAsia="微软雅黑" w:cs="微软雅黑"/>
          <w:spacing w:val="7"/>
          <w:sz w:val="31"/>
          <w:szCs w:val="31"/>
        </w:rPr>
        <w:t>的法律依据、处罚种类应当基本一致，处罚幅度应当基本相</w:t>
      </w:r>
      <w:r>
        <w:rPr>
          <w:rFonts w:ascii="微软雅黑" w:hAnsi="微软雅黑" w:eastAsia="微软雅黑" w:cs="微软雅黑"/>
          <w:spacing w:val="6"/>
          <w:sz w:val="31"/>
          <w:szCs w:val="31"/>
        </w:rPr>
        <w:t>当，</w:t>
      </w:r>
      <w:r>
        <w:rPr>
          <w:rFonts w:ascii="微软雅黑" w:hAnsi="微软雅黑" w:eastAsia="微软雅黑" w:cs="微软雅黑"/>
          <w:spacing w:val="4"/>
          <w:sz w:val="31"/>
          <w:szCs w:val="31"/>
        </w:rPr>
        <w:t>处理结果应当基本一致。同一个违法行为违反不同法律、行政法规、部门规章规定或者违反同一效力层级的法律、行政法规、部门规章规定的，按照上位法优于下位法、特别法优于普通法、新法优于旧法等原则适用。同一违法行为违反多个法律规定应当给予罚款处罚的，按照罚款数额高的规定处罚。有两个以上应当给予行政处罚违法行为的，应当分别裁量，合并处罚。对同一个违</w:t>
      </w:r>
      <w:r>
        <w:rPr>
          <w:rFonts w:ascii="微软雅黑" w:hAnsi="微软雅黑" w:eastAsia="微软雅黑" w:cs="微软雅黑"/>
          <w:spacing w:val="6"/>
          <w:sz w:val="31"/>
          <w:szCs w:val="31"/>
        </w:rPr>
        <w:t>法行为，不得给予两次以上罚款的行政处罚。</w:t>
      </w:r>
    </w:p>
    <w:p w14:paraId="6B3629AD">
      <w:pPr>
        <w:spacing w:before="107" w:line="241" w:lineRule="auto"/>
        <w:ind w:left="17" w:right="125" w:firstLine="651"/>
        <w:rPr>
          <w:rFonts w:ascii="微软雅黑" w:hAnsi="微软雅黑" w:eastAsia="微软雅黑" w:cs="微软雅黑"/>
          <w:sz w:val="31"/>
          <w:szCs w:val="31"/>
        </w:rPr>
      </w:pPr>
      <w:r>
        <w:rPr>
          <w:rFonts w:ascii="微软雅黑" w:hAnsi="微软雅黑" w:eastAsia="微软雅黑" w:cs="微软雅黑"/>
          <w:spacing w:val="3"/>
          <w:sz w:val="31"/>
          <w:szCs w:val="31"/>
        </w:rPr>
        <w:t>十、当《基准》规定的不同阶次所对应的情节并存时，应当</w:t>
      </w:r>
      <w:r>
        <w:rPr>
          <w:rFonts w:ascii="微软雅黑" w:hAnsi="微软雅黑" w:eastAsia="微软雅黑" w:cs="微软雅黑"/>
          <w:spacing w:val="4"/>
          <w:sz w:val="31"/>
          <w:szCs w:val="31"/>
        </w:rPr>
        <w:t>在从重情节所对应的处罚阶次内处罚。当从重处罚因素与从轻处罚因素并存时，原则上应当首先考虑从重因素，然后在从重基础上酌情从轻。</w:t>
      </w:r>
    </w:p>
    <w:p w14:paraId="4D0080B6">
      <w:pPr>
        <w:spacing w:before="100" w:line="229" w:lineRule="auto"/>
        <w:ind w:left="22" w:right="111" w:firstLine="647"/>
        <w:rPr>
          <w:rFonts w:ascii="微软雅黑" w:hAnsi="微软雅黑" w:eastAsia="微软雅黑" w:cs="微软雅黑"/>
          <w:sz w:val="31"/>
          <w:szCs w:val="31"/>
        </w:rPr>
      </w:pPr>
      <w:r>
        <w:rPr>
          <w:rFonts w:ascii="微软雅黑" w:hAnsi="微软雅黑" w:eastAsia="微软雅黑" w:cs="微软雅黑"/>
          <w:spacing w:val="3"/>
          <w:sz w:val="31"/>
          <w:szCs w:val="31"/>
        </w:rPr>
        <w:t>十一、《基准》对于法律、行政法规、部门规章所规定的罚</w:t>
      </w:r>
      <w:r>
        <w:rPr>
          <w:rFonts w:ascii="微软雅黑" w:hAnsi="微软雅黑" w:eastAsia="微软雅黑" w:cs="微软雅黑"/>
          <w:spacing w:val="9"/>
          <w:sz w:val="31"/>
          <w:szCs w:val="31"/>
        </w:rPr>
        <w:t>款金额在</w:t>
      </w:r>
      <w:r>
        <w:rPr>
          <w:rFonts w:ascii="宋体" w:hAnsi="宋体" w:eastAsia="宋体" w:cs="宋体"/>
          <w:spacing w:val="9"/>
          <w:sz w:val="31"/>
          <w:szCs w:val="31"/>
        </w:rPr>
        <w:t>1</w:t>
      </w:r>
      <w:r>
        <w:rPr>
          <w:rFonts w:ascii="微软雅黑" w:hAnsi="微软雅黑" w:eastAsia="微软雅黑" w:cs="微软雅黑"/>
          <w:spacing w:val="9"/>
          <w:sz w:val="31"/>
          <w:szCs w:val="31"/>
        </w:rPr>
        <w:t>万元以下以及罚款金额幅度在</w:t>
      </w:r>
      <w:r>
        <w:rPr>
          <w:rFonts w:ascii="宋体" w:hAnsi="宋体" w:eastAsia="宋体" w:cs="宋体"/>
          <w:spacing w:val="9"/>
          <w:sz w:val="31"/>
          <w:szCs w:val="31"/>
        </w:rPr>
        <w:t>1</w:t>
      </w:r>
      <w:r>
        <w:rPr>
          <w:rFonts w:ascii="微软雅黑" w:hAnsi="微软雅黑" w:eastAsia="微软雅黑" w:cs="微软雅黑"/>
          <w:spacing w:val="9"/>
          <w:sz w:val="31"/>
          <w:szCs w:val="31"/>
        </w:rPr>
        <w:t>万元以内的违法行</w:t>
      </w:r>
    </w:p>
    <w:p w14:paraId="2B8A9A04">
      <w:pPr>
        <w:spacing w:line="229" w:lineRule="auto"/>
        <w:rPr>
          <w:rFonts w:ascii="微软雅黑" w:hAnsi="微软雅黑" w:eastAsia="微软雅黑" w:cs="微软雅黑"/>
          <w:sz w:val="31"/>
          <w:szCs w:val="31"/>
        </w:rPr>
        <w:sectPr>
          <w:footerReference r:id="rId19" w:type="default"/>
          <w:pgSz w:w="11906" w:h="16839"/>
          <w:pgMar w:top="1431" w:right="1369" w:bottom="780" w:left="1586" w:header="0" w:footer="501" w:gutter="0"/>
          <w:cols w:space="720" w:num="1"/>
        </w:sectPr>
      </w:pPr>
    </w:p>
    <w:p w14:paraId="5AEB23EC">
      <w:pPr>
        <w:pStyle w:val="2"/>
        <w:spacing w:line="349" w:lineRule="auto"/>
      </w:pPr>
    </w:p>
    <w:p w14:paraId="0E5D8800">
      <w:pPr>
        <w:pStyle w:val="2"/>
        <w:spacing w:line="350" w:lineRule="auto"/>
      </w:pPr>
    </w:p>
    <w:p w14:paraId="288255A7">
      <w:pPr>
        <w:spacing w:before="133" w:line="250" w:lineRule="auto"/>
        <w:ind w:left="8" w:right="265" w:firstLine="6"/>
        <w:jc w:val="both"/>
        <w:rPr>
          <w:rFonts w:ascii="微软雅黑" w:hAnsi="微软雅黑" w:eastAsia="微软雅黑" w:cs="微软雅黑"/>
          <w:sz w:val="31"/>
          <w:szCs w:val="31"/>
        </w:rPr>
      </w:pPr>
      <w:r>
        <w:rPr>
          <w:rFonts w:ascii="微软雅黑" w:hAnsi="微软雅黑" w:eastAsia="微软雅黑" w:cs="微软雅黑"/>
          <w:spacing w:val="4"/>
          <w:sz w:val="31"/>
          <w:szCs w:val="31"/>
        </w:rPr>
        <w:t>为，以及难以划分裁量阶次的违法行为，不予设定裁量权基</w:t>
      </w:r>
      <w:r>
        <w:rPr>
          <w:rFonts w:ascii="微软雅黑" w:hAnsi="微软雅黑" w:eastAsia="微软雅黑" w:cs="微软雅黑"/>
          <w:spacing w:val="3"/>
          <w:sz w:val="31"/>
          <w:szCs w:val="31"/>
        </w:rPr>
        <w:t>准，</w:t>
      </w:r>
      <w:r>
        <w:rPr>
          <w:rFonts w:ascii="微软雅黑" w:hAnsi="微软雅黑" w:eastAsia="微软雅黑" w:cs="微软雅黑"/>
          <w:spacing w:val="4"/>
          <w:sz w:val="31"/>
          <w:szCs w:val="31"/>
        </w:rPr>
        <w:t>由应急管理部门在执法过程中根据案件的具体情况研究确定。应</w:t>
      </w:r>
      <w:r>
        <w:rPr>
          <w:rFonts w:ascii="微软雅黑" w:hAnsi="微软雅黑" w:eastAsia="微软雅黑" w:cs="微软雅黑"/>
          <w:spacing w:val="16"/>
          <w:sz w:val="31"/>
          <w:szCs w:val="31"/>
        </w:rPr>
        <w:t>急管理部门应当在行政执法文书中对行政裁量权基准的适用情</w:t>
      </w:r>
      <w:r>
        <w:rPr>
          <w:rFonts w:ascii="微软雅黑" w:hAnsi="微软雅黑" w:eastAsia="微软雅黑" w:cs="微软雅黑"/>
          <w:spacing w:val="3"/>
          <w:sz w:val="31"/>
          <w:szCs w:val="31"/>
        </w:rPr>
        <w:t>况予以明确。</w:t>
      </w:r>
    </w:p>
    <w:p w14:paraId="15F2D1FB">
      <w:pPr>
        <w:spacing w:before="20" w:line="237" w:lineRule="auto"/>
        <w:ind w:right="316" w:firstLine="655"/>
        <w:rPr>
          <w:rFonts w:ascii="微软雅黑" w:hAnsi="微软雅黑" w:eastAsia="微软雅黑" w:cs="微软雅黑"/>
          <w:sz w:val="31"/>
          <w:szCs w:val="31"/>
        </w:rPr>
      </w:pPr>
      <w:r>
        <w:rPr>
          <w:rFonts w:ascii="微软雅黑" w:hAnsi="微软雅黑" w:eastAsia="微软雅黑" w:cs="微软雅黑"/>
          <w:spacing w:val="1"/>
          <w:sz w:val="31"/>
          <w:szCs w:val="31"/>
        </w:rPr>
        <w:t>十二、《基准》施行前，已经制定并实施本地区应急管理行</w:t>
      </w:r>
      <w:r>
        <w:rPr>
          <w:rFonts w:ascii="微软雅黑" w:hAnsi="微软雅黑" w:eastAsia="微软雅黑" w:cs="微软雅黑"/>
          <w:spacing w:val="5"/>
          <w:sz w:val="31"/>
          <w:szCs w:val="31"/>
        </w:rPr>
        <w:t>政处罚裁量权基准的省份，可结合实际继续</w:t>
      </w:r>
      <w:r>
        <w:rPr>
          <w:rFonts w:ascii="微软雅黑" w:hAnsi="微软雅黑" w:eastAsia="微软雅黑" w:cs="微软雅黑"/>
          <w:spacing w:val="4"/>
          <w:sz w:val="31"/>
          <w:szCs w:val="31"/>
        </w:rPr>
        <w:t>使用原基准，并要确</w:t>
      </w:r>
      <w:r>
        <w:rPr>
          <w:rFonts w:ascii="微软雅黑" w:hAnsi="微软雅黑" w:eastAsia="微软雅黑" w:cs="微软雅黑"/>
          <w:spacing w:val="8"/>
          <w:sz w:val="31"/>
          <w:szCs w:val="31"/>
        </w:rPr>
        <w:t>保本省份各级应急管理部门使用基准的一致性。</w:t>
      </w:r>
    </w:p>
    <w:p w14:paraId="6E21BA62">
      <w:pPr>
        <w:spacing w:before="105" w:line="241" w:lineRule="auto"/>
        <w:ind w:left="2" w:firstLine="653"/>
        <w:rPr>
          <w:rFonts w:ascii="微软雅黑" w:hAnsi="微软雅黑" w:eastAsia="微软雅黑" w:cs="微软雅黑"/>
          <w:sz w:val="31"/>
          <w:szCs w:val="31"/>
        </w:rPr>
      </w:pPr>
      <w:r>
        <w:rPr>
          <w:rFonts w:ascii="微软雅黑" w:hAnsi="微软雅黑" w:eastAsia="微软雅黑" w:cs="微软雅黑"/>
          <w:spacing w:val="16"/>
          <w:sz w:val="31"/>
          <w:szCs w:val="31"/>
        </w:rPr>
        <w:t>十三、《基准》中引用法律、行政法规和部门规章更新至</w:t>
      </w:r>
      <w:r>
        <w:rPr>
          <w:rFonts w:ascii="宋体" w:hAnsi="宋体" w:eastAsia="宋体" w:cs="宋体"/>
          <w:spacing w:val="2"/>
          <w:sz w:val="31"/>
          <w:szCs w:val="31"/>
        </w:rPr>
        <w:t>2024</w:t>
      </w:r>
      <w:r>
        <w:rPr>
          <w:rFonts w:ascii="微软雅黑" w:hAnsi="微软雅黑" w:eastAsia="微软雅黑" w:cs="微软雅黑"/>
          <w:spacing w:val="2"/>
          <w:sz w:val="31"/>
          <w:szCs w:val="31"/>
        </w:rPr>
        <w:t>年</w:t>
      </w:r>
      <w:r>
        <w:rPr>
          <w:rFonts w:ascii="宋体" w:hAnsi="宋体" w:eastAsia="宋体" w:cs="宋体"/>
          <w:spacing w:val="2"/>
          <w:sz w:val="31"/>
          <w:szCs w:val="31"/>
        </w:rPr>
        <w:t>9</w:t>
      </w:r>
      <w:r>
        <w:rPr>
          <w:rFonts w:ascii="微软雅黑" w:hAnsi="微软雅黑" w:eastAsia="微软雅黑" w:cs="微软雅黑"/>
          <w:spacing w:val="2"/>
          <w:sz w:val="31"/>
          <w:szCs w:val="31"/>
        </w:rPr>
        <w:t>月</w:t>
      </w:r>
      <w:r>
        <w:rPr>
          <w:rFonts w:ascii="宋体" w:hAnsi="宋体" w:eastAsia="宋体" w:cs="宋体"/>
          <w:spacing w:val="2"/>
          <w:sz w:val="31"/>
          <w:szCs w:val="31"/>
        </w:rPr>
        <w:t>30</w:t>
      </w:r>
      <w:r>
        <w:rPr>
          <w:rFonts w:ascii="微软雅黑" w:hAnsi="微软雅黑" w:eastAsia="微软雅黑" w:cs="微软雅黑"/>
          <w:spacing w:val="2"/>
          <w:sz w:val="31"/>
          <w:szCs w:val="31"/>
        </w:rPr>
        <w:t>日。《基准》施行</w:t>
      </w:r>
      <w:r>
        <w:rPr>
          <w:rFonts w:ascii="微软雅黑" w:hAnsi="微软雅黑" w:eastAsia="微软雅黑" w:cs="微软雅黑"/>
          <w:spacing w:val="1"/>
          <w:sz w:val="31"/>
          <w:szCs w:val="31"/>
        </w:rPr>
        <w:t>后，“法律规定”“处罚依据”</w:t>
      </w:r>
      <w:r>
        <w:rPr>
          <w:rFonts w:ascii="微软雅黑" w:hAnsi="微软雅黑" w:eastAsia="微软雅黑" w:cs="微软雅黑"/>
          <w:spacing w:val="3"/>
          <w:sz w:val="31"/>
          <w:szCs w:val="31"/>
        </w:rPr>
        <w:t>中涉及的法律、行政法规、部门规章内容发生修改或变化的，以</w:t>
      </w:r>
      <w:r>
        <w:rPr>
          <w:rFonts w:ascii="微软雅黑" w:hAnsi="微软雅黑" w:eastAsia="微软雅黑" w:cs="微软雅黑"/>
          <w:spacing w:val="8"/>
          <w:sz w:val="31"/>
          <w:szCs w:val="31"/>
        </w:rPr>
        <w:t>现行有效的法律、行政法规、部门规章内容为准。</w:t>
      </w:r>
    </w:p>
    <w:p w14:paraId="56A0B16D">
      <w:pPr>
        <w:spacing w:before="103" w:line="206" w:lineRule="auto"/>
        <w:ind w:left="655"/>
        <w:rPr>
          <w:rFonts w:ascii="微软雅黑" w:hAnsi="微软雅黑" w:eastAsia="微软雅黑" w:cs="微软雅黑"/>
          <w:sz w:val="31"/>
          <w:szCs w:val="31"/>
        </w:rPr>
      </w:pPr>
      <w:r>
        <w:rPr>
          <w:rFonts w:ascii="微软雅黑" w:hAnsi="微软雅黑" w:eastAsia="微软雅黑" w:cs="微软雅黑"/>
          <w:spacing w:val="-4"/>
          <w:sz w:val="31"/>
          <w:szCs w:val="31"/>
        </w:rPr>
        <w:t>十四、《基准》由应急管理部负责解释，自</w:t>
      </w:r>
      <w:r>
        <w:rPr>
          <w:rFonts w:ascii="微软雅黑" w:hAnsi="微软雅黑" w:eastAsia="微软雅黑" w:cs="微软雅黑"/>
          <w:spacing w:val="-5"/>
          <w:sz w:val="31"/>
          <w:szCs w:val="31"/>
        </w:rPr>
        <w:t>印发之日起施行。</w:t>
      </w:r>
    </w:p>
    <w:p w14:paraId="309A7C8A">
      <w:pPr>
        <w:spacing w:line="206" w:lineRule="auto"/>
        <w:rPr>
          <w:rFonts w:ascii="微软雅黑" w:hAnsi="微软雅黑" w:eastAsia="微软雅黑" w:cs="微软雅黑"/>
          <w:sz w:val="31"/>
          <w:szCs w:val="31"/>
        </w:rPr>
        <w:sectPr>
          <w:footerReference r:id="rId20" w:type="default"/>
          <w:pgSz w:w="11906" w:h="16839"/>
          <w:pgMar w:top="1431" w:right="1175" w:bottom="780" w:left="1600" w:header="0" w:footer="501" w:gutter="0"/>
          <w:cols w:space="720" w:num="1"/>
        </w:sectPr>
      </w:pPr>
    </w:p>
    <w:p w14:paraId="18894014">
      <w:pPr>
        <w:spacing w:before="195" w:line="158" w:lineRule="auto"/>
        <w:ind w:left="5657"/>
        <w:outlineLvl w:val="0"/>
        <w:rPr>
          <w:rFonts w:ascii="微软雅黑" w:hAnsi="微软雅黑" w:eastAsia="微软雅黑" w:cs="微软雅黑"/>
          <w:sz w:val="43"/>
          <w:szCs w:val="43"/>
        </w:rPr>
      </w:pPr>
      <w:bookmarkStart w:id="356" w:name="bookmark4"/>
      <w:bookmarkEnd w:id="356"/>
      <w:bookmarkStart w:id="357" w:name="bookmark6"/>
      <w:bookmarkEnd w:id="357"/>
      <w:r>
        <w:rPr>
          <w:rFonts w:ascii="微软雅黑" w:hAnsi="微软雅黑" w:eastAsia="微软雅黑" w:cs="微软雅黑"/>
          <w:spacing w:val="6"/>
          <w:sz w:val="43"/>
          <w:szCs w:val="43"/>
        </w:rPr>
        <w:t>第二部分裁量细则</w:t>
      </w: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0F42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9F26E16">
            <w:pPr>
              <w:spacing w:before="223"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14DD37F6">
            <w:pPr>
              <w:spacing w:before="223"/>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7A9E4950">
            <w:pPr>
              <w:spacing w:before="224"/>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24B96B7">
            <w:pPr>
              <w:spacing w:before="223"/>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17D1E2C6">
            <w:pPr>
              <w:spacing w:before="43" w:line="223"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C35E777">
            <w:pPr>
              <w:spacing w:before="223"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55A73EAF">
            <w:pPr>
              <w:spacing w:before="223"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673F9D0B">
            <w:pPr>
              <w:spacing w:before="223"/>
              <w:ind w:left="135"/>
              <w:rPr>
                <w:rFonts w:ascii="黑体" w:hAnsi="黑体" w:eastAsia="黑体" w:cs="黑体"/>
                <w:sz w:val="28"/>
                <w:szCs w:val="28"/>
              </w:rPr>
            </w:pPr>
            <w:r>
              <w:rPr>
                <w:rFonts w:ascii="黑体" w:hAnsi="黑体" w:eastAsia="黑体" w:cs="黑体"/>
                <w:spacing w:val="-3"/>
                <w:sz w:val="28"/>
                <w:szCs w:val="28"/>
              </w:rPr>
              <w:t>备注</w:t>
            </w:r>
          </w:p>
        </w:tc>
      </w:tr>
      <w:tr w14:paraId="03753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8" w:hRule="atLeast"/>
        </w:trPr>
        <w:tc>
          <w:tcPr>
            <w:tcW w:w="818" w:type="dxa"/>
            <w:vMerge w:val="restart"/>
            <w:tcBorders>
              <w:bottom w:val="nil"/>
            </w:tcBorders>
            <w:vAlign w:val="top"/>
          </w:tcPr>
          <w:p w14:paraId="7418EA84">
            <w:pPr>
              <w:spacing w:line="245" w:lineRule="auto"/>
              <w:rPr>
                <w:rFonts w:ascii="Arial"/>
                <w:sz w:val="21"/>
              </w:rPr>
            </w:pPr>
          </w:p>
          <w:p w14:paraId="15263186">
            <w:pPr>
              <w:spacing w:line="245" w:lineRule="auto"/>
              <w:rPr>
                <w:rFonts w:ascii="Arial"/>
                <w:sz w:val="21"/>
              </w:rPr>
            </w:pPr>
          </w:p>
          <w:p w14:paraId="04867AD6">
            <w:pPr>
              <w:spacing w:line="245" w:lineRule="auto"/>
              <w:rPr>
                <w:rFonts w:ascii="Arial"/>
                <w:sz w:val="21"/>
              </w:rPr>
            </w:pPr>
          </w:p>
          <w:p w14:paraId="4FB61350">
            <w:pPr>
              <w:spacing w:line="245" w:lineRule="auto"/>
              <w:rPr>
                <w:rFonts w:ascii="Arial"/>
                <w:sz w:val="21"/>
              </w:rPr>
            </w:pPr>
          </w:p>
          <w:p w14:paraId="768591C7">
            <w:pPr>
              <w:spacing w:line="245" w:lineRule="auto"/>
              <w:rPr>
                <w:rFonts w:ascii="Arial"/>
                <w:sz w:val="21"/>
              </w:rPr>
            </w:pPr>
          </w:p>
          <w:p w14:paraId="6F27858A">
            <w:pPr>
              <w:spacing w:line="245" w:lineRule="auto"/>
              <w:rPr>
                <w:rFonts w:ascii="Arial"/>
                <w:sz w:val="21"/>
              </w:rPr>
            </w:pPr>
          </w:p>
          <w:p w14:paraId="485A8CCA">
            <w:pPr>
              <w:spacing w:line="245" w:lineRule="auto"/>
              <w:rPr>
                <w:rFonts w:ascii="Arial"/>
                <w:sz w:val="21"/>
              </w:rPr>
            </w:pPr>
          </w:p>
          <w:p w14:paraId="1A038B0C">
            <w:pPr>
              <w:spacing w:line="246" w:lineRule="auto"/>
              <w:rPr>
                <w:rFonts w:ascii="Arial"/>
                <w:sz w:val="21"/>
              </w:rPr>
            </w:pPr>
          </w:p>
          <w:p w14:paraId="408337C1">
            <w:pPr>
              <w:spacing w:line="246" w:lineRule="auto"/>
              <w:rPr>
                <w:rFonts w:ascii="Arial"/>
                <w:sz w:val="21"/>
              </w:rPr>
            </w:pPr>
          </w:p>
          <w:p w14:paraId="35C9B6B1">
            <w:pPr>
              <w:spacing w:line="246" w:lineRule="auto"/>
              <w:rPr>
                <w:rFonts w:ascii="Arial"/>
                <w:sz w:val="21"/>
              </w:rPr>
            </w:pPr>
          </w:p>
          <w:p w14:paraId="7B5FF4BA">
            <w:pPr>
              <w:spacing w:line="246" w:lineRule="auto"/>
              <w:rPr>
                <w:rFonts w:ascii="Arial"/>
                <w:sz w:val="21"/>
              </w:rPr>
            </w:pPr>
          </w:p>
          <w:p w14:paraId="236355DD">
            <w:pPr>
              <w:spacing w:line="246" w:lineRule="auto"/>
              <w:rPr>
                <w:rFonts w:ascii="Arial"/>
                <w:sz w:val="21"/>
              </w:rPr>
            </w:pPr>
          </w:p>
          <w:p w14:paraId="2E1670A8">
            <w:pPr>
              <w:spacing w:line="246" w:lineRule="auto"/>
              <w:rPr>
                <w:rFonts w:ascii="Arial"/>
                <w:sz w:val="21"/>
              </w:rPr>
            </w:pPr>
          </w:p>
          <w:p w14:paraId="270E58F2">
            <w:pPr>
              <w:spacing w:line="246" w:lineRule="auto"/>
              <w:rPr>
                <w:rFonts w:ascii="Arial"/>
                <w:sz w:val="21"/>
              </w:rPr>
            </w:pPr>
          </w:p>
          <w:p w14:paraId="0812C822">
            <w:pPr>
              <w:spacing w:line="246" w:lineRule="auto"/>
              <w:rPr>
                <w:rFonts w:ascii="Arial"/>
                <w:sz w:val="21"/>
              </w:rPr>
            </w:pPr>
          </w:p>
          <w:p w14:paraId="49E60A6F">
            <w:pPr>
              <w:spacing w:line="246" w:lineRule="auto"/>
              <w:rPr>
                <w:rFonts w:ascii="Arial"/>
                <w:sz w:val="21"/>
              </w:rPr>
            </w:pPr>
          </w:p>
          <w:p w14:paraId="3CDDE331">
            <w:pPr>
              <w:spacing w:line="246" w:lineRule="auto"/>
              <w:rPr>
                <w:rFonts w:ascii="Arial"/>
                <w:sz w:val="21"/>
              </w:rPr>
            </w:pPr>
          </w:p>
          <w:p w14:paraId="04082095">
            <w:pPr>
              <w:spacing w:before="75" w:line="186" w:lineRule="auto"/>
              <w:ind w:left="341"/>
              <w:rPr>
                <w:rFonts w:ascii="仿宋" w:hAnsi="仿宋" w:eastAsia="仿宋" w:cs="仿宋"/>
                <w:sz w:val="23"/>
                <w:szCs w:val="23"/>
              </w:rPr>
            </w:pPr>
            <w:r>
              <w:rPr>
                <w:rFonts w:ascii="仿宋" w:hAnsi="仿宋" w:eastAsia="仿宋" w:cs="仿宋"/>
                <w:sz w:val="23"/>
                <w:szCs w:val="23"/>
              </w:rPr>
              <w:t>1</w:t>
            </w:r>
          </w:p>
        </w:tc>
        <w:tc>
          <w:tcPr>
            <w:tcW w:w="1440" w:type="dxa"/>
            <w:vMerge w:val="restart"/>
            <w:tcBorders>
              <w:bottom w:val="nil"/>
            </w:tcBorders>
            <w:vAlign w:val="top"/>
          </w:tcPr>
          <w:p w14:paraId="177BD0EF">
            <w:pPr>
              <w:spacing w:line="258" w:lineRule="auto"/>
              <w:rPr>
                <w:rFonts w:ascii="Arial"/>
                <w:sz w:val="21"/>
              </w:rPr>
            </w:pPr>
          </w:p>
          <w:p w14:paraId="1988B241">
            <w:pPr>
              <w:spacing w:line="258" w:lineRule="auto"/>
              <w:rPr>
                <w:rFonts w:ascii="Arial"/>
                <w:sz w:val="21"/>
              </w:rPr>
            </w:pPr>
          </w:p>
          <w:p w14:paraId="18F251AA">
            <w:pPr>
              <w:spacing w:line="258" w:lineRule="auto"/>
              <w:rPr>
                <w:rFonts w:ascii="Arial"/>
                <w:sz w:val="21"/>
              </w:rPr>
            </w:pPr>
          </w:p>
          <w:p w14:paraId="4E536D3F">
            <w:pPr>
              <w:spacing w:line="258" w:lineRule="auto"/>
              <w:rPr>
                <w:rFonts w:ascii="Arial"/>
                <w:sz w:val="21"/>
              </w:rPr>
            </w:pPr>
          </w:p>
          <w:p w14:paraId="4CAFA4C9">
            <w:pPr>
              <w:spacing w:line="258" w:lineRule="auto"/>
              <w:rPr>
                <w:rFonts w:ascii="Arial"/>
                <w:sz w:val="21"/>
              </w:rPr>
            </w:pPr>
          </w:p>
          <w:p w14:paraId="1D1E5ACF">
            <w:pPr>
              <w:spacing w:line="258" w:lineRule="auto"/>
              <w:rPr>
                <w:rFonts w:ascii="Arial"/>
                <w:sz w:val="21"/>
              </w:rPr>
            </w:pPr>
          </w:p>
          <w:p w14:paraId="6B142A84">
            <w:pPr>
              <w:spacing w:line="258" w:lineRule="auto"/>
              <w:rPr>
                <w:rFonts w:ascii="Arial"/>
                <w:sz w:val="21"/>
              </w:rPr>
            </w:pPr>
          </w:p>
          <w:p w14:paraId="390CB40A">
            <w:pPr>
              <w:spacing w:line="258" w:lineRule="auto"/>
              <w:rPr>
                <w:rFonts w:ascii="Arial"/>
                <w:sz w:val="21"/>
              </w:rPr>
            </w:pPr>
          </w:p>
          <w:p w14:paraId="59A3E929">
            <w:pPr>
              <w:spacing w:line="258" w:lineRule="auto"/>
              <w:rPr>
                <w:rFonts w:ascii="Arial"/>
                <w:sz w:val="21"/>
              </w:rPr>
            </w:pPr>
          </w:p>
          <w:p w14:paraId="032523CC">
            <w:pPr>
              <w:spacing w:line="259" w:lineRule="auto"/>
              <w:rPr>
                <w:rFonts w:ascii="Arial"/>
                <w:sz w:val="21"/>
              </w:rPr>
            </w:pPr>
          </w:p>
          <w:p w14:paraId="7EEE71E2">
            <w:pPr>
              <w:spacing w:line="259" w:lineRule="auto"/>
              <w:rPr>
                <w:rFonts w:ascii="Arial"/>
                <w:sz w:val="21"/>
              </w:rPr>
            </w:pPr>
          </w:p>
          <w:p w14:paraId="4132E64A">
            <w:pPr>
              <w:spacing w:line="259" w:lineRule="auto"/>
              <w:rPr>
                <w:rFonts w:ascii="Arial"/>
                <w:sz w:val="21"/>
              </w:rPr>
            </w:pPr>
          </w:p>
          <w:p w14:paraId="2F93830F">
            <w:pPr>
              <w:spacing w:line="259" w:lineRule="auto"/>
              <w:rPr>
                <w:rFonts w:ascii="Arial"/>
                <w:sz w:val="21"/>
              </w:rPr>
            </w:pPr>
          </w:p>
          <w:p w14:paraId="04433C23">
            <w:pPr>
              <w:pStyle w:val="6"/>
              <w:spacing w:before="98" w:line="187" w:lineRule="auto"/>
              <w:ind w:left="115" w:right="111" w:firstLine="13"/>
              <w:jc w:val="both"/>
            </w:pPr>
            <w:r>
              <w:rPr>
                <w:spacing w:val="8"/>
              </w:rPr>
              <w:t>生产经营单</w:t>
            </w:r>
            <w:r>
              <w:rPr>
                <w:spacing w:val="11"/>
              </w:rPr>
              <w:t>位的主要负责人未履行法定的安全生产管理职</w:t>
            </w:r>
            <w:r>
              <w:rPr>
                <w:spacing w:val="2"/>
              </w:rPr>
              <w:t>责的</w:t>
            </w:r>
          </w:p>
        </w:tc>
        <w:tc>
          <w:tcPr>
            <w:tcW w:w="3202" w:type="dxa"/>
            <w:vMerge w:val="restart"/>
            <w:tcBorders>
              <w:bottom w:val="nil"/>
            </w:tcBorders>
            <w:vAlign w:val="top"/>
          </w:tcPr>
          <w:p w14:paraId="4EE08259">
            <w:pPr>
              <w:pStyle w:val="6"/>
              <w:spacing w:before="35" w:line="182" w:lineRule="auto"/>
              <w:ind w:left="121" w:right="110" w:hanging="23"/>
            </w:pPr>
            <w:r>
              <w:rPr>
                <w:spacing w:val="18"/>
              </w:rPr>
              <w:t>【法律】《中华人民共和国</w:t>
            </w:r>
            <w:r>
              <w:rPr>
                <w:spacing w:val="12"/>
              </w:rPr>
              <w:t>安全生产法》第五条：生产</w:t>
            </w:r>
            <w:r>
              <w:rPr>
                <w:spacing w:val="17"/>
              </w:rPr>
              <w:t>经营单位的主要负责人是本</w:t>
            </w:r>
            <w:r>
              <w:rPr>
                <w:spacing w:val="13"/>
              </w:rPr>
              <w:t>单位安全生产第一责任人，</w:t>
            </w:r>
            <w:r>
              <w:rPr>
                <w:spacing w:val="17"/>
              </w:rPr>
              <w:t>对本单位的安全生产工作全面负责。其他负责人对职责</w:t>
            </w:r>
            <w:r>
              <w:rPr>
                <w:spacing w:val="39"/>
              </w:rPr>
              <w:t>范围内的安全生产工作负</w:t>
            </w:r>
            <w:r>
              <w:rPr>
                <w:spacing w:val="-8"/>
              </w:rPr>
              <w:t>责。</w:t>
            </w:r>
          </w:p>
          <w:p w14:paraId="1C69ABBB">
            <w:pPr>
              <w:pStyle w:val="6"/>
              <w:spacing w:before="13" w:line="181" w:lineRule="auto"/>
              <w:ind w:left="98" w:right="21" w:firstLine="29"/>
            </w:pPr>
            <w:r>
              <w:rPr>
                <w:spacing w:val="11"/>
              </w:rPr>
              <w:t>第二十一条：生产经营单位</w:t>
            </w:r>
            <w:r>
              <w:rPr>
                <w:spacing w:val="18"/>
              </w:rPr>
              <w:t>的主要负责人对本单位安全</w:t>
            </w:r>
            <w:r>
              <w:rPr>
                <w:spacing w:val="37"/>
              </w:rPr>
              <w:t>生产工作负有下列职责：</w:t>
            </w:r>
            <w:r>
              <w:rPr>
                <w:spacing w:val="6"/>
              </w:rPr>
              <w:t>（一）建立健全并落实本单</w:t>
            </w:r>
            <w:r>
              <w:rPr>
                <w:spacing w:val="15"/>
              </w:rPr>
              <w:t>位全员安全生产责任制，加</w:t>
            </w:r>
            <w:r>
              <w:rPr>
                <w:spacing w:val="37"/>
              </w:rPr>
              <w:t>强安全生产标准化建设；</w:t>
            </w:r>
            <w:r>
              <w:rPr>
                <w:spacing w:val="14"/>
              </w:rPr>
              <w:t>（二）组织制定并实施本单</w:t>
            </w:r>
            <w:r>
              <w:rPr>
                <w:spacing w:val="18"/>
              </w:rPr>
              <w:t>位安全生产规章制度和操作</w:t>
            </w:r>
            <w:r>
              <w:rPr>
                <w:spacing w:val="20"/>
              </w:rPr>
              <w:t>规程</w:t>
            </w:r>
            <w:r>
              <w:rPr>
                <w:spacing w:val="-12"/>
              </w:rPr>
              <w:t>；（</w:t>
            </w:r>
            <w:r>
              <w:rPr>
                <w:spacing w:val="20"/>
              </w:rPr>
              <w:t>三）组织制定并实</w:t>
            </w:r>
            <w:r>
              <w:rPr>
                <w:spacing w:val="18"/>
              </w:rPr>
              <w:t>施本单位安全生产教育和培</w:t>
            </w:r>
            <w:r>
              <w:rPr>
                <w:spacing w:val="21"/>
              </w:rPr>
              <w:t>训计划</w:t>
            </w:r>
            <w:r>
              <w:rPr>
                <w:spacing w:val="-12"/>
              </w:rPr>
              <w:t>；（</w:t>
            </w:r>
            <w:r>
              <w:rPr>
                <w:spacing w:val="21"/>
              </w:rPr>
              <w:t>四）保证本单位</w:t>
            </w:r>
            <w:r>
              <w:rPr>
                <w:spacing w:val="15"/>
              </w:rPr>
              <w:t>安全生产投入的有效实施；</w:t>
            </w:r>
            <w:r>
              <w:rPr>
                <w:spacing w:val="14"/>
              </w:rPr>
              <w:t>（五）组织建立并落实安全</w:t>
            </w:r>
            <w:r>
              <w:rPr>
                <w:spacing w:val="18"/>
              </w:rPr>
              <w:t>风险分级管控和隐患排查治</w:t>
            </w:r>
            <w:r>
              <w:rPr>
                <w:spacing w:val="-2"/>
              </w:rPr>
              <w:t>理双重预防工作机制，督促、</w:t>
            </w:r>
            <w:r>
              <w:rPr>
                <w:spacing w:val="41"/>
              </w:rPr>
              <w:t>检查本单位的安全生产工</w:t>
            </w:r>
            <w:r>
              <w:rPr>
                <w:spacing w:val="15"/>
              </w:rPr>
              <w:t>作，及时消除生产安全事故</w:t>
            </w:r>
            <w:r>
              <w:rPr>
                <w:spacing w:val="20"/>
              </w:rPr>
              <w:t>隐患</w:t>
            </w:r>
            <w:r>
              <w:rPr>
                <w:spacing w:val="-12"/>
              </w:rPr>
              <w:t>；（</w:t>
            </w:r>
            <w:r>
              <w:rPr>
                <w:spacing w:val="20"/>
              </w:rPr>
              <w:t>六）组织制定并实</w:t>
            </w:r>
            <w:r>
              <w:rPr>
                <w:spacing w:val="18"/>
              </w:rPr>
              <w:t>施本单位的生产安全事故应急救援预案</w:t>
            </w:r>
            <w:r>
              <w:rPr>
                <w:spacing w:val="-12"/>
              </w:rPr>
              <w:t>；（</w:t>
            </w:r>
            <w:r>
              <w:rPr>
                <w:spacing w:val="18"/>
              </w:rPr>
              <w:t>七）及时、</w:t>
            </w:r>
            <w:r>
              <w:rPr>
                <w:spacing w:val="6"/>
              </w:rPr>
              <w:t>如实报告生产安全事故。</w:t>
            </w:r>
          </w:p>
        </w:tc>
        <w:tc>
          <w:tcPr>
            <w:tcW w:w="2859" w:type="dxa"/>
            <w:vMerge w:val="restart"/>
            <w:tcBorders>
              <w:bottom w:val="nil"/>
            </w:tcBorders>
            <w:vAlign w:val="top"/>
          </w:tcPr>
          <w:p w14:paraId="04DA3D98">
            <w:pPr>
              <w:pStyle w:val="6"/>
              <w:spacing w:before="27" w:line="185" w:lineRule="auto"/>
              <w:ind w:left="117" w:right="110" w:hanging="20"/>
              <w:jc w:val="both"/>
            </w:pPr>
            <w:r>
              <w:rPr>
                <w:spacing w:val="10"/>
              </w:rPr>
              <w:t>【法律】《中华人民共和</w:t>
            </w:r>
            <w:r>
              <w:rPr>
                <w:spacing w:val="8"/>
              </w:rPr>
              <w:t>国安全生产法》第九十四条第一款：生产经营单位的主要负责人未履行本法规定的安全生产管理职责的，责令限期改正，处二万元以上五万元以下的罚款；逾期未改正的，处五万元以上十万元以下的罚款，责令生产经营单位停</w:t>
            </w:r>
            <w:r>
              <w:rPr>
                <w:spacing w:val="1"/>
              </w:rPr>
              <w:t>产停业整顿。</w:t>
            </w:r>
          </w:p>
        </w:tc>
        <w:tc>
          <w:tcPr>
            <w:tcW w:w="803" w:type="dxa"/>
            <w:vAlign w:val="top"/>
          </w:tcPr>
          <w:p w14:paraId="43E54285">
            <w:pPr>
              <w:spacing w:line="282" w:lineRule="auto"/>
              <w:rPr>
                <w:rFonts w:ascii="Arial"/>
                <w:sz w:val="21"/>
              </w:rPr>
            </w:pPr>
          </w:p>
          <w:p w14:paraId="0CF6697D">
            <w:pPr>
              <w:spacing w:line="283" w:lineRule="auto"/>
              <w:rPr>
                <w:rFonts w:ascii="Arial"/>
                <w:sz w:val="21"/>
              </w:rPr>
            </w:pPr>
          </w:p>
          <w:p w14:paraId="70E0CAD8">
            <w:pPr>
              <w:spacing w:line="283" w:lineRule="auto"/>
              <w:rPr>
                <w:rFonts w:ascii="Arial"/>
                <w:sz w:val="21"/>
              </w:rPr>
            </w:pPr>
          </w:p>
          <w:p w14:paraId="7E510A79">
            <w:pPr>
              <w:spacing w:line="283" w:lineRule="auto"/>
              <w:rPr>
                <w:rFonts w:ascii="Arial"/>
                <w:sz w:val="21"/>
              </w:rPr>
            </w:pPr>
          </w:p>
          <w:p w14:paraId="3AB485C2">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1012981">
            <w:pPr>
              <w:spacing w:line="320" w:lineRule="auto"/>
              <w:rPr>
                <w:rFonts w:ascii="Arial"/>
                <w:sz w:val="21"/>
              </w:rPr>
            </w:pPr>
          </w:p>
          <w:p w14:paraId="0B6EF90F">
            <w:pPr>
              <w:pStyle w:val="6"/>
              <w:spacing w:before="99" w:line="182" w:lineRule="auto"/>
              <w:ind w:left="131"/>
              <w:outlineLvl w:val="0"/>
            </w:pPr>
            <w:r>
              <w:rPr>
                <w:spacing w:val="24"/>
              </w:rPr>
              <w:t>生产经营单位的主</w:t>
            </w:r>
          </w:p>
          <w:p w14:paraId="78F8D359">
            <w:pPr>
              <w:pStyle w:val="6"/>
              <w:spacing w:before="4" w:line="187" w:lineRule="auto"/>
              <w:ind w:left="119" w:right="105" w:firstLine="5"/>
              <w:jc w:val="both"/>
            </w:pPr>
            <w:r>
              <w:rPr>
                <w:spacing w:val="-7"/>
              </w:rPr>
              <w:t>要负责人未履行《中</w:t>
            </w:r>
            <w:r>
              <w:rPr>
                <w:spacing w:val="26"/>
              </w:rPr>
              <w:t>华人民共和国安全</w:t>
            </w:r>
            <w:r>
              <w:rPr>
                <w:spacing w:val="-3"/>
              </w:rPr>
              <w:t>生产法》规定的安全</w:t>
            </w:r>
            <w:r>
              <w:rPr>
                <w:spacing w:val="25"/>
              </w:rPr>
              <w:t>生产管理职责有</w:t>
            </w:r>
            <w:r>
              <w:rPr>
                <w:rFonts w:ascii="宋体" w:hAnsi="宋体" w:eastAsia="宋体" w:cs="宋体"/>
                <w:spacing w:val="25"/>
              </w:rPr>
              <w:t>1</w:t>
            </w:r>
            <w:r>
              <w:rPr>
                <w:spacing w:val="1"/>
              </w:rPr>
              <w:t>项的</w:t>
            </w:r>
          </w:p>
        </w:tc>
        <w:tc>
          <w:tcPr>
            <w:tcW w:w="2894" w:type="dxa"/>
            <w:vAlign w:val="top"/>
          </w:tcPr>
          <w:p w14:paraId="5D174881">
            <w:pPr>
              <w:spacing w:line="319" w:lineRule="auto"/>
              <w:rPr>
                <w:rFonts w:ascii="Arial"/>
                <w:sz w:val="21"/>
              </w:rPr>
            </w:pPr>
          </w:p>
          <w:p w14:paraId="34F0D68C">
            <w:pPr>
              <w:pStyle w:val="6"/>
              <w:spacing w:before="99" w:line="187" w:lineRule="auto"/>
              <w:ind w:left="117" w:right="103" w:firstLine="10"/>
            </w:pPr>
            <w:r>
              <w:rPr>
                <w:spacing w:val="4"/>
              </w:rPr>
              <w:t>责令限期改正，处</w:t>
            </w:r>
            <w:r>
              <w:rPr>
                <w:rFonts w:ascii="宋体" w:hAnsi="宋体" w:eastAsia="宋体" w:cs="宋体"/>
                <w:spacing w:val="4"/>
              </w:rPr>
              <w:t>2</w:t>
            </w:r>
            <w:r>
              <w:rPr>
                <w:spacing w:val="4"/>
              </w:rPr>
              <w:t>万元</w:t>
            </w:r>
            <w:r>
              <w:rPr>
                <w:spacing w:val="3"/>
              </w:rPr>
              <w:t>以上</w:t>
            </w:r>
            <w:r>
              <w:rPr>
                <w:rFonts w:ascii="宋体" w:hAnsi="宋体" w:eastAsia="宋体" w:cs="宋体"/>
                <w:spacing w:val="3"/>
              </w:rPr>
              <w:t>3</w:t>
            </w:r>
            <w:r>
              <w:rPr>
                <w:spacing w:val="3"/>
              </w:rPr>
              <w:t>万元以下的罚款；</w:t>
            </w:r>
            <w:r>
              <w:rPr>
                <w:spacing w:val="5"/>
              </w:rPr>
              <w:t>逾期未改正的，处</w:t>
            </w:r>
            <w:r>
              <w:rPr>
                <w:rFonts w:ascii="宋体" w:hAnsi="宋体" w:eastAsia="宋体" w:cs="宋体"/>
                <w:spacing w:val="5"/>
              </w:rPr>
              <w:t>5</w:t>
            </w:r>
            <w:r>
              <w:rPr>
                <w:spacing w:val="5"/>
              </w:rPr>
              <w:t>万元</w:t>
            </w:r>
            <w:r>
              <w:rPr>
                <w:spacing w:val="6"/>
              </w:rPr>
              <w:t>以上</w:t>
            </w:r>
            <w:r>
              <w:rPr>
                <w:rFonts w:ascii="宋体" w:hAnsi="宋体" w:eastAsia="宋体" w:cs="宋体"/>
                <w:spacing w:val="6"/>
              </w:rPr>
              <w:t>7</w:t>
            </w:r>
            <w:r>
              <w:rPr>
                <w:spacing w:val="6"/>
              </w:rPr>
              <w:t>万元以下的罚款，</w:t>
            </w:r>
            <w:r>
              <w:rPr>
                <w:spacing w:val="11"/>
              </w:rPr>
              <w:t>责令生产经营单位停产停</w:t>
            </w:r>
            <w:r>
              <w:rPr>
                <w:spacing w:val="5"/>
              </w:rPr>
              <w:t>业整顿</w:t>
            </w:r>
          </w:p>
        </w:tc>
        <w:tc>
          <w:tcPr>
            <w:tcW w:w="811" w:type="dxa"/>
            <w:vMerge w:val="restart"/>
            <w:tcBorders>
              <w:bottom w:val="nil"/>
            </w:tcBorders>
            <w:vAlign w:val="top"/>
          </w:tcPr>
          <w:p w14:paraId="2CEE83CC">
            <w:pPr>
              <w:spacing w:line="284" w:lineRule="auto"/>
              <w:rPr>
                <w:rFonts w:ascii="Arial"/>
                <w:sz w:val="21"/>
              </w:rPr>
            </w:pPr>
          </w:p>
          <w:p w14:paraId="37692ADB">
            <w:pPr>
              <w:spacing w:line="284" w:lineRule="auto"/>
              <w:rPr>
                <w:rFonts w:ascii="Arial"/>
                <w:sz w:val="21"/>
              </w:rPr>
            </w:pPr>
          </w:p>
          <w:p w14:paraId="5335F7A8">
            <w:pPr>
              <w:spacing w:line="284" w:lineRule="auto"/>
              <w:rPr>
                <w:rFonts w:ascii="Arial"/>
                <w:sz w:val="21"/>
              </w:rPr>
            </w:pPr>
          </w:p>
          <w:p w14:paraId="0FCC0D7B">
            <w:pPr>
              <w:spacing w:line="285" w:lineRule="auto"/>
              <w:rPr>
                <w:rFonts w:ascii="Arial"/>
                <w:sz w:val="21"/>
              </w:rPr>
            </w:pPr>
          </w:p>
          <w:p w14:paraId="07A890E2">
            <w:pPr>
              <w:spacing w:line="285" w:lineRule="auto"/>
              <w:rPr>
                <w:rFonts w:ascii="Arial"/>
                <w:sz w:val="21"/>
              </w:rPr>
            </w:pPr>
          </w:p>
          <w:p w14:paraId="01681720">
            <w:pPr>
              <w:pStyle w:val="6"/>
              <w:spacing w:before="99" w:line="182" w:lineRule="auto"/>
              <w:ind w:left="133"/>
            </w:pPr>
            <w:r>
              <w:rPr>
                <w:rFonts w:ascii="宋体" w:hAnsi="宋体" w:eastAsia="宋体" w:cs="宋体"/>
                <w:spacing w:val="-9"/>
              </w:rPr>
              <w:t>1</w:t>
            </w:r>
            <w:r>
              <w:rPr>
                <w:spacing w:val="-9"/>
              </w:rPr>
              <w:t>（对</w:t>
            </w:r>
          </w:p>
          <w:p w14:paraId="3E7B595C">
            <w:pPr>
              <w:pStyle w:val="6"/>
              <w:spacing w:line="182" w:lineRule="auto"/>
              <w:ind w:left="301"/>
            </w:pPr>
            <w:r>
              <w:t>应</w:t>
            </w:r>
          </w:p>
          <w:p w14:paraId="0D229976">
            <w:pPr>
              <w:pStyle w:val="6"/>
              <w:spacing w:line="182" w:lineRule="auto"/>
              <w:ind w:left="147"/>
            </w:pPr>
            <w:r>
              <w:rPr>
                <w:spacing w:val="3"/>
              </w:rPr>
              <w:t>《应</w:t>
            </w:r>
          </w:p>
          <w:p w14:paraId="3FBACF4B">
            <w:pPr>
              <w:pStyle w:val="6"/>
              <w:spacing w:line="182" w:lineRule="auto"/>
              <w:ind w:left="191"/>
            </w:pPr>
            <w:r>
              <w:rPr>
                <w:spacing w:val="-3"/>
              </w:rPr>
              <w:t>急管</w:t>
            </w:r>
          </w:p>
          <w:p w14:paraId="5EB5A2E7">
            <w:pPr>
              <w:pStyle w:val="6"/>
              <w:spacing w:before="1" w:line="182" w:lineRule="auto"/>
              <w:ind w:left="173"/>
            </w:pPr>
            <w:r>
              <w:rPr>
                <w:spacing w:val="3"/>
              </w:rPr>
              <w:t>理综</w:t>
            </w:r>
          </w:p>
          <w:p w14:paraId="5E31B013">
            <w:pPr>
              <w:pStyle w:val="6"/>
              <w:spacing w:before="1" w:line="182" w:lineRule="auto"/>
              <w:ind w:left="175"/>
            </w:pPr>
            <w:r>
              <w:rPr>
                <w:spacing w:val="2"/>
              </w:rPr>
              <w:t>合行</w:t>
            </w:r>
          </w:p>
          <w:p w14:paraId="79A663E5">
            <w:pPr>
              <w:pStyle w:val="6"/>
              <w:spacing w:before="1" w:line="182" w:lineRule="auto"/>
              <w:ind w:left="175"/>
            </w:pPr>
            <w:r>
              <w:rPr>
                <w:spacing w:val="2"/>
              </w:rPr>
              <w:t>政执</w:t>
            </w:r>
          </w:p>
          <w:p w14:paraId="311470D2">
            <w:pPr>
              <w:pStyle w:val="6"/>
              <w:spacing w:line="182" w:lineRule="auto"/>
              <w:ind w:left="186"/>
            </w:pPr>
            <w:r>
              <w:rPr>
                <w:spacing w:val="-2"/>
              </w:rPr>
              <w:t>法事</w:t>
            </w:r>
          </w:p>
          <w:p w14:paraId="2ABFEE3B">
            <w:pPr>
              <w:pStyle w:val="6"/>
              <w:spacing w:before="1" w:line="182" w:lineRule="auto"/>
              <w:ind w:left="176"/>
            </w:pPr>
            <w:r>
              <w:rPr>
                <w:spacing w:val="1"/>
              </w:rPr>
              <w:t>项指</w:t>
            </w:r>
          </w:p>
          <w:p w14:paraId="1491025E">
            <w:pPr>
              <w:pStyle w:val="6"/>
              <w:spacing w:before="1" w:line="182" w:lineRule="auto"/>
              <w:ind w:left="184"/>
            </w:pPr>
            <w:r>
              <w:rPr>
                <w:spacing w:val="-1"/>
              </w:rPr>
              <w:t>导目</w:t>
            </w:r>
          </w:p>
          <w:p w14:paraId="5E94E8C3">
            <w:pPr>
              <w:pStyle w:val="6"/>
              <w:spacing w:line="182" w:lineRule="auto"/>
              <w:ind w:left="304"/>
            </w:pPr>
            <w:r>
              <w:t>录</w:t>
            </w:r>
          </w:p>
          <w:p w14:paraId="333906A3">
            <w:pPr>
              <w:pStyle w:val="6"/>
              <w:spacing w:before="1" w:line="182" w:lineRule="auto"/>
              <w:ind w:left="156"/>
              <w:rPr>
                <w:rFonts w:ascii="宋体" w:hAnsi="宋体" w:eastAsia="宋体" w:cs="宋体"/>
              </w:rPr>
            </w:pPr>
            <w:r>
              <w:rPr>
                <w:spacing w:val="-12"/>
              </w:rPr>
              <w:t>（</w:t>
            </w:r>
            <w:r>
              <w:rPr>
                <w:rFonts w:ascii="宋体" w:hAnsi="宋体" w:eastAsia="宋体" w:cs="宋体"/>
                <w:spacing w:val="-12"/>
              </w:rPr>
              <w:t>20</w:t>
            </w:r>
          </w:p>
          <w:p w14:paraId="109D44F9">
            <w:pPr>
              <w:pStyle w:val="6"/>
              <w:spacing w:before="1" w:line="182" w:lineRule="auto"/>
              <w:ind w:left="145"/>
            </w:pPr>
            <w:r>
              <w:rPr>
                <w:rFonts w:ascii="宋体" w:hAnsi="宋体" w:eastAsia="宋体" w:cs="宋体"/>
                <w:spacing w:val="-2"/>
              </w:rPr>
              <w:t>23</w:t>
            </w:r>
            <w:r>
              <w:rPr>
                <w:spacing w:val="-2"/>
              </w:rPr>
              <w:t>年</w:t>
            </w:r>
          </w:p>
          <w:p w14:paraId="128231F8">
            <w:pPr>
              <w:pStyle w:val="6"/>
              <w:spacing w:before="1" w:line="182" w:lineRule="auto"/>
              <w:jc w:val="right"/>
            </w:pPr>
            <w:r>
              <w:rPr>
                <w:spacing w:val="-1"/>
              </w:rPr>
              <w:t>版）》</w:t>
            </w:r>
          </w:p>
          <w:p w14:paraId="0E0397C7">
            <w:pPr>
              <w:pStyle w:val="6"/>
              <w:spacing w:before="6" w:line="186" w:lineRule="auto"/>
              <w:ind w:left="180" w:right="160"/>
            </w:pPr>
            <w:r>
              <w:t>事项</w:t>
            </w:r>
            <w:r>
              <w:rPr>
                <w:spacing w:val="7"/>
                <w:w w:val="145"/>
              </w:rPr>
              <w:t>序</w:t>
            </w:r>
            <w:r>
              <w:t>号，</w:t>
            </w:r>
            <w:r>
              <w:rPr>
                <w:spacing w:val="23"/>
                <w:w w:val="138"/>
              </w:rPr>
              <w:t>下</w:t>
            </w:r>
            <w:r>
              <w:rPr>
                <w:spacing w:val="2"/>
              </w:rPr>
              <w:t>同）</w:t>
            </w:r>
          </w:p>
        </w:tc>
      </w:tr>
      <w:tr w14:paraId="24584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8" w:hRule="atLeast"/>
        </w:trPr>
        <w:tc>
          <w:tcPr>
            <w:tcW w:w="818" w:type="dxa"/>
            <w:vMerge w:val="continue"/>
            <w:tcBorders>
              <w:top w:val="nil"/>
              <w:bottom w:val="nil"/>
            </w:tcBorders>
            <w:vAlign w:val="top"/>
          </w:tcPr>
          <w:p w14:paraId="689CAF86">
            <w:pPr>
              <w:rPr>
                <w:rFonts w:ascii="Arial"/>
                <w:sz w:val="21"/>
              </w:rPr>
            </w:pPr>
          </w:p>
        </w:tc>
        <w:tc>
          <w:tcPr>
            <w:tcW w:w="1440" w:type="dxa"/>
            <w:vMerge w:val="continue"/>
            <w:tcBorders>
              <w:top w:val="nil"/>
              <w:bottom w:val="nil"/>
            </w:tcBorders>
            <w:vAlign w:val="top"/>
          </w:tcPr>
          <w:p w14:paraId="14E07F5C">
            <w:pPr>
              <w:rPr>
                <w:rFonts w:ascii="Arial"/>
                <w:sz w:val="21"/>
              </w:rPr>
            </w:pPr>
          </w:p>
        </w:tc>
        <w:tc>
          <w:tcPr>
            <w:tcW w:w="3202" w:type="dxa"/>
            <w:vMerge w:val="continue"/>
            <w:tcBorders>
              <w:top w:val="nil"/>
              <w:bottom w:val="nil"/>
            </w:tcBorders>
            <w:vAlign w:val="top"/>
          </w:tcPr>
          <w:p w14:paraId="512F917D">
            <w:pPr>
              <w:rPr>
                <w:rFonts w:ascii="Arial"/>
                <w:sz w:val="21"/>
              </w:rPr>
            </w:pPr>
          </w:p>
        </w:tc>
        <w:tc>
          <w:tcPr>
            <w:tcW w:w="2859" w:type="dxa"/>
            <w:vMerge w:val="continue"/>
            <w:tcBorders>
              <w:top w:val="nil"/>
              <w:bottom w:val="nil"/>
            </w:tcBorders>
            <w:vAlign w:val="top"/>
          </w:tcPr>
          <w:p w14:paraId="72D5ED8D">
            <w:pPr>
              <w:rPr>
                <w:rFonts w:ascii="Arial"/>
                <w:sz w:val="21"/>
              </w:rPr>
            </w:pPr>
          </w:p>
        </w:tc>
        <w:tc>
          <w:tcPr>
            <w:tcW w:w="803" w:type="dxa"/>
            <w:vAlign w:val="top"/>
          </w:tcPr>
          <w:p w14:paraId="7A6042C3">
            <w:pPr>
              <w:spacing w:line="244" w:lineRule="auto"/>
              <w:rPr>
                <w:rFonts w:ascii="Arial"/>
                <w:sz w:val="21"/>
              </w:rPr>
            </w:pPr>
          </w:p>
          <w:p w14:paraId="709E82BD">
            <w:pPr>
              <w:spacing w:line="245" w:lineRule="auto"/>
              <w:rPr>
                <w:rFonts w:ascii="Arial"/>
                <w:sz w:val="21"/>
              </w:rPr>
            </w:pPr>
          </w:p>
          <w:p w14:paraId="69E056A3">
            <w:pPr>
              <w:spacing w:line="245" w:lineRule="auto"/>
              <w:rPr>
                <w:rFonts w:ascii="Arial"/>
                <w:sz w:val="21"/>
              </w:rPr>
            </w:pPr>
          </w:p>
          <w:p w14:paraId="72234528">
            <w:pPr>
              <w:spacing w:line="245" w:lineRule="auto"/>
              <w:rPr>
                <w:rFonts w:ascii="Arial"/>
                <w:sz w:val="21"/>
              </w:rPr>
            </w:pPr>
          </w:p>
          <w:p w14:paraId="35F5A33D">
            <w:pPr>
              <w:spacing w:line="245" w:lineRule="auto"/>
              <w:rPr>
                <w:rFonts w:ascii="Arial"/>
                <w:sz w:val="21"/>
              </w:rPr>
            </w:pPr>
          </w:p>
          <w:p w14:paraId="4085DB7B">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2555651">
            <w:pPr>
              <w:spacing w:line="406" w:lineRule="auto"/>
              <w:rPr>
                <w:rFonts w:ascii="Arial"/>
                <w:sz w:val="21"/>
              </w:rPr>
            </w:pPr>
          </w:p>
          <w:p w14:paraId="63FBCA28">
            <w:pPr>
              <w:pStyle w:val="6"/>
              <w:spacing w:before="99" w:line="187" w:lineRule="auto"/>
              <w:ind w:left="119" w:right="105" w:firstLine="11"/>
              <w:jc w:val="both"/>
            </w:pPr>
            <w:r>
              <w:rPr>
                <w:spacing w:val="24"/>
              </w:rPr>
              <w:t>生产经营单位的主</w:t>
            </w:r>
            <w:r>
              <w:rPr>
                <w:spacing w:val="-7"/>
              </w:rPr>
              <w:t>要负责人未履行《中</w:t>
            </w:r>
            <w:r>
              <w:rPr>
                <w:spacing w:val="26"/>
              </w:rPr>
              <w:t>华人民共和国安全</w:t>
            </w:r>
            <w:r>
              <w:rPr>
                <w:spacing w:val="-3"/>
              </w:rPr>
              <w:t>生产法》规定的安全</w:t>
            </w:r>
            <w:r>
              <w:rPr>
                <w:spacing w:val="27"/>
              </w:rPr>
              <w:t>生产管理职责有</w:t>
            </w:r>
            <w:r>
              <w:rPr>
                <w:rFonts w:ascii="宋体" w:hAnsi="宋体" w:eastAsia="宋体" w:cs="宋体"/>
                <w:spacing w:val="27"/>
              </w:rPr>
              <w:t>2</w:t>
            </w:r>
            <w:r>
              <w:rPr>
                <w:spacing w:val="1"/>
              </w:rPr>
              <w:t>项的</w:t>
            </w:r>
          </w:p>
        </w:tc>
        <w:tc>
          <w:tcPr>
            <w:tcW w:w="2894" w:type="dxa"/>
            <w:vAlign w:val="top"/>
          </w:tcPr>
          <w:p w14:paraId="54B925AE">
            <w:pPr>
              <w:spacing w:line="409" w:lineRule="auto"/>
              <w:rPr>
                <w:rFonts w:ascii="Arial"/>
                <w:sz w:val="21"/>
              </w:rPr>
            </w:pPr>
          </w:p>
          <w:p w14:paraId="456D4383">
            <w:pPr>
              <w:pStyle w:val="6"/>
              <w:spacing w:before="99" w:line="187" w:lineRule="auto"/>
              <w:ind w:left="117" w:right="103" w:firstLine="10"/>
            </w:pPr>
            <w:r>
              <w:rPr>
                <w:spacing w:val="4"/>
              </w:rPr>
              <w:t>责令限期改正，处</w:t>
            </w:r>
            <w:r>
              <w:rPr>
                <w:rFonts w:ascii="宋体" w:hAnsi="宋体" w:eastAsia="宋体" w:cs="宋体"/>
                <w:spacing w:val="4"/>
              </w:rPr>
              <w:t>3</w:t>
            </w:r>
            <w:r>
              <w:rPr>
                <w:spacing w:val="4"/>
              </w:rPr>
              <w:t>万元</w:t>
            </w:r>
            <w:r>
              <w:rPr>
                <w:spacing w:val="3"/>
              </w:rPr>
              <w:t>以上</w:t>
            </w:r>
            <w:r>
              <w:rPr>
                <w:rFonts w:ascii="宋体" w:hAnsi="宋体" w:eastAsia="宋体" w:cs="宋体"/>
                <w:spacing w:val="3"/>
              </w:rPr>
              <w:t>4</w:t>
            </w:r>
            <w:r>
              <w:rPr>
                <w:spacing w:val="3"/>
              </w:rPr>
              <w:t>万元以下的罚款；</w:t>
            </w:r>
            <w:r>
              <w:rPr>
                <w:spacing w:val="5"/>
              </w:rPr>
              <w:t>逾期未改正的，处</w:t>
            </w:r>
            <w:r>
              <w:rPr>
                <w:rFonts w:ascii="宋体" w:hAnsi="宋体" w:eastAsia="宋体" w:cs="宋体"/>
                <w:spacing w:val="5"/>
              </w:rPr>
              <w:t>7</w:t>
            </w:r>
            <w:r>
              <w:rPr>
                <w:spacing w:val="5"/>
              </w:rPr>
              <w:t>万元</w:t>
            </w:r>
            <w:r>
              <w:rPr>
                <w:spacing w:val="6"/>
              </w:rPr>
              <w:t>以上</w:t>
            </w:r>
            <w:r>
              <w:rPr>
                <w:rFonts w:ascii="宋体" w:hAnsi="宋体" w:eastAsia="宋体" w:cs="宋体"/>
                <w:spacing w:val="6"/>
              </w:rPr>
              <w:t>9</w:t>
            </w:r>
            <w:r>
              <w:rPr>
                <w:spacing w:val="6"/>
              </w:rPr>
              <w:t>万元以下的罚款，</w:t>
            </w:r>
            <w:r>
              <w:rPr>
                <w:spacing w:val="11"/>
              </w:rPr>
              <w:t>责令生产经营单位停产停</w:t>
            </w:r>
            <w:r>
              <w:rPr>
                <w:spacing w:val="5"/>
              </w:rPr>
              <w:t>业整顿</w:t>
            </w:r>
          </w:p>
        </w:tc>
        <w:tc>
          <w:tcPr>
            <w:tcW w:w="811" w:type="dxa"/>
            <w:vMerge w:val="continue"/>
            <w:tcBorders>
              <w:top w:val="nil"/>
              <w:bottom w:val="nil"/>
            </w:tcBorders>
            <w:vAlign w:val="top"/>
          </w:tcPr>
          <w:p w14:paraId="71217AFF">
            <w:pPr>
              <w:rPr>
                <w:rFonts w:ascii="Arial"/>
                <w:sz w:val="21"/>
              </w:rPr>
            </w:pPr>
          </w:p>
        </w:tc>
      </w:tr>
      <w:tr w14:paraId="572F7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7" w:hRule="atLeast"/>
        </w:trPr>
        <w:tc>
          <w:tcPr>
            <w:tcW w:w="818" w:type="dxa"/>
            <w:vMerge w:val="continue"/>
            <w:tcBorders>
              <w:top w:val="nil"/>
            </w:tcBorders>
            <w:vAlign w:val="top"/>
          </w:tcPr>
          <w:p w14:paraId="29750D2A">
            <w:pPr>
              <w:rPr>
                <w:rFonts w:ascii="Arial"/>
                <w:sz w:val="21"/>
              </w:rPr>
            </w:pPr>
          </w:p>
        </w:tc>
        <w:tc>
          <w:tcPr>
            <w:tcW w:w="1440" w:type="dxa"/>
            <w:vMerge w:val="continue"/>
            <w:tcBorders>
              <w:top w:val="nil"/>
            </w:tcBorders>
            <w:vAlign w:val="top"/>
          </w:tcPr>
          <w:p w14:paraId="0CBF124A">
            <w:pPr>
              <w:rPr>
                <w:rFonts w:ascii="Arial"/>
                <w:sz w:val="21"/>
              </w:rPr>
            </w:pPr>
          </w:p>
        </w:tc>
        <w:tc>
          <w:tcPr>
            <w:tcW w:w="3202" w:type="dxa"/>
            <w:vMerge w:val="continue"/>
            <w:tcBorders>
              <w:top w:val="nil"/>
            </w:tcBorders>
            <w:vAlign w:val="top"/>
          </w:tcPr>
          <w:p w14:paraId="543A70ED">
            <w:pPr>
              <w:rPr>
                <w:rFonts w:ascii="Arial"/>
                <w:sz w:val="21"/>
              </w:rPr>
            </w:pPr>
          </w:p>
        </w:tc>
        <w:tc>
          <w:tcPr>
            <w:tcW w:w="2859" w:type="dxa"/>
            <w:vMerge w:val="continue"/>
            <w:tcBorders>
              <w:top w:val="nil"/>
            </w:tcBorders>
            <w:vAlign w:val="top"/>
          </w:tcPr>
          <w:p w14:paraId="25CCF74B">
            <w:pPr>
              <w:rPr>
                <w:rFonts w:ascii="Arial"/>
                <w:sz w:val="21"/>
              </w:rPr>
            </w:pPr>
          </w:p>
        </w:tc>
        <w:tc>
          <w:tcPr>
            <w:tcW w:w="803" w:type="dxa"/>
            <w:vAlign w:val="top"/>
          </w:tcPr>
          <w:p w14:paraId="4A8C240A">
            <w:pPr>
              <w:spacing w:line="251" w:lineRule="auto"/>
              <w:rPr>
                <w:rFonts w:ascii="Arial"/>
                <w:sz w:val="21"/>
              </w:rPr>
            </w:pPr>
          </w:p>
          <w:p w14:paraId="3F2CA4DE">
            <w:pPr>
              <w:spacing w:line="251" w:lineRule="auto"/>
              <w:rPr>
                <w:rFonts w:ascii="Arial"/>
                <w:sz w:val="21"/>
              </w:rPr>
            </w:pPr>
          </w:p>
          <w:p w14:paraId="690A749E">
            <w:pPr>
              <w:spacing w:line="251" w:lineRule="auto"/>
              <w:rPr>
                <w:rFonts w:ascii="Arial"/>
                <w:sz w:val="21"/>
              </w:rPr>
            </w:pPr>
          </w:p>
          <w:p w14:paraId="55AC460E">
            <w:pPr>
              <w:spacing w:line="251" w:lineRule="auto"/>
              <w:rPr>
                <w:rFonts w:ascii="Arial"/>
                <w:sz w:val="21"/>
              </w:rPr>
            </w:pPr>
          </w:p>
          <w:p w14:paraId="685B8A19">
            <w:pPr>
              <w:spacing w:line="251" w:lineRule="auto"/>
              <w:rPr>
                <w:rFonts w:ascii="Arial"/>
                <w:sz w:val="21"/>
              </w:rPr>
            </w:pPr>
          </w:p>
          <w:p w14:paraId="6E049FD0">
            <w:pPr>
              <w:spacing w:line="251" w:lineRule="auto"/>
              <w:rPr>
                <w:rFonts w:ascii="Arial"/>
                <w:sz w:val="21"/>
              </w:rPr>
            </w:pPr>
          </w:p>
          <w:p w14:paraId="0A409245">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7E71E03">
            <w:pPr>
              <w:spacing w:line="345" w:lineRule="auto"/>
              <w:rPr>
                <w:rFonts w:ascii="Arial"/>
                <w:sz w:val="21"/>
              </w:rPr>
            </w:pPr>
          </w:p>
          <w:p w14:paraId="2B157993">
            <w:pPr>
              <w:spacing w:line="346" w:lineRule="auto"/>
              <w:rPr>
                <w:rFonts w:ascii="Arial"/>
                <w:sz w:val="21"/>
              </w:rPr>
            </w:pPr>
          </w:p>
          <w:p w14:paraId="03C374E7">
            <w:pPr>
              <w:pStyle w:val="6"/>
              <w:spacing w:before="99" w:line="187" w:lineRule="auto"/>
              <w:ind w:left="119" w:right="105" w:firstLine="11"/>
              <w:jc w:val="both"/>
            </w:pPr>
            <w:r>
              <w:rPr>
                <w:spacing w:val="24"/>
              </w:rPr>
              <w:t>生产经营单位的主</w:t>
            </w:r>
            <w:r>
              <w:rPr>
                <w:spacing w:val="-7"/>
              </w:rPr>
              <w:t>要负责人未履行《中</w:t>
            </w:r>
            <w:r>
              <w:rPr>
                <w:spacing w:val="26"/>
              </w:rPr>
              <w:t>华人民共和国安全</w:t>
            </w:r>
            <w:r>
              <w:rPr>
                <w:spacing w:val="-3"/>
              </w:rPr>
              <w:t>生产法》规定的安全</w:t>
            </w:r>
            <w:r>
              <w:rPr>
                <w:spacing w:val="27"/>
              </w:rPr>
              <w:t>生产管理职责有</w:t>
            </w:r>
            <w:r>
              <w:rPr>
                <w:rFonts w:ascii="宋体" w:hAnsi="宋体" w:eastAsia="宋体" w:cs="宋体"/>
                <w:spacing w:val="27"/>
              </w:rPr>
              <w:t>3</w:t>
            </w:r>
            <w:r>
              <w:rPr>
                <w:spacing w:val="5"/>
              </w:rPr>
              <w:t>项以上的</w:t>
            </w:r>
          </w:p>
        </w:tc>
        <w:tc>
          <w:tcPr>
            <w:tcW w:w="2894" w:type="dxa"/>
            <w:vAlign w:val="top"/>
          </w:tcPr>
          <w:p w14:paraId="7982AB0D">
            <w:pPr>
              <w:spacing w:line="347" w:lineRule="auto"/>
              <w:rPr>
                <w:rFonts w:ascii="Arial"/>
                <w:sz w:val="21"/>
              </w:rPr>
            </w:pPr>
          </w:p>
          <w:p w14:paraId="371D8A49">
            <w:pPr>
              <w:spacing w:line="347" w:lineRule="auto"/>
              <w:rPr>
                <w:rFonts w:ascii="Arial"/>
                <w:sz w:val="21"/>
              </w:rPr>
            </w:pPr>
          </w:p>
          <w:p w14:paraId="0D2772A1">
            <w:pPr>
              <w:pStyle w:val="6"/>
              <w:spacing w:before="99" w:line="187" w:lineRule="auto"/>
              <w:ind w:left="117" w:right="73" w:firstLine="10"/>
            </w:pPr>
            <w:r>
              <w:rPr>
                <w:spacing w:val="4"/>
              </w:rPr>
              <w:t>责令限期改正，处</w:t>
            </w:r>
            <w:r>
              <w:rPr>
                <w:rFonts w:ascii="宋体" w:hAnsi="宋体" w:eastAsia="宋体" w:cs="宋体"/>
                <w:spacing w:val="4"/>
              </w:rPr>
              <w:t>4</w:t>
            </w:r>
            <w:r>
              <w:rPr>
                <w:spacing w:val="4"/>
              </w:rPr>
              <w:t>万元</w:t>
            </w:r>
            <w:r>
              <w:rPr>
                <w:spacing w:val="3"/>
              </w:rPr>
              <w:t>以上</w:t>
            </w:r>
            <w:r>
              <w:rPr>
                <w:rFonts w:ascii="宋体" w:hAnsi="宋体" w:eastAsia="宋体" w:cs="宋体"/>
                <w:spacing w:val="3"/>
              </w:rPr>
              <w:t>5</w:t>
            </w:r>
            <w:r>
              <w:rPr>
                <w:spacing w:val="3"/>
              </w:rPr>
              <w:t>万元以下的罚款；</w:t>
            </w:r>
            <w:r>
              <w:rPr>
                <w:spacing w:val="5"/>
              </w:rPr>
              <w:t>逾期未改正的，处</w:t>
            </w:r>
            <w:r>
              <w:rPr>
                <w:rFonts w:ascii="宋体" w:hAnsi="宋体" w:eastAsia="宋体" w:cs="宋体"/>
                <w:spacing w:val="5"/>
              </w:rPr>
              <w:t>9</w:t>
            </w:r>
            <w:r>
              <w:rPr>
                <w:spacing w:val="5"/>
              </w:rPr>
              <w:t>万元</w:t>
            </w:r>
            <w:r>
              <w:rPr>
                <w:spacing w:val="-1"/>
              </w:rPr>
              <w:t>以上</w:t>
            </w:r>
            <w:r>
              <w:rPr>
                <w:rFonts w:ascii="宋体" w:hAnsi="宋体" w:eastAsia="宋体" w:cs="宋体"/>
                <w:spacing w:val="-1"/>
              </w:rPr>
              <w:t>10</w:t>
            </w:r>
            <w:r>
              <w:rPr>
                <w:spacing w:val="-1"/>
              </w:rPr>
              <w:t>万元以下的罚款，</w:t>
            </w:r>
            <w:r>
              <w:rPr>
                <w:spacing w:val="11"/>
              </w:rPr>
              <w:t>责令生产经营单位停产停</w:t>
            </w:r>
            <w:r>
              <w:rPr>
                <w:spacing w:val="5"/>
              </w:rPr>
              <w:t>业整顿</w:t>
            </w:r>
          </w:p>
        </w:tc>
        <w:tc>
          <w:tcPr>
            <w:tcW w:w="811" w:type="dxa"/>
            <w:vMerge w:val="continue"/>
            <w:tcBorders>
              <w:top w:val="nil"/>
            </w:tcBorders>
            <w:vAlign w:val="top"/>
          </w:tcPr>
          <w:p w14:paraId="41B4666B">
            <w:pPr>
              <w:rPr>
                <w:rFonts w:ascii="Arial"/>
                <w:sz w:val="21"/>
              </w:rPr>
            </w:pPr>
          </w:p>
        </w:tc>
      </w:tr>
    </w:tbl>
    <w:p w14:paraId="7F10CDF9">
      <w:pPr>
        <w:pStyle w:val="2"/>
        <w:spacing w:line="88" w:lineRule="exact"/>
        <w:rPr>
          <w:sz w:val="7"/>
        </w:rPr>
      </w:pPr>
    </w:p>
    <w:p w14:paraId="652B3738">
      <w:pPr>
        <w:spacing w:line="88" w:lineRule="exact"/>
        <w:rPr>
          <w:sz w:val="7"/>
          <w:szCs w:val="7"/>
        </w:rPr>
        <w:sectPr>
          <w:footerReference r:id="rId21" w:type="default"/>
          <w:pgSz w:w="16839" w:h="11906"/>
          <w:pgMar w:top="1012" w:right="821" w:bottom="666" w:left="901" w:header="0" w:footer="388" w:gutter="0"/>
          <w:cols w:space="720" w:num="1"/>
        </w:sectPr>
      </w:pPr>
    </w:p>
    <w:p w14:paraId="775BE4DA">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C30F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C354173">
            <w:pPr>
              <w:spacing w:before="222" w:line="241" w:lineRule="auto"/>
              <w:ind w:left="131"/>
              <w:rPr>
                <w:rFonts w:ascii="黑体" w:hAnsi="黑体" w:eastAsia="黑体" w:cs="黑体"/>
                <w:sz w:val="28"/>
                <w:szCs w:val="28"/>
              </w:rPr>
            </w:pPr>
            <w:bookmarkStart w:id="358" w:name="bookmark8"/>
            <w:bookmarkEnd w:id="358"/>
            <w:r>
              <w:rPr>
                <w:rFonts w:ascii="黑体" w:hAnsi="黑体" w:eastAsia="黑体" w:cs="黑体"/>
                <w:spacing w:val="-2"/>
                <w:sz w:val="28"/>
                <w:szCs w:val="28"/>
              </w:rPr>
              <w:t>序号</w:t>
            </w:r>
          </w:p>
        </w:tc>
        <w:tc>
          <w:tcPr>
            <w:tcW w:w="1440" w:type="dxa"/>
            <w:vAlign w:val="top"/>
          </w:tcPr>
          <w:p w14:paraId="109FA91B">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478ABF2">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493585C">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5EED0ED">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04216E60">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6457448">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22C6516">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EBF2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2" w:hRule="atLeast"/>
        </w:trPr>
        <w:tc>
          <w:tcPr>
            <w:tcW w:w="818" w:type="dxa"/>
            <w:vMerge w:val="restart"/>
            <w:tcBorders>
              <w:bottom w:val="nil"/>
            </w:tcBorders>
            <w:vAlign w:val="top"/>
          </w:tcPr>
          <w:p w14:paraId="23B0C018">
            <w:pPr>
              <w:rPr>
                <w:rFonts w:ascii="Arial"/>
                <w:sz w:val="21"/>
              </w:rPr>
            </w:pPr>
          </w:p>
          <w:p w14:paraId="6CE7D1B7">
            <w:pPr>
              <w:rPr>
                <w:rFonts w:ascii="Arial"/>
                <w:sz w:val="21"/>
              </w:rPr>
            </w:pPr>
          </w:p>
          <w:p w14:paraId="6ACA858C">
            <w:pPr>
              <w:rPr>
                <w:rFonts w:ascii="Arial"/>
                <w:sz w:val="21"/>
              </w:rPr>
            </w:pPr>
          </w:p>
          <w:p w14:paraId="18190B35">
            <w:pPr>
              <w:rPr>
                <w:rFonts w:ascii="Arial"/>
                <w:sz w:val="21"/>
              </w:rPr>
            </w:pPr>
          </w:p>
          <w:p w14:paraId="1ECF347D">
            <w:pPr>
              <w:rPr>
                <w:rFonts w:ascii="Arial"/>
                <w:sz w:val="21"/>
              </w:rPr>
            </w:pPr>
          </w:p>
          <w:p w14:paraId="5107C10C">
            <w:pPr>
              <w:rPr>
                <w:rFonts w:ascii="Arial"/>
                <w:sz w:val="21"/>
              </w:rPr>
            </w:pPr>
          </w:p>
          <w:p w14:paraId="4F73F7CC">
            <w:pPr>
              <w:rPr>
                <w:rFonts w:ascii="Arial"/>
                <w:sz w:val="21"/>
              </w:rPr>
            </w:pPr>
          </w:p>
          <w:p w14:paraId="64C521C0">
            <w:pPr>
              <w:rPr>
                <w:rFonts w:ascii="Arial"/>
                <w:sz w:val="21"/>
              </w:rPr>
            </w:pPr>
          </w:p>
          <w:p w14:paraId="6EB84B6E">
            <w:pPr>
              <w:rPr>
                <w:rFonts w:ascii="Arial"/>
                <w:sz w:val="21"/>
              </w:rPr>
            </w:pPr>
          </w:p>
          <w:p w14:paraId="586EFCE7">
            <w:pPr>
              <w:rPr>
                <w:rFonts w:ascii="Arial"/>
                <w:sz w:val="21"/>
              </w:rPr>
            </w:pPr>
          </w:p>
          <w:p w14:paraId="1CDF9857">
            <w:pPr>
              <w:rPr>
                <w:rFonts w:ascii="Arial"/>
                <w:sz w:val="21"/>
              </w:rPr>
            </w:pPr>
          </w:p>
          <w:p w14:paraId="1F9D9861">
            <w:pPr>
              <w:rPr>
                <w:rFonts w:ascii="Arial"/>
                <w:sz w:val="21"/>
              </w:rPr>
            </w:pPr>
          </w:p>
          <w:p w14:paraId="799AF7E1">
            <w:pPr>
              <w:rPr>
                <w:rFonts w:ascii="Arial"/>
                <w:sz w:val="21"/>
              </w:rPr>
            </w:pPr>
          </w:p>
          <w:p w14:paraId="400F97A5">
            <w:pPr>
              <w:rPr>
                <w:rFonts w:ascii="Arial"/>
                <w:sz w:val="21"/>
              </w:rPr>
            </w:pPr>
          </w:p>
          <w:p w14:paraId="704924B1">
            <w:pPr>
              <w:spacing w:line="241" w:lineRule="auto"/>
              <w:rPr>
                <w:rFonts w:ascii="Arial"/>
                <w:sz w:val="21"/>
              </w:rPr>
            </w:pPr>
          </w:p>
          <w:p w14:paraId="796F2CF3">
            <w:pPr>
              <w:spacing w:line="241" w:lineRule="auto"/>
              <w:rPr>
                <w:rFonts w:ascii="Arial"/>
                <w:sz w:val="21"/>
              </w:rPr>
            </w:pPr>
          </w:p>
          <w:p w14:paraId="0C1D7E8C">
            <w:pPr>
              <w:spacing w:line="241" w:lineRule="auto"/>
              <w:rPr>
                <w:rFonts w:ascii="Arial"/>
                <w:sz w:val="21"/>
              </w:rPr>
            </w:pPr>
          </w:p>
          <w:p w14:paraId="131DAB8C">
            <w:pPr>
              <w:spacing w:line="241" w:lineRule="auto"/>
              <w:rPr>
                <w:rFonts w:ascii="Arial"/>
                <w:sz w:val="21"/>
              </w:rPr>
            </w:pPr>
          </w:p>
          <w:p w14:paraId="177A93A6">
            <w:pPr>
              <w:spacing w:before="74" w:line="186" w:lineRule="auto"/>
              <w:ind w:left="326"/>
              <w:rPr>
                <w:rFonts w:ascii="仿宋" w:hAnsi="仿宋" w:eastAsia="仿宋" w:cs="仿宋"/>
                <w:sz w:val="23"/>
                <w:szCs w:val="23"/>
              </w:rPr>
            </w:pPr>
            <w:r>
              <w:rPr>
                <w:rFonts w:ascii="仿宋" w:hAnsi="仿宋" w:eastAsia="仿宋" w:cs="仿宋"/>
                <w:sz w:val="23"/>
                <w:szCs w:val="23"/>
              </w:rPr>
              <w:t>2</w:t>
            </w:r>
          </w:p>
        </w:tc>
        <w:tc>
          <w:tcPr>
            <w:tcW w:w="1440" w:type="dxa"/>
            <w:vMerge w:val="restart"/>
            <w:tcBorders>
              <w:bottom w:val="nil"/>
            </w:tcBorders>
            <w:vAlign w:val="top"/>
          </w:tcPr>
          <w:p w14:paraId="00563669">
            <w:pPr>
              <w:rPr>
                <w:rFonts w:ascii="Arial"/>
                <w:sz w:val="21"/>
              </w:rPr>
            </w:pPr>
          </w:p>
          <w:p w14:paraId="00BCA880">
            <w:pPr>
              <w:rPr>
                <w:rFonts w:ascii="Arial"/>
                <w:sz w:val="21"/>
              </w:rPr>
            </w:pPr>
          </w:p>
          <w:p w14:paraId="1194BDB6">
            <w:pPr>
              <w:rPr>
                <w:rFonts w:ascii="Arial"/>
                <w:sz w:val="21"/>
              </w:rPr>
            </w:pPr>
          </w:p>
          <w:p w14:paraId="79E5E972">
            <w:pPr>
              <w:rPr>
                <w:rFonts w:ascii="Arial"/>
                <w:sz w:val="21"/>
              </w:rPr>
            </w:pPr>
          </w:p>
          <w:p w14:paraId="60BFAC1C">
            <w:pPr>
              <w:rPr>
                <w:rFonts w:ascii="Arial"/>
                <w:sz w:val="21"/>
              </w:rPr>
            </w:pPr>
          </w:p>
          <w:p w14:paraId="0BEB2C5A">
            <w:pPr>
              <w:rPr>
                <w:rFonts w:ascii="Arial"/>
                <w:sz w:val="21"/>
              </w:rPr>
            </w:pPr>
          </w:p>
          <w:p w14:paraId="6CCFB10E">
            <w:pPr>
              <w:rPr>
                <w:rFonts w:ascii="Arial"/>
                <w:sz w:val="21"/>
              </w:rPr>
            </w:pPr>
          </w:p>
          <w:p w14:paraId="6E0B5C1A">
            <w:pPr>
              <w:rPr>
                <w:rFonts w:ascii="Arial"/>
                <w:sz w:val="21"/>
              </w:rPr>
            </w:pPr>
          </w:p>
          <w:p w14:paraId="7D2A53C9">
            <w:pPr>
              <w:rPr>
                <w:rFonts w:ascii="Arial"/>
                <w:sz w:val="21"/>
              </w:rPr>
            </w:pPr>
          </w:p>
          <w:p w14:paraId="35EDF403">
            <w:pPr>
              <w:rPr>
                <w:rFonts w:ascii="Arial"/>
                <w:sz w:val="21"/>
              </w:rPr>
            </w:pPr>
          </w:p>
          <w:p w14:paraId="2B46B763">
            <w:pPr>
              <w:rPr>
                <w:rFonts w:ascii="Arial"/>
                <w:sz w:val="21"/>
              </w:rPr>
            </w:pPr>
          </w:p>
          <w:p w14:paraId="45AD411B">
            <w:pPr>
              <w:rPr>
                <w:rFonts w:ascii="Arial"/>
                <w:sz w:val="21"/>
              </w:rPr>
            </w:pPr>
          </w:p>
          <w:p w14:paraId="4F39286E">
            <w:pPr>
              <w:spacing w:line="241" w:lineRule="auto"/>
              <w:rPr>
                <w:rFonts w:ascii="Arial"/>
                <w:sz w:val="21"/>
              </w:rPr>
            </w:pPr>
          </w:p>
          <w:p w14:paraId="3F7157E4">
            <w:pPr>
              <w:spacing w:line="241" w:lineRule="auto"/>
              <w:rPr>
                <w:rFonts w:ascii="Arial"/>
                <w:sz w:val="21"/>
              </w:rPr>
            </w:pPr>
          </w:p>
          <w:p w14:paraId="6217B3D7">
            <w:pPr>
              <w:pStyle w:val="6"/>
              <w:spacing w:before="99" w:line="186" w:lineRule="auto"/>
              <w:ind w:left="115" w:right="111" w:firstLine="13"/>
              <w:jc w:val="both"/>
            </w:pPr>
            <w:r>
              <w:rPr>
                <w:spacing w:val="8"/>
              </w:rPr>
              <w:t>生产经营单</w:t>
            </w:r>
            <w:r>
              <w:rPr>
                <w:spacing w:val="11"/>
              </w:rPr>
              <w:t>位的其他负责人和安全生产管理人员未履行安全生产管理</w:t>
            </w:r>
            <w:r>
              <w:rPr>
                <w:spacing w:val="5"/>
              </w:rPr>
              <w:t>职责的</w:t>
            </w:r>
          </w:p>
        </w:tc>
        <w:tc>
          <w:tcPr>
            <w:tcW w:w="3202" w:type="dxa"/>
            <w:vMerge w:val="restart"/>
            <w:tcBorders>
              <w:bottom w:val="nil"/>
            </w:tcBorders>
            <w:vAlign w:val="top"/>
          </w:tcPr>
          <w:p w14:paraId="14082240">
            <w:pPr>
              <w:pStyle w:val="6"/>
              <w:spacing w:before="33" w:line="182" w:lineRule="auto"/>
              <w:ind w:left="121" w:right="110" w:hanging="23"/>
            </w:pPr>
            <w:r>
              <w:rPr>
                <w:spacing w:val="18"/>
              </w:rPr>
              <w:t>【法律】《中华人民共和国</w:t>
            </w:r>
            <w:r>
              <w:rPr>
                <w:spacing w:val="12"/>
              </w:rPr>
              <w:t>安全生产法》第五条：生产</w:t>
            </w:r>
            <w:r>
              <w:rPr>
                <w:spacing w:val="17"/>
              </w:rPr>
              <w:t>经营单位的主要负责人是本</w:t>
            </w:r>
            <w:r>
              <w:rPr>
                <w:spacing w:val="13"/>
              </w:rPr>
              <w:t>单位安全生产第一责任人，</w:t>
            </w:r>
            <w:r>
              <w:rPr>
                <w:spacing w:val="17"/>
              </w:rPr>
              <w:t>对本单位的安全生产工作全面负责。其他负责人对职责</w:t>
            </w:r>
            <w:r>
              <w:rPr>
                <w:spacing w:val="39"/>
              </w:rPr>
              <w:t>范围内的安全生产工作负</w:t>
            </w:r>
            <w:r>
              <w:rPr>
                <w:spacing w:val="-8"/>
              </w:rPr>
              <w:t>责。</w:t>
            </w:r>
          </w:p>
          <w:p w14:paraId="379413BB">
            <w:pPr>
              <w:pStyle w:val="6"/>
              <w:spacing w:before="17" w:line="181" w:lineRule="auto"/>
              <w:ind w:left="98" w:firstLine="28"/>
            </w:pPr>
            <w:r>
              <w:rPr>
                <w:spacing w:val="10"/>
              </w:rPr>
              <w:t>第二十五条：生产经营单位</w:t>
            </w:r>
            <w:r>
              <w:rPr>
                <w:spacing w:val="17"/>
              </w:rPr>
              <w:t>的安全生产管理机构以及安全生产管理人员履行下列职</w:t>
            </w:r>
            <w:r>
              <w:rPr>
                <w:spacing w:val="6"/>
              </w:rPr>
              <w:t>责</w:t>
            </w:r>
            <w:r>
              <w:rPr>
                <w:spacing w:val="-12"/>
              </w:rPr>
              <w:t>：（</w:t>
            </w:r>
            <w:r>
              <w:rPr>
                <w:spacing w:val="6"/>
              </w:rPr>
              <w:t>一）组织或者参与拟</w:t>
            </w:r>
            <w:r>
              <w:rPr>
                <w:spacing w:val="40"/>
              </w:rPr>
              <w:t>订本单位安全生产规章制</w:t>
            </w:r>
            <w:r>
              <w:rPr>
                <w:spacing w:val="17"/>
              </w:rPr>
              <w:t>度、操作规程和生产安全事</w:t>
            </w:r>
            <w:r>
              <w:rPr>
                <w:spacing w:val="19"/>
              </w:rPr>
              <w:t>故应急救援预案</w:t>
            </w:r>
            <w:r>
              <w:rPr>
                <w:spacing w:val="-14"/>
              </w:rPr>
              <w:t>；（</w:t>
            </w:r>
            <w:r>
              <w:rPr>
                <w:spacing w:val="19"/>
              </w:rPr>
              <w:t>二）组</w:t>
            </w:r>
            <w:r>
              <w:rPr>
                <w:spacing w:val="17"/>
              </w:rPr>
              <w:t>织或者参与本单位安全生产</w:t>
            </w:r>
            <w:r>
              <w:rPr>
                <w:spacing w:val="13"/>
              </w:rPr>
              <w:t>教育和培训，如实记录安全</w:t>
            </w:r>
            <w:r>
              <w:rPr>
                <w:spacing w:val="7"/>
              </w:rPr>
              <w:t>生产教育和培训情况</w:t>
            </w:r>
            <w:r>
              <w:rPr>
                <w:spacing w:val="-4"/>
              </w:rPr>
              <w:t>；（</w:t>
            </w:r>
            <w:r>
              <w:rPr>
                <w:spacing w:val="7"/>
              </w:rPr>
              <w:t>三）</w:t>
            </w:r>
            <w:r>
              <w:rPr>
                <w:spacing w:val="40"/>
              </w:rPr>
              <w:t>组织开展危险源辨识和评</w:t>
            </w:r>
            <w:r>
              <w:rPr>
                <w:spacing w:val="14"/>
              </w:rPr>
              <w:t>估，督促落实本单位重大危</w:t>
            </w:r>
            <w:r>
              <w:rPr>
                <w:spacing w:val="7"/>
              </w:rPr>
              <w:t>险源的安全管理措施</w:t>
            </w:r>
            <w:r>
              <w:rPr>
                <w:spacing w:val="-4"/>
              </w:rPr>
              <w:t>；（</w:t>
            </w:r>
            <w:r>
              <w:rPr>
                <w:spacing w:val="7"/>
              </w:rPr>
              <w:t>四）</w:t>
            </w:r>
            <w:r>
              <w:rPr>
                <w:spacing w:val="17"/>
              </w:rPr>
              <w:t>组织或者参与本单位应急救</w:t>
            </w:r>
            <w:r>
              <w:rPr>
                <w:spacing w:val="20"/>
              </w:rPr>
              <w:t>援演练</w:t>
            </w:r>
            <w:r>
              <w:rPr>
                <w:spacing w:val="-14"/>
              </w:rPr>
              <w:t>；（</w:t>
            </w:r>
            <w:r>
              <w:rPr>
                <w:spacing w:val="20"/>
              </w:rPr>
              <w:t>五）检查本单位</w:t>
            </w:r>
            <w:r>
              <w:rPr>
                <w:spacing w:val="14"/>
              </w:rPr>
              <w:t>的安全生产状况，及时排查生产安全事故隐患，提出改</w:t>
            </w:r>
            <w:r>
              <w:rPr>
                <w:spacing w:val="36"/>
              </w:rPr>
              <w:t>进安全生产管理的建议；</w:t>
            </w:r>
            <w:r>
              <w:rPr>
                <w:spacing w:val="5"/>
              </w:rPr>
              <w:t>（六）制止和纠正违章指挥、</w:t>
            </w:r>
            <w:r>
              <w:rPr>
                <w:spacing w:val="17"/>
              </w:rPr>
              <w:t>强令冒险作业、违反操作规</w:t>
            </w:r>
            <w:r>
              <w:rPr>
                <w:spacing w:val="19"/>
              </w:rPr>
              <w:t>程的行为</w:t>
            </w:r>
            <w:r>
              <w:rPr>
                <w:spacing w:val="-11"/>
              </w:rPr>
              <w:t>；（</w:t>
            </w:r>
            <w:r>
              <w:rPr>
                <w:spacing w:val="19"/>
              </w:rPr>
              <w:t>七）督促落实</w:t>
            </w:r>
            <w:r>
              <w:rPr>
                <w:spacing w:val="6"/>
              </w:rPr>
              <w:t>本单位安全生产整改措施。</w:t>
            </w:r>
          </w:p>
        </w:tc>
        <w:tc>
          <w:tcPr>
            <w:tcW w:w="2859" w:type="dxa"/>
            <w:vMerge w:val="restart"/>
            <w:tcBorders>
              <w:bottom w:val="nil"/>
            </w:tcBorders>
            <w:vAlign w:val="top"/>
          </w:tcPr>
          <w:p w14:paraId="4AD27F7A">
            <w:pPr>
              <w:pStyle w:val="6"/>
              <w:spacing w:before="30" w:line="182" w:lineRule="auto"/>
              <w:ind w:left="119" w:right="110" w:firstLine="11"/>
              <w:jc w:val="both"/>
            </w:pPr>
            <w:r>
              <w:rPr>
                <w:rFonts w:ascii="宋体" w:hAnsi="宋体" w:eastAsia="宋体" w:cs="宋体"/>
                <w:spacing w:val="6"/>
              </w:rPr>
              <w:t>1.</w:t>
            </w:r>
            <w:r>
              <w:rPr>
                <w:spacing w:val="6"/>
              </w:rPr>
              <w:t>【法律】《中华人民共</w:t>
            </w:r>
            <w:r>
              <w:rPr>
                <w:spacing w:val="8"/>
              </w:rPr>
              <w:t>和国安全生产法》第九十六条：生产经营单位的其</w:t>
            </w:r>
          </w:p>
          <w:p w14:paraId="73FAB6C3">
            <w:pPr>
              <w:pStyle w:val="6"/>
              <w:spacing w:line="182" w:lineRule="auto"/>
              <w:ind w:left="118"/>
              <w:outlineLvl w:val="0"/>
            </w:pPr>
            <w:r>
              <w:rPr>
                <w:spacing w:val="8"/>
              </w:rPr>
              <w:t>他负责人和安全生产管理</w:t>
            </w:r>
          </w:p>
          <w:p w14:paraId="6FD244D5">
            <w:pPr>
              <w:pStyle w:val="6"/>
              <w:spacing w:before="8" w:line="182" w:lineRule="auto"/>
              <w:ind w:left="117" w:right="110" w:firstLine="2"/>
              <w:jc w:val="both"/>
            </w:pPr>
            <w:r>
              <w:rPr>
                <w:spacing w:val="8"/>
              </w:rPr>
              <w:t>人员未履行本法规定的安全生产管理职责的，责令限期改正，处一万元以上三万元以下的罚款；导致</w:t>
            </w:r>
            <w:r>
              <w:rPr>
                <w:spacing w:val="2"/>
              </w:rPr>
              <w:t>发生生产安全事故的，暂</w:t>
            </w:r>
            <w:r>
              <w:rPr>
                <w:spacing w:val="8"/>
              </w:rPr>
              <w:t>停或者吊销其与安全生产有关的资格，并处上一年年收入百分之二十以上百分之五十以下的罚款；构成犯罪的，依照刑法有关</w:t>
            </w:r>
            <w:r>
              <w:rPr>
                <w:spacing w:val="4"/>
              </w:rPr>
              <w:t>规定追究刑事责任。</w:t>
            </w:r>
          </w:p>
          <w:p w14:paraId="3A2F24A1">
            <w:pPr>
              <w:pStyle w:val="6"/>
              <w:spacing w:line="181" w:lineRule="auto"/>
              <w:ind w:left="98" w:right="36" w:firstLine="17"/>
              <w:jc w:val="both"/>
            </w:pPr>
            <w:r>
              <w:rPr>
                <w:rFonts w:ascii="宋体" w:hAnsi="宋体" w:eastAsia="宋体" w:cs="宋体"/>
                <w:spacing w:val="7"/>
              </w:rPr>
              <w:t>2.</w:t>
            </w:r>
            <w:r>
              <w:rPr>
                <w:spacing w:val="7"/>
              </w:rPr>
              <w:t>【部门规章】《生产安</w:t>
            </w:r>
            <w:r>
              <w:rPr>
                <w:spacing w:val="10"/>
              </w:rPr>
              <w:t>全事故罚款处罚规定》第</w:t>
            </w:r>
            <w:r>
              <w:rPr>
                <w:spacing w:val="3"/>
              </w:rPr>
              <w:t>二十条：事故发生单位其</w:t>
            </w:r>
            <w:r>
              <w:rPr>
                <w:spacing w:val="10"/>
              </w:rPr>
              <w:t>他负责人和安全生产管理人员未依法履行安全生产管理职责，导致事故发生的，依照下列规定处以罚</w:t>
            </w:r>
            <w:r>
              <w:rPr>
                <w:spacing w:val="-1"/>
              </w:rPr>
              <w:t>款</w:t>
            </w:r>
            <w:r>
              <w:rPr>
                <w:spacing w:val="-9"/>
              </w:rPr>
              <w:t>：（</w:t>
            </w:r>
            <w:r>
              <w:rPr>
                <w:spacing w:val="-1"/>
              </w:rPr>
              <w:t>一）发生一般事故</w:t>
            </w:r>
            <w:r>
              <w:rPr>
                <w:spacing w:val="9"/>
              </w:rPr>
              <w:t>的，处上一年年收入</w:t>
            </w:r>
            <w:r>
              <w:rPr>
                <w:rFonts w:ascii="宋体" w:hAnsi="宋体" w:eastAsia="宋体" w:cs="宋体"/>
                <w:spacing w:val="9"/>
              </w:rPr>
              <w:t>20%</w:t>
            </w:r>
            <w:r>
              <w:rPr>
                <w:spacing w:val="14"/>
              </w:rPr>
              <w:t>至</w:t>
            </w:r>
            <w:r>
              <w:rPr>
                <w:rFonts w:ascii="宋体" w:hAnsi="宋体" w:eastAsia="宋体" w:cs="宋体"/>
                <w:spacing w:val="14"/>
              </w:rPr>
              <w:t>30%</w:t>
            </w:r>
            <w:r>
              <w:rPr>
                <w:spacing w:val="14"/>
              </w:rPr>
              <w:t>的罚款</w:t>
            </w:r>
            <w:r>
              <w:rPr>
                <w:spacing w:val="-16"/>
              </w:rPr>
              <w:t>；（</w:t>
            </w:r>
            <w:r>
              <w:rPr>
                <w:spacing w:val="14"/>
              </w:rPr>
              <w:t>二）发</w:t>
            </w:r>
            <w:r>
              <w:rPr>
                <w:spacing w:val="10"/>
              </w:rPr>
              <w:t>生较大事故的，处上一年</w:t>
            </w:r>
            <w:r>
              <w:rPr>
                <w:spacing w:val="3"/>
              </w:rPr>
              <w:t>年收入</w:t>
            </w:r>
            <w:r>
              <w:rPr>
                <w:rFonts w:ascii="宋体" w:hAnsi="宋体" w:eastAsia="宋体" w:cs="宋体"/>
                <w:spacing w:val="3"/>
              </w:rPr>
              <w:t>30%</w:t>
            </w:r>
            <w:r>
              <w:rPr>
                <w:spacing w:val="3"/>
              </w:rPr>
              <w:t>至</w:t>
            </w:r>
            <w:r>
              <w:rPr>
                <w:rFonts w:ascii="宋体" w:hAnsi="宋体" w:eastAsia="宋体" w:cs="宋体"/>
                <w:spacing w:val="3"/>
              </w:rPr>
              <w:t>40%</w:t>
            </w:r>
            <w:r>
              <w:rPr>
                <w:spacing w:val="3"/>
              </w:rPr>
              <w:t>的罚款；</w:t>
            </w:r>
            <w:r>
              <w:rPr>
                <w:spacing w:val="9"/>
              </w:rPr>
              <w:t>（三）发生重大事故的，</w:t>
            </w:r>
            <w:r>
              <w:rPr>
                <w:spacing w:val="32"/>
              </w:rPr>
              <w:t>处上一年年收入</w:t>
            </w:r>
            <w:r>
              <w:rPr>
                <w:rFonts w:ascii="宋体" w:hAnsi="宋体" w:eastAsia="宋体" w:cs="宋体"/>
                <w:spacing w:val="32"/>
              </w:rPr>
              <w:t>40%</w:t>
            </w:r>
            <w:r>
              <w:rPr>
                <w:spacing w:val="32"/>
              </w:rPr>
              <w:t>至</w:t>
            </w:r>
            <w:r>
              <w:rPr>
                <w:rFonts w:ascii="宋体" w:hAnsi="宋体" w:eastAsia="宋体" w:cs="宋体"/>
                <w:spacing w:val="4"/>
              </w:rPr>
              <w:t>50%</w:t>
            </w:r>
            <w:r>
              <w:rPr>
                <w:spacing w:val="4"/>
              </w:rPr>
              <w:t>的罚款</w:t>
            </w:r>
            <w:r>
              <w:rPr>
                <w:spacing w:val="-23"/>
              </w:rPr>
              <w:t>；（</w:t>
            </w:r>
            <w:r>
              <w:rPr>
                <w:spacing w:val="4"/>
              </w:rPr>
              <w:t>四）发生特</w:t>
            </w:r>
          </w:p>
        </w:tc>
        <w:tc>
          <w:tcPr>
            <w:tcW w:w="803" w:type="dxa"/>
            <w:vAlign w:val="top"/>
          </w:tcPr>
          <w:p w14:paraId="63A8346B">
            <w:pPr>
              <w:spacing w:line="284" w:lineRule="auto"/>
              <w:rPr>
                <w:rFonts w:ascii="Arial"/>
                <w:sz w:val="21"/>
              </w:rPr>
            </w:pPr>
          </w:p>
          <w:p w14:paraId="317F9E06">
            <w:pPr>
              <w:spacing w:line="285" w:lineRule="auto"/>
              <w:rPr>
                <w:rFonts w:ascii="Arial"/>
                <w:sz w:val="21"/>
              </w:rPr>
            </w:pPr>
          </w:p>
          <w:p w14:paraId="29EB08B0">
            <w:pPr>
              <w:spacing w:line="285" w:lineRule="auto"/>
              <w:rPr>
                <w:rFonts w:ascii="Arial"/>
                <w:sz w:val="21"/>
              </w:rPr>
            </w:pPr>
          </w:p>
          <w:p w14:paraId="3E23D8C9">
            <w:pPr>
              <w:spacing w:line="285" w:lineRule="auto"/>
              <w:rPr>
                <w:rFonts w:ascii="Arial"/>
                <w:sz w:val="21"/>
              </w:rPr>
            </w:pPr>
          </w:p>
          <w:p w14:paraId="48DEBAC6">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FA4B1F4">
            <w:pPr>
              <w:pStyle w:val="6"/>
              <w:spacing w:before="278" w:line="186" w:lineRule="auto"/>
              <w:ind w:left="90" w:right="109" w:firstLine="41"/>
              <w:jc w:val="both"/>
            </w:pPr>
            <w:r>
              <w:rPr>
                <w:spacing w:val="24"/>
              </w:rPr>
              <w:t>生产经营单位的其</w:t>
            </w:r>
            <w:r>
              <w:rPr>
                <w:spacing w:val="29"/>
              </w:rPr>
              <w:t>他负责人和安全生产管理人员未履行《中华人民共和国</w:t>
            </w:r>
            <w:r>
              <w:t>安全生产法》规定的</w:t>
            </w:r>
            <w:r>
              <w:rPr>
                <w:spacing w:val="29"/>
              </w:rPr>
              <w:t>安全生产管理职责</w:t>
            </w:r>
            <w:r>
              <w:rPr>
                <w:spacing w:val="1"/>
              </w:rPr>
              <w:t>有</w:t>
            </w:r>
            <w:r>
              <w:rPr>
                <w:rFonts w:ascii="宋体" w:hAnsi="宋体" w:eastAsia="宋体" w:cs="宋体"/>
                <w:spacing w:val="1"/>
              </w:rPr>
              <w:t>1</w:t>
            </w:r>
            <w:r>
              <w:rPr>
                <w:spacing w:val="1"/>
              </w:rPr>
              <w:t>项的</w:t>
            </w:r>
          </w:p>
        </w:tc>
        <w:tc>
          <w:tcPr>
            <w:tcW w:w="2894" w:type="dxa"/>
            <w:vAlign w:val="top"/>
          </w:tcPr>
          <w:p w14:paraId="4A35EE4C">
            <w:pPr>
              <w:pStyle w:val="6"/>
              <w:spacing w:before="126" w:line="186" w:lineRule="auto"/>
              <w:ind w:left="118" w:right="103" w:firstLine="9"/>
              <w:jc w:val="both"/>
            </w:pPr>
            <w:r>
              <w:rPr>
                <w:spacing w:val="2"/>
              </w:rPr>
              <w:t>责令限期改正，处</w:t>
            </w:r>
            <w:r>
              <w:rPr>
                <w:rFonts w:ascii="宋体" w:hAnsi="宋体" w:eastAsia="宋体" w:cs="宋体"/>
                <w:spacing w:val="2"/>
              </w:rPr>
              <w:t>1</w:t>
            </w:r>
            <w:r>
              <w:rPr>
                <w:spacing w:val="2"/>
              </w:rPr>
              <w:t>万元</w:t>
            </w:r>
            <w:r>
              <w:rPr>
                <w:spacing w:val="20"/>
              </w:rPr>
              <w:t>以上</w:t>
            </w:r>
            <w:r>
              <w:rPr>
                <w:rFonts w:ascii="宋体" w:hAnsi="宋体" w:eastAsia="宋体" w:cs="宋体"/>
                <w:spacing w:val="20"/>
              </w:rPr>
              <w:t>1.5</w:t>
            </w:r>
            <w:r>
              <w:rPr>
                <w:spacing w:val="20"/>
              </w:rPr>
              <w:t>万元以下的罚</w:t>
            </w:r>
            <w:r>
              <w:rPr>
                <w:spacing w:val="8"/>
              </w:rPr>
              <w:t>款；导致发生生产安全事故的，暂停或者吊销其与安全生产有关的资格，并</w:t>
            </w:r>
            <w:r>
              <w:rPr>
                <w:spacing w:val="11"/>
              </w:rPr>
              <w:t>按照《生产安全事故罚款</w:t>
            </w:r>
            <w:r>
              <w:rPr>
                <w:spacing w:val="12"/>
              </w:rPr>
              <w:t>处罚规定》第二十条处以</w:t>
            </w:r>
            <w:r>
              <w:rPr>
                <w:spacing w:val="3"/>
              </w:rPr>
              <w:t>罚款</w:t>
            </w:r>
          </w:p>
        </w:tc>
        <w:tc>
          <w:tcPr>
            <w:tcW w:w="811" w:type="dxa"/>
            <w:vMerge w:val="restart"/>
            <w:tcBorders>
              <w:bottom w:val="nil"/>
            </w:tcBorders>
            <w:vAlign w:val="top"/>
          </w:tcPr>
          <w:p w14:paraId="1AD185DF">
            <w:pPr>
              <w:rPr>
                <w:rFonts w:ascii="Arial"/>
                <w:sz w:val="21"/>
              </w:rPr>
            </w:pPr>
          </w:p>
          <w:p w14:paraId="2E81BE46">
            <w:pPr>
              <w:rPr>
                <w:rFonts w:ascii="Arial"/>
                <w:sz w:val="21"/>
              </w:rPr>
            </w:pPr>
          </w:p>
          <w:p w14:paraId="42623F31">
            <w:pPr>
              <w:rPr>
                <w:rFonts w:ascii="Arial"/>
                <w:sz w:val="21"/>
              </w:rPr>
            </w:pPr>
          </w:p>
          <w:p w14:paraId="6580FA5E">
            <w:pPr>
              <w:rPr>
                <w:rFonts w:ascii="Arial"/>
                <w:sz w:val="21"/>
              </w:rPr>
            </w:pPr>
          </w:p>
          <w:p w14:paraId="49741BD3">
            <w:pPr>
              <w:rPr>
                <w:rFonts w:ascii="Arial"/>
                <w:sz w:val="21"/>
              </w:rPr>
            </w:pPr>
          </w:p>
          <w:p w14:paraId="4ED9B597">
            <w:pPr>
              <w:rPr>
                <w:rFonts w:ascii="Arial"/>
                <w:sz w:val="21"/>
              </w:rPr>
            </w:pPr>
          </w:p>
          <w:p w14:paraId="19150EB9">
            <w:pPr>
              <w:rPr>
                <w:rFonts w:ascii="Arial"/>
                <w:sz w:val="21"/>
              </w:rPr>
            </w:pPr>
          </w:p>
          <w:p w14:paraId="29DA60C3">
            <w:pPr>
              <w:rPr>
                <w:rFonts w:ascii="Arial"/>
                <w:sz w:val="21"/>
              </w:rPr>
            </w:pPr>
          </w:p>
          <w:p w14:paraId="45DDDD58">
            <w:pPr>
              <w:rPr>
                <w:rFonts w:ascii="Arial"/>
                <w:sz w:val="21"/>
              </w:rPr>
            </w:pPr>
          </w:p>
          <w:p w14:paraId="1BD234CD">
            <w:pPr>
              <w:rPr>
                <w:rFonts w:ascii="Arial"/>
                <w:sz w:val="21"/>
              </w:rPr>
            </w:pPr>
          </w:p>
          <w:p w14:paraId="69ADC782">
            <w:pPr>
              <w:rPr>
                <w:rFonts w:ascii="Arial"/>
                <w:sz w:val="21"/>
              </w:rPr>
            </w:pPr>
          </w:p>
          <w:p w14:paraId="2550877D">
            <w:pPr>
              <w:rPr>
                <w:rFonts w:ascii="Arial"/>
                <w:sz w:val="21"/>
              </w:rPr>
            </w:pPr>
          </w:p>
          <w:p w14:paraId="777A4892">
            <w:pPr>
              <w:rPr>
                <w:rFonts w:ascii="Arial"/>
                <w:sz w:val="21"/>
              </w:rPr>
            </w:pPr>
          </w:p>
          <w:p w14:paraId="68862509">
            <w:pPr>
              <w:rPr>
                <w:rFonts w:ascii="Arial"/>
                <w:sz w:val="21"/>
              </w:rPr>
            </w:pPr>
          </w:p>
          <w:p w14:paraId="7929F698">
            <w:pPr>
              <w:rPr>
                <w:rFonts w:ascii="Arial"/>
                <w:sz w:val="21"/>
              </w:rPr>
            </w:pPr>
          </w:p>
          <w:p w14:paraId="1BA091F8">
            <w:pPr>
              <w:rPr>
                <w:rFonts w:ascii="Arial"/>
                <w:sz w:val="21"/>
              </w:rPr>
            </w:pPr>
          </w:p>
          <w:p w14:paraId="56058508">
            <w:pPr>
              <w:rPr>
                <w:rFonts w:ascii="Arial"/>
                <w:sz w:val="21"/>
              </w:rPr>
            </w:pPr>
          </w:p>
          <w:p w14:paraId="7D29D831">
            <w:pPr>
              <w:spacing w:line="241" w:lineRule="auto"/>
              <w:rPr>
                <w:rFonts w:ascii="Arial"/>
                <w:sz w:val="21"/>
              </w:rPr>
            </w:pPr>
          </w:p>
          <w:p w14:paraId="1EE0195A">
            <w:pPr>
              <w:spacing w:before="75" w:line="188" w:lineRule="auto"/>
              <w:ind w:left="353"/>
              <w:rPr>
                <w:rFonts w:ascii="宋体" w:hAnsi="宋体" w:eastAsia="宋体" w:cs="宋体"/>
                <w:sz w:val="23"/>
                <w:szCs w:val="23"/>
              </w:rPr>
            </w:pPr>
            <w:r>
              <w:rPr>
                <w:rFonts w:ascii="宋体" w:hAnsi="宋体" w:eastAsia="宋体" w:cs="宋体"/>
                <w:sz w:val="23"/>
                <w:szCs w:val="23"/>
              </w:rPr>
              <w:t>2</w:t>
            </w:r>
          </w:p>
        </w:tc>
      </w:tr>
      <w:tr w14:paraId="03D7F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4" w:hRule="atLeast"/>
        </w:trPr>
        <w:tc>
          <w:tcPr>
            <w:tcW w:w="818" w:type="dxa"/>
            <w:vMerge w:val="continue"/>
            <w:tcBorders>
              <w:top w:val="nil"/>
              <w:bottom w:val="nil"/>
            </w:tcBorders>
            <w:vAlign w:val="top"/>
          </w:tcPr>
          <w:p w14:paraId="6F289F6F">
            <w:pPr>
              <w:rPr>
                <w:rFonts w:ascii="Arial"/>
                <w:sz w:val="21"/>
              </w:rPr>
            </w:pPr>
          </w:p>
        </w:tc>
        <w:tc>
          <w:tcPr>
            <w:tcW w:w="1440" w:type="dxa"/>
            <w:vMerge w:val="continue"/>
            <w:tcBorders>
              <w:top w:val="nil"/>
              <w:bottom w:val="nil"/>
            </w:tcBorders>
            <w:vAlign w:val="top"/>
          </w:tcPr>
          <w:p w14:paraId="78771B26">
            <w:pPr>
              <w:rPr>
                <w:rFonts w:ascii="Arial"/>
                <w:sz w:val="21"/>
              </w:rPr>
            </w:pPr>
          </w:p>
        </w:tc>
        <w:tc>
          <w:tcPr>
            <w:tcW w:w="3202" w:type="dxa"/>
            <w:vMerge w:val="continue"/>
            <w:tcBorders>
              <w:top w:val="nil"/>
              <w:bottom w:val="nil"/>
            </w:tcBorders>
            <w:vAlign w:val="top"/>
          </w:tcPr>
          <w:p w14:paraId="02D07417">
            <w:pPr>
              <w:rPr>
                <w:rFonts w:ascii="Arial"/>
                <w:sz w:val="21"/>
              </w:rPr>
            </w:pPr>
          </w:p>
        </w:tc>
        <w:tc>
          <w:tcPr>
            <w:tcW w:w="2859" w:type="dxa"/>
            <w:vMerge w:val="continue"/>
            <w:tcBorders>
              <w:top w:val="nil"/>
              <w:bottom w:val="nil"/>
            </w:tcBorders>
            <w:vAlign w:val="top"/>
          </w:tcPr>
          <w:p w14:paraId="3013AB1C">
            <w:pPr>
              <w:rPr>
                <w:rFonts w:ascii="Arial"/>
                <w:sz w:val="21"/>
              </w:rPr>
            </w:pPr>
          </w:p>
        </w:tc>
        <w:tc>
          <w:tcPr>
            <w:tcW w:w="803" w:type="dxa"/>
            <w:vAlign w:val="top"/>
          </w:tcPr>
          <w:p w14:paraId="48E7A381">
            <w:pPr>
              <w:spacing w:line="259" w:lineRule="auto"/>
              <w:rPr>
                <w:rFonts w:ascii="Arial"/>
                <w:sz w:val="21"/>
              </w:rPr>
            </w:pPr>
          </w:p>
          <w:p w14:paraId="52938259">
            <w:pPr>
              <w:spacing w:line="259" w:lineRule="auto"/>
              <w:rPr>
                <w:rFonts w:ascii="Arial"/>
                <w:sz w:val="21"/>
              </w:rPr>
            </w:pPr>
          </w:p>
          <w:p w14:paraId="7BF4DF41">
            <w:pPr>
              <w:spacing w:line="259" w:lineRule="auto"/>
              <w:rPr>
                <w:rFonts w:ascii="Arial"/>
                <w:sz w:val="21"/>
              </w:rPr>
            </w:pPr>
          </w:p>
          <w:p w14:paraId="067F3AD0">
            <w:pPr>
              <w:spacing w:line="260" w:lineRule="auto"/>
              <w:rPr>
                <w:rFonts w:ascii="Arial"/>
                <w:sz w:val="21"/>
              </w:rPr>
            </w:pPr>
          </w:p>
          <w:p w14:paraId="1E11847D">
            <w:pPr>
              <w:spacing w:line="260" w:lineRule="auto"/>
              <w:rPr>
                <w:rFonts w:ascii="Arial"/>
                <w:sz w:val="21"/>
              </w:rPr>
            </w:pPr>
          </w:p>
          <w:p w14:paraId="755EBCE2">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A5B37FC">
            <w:pPr>
              <w:spacing w:line="335" w:lineRule="auto"/>
              <w:rPr>
                <w:rFonts w:ascii="Arial"/>
                <w:sz w:val="21"/>
              </w:rPr>
            </w:pPr>
          </w:p>
          <w:p w14:paraId="0A40F77E">
            <w:pPr>
              <w:pStyle w:val="6"/>
              <w:spacing w:before="99" w:line="186" w:lineRule="auto"/>
              <w:ind w:left="90" w:right="109" w:firstLine="41"/>
              <w:jc w:val="both"/>
            </w:pPr>
            <w:r>
              <w:rPr>
                <w:spacing w:val="24"/>
              </w:rPr>
              <w:t>生产经营单位的其</w:t>
            </w:r>
            <w:r>
              <w:rPr>
                <w:spacing w:val="29"/>
              </w:rPr>
              <w:t>他负责人和安全生产管理人员未履行《中华人民共和国</w:t>
            </w:r>
            <w:r>
              <w:t>安全生产法》规定的</w:t>
            </w:r>
            <w:r>
              <w:rPr>
                <w:spacing w:val="29"/>
              </w:rPr>
              <w:t>安全生产管理职责</w:t>
            </w:r>
            <w:r>
              <w:rPr>
                <w:spacing w:val="4"/>
              </w:rPr>
              <w:t>有</w:t>
            </w:r>
            <w:r>
              <w:rPr>
                <w:rFonts w:ascii="宋体" w:hAnsi="宋体" w:eastAsia="宋体" w:cs="宋体"/>
                <w:spacing w:val="4"/>
              </w:rPr>
              <w:t>2</w:t>
            </w:r>
            <w:r>
              <w:rPr>
                <w:spacing w:val="4"/>
              </w:rPr>
              <w:t>项的</w:t>
            </w:r>
          </w:p>
        </w:tc>
        <w:tc>
          <w:tcPr>
            <w:tcW w:w="2894" w:type="dxa"/>
            <w:vAlign w:val="top"/>
          </w:tcPr>
          <w:p w14:paraId="2ED3A63D">
            <w:pPr>
              <w:pStyle w:val="6"/>
              <w:spacing w:before="281" w:line="186" w:lineRule="auto"/>
              <w:ind w:left="118" w:right="104" w:firstLine="9"/>
              <w:jc w:val="both"/>
            </w:pPr>
            <w:r>
              <w:rPr>
                <w:spacing w:val="1"/>
              </w:rPr>
              <w:t>责令限期改正，处</w:t>
            </w:r>
            <w:r>
              <w:rPr>
                <w:rFonts w:ascii="宋体" w:hAnsi="宋体" w:eastAsia="宋体" w:cs="宋体"/>
                <w:spacing w:val="1"/>
              </w:rPr>
              <w:t>1.5</w:t>
            </w:r>
            <w:r>
              <w:rPr>
                <w:spacing w:val="1"/>
              </w:rPr>
              <w:t>万</w:t>
            </w:r>
            <w:r>
              <w:rPr>
                <w:spacing w:val="23"/>
              </w:rPr>
              <w:t>元以上</w:t>
            </w:r>
            <w:r>
              <w:rPr>
                <w:rFonts w:ascii="宋体" w:hAnsi="宋体" w:eastAsia="宋体" w:cs="宋体"/>
                <w:spacing w:val="23"/>
              </w:rPr>
              <w:t>2</w:t>
            </w:r>
            <w:r>
              <w:rPr>
                <w:spacing w:val="23"/>
              </w:rPr>
              <w:t>万元以下的罚</w:t>
            </w:r>
            <w:r>
              <w:rPr>
                <w:spacing w:val="8"/>
              </w:rPr>
              <w:t>款；导致发生生产安全事故的，暂停或者吊销其与安全生产有关的资格，并</w:t>
            </w:r>
            <w:r>
              <w:rPr>
                <w:spacing w:val="11"/>
              </w:rPr>
              <w:t>按照《生产安全事故罚款处罚规定》第二十条处以</w:t>
            </w:r>
            <w:r>
              <w:rPr>
                <w:spacing w:val="3"/>
              </w:rPr>
              <w:t>罚款</w:t>
            </w:r>
          </w:p>
        </w:tc>
        <w:tc>
          <w:tcPr>
            <w:tcW w:w="811" w:type="dxa"/>
            <w:vMerge w:val="continue"/>
            <w:tcBorders>
              <w:top w:val="nil"/>
              <w:bottom w:val="nil"/>
            </w:tcBorders>
            <w:vAlign w:val="top"/>
          </w:tcPr>
          <w:p w14:paraId="2EBC88F5">
            <w:pPr>
              <w:rPr>
                <w:rFonts w:ascii="Arial"/>
                <w:sz w:val="21"/>
              </w:rPr>
            </w:pPr>
          </w:p>
        </w:tc>
      </w:tr>
      <w:tr w14:paraId="00BF2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7" w:hRule="atLeast"/>
        </w:trPr>
        <w:tc>
          <w:tcPr>
            <w:tcW w:w="818" w:type="dxa"/>
            <w:vMerge w:val="continue"/>
            <w:tcBorders>
              <w:top w:val="nil"/>
            </w:tcBorders>
            <w:vAlign w:val="top"/>
          </w:tcPr>
          <w:p w14:paraId="5FA28832">
            <w:pPr>
              <w:rPr>
                <w:rFonts w:ascii="Arial"/>
                <w:sz w:val="21"/>
              </w:rPr>
            </w:pPr>
          </w:p>
        </w:tc>
        <w:tc>
          <w:tcPr>
            <w:tcW w:w="1440" w:type="dxa"/>
            <w:vMerge w:val="continue"/>
            <w:tcBorders>
              <w:top w:val="nil"/>
            </w:tcBorders>
            <w:vAlign w:val="top"/>
          </w:tcPr>
          <w:p w14:paraId="17753DD8">
            <w:pPr>
              <w:rPr>
                <w:rFonts w:ascii="Arial"/>
                <w:sz w:val="21"/>
              </w:rPr>
            </w:pPr>
          </w:p>
        </w:tc>
        <w:tc>
          <w:tcPr>
            <w:tcW w:w="3202" w:type="dxa"/>
            <w:vMerge w:val="continue"/>
            <w:tcBorders>
              <w:top w:val="nil"/>
            </w:tcBorders>
            <w:vAlign w:val="top"/>
          </w:tcPr>
          <w:p w14:paraId="1A9A904E">
            <w:pPr>
              <w:rPr>
                <w:rFonts w:ascii="Arial"/>
                <w:sz w:val="21"/>
              </w:rPr>
            </w:pPr>
          </w:p>
        </w:tc>
        <w:tc>
          <w:tcPr>
            <w:tcW w:w="2859" w:type="dxa"/>
            <w:vMerge w:val="continue"/>
            <w:tcBorders>
              <w:top w:val="nil"/>
            </w:tcBorders>
            <w:vAlign w:val="top"/>
          </w:tcPr>
          <w:p w14:paraId="045102A4">
            <w:pPr>
              <w:rPr>
                <w:rFonts w:ascii="Arial"/>
                <w:sz w:val="21"/>
              </w:rPr>
            </w:pPr>
          </w:p>
        </w:tc>
        <w:tc>
          <w:tcPr>
            <w:tcW w:w="803" w:type="dxa"/>
            <w:vAlign w:val="top"/>
          </w:tcPr>
          <w:p w14:paraId="2E16DB3B">
            <w:pPr>
              <w:spacing w:line="262" w:lineRule="auto"/>
              <w:rPr>
                <w:rFonts w:ascii="Arial"/>
                <w:sz w:val="21"/>
              </w:rPr>
            </w:pPr>
          </w:p>
          <w:p w14:paraId="3B6AA261">
            <w:pPr>
              <w:spacing w:line="263" w:lineRule="auto"/>
              <w:rPr>
                <w:rFonts w:ascii="Arial"/>
                <w:sz w:val="21"/>
              </w:rPr>
            </w:pPr>
          </w:p>
          <w:p w14:paraId="31103C43">
            <w:pPr>
              <w:spacing w:line="263" w:lineRule="auto"/>
              <w:rPr>
                <w:rFonts w:ascii="Arial"/>
                <w:sz w:val="21"/>
              </w:rPr>
            </w:pPr>
          </w:p>
          <w:p w14:paraId="77306A82">
            <w:pPr>
              <w:spacing w:line="263" w:lineRule="auto"/>
              <w:rPr>
                <w:rFonts w:ascii="Arial"/>
                <w:sz w:val="21"/>
              </w:rPr>
            </w:pPr>
          </w:p>
          <w:p w14:paraId="298E7ADE">
            <w:pPr>
              <w:spacing w:line="263" w:lineRule="auto"/>
              <w:rPr>
                <w:rFonts w:ascii="Arial"/>
                <w:sz w:val="21"/>
              </w:rPr>
            </w:pPr>
          </w:p>
          <w:p w14:paraId="5D410B79">
            <w:pPr>
              <w:spacing w:line="263" w:lineRule="auto"/>
              <w:rPr>
                <w:rFonts w:ascii="Arial"/>
                <w:sz w:val="21"/>
              </w:rPr>
            </w:pPr>
          </w:p>
          <w:p w14:paraId="06AA7E49">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916ACC4">
            <w:pPr>
              <w:spacing w:line="308" w:lineRule="auto"/>
              <w:rPr>
                <w:rFonts w:ascii="Arial"/>
                <w:sz w:val="21"/>
              </w:rPr>
            </w:pPr>
          </w:p>
          <w:p w14:paraId="2341E2C6">
            <w:pPr>
              <w:spacing w:line="308" w:lineRule="auto"/>
              <w:rPr>
                <w:rFonts w:ascii="Arial"/>
                <w:sz w:val="21"/>
              </w:rPr>
            </w:pPr>
          </w:p>
          <w:p w14:paraId="0AB53A16">
            <w:pPr>
              <w:pStyle w:val="6"/>
              <w:spacing w:before="99" w:line="186" w:lineRule="auto"/>
              <w:ind w:left="90" w:right="109" w:firstLine="41"/>
              <w:jc w:val="both"/>
            </w:pPr>
            <w:r>
              <w:rPr>
                <w:spacing w:val="24"/>
              </w:rPr>
              <w:t>生产经营单位的其</w:t>
            </w:r>
            <w:r>
              <w:rPr>
                <w:spacing w:val="29"/>
              </w:rPr>
              <w:t>他负责人和安全生产管理人员未履行《中华人民共和国</w:t>
            </w:r>
            <w:r>
              <w:t>安全生产法》规定的</w:t>
            </w:r>
            <w:r>
              <w:rPr>
                <w:spacing w:val="29"/>
              </w:rPr>
              <w:t>安全生产管理职责</w:t>
            </w:r>
            <w:r>
              <w:rPr>
                <w:spacing w:val="6"/>
              </w:rPr>
              <w:t>有</w:t>
            </w:r>
            <w:r>
              <w:rPr>
                <w:rFonts w:ascii="宋体" w:hAnsi="宋体" w:eastAsia="宋体" w:cs="宋体"/>
                <w:spacing w:val="6"/>
              </w:rPr>
              <w:t>3</w:t>
            </w:r>
            <w:r>
              <w:rPr>
                <w:spacing w:val="6"/>
              </w:rPr>
              <w:t>项以上的</w:t>
            </w:r>
          </w:p>
        </w:tc>
        <w:tc>
          <w:tcPr>
            <w:tcW w:w="2894" w:type="dxa"/>
            <w:vAlign w:val="top"/>
          </w:tcPr>
          <w:p w14:paraId="380A1D1C">
            <w:pPr>
              <w:spacing w:line="462" w:lineRule="auto"/>
              <w:rPr>
                <w:rFonts w:ascii="Arial"/>
                <w:sz w:val="21"/>
              </w:rPr>
            </w:pPr>
          </w:p>
          <w:p w14:paraId="66E2BA63">
            <w:pPr>
              <w:pStyle w:val="6"/>
              <w:spacing w:before="99" w:line="186" w:lineRule="auto"/>
              <w:ind w:left="119" w:right="103" w:firstLine="8"/>
            </w:pPr>
            <w:r>
              <w:rPr>
                <w:spacing w:val="4"/>
              </w:rPr>
              <w:t>责令限期改正，处</w:t>
            </w:r>
            <w:r>
              <w:rPr>
                <w:rFonts w:ascii="宋体" w:hAnsi="宋体" w:eastAsia="宋体" w:cs="宋体"/>
                <w:spacing w:val="4"/>
              </w:rPr>
              <w:t>2</w:t>
            </w:r>
            <w:r>
              <w:rPr>
                <w:spacing w:val="4"/>
              </w:rPr>
              <w:t>万元</w:t>
            </w:r>
            <w:r>
              <w:rPr>
                <w:spacing w:val="3"/>
              </w:rPr>
              <w:t>以上</w:t>
            </w:r>
            <w:r>
              <w:rPr>
                <w:rFonts w:ascii="宋体" w:hAnsi="宋体" w:eastAsia="宋体" w:cs="宋体"/>
                <w:spacing w:val="3"/>
              </w:rPr>
              <w:t>3</w:t>
            </w:r>
            <w:r>
              <w:rPr>
                <w:spacing w:val="3"/>
              </w:rPr>
              <w:t>万元以下的罚款；</w:t>
            </w:r>
            <w:r>
              <w:rPr>
                <w:spacing w:val="35"/>
              </w:rPr>
              <w:t>导致发生生产安全事故</w:t>
            </w:r>
            <w:r>
              <w:rPr>
                <w:spacing w:val="8"/>
              </w:rPr>
              <w:t>的，暂停或者吊销其与安全生产有关的资格，并按</w:t>
            </w:r>
            <w:r>
              <w:rPr>
                <w:spacing w:val="11"/>
              </w:rPr>
              <w:t>照《生产安全事故罚款处罚规定》第二十条处以罚</w:t>
            </w:r>
            <w:r>
              <w:t>款</w:t>
            </w:r>
          </w:p>
        </w:tc>
        <w:tc>
          <w:tcPr>
            <w:tcW w:w="811" w:type="dxa"/>
            <w:vMerge w:val="continue"/>
            <w:tcBorders>
              <w:top w:val="nil"/>
            </w:tcBorders>
            <w:vAlign w:val="top"/>
          </w:tcPr>
          <w:p w14:paraId="6811ACC8">
            <w:pPr>
              <w:rPr>
                <w:rFonts w:ascii="Arial"/>
                <w:sz w:val="21"/>
              </w:rPr>
            </w:pPr>
          </w:p>
        </w:tc>
      </w:tr>
    </w:tbl>
    <w:p w14:paraId="219D617D">
      <w:pPr>
        <w:pStyle w:val="2"/>
      </w:pPr>
    </w:p>
    <w:p w14:paraId="40F8129F">
      <w:pPr>
        <w:sectPr>
          <w:footerReference r:id="rId22" w:type="default"/>
          <w:pgSz w:w="16839" w:h="11906"/>
          <w:pgMar w:top="1012" w:right="821" w:bottom="667" w:left="901" w:header="0" w:footer="388" w:gutter="0"/>
          <w:cols w:space="720" w:num="1"/>
        </w:sectPr>
      </w:pPr>
    </w:p>
    <w:p w14:paraId="6EF0705E">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3877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C9F10FD">
            <w:pPr>
              <w:spacing w:before="222" w:line="241" w:lineRule="auto"/>
              <w:ind w:left="131"/>
              <w:rPr>
                <w:rFonts w:ascii="黑体" w:hAnsi="黑体" w:eastAsia="黑体" w:cs="黑体"/>
                <w:sz w:val="28"/>
                <w:szCs w:val="28"/>
              </w:rPr>
            </w:pPr>
            <w:bookmarkStart w:id="359" w:name="bookmark10"/>
            <w:bookmarkEnd w:id="359"/>
            <w:r>
              <w:rPr>
                <w:rFonts w:ascii="黑体" w:hAnsi="黑体" w:eastAsia="黑体" w:cs="黑体"/>
                <w:spacing w:val="-2"/>
                <w:sz w:val="28"/>
                <w:szCs w:val="28"/>
              </w:rPr>
              <w:t>序号</w:t>
            </w:r>
          </w:p>
        </w:tc>
        <w:tc>
          <w:tcPr>
            <w:tcW w:w="1440" w:type="dxa"/>
            <w:vAlign w:val="top"/>
          </w:tcPr>
          <w:p w14:paraId="7D7B256F">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4815B46">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ACCCF7C">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8F83730">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0D49C08">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9D8E955">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1022C8C">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B3C2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Align w:val="top"/>
          </w:tcPr>
          <w:p w14:paraId="7DE6E5F9">
            <w:pPr>
              <w:rPr>
                <w:rFonts w:ascii="Arial"/>
                <w:sz w:val="21"/>
              </w:rPr>
            </w:pPr>
          </w:p>
        </w:tc>
        <w:tc>
          <w:tcPr>
            <w:tcW w:w="1440" w:type="dxa"/>
            <w:vAlign w:val="top"/>
          </w:tcPr>
          <w:p w14:paraId="5D776782">
            <w:pPr>
              <w:rPr>
                <w:rFonts w:ascii="Arial"/>
                <w:sz w:val="21"/>
              </w:rPr>
            </w:pPr>
          </w:p>
        </w:tc>
        <w:tc>
          <w:tcPr>
            <w:tcW w:w="3202" w:type="dxa"/>
            <w:vAlign w:val="top"/>
          </w:tcPr>
          <w:p w14:paraId="277323C8">
            <w:pPr>
              <w:pStyle w:val="6"/>
              <w:spacing w:before="29" w:line="177" w:lineRule="auto"/>
              <w:ind w:left="117" w:right="111" w:firstLine="13"/>
              <w:jc w:val="both"/>
            </w:pPr>
            <w:r>
              <w:rPr>
                <w:spacing w:val="16"/>
              </w:rPr>
              <w:t>生产经营单位可以设置专职</w:t>
            </w:r>
            <w:r>
              <w:rPr>
                <w:spacing w:val="13"/>
              </w:rPr>
              <w:t>安全生产分管负责人，协助</w:t>
            </w:r>
            <w:r>
              <w:rPr>
                <w:spacing w:val="17"/>
              </w:rPr>
              <w:t>本单位主要负责人履行安全</w:t>
            </w:r>
            <w:r>
              <w:rPr>
                <w:spacing w:val="2"/>
              </w:rPr>
              <w:t>生产管理职责。</w:t>
            </w:r>
          </w:p>
        </w:tc>
        <w:tc>
          <w:tcPr>
            <w:tcW w:w="2859" w:type="dxa"/>
            <w:vAlign w:val="top"/>
          </w:tcPr>
          <w:p w14:paraId="16DC6647">
            <w:pPr>
              <w:pStyle w:val="6"/>
              <w:spacing w:before="27" w:line="196" w:lineRule="auto"/>
              <w:ind w:left="117" w:right="110"/>
            </w:pPr>
            <w:r>
              <w:rPr>
                <w:spacing w:val="8"/>
              </w:rPr>
              <w:t>别重大事故的，处上一年</w:t>
            </w:r>
            <w:r>
              <w:rPr>
                <w:spacing w:val="3"/>
              </w:rPr>
              <w:t>年收入</w:t>
            </w:r>
            <w:r>
              <w:rPr>
                <w:rFonts w:ascii="宋体" w:hAnsi="宋体" w:eastAsia="宋体" w:cs="宋体"/>
                <w:spacing w:val="3"/>
              </w:rPr>
              <w:t>50%</w:t>
            </w:r>
            <w:r>
              <w:rPr>
                <w:spacing w:val="3"/>
              </w:rPr>
              <w:t>的罚款。</w:t>
            </w:r>
          </w:p>
        </w:tc>
        <w:tc>
          <w:tcPr>
            <w:tcW w:w="803" w:type="dxa"/>
            <w:vAlign w:val="top"/>
          </w:tcPr>
          <w:p w14:paraId="3934EDE4">
            <w:pPr>
              <w:rPr>
                <w:rFonts w:ascii="Arial"/>
                <w:sz w:val="21"/>
              </w:rPr>
            </w:pPr>
          </w:p>
        </w:tc>
        <w:tc>
          <w:tcPr>
            <w:tcW w:w="2283" w:type="dxa"/>
            <w:vAlign w:val="top"/>
          </w:tcPr>
          <w:p w14:paraId="4274B5FB">
            <w:pPr>
              <w:rPr>
                <w:rFonts w:ascii="Arial"/>
                <w:sz w:val="21"/>
              </w:rPr>
            </w:pPr>
          </w:p>
        </w:tc>
        <w:tc>
          <w:tcPr>
            <w:tcW w:w="2894" w:type="dxa"/>
            <w:vAlign w:val="top"/>
          </w:tcPr>
          <w:p w14:paraId="760185E3">
            <w:pPr>
              <w:rPr>
                <w:rFonts w:ascii="Arial"/>
                <w:sz w:val="21"/>
              </w:rPr>
            </w:pPr>
          </w:p>
        </w:tc>
        <w:tc>
          <w:tcPr>
            <w:tcW w:w="811" w:type="dxa"/>
            <w:vAlign w:val="top"/>
          </w:tcPr>
          <w:p w14:paraId="3F8C3144">
            <w:pPr>
              <w:rPr>
                <w:rFonts w:ascii="Arial"/>
                <w:sz w:val="21"/>
              </w:rPr>
            </w:pPr>
          </w:p>
        </w:tc>
      </w:tr>
      <w:tr w14:paraId="70D23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restart"/>
            <w:tcBorders>
              <w:bottom w:val="nil"/>
            </w:tcBorders>
            <w:vAlign w:val="top"/>
          </w:tcPr>
          <w:p w14:paraId="3718EFF6">
            <w:pPr>
              <w:spacing w:line="254" w:lineRule="auto"/>
              <w:rPr>
                <w:rFonts w:ascii="Arial"/>
                <w:sz w:val="21"/>
              </w:rPr>
            </w:pPr>
          </w:p>
          <w:p w14:paraId="196D3201">
            <w:pPr>
              <w:spacing w:line="254" w:lineRule="auto"/>
              <w:rPr>
                <w:rFonts w:ascii="Arial"/>
                <w:sz w:val="21"/>
              </w:rPr>
            </w:pPr>
          </w:p>
          <w:p w14:paraId="22F8E607">
            <w:pPr>
              <w:spacing w:line="255" w:lineRule="auto"/>
              <w:rPr>
                <w:rFonts w:ascii="Arial"/>
                <w:sz w:val="21"/>
              </w:rPr>
            </w:pPr>
          </w:p>
          <w:p w14:paraId="17CF3181">
            <w:pPr>
              <w:spacing w:line="255" w:lineRule="auto"/>
              <w:rPr>
                <w:rFonts w:ascii="Arial"/>
                <w:sz w:val="21"/>
              </w:rPr>
            </w:pPr>
          </w:p>
          <w:p w14:paraId="686A25A6">
            <w:pPr>
              <w:spacing w:line="255" w:lineRule="auto"/>
              <w:rPr>
                <w:rFonts w:ascii="Arial"/>
                <w:sz w:val="21"/>
              </w:rPr>
            </w:pPr>
          </w:p>
          <w:p w14:paraId="0D7C8985">
            <w:pPr>
              <w:spacing w:line="255" w:lineRule="auto"/>
              <w:rPr>
                <w:rFonts w:ascii="Arial"/>
                <w:sz w:val="21"/>
              </w:rPr>
            </w:pPr>
          </w:p>
          <w:p w14:paraId="3C6A8746">
            <w:pPr>
              <w:spacing w:line="255" w:lineRule="auto"/>
              <w:rPr>
                <w:rFonts w:ascii="Arial"/>
                <w:sz w:val="21"/>
              </w:rPr>
            </w:pPr>
          </w:p>
          <w:p w14:paraId="6EED8AD0">
            <w:pPr>
              <w:spacing w:line="255" w:lineRule="auto"/>
              <w:rPr>
                <w:rFonts w:ascii="Arial"/>
                <w:sz w:val="21"/>
              </w:rPr>
            </w:pPr>
          </w:p>
          <w:p w14:paraId="3043CF8D">
            <w:pPr>
              <w:spacing w:line="255" w:lineRule="auto"/>
              <w:rPr>
                <w:rFonts w:ascii="Arial"/>
                <w:sz w:val="21"/>
              </w:rPr>
            </w:pPr>
          </w:p>
          <w:p w14:paraId="06DD4BA0">
            <w:pPr>
              <w:spacing w:line="255" w:lineRule="auto"/>
              <w:rPr>
                <w:rFonts w:ascii="Arial"/>
                <w:sz w:val="21"/>
              </w:rPr>
            </w:pPr>
          </w:p>
          <w:p w14:paraId="5B3EC55D">
            <w:pPr>
              <w:spacing w:before="75" w:line="185" w:lineRule="auto"/>
              <w:ind w:left="328"/>
              <w:rPr>
                <w:rFonts w:ascii="仿宋" w:hAnsi="仿宋" w:eastAsia="仿宋" w:cs="仿宋"/>
                <w:sz w:val="23"/>
                <w:szCs w:val="23"/>
              </w:rPr>
            </w:pPr>
            <w:r>
              <w:rPr>
                <w:rFonts w:ascii="仿宋" w:hAnsi="仿宋" w:eastAsia="仿宋" w:cs="仿宋"/>
                <w:sz w:val="23"/>
                <w:szCs w:val="23"/>
              </w:rPr>
              <w:t>3</w:t>
            </w:r>
          </w:p>
        </w:tc>
        <w:tc>
          <w:tcPr>
            <w:tcW w:w="1440" w:type="dxa"/>
            <w:vMerge w:val="restart"/>
            <w:tcBorders>
              <w:bottom w:val="nil"/>
            </w:tcBorders>
            <w:vAlign w:val="top"/>
          </w:tcPr>
          <w:p w14:paraId="7FBD3F60">
            <w:pPr>
              <w:spacing w:line="286" w:lineRule="auto"/>
              <w:rPr>
                <w:rFonts w:ascii="Arial"/>
                <w:sz w:val="21"/>
              </w:rPr>
            </w:pPr>
          </w:p>
          <w:p w14:paraId="18E693F7">
            <w:pPr>
              <w:spacing w:line="287" w:lineRule="auto"/>
              <w:rPr>
                <w:rFonts w:ascii="Arial"/>
                <w:sz w:val="21"/>
              </w:rPr>
            </w:pPr>
          </w:p>
          <w:p w14:paraId="707B0BE2">
            <w:pPr>
              <w:spacing w:line="287" w:lineRule="auto"/>
              <w:rPr>
                <w:rFonts w:ascii="Arial"/>
                <w:sz w:val="21"/>
              </w:rPr>
            </w:pPr>
          </w:p>
          <w:p w14:paraId="00F83D9D">
            <w:pPr>
              <w:spacing w:line="287" w:lineRule="auto"/>
              <w:rPr>
                <w:rFonts w:ascii="Arial"/>
                <w:sz w:val="21"/>
              </w:rPr>
            </w:pPr>
          </w:p>
          <w:p w14:paraId="5866ACE0">
            <w:pPr>
              <w:spacing w:line="287" w:lineRule="auto"/>
              <w:rPr>
                <w:rFonts w:ascii="Arial"/>
                <w:sz w:val="21"/>
              </w:rPr>
            </w:pPr>
          </w:p>
          <w:p w14:paraId="417D9B92">
            <w:pPr>
              <w:pStyle w:val="6"/>
              <w:spacing w:before="99" w:line="186" w:lineRule="auto"/>
              <w:ind w:left="113" w:right="111" w:firstLine="15"/>
              <w:jc w:val="both"/>
            </w:pPr>
            <w:r>
              <w:rPr>
                <w:spacing w:val="8"/>
              </w:rPr>
              <w:t>生产经营单</w:t>
            </w:r>
            <w:r>
              <w:rPr>
                <w:spacing w:val="12"/>
              </w:rPr>
              <w:t>位及其主要负责人或者其他人员违反操作规程或者安全管理规定作业</w:t>
            </w:r>
            <w:r>
              <w:t>的</w:t>
            </w:r>
          </w:p>
        </w:tc>
        <w:tc>
          <w:tcPr>
            <w:tcW w:w="3202" w:type="dxa"/>
            <w:vMerge w:val="restart"/>
            <w:tcBorders>
              <w:bottom w:val="nil"/>
            </w:tcBorders>
            <w:vAlign w:val="top"/>
          </w:tcPr>
          <w:p w14:paraId="4C9BE779">
            <w:pPr>
              <w:rPr>
                <w:rFonts w:ascii="Arial"/>
                <w:sz w:val="21"/>
              </w:rPr>
            </w:pPr>
          </w:p>
        </w:tc>
        <w:tc>
          <w:tcPr>
            <w:tcW w:w="2859" w:type="dxa"/>
            <w:vMerge w:val="restart"/>
            <w:tcBorders>
              <w:bottom w:val="nil"/>
            </w:tcBorders>
            <w:vAlign w:val="top"/>
          </w:tcPr>
          <w:p w14:paraId="179A7232">
            <w:pPr>
              <w:pStyle w:val="6"/>
              <w:spacing w:before="33" w:line="182" w:lineRule="auto"/>
              <w:ind w:left="116" w:right="97" w:hanging="19"/>
              <w:jc w:val="both"/>
            </w:pPr>
            <w:r>
              <w:rPr>
                <w:spacing w:val="10"/>
              </w:rPr>
              <w:t>【部门规章】《安全生产</w:t>
            </w:r>
            <w:r>
              <w:rPr>
                <w:spacing w:val="9"/>
              </w:rPr>
              <w:t>违法行为行政处罚办法》</w:t>
            </w:r>
            <w:bookmarkStart w:id="360" w:name="bookmark476"/>
            <w:bookmarkEnd w:id="360"/>
            <w:bookmarkStart w:id="361" w:name="bookmark12"/>
            <w:bookmarkEnd w:id="361"/>
            <w:r>
              <w:rPr>
                <w:spacing w:val="8"/>
              </w:rPr>
              <w:t>第四十五条第一项：生产</w:t>
            </w:r>
          </w:p>
          <w:p w14:paraId="43D717C3">
            <w:pPr>
              <w:pStyle w:val="6"/>
              <w:spacing w:line="182" w:lineRule="auto"/>
              <w:ind w:left="122"/>
              <w:outlineLvl w:val="0"/>
            </w:pPr>
            <w:r>
              <w:rPr>
                <w:spacing w:val="8"/>
              </w:rPr>
              <w:t>经营单位及其主要负责人</w:t>
            </w:r>
          </w:p>
          <w:p w14:paraId="4251A22B">
            <w:pPr>
              <w:pStyle w:val="6"/>
              <w:spacing w:before="5" w:line="185" w:lineRule="auto"/>
              <w:ind w:left="120" w:right="105"/>
            </w:pPr>
            <w:r>
              <w:rPr>
                <w:spacing w:val="8"/>
              </w:rPr>
              <w:t>或者其他人员有下列行为</w:t>
            </w:r>
            <w:r>
              <w:rPr>
                <w:spacing w:val="4"/>
              </w:rPr>
              <w:t>之一的，给予警告，并可</w:t>
            </w:r>
            <w:r>
              <w:rPr>
                <w:spacing w:val="3"/>
              </w:rPr>
              <w:t>以对生产经营单位处</w:t>
            </w:r>
            <w:r>
              <w:rPr>
                <w:rFonts w:ascii="宋体" w:hAnsi="宋体" w:eastAsia="宋体" w:cs="宋体"/>
                <w:spacing w:val="3"/>
              </w:rPr>
              <w:t>1</w:t>
            </w:r>
            <w:r>
              <w:rPr>
                <w:spacing w:val="3"/>
              </w:rPr>
              <w:t>万</w:t>
            </w:r>
            <w:r>
              <w:t>元以上</w:t>
            </w:r>
            <w:r>
              <w:rPr>
                <w:rFonts w:ascii="宋体" w:hAnsi="宋体" w:eastAsia="宋体" w:cs="宋体"/>
              </w:rPr>
              <w:t>3</w:t>
            </w:r>
            <w:r>
              <w:t>万元以下罚款，</w:t>
            </w:r>
            <w:r>
              <w:rPr>
                <w:spacing w:val="8"/>
              </w:rPr>
              <w:t>对其主要负责人、其他有</w:t>
            </w:r>
            <w:r>
              <w:rPr>
                <w:spacing w:val="-3"/>
              </w:rPr>
              <w:t>关人员处</w:t>
            </w:r>
            <w:r>
              <w:rPr>
                <w:rFonts w:ascii="宋体" w:hAnsi="宋体" w:eastAsia="宋体" w:cs="宋体"/>
                <w:spacing w:val="-3"/>
              </w:rPr>
              <w:t>1</w:t>
            </w:r>
            <w:r>
              <w:rPr>
                <w:spacing w:val="-3"/>
              </w:rPr>
              <w:t>千元以上</w:t>
            </w:r>
            <w:r>
              <w:rPr>
                <w:rFonts w:ascii="宋体" w:hAnsi="宋体" w:eastAsia="宋体" w:cs="宋体"/>
                <w:spacing w:val="-3"/>
              </w:rPr>
              <w:t>1</w:t>
            </w:r>
            <w:r>
              <w:rPr>
                <w:spacing w:val="-3"/>
              </w:rPr>
              <w:t>万</w:t>
            </w:r>
            <w:r>
              <w:rPr>
                <w:spacing w:val="-4"/>
              </w:rPr>
              <w:t>元以下的罚款</w:t>
            </w:r>
            <w:r>
              <w:rPr>
                <w:spacing w:val="-5"/>
              </w:rPr>
              <w:t>：（</w:t>
            </w:r>
            <w:r>
              <w:rPr>
                <w:spacing w:val="-4"/>
              </w:rPr>
              <w:t>一）违</w:t>
            </w:r>
            <w:r>
              <w:rPr>
                <w:spacing w:val="8"/>
              </w:rPr>
              <w:t>反操作规程或者安全管理</w:t>
            </w:r>
            <w:r>
              <w:rPr>
                <w:spacing w:val="-1"/>
              </w:rPr>
              <w:t>规定作业的；</w:t>
            </w:r>
          </w:p>
        </w:tc>
        <w:tc>
          <w:tcPr>
            <w:tcW w:w="803" w:type="dxa"/>
            <w:vAlign w:val="top"/>
          </w:tcPr>
          <w:p w14:paraId="73274291">
            <w:pPr>
              <w:spacing w:line="247" w:lineRule="auto"/>
              <w:rPr>
                <w:rFonts w:ascii="Arial"/>
                <w:sz w:val="21"/>
              </w:rPr>
            </w:pPr>
          </w:p>
          <w:p w14:paraId="67EB1A63">
            <w:pPr>
              <w:spacing w:line="247" w:lineRule="auto"/>
              <w:rPr>
                <w:rFonts w:ascii="Arial"/>
                <w:sz w:val="21"/>
              </w:rPr>
            </w:pPr>
          </w:p>
          <w:p w14:paraId="46B12450">
            <w:pPr>
              <w:spacing w:line="247" w:lineRule="auto"/>
              <w:rPr>
                <w:rFonts w:ascii="Arial"/>
                <w:sz w:val="21"/>
              </w:rPr>
            </w:pPr>
          </w:p>
          <w:p w14:paraId="04A887BE">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A2A32FE">
            <w:pPr>
              <w:spacing w:line="379" w:lineRule="auto"/>
              <w:rPr>
                <w:rFonts w:ascii="Arial"/>
                <w:sz w:val="21"/>
              </w:rPr>
            </w:pPr>
          </w:p>
          <w:p w14:paraId="12157ED6">
            <w:pPr>
              <w:pStyle w:val="6"/>
              <w:spacing w:before="99" w:line="191" w:lineRule="auto"/>
              <w:ind w:left="122" w:right="109"/>
              <w:jc w:val="both"/>
            </w:pPr>
            <w:r>
              <w:rPr>
                <w:spacing w:val="14"/>
              </w:rPr>
              <w:t>有</w:t>
            </w:r>
            <w:r>
              <w:rPr>
                <w:rFonts w:ascii="宋体" w:hAnsi="宋体" w:eastAsia="宋体" w:cs="宋体"/>
                <w:spacing w:val="14"/>
              </w:rPr>
              <w:t>1</w:t>
            </w:r>
            <w:r>
              <w:rPr>
                <w:spacing w:val="14"/>
              </w:rPr>
              <w:t>人次违反操作</w:t>
            </w:r>
            <w:r>
              <w:rPr>
                <w:spacing w:val="25"/>
              </w:rPr>
              <w:t>规程或者违反安全</w:t>
            </w:r>
            <w:r>
              <w:rPr>
                <w:spacing w:val="6"/>
              </w:rPr>
              <w:t>管理规定作业的</w:t>
            </w:r>
          </w:p>
        </w:tc>
        <w:tc>
          <w:tcPr>
            <w:tcW w:w="2894" w:type="dxa"/>
            <w:vAlign w:val="top"/>
          </w:tcPr>
          <w:p w14:paraId="4EE2F7BC">
            <w:pPr>
              <w:pStyle w:val="6"/>
              <w:spacing w:before="28" w:line="179" w:lineRule="auto"/>
              <w:ind w:left="124" w:right="106" w:firstLine="1"/>
              <w:jc w:val="both"/>
            </w:pPr>
            <w:r>
              <w:rPr>
                <w:spacing w:val="7"/>
              </w:rPr>
              <w:t>给予警告，并可以对生产</w:t>
            </w:r>
            <w:r>
              <w:rPr>
                <w:spacing w:val="21"/>
              </w:rPr>
              <w:t>经营单位处</w:t>
            </w:r>
            <w:r>
              <w:rPr>
                <w:rFonts w:ascii="宋体" w:hAnsi="宋体" w:eastAsia="宋体" w:cs="宋体"/>
                <w:spacing w:val="21"/>
              </w:rPr>
              <w:t>1</w:t>
            </w:r>
            <w:r>
              <w:rPr>
                <w:spacing w:val="21"/>
              </w:rPr>
              <w:t>万元以上</w:t>
            </w:r>
            <w:r>
              <w:rPr>
                <w:rFonts w:ascii="宋体" w:hAnsi="宋体" w:eastAsia="宋体" w:cs="宋体"/>
                <w:spacing w:val="6"/>
              </w:rPr>
              <w:t>1.5</w:t>
            </w:r>
            <w:r>
              <w:rPr>
                <w:spacing w:val="6"/>
              </w:rPr>
              <w:t>万元以下罚款，对其</w:t>
            </w:r>
            <w:r>
              <w:rPr>
                <w:spacing w:val="11"/>
              </w:rPr>
              <w:t>主要负责人、其他有关人</w:t>
            </w:r>
            <w:r>
              <w:rPr>
                <w:spacing w:val="-1"/>
              </w:rPr>
              <w:t>员处</w:t>
            </w:r>
            <w:r>
              <w:rPr>
                <w:rFonts w:ascii="宋体" w:hAnsi="宋体" w:eastAsia="宋体" w:cs="宋体"/>
                <w:spacing w:val="-1"/>
              </w:rPr>
              <w:t>1</w:t>
            </w:r>
            <w:r>
              <w:rPr>
                <w:spacing w:val="-1"/>
              </w:rPr>
              <w:t>千元以上</w:t>
            </w:r>
            <w:r>
              <w:rPr>
                <w:rFonts w:ascii="宋体" w:hAnsi="宋体" w:eastAsia="宋体" w:cs="宋体"/>
                <w:spacing w:val="-1"/>
              </w:rPr>
              <w:t>1</w:t>
            </w:r>
            <w:r>
              <w:rPr>
                <w:spacing w:val="-1"/>
              </w:rPr>
              <w:t>万元以</w:t>
            </w:r>
            <w:r>
              <w:rPr>
                <w:spacing w:val="4"/>
              </w:rPr>
              <w:t>下的罚款</w:t>
            </w:r>
          </w:p>
        </w:tc>
        <w:tc>
          <w:tcPr>
            <w:tcW w:w="811" w:type="dxa"/>
            <w:vMerge w:val="restart"/>
            <w:tcBorders>
              <w:bottom w:val="nil"/>
            </w:tcBorders>
            <w:vAlign w:val="top"/>
          </w:tcPr>
          <w:p w14:paraId="347D66E6">
            <w:pPr>
              <w:spacing w:line="254" w:lineRule="auto"/>
              <w:rPr>
                <w:rFonts w:ascii="Arial"/>
                <w:sz w:val="21"/>
              </w:rPr>
            </w:pPr>
          </w:p>
          <w:p w14:paraId="0DB697CF">
            <w:pPr>
              <w:spacing w:line="254" w:lineRule="auto"/>
              <w:rPr>
                <w:rFonts w:ascii="Arial"/>
                <w:sz w:val="21"/>
              </w:rPr>
            </w:pPr>
          </w:p>
          <w:p w14:paraId="5E809225">
            <w:pPr>
              <w:spacing w:line="254" w:lineRule="auto"/>
              <w:rPr>
                <w:rFonts w:ascii="Arial"/>
                <w:sz w:val="21"/>
              </w:rPr>
            </w:pPr>
          </w:p>
          <w:p w14:paraId="1B64595D">
            <w:pPr>
              <w:spacing w:line="254" w:lineRule="auto"/>
              <w:rPr>
                <w:rFonts w:ascii="Arial"/>
                <w:sz w:val="21"/>
              </w:rPr>
            </w:pPr>
          </w:p>
          <w:p w14:paraId="5FEB2169">
            <w:pPr>
              <w:spacing w:line="254" w:lineRule="auto"/>
              <w:rPr>
                <w:rFonts w:ascii="Arial"/>
                <w:sz w:val="21"/>
              </w:rPr>
            </w:pPr>
          </w:p>
          <w:p w14:paraId="3315CB7F">
            <w:pPr>
              <w:spacing w:line="255" w:lineRule="auto"/>
              <w:rPr>
                <w:rFonts w:ascii="Arial"/>
                <w:sz w:val="21"/>
              </w:rPr>
            </w:pPr>
          </w:p>
          <w:p w14:paraId="263EE19A">
            <w:pPr>
              <w:spacing w:line="255" w:lineRule="auto"/>
              <w:rPr>
                <w:rFonts w:ascii="Arial"/>
                <w:sz w:val="21"/>
              </w:rPr>
            </w:pPr>
          </w:p>
          <w:p w14:paraId="69E953C8">
            <w:pPr>
              <w:spacing w:line="255" w:lineRule="auto"/>
              <w:rPr>
                <w:rFonts w:ascii="Arial"/>
                <w:sz w:val="21"/>
              </w:rPr>
            </w:pPr>
          </w:p>
          <w:p w14:paraId="277B7AB7">
            <w:pPr>
              <w:spacing w:line="255" w:lineRule="auto"/>
              <w:rPr>
                <w:rFonts w:ascii="Arial"/>
                <w:sz w:val="21"/>
              </w:rPr>
            </w:pPr>
          </w:p>
          <w:p w14:paraId="75A40718">
            <w:pPr>
              <w:spacing w:line="255" w:lineRule="auto"/>
              <w:rPr>
                <w:rFonts w:ascii="Arial"/>
                <w:sz w:val="21"/>
              </w:rPr>
            </w:pPr>
          </w:p>
          <w:p w14:paraId="07E73819">
            <w:pPr>
              <w:spacing w:before="74" w:line="188" w:lineRule="auto"/>
              <w:ind w:left="355"/>
              <w:rPr>
                <w:rFonts w:ascii="宋体" w:hAnsi="宋体" w:eastAsia="宋体" w:cs="宋体"/>
                <w:sz w:val="23"/>
                <w:szCs w:val="23"/>
              </w:rPr>
            </w:pPr>
            <w:r>
              <w:rPr>
                <w:rFonts w:ascii="宋体" w:hAnsi="宋体" w:eastAsia="宋体" w:cs="宋体"/>
                <w:sz w:val="23"/>
                <w:szCs w:val="23"/>
              </w:rPr>
              <w:t>3</w:t>
            </w:r>
          </w:p>
        </w:tc>
      </w:tr>
      <w:tr w14:paraId="796A4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bottom w:val="nil"/>
            </w:tcBorders>
            <w:vAlign w:val="top"/>
          </w:tcPr>
          <w:p w14:paraId="2B404DBD">
            <w:pPr>
              <w:rPr>
                <w:rFonts w:ascii="Arial"/>
                <w:sz w:val="21"/>
              </w:rPr>
            </w:pPr>
          </w:p>
        </w:tc>
        <w:tc>
          <w:tcPr>
            <w:tcW w:w="1440" w:type="dxa"/>
            <w:vMerge w:val="continue"/>
            <w:tcBorders>
              <w:top w:val="nil"/>
              <w:bottom w:val="nil"/>
            </w:tcBorders>
            <w:vAlign w:val="top"/>
          </w:tcPr>
          <w:p w14:paraId="49DBE2CB">
            <w:pPr>
              <w:rPr>
                <w:rFonts w:ascii="Arial"/>
                <w:sz w:val="21"/>
              </w:rPr>
            </w:pPr>
          </w:p>
        </w:tc>
        <w:tc>
          <w:tcPr>
            <w:tcW w:w="3202" w:type="dxa"/>
            <w:vMerge w:val="continue"/>
            <w:tcBorders>
              <w:top w:val="nil"/>
              <w:bottom w:val="nil"/>
            </w:tcBorders>
            <w:vAlign w:val="top"/>
          </w:tcPr>
          <w:p w14:paraId="053FB09A">
            <w:pPr>
              <w:rPr>
                <w:rFonts w:ascii="Arial"/>
                <w:sz w:val="21"/>
              </w:rPr>
            </w:pPr>
          </w:p>
        </w:tc>
        <w:tc>
          <w:tcPr>
            <w:tcW w:w="2859" w:type="dxa"/>
            <w:vMerge w:val="continue"/>
            <w:tcBorders>
              <w:top w:val="nil"/>
              <w:bottom w:val="nil"/>
            </w:tcBorders>
            <w:vAlign w:val="top"/>
          </w:tcPr>
          <w:p w14:paraId="20E112D5">
            <w:pPr>
              <w:rPr>
                <w:rFonts w:ascii="Arial"/>
                <w:sz w:val="21"/>
              </w:rPr>
            </w:pPr>
          </w:p>
        </w:tc>
        <w:tc>
          <w:tcPr>
            <w:tcW w:w="803" w:type="dxa"/>
            <w:vAlign w:val="top"/>
          </w:tcPr>
          <w:p w14:paraId="498F5F0C">
            <w:pPr>
              <w:spacing w:line="249" w:lineRule="auto"/>
              <w:rPr>
                <w:rFonts w:ascii="Arial"/>
                <w:sz w:val="21"/>
              </w:rPr>
            </w:pPr>
          </w:p>
          <w:p w14:paraId="3B2313C7">
            <w:pPr>
              <w:spacing w:line="249" w:lineRule="auto"/>
              <w:rPr>
                <w:rFonts w:ascii="Arial"/>
                <w:sz w:val="21"/>
              </w:rPr>
            </w:pPr>
          </w:p>
          <w:p w14:paraId="33FC4D64">
            <w:pPr>
              <w:spacing w:line="250" w:lineRule="auto"/>
              <w:rPr>
                <w:rFonts w:ascii="Arial"/>
                <w:sz w:val="21"/>
              </w:rPr>
            </w:pPr>
          </w:p>
          <w:p w14:paraId="3D51DE89">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E4FAE41">
            <w:pPr>
              <w:spacing w:line="380" w:lineRule="auto"/>
              <w:rPr>
                <w:rFonts w:ascii="Arial"/>
                <w:sz w:val="21"/>
              </w:rPr>
            </w:pPr>
          </w:p>
          <w:p w14:paraId="33BAB4E5">
            <w:pPr>
              <w:pStyle w:val="6"/>
              <w:spacing w:before="99" w:line="191" w:lineRule="auto"/>
              <w:ind w:left="122" w:right="109"/>
              <w:jc w:val="both"/>
            </w:pPr>
            <w:r>
              <w:rPr>
                <w:spacing w:val="15"/>
              </w:rPr>
              <w:t>有</w:t>
            </w:r>
            <w:r>
              <w:rPr>
                <w:rFonts w:ascii="宋体" w:hAnsi="宋体" w:eastAsia="宋体" w:cs="宋体"/>
                <w:spacing w:val="15"/>
              </w:rPr>
              <w:t>2</w:t>
            </w:r>
            <w:r>
              <w:rPr>
                <w:spacing w:val="15"/>
              </w:rPr>
              <w:t>人次违反操作</w:t>
            </w:r>
            <w:r>
              <w:rPr>
                <w:spacing w:val="25"/>
              </w:rPr>
              <w:t>规程或者违反安全</w:t>
            </w:r>
            <w:r>
              <w:rPr>
                <w:spacing w:val="6"/>
              </w:rPr>
              <w:t>管理规定作业的</w:t>
            </w:r>
          </w:p>
        </w:tc>
        <w:tc>
          <w:tcPr>
            <w:tcW w:w="2894" w:type="dxa"/>
            <w:vAlign w:val="top"/>
          </w:tcPr>
          <w:p w14:paraId="2805D00C">
            <w:pPr>
              <w:pStyle w:val="6"/>
              <w:spacing w:before="28" w:line="179" w:lineRule="auto"/>
              <w:ind w:left="118" w:right="106" w:firstLine="8"/>
              <w:jc w:val="both"/>
            </w:pPr>
            <w:r>
              <w:rPr>
                <w:spacing w:val="7"/>
              </w:rPr>
              <w:t>给予警告，并可以对生产</w:t>
            </w:r>
            <w:r>
              <w:rPr>
                <w:spacing w:val="2"/>
              </w:rPr>
              <w:t>经营单位处</w:t>
            </w:r>
            <w:r>
              <w:rPr>
                <w:rFonts w:ascii="宋体" w:hAnsi="宋体" w:eastAsia="宋体" w:cs="宋体"/>
                <w:spacing w:val="2"/>
              </w:rPr>
              <w:t>1.5</w:t>
            </w:r>
            <w:r>
              <w:rPr>
                <w:spacing w:val="2"/>
              </w:rPr>
              <w:t>万元以上</w:t>
            </w:r>
            <w:r>
              <w:rPr>
                <w:rFonts w:ascii="宋体" w:hAnsi="宋体" w:eastAsia="宋体" w:cs="宋体"/>
                <w:spacing w:val="9"/>
              </w:rPr>
              <w:t>2</w:t>
            </w:r>
            <w:r>
              <w:rPr>
                <w:spacing w:val="9"/>
              </w:rPr>
              <w:t>万元以下罚款，对其主</w:t>
            </w:r>
            <w:r>
              <w:rPr>
                <w:spacing w:val="11"/>
              </w:rPr>
              <w:t>要负责人、其他有关人员</w:t>
            </w:r>
            <w:r>
              <w:t>处</w:t>
            </w:r>
            <w:r>
              <w:rPr>
                <w:rFonts w:ascii="宋体" w:hAnsi="宋体" w:eastAsia="宋体" w:cs="宋体"/>
              </w:rPr>
              <w:t>1</w:t>
            </w:r>
            <w:r>
              <w:t>千元以上</w:t>
            </w:r>
            <w:r>
              <w:rPr>
                <w:rFonts w:ascii="宋体" w:hAnsi="宋体" w:eastAsia="宋体" w:cs="宋体"/>
              </w:rPr>
              <w:t>1</w:t>
            </w:r>
            <w:r>
              <w:t>万元以下</w:t>
            </w:r>
            <w:r>
              <w:rPr>
                <w:spacing w:val="5"/>
              </w:rPr>
              <w:t>的罚款</w:t>
            </w:r>
          </w:p>
        </w:tc>
        <w:tc>
          <w:tcPr>
            <w:tcW w:w="811" w:type="dxa"/>
            <w:vMerge w:val="continue"/>
            <w:tcBorders>
              <w:top w:val="nil"/>
              <w:bottom w:val="nil"/>
            </w:tcBorders>
            <w:vAlign w:val="top"/>
          </w:tcPr>
          <w:p w14:paraId="1A063DDC">
            <w:pPr>
              <w:rPr>
                <w:rFonts w:ascii="Arial"/>
                <w:sz w:val="21"/>
              </w:rPr>
            </w:pPr>
          </w:p>
        </w:tc>
      </w:tr>
      <w:tr w14:paraId="20D72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tcBorders>
            <w:vAlign w:val="top"/>
          </w:tcPr>
          <w:p w14:paraId="0968466A">
            <w:pPr>
              <w:rPr>
                <w:rFonts w:ascii="Arial"/>
                <w:sz w:val="21"/>
              </w:rPr>
            </w:pPr>
          </w:p>
        </w:tc>
        <w:tc>
          <w:tcPr>
            <w:tcW w:w="1440" w:type="dxa"/>
            <w:vMerge w:val="continue"/>
            <w:tcBorders>
              <w:top w:val="nil"/>
            </w:tcBorders>
            <w:vAlign w:val="top"/>
          </w:tcPr>
          <w:p w14:paraId="5EACDD35">
            <w:pPr>
              <w:rPr>
                <w:rFonts w:ascii="Arial"/>
                <w:sz w:val="21"/>
              </w:rPr>
            </w:pPr>
          </w:p>
        </w:tc>
        <w:tc>
          <w:tcPr>
            <w:tcW w:w="3202" w:type="dxa"/>
            <w:vMerge w:val="continue"/>
            <w:tcBorders>
              <w:top w:val="nil"/>
            </w:tcBorders>
            <w:vAlign w:val="top"/>
          </w:tcPr>
          <w:p w14:paraId="2BA3288E">
            <w:pPr>
              <w:rPr>
                <w:rFonts w:ascii="Arial"/>
                <w:sz w:val="21"/>
              </w:rPr>
            </w:pPr>
          </w:p>
        </w:tc>
        <w:tc>
          <w:tcPr>
            <w:tcW w:w="2859" w:type="dxa"/>
            <w:vMerge w:val="continue"/>
            <w:tcBorders>
              <w:top w:val="nil"/>
            </w:tcBorders>
            <w:vAlign w:val="top"/>
          </w:tcPr>
          <w:p w14:paraId="1CCA7058">
            <w:pPr>
              <w:rPr>
                <w:rFonts w:ascii="Arial"/>
                <w:sz w:val="21"/>
              </w:rPr>
            </w:pPr>
          </w:p>
        </w:tc>
        <w:tc>
          <w:tcPr>
            <w:tcW w:w="803" w:type="dxa"/>
            <w:vAlign w:val="top"/>
          </w:tcPr>
          <w:p w14:paraId="37222F00">
            <w:pPr>
              <w:spacing w:line="249" w:lineRule="auto"/>
              <w:rPr>
                <w:rFonts w:ascii="Arial"/>
                <w:sz w:val="21"/>
              </w:rPr>
            </w:pPr>
          </w:p>
          <w:p w14:paraId="1699A107">
            <w:pPr>
              <w:spacing w:line="249" w:lineRule="auto"/>
              <w:rPr>
                <w:rFonts w:ascii="Arial"/>
                <w:sz w:val="21"/>
              </w:rPr>
            </w:pPr>
          </w:p>
          <w:p w14:paraId="1CDCA231">
            <w:pPr>
              <w:spacing w:line="249" w:lineRule="auto"/>
              <w:rPr>
                <w:rFonts w:ascii="Arial"/>
                <w:sz w:val="21"/>
              </w:rPr>
            </w:pPr>
          </w:p>
          <w:p w14:paraId="26C82B6B">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22382A43">
            <w:pPr>
              <w:pStyle w:val="6"/>
              <w:spacing w:before="330" w:line="190" w:lineRule="auto"/>
              <w:ind w:left="116" w:right="109" w:firstLine="6"/>
              <w:jc w:val="both"/>
            </w:pPr>
            <w:r>
              <w:rPr>
                <w:spacing w:val="15"/>
              </w:rPr>
              <w:t>有</w:t>
            </w:r>
            <w:r>
              <w:rPr>
                <w:rFonts w:ascii="宋体" w:hAnsi="宋体" w:eastAsia="宋体" w:cs="宋体"/>
                <w:spacing w:val="15"/>
              </w:rPr>
              <w:t>3</w:t>
            </w:r>
            <w:r>
              <w:rPr>
                <w:spacing w:val="15"/>
              </w:rPr>
              <w:t>人次以上违反</w:t>
            </w:r>
            <w:r>
              <w:rPr>
                <w:spacing w:val="26"/>
              </w:rPr>
              <w:t>操作规程或者违反安全管理规定作业</w:t>
            </w:r>
            <w:r>
              <w:t>的</w:t>
            </w:r>
          </w:p>
        </w:tc>
        <w:tc>
          <w:tcPr>
            <w:tcW w:w="2894" w:type="dxa"/>
            <w:vAlign w:val="top"/>
          </w:tcPr>
          <w:p w14:paraId="7FDF24B8">
            <w:pPr>
              <w:pStyle w:val="6"/>
              <w:spacing w:before="28" w:line="179" w:lineRule="auto"/>
              <w:ind w:left="124" w:right="104" w:firstLine="1"/>
              <w:jc w:val="both"/>
            </w:pPr>
            <w:r>
              <w:rPr>
                <w:spacing w:val="7"/>
              </w:rPr>
              <w:t>给予警告，并可以对生产</w:t>
            </w:r>
            <w:r>
              <w:rPr>
                <w:spacing w:val="9"/>
              </w:rPr>
              <w:t>经营单位处</w:t>
            </w:r>
            <w:r>
              <w:rPr>
                <w:rFonts w:ascii="宋体" w:hAnsi="宋体" w:eastAsia="宋体" w:cs="宋体"/>
                <w:spacing w:val="9"/>
              </w:rPr>
              <w:t>2</w:t>
            </w:r>
            <w:r>
              <w:rPr>
                <w:spacing w:val="9"/>
              </w:rPr>
              <w:t>万元以上</w:t>
            </w:r>
            <w:r>
              <w:rPr>
                <w:rFonts w:ascii="宋体" w:hAnsi="宋体" w:eastAsia="宋体" w:cs="宋体"/>
                <w:spacing w:val="9"/>
              </w:rPr>
              <w:t>3</w:t>
            </w:r>
            <w:r>
              <w:rPr>
                <w:spacing w:val="8"/>
              </w:rPr>
              <w:t>万元以下罚款，对其主要</w:t>
            </w:r>
            <w:r>
              <w:rPr>
                <w:spacing w:val="7"/>
              </w:rPr>
              <w:t>负责人、其他有关人员处</w:t>
            </w:r>
            <w:r>
              <w:rPr>
                <w:rFonts w:ascii="宋体" w:hAnsi="宋体" w:eastAsia="宋体" w:cs="宋体"/>
                <w:spacing w:val="6"/>
              </w:rPr>
              <w:t>1</w:t>
            </w:r>
            <w:r>
              <w:rPr>
                <w:spacing w:val="6"/>
              </w:rPr>
              <w:t>千元以上</w:t>
            </w:r>
            <w:r>
              <w:rPr>
                <w:rFonts w:ascii="宋体" w:hAnsi="宋体" w:eastAsia="宋体" w:cs="宋体"/>
                <w:spacing w:val="6"/>
              </w:rPr>
              <w:t>1</w:t>
            </w:r>
            <w:r>
              <w:rPr>
                <w:spacing w:val="6"/>
              </w:rPr>
              <w:t>万元以下的</w:t>
            </w:r>
            <w:r>
              <w:t>罚款</w:t>
            </w:r>
          </w:p>
        </w:tc>
        <w:tc>
          <w:tcPr>
            <w:tcW w:w="811" w:type="dxa"/>
            <w:vMerge w:val="continue"/>
            <w:tcBorders>
              <w:top w:val="nil"/>
            </w:tcBorders>
            <w:vAlign w:val="top"/>
          </w:tcPr>
          <w:p w14:paraId="01A42862">
            <w:pPr>
              <w:rPr>
                <w:rFonts w:ascii="Arial"/>
                <w:sz w:val="21"/>
              </w:rPr>
            </w:pPr>
          </w:p>
        </w:tc>
      </w:tr>
      <w:tr w14:paraId="40948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8" w:hRule="atLeast"/>
        </w:trPr>
        <w:tc>
          <w:tcPr>
            <w:tcW w:w="818" w:type="dxa"/>
            <w:vAlign w:val="top"/>
          </w:tcPr>
          <w:p w14:paraId="4183421A">
            <w:pPr>
              <w:spacing w:line="258" w:lineRule="auto"/>
              <w:rPr>
                <w:rFonts w:ascii="Arial"/>
                <w:sz w:val="21"/>
              </w:rPr>
            </w:pPr>
          </w:p>
          <w:p w14:paraId="796D4AD2">
            <w:pPr>
              <w:spacing w:line="258" w:lineRule="auto"/>
              <w:rPr>
                <w:rFonts w:ascii="Arial"/>
                <w:sz w:val="21"/>
              </w:rPr>
            </w:pPr>
          </w:p>
          <w:p w14:paraId="3A7C3C04">
            <w:pPr>
              <w:spacing w:line="259" w:lineRule="auto"/>
              <w:rPr>
                <w:rFonts w:ascii="Arial"/>
                <w:sz w:val="21"/>
              </w:rPr>
            </w:pPr>
          </w:p>
          <w:p w14:paraId="3328E062">
            <w:pPr>
              <w:spacing w:line="259" w:lineRule="auto"/>
              <w:rPr>
                <w:rFonts w:ascii="Arial"/>
                <w:sz w:val="21"/>
              </w:rPr>
            </w:pPr>
          </w:p>
          <w:p w14:paraId="36F80BD5">
            <w:pPr>
              <w:spacing w:before="75" w:line="186" w:lineRule="auto"/>
              <w:ind w:left="322"/>
              <w:rPr>
                <w:rFonts w:ascii="仿宋" w:hAnsi="仿宋" w:eastAsia="仿宋" w:cs="仿宋"/>
                <w:sz w:val="23"/>
                <w:szCs w:val="23"/>
              </w:rPr>
            </w:pPr>
            <w:r>
              <w:rPr>
                <w:rFonts w:ascii="仿宋" w:hAnsi="仿宋" w:eastAsia="仿宋" w:cs="仿宋"/>
                <w:sz w:val="23"/>
                <w:szCs w:val="23"/>
              </w:rPr>
              <w:t>4</w:t>
            </w:r>
          </w:p>
        </w:tc>
        <w:tc>
          <w:tcPr>
            <w:tcW w:w="1440" w:type="dxa"/>
            <w:vAlign w:val="top"/>
          </w:tcPr>
          <w:p w14:paraId="370DC4BC">
            <w:pPr>
              <w:pStyle w:val="6"/>
              <w:spacing w:before="168" w:line="186" w:lineRule="auto"/>
              <w:ind w:left="113" w:right="111" w:firstLine="15"/>
              <w:jc w:val="both"/>
            </w:pPr>
            <w:r>
              <w:rPr>
                <w:spacing w:val="8"/>
              </w:rPr>
              <w:t>生产经营单</w:t>
            </w:r>
            <w:r>
              <w:rPr>
                <w:spacing w:val="12"/>
              </w:rPr>
              <w:t>位及其主要负责人或者其他人员违章指挥从业人员或者强令从业人员</w:t>
            </w:r>
          </w:p>
        </w:tc>
        <w:tc>
          <w:tcPr>
            <w:tcW w:w="3202" w:type="dxa"/>
            <w:vAlign w:val="top"/>
          </w:tcPr>
          <w:p w14:paraId="2481A921">
            <w:pPr>
              <w:rPr>
                <w:rFonts w:ascii="Arial"/>
                <w:sz w:val="21"/>
              </w:rPr>
            </w:pPr>
          </w:p>
        </w:tc>
        <w:tc>
          <w:tcPr>
            <w:tcW w:w="2859" w:type="dxa"/>
            <w:vAlign w:val="top"/>
          </w:tcPr>
          <w:p w14:paraId="5B58921C">
            <w:pPr>
              <w:pStyle w:val="6"/>
              <w:spacing w:before="34" w:line="186" w:lineRule="auto"/>
              <w:ind w:left="116" w:right="97" w:hanging="19"/>
              <w:jc w:val="both"/>
            </w:pPr>
            <w:r>
              <w:rPr>
                <w:spacing w:val="10"/>
              </w:rPr>
              <w:t>【部门规章】《安全生产</w:t>
            </w:r>
            <w:r>
              <w:rPr>
                <w:spacing w:val="9"/>
              </w:rPr>
              <w:t>违法行为行政处罚办法》</w:t>
            </w:r>
            <w:r>
              <w:rPr>
                <w:spacing w:val="8"/>
              </w:rPr>
              <w:t>第四十五条第二项：生产经营单位及其主要负责人或者其他人员有下列行为</w:t>
            </w:r>
            <w:r>
              <w:rPr>
                <w:spacing w:val="1"/>
              </w:rPr>
              <w:t>之一的，给予警告，并可</w:t>
            </w:r>
            <w:r>
              <w:rPr>
                <w:spacing w:val="3"/>
              </w:rPr>
              <w:t>以对生产经营单位处</w:t>
            </w:r>
            <w:r>
              <w:rPr>
                <w:rFonts w:ascii="宋体" w:hAnsi="宋体" w:eastAsia="宋体" w:cs="宋体"/>
                <w:spacing w:val="3"/>
              </w:rPr>
              <w:t>1</w:t>
            </w:r>
            <w:r>
              <w:rPr>
                <w:spacing w:val="3"/>
              </w:rPr>
              <w:t>万</w:t>
            </w:r>
          </w:p>
        </w:tc>
        <w:tc>
          <w:tcPr>
            <w:tcW w:w="803" w:type="dxa"/>
            <w:vAlign w:val="top"/>
          </w:tcPr>
          <w:p w14:paraId="1EB84435">
            <w:pPr>
              <w:spacing w:line="257" w:lineRule="auto"/>
              <w:rPr>
                <w:rFonts w:ascii="Arial"/>
                <w:sz w:val="21"/>
              </w:rPr>
            </w:pPr>
          </w:p>
          <w:p w14:paraId="353544AB">
            <w:pPr>
              <w:spacing w:line="257" w:lineRule="auto"/>
              <w:rPr>
                <w:rFonts w:ascii="Arial"/>
                <w:sz w:val="21"/>
              </w:rPr>
            </w:pPr>
          </w:p>
          <w:p w14:paraId="7547AF78">
            <w:pPr>
              <w:spacing w:line="257" w:lineRule="auto"/>
              <w:rPr>
                <w:rFonts w:ascii="Arial"/>
                <w:sz w:val="21"/>
              </w:rPr>
            </w:pPr>
          </w:p>
          <w:p w14:paraId="7C5D7C3F">
            <w:pPr>
              <w:spacing w:line="258" w:lineRule="auto"/>
              <w:rPr>
                <w:rFonts w:ascii="Arial"/>
                <w:sz w:val="21"/>
              </w:rPr>
            </w:pPr>
          </w:p>
          <w:p w14:paraId="0C1818B6">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FB17D01">
            <w:pPr>
              <w:spacing w:line="258" w:lineRule="auto"/>
              <w:rPr>
                <w:rFonts w:ascii="Arial"/>
                <w:sz w:val="21"/>
              </w:rPr>
            </w:pPr>
          </w:p>
          <w:p w14:paraId="72C2253D">
            <w:pPr>
              <w:spacing w:line="259" w:lineRule="auto"/>
              <w:rPr>
                <w:rFonts w:ascii="Arial"/>
                <w:sz w:val="21"/>
              </w:rPr>
            </w:pPr>
          </w:p>
          <w:p w14:paraId="7F61C605">
            <w:pPr>
              <w:pStyle w:val="6"/>
              <w:spacing w:before="98" w:line="189" w:lineRule="auto"/>
              <w:ind w:left="115" w:right="109" w:firstLine="1"/>
              <w:jc w:val="both"/>
            </w:pPr>
            <w:r>
              <w:rPr>
                <w:spacing w:val="26"/>
              </w:rPr>
              <w:t>违章指挥从业人员或者强令从业人员</w:t>
            </w:r>
            <w:r>
              <w:rPr>
                <w:spacing w:val="-19"/>
              </w:rPr>
              <w:t>违章、冒险作业，涉</w:t>
            </w:r>
            <w:r>
              <w:rPr>
                <w:spacing w:val="-3"/>
              </w:rPr>
              <w:t>及</w:t>
            </w:r>
            <w:r>
              <w:rPr>
                <w:rFonts w:ascii="宋体" w:hAnsi="宋体" w:eastAsia="宋体" w:cs="宋体"/>
                <w:spacing w:val="-3"/>
              </w:rPr>
              <w:t>1</w:t>
            </w:r>
            <w:r>
              <w:rPr>
                <w:spacing w:val="-3"/>
              </w:rPr>
              <w:t>人次的</w:t>
            </w:r>
          </w:p>
        </w:tc>
        <w:tc>
          <w:tcPr>
            <w:tcW w:w="2894" w:type="dxa"/>
            <w:vAlign w:val="top"/>
          </w:tcPr>
          <w:p w14:paraId="6368091B">
            <w:pPr>
              <w:pStyle w:val="6"/>
              <w:spacing w:before="317" w:line="187" w:lineRule="auto"/>
              <w:ind w:left="127" w:right="104" w:hanging="1"/>
              <w:jc w:val="both"/>
            </w:pPr>
            <w:r>
              <w:rPr>
                <w:spacing w:val="7"/>
              </w:rPr>
              <w:t>给予警告，可以对生产经</w:t>
            </w:r>
            <w:r>
              <w:rPr>
                <w:spacing w:val="5"/>
              </w:rPr>
              <w:t>营单位处</w:t>
            </w:r>
            <w:r>
              <w:rPr>
                <w:rFonts w:ascii="宋体" w:hAnsi="宋体" w:eastAsia="宋体" w:cs="宋体"/>
                <w:spacing w:val="5"/>
              </w:rPr>
              <w:t>1</w:t>
            </w:r>
            <w:r>
              <w:rPr>
                <w:spacing w:val="5"/>
              </w:rPr>
              <w:t>万元以上</w:t>
            </w:r>
            <w:r>
              <w:rPr>
                <w:rFonts w:ascii="宋体" w:hAnsi="宋体" w:eastAsia="宋体" w:cs="宋体"/>
                <w:spacing w:val="5"/>
              </w:rPr>
              <w:t>1.5</w:t>
            </w:r>
            <w:r>
              <w:rPr>
                <w:spacing w:val="7"/>
              </w:rPr>
              <w:t>万元以下罚款，对其主要负责人、其他有关人员处</w:t>
            </w:r>
            <w:r>
              <w:rPr>
                <w:rFonts w:ascii="宋体" w:hAnsi="宋体" w:eastAsia="宋体" w:cs="宋体"/>
                <w:spacing w:val="6"/>
              </w:rPr>
              <w:t>1</w:t>
            </w:r>
            <w:r>
              <w:rPr>
                <w:spacing w:val="6"/>
              </w:rPr>
              <w:t>千元以上</w:t>
            </w:r>
            <w:r>
              <w:rPr>
                <w:rFonts w:ascii="宋体" w:hAnsi="宋体" w:eastAsia="宋体" w:cs="宋体"/>
                <w:spacing w:val="6"/>
              </w:rPr>
              <w:t>1</w:t>
            </w:r>
            <w:r>
              <w:rPr>
                <w:spacing w:val="6"/>
              </w:rPr>
              <w:t>万元以下的</w:t>
            </w:r>
            <w:r>
              <w:rPr>
                <w:spacing w:val="-1"/>
              </w:rPr>
              <w:t>罚款</w:t>
            </w:r>
          </w:p>
        </w:tc>
        <w:tc>
          <w:tcPr>
            <w:tcW w:w="811" w:type="dxa"/>
            <w:vAlign w:val="top"/>
          </w:tcPr>
          <w:p w14:paraId="4A7241E5">
            <w:pPr>
              <w:spacing w:line="258" w:lineRule="auto"/>
              <w:rPr>
                <w:rFonts w:ascii="Arial"/>
                <w:sz w:val="21"/>
              </w:rPr>
            </w:pPr>
          </w:p>
          <w:p w14:paraId="485B70A3">
            <w:pPr>
              <w:spacing w:line="258" w:lineRule="auto"/>
              <w:rPr>
                <w:rFonts w:ascii="Arial"/>
                <w:sz w:val="21"/>
              </w:rPr>
            </w:pPr>
          </w:p>
          <w:p w14:paraId="42EE5C99">
            <w:pPr>
              <w:spacing w:line="258" w:lineRule="auto"/>
              <w:rPr>
                <w:rFonts w:ascii="Arial"/>
                <w:sz w:val="21"/>
              </w:rPr>
            </w:pPr>
          </w:p>
          <w:p w14:paraId="46CCB529">
            <w:pPr>
              <w:spacing w:line="258" w:lineRule="auto"/>
              <w:rPr>
                <w:rFonts w:ascii="Arial"/>
                <w:sz w:val="21"/>
              </w:rPr>
            </w:pPr>
          </w:p>
          <w:p w14:paraId="447676E0">
            <w:pPr>
              <w:spacing w:before="74" w:line="188" w:lineRule="auto"/>
              <w:ind w:left="355"/>
              <w:rPr>
                <w:rFonts w:ascii="宋体" w:hAnsi="宋体" w:eastAsia="宋体" w:cs="宋体"/>
                <w:sz w:val="23"/>
                <w:szCs w:val="23"/>
              </w:rPr>
            </w:pPr>
            <w:r>
              <w:rPr>
                <w:rFonts w:ascii="宋体" w:hAnsi="宋体" w:eastAsia="宋体" w:cs="宋体"/>
                <w:sz w:val="23"/>
                <w:szCs w:val="23"/>
              </w:rPr>
              <w:t>3</w:t>
            </w:r>
          </w:p>
        </w:tc>
      </w:tr>
    </w:tbl>
    <w:p w14:paraId="55DD9A63">
      <w:pPr>
        <w:pStyle w:val="2"/>
      </w:pPr>
    </w:p>
    <w:p w14:paraId="3AE93378">
      <w:pPr>
        <w:sectPr>
          <w:footerReference r:id="rId23" w:type="default"/>
          <w:pgSz w:w="16839" w:h="11906"/>
          <w:pgMar w:top="1012" w:right="821" w:bottom="666" w:left="901" w:header="0" w:footer="388" w:gutter="0"/>
          <w:cols w:space="720" w:num="1"/>
        </w:sectPr>
      </w:pPr>
    </w:p>
    <w:p w14:paraId="109D7802">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FA17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2B458BE">
            <w:pPr>
              <w:spacing w:before="222" w:line="241" w:lineRule="auto"/>
              <w:ind w:left="131"/>
              <w:rPr>
                <w:rFonts w:ascii="黑体" w:hAnsi="黑体" w:eastAsia="黑体" w:cs="黑体"/>
                <w:sz w:val="28"/>
                <w:szCs w:val="28"/>
              </w:rPr>
            </w:pPr>
            <w:bookmarkStart w:id="362" w:name="bookmark14"/>
            <w:bookmarkEnd w:id="362"/>
            <w:r>
              <w:rPr>
                <w:rFonts w:ascii="黑体" w:hAnsi="黑体" w:eastAsia="黑体" w:cs="黑体"/>
                <w:spacing w:val="-2"/>
                <w:sz w:val="28"/>
                <w:szCs w:val="28"/>
              </w:rPr>
              <w:t>序号</w:t>
            </w:r>
          </w:p>
        </w:tc>
        <w:tc>
          <w:tcPr>
            <w:tcW w:w="1440" w:type="dxa"/>
            <w:vAlign w:val="top"/>
          </w:tcPr>
          <w:p w14:paraId="04A85466">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24C1B53">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8371529">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C33EBAC">
            <w:pPr>
              <w:spacing w:before="42" w:line="237" w:lineRule="auto"/>
              <w:ind w:left="124"/>
              <w:outlineLvl w:val="0"/>
              <w:rPr>
                <w:rFonts w:ascii="黑体" w:hAnsi="黑体" w:eastAsia="黑体" w:cs="黑体"/>
                <w:sz w:val="28"/>
                <w:szCs w:val="28"/>
              </w:rPr>
            </w:pPr>
            <w:bookmarkStart w:id="363" w:name="bookmark3"/>
            <w:bookmarkEnd w:id="363"/>
            <w:r>
              <w:rPr>
                <w:rFonts w:ascii="黑体" w:hAnsi="黑体" w:eastAsia="黑体" w:cs="黑体"/>
                <w:spacing w:val="-2"/>
                <w:sz w:val="28"/>
                <w:szCs w:val="28"/>
              </w:rPr>
              <w:t>裁量</w:t>
            </w:r>
          </w:p>
          <w:p w14:paraId="60A081BA">
            <w:pPr>
              <w:spacing w:before="1" w:line="209" w:lineRule="auto"/>
              <w:ind w:left="147"/>
              <w:rPr>
                <w:rFonts w:ascii="黑体" w:hAnsi="黑体" w:eastAsia="黑体" w:cs="黑体"/>
                <w:sz w:val="28"/>
                <w:szCs w:val="28"/>
              </w:rPr>
            </w:pPr>
            <w:r>
              <w:rPr>
                <w:rFonts w:ascii="黑体" w:hAnsi="黑体" w:eastAsia="黑体" w:cs="黑体"/>
                <w:spacing w:val="-8"/>
                <w:sz w:val="28"/>
                <w:szCs w:val="28"/>
              </w:rPr>
              <w:t>阶次</w:t>
            </w:r>
          </w:p>
        </w:tc>
        <w:tc>
          <w:tcPr>
            <w:tcW w:w="2283" w:type="dxa"/>
            <w:vAlign w:val="top"/>
          </w:tcPr>
          <w:p w14:paraId="0DD790A0">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0B7B5A1">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78964566">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82A3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restart"/>
            <w:tcBorders>
              <w:bottom w:val="nil"/>
            </w:tcBorders>
            <w:vAlign w:val="top"/>
          </w:tcPr>
          <w:p w14:paraId="45B0340C">
            <w:pPr>
              <w:rPr>
                <w:rFonts w:ascii="Arial"/>
                <w:sz w:val="21"/>
              </w:rPr>
            </w:pPr>
          </w:p>
        </w:tc>
        <w:tc>
          <w:tcPr>
            <w:tcW w:w="1440" w:type="dxa"/>
            <w:vMerge w:val="restart"/>
            <w:tcBorders>
              <w:bottom w:val="nil"/>
            </w:tcBorders>
            <w:vAlign w:val="top"/>
          </w:tcPr>
          <w:p w14:paraId="300274A8">
            <w:pPr>
              <w:pStyle w:val="6"/>
              <w:spacing w:before="28" w:line="182" w:lineRule="auto"/>
              <w:ind w:left="115"/>
            </w:pPr>
            <w:r>
              <w:rPr>
                <w:spacing w:val="11"/>
              </w:rPr>
              <w:t>违章、冒险</w:t>
            </w:r>
          </w:p>
          <w:p w14:paraId="19E78874">
            <w:pPr>
              <w:pStyle w:val="6"/>
              <w:spacing w:line="210" w:lineRule="auto"/>
              <w:ind w:left="116"/>
              <w:outlineLvl w:val="0"/>
            </w:pPr>
            <w:r>
              <w:rPr>
                <w:spacing w:val="4"/>
              </w:rPr>
              <w:t>作业的</w:t>
            </w:r>
          </w:p>
        </w:tc>
        <w:tc>
          <w:tcPr>
            <w:tcW w:w="3202" w:type="dxa"/>
            <w:vMerge w:val="restart"/>
            <w:tcBorders>
              <w:bottom w:val="nil"/>
            </w:tcBorders>
            <w:vAlign w:val="top"/>
          </w:tcPr>
          <w:p w14:paraId="5818E3FD">
            <w:pPr>
              <w:rPr>
                <w:rFonts w:ascii="Arial"/>
                <w:sz w:val="21"/>
              </w:rPr>
            </w:pPr>
          </w:p>
        </w:tc>
        <w:tc>
          <w:tcPr>
            <w:tcW w:w="2859" w:type="dxa"/>
            <w:vMerge w:val="restart"/>
            <w:tcBorders>
              <w:bottom w:val="nil"/>
            </w:tcBorders>
            <w:vAlign w:val="top"/>
          </w:tcPr>
          <w:p w14:paraId="03298222">
            <w:pPr>
              <w:pStyle w:val="6"/>
              <w:spacing w:before="30" w:line="186" w:lineRule="auto"/>
              <w:ind w:left="119" w:right="105" w:firstLine="2"/>
            </w:pPr>
            <w:r>
              <w:t>元以上</w:t>
            </w:r>
            <w:r>
              <w:rPr>
                <w:rFonts w:ascii="宋体" w:hAnsi="宋体" w:eastAsia="宋体" w:cs="宋体"/>
              </w:rPr>
              <w:t>3</w:t>
            </w:r>
            <w:r>
              <w:t>万元以下罚款，</w:t>
            </w:r>
            <w:r>
              <w:rPr>
                <w:spacing w:val="8"/>
              </w:rPr>
              <w:t>对其主要负责人、其他有</w:t>
            </w:r>
            <w:r>
              <w:rPr>
                <w:spacing w:val="-2"/>
              </w:rPr>
              <w:t>关人员处</w:t>
            </w:r>
            <w:r>
              <w:rPr>
                <w:rFonts w:ascii="宋体" w:hAnsi="宋体" w:eastAsia="宋体" w:cs="宋体"/>
                <w:spacing w:val="-2"/>
              </w:rPr>
              <w:t>1</w:t>
            </w:r>
            <w:r>
              <w:rPr>
                <w:spacing w:val="-2"/>
              </w:rPr>
              <w:t>千元以上</w:t>
            </w:r>
            <w:r>
              <w:rPr>
                <w:rFonts w:ascii="宋体" w:hAnsi="宋体" w:eastAsia="宋体" w:cs="宋体"/>
                <w:spacing w:val="-2"/>
              </w:rPr>
              <w:t>1</w:t>
            </w:r>
            <w:r>
              <w:rPr>
                <w:spacing w:val="-2"/>
              </w:rPr>
              <w:t>万</w:t>
            </w:r>
            <w:r>
              <w:rPr>
                <w:spacing w:val="7"/>
              </w:rPr>
              <w:t>元以下的罚款</w:t>
            </w:r>
            <w:r>
              <w:rPr>
                <w:spacing w:val="13"/>
              </w:rPr>
              <w:t>：（</w:t>
            </w:r>
            <w:r>
              <w:rPr>
                <w:spacing w:val="7"/>
              </w:rPr>
              <w:t>二）违</w:t>
            </w:r>
            <w:r>
              <w:rPr>
                <w:spacing w:val="8"/>
              </w:rPr>
              <w:t>章指挥从业人员或者强令从业人员违章、冒险作业</w:t>
            </w:r>
            <w:r>
              <w:rPr>
                <w:spacing w:val="-11"/>
              </w:rPr>
              <w:t>的；</w:t>
            </w:r>
          </w:p>
        </w:tc>
        <w:tc>
          <w:tcPr>
            <w:tcW w:w="803" w:type="dxa"/>
            <w:vAlign w:val="top"/>
          </w:tcPr>
          <w:p w14:paraId="188310E4">
            <w:pPr>
              <w:spacing w:line="248" w:lineRule="auto"/>
              <w:rPr>
                <w:rFonts w:ascii="Arial"/>
                <w:sz w:val="21"/>
              </w:rPr>
            </w:pPr>
          </w:p>
          <w:p w14:paraId="7D898406">
            <w:pPr>
              <w:spacing w:line="248" w:lineRule="auto"/>
              <w:rPr>
                <w:rFonts w:ascii="Arial"/>
                <w:sz w:val="21"/>
              </w:rPr>
            </w:pPr>
          </w:p>
          <w:p w14:paraId="47C4E940">
            <w:pPr>
              <w:spacing w:line="248" w:lineRule="auto"/>
              <w:rPr>
                <w:rFonts w:ascii="Arial"/>
                <w:sz w:val="21"/>
              </w:rPr>
            </w:pPr>
          </w:p>
          <w:p w14:paraId="1DB6A94C">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2CFF0DE">
            <w:pPr>
              <w:pStyle w:val="6"/>
              <w:spacing w:before="328" w:line="189" w:lineRule="auto"/>
              <w:ind w:left="115" w:right="109" w:firstLine="1"/>
              <w:jc w:val="both"/>
            </w:pPr>
            <w:r>
              <w:rPr>
                <w:spacing w:val="26"/>
              </w:rPr>
              <w:t>违章指挥从业人员或者强令从业人员</w:t>
            </w:r>
            <w:r>
              <w:rPr>
                <w:spacing w:val="-19"/>
              </w:rPr>
              <w:t>违章、冒险作业，涉</w:t>
            </w:r>
            <w:r>
              <w:rPr>
                <w:spacing w:val="1"/>
              </w:rPr>
              <w:t>及</w:t>
            </w:r>
            <w:r>
              <w:rPr>
                <w:rFonts w:ascii="宋体" w:hAnsi="宋体" w:eastAsia="宋体" w:cs="宋体"/>
                <w:spacing w:val="1"/>
              </w:rPr>
              <w:t>2</w:t>
            </w:r>
            <w:r>
              <w:rPr>
                <w:spacing w:val="1"/>
              </w:rPr>
              <w:t>人次的</w:t>
            </w:r>
          </w:p>
        </w:tc>
        <w:tc>
          <w:tcPr>
            <w:tcW w:w="2894" w:type="dxa"/>
            <w:vAlign w:val="top"/>
          </w:tcPr>
          <w:p w14:paraId="432B42CC">
            <w:pPr>
              <w:pStyle w:val="6"/>
              <w:spacing w:before="28" w:line="179" w:lineRule="auto"/>
              <w:ind w:left="127" w:right="104" w:hanging="1"/>
              <w:jc w:val="both"/>
            </w:pPr>
            <w:r>
              <w:rPr>
                <w:spacing w:val="7"/>
              </w:rPr>
              <w:t>给予警告，可以对生产经</w:t>
            </w:r>
            <w:r>
              <w:rPr>
                <w:spacing w:val="5"/>
              </w:rPr>
              <w:t>营单位处</w:t>
            </w:r>
            <w:r>
              <w:rPr>
                <w:rFonts w:ascii="宋体" w:hAnsi="宋体" w:eastAsia="宋体" w:cs="宋体"/>
                <w:spacing w:val="5"/>
              </w:rPr>
              <w:t>1.5</w:t>
            </w:r>
            <w:r>
              <w:rPr>
                <w:spacing w:val="5"/>
              </w:rPr>
              <w:t>万元以上</w:t>
            </w:r>
            <w:r>
              <w:rPr>
                <w:rFonts w:ascii="宋体" w:hAnsi="宋体" w:eastAsia="宋体" w:cs="宋体"/>
                <w:spacing w:val="5"/>
              </w:rPr>
              <w:t>2</w:t>
            </w:r>
            <w:r>
              <w:rPr>
                <w:spacing w:val="7"/>
              </w:rPr>
              <w:t>万元以下罚款，对其主要负责人、其他有关人员处</w:t>
            </w:r>
            <w:r>
              <w:rPr>
                <w:rFonts w:ascii="宋体" w:hAnsi="宋体" w:eastAsia="宋体" w:cs="宋体"/>
                <w:spacing w:val="6"/>
              </w:rPr>
              <w:t>1</w:t>
            </w:r>
            <w:r>
              <w:rPr>
                <w:spacing w:val="6"/>
              </w:rPr>
              <w:t>千元以上</w:t>
            </w:r>
            <w:r>
              <w:rPr>
                <w:rFonts w:ascii="宋体" w:hAnsi="宋体" w:eastAsia="宋体" w:cs="宋体"/>
                <w:spacing w:val="6"/>
              </w:rPr>
              <w:t>1</w:t>
            </w:r>
            <w:r>
              <w:rPr>
                <w:spacing w:val="6"/>
              </w:rPr>
              <w:t>万元以下的</w:t>
            </w:r>
            <w:r>
              <w:rPr>
                <w:spacing w:val="-1"/>
              </w:rPr>
              <w:t>罚款</w:t>
            </w:r>
          </w:p>
        </w:tc>
        <w:tc>
          <w:tcPr>
            <w:tcW w:w="811" w:type="dxa"/>
            <w:vMerge w:val="restart"/>
            <w:tcBorders>
              <w:bottom w:val="nil"/>
            </w:tcBorders>
            <w:vAlign w:val="top"/>
          </w:tcPr>
          <w:p w14:paraId="496767D9">
            <w:pPr>
              <w:rPr>
                <w:rFonts w:ascii="Arial"/>
                <w:sz w:val="21"/>
              </w:rPr>
            </w:pPr>
          </w:p>
        </w:tc>
      </w:tr>
      <w:tr w14:paraId="45E59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tcBorders>
            <w:vAlign w:val="top"/>
          </w:tcPr>
          <w:p w14:paraId="719BC013">
            <w:pPr>
              <w:rPr>
                <w:rFonts w:ascii="Arial"/>
                <w:sz w:val="21"/>
              </w:rPr>
            </w:pPr>
          </w:p>
        </w:tc>
        <w:tc>
          <w:tcPr>
            <w:tcW w:w="1440" w:type="dxa"/>
            <w:vMerge w:val="continue"/>
            <w:tcBorders>
              <w:top w:val="nil"/>
            </w:tcBorders>
            <w:vAlign w:val="top"/>
          </w:tcPr>
          <w:p w14:paraId="656E09DE">
            <w:pPr>
              <w:rPr>
                <w:rFonts w:ascii="Arial"/>
                <w:sz w:val="21"/>
              </w:rPr>
            </w:pPr>
          </w:p>
        </w:tc>
        <w:tc>
          <w:tcPr>
            <w:tcW w:w="3202" w:type="dxa"/>
            <w:vMerge w:val="continue"/>
            <w:tcBorders>
              <w:top w:val="nil"/>
            </w:tcBorders>
            <w:vAlign w:val="top"/>
          </w:tcPr>
          <w:p w14:paraId="67E6F8A7">
            <w:pPr>
              <w:rPr>
                <w:rFonts w:ascii="Arial"/>
                <w:sz w:val="21"/>
              </w:rPr>
            </w:pPr>
          </w:p>
        </w:tc>
        <w:tc>
          <w:tcPr>
            <w:tcW w:w="2859" w:type="dxa"/>
            <w:vMerge w:val="continue"/>
            <w:tcBorders>
              <w:top w:val="nil"/>
            </w:tcBorders>
            <w:vAlign w:val="top"/>
          </w:tcPr>
          <w:p w14:paraId="34F07970">
            <w:pPr>
              <w:rPr>
                <w:rFonts w:ascii="Arial"/>
                <w:sz w:val="21"/>
              </w:rPr>
            </w:pPr>
          </w:p>
        </w:tc>
        <w:tc>
          <w:tcPr>
            <w:tcW w:w="803" w:type="dxa"/>
            <w:vAlign w:val="top"/>
          </w:tcPr>
          <w:p w14:paraId="68410D37">
            <w:pPr>
              <w:spacing w:line="248" w:lineRule="auto"/>
              <w:rPr>
                <w:rFonts w:ascii="Arial"/>
                <w:sz w:val="21"/>
              </w:rPr>
            </w:pPr>
          </w:p>
          <w:p w14:paraId="47C2BB46">
            <w:pPr>
              <w:spacing w:line="248" w:lineRule="auto"/>
              <w:rPr>
                <w:rFonts w:ascii="Arial"/>
                <w:sz w:val="21"/>
              </w:rPr>
            </w:pPr>
          </w:p>
          <w:p w14:paraId="62DF2E57">
            <w:pPr>
              <w:spacing w:line="248" w:lineRule="auto"/>
              <w:rPr>
                <w:rFonts w:ascii="Arial"/>
                <w:sz w:val="21"/>
              </w:rPr>
            </w:pPr>
          </w:p>
          <w:p w14:paraId="13909EEE">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B18A65E">
            <w:pPr>
              <w:pStyle w:val="6"/>
              <w:spacing w:before="331" w:line="189" w:lineRule="auto"/>
              <w:ind w:left="115" w:right="109" w:firstLine="1"/>
              <w:jc w:val="both"/>
            </w:pPr>
            <w:r>
              <w:rPr>
                <w:spacing w:val="26"/>
              </w:rPr>
              <w:t>违章指挥从业人员或者强令从业人员</w:t>
            </w:r>
            <w:r>
              <w:rPr>
                <w:spacing w:val="-19"/>
              </w:rPr>
              <w:t>违章、冒险作业，涉</w:t>
            </w:r>
            <w:r>
              <w:rPr>
                <w:spacing w:val="3"/>
              </w:rPr>
              <w:t>及</w:t>
            </w:r>
            <w:r>
              <w:rPr>
                <w:rFonts w:ascii="宋体" w:hAnsi="宋体" w:eastAsia="宋体" w:cs="宋体"/>
                <w:spacing w:val="3"/>
              </w:rPr>
              <w:t>3</w:t>
            </w:r>
            <w:r>
              <w:rPr>
                <w:spacing w:val="3"/>
              </w:rPr>
              <w:t>人次以上的</w:t>
            </w:r>
          </w:p>
        </w:tc>
        <w:tc>
          <w:tcPr>
            <w:tcW w:w="2894" w:type="dxa"/>
            <w:vAlign w:val="top"/>
          </w:tcPr>
          <w:p w14:paraId="441DD9DC">
            <w:pPr>
              <w:pStyle w:val="6"/>
              <w:spacing w:before="28" w:line="179" w:lineRule="auto"/>
              <w:ind w:left="122" w:right="104" w:firstLine="3"/>
              <w:jc w:val="both"/>
            </w:pPr>
            <w:r>
              <w:rPr>
                <w:spacing w:val="7"/>
              </w:rPr>
              <w:t>给予警告，可以对生产经</w:t>
            </w:r>
            <w:r>
              <w:rPr>
                <w:spacing w:val="3"/>
              </w:rPr>
              <w:t>营单位处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w:t>
            </w:r>
            <w:r>
              <w:rPr>
                <w:spacing w:val="8"/>
              </w:rPr>
              <w:t>元以下罚款，对其主要负</w:t>
            </w:r>
            <w:r>
              <w:rPr>
                <w:spacing w:val="13"/>
              </w:rPr>
              <w:t>责人、其他有关人员处</w:t>
            </w:r>
            <w:r>
              <w:rPr>
                <w:rFonts w:ascii="宋体" w:hAnsi="宋体" w:eastAsia="宋体" w:cs="宋体"/>
                <w:spacing w:val="13"/>
              </w:rPr>
              <w:t>1</w:t>
            </w:r>
            <w:r>
              <w:rPr>
                <w:spacing w:val="5"/>
              </w:rPr>
              <w:t>千元以上</w:t>
            </w:r>
            <w:r>
              <w:rPr>
                <w:rFonts w:ascii="宋体" w:hAnsi="宋体" w:eastAsia="宋体" w:cs="宋体"/>
                <w:spacing w:val="5"/>
              </w:rPr>
              <w:t>1</w:t>
            </w:r>
            <w:r>
              <w:rPr>
                <w:spacing w:val="5"/>
              </w:rPr>
              <w:t>万元以下的罚</w:t>
            </w:r>
            <w:r>
              <w:t>款</w:t>
            </w:r>
          </w:p>
        </w:tc>
        <w:tc>
          <w:tcPr>
            <w:tcW w:w="811" w:type="dxa"/>
            <w:vMerge w:val="continue"/>
            <w:tcBorders>
              <w:top w:val="nil"/>
            </w:tcBorders>
            <w:vAlign w:val="top"/>
          </w:tcPr>
          <w:p w14:paraId="398D4B0C">
            <w:pPr>
              <w:rPr>
                <w:rFonts w:ascii="Arial"/>
                <w:sz w:val="21"/>
              </w:rPr>
            </w:pPr>
          </w:p>
        </w:tc>
      </w:tr>
      <w:tr w14:paraId="10ADF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restart"/>
            <w:tcBorders>
              <w:bottom w:val="nil"/>
            </w:tcBorders>
            <w:vAlign w:val="top"/>
          </w:tcPr>
          <w:p w14:paraId="732D5DFC">
            <w:pPr>
              <w:spacing w:line="255" w:lineRule="auto"/>
              <w:rPr>
                <w:rFonts w:ascii="Arial"/>
                <w:sz w:val="21"/>
              </w:rPr>
            </w:pPr>
          </w:p>
          <w:p w14:paraId="1FCCFF97">
            <w:pPr>
              <w:spacing w:line="255" w:lineRule="auto"/>
              <w:rPr>
                <w:rFonts w:ascii="Arial"/>
                <w:sz w:val="21"/>
              </w:rPr>
            </w:pPr>
          </w:p>
          <w:p w14:paraId="3C0DD99A">
            <w:pPr>
              <w:spacing w:line="255" w:lineRule="auto"/>
              <w:rPr>
                <w:rFonts w:ascii="Arial"/>
                <w:sz w:val="21"/>
              </w:rPr>
            </w:pPr>
          </w:p>
          <w:p w14:paraId="6DBF48D0">
            <w:pPr>
              <w:spacing w:line="255" w:lineRule="auto"/>
              <w:rPr>
                <w:rFonts w:ascii="Arial"/>
                <w:sz w:val="21"/>
              </w:rPr>
            </w:pPr>
          </w:p>
          <w:p w14:paraId="19218616">
            <w:pPr>
              <w:spacing w:line="255" w:lineRule="auto"/>
              <w:rPr>
                <w:rFonts w:ascii="Arial"/>
                <w:sz w:val="21"/>
              </w:rPr>
            </w:pPr>
          </w:p>
          <w:p w14:paraId="0820E5FC">
            <w:pPr>
              <w:spacing w:line="255" w:lineRule="auto"/>
              <w:rPr>
                <w:rFonts w:ascii="Arial"/>
                <w:sz w:val="21"/>
              </w:rPr>
            </w:pPr>
          </w:p>
          <w:p w14:paraId="3209797F">
            <w:pPr>
              <w:spacing w:line="255" w:lineRule="auto"/>
              <w:rPr>
                <w:rFonts w:ascii="Arial"/>
                <w:sz w:val="21"/>
              </w:rPr>
            </w:pPr>
          </w:p>
          <w:p w14:paraId="5E204909">
            <w:pPr>
              <w:spacing w:line="255" w:lineRule="auto"/>
              <w:rPr>
                <w:rFonts w:ascii="Arial"/>
                <w:sz w:val="21"/>
              </w:rPr>
            </w:pPr>
          </w:p>
          <w:p w14:paraId="580549CF">
            <w:pPr>
              <w:spacing w:line="255" w:lineRule="auto"/>
              <w:rPr>
                <w:rFonts w:ascii="Arial"/>
                <w:sz w:val="21"/>
              </w:rPr>
            </w:pPr>
          </w:p>
          <w:p w14:paraId="6875803F">
            <w:pPr>
              <w:spacing w:line="255" w:lineRule="auto"/>
              <w:rPr>
                <w:rFonts w:ascii="Arial"/>
                <w:sz w:val="21"/>
              </w:rPr>
            </w:pPr>
          </w:p>
          <w:p w14:paraId="069DFCBF">
            <w:pPr>
              <w:spacing w:before="75" w:line="184" w:lineRule="auto"/>
              <w:ind w:left="328"/>
              <w:rPr>
                <w:rFonts w:ascii="仿宋" w:hAnsi="仿宋" w:eastAsia="仿宋" w:cs="仿宋"/>
                <w:sz w:val="23"/>
                <w:szCs w:val="23"/>
              </w:rPr>
            </w:pPr>
            <w:r>
              <w:rPr>
                <w:rFonts w:ascii="仿宋" w:hAnsi="仿宋" w:eastAsia="仿宋" w:cs="仿宋"/>
                <w:sz w:val="23"/>
                <w:szCs w:val="23"/>
              </w:rPr>
              <w:t>5</w:t>
            </w:r>
          </w:p>
        </w:tc>
        <w:tc>
          <w:tcPr>
            <w:tcW w:w="1440" w:type="dxa"/>
            <w:vMerge w:val="restart"/>
            <w:tcBorders>
              <w:bottom w:val="nil"/>
            </w:tcBorders>
            <w:vAlign w:val="top"/>
          </w:tcPr>
          <w:p w14:paraId="055FE220">
            <w:pPr>
              <w:spacing w:line="264" w:lineRule="auto"/>
              <w:rPr>
                <w:rFonts w:ascii="Arial"/>
                <w:sz w:val="21"/>
              </w:rPr>
            </w:pPr>
          </w:p>
          <w:p w14:paraId="2240B278">
            <w:pPr>
              <w:spacing w:line="264" w:lineRule="auto"/>
              <w:rPr>
                <w:rFonts w:ascii="Arial"/>
                <w:sz w:val="21"/>
              </w:rPr>
            </w:pPr>
          </w:p>
          <w:p w14:paraId="62E4724E">
            <w:pPr>
              <w:spacing w:line="264" w:lineRule="auto"/>
              <w:rPr>
                <w:rFonts w:ascii="Arial"/>
                <w:sz w:val="21"/>
              </w:rPr>
            </w:pPr>
          </w:p>
          <w:p w14:paraId="2FB33DD7">
            <w:pPr>
              <w:spacing w:line="264" w:lineRule="auto"/>
              <w:rPr>
                <w:rFonts w:ascii="Arial"/>
                <w:sz w:val="21"/>
              </w:rPr>
            </w:pPr>
          </w:p>
          <w:p w14:paraId="00E07325">
            <w:pPr>
              <w:spacing w:line="264" w:lineRule="auto"/>
              <w:rPr>
                <w:rFonts w:ascii="Arial"/>
                <w:sz w:val="21"/>
              </w:rPr>
            </w:pPr>
          </w:p>
          <w:p w14:paraId="428A3F8D">
            <w:pPr>
              <w:spacing w:line="264" w:lineRule="auto"/>
              <w:rPr>
                <w:rFonts w:ascii="Arial"/>
                <w:sz w:val="21"/>
              </w:rPr>
            </w:pPr>
          </w:p>
          <w:p w14:paraId="4EE10A8A">
            <w:pPr>
              <w:pStyle w:val="6"/>
              <w:spacing w:before="98" w:line="186" w:lineRule="auto"/>
              <w:ind w:left="113" w:right="111" w:firstLine="15"/>
              <w:jc w:val="both"/>
            </w:pPr>
            <w:r>
              <w:rPr>
                <w:spacing w:val="8"/>
              </w:rPr>
              <w:t>生产经营单</w:t>
            </w:r>
            <w:r>
              <w:rPr>
                <w:spacing w:val="12"/>
              </w:rPr>
              <w:t>位及其主要负责人或者其他人员发现从业人员违章作业不</w:t>
            </w:r>
            <w:r>
              <w:rPr>
                <w:spacing w:val="6"/>
              </w:rPr>
              <w:t>加制止的</w:t>
            </w:r>
          </w:p>
        </w:tc>
        <w:tc>
          <w:tcPr>
            <w:tcW w:w="3202" w:type="dxa"/>
            <w:vMerge w:val="restart"/>
            <w:tcBorders>
              <w:bottom w:val="nil"/>
            </w:tcBorders>
            <w:vAlign w:val="top"/>
          </w:tcPr>
          <w:p w14:paraId="267750C5">
            <w:pPr>
              <w:rPr>
                <w:rFonts w:ascii="Arial"/>
                <w:sz w:val="21"/>
              </w:rPr>
            </w:pPr>
          </w:p>
        </w:tc>
        <w:tc>
          <w:tcPr>
            <w:tcW w:w="2859" w:type="dxa"/>
            <w:vMerge w:val="restart"/>
            <w:tcBorders>
              <w:bottom w:val="nil"/>
            </w:tcBorders>
            <w:vAlign w:val="top"/>
          </w:tcPr>
          <w:p w14:paraId="47661725">
            <w:pPr>
              <w:pStyle w:val="6"/>
              <w:spacing w:before="41" w:line="184" w:lineRule="auto"/>
              <w:ind w:left="116" w:right="97" w:hanging="19"/>
            </w:pPr>
            <w:r>
              <w:rPr>
                <w:spacing w:val="10"/>
              </w:rPr>
              <w:t>【部门规章】《安全生产</w:t>
            </w:r>
            <w:r>
              <w:rPr>
                <w:spacing w:val="9"/>
              </w:rPr>
              <w:t>违法行为行政处罚办法》</w:t>
            </w:r>
            <w:r>
              <w:rPr>
                <w:spacing w:val="8"/>
              </w:rPr>
              <w:t>第四十五条第三项：生产经营单位及其主要负责人或者其他人员有下列行为</w:t>
            </w:r>
            <w:r>
              <w:rPr>
                <w:spacing w:val="1"/>
              </w:rPr>
              <w:t>之一的，给予警告，并可</w:t>
            </w:r>
            <w:r>
              <w:rPr>
                <w:spacing w:val="3"/>
              </w:rPr>
              <w:t>以对生产经营单位处</w:t>
            </w:r>
            <w:r>
              <w:rPr>
                <w:rFonts w:ascii="宋体" w:hAnsi="宋体" w:eastAsia="宋体" w:cs="宋体"/>
                <w:spacing w:val="3"/>
              </w:rPr>
              <w:t>1</w:t>
            </w:r>
            <w:r>
              <w:rPr>
                <w:spacing w:val="3"/>
              </w:rPr>
              <w:t>万</w:t>
            </w:r>
            <w:r>
              <w:rPr>
                <w:spacing w:val="1"/>
              </w:rPr>
              <w:t>元以上</w:t>
            </w:r>
            <w:r>
              <w:rPr>
                <w:rFonts w:ascii="宋体" w:hAnsi="宋体" w:eastAsia="宋体" w:cs="宋体"/>
                <w:spacing w:val="1"/>
              </w:rPr>
              <w:t>3</w:t>
            </w:r>
            <w:r>
              <w:rPr>
                <w:spacing w:val="1"/>
              </w:rPr>
              <w:t>万元以下罚款，</w:t>
            </w:r>
            <w:r>
              <w:rPr>
                <w:spacing w:val="8"/>
              </w:rPr>
              <w:t>对其主要负责人、其他有</w:t>
            </w:r>
            <w:r>
              <w:rPr>
                <w:spacing w:val="-2"/>
              </w:rPr>
              <w:t>关人员处</w:t>
            </w:r>
            <w:r>
              <w:rPr>
                <w:rFonts w:ascii="宋体" w:hAnsi="宋体" w:eastAsia="宋体" w:cs="宋体"/>
                <w:spacing w:val="-2"/>
              </w:rPr>
              <w:t>1</w:t>
            </w:r>
            <w:r>
              <w:rPr>
                <w:spacing w:val="-2"/>
              </w:rPr>
              <w:t>千元以上</w:t>
            </w:r>
            <w:r>
              <w:rPr>
                <w:rFonts w:ascii="宋体" w:hAnsi="宋体" w:eastAsia="宋体" w:cs="宋体"/>
                <w:spacing w:val="-2"/>
              </w:rPr>
              <w:t>1</w:t>
            </w:r>
            <w:r>
              <w:rPr>
                <w:spacing w:val="-2"/>
              </w:rPr>
              <w:t>万</w:t>
            </w:r>
            <w:r>
              <w:rPr>
                <w:spacing w:val="8"/>
              </w:rPr>
              <w:t>元以下的罚款</w:t>
            </w:r>
            <w:r>
              <w:rPr>
                <w:spacing w:val="10"/>
              </w:rPr>
              <w:t>：（</w:t>
            </w:r>
            <w:r>
              <w:rPr>
                <w:spacing w:val="8"/>
              </w:rPr>
              <w:t>三）发现从业人员违章作业不加</w:t>
            </w:r>
            <w:r>
              <w:rPr>
                <w:spacing w:val="-4"/>
              </w:rPr>
              <w:t>制止的；</w:t>
            </w:r>
          </w:p>
        </w:tc>
        <w:tc>
          <w:tcPr>
            <w:tcW w:w="803" w:type="dxa"/>
            <w:vAlign w:val="top"/>
          </w:tcPr>
          <w:p w14:paraId="14F214FC">
            <w:pPr>
              <w:spacing w:line="248" w:lineRule="auto"/>
              <w:rPr>
                <w:rFonts w:ascii="Arial"/>
                <w:sz w:val="21"/>
              </w:rPr>
            </w:pPr>
          </w:p>
          <w:p w14:paraId="78F91370">
            <w:pPr>
              <w:spacing w:line="248" w:lineRule="auto"/>
              <w:rPr>
                <w:rFonts w:ascii="Arial"/>
                <w:sz w:val="21"/>
              </w:rPr>
            </w:pPr>
          </w:p>
          <w:p w14:paraId="4EBAC244">
            <w:pPr>
              <w:spacing w:line="248" w:lineRule="auto"/>
              <w:rPr>
                <w:rFonts w:ascii="Arial"/>
                <w:sz w:val="21"/>
              </w:rPr>
            </w:pPr>
          </w:p>
          <w:p w14:paraId="16A00C1C">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8C9B3E1">
            <w:pPr>
              <w:spacing w:line="380" w:lineRule="auto"/>
              <w:rPr>
                <w:rFonts w:ascii="Arial"/>
                <w:sz w:val="21"/>
              </w:rPr>
            </w:pPr>
          </w:p>
          <w:p w14:paraId="4F0C26C8">
            <w:pPr>
              <w:pStyle w:val="6"/>
              <w:spacing w:before="99" w:line="192" w:lineRule="auto"/>
              <w:ind w:left="117" w:right="109" w:firstLine="5"/>
              <w:jc w:val="both"/>
            </w:pPr>
            <w:r>
              <w:rPr>
                <w:spacing w:val="14"/>
              </w:rPr>
              <w:t>有</w:t>
            </w:r>
            <w:r>
              <w:rPr>
                <w:rFonts w:ascii="宋体" w:hAnsi="宋体" w:eastAsia="宋体" w:cs="宋体"/>
                <w:spacing w:val="14"/>
              </w:rPr>
              <w:t>1</w:t>
            </w:r>
            <w:r>
              <w:rPr>
                <w:spacing w:val="14"/>
              </w:rPr>
              <w:t>人次从业人员</w:t>
            </w:r>
            <w:r>
              <w:rPr>
                <w:spacing w:val="26"/>
              </w:rPr>
              <w:t>违章作业不加制止</w:t>
            </w:r>
            <w:r>
              <w:t>的</w:t>
            </w:r>
          </w:p>
        </w:tc>
        <w:tc>
          <w:tcPr>
            <w:tcW w:w="2894" w:type="dxa"/>
            <w:vAlign w:val="top"/>
          </w:tcPr>
          <w:p w14:paraId="44E83B77">
            <w:pPr>
              <w:pStyle w:val="6"/>
              <w:spacing w:before="28" w:line="179" w:lineRule="auto"/>
              <w:ind w:left="127" w:right="104" w:hanging="1"/>
              <w:jc w:val="both"/>
            </w:pPr>
            <w:r>
              <w:rPr>
                <w:spacing w:val="7"/>
              </w:rPr>
              <w:t>给予警告，可以对生产经</w:t>
            </w:r>
            <w:r>
              <w:rPr>
                <w:spacing w:val="5"/>
              </w:rPr>
              <w:t>营单位处</w:t>
            </w:r>
            <w:r>
              <w:rPr>
                <w:rFonts w:ascii="宋体" w:hAnsi="宋体" w:eastAsia="宋体" w:cs="宋体"/>
                <w:spacing w:val="5"/>
              </w:rPr>
              <w:t>1</w:t>
            </w:r>
            <w:r>
              <w:rPr>
                <w:spacing w:val="5"/>
              </w:rPr>
              <w:t>万元以上</w:t>
            </w:r>
            <w:r>
              <w:rPr>
                <w:rFonts w:ascii="宋体" w:hAnsi="宋体" w:eastAsia="宋体" w:cs="宋体"/>
                <w:spacing w:val="5"/>
              </w:rPr>
              <w:t>1.5</w:t>
            </w:r>
            <w:r>
              <w:rPr>
                <w:spacing w:val="7"/>
              </w:rPr>
              <w:t>万元以下罚款，对其主要负责人、其他有关人员处</w:t>
            </w:r>
            <w:r>
              <w:rPr>
                <w:rFonts w:ascii="宋体" w:hAnsi="宋体" w:eastAsia="宋体" w:cs="宋体"/>
                <w:spacing w:val="6"/>
              </w:rPr>
              <w:t>1</w:t>
            </w:r>
            <w:r>
              <w:rPr>
                <w:spacing w:val="6"/>
              </w:rPr>
              <w:t>千元以上</w:t>
            </w:r>
            <w:r>
              <w:rPr>
                <w:rFonts w:ascii="宋体" w:hAnsi="宋体" w:eastAsia="宋体" w:cs="宋体"/>
                <w:spacing w:val="6"/>
              </w:rPr>
              <w:t>1</w:t>
            </w:r>
            <w:r>
              <w:rPr>
                <w:spacing w:val="6"/>
              </w:rPr>
              <w:t>万元以下的</w:t>
            </w:r>
            <w:r>
              <w:rPr>
                <w:spacing w:val="-1"/>
              </w:rPr>
              <w:t>罚款</w:t>
            </w:r>
          </w:p>
        </w:tc>
        <w:tc>
          <w:tcPr>
            <w:tcW w:w="811" w:type="dxa"/>
            <w:vMerge w:val="restart"/>
            <w:tcBorders>
              <w:bottom w:val="nil"/>
            </w:tcBorders>
            <w:vAlign w:val="top"/>
          </w:tcPr>
          <w:p w14:paraId="0BED6A6E">
            <w:pPr>
              <w:spacing w:line="254" w:lineRule="auto"/>
              <w:rPr>
                <w:rFonts w:ascii="Arial"/>
                <w:sz w:val="21"/>
              </w:rPr>
            </w:pPr>
          </w:p>
          <w:p w14:paraId="7F4DC155">
            <w:pPr>
              <w:spacing w:line="254" w:lineRule="auto"/>
              <w:rPr>
                <w:rFonts w:ascii="Arial"/>
                <w:sz w:val="21"/>
              </w:rPr>
            </w:pPr>
          </w:p>
          <w:p w14:paraId="2556159C">
            <w:pPr>
              <w:spacing w:line="254" w:lineRule="auto"/>
              <w:rPr>
                <w:rFonts w:ascii="Arial"/>
                <w:sz w:val="21"/>
              </w:rPr>
            </w:pPr>
          </w:p>
          <w:p w14:paraId="610E7AE9">
            <w:pPr>
              <w:spacing w:line="254" w:lineRule="auto"/>
              <w:rPr>
                <w:rFonts w:ascii="Arial"/>
                <w:sz w:val="21"/>
              </w:rPr>
            </w:pPr>
          </w:p>
          <w:p w14:paraId="2F39C2B5">
            <w:pPr>
              <w:spacing w:line="254" w:lineRule="auto"/>
              <w:rPr>
                <w:rFonts w:ascii="Arial"/>
                <w:sz w:val="21"/>
              </w:rPr>
            </w:pPr>
          </w:p>
          <w:p w14:paraId="28953E60">
            <w:pPr>
              <w:spacing w:line="255" w:lineRule="auto"/>
              <w:rPr>
                <w:rFonts w:ascii="Arial"/>
                <w:sz w:val="21"/>
              </w:rPr>
            </w:pPr>
          </w:p>
          <w:p w14:paraId="0720E88E">
            <w:pPr>
              <w:spacing w:line="255" w:lineRule="auto"/>
              <w:rPr>
                <w:rFonts w:ascii="Arial"/>
                <w:sz w:val="21"/>
              </w:rPr>
            </w:pPr>
          </w:p>
          <w:p w14:paraId="00FA4D8F">
            <w:pPr>
              <w:spacing w:line="255" w:lineRule="auto"/>
              <w:rPr>
                <w:rFonts w:ascii="Arial"/>
                <w:sz w:val="21"/>
              </w:rPr>
            </w:pPr>
          </w:p>
          <w:p w14:paraId="69422345">
            <w:pPr>
              <w:spacing w:line="255" w:lineRule="auto"/>
              <w:rPr>
                <w:rFonts w:ascii="Arial"/>
                <w:sz w:val="21"/>
              </w:rPr>
            </w:pPr>
          </w:p>
          <w:p w14:paraId="576FC4C4">
            <w:pPr>
              <w:spacing w:line="255" w:lineRule="auto"/>
              <w:rPr>
                <w:rFonts w:ascii="Arial"/>
                <w:sz w:val="21"/>
              </w:rPr>
            </w:pPr>
          </w:p>
          <w:p w14:paraId="08A2AC0F">
            <w:pPr>
              <w:spacing w:before="75" w:line="188" w:lineRule="auto"/>
              <w:ind w:left="355"/>
              <w:rPr>
                <w:rFonts w:ascii="宋体" w:hAnsi="宋体" w:eastAsia="宋体" w:cs="宋体"/>
                <w:sz w:val="23"/>
                <w:szCs w:val="23"/>
              </w:rPr>
            </w:pPr>
            <w:r>
              <w:rPr>
                <w:rFonts w:ascii="宋体" w:hAnsi="宋体" w:eastAsia="宋体" w:cs="宋体"/>
                <w:sz w:val="23"/>
                <w:szCs w:val="23"/>
              </w:rPr>
              <w:t>3</w:t>
            </w:r>
          </w:p>
        </w:tc>
      </w:tr>
      <w:tr w14:paraId="0363F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bottom w:val="nil"/>
            </w:tcBorders>
            <w:vAlign w:val="top"/>
          </w:tcPr>
          <w:p w14:paraId="52D55B2E">
            <w:pPr>
              <w:rPr>
                <w:rFonts w:ascii="Arial"/>
                <w:sz w:val="21"/>
              </w:rPr>
            </w:pPr>
          </w:p>
        </w:tc>
        <w:tc>
          <w:tcPr>
            <w:tcW w:w="1440" w:type="dxa"/>
            <w:vMerge w:val="continue"/>
            <w:tcBorders>
              <w:top w:val="nil"/>
              <w:bottom w:val="nil"/>
            </w:tcBorders>
            <w:vAlign w:val="top"/>
          </w:tcPr>
          <w:p w14:paraId="2BAA4950">
            <w:pPr>
              <w:rPr>
                <w:rFonts w:ascii="Arial"/>
                <w:sz w:val="21"/>
              </w:rPr>
            </w:pPr>
          </w:p>
        </w:tc>
        <w:tc>
          <w:tcPr>
            <w:tcW w:w="3202" w:type="dxa"/>
            <w:vMerge w:val="continue"/>
            <w:tcBorders>
              <w:top w:val="nil"/>
              <w:bottom w:val="nil"/>
            </w:tcBorders>
            <w:vAlign w:val="top"/>
          </w:tcPr>
          <w:p w14:paraId="489F8A0F">
            <w:pPr>
              <w:rPr>
                <w:rFonts w:ascii="Arial"/>
                <w:sz w:val="21"/>
              </w:rPr>
            </w:pPr>
          </w:p>
        </w:tc>
        <w:tc>
          <w:tcPr>
            <w:tcW w:w="2859" w:type="dxa"/>
            <w:vMerge w:val="continue"/>
            <w:tcBorders>
              <w:top w:val="nil"/>
              <w:bottom w:val="nil"/>
            </w:tcBorders>
            <w:vAlign w:val="top"/>
          </w:tcPr>
          <w:p w14:paraId="5DA2219B">
            <w:pPr>
              <w:rPr>
                <w:rFonts w:ascii="Arial"/>
                <w:sz w:val="21"/>
              </w:rPr>
            </w:pPr>
          </w:p>
        </w:tc>
        <w:tc>
          <w:tcPr>
            <w:tcW w:w="803" w:type="dxa"/>
            <w:vAlign w:val="top"/>
          </w:tcPr>
          <w:p w14:paraId="1F9FDBF6">
            <w:pPr>
              <w:spacing w:line="249" w:lineRule="auto"/>
              <w:rPr>
                <w:rFonts w:ascii="Arial"/>
                <w:sz w:val="21"/>
              </w:rPr>
            </w:pPr>
          </w:p>
          <w:p w14:paraId="6C99991E">
            <w:pPr>
              <w:spacing w:line="249" w:lineRule="auto"/>
              <w:rPr>
                <w:rFonts w:ascii="Arial"/>
                <w:sz w:val="21"/>
              </w:rPr>
            </w:pPr>
          </w:p>
          <w:p w14:paraId="75375A4F">
            <w:pPr>
              <w:spacing w:line="250" w:lineRule="auto"/>
              <w:rPr>
                <w:rFonts w:ascii="Arial"/>
                <w:sz w:val="21"/>
              </w:rPr>
            </w:pPr>
          </w:p>
          <w:p w14:paraId="42D3F132">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774B113">
            <w:pPr>
              <w:spacing w:line="381" w:lineRule="auto"/>
              <w:rPr>
                <w:rFonts w:ascii="Arial"/>
                <w:sz w:val="21"/>
              </w:rPr>
            </w:pPr>
          </w:p>
          <w:p w14:paraId="31ECC6ED">
            <w:pPr>
              <w:pStyle w:val="6"/>
              <w:spacing w:before="98" w:line="192" w:lineRule="auto"/>
              <w:ind w:left="117" w:right="109" w:firstLine="5"/>
              <w:jc w:val="both"/>
            </w:pPr>
            <w:r>
              <w:rPr>
                <w:spacing w:val="15"/>
              </w:rPr>
              <w:t>有</w:t>
            </w:r>
            <w:r>
              <w:rPr>
                <w:rFonts w:ascii="宋体" w:hAnsi="宋体" w:eastAsia="宋体" w:cs="宋体"/>
                <w:spacing w:val="15"/>
              </w:rPr>
              <w:t>2</w:t>
            </w:r>
            <w:r>
              <w:rPr>
                <w:spacing w:val="15"/>
              </w:rPr>
              <w:t>人次从业人员</w:t>
            </w:r>
            <w:r>
              <w:rPr>
                <w:spacing w:val="26"/>
              </w:rPr>
              <w:t>违章作业不加制止</w:t>
            </w:r>
            <w:r>
              <w:t>的</w:t>
            </w:r>
          </w:p>
        </w:tc>
        <w:tc>
          <w:tcPr>
            <w:tcW w:w="2894" w:type="dxa"/>
            <w:vAlign w:val="top"/>
          </w:tcPr>
          <w:p w14:paraId="713838B5">
            <w:pPr>
              <w:pStyle w:val="6"/>
              <w:spacing w:before="28" w:line="179" w:lineRule="auto"/>
              <w:ind w:left="127" w:right="104" w:hanging="1"/>
              <w:jc w:val="both"/>
            </w:pPr>
            <w:r>
              <w:rPr>
                <w:spacing w:val="7"/>
              </w:rPr>
              <w:t>给予警告，可以对生产经</w:t>
            </w:r>
            <w:r>
              <w:rPr>
                <w:spacing w:val="5"/>
              </w:rPr>
              <w:t>营单位处</w:t>
            </w:r>
            <w:r>
              <w:rPr>
                <w:rFonts w:ascii="宋体" w:hAnsi="宋体" w:eastAsia="宋体" w:cs="宋体"/>
                <w:spacing w:val="5"/>
              </w:rPr>
              <w:t>1.5</w:t>
            </w:r>
            <w:r>
              <w:rPr>
                <w:spacing w:val="5"/>
              </w:rPr>
              <w:t>万元以上</w:t>
            </w:r>
            <w:r>
              <w:rPr>
                <w:rFonts w:ascii="宋体" w:hAnsi="宋体" w:eastAsia="宋体" w:cs="宋体"/>
                <w:spacing w:val="5"/>
              </w:rPr>
              <w:t>2</w:t>
            </w:r>
            <w:r>
              <w:rPr>
                <w:spacing w:val="7"/>
              </w:rPr>
              <w:t>万元以下罚款，对其主要负责人、其他有关人员处</w:t>
            </w:r>
            <w:r>
              <w:rPr>
                <w:rFonts w:ascii="宋体" w:hAnsi="宋体" w:eastAsia="宋体" w:cs="宋体"/>
                <w:spacing w:val="6"/>
              </w:rPr>
              <w:t>1</w:t>
            </w:r>
            <w:r>
              <w:rPr>
                <w:spacing w:val="6"/>
              </w:rPr>
              <w:t>千元以上</w:t>
            </w:r>
            <w:r>
              <w:rPr>
                <w:rFonts w:ascii="宋体" w:hAnsi="宋体" w:eastAsia="宋体" w:cs="宋体"/>
                <w:spacing w:val="6"/>
              </w:rPr>
              <w:t>1</w:t>
            </w:r>
            <w:r>
              <w:rPr>
                <w:spacing w:val="6"/>
              </w:rPr>
              <w:t>万元以下的</w:t>
            </w:r>
            <w:r>
              <w:rPr>
                <w:spacing w:val="-1"/>
              </w:rPr>
              <w:t>罚款</w:t>
            </w:r>
          </w:p>
        </w:tc>
        <w:tc>
          <w:tcPr>
            <w:tcW w:w="811" w:type="dxa"/>
            <w:vMerge w:val="continue"/>
            <w:tcBorders>
              <w:top w:val="nil"/>
              <w:bottom w:val="nil"/>
            </w:tcBorders>
            <w:vAlign w:val="top"/>
          </w:tcPr>
          <w:p w14:paraId="4DDD882D">
            <w:pPr>
              <w:rPr>
                <w:rFonts w:ascii="Arial"/>
                <w:sz w:val="21"/>
              </w:rPr>
            </w:pPr>
          </w:p>
        </w:tc>
      </w:tr>
      <w:tr w14:paraId="2C29A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818" w:type="dxa"/>
            <w:vMerge w:val="continue"/>
            <w:tcBorders>
              <w:top w:val="nil"/>
            </w:tcBorders>
            <w:vAlign w:val="top"/>
          </w:tcPr>
          <w:p w14:paraId="72DE3667">
            <w:pPr>
              <w:rPr>
                <w:rFonts w:ascii="Arial"/>
                <w:sz w:val="21"/>
              </w:rPr>
            </w:pPr>
          </w:p>
        </w:tc>
        <w:tc>
          <w:tcPr>
            <w:tcW w:w="1440" w:type="dxa"/>
            <w:vMerge w:val="continue"/>
            <w:tcBorders>
              <w:top w:val="nil"/>
            </w:tcBorders>
            <w:vAlign w:val="top"/>
          </w:tcPr>
          <w:p w14:paraId="045EF2C8">
            <w:pPr>
              <w:rPr>
                <w:rFonts w:ascii="Arial"/>
                <w:sz w:val="21"/>
              </w:rPr>
            </w:pPr>
          </w:p>
        </w:tc>
        <w:tc>
          <w:tcPr>
            <w:tcW w:w="3202" w:type="dxa"/>
            <w:vMerge w:val="continue"/>
            <w:tcBorders>
              <w:top w:val="nil"/>
            </w:tcBorders>
            <w:vAlign w:val="top"/>
          </w:tcPr>
          <w:p w14:paraId="13805C83">
            <w:pPr>
              <w:rPr>
                <w:rFonts w:ascii="Arial"/>
                <w:sz w:val="21"/>
              </w:rPr>
            </w:pPr>
          </w:p>
        </w:tc>
        <w:tc>
          <w:tcPr>
            <w:tcW w:w="2859" w:type="dxa"/>
            <w:vMerge w:val="continue"/>
            <w:tcBorders>
              <w:top w:val="nil"/>
            </w:tcBorders>
            <w:vAlign w:val="top"/>
          </w:tcPr>
          <w:p w14:paraId="09B2AB29">
            <w:pPr>
              <w:rPr>
                <w:rFonts w:ascii="Arial"/>
                <w:sz w:val="21"/>
              </w:rPr>
            </w:pPr>
          </w:p>
        </w:tc>
        <w:tc>
          <w:tcPr>
            <w:tcW w:w="803" w:type="dxa"/>
            <w:vAlign w:val="top"/>
          </w:tcPr>
          <w:p w14:paraId="132CFDA4">
            <w:pPr>
              <w:spacing w:line="249" w:lineRule="auto"/>
              <w:rPr>
                <w:rFonts w:ascii="Arial"/>
                <w:sz w:val="21"/>
              </w:rPr>
            </w:pPr>
          </w:p>
          <w:p w14:paraId="134A4B1D">
            <w:pPr>
              <w:spacing w:line="249" w:lineRule="auto"/>
              <w:rPr>
                <w:rFonts w:ascii="Arial"/>
                <w:sz w:val="21"/>
              </w:rPr>
            </w:pPr>
          </w:p>
          <w:p w14:paraId="1459BF45">
            <w:pPr>
              <w:spacing w:line="250" w:lineRule="auto"/>
              <w:rPr>
                <w:rFonts w:ascii="Arial"/>
                <w:sz w:val="21"/>
              </w:rPr>
            </w:pPr>
          </w:p>
          <w:p w14:paraId="2523FD82">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E655461">
            <w:pPr>
              <w:spacing w:line="385" w:lineRule="auto"/>
              <w:rPr>
                <w:rFonts w:ascii="Arial"/>
                <w:sz w:val="21"/>
              </w:rPr>
            </w:pPr>
          </w:p>
          <w:p w14:paraId="6D6A5175">
            <w:pPr>
              <w:pStyle w:val="6"/>
              <w:spacing w:before="98" w:line="191" w:lineRule="auto"/>
              <w:ind w:left="120" w:right="109" w:firstLine="2"/>
              <w:jc w:val="both"/>
            </w:pPr>
            <w:r>
              <w:rPr>
                <w:spacing w:val="15"/>
              </w:rPr>
              <w:t>有</w:t>
            </w:r>
            <w:r>
              <w:rPr>
                <w:rFonts w:ascii="宋体" w:hAnsi="宋体" w:eastAsia="宋体" w:cs="宋体"/>
                <w:spacing w:val="15"/>
              </w:rPr>
              <w:t>3</w:t>
            </w:r>
            <w:r>
              <w:rPr>
                <w:spacing w:val="15"/>
              </w:rPr>
              <w:t>人次以上从业</w:t>
            </w:r>
            <w:r>
              <w:rPr>
                <w:spacing w:val="26"/>
              </w:rPr>
              <w:t>人员违章作业不加</w:t>
            </w:r>
            <w:r>
              <w:rPr>
                <w:spacing w:val="4"/>
              </w:rPr>
              <w:t>制止的</w:t>
            </w:r>
          </w:p>
        </w:tc>
        <w:tc>
          <w:tcPr>
            <w:tcW w:w="2894" w:type="dxa"/>
            <w:vAlign w:val="top"/>
          </w:tcPr>
          <w:p w14:paraId="1D3D538A">
            <w:pPr>
              <w:pStyle w:val="6"/>
              <w:spacing w:before="31" w:line="179" w:lineRule="auto"/>
              <w:ind w:left="122" w:right="104" w:firstLine="3"/>
              <w:jc w:val="both"/>
            </w:pPr>
            <w:r>
              <w:rPr>
                <w:spacing w:val="7"/>
              </w:rPr>
              <w:t>给予警告，可以对生产经</w:t>
            </w:r>
            <w:r>
              <w:rPr>
                <w:spacing w:val="3"/>
              </w:rPr>
              <w:t>营单位处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w:t>
            </w:r>
            <w:r>
              <w:rPr>
                <w:spacing w:val="8"/>
              </w:rPr>
              <w:t>元以下罚款，对其主要负</w:t>
            </w:r>
            <w:r>
              <w:rPr>
                <w:spacing w:val="13"/>
              </w:rPr>
              <w:t>责人、其他有关人员处</w:t>
            </w:r>
            <w:r>
              <w:rPr>
                <w:rFonts w:ascii="宋体" w:hAnsi="宋体" w:eastAsia="宋体" w:cs="宋体"/>
                <w:spacing w:val="13"/>
              </w:rPr>
              <w:t>1</w:t>
            </w:r>
            <w:r>
              <w:rPr>
                <w:spacing w:val="5"/>
              </w:rPr>
              <w:t>千元以上</w:t>
            </w:r>
            <w:r>
              <w:rPr>
                <w:rFonts w:ascii="宋体" w:hAnsi="宋体" w:eastAsia="宋体" w:cs="宋体"/>
                <w:spacing w:val="5"/>
              </w:rPr>
              <w:t>1</w:t>
            </w:r>
            <w:r>
              <w:rPr>
                <w:spacing w:val="5"/>
              </w:rPr>
              <w:t>万元以下的罚</w:t>
            </w:r>
            <w:r>
              <w:t>款</w:t>
            </w:r>
          </w:p>
        </w:tc>
        <w:tc>
          <w:tcPr>
            <w:tcW w:w="811" w:type="dxa"/>
            <w:vMerge w:val="continue"/>
            <w:tcBorders>
              <w:top w:val="nil"/>
            </w:tcBorders>
            <w:vAlign w:val="top"/>
          </w:tcPr>
          <w:p w14:paraId="1A3EB3A1">
            <w:pPr>
              <w:rPr>
                <w:rFonts w:ascii="Arial"/>
                <w:sz w:val="21"/>
              </w:rPr>
            </w:pPr>
          </w:p>
        </w:tc>
      </w:tr>
    </w:tbl>
    <w:p w14:paraId="78366640">
      <w:pPr>
        <w:pStyle w:val="2"/>
      </w:pPr>
    </w:p>
    <w:p w14:paraId="677CFE0C">
      <w:pPr>
        <w:sectPr>
          <w:footerReference r:id="rId24" w:type="default"/>
          <w:pgSz w:w="16839" w:h="11906"/>
          <w:pgMar w:top="1012" w:right="821" w:bottom="666" w:left="901" w:header="0" w:footer="388" w:gutter="0"/>
          <w:cols w:space="720" w:num="1"/>
        </w:sectPr>
      </w:pPr>
    </w:p>
    <w:p w14:paraId="7E6F5A30">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679FE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F91947F">
            <w:pPr>
              <w:spacing w:before="222" w:line="241" w:lineRule="auto"/>
              <w:ind w:left="131"/>
              <w:rPr>
                <w:rFonts w:ascii="黑体" w:hAnsi="黑体" w:eastAsia="黑体" w:cs="黑体"/>
                <w:sz w:val="28"/>
                <w:szCs w:val="28"/>
              </w:rPr>
            </w:pPr>
            <w:bookmarkStart w:id="364" w:name="bookmark16"/>
            <w:bookmarkEnd w:id="364"/>
            <w:bookmarkStart w:id="365" w:name="bookmark18"/>
            <w:bookmarkEnd w:id="365"/>
            <w:bookmarkStart w:id="366" w:name="bookmark477"/>
            <w:bookmarkEnd w:id="366"/>
            <w:r>
              <w:rPr>
                <w:rFonts w:ascii="黑体" w:hAnsi="黑体" w:eastAsia="黑体" w:cs="黑体"/>
                <w:spacing w:val="-2"/>
                <w:sz w:val="28"/>
                <w:szCs w:val="28"/>
              </w:rPr>
              <w:t>序号</w:t>
            </w:r>
          </w:p>
        </w:tc>
        <w:tc>
          <w:tcPr>
            <w:tcW w:w="1440" w:type="dxa"/>
            <w:vAlign w:val="top"/>
          </w:tcPr>
          <w:p w14:paraId="6F110A97">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4EF305C">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3F5B150">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74B358A">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80EC3A2">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EF1B874">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0B47A9A">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8C8F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restart"/>
            <w:tcBorders>
              <w:bottom w:val="nil"/>
            </w:tcBorders>
            <w:vAlign w:val="top"/>
          </w:tcPr>
          <w:p w14:paraId="193BCDE3">
            <w:pPr>
              <w:spacing w:line="254" w:lineRule="auto"/>
              <w:rPr>
                <w:rFonts w:ascii="Arial"/>
                <w:sz w:val="21"/>
              </w:rPr>
            </w:pPr>
          </w:p>
          <w:p w14:paraId="063C889D">
            <w:pPr>
              <w:spacing w:line="254" w:lineRule="auto"/>
              <w:rPr>
                <w:rFonts w:ascii="Arial"/>
                <w:sz w:val="21"/>
              </w:rPr>
            </w:pPr>
          </w:p>
          <w:p w14:paraId="19FEE311">
            <w:pPr>
              <w:spacing w:line="254" w:lineRule="auto"/>
              <w:rPr>
                <w:rFonts w:ascii="Arial"/>
                <w:sz w:val="21"/>
              </w:rPr>
            </w:pPr>
          </w:p>
          <w:p w14:paraId="3FC9FA52">
            <w:pPr>
              <w:spacing w:line="254" w:lineRule="auto"/>
              <w:rPr>
                <w:rFonts w:ascii="Arial"/>
                <w:sz w:val="21"/>
              </w:rPr>
            </w:pPr>
          </w:p>
          <w:p w14:paraId="4EE4EB4C">
            <w:pPr>
              <w:spacing w:line="254" w:lineRule="auto"/>
              <w:rPr>
                <w:rFonts w:ascii="Arial"/>
                <w:sz w:val="21"/>
              </w:rPr>
            </w:pPr>
          </w:p>
          <w:p w14:paraId="0F27A2C2">
            <w:pPr>
              <w:spacing w:line="255" w:lineRule="auto"/>
              <w:rPr>
                <w:rFonts w:ascii="Arial"/>
                <w:sz w:val="21"/>
              </w:rPr>
            </w:pPr>
          </w:p>
          <w:p w14:paraId="0A4B807A">
            <w:pPr>
              <w:spacing w:line="255" w:lineRule="auto"/>
              <w:rPr>
                <w:rFonts w:ascii="Arial"/>
                <w:sz w:val="21"/>
              </w:rPr>
            </w:pPr>
          </w:p>
          <w:p w14:paraId="4A92DEAA">
            <w:pPr>
              <w:spacing w:line="255" w:lineRule="auto"/>
              <w:rPr>
                <w:rFonts w:ascii="Arial"/>
                <w:sz w:val="21"/>
              </w:rPr>
            </w:pPr>
          </w:p>
          <w:p w14:paraId="344E073B">
            <w:pPr>
              <w:spacing w:line="255" w:lineRule="auto"/>
              <w:rPr>
                <w:rFonts w:ascii="Arial"/>
                <w:sz w:val="21"/>
              </w:rPr>
            </w:pPr>
          </w:p>
          <w:p w14:paraId="7F442B77">
            <w:pPr>
              <w:spacing w:line="255" w:lineRule="auto"/>
              <w:rPr>
                <w:rFonts w:ascii="Arial"/>
                <w:sz w:val="21"/>
              </w:rPr>
            </w:pPr>
          </w:p>
          <w:p w14:paraId="34D0268E">
            <w:pPr>
              <w:spacing w:before="75" w:line="185" w:lineRule="auto"/>
              <w:ind w:left="325"/>
              <w:rPr>
                <w:rFonts w:ascii="仿宋" w:hAnsi="仿宋" w:eastAsia="仿宋" w:cs="仿宋"/>
                <w:sz w:val="23"/>
                <w:szCs w:val="23"/>
              </w:rPr>
            </w:pPr>
            <w:r>
              <w:rPr>
                <w:rFonts w:ascii="仿宋" w:hAnsi="仿宋" w:eastAsia="仿宋" w:cs="仿宋"/>
                <w:sz w:val="23"/>
                <w:szCs w:val="23"/>
              </w:rPr>
              <w:t>6</w:t>
            </w:r>
          </w:p>
        </w:tc>
        <w:tc>
          <w:tcPr>
            <w:tcW w:w="1440" w:type="dxa"/>
            <w:vMerge w:val="restart"/>
            <w:tcBorders>
              <w:bottom w:val="nil"/>
            </w:tcBorders>
            <w:vAlign w:val="top"/>
          </w:tcPr>
          <w:p w14:paraId="765852ED">
            <w:pPr>
              <w:spacing w:line="286" w:lineRule="auto"/>
              <w:rPr>
                <w:rFonts w:ascii="Arial"/>
                <w:sz w:val="21"/>
              </w:rPr>
            </w:pPr>
          </w:p>
          <w:p w14:paraId="63313D21">
            <w:pPr>
              <w:spacing w:line="286" w:lineRule="auto"/>
              <w:rPr>
                <w:rFonts w:ascii="Arial"/>
                <w:sz w:val="21"/>
              </w:rPr>
            </w:pPr>
          </w:p>
          <w:p w14:paraId="41A53264">
            <w:pPr>
              <w:spacing w:line="286" w:lineRule="auto"/>
              <w:rPr>
                <w:rFonts w:ascii="Arial"/>
                <w:sz w:val="21"/>
              </w:rPr>
            </w:pPr>
          </w:p>
          <w:p w14:paraId="3E37C74E">
            <w:pPr>
              <w:spacing w:line="286" w:lineRule="auto"/>
              <w:rPr>
                <w:rFonts w:ascii="Arial"/>
                <w:sz w:val="21"/>
              </w:rPr>
            </w:pPr>
          </w:p>
          <w:p w14:paraId="508EAC1F">
            <w:pPr>
              <w:spacing w:line="286" w:lineRule="auto"/>
              <w:rPr>
                <w:rFonts w:ascii="Arial"/>
                <w:sz w:val="21"/>
              </w:rPr>
            </w:pPr>
          </w:p>
          <w:p w14:paraId="620FCC24">
            <w:pPr>
              <w:pStyle w:val="6"/>
              <w:spacing w:before="98" w:line="186" w:lineRule="auto"/>
              <w:ind w:left="112" w:right="111" w:firstLine="16"/>
              <w:jc w:val="both"/>
            </w:pPr>
            <w:r>
              <w:rPr>
                <w:spacing w:val="8"/>
              </w:rPr>
              <w:t>生产经营单</w:t>
            </w:r>
            <w:r>
              <w:rPr>
                <w:spacing w:val="12"/>
              </w:rPr>
              <w:t>位及其主要负责人或者其他人员超过核定的生产能力、强度或者定员</w:t>
            </w:r>
            <w:r>
              <w:rPr>
                <w:spacing w:val="7"/>
              </w:rPr>
              <w:t>进行生产的</w:t>
            </w:r>
          </w:p>
        </w:tc>
        <w:tc>
          <w:tcPr>
            <w:tcW w:w="3202" w:type="dxa"/>
            <w:vMerge w:val="restart"/>
            <w:tcBorders>
              <w:bottom w:val="nil"/>
            </w:tcBorders>
            <w:vAlign w:val="top"/>
          </w:tcPr>
          <w:p w14:paraId="6DAEB3B8">
            <w:pPr>
              <w:rPr>
                <w:rFonts w:ascii="Arial"/>
                <w:sz w:val="21"/>
              </w:rPr>
            </w:pPr>
          </w:p>
        </w:tc>
        <w:tc>
          <w:tcPr>
            <w:tcW w:w="2859" w:type="dxa"/>
            <w:vMerge w:val="restart"/>
            <w:tcBorders>
              <w:bottom w:val="nil"/>
            </w:tcBorders>
            <w:vAlign w:val="top"/>
          </w:tcPr>
          <w:p w14:paraId="36A6500A">
            <w:pPr>
              <w:pStyle w:val="6"/>
              <w:spacing w:before="30" w:line="182" w:lineRule="auto"/>
              <w:ind w:left="116" w:right="97" w:hanging="19"/>
              <w:jc w:val="both"/>
            </w:pPr>
            <w:r>
              <w:rPr>
                <w:spacing w:val="10"/>
              </w:rPr>
              <w:t>【部门规章】《安全生产</w:t>
            </w:r>
            <w:r>
              <w:rPr>
                <w:spacing w:val="9"/>
              </w:rPr>
              <w:t>违法行为行政处罚办法》</w:t>
            </w:r>
            <w:r>
              <w:rPr>
                <w:spacing w:val="8"/>
              </w:rPr>
              <w:t>第四十五条第四项：生产</w:t>
            </w:r>
          </w:p>
          <w:p w14:paraId="700D1137">
            <w:pPr>
              <w:pStyle w:val="6"/>
              <w:spacing w:line="182" w:lineRule="auto"/>
              <w:ind w:left="122"/>
              <w:outlineLvl w:val="0"/>
            </w:pPr>
            <w:r>
              <w:rPr>
                <w:spacing w:val="8"/>
              </w:rPr>
              <w:t>经营单位及其主要负责人</w:t>
            </w:r>
          </w:p>
          <w:p w14:paraId="5D3312E6">
            <w:pPr>
              <w:pStyle w:val="6"/>
              <w:spacing w:before="4" w:line="185" w:lineRule="auto"/>
              <w:ind w:left="119" w:right="105"/>
            </w:pPr>
            <w:r>
              <w:rPr>
                <w:spacing w:val="8"/>
              </w:rPr>
              <w:t>或者其他人员有下列行为</w:t>
            </w:r>
            <w:r>
              <w:rPr>
                <w:spacing w:val="1"/>
              </w:rPr>
              <w:t>之一的，给予警告，并可</w:t>
            </w:r>
            <w:r>
              <w:rPr>
                <w:spacing w:val="3"/>
              </w:rPr>
              <w:t>以对生产经营单位处</w:t>
            </w:r>
            <w:r>
              <w:rPr>
                <w:rFonts w:ascii="宋体" w:hAnsi="宋体" w:eastAsia="宋体" w:cs="宋体"/>
                <w:spacing w:val="3"/>
              </w:rPr>
              <w:t>1</w:t>
            </w:r>
            <w:r>
              <w:rPr>
                <w:spacing w:val="3"/>
              </w:rPr>
              <w:t>万</w:t>
            </w:r>
            <w:r>
              <w:t>元以上</w:t>
            </w:r>
            <w:r>
              <w:rPr>
                <w:rFonts w:ascii="宋体" w:hAnsi="宋体" w:eastAsia="宋体" w:cs="宋体"/>
              </w:rPr>
              <w:t>3</w:t>
            </w:r>
            <w:r>
              <w:t>万元以下罚款，</w:t>
            </w:r>
            <w:r>
              <w:rPr>
                <w:spacing w:val="8"/>
              </w:rPr>
              <w:t>对其主要负责人、其他有</w:t>
            </w:r>
            <w:r>
              <w:rPr>
                <w:spacing w:val="-2"/>
              </w:rPr>
              <w:t>关人员处</w:t>
            </w:r>
            <w:r>
              <w:rPr>
                <w:rFonts w:ascii="宋体" w:hAnsi="宋体" w:eastAsia="宋体" w:cs="宋体"/>
                <w:spacing w:val="-2"/>
              </w:rPr>
              <w:t>1</w:t>
            </w:r>
            <w:r>
              <w:rPr>
                <w:spacing w:val="-2"/>
              </w:rPr>
              <w:t>千元以上</w:t>
            </w:r>
            <w:r>
              <w:rPr>
                <w:rFonts w:ascii="宋体" w:hAnsi="宋体" w:eastAsia="宋体" w:cs="宋体"/>
                <w:spacing w:val="-2"/>
              </w:rPr>
              <w:t>1</w:t>
            </w:r>
            <w:r>
              <w:rPr>
                <w:spacing w:val="-2"/>
              </w:rPr>
              <w:t>万</w:t>
            </w:r>
            <w:r>
              <w:rPr>
                <w:spacing w:val="7"/>
              </w:rPr>
              <w:t>元以下的罚款</w:t>
            </w:r>
            <w:r>
              <w:rPr>
                <w:spacing w:val="13"/>
              </w:rPr>
              <w:t>：（</w:t>
            </w:r>
            <w:r>
              <w:rPr>
                <w:spacing w:val="7"/>
              </w:rPr>
              <w:t>四）超</w:t>
            </w:r>
            <w:r>
              <w:rPr>
                <w:spacing w:val="8"/>
              </w:rPr>
              <w:t>过核定的生产能力、强度</w:t>
            </w:r>
            <w:r>
              <w:rPr>
                <w:spacing w:val="3"/>
              </w:rPr>
              <w:t>或者定员进行生产的；</w:t>
            </w:r>
          </w:p>
        </w:tc>
        <w:tc>
          <w:tcPr>
            <w:tcW w:w="803" w:type="dxa"/>
            <w:vAlign w:val="top"/>
          </w:tcPr>
          <w:p w14:paraId="17AC65FC">
            <w:pPr>
              <w:spacing w:line="247" w:lineRule="auto"/>
              <w:rPr>
                <w:rFonts w:ascii="Arial"/>
                <w:sz w:val="21"/>
              </w:rPr>
            </w:pPr>
          </w:p>
          <w:p w14:paraId="402E5227">
            <w:pPr>
              <w:spacing w:line="247" w:lineRule="auto"/>
              <w:rPr>
                <w:rFonts w:ascii="Arial"/>
                <w:sz w:val="21"/>
              </w:rPr>
            </w:pPr>
          </w:p>
          <w:p w14:paraId="53E19B65">
            <w:pPr>
              <w:spacing w:line="247" w:lineRule="auto"/>
              <w:rPr>
                <w:rFonts w:ascii="Arial"/>
                <w:sz w:val="21"/>
              </w:rPr>
            </w:pPr>
          </w:p>
          <w:p w14:paraId="0BD7AE45">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840EC9D">
            <w:pPr>
              <w:spacing w:line="379" w:lineRule="auto"/>
              <w:rPr>
                <w:rFonts w:ascii="Arial"/>
                <w:sz w:val="21"/>
              </w:rPr>
            </w:pPr>
          </w:p>
          <w:p w14:paraId="1842F6D0">
            <w:pPr>
              <w:pStyle w:val="6"/>
              <w:spacing w:before="99" w:line="191" w:lineRule="auto"/>
              <w:ind w:left="131" w:right="46" w:hanging="14"/>
              <w:jc w:val="both"/>
            </w:pPr>
            <w:r>
              <w:rPr>
                <w:spacing w:val="4"/>
              </w:rPr>
              <w:t>超过核定生产能力、</w:t>
            </w:r>
            <w:r>
              <w:rPr>
                <w:spacing w:val="20"/>
              </w:rPr>
              <w:t>强度或者定员</w:t>
            </w:r>
            <w:r>
              <w:rPr>
                <w:rFonts w:ascii="宋体" w:hAnsi="宋体" w:eastAsia="宋体" w:cs="宋体"/>
                <w:spacing w:val="20"/>
              </w:rPr>
              <w:t>10%</w:t>
            </w:r>
            <w:r>
              <w:rPr>
                <w:spacing w:val="5"/>
              </w:rPr>
              <w:t>以下进行生产的</w:t>
            </w:r>
          </w:p>
        </w:tc>
        <w:tc>
          <w:tcPr>
            <w:tcW w:w="2894" w:type="dxa"/>
            <w:vAlign w:val="top"/>
          </w:tcPr>
          <w:p w14:paraId="186C1791">
            <w:pPr>
              <w:pStyle w:val="6"/>
              <w:spacing w:before="28" w:line="179" w:lineRule="auto"/>
              <w:ind w:left="127" w:right="104" w:hanging="1"/>
              <w:jc w:val="both"/>
            </w:pPr>
            <w:r>
              <w:rPr>
                <w:spacing w:val="7"/>
              </w:rPr>
              <w:t>给予警告，可以对生产经</w:t>
            </w:r>
            <w:r>
              <w:rPr>
                <w:spacing w:val="5"/>
              </w:rPr>
              <w:t>营单位处</w:t>
            </w:r>
            <w:r>
              <w:rPr>
                <w:rFonts w:ascii="宋体" w:hAnsi="宋体" w:eastAsia="宋体" w:cs="宋体"/>
                <w:spacing w:val="5"/>
              </w:rPr>
              <w:t>1</w:t>
            </w:r>
            <w:r>
              <w:rPr>
                <w:spacing w:val="5"/>
              </w:rPr>
              <w:t>万元以上</w:t>
            </w:r>
            <w:r>
              <w:rPr>
                <w:rFonts w:ascii="宋体" w:hAnsi="宋体" w:eastAsia="宋体" w:cs="宋体"/>
                <w:spacing w:val="5"/>
              </w:rPr>
              <w:t>1.5</w:t>
            </w:r>
            <w:r>
              <w:rPr>
                <w:spacing w:val="7"/>
              </w:rPr>
              <w:t>万元以下罚款，对其主要负责人、其他有关人员处</w:t>
            </w:r>
            <w:r>
              <w:rPr>
                <w:rFonts w:ascii="宋体" w:hAnsi="宋体" w:eastAsia="宋体" w:cs="宋体"/>
                <w:spacing w:val="6"/>
              </w:rPr>
              <w:t>1</w:t>
            </w:r>
            <w:r>
              <w:rPr>
                <w:spacing w:val="6"/>
              </w:rPr>
              <w:t>千元以上</w:t>
            </w:r>
            <w:r>
              <w:rPr>
                <w:rFonts w:ascii="宋体" w:hAnsi="宋体" w:eastAsia="宋体" w:cs="宋体"/>
                <w:spacing w:val="6"/>
              </w:rPr>
              <w:t>1</w:t>
            </w:r>
            <w:r>
              <w:rPr>
                <w:spacing w:val="6"/>
              </w:rPr>
              <w:t>万元以下的</w:t>
            </w:r>
            <w:r>
              <w:rPr>
                <w:spacing w:val="-1"/>
              </w:rPr>
              <w:t>罚款</w:t>
            </w:r>
          </w:p>
        </w:tc>
        <w:tc>
          <w:tcPr>
            <w:tcW w:w="811" w:type="dxa"/>
            <w:vMerge w:val="restart"/>
            <w:tcBorders>
              <w:bottom w:val="nil"/>
            </w:tcBorders>
            <w:vAlign w:val="top"/>
          </w:tcPr>
          <w:p w14:paraId="6B707C01">
            <w:pPr>
              <w:spacing w:line="254" w:lineRule="auto"/>
              <w:rPr>
                <w:rFonts w:ascii="Arial"/>
                <w:sz w:val="21"/>
              </w:rPr>
            </w:pPr>
          </w:p>
          <w:p w14:paraId="5471BBF7">
            <w:pPr>
              <w:spacing w:line="254" w:lineRule="auto"/>
              <w:rPr>
                <w:rFonts w:ascii="Arial"/>
                <w:sz w:val="21"/>
              </w:rPr>
            </w:pPr>
          </w:p>
          <w:p w14:paraId="784E5BF4">
            <w:pPr>
              <w:spacing w:line="254" w:lineRule="auto"/>
              <w:rPr>
                <w:rFonts w:ascii="Arial"/>
                <w:sz w:val="21"/>
              </w:rPr>
            </w:pPr>
          </w:p>
          <w:p w14:paraId="3163C807">
            <w:pPr>
              <w:spacing w:line="254" w:lineRule="auto"/>
              <w:rPr>
                <w:rFonts w:ascii="Arial"/>
                <w:sz w:val="21"/>
              </w:rPr>
            </w:pPr>
          </w:p>
          <w:p w14:paraId="4D794432">
            <w:pPr>
              <w:spacing w:line="254" w:lineRule="auto"/>
              <w:rPr>
                <w:rFonts w:ascii="Arial"/>
                <w:sz w:val="21"/>
              </w:rPr>
            </w:pPr>
          </w:p>
          <w:p w14:paraId="46CC46D2">
            <w:pPr>
              <w:spacing w:line="254" w:lineRule="auto"/>
              <w:rPr>
                <w:rFonts w:ascii="Arial"/>
                <w:sz w:val="21"/>
              </w:rPr>
            </w:pPr>
          </w:p>
          <w:p w14:paraId="11D0240E">
            <w:pPr>
              <w:spacing w:line="254" w:lineRule="auto"/>
              <w:rPr>
                <w:rFonts w:ascii="Arial"/>
                <w:sz w:val="21"/>
              </w:rPr>
            </w:pPr>
          </w:p>
          <w:p w14:paraId="38E3307E">
            <w:pPr>
              <w:spacing w:line="254" w:lineRule="auto"/>
              <w:rPr>
                <w:rFonts w:ascii="Arial"/>
                <w:sz w:val="21"/>
              </w:rPr>
            </w:pPr>
          </w:p>
          <w:p w14:paraId="7DAADA50">
            <w:pPr>
              <w:spacing w:line="255" w:lineRule="auto"/>
              <w:rPr>
                <w:rFonts w:ascii="Arial"/>
                <w:sz w:val="21"/>
              </w:rPr>
            </w:pPr>
          </w:p>
          <w:p w14:paraId="5D6C582D">
            <w:pPr>
              <w:spacing w:line="255" w:lineRule="auto"/>
              <w:rPr>
                <w:rFonts w:ascii="Arial"/>
                <w:sz w:val="21"/>
              </w:rPr>
            </w:pPr>
          </w:p>
          <w:p w14:paraId="273FCB34">
            <w:pPr>
              <w:spacing w:before="74" w:line="188" w:lineRule="auto"/>
              <w:ind w:left="355"/>
              <w:rPr>
                <w:rFonts w:ascii="宋体" w:hAnsi="宋体" w:eastAsia="宋体" w:cs="宋体"/>
                <w:sz w:val="23"/>
                <w:szCs w:val="23"/>
              </w:rPr>
            </w:pPr>
            <w:r>
              <w:rPr>
                <w:rFonts w:ascii="宋体" w:hAnsi="宋体" w:eastAsia="宋体" w:cs="宋体"/>
                <w:sz w:val="23"/>
                <w:szCs w:val="23"/>
              </w:rPr>
              <w:t>3</w:t>
            </w:r>
          </w:p>
        </w:tc>
      </w:tr>
      <w:tr w14:paraId="6821E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bottom w:val="nil"/>
            </w:tcBorders>
            <w:vAlign w:val="top"/>
          </w:tcPr>
          <w:p w14:paraId="20DB2E7D">
            <w:pPr>
              <w:rPr>
                <w:rFonts w:ascii="Arial"/>
                <w:sz w:val="21"/>
              </w:rPr>
            </w:pPr>
          </w:p>
        </w:tc>
        <w:tc>
          <w:tcPr>
            <w:tcW w:w="1440" w:type="dxa"/>
            <w:vMerge w:val="continue"/>
            <w:tcBorders>
              <w:top w:val="nil"/>
              <w:bottom w:val="nil"/>
            </w:tcBorders>
            <w:vAlign w:val="top"/>
          </w:tcPr>
          <w:p w14:paraId="2F635B5C">
            <w:pPr>
              <w:rPr>
                <w:rFonts w:ascii="Arial"/>
                <w:sz w:val="21"/>
              </w:rPr>
            </w:pPr>
          </w:p>
        </w:tc>
        <w:tc>
          <w:tcPr>
            <w:tcW w:w="3202" w:type="dxa"/>
            <w:vMerge w:val="continue"/>
            <w:tcBorders>
              <w:top w:val="nil"/>
              <w:bottom w:val="nil"/>
            </w:tcBorders>
            <w:vAlign w:val="top"/>
          </w:tcPr>
          <w:p w14:paraId="550F99B8">
            <w:pPr>
              <w:rPr>
                <w:rFonts w:ascii="Arial"/>
                <w:sz w:val="21"/>
              </w:rPr>
            </w:pPr>
          </w:p>
        </w:tc>
        <w:tc>
          <w:tcPr>
            <w:tcW w:w="2859" w:type="dxa"/>
            <w:vMerge w:val="continue"/>
            <w:tcBorders>
              <w:top w:val="nil"/>
              <w:bottom w:val="nil"/>
            </w:tcBorders>
            <w:vAlign w:val="top"/>
          </w:tcPr>
          <w:p w14:paraId="32C8C0A3">
            <w:pPr>
              <w:rPr>
                <w:rFonts w:ascii="Arial"/>
                <w:sz w:val="21"/>
              </w:rPr>
            </w:pPr>
          </w:p>
        </w:tc>
        <w:tc>
          <w:tcPr>
            <w:tcW w:w="803" w:type="dxa"/>
            <w:vAlign w:val="top"/>
          </w:tcPr>
          <w:p w14:paraId="589B4061">
            <w:pPr>
              <w:spacing w:line="248" w:lineRule="auto"/>
              <w:rPr>
                <w:rFonts w:ascii="Arial"/>
                <w:sz w:val="21"/>
              </w:rPr>
            </w:pPr>
          </w:p>
          <w:p w14:paraId="555125D0">
            <w:pPr>
              <w:spacing w:line="248" w:lineRule="auto"/>
              <w:rPr>
                <w:rFonts w:ascii="Arial"/>
                <w:sz w:val="21"/>
              </w:rPr>
            </w:pPr>
          </w:p>
          <w:p w14:paraId="000D6492">
            <w:pPr>
              <w:spacing w:line="249" w:lineRule="auto"/>
              <w:rPr>
                <w:rFonts w:ascii="Arial"/>
                <w:sz w:val="21"/>
              </w:rPr>
            </w:pPr>
          </w:p>
          <w:p w14:paraId="51763B03">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D65F7DD">
            <w:pPr>
              <w:pStyle w:val="6"/>
              <w:spacing w:before="332" w:line="189" w:lineRule="auto"/>
              <w:ind w:left="130" w:right="46" w:hanging="13"/>
              <w:jc w:val="both"/>
            </w:pPr>
            <w:r>
              <w:rPr>
                <w:spacing w:val="4"/>
              </w:rPr>
              <w:t>超过核定生产能力、</w:t>
            </w:r>
            <w:r>
              <w:rPr>
                <w:spacing w:val="20"/>
              </w:rPr>
              <w:t>强度或者定员</w:t>
            </w:r>
            <w:r>
              <w:rPr>
                <w:rFonts w:ascii="宋体" w:hAnsi="宋体" w:eastAsia="宋体" w:cs="宋体"/>
                <w:spacing w:val="20"/>
              </w:rPr>
              <w:t>10%</w:t>
            </w:r>
            <w:r>
              <w:rPr>
                <w:spacing w:val="13"/>
              </w:rPr>
              <w:t>以上</w:t>
            </w:r>
            <w:r>
              <w:rPr>
                <w:rFonts w:ascii="宋体" w:hAnsi="宋体" w:eastAsia="宋体" w:cs="宋体"/>
                <w:spacing w:val="13"/>
              </w:rPr>
              <w:t>30%</w:t>
            </w:r>
            <w:r>
              <w:rPr>
                <w:spacing w:val="13"/>
              </w:rPr>
              <w:t>以下进行</w:t>
            </w:r>
            <w:r>
              <w:t>生产的</w:t>
            </w:r>
          </w:p>
        </w:tc>
        <w:tc>
          <w:tcPr>
            <w:tcW w:w="2894" w:type="dxa"/>
            <w:vAlign w:val="top"/>
          </w:tcPr>
          <w:p w14:paraId="6E7748C2">
            <w:pPr>
              <w:pStyle w:val="6"/>
              <w:spacing w:before="28" w:line="179" w:lineRule="auto"/>
              <w:ind w:left="127" w:right="104" w:hanging="1"/>
              <w:jc w:val="both"/>
            </w:pPr>
            <w:r>
              <w:rPr>
                <w:spacing w:val="7"/>
              </w:rPr>
              <w:t>给予警告，可以对生产经</w:t>
            </w:r>
            <w:r>
              <w:rPr>
                <w:spacing w:val="5"/>
              </w:rPr>
              <w:t>营单位处</w:t>
            </w:r>
            <w:r>
              <w:rPr>
                <w:rFonts w:ascii="宋体" w:hAnsi="宋体" w:eastAsia="宋体" w:cs="宋体"/>
                <w:spacing w:val="5"/>
              </w:rPr>
              <w:t>1.5</w:t>
            </w:r>
            <w:r>
              <w:rPr>
                <w:spacing w:val="5"/>
              </w:rPr>
              <w:t>万元以上</w:t>
            </w:r>
            <w:r>
              <w:rPr>
                <w:rFonts w:ascii="宋体" w:hAnsi="宋体" w:eastAsia="宋体" w:cs="宋体"/>
                <w:spacing w:val="5"/>
              </w:rPr>
              <w:t>2</w:t>
            </w:r>
            <w:r>
              <w:rPr>
                <w:spacing w:val="7"/>
              </w:rPr>
              <w:t>万元以下罚款，对其主要负责人、其他有关人员处</w:t>
            </w:r>
            <w:r>
              <w:rPr>
                <w:rFonts w:ascii="宋体" w:hAnsi="宋体" w:eastAsia="宋体" w:cs="宋体"/>
                <w:spacing w:val="6"/>
              </w:rPr>
              <w:t>1</w:t>
            </w:r>
            <w:r>
              <w:rPr>
                <w:spacing w:val="6"/>
              </w:rPr>
              <w:t>千元以上</w:t>
            </w:r>
            <w:r>
              <w:rPr>
                <w:rFonts w:ascii="宋体" w:hAnsi="宋体" w:eastAsia="宋体" w:cs="宋体"/>
                <w:spacing w:val="6"/>
              </w:rPr>
              <w:t>1</w:t>
            </w:r>
            <w:r>
              <w:rPr>
                <w:spacing w:val="6"/>
              </w:rPr>
              <w:t>万元以下的</w:t>
            </w:r>
            <w:r>
              <w:rPr>
                <w:spacing w:val="-1"/>
              </w:rPr>
              <w:t>罚款</w:t>
            </w:r>
          </w:p>
        </w:tc>
        <w:tc>
          <w:tcPr>
            <w:tcW w:w="811" w:type="dxa"/>
            <w:vMerge w:val="continue"/>
            <w:tcBorders>
              <w:top w:val="nil"/>
              <w:bottom w:val="nil"/>
            </w:tcBorders>
            <w:vAlign w:val="top"/>
          </w:tcPr>
          <w:p w14:paraId="7DDCA75B">
            <w:pPr>
              <w:rPr>
                <w:rFonts w:ascii="Arial"/>
                <w:sz w:val="21"/>
              </w:rPr>
            </w:pPr>
          </w:p>
        </w:tc>
      </w:tr>
      <w:tr w14:paraId="288B2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tcBorders>
            <w:vAlign w:val="top"/>
          </w:tcPr>
          <w:p w14:paraId="71B7DBB8">
            <w:pPr>
              <w:rPr>
                <w:rFonts w:ascii="Arial"/>
                <w:sz w:val="21"/>
              </w:rPr>
            </w:pPr>
          </w:p>
        </w:tc>
        <w:tc>
          <w:tcPr>
            <w:tcW w:w="1440" w:type="dxa"/>
            <w:vMerge w:val="continue"/>
            <w:tcBorders>
              <w:top w:val="nil"/>
            </w:tcBorders>
            <w:vAlign w:val="top"/>
          </w:tcPr>
          <w:p w14:paraId="623F1A5C">
            <w:pPr>
              <w:rPr>
                <w:rFonts w:ascii="Arial"/>
                <w:sz w:val="21"/>
              </w:rPr>
            </w:pPr>
          </w:p>
        </w:tc>
        <w:tc>
          <w:tcPr>
            <w:tcW w:w="3202" w:type="dxa"/>
            <w:vMerge w:val="continue"/>
            <w:tcBorders>
              <w:top w:val="nil"/>
            </w:tcBorders>
            <w:vAlign w:val="top"/>
          </w:tcPr>
          <w:p w14:paraId="5F3B3D10">
            <w:pPr>
              <w:rPr>
                <w:rFonts w:ascii="Arial"/>
                <w:sz w:val="21"/>
              </w:rPr>
            </w:pPr>
          </w:p>
        </w:tc>
        <w:tc>
          <w:tcPr>
            <w:tcW w:w="2859" w:type="dxa"/>
            <w:vMerge w:val="continue"/>
            <w:tcBorders>
              <w:top w:val="nil"/>
            </w:tcBorders>
            <w:vAlign w:val="top"/>
          </w:tcPr>
          <w:p w14:paraId="5AE69283">
            <w:pPr>
              <w:rPr>
                <w:rFonts w:ascii="Arial"/>
                <w:sz w:val="21"/>
              </w:rPr>
            </w:pPr>
          </w:p>
        </w:tc>
        <w:tc>
          <w:tcPr>
            <w:tcW w:w="803" w:type="dxa"/>
            <w:vAlign w:val="top"/>
          </w:tcPr>
          <w:p w14:paraId="7EE2C312">
            <w:pPr>
              <w:spacing w:line="249" w:lineRule="auto"/>
              <w:rPr>
                <w:rFonts w:ascii="Arial"/>
                <w:sz w:val="21"/>
              </w:rPr>
            </w:pPr>
          </w:p>
          <w:p w14:paraId="41BE3224">
            <w:pPr>
              <w:spacing w:line="249" w:lineRule="auto"/>
              <w:rPr>
                <w:rFonts w:ascii="Arial"/>
                <w:sz w:val="21"/>
              </w:rPr>
            </w:pPr>
          </w:p>
          <w:p w14:paraId="26B6C57B">
            <w:pPr>
              <w:spacing w:line="249" w:lineRule="auto"/>
              <w:rPr>
                <w:rFonts w:ascii="Arial"/>
                <w:sz w:val="21"/>
              </w:rPr>
            </w:pPr>
          </w:p>
          <w:p w14:paraId="0C162E7A">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ED6FFC2">
            <w:pPr>
              <w:spacing w:line="380" w:lineRule="auto"/>
              <w:rPr>
                <w:rFonts w:ascii="Arial"/>
                <w:sz w:val="21"/>
              </w:rPr>
            </w:pPr>
          </w:p>
          <w:p w14:paraId="110F9C32">
            <w:pPr>
              <w:pStyle w:val="6"/>
              <w:spacing w:before="99" w:line="191" w:lineRule="auto"/>
              <w:ind w:left="131" w:right="46" w:hanging="14"/>
              <w:jc w:val="both"/>
            </w:pPr>
            <w:r>
              <w:rPr>
                <w:spacing w:val="4"/>
              </w:rPr>
              <w:t>超过核定生产能力、</w:t>
            </w:r>
            <w:r>
              <w:rPr>
                <w:spacing w:val="22"/>
              </w:rPr>
              <w:t>强度或者定员</w:t>
            </w:r>
            <w:r>
              <w:rPr>
                <w:rFonts w:ascii="宋体" w:hAnsi="宋体" w:eastAsia="宋体" w:cs="宋体"/>
                <w:spacing w:val="22"/>
              </w:rPr>
              <w:t>30%</w:t>
            </w:r>
            <w:r>
              <w:rPr>
                <w:spacing w:val="5"/>
              </w:rPr>
              <w:t>以上进行生产的</w:t>
            </w:r>
          </w:p>
        </w:tc>
        <w:tc>
          <w:tcPr>
            <w:tcW w:w="2894" w:type="dxa"/>
            <w:vAlign w:val="top"/>
          </w:tcPr>
          <w:p w14:paraId="7DE9F682">
            <w:pPr>
              <w:pStyle w:val="6"/>
              <w:spacing w:before="28" w:line="179" w:lineRule="auto"/>
              <w:ind w:left="122" w:right="104" w:firstLine="3"/>
              <w:jc w:val="both"/>
            </w:pPr>
            <w:r>
              <w:rPr>
                <w:spacing w:val="7"/>
              </w:rPr>
              <w:t>给予警告，可以对生产经</w:t>
            </w:r>
            <w:r>
              <w:rPr>
                <w:spacing w:val="3"/>
              </w:rPr>
              <w:t>营单位处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w:t>
            </w:r>
            <w:r>
              <w:rPr>
                <w:spacing w:val="8"/>
              </w:rPr>
              <w:t>元以下罚款，对其主要负</w:t>
            </w:r>
            <w:r>
              <w:rPr>
                <w:spacing w:val="13"/>
              </w:rPr>
              <w:t>责人、其他有关人员处</w:t>
            </w:r>
            <w:r>
              <w:rPr>
                <w:rFonts w:ascii="宋体" w:hAnsi="宋体" w:eastAsia="宋体" w:cs="宋体"/>
                <w:spacing w:val="13"/>
              </w:rPr>
              <w:t>1</w:t>
            </w:r>
            <w:r>
              <w:rPr>
                <w:spacing w:val="5"/>
              </w:rPr>
              <w:t>千元以上</w:t>
            </w:r>
            <w:r>
              <w:rPr>
                <w:rFonts w:ascii="宋体" w:hAnsi="宋体" w:eastAsia="宋体" w:cs="宋体"/>
                <w:spacing w:val="5"/>
              </w:rPr>
              <w:t>1</w:t>
            </w:r>
            <w:r>
              <w:rPr>
                <w:spacing w:val="5"/>
              </w:rPr>
              <w:t>万元以下的罚</w:t>
            </w:r>
            <w:r>
              <w:t>款</w:t>
            </w:r>
          </w:p>
        </w:tc>
        <w:tc>
          <w:tcPr>
            <w:tcW w:w="811" w:type="dxa"/>
            <w:vMerge w:val="continue"/>
            <w:tcBorders>
              <w:top w:val="nil"/>
            </w:tcBorders>
            <w:vAlign w:val="top"/>
          </w:tcPr>
          <w:p w14:paraId="519921F4">
            <w:pPr>
              <w:rPr>
                <w:rFonts w:ascii="Arial"/>
                <w:sz w:val="21"/>
              </w:rPr>
            </w:pPr>
          </w:p>
        </w:tc>
      </w:tr>
      <w:tr w14:paraId="64D9C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restart"/>
            <w:tcBorders>
              <w:bottom w:val="nil"/>
            </w:tcBorders>
            <w:vAlign w:val="top"/>
          </w:tcPr>
          <w:p w14:paraId="6A3AB39D">
            <w:pPr>
              <w:spacing w:line="275" w:lineRule="auto"/>
              <w:rPr>
                <w:rFonts w:ascii="Arial"/>
                <w:sz w:val="21"/>
              </w:rPr>
            </w:pPr>
          </w:p>
          <w:p w14:paraId="57FD996D">
            <w:pPr>
              <w:spacing w:line="275" w:lineRule="auto"/>
              <w:rPr>
                <w:rFonts w:ascii="Arial"/>
                <w:sz w:val="21"/>
              </w:rPr>
            </w:pPr>
          </w:p>
          <w:p w14:paraId="29D76566">
            <w:pPr>
              <w:spacing w:line="275" w:lineRule="auto"/>
              <w:rPr>
                <w:rFonts w:ascii="Arial"/>
                <w:sz w:val="21"/>
              </w:rPr>
            </w:pPr>
          </w:p>
          <w:p w14:paraId="041AC444">
            <w:pPr>
              <w:spacing w:line="275" w:lineRule="auto"/>
              <w:rPr>
                <w:rFonts w:ascii="Arial"/>
                <w:sz w:val="21"/>
              </w:rPr>
            </w:pPr>
          </w:p>
          <w:p w14:paraId="12F4326A">
            <w:pPr>
              <w:spacing w:line="275" w:lineRule="auto"/>
              <w:rPr>
                <w:rFonts w:ascii="Arial"/>
                <w:sz w:val="21"/>
              </w:rPr>
            </w:pPr>
          </w:p>
          <w:p w14:paraId="081B76DC">
            <w:pPr>
              <w:spacing w:line="276" w:lineRule="auto"/>
              <w:rPr>
                <w:rFonts w:ascii="Arial"/>
                <w:sz w:val="21"/>
              </w:rPr>
            </w:pPr>
          </w:p>
          <w:p w14:paraId="0A5143FB">
            <w:pPr>
              <w:spacing w:before="75" w:line="184" w:lineRule="auto"/>
              <w:ind w:left="329"/>
              <w:rPr>
                <w:rFonts w:ascii="仿宋" w:hAnsi="仿宋" w:eastAsia="仿宋" w:cs="仿宋"/>
                <w:sz w:val="23"/>
                <w:szCs w:val="23"/>
              </w:rPr>
            </w:pPr>
            <w:r>
              <w:rPr>
                <w:rFonts w:ascii="仿宋" w:hAnsi="仿宋" w:eastAsia="仿宋" w:cs="仿宋"/>
                <w:sz w:val="23"/>
                <w:szCs w:val="23"/>
              </w:rPr>
              <w:t>7</w:t>
            </w:r>
          </w:p>
        </w:tc>
        <w:tc>
          <w:tcPr>
            <w:tcW w:w="1440" w:type="dxa"/>
            <w:vMerge w:val="restart"/>
            <w:tcBorders>
              <w:bottom w:val="nil"/>
            </w:tcBorders>
            <w:vAlign w:val="top"/>
          </w:tcPr>
          <w:p w14:paraId="1C7040DA">
            <w:pPr>
              <w:pStyle w:val="6"/>
              <w:spacing w:before="34" w:line="181" w:lineRule="auto"/>
              <w:ind w:left="113" w:right="111" w:firstLine="15"/>
            </w:pPr>
            <w:r>
              <w:rPr>
                <w:spacing w:val="8"/>
              </w:rPr>
              <w:t>生产经营单</w:t>
            </w:r>
            <w:r>
              <w:rPr>
                <w:spacing w:val="12"/>
              </w:rPr>
              <w:t>位及其主要负责人或者其他人员对被查封或者</w:t>
            </w:r>
            <w:r>
              <w:rPr>
                <w:spacing w:val="-10"/>
              </w:rPr>
              <w:t>扣押的设</w:t>
            </w:r>
            <w:r>
              <w:rPr>
                <w:spacing w:val="6"/>
              </w:rPr>
              <w:t>施、设备、</w:t>
            </w:r>
            <w:r>
              <w:rPr>
                <w:spacing w:val="12"/>
              </w:rPr>
              <w:t>器材、危险物品和作业</w:t>
            </w:r>
            <w:r>
              <w:rPr>
                <w:spacing w:val="5"/>
              </w:rPr>
              <w:t>场所，擅自</w:t>
            </w:r>
            <w:r>
              <w:rPr>
                <w:spacing w:val="12"/>
              </w:rPr>
              <w:t>启封或者使</w:t>
            </w:r>
            <w:r>
              <w:rPr>
                <w:spacing w:val="3"/>
              </w:rPr>
              <w:t>用的</w:t>
            </w:r>
          </w:p>
        </w:tc>
        <w:tc>
          <w:tcPr>
            <w:tcW w:w="3202" w:type="dxa"/>
            <w:vMerge w:val="restart"/>
            <w:tcBorders>
              <w:bottom w:val="nil"/>
            </w:tcBorders>
            <w:vAlign w:val="top"/>
          </w:tcPr>
          <w:p w14:paraId="38BF88EF">
            <w:pPr>
              <w:rPr>
                <w:rFonts w:ascii="Arial"/>
                <w:sz w:val="21"/>
              </w:rPr>
            </w:pPr>
          </w:p>
        </w:tc>
        <w:tc>
          <w:tcPr>
            <w:tcW w:w="2859" w:type="dxa"/>
            <w:vMerge w:val="restart"/>
            <w:tcBorders>
              <w:bottom w:val="nil"/>
            </w:tcBorders>
            <w:vAlign w:val="top"/>
          </w:tcPr>
          <w:p w14:paraId="7B283714">
            <w:pPr>
              <w:pStyle w:val="6"/>
              <w:spacing w:before="34" w:line="181" w:lineRule="auto"/>
              <w:ind w:left="115" w:right="97" w:hanging="18"/>
            </w:pPr>
            <w:r>
              <w:rPr>
                <w:spacing w:val="10"/>
              </w:rPr>
              <w:t>【部门规章】《安全生产违法行为行政处罚办法》</w:t>
            </w:r>
            <w:r>
              <w:rPr>
                <w:spacing w:val="8"/>
              </w:rPr>
              <w:t>第四十五条第五项：生产经营单位及其主要负责人或者其他人员有下列行为</w:t>
            </w:r>
            <w:r>
              <w:rPr>
                <w:spacing w:val="2"/>
              </w:rPr>
              <w:t>之一的，给予警告，并可</w:t>
            </w:r>
            <w:r>
              <w:rPr>
                <w:spacing w:val="3"/>
              </w:rPr>
              <w:t>以对生产经营单位处</w:t>
            </w:r>
            <w:r>
              <w:rPr>
                <w:rFonts w:ascii="宋体" w:hAnsi="宋体" w:eastAsia="宋体" w:cs="宋体"/>
                <w:spacing w:val="3"/>
              </w:rPr>
              <w:t>1</w:t>
            </w:r>
            <w:r>
              <w:rPr>
                <w:spacing w:val="3"/>
              </w:rPr>
              <w:t>万</w:t>
            </w:r>
            <w:r>
              <w:rPr>
                <w:spacing w:val="1"/>
              </w:rPr>
              <w:t>元以上</w:t>
            </w:r>
            <w:r>
              <w:rPr>
                <w:rFonts w:ascii="宋体" w:hAnsi="宋体" w:eastAsia="宋体" w:cs="宋体"/>
                <w:spacing w:val="1"/>
              </w:rPr>
              <w:t>3</w:t>
            </w:r>
            <w:r>
              <w:rPr>
                <w:spacing w:val="1"/>
              </w:rPr>
              <w:t>万元以下罚款，</w:t>
            </w:r>
            <w:r>
              <w:rPr>
                <w:spacing w:val="8"/>
              </w:rPr>
              <w:t>对其主要负责人、其他有</w:t>
            </w:r>
            <w:r>
              <w:rPr>
                <w:spacing w:val="-2"/>
              </w:rPr>
              <w:t>关人员处</w:t>
            </w:r>
            <w:r>
              <w:rPr>
                <w:rFonts w:ascii="宋体" w:hAnsi="宋体" w:eastAsia="宋体" w:cs="宋体"/>
                <w:spacing w:val="-2"/>
              </w:rPr>
              <w:t>1</w:t>
            </w:r>
            <w:r>
              <w:rPr>
                <w:spacing w:val="-2"/>
              </w:rPr>
              <w:t>千元以上</w:t>
            </w:r>
            <w:r>
              <w:rPr>
                <w:rFonts w:ascii="宋体" w:hAnsi="宋体" w:eastAsia="宋体" w:cs="宋体"/>
                <w:spacing w:val="-2"/>
              </w:rPr>
              <w:t>1</w:t>
            </w:r>
            <w:r>
              <w:rPr>
                <w:spacing w:val="-2"/>
              </w:rPr>
              <w:t>万</w:t>
            </w:r>
            <w:r>
              <w:rPr>
                <w:spacing w:val="8"/>
              </w:rPr>
              <w:t>元以下的罚款</w:t>
            </w:r>
            <w:r>
              <w:rPr>
                <w:spacing w:val="10"/>
              </w:rPr>
              <w:t>：（</w:t>
            </w:r>
            <w:r>
              <w:rPr>
                <w:spacing w:val="8"/>
              </w:rPr>
              <w:t>五）对</w:t>
            </w:r>
            <w:r>
              <w:rPr>
                <w:spacing w:val="7"/>
              </w:rPr>
              <w:t>被查封或者扣押的设施、</w:t>
            </w:r>
          </w:p>
        </w:tc>
        <w:tc>
          <w:tcPr>
            <w:tcW w:w="803" w:type="dxa"/>
            <w:vAlign w:val="top"/>
          </w:tcPr>
          <w:p w14:paraId="7892229B">
            <w:pPr>
              <w:spacing w:line="248" w:lineRule="auto"/>
              <w:rPr>
                <w:rFonts w:ascii="Arial"/>
                <w:sz w:val="21"/>
              </w:rPr>
            </w:pPr>
          </w:p>
          <w:p w14:paraId="1BAE5AC6">
            <w:pPr>
              <w:spacing w:line="248" w:lineRule="auto"/>
              <w:rPr>
                <w:rFonts w:ascii="Arial"/>
                <w:sz w:val="21"/>
              </w:rPr>
            </w:pPr>
          </w:p>
          <w:p w14:paraId="01BDA0AE">
            <w:pPr>
              <w:spacing w:line="249" w:lineRule="auto"/>
              <w:rPr>
                <w:rFonts w:ascii="Arial"/>
                <w:sz w:val="21"/>
              </w:rPr>
            </w:pPr>
          </w:p>
          <w:p w14:paraId="729C33E8">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35863AC">
            <w:pPr>
              <w:pStyle w:val="6"/>
              <w:spacing w:before="28" w:line="179" w:lineRule="auto"/>
              <w:ind w:left="117" w:firstLine="3"/>
              <w:jc w:val="both"/>
            </w:pPr>
            <w:r>
              <w:rPr>
                <w:spacing w:val="23"/>
              </w:rPr>
              <w:t>对被查封或者扣押</w:t>
            </w:r>
            <w:r>
              <w:rPr>
                <w:spacing w:val="-12"/>
                <w:w w:val="97"/>
              </w:rPr>
              <w:t>的设施、设备、器材、</w:t>
            </w:r>
            <w:r>
              <w:rPr>
                <w:spacing w:val="24"/>
              </w:rPr>
              <w:t>危险物品和作业场</w:t>
            </w:r>
            <w:r>
              <w:rPr>
                <w:spacing w:val="-4"/>
              </w:rPr>
              <w:t>所，擅自启封或者使</w:t>
            </w:r>
            <w:r>
              <w:rPr>
                <w:spacing w:val="-21"/>
              </w:rPr>
              <w:t>用涉及</w:t>
            </w:r>
            <w:r>
              <w:rPr>
                <w:rFonts w:ascii="宋体" w:hAnsi="宋体" w:eastAsia="宋体" w:cs="宋体"/>
                <w:spacing w:val="-21"/>
              </w:rPr>
              <w:t>1</w:t>
            </w:r>
            <w:r>
              <w:rPr>
                <w:spacing w:val="-21"/>
              </w:rPr>
              <w:t>台（套、处）</w:t>
            </w:r>
            <w:r>
              <w:t>的</w:t>
            </w:r>
          </w:p>
        </w:tc>
        <w:tc>
          <w:tcPr>
            <w:tcW w:w="2894" w:type="dxa"/>
            <w:vAlign w:val="top"/>
          </w:tcPr>
          <w:p w14:paraId="51AF89B7">
            <w:pPr>
              <w:pStyle w:val="6"/>
              <w:spacing w:before="28" w:line="179" w:lineRule="auto"/>
              <w:ind w:left="127" w:right="104" w:hanging="1"/>
              <w:jc w:val="both"/>
            </w:pPr>
            <w:r>
              <w:rPr>
                <w:spacing w:val="7"/>
              </w:rPr>
              <w:t>给予警告，可以对生产经</w:t>
            </w:r>
            <w:r>
              <w:rPr>
                <w:spacing w:val="5"/>
              </w:rPr>
              <w:t>营单位处</w:t>
            </w:r>
            <w:r>
              <w:rPr>
                <w:rFonts w:ascii="宋体" w:hAnsi="宋体" w:eastAsia="宋体" w:cs="宋体"/>
                <w:spacing w:val="5"/>
              </w:rPr>
              <w:t>1</w:t>
            </w:r>
            <w:r>
              <w:rPr>
                <w:spacing w:val="5"/>
              </w:rPr>
              <w:t>万元以上</w:t>
            </w:r>
            <w:r>
              <w:rPr>
                <w:rFonts w:ascii="宋体" w:hAnsi="宋体" w:eastAsia="宋体" w:cs="宋体"/>
                <w:spacing w:val="5"/>
              </w:rPr>
              <w:t>1.5</w:t>
            </w:r>
            <w:r>
              <w:rPr>
                <w:spacing w:val="7"/>
              </w:rPr>
              <w:t>万元以下罚款，对其主要负责人、其他有关人员处</w:t>
            </w:r>
            <w:r>
              <w:rPr>
                <w:rFonts w:ascii="宋体" w:hAnsi="宋体" w:eastAsia="宋体" w:cs="宋体"/>
                <w:spacing w:val="6"/>
              </w:rPr>
              <w:t>1</w:t>
            </w:r>
            <w:r>
              <w:rPr>
                <w:spacing w:val="6"/>
              </w:rPr>
              <w:t>千元以上</w:t>
            </w:r>
            <w:r>
              <w:rPr>
                <w:rFonts w:ascii="宋体" w:hAnsi="宋体" w:eastAsia="宋体" w:cs="宋体"/>
                <w:spacing w:val="6"/>
              </w:rPr>
              <w:t>1</w:t>
            </w:r>
            <w:r>
              <w:rPr>
                <w:spacing w:val="6"/>
              </w:rPr>
              <w:t>万元以下的</w:t>
            </w:r>
            <w:r>
              <w:rPr>
                <w:spacing w:val="-1"/>
              </w:rPr>
              <w:t>罚款</w:t>
            </w:r>
          </w:p>
        </w:tc>
        <w:tc>
          <w:tcPr>
            <w:tcW w:w="811" w:type="dxa"/>
            <w:vMerge w:val="restart"/>
            <w:tcBorders>
              <w:bottom w:val="nil"/>
            </w:tcBorders>
            <w:vAlign w:val="top"/>
          </w:tcPr>
          <w:p w14:paraId="44E50033">
            <w:pPr>
              <w:spacing w:line="274" w:lineRule="auto"/>
              <w:rPr>
                <w:rFonts w:ascii="Arial"/>
                <w:sz w:val="21"/>
              </w:rPr>
            </w:pPr>
          </w:p>
          <w:p w14:paraId="12BD6202">
            <w:pPr>
              <w:spacing w:line="274" w:lineRule="auto"/>
              <w:rPr>
                <w:rFonts w:ascii="Arial"/>
                <w:sz w:val="21"/>
              </w:rPr>
            </w:pPr>
          </w:p>
          <w:p w14:paraId="4C1E6864">
            <w:pPr>
              <w:spacing w:line="274" w:lineRule="auto"/>
              <w:rPr>
                <w:rFonts w:ascii="Arial"/>
                <w:sz w:val="21"/>
              </w:rPr>
            </w:pPr>
          </w:p>
          <w:p w14:paraId="692EC11F">
            <w:pPr>
              <w:spacing w:line="274" w:lineRule="auto"/>
              <w:rPr>
                <w:rFonts w:ascii="Arial"/>
                <w:sz w:val="21"/>
              </w:rPr>
            </w:pPr>
          </w:p>
          <w:p w14:paraId="535A73AB">
            <w:pPr>
              <w:spacing w:line="275" w:lineRule="auto"/>
              <w:rPr>
                <w:rFonts w:ascii="Arial"/>
                <w:sz w:val="21"/>
              </w:rPr>
            </w:pPr>
          </w:p>
          <w:p w14:paraId="3E650773">
            <w:pPr>
              <w:spacing w:line="275" w:lineRule="auto"/>
              <w:rPr>
                <w:rFonts w:ascii="Arial"/>
                <w:sz w:val="21"/>
              </w:rPr>
            </w:pPr>
          </w:p>
          <w:p w14:paraId="6C07643D">
            <w:pPr>
              <w:spacing w:before="75" w:line="188" w:lineRule="auto"/>
              <w:ind w:left="355"/>
              <w:rPr>
                <w:rFonts w:ascii="宋体" w:hAnsi="宋体" w:eastAsia="宋体" w:cs="宋体"/>
                <w:sz w:val="23"/>
                <w:szCs w:val="23"/>
              </w:rPr>
            </w:pPr>
            <w:r>
              <w:rPr>
                <w:rFonts w:ascii="宋体" w:hAnsi="宋体" w:eastAsia="宋体" w:cs="宋体"/>
                <w:sz w:val="23"/>
                <w:szCs w:val="23"/>
              </w:rPr>
              <w:t>3</w:t>
            </w:r>
          </w:p>
        </w:tc>
      </w:tr>
      <w:tr w14:paraId="46EA9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818" w:type="dxa"/>
            <w:vMerge w:val="continue"/>
            <w:tcBorders>
              <w:top w:val="nil"/>
            </w:tcBorders>
            <w:vAlign w:val="top"/>
          </w:tcPr>
          <w:p w14:paraId="012767C6">
            <w:pPr>
              <w:rPr>
                <w:rFonts w:ascii="Arial"/>
                <w:sz w:val="21"/>
              </w:rPr>
            </w:pPr>
          </w:p>
        </w:tc>
        <w:tc>
          <w:tcPr>
            <w:tcW w:w="1440" w:type="dxa"/>
            <w:vMerge w:val="continue"/>
            <w:tcBorders>
              <w:top w:val="nil"/>
            </w:tcBorders>
            <w:vAlign w:val="top"/>
          </w:tcPr>
          <w:p w14:paraId="75C17F21">
            <w:pPr>
              <w:rPr>
                <w:rFonts w:ascii="Arial"/>
                <w:sz w:val="21"/>
              </w:rPr>
            </w:pPr>
          </w:p>
        </w:tc>
        <w:tc>
          <w:tcPr>
            <w:tcW w:w="3202" w:type="dxa"/>
            <w:vMerge w:val="continue"/>
            <w:tcBorders>
              <w:top w:val="nil"/>
            </w:tcBorders>
            <w:vAlign w:val="top"/>
          </w:tcPr>
          <w:p w14:paraId="07854FAB">
            <w:pPr>
              <w:rPr>
                <w:rFonts w:ascii="Arial"/>
                <w:sz w:val="21"/>
              </w:rPr>
            </w:pPr>
          </w:p>
        </w:tc>
        <w:tc>
          <w:tcPr>
            <w:tcW w:w="2859" w:type="dxa"/>
            <w:vMerge w:val="continue"/>
            <w:tcBorders>
              <w:top w:val="nil"/>
            </w:tcBorders>
            <w:vAlign w:val="top"/>
          </w:tcPr>
          <w:p w14:paraId="32064CB9">
            <w:pPr>
              <w:rPr>
                <w:rFonts w:ascii="Arial"/>
                <w:sz w:val="21"/>
              </w:rPr>
            </w:pPr>
          </w:p>
        </w:tc>
        <w:tc>
          <w:tcPr>
            <w:tcW w:w="803" w:type="dxa"/>
            <w:vAlign w:val="top"/>
          </w:tcPr>
          <w:p w14:paraId="67386E85">
            <w:pPr>
              <w:spacing w:line="249" w:lineRule="auto"/>
              <w:rPr>
                <w:rFonts w:ascii="Arial"/>
                <w:sz w:val="21"/>
              </w:rPr>
            </w:pPr>
          </w:p>
          <w:p w14:paraId="46017425">
            <w:pPr>
              <w:spacing w:line="250" w:lineRule="auto"/>
              <w:rPr>
                <w:rFonts w:ascii="Arial"/>
                <w:sz w:val="21"/>
              </w:rPr>
            </w:pPr>
          </w:p>
          <w:p w14:paraId="78BC3EAA">
            <w:pPr>
              <w:spacing w:line="250" w:lineRule="auto"/>
              <w:rPr>
                <w:rFonts w:ascii="Arial"/>
                <w:sz w:val="21"/>
              </w:rPr>
            </w:pPr>
          </w:p>
          <w:p w14:paraId="05C84004">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59C137F1">
            <w:pPr>
              <w:pStyle w:val="6"/>
              <w:spacing w:before="31" w:line="179" w:lineRule="auto"/>
              <w:ind w:left="117" w:firstLine="3"/>
              <w:jc w:val="both"/>
            </w:pPr>
            <w:r>
              <w:rPr>
                <w:spacing w:val="23"/>
              </w:rPr>
              <w:t>对被查封或者扣押</w:t>
            </w:r>
            <w:r>
              <w:rPr>
                <w:spacing w:val="-12"/>
                <w:w w:val="97"/>
              </w:rPr>
              <w:t>的设施、设备、器材、</w:t>
            </w:r>
            <w:r>
              <w:rPr>
                <w:spacing w:val="24"/>
              </w:rPr>
              <w:t>危险物品和作业场</w:t>
            </w:r>
            <w:r>
              <w:rPr>
                <w:spacing w:val="-4"/>
              </w:rPr>
              <w:t>所，擅自启封或者使</w:t>
            </w:r>
            <w:r>
              <w:rPr>
                <w:spacing w:val="-18"/>
              </w:rPr>
              <w:t>用涉及</w:t>
            </w:r>
            <w:r>
              <w:rPr>
                <w:rFonts w:ascii="宋体" w:hAnsi="宋体" w:eastAsia="宋体" w:cs="宋体"/>
                <w:spacing w:val="-18"/>
              </w:rPr>
              <w:t>2</w:t>
            </w:r>
            <w:r>
              <w:rPr>
                <w:spacing w:val="-18"/>
              </w:rPr>
              <w:t>台（套、处）</w:t>
            </w:r>
            <w:r>
              <w:t>的</w:t>
            </w:r>
          </w:p>
        </w:tc>
        <w:tc>
          <w:tcPr>
            <w:tcW w:w="2894" w:type="dxa"/>
            <w:vAlign w:val="top"/>
          </w:tcPr>
          <w:p w14:paraId="39094056">
            <w:pPr>
              <w:pStyle w:val="6"/>
              <w:spacing w:before="31" w:line="179" w:lineRule="auto"/>
              <w:ind w:left="127" w:right="104" w:hanging="1"/>
              <w:jc w:val="both"/>
            </w:pPr>
            <w:r>
              <w:rPr>
                <w:spacing w:val="7"/>
              </w:rPr>
              <w:t>给予警告，可以对生产经</w:t>
            </w:r>
            <w:r>
              <w:rPr>
                <w:spacing w:val="5"/>
              </w:rPr>
              <w:t>营单位处</w:t>
            </w:r>
            <w:r>
              <w:rPr>
                <w:rFonts w:ascii="宋体" w:hAnsi="宋体" w:eastAsia="宋体" w:cs="宋体"/>
                <w:spacing w:val="5"/>
              </w:rPr>
              <w:t>1.5</w:t>
            </w:r>
            <w:r>
              <w:rPr>
                <w:spacing w:val="5"/>
              </w:rPr>
              <w:t>万元以上</w:t>
            </w:r>
            <w:r>
              <w:rPr>
                <w:rFonts w:ascii="宋体" w:hAnsi="宋体" w:eastAsia="宋体" w:cs="宋体"/>
                <w:spacing w:val="5"/>
              </w:rPr>
              <w:t>2</w:t>
            </w:r>
            <w:r>
              <w:rPr>
                <w:spacing w:val="7"/>
              </w:rPr>
              <w:t>万元以下罚款，对其主要负责人、其他有关人员处</w:t>
            </w:r>
            <w:r>
              <w:rPr>
                <w:rFonts w:ascii="宋体" w:hAnsi="宋体" w:eastAsia="宋体" w:cs="宋体"/>
                <w:spacing w:val="6"/>
              </w:rPr>
              <w:t>1</w:t>
            </w:r>
            <w:r>
              <w:rPr>
                <w:spacing w:val="6"/>
              </w:rPr>
              <w:t>千元以上</w:t>
            </w:r>
            <w:r>
              <w:rPr>
                <w:rFonts w:ascii="宋体" w:hAnsi="宋体" w:eastAsia="宋体" w:cs="宋体"/>
                <w:spacing w:val="6"/>
              </w:rPr>
              <w:t>1</w:t>
            </w:r>
            <w:r>
              <w:rPr>
                <w:spacing w:val="6"/>
              </w:rPr>
              <w:t>万元以下的</w:t>
            </w:r>
            <w:r>
              <w:rPr>
                <w:spacing w:val="-1"/>
              </w:rPr>
              <w:t>罚款</w:t>
            </w:r>
          </w:p>
        </w:tc>
        <w:tc>
          <w:tcPr>
            <w:tcW w:w="811" w:type="dxa"/>
            <w:vMerge w:val="continue"/>
            <w:tcBorders>
              <w:top w:val="nil"/>
            </w:tcBorders>
            <w:vAlign w:val="top"/>
          </w:tcPr>
          <w:p w14:paraId="38705704">
            <w:pPr>
              <w:rPr>
                <w:rFonts w:ascii="Arial"/>
                <w:sz w:val="21"/>
              </w:rPr>
            </w:pPr>
          </w:p>
        </w:tc>
      </w:tr>
    </w:tbl>
    <w:p w14:paraId="022FA966">
      <w:pPr>
        <w:pStyle w:val="2"/>
      </w:pPr>
    </w:p>
    <w:p w14:paraId="28AC807E">
      <w:pPr>
        <w:sectPr>
          <w:footerReference r:id="rId25" w:type="default"/>
          <w:pgSz w:w="16839" w:h="11906"/>
          <w:pgMar w:top="1012" w:right="821" w:bottom="666" w:left="901" w:header="0" w:footer="388" w:gutter="0"/>
          <w:cols w:space="720" w:num="1"/>
        </w:sectPr>
      </w:pPr>
    </w:p>
    <w:p w14:paraId="4E7D94AB">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51F3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A84A045">
            <w:pPr>
              <w:spacing w:before="222" w:line="241" w:lineRule="auto"/>
              <w:ind w:left="131"/>
              <w:outlineLvl w:val="0"/>
              <w:rPr>
                <w:rFonts w:ascii="黑体" w:hAnsi="黑体" w:eastAsia="黑体" w:cs="黑体"/>
                <w:sz w:val="28"/>
                <w:szCs w:val="28"/>
              </w:rPr>
            </w:pPr>
            <w:bookmarkStart w:id="367" w:name="bookmark478"/>
            <w:bookmarkEnd w:id="367"/>
            <w:bookmarkStart w:id="368" w:name="bookmark20"/>
            <w:bookmarkEnd w:id="368"/>
            <w:r>
              <w:rPr>
                <w:rFonts w:ascii="黑体" w:hAnsi="黑体" w:eastAsia="黑体" w:cs="黑体"/>
                <w:spacing w:val="-2"/>
                <w:sz w:val="28"/>
                <w:szCs w:val="28"/>
              </w:rPr>
              <w:t>序号</w:t>
            </w:r>
          </w:p>
        </w:tc>
        <w:tc>
          <w:tcPr>
            <w:tcW w:w="1440" w:type="dxa"/>
            <w:vAlign w:val="top"/>
          </w:tcPr>
          <w:p w14:paraId="6FFE8EF0">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192276F">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A5F8A8E">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8F48370">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4C937FE">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81A8166">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CD4416E">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1B5A8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Align w:val="top"/>
          </w:tcPr>
          <w:p w14:paraId="70BD8983">
            <w:pPr>
              <w:rPr>
                <w:rFonts w:ascii="Arial"/>
                <w:sz w:val="21"/>
              </w:rPr>
            </w:pPr>
          </w:p>
        </w:tc>
        <w:tc>
          <w:tcPr>
            <w:tcW w:w="1440" w:type="dxa"/>
            <w:vAlign w:val="top"/>
          </w:tcPr>
          <w:p w14:paraId="4D96D84C">
            <w:pPr>
              <w:rPr>
                <w:rFonts w:ascii="Arial"/>
                <w:sz w:val="21"/>
              </w:rPr>
            </w:pPr>
          </w:p>
        </w:tc>
        <w:tc>
          <w:tcPr>
            <w:tcW w:w="3202" w:type="dxa"/>
            <w:vAlign w:val="top"/>
          </w:tcPr>
          <w:p w14:paraId="6C6E731D">
            <w:pPr>
              <w:rPr>
                <w:rFonts w:ascii="Arial"/>
                <w:sz w:val="21"/>
              </w:rPr>
            </w:pPr>
          </w:p>
        </w:tc>
        <w:tc>
          <w:tcPr>
            <w:tcW w:w="2859" w:type="dxa"/>
            <w:vAlign w:val="top"/>
          </w:tcPr>
          <w:p w14:paraId="6131BE65">
            <w:pPr>
              <w:pStyle w:val="6"/>
              <w:spacing w:before="28" w:line="191" w:lineRule="auto"/>
              <w:ind w:left="112" w:right="110" w:firstLine="3"/>
              <w:jc w:val="both"/>
            </w:pPr>
            <w:r>
              <w:rPr>
                <w:spacing w:val="8"/>
              </w:rPr>
              <w:t>设备、器材、危险物品和</w:t>
            </w:r>
            <w:r>
              <w:rPr>
                <w:spacing w:val="9"/>
              </w:rPr>
              <w:t>作业场所，擅自启封或者</w:t>
            </w:r>
            <w:r>
              <w:rPr>
                <w:spacing w:val="-3"/>
              </w:rPr>
              <w:t>使用的；</w:t>
            </w:r>
          </w:p>
        </w:tc>
        <w:tc>
          <w:tcPr>
            <w:tcW w:w="803" w:type="dxa"/>
            <w:vAlign w:val="top"/>
          </w:tcPr>
          <w:p w14:paraId="1F2873BE">
            <w:pPr>
              <w:spacing w:line="247" w:lineRule="auto"/>
              <w:rPr>
                <w:rFonts w:ascii="Arial"/>
                <w:sz w:val="21"/>
              </w:rPr>
            </w:pPr>
          </w:p>
          <w:p w14:paraId="3F12AEAC">
            <w:pPr>
              <w:spacing w:line="248" w:lineRule="auto"/>
              <w:rPr>
                <w:rFonts w:ascii="Arial"/>
                <w:sz w:val="21"/>
              </w:rPr>
            </w:pPr>
          </w:p>
          <w:p w14:paraId="2B0583C3">
            <w:pPr>
              <w:spacing w:line="248" w:lineRule="auto"/>
              <w:rPr>
                <w:rFonts w:ascii="Arial"/>
                <w:sz w:val="21"/>
              </w:rPr>
            </w:pPr>
          </w:p>
          <w:p w14:paraId="5FA899DC">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B50E43A">
            <w:pPr>
              <w:pStyle w:val="6"/>
              <w:spacing w:before="28" w:line="179" w:lineRule="auto"/>
              <w:ind w:left="117" w:firstLine="3"/>
              <w:jc w:val="both"/>
            </w:pPr>
            <w:r>
              <w:rPr>
                <w:spacing w:val="23"/>
              </w:rPr>
              <w:t>对被查封或者扣押</w:t>
            </w:r>
            <w:r>
              <w:rPr>
                <w:spacing w:val="-12"/>
                <w:w w:val="97"/>
              </w:rPr>
              <w:t>的设施、设备、器材、</w:t>
            </w:r>
            <w:r>
              <w:rPr>
                <w:spacing w:val="24"/>
              </w:rPr>
              <w:t>危险物品和作业场</w:t>
            </w:r>
            <w:r>
              <w:rPr>
                <w:spacing w:val="-4"/>
              </w:rPr>
              <w:t>所，擅自启封或者使</w:t>
            </w:r>
            <w:r>
              <w:rPr>
                <w:spacing w:val="-18"/>
              </w:rPr>
              <w:t>用涉及</w:t>
            </w:r>
            <w:r>
              <w:rPr>
                <w:rFonts w:ascii="宋体" w:hAnsi="宋体" w:eastAsia="宋体" w:cs="宋体"/>
                <w:spacing w:val="-18"/>
              </w:rPr>
              <w:t>3</w:t>
            </w:r>
            <w:r>
              <w:rPr>
                <w:spacing w:val="-18"/>
              </w:rPr>
              <w:t>台（套、处）</w:t>
            </w:r>
            <w:r>
              <w:rPr>
                <w:spacing w:val="3"/>
              </w:rPr>
              <w:t>以上的</w:t>
            </w:r>
          </w:p>
        </w:tc>
        <w:tc>
          <w:tcPr>
            <w:tcW w:w="2894" w:type="dxa"/>
            <w:vAlign w:val="top"/>
          </w:tcPr>
          <w:p w14:paraId="4D94CB93">
            <w:pPr>
              <w:pStyle w:val="6"/>
              <w:spacing w:before="28" w:line="179" w:lineRule="auto"/>
              <w:ind w:left="122" w:right="104" w:firstLine="3"/>
              <w:jc w:val="both"/>
            </w:pPr>
            <w:r>
              <w:rPr>
                <w:spacing w:val="7"/>
              </w:rPr>
              <w:t>给予警告，可以对生产经</w:t>
            </w:r>
            <w:r>
              <w:rPr>
                <w:spacing w:val="3"/>
              </w:rPr>
              <w:t>营单位处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w:t>
            </w:r>
            <w:r>
              <w:rPr>
                <w:spacing w:val="8"/>
              </w:rPr>
              <w:t>元以下罚款，对其主要负</w:t>
            </w:r>
            <w:r>
              <w:rPr>
                <w:spacing w:val="13"/>
              </w:rPr>
              <w:t>责人、其他有关人员处</w:t>
            </w:r>
            <w:r>
              <w:rPr>
                <w:rFonts w:ascii="宋体" w:hAnsi="宋体" w:eastAsia="宋体" w:cs="宋体"/>
                <w:spacing w:val="13"/>
              </w:rPr>
              <w:t>1</w:t>
            </w:r>
            <w:r>
              <w:rPr>
                <w:spacing w:val="5"/>
              </w:rPr>
              <w:t>千元以上</w:t>
            </w:r>
            <w:r>
              <w:rPr>
                <w:rFonts w:ascii="宋体" w:hAnsi="宋体" w:eastAsia="宋体" w:cs="宋体"/>
                <w:spacing w:val="5"/>
              </w:rPr>
              <w:t>1</w:t>
            </w:r>
            <w:r>
              <w:rPr>
                <w:spacing w:val="5"/>
              </w:rPr>
              <w:t>万元以下的罚</w:t>
            </w:r>
            <w:r>
              <w:t>款</w:t>
            </w:r>
          </w:p>
        </w:tc>
        <w:tc>
          <w:tcPr>
            <w:tcW w:w="811" w:type="dxa"/>
            <w:vAlign w:val="top"/>
          </w:tcPr>
          <w:p w14:paraId="70E26A28">
            <w:pPr>
              <w:rPr>
                <w:rFonts w:ascii="Arial"/>
                <w:sz w:val="21"/>
              </w:rPr>
            </w:pPr>
          </w:p>
        </w:tc>
      </w:tr>
      <w:tr w14:paraId="7406B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restart"/>
            <w:tcBorders>
              <w:bottom w:val="nil"/>
            </w:tcBorders>
            <w:vAlign w:val="top"/>
          </w:tcPr>
          <w:p w14:paraId="5C3348CB">
            <w:pPr>
              <w:spacing w:line="254" w:lineRule="auto"/>
              <w:rPr>
                <w:rFonts w:ascii="Arial"/>
                <w:sz w:val="21"/>
              </w:rPr>
            </w:pPr>
          </w:p>
          <w:p w14:paraId="5A66F485">
            <w:pPr>
              <w:spacing w:line="254" w:lineRule="auto"/>
              <w:rPr>
                <w:rFonts w:ascii="Arial"/>
                <w:sz w:val="21"/>
              </w:rPr>
            </w:pPr>
          </w:p>
          <w:p w14:paraId="3B4ABE03">
            <w:pPr>
              <w:spacing w:line="255" w:lineRule="auto"/>
              <w:rPr>
                <w:rFonts w:ascii="Arial"/>
                <w:sz w:val="21"/>
              </w:rPr>
            </w:pPr>
          </w:p>
          <w:p w14:paraId="60FAFC62">
            <w:pPr>
              <w:spacing w:line="255" w:lineRule="auto"/>
              <w:rPr>
                <w:rFonts w:ascii="Arial"/>
                <w:sz w:val="21"/>
              </w:rPr>
            </w:pPr>
          </w:p>
          <w:p w14:paraId="6A5CF7F5">
            <w:pPr>
              <w:spacing w:line="255" w:lineRule="auto"/>
              <w:rPr>
                <w:rFonts w:ascii="Arial"/>
                <w:sz w:val="21"/>
              </w:rPr>
            </w:pPr>
          </w:p>
          <w:p w14:paraId="226AA1BE">
            <w:pPr>
              <w:spacing w:line="255" w:lineRule="auto"/>
              <w:rPr>
                <w:rFonts w:ascii="Arial"/>
                <w:sz w:val="21"/>
              </w:rPr>
            </w:pPr>
          </w:p>
          <w:p w14:paraId="69531F47">
            <w:pPr>
              <w:spacing w:line="255" w:lineRule="auto"/>
              <w:rPr>
                <w:rFonts w:ascii="Arial"/>
                <w:sz w:val="21"/>
              </w:rPr>
            </w:pPr>
          </w:p>
          <w:p w14:paraId="2D1058FA">
            <w:pPr>
              <w:spacing w:line="255" w:lineRule="auto"/>
              <w:rPr>
                <w:rFonts w:ascii="Arial"/>
                <w:sz w:val="21"/>
              </w:rPr>
            </w:pPr>
          </w:p>
          <w:p w14:paraId="63D69FBF">
            <w:pPr>
              <w:spacing w:line="255" w:lineRule="auto"/>
              <w:rPr>
                <w:rFonts w:ascii="Arial"/>
                <w:sz w:val="21"/>
              </w:rPr>
            </w:pPr>
          </w:p>
          <w:p w14:paraId="1C0B5084">
            <w:pPr>
              <w:spacing w:line="255" w:lineRule="auto"/>
              <w:rPr>
                <w:rFonts w:ascii="Arial"/>
                <w:sz w:val="21"/>
              </w:rPr>
            </w:pPr>
          </w:p>
          <w:p w14:paraId="6FF98261">
            <w:pPr>
              <w:spacing w:before="75" w:line="185" w:lineRule="auto"/>
              <w:ind w:left="324"/>
              <w:rPr>
                <w:rFonts w:ascii="仿宋" w:hAnsi="仿宋" w:eastAsia="仿宋" w:cs="仿宋"/>
                <w:sz w:val="23"/>
                <w:szCs w:val="23"/>
              </w:rPr>
            </w:pPr>
            <w:r>
              <w:rPr>
                <w:rFonts w:ascii="仿宋" w:hAnsi="仿宋" w:eastAsia="仿宋" w:cs="仿宋"/>
                <w:sz w:val="23"/>
                <w:szCs w:val="23"/>
              </w:rPr>
              <w:t>8</w:t>
            </w:r>
          </w:p>
        </w:tc>
        <w:tc>
          <w:tcPr>
            <w:tcW w:w="1440" w:type="dxa"/>
            <w:vMerge w:val="restart"/>
            <w:tcBorders>
              <w:bottom w:val="nil"/>
            </w:tcBorders>
            <w:vAlign w:val="top"/>
          </w:tcPr>
          <w:p w14:paraId="1B20AE8C">
            <w:pPr>
              <w:spacing w:line="284" w:lineRule="auto"/>
              <w:rPr>
                <w:rFonts w:ascii="Arial"/>
                <w:sz w:val="21"/>
              </w:rPr>
            </w:pPr>
          </w:p>
          <w:p w14:paraId="09FDA15B">
            <w:pPr>
              <w:spacing w:line="284" w:lineRule="auto"/>
              <w:rPr>
                <w:rFonts w:ascii="Arial"/>
                <w:sz w:val="21"/>
              </w:rPr>
            </w:pPr>
          </w:p>
          <w:p w14:paraId="13330090">
            <w:pPr>
              <w:spacing w:line="284" w:lineRule="auto"/>
              <w:rPr>
                <w:rFonts w:ascii="Arial"/>
                <w:sz w:val="21"/>
              </w:rPr>
            </w:pPr>
          </w:p>
          <w:p w14:paraId="3F0EE908">
            <w:pPr>
              <w:spacing w:line="284" w:lineRule="auto"/>
              <w:rPr>
                <w:rFonts w:ascii="Arial"/>
                <w:sz w:val="21"/>
              </w:rPr>
            </w:pPr>
          </w:p>
          <w:p w14:paraId="02608A10">
            <w:pPr>
              <w:pStyle w:val="6"/>
              <w:spacing w:before="98" w:line="185" w:lineRule="auto"/>
              <w:ind w:left="113" w:right="111" w:firstLine="15"/>
              <w:jc w:val="both"/>
            </w:pPr>
            <w:r>
              <w:rPr>
                <w:spacing w:val="8"/>
              </w:rPr>
              <w:t>生产经营单</w:t>
            </w:r>
            <w:r>
              <w:rPr>
                <w:spacing w:val="12"/>
              </w:rPr>
              <w:t>位及其主要负责人或者其他人员故意提供虚假情况或者隐瞒存在的事故隐患以及其他安全问</w:t>
            </w:r>
            <w:r>
              <w:rPr>
                <w:spacing w:val="3"/>
              </w:rPr>
              <w:t>题的</w:t>
            </w:r>
          </w:p>
        </w:tc>
        <w:tc>
          <w:tcPr>
            <w:tcW w:w="3202" w:type="dxa"/>
            <w:vMerge w:val="restart"/>
            <w:tcBorders>
              <w:bottom w:val="nil"/>
            </w:tcBorders>
            <w:vAlign w:val="top"/>
          </w:tcPr>
          <w:p w14:paraId="70502E7B">
            <w:pPr>
              <w:rPr>
                <w:rFonts w:ascii="Arial"/>
                <w:sz w:val="21"/>
              </w:rPr>
            </w:pPr>
          </w:p>
        </w:tc>
        <w:tc>
          <w:tcPr>
            <w:tcW w:w="2859" w:type="dxa"/>
            <w:vMerge w:val="restart"/>
            <w:tcBorders>
              <w:bottom w:val="nil"/>
            </w:tcBorders>
            <w:vAlign w:val="top"/>
          </w:tcPr>
          <w:p w14:paraId="42A88B85">
            <w:pPr>
              <w:pStyle w:val="6"/>
              <w:spacing w:before="33" w:line="182" w:lineRule="auto"/>
              <w:ind w:left="116" w:right="97" w:hanging="19"/>
              <w:jc w:val="both"/>
            </w:pPr>
            <w:r>
              <w:rPr>
                <w:spacing w:val="10"/>
              </w:rPr>
              <w:t>【部门规章】《安全生产</w:t>
            </w:r>
            <w:bookmarkStart w:id="369" w:name="bookmark22"/>
            <w:bookmarkEnd w:id="369"/>
            <w:r>
              <w:rPr>
                <w:spacing w:val="9"/>
              </w:rPr>
              <w:t>违法行为行政处罚办法》</w:t>
            </w:r>
            <w:r>
              <w:rPr>
                <w:spacing w:val="8"/>
              </w:rPr>
              <w:t>第四十五条第六项：生产</w:t>
            </w:r>
          </w:p>
          <w:p w14:paraId="0FB71DB8">
            <w:pPr>
              <w:pStyle w:val="6"/>
              <w:spacing w:line="182" w:lineRule="auto"/>
              <w:ind w:left="122"/>
              <w:outlineLvl w:val="0"/>
            </w:pPr>
            <w:r>
              <w:rPr>
                <w:spacing w:val="8"/>
              </w:rPr>
              <w:t>经营单位及其主要负责人</w:t>
            </w:r>
          </w:p>
          <w:p w14:paraId="7473ED03">
            <w:pPr>
              <w:pStyle w:val="6"/>
              <w:spacing w:line="185" w:lineRule="auto"/>
              <w:ind w:left="117" w:right="105" w:firstLine="3"/>
            </w:pPr>
            <w:r>
              <w:rPr>
                <w:spacing w:val="8"/>
              </w:rPr>
              <w:t>或者其他人员有下列行为</w:t>
            </w:r>
            <w:r>
              <w:rPr>
                <w:spacing w:val="1"/>
              </w:rPr>
              <w:t>之一的，给予警告，并可</w:t>
            </w:r>
            <w:r>
              <w:rPr>
                <w:spacing w:val="3"/>
              </w:rPr>
              <w:t>以对生产经营单位处</w:t>
            </w:r>
            <w:r>
              <w:rPr>
                <w:rFonts w:ascii="宋体" w:hAnsi="宋体" w:eastAsia="宋体" w:cs="宋体"/>
                <w:spacing w:val="3"/>
              </w:rPr>
              <w:t>1</w:t>
            </w:r>
            <w:r>
              <w:rPr>
                <w:spacing w:val="3"/>
              </w:rPr>
              <w:t>万</w:t>
            </w:r>
            <w:r>
              <w:rPr>
                <w:spacing w:val="1"/>
              </w:rPr>
              <w:t>元以上</w:t>
            </w:r>
            <w:r>
              <w:rPr>
                <w:rFonts w:ascii="宋体" w:hAnsi="宋体" w:eastAsia="宋体" w:cs="宋体"/>
                <w:spacing w:val="1"/>
              </w:rPr>
              <w:t>3</w:t>
            </w:r>
            <w:r>
              <w:rPr>
                <w:spacing w:val="1"/>
              </w:rPr>
              <w:t>万元以下罚款，</w:t>
            </w:r>
            <w:r>
              <w:rPr>
                <w:spacing w:val="8"/>
              </w:rPr>
              <w:t>对其主要负责人、其他有</w:t>
            </w:r>
            <w:r>
              <w:rPr>
                <w:spacing w:val="-2"/>
              </w:rPr>
              <w:t>关人员处</w:t>
            </w:r>
            <w:r>
              <w:rPr>
                <w:rFonts w:ascii="宋体" w:hAnsi="宋体" w:eastAsia="宋体" w:cs="宋体"/>
                <w:spacing w:val="-2"/>
              </w:rPr>
              <w:t>1</w:t>
            </w:r>
            <w:r>
              <w:rPr>
                <w:spacing w:val="-2"/>
              </w:rPr>
              <w:t>千元以上</w:t>
            </w:r>
            <w:r>
              <w:rPr>
                <w:rFonts w:ascii="宋体" w:hAnsi="宋体" w:eastAsia="宋体" w:cs="宋体"/>
                <w:spacing w:val="-2"/>
              </w:rPr>
              <w:t>1</w:t>
            </w:r>
            <w:r>
              <w:rPr>
                <w:spacing w:val="-2"/>
              </w:rPr>
              <w:t>万</w:t>
            </w:r>
            <w:r>
              <w:rPr>
                <w:spacing w:val="8"/>
              </w:rPr>
              <w:t>元以下的罚款</w:t>
            </w:r>
            <w:r>
              <w:rPr>
                <w:spacing w:val="10"/>
              </w:rPr>
              <w:t>：（</w:t>
            </w:r>
            <w:r>
              <w:rPr>
                <w:spacing w:val="8"/>
              </w:rPr>
              <w:t>六）故意提供虚假情况或者隐瞒存在的事故隐患以及其他</w:t>
            </w:r>
            <w:r>
              <w:rPr>
                <w:spacing w:val="-1"/>
              </w:rPr>
              <w:t>安全问题的；</w:t>
            </w:r>
          </w:p>
        </w:tc>
        <w:tc>
          <w:tcPr>
            <w:tcW w:w="803" w:type="dxa"/>
            <w:vAlign w:val="top"/>
          </w:tcPr>
          <w:p w14:paraId="63D48A1D">
            <w:pPr>
              <w:spacing w:line="247" w:lineRule="auto"/>
              <w:rPr>
                <w:rFonts w:ascii="Arial"/>
                <w:sz w:val="21"/>
              </w:rPr>
            </w:pPr>
          </w:p>
          <w:p w14:paraId="3E81B9F3">
            <w:pPr>
              <w:spacing w:line="247" w:lineRule="auto"/>
              <w:rPr>
                <w:rFonts w:ascii="Arial"/>
                <w:sz w:val="21"/>
              </w:rPr>
            </w:pPr>
          </w:p>
          <w:p w14:paraId="6455CFF2">
            <w:pPr>
              <w:spacing w:line="247" w:lineRule="auto"/>
              <w:rPr>
                <w:rFonts w:ascii="Arial"/>
                <w:sz w:val="21"/>
              </w:rPr>
            </w:pPr>
          </w:p>
          <w:p w14:paraId="062AF5F3">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ADC5679">
            <w:pPr>
              <w:pStyle w:val="6"/>
              <w:spacing w:before="180" w:line="188" w:lineRule="auto"/>
              <w:ind w:left="117" w:right="105" w:firstLine="8"/>
              <w:jc w:val="both"/>
            </w:pPr>
            <w:r>
              <w:rPr>
                <w:spacing w:val="25"/>
              </w:rPr>
              <w:t>故意提供虚假情况</w:t>
            </w:r>
            <w:r>
              <w:rPr>
                <w:spacing w:val="26"/>
              </w:rPr>
              <w:t>或者隐瞒存在的事故隐患以及其他安</w:t>
            </w:r>
            <w:r>
              <w:rPr>
                <w:spacing w:val="-5"/>
              </w:rPr>
              <w:t>全问题，涉及</w:t>
            </w:r>
            <w:r>
              <w:rPr>
                <w:rFonts w:ascii="宋体" w:hAnsi="宋体" w:eastAsia="宋体" w:cs="宋体"/>
                <w:spacing w:val="-5"/>
              </w:rPr>
              <w:t>3</w:t>
            </w:r>
            <w:r>
              <w:rPr>
                <w:spacing w:val="-5"/>
              </w:rPr>
              <w:t>处以</w:t>
            </w:r>
            <w:r>
              <w:rPr>
                <w:spacing w:val="2"/>
              </w:rPr>
              <w:t>下的</w:t>
            </w:r>
          </w:p>
        </w:tc>
        <w:tc>
          <w:tcPr>
            <w:tcW w:w="2894" w:type="dxa"/>
            <w:vAlign w:val="top"/>
          </w:tcPr>
          <w:p w14:paraId="58751AAE">
            <w:pPr>
              <w:pStyle w:val="6"/>
              <w:spacing w:before="28" w:line="179" w:lineRule="auto"/>
              <w:ind w:left="127" w:right="104" w:hanging="1"/>
              <w:jc w:val="both"/>
            </w:pPr>
            <w:r>
              <w:rPr>
                <w:spacing w:val="7"/>
              </w:rPr>
              <w:t>给予警告，可以对生产经</w:t>
            </w:r>
            <w:r>
              <w:rPr>
                <w:spacing w:val="5"/>
              </w:rPr>
              <w:t>营单位处</w:t>
            </w:r>
            <w:r>
              <w:rPr>
                <w:rFonts w:ascii="宋体" w:hAnsi="宋体" w:eastAsia="宋体" w:cs="宋体"/>
                <w:spacing w:val="5"/>
              </w:rPr>
              <w:t>1</w:t>
            </w:r>
            <w:r>
              <w:rPr>
                <w:spacing w:val="5"/>
              </w:rPr>
              <w:t>万元以上</w:t>
            </w:r>
            <w:r>
              <w:rPr>
                <w:rFonts w:ascii="宋体" w:hAnsi="宋体" w:eastAsia="宋体" w:cs="宋体"/>
                <w:spacing w:val="5"/>
              </w:rPr>
              <w:t>1.5</w:t>
            </w:r>
            <w:r>
              <w:rPr>
                <w:spacing w:val="7"/>
              </w:rPr>
              <w:t>万元以下罚款，对其主要负责人、其他有关人员处</w:t>
            </w:r>
            <w:r>
              <w:rPr>
                <w:rFonts w:ascii="宋体" w:hAnsi="宋体" w:eastAsia="宋体" w:cs="宋体"/>
                <w:spacing w:val="6"/>
              </w:rPr>
              <w:t>1</w:t>
            </w:r>
            <w:r>
              <w:rPr>
                <w:spacing w:val="6"/>
              </w:rPr>
              <w:t>千元以上</w:t>
            </w:r>
            <w:r>
              <w:rPr>
                <w:rFonts w:ascii="宋体" w:hAnsi="宋体" w:eastAsia="宋体" w:cs="宋体"/>
                <w:spacing w:val="6"/>
              </w:rPr>
              <w:t>1</w:t>
            </w:r>
            <w:r>
              <w:rPr>
                <w:spacing w:val="6"/>
              </w:rPr>
              <w:t>万元以下的</w:t>
            </w:r>
            <w:r>
              <w:rPr>
                <w:spacing w:val="-1"/>
              </w:rPr>
              <w:t>罚款</w:t>
            </w:r>
          </w:p>
        </w:tc>
        <w:tc>
          <w:tcPr>
            <w:tcW w:w="811" w:type="dxa"/>
            <w:vMerge w:val="restart"/>
            <w:tcBorders>
              <w:bottom w:val="nil"/>
            </w:tcBorders>
            <w:vAlign w:val="top"/>
          </w:tcPr>
          <w:p w14:paraId="07692685">
            <w:pPr>
              <w:spacing w:line="254" w:lineRule="auto"/>
              <w:rPr>
                <w:rFonts w:ascii="Arial"/>
                <w:sz w:val="21"/>
              </w:rPr>
            </w:pPr>
          </w:p>
          <w:p w14:paraId="70CB5190">
            <w:pPr>
              <w:spacing w:line="254" w:lineRule="auto"/>
              <w:rPr>
                <w:rFonts w:ascii="Arial"/>
                <w:sz w:val="21"/>
              </w:rPr>
            </w:pPr>
          </w:p>
          <w:p w14:paraId="44336F40">
            <w:pPr>
              <w:spacing w:line="254" w:lineRule="auto"/>
              <w:rPr>
                <w:rFonts w:ascii="Arial"/>
                <w:sz w:val="21"/>
              </w:rPr>
            </w:pPr>
          </w:p>
          <w:p w14:paraId="3827C517">
            <w:pPr>
              <w:spacing w:line="254" w:lineRule="auto"/>
              <w:rPr>
                <w:rFonts w:ascii="Arial"/>
                <w:sz w:val="21"/>
              </w:rPr>
            </w:pPr>
          </w:p>
          <w:p w14:paraId="02CE847E">
            <w:pPr>
              <w:spacing w:line="254" w:lineRule="auto"/>
              <w:rPr>
                <w:rFonts w:ascii="Arial"/>
                <w:sz w:val="21"/>
              </w:rPr>
            </w:pPr>
          </w:p>
          <w:p w14:paraId="7ACC3951">
            <w:pPr>
              <w:spacing w:line="255" w:lineRule="auto"/>
              <w:rPr>
                <w:rFonts w:ascii="Arial"/>
                <w:sz w:val="21"/>
              </w:rPr>
            </w:pPr>
          </w:p>
          <w:p w14:paraId="373312C1">
            <w:pPr>
              <w:spacing w:line="255" w:lineRule="auto"/>
              <w:rPr>
                <w:rFonts w:ascii="Arial"/>
                <w:sz w:val="21"/>
              </w:rPr>
            </w:pPr>
          </w:p>
          <w:p w14:paraId="6C6CE780">
            <w:pPr>
              <w:spacing w:line="255" w:lineRule="auto"/>
              <w:rPr>
                <w:rFonts w:ascii="Arial"/>
                <w:sz w:val="21"/>
              </w:rPr>
            </w:pPr>
          </w:p>
          <w:p w14:paraId="0FC76F72">
            <w:pPr>
              <w:spacing w:line="255" w:lineRule="auto"/>
              <w:rPr>
                <w:rFonts w:ascii="Arial"/>
                <w:sz w:val="21"/>
              </w:rPr>
            </w:pPr>
          </w:p>
          <w:p w14:paraId="069DAAC7">
            <w:pPr>
              <w:spacing w:line="255" w:lineRule="auto"/>
              <w:rPr>
                <w:rFonts w:ascii="Arial"/>
                <w:sz w:val="21"/>
              </w:rPr>
            </w:pPr>
          </w:p>
          <w:p w14:paraId="193DDE38">
            <w:pPr>
              <w:spacing w:before="74" w:line="188" w:lineRule="auto"/>
              <w:ind w:left="355"/>
              <w:rPr>
                <w:rFonts w:ascii="宋体" w:hAnsi="宋体" w:eastAsia="宋体" w:cs="宋体"/>
                <w:sz w:val="23"/>
                <w:szCs w:val="23"/>
              </w:rPr>
            </w:pPr>
            <w:r>
              <w:rPr>
                <w:rFonts w:ascii="宋体" w:hAnsi="宋体" w:eastAsia="宋体" w:cs="宋体"/>
                <w:sz w:val="23"/>
                <w:szCs w:val="23"/>
              </w:rPr>
              <w:t>3</w:t>
            </w:r>
          </w:p>
        </w:tc>
      </w:tr>
      <w:tr w14:paraId="2D986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bottom w:val="nil"/>
            </w:tcBorders>
            <w:vAlign w:val="top"/>
          </w:tcPr>
          <w:p w14:paraId="6787EC7B">
            <w:pPr>
              <w:rPr>
                <w:rFonts w:ascii="Arial"/>
                <w:sz w:val="21"/>
              </w:rPr>
            </w:pPr>
          </w:p>
        </w:tc>
        <w:tc>
          <w:tcPr>
            <w:tcW w:w="1440" w:type="dxa"/>
            <w:vMerge w:val="continue"/>
            <w:tcBorders>
              <w:top w:val="nil"/>
              <w:bottom w:val="nil"/>
            </w:tcBorders>
            <w:vAlign w:val="top"/>
          </w:tcPr>
          <w:p w14:paraId="3B9CB509">
            <w:pPr>
              <w:rPr>
                <w:rFonts w:ascii="Arial"/>
                <w:sz w:val="21"/>
              </w:rPr>
            </w:pPr>
          </w:p>
        </w:tc>
        <w:tc>
          <w:tcPr>
            <w:tcW w:w="3202" w:type="dxa"/>
            <w:vMerge w:val="continue"/>
            <w:tcBorders>
              <w:top w:val="nil"/>
              <w:bottom w:val="nil"/>
            </w:tcBorders>
            <w:vAlign w:val="top"/>
          </w:tcPr>
          <w:p w14:paraId="025DA593">
            <w:pPr>
              <w:rPr>
                <w:rFonts w:ascii="Arial"/>
                <w:sz w:val="21"/>
              </w:rPr>
            </w:pPr>
          </w:p>
        </w:tc>
        <w:tc>
          <w:tcPr>
            <w:tcW w:w="2859" w:type="dxa"/>
            <w:vMerge w:val="continue"/>
            <w:tcBorders>
              <w:top w:val="nil"/>
              <w:bottom w:val="nil"/>
            </w:tcBorders>
            <w:vAlign w:val="top"/>
          </w:tcPr>
          <w:p w14:paraId="48919786">
            <w:pPr>
              <w:rPr>
                <w:rFonts w:ascii="Arial"/>
                <w:sz w:val="21"/>
              </w:rPr>
            </w:pPr>
          </w:p>
        </w:tc>
        <w:tc>
          <w:tcPr>
            <w:tcW w:w="803" w:type="dxa"/>
            <w:vAlign w:val="top"/>
          </w:tcPr>
          <w:p w14:paraId="5A486EA3">
            <w:pPr>
              <w:spacing w:line="249" w:lineRule="auto"/>
              <w:rPr>
                <w:rFonts w:ascii="Arial"/>
                <w:sz w:val="21"/>
              </w:rPr>
            </w:pPr>
          </w:p>
          <w:p w14:paraId="52D03F9D">
            <w:pPr>
              <w:spacing w:line="249" w:lineRule="auto"/>
              <w:rPr>
                <w:rFonts w:ascii="Arial"/>
                <w:sz w:val="21"/>
              </w:rPr>
            </w:pPr>
          </w:p>
          <w:p w14:paraId="500281B6">
            <w:pPr>
              <w:spacing w:line="250" w:lineRule="auto"/>
              <w:rPr>
                <w:rFonts w:ascii="Arial"/>
                <w:sz w:val="21"/>
              </w:rPr>
            </w:pPr>
          </w:p>
          <w:p w14:paraId="71A3E858">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77630D2">
            <w:pPr>
              <w:pStyle w:val="6"/>
              <w:spacing w:before="177" w:line="188" w:lineRule="auto"/>
              <w:ind w:left="117" w:right="105" w:firstLine="8"/>
              <w:jc w:val="both"/>
            </w:pPr>
            <w:r>
              <w:rPr>
                <w:spacing w:val="25"/>
              </w:rPr>
              <w:t>故意提供虚假情况</w:t>
            </w:r>
            <w:r>
              <w:rPr>
                <w:spacing w:val="26"/>
              </w:rPr>
              <w:t>或者隐瞒存在的事故隐患以及其他安</w:t>
            </w:r>
            <w:r>
              <w:rPr>
                <w:spacing w:val="-5"/>
              </w:rPr>
              <w:t>全问题，涉及</w:t>
            </w:r>
            <w:r>
              <w:rPr>
                <w:rFonts w:ascii="宋体" w:hAnsi="宋体" w:eastAsia="宋体" w:cs="宋体"/>
                <w:spacing w:val="-5"/>
              </w:rPr>
              <w:t>3</w:t>
            </w:r>
            <w:r>
              <w:rPr>
                <w:spacing w:val="-5"/>
              </w:rPr>
              <w:t>处以</w:t>
            </w:r>
            <w:r>
              <w:rPr>
                <w:spacing w:val="2"/>
              </w:rPr>
              <w:t>上</w:t>
            </w:r>
            <w:r>
              <w:rPr>
                <w:rFonts w:ascii="宋体" w:hAnsi="宋体" w:eastAsia="宋体" w:cs="宋体"/>
                <w:spacing w:val="2"/>
              </w:rPr>
              <w:t>7</w:t>
            </w:r>
            <w:r>
              <w:rPr>
                <w:spacing w:val="2"/>
              </w:rPr>
              <w:t>处以下的</w:t>
            </w:r>
          </w:p>
        </w:tc>
        <w:tc>
          <w:tcPr>
            <w:tcW w:w="2894" w:type="dxa"/>
            <w:vAlign w:val="top"/>
          </w:tcPr>
          <w:p w14:paraId="2D9B414A">
            <w:pPr>
              <w:pStyle w:val="6"/>
              <w:spacing w:before="28" w:line="179" w:lineRule="auto"/>
              <w:ind w:left="127" w:right="104" w:hanging="1"/>
              <w:jc w:val="both"/>
            </w:pPr>
            <w:r>
              <w:rPr>
                <w:spacing w:val="7"/>
              </w:rPr>
              <w:t>给予警告，可以对生产经</w:t>
            </w:r>
            <w:r>
              <w:rPr>
                <w:spacing w:val="5"/>
              </w:rPr>
              <w:t>营单位处</w:t>
            </w:r>
            <w:r>
              <w:rPr>
                <w:rFonts w:ascii="宋体" w:hAnsi="宋体" w:eastAsia="宋体" w:cs="宋体"/>
                <w:spacing w:val="5"/>
              </w:rPr>
              <w:t>1.5</w:t>
            </w:r>
            <w:r>
              <w:rPr>
                <w:spacing w:val="5"/>
              </w:rPr>
              <w:t>万元以上</w:t>
            </w:r>
            <w:r>
              <w:rPr>
                <w:rFonts w:ascii="宋体" w:hAnsi="宋体" w:eastAsia="宋体" w:cs="宋体"/>
                <w:spacing w:val="5"/>
              </w:rPr>
              <w:t>2</w:t>
            </w:r>
            <w:r>
              <w:rPr>
                <w:spacing w:val="7"/>
              </w:rPr>
              <w:t>万元以下罚款，对其主要负责人、其他有关人员处</w:t>
            </w:r>
            <w:r>
              <w:rPr>
                <w:rFonts w:ascii="宋体" w:hAnsi="宋体" w:eastAsia="宋体" w:cs="宋体"/>
                <w:spacing w:val="6"/>
              </w:rPr>
              <w:t>1</w:t>
            </w:r>
            <w:r>
              <w:rPr>
                <w:spacing w:val="6"/>
              </w:rPr>
              <w:t>千元以上</w:t>
            </w:r>
            <w:r>
              <w:rPr>
                <w:rFonts w:ascii="宋体" w:hAnsi="宋体" w:eastAsia="宋体" w:cs="宋体"/>
                <w:spacing w:val="6"/>
              </w:rPr>
              <w:t>1</w:t>
            </w:r>
            <w:r>
              <w:rPr>
                <w:spacing w:val="6"/>
              </w:rPr>
              <w:t>万元以下的</w:t>
            </w:r>
            <w:r>
              <w:rPr>
                <w:spacing w:val="-1"/>
              </w:rPr>
              <w:t>罚款</w:t>
            </w:r>
          </w:p>
        </w:tc>
        <w:tc>
          <w:tcPr>
            <w:tcW w:w="811" w:type="dxa"/>
            <w:vMerge w:val="continue"/>
            <w:tcBorders>
              <w:top w:val="nil"/>
              <w:bottom w:val="nil"/>
            </w:tcBorders>
            <w:vAlign w:val="top"/>
          </w:tcPr>
          <w:p w14:paraId="08C52B77">
            <w:pPr>
              <w:rPr>
                <w:rFonts w:ascii="Arial"/>
                <w:sz w:val="21"/>
              </w:rPr>
            </w:pPr>
          </w:p>
        </w:tc>
      </w:tr>
      <w:tr w14:paraId="7473C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tcBorders>
            <w:vAlign w:val="top"/>
          </w:tcPr>
          <w:p w14:paraId="1D5BBA31">
            <w:pPr>
              <w:rPr>
                <w:rFonts w:ascii="Arial"/>
                <w:sz w:val="21"/>
              </w:rPr>
            </w:pPr>
          </w:p>
        </w:tc>
        <w:tc>
          <w:tcPr>
            <w:tcW w:w="1440" w:type="dxa"/>
            <w:vMerge w:val="continue"/>
            <w:tcBorders>
              <w:top w:val="nil"/>
            </w:tcBorders>
            <w:vAlign w:val="top"/>
          </w:tcPr>
          <w:p w14:paraId="777D473D">
            <w:pPr>
              <w:rPr>
                <w:rFonts w:ascii="Arial"/>
                <w:sz w:val="21"/>
              </w:rPr>
            </w:pPr>
          </w:p>
        </w:tc>
        <w:tc>
          <w:tcPr>
            <w:tcW w:w="3202" w:type="dxa"/>
            <w:vMerge w:val="continue"/>
            <w:tcBorders>
              <w:top w:val="nil"/>
            </w:tcBorders>
            <w:vAlign w:val="top"/>
          </w:tcPr>
          <w:p w14:paraId="47AD9124">
            <w:pPr>
              <w:rPr>
                <w:rFonts w:ascii="Arial"/>
                <w:sz w:val="21"/>
              </w:rPr>
            </w:pPr>
          </w:p>
        </w:tc>
        <w:tc>
          <w:tcPr>
            <w:tcW w:w="2859" w:type="dxa"/>
            <w:vMerge w:val="continue"/>
            <w:tcBorders>
              <w:top w:val="nil"/>
            </w:tcBorders>
            <w:vAlign w:val="top"/>
          </w:tcPr>
          <w:p w14:paraId="10C9EAC7">
            <w:pPr>
              <w:rPr>
                <w:rFonts w:ascii="Arial"/>
                <w:sz w:val="21"/>
              </w:rPr>
            </w:pPr>
          </w:p>
        </w:tc>
        <w:tc>
          <w:tcPr>
            <w:tcW w:w="803" w:type="dxa"/>
            <w:vAlign w:val="top"/>
          </w:tcPr>
          <w:p w14:paraId="1AC9FED8">
            <w:pPr>
              <w:spacing w:line="249" w:lineRule="auto"/>
              <w:rPr>
                <w:rFonts w:ascii="Arial"/>
                <w:sz w:val="21"/>
              </w:rPr>
            </w:pPr>
          </w:p>
          <w:p w14:paraId="6033B2EB">
            <w:pPr>
              <w:spacing w:line="249" w:lineRule="auto"/>
              <w:rPr>
                <w:rFonts w:ascii="Arial"/>
                <w:sz w:val="21"/>
              </w:rPr>
            </w:pPr>
          </w:p>
          <w:p w14:paraId="26887108">
            <w:pPr>
              <w:spacing w:line="249" w:lineRule="auto"/>
              <w:rPr>
                <w:rFonts w:ascii="Arial"/>
                <w:sz w:val="21"/>
              </w:rPr>
            </w:pPr>
          </w:p>
          <w:p w14:paraId="0646DF43">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2B0E0082">
            <w:pPr>
              <w:pStyle w:val="6"/>
              <w:spacing w:before="183" w:line="188" w:lineRule="auto"/>
              <w:ind w:left="117" w:right="105" w:firstLine="8"/>
              <w:jc w:val="both"/>
            </w:pPr>
            <w:r>
              <w:rPr>
                <w:spacing w:val="25"/>
              </w:rPr>
              <w:t>故意提供虚假情况</w:t>
            </w:r>
            <w:r>
              <w:rPr>
                <w:spacing w:val="26"/>
              </w:rPr>
              <w:t>或者隐瞒存在的事故隐患以及其他安</w:t>
            </w:r>
            <w:r>
              <w:rPr>
                <w:spacing w:val="-5"/>
              </w:rPr>
              <w:t>全问题，涉及</w:t>
            </w:r>
            <w:r>
              <w:rPr>
                <w:rFonts w:ascii="宋体" w:hAnsi="宋体" w:eastAsia="宋体" w:cs="宋体"/>
                <w:spacing w:val="-5"/>
              </w:rPr>
              <w:t>7</w:t>
            </w:r>
            <w:r>
              <w:rPr>
                <w:spacing w:val="-5"/>
              </w:rPr>
              <w:t>处以</w:t>
            </w:r>
            <w:r>
              <w:rPr>
                <w:spacing w:val="2"/>
              </w:rPr>
              <w:t>上的</w:t>
            </w:r>
          </w:p>
        </w:tc>
        <w:tc>
          <w:tcPr>
            <w:tcW w:w="2894" w:type="dxa"/>
            <w:vAlign w:val="top"/>
          </w:tcPr>
          <w:p w14:paraId="58E1F357">
            <w:pPr>
              <w:pStyle w:val="6"/>
              <w:spacing w:before="28" w:line="179" w:lineRule="auto"/>
              <w:ind w:left="122" w:right="104" w:firstLine="3"/>
              <w:jc w:val="both"/>
            </w:pPr>
            <w:r>
              <w:rPr>
                <w:spacing w:val="7"/>
              </w:rPr>
              <w:t>给予警告，可以对生产经</w:t>
            </w:r>
            <w:r>
              <w:rPr>
                <w:spacing w:val="3"/>
              </w:rPr>
              <w:t>营单位处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w:t>
            </w:r>
            <w:r>
              <w:rPr>
                <w:spacing w:val="8"/>
              </w:rPr>
              <w:t>元以下罚款，对其主要负</w:t>
            </w:r>
            <w:r>
              <w:rPr>
                <w:spacing w:val="13"/>
              </w:rPr>
              <w:t>责人、其他有关人员处</w:t>
            </w:r>
            <w:r>
              <w:rPr>
                <w:rFonts w:ascii="宋体" w:hAnsi="宋体" w:eastAsia="宋体" w:cs="宋体"/>
                <w:spacing w:val="13"/>
              </w:rPr>
              <w:t>1</w:t>
            </w:r>
            <w:r>
              <w:rPr>
                <w:spacing w:val="5"/>
              </w:rPr>
              <w:t>千元以上</w:t>
            </w:r>
            <w:r>
              <w:rPr>
                <w:rFonts w:ascii="宋体" w:hAnsi="宋体" w:eastAsia="宋体" w:cs="宋体"/>
                <w:spacing w:val="5"/>
              </w:rPr>
              <w:t>1</w:t>
            </w:r>
            <w:r>
              <w:rPr>
                <w:spacing w:val="5"/>
              </w:rPr>
              <w:t>万元以下的罚</w:t>
            </w:r>
            <w:r>
              <w:t>款</w:t>
            </w:r>
          </w:p>
        </w:tc>
        <w:tc>
          <w:tcPr>
            <w:tcW w:w="811" w:type="dxa"/>
            <w:vMerge w:val="continue"/>
            <w:tcBorders>
              <w:top w:val="nil"/>
            </w:tcBorders>
            <w:vAlign w:val="top"/>
          </w:tcPr>
          <w:p w14:paraId="61F6E15F">
            <w:pPr>
              <w:rPr>
                <w:rFonts w:ascii="Arial"/>
                <w:sz w:val="21"/>
              </w:rPr>
            </w:pPr>
          </w:p>
        </w:tc>
      </w:tr>
      <w:tr w14:paraId="4169F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818" w:type="dxa"/>
            <w:vAlign w:val="top"/>
          </w:tcPr>
          <w:p w14:paraId="22187558">
            <w:pPr>
              <w:spacing w:line="250" w:lineRule="auto"/>
              <w:rPr>
                <w:rFonts w:ascii="Arial"/>
                <w:sz w:val="21"/>
              </w:rPr>
            </w:pPr>
          </w:p>
          <w:p w14:paraId="7AFE02C7">
            <w:pPr>
              <w:spacing w:line="251" w:lineRule="auto"/>
              <w:rPr>
                <w:rFonts w:ascii="Arial"/>
                <w:sz w:val="21"/>
              </w:rPr>
            </w:pPr>
          </w:p>
          <w:p w14:paraId="44C950F2">
            <w:pPr>
              <w:spacing w:line="251" w:lineRule="auto"/>
              <w:rPr>
                <w:rFonts w:ascii="Arial"/>
                <w:sz w:val="21"/>
              </w:rPr>
            </w:pPr>
          </w:p>
          <w:p w14:paraId="5192F128">
            <w:pPr>
              <w:spacing w:before="74" w:line="185" w:lineRule="auto"/>
              <w:ind w:left="324"/>
              <w:rPr>
                <w:rFonts w:ascii="仿宋" w:hAnsi="仿宋" w:eastAsia="仿宋" w:cs="仿宋"/>
                <w:sz w:val="23"/>
                <w:szCs w:val="23"/>
              </w:rPr>
            </w:pPr>
            <w:r>
              <w:rPr>
                <w:rFonts w:ascii="仿宋" w:hAnsi="仿宋" w:eastAsia="仿宋" w:cs="仿宋"/>
                <w:sz w:val="23"/>
                <w:szCs w:val="23"/>
              </w:rPr>
              <w:t>9</w:t>
            </w:r>
          </w:p>
        </w:tc>
        <w:tc>
          <w:tcPr>
            <w:tcW w:w="1440" w:type="dxa"/>
            <w:vAlign w:val="top"/>
          </w:tcPr>
          <w:p w14:paraId="70677C02">
            <w:pPr>
              <w:pStyle w:val="6"/>
              <w:spacing w:before="31" w:line="179" w:lineRule="auto"/>
              <w:ind w:left="113" w:right="111" w:firstLine="15"/>
              <w:jc w:val="both"/>
            </w:pPr>
            <w:r>
              <w:rPr>
                <w:spacing w:val="8"/>
              </w:rPr>
              <w:t>生产经营单</w:t>
            </w:r>
            <w:r>
              <w:rPr>
                <w:spacing w:val="12"/>
              </w:rPr>
              <w:t>位及其主要负责人或者其他人员拒不执行依法下达的安全</w:t>
            </w:r>
          </w:p>
        </w:tc>
        <w:tc>
          <w:tcPr>
            <w:tcW w:w="3202" w:type="dxa"/>
            <w:vAlign w:val="top"/>
          </w:tcPr>
          <w:p w14:paraId="53029211">
            <w:pPr>
              <w:rPr>
                <w:rFonts w:ascii="Arial"/>
                <w:sz w:val="21"/>
              </w:rPr>
            </w:pPr>
          </w:p>
        </w:tc>
        <w:tc>
          <w:tcPr>
            <w:tcW w:w="2859" w:type="dxa"/>
            <w:vAlign w:val="top"/>
          </w:tcPr>
          <w:p w14:paraId="7C5A1E82">
            <w:pPr>
              <w:pStyle w:val="6"/>
              <w:spacing w:before="31" w:line="179" w:lineRule="auto"/>
              <w:ind w:left="116" w:right="97" w:hanging="19"/>
              <w:jc w:val="both"/>
            </w:pPr>
            <w:r>
              <w:rPr>
                <w:spacing w:val="10"/>
              </w:rPr>
              <w:t>【部门规章】《安全生产</w:t>
            </w:r>
            <w:r>
              <w:rPr>
                <w:spacing w:val="9"/>
              </w:rPr>
              <w:t>违法行为行政处罚办法》</w:t>
            </w:r>
            <w:r>
              <w:rPr>
                <w:spacing w:val="8"/>
              </w:rPr>
              <w:t>第四十五条第七项：生产经营单位及其主要负责人或者其他人员有下列行为</w:t>
            </w:r>
            <w:r>
              <w:rPr>
                <w:spacing w:val="2"/>
              </w:rPr>
              <w:t>之一的，给予警告，并可</w:t>
            </w:r>
          </w:p>
        </w:tc>
        <w:tc>
          <w:tcPr>
            <w:tcW w:w="803" w:type="dxa"/>
            <w:vAlign w:val="top"/>
          </w:tcPr>
          <w:p w14:paraId="3E74FB82">
            <w:pPr>
              <w:spacing w:line="248" w:lineRule="auto"/>
              <w:rPr>
                <w:rFonts w:ascii="Arial"/>
                <w:sz w:val="21"/>
              </w:rPr>
            </w:pPr>
          </w:p>
          <w:p w14:paraId="78825710">
            <w:pPr>
              <w:spacing w:line="248" w:lineRule="auto"/>
              <w:rPr>
                <w:rFonts w:ascii="Arial"/>
                <w:sz w:val="21"/>
              </w:rPr>
            </w:pPr>
          </w:p>
          <w:p w14:paraId="544E427E">
            <w:pPr>
              <w:spacing w:line="249" w:lineRule="auto"/>
              <w:rPr>
                <w:rFonts w:ascii="Arial"/>
                <w:sz w:val="21"/>
              </w:rPr>
            </w:pPr>
          </w:p>
          <w:p w14:paraId="634294C6">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A33E7A4">
            <w:pPr>
              <w:pStyle w:val="6"/>
              <w:spacing w:before="331" w:line="189" w:lineRule="auto"/>
              <w:ind w:left="115" w:right="109" w:firstLine="5"/>
              <w:jc w:val="both"/>
            </w:pPr>
            <w:r>
              <w:rPr>
                <w:spacing w:val="25"/>
              </w:rPr>
              <w:t>拒不执行安全监管</w:t>
            </w:r>
            <w:r>
              <w:rPr>
                <w:spacing w:val="26"/>
              </w:rPr>
              <w:t>监察部门依法下达的安全监管监察指</w:t>
            </w:r>
            <w:r>
              <w:rPr>
                <w:spacing w:val="-6"/>
              </w:rPr>
              <w:t>令</w:t>
            </w:r>
            <w:r>
              <w:rPr>
                <w:rFonts w:ascii="宋体" w:hAnsi="宋体" w:eastAsia="宋体" w:cs="宋体"/>
                <w:spacing w:val="-6"/>
              </w:rPr>
              <w:t>1</w:t>
            </w:r>
            <w:r>
              <w:rPr>
                <w:spacing w:val="-6"/>
              </w:rPr>
              <w:t>项的</w:t>
            </w:r>
          </w:p>
        </w:tc>
        <w:tc>
          <w:tcPr>
            <w:tcW w:w="2894" w:type="dxa"/>
            <w:vAlign w:val="top"/>
          </w:tcPr>
          <w:p w14:paraId="15C39184">
            <w:pPr>
              <w:pStyle w:val="6"/>
              <w:spacing w:before="31" w:line="179" w:lineRule="auto"/>
              <w:ind w:left="127" w:right="104" w:hanging="1"/>
              <w:jc w:val="both"/>
            </w:pPr>
            <w:r>
              <w:rPr>
                <w:spacing w:val="7"/>
              </w:rPr>
              <w:t>给予警告，可以对生产经</w:t>
            </w:r>
            <w:r>
              <w:rPr>
                <w:spacing w:val="5"/>
              </w:rPr>
              <w:t>营单位处</w:t>
            </w:r>
            <w:r>
              <w:rPr>
                <w:rFonts w:ascii="宋体" w:hAnsi="宋体" w:eastAsia="宋体" w:cs="宋体"/>
                <w:spacing w:val="5"/>
              </w:rPr>
              <w:t>1</w:t>
            </w:r>
            <w:r>
              <w:rPr>
                <w:spacing w:val="5"/>
              </w:rPr>
              <w:t>万元以上</w:t>
            </w:r>
            <w:r>
              <w:rPr>
                <w:rFonts w:ascii="宋体" w:hAnsi="宋体" w:eastAsia="宋体" w:cs="宋体"/>
                <w:spacing w:val="5"/>
              </w:rPr>
              <w:t>1.5</w:t>
            </w:r>
            <w:r>
              <w:rPr>
                <w:spacing w:val="7"/>
              </w:rPr>
              <w:t>万元以下罚款，对其主要负责人、其他有关人员处</w:t>
            </w:r>
            <w:r>
              <w:rPr>
                <w:rFonts w:ascii="宋体" w:hAnsi="宋体" w:eastAsia="宋体" w:cs="宋体"/>
                <w:spacing w:val="6"/>
              </w:rPr>
              <w:t>1</w:t>
            </w:r>
            <w:r>
              <w:rPr>
                <w:spacing w:val="6"/>
              </w:rPr>
              <w:t>千元以上</w:t>
            </w:r>
            <w:r>
              <w:rPr>
                <w:rFonts w:ascii="宋体" w:hAnsi="宋体" w:eastAsia="宋体" w:cs="宋体"/>
                <w:spacing w:val="6"/>
              </w:rPr>
              <w:t>1</w:t>
            </w:r>
            <w:r>
              <w:rPr>
                <w:spacing w:val="6"/>
              </w:rPr>
              <w:t>万元以下的</w:t>
            </w:r>
            <w:r>
              <w:rPr>
                <w:spacing w:val="-1"/>
              </w:rPr>
              <w:t>罚款</w:t>
            </w:r>
          </w:p>
        </w:tc>
        <w:tc>
          <w:tcPr>
            <w:tcW w:w="811" w:type="dxa"/>
            <w:vAlign w:val="top"/>
          </w:tcPr>
          <w:p w14:paraId="4C782BDD">
            <w:pPr>
              <w:spacing w:line="249" w:lineRule="auto"/>
              <w:rPr>
                <w:rFonts w:ascii="Arial"/>
                <w:sz w:val="21"/>
              </w:rPr>
            </w:pPr>
          </w:p>
          <w:p w14:paraId="1F624472">
            <w:pPr>
              <w:spacing w:line="249" w:lineRule="auto"/>
              <w:rPr>
                <w:rFonts w:ascii="Arial"/>
                <w:sz w:val="21"/>
              </w:rPr>
            </w:pPr>
          </w:p>
          <w:p w14:paraId="6692BC7A">
            <w:pPr>
              <w:spacing w:line="250" w:lineRule="auto"/>
              <w:rPr>
                <w:rFonts w:ascii="Arial"/>
                <w:sz w:val="21"/>
              </w:rPr>
            </w:pPr>
          </w:p>
          <w:p w14:paraId="4A70B965">
            <w:pPr>
              <w:spacing w:before="75" w:line="188" w:lineRule="auto"/>
              <w:ind w:left="355"/>
              <w:rPr>
                <w:rFonts w:ascii="宋体" w:hAnsi="宋体" w:eastAsia="宋体" w:cs="宋体"/>
                <w:sz w:val="23"/>
                <w:szCs w:val="23"/>
              </w:rPr>
            </w:pPr>
            <w:r>
              <w:rPr>
                <w:rFonts w:ascii="宋体" w:hAnsi="宋体" w:eastAsia="宋体" w:cs="宋体"/>
                <w:sz w:val="23"/>
                <w:szCs w:val="23"/>
              </w:rPr>
              <w:t>3</w:t>
            </w:r>
          </w:p>
        </w:tc>
      </w:tr>
    </w:tbl>
    <w:p w14:paraId="480847F7">
      <w:pPr>
        <w:pStyle w:val="2"/>
      </w:pPr>
    </w:p>
    <w:p w14:paraId="62CD450C">
      <w:pPr>
        <w:sectPr>
          <w:footerReference r:id="rId26" w:type="default"/>
          <w:pgSz w:w="16839" w:h="11906"/>
          <w:pgMar w:top="1012" w:right="821" w:bottom="666" w:left="901" w:header="0" w:footer="388" w:gutter="0"/>
          <w:cols w:space="720" w:num="1"/>
        </w:sectPr>
      </w:pPr>
    </w:p>
    <w:p w14:paraId="6016E575">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8A36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8B08F54">
            <w:pPr>
              <w:spacing w:before="222" w:line="241" w:lineRule="auto"/>
              <w:ind w:left="131"/>
              <w:outlineLvl w:val="0"/>
              <w:rPr>
                <w:rFonts w:ascii="黑体" w:hAnsi="黑体" w:eastAsia="黑体" w:cs="黑体"/>
                <w:sz w:val="28"/>
                <w:szCs w:val="28"/>
              </w:rPr>
            </w:pPr>
            <w:bookmarkStart w:id="370" w:name="bookmark479"/>
            <w:bookmarkEnd w:id="370"/>
            <w:bookmarkStart w:id="371" w:name="bookmark24"/>
            <w:bookmarkEnd w:id="371"/>
            <w:r>
              <w:rPr>
                <w:rFonts w:ascii="黑体" w:hAnsi="黑体" w:eastAsia="黑体" w:cs="黑体"/>
                <w:spacing w:val="-2"/>
                <w:sz w:val="28"/>
                <w:szCs w:val="28"/>
              </w:rPr>
              <w:t>序号</w:t>
            </w:r>
          </w:p>
        </w:tc>
        <w:tc>
          <w:tcPr>
            <w:tcW w:w="1440" w:type="dxa"/>
            <w:vAlign w:val="top"/>
          </w:tcPr>
          <w:p w14:paraId="399496C1">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617214A">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657018C">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52D8BC8">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C8A27B2">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26F102A">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10276B0">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61F7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restart"/>
            <w:tcBorders>
              <w:bottom w:val="nil"/>
            </w:tcBorders>
            <w:vAlign w:val="top"/>
          </w:tcPr>
          <w:p w14:paraId="1300EF66">
            <w:pPr>
              <w:rPr>
                <w:rFonts w:ascii="Arial"/>
                <w:sz w:val="21"/>
              </w:rPr>
            </w:pPr>
          </w:p>
        </w:tc>
        <w:tc>
          <w:tcPr>
            <w:tcW w:w="1440" w:type="dxa"/>
            <w:vMerge w:val="restart"/>
            <w:tcBorders>
              <w:bottom w:val="nil"/>
            </w:tcBorders>
            <w:vAlign w:val="top"/>
          </w:tcPr>
          <w:p w14:paraId="2B1B88FB">
            <w:pPr>
              <w:pStyle w:val="6"/>
              <w:spacing w:before="28" w:line="195" w:lineRule="auto"/>
              <w:ind w:left="113" w:right="111" w:firstLine="5"/>
            </w:pPr>
            <w:r>
              <w:rPr>
                <w:spacing w:val="10"/>
              </w:rPr>
              <w:t>监管监察指</w:t>
            </w:r>
            <w:r>
              <w:rPr>
                <w:spacing w:val="3"/>
              </w:rPr>
              <w:t>令的</w:t>
            </w:r>
          </w:p>
        </w:tc>
        <w:tc>
          <w:tcPr>
            <w:tcW w:w="3202" w:type="dxa"/>
            <w:vMerge w:val="restart"/>
            <w:tcBorders>
              <w:bottom w:val="nil"/>
            </w:tcBorders>
            <w:vAlign w:val="top"/>
          </w:tcPr>
          <w:p w14:paraId="2BDDBE10">
            <w:pPr>
              <w:rPr>
                <w:rFonts w:ascii="Arial"/>
                <w:sz w:val="21"/>
              </w:rPr>
            </w:pPr>
          </w:p>
        </w:tc>
        <w:tc>
          <w:tcPr>
            <w:tcW w:w="2859" w:type="dxa"/>
            <w:vMerge w:val="restart"/>
            <w:tcBorders>
              <w:bottom w:val="nil"/>
            </w:tcBorders>
            <w:vAlign w:val="top"/>
          </w:tcPr>
          <w:p w14:paraId="380EA488">
            <w:pPr>
              <w:pStyle w:val="6"/>
              <w:spacing w:before="23" w:line="186" w:lineRule="auto"/>
              <w:ind w:left="118" w:right="105" w:firstLine="27"/>
            </w:pPr>
            <w:r>
              <w:t>以对生产经营单位处</w:t>
            </w:r>
            <w:r>
              <w:rPr>
                <w:rFonts w:ascii="宋体" w:hAnsi="宋体" w:eastAsia="宋体" w:cs="宋体"/>
              </w:rPr>
              <w:t>1</w:t>
            </w:r>
            <w:r>
              <w:t>万</w:t>
            </w:r>
            <w:r>
              <w:rPr>
                <w:spacing w:val="1"/>
              </w:rPr>
              <w:t>元以上</w:t>
            </w:r>
            <w:r>
              <w:rPr>
                <w:rFonts w:ascii="宋体" w:hAnsi="宋体" w:eastAsia="宋体" w:cs="宋体"/>
                <w:spacing w:val="1"/>
              </w:rPr>
              <w:t>3</w:t>
            </w:r>
            <w:r>
              <w:rPr>
                <w:spacing w:val="1"/>
              </w:rPr>
              <w:t>万元以下罚款，</w:t>
            </w:r>
            <w:r>
              <w:rPr>
                <w:spacing w:val="8"/>
              </w:rPr>
              <w:t>对其主要负责人、其他有</w:t>
            </w:r>
            <w:r>
              <w:rPr>
                <w:spacing w:val="-2"/>
              </w:rPr>
              <w:t>关人员处</w:t>
            </w:r>
            <w:r>
              <w:rPr>
                <w:rFonts w:ascii="宋体" w:hAnsi="宋体" w:eastAsia="宋体" w:cs="宋体"/>
                <w:spacing w:val="-2"/>
              </w:rPr>
              <w:t>1</w:t>
            </w:r>
            <w:r>
              <w:rPr>
                <w:spacing w:val="-2"/>
              </w:rPr>
              <w:t>千元以上</w:t>
            </w:r>
            <w:r>
              <w:rPr>
                <w:rFonts w:ascii="宋体" w:hAnsi="宋体" w:eastAsia="宋体" w:cs="宋体"/>
                <w:spacing w:val="-2"/>
              </w:rPr>
              <w:t>1</w:t>
            </w:r>
            <w:r>
              <w:rPr>
                <w:spacing w:val="-2"/>
              </w:rPr>
              <w:t>万</w:t>
            </w:r>
            <w:r>
              <w:rPr>
                <w:spacing w:val="8"/>
              </w:rPr>
              <w:t>元以下的罚款</w:t>
            </w:r>
            <w:r>
              <w:rPr>
                <w:spacing w:val="9"/>
              </w:rPr>
              <w:t>：（</w:t>
            </w:r>
            <w:r>
              <w:rPr>
                <w:spacing w:val="8"/>
              </w:rPr>
              <w:t>七）拒不执行安全监管监察部门依法下达的安全监管监察</w:t>
            </w:r>
            <w:r>
              <w:rPr>
                <w:spacing w:val="-2"/>
              </w:rPr>
              <w:t>指令的。</w:t>
            </w:r>
          </w:p>
        </w:tc>
        <w:tc>
          <w:tcPr>
            <w:tcW w:w="803" w:type="dxa"/>
            <w:vAlign w:val="top"/>
          </w:tcPr>
          <w:p w14:paraId="081D7103">
            <w:pPr>
              <w:spacing w:line="248" w:lineRule="auto"/>
              <w:rPr>
                <w:rFonts w:ascii="Arial"/>
                <w:sz w:val="21"/>
              </w:rPr>
            </w:pPr>
          </w:p>
          <w:p w14:paraId="39BC2AE0">
            <w:pPr>
              <w:spacing w:line="248" w:lineRule="auto"/>
              <w:rPr>
                <w:rFonts w:ascii="Arial"/>
                <w:sz w:val="21"/>
              </w:rPr>
            </w:pPr>
          </w:p>
          <w:p w14:paraId="2A2BBEAF">
            <w:pPr>
              <w:spacing w:line="248" w:lineRule="auto"/>
              <w:rPr>
                <w:rFonts w:ascii="Arial"/>
                <w:sz w:val="21"/>
              </w:rPr>
            </w:pPr>
          </w:p>
          <w:p w14:paraId="6F254D3D">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3F52857">
            <w:pPr>
              <w:pStyle w:val="6"/>
              <w:spacing w:before="326" w:line="189" w:lineRule="auto"/>
              <w:ind w:left="115" w:right="109" w:firstLine="5"/>
              <w:jc w:val="both"/>
            </w:pPr>
            <w:r>
              <w:rPr>
                <w:spacing w:val="25"/>
              </w:rPr>
              <w:t>拒不执行安全监管</w:t>
            </w:r>
            <w:r>
              <w:rPr>
                <w:spacing w:val="26"/>
              </w:rPr>
              <w:t>监察部门依法下达的安全监管监察指</w:t>
            </w:r>
            <w:r>
              <w:rPr>
                <w:spacing w:val="-1"/>
              </w:rPr>
              <w:t>令</w:t>
            </w:r>
            <w:r>
              <w:rPr>
                <w:rFonts w:ascii="宋体" w:hAnsi="宋体" w:eastAsia="宋体" w:cs="宋体"/>
                <w:spacing w:val="-1"/>
              </w:rPr>
              <w:t>2</w:t>
            </w:r>
            <w:r>
              <w:rPr>
                <w:spacing w:val="-1"/>
              </w:rPr>
              <w:t>项的</w:t>
            </w:r>
          </w:p>
        </w:tc>
        <w:tc>
          <w:tcPr>
            <w:tcW w:w="2894" w:type="dxa"/>
            <w:vAlign w:val="top"/>
          </w:tcPr>
          <w:p w14:paraId="6128BFD3">
            <w:pPr>
              <w:pStyle w:val="6"/>
              <w:spacing w:before="28" w:line="179" w:lineRule="auto"/>
              <w:ind w:left="127" w:right="104" w:hanging="1"/>
              <w:jc w:val="both"/>
            </w:pPr>
            <w:r>
              <w:rPr>
                <w:spacing w:val="7"/>
              </w:rPr>
              <w:t>给予警告，可以对生产经</w:t>
            </w:r>
            <w:r>
              <w:rPr>
                <w:spacing w:val="5"/>
              </w:rPr>
              <w:t>营单位处</w:t>
            </w:r>
            <w:r>
              <w:rPr>
                <w:rFonts w:ascii="宋体" w:hAnsi="宋体" w:eastAsia="宋体" w:cs="宋体"/>
                <w:spacing w:val="5"/>
              </w:rPr>
              <w:t>1.5</w:t>
            </w:r>
            <w:r>
              <w:rPr>
                <w:spacing w:val="5"/>
              </w:rPr>
              <w:t>万元以上</w:t>
            </w:r>
            <w:r>
              <w:rPr>
                <w:rFonts w:ascii="宋体" w:hAnsi="宋体" w:eastAsia="宋体" w:cs="宋体"/>
                <w:spacing w:val="5"/>
              </w:rPr>
              <w:t>2</w:t>
            </w:r>
            <w:r>
              <w:rPr>
                <w:spacing w:val="7"/>
              </w:rPr>
              <w:t>万元以下罚款，对其主要负责人、其他有关人员处</w:t>
            </w:r>
            <w:r>
              <w:rPr>
                <w:rFonts w:ascii="宋体" w:hAnsi="宋体" w:eastAsia="宋体" w:cs="宋体"/>
                <w:spacing w:val="6"/>
              </w:rPr>
              <w:t>1</w:t>
            </w:r>
            <w:r>
              <w:rPr>
                <w:spacing w:val="6"/>
              </w:rPr>
              <w:t>千元以上</w:t>
            </w:r>
            <w:r>
              <w:rPr>
                <w:rFonts w:ascii="宋体" w:hAnsi="宋体" w:eastAsia="宋体" w:cs="宋体"/>
                <w:spacing w:val="6"/>
              </w:rPr>
              <w:t>1</w:t>
            </w:r>
            <w:r>
              <w:rPr>
                <w:spacing w:val="6"/>
              </w:rPr>
              <w:t>万元以下的</w:t>
            </w:r>
            <w:r>
              <w:rPr>
                <w:spacing w:val="-1"/>
              </w:rPr>
              <w:t>罚款</w:t>
            </w:r>
          </w:p>
        </w:tc>
        <w:tc>
          <w:tcPr>
            <w:tcW w:w="811" w:type="dxa"/>
            <w:vMerge w:val="restart"/>
            <w:tcBorders>
              <w:bottom w:val="nil"/>
            </w:tcBorders>
            <w:vAlign w:val="top"/>
          </w:tcPr>
          <w:p w14:paraId="6CC42B90">
            <w:pPr>
              <w:rPr>
                <w:rFonts w:ascii="Arial"/>
                <w:sz w:val="21"/>
              </w:rPr>
            </w:pPr>
          </w:p>
        </w:tc>
      </w:tr>
      <w:tr w14:paraId="00E4A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tcBorders>
            <w:vAlign w:val="top"/>
          </w:tcPr>
          <w:p w14:paraId="79BB0C12">
            <w:pPr>
              <w:rPr>
                <w:rFonts w:ascii="Arial"/>
                <w:sz w:val="21"/>
              </w:rPr>
            </w:pPr>
          </w:p>
        </w:tc>
        <w:tc>
          <w:tcPr>
            <w:tcW w:w="1440" w:type="dxa"/>
            <w:vMerge w:val="continue"/>
            <w:tcBorders>
              <w:top w:val="nil"/>
            </w:tcBorders>
            <w:vAlign w:val="top"/>
          </w:tcPr>
          <w:p w14:paraId="6138057D">
            <w:pPr>
              <w:rPr>
                <w:rFonts w:ascii="Arial"/>
                <w:sz w:val="21"/>
              </w:rPr>
            </w:pPr>
          </w:p>
        </w:tc>
        <w:tc>
          <w:tcPr>
            <w:tcW w:w="3202" w:type="dxa"/>
            <w:vMerge w:val="continue"/>
            <w:tcBorders>
              <w:top w:val="nil"/>
            </w:tcBorders>
            <w:vAlign w:val="top"/>
          </w:tcPr>
          <w:p w14:paraId="6720CDD6">
            <w:pPr>
              <w:rPr>
                <w:rFonts w:ascii="Arial"/>
                <w:sz w:val="21"/>
              </w:rPr>
            </w:pPr>
          </w:p>
        </w:tc>
        <w:tc>
          <w:tcPr>
            <w:tcW w:w="2859" w:type="dxa"/>
            <w:vMerge w:val="continue"/>
            <w:tcBorders>
              <w:top w:val="nil"/>
            </w:tcBorders>
            <w:vAlign w:val="top"/>
          </w:tcPr>
          <w:p w14:paraId="219434C6">
            <w:pPr>
              <w:rPr>
                <w:rFonts w:ascii="Arial"/>
                <w:sz w:val="21"/>
              </w:rPr>
            </w:pPr>
          </w:p>
        </w:tc>
        <w:tc>
          <w:tcPr>
            <w:tcW w:w="803" w:type="dxa"/>
            <w:vAlign w:val="top"/>
          </w:tcPr>
          <w:p w14:paraId="6B5E449F">
            <w:pPr>
              <w:spacing w:line="248" w:lineRule="auto"/>
              <w:rPr>
                <w:rFonts w:ascii="Arial"/>
                <w:sz w:val="21"/>
              </w:rPr>
            </w:pPr>
          </w:p>
          <w:p w14:paraId="2D0CB702">
            <w:pPr>
              <w:spacing w:line="248" w:lineRule="auto"/>
              <w:rPr>
                <w:rFonts w:ascii="Arial"/>
                <w:sz w:val="21"/>
              </w:rPr>
            </w:pPr>
          </w:p>
          <w:p w14:paraId="2087697A">
            <w:pPr>
              <w:spacing w:line="248" w:lineRule="auto"/>
              <w:rPr>
                <w:rFonts w:ascii="Arial"/>
                <w:sz w:val="21"/>
              </w:rPr>
            </w:pPr>
          </w:p>
          <w:p w14:paraId="61BF6E10">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751C003">
            <w:pPr>
              <w:pStyle w:val="6"/>
              <w:spacing w:before="329" w:line="189" w:lineRule="auto"/>
              <w:ind w:left="115" w:right="109" w:firstLine="5"/>
              <w:jc w:val="both"/>
            </w:pPr>
            <w:r>
              <w:rPr>
                <w:spacing w:val="25"/>
              </w:rPr>
              <w:t>拒不执行安全监管</w:t>
            </w:r>
            <w:r>
              <w:rPr>
                <w:spacing w:val="26"/>
              </w:rPr>
              <w:t>监察部门依法下达的安全监管监察指</w:t>
            </w:r>
            <w:r>
              <w:rPr>
                <w:spacing w:val="2"/>
              </w:rPr>
              <w:t>令</w:t>
            </w:r>
            <w:r>
              <w:rPr>
                <w:rFonts w:ascii="宋体" w:hAnsi="宋体" w:eastAsia="宋体" w:cs="宋体"/>
                <w:spacing w:val="2"/>
              </w:rPr>
              <w:t>3</w:t>
            </w:r>
            <w:r>
              <w:rPr>
                <w:spacing w:val="2"/>
              </w:rPr>
              <w:t>项以上的</w:t>
            </w:r>
          </w:p>
        </w:tc>
        <w:tc>
          <w:tcPr>
            <w:tcW w:w="2894" w:type="dxa"/>
            <w:vAlign w:val="top"/>
          </w:tcPr>
          <w:p w14:paraId="0B2B55B6">
            <w:pPr>
              <w:pStyle w:val="6"/>
              <w:spacing w:before="28" w:line="179" w:lineRule="auto"/>
              <w:ind w:left="122" w:right="104" w:firstLine="3"/>
              <w:jc w:val="both"/>
            </w:pPr>
            <w:r>
              <w:rPr>
                <w:spacing w:val="7"/>
              </w:rPr>
              <w:t>给予警告，可以对生产经</w:t>
            </w:r>
            <w:r>
              <w:rPr>
                <w:spacing w:val="3"/>
              </w:rPr>
              <w:t>营单位处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w:t>
            </w:r>
            <w:r>
              <w:rPr>
                <w:spacing w:val="8"/>
              </w:rPr>
              <w:t>元以下罚款，对其主要负</w:t>
            </w:r>
            <w:r>
              <w:rPr>
                <w:spacing w:val="13"/>
              </w:rPr>
              <w:t>责人、其他有关人员处</w:t>
            </w:r>
            <w:r>
              <w:rPr>
                <w:rFonts w:ascii="宋体" w:hAnsi="宋体" w:eastAsia="宋体" w:cs="宋体"/>
                <w:spacing w:val="13"/>
              </w:rPr>
              <w:t>1</w:t>
            </w:r>
            <w:r>
              <w:rPr>
                <w:spacing w:val="5"/>
              </w:rPr>
              <w:t>千元以上</w:t>
            </w:r>
            <w:r>
              <w:rPr>
                <w:rFonts w:ascii="宋体" w:hAnsi="宋体" w:eastAsia="宋体" w:cs="宋体"/>
                <w:spacing w:val="5"/>
              </w:rPr>
              <w:t>1</w:t>
            </w:r>
            <w:r>
              <w:rPr>
                <w:spacing w:val="5"/>
              </w:rPr>
              <w:t>万元以下的罚</w:t>
            </w:r>
            <w:r>
              <w:t>款</w:t>
            </w:r>
          </w:p>
        </w:tc>
        <w:tc>
          <w:tcPr>
            <w:tcW w:w="811" w:type="dxa"/>
            <w:vMerge w:val="continue"/>
            <w:tcBorders>
              <w:top w:val="nil"/>
            </w:tcBorders>
            <w:vAlign w:val="top"/>
          </w:tcPr>
          <w:p w14:paraId="0A2350D9">
            <w:pPr>
              <w:rPr>
                <w:rFonts w:ascii="Arial"/>
                <w:sz w:val="21"/>
              </w:rPr>
            </w:pPr>
          </w:p>
        </w:tc>
      </w:tr>
      <w:tr w14:paraId="1EB96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3" w:hRule="atLeast"/>
        </w:trPr>
        <w:tc>
          <w:tcPr>
            <w:tcW w:w="818" w:type="dxa"/>
            <w:vMerge w:val="restart"/>
            <w:tcBorders>
              <w:bottom w:val="nil"/>
            </w:tcBorders>
            <w:vAlign w:val="top"/>
          </w:tcPr>
          <w:p w14:paraId="5E0EE5F0">
            <w:pPr>
              <w:spacing w:line="253" w:lineRule="auto"/>
              <w:rPr>
                <w:rFonts w:ascii="Arial"/>
                <w:sz w:val="21"/>
              </w:rPr>
            </w:pPr>
          </w:p>
          <w:p w14:paraId="4A5F4369">
            <w:pPr>
              <w:spacing w:line="253" w:lineRule="auto"/>
              <w:rPr>
                <w:rFonts w:ascii="Arial"/>
                <w:sz w:val="21"/>
              </w:rPr>
            </w:pPr>
          </w:p>
          <w:p w14:paraId="3358C054">
            <w:pPr>
              <w:spacing w:line="254" w:lineRule="auto"/>
              <w:rPr>
                <w:rFonts w:ascii="Arial"/>
                <w:sz w:val="21"/>
              </w:rPr>
            </w:pPr>
          </w:p>
          <w:p w14:paraId="342062EA">
            <w:pPr>
              <w:spacing w:line="254" w:lineRule="auto"/>
              <w:rPr>
                <w:rFonts w:ascii="Arial"/>
                <w:sz w:val="21"/>
              </w:rPr>
            </w:pPr>
          </w:p>
          <w:p w14:paraId="2FE320C1">
            <w:pPr>
              <w:spacing w:line="254" w:lineRule="auto"/>
              <w:rPr>
                <w:rFonts w:ascii="Arial"/>
                <w:sz w:val="21"/>
              </w:rPr>
            </w:pPr>
          </w:p>
          <w:p w14:paraId="71178FB4">
            <w:pPr>
              <w:spacing w:line="254" w:lineRule="auto"/>
              <w:rPr>
                <w:rFonts w:ascii="Arial"/>
                <w:sz w:val="21"/>
              </w:rPr>
            </w:pPr>
          </w:p>
          <w:p w14:paraId="0CC28325">
            <w:pPr>
              <w:spacing w:line="254" w:lineRule="auto"/>
              <w:rPr>
                <w:rFonts w:ascii="Arial"/>
                <w:sz w:val="21"/>
              </w:rPr>
            </w:pPr>
          </w:p>
          <w:p w14:paraId="64DDB1A9">
            <w:pPr>
              <w:spacing w:line="254" w:lineRule="auto"/>
              <w:rPr>
                <w:rFonts w:ascii="Arial"/>
                <w:sz w:val="21"/>
              </w:rPr>
            </w:pPr>
          </w:p>
          <w:p w14:paraId="5C509313">
            <w:pPr>
              <w:spacing w:line="254" w:lineRule="auto"/>
              <w:rPr>
                <w:rFonts w:ascii="Arial"/>
                <w:sz w:val="21"/>
              </w:rPr>
            </w:pPr>
          </w:p>
          <w:p w14:paraId="2E159D71">
            <w:pPr>
              <w:spacing w:line="254" w:lineRule="auto"/>
              <w:rPr>
                <w:rFonts w:ascii="Arial"/>
                <w:sz w:val="21"/>
              </w:rPr>
            </w:pPr>
          </w:p>
          <w:p w14:paraId="608F40F9">
            <w:pPr>
              <w:spacing w:before="75" w:line="186" w:lineRule="auto"/>
              <w:ind w:left="252"/>
              <w:rPr>
                <w:rFonts w:ascii="仿宋" w:hAnsi="仿宋" w:eastAsia="仿宋" w:cs="仿宋"/>
                <w:sz w:val="23"/>
                <w:szCs w:val="23"/>
              </w:rPr>
            </w:pPr>
            <w:r>
              <w:rPr>
                <w:rFonts w:ascii="仿宋" w:hAnsi="仿宋" w:eastAsia="仿宋" w:cs="仿宋"/>
                <w:spacing w:val="-10"/>
                <w:sz w:val="23"/>
                <w:szCs w:val="23"/>
              </w:rPr>
              <w:t>10</w:t>
            </w:r>
          </w:p>
        </w:tc>
        <w:tc>
          <w:tcPr>
            <w:tcW w:w="1440" w:type="dxa"/>
            <w:vMerge w:val="restart"/>
            <w:tcBorders>
              <w:bottom w:val="nil"/>
            </w:tcBorders>
            <w:vAlign w:val="top"/>
          </w:tcPr>
          <w:p w14:paraId="275AE12D">
            <w:pPr>
              <w:spacing w:line="281" w:lineRule="auto"/>
              <w:rPr>
                <w:rFonts w:ascii="Arial"/>
                <w:sz w:val="21"/>
              </w:rPr>
            </w:pPr>
          </w:p>
          <w:p w14:paraId="03C76B43">
            <w:pPr>
              <w:spacing w:line="281" w:lineRule="auto"/>
              <w:rPr>
                <w:rFonts w:ascii="Arial"/>
                <w:sz w:val="21"/>
              </w:rPr>
            </w:pPr>
          </w:p>
          <w:p w14:paraId="3257EB67">
            <w:pPr>
              <w:spacing w:line="282" w:lineRule="auto"/>
              <w:rPr>
                <w:rFonts w:ascii="Arial"/>
                <w:sz w:val="21"/>
              </w:rPr>
            </w:pPr>
          </w:p>
          <w:p w14:paraId="484FF67C">
            <w:pPr>
              <w:spacing w:line="282" w:lineRule="auto"/>
              <w:rPr>
                <w:rFonts w:ascii="Arial"/>
                <w:sz w:val="21"/>
              </w:rPr>
            </w:pPr>
          </w:p>
          <w:p w14:paraId="1FE01ABA">
            <w:pPr>
              <w:pStyle w:val="6"/>
              <w:spacing w:before="99" w:line="185" w:lineRule="auto"/>
              <w:ind w:left="115" w:right="111"/>
              <w:jc w:val="both"/>
            </w:pPr>
            <w:r>
              <w:rPr>
                <w:spacing w:val="11"/>
              </w:rPr>
              <w:t>未按规定保证安全生产所必需的资金投入致使生产经营单位不具备安</w:t>
            </w:r>
            <w:r>
              <w:rPr>
                <w:spacing w:val="-5"/>
                <w:w w:val="98"/>
              </w:rPr>
              <w:t>全生产条</w:t>
            </w:r>
            <w:r>
              <w:rPr>
                <w:spacing w:val="2"/>
              </w:rPr>
              <w:t>件，导致发</w:t>
            </w:r>
            <w:r>
              <w:rPr>
                <w:spacing w:val="11"/>
              </w:rPr>
              <w:t>生生产安全</w:t>
            </w:r>
            <w:r>
              <w:rPr>
                <w:spacing w:val="5"/>
              </w:rPr>
              <w:t>事故的</w:t>
            </w:r>
          </w:p>
        </w:tc>
        <w:tc>
          <w:tcPr>
            <w:tcW w:w="3202" w:type="dxa"/>
            <w:vMerge w:val="restart"/>
            <w:tcBorders>
              <w:bottom w:val="nil"/>
            </w:tcBorders>
            <w:vAlign w:val="top"/>
          </w:tcPr>
          <w:p w14:paraId="04CF848E">
            <w:pPr>
              <w:pStyle w:val="6"/>
              <w:spacing w:before="33" w:line="185" w:lineRule="auto"/>
              <w:ind w:left="116" w:right="111" w:hanging="18"/>
              <w:jc w:val="both"/>
            </w:pPr>
            <w:r>
              <w:rPr>
                <w:spacing w:val="18"/>
              </w:rPr>
              <w:t>【法律】《中华人民共和国</w:t>
            </w:r>
            <w:r>
              <w:rPr>
                <w:spacing w:val="17"/>
              </w:rPr>
              <w:t>安全生产法》第二十三条第</w:t>
            </w:r>
            <w:r>
              <w:rPr>
                <w:spacing w:val="12"/>
              </w:rPr>
              <w:t>一款：生产经营单位应当具</w:t>
            </w:r>
            <w:r>
              <w:rPr>
                <w:spacing w:val="17"/>
              </w:rPr>
              <w:t>备的安全生产条件所必需的</w:t>
            </w:r>
            <w:r>
              <w:rPr>
                <w:spacing w:val="10"/>
              </w:rPr>
              <w:t>资金投入，由生产经营单位</w:t>
            </w:r>
            <w:r>
              <w:rPr>
                <w:spacing w:val="17"/>
              </w:rPr>
              <w:t>的决策机构、主要负责人或者个人经营的投资人予以保</w:t>
            </w:r>
            <w:r>
              <w:rPr>
                <w:spacing w:val="13"/>
              </w:rPr>
              <w:t>证，并对由于安全生产所必</w:t>
            </w:r>
            <w:r>
              <w:rPr>
                <w:spacing w:val="17"/>
              </w:rPr>
              <w:t>需的资金投入不足导致的后</w:t>
            </w:r>
            <w:r>
              <w:rPr>
                <w:spacing w:val="1"/>
              </w:rPr>
              <w:t>果承担责任。</w:t>
            </w:r>
          </w:p>
        </w:tc>
        <w:tc>
          <w:tcPr>
            <w:tcW w:w="2859" w:type="dxa"/>
            <w:vMerge w:val="restart"/>
            <w:tcBorders>
              <w:bottom w:val="nil"/>
            </w:tcBorders>
            <w:vAlign w:val="top"/>
          </w:tcPr>
          <w:p w14:paraId="463E509D">
            <w:pPr>
              <w:pStyle w:val="6"/>
              <w:spacing w:before="40" w:line="182" w:lineRule="auto"/>
              <w:ind w:left="116" w:right="38" w:firstLine="14"/>
              <w:jc w:val="both"/>
            </w:pPr>
            <w:r>
              <w:rPr>
                <w:rFonts w:ascii="宋体" w:hAnsi="宋体" w:eastAsia="宋体" w:cs="宋体"/>
                <w:spacing w:val="6"/>
              </w:rPr>
              <w:t>1.</w:t>
            </w:r>
            <w:r>
              <w:rPr>
                <w:spacing w:val="6"/>
              </w:rPr>
              <w:t>【法律】《中华人民共</w:t>
            </w:r>
            <w:r>
              <w:rPr>
                <w:spacing w:val="8"/>
              </w:rPr>
              <w:t>和国安全生产法》第九十三条：生产经营单位的决策机构、主要负责人或者个人经营的投资人不依照本法规定保证安全生产所必需的资金投入，致使生产经营单位不具备安全生</w:t>
            </w:r>
            <w:r>
              <w:rPr>
                <w:spacing w:val="-6"/>
              </w:rPr>
              <w:t>产条件的，责令限期改正，</w:t>
            </w:r>
            <w:r>
              <w:rPr>
                <w:spacing w:val="8"/>
              </w:rPr>
              <w:t>提供必需的资金；逾期未</w:t>
            </w:r>
            <w:r>
              <w:rPr>
                <w:spacing w:val="4"/>
              </w:rPr>
              <w:t>改正的，责令生产经营单</w:t>
            </w:r>
            <w:r>
              <w:rPr>
                <w:spacing w:val="3"/>
              </w:rPr>
              <w:t>位停产停业整顿。</w:t>
            </w:r>
          </w:p>
          <w:p w14:paraId="40B15E9B">
            <w:pPr>
              <w:pStyle w:val="6"/>
              <w:spacing w:before="7" w:line="178" w:lineRule="auto"/>
              <w:ind w:left="119" w:right="110" w:firstLine="3"/>
              <w:jc w:val="both"/>
            </w:pPr>
            <w:r>
              <w:rPr>
                <w:spacing w:val="7"/>
              </w:rPr>
              <w:t>有前款违法行为，导致发</w:t>
            </w:r>
            <w:r>
              <w:rPr>
                <w:spacing w:val="8"/>
              </w:rPr>
              <w:t>生生产安全事故的，对生产经营单位的主要负责人给予撤职处分，对个人经营的投资人处二万元以上</w:t>
            </w:r>
            <w:r>
              <w:rPr>
                <w:spacing w:val="2"/>
              </w:rPr>
              <w:t>二十万元以下的罚款；构</w:t>
            </w:r>
          </w:p>
        </w:tc>
        <w:tc>
          <w:tcPr>
            <w:tcW w:w="803" w:type="dxa"/>
            <w:vAlign w:val="top"/>
          </w:tcPr>
          <w:p w14:paraId="299ADBC0">
            <w:pPr>
              <w:spacing w:line="424" w:lineRule="auto"/>
              <w:rPr>
                <w:rFonts w:ascii="Arial"/>
                <w:sz w:val="21"/>
              </w:rPr>
            </w:pPr>
          </w:p>
          <w:p w14:paraId="2FE4A7A2">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5068BE0">
            <w:pPr>
              <w:pStyle w:val="6"/>
              <w:spacing w:before="310" w:line="197" w:lineRule="auto"/>
              <w:ind w:left="138" w:right="109" w:hanging="12"/>
            </w:pPr>
            <w:r>
              <w:rPr>
                <w:spacing w:val="25"/>
              </w:rPr>
              <w:t>导致发生一般事故</w:t>
            </w:r>
            <w:r>
              <w:t>的</w:t>
            </w:r>
          </w:p>
        </w:tc>
        <w:tc>
          <w:tcPr>
            <w:tcW w:w="2894" w:type="dxa"/>
            <w:vAlign w:val="top"/>
          </w:tcPr>
          <w:p w14:paraId="75B4FCF8">
            <w:pPr>
              <w:pStyle w:val="6"/>
              <w:spacing w:before="160" w:line="191" w:lineRule="auto"/>
              <w:ind w:left="122" w:right="104"/>
              <w:jc w:val="both"/>
            </w:pPr>
            <w:r>
              <w:rPr>
                <w:spacing w:val="14"/>
              </w:rPr>
              <w:t>对个人经营的投资人处</w:t>
            </w:r>
            <w:r>
              <w:rPr>
                <w:rFonts w:ascii="宋体" w:hAnsi="宋体" w:eastAsia="宋体" w:cs="宋体"/>
                <w:spacing w:val="14"/>
              </w:rPr>
              <w:t>2</w:t>
            </w:r>
            <w:r>
              <w:rPr>
                <w:spacing w:val="7"/>
              </w:rPr>
              <w:t>万元以上</w:t>
            </w:r>
            <w:r>
              <w:rPr>
                <w:rFonts w:ascii="宋体" w:hAnsi="宋体" w:eastAsia="宋体" w:cs="宋体"/>
                <w:spacing w:val="7"/>
              </w:rPr>
              <w:t>5</w:t>
            </w:r>
            <w:r>
              <w:rPr>
                <w:spacing w:val="7"/>
              </w:rPr>
              <w:t>万元以下的罚</w:t>
            </w:r>
            <w:r>
              <w:t>款</w:t>
            </w:r>
          </w:p>
        </w:tc>
        <w:tc>
          <w:tcPr>
            <w:tcW w:w="811" w:type="dxa"/>
            <w:vMerge w:val="restart"/>
            <w:tcBorders>
              <w:bottom w:val="nil"/>
            </w:tcBorders>
            <w:vAlign w:val="top"/>
          </w:tcPr>
          <w:p w14:paraId="43ECA8A7">
            <w:pPr>
              <w:spacing w:line="253" w:lineRule="auto"/>
              <w:rPr>
                <w:rFonts w:ascii="Arial"/>
                <w:sz w:val="21"/>
              </w:rPr>
            </w:pPr>
          </w:p>
          <w:p w14:paraId="38C707FA">
            <w:pPr>
              <w:spacing w:line="253" w:lineRule="auto"/>
              <w:rPr>
                <w:rFonts w:ascii="Arial"/>
                <w:sz w:val="21"/>
              </w:rPr>
            </w:pPr>
          </w:p>
          <w:p w14:paraId="7AAFF686">
            <w:pPr>
              <w:spacing w:line="253" w:lineRule="auto"/>
              <w:rPr>
                <w:rFonts w:ascii="Arial"/>
                <w:sz w:val="21"/>
              </w:rPr>
            </w:pPr>
          </w:p>
          <w:p w14:paraId="63949C61">
            <w:pPr>
              <w:spacing w:line="253" w:lineRule="auto"/>
              <w:rPr>
                <w:rFonts w:ascii="Arial"/>
                <w:sz w:val="21"/>
              </w:rPr>
            </w:pPr>
          </w:p>
          <w:p w14:paraId="1DB5F142">
            <w:pPr>
              <w:spacing w:line="253" w:lineRule="auto"/>
              <w:rPr>
                <w:rFonts w:ascii="Arial"/>
                <w:sz w:val="21"/>
              </w:rPr>
            </w:pPr>
          </w:p>
          <w:p w14:paraId="6D916FF0">
            <w:pPr>
              <w:spacing w:line="254" w:lineRule="auto"/>
              <w:rPr>
                <w:rFonts w:ascii="Arial"/>
                <w:sz w:val="21"/>
              </w:rPr>
            </w:pPr>
          </w:p>
          <w:p w14:paraId="7A45BC17">
            <w:pPr>
              <w:spacing w:line="254" w:lineRule="auto"/>
              <w:rPr>
                <w:rFonts w:ascii="Arial"/>
                <w:sz w:val="21"/>
              </w:rPr>
            </w:pPr>
          </w:p>
          <w:p w14:paraId="167A65D7">
            <w:pPr>
              <w:spacing w:line="254" w:lineRule="auto"/>
              <w:rPr>
                <w:rFonts w:ascii="Arial"/>
                <w:sz w:val="21"/>
              </w:rPr>
            </w:pPr>
          </w:p>
          <w:p w14:paraId="2C1FCF2A">
            <w:pPr>
              <w:spacing w:line="254" w:lineRule="auto"/>
              <w:rPr>
                <w:rFonts w:ascii="Arial"/>
                <w:sz w:val="21"/>
              </w:rPr>
            </w:pPr>
          </w:p>
          <w:p w14:paraId="5927B122">
            <w:pPr>
              <w:spacing w:line="254" w:lineRule="auto"/>
              <w:rPr>
                <w:rFonts w:ascii="Arial"/>
                <w:sz w:val="21"/>
              </w:rPr>
            </w:pPr>
          </w:p>
          <w:p w14:paraId="625F4E91">
            <w:pPr>
              <w:spacing w:before="75" w:line="188" w:lineRule="auto"/>
              <w:ind w:left="350"/>
              <w:rPr>
                <w:rFonts w:ascii="宋体" w:hAnsi="宋体" w:eastAsia="宋体" w:cs="宋体"/>
                <w:sz w:val="23"/>
                <w:szCs w:val="23"/>
              </w:rPr>
            </w:pPr>
            <w:r>
              <w:rPr>
                <w:rFonts w:ascii="宋体" w:hAnsi="宋体" w:eastAsia="宋体" w:cs="宋体"/>
                <w:sz w:val="23"/>
                <w:szCs w:val="23"/>
              </w:rPr>
              <w:t>4</w:t>
            </w:r>
          </w:p>
        </w:tc>
      </w:tr>
      <w:tr w14:paraId="2669E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1" w:hRule="atLeast"/>
        </w:trPr>
        <w:tc>
          <w:tcPr>
            <w:tcW w:w="818" w:type="dxa"/>
            <w:vMerge w:val="continue"/>
            <w:tcBorders>
              <w:top w:val="nil"/>
              <w:bottom w:val="nil"/>
            </w:tcBorders>
            <w:vAlign w:val="top"/>
          </w:tcPr>
          <w:p w14:paraId="33C48488">
            <w:pPr>
              <w:rPr>
                <w:rFonts w:ascii="Arial"/>
                <w:sz w:val="21"/>
              </w:rPr>
            </w:pPr>
          </w:p>
        </w:tc>
        <w:tc>
          <w:tcPr>
            <w:tcW w:w="1440" w:type="dxa"/>
            <w:vMerge w:val="continue"/>
            <w:tcBorders>
              <w:top w:val="nil"/>
              <w:bottom w:val="nil"/>
            </w:tcBorders>
            <w:vAlign w:val="top"/>
          </w:tcPr>
          <w:p w14:paraId="0C985EC3">
            <w:pPr>
              <w:rPr>
                <w:rFonts w:ascii="Arial"/>
                <w:sz w:val="21"/>
              </w:rPr>
            </w:pPr>
          </w:p>
        </w:tc>
        <w:tc>
          <w:tcPr>
            <w:tcW w:w="3202" w:type="dxa"/>
            <w:vMerge w:val="continue"/>
            <w:tcBorders>
              <w:top w:val="nil"/>
              <w:bottom w:val="nil"/>
            </w:tcBorders>
            <w:vAlign w:val="top"/>
          </w:tcPr>
          <w:p w14:paraId="1276D7D1">
            <w:pPr>
              <w:rPr>
                <w:rFonts w:ascii="Arial"/>
                <w:sz w:val="21"/>
              </w:rPr>
            </w:pPr>
          </w:p>
        </w:tc>
        <w:tc>
          <w:tcPr>
            <w:tcW w:w="2859" w:type="dxa"/>
            <w:vMerge w:val="continue"/>
            <w:tcBorders>
              <w:top w:val="nil"/>
              <w:bottom w:val="nil"/>
            </w:tcBorders>
            <w:vAlign w:val="top"/>
          </w:tcPr>
          <w:p w14:paraId="27CD5A0B">
            <w:pPr>
              <w:rPr>
                <w:rFonts w:ascii="Arial"/>
                <w:sz w:val="21"/>
              </w:rPr>
            </w:pPr>
          </w:p>
        </w:tc>
        <w:tc>
          <w:tcPr>
            <w:tcW w:w="803" w:type="dxa"/>
            <w:vAlign w:val="top"/>
          </w:tcPr>
          <w:p w14:paraId="58992263">
            <w:pPr>
              <w:spacing w:line="462" w:lineRule="auto"/>
              <w:rPr>
                <w:rFonts w:ascii="Arial"/>
                <w:sz w:val="21"/>
              </w:rPr>
            </w:pPr>
          </w:p>
          <w:p w14:paraId="6998AE8A">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98773B2">
            <w:pPr>
              <w:spacing w:line="244" w:lineRule="auto"/>
              <w:rPr>
                <w:rFonts w:ascii="Arial"/>
                <w:sz w:val="21"/>
              </w:rPr>
            </w:pPr>
          </w:p>
          <w:p w14:paraId="01B4EFB1">
            <w:pPr>
              <w:pStyle w:val="6"/>
              <w:spacing w:before="99" w:line="197" w:lineRule="auto"/>
              <w:ind w:left="138" w:right="109" w:hanging="12"/>
            </w:pPr>
            <w:r>
              <w:rPr>
                <w:spacing w:val="25"/>
              </w:rPr>
              <w:t>导致发生较大事故</w:t>
            </w:r>
            <w:r>
              <w:t>的</w:t>
            </w:r>
          </w:p>
        </w:tc>
        <w:tc>
          <w:tcPr>
            <w:tcW w:w="2894" w:type="dxa"/>
            <w:vAlign w:val="top"/>
          </w:tcPr>
          <w:p w14:paraId="39C78292">
            <w:pPr>
              <w:pStyle w:val="6"/>
              <w:spacing w:before="195" w:line="191" w:lineRule="auto"/>
              <w:ind w:left="127" w:right="104" w:hanging="5"/>
              <w:jc w:val="both"/>
            </w:pPr>
            <w:r>
              <w:rPr>
                <w:spacing w:val="14"/>
              </w:rPr>
              <w:t>对个人经营的投资人处</w:t>
            </w:r>
            <w:r>
              <w:rPr>
                <w:rFonts w:ascii="宋体" w:hAnsi="宋体" w:eastAsia="宋体" w:cs="宋体"/>
                <w:spacing w:val="14"/>
              </w:rPr>
              <w:t>5</w:t>
            </w:r>
            <w:r>
              <w:rPr>
                <w:spacing w:val="10"/>
              </w:rPr>
              <w:t>万元以上</w:t>
            </w:r>
            <w:r>
              <w:rPr>
                <w:rFonts w:ascii="宋体" w:hAnsi="宋体" w:eastAsia="宋体" w:cs="宋体"/>
                <w:spacing w:val="10"/>
              </w:rPr>
              <w:t>10</w:t>
            </w:r>
            <w:r>
              <w:rPr>
                <w:spacing w:val="10"/>
              </w:rPr>
              <w:t>万元以下的</w:t>
            </w:r>
            <w:r>
              <w:rPr>
                <w:spacing w:val="-1"/>
              </w:rPr>
              <w:t>罚款</w:t>
            </w:r>
          </w:p>
        </w:tc>
        <w:tc>
          <w:tcPr>
            <w:tcW w:w="811" w:type="dxa"/>
            <w:vMerge w:val="continue"/>
            <w:tcBorders>
              <w:top w:val="nil"/>
              <w:bottom w:val="nil"/>
            </w:tcBorders>
            <w:vAlign w:val="top"/>
          </w:tcPr>
          <w:p w14:paraId="479D45F4">
            <w:pPr>
              <w:rPr>
                <w:rFonts w:ascii="Arial"/>
                <w:sz w:val="21"/>
              </w:rPr>
            </w:pPr>
          </w:p>
        </w:tc>
      </w:tr>
      <w:tr w14:paraId="30C79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2" w:hRule="atLeast"/>
        </w:trPr>
        <w:tc>
          <w:tcPr>
            <w:tcW w:w="818" w:type="dxa"/>
            <w:vMerge w:val="continue"/>
            <w:tcBorders>
              <w:top w:val="nil"/>
              <w:bottom w:val="nil"/>
            </w:tcBorders>
            <w:vAlign w:val="top"/>
          </w:tcPr>
          <w:p w14:paraId="5687B990">
            <w:pPr>
              <w:rPr>
                <w:rFonts w:ascii="Arial"/>
                <w:sz w:val="21"/>
              </w:rPr>
            </w:pPr>
          </w:p>
        </w:tc>
        <w:tc>
          <w:tcPr>
            <w:tcW w:w="1440" w:type="dxa"/>
            <w:vMerge w:val="continue"/>
            <w:tcBorders>
              <w:top w:val="nil"/>
              <w:bottom w:val="nil"/>
            </w:tcBorders>
            <w:vAlign w:val="top"/>
          </w:tcPr>
          <w:p w14:paraId="2FD7D237">
            <w:pPr>
              <w:rPr>
                <w:rFonts w:ascii="Arial"/>
                <w:sz w:val="21"/>
              </w:rPr>
            </w:pPr>
          </w:p>
        </w:tc>
        <w:tc>
          <w:tcPr>
            <w:tcW w:w="3202" w:type="dxa"/>
            <w:vMerge w:val="continue"/>
            <w:tcBorders>
              <w:top w:val="nil"/>
              <w:bottom w:val="nil"/>
            </w:tcBorders>
            <w:vAlign w:val="top"/>
          </w:tcPr>
          <w:p w14:paraId="7E517DD6">
            <w:pPr>
              <w:rPr>
                <w:rFonts w:ascii="Arial"/>
                <w:sz w:val="21"/>
              </w:rPr>
            </w:pPr>
          </w:p>
        </w:tc>
        <w:tc>
          <w:tcPr>
            <w:tcW w:w="2859" w:type="dxa"/>
            <w:vMerge w:val="continue"/>
            <w:tcBorders>
              <w:top w:val="nil"/>
              <w:bottom w:val="nil"/>
            </w:tcBorders>
            <w:vAlign w:val="top"/>
          </w:tcPr>
          <w:p w14:paraId="51430F76">
            <w:pPr>
              <w:rPr>
                <w:rFonts w:ascii="Arial"/>
                <w:sz w:val="21"/>
              </w:rPr>
            </w:pPr>
          </w:p>
        </w:tc>
        <w:tc>
          <w:tcPr>
            <w:tcW w:w="803" w:type="dxa"/>
            <w:vAlign w:val="top"/>
          </w:tcPr>
          <w:p w14:paraId="0E489B98">
            <w:pPr>
              <w:spacing w:line="278" w:lineRule="auto"/>
              <w:rPr>
                <w:rFonts w:ascii="Arial"/>
                <w:sz w:val="21"/>
              </w:rPr>
            </w:pPr>
          </w:p>
          <w:p w14:paraId="42D0BBA6">
            <w:pPr>
              <w:spacing w:line="279" w:lineRule="auto"/>
              <w:rPr>
                <w:rFonts w:ascii="Arial"/>
                <w:sz w:val="21"/>
              </w:rPr>
            </w:pPr>
          </w:p>
          <w:p w14:paraId="0BEFC7F5">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D533377">
            <w:pPr>
              <w:spacing w:line="340" w:lineRule="auto"/>
              <w:rPr>
                <w:rFonts w:ascii="Arial"/>
                <w:sz w:val="21"/>
              </w:rPr>
            </w:pPr>
          </w:p>
          <w:p w14:paraId="1B9BDE48">
            <w:pPr>
              <w:pStyle w:val="6"/>
              <w:spacing w:before="98" w:line="197" w:lineRule="auto"/>
              <w:ind w:left="138" w:right="109" w:hanging="12"/>
            </w:pPr>
            <w:r>
              <w:rPr>
                <w:spacing w:val="25"/>
              </w:rPr>
              <w:t>导致发生重大事故</w:t>
            </w:r>
            <w:r>
              <w:t>的</w:t>
            </w:r>
          </w:p>
        </w:tc>
        <w:tc>
          <w:tcPr>
            <w:tcW w:w="2894" w:type="dxa"/>
            <w:vAlign w:val="top"/>
          </w:tcPr>
          <w:p w14:paraId="1976D7BC">
            <w:pPr>
              <w:pStyle w:val="6"/>
              <w:spacing w:before="293" w:line="191" w:lineRule="auto"/>
              <w:ind w:left="127" w:right="104" w:hanging="5"/>
              <w:jc w:val="both"/>
            </w:pPr>
            <w:r>
              <w:rPr>
                <w:spacing w:val="4"/>
              </w:rPr>
              <w:t>对个人经营的投资人处</w:t>
            </w:r>
            <w:r>
              <w:rPr>
                <w:rFonts w:ascii="宋体" w:hAnsi="宋体" w:eastAsia="宋体" w:cs="宋体"/>
                <w:spacing w:val="4"/>
              </w:rPr>
              <w:t>10</w:t>
            </w:r>
            <w:r>
              <w:rPr>
                <w:spacing w:val="10"/>
              </w:rPr>
              <w:t>万元以上</w:t>
            </w:r>
            <w:r>
              <w:rPr>
                <w:rFonts w:ascii="宋体" w:hAnsi="宋体" w:eastAsia="宋体" w:cs="宋体"/>
                <w:spacing w:val="10"/>
              </w:rPr>
              <w:t>15</w:t>
            </w:r>
            <w:r>
              <w:rPr>
                <w:spacing w:val="10"/>
              </w:rPr>
              <w:t>万元以下的</w:t>
            </w:r>
            <w:r>
              <w:rPr>
                <w:spacing w:val="-1"/>
              </w:rPr>
              <w:t>罚款</w:t>
            </w:r>
          </w:p>
        </w:tc>
        <w:tc>
          <w:tcPr>
            <w:tcW w:w="811" w:type="dxa"/>
            <w:vMerge w:val="continue"/>
            <w:tcBorders>
              <w:top w:val="nil"/>
              <w:bottom w:val="nil"/>
            </w:tcBorders>
            <w:vAlign w:val="top"/>
          </w:tcPr>
          <w:p w14:paraId="0DDCC980">
            <w:pPr>
              <w:rPr>
                <w:rFonts w:ascii="Arial"/>
                <w:sz w:val="21"/>
              </w:rPr>
            </w:pPr>
          </w:p>
        </w:tc>
      </w:tr>
      <w:tr w14:paraId="7558C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4" w:hRule="atLeast"/>
        </w:trPr>
        <w:tc>
          <w:tcPr>
            <w:tcW w:w="818" w:type="dxa"/>
            <w:vMerge w:val="continue"/>
            <w:tcBorders>
              <w:top w:val="nil"/>
            </w:tcBorders>
            <w:vAlign w:val="top"/>
          </w:tcPr>
          <w:p w14:paraId="506CB809">
            <w:pPr>
              <w:rPr>
                <w:rFonts w:ascii="Arial"/>
                <w:sz w:val="21"/>
              </w:rPr>
            </w:pPr>
          </w:p>
        </w:tc>
        <w:tc>
          <w:tcPr>
            <w:tcW w:w="1440" w:type="dxa"/>
            <w:vMerge w:val="continue"/>
            <w:tcBorders>
              <w:top w:val="nil"/>
            </w:tcBorders>
            <w:vAlign w:val="top"/>
          </w:tcPr>
          <w:p w14:paraId="4AF55D72">
            <w:pPr>
              <w:rPr>
                <w:rFonts w:ascii="Arial"/>
                <w:sz w:val="21"/>
              </w:rPr>
            </w:pPr>
          </w:p>
        </w:tc>
        <w:tc>
          <w:tcPr>
            <w:tcW w:w="3202" w:type="dxa"/>
            <w:vMerge w:val="continue"/>
            <w:tcBorders>
              <w:top w:val="nil"/>
            </w:tcBorders>
            <w:vAlign w:val="top"/>
          </w:tcPr>
          <w:p w14:paraId="5796EBB1">
            <w:pPr>
              <w:rPr>
                <w:rFonts w:ascii="Arial"/>
                <w:sz w:val="21"/>
              </w:rPr>
            </w:pPr>
          </w:p>
        </w:tc>
        <w:tc>
          <w:tcPr>
            <w:tcW w:w="2859" w:type="dxa"/>
            <w:vMerge w:val="continue"/>
            <w:tcBorders>
              <w:top w:val="nil"/>
            </w:tcBorders>
            <w:vAlign w:val="top"/>
          </w:tcPr>
          <w:p w14:paraId="698FCF91">
            <w:pPr>
              <w:rPr>
                <w:rFonts w:ascii="Arial"/>
                <w:sz w:val="21"/>
              </w:rPr>
            </w:pPr>
          </w:p>
        </w:tc>
        <w:tc>
          <w:tcPr>
            <w:tcW w:w="803" w:type="dxa"/>
            <w:vAlign w:val="top"/>
          </w:tcPr>
          <w:p w14:paraId="42568B5E">
            <w:pPr>
              <w:spacing w:line="316" w:lineRule="auto"/>
              <w:rPr>
                <w:rFonts w:ascii="Arial"/>
                <w:sz w:val="21"/>
              </w:rPr>
            </w:pPr>
          </w:p>
          <w:p w14:paraId="432ACD76">
            <w:pPr>
              <w:spacing w:line="317" w:lineRule="auto"/>
              <w:rPr>
                <w:rFonts w:ascii="Arial"/>
                <w:sz w:val="21"/>
              </w:rPr>
            </w:pPr>
          </w:p>
          <w:p w14:paraId="5D658F36">
            <w:pPr>
              <w:spacing w:before="74" w:line="187" w:lineRule="auto"/>
              <w:ind w:left="343"/>
              <w:rPr>
                <w:rFonts w:ascii="宋体" w:hAnsi="宋体" w:eastAsia="宋体" w:cs="宋体"/>
                <w:sz w:val="23"/>
                <w:szCs w:val="23"/>
              </w:rPr>
            </w:pPr>
            <w:r>
              <w:rPr>
                <w:rFonts w:ascii="宋体" w:hAnsi="宋体" w:eastAsia="宋体" w:cs="宋体"/>
                <w:sz w:val="23"/>
                <w:szCs w:val="23"/>
              </w:rPr>
              <w:t>D</w:t>
            </w:r>
          </w:p>
        </w:tc>
        <w:tc>
          <w:tcPr>
            <w:tcW w:w="2283" w:type="dxa"/>
            <w:vAlign w:val="top"/>
          </w:tcPr>
          <w:p w14:paraId="09DCE306">
            <w:pPr>
              <w:spacing w:line="415" w:lineRule="auto"/>
              <w:rPr>
                <w:rFonts w:ascii="Arial"/>
                <w:sz w:val="21"/>
              </w:rPr>
            </w:pPr>
          </w:p>
          <w:p w14:paraId="65ABA3C5">
            <w:pPr>
              <w:pStyle w:val="6"/>
              <w:spacing w:before="99" w:line="195" w:lineRule="auto"/>
              <w:ind w:left="123" w:right="109" w:firstLine="3"/>
            </w:pPr>
            <w:r>
              <w:rPr>
                <w:spacing w:val="25"/>
              </w:rPr>
              <w:t>导致发生特别重大</w:t>
            </w:r>
            <w:r>
              <w:rPr>
                <w:spacing w:val="3"/>
              </w:rPr>
              <w:t>事故的</w:t>
            </w:r>
          </w:p>
        </w:tc>
        <w:tc>
          <w:tcPr>
            <w:tcW w:w="2894" w:type="dxa"/>
            <w:vAlign w:val="top"/>
          </w:tcPr>
          <w:p w14:paraId="0C05A93A">
            <w:pPr>
              <w:spacing w:line="268" w:lineRule="auto"/>
              <w:rPr>
                <w:rFonts w:ascii="Arial"/>
                <w:sz w:val="21"/>
              </w:rPr>
            </w:pPr>
          </w:p>
          <w:p w14:paraId="1BE390C8">
            <w:pPr>
              <w:pStyle w:val="6"/>
              <w:spacing w:before="99" w:line="191" w:lineRule="auto"/>
              <w:ind w:left="127" w:right="104" w:hanging="5"/>
              <w:jc w:val="both"/>
            </w:pPr>
            <w:r>
              <w:rPr>
                <w:spacing w:val="4"/>
              </w:rPr>
              <w:t>对个人经营的投资人处</w:t>
            </w:r>
            <w:r>
              <w:rPr>
                <w:rFonts w:ascii="宋体" w:hAnsi="宋体" w:eastAsia="宋体" w:cs="宋体"/>
                <w:spacing w:val="4"/>
              </w:rPr>
              <w:t>15</w:t>
            </w:r>
            <w:r>
              <w:rPr>
                <w:spacing w:val="13"/>
              </w:rPr>
              <w:t>万元以上</w:t>
            </w:r>
            <w:r>
              <w:rPr>
                <w:rFonts w:ascii="宋体" w:hAnsi="宋体" w:eastAsia="宋体" w:cs="宋体"/>
                <w:spacing w:val="13"/>
              </w:rPr>
              <w:t>20</w:t>
            </w:r>
            <w:r>
              <w:rPr>
                <w:spacing w:val="13"/>
              </w:rPr>
              <w:t>万元以下的</w:t>
            </w:r>
            <w:r>
              <w:rPr>
                <w:spacing w:val="-1"/>
              </w:rPr>
              <w:t>罚款</w:t>
            </w:r>
          </w:p>
        </w:tc>
        <w:tc>
          <w:tcPr>
            <w:tcW w:w="811" w:type="dxa"/>
            <w:vMerge w:val="continue"/>
            <w:tcBorders>
              <w:top w:val="nil"/>
            </w:tcBorders>
            <w:vAlign w:val="top"/>
          </w:tcPr>
          <w:p w14:paraId="6E2BFE53">
            <w:pPr>
              <w:rPr>
                <w:rFonts w:ascii="Arial"/>
                <w:sz w:val="21"/>
              </w:rPr>
            </w:pPr>
          </w:p>
        </w:tc>
      </w:tr>
    </w:tbl>
    <w:p w14:paraId="4EE054F2">
      <w:pPr>
        <w:pStyle w:val="2"/>
      </w:pPr>
    </w:p>
    <w:p w14:paraId="3DC06A38">
      <w:pPr>
        <w:sectPr>
          <w:footerReference r:id="rId27" w:type="default"/>
          <w:pgSz w:w="16839" w:h="11906"/>
          <w:pgMar w:top="1012" w:right="821" w:bottom="666" w:left="901" w:header="0" w:footer="388" w:gutter="0"/>
          <w:cols w:space="720" w:num="1"/>
        </w:sectPr>
      </w:pPr>
    </w:p>
    <w:p w14:paraId="7498F961">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BDC9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21F14DB">
            <w:pPr>
              <w:spacing w:before="222" w:line="241" w:lineRule="auto"/>
              <w:ind w:left="131"/>
              <w:rPr>
                <w:rFonts w:ascii="黑体" w:hAnsi="黑体" w:eastAsia="黑体" w:cs="黑体"/>
                <w:sz w:val="28"/>
                <w:szCs w:val="28"/>
              </w:rPr>
            </w:pPr>
            <w:bookmarkStart w:id="372" w:name="bookmark480"/>
            <w:bookmarkEnd w:id="372"/>
            <w:r>
              <w:rPr>
                <w:rFonts w:ascii="黑体" w:hAnsi="黑体" w:eastAsia="黑体" w:cs="黑体"/>
                <w:spacing w:val="-2"/>
                <w:sz w:val="28"/>
                <w:szCs w:val="28"/>
              </w:rPr>
              <w:t>序号</w:t>
            </w:r>
          </w:p>
        </w:tc>
        <w:tc>
          <w:tcPr>
            <w:tcW w:w="1440" w:type="dxa"/>
            <w:vAlign w:val="top"/>
          </w:tcPr>
          <w:p w14:paraId="1DBD125F">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70169C61">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37B8EF9">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444D232">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4ED3634">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14EB85B">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710F74F0">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287F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1" w:hRule="atLeast"/>
        </w:trPr>
        <w:tc>
          <w:tcPr>
            <w:tcW w:w="818" w:type="dxa"/>
            <w:vAlign w:val="top"/>
          </w:tcPr>
          <w:p w14:paraId="6F08A7B6">
            <w:pPr>
              <w:rPr>
                <w:rFonts w:ascii="Arial"/>
                <w:sz w:val="21"/>
              </w:rPr>
            </w:pPr>
          </w:p>
        </w:tc>
        <w:tc>
          <w:tcPr>
            <w:tcW w:w="1440" w:type="dxa"/>
            <w:vAlign w:val="top"/>
          </w:tcPr>
          <w:p w14:paraId="5105211A">
            <w:pPr>
              <w:rPr>
                <w:rFonts w:ascii="Arial"/>
                <w:sz w:val="21"/>
              </w:rPr>
            </w:pPr>
          </w:p>
        </w:tc>
        <w:tc>
          <w:tcPr>
            <w:tcW w:w="3202" w:type="dxa"/>
            <w:vAlign w:val="top"/>
          </w:tcPr>
          <w:p w14:paraId="74B4373F">
            <w:pPr>
              <w:rPr>
                <w:rFonts w:ascii="Arial"/>
                <w:sz w:val="21"/>
              </w:rPr>
            </w:pPr>
          </w:p>
        </w:tc>
        <w:tc>
          <w:tcPr>
            <w:tcW w:w="2859" w:type="dxa"/>
            <w:vAlign w:val="top"/>
          </w:tcPr>
          <w:p w14:paraId="2BBB48C2">
            <w:pPr>
              <w:pStyle w:val="6"/>
              <w:spacing w:before="29" w:line="182" w:lineRule="auto"/>
              <w:ind w:left="121" w:right="110"/>
            </w:pPr>
            <w:r>
              <w:rPr>
                <w:spacing w:val="8"/>
              </w:rPr>
              <w:t>成犯罪的，依照刑法有关</w:t>
            </w:r>
            <w:r>
              <w:rPr>
                <w:spacing w:val="3"/>
              </w:rPr>
              <w:t>规定追究刑事责任。</w:t>
            </w:r>
          </w:p>
          <w:p w14:paraId="4FA9F8AB">
            <w:pPr>
              <w:pStyle w:val="6"/>
              <w:spacing w:before="1" w:line="182" w:lineRule="auto"/>
              <w:ind w:left="116" w:right="110"/>
            </w:pPr>
            <w:r>
              <w:rPr>
                <w:rFonts w:ascii="宋体" w:hAnsi="宋体" w:eastAsia="宋体" w:cs="宋体"/>
                <w:spacing w:val="7"/>
              </w:rPr>
              <w:t>2.</w:t>
            </w:r>
            <w:r>
              <w:rPr>
                <w:spacing w:val="7"/>
              </w:rPr>
              <w:t>【部门规章】《生产安</w:t>
            </w:r>
            <w:r>
              <w:rPr>
                <w:spacing w:val="8"/>
              </w:rPr>
              <w:t>全事故罚款处罚规定》第</w:t>
            </w:r>
          </w:p>
          <w:p w14:paraId="32D3CFC9">
            <w:pPr>
              <w:pStyle w:val="6"/>
              <w:spacing w:line="182" w:lineRule="auto"/>
              <w:ind w:left="127"/>
              <w:outlineLvl w:val="0"/>
            </w:pPr>
            <w:r>
              <w:rPr>
                <w:spacing w:val="7"/>
              </w:rPr>
              <w:t>二十一条：个人经营的投</w:t>
            </w:r>
          </w:p>
          <w:p w14:paraId="71CB36BE">
            <w:pPr>
              <w:pStyle w:val="6"/>
              <w:spacing w:before="5" w:line="181" w:lineRule="auto"/>
              <w:ind w:left="98" w:right="105" w:firstLine="29"/>
            </w:pPr>
            <w:r>
              <w:rPr>
                <w:spacing w:val="7"/>
              </w:rPr>
              <w:t>资人未依照《中华人民共</w:t>
            </w:r>
            <w:bookmarkStart w:id="373" w:name="bookmark26"/>
            <w:bookmarkEnd w:id="373"/>
            <w:r>
              <w:rPr>
                <w:spacing w:val="10"/>
              </w:rPr>
              <w:t>和国安全生产法》的规定保证安全生产所必需的资</w:t>
            </w:r>
            <w:r>
              <w:rPr>
                <w:spacing w:val="3"/>
              </w:rPr>
              <w:t>金投入，致使生产经营单</w:t>
            </w:r>
            <w:r>
              <w:rPr>
                <w:spacing w:val="9"/>
              </w:rPr>
              <w:t>位不具备安全生产条件，</w:t>
            </w:r>
            <w:r>
              <w:rPr>
                <w:spacing w:val="34"/>
              </w:rPr>
              <w:t>导致发生生产安全事故</w:t>
            </w:r>
            <w:r>
              <w:rPr>
                <w:spacing w:val="10"/>
              </w:rPr>
              <w:t>的，依照下列规定对个人</w:t>
            </w:r>
            <w:r>
              <w:rPr>
                <w:spacing w:val="9"/>
              </w:rPr>
              <w:t>经营的投资人处以罚款：</w:t>
            </w:r>
            <w:r>
              <w:rPr>
                <w:spacing w:val="2"/>
              </w:rPr>
              <w:t>（一）发生一般事故的，</w:t>
            </w:r>
            <w:r>
              <w:rPr>
                <w:spacing w:val="3"/>
              </w:rPr>
              <w:t>处</w:t>
            </w:r>
            <w:r>
              <w:rPr>
                <w:rFonts w:ascii="宋体" w:hAnsi="宋体" w:eastAsia="宋体" w:cs="宋体"/>
                <w:spacing w:val="3"/>
              </w:rPr>
              <w:t>2</w:t>
            </w:r>
            <w:r>
              <w:rPr>
                <w:spacing w:val="3"/>
              </w:rPr>
              <w:t>万元以上</w:t>
            </w:r>
            <w:r>
              <w:rPr>
                <w:rFonts w:ascii="宋体" w:hAnsi="宋体" w:eastAsia="宋体" w:cs="宋体"/>
                <w:spacing w:val="3"/>
              </w:rPr>
              <w:t>5</w:t>
            </w:r>
            <w:r>
              <w:rPr>
                <w:spacing w:val="3"/>
              </w:rPr>
              <w:t>万元以下的罚款</w:t>
            </w:r>
            <w:r>
              <w:rPr>
                <w:spacing w:val="2"/>
              </w:rPr>
              <w:t>；（</w:t>
            </w:r>
            <w:r>
              <w:rPr>
                <w:spacing w:val="3"/>
              </w:rPr>
              <w:t>二）发生较大</w:t>
            </w:r>
            <w:r>
              <w:rPr>
                <w:spacing w:val="-1"/>
              </w:rPr>
              <w:t>事故的，处</w:t>
            </w:r>
            <w:r>
              <w:rPr>
                <w:rFonts w:ascii="宋体" w:hAnsi="宋体" w:eastAsia="宋体" w:cs="宋体"/>
                <w:spacing w:val="-1"/>
              </w:rPr>
              <w:t>5</w:t>
            </w:r>
            <w:r>
              <w:rPr>
                <w:spacing w:val="-1"/>
              </w:rPr>
              <w:t>万元以上</w:t>
            </w:r>
            <w:r>
              <w:rPr>
                <w:rFonts w:ascii="宋体" w:hAnsi="宋体" w:eastAsia="宋体" w:cs="宋体"/>
                <w:spacing w:val="-1"/>
              </w:rPr>
              <w:t>10</w:t>
            </w:r>
            <w:r>
              <w:rPr>
                <w:spacing w:val="11"/>
              </w:rPr>
              <w:t>万元以下的罚款</w:t>
            </w:r>
            <w:r>
              <w:rPr>
                <w:spacing w:val="9"/>
              </w:rPr>
              <w:t>；（</w:t>
            </w:r>
            <w:r>
              <w:rPr>
                <w:spacing w:val="11"/>
              </w:rPr>
              <w:t>三）</w:t>
            </w:r>
            <w:r>
              <w:rPr>
                <w:spacing w:val="13"/>
              </w:rPr>
              <w:t>发生重大事故的，处</w:t>
            </w:r>
            <w:r>
              <w:rPr>
                <w:rFonts w:ascii="宋体" w:hAnsi="宋体" w:eastAsia="宋体" w:cs="宋体"/>
                <w:spacing w:val="13"/>
              </w:rPr>
              <w:t>10</w:t>
            </w:r>
            <w:r>
              <w:rPr>
                <w:spacing w:val="10"/>
              </w:rPr>
              <w:t>万元以上</w:t>
            </w:r>
            <w:r>
              <w:rPr>
                <w:rFonts w:ascii="宋体" w:hAnsi="宋体" w:eastAsia="宋体" w:cs="宋体"/>
                <w:spacing w:val="10"/>
              </w:rPr>
              <w:t>15</w:t>
            </w:r>
            <w:r>
              <w:rPr>
                <w:spacing w:val="10"/>
              </w:rPr>
              <w:t>万元以下的</w:t>
            </w:r>
            <w:r>
              <w:rPr>
                <w:spacing w:val="13"/>
              </w:rPr>
              <w:t>罚款</w:t>
            </w:r>
            <w:r>
              <w:rPr>
                <w:spacing w:val="-2"/>
              </w:rPr>
              <w:t>；（</w:t>
            </w:r>
            <w:r>
              <w:rPr>
                <w:spacing w:val="13"/>
              </w:rPr>
              <w:t>四）发生特别重</w:t>
            </w:r>
            <w:r>
              <w:rPr>
                <w:spacing w:val="-5"/>
              </w:rPr>
              <w:t>大事故的，处</w:t>
            </w:r>
            <w:r>
              <w:rPr>
                <w:rFonts w:ascii="宋体" w:hAnsi="宋体" w:eastAsia="宋体" w:cs="宋体"/>
                <w:spacing w:val="-5"/>
              </w:rPr>
              <w:t>15</w:t>
            </w:r>
            <w:r>
              <w:rPr>
                <w:spacing w:val="-5"/>
              </w:rPr>
              <w:t>万元以上</w:t>
            </w:r>
            <w:r>
              <w:rPr>
                <w:rFonts w:ascii="宋体" w:hAnsi="宋体" w:eastAsia="宋体" w:cs="宋体"/>
                <w:spacing w:val="3"/>
              </w:rPr>
              <w:t>20</w:t>
            </w:r>
            <w:r>
              <w:rPr>
                <w:spacing w:val="3"/>
              </w:rPr>
              <w:t>万元以下的罚款。</w:t>
            </w:r>
          </w:p>
        </w:tc>
        <w:tc>
          <w:tcPr>
            <w:tcW w:w="803" w:type="dxa"/>
            <w:vAlign w:val="top"/>
          </w:tcPr>
          <w:p w14:paraId="4B31BE19">
            <w:pPr>
              <w:rPr>
                <w:rFonts w:ascii="Arial"/>
                <w:sz w:val="21"/>
              </w:rPr>
            </w:pPr>
          </w:p>
        </w:tc>
        <w:tc>
          <w:tcPr>
            <w:tcW w:w="2283" w:type="dxa"/>
            <w:vAlign w:val="top"/>
          </w:tcPr>
          <w:p w14:paraId="02E4AF68">
            <w:pPr>
              <w:rPr>
                <w:rFonts w:ascii="Arial"/>
                <w:sz w:val="21"/>
              </w:rPr>
            </w:pPr>
          </w:p>
        </w:tc>
        <w:tc>
          <w:tcPr>
            <w:tcW w:w="2894" w:type="dxa"/>
            <w:vAlign w:val="top"/>
          </w:tcPr>
          <w:p w14:paraId="660AD439">
            <w:pPr>
              <w:rPr>
                <w:rFonts w:ascii="Arial"/>
                <w:sz w:val="21"/>
              </w:rPr>
            </w:pPr>
          </w:p>
        </w:tc>
        <w:tc>
          <w:tcPr>
            <w:tcW w:w="811" w:type="dxa"/>
            <w:vAlign w:val="top"/>
          </w:tcPr>
          <w:p w14:paraId="403896DB">
            <w:pPr>
              <w:rPr>
                <w:rFonts w:ascii="Arial"/>
                <w:sz w:val="21"/>
              </w:rPr>
            </w:pPr>
          </w:p>
        </w:tc>
      </w:tr>
      <w:tr w14:paraId="3B9D7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6" w:hRule="atLeast"/>
        </w:trPr>
        <w:tc>
          <w:tcPr>
            <w:tcW w:w="818" w:type="dxa"/>
            <w:vAlign w:val="top"/>
          </w:tcPr>
          <w:p w14:paraId="667C97CE">
            <w:pPr>
              <w:spacing w:line="299" w:lineRule="auto"/>
              <w:rPr>
                <w:rFonts w:ascii="Arial"/>
                <w:sz w:val="21"/>
              </w:rPr>
            </w:pPr>
          </w:p>
          <w:p w14:paraId="55EAD2BF">
            <w:pPr>
              <w:spacing w:line="300" w:lineRule="auto"/>
              <w:rPr>
                <w:rFonts w:ascii="Arial"/>
                <w:sz w:val="21"/>
              </w:rPr>
            </w:pPr>
          </w:p>
          <w:p w14:paraId="41657C1F">
            <w:pPr>
              <w:spacing w:line="300" w:lineRule="auto"/>
              <w:rPr>
                <w:rFonts w:ascii="Arial"/>
                <w:sz w:val="21"/>
              </w:rPr>
            </w:pPr>
          </w:p>
          <w:p w14:paraId="72D0CA42">
            <w:pPr>
              <w:spacing w:before="75" w:line="186" w:lineRule="auto"/>
              <w:ind w:left="252"/>
              <w:rPr>
                <w:rFonts w:ascii="仿宋" w:hAnsi="仿宋" w:eastAsia="仿宋" w:cs="仿宋"/>
                <w:sz w:val="23"/>
                <w:szCs w:val="23"/>
              </w:rPr>
            </w:pPr>
            <w:r>
              <w:rPr>
                <w:rFonts w:ascii="仿宋" w:hAnsi="仿宋" w:eastAsia="仿宋" w:cs="仿宋"/>
                <w:spacing w:val="-10"/>
                <w:sz w:val="23"/>
                <w:szCs w:val="23"/>
              </w:rPr>
              <w:t>11</w:t>
            </w:r>
          </w:p>
        </w:tc>
        <w:tc>
          <w:tcPr>
            <w:tcW w:w="1440" w:type="dxa"/>
            <w:vAlign w:val="top"/>
          </w:tcPr>
          <w:p w14:paraId="40D70ED6">
            <w:pPr>
              <w:pStyle w:val="6"/>
              <w:spacing w:before="35" w:line="179" w:lineRule="auto"/>
              <w:ind w:left="113" w:right="111" w:firstLine="15"/>
              <w:jc w:val="both"/>
            </w:pPr>
            <w:r>
              <w:rPr>
                <w:spacing w:val="8"/>
              </w:rPr>
              <w:t>生产经营单</w:t>
            </w:r>
            <w:r>
              <w:rPr>
                <w:spacing w:val="12"/>
              </w:rPr>
              <w:t>位未将安全培训工作纳入本单位工作计划并保证安全培训工作所需资</w:t>
            </w:r>
          </w:p>
        </w:tc>
        <w:tc>
          <w:tcPr>
            <w:tcW w:w="3202" w:type="dxa"/>
            <w:vAlign w:val="top"/>
          </w:tcPr>
          <w:p w14:paraId="6C7860AF">
            <w:pPr>
              <w:pStyle w:val="6"/>
              <w:spacing w:before="38" w:line="182" w:lineRule="auto"/>
              <w:ind w:left="115" w:right="111" w:hanging="17"/>
              <w:jc w:val="both"/>
            </w:pPr>
            <w:r>
              <w:rPr>
                <w:spacing w:val="18"/>
              </w:rPr>
              <w:t>【部门规章】《生产经营单</w:t>
            </w:r>
            <w:r>
              <w:rPr>
                <w:spacing w:val="14"/>
              </w:rPr>
              <w:t>位安全培训规定》第二十一</w:t>
            </w:r>
            <w:r>
              <w:rPr>
                <w:spacing w:val="12"/>
              </w:rPr>
              <w:t>条：生产经营单位应当将安</w:t>
            </w:r>
            <w:r>
              <w:rPr>
                <w:spacing w:val="17"/>
              </w:rPr>
              <w:t>全培训工作纳入本单位年度工作计划。保证本单位安全</w:t>
            </w:r>
            <w:r>
              <w:rPr>
                <w:spacing w:val="4"/>
              </w:rPr>
              <w:t>培训工作所需资金。</w:t>
            </w:r>
          </w:p>
          <w:p w14:paraId="14EFC0C2">
            <w:pPr>
              <w:pStyle w:val="6"/>
              <w:spacing w:line="159" w:lineRule="auto"/>
              <w:ind w:left="131"/>
            </w:pPr>
            <w:r>
              <w:rPr>
                <w:spacing w:val="16"/>
              </w:rPr>
              <w:t>生产经营单位的主要负责人</w:t>
            </w:r>
          </w:p>
        </w:tc>
        <w:tc>
          <w:tcPr>
            <w:tcW w:w="2859" w:type="dxa"/>
            <w:vAlign w:val="top"/>
          </w:tcPr>
          <w:p w14:paraId="3E9CC079">
            <w:pPr>
              <w:pStyle w:val="6"/>
              <w:spacing w:before="35" w:line="179" w:lineRule="auto"/>
              <w:ind w:left="122" w:right="107" w:hanging="25"/>
            </w:pPr>
            <w:r>
              <w:rPr>
                <w:spacing w:val="10"/>
              </w:rPr>
              <w:t>【部门规章】《生产经营</w:t>
            </w:r>
            <w:r>
              <w:rPr>
                <w:spacing w:val="8"/>
              </w:rPr>
              <w:t>单位安全培训规定》第二十九条第一项：生产经营</w:t>
            </w:r>
            <w:r>
              <w:rPr>
                <w:spacing w:val="7"/>
              </w:rPr>
              <w:t>单位有下列行为之一的，</w:t>
            </w:r>
            <w:r>
              <w:rPr>
                <w:spacing w:val="8"/>
              </w:rPr>
              <w:t>由安全生产监管监察部门</w:t>
            </w:r>
            <w:r>
              <w:rPr>
                <w:spacing w:val="7"/>
              </w:rPr>
              <w:t>责令其限期改正，可以处</w:t>
            </w:r>
            <w:r>
              <w:rPr>
                <w:rFonts w:ascii="宋体" w:hAnsi="宋体" w:eastAsia="宋体" w:cs="宋体"/>
                <w:spacing w:val="5"/>
              </w:rPr>
              <w:t>1</w:t>
            </w:r>
            <w:r>
              <w:rPr>
                <w:spacing w:val="5"/>
              </w:rPr>
              <w:t>万元以上</w:t>
            </w:r>
            <w:r>
              <w:rPr>
                <w:rFonts w:ascii="宋体" w:hAnsi="宋体" w:eastAsia="宋体" w:cs="宋体"/>
                <w:spacing w:val="5"/>
              </w:rPr>
              <w:t>3</w:t>
            </w:r>
            <w:r>
              <w:rPr>
                <w:spacing w:val="5"/>
              </w:rPr>
              <w:t>万元以下的</w:t>
            </w:r>
          </w:p>
        </w:tc>
        <w:tc>
          <w:tcPr>
            <w:tcW w:w="803" w:type="dxa"/>
            <w:vAlign w:val="top"/>
          </w:tcPr>
          <w:p w14:paraId="795E8168">
            <w:pPr>
              <w:spacing w:line="298" w:lineRule="auto"/>
              <w:rPr>
                <w:rFonts w:ascii="Arial"/>
                <w:sz w:val="21"/>
              </w:rPr>
            </w:pPr>
          </w:p>
          <w:p w14:paraId="00E475EA">
            <w:pPr>
              <w:spacing w:line="298" w:lineRule="auto"/>
              <w:rPr>
                <w:rFonts w:ascii="Arial"/>
                <w:sz w:val="21"/>
              </w:rPr>
            </w:pPr>
          </w:p>
          <w:p w14:paraId="76643F8D">
            <w:pPr>
              <w:spacing w:line="298" w:lineRule="auto"/>
              <w:rPr>
                <w:rFonts w:ascii="Arial"/>
                <w:sz w:val="21"/>
              </w:rPr>
            </w:pPr>
          </w:p>
          <w:p w14:paraId="1EB779F2">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DC22F4F">
            <w:pPr>
              <w:pStyle w:val="6"/>
              <w:spacing w:before="35" w:line="179" w:lineRule="auto"/>
              <w:ind w:left="117" w:right="46" w:firstLine="2"/>
              <w:jc w:val="both"/>
            </w:pPr>
            <w:r>
              <w:rPr>
                <w:spacing w:val="6"/>
              </w:rPr>
              <w:t>从业人员在</w:t>
            </w:r>
            <w:r>
              <w:rPr>
                <w:rFonts w:ascii="宋体" w:hAnsi="宋体" w:eastAsia="宋体" w:cs="宋体"/>
                <w:spacing w:val="6"/>
              </w:rPr>
              <w:t>30</w:t>
            </w:r>
            <w:r>
              <w:rPr>
                <w:spacing w:val="6"/>
              </w:rPr>
              <w:t>人以</w:t>
            </w:r>
            <w:r>
              <w:rPr>
                <w:spacing w:val="-3"/>
              </w:rPr>
              <w:t>下的矿山、金属冶炼</w:t>
            </w:r>
            <w:r>
              <w:rPr>
                <w:spacing w:val="4"/>
              </w:rPr>
              <w:t>和危险物品的生产、</w:t>
            </w:r>
            <w:r>
              <w:rPr>
                <w:spacing w:val="-3"/>
              </w:rPr>
              <w:t>经营、储存、装卸单</w:t>
            </w:r>
            <w:r>
              <w:rPr>
                <w:spacing w:val="15"/>
              </w:rPr>
              <w:t>位，或从业人员在</w:t>
            </w:r>
            <w:r>
              <w:rPr>
                <w:rFonts w:ascii="宋体" w:hAnsi="宋体" w:eastAsia="宋体" w:cs="宋体"/>
                <w:spacing w:val="21"/>
              </w:rPr>
              <w:t>100</w:t>
            </w:r>
            <w:r>
              <w:rPr>
                <w:spacing w:val="21"/>
              </w:rPr>
              <w:t>人以下的其他</w:t>
            </w:r>
            <w:r>
              <w:rPr>
                <w:spacing w:val="-3"/>
              </w:rPr>
              <w:t>生产经营单位，未将</w:t>
            </w:r>
          </w:p>
        </w:tc>
        <w:tc>
          <w:tcPr>
            <w:tcW w:w="2894" w:type="dxa"/>
            <w:vAlign w:val="top"/>
          </w:tcPr>
          <w:p w14:paraId="4742B1F7">
            <w:pPr>
              <w:spacing w:line="267" w:lineRule="auto"/>
              <w:rPr>
                <w:rFonts w:ascii="Arial"/>
                <w:sz w:val="21"/>
              </w:rPr>
            </w:pPr>
          </w:p>
          <w:p w14:paraId="24804540">
            <w:pPr>
              <w:spacing w:line="267" w:lineRule="auto"/>
              <w:rPr>
                <w:rFonts w:ascii="Arial"/>
                <w:sz w:val="21"/>
              </w:rPr>
            </w:pPr>
          </w:p>
          <w:p w14:paraId="1C47C1B9">
            <w:pPr>
              <w:pStyle w:val="6"/>
              <w:spacing w:before="98" w:line="191" w:lineRule="auto"/>
              <w:ind w:left="127" w:right="104"/>
              <w:jc w:val="both"/>
            </w:pPr>
            <w:r>
              <w:rPr>
                <w:spacing w:val="8"/>
              </w:rPr>
              <w:t>责令限期改正，可以处</w:t>
            </w:r>
            <w:r>
              <w:rPr>
                <w:rFonts w:ascii="宋体" w:hAnsi="宋体" w:eastAsia="宋体" w:cs="宋体"/>
                <w:spacing w:val="8"/>
              </w:rPr>
              <w:t>1</w:t>
            </w:r>
            <w:r>
              <w:rPr>
                <w:spacing w:val="4"/>
              </w:rPr>
              <w:t>万元以上</w:t>
            </w:r>
            <w:r>
              <w:rPr>
                <w:rFonts w:ascii="宋体" w:hAnsi="宋体" w:eastAsia="宋体" w:cs="宋体"/>
                <w:spacing w:val="4"/>
              </w:rPr>
              <w:t>1.5</w:t>
            </w:r>
            <w:r>
              <w:rPr>
                <w:spacing w:val="4"/>
              </w:rPr>
              <w:t>万元以下的</w:t>
            </w:r>
            <w:r>
              <w:rPr>
                <w:spacing w:val="-1"/>
              </w:rPr>
              <w:t>罚款</w:t>
            </w:r>
          </w:p>
        </w:tc>
        <w:tc>
          <w:tcPr>
            <w:tcW w:w="811" w:type="dxa"/>
            <w:vAlign w:val="top"/>
          </w:tcPr>
          <w:p w14:paraId="301F0242">
            <w:pPr>
              <w:spacing w:line="299" w:lineRule="auto"/>
              <w:rPr>
                <w:rFonts w:ascii="Arial"/>
                <w:sz w:val="21"/>
              </w:rPr>
            </w:pPr>
          </w:p>
          <w:p w14:paraId="33E26F22">
            <w:pPr>
              <w:spacing w:line="299" w:lineRule="auto"/>
              <w:rPr>
                <w:rFonts w:ascii="Arial"/>
                <w:sz w:val="21"/>
              </w:rPr>
            </w:pPr>
          </w:p>
          <w:p w14:paraId="699107FE">
            <w:pPr>
              <w:spacing w:line="299" w:lineRule="auto"/>
              <w:rPr>
                <w:rFonts w:ascii="Arial"/>
                <w:sz w:val="21"/>
              </w:rPr>
            </w:pPr>
          </w:p>
          <w:p w14:paraId="27D50624">
            <w:pPr>
              <w:spacing w:before="75" w:line="188" w:lineRule="auto"/>
              <w:ind w:left="350"/>
              <w:rPr>
                <w:rFonts w:ascii="宋体" w:hAnsi="宋体" w:eastAsia="宋体" w:cs="宋体"/>
                <w:sz w:val="23"/>
                <w:szCs w:val="23"/>
              </w:rPr>
            </w:pPr>
            <w:r>
              <w:rPr>
                <w:rFonts w:ascii="宋体" w:hAnsi="宋体" w:eastAsia="宋体" w:cs="宋体"/>
                <w:sz w:val="23"/>
                <w:szCs w:val="23"/>
              </w:rPr>
              <w:t>4</w:t>
            </w:r>
          </w:p>
        </w:tc>
      </w:tr>
    </w:tbl>
    <w:p w14:paraId="2CF4967A">
      <w:pPr>
        <w:pStyle w:val="2"/>
      </w:pPr>
    </w:p>
    <w:p w14:paraId="6DFD74BD">
      <w:pPr>
        <w:sectPr>
          <w:footerReference r:id="rId28" w:type="default"/>
          <w:pgSz w:w="16839" w:h="11906"/>
          <w:pgMar w:top="1012" w:right="821" w:bottom="666" w:left="901" w:header="0" w:footer="388" w:gutter="0"/>
          <w:cols w:space="720" w:num="1"/>
        </w:sectPr>
      </w:pPr>
    </w:p>
    <w:p w14:paraId="7B89930F">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5944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366A533E">
            <w:pPr>
              <w:spacing w:before="222" w:line="241" w:lineRule="auto"/>
              <w:ind w:left="131"/>
              <w:rPr>
                <w:rFonts w:ascii="黑体" w:hAnsi="黑体" w:eastAsia="黑体" w:cs="黑体"/>
                <w:sz w:val="28"/>
                <w:szCs w:val="28"/>
              </w:rPr>
            </w:pPr>
            <w:bookmarkStart w:id="374" w:name="bookmark481"/>
            <w:bookmarkEnd w:id="374"/>
            <w:r>
              <w:rPr>
                <w:rFonts w:ascii="黑体" w:hAnsi="黑体" w:eastAsia="黑体" w:cs="黑体"/>
                <w:spacing w:val="-2"/>
                <w:sz w:val="28"/>
                <w:szCs w:val="28"/>
              </w:rPr>
              <w:t>序号</w:t>
            </w:r>
          </w:p>
        </w:tc>
        <w:tc>
          <w:tcPr>
            <w:tcW w:w="1440" w:type="dxa"/>
            <w:vAlign w:val="top"/>
          </w:tcPr>
          <w:p w14:paraId="33490DC5">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3B2D1D9">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9CCED8D">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E2528AA">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05DEE152">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1ED5BA2C">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8593ADD">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CA34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restart"/>
            <w:tcBorders>
              <w:bottom w:val="nil"/>
            </w:tcBorders>
            <w:vAlign w:val="top"/>
          </w:tcPr>
          <w:p w14:paraId="259732EF">
            <w:pPr>
              <w:rPr>
                <w:rFonts w:ascii="Arial"/>
                <w:sz w:val="21"/>
              </w:rPr>
            </w:pPr>
          </w:p>
        </w:tc>
        <w:tc>
          <w:tcPr>
            <w:tcW w:w="1440" w:type="dxa"/>
            <w:vMerge w:val="restart"/>
            <w:tcBorders>
              <w:bottom w:val="nil"/>
            </w:tcBorders>
            <w:vAlign w:val="top"/>
          </w:tcPr>
          <w:p w14:paraId="3D05C7F0">
            <w:pPr>
              <w:pStyle w:val="6"/>
              <w:spacing w:before="27" w:line="212" w:lineRule="auto"/>
              <w:ind w:left="117"/>
            </w:pPr>
            <w:r>
              <w:rPr>
                <w:spacing w:val="1"/>
              </w:rPr>
              <w:t>金的</w:t>
            </w:r>
          </w:p>
        </w:tc>
        <w:tc>
          <w:tcPr>
            <w:tcW w:w="3202" w:type="dxa"/>
            <w:vMerge w:val="restart"/>
            <w:tcBorders>
              <w:bottom w:val="nil"/>
            </w:tcBorders>
            <w:vAlign w:val="top"/>
          </w:tcPr>
          <w:p w14:paraId="32A99095">
            <w:pPr>
              <w:pStyle w:val="6"/>
              <w:spacing w:before="27" w:line="196" w:lineRule="auto"/>
              <w:ind w:left="123" w:right="111" w:firstLine="9"/>
            </w:pPr>
            <w:r>
              <w:rPr>
                <w:spacing w:val="16"/>
              </w:rPr>
              <w:t>负责组织制定并实施本单位</w:t>
            </w:r>
            <w:r>
              <w:rPr>
                <w:spacing w:val="2"/>
              </w:rPr>
              <w:t>安全培训计划。</w:t>
            </w:r>
          </w:p>
        </w:tc>
        <w:tc>
          <w:tcPr>
            <w:tcW w:w="2859" w:type="dxa"/>
            <w:vMerge w:val="restart"/>
            <w:tcBorders>
              <w:bottom w:val="nil"/>
            </w:tcBorders>
            <w:vAlign w:val="top"/>
          </w:tcPr>
          <w:p w14:paraId="6DA22BF7">
            <w:pPr>
              <w:pStyle w:val="6"/>
              <w:spacing w:before="27" w:line="189" w:lineRule="auto"/>
              <w:ind w:left="121" w:right="110" w:firstLine="4"/>
              <w:jc w:val="both"/>
            </w:pPr>
            <w:r>
              <w:rPr>
                <w:spacing w:val="-5"/>
              </w:rPr>
              <w:t>罚款</w:t>
            </w:r>
            <w:r>
              <w:rPr>
                <w:spacing w:val="-4"/>
              </w:rPr>
              <w:t>：（</w:t>
            </w:r>
            <w:r>
              <w:rPr>
                <w:spacing w:val="-5"/>
              </w:rPr>
              <w:t>一）未将安全培</w:t>
            </w:r>
            <w:r>
              <w:rPr>
                <w:spacing w:val="8"/>
              </w:rPr>
              <w:t>训工作纳入本单位工作计划并保证安全培训工作所</w:t>
            </w:r>
            <w:r>
              <w:rPr>
                <w:spacing w:val="-3"/>
              </w:rPr>
              <w:t>需资金的；</w:t>
            </w:r>
          </w:p>
        </w:tc>
        <w:tc>
          <w:tcPr>
            <w:tcW w:w="803" w:type="dxa"/>
            <w:vAlign w:val="top"/>
          </w:tcPr>
          <w:p w14:paraId="1A497312">
            <w:pPr>
              <w:rPr>
                <w:rFonts w:ascii="Arial"/>
                <w:sz w:val="21"/>
              </w:rPr>
            </w:pPr>
          </w:p>
        </w:tc>
        <w:tc>
          <w:tcPr>
            <w:tcW w:w="2283" w:type="dxa"/>
            <w:vAlign w:val="top"/>
          </w:tcPr>
          <w:p w14:paraId="16C5CF71">
            <w:pPr>
              <w:pStyle w:val="6"/>
              <w:spacing w:before="29" w:line="177" w:lineRule="auto"/>
              <w:ind w:left="114" w:right="109" w:firstLine="8"/>
              <w:jc w:val="both"/>
            </w:pPr>
            <w:r>
              <w:rPr>
                <w:spacing w:val="25"/>
              </w:rPr>
              <w:t>安全培训工作纳入</w:t>
            </w:r>
            <w:r>
              <w:rPr>
                <w:spacing w:val="26"/>
              </w:rPr>
              <w:t>本单位工作计划并保证安全培训工作</w:t>
            </w:r>
            <w:r>
              <w:rPr>
                <w:spacing w:val="7"/>
              </w:rPr>
              <w:t>所需资金的</w:t>
            </w:r>
          </w:p>
        </w:tc>
        <w:tc>
          <w:tcPr>
            <w:tcW w:w="2894" w:type="dxa"/>
            <w:vAlign w:val="top"/>
          </w:tcPr>
          <w:p w14:paraId="36EE1C81">
            <w:pPr>
              <w:rPr>
                <w:rFonts w:ascii="Arial"/>
                <w:sz w:val="21"/>
              </w:rPr>
            </w:pPr>
          </w:p>
        </w:tc>
        <w:tc>
          <w:tcPr>
            <w:tcW w:w="811" w:type="dxa"/>
            <w:vMerge w:val="restart"/>
            <w:tcBorders>
              <w:bottom w:val="nil"/>
            </w:tcBorders>
            <w:vAlign w:val="top"/>
          </w:tcPr>
          <w:p w14:paraId="157054B8">
            <w:pPr>
              <w:rPr>
                <w:rFonts w:ascii="Arial"/>
                <w:sz w:val="21"/>
              </w:rPr>
            </w:pPr>
          </w:p>
        </w:tc>
      </w:tr>
      <w:tr w14:paraId="415B2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trPr>
        <w:tc>
          <w:tcPr>
            <w:tcW w:w="818" w:type="dxa"/>
            <w:vMerge w:val="continue"/>
            <w:tcBorders>
              <w:top w:val="nil"/>
              <w:bottom w:val="nil"/>
            </w:tcBorders>
            <w:vAlign w:val="top"/>
          </w:tcPr>
          <w:p w14:paraId="583A082F">
            <w:pPr>
              <w:rPr>
                <w:rFonts w:ascii="Arial"/>
                <w:sz w:val="21"/>
              </w:rPr>
            </w:pPr>
          </w:p>
        </w:tc>
        <w:tc>
          <w:tcPr>
            <w:tcW w:w="1440" w:type="dxa"/>
            <w:vMerge w:val="continue"/>
            <w:tcBorders>
              <w:top w:val="nil"/>
              <w:bottom w:val="nil"/>
            </w:tcBorders>
            <w:vAlign w:val="top"/>
          </w:tcPr>
          <w:p w14:paraId="3A66AB2B">
            <w:pPr>
              <w:rPr>
                <w:rFonts w:ascii="Arial"/>
                <w:sz w:val="21"/>
              </w:rPr>
            </w:pPr>
          </w:p>
        </w:tc>
        <w:tc>
          <w:tcPr>
            <w:tcW w:w="3202" w:type="dxa"/>
            <w:vMerge w:val="continue"/>
            <w:tcBorders>
              <w:top w:val="nil"/>
              <w:bottom w:val="nil"/>
            </w:tcBorders>
            <w:vAlign w:val="top"/>
          </w:tcPr>
          <w:p w14:paraId="6EE34FC7">
            <w:pPr>
              <w:rPr>
                <w:rFonts w:ascii="Arial"/>
                <w:sz w:val="21"/>
              </w:rPr>
            </w:pPr>
          </w:p>
        </w:tc>
        <w:tc>
          <w:tcPr>
            <w:tcW w:w="2859" w:type="dxa"/>
            <w:vMerge w:val="continue"/>
            <w:tcBorders>
              <w:top w:val="nil"/>
              <w:bottom w:val="nil"/>
            </w:tcBorders>
            <w:vAlign w:val="top"/>
          </w:tcPr>
          <w:p w14:paraId="40AC8EDE">
            <w:pPr>
              <w:rPr>
                <w:rFonts w:ascii="Arial"/>
                <w:sz w:val="21"/>
              </w:rPr>
            </w:pPr>
          </w:p>
        </w:tc>
        <w:tc>
          <w:tcPr>
            <w:tcW w:w="803" w:type="dxa"/>
            <w:vAlign w:val="top"/>
          </w:tcPr>
          <w:p w14:paraId="1EFFA1DF">
            <w:pPr>
              <w:spacing w:line="273" w:lineRule="auto"/>
              <w:rPr>
                <w:rFonts w:ascii="Arial"/>
                <w:sz w:val="21"/>
              </w:rPr>
            </w:pPr>
          </w:p>
          <w:p w14:paraId="6F4AE635">
            <w:pPr>
              <w:spacing w:line="273" w:lineRule="auto"/>
              <w:rPr>
                <w:rFonts w:ascii="Arial"/>
                <w:sz w:val="21"/>
              </w:rPr>
            </w:pPr>
          </w:p>
          <w:p w14:paraId="246BBD97">
            <w:pPr>
              <w:spacing w:line="273" w:lineRule="auto"/>
              <w:rPr>
                <w:rFonts w:ascii="Arial"/>
                <w:sz w:val="21"/>
              </w:rPr>
            </w:pPr>
          </w:p>
          <w:p w14:paraId="3B27F513">
            <w:pPr>
              <w:spacing w:line="273" w:lineRule="auto"/>
              <w:rPr>
                <w:rFonts w:ascii="Arial"/>
                <w:sz w:val="21"/>
              </w:rPr>
            </w:pPr>
          </w:p>
          <w:p w14:paraId="4D7B9362">
            <w:pPr>
              <w:spacing w:line="273" w:lineRule="auto"/>
              <w:rPr>
                <w:rFonts w:ascii="Arial"/>
                <w:sz w:val="21"/>
              </w:rPr>
            </w:pPr>
          </w:p>
          <w:p w14:paraId="12B11C7E">
            <w:pPr>
              <w:spacing w:line="274" w:lineRule="auto"/>
              <w:rPr>
                <w:rFonts w:ascii="Arial"/>
                <w:sz w:val="21"/>
              </w:rPr>
            </w:pPr>
          </w:p>
          <w:p w14:paraId="00578B81">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4DA5777">
            <w:pPr>
              <w:pStyle w:val="6"/>
              <w:spacing w:before="31" w:line="182" w:lineRule="auto"/>
              <w:ind w:left="120"/>
            </w:pPr>
            <w:r>
              <w:rPr>
                <w:spacing w:val="6"/>
              </w:rPr>
              <w:t>从业人员在</w:t>
            </w:r>
            <w:r>
              <w:rPr>
                <w:rFonts w:ascii="宋体" w:hAnsi="宋体" w:eastAsia="宋体" w:cs="宋体"/>
                <w:spacing w:val="6"/>
              </w:rPr>
              <w:t>30</w:t>
            </w:r>
            <w:r>
              <w:rPr>
                <w:spacing w:val="6"/>
              </w:rPr>
              <w:t>人以</w:t>
            </w:r>
          </w:p>
          <w:p w14:paraId="70B7551B">
            <w:pPr>
              <w:pStyle w:val="6"/>
              <w:spacing w:line="182" w:lineRule="auto"/>
              <w:ind w:left="123"/>
              <w:outlineLvl w:val="0"/>
            </w:pPr>
            <w:r>
              <w:rPr>
                <w:spacing w:val="11"/>
              </w:rPr>
              <w:t>上</w:t>
            </w:r>
            <w:r>
              <w:rPr>
                <w:rFonts w:ascii="宋体" w:hAnsi="宋体" w:eastAsia="宋体" w:cs="宋体"/>
                <w:spacing w:val="11"/>
              </w:rPr>
              <w:t>100</w:t>
            </w:r>
            <w:r>
              <w:rPr>
                <w:spacing w:val="11"/>
              </w:rPr>
              <w:t>人以下的矿</w:t>
            </w:r>
          </w:p>
          <w:p w14:paraId="5462A7F0">
            <w:pPr>
              <w:pStyle w:val="6"/>
              <w:spacing w:before="2" w:line="180" w:lineRule="auto"/>
              <w:ind w:left="115" w:right="46" w:firstLine="35"/>
              <w:jc w:val="both"/>
            </w:pPr>
            <w:r>
              <w:rPr>
                <w:spacing w:val="-6"/>
              </w:rPr>
              <w:t>山、金属冶炼和危险</w:t>
            </w:r>
            <w:r>
              <w:rPr>
                <w:spacing w:val="5"/>
              </w:rPr>
              <w:t>物品的生产、经营、</w:t>
            </w:r>
            <w:r>
              <w:rPr>
                <w:spacing w:val="-14"/>
              </w:rPr>
              <w:t>储存、装卸单位，或</w:t>
            </w:r>
            <w:r>
              <w:rPr>
                <w:spacing w:val="12"/>
              </w:rPr>
              <w:t>从业人员在</w:t>
            </w:r>
            <w:r>
              <w:rPr>
                <w:rFonts w:ascii="宋体" w:hAnsi="宋体" w:eastAsia="宋体" w:cs="宋体"/>
                <w:spacing w:val="12"/>
              </w:rPr>
              <w:t>100</w:t>
            </w:r>
            <w:r>
              <w:rPr>
                <w:spacing w:val="12"/>
              </w:rPr>
              <w:t>人</w:t>
            </w:r>
            <w:bookmarkStart w:id="375" w:name="bookmark28"/>
            <w:bookmarkEnd w:id="375"/>
            <w:r>
              <w:rPr>
                <w:spacing w:val="13"/>
              </w:rPr>
              <w:t>以上</w:t>
            </w:r>
            <w:r>
              <w:rPr>
                <w:rFonts w:ascii="宋体" w:hAnsi="宋体" w:eastAsia="宋体" w:cs="宋体"/>
                <w:spacing w:val="13"/>
              </w:rPr>
              <w:t>300</w:t>
            </w:r>
            <w:r>
              <w:rPr>
                <w:spacing w:val="13"/>
              </w:rPr>
              <w:t>人以下的</w:t>
            </w:r>
            <w:r>
              <w:rPr>
                <w:spacing w:val="3"/>
              </w:rPr>
              <w:t>其他生产经营单位，</w:t>
            </w:r>
            <w:r>
              <w:rPr>
                <w:spacing w:val="26"/>
              </w:rPr>
              <w:t>未将安全培训工作纳入本单位工作计划并保证安全培训</w:t>
            </w:r>
            <w:r>
              <w:rPr>
                <w:spacing w:val="7"/>
              </w:rPr>
              <w:t>工作所需资金的</w:t>
            </w:r>
          </w:p>
        </w:tc>
        <w:tc>
          <w:tcPr>
            <w:tcW w:w="2894" w:type="dxa"/>
            <w:vAlign w:val="top"/>
          </w:tcPr>
          <w:p w14:paraId="5D1AFE3F">
            <w:pPr>
              <w:spacing w:line="255" w:lineRule="auto"/>
              <w:rPr>
                <w:rFonts w:ascii="Arial"/>
                <w:sz w:val="21"/>
              </w:rPr>
            </w:pPr>
          </w:p>
          <w:p w14:paraId="2579AB78">
            <w:pPr>
              <w:spacing w:line="255" w:lineRule="auto"/>
              <w:rPr>
                <w:rFonts w:ascii="Arial"/>
                <w:sz w:val="21"/>
              </w:rPr>
            </w:pPr>
          </w:p>
          <w:p w14:paraId="02EF7926">
            <w:pPr>
              <w:spacing w:line="255" w:lineRule="auto"/>
              <w:rPr>
                <w:rFonts w:ascii="Arial"/>
                <w:sz w:val="21"/>
              </w:rPr>
            </w:pPr>
          </w:p>
          <w:p w14:paraId="779D4915">
            <w:pPr>
              <w:spacing w:line="255" w:lineRule="auto"/>
              <w:rPr>
                <w:rFonts w:ascii="Arial"/>
                <w:sz w:val="21"/>
              </w:rPr>
            </w:pPr>
          </w:p>
          <w:p w14:paraId="5EB33D3F">
            <w:pPr>
              <w:spacing w:line="255" w:lineRule="auto"/>
              <w:rPr>
                <w:rFonts w:ascii="Arial"/>
                <w:sz w:val="21"/>
              </w:rPr>
            </w:pPr>
          </w:p>
          <w:p w14:paraId="7DF9AFD7">
            <w:pPr>
              <w:pStyle w:val="6"/>
              <w:spacing w:before="99" w:line="191" w:lineRule="auto"/>
              <w:ind w:left="122" w:right="104" w:firstLine="4"/>
              <w:jc w:val="both"/>
            </w:pPr>
            <w:r>
              <w:rPr>
                <w:spacing w:val="-5"/>
              </w:rPr>
              <w:t>责令限期改正，可以处</w:t>
            </w:r>
            <w:r>
              <w:rPr>
                <w:rFonts w:ascii="宋体" w:hAnsi="宋体" w:eastAsia="宋体" w:cs="宋体"/>
                <w:spacing w:val="-5"/>
              </w:rPr>
              <w:t>1.5</w:t>
            </w:r>
            <w:r>
              <w:rPr>
                <w:spacing w:val="7"/>
              </w:rPr>
              <w:t>万元以上</w:t>
            </w:r>
            <w:r>
              <w:rPr>
                <w:rFonts w:ascii="宋体" w:hAnsi="宋体" w:eastAsia="宋体" w:cs="宋体"/>
                <w:spacing w:val="7"/>
              </w:rPr>
              <w:t>2</w:t>
            </w:r>
            <w:r>
              <w:rPr>
                <w:spacing w:val="7"/>
              </w:rPr>
              <w:t>万元以下的罚</w:t>
            </w:r>
            <w:r>
              <w:t>款</w:t>
            </w:r>
          </w:p>
        </w:tc>
        <w:tc>
          <w:tcPr>
            <w:tcW w:w="811" w:type="dxa"/>
            <w:vMerge w:val="continue"/>
            <w:tcBorders>
              <w:top w:val="nil"/>
              <w:bottom w:val="nil"/>
            </w:tcBorders>
            <w:vAlign w:val="top"/>
          </w:tcPr>
          <w:p w14:paraId="0EB7199E">
            <w:pPr>
              <w:rPr>
                <w:rFonts w:ascii="Arial"/>
                <w:sz w:val="21"/>
              </w:rPr>
            </w:pPr>
          </w:p>
        </w:tc>
      </w:tr>
      <w:tr w14:paraId="51852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818" w:type="dxa"/>
            <w:vMerge w:val="continue"/>
            <w:tcBorders>
              <w:top w:val="nil"/>
            </w:tcBorders>
            <w:vAlign w:val="top"/>
          </w:tcPr>
          <w:p w14:paraId="33DBED28">
            <w:pPr>
              <w:rPr>
                <w:rFonts w:ascii="Arial"/>
                <w:sz w:val="21"/>
              </w:rPr>
            </w:pPr>
          </w:p>
        </w:tc>
        <w:tc>
          <w:tcPr>
            <w:tcW w:w="1440" w:type="dxa"/>
            <w:vMerge w:val="continue"/>
            <w:tcBorders>
              <w:top w:val="nil"/>
            </w:tcBorders>
            <w:vAlign w:val="top"/>
          </w:tcPr>
          <w:p w14:paraId="2B5D4F5F">
            <w:pPr>
              <w:rPr>
                <w:rFonts w:ascii="Arial"/>
                <w:sz w:val="21"/>
              </w:rPr>
            </w:pPr>
          </w:p>
        </w:tc>
        <w:tc>
          <w:tcPr>
            <w:tcW w:w="3202" w:type="dxa"/>
            <w:vMerge w:val="continue"/>
            <w:tcBorders>
              <w:top w:val="nil"/>
            </w:tcBorders>
            <w:vAlign w:val="top"/>
          </w:tcPr>
          <w:p w14:paraId="0ACA5B09">
            <w:pPr>
              <w:rPr>
                <w:rFonts w:ascii="Arial"/>
                <w:sz w:val="21"/>
              </w:rPr>
            </w:pPr>
          </w:p>
        </w:tc>
        <w:tc>
          <w:tcPr>
            <w:tcW w:w="2859" w:type="dxa"/>
            <w:vMerge w:val="continue"/>
            <w:tcBorders>
              <w:top w:val="nil"/>
            </w:tcBorders>
            <w:vAlign w:val="top"/>
          </w:tcPr>
          <w:p w14:paraId="385B3EEF">
            <w:pPr>
              <w:rPr>
                <w:rFonts w:ascii="Arial"/>
                <w:sz w:val="21"/>
              </w:rPr>
            </w:pPr>
          </w:p>
        </w:tc>
        <w:tc>
          <w:tcPr>
            <w:tcW w:w="803" w:type="dxa"/>
            <w:vAlign w:val="top"/>
          </w:tcPr>
          <w:p w14:paraId="61CE0189">
            <w:pPr>
              <w:spacing w:line="248" w:lineRule="auto"/>
              <w:rPr>
                <w:rFonts w:ascii="Arial"/>
                <w:sz w:val="21"/>
              </w:rPr>
            </w:pPr>
          </w:p>
          <w:p w14:paraId="4F36C9CB">
            <w:pPr>
              <w:spacing w:line="248" w:lineRule="auto"/>
              <w:rPr>
                <w:rFonts w:ascii="Arial"/>
                <w:sz w:val="21"/>
              </w:rPr>
            </w:pPr>
          </w:p>
          <w:p w14:paraId="65571003">
            <w:pPr>
              <w:spacing w:line="249" w:lineRule="auto"/>
              <w:rPr>
                <w:rFonts w:ascii="Arial"/>
                <w:sz w:val="21"/>
              </w:rPr>
            </w:pPr>
          </w:p>
          <w:p w14:paraId="5CEB0D30">
            <w:pPr>
              <w:spacing w:line="249" w:lineRule="auto"/>
              <w:rPr>
                <w:rFonts w:ascii="Arial"/>
                <w:sz w:val="21"/>
              </w:rPr>
            </w:pPr>
          </w:p>
          <w:p w14:paraId="7FC70FB2">
            <w:pPr>
              <w:spacing w:line="249" w:lineRule="auto"/>
              <w:rPr>
                <w:rFonts w:ascii="Arial"/>
                <w:sz w:val="21"/>
              </w:rPr>
            </w:pPr>
          </w:p>
          <w:p w14:paraId="74DB02B4">
            <w:pPr>
              <w:spacing w:line="249" w:lineRule="auto"/>
              <w:rPr>
                <w:rFonts w:ascii="Arial"/>
                <w:sz w:val="21"/>
              </w:rPr>
            </w:pPr>
          </w:p>
          <w:p w14:paraId="161C7589">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75F2864">
            <w:pPr>
              <w:pStyle w:val="6"/>
              <w:spacing w:before="37" w:line="180" w:lineRule="auto"/>
              <w:ind w:left="117" w:right="105" w:firstLine="2"/>
              <w:jc w:val="both"/>
            </w:pPr>
            <w:r>
              <w:rPr>
                <w:spacing w:val="12"/>
              </w:rPr>
              <w:t>从业人员在</w:t>
            </w:r>
            <w:r>
              <w:rPr>
                <w:rFonts w:ascii="宋体" w:hAnsi="宋体" w:eastAsia="宋体" w:cs="宋体"/>
                <w:spacing w:val="12"/>
              </w:rPr>
              <w:t>100</w:t>
            </w:r>
            <w:r>
              <w:rPr>
                <w:spacing w:val="12"/>
              </w:rPr>
              <w:t>人</w:t>
            </w:r>
            <w:r>
              <w:rPr>
                <w:spacing w:val="-3"/>
              </w:rPr>
              <w:t>以上的矿山、金属冶</w:t>
            </w:r>
            <w:r>
              <w:rPr>
                <w:spacing w:val="26"/>
              </w:rPr>
              <w:t>炼和危险物品的生</w:t>
            </w:r>
            <w:r>
              <w:rPr>
                <w:spacing w:val="-3"/>
              </w:rPr>
              <w:t>产、经营、储存、装卸单位，或从业人员</w:t>
            </w:r>
            <w:r>
              <w:rPr>
                <w:spacing w:val="13"/>
              </w:rPr>
              <w:t>在</w:t>
            </w:r>
            <w:r>
              <w:rPr>
                <w:rFonts w:ascii="宋体" w:hAnsi="宋体" w:eastAsia="宋体" w:cs="宋体"/>
                <w:spacing w:val="13"/>
              </w:rPr>
              <w:t>300</w:t>
            </w:r>
            <w:r>
              <w:rPr>
                <w:spacing w:val="13"/>
              </w:rPr>
              <w:t>人以上的其</w:t>
            </w:r>
            <w:r>
              <w:rPr>
                <w:spacing w:val="-3"/>
              </w:rPr>
              <w:t>他生产经营单位，未</w:t>
            </w:r>
            <w:r>
              <w:rPr>
                <w:spacing w:val="26"/>
              </w:rPr>
              <w:t>将安全培训工作纳入本单位工作计划并保证安全培训工</w:t>
            </w:r>
            <w:r>
              <w:rPr>
                <w:spacing w:val="7"/>
              </w:rPr>
              <w:t>作所需资金的</w:t>
            </w:r>
          </w:p>
        </w:tc>
        <w:tc>
          <w:tcPr>
            <w:tcW w:w="2894" w:type="dxa"/>
            <w:vAlign w:val="top"/>
          </w:tcPr>
          <w:p w14:paraId="3AA9D36F">
            <w:pPr>
              <w:spacing w:line="282" w:lineRule="auto"/>
              <w:rPr>
                <w:rFonts w:ascii="Arial"/>
                <w:sz w:val="21"/>
              </w:rPr>
            </w:pPr>
          </w:p>
          <w:p w14:paraId="4F5EECFC">
            <w:pPr>
              <w:spacing w:line="282" w:lineRule="auto"/>
              <w:rPr>
                <w:rFonts w:ascii="Arial"/>
                <w:sz w:val="21"/>
              </w:rPr>
            </w:pPr>
          </w:p>
          <w:p w14:paraId="72DE9193">
            <w:pPr>
              <w:spacing w:line="282" w:lineRule="auto"/>
              <w:rPr>
                <w:rFonts w:ascii="Arial"/>
                <w:sz w:val="21"/>
              </w:rPr>
            </w:pPr>
          </w:p>
          <w:p w14:paraId="7780E8E4">
            <w:pPr>
              <w:spacing w:line="282" w:lineRule="auto"/>
              <w:rPr>
                <w:rFonts w:ascii="Arial"/>
                <w:sz w:val="21"/>
              </w:rPr>
            </w:pPr>
          </w:p>
          <w:p w14:paraId="6127B315">
            <w:pPr>
              <w:pStyle w:val="6"/>
              <w:spacing w:before="99" w:line="191" w:lineRule="auto"/>
              <w:ind w:left="122" w:right="104" w:firstLine="4"/>
              <w:jc w:val="both"/>
            </w:pPr>
            <w:r>
              <w:rPr>
                <w:spacing w:val="10"/>
              </w:rPr>
              <w:t>责令限期改正，可以处</w:t>
            </w:r>
            <w:r>
              <w:rPr>
                <w:rFonts w:ascii="宋体" w:hAnsi="宋体" w:eastAsia="宋体" w:cs="宋体"/>
                <w:spacing w:val="10"/>
              </w:rPr>
              <w:t>2</w:t>
            </w:r>
            <w:r>
              <w:rPr>
                <w:spacing w:val="7"/>
              </w:rPr>
              <w:t>万元以上</w:t>
            </w:r>
            <w:r>
              <w:rPr>
                <w:rFonts w:ascii="宋体" w:hAnsi="宋体" w:eastAsia="宋体" w:cs="宋体"/>
                <w:spacing w:val="7"/>
              </w:rPr>
              <w:t>3</w:t>
            </w:r>
            <w:r>
              <w:rPr>
                <w:spacing w:val="7"/>
              </w:rPr>
              <w:t>万元以下的罚</w:t>
            </w:r>
            <w:r>
              <w:t>款</w:t>
            </w:r>
          </w:p>
        </w:tc>
        <w:tc>
          <w:tcPr>
            <w:tcW w:w="811" w:type="dxa"/>
            <w:vMerge w:val="continue"/>
            <w:tcBorders>
              <w:top w:val="nil"/>
            </w:tcBorders>
            <w:vAlign w:val="top"/>
          </w:tcPr>
          <w:p w14:paraId="681B7F4B">
            <w:pPr>
              <w:rPr>
                <w:rFonts w:ascii="Arial"/>
                <w:sz w:val="21"/>
              </w:rPr>
            </w:pPr>
          </w:p>
        </w:tc>
      </w:tr>
      <w:tr w14:paraId="05647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818" w:type="dxa"/>
            <w:vAlign w:val="top"/>
          </w:tcPr>
          <w:p w14:paraId="020E4C69">
            <w:pPr>
              <w:spacing w:line="303" w:lineRule="auto"/>
              <w:rPr>
                <w:rFonts w:ascii="Arial"/>
                <w:sz w:val="21"/>
              </w:rPr>
            </w:pPr>
          </w:p>
          <w:p w14:paraId="40CAAF95">
            <w:pPr>
              <w:spacing w:before="75" w:line="186" w:lineRule="auto"/>
              <w:ind w:left="252"/>
              <w:rPr>
                <w:rFonts w:ascii="仿宋" w:hAnsi="仿宋" w:eastAsia="仿宋" w:cs="仿宋"/>
                <w:sz w:val="23"/>
                <w:szCs w:val="23"/>
              </w:rPr>
            </w:pPr>
            <w:r>
              <w:rPr>
                <w:rFonts w:ascii="仿宋" w:hAnsi="仿宋" w:eastAsia="仿宋" w:cs="仿宋"/>
                <w:spacing w:val="-10"/>
                <w:sz w:val="23"/>
                <w:szCs w:val="23"/>
              </w:rPr>
              <w:t>12</w:t>
            </w:r>
          </w:p>
        </w:tc>
        <w:tc>
          <w:tcPr>
            <w:tcW w:w="1440" w:type="dxa"/>
            <w:vAlign w:val="top"/>
          </w:tcPr>
          <w:p w14:paraId="0F1B4A5A">
            <w:pPr>
              <w:pStyle w:val="6"/>
              <w:spacing w:before="34" w:line="175" w:lineRule="auto"/>
              <w:ind w:left="114" w:right="111" w:firstLine="14"/>
              <w:jc w:val="both"/>
            </w:pPr>
            <w:r>
              <w:rPr>
                <w:spacing w:val="8"/>
              </w:rPr>
              <w:t>生产经营单</w:t>
            </w:r>
            <w:r>
              <w:rPr>
                <w:spacing w:val="11"/>
              </w:rPr>
              <w:t>位未按规定设置安全生</w:t>
            </w:r>
          </w:p>
        </w:tc>
        <w:tc>
          <w:tcPr>
            <w:tcW w:w="3202" w:type="dxa"/>
            <w:vAlign w:val="top"/>
          </w:tcPr>
          <w:p w14:paraId="71C8BFCB">
            <w:pPr>
              <w:pStyle w:val="6"/>
              <w:spacing w:before="34" w:line="175" w:lineRule="auto"/>
              <w:ind w:left="118" w:right="19" w:hanging="20"/>
            </w:pPr>
            <w:r>
              <w:rPr>
                <w:spacing w:val="18"/>
              </w:rPr>
              <w:t>【法律】《中华人民共和国</w:t>
            </w:r>
            <w:r>
              <w:rPr>
                <w:spacing w:val="13"/>
              </w:rPr>
              <w:t>安全生产法》第二十四条：</w:t>
            </w:r>
            <w:r>
              <w:rPr>
                <w:spacing w:val="5"/>
              </w:rPr>
              <w:t>矿山、金属冶炼、建筑施工、</w:t>
            </w:r>
          </w:p>
        </w:tc>
        <w:tc>
          <w:tcPr>
            <w:tcW w:w="2859" w:type="dxa"/>
            <w:vAlign w:val="top"/>
          </w:tcPr>
          <w:p w14:paraId="431E14EA">
            <w:pPr>
              <w:pStyle w:val="6"/>
              <w:spacing w:before="34" w:line="175" w:lineRule="auto"/>
              <w:ind w:left="117" w:right="110" w:hanging="20"/>
              <w:jc w:val="both"/>
            </w:pPr>
            <w:r>
              <w:rPr>
                <w:spacing w:val="10"/>
              </w:rPr>
              <w:t>【法律】《中华人民共和</w:t>
            </w:r>
            <w:r>
              <w:rPr>
                <w:spacing w:val="8"/>
              </w:rPr>
              <w:t>国安全生产法》第九十七条第一项：生产经营单位</w:t>
            </w:r>
          </w:p>
        </w:tc>
        <w:tc>
          <w:tcPr>
            <w:tcW w:w="803" w:type="dxa"/>
            <w:vAlign w:val="top"/>
          </w:tcPr>
          <w:p w14:paraId="2B8AB567">
            <w:pPr>
              <w:spacing w:line="298" w:lineRule="auto"/>
              <w:rPr>
                <w:rFonts w:ascii="Arial"/>
                <w:sz w:val="21"/>
              </w:rPr>
            </w:pPr>
          </w:p>
          <w:p w14:paraId="30A32687">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50F5156">
            <w:pPr>
              <w:pStyle w:val="6"/>
              <w:spacing w:before="34" w:line="175" w:lineRule="auto"/>
              <w:ind w:left="120" w:right="46"/>
              <w:jc w:val="both"/>
            </w:pPr>
            <w:r>
              <w:rPr>
                <w:spacing w:val="6"/>
              </w:rPr>
              <w:t>从业人员在</w:t>
            </w:r>
            <w:r>
              <w:rPr>
                <w:rFonts w:ascii="宋体" w:hAnsi="宋体" w:eastAsia="宋体" w:cs="宋体"/>
                <w:spacing w:val="6"/>
              </w:rPr>
              <w:t>30</w:t>
            </w:r>
            <w:r>
              <w:rPr>
                <w:spacing w:val="6"/>
              </w:rPr>
              <w:t>人以</w:t>
            </w:r>
            <w:r>
              <w:rPr>
                <w:spacing w:val="-3"/>
              </w:rPr>
              <w:t>下的矿山、金属冶炼</w:t>
            </w:r>
            <w:r>
              <w:rPr>
                <w:spacing w:val="4"/>
              </w:rPr>
              <w:t>和危险物品的生产、</w:t>
            </w:r>
          </w:p>
        </w:tc>
        <w:tc>
          <w:tcPr>
            <w:tcW w:w="2894" w:type="dxa"/>
            <w:vAlign w:val="top"/>
          </w:tcPr>
          <w:p w14:paraId="1E9AB241">
            <w:pPr>
              <w:pStyle w:val="6"/>
              <w:spacing w:before="34" w:line="175" w:lineRule="auto"/>
              <w:ind w:left="140" w:right="103" w:hanging="13"/>
              <w:jc w:val="both"/>
            </w:pPr>
            <w:r>
              <w:rPr>
                <w:spacing w:val="4"/>
              </w:rPr>
              <w:t>责令限期改正，处</w:t>
            </w:r>
            <w:r>
              <w:rPr>
                <w:rFonts w:ascii="宋体" w:hAnsi="宋体" w:eastAsia="宋体" w:cs="宋体"/>
                <w:spacing w:val="4"/>
              </w:rPr>
              <w:t>3</w:t>
            </w:r>
            <w:r>
              <w:rPr>
                <w:spacing w:val="4"/>
              </w:rPr>
              <w:t>万元</w:t>
            </w:r>
            <w:r>
              <w:rPr>
                <w:spacing w:val="6"/>
              </w:rPr>
              <w:t>以下的罚款；逾期未改正</w:t>
            </w:r>
            <w:r>
              <w:rPr>
                <w:spacing w:val="5"/>
              </w:rPr>
              <w:t>的，责令停产停业整顿，</w:t>
            </w:r>
          </w:p>
        </w:tc>
        <w:tc>
          <w:tcPr>
            <w:tcW w:w="811" w:type="dxa"/>
            <w:vAlign w:val="top"/>
          </w:tcPr>
          <w:p w14:paraId="440E1F7B">
            <w:pPr>
              <w:spacing w:line="302" w:lineRule="auto"/>
              <w:rPr>
                <w:rFonts w:ascii="Arial"/>
                <w:sz w:val="21"/>
              </w:rPr>
            </w:pPr>
          </w:p>
          <w:p w14:paraId="1DE27FEB">
            <w:pPr>
              <w:spacing w:before="75" w:line="187" w:lineRule="auto"/>
              <w:ind w:left="355"/>
              <w:rPr>
                <w:rFonts w:ascii="宋体" w:hAnsi="宋体" w:eastAsia="宋体" w:cs="宋体"/>
                <w:sz w:val="23"/>
                <w:szCs w:val="23"/>
              </w:rPr>
            </w:pPr>
            <w:r>
              <w:rPr>
                <w:rFonts w:ascii="宋体" w:hAnsi="宋体" w:eastAsia="宋体" w:cs="宋体"/>
                <w:sz w:val="23"/>
                <w:szCs w:val="23"/>
              </w:rPr>
              <w:t>5</w:t>
            </w:r>
          </w:p>
        </w:tc>
      </w:tr>
    </w:tbl>
    <w:p w14:paraId="5F65E7C8">
      <w:pPr>
        <w:pStyle w:val="2"/>
      </w:pPr>
    </w:p>
    <w:p w14:paraId="1DFCB1C4">
      <w:pPr>
        <w:sectPr>
          <w:footerReference r:id="rId29" w:type="default"/>
          <w:pgSz w:w="16839" w:h="11906"/>
          <w:pgMar w:top="1012" w:right="821" w:bottom="666" w:left="901" w:header="0" w:footer="388" w:gutter="0"/>
          <w:cols w:space="720" w:num="1"/>
        </w:sectPr>
      </w:pPr>
    </w:p>
    <w:p w14:paraId="12A1A660">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8C6B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374EB2E">
            <w:pPr>
              <w:spacing w:before="222" w:line="241" w:lineRule="auto"/>
              <w:ind w:left="131"/>
              <w:rPr>
                <w:rFonts w:ascii="黑体" w:hAnsi="黑体" w:eastAsia="黑体" w:cs="黑体"/>
                <w:sz w:val="28"/>
                <w:szCs w:val="28"/>
              </w:rPr>
            </w:pPr>
            <w:bookmarkStart w:id="376" w:name="bookmark482"/>
            <w:bookmarkEnd w:id="376"/>
            <w:r>
              <w:rPr>
                <w:rFonts w:ascii="黑体" w:hAnsi="黑体" w:eastAsia="黑体" w:cs="黑体"/>
                <w:spacing w:val="-2"/>
                <w:sz w:val="28"/>
                <w:szCs w:val="28"/>
              </w:rPr>
              <w:t>序号</w:t>
            </w:r>
          </w:p>
        </w:tc>
        <w:tc>
          <w:tcPr>
            <w:tcW w:w="1440" w:type="dxa"/>
            <w:vAlign w:val="top"/>
          </w:tcPr>
          <w:p w14:paraId="719317D5">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614E791">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CE5C8A6">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E5226B7">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9ADDF9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8E9E7DC">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3CD7322">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6960D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3" w:hRule="atLeast"/>
        </w:trPr>
        <w:tc>
          <w:tcPr>
            <w:tcW w:w="818" w:type="dxa"/>
            <w:vMerge w:val="restart"/>
            <w:tcBorders>
              <w:bottom w:val="nil"/>
            </w:tcBorders>
            <w:vAlign w:val="top"/>
          </w:tcPr>
          <w:p w14:paraId="028EB478">
            <w:pPr>
              <w:rPr>
                <w:rFonts w:ascii="Arial"/>
                <w:sz w:val="21"/>
              </w:rPr>
            </w:pPr>
          </w:p>
        </w:tc>
        <w:tc>
          <w:tcPr>
            <w:tcW w:w="1440" w:type="dxa"/>
            <w:vMerge w:val="restart"/>
            <w:tcBorders>
              <w:bottom w:val="nil"/>
            </w:tcBorders>
            <w:vAlign w:val="top"/>
          </w:tcPr>
          <w:p w14:paraId="42C9D1B4">
            <w:pPr>
              <w:pStyle w:val="6"/>
              <w:spacing w:before="27" w:line="189" w:lineRule="auto"/>
              <w:ind w:left="115" w:right="111" w:firstLine="1"/>
              <w:jc w:val="both"/>
            </w:pPr>
            <w:r>
              <w:rPr>
                <w:spacing w:val="11"/>
              </w:rPr>
              <w:t>产管理机构或者配备安全生产管理</w:t>
            </w:r>
            <w:r>
              <w:rPr>
                <w:spacing w:val="5"/>
              </w:rPr>
              <w:t>人员的</w:t>
            </w:r>
          </w:p>
        </w:tc>
        <w:tc>
          <w:tcPr>
            <w:tcW w:w="3202" w:type="dxa"/>
            <w:vMerge w:val="restart"/>
            <w:tcBorders>
              <w:bottom w:val="nil"/>
            </w:tcBorders>
            <w:vAlign w:val="top"/>
          </w:tcPr>
          <w:p w14:paraId="37DBBC75">
            <w:pPr>
              <w:pStyle w:val="6"/>
              <w:spacing w:before="31" w:line="182" w:lineRule="auto"/>
              <w:ind w:left="118" w:right="37" w:hanging="2"/>
              <w:jc w:val="both"/>
            </w:pPr>
            <w:r>
              <w:rPr>
                <w:spacing w:val="39"/>
              </w:rPr>
              <w:t>运输单位和危险物品的生</w:t>
            </w:r>
            <w:r>
              <w:rPr>
                <w:spacing w:val="3"/>
              </w:rPr>
              <w:t>产、经营、储存、装卸单位，</w:t>
            </w:r>
            <w:r>
              <w:rPr>
                <w:spacing w:val="17"/>
              </w:rPr>
              <w:t>应当设置安全生产管理机构或者配备专职安全生产管理</w:t>
            </w:r>
            <w:r>
              <w:rPr>
                <w:spacing w:val="-5"/>
              </w:rPr>
              <w:t>人员。</w:t>
            </w:r>
          </w:p>
          <w:p w14:paraId="5380AE8D">
            <w:pPr>
              <w:pStyle w:val="6"/>
              <w:spacing w:before="8" w:line="185" w:lineRule="auto"/>
              <w:ind w:left="116" w:right="111" w:firstLine="4"/>
              <w:jc w:val="both"/>
            </w:pPr>
            <w:r>
              <w:rPr>
                <w:spacing w:val="17"/>
              </w:rPr>
              <w:t>前款规定以外的其他生产经</w:t>
            </w:r>
            <w:r>
              <w:rPr>
                <w:spacing w:val="13"/>
              </w:rPr>
              <w:t>营单位，从业人员超过一百人的，应当设置安全生产管</w:t>
            </w:r>
            <w:r>
              <w:rPr>
                <w:spacing w:val="17"/>
              </w:rPr>
              <w:t>理机构或者配备专职安全生</w:t>
            </w:r>
            <w:r>
              <w:rPr>
                <w:spacing w:val="10"/>
              </w:rPr>
              <w:t>产管理人员；从业人员在一</w:t>
            </w:r>
            <w:r>
              <w:rPr>
                <w:spacing w:val="13"/>
              </w:rPr>
              <w:t>百人以下的，应当配备专职</w:t>
            </w:r>
            <w:r>
              <w:rPr>
                <w:spacing w:val="17"/>
              </w:rPr>
              <w:t>或者兼职的安全生产管理人</w:t>
            </w:r>
            <w:r>
              <w:rPr>
                <w:spacing w:val="-7"/>
              </w:rPr>
              <w:t>员。</w:t>
            </w:r>
          </w:p>
        </w:tc>
        <w:tc>
          <w:tcPr>
            <w:tcW w:w="2859" w:type="dxa"/>
            <w:vMerge w:val="restart"/>
            <w:tcBorders>
              <w:bottom w:val="nil"/>
            </w:tcBorders>
            <w:vAlign w:val="top"/>
          </w:tcPr>
          <w:p w14:paraId="284C18F5">
            <w:pPr>
              <w:pStyle w:val="6"/>
              <w:spacing w:before="37" w:line="184" w:lineRule="auto"/>
              <w:ind w:left="116" w:right="110" w:firstLine="6"/>
            </w:pPr>
            <w:r>
              <w:rPr>
                <w:spacing w:val="8"/>
              </w:rPr>
              <w:t>有下列行为之一的，责令限期改正，处十万元以下</w:t>
            </w:r>
            <w:r>
              <w:t>的罚款；逾期未改正的，</w:t>
            </w:r>
            <w:r>
              <w:rPr>
                <w:spacing w:val="8"/>
              </w:rPr>
              <w:t>责令停产停业整顿，并处十万元以上二十万元以下</w:t>
            </w:r>
            <w:r>
              <w:rPr>
                <w:spacing w:val="4"/>
              </w:rPr>
              <w:t>的罚款，对其直接负责的</w:t>
            </w:r>
            <w:r>
              <w:rPr>
                <w:spacing w:val="8"/>
              </w:rPr>
              <w:t>主管人员和其他直接责任人员处二万元以上五万元</w:t>
            </w:r>
            <w:r>
              <w:rPr>
                <w:spacing w:val="3"/>
              </w:rPr>
              <w:t>以下的罚款</w:t>
            </w:r>
            <w:r>
              <w:rPr>
                <w:spacing w:val="-2"/>
              </w:rPr>
              <w:t>：（</w:t>
            </w:r>
            <w:r>
              <w:rPr>
                <w:spacing w:val="3"/>
              </w:rPr>
              <w:t>一）未按</w:t>
            </w:r>
            <w:r>
              <w:rPr>
                <w:spacing w:val="8"/>
              </w:rPr>
              <w:t>照规定设置安全生产管理机构或者配备安全生产管理人员、注册安全工程师</w:t>
            </w:r>
            <w:r>
              <w:rPr>
                <w:spacing w:val="-10"/>
              </w:rPr>
              <w:t>的；</w:t>
            </w:r>
          </w:p>
        </w:tc>
        <w:tc>
          <w:tcPr>
            <w:tcW w:w="803" w:type="dxa"/>
            <w:vAlign w:val="top"/>
          </w:tcPr>
          <w:p w14:paraId="3488390E">
            <w:pPr>
              <w:rPr>
                <w:rFonts w:ascii="Arial"/>
                <w:sz w:val="21"/>
              </w:rPr>
            </w:pPr>
          </w:p>
        </w:tc>
        <w:tc>
          <w:tcPr>
            <w:tcW w:w="2283" w:type="dxa"/>
            <w:vAlign w:val="top"/>
          </w:tcPr>
          <w:p w14:paraId="06719B43">
            <w:pPr>
              <w:pStyle w:val="6"/>
              <w:spacing w:before="33" w:line="180" w:lineRule="auto"/>
              <w:ind w:left="117" w:right="106" w:firstLine="5"/>
              <w:jc w:val="both"/>
            </w:pPr>
            <w:r>
              <w:rPr>
                <w:spacing w:val="-3"/>
              </w:rPr>
              <w:t>经营、储存、装卸单位，未按照规定设置</w:t>
            </w:r>
            <w:r>
              <w:rPr>
                <w:spacing w:val="26"/>
              </w:rPr>
              <w:t>安全生产管理机构或者配备专职安全</w:t>
            </w:r>
            <w:r>
              <w:rPr>
                <w:spacing w:val="-3"/>
              </w:rPr>
              <w:t>生产管理人员；从业</w:t>
            </w:r>
            <w:r>
              <w:rPr>
                <w:spacing w:val="12"/>
              </w:rPr>
              <w:t>人员在</w:t>
            </w:r>
            <w:r>
              <w:rPr>
                <w:rFonts w:ascii="宋体" w:hAnsi="宋体" w:eastAsia="宋体" w:cs="宋体"/>
                <w:spacing w:val="12"/>
              </w:rPr>
              <w:t>100</w:t>
            </w:r>
            <w:r>
              <w:rPr>
                <w:spacing w:val="12"/>
              </w:rPr>
              <w:t>人以下</w:t>
            </w:r>
            <w:r>
              <w:rPr>
                <w:spacing w:val="26"/>
              </w:rPr>
              <w:t>的其他生产经营单</w:t>
            </w:r>
            <w:r>
              <w:rPr>
                <w:spacing w:val="-3"/>
              </w:rPr>
              <w:t>位，未按照规定配备</w:t>
            </w:r>
            <w:r>
              <w:rPr>
                <w:spacing w:val="26"/>
              </w:rPr>
              <w:t>专职或者兼职的安</w:t>
            </w:r>
            <w:r>
              <w:rPr>
                <w:spacing w:val="7"/>
              </w:rPr>
              <w:t>全生产管理人员的</w:t>
            </w:r>
          </w:p>
        </w:tc>
        <w:tc>
          <w:tcPr>
            <w:tcW w:w="2894" w:type="dxa"/>
            <w:vAlign w:val="top"/>
          </w:tcPr>
          <w:p w14:paraId="41B158F2">
            <w:pPr>
              <w:pStyle w:val="6"/>
              <w:spacing w:before="25" w:line="188" w:lineRule="auto"/>
              <w:ind w:left="126" w:right="104"/>
              <w:jc w:val="both"/>
            </w:pPr>
            <w:r>
              <w:rPr>
                <w:spacing w:val="-2"/>
              </w:rPr>
              <w:t>并处</w:t>
            </w:r>
            <w:r>
              <w:rPr>
                <w:rFonts w:ascii="宋体" w:hAnsi="宋体" w:eastAsia="宋体" w:cs="宋体"/>
                <w:spacing w:val="-2"/>
              </w:rPr>
              <w:t>10</w:t>
            </w:r>
            <w:r>
              <w:rPr>
                <w:spacing w:val="-2"/>
              </w:rPr>
              <w:t>万元以上</w:t>
            </w:r>
            <w:r>
              <w:rPr>
                <w:rFonts w:ascii="宋体" w:hAnsi="宋体" w:eastAsia="宋体" w:cs="宋体"/>
                <w:spacing w:val="-2"/>
              </w:rPr>
              <w:t>13</w:t>
            </w:r>
            <w:r>
              <w:rPr>
                <w:spacing w:val="-2"/>
              </w:rPr>
              <w:t>万元</w:t>
            </w:r>
            <w:r>
              <w:rPr>
                <w:spacing w:val="7"/>
              </w:rPr>
              <w:t>以下的罚款，对其直接负</w:t>
            </w:r>
            <w:r>
              <w:rPr>
                <w:spacing w:val="10"/>
              </w:rPr>
              <w:t>责的主管人员和其他直接</w:t>
            </w:r>
            <w:r>
              <w:rPr>
                <w:spacing w:val="9"/>
              </w:rPr>
              <w:t>责任人员处</w:t>
            </w:r>
            <w:r>
              <w:rPr>
                <w:rFonts w:ascii="宋体" w:hAnsi="宋体" w:eastAsia="宋体" w:cs="宋体"/>
                <w:spacing w:val="9"/>
              </w:rPr>
              <w:t>2</w:t>
            </w:r>
            <w:r>
              <w:rPr>
                <w:spacing w:val="9"/>
              </w:rPr>
              <w:t>万元以上</w:t>
            </w:r>
            <w:r>
              <w:rPr>
                <w:rFonts w:ascii="宋体" w:hAnsi="宋体" w:eastAsia="宋体" w:cs="宋体"/>
                <w:spacing w:val="9"/>
              </w:rPr>
              <w:t>3</w:t>
            </w:r>
            <w:r>
              <w:rPr>
                <w:spacing w:val="6"/>
              </w:rPr>
              <w:t>万元以下的罚款</w:t>
            </w:r>
          </w:p>
        </w:tc>
        <w:tc>
          <w:tcPr>
            <w:tcW w:w="811" w:type="dxa"/>
            <w:vMerge w:val="restart"/>
            <w:tcBorders>
              <w:bottom w:val="nil"/>
            </w:tcBorders>
            <w:vAlign w:val="top"/>
          </w:tcPr>
          <w:p w14:paraId="2797559E">
            <w:pPr>
              <w:rPr>
                <w:rFonts w:ascii="Arial"/>
                <w:sz w:val="21"/>
              </w:rPr>
            </w:pPr>
          </w:p>
        </w:tc>
      </w:tr>
      <w:tr w14:paraId="0D0A7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trPr>
        <w:tc>
          <w:tcPr>
            <w:tcW w:w="818" w:type="dxa"/>
            <w:vMerge w:val="continue"/>
            <w:tcBorders>
              <w:top w:val="nil"/>
              <w:bottom w:val="nil"/>
            </w:tcBorders>
            <w:vAlign w:val="top"/>
          </w:tcPr>
          <w:p w14:paraId="30A64844">
            <w:pPr>
              <w:rPr>
                <w:rFonts w:ascii="Arial"/>
                <w:sz w:val="21"/>
              </w:rPr>
            </w:pPr>
          </w:p>
        </w:tc>
        <w:tc>
          <w:tcPr>
            <w:tcW w:w="1440" w:type="dxa"/>
            <w:vMerge w:val="continue"/>
            <w:tcBorders>
              <w:top w:val="nil"/>
              <w:bottom w:val="nil"/>
            </w:tcBorders>
            <w:vAlign w:val="top"/>
          </w:tcPr>
          <w:p w14:paraId="48AA4001">
            <w:pPr>
              <w:rPr>
                <w:rFonts w:ascii="Arial"/>
                <w:sz w:val="21"/>
              </w:rPr>
            </w:pPr>
          </w:p>
        </w:tc>
        <w:tc>
          <w:tcPr>
            <w:tcW w:w="3202" w:type="dxa"/>
            <w:vMerge w:val="continue"/>
            <w:tcBorders>
              <w:top w:val="nil"/>
              <w:bottom w:val="nil"/>
            </w:tcBorders>
            <w:vAlign w:val="top"/>
          </w:tcPr>
          <w:p w14:paraId="76BF52AB">
            <w:pPr>
              <w:rPr>
                <w:rFonts w:ascii="Arial"/>
                <w:sz w:val="21"/>
              </w:rPr>
            </w:pPr>
          </w:p>
        </w:tc>
        <w:tc>
          <w:tcPr>
            <w:tcW w:w="2859" w:type="dxa"/>
            <w:vMerge w:val="continue"/>
            <w:tcBorders>
              <w:top w:val="nil"/>
              <w:bottom w:val="nil"/>
            </w:tcBorders>
            <w:vAlign w:val="top"/>
          </w:tcPr>
          <w:p w14:paraId="394AC89D">
            <w:pPr>
              <w:rPr>
                <w:rFonts w:ascii="Arial"/>
                <w:sz w:val="21"/>
              </w:rPr>
            </w:pPr>
          </w:p>
        </w:tc>
        <w:tc>
          <w:tcPr>
            <w:tcW w:w="803" w:type="dxa"/>
            <w:vAlign w:val="top"/>
          </w:tcPr>
          <w:p w14:paraId="0E83DB58">
            <w:pPr>
              <w:spacing w:line="273" w:lineRule="auto"/>
              <w:rPr>
                <w:rFonts w:ascii="Arial"/>
                <w:sz w:val="21"/>
              </w:rPr>
            </w:pPr>
          </w:p>
          <w:p w14:paraId="01153017">
            <w:pPr>
              <w:spacing w:line="273" w:lineRule="auto"/>
              <w:rPr>
                <w:rFonts w:ascii="Arial"/>
                <w:sz w:val="21"/>
              </w:rPr>
            </w:pPr>
          </w:p>
          <w:p w14:paraId="5DBC7E8D">
            <w:pPr>
              <w:spacing w:line="273" w:lineRule="auto"/>
              <w:rPr>
                <w:rFonts w:ascii="Arial"/>
                <w:sz w:val="21"/>
              </w:rPr>
            </w:pPr>
          </w:p>
          <w:p w14:paraId="2D0F5076">
            <w:pPr>
              <w:spacing w:line="273" w:lineRule="auto"/>
              <w:rPr>
                <w:rFonts w:ascii="Arial"/>
                <w:sz w:val="21"/>
              </w:rPr>
            </w:pPr>
          </w:p>
          <w:p w14:paraId="1888BB71">
            <w:pPr>
              <w:spacing w:line="274" w:lineRule="auto"/>
              <w:rPr>
                <w:rFonts w:ascii="Arial"/>
                <w:sz w:val="21"/>
              </w:rPr>
            </w:pPr>
          </w:p>
          <w:p w14:paraId="5575F2AB">
            <w:pPr>
              <w:spacing w:line="274" w:lineRule="auto"/>
              <w:rPr>
                <w:rFonts w:ascii="Arial"/>
                <w:sz w:val="21"/>
              </w:rPr>
            </w:pPr>
          </w:p>
          <w:p w14:paraId="41128BE2">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6466680">
            <w:pPr>
              <w:pStyle w:val="6"/>
              <w:spacing w:before="41" w:line="180" w:lineRule="auto"/>
              <w:ind w:left="115" w:right="46" w:firstLine="4"/>
              <w:jc w:val="both"/>
            </w:pPr>
            <w:r>
              <w:rPr>
                <w:spacing w:val="6"/>
              </w:rPr>
              <w:t>从业人员在</w:t>
            </w:r>
            <w:r>
              <w:rPr>
                <w:rFonts w:ascii="宋体" w:hAnsi="宋体" w:eastAsia="宋体" w:cs="宋体"/>
                <w:spacing w:val="6"/>
              </w:rPr>
              <w:t>30</w:t>
            </w:r>
            <w:r>
              <w:rPr>
                <w:spacing w:val="6"/>
              </w:rPr>
              <w:t>人以</w:t>
            </w:r>
            <w:r>
              <w:rPr>
                <w:spacing w:val="12"/>
              </w:rPr>
              <w:t>上</w:t>
            </w:r>
            <w:r>
              <w:rPr>
                <w:rFonts w:ascii="宋体" w:hAnsi="宋体" w:eastAsia="宋体" w:cs="宋体"/>
                <w:spacing w:val="12"/>
              </w:rPr>
              <w:t>100</w:t>
            </w:r>
            <w:r>
              <w:rPr>
                <w:spacing w:val="12"/>
              </w:rPr>
              <w:t>人以下的矿</w:t>
            </w:r>
            <w:r>
              <w:rPr>
                <w:spacing w:val="-2"/>
              </w:rPr>
              <w:t>山、金属冶炼和危险</w:t>
            </w:r>
            <w:r>
              <w:rPr>
                <w:spacing w:val="5"/>
              </w:rPr>
              <w:t>物品的生产、经营、</w:t>
            </w:r>
            <w:r>
              <w:rPr>
                <w:spacing w:val="-14"/>
              </w:rPr>
              <w:t>储存、装卸单位，或</w:t>
            </w:r>
            <w:r>
              <w:rPr>
                <w:spacing w:val="12"/>
              </w:rPr>
              <w:t>从业人员在</w:t>
            </w:r>
            <w:r>
              <w:rPr>
                <w:rFonts w:ascii="宋体" w:hAnsi="宋体" w:eastAsia="宋体" w:cs="宋体"/>
                <w:spacing w:val="12"/>
              </w:rPr>
              <w:t>100</w:t>
            </w:r>
            <w:r>
              <w:rPr>
                <w:spacing w:val="12"/>
              </w:rPr>
              <w:t>人</w:t>
            </w:r>
            <w:r>
              <w:rPr>
                <w:spacing w:val="13"/>
              </w:rPr>
              <w:t>以上</w:t>
            </w:r>
            <w:r>
              <w:rPr>
                <w:rFonts w:ascii="宋体" w:hAnsi="宋体" w:eastAsia="宋体" w:cs="宋体"/>
                <w:spacing w:val="13"/>
              </w:rPr>
              <w:t>300</w:t>
            </w:r>
            <w:r>
              <w:rPr>
                <w:spacing w:val="13"/>
              </w:rPr>
              <w:t>人以下的</w:t>
            </w:r>
            <w:r>
              <w:rPr>
                <w:spacing w:val="3"/>
              </w:rPr>
              <w:t>其他生产经营单位，</w:t>
            </w:r>
            <w:r>
              <w:rPr>
                <w:spacing w:val="26"/>
              </w:rPr>
              <w:t>未按照规定设置安全生产管理机构或者配备专职安全生</w:t>
            </w:r>
            <w:r>
              <w:rPr>
                <w:spacing w:val="7"/>
              </w:rPr>
              <w:t>产管理人员的</w:t>
            </w:r>
          </w:p>
        </w:tc>
        <w:tc>
          <w:tcPr>
            <w:tcW w:w="2894" w:type="dxa"/>
            <w:vAlign w:val="top"/>
          </w:tcPr>
          <w:p w14:paraId="0822172A">
            <w:pPr>
              <w:spacing w:line="263" w:lineRule="auto"/>
              <w:rPr>
                <w:rFonts w:ascii="Arial"/>
                <w:sz w:val="21"/>
              </w:rPr>
            </w:pPr>
          </w:p>
          <w:p w14:paraId="16090721">
            <w:pPr>
              <w:spacing w:line="263" w:lineRule="auto"/>
              <w:rPr>
                <w:rFonts w:ascii="Arial"/>
                <w:sz w:val="21"/>
              </w:rPr>
            </w:pPr>
          </w:p>
          <w:p w14:paraId="4DB2A2C5">
            <w:pPr>
              <w:pStyle w:val="6"/>
              <w:spacing w:before="99" w:line="186" w:lineRule="auto"/>
              <w:ind w:left="117" w:right="103" w:firstLine="10"/>
            </w:pPr>
            <w:r>
              <w:rPr>
                <w:spacing w:val="4"/>
              </w:rPr>
              <w:t>责令限期改正，处</w:t>
            </w:r>
            <w:r>
              <w:rPr>
                <w:rFonts w:ascii="宋体" w:hAnsi="宋体" w:eastAsia="宋体" w:cs="宋体"/>
                <w:spacing w:val="4"/>
              </w:rPr>
              <w:t>3</w:t>
            </w:r>
            <w:r>
              <w:rPr>
                <w:spacing w:val="4"/>
              </w:rPr>
              <w:t>万元</w:t>
            </w:r>
            <w:r>
              <w:rPr>
                <w:spacing w:val="3"/>
              </w:rPr>
              <w:t>以上</w:t>
            </w:r>
            <w:r>
              <w:rPr>
                <w:rFonts w:ascii="宋体" w:hAnsi="宋体" w:eastAsia="宋体" w:cs="宋体"/>
                <w:spacing w:val="3"/>
              </w:rPr>
              <w:t>7</w:t>
            </w:r>
            <w:r>
              <w:rPr>
                <w:spacing w:val="3"/>
              </w:rPr>
              <w:t>万元以下的罚款；</w:t>
            </w:r>
            <w:r>
              <w:rPr>
                <w:spacing w:val="8"/>
              </w:rPr>
              <w:t>逾期未改正的，责令停产</w:t>
            </w:r>
            <w:r>
              <w:rPr>
                <w:spacing w:val="-4"/>
              </w:rPr>
              <w:t>停业整顿，并处</w:t>
            </w:r>
            <w:r>
              <w:rPr>
                <w:rFonts w:ascii="宋体" w:hAnsi="宋体" w:eastAsia="宋体" w:cs="宋体"/>
                <w:spacing w:val="-4"/>
              </w:rPr>
              <w:t>13</w:t>
            </w:r>
            <w:r>
              <w:rPr>
                <w:spacing w:val="-4"/>
              </w:rPr>
              <w:t>万元以上</w:t>
            </w:r>
            <w:r>
              <w:rPr>
                <w:rFonts w:ascii="宋体" w:hAnsi="宋体" w:eastAsia="宋体" w:cs="宋体"/>
                <w:spacing w:val="-4"/>
              </w:rPr>
              <w:t>17</w:t>
            </w:r>
            <w:r>
              <w:rPr>
                <w:spacing w:val="-4"/>
              </w:rPr>
              <w:t>万元以下的罚款，对</w:t>
            </w:r>
            <w:r>
              <w:rPr>
                <w:spacing w:val="11"/>
              </w:rPr>
              <w:t>其直接负责的主管人员和</w:t>
            </w:r>
            <w:r>
              <w:rPr>
                <w:spacing w:val="8"/>
              </w:rPr>
              <w:t>其他直接责任人员处</w:t>
            </w:r>
            <w:r>
              <w:rPr>
                <w:rFonts w:ascii="宋体" w:hAnsi="宋体" w:eastAsia="宋体" w:cs="宋体"/>
                <w:spacing w:val="8"/>
              </w:rPr>
              <w:t>3</w:t>
            </w:r>
            <w:r>
              <w:rPr>
                <w:spacing w:val="8"/>
              </w:rPr>
              <w:t>万</w:t>
            </w:r>
            <w:r>
              <w:rPr>
                <w:spacing w:val="4"/>
              </w:rPr>
              <w:t>元以上</w:t>
            </w:r>
            <w:r>
              <w:rPr>
                <w:rFonts w:ascii="宋体" w:hAnsi="宋体" w:eastAsia="宋体" w:cs="宋体"/>
                <w:spacing w:val="4"/>
              </w:rPr>
              <w:t>4</w:t>
            </w:r>
            <w:r>
              <w:rPr>
                <w:spacing w:val="4"/>
              </w:rPr>
              <w:t>万元以下的罚款</w:t>
            </w:r>
          </w:p>
        </w:tc>
        <w:tc>
          <w:tcPr>
            <w:tcW w:w="811" w:type="dxa"/>
            <w:vMerge w:val="continue"/>
            <w:tcBorders>
              <w:top w:val="nil"/>
              <w:bottom w:val="nil"/>
            </w:tcBorders>
            <w:vAlign w:val="top"/>
          </w:tcPr>
          <w:p w14:paraId="254585D6">
            <w:pPr>
              <w:rPr>
                <w:rFonts w:ascii="Arial"/>
                <w:sz w:val="21"/>
              </w:rPr>
            </w:pPr>
          </w:p>
        </w:tc>
      </w:tr>
      <w:tr w14:paraId="381CC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7" w:hRule="atLeast"/>
        </w:trPr>
        <w:tc>
          <w:tcPr>
            <w:tcW w:w="818" w:type="dxa"/>
            <w:vMerge w:val="continue"/>
            <w:tcBorders>
              <w:top w:val="nil"/>
            </w:tcBorders>
            <w:vAlign w:val="top"/>
          </w:tcPr>
          <w:p w14:paraId="22BF9BCC">
            <w:pPr>
              <w:rPr>
                <w:rFonts w:ascii="Arial"/>
                <w:sz w:val="21"/>
              </w:rPr>
            </w:pPr>
          </w:p>
        </w:tc>
        <w:tc>
          <w:tcPr>
            <w:tcW w:w="1440" w:type="dxa"/>
            <w:vMerge w:val="continue"/>
            <w:tcBorders>
              <w:top w:val="nil"/>
            </w:tcBorders>
            <w:vAlign w:val="top"/>
          </w:tcPr>
          <w:p w14:paraId="7A44CF35">
            <w:pPr>
              <w:rPr>
                <w:rFonts w:ascii="Arial"/>
                <w:sz w:val="21"/>
              </w:rPr>
            </w:pPr>
          </w:p>
        </w:tc>
        <w:tc>
          <w:tcPr>
            <w:tcW w:w="3202" w:type="dxa"/>
            <w:vMerge w:val="continue"/>
            <w:tcBorders>
              <w:top w:val="nil"/>
            </w:tcBorders>
            <w:vAlign w:val="top"/>
          </w:tcPr>
          <w:p w14:paraId="4A2892AE">
            <w:pPr>
              <w:rPr>
                <w:rFonts w:ascii="Arial"/>
                <w:sz w:val="21"/>
              </w:rPr>
            </w:pPr>
          </w:p>
        </w:tc>
        <w:tc>
          <w:tcPr>
            <w:tcW w:w="2859" w:type="dxa"/>
            <w:vMerge w:val="continue"/>
            <w:tcBorders>
              <w:top w:val="nil"/>
            </w:tcBorders>
            <w:vAlign w:val="top"/>
          </w:tcPr>
          <w:p w14:paraId="3BDFEA28">
            <w:pPr>
              <w:rPr>
                <w:rFonts w:ascii="Arial"/>
                <w:sz w:val="21"/>
              </w:rPr>
            </w:pPr>
          </w:p>
        </w:tc>
        <w:tc>
          <w:tcPr>
            <w:tcW w:w="803" w:type="dxa"/>
            <w:vAlign w:val="top"/>
          </w:tcPr>
          <w:p w14:paraId="6F74EDBF">
            <w:pPr>
              <w:spacing w:line="261" w:lineRule="auto"/>
              <w:rPr>
                <w:rFonts w:ascii="Arial"/>
                <w:sz w:val="21"/>
              </w:rPr>
            </w:pPr>
          </w:p>
          <w:p w14:paraId="1D4A2731">
            <w:pPr>
              <w:spacing w:line="262" w:lineRule="auto"/>
              <w:rPr>
                <w:rFonts w:ascii="Arial"/>
                <w:sz w:val="21"/>
              </w:rPr>
            </w:pPr>
          </w:p>
          <w:p w14:paraId="35E4A448">
            <w:pPr>
              <w:spacing w:line="262" w:lineRule="auto"/>
              <w:rPr>
                <w:rFonts w:ascii="Arial"/>
                <w:sz w:val="21"/>
              </w:rPr>
            </w:pPr>
          </w:p>
          <w:p w14:paraId="184DD2CA">
            <w:pPr>
              <w:spacing w:line="262" w:lineRule="auto"/>
              <w:rPr>
                <w:rFonts w:ascii="Arial"/>
                <w:sz w:val="21"/>
              </w:rPr>
            </w:pPr>
          </w:p>
          <w:p w14:paraId="77E33705">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0E4F526">
            <w:pPr>
              <w:pStyle w:val="6"/>
              <w:spacing w:before="29" w:line="180" w:lineRule="auto"/>
              <w:ind w:left="116" w:right="105" w:firstLine="3"/>
              <w:jc w:val="both"/>
            </w:pPr>
            <w:r>
              <w:rPr>
                <w:spacing w:val="12"/>
              </w:rPr>
              <w:t>从业人员在</w:t>
            </w:r>
            <w:r>
              <w:rPr>
                <w:rFonts w:ascii="宋体" w:hAnsi="宋体" w:eastAsia="宋体" w:cs="宋体"/>
                <w:spacing w:val="12"/>
              </w:rPr>
              <w:t>100</w:t>
            </w:r>
            <w:r>
              <w:rPr>
                <w:spacing w:val="12"/>
              </w:rPr>
              <w:t>人</w:t>
            </w:r>
            <w:r>
              <w:rPr>
                <w:spacing w:val="-2"/>
              </w:rPr>
              <w:t>以上的矿山、金属冶</w:t>
            </w:r>
            <w:r>
              <w:rPr>
                <w:spacing w:val="26"/>
              </w:rPr>
              <w:t>炼和危险物品的生</w:t>
            </w:r>
            <w:r>
              <w:rPr>
                <w:spacing w:val="-2"/>
              </w:rPr>
              <w:t>产、经营、储存、装卸单位，或从业人员</w:t>
            </w:r>
            <w:r>
              <w:rPr>
                <w:spacing w:val="13"/>
              </w:rPr>
              <w:t>在</w:t>
            </w:r>
            <w:r>
              <w:rPr>
                <w:rFonts w:ascii="宋体" w:hAnsi="宋体" w:eastAsia="宋体" w:cs="宋体"/>
                <w:spacing w:val="13"/>
              </w:rPr>
              <w:t>300</w:t>
            </w:r>
            <w:r>
              <w:rPr>
                <w:spacing w:val="13"/>
              </w:rPr>
              <w:t>人以上的其</w:t>
            </w:r>
            <w:r>
              <w:rPr>
                <w:spacing w:val="-2"/>
              </w:rPr>
              <w:t>他生产经营单位，未</w:t>
            </w:r>
            <w:r>
              <w:rPr>
                <w:spacing w:val="26"/>
              </w:rPr>
              <w:t>按照规定设置安全</w:t>
            </w:r>
          </w:p>
        </w:tc>
        <w:tc>
          <w:tcPr>
            <w:tcW w:w="2894" w:type="dxa"/>
            <w:vAlign w:val="top"/>
          </w:tcPr>
          <w:p w14:paraId="0DFA486E">
            <w:pPr>
              <w:pStyle w:val="6"/>
              <w:spacing w:before="29" w:line="180" w:lineRule="auto"/>
              <w:ind w:left="117" w:right="71" w:firstLine="10"/>
              <w:jc w:val="both"/>
            </w:pPr>
            <w:r>
              <w:rPr>
                <w:spacing w:val="4"/>
              </w:rPr>
              <w:t>责令限期改正，处</w:t>
            </w:r>
            <w:r>
              <w:rPr>
                <w:rFonts w:ascii="宋体" w:hAnsi="宋体" w:eastAsia="宋体" w:cs="宋体"/>
                <w:spacing w:val="4"/>
              </w:rPr>
              <w:t>7</w:t>
            </w:r>
            <w:r>
              <w:rPr>
                <w:spacing w:val="4"/>
              </w:rPr>
              <w:t>万元</w:t>
            </w:r>
            <w:r>
              <w:rPr>
                <w:spacing w:val="-1"/>
              </w:rPr>
              <w:t>以上</w:t>
            </w:r>
            <w:r>
              <w:rPr>
                <w:rFonts w:ascii="宋体" w:hAnsi="宋体" w:eastAsia="宋体" w:cs="宋体"/>
                <w:spacing w:val="-1"/>
              </w:rPr>
              <w:t>10</w:t>
            </w:r>
            <w:r>
              <w:rPr>
                <w:spacing w:val="-1"/>
              </w:rPr>
              <w:t>万元以下的罚款；</w:t>
            </w:r>
            <w:r>
              <w:rPr>
                <w:spacing w:val="8"/>
              </w:rPr>
              <w:t>逾期未改正的，责令停产</w:t>
            </w:r>
            <w:r>
              <w:rPr>
                <w:spacing w:val="-4"/>
              </w:rPr>
              <w:t>停业整顿，并处</w:t>
            </w:r>
            <w:r>
              <w:rPr>
                <w:rFonts w:ascii="宋体" w:hAnsi="宋体" w:eastAsia="宋体" w:cs="宋体"/>
                <w:spacing w:val="-4"/>
              </w:rPr>
              <w:t>17</w:t>
            </w:r>
            <w:r>
              <w:rPr>
                <w:spacing w:val="-4"/>
              </w:rPr>
              <w:t>万元以</w:t>
            </w:r>
            <w:r>
              <w:rPr>
                <w:spacing w:val="-2"/>
              </w:rPr>
              <w:t>上</w:t>
            </w:r>
            <w:r>
              <w:rPr>
                <w:rFonts w:ascii="宋体" w:hAnsi="宋体" w:eastAsia="宋体" w:cs="宋体"/>
                <w:spacing w:val="-2"/>
              </w:rPr>
              <w:t>20</w:t>
            </w:r>
            <w:r>
              <w:rPr>
                <w:spacing w:val="-2"/>
              </w:rPr>
              <w:t>万元以下的罚款，对</w:t>
            </w:r>
            <w:r>
              <w:rPr>
                <w:spacing w:val="11"/>
              </w:rPr>
              <w:t>其直接负责的主管人员和</w:t>
            </w:r>
            <w:r>
              <w:rPr>
                <w:spacing w:val="8"/>
              </w:rPr>
              <w:t>其他直接责任人员处</w:t>
            </w:r>
            <w:r>
              <w:rPr>
                <w:rFonts w:ascii="宋体" w:hAnsi="宋体" w:eastAsia="宋体" w:cs="宋体"/>
                <w:spacing w:val="8"/>
              </w:rPr>
              <w:t>4</w:t>
            </w:r>
            <w:r>
              <w:rPr>
                <w:spacing w:val="8"/>
              </w:rPr>
              <w:t>万</w:t>
            </w:r>
            <w:r>
              <w:rPr>
                <w:spacing w:val="4"/>
              </w:rPr>
              <w:t>元以上</w:t>
            </w:r>
            <w:r>
              <w:rPr>
                <w:rFonts w:ascii="宋体" w:hAnsi="宋体" w:eastAsia="宋体" w:cs="宋体"/>
                <w:spacing w:val="4"/>
              </w:rPr>
              <w:t>5</w:t>
            </w:r>
            <w:r>
              <w:rPr>
                <w:spacing w:val="4"/>
              </w:rPr>
              <w:t>万元以下的罚款</w:t>
            </w:r>
          </w:p>
        </w:tc>
        <w:tc>
          <w:tcPr>
            <w:tcW w:w="811" w:type="dxa"/>
            <w:vMerge w:val="continue"/>
            <w:tcBorders>
              <w:top w:val="nil"/>
            </w:tcBorders>
            <w:vAlign w:val="top"/>
          </w:tcPr>
          <w:p w14:paraId="42FB988B">
            <w:pPr>
              <w:rPr>
                <w:rFonts w:ascii="Arial"/>
                <w:sz w:val="21"/>
              </w:rPr>
            </w:pPr>
          </w:p>
        </w:tc>
      </w:tr>
    </w:tbl>
    <w:p w14:paraId="7E7D7F77">
      <w:pPr>
        <w:pStyle w:val="2"/>
      </w:pPr>
    </w:p>
    <w:p w14:paraId="772E3B02">
      <w:pPr>
        <w:sectPr>
          <w:footerReference r:id="rId30" w:type="default"/>
          <w:pgSz w:w="16839" w:h="11906"/>
          <w:pgMar w:top="1012" w:right="821" w:bottom="666" w:left="901" w:header="0" w:footer="388" w:gutter="0"/>
          <w:cols w:space="720" w:num="1"/>
        </w:sectPr>
      </w:pPr>
    </w:p>
    <w:p w14:paraId="1ABECA6F">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E582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08F2052">
            <w:pPr>
              <w:spacing w:before="222" w:line="241" w:lineRule="auto"/>
              <w:ind w:left="131"/>
              <w:outlineLvl w:val="0"/>
              <w:rPr>
                <w:rFonts w:ascii="黑体" w:hAnsi="黑体" w:eastAsia="黑体" w:cs="黑体"/>
                <w:sz w:val="28"/>
                <w:szCs w:val="28"/>
              </w:rPr>
            </w:pPr>
            <w:bookmarkStart w:id="377" w:name="bookmark30"/>
            <w:bookmarkEnd w:id="377"/>
            <w:r>
              <w:rPr>
                <w:rFonts w:ascii="黑体" w:hAnsi="黑体" w:eastAsia="黑体" w:cs="黑体"/>
                <w:spacing w:val="-2"/>
                <w:sz w:val="28"/>
                <w:szCs w:val="28"/>
              </w:rPr>
              <w:t>序号</w:t>
            </w:r>
          </w:p>
        </w:tc>
        <w:tc>
          <w:tcPr>
            <w:tcW w:w="1440" w:type="dxa"/>
            <w:vAlign w:val="top"/>
          </w:tcPr>
          <w:p w14:paraId="74E6615B">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9D5DE6A">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C8F6DFF">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EC44B16">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8F7651E">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5E2AC230">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D47AA35">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192E0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818" w:type="dxa"/>
            <w:vAlign w:val="top"/>
          </w:tcPr>
          <w:p w14:paraId="66ADFCCA">
            <w:pPr>
              <w:rPr>
                <w:rFonts w:ascii="Arial"/>
                <w:sz w:val="21"/>
              </w:rPr>
            </w:pPr>
          </w:p>
        </w:tc>
        <w:tc>
          <w:tcPr>
            <w:tcW w:w="1440" w:type="dxa"/>
            <w:vAlign w:val="top"/>
          </w:tcPr>
          <w:p w14:paraId="154708A9">
            <w:pPr>
              <w:rPr>
                <w:rFonts w:ascii="Arial"/>
                <w:sz w:val="21"/>
              </w:rPr>
            </w:pPr>
          </w:p>
        </w:tc>
        <w:tc>
          <w:tcPr>
            <w:tcW w:w="3202" w:type="dxa"/>
            <w:vAlign w:val="top"/>
          </w:tcPr>
          <w:p w14:paraId="107A00DC">
            <w:pPr>
              <w:rPr>
                <w:rFonts w:ascii="Arial"/>
                <w:sz w:val="21"/>
              </w:rPr>
            </w:pPr>
          </w:p>
        </w:tc>
        <w:tc>
          <w:tcPr>
            <w:tcW w:w="2859" w:type="dxa"/>
            <w:vAlign w:val="top"/>
          </w:tcPr>
          <w:p w14:paraId="0CB2F7FC">
            <w:pPr>
              <w:rPr>
                <w:rFonts w:ascii="Arial"/>
                <w:sz w:val="21"/>
              </w:rPr>
            </w:pPr>
          </w:p>
        </w:tc>
        <w:tc>
          <w:tcPr>
            <w:tcW w:w="803" w:type="dxa"/>
            <w:vAlign w:val="top"/>
          </w:tcPr>
          <w:p w14:paraId="52B99063">
            <w:pPr>
              <w:rPr>
                <w:rFonts w:ascii="Arial"/>
                <w:sz w:val="21"/>
              </w:rPr>
            </w:pPr>
          </w:p>
        </w:tc>
        <w:tc>
          <w:tcPr>
            <w:tcW w:w="2283" w:type="dxa"/>
            <w:vAlign w:val="top"/>
          </w:tcPr>
          <w:p w14:paraId="3459D167">
            <w:pPr>
              <w:pStyle w:val="6"/>
              <w:spacing w:before="25" w:line="176" w:lineRule="auto"/>
              <w:ind w:left="125" w:right="109" w:firstLine="6"/>
              <w:jc w:val="both"/>
            </w:pPr>
            <w:r>
              <w:rPr>
                <w:spacing w:val="24"/>
              </w:rPr>
              <w:t>生产管理机构或者</w:t>
            </w:r>
            <w:r>
              <w:rPr>
                <w:spacing w:val="25"/>
              </w:rPr>
              <w:t>配备专职安全生产</w:t>
            </w:r>
            <w:r>
              <w:rPr>
                <w:spacing w:val="5"/>
              </w:rPr>
              <w:t>管理人员的</w:t>
            </w:r>
          </w:p>
        </w:tc>
        <w:tc>
          <w:tcPr>
            <w:tcW w:w="2894" w:type="dxa"/>
            <w:vAlign w:val="top"/>
          </w:tcPr>
          <w:p w14:paraId="34AA0C94">
            <w:pPr>
              <w:rPr>
                <w:rFonts w:ascii="Arial"/>
                <w:sz w:val="21"/>
              </w:rPr>
            </w:pPr>
          </w:p>
        </w:tc>
        <w:tc>
          <w:tcPr>
            <w:tcW w:w="811" w:type="dxa"/>
            <w:vAlign w:val="top"/>
          </w:tcPr>
          <w:p w14:paraId="636DB66D">
            <w:pPr>
              <w:rPr>
                <w:rFonts w:ascii="Arial"/>
                <w:sz w:val="21"/>
              </w:rPr>
            </w:pPr>
          </w:p>
        </w:tc>
      </w:tr>
      <w:tr w14:paraId="33DD2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Merge w:val="restart"/>
            <w:tcBorders>
              <w:bottom w:val="nil"/>
            </w:tcBorders>
            <w:vAlign w:val="top"/>
          </w:tcPr>
          <w:p w14:paraId="78D45C01">
            <w:pPr>
              <w:spacing w:line="243" w:lineRule="auto"/>
              <w:rPr>
                <w:rFonts w:ascii="Arial"/>
                <w:sz w:val="21"/>
              </w:rPr>
            </w:pPr>
          </w:p>
          <w:p w14:paraId="5598B8B4">
            <w:pPr>
              <w:spacing w:line="243" w:lineRule="auto"/>
              <w:rPr>
                <w:rFonts w:ascii="Arial"/>
                <w:sz w:val="21"/>
              </w:rPr>
            </w:pPr>
          </w:p>
          <w:p w14:paraId="7DA44AD4">
            <w:pPr>
              <w:spacing w:line="243" w:lineRule="auto"/>
              <w:rPr>
                <w:rFonts w:ascii="Arial"/>
                <w:sz w:val="21"/>
              </w:rPr>
            </w:pPr>
          </w:p>
          <w:p w14:paraId="0E5B807B">
            <w:pPr>
              <w:spacing w:line="243" w:lineRule="auto"/>
              <w:rPr>
                <w:rFonts w:ascii="Arial"/>
                <w:sz w:val="21"/>
              </w:rPr>
            </w:pPr>
          </w:p>
          <w:p w14:paraId="52D2EBD8">
            <w:pPr>
              <w:spacing w:line="243" w:lineRule="auto"/>
              <w:rPr>
                <w:rFonts w:ascii="Arial"/>
                <w:sz w:val="21"/>
              </w:rPr>
            </w:pPr>
          </w:p>
          <w:p w14:paraId="2065F338">
            <w:pPr>
              <w:spacing w:line="243" w:lineRule="auto"/>
              <w:rPr>
                <w:rFonts w:ascii="Arial"/>
                <w:sz w:val="21"/>
              </w:rPr>
            </w:pPr>
          </w:p>
          <w:p w14:paraId="2AED1972">
            <w:pPr>
              <w:spacing w:line="243" w:lineRule="auto"/>
              <w:rPr>
                <w:rFonts w:ascii="Arial"/>
                <w:sz w:val="21"/>
              </w:rPr>
            </w:pPr>
          </w:p>
          <w:p w14:paraId="63D0FFEC">
            <w:pPr>
              <w:spacing w:line="243" w:lineRule="auto"/>
              <w:rPr>
                <w:rFonts w:ascii="Arial"/>
                <w:sz w:val="21"/>
              </w:rPr>
            </w:pPr>
          </w:p>
          <w:p w14:paraId="1B3C41D8">
            <w:pPr>
              <w:spacing w:line="243" w:lineRule="auto"/>
              <w:rPr>
                <w:rFonts w:ascii="Arial"/>
                <w:sz w:val="21"/>
              </w:rPr>
            </w:pPr>
          </w:p>
          <w:p w14:paraId="69A7836F">
            <w:pPr>
              <w:spacing w:line="244" w:lineRule="auto"/>
              <w:rPr>
                <w:rFonts w:ascii="Arial"/>
                <w:sz w:val="21"/>
              </w:rPr>
            </w:pPr>
          </w:p>
          <w:p w14:paraId="4AF8340C">
            <w:pPr>
              <w:spacing w:line="244" w:lineRule="auto"/>
              <w:rPr>
                <w:rFonts w:ascii="Arial"/>
                <w:sz w:val="21"/>
              </w:rPr>
            </w:pPr>
          </w:p>
          <w:p w14:paraId="2A1A3189">
            <w:pPr>
              <w:spacing w:line="244" w:lineRule="auto"/>
              <w:rPr>
                <w:rFonts w:ascii="Arial"/>
                <w:sz w:val="21"/>
              </w:rPr>
            </w:pPr>
          </w:p>
          <w:p w14:paraId="1DE89213">
            <w:pPr>
              <w:spacing w:line="244" w:lineRule="auto"/>
              <w:rPr>
                <w:rFonts w:ascii="Arial"/>
                <w:sz w:val="21"/>
              </w:rPr>
            </w:pPr>
          </w:p>
          <w:p w14:paraId="43D20590">
            <w:pPr>
              <w:spacing w:line="244" w:lineRule="auto"/>
              <w:rPr>
                <w:rFonts w:ascii="Arial"/>
                <w:sz w:val="21"/>
              </w:rPr>
            </w:pPr>
          </w:p>
          <w:p w14:paraId="732B5093">
            <w:pPr>
              <w:spacing w:line="244" w:lineRule="auto"/>
              <w:rPr>
                <w:rFonts w:ascii="Arial"/>
                <w:sz w:val="21"/>
              </w:rPr>
            </w:pPr>
          </w:p>
          <w:p w14:paraId="0D9657DB">
            <w:pPr>
              <w:spacing w:line="244" w:lineRule="auto"/>
              <w:rPr>
                <w:rFonts w:ascii="Arial"/>
                <w:sz w:val="21"/>
              </w:rPr>
            </w:pPr>
          </w:p>
          <w:p w14:paraId="76A97337">
            <w:pPr>
              <w:spacing w:before="74" w:line="186" w:lineRule="auto"/>
              <w:ind w:left="252"/>
              <w:rPr>
                <w:rFonts w:ascii="仿宋" w:hAnsi="仿宋" w:eastAsia="仿宋" w:cs="仿宋"/>
                <w:sz w:val="23"/>
                <w:szCs w:val="23"/>
              </w:rPr>
            </w:pPr>
            <w:r>
              <w:rPr>
                <w:rFonts w:ascii="仿宋" w:hAnsi="仿宋" w:eastAsia="仿宋" w:cs="仿宋"/>
                <w:spacing w:val="-10"/>
                <w:sz w:val="23"/>
                <w:szCs w:val="23"/>
              </w:rPr>
              <w:t>13</w:t>
            </w:r>
          </w:p>
        </w:tc>
        <w:tc>
          <w:tcPr>
            <w:tcW w:w="1440" w:type="dxa"/>
            <w:vMerge w:val="restart"/>
            <w:tcBorders>
              <w:bottom w:val="nil"/>
            </w:tcBorders>
            <w:vAlign w:val="top"/>
          </w:tcPr>
          <w:p w14:paraId="258E0164">
            <w:pPr>
              <w:spacing w:line="241" w:lineRule="auto"/>
              <w:rPr>
                <w:rFonts w:ascii="Arial"/>
                <w:sz w:val="21"/>
              </w:rPr>
            </w:pPr>
          </w:p>
          <w:p w14:paraId="4292D019">
            <w:pPr>
              <w:spacing w:line="241" w:lineRule="auto"/>
              <w:rPr>
                <w:rFonts w:ascii="Arial"/>
                <w:sz w:val="21"/>
              </w:rPr>
            </w:pPr>
          </w:p>
          <w:p w14:paraId="4AA77702">
            <w:pPr>
              <w:spacing w:line="241" w:lineRule="auto"/>
              <w:rPr>
                <w:rFonts w:ascii="Arial"/>
                <w:sz w:val="21"/>
              </w:rPr>
            </w:pPr>
          </w:p>
          <w:p w14:paraId="7E9D8129">
            <w:pPr>
              <w:spacing w:line="241" w:lineRule="auto"/>
              <w:rPr>
                <w:rFonts w:ascii="Arial"/>
                <w:sz w:val="21"/>
              </w:rPr>
            </w:pPr>
          </w:p>
          <w:p w14:paraId="00AF2948">
            <w:pPr>
              <w:spacing w:line="241" w:lineRule="auto"/>
              <w:rPr>
                <w:rFonts w:ascii="Arial"/>
                <w:sz w:val="21"/>
              </w:rPr>
            </w:pPr>
          </w:p>
          <w:p w14:paraId="7DA9D9A4">
            <w:pPr>
              <w:spacing w:line="241" w:lineRule="auto"/>
              <w:rPr>
                <w:rFonts w:ascii="Arial"/>
                <w:sz w:val="21"/>
              </w:rPr>
            </w:pPr>
          </w:p>
          <w:p w14:paraId="2B340E59">
            <w:pPr>
              <w:spacing w:line="241" w:lineRule="auto"/>
              <w:rPr>
                <w:rFonts w:ascii="Arial"/>
                <w:sz w:val="21"/>
              </w:rPr>
            </w:pPr>
          </w:p>
          <w:p w14:paraId="4CD6423D">
            <w:pPr>
              <w:spacing w:line="241" w:lineRule="auto"/>
              <w:rPr>
                <w:rFonts w:ascii="Arial"/>
                <w:sz w:val="21"/>
              </w:rPr>
            </w:pPr>
          </w:p>
          <w:p w14:paraId="495EE4FF">
            <w:pPr>
              <w:spacing w:line="242" w:lineRule="auto"/>
              <w:rPr>
                <w:rFonts w:ascii="Arial"/>
                <w:sz w:val="21"/>
              </w:rPr>
            </w:pPr>
          </w:p>
          <w:p w14:paraId="3F1D9994">
            <w:pPr>
              <w:spacing w:line="242" w:lineRule="auto"/>
              <w:rPr>
                <w:rFonts w:ascii="Arial"/>
                <w:sz w:val="21"/>
              </w:rPr>
            </w:pPr>
          </w:p>
          <w:p w14:paraId="13C61058">
            <w:pPr>
              <w:spacing w:line="242" w:lineRule="auto"/>
              <w:rPr>
                <w:rFonts w:ascii="Arial"/>
                <w:sz w:val="21"/>
              </w:rPr>
            </w:pPr>
          </w:p>
          <w:p w14:paraId="3A470BA9">
            <w:pPr>
              <w:spacing w:line="242" w:lineRule="auto"/>
              <w:rPr>
                <w:rFonts w:ascii="Arial"/>
                <w:sz w:val="21"/>
              </w:rPr>
            </w:pPr>
          </w:p>
          <w:p w14:paraId="3DFA7528">
            <w:pPr>
              <w:spacing w:line="242" w:lineRule="auto"/>
              <w:rPr>
                <w:rFonts w:ascii="Arial"/>
                <w:sz w:val="21"/>
              </w:rPr>
            </w:pPr>
          </w:p>
          <w:p w14:paraId="71EE3EEA">
            <w:pPr>
              <w:spacing w:line="242" w:lineRule="auto"/>
              <w:rPr>
                <w:rFonts w:ascii="Arial"/>
                <w:sz w:val="21"/>
              </w:rPr>
            </w:pPr>
          </w:p>
          <w:p w14:paraId="38F8B042">
            <w:pPr>
              <w:pStyle w:val="6"/>
              <w:spacing w:before="98" w:line="189" w:lineRule="auto"/>
              <w:ind w:left="115" w:right="111" w:firstLine="13"/>
              <w:jc w:val="both"/>
            </w:pPr>
            <w:r>
              <w:rPr>
                <w:spacing w:val="8"/>
              </w:rPr>
              <w:t>生产经营单</w:t>
            </w:r>
            <w:r>
              <w:rPr>
                <w:spacing w:val="11"/>
              </w:rPr>
              <w:t>位未按规定配备注册安</w:t>
            </w:r>
            <w:r>
              <w:rPr>
                <w:spacing w:val="6"/>
              </w:rPr>
              <w:t>全工程师的</w:t>
            </w:r>
          </w:p>
        </w:tc>
        <w:tc>
          <w:tcPr>
            <w:tcW w:w="3202" w:type="dxa"/>
            <w:vMerge w:val="restart"/>
            <w:tcBorders>
              <w:bottom w:val="nil"/>
            </w:tcBorders>
            <w:vAlign w:val="top"/>
          </w:tcPr>
          <w:p w14:paraId="69900AA9">
            <w:pPr>
              <w:pStyle w:val="6"/>
              <w:spacing w:before="38" w:line="184" w:lineRule="auto"/>
              <w:ind w:left="115" w:right="111" w:hanging="17"/>
              <w:jc w:val="both"/>
            </w:pPr>
            <w:r>
              <w:rPr>
                <w:spacing w:val="18"/>
              </w:rPr>
              <w:t>【法律】《中华人民共和国</w:t>
            </w:r>
            <w:r>
              <w:rPr>
                <w:spacing w:val="17"/>
              </w:rPr>
              <w:t>安全生产法》第二十七条第</w:t>
            </w:r>
            <w:r>
              <w:rPr>
                <w:spacing w:val="14"/>
              </w:rPr>
              <w:t>三款：危险物品的生产、储</w:t>
            </w:r>
            <w:r>
              <w:rPr>
                <w:spacing w:val="17"/>
              </w:rPr>
              <w:t>存、装卸单位以及矿山、金属冶炼单位应当有注册安全工程师从事安全生产管理工作。鼓励其他生产经营单位聘用注册安全工程师从事安全生产管理工作。注册安全</w:t>
            </w:r>
            <w:r>
              <w:rPr>
                <w:spacing w:val="13"/>
              </w:rPr>
              <w:t>工程师按专业分类管理，具</w:t>
            </w:r>
            <w:r>
              <w:rPr>
                <w:spacing w:val="17"/>
              </w:rPr>
              <w:t>体办法由国务院人力资源和社会保障部门、国务院应急管理部门会同国务院有关部</w:t>
            </w:r>
            <w:r>
              <w:rPr>
                <w:spacing w:val="-2"/>
              </w:rPr>
              <w:t>门制定。</w:t>
            </w:r>
          </w:p>
        </w:tc>
        <w:tc>
          <w:tcPr>
            <w:tcW w:w="2859" w:type="dxa"/>
            <w:vMerge w:val="restart"/>
            <w:tcBorders>
              <w:bottom w:val="nil"/>
            </w:tcBorders>
            <w:vAlign w:val="top"/>
          </w:tcPr>
          <w:p w14:paraId="536FDEEE">
            <w:pPr>
              <w:pStyle w:val="6"/>
              <w:spacing w:before="33" w:line="184" w:lineRule="auto"/>
              <w:ind w:left="115" w:right="110" w:hanging="18"/>
            </w:pPr>
            <w:r>
              <w:rPr>
                <w:spacing w:val="10"/>
              </w:rPr>
              <w:t>【法律】《中华人民共和</w:t>
            </w:r>
            <w:r>
              <w:rPr>
                <w:spacing w:val="8"/>
              </w:rPr>
              <w:t>国安全生产法》第九十七条第一项：生产经营单位有下列行为之一的，责令限期改正，处十万元以下</w:t>
            </w:r>
            <w:r>
              <w:rPr>
                <w:spacing w:val="4"/>
              </w:rPr>
              <w:t>的罚款；逾期未改正的，</w:t>
            </w:r>
            <w:r>
              <w:rPr>
                <w:spacing w:val="8"/>
              </w:rPr>
              <w:t>责令停产停业整顿，并处十万元以上二十万元以下</w:t>
            </w:r>
            <w:r>
              <w:rPr>
                <w:spacing w:val="4"/>
              </w:rPr>
              <w:t>的罚款，对其直接负责的</w:t>
            </w:r>
            <w:r>
              <w:rPr>
                <w:spacing w:val="8"/>
              </w:rPr>
              <w:t>主管人员和其他直接责任人员处二万元以上五万元</w:t>
            </w:r>
            <w:r>
              <w:rPr>
                <w:spacing w:val="3"/>
              </w:rPr>
              <w:t>以下的罚款</w:t>
            </w:r>
            <w:r>
              <w:rPr>
                <w:spacing w:val="-2"/>
              </w:rPr>
              <w:t>：（</w:t>
            </w:r>
            <w:r>
              <w:rPr>
                <w:spacing w:val="3"/>
              </w:rPr>
              <w:t>一）未按</w:t>
            </w:r>
            <w:r>
              <w:rPr>
                <w:spacing w:val="8"/>
              </w:rPr>
              <w:t>照规定设置安全生产管理机构或者配备安全生产管理人员、注册安全工程师</w:t>
            </w:r>
            <w:r>
              <w:rPr>
                <w:spacing w:val="-10"/>
              </w:rPr>
              <w:t>的；</w:t>
            </w:r>
          </w:p>
        </w:tc>
        <w:tc>
          <w:tcPr>
            <w:tcW w:w="803" w:type="dxa"/>
            <w:vAlign w:val="top"/>
          </w:tcPr>
          <w:p w14:paraId="6BECE952">
            <w:pPr>
              <w:spacing w:line="259" w:lineRule="auto"/>
              <w:rPr>
                <w:rFonts w:ascii="Arial"/>
                <w:sz w:val="21"/>
              </w:rPr>
            </w:pPr>
          </w:p>
          <w:p w14:paraId="1C97777F">
            <w:pPr>
              <w:spacing w:line="260" w:lineRule="auto"/>
              <w:rPr>
                <w:rFonts w:ascii="Arial"/>
                <w:sz w:val="21"/>
              </w:rPr>
            </w:pPr>
          </w:p>
          <w:p w14:paraId="6FBC7909">
            <w:pPr>
              <w:spacing w:line="260" w:lineRule="auto"/>
              <w:rPr>
                <w:rFonts w:ascii="Arial"/>
                <w:sz w:val="21"/>
              </w:rPr>
            </w:pPr>
          </w:p>
          <w:p w14:paraId="28736DD5">
            <w:pPr>
              <w:spacing w:line="260" w:lineRule="auto"/>
              <w:rPr>
                <w:rFonts w:ascii="Arial"/>
                <w:sz w:val="21"/>
              </w:rPr>
            </w:pPr>
          </w:p>
          <w:p w14:paraId="63C57AE5">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7996BA3">
            <w:pPr>
              <w:pStyle w:val="6"/>
              <w:spacing w:before="26" w:line="180" w:lineRule="auto"/>
              <w:ind w:left="116" w:right="105" w:firstLine="3"/>
              <w:jc w:val="both"/>
            </w:pPr>
            <w:r>
              <w:rPr>
                <w:spacing w:val="6"/>
              </w:rPr>
              <w:t>从业人员在</w:t>
            </w:r>
            <w:r>
              <w:rPr>
                <w:rFonts w:ascii="宋体" w:hAnsi="宋体" w:eastAsia="宋体" w:cs="宋体"/>
                <w:spacing w:val="6"/>
              </w:rPr>
              <w:t>30</w:t>
            </w:r>
            <w:r>
              <w:rPr>
                <w:spacing w:val="6"/>
              </w:rPr>
              <w:t>人以</w:t>
            </w:r>
            <w:r>
              <w:rPr>
                <w:spacing w:val="26"/>
              </w:rPr>
              <w:t>下的危险物品的生</w:t>
            </w:r>
            <w:r>
              <w:rPr>
                <w:spacing w:val="-2"/>
              </w:rPr>
              <w:t>产、储存、装卸单位以及矿山、金属冶炼单位，未按照规定配</w:t>
            </w:r>
            <w:r>
              <w:rPr>
                <w:spacing w:val="26"/>
              </w:rPr>
              <w:t>备注册安全工程师从事安全生产管理</w:t>
            </w:r>
            <w:r>
              <w:rPr>
                <w:spacing w:val="5"/>
              </w:rPr>
              <w:t>工作的</w:t>
            </w:r>
          </w:p>
        </w:tc>
        <w:tc>
          <w:tcPr>
            <w:tcW w:w="2894" w:type="dxa"/>
            <w:vAlign w:val="top"/>
          </w:tcPr>
          <w:p w14:paraId="76A82007">
            <w:pPr>
              <w:pStyle w:val="6"/>
              <w:spacing w:before="26" w:line="180" w:lineRule="auto"/>
              <w:ind w:left="126" w:right="103"/>
            </w:pPr>
            <w:r>
              <w:rPr>
                <w:spacing w:val="4"/>
              </w:rPr>
              <w:t>责令限期改正，处</w:t>
            </w:r>
            <w:r>
              <w:rPr>
                <w:rFonts w:ascii="宋体" w:hAnsi="宋体" w:eastAsia="宋体" w:cs="宋体"/>
                <w:spacing w:val="4"/>
              </w:rPr>
              <w:t>3</w:t>
            </w:r>
            <w:r>
              <w:rPr>
                <w:spacing w:val="4"/>
              </w:rPr>
              <w:t>万元</w:t>
            </w:r>
            <w:r>
              <w:rPr>
                <w:spacing w:val="8"/>
              </w:rPr>
              <w:t>以下的罚款；逾期未改正</w:t>
            </w:r>
            <w:r>
              <w:rPr>
                <w:spacing w:val="6"/>
              </w:rPr>
              <w:t>的，责令停产停业整顿，</w:t>
            </w:r>
            <w:r>
              <w:rPr>
                <w:spacing w:val="-2"/>
              </w:rPr>
              <w:t>并处</w:t>
            </w:r>
            <w:r>
              <w:rPr>
                <w:rFonts w:ascii="宋体" w:hAnsi="宋体" w:eastAsia="宋体" w:cs="宋体"/>
                <w:spacing w:val="-2"/>
              </w:rPr>
              <w:t>10</w:t>
            </w:r>
            <w:r>
              <w:rPr>
                <w:spacing w:val="-2"/>
              </w:rPr>
              <w:t>万元以上</w:t>
            </w:r>
            <w:r>
              <w:rPr>
                <w:rFonts w:ascii="宋体" w:hAnsi="宋体" w:eastAsia="宋体" w:cs="宋体"/>
                <w:spacing w:val="-2"/>
              </w:rPr>
              <w:t>13</w:t>
            </w:r>
            <w:r>
              <w:rPr>
                <w:spacing w:val="-2"/>
              </w:rPr>
              <w:t>万元</w:t>
            </w:r>
            <w:r>
              <w:rPr>
                <w:spacing w:val="7"/>
              </w:rPr>
              <w:t>以下的罚款，对其直接负</w:t>
            </w:r>
            <w:r>
              <w:rPr>
                <w:spacing w:val="11"/>
              </w:rPr>
              <w:t>责的主管人员和其他直接</w:t>
            </w:r>
            <w:r>
              <w:rPr>
                <w:spacing w:val="9"/>
              </w:rPr>
              <w:t>责任人员处</w:t>
            </w:r>
            <w:r>
              <w:rPr>
                <w:rFonts w:ascii="宋体" w:hAnsi="宋体" w:eastAsia="宋体" w:cs="宋体"/>
                <w:spacing w:val="9"/>
              </w:rPr>
              <w:t>2</w:t>
            </w:r>
            <w:r>
              <w:rPr>
                <w:spacing w:val="9"/>
              </w:rPr>
              <w:t>万元以上</w:t>
            </w:r>
            <w:r>
              <w:rPr>
                <w:rFonts w:ascii="宋体" w:hAnsi="宋体" w:eastAsia="宋体" w:cs="宋体"/>
                <w:spacing w:val="9"/>
              </w:rPr>
              <w:t>3</w:t>
            </w:r>
            <w:r>
              <w:rPr>
                <w:spacing w:val="6"/>
              </w:rPr>
              <w:t>万元以下的罚款</w:t>
            </w:r>
          </w:p>
        </w:tc>
        <w:tc>
          <w:tcPr>
            <w:tcW w:w="811" w:type="dxa"/>
            <w:vMerge w:val="restart"/>
            <w:tcBorders>
              <w:bottom w:val="nil"/>
            </w:tcBorders>
            <w:vAlign w:val="top"/>
          </w:tcPr>
          <w:p w14:paraId="5C02D365">
            <w:pPr>
              <w:spacing w:line="243" w:lineRule="auto"/>
              <w:rPr>
                <w:rFonts w:ascii="Arial"/>
                <w:sz w:val="21"/>
              </w:rPr>
            </w:pPr>
          </w:p>
          <w:p w14:paraId="165057EE">
            <w:pPr>
              <w:spacing w:line="243" w:lineRule="auto"/>
              <w:rPr>
                <w:rFonts w:ascii="Arial"/>
                <w:sz w:val="21"/>
              </w:rPr>
            </w:pPr>
          </w:p>
          <w:p w14:paraId="1EA9F363">
            <w:pPr>
              <w:spacing w:line="243" w:lineRule="auto"/>
              <w:rPr>
                <w:rFonts w:ascii="Arial"/>
                <w:sz w:val="21"/>
              </w:rPr>
            </w:pPr>
          </w:p>
          <w:p w14:paraId="0B034175">
            <w:pPr>
              <w:spacing w:line="243" w:lineRule="auto"/>
              <w:rPr>
                <w:rFonts w:ascii="Arial"/>
                <w:sz w:val="21"/>
              </w:rPr>
            </w:pPr>
          </w:p>
          <w:p w14:paraId="5754F0B2">
            <w:pPr>
              <w:spacing w:line="243" w:lineRule="auto"/>
              <w:rPr>
                <w:rFonts w:ascii="Arial"/>
                <w:sz w:val="21"/>
              </w:rPr>
            </w:pPr>
          </w:p>
          <w:p w14:paraId="29BC1176">
            <w:pPr>
              <w:spacing w:line="243" w:lineRule="auto"/>
              <w:rPr>
                <w:rFonts w:ascii="Arial"/>
                <w:sz w:val="21"/>
              </w:rPr>
            </w:pPr>
          </w:p>
          <w:p w14:paraId="7FA11C36">
            <w:pPr>
              <w:spacing w:line="243" w:lineRule="auto"/>
              <w:rPr>
                <w:rFonts w:ascii="Arial"/>
                <w:sz w:val="21"/>
              </w:rPr>
            </w:pPr>
          </w:p>
          <w:p w14:paraId="4119C0AD">
            <w:pPr>
              <w:spacing w:line="243" w:lineRule="auto"/>
              <w:rPr>
                <w:rFonts w:ascii="Arial"/>
                <w:sz w:val="21"/>
              </w:rPr>
            </w:pPr>
          </w:p>
          <w:p w14:paraId="78F836B9">
            <w:pPr>
              <w:spacing w:line="243" w:lineRule="auto"/>
              <w:rPr>
                <w:rFonts w:ascii="Arial"/>
                <w:sz w:val="21"/>
              </w:rPr>
            </w:pPr>
          </w:p>
          <w:p w14:paraId="3E6E1A01">
            <w:pPr>
              <w:spacing w:line="243" w:lineRule="auto"/>
              <w:rPr>
                <w:rFonts w:ascii="Arial"/>
                <w:sz w:val="21"/>
              </w:rPr>
            </w:pPr>
          </w:p>
          <w:p w14:paraId="7BC6D5EB">
            <w:pPr>
              <w:spacing w:line="244" w:lineRule="auto"/>
              <w:rPr>
                <w:rFonts w:ascii="Arial"/>
                <w:sz w:val="21"/>
              </w:rPr>
            </w:pPr>
          </w:p>
          <w:p w14:paraId="733343D7">
            <w:pPr>
              <w:spacing w:line="244" w:lineRule="auto"/>
              <w:rPr>
                <w:rFonts w:ascii="Arial"/>
                <w:sz w:val="21"/>
              </w:rPr>
            </w:pPr>
          </w:p>
          <w:p w14:paraId="1036ECAB">
            <w:pPr>
              <w:spacing w:line="244" w:lineRule="auto"/>
              <w:rPr>
                <w:rFonts w:ascii="Arial"/>
                <w:sz w:val="21"/>
              </w:rPr>
            </w:pPr>
          </w:p>
          <w:p w14:paraId="26768BFC">
            <w:pPr>
              <w:spacing w:line="244" w:lineRule="auto"/>
              <w:rPr>
                <w:rFonts w:ascii="Arial"/>
                <w:sz w:val="21"/>
              </w:rPr>
            </w:pPr>
          </w:p>
          <w:p w14:paraId="5BEDE97F">
            <w:pPr>
              <w:spacing w:line="244" w:lineRule="auto"/>
              <w:rPr>
                <w:rFonts w:ascii="Arial"/>
                <w:sz w:val="21"/>
              </w:rPr>
            </w:pPr>
          </w:p>
          <w:p w14:paraId="77580666">
            <w:pPr>
              <w:spacing w:line="244" w:lineRule="auto"/>
              <w:rPr>
                <w:rFonts w:ascii="Arial"/>
                <w:sz w:val="21"/>
              </w:rPr>
            </w:pPr>
          </w:p>
          <w:p w14:paraId="77719723">
            <w:pPr>
              <w:spacing w:before="74" w:line="187" w:lineRule="auto"/>
              <w:ind w:left="355"/>
              <w:rPr>
                <w:rFonts w:ascii="宋体" w:hAnsi="宋体" w:eastAsia="宋体" w:cs="宋体"/>
                <w:sz w:val="23"/>
                <w:szCs w:val="23"/>
              </w:rPr>
            </w:pPr>
            <w:r>
              <w:rPr>
                <w:rFonts w:ascii="宋体" w:hAnsi="宋体" w:eastAsia="宋体" w:cs="宋体"/>
                <w:sz w:val="23"/>
                <w:szCs w:val="23"/>
              </w:rPr>
              <w:t>5</w:t>
            </w:r>
          </w:p>
        </w:tc>
      </w:tr>
      <w:tr w14:paraId="3A250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0" w:hRule="atLeast"/>
        </w:trPr>
        <w:tc>
          <w:tcPr>
            <w:tcW w:w="818" w:type="dxa"/>
            <w:vMerge w:val="continue"/>
            <w:tcBorders>
              <w:top w:val="nil"/>
              <w:bottom w:val="nil"/>
            </w:tcBorders>
            <w:vAlign w:val="top"/>
          </w:tcPr>
          <w:p w14:paraId="0258F331">
            <w:pPr>
              <w:rPr>
                <w:rFonts w:ascii="Arial"/>
                <w:sz w:val="21"/>
              </w:rPr>
            </w:pPr>
          </w:p>
        </w:tc>
        <w:tc>
          <w:tcPr>
            <w:tcW w:w="1440" w:type="dxa"/>
            <w:vMerge w:val="continue"/>
            <w:tcBorders>
              <w:top w:val="nil"/>
              <w:bottom w:val="nil"/>
            </w:tcBorders>
            <w:vAlign w:val="top"/>
          </w:tcPr>
          <w:p w14:paraId="4608BA91">
            <w:pPr>
              <w:rPr>
                <w:rFonts w:ascii="Arial"/>
                <w:sz w:val="21"/>
              </w:rPr>
            </w:pPr>
          </w:p>
        </w:tc>
        <w:tc>
          <w:tcPr>
            <w:tcW w:w="3202" w:type="dxa"/>
            <w:vMerge w:val="continue"/>
            <w:tcBorders>
              <w:top w:val="nil"/>
              <w:bottom w:val="nil"/>
            </w:tcBorders>
            <w:vAlign w:val="top"/>
          </w:tcPr>
          <w:p w14:paraId="77805523">
            <w:pPr>
              <w:rPr>
                <w:rFonts w:ascii="Arial"/>
                <w:sz w:val="21"/>
              </w:rPr>
            </w:pPr>
          </w:p>
        </w:tc>
        <w:tc>
          <w:tcPr>
            <w:tcW w:w="2859" w:type="dxa"/>
            <w:vMerge w:val="continue"/>
            <w:tcBorders>
              <w:top w:val="nil"/>
              <w:bottom w:val="nil"/>
            </w:tcBorders>
            <w:vAlign w:val="top"/>
          </w:tcPr>
          <w:p w14:paraId="2E55A2D7">
            <w:pPr>
              <w:rPr>
                <w:rFonts w:ascii="Arial"/>
                <w:sz w:val="21"/>
              </w:rPr>
            </w:pPr>
          </w:p>
        </w:tc>
        <w:tc>
          <w:tcPr>
            <w:tcW w:w="803" w:type="dxa"/>
            <w:vAlign w:val="top"/>
          </w:tcPr>
          <w:p w14:paraId="377914D7">
            <w:pPr>
              <w:spacing w:line="256" w:lineRule="auto"/>
              <w:rPr>
                <w:rFonts w:ascii="Arial"/>
                <w:sz w:val="21"/>
              </w:rPr>
            </w:pPr>
          </w:p>
          <w:p w14:paraId="7AE2A076">
            <w:pPr>
              <w:spacing w:line="256" w:lineRule="auto"/>
              <w:rPr>
                <w:rFonts w:ascii="Arial"/>
                <w:sz w:val="21"/>
              </w:rPr>
            </w:pPr>
          </w:p>
          <w:p w14:paraId="10895500">
            <w:pPr>
              <w:spacing w:line="256" w:lineRule="auto"/>
              <w:rPr>
                <w:rFonts w:ascii="Arial"/>
                <w:sz w:val="21"/>
              </w:rPr>
            </w:pPr>
          </w:p>
          <w:p w14:paraId="3DB9F54B">
            <w:pPr>
              <w:spacing w:line="257" w:lineRule="auto"/>
              <w:rPr>
                <w:rFonts w:ascii="Arial"/>
                <w:sz w:val="21"/>
              </w:rPr>
            </w:pPr>
          </w:p>
          <w:p w14:paraId="4566BB1A">
            <w:pPr>
              <w:spacing w:line="257" w:lineRule="auto"/>
              <w:rPr>
                <w:rFonts w:ascii="Arial"/>
                <w:sz w:val="21"/>
              </w:rPr>
            </w:pPr>
          </w:p>
          <w:p w14:paraId="76CDD257">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A76ACD7">
            <w:pPr>
              <w:pStyle w:val="6"/>
              <w:spacing w:before="113" w:line="186" w:lineRule="auto"/>
              <w:ind w:left="117" w:right="65" w:firstLine="2"/>
              <w:jc w:val="both"/>
            </w:pPr>
            <w:r>
              <w:rPr>
                <w:spacing w:val="6"/>
              </w:rPr>
              <w:t>从业人员在</w:t>
            </w:r>
            <w:r>
              <w:rPr>
                <w:rFonts w:ascii="宋体" w:hAnsi="宋体" w:eastAsia="宋体" w:cs="宋体"/>
                <w:spacing w:val="6"/>
              </w:rPr>
              <w:t>30</w:t>
            </w:r>
            <w:r>
              <w:rPr>
                <w:spacing w:val="6"/>
              </w:rPr>
              <w:t>人以</w:t>
            </w:r>
            <w:r>
              <w:rPr>
                <w:spacing w:val="12"/>
              </w:rPr>
              <w:t>上</w:t>
            </w:r>
            <w:r>
              <w:rPr>
                <w:rFonts w:ascii="宋体" w:hAnsi="宋体" w:eastAsia="宋体" w:cs="宋体"/>
                <w:spacing w:val="12"/>
              </w:rPr>
              <w:t>100</w:t>
            </w:r>
            <w:r>
              <w:rPr>
                <w:spacing w:val="12"/>
              </w:rPr>
              <w:t>人以下的危</w:t>
            </w:r>
            <w:r>
              <w:rPr>
                <w:spacing w:val="26"/>
              </w:rPr>
              <w:t>险物品的生产、储</w:t>
            </w:r>
            <w:r>
              <w:rPr>
                <w:spacing w:val="-3"/>
              </w:rPr>
              <w:t>存、装卸单位以及矿</w:t>
            </w:r>
            <w:r>
              <w:rPr>
                <w:spacing w:val="2"/>
              </w:rPr>
              <w:t>山、金属冶炼单位，</w:t>
            </w:r>
            <w:r>
              <w:rPr>
                <w:spacing w:val="26"/>
              </w:rPr>
              <w:t>未按照规定配备注册安全工程师从事安全生产管理工作</w:t>
            </w:r>
            <w:r>
              <w:t>的</w:t>
            </w:r>
          </w:p>
        </w:tc>
        <w:tc>
          <w:tcPr>
            <w:tcW w:w="2894" w:type="dxa"/>
            <w:vAlign w:val="top"/>
          </w:tcPr>
          <w:p w14:paraId="3A47B146">
            <w:pPr>
              <w:pStyle w:val="6"/>
              <w:spacing w:before="266" w:line="186" w:lineRule="auto"/>
              <w:ind w:left="117" w:right="103" w:firstLine="10"/>
            </w:pPr>
            <w:r>
              <w:rPr>
                <w:spacing w:val="4"/>
              </w:rPr>
              <w:t>责令限期改正，处</w:t>
            </w:r>
            <w:r>
              <w:rPr>
                <w:rFonts w:ascii="宋体" w:hAnsi="宋体" w:eastAsia="宋体" w:cs="宋体"/>
                <w:spacing w:val="4"/>
              </w:rPr>
              <w:t>3</w:t>
            </w:r>
            <w:r>
              <w:rPr>
                <w:spacing w:val="4"/>
              </w:rPr>
              <w:t>万元</w:t>
            </w:r>
            <w:r>
              <w:rPr>
                <w:spacing w:val="3"/>
              </w:rPr>
              <w:t>以上</w:t>
            </w:r>
            <w:r>
              <w:rPr>
                <w:rFonts w:ascii="宋体" w:hAnsi="宋体" w:eastAsia="宋体" w:cs="宋体"/>
                <w:spacing w:val="3"/>
              </w:rPr>
              <w:t>7</w:t>
            </w:r>
            <w:r>
              <w:rPr>
                <w:spacing w:val="3"/>
              </w:rPr>
              <w:t>万元以下的罚款；</w:t>
            </w:r>
            <w:r>
              <w:rPr>
                <w:spacing w:val="8"/>
              </w:rPr>
              <w:t>逾期未改正的，责令停产</w:t>
            </w:r>
            <w:r>
              <w:rPr>
                <w:spacing w:val="-4"/>
              </w:rPr>
              <w:t>停业整顿，并处</w:t>
            </w:r>
            <w:r>
              <w:rPr>
                <w:rFonts w:ascii="宋体" w:hAnsi="宋体" w:eastAsia="宋体" w:cs="宋体"/>
                <w:spacing w:val="-4"/>
              </w:rPr>
              <w:t>13</w:t>
            </w:r>
            <w:r>
              <w:rPr>
                <w:spacing w:val="-4"/>
              </w:rPr>
              <w:t>万元以上</w:t>
            </w:r>
            <w:r>
              <w:rPr>
                <w:rFonts w:ascii="宋体" w:hAnsi="宋体" w:eastAsia="宋体" w:cs="宋体"/>
                <w:spacing w:val="-4"/>
              </w:rPr>
              <w:t>17</w:t>
            </w:r>
            <w:r>
              <w:rPr>
                <w:spacing w:val="-4"/>
              </w:rPr>
              <w:t>万元以下的罚款，对</w:t>
            </w:r>
            <w:r>
              <w:rPr>
                <w:spacing w:val="11"/>
              </w:rPr>
              <w:t>其直接负责的主管人员和</w:t>
            </w:r>
            <w:r>
              <w:rPr>
                <w:spacing w:val="8"/>
              </w:rPr>
              <w:t>其他直接责任人员处</w:t>
            </w:r>
            <w:r>
              <w:rPr>
                <w:rFonts w:ascii="宋体" w:hAnsi="宋体" w:eastAsia="宋体" w:cs="宋体"/>
                <w:spacing w:val="8"/>
              </w:rPr>
              <w:t>3</w:t>
            </w:r>
            <w:r>
              <w:rPr>
                <w:spacing w:val="8"/>
              </w:rPr>
              <w:t>万</w:t>
            </w:r>
            <w:r>
              <w:rPr>
                <w:spacing w:val="4"/>
              </w:rPr>
              <w:t>元以上</w:t>
            </w:r>
            <w:r>
              <w:rPr>
                <w:rFonts w:ascii="宋体" w:hAnsi="宋体" w:eastAsia="宋体" w:cs="宋体"/>
                <w:spacing w:val="4"/>
              </w:rPr>
              <w:t>4</w:t>
            </w:r>
            <w:r>
              <w:rPr>
                <w:spacing w:val="4"/>
              </w:rPr>
              <w:t>万元以下的罚款</w:t>
            </w:r>
          </w:p>
        </w:tc>
        <w:tc>
          <w:tcPr>
            <w:tcW w:w="811" w:type="dxa"/>
            <w:vMerge w:val="continue"/>
            <w:tcBorders>
              <w:top w:val="nil"/>
              <w:bottom w:val="nil"/>
            </w:tcBorders>
            <w:vAlign w:val="top"/>
          </w:tcPr>
          <w:p w14:paraId="3AAEF49A">
            <w:pPr>
              <w:rPr>
                <w:rFonts w:ascii="Arial"/>
                <w:sz w:val="21"/>
              </w:rPr>
            </w:pPr>
          </w:p>
        </w:tc>
      </w:tr>
      <w:tr w14:paraId="4C5AC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7" w:hRule="atLeast"/>
        </w:trPr>
        <w:tc>
          <w:tcPr>
            <w:tcW w:w="818" w:type="dxa"/>
            <w:vMerge w:val="continue"/>
            <w:tcBorders>
              <w:top w:val="nil"/>
            </w:tcBorders>
            <w:vAlign w:val="top"/>
          </w:tcPr>
          <w:p w14:paraId="516AB1C1">
            <w:pPr>
              <w:rPr>
                <w:rFonts w:ascii="Arial"/>
                <w:sz w:val="21"/>
              </w:rPr>
            </w:pPr>
          </w:p>
        </w:tc>
        <w:tc>
          <w:tcPr>
            <w:tcW w:w="1440" w:type="dxa"/>
            <w:vMerge w:val="continue"/>
            <w:tcBorders>
              <w:top w:val="nil"/>
            </w:tcBorders>
            <w:vAlign w:val="top"/>
          </w:tcPr>
          <w:p w14:paraId="796D932D">
            <w:pPr>
              <w:rPr>
                <w:rFonts w:ascii="Arial"/>
                <w:sz w:val="21"/>
              </w:rPr>
            </w:pPr>
          </w:p>
        </w:tc>
        <w:tc>
          <w:tcPr>
            <w:tcW w:w="3202" w:type="dxa"/>
            <w:vMerge w:val="continue"/>
            <w:tcBorders>
              <w:top w:val="nil"/>
            </w:tcBorders>
            <w:vAlign w:val="top"/>
          </w:tcPr>
          <w:p w14:paraId="34929E84">
            <w:pPr>
              <w:rPr>
                <w:rFonts w:ascii="Arial"/>
                <w:sz w:val="21"/>
              </w:rPr>
            </w:pPr>
          </w:p>
        </w:tc>
        <w:tc>
          <w:tcPr>
            <w:tcW w:w="2859" w:type="dxa"/>
            <w:vMerge w:val="continue"/>
            <w:tcBorders>
              <w:top w:val="nil"/>
            </w:tcBorders>
            <w:vAlign w:val="top"/>
          </w:tcPr>
          <w:p w14:paraId="6D4AECD4">
            <w:pPr>
              <w:rPr>
                <w:rFonts w:ascii="Arial"/>
                <w:sz w:val="21"/>
              </w:rPr>
            </w:pPr>
          </w:p>
        </w:tc>
        <w:tc>
          <w:tcPr>
            <w:tcW w:w="803" w:type="dxa"/>
            <w:vAlign w:val="top"/>
          </w:tcPr>
          <w:p w14:paraId="6CE5E428">
            <w:pPr>
              <w:spacing w:line="252" w:lineRule="auto"/>
              <w:rPr>
                <w:rFonts w:ascii="Arial"/>
                <w:sz w:val="21"/>
              </w:rPr>
            </w:pPr>
          </w:p>
          <w:p w14:paraId="5A668BD5">
            <w:pPr>
              <w:spacing w:line="253" w:lineRule="auto"/>
              <w:rPr>
                <w:rFonts w:ascii="Arial"/>
                <w:sz w:val="21"/>
              </w:rPr>
            </w:pPr>
          </w:p>
          <w:p w14:paraId="583DF8EC">
            <w:pPr>
              <w:spacing w:line="253" w:lineRule="auto"/>
              <w:rPr>
                <w:rFonts w:ascii="Arial"/>
                <w:sz w:val="21"/>
              </w:rPr>
            </w:pPr>
          </w:p>
          <w:p w14:paraId="5EE868C1">
            <w:pPr>
              <w:spacing w:line="253" w:lineRule="auto"/>
              <w:rPr>
                <w:rFonts w:ascii="Arial"/>
                <w:sz w:val="21"/>
              </w:rPr>
            </w:pPr>
          </w:p>
          <w:p w14:paraId="4AA34FDB">
            <w:pPr>
              <w:spacing w:line="253" w:lineRule="auto"/>
              <w:rPr>
                <w:rFonts w:ascii="Arial"/>
                <w:sz w:val="21"/>
              </w:rPr>
            </w:pPr>
          </w:p>
          <w:p w14:paraId="3D9BB220">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7F82840">
            <w:pPr>
              <w:pStyle w:val="6"/>
              <w:spacing w:before="250" w:line="186" w:lineRule="auto"/>
              <w:ind w:left="116" w:right="105" w:firstLine="3"/>
              <w:jc w:val="both"/>
            </w:pPr>
            <w:r>
              <w:rPr>
                <w:spacing w:val="12"/>
              </w:rPr>
              <w:t>从业人员在</w:t>
            </w:r>
            <w:r>
              <w:rPr>
                <w:rFonts w:ascii="宋体" w:hAnsi="宋体" w:eastAsia="宋体" w:cs="宋体"/>
                <w:spacing w:val="12"/>
              </w:rPr>
              <w:t>100</w:t>
            </w:r>
            <w:r>
              <w:rPr>
                <w:spacing w:val="12"/>
              </w:rPr>
              <w:t>人</w:t>
            </w:r>
            <w:r>
              <w:rPr>
                <w:spacing w:val="26"/>
              </w:rPr>
              <w:t>以上的危险物品的</w:t>
            </w:r>
            <w:r>
              <w:rPr>
                <w:spacing w:val="-2"/>
              </w:rPr>
              <w:t>生产、储存、装卸单位以及矿山、金属冶炼单位，未按照规定</w:t>
            </w:r>
            <w:r>
              <w:rPr>
                <w:spacing w:val="26"/>
              </w:rPr>
              <w:t>配备注册安全工程师从事安全生产管</w:t>
            </w:r>
            <w:r>
              <w:rPr>
                <w:spacing w:val="6"/>
              </w:rPr>
              <w:t>理工作的</w:t>
            </w:r>
          </w:p>
        </w:tc>
        <w:tc>
          <w:tcPr>
            <w:tcW w:w="2894" w:type="dxa"/>
            <w:vAlign w:val="top"/>
          </w:tcPr>
          <w:p w14:paraId="52158192">
            <w:pPr>
              <w:pStyle w:val="6"/>
              <w:spacing w:before="248" w:line="186" w:lineRule="auto"/>
              <w:ind w:left="117" w:right="71" w:firstLine="10"/>
              <w:jc w:val="both"/>
            </w:pPr>
            <w:r>
              <w:rPr>
                <w:spacing w:val="4"/>
              </w:rPr>
              <w:t>责令限期改正，处</w:t>
            </w:r>
            <w:r>
              <w:rPr>
                <w:rFonts w:ascii="宋体" w:hAnsi="宋体" w:eastAsia="宋体" w:cs="宋体"/>
                <w:spacing w:val="4"/>
              </w:rPr>
              <w:t>7</w:t>
            </w:r>
            <w:r>
              <w:rPr>
                <w:spacing w:val="4"/>
              </w:rPr>
              <w:t>万元</w:t>
            </w:r>
            <w:r>
              <w:rPr>
                <w:spacing w:val="-1"/>
              </w:rPr>
              <w:t>以上</w:t>
            </w:r>
            <w:r>
              <w:rPr>
                <w:rFonts w:ascii="宋体" w:hAnsi="宋体" w:eastAsia="宋体" w:cs="宋体"/>
                <w:spacing w:val="-1"/>
              </w:rPr>
              <w:t>10</w:t>
            </w:r>
            <w:r>
              <w:rPr>
                <w:spacing w:val="-1"/>
              </w:rPr>
              <w:t>万元以下的罚款；</w:t>
            </w:r>
            <w:r>
              <w:rPr>
                <w:spacing w:val="8"/>
              </w:rPr>
              <w:t>逾期未改正的，责令停产</w:t>
            </w:r>
            <w:r>
              <w:rPr>
                <w:spacing w:val="-4"/>
              </w:rPr>
              <w:t>停业整顿，并处</w:t>
            </w:r>
            <w:r>
              <w:rPr>
                <w:rFonts w:ascii="宋体" w:hAnsi="宋体" w:eastAsia="宋体" w:cs="宋体"/>
                <w:spacing w:val="-4"/>
              </w:rPr>
              <w:t>17</w:t>
            </w:r>
            <w:r>
              <w:rPr>
                <w:spacing w:val="-4"/>
              </w:rPr>
              <w:t>万元以</w:t>
            </w:r>
            <w:r>
              <w:rPr>
                <w:spacing w:val="-2"/>
              </w:rPr>
              <w:t>上</w:t>
            </w:r>
            <w:r>
              <w:rPr>
                <w:rFonts w:ascii="宋体" w:hAnsi="宋体" w:eastAsia="宋体" w:cs="宋体"/>
                <w:spacing w:val="-2"/>
              </w:rPr>
              <w:t>20</w:t>
            </w:r>
            <w:r>
              <w:rPr>
                <w:spacing w:val="-2"/>
              </w:rPr>
              <w:t>万元以下的罚款，对</w:t>
            </w:r>
            <w:r>
              <w:rPr>
                <w:spacing w:val="11"/>
              </w:rPr>
              <w:t>其直接负责的主管人员和</w:t>
            </w:r>
            <w:r>
              <w:rPr>
                <w:spacing w:val="8"/>
              </w:rPr>
              <w:t>其他直接责任人员处</w:t>
            </w:r>
            <w:r>
              <w:rPr>
                <w:rFonts w:ascii="宋体" w:hAnsi="宋体" w:eastAsia="宋体" w:cs="宋体"/>
                <w:spacing w:val="8"/>
              </w:rPr>
              <w:t>4</w:t>
            </w:r>
            <w:r>
              <w:rPr>
                <w:spacing w:val="8"/>
              </w:rPr>
              <w:t>万</w:t>
            </w:r>
            <w:r>
              <w:rPr>
                <w:spacing w:val="4"/>
              </w:rPr>
              <w:t>元以上</w:t>
            </w:r>
            <w:r>
              <w:rPr>
                <w:rFonts w:ascii="宋体" w:hAnsi="宋体" w:eastAsia="宋体" w:cs="宋体"/>
                <w:spacing w:val="4"/>
              </w:rPr>
              <w:t>5</w:t>
            </w:r>
            <w:r>
              <w:rPr>
                <w:spacing w:val="4"/>
              </w:rPr>
              <w:t>万元以下的罚款</w:t>
            </w:r>
          </w:p>
        </w:tc>
        <w:tc>
          <w:tcPr>
            <w:tcW w:w="811" w:type="dxa"/>
            <w:vMerge w:val="continue"/>
            <w:tcBorders>
              <w:top w:val="nil"/>
            </w:tcBorders>
            <w:vAlign w:val="top"/>
          </w:tcPr>
          <w:p w14:paraId="1A43CA86">
            <w:pPr>
              <w:rPr>
                <w:rFonts w:ascii="Arial"/>
                <w:sz w:val="21"/>
              </w:rPr>
            </w:pPr>
          </w:p>
        </w:tc>
      </w:tr>
    </w:tbl>
    <w:p w14:paraId="3AC20AAB">
      <w:pPr>
        <w:pStyle w:val="2"/>
      </w:pPr>
    </w:p>
    <w:p w14:paraId="467753FF">
      <w:pPr>
        <w:sectPr>
          <w:footerReference r:id="rId31" w:type="default"/>
          <w:pgSz w:w="16839" w:h="11906"/>
          <w:pgMar w:top="1012" w:right="821" w:bottom="666" w:left="901" w:header="0" w:footer="388" w:gutter="0"/>
          <w:cols w:space="720" w:num="1"/>
        </w:sectPr>
      </w:pPr>
    </w:p>
    <w:p w14:paraId="407298D1">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F1A6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8C50745">
            <w:pPr>
              <w:spacing w:before="222" w:line="241" w:lineRule="auto"/>
              <w:ind w:left="131"/>
              <w:outlineLvl w:val="0"/>
              <w:rPr>
                <w:rFonts w:ascii="黑体" w:hAnsi="黑体" w:eastAsia="黑体" w:cs="黑体"/>
                <w:sz w:val="28"/>
                <w:szCs w:val="28"/>
              </w:rPr>
            </w:pPr>
            <w:bookmarkStart w:id="378" w:name="bookmark32"/>
            <w:bookmarkEnd w:id="378"/>
            <w:r>
              <w:rPr>
                <w:rFonts w:ascii="黑体" w:hAnsi="黑体" w:eastAsia="黑体" w:cs="黑体"/>
                <w:spacing w:val="-2"/>
                <w:sz w:val="28"/>
                <w:szCs w:val="28"/>
              </w:rPr>
              <w:t>序号</w:t>
            </w:r>
          </w:p>
        </w:tc>
        <w:tc>
          <w:tcPr>
            <w:tcW w:w="1440" w:type="dxa"/>
            <w:vAlign w:val="top"/>
          </w:tcPr>
          <w:p w14:paraId="11EF6FA5">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D8540DE">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6FA0BB2">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9CE094A">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B55C4FC">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7EB71A4">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62AF127">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6EC8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0" w:hRule="atLeast"/>
        </w:trPr>
        <w:tc>
          <w:tcPr>
            <w:tcW w:w="818" w:type="dxa"/>
            <w:vMerge w:val="restart"/>
            <w:tcBorders>
              <w:bottom w:val="nil"/>
            </w:tcBorders>
            <w:vAlign w:val="top"/>
          </w:tcPr>
          <w:p w14:paraId="0B0A1CF0">
            <w:pPr>
              <w:rPr>
                <w:rFonts w:ascii="Arial"/>
                <w:sz w:val="21"/>
              </w:rPr>
            </w:pPr>
          </w:p>
          <w:p w14:paraId="5293395E">
            <w:pPr>
              <w:rPr>
                <w:rFonts w:ascii="Arial"/>
                <w:sz w:val="21"/>
              </w:rPr>
            </w:pPr>
          </w:p>
          <w:p w14:paraId="2FC0460F">
            <w:pPr>
              <w:rPr>
                <w:rFonts w:ascii="Arial"/>
                <w:sz w:val="21"/>
              </w:rPr>
            </w:pPr>
          </w:p>
          <w:p w14:paraId="65C1BD7A">
            <w:pPr>
              <w:rPr>
                <w:rFonts w:ascii="Arial"/>
                <w:sz w:val="21"/>
              </w:rPr>
            </w:pPr>
          </w:p>
          <w:p w14:paraId="33027CA4">
            <w:pPr>
              <w:rPr>
                <w:rFonts w:ascii="Arial"/>
                <w:sz w:val="21"/>
              </w:rPr>
            </w:pPr>
          </w:p>
          <w:p w14:paraId="7CFDBA2A">
            <w:pPr>
              <w:rPr>
                <w:rFonts w:ascii="Arial"/>
                <w:sz w:val="21"/>
              </w:rPr>
            </w:pPr>
          </w:p>
          <w:p w14:paraId="67D056FC">
            <w:pPr>
              <w:rPr>
                <w:rFonts w:ascii="Arial"/>
                <w:sz w:val="21"/>
              </w:rPr>
            </w:pPr>
          </w:p>
          <w:p w14:paraId="173FCFF3">
            <w:pPr>
              <w:rPr>
                <w:rFonts w:ascii="Arial"/>
                <w:sz w:val="21"/>
              </w:rPr>
            </w:pPr>
          </w:p>
          <w:p w14:paraId="6B26FA84">
            <w:pPr>
              <w:rPr>
                <w:rFonts w:ascii="Arial"/>
                <w:sz w:val="21"/>
              </w:rPr>
            </w:pPr>
          </w:p>
          <w:p w14:paraId="7425614B">
            <w:pPr>
              <w:rPr>
                <w:rFonts w:ascii="Arial"/>
                <w:sz w:val="21"/>
              </w:rPr>
            </w:pPr>
          </w:p>
          <w:p w14:paraId="1101DB64">
            <w:pPr>
              <w:rPr>
                <w:rFonts w:ascii="Arial"/>
                <w:sz w:val="21"/>
              </w:rPr>
            </w:pPr>
          </w:p>
          <w:p w14:paraId="3F3BE4E6">
            <w:pPr>
              <w:rPr>
                <w:rFonts w:ascii="Arial"/>
                <w:sz w:val="21"/>
              </w:rPr>
            </w:pPr>
          </w:p>
          <w:p w14:paraId="45242E3C">
            <w:pPr>
              <w:rPr>
                <w:rFonts w:ascii="Arial"/>
                <w:sz w:val="21"/>
              </w:rPr>
            </w:pPr>
          </w:p>
          <w:p w14:paraId="34D2F603">
            <w:pPr>
              <w:rPr>
                <w:rFonts w:ascii="Arial"/>
                <w:sz w:val="21"/>
              </w:rPr>
            </w:pPr>
          </w:p>
          <w:p w14:paraId="37F37CDD">
            <w:pPr>
              <w:spacing w:line="241" w:lineRule="auto"/>
              <w:rPr>
                <w:rFonts w:ascii="Arial"/>
                <w:sz w:val="21"/>
              </w:rPr>
            </w:pPr>
          </w:p>
          <w:p w14:paraId="64082479">
            <w:pPr>
              <w:spacing w:line="241" w:lineRule="auto"/>
              <w:rPr>
                <w:rFonts w:ascii="Arial"/>
                <w:sz w:val="21"/>
              </w:rPr>
            </w:pPr>
          </w:p>
          <w:p w14:paraId="7150EFD3">
            <w:pPr>
              <w:spacing w:line="241" w:lineRule="auto"/>
              <w:rPr>
                <w:rFonts w:ascii="Arial"/>
                <w:sz w:val="21"/>
              </w:rPr>
            </w:pPr>
          </w:p>
          <w:p w14:paraId="2B697CA8">
            <w:pPr>
              <w:spacing w:line="241" w:lineRule="auto"/>
              <w:rPr>
                <w:rFonts w:ascii="Arial"/>
                <w:sz w:val="21"/>
              </w:rPr>
            </w:pPr>
          </w:p>
          <w:p w14:paraId="78F30F38">
            <w:pPr>
              <w:spacing w:before="74" w:line="186" w:lineRule="auto"/>
              <w:ind w:left="252"/>
              <w:rPr>
                <w:rFonts w:ascii="仿宋" w:hAnsi="仿宋" w:eastAsia="仿宋" w:cs="仿宋"/>
                <w:sz w:val="23"/>
                <w:szCs w:val="23"/>
              </w:rPr>
            </w:pPr>
            <w:r>
              <w:rPr>
                <w:rFonts w:ascii="仿宋" w:hAnsi="仿宋" w:eastAsia="仿宋" w:cs="仿宋"/>
                <w:spacing w:val="-10"/>
                <w:sz w:val="23"/>
                <w:szCs w:val="23"/>
              </w:rPr>
              <w:t>14</w:t>
            </w:r>
          </w:p>
        </w:tc>
        <w:tc>
          <w:tcPr>
            <w:tcW w:w="1440" w:type="dxa"/>
            <w:vMerge w:val="restart"/>
            <w:tcBorders>
              <w:bottom w:val="nil"/>
            </w:tcBorders>
            <w:vAlign w:val="top"/>
          </w:tcPr>
          <w:p w14:paraId="052760FD">
            <w:pPr>
              <w:spacing w:line="250" w:lineRule="auto"/>
              <w:rPr>
                <w:rFonts w:ascii="Arial"/>
                <w:sz w:val="21"/>
              </w:rPr>
            </w:pPr>
          </w:p>
          <w:p w14:paraId="703A056E">
            <w:pPr>
              <w:spacing w:line="250" w:lineRule="auto"/>
              <w:rPr>
                <w:rFonts w:ascii="Arial"/>
                <w:sz w:val="21"/>
              </w:rPr>
            </w:pPr>
          </w:p>
          <w:p w14:paraId="511FAB22">
            <w:pPr>
              <w:spacing w:line="250" w:lineRule="auto"/>
              <w:rPr>
                <w:rFonts w:ascii="Arial"/>
                <w:sz w:val="21"/>
              </w:rPr>
            </w:pPr>
          </w:p>
          <w:p w14:paraId="450349C4">
            <w:pPr>
              <w:spacing w:line="250" w:lineRule="auto"/>
              <w:rPr>
                <w:rFonts w:ascii="Arial"/>
                <w:sz w:val="21"/>
              </w:rPr>
            </w:pPr>
          </w:p>
          <w:p w14:paraId="54BC7C08">
            <w:pPr>
              <w:spacing w:line="250" w:lineRule="auto"/>
              <w:rPr>
                <w:rFonts w:ascii="Arial"/>
                <w:sz w:val="21"/>
              </w:rPr>
            </w:pPr>
          </w:p>
          <w:p w14:paraId="196DF431">
            <w:pPr>
              <w:spacing w:line="250" w:lineRule="auto"/>
              <w:rPr>
                <w:rFonts w:ascii="Arial"/>
                <w:sz w:val="21"/>
              </w:rPr>
            </w:pPr>
          </w:p>
          <w:p w14:paraId="5D4371B5">
            <w:pPr>
              <w:spacing w:line="251" w:lineRule="auto"/>
              <w:rPr>
                <w:rFonts w:ascii="Arial"/>
                <w:sz w:val="21"/>
              </w:rPr>
            </w:pPr>
          </w:p>
          <w:p w14:paraId="6CE1C63D">
            <w:pPr>
              <w:spacing w:line="251" w:lineRule="auto"/>
              <w:rPr>
                <w:rFonts w:ascii="Arial"/>
                <w:sz w:val="21"/>
              </w:rPr>
            </w:pPr>
          </w:p>
          <w:p w14:paraId="1E551B3A">
            <w:pPr>
              <w:spacing w:line="251" w:lineRule="auto"/>
              <w:rPr>
                <w:rFonts w:ascii="Arial"/>
                <w:sz w:val="21"/>
              </w:rPr>
            </w:pPr>
          </w:p>
          <w:p w14:paraId="75918BE7">
            <w:pPr>
              <w:spacing w:line="251" w:lineRule="auto"/>
              <w:rPr>
                <w:rFonts w:ascii="Arial"/>
                <w:sz w:val="21"/>
              </w:rPr>
            </w:pPr>
          </w:p>
          <w:p w14:paraId="77C33EE6">
            <w:pPr>
              <w:spacing w:line="251" w:lineRule="auto"/>
              <w:rPr>
                <w:rFonts w:ascii="Arial"/>
                <w:sz w:val="21"/>
              </w:rPr>
            </w:pPr>
          </w:p>
          <w:p w14:paraId="49942325">
            <w:pPr>
              <w:spacing w:line="251" w:lineRule="auto"/>
              <w:rPr>
                <w:rFonts w:ascii="Arial"/>
                <w:sz w:val="21"/>
              </w:rPr>
            </w:pPr>
          </w:p>
          <w:p w14:paraId="3328CB4F">
            <w:pPr>
              <w:spacing w:line="251" w:lineRule="auto"/>
              <w:rPr>
                <w:rFonts w:ascii="Arial"/>
                <w:sz w:val="21"/>
              </w:rPr>
            </w:pPr>
          </w:p>
          <w:p w14:paraId="728C0B38">
            <w:pPr>
              <w:spacing w:line="251" w:lineRule="auto"/>
              <w:rPr>
                <w:rFonts w:ascii="Arial"/>
                <w:sz w:val="21"/>
              </w:rPr>
            </w:pPr>
          </w:p>
          <w:p w14:paraId="03553DAA">
            <w:pPr>
              <w:pStyle w:val="6"/>
              <w:spacing w:before="99" w:line="187" w:lineRule="auto"/>
              <w:ind w:left="114" w:right="111" w:firstLine="14"/>
              <w:jc w:val="both"/>
            </w:pPr>
            <w:r>
              <w:rPr>
                <w:spacing w:val="8"/>
              </w:rPr>
              <w:t>生产经营单</w:t>
            </w:r>
            <w:r>
              <w:rPr>
                <w:spacing w:val="11"/>
              </w:rPr>
              <w:t>位未建立专门安全管理制度、未采取可靠的安</w:t>
            </w:r>
            <w:r>
              <w:rPr>
                <w:spacing w:val="6"/>
              </w:rPr>
              <w:t>全措施的</w:t>
            </w:r>
          </w:p>
        </w:tc>
        <w:tc>
          <w:tcPr>
            <w:tcW w:w="3202" w:type="dxa"/>
            <w:vMerge w:val="restart"/>
            <w:tcBorders>
              <w:bottom w:val="nil"/>
            </w:tcBorders>
            <w:vAlign w:val="top"/>
          </w:tcPr>
          <w:p w14:paraId="61DD7897">
            <w:pPr>
              <w:pStyle w:val="6"/>
              <w:spacing w:before="36" w:line="182" w:lineRule="auto"/>
              <w:ind w:left="115" w:right="21" w:firstLine="15"/>
            </w:pPr>
            <w:r>
              <w:rPr>
                <w:rFonts w:ascii="宋体" w:hAnsi="宋体" w:eastAsia="宋体" w:cs="宋体"/>
                <w:spacing w:val="14"/>
              </w:rPr>
              <w:t>1.</w:t>
            </w:r>
            <w:r>
              <w:rPr>
                <w:spacing w:val="14"/>
              </w:rPr>
              <w:t>【法律】《中华人民共和</w:t>
            </w:r>
            <w:r>
              <w:rPr>
                <w:spacing w:val="17"/>
              </w:rPr>
              <w:t>国安全生产法》第三十九条</w:t>
            </w:r>
            <w:r>
              <w:rPr>
                <w:spacing w:val="2"/>
              </w:rPr>
              <w:t>第二款：生产经营单位生产、</w:t>
            </w:r>
            <w:r>
              <w:rPr>
                <w:spacing w:val="17"/>
              </w:rPr>
              <w:t>经营、运输、储存、使用危险物品或者处置废弃危险物</w:t>
            </w:r>
            <w:r>
              <w:rPr>
                <w:spacing w:val="12"/>
              </w:rPr>
              <w:t>品，必须执行有关法律、法</w:t>
            </w:r>
            <w:r>
              <w:rPr>
                <w:spacing w:val="39"/>
              </w:rPr>
              <w:t>规和国家标准或者行业标</w:t>
            </w:r>
            <w:r>
              <w:rPr>
                <w:spacing w:val="14"/>
              </w:rPr>
              <w:t>准，建立专门的安全管理制</w:t>
            </w:r>
            <w:r>
              <w:rPr>
                <w:spacing w:val="9"/>
              </w:rPr>
              <w:t>度，采取可靠的安全措施，</w:t>
            </w:r>
            <w:r>
              <w:rPr>
                <w:spacing w:val="17"/>
              </w:rPr>
              <w:t>接受有关主管部门依法实施</w:t>
            </w:r>
            <w:r>
              <w:rPr>
                <w:spacing w:val="2"/>
              </w:rPr>
              <w:t>的监督管理。</w:t>
            </w:r>
          </w:p>
          <w:p w14:paraId="397ED634">
            <w:pPr>
              <w:pStyle w:val="6"/>
              <w:spacing w:before="7" w:line="184" w:lineRule="auto"/>
              <w:ind w:left="116" w:right="21"/>
              <w:jc w:val="both"/>
            </w:pPr>
            <w:r>
              <w:rPr>
                <w:rFonts w:ascii="宋体" w:hAnsi="宋体" w:eastAsia="宋体" w:cs="宋体"/>
                <w:spacing w:val="15"/>
              </w:rPr>
              <w:t>2.</w:t>
            </w:r>
            <w:r>
              <w:rPr>
                <w:spacing w:val="15"/>
              </w:rPr>
              <w:t>【部门规章】《烟花爆竹</w:t>
            </w:r>
            <w:r>
              <w:rPr>
                <w:spacing w:val="17"/>
              </w:rPr>
              <w:t>生产经营安全规定》第十八</w:t>
            </w:r>
            <w:r>
              <w:rPr>
                <w:spacing w:val="5"/>
              </w:rPr>
              <w:t>条：生产企业和经营黑火药、</w:t>
            </w:r>
            <w:r>
              <w:rPr>
                <w:spacing w:val="17"/>
              </w:rPr>
              <w:t>引火线的批发企业应当要求供货单位提供并查验购进的黑火药、引火线及化工原材料的质检报告或者产品合格</w:t>
            </w:r>
            <w:r>
              <w:rPr>
                <w:spacing w:val="13"/>
              </w:rPr>
              <w:t>证，确保其安全性能符合国</w:t>
            </w:r>
            <w:r>
              <w:rPr>
                <w:spacing w:val="39"/>
              </w:rPr>
              <w:t>家标准或者行业标准的规</w:t>
            </w:r>
            <w:r>
              <w:rPr>
                <w:spacing w:val="13"/>
              </w:rPr>
              <w:t>定；对总仓库和中转库的黑</w:t>
            </w:r>
            <w:r>
              <w:rPr>
                <w:spacing w:val="17"/>
              </w:rPr>
              <w:t>火药、引火线、烟火药及裸</w:t>
            </w:r>
            <w:r>
              <w:rPr>
                <w:spacing w:val="13"/>
              </w:rPr>
              <w:t>药效果件，应当建立并实施</w:t>
            </w:r>
            <w:r>
              <w:rPr>
                <w:spacing w:val="17"/>
              </w:rPr>
              <w:t>由专人管理、登记、分发的</w:t>
            </w:r>
            <w:r>
              <w:rPr>
                <w:spacing w:val="3"/>
              </w:rPr>
              <w:t>安全管理制度。</w:t>
            </w:r>
          </w:p>
        </w:tc>
        <w:tc>
          <w:tcPr>
            <w:tcW w:w="2859" w:type="dxa"/>
            <w:vMerge w:val="restart"/>
            <w:tcBorders>
              <w:bottom w:val="nil"/>
            </w:tcBorders>
            <w:vAlign w:val="top"/>
          </w:tcPr>
          <w:p w14:paraId="18CD802C">
            <w:pPr>
              <w:pStyle w:val="6"/>
              <w:spacing w:before="42" w:line="182" w:lineRule="auto"/>
              <w:ind w:left="112" w:right="110" w:firstLine="18"/>
            </w:pPr>
            <w:r>
              <w:rPr>
                <w:rFonts w:ascii="宋体" w:hAnsi="宋体" w:eastAsia="宋体" w:cs="宋体"/>
                <w:spacing w:val="6"/>
              </w:rPr>
              <w:t>1.</w:t>
            </w:r>
            <w:r>
              <w:rPr>
                <w:spacing w:val="6"/>
              </w:rPr>
              <w:t>【法律】《中华人民共</w:t>
            </w:r>
            <w:r>
              <w:rPr>
                <w:spacing w:val="8"/>
              </w:rPr>
              <w:t>和国安全生产法》第一百零一条第一项：生产经营单位有下列行为之一的，</w:t>
            </w:r>
            <w:r>
              <w:rPr>
                <w:spacing w:val="9"/>
              </w:rPr>
              <w:t>责令限期改正，处十万元以下的罚款；逾期未改正</w:t>
            </w:r>
            <w:r>
              <w:rPr>
                <w:spacing w:val="8"/>
              </w:rPr>
              <w:t>的，责令停产停业整顿，</w:t>
            </w:r>
            <w:r>
              <w:rPr>
                <w:spacing w:val="9"/>
              </w:rPr>
              <w:t>并处十万元以上二十万元以下的罚款，对其直接负责的主管人员和其他直接责任人员处二万元以上五</w:t>
            </w:r>
            <w:r>
              <w:rPr>
                <w:spacing w:val="8"/>
              </w:rPr>
              <w:t>万元以下的罚款；构成犯</w:t>
            </w:r>
            <w:r>
              <w:rPr>
                <w:spacing w:val="5"/>
              </w:rPr>
              <w:t>罪的，依照刑法有关规定</w:t>
            </w:r>
            <w:r>
              <w:rPr>
                <w:spacing w:val="-5"/>
              </w:rPr>
              <w:t>追究刑事责任</w:t>
            </w:r>
            <w:r>
              <w:rPr>
                <w:spacing w:val="-6"/>
              </w:rPr>
              <w:t>：（</w:t>
            </w:r>
            <w:r>
              <w:rPr>
                <w:spacing w:val="-5"/>
              </w:rPr>
              <w:t>一）生</w:t>
            </w:r>
            <w:r>
              <w:rPr>
                <w:spacing w:val="6"/>
              </w:rPr>
              <w:t>产、经营、运输、储存、</w:t>
            </w:r>
            <w:r>
              <w:rPr>
                <w:spacing w:val="9"/>
              </w:rPr>
              <w:t>使用危险物品或者处置废弃危险物品，未建立专门安全管理制度、未采取可</w:t>
            </w:r>
            <w:r>
              <w:rPr>
                <w:spacing w:val="2"/>
              </w:rPr>
              <w:t>靠的安全措施的；</w:t>
            </w:r>
          </w:p>
          <w:p w14:paraId="12E5F6DC">
            <w:pPr>
              <w:pStyle w:val="6"/>
              <w:spacing w:before="9" w:line="180" w:lineRule="auto"/>
              <w:ind w:left="117" w:right="110" w:hanging="1"/>
            </w:pPr>
            <w:r>
              <w:rPr>
                <w:rFonts w:ascii="宋体" w:hAnsi="宋体" w:eastAsia="宋体" w:cs="宋体"/>
                <w:spacing w:val="7"/>
              </w:rPr>
              <w:t>2.</w:t>
            </w:r>
            <w:r>
              <w:rPr>
                <w:spacing w:val="7"/>
              </w:rPr>
              <w:t>【部门规章】《烟花爆</w:t>
            </w:r>
            <w:r>
              <w:rPr>
                <w:spacing w:val="8"/>
              </w:rPr>
              <w:t>竹生产经营安全规定》第三十五条第二项：生产企业、批发企业有下列行为</w:t>
            </w:r>
            <w:r>
              <w:t>之一的，责令限期改正，</w:t>
            </w:r>
            <w:r>
              <w:rPr>
                <w:spacing w:val="32"/>
              </w:rPr>
              <w:t>可以处十万元以下的罚</w:t>
            </w:r>
            <w:r>
              <w:rPr>
                <w:spacing w:val="8"/>
              </w:rPr>
              <w:t>款；逾期未改正的，责令停产停业整顿，并处十万元以上二十万元以下的罚款，对其直接负责的主管人员和其他直接责任人员</w:t>
            </w:r>
          </w:p>
        </w:tc>
        <w:tc>
          <w:tcPr>
            <w:tcW w:w="803" w:type="dxa"/>
            <w:vAlign w:val="top"/>
          </w:tcPr>
          <w:p w14:paraId="0E988774">
            <w:pPr>
              <w:spacing w:line="284" w:lineRule="auto"/>
              <w:rPr>
                <w:rFonts w:ascii="Arial"/>
                <w:sz w:val="21"/>
              </w:rPr>
            </w:pPr>
          </w:p>
          <w:p w14:paraId="0457BFE0">
            <w:pPr>
              <w:spacing w:line="284" w:lineRule="auto"/>
              <w:rPr>
                <w:rFonts w:ascii="Arial"/>
                <w:sz w:val="21"/>
              </w:rPr>
            </w:pPr>
          </w:p>
          <w:p w14:paraId="02E2DC7E">
            <w:pPr>
              <w:spacing w:line="284" w:lineRule="auto"/>
              <w:rPr>
                <w:rFonts w:ascii="Arial"/>
                <w:sz w:val="21"/>
              </w:rPr>
            </w:pPr>
          </w:p>
          <w:p w14:paraId="2C66EA25">
            <w:pPr>
              <w:spacing w:line="285" w:lineRule="auto"/>
              <w:rPr>
                <w:rFonts w:ascii="Arial"/>
                <w:sz w:val="21"/>
              </w:rPr>
            </w:pPr>
          </w:p>
          <w:p w14:paraId="5273ED11">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B15C2A7">
            <w:pPr>
              <w:pStyle w:val="6"/>
              <w:spacing w:before="128" w:line="186" w:lineRule="auto"/>
              <w:ind w:left="112" w:right="46" w:firstLine="18"/>
              <w:jc w:val="both"/>
            </w:pPr>
            <w:r>
              <w:rPr>
                <w:spacing w:val="3"/>
              </w:rPr>
              <w:t>生产经营单位生产、</w:t>
            </w:r>
            <w:r>
              <w:rPr>
                <w:spacing w:val="5"/>
              </w:rPr>
              <w:t>经营、运输、储存、</w:t>
            </w:r>
            <w:r>
              <w:rPr>
                <w:spacing w:val="26"/>
              </w:rPr>
              <w:t>使用危险物品或者处置废弃危险物品</w:t>
            </w:r>
            <w:r>
              <w:rPr>
                <w:spacing w:val="-2"/>
              </w:rPr>
              <w:t>时，未建立专门的安全管理制度，但采取</w:t>
            </w:r>
            <w:r>
              <w:rPr>
                <w:spacing w:val="26"/>
              </w:rPr>
              <w:t>了可靠的安全措施</w:t>
            </w:r>
            <w:r>
              <w:rPr>
                <w:spacing w:val="1"/>
              </w:rPr>
              <w:t>的</w:t>
            </w:r>
          </w:p>
        </w:tc>
        <w:tc>
          <w:tcPr>
            <w:tcW w:w="2894" w:type="dxa"/>
            <w:vAlign w:val="top"/>
          </w:tcPr>
          <w:p w14:paraId="2E343F56">
            <w:pPr>
              <w:pStyle w:val="6"/>
              <w:spacing w:before="123" w:line="186" w:lineRule="auto"/>
              <w:ind w:left="126" w:right="103"/>
            </w:pPr>
            <w:r>
              <w:rPr>
                <w:spacing w:val="4"/>
              </w:rPr>
              <w:t>责令限期改正，处</w:t>
            </w:r>
            <w:r>
              <w:rPr>
                <w:rFonts w:ascii="宋体" w:hAnsi="宋体" w:eastAsia="宋体" w:cs="宋体"/>
                <w:spacing w:val="4"/>
              </w:rPr>
              <w:t>3</w:t>
            </w:r>
            <w:r>
              <w:rPr>
                <w:spacing w:val="4"/>
              </w:rPr>
              <w:t>万元</w:t>
            </w:r>
            <w:r>
              <w:rPr>
                <w:spacing w:val="8"/>
              </w:rPr>
              <w:t>以下的罚款；逾期未改正</w:t>
            </w:r>
            <w:r>
              <w:rPr>
                <w:spacing w:val="6"/>
              </w:rPr>
              <w:t>的，责令停产停业整顿，</w:t>
            </w:r>
            <w:r>
              <w:rPr>
                <w:spacing w:val="-2"/>
              </w:rPr>
              <w:t>并处</w:t>
            </w:r>
            <w:r>
              <w:rPr>
                <w:rFonts w:ascii="宋体" w:hAnsi="宋体" w:eastAsia="宋体" w:cs="宋体"/>
                <w:spacing w:val="-2"/>
              </w:rPr>
              <w:t>10</w:t>
            </w:r>
            <w:r>
              <w:rPr>
                <w:spacing w:val="-2"/>
              </w:rPr>
              <w:t>万元以上</w:t>
            </w:r>
            <w:r>
              <w:rPr>
                <w:rFonts w:ascii="宋体" w:hAnsi="宋体" w:eastAsia="宋体" w:cs="宋体"/>
                <w:spacing w:val="-2"/>
              </w:rPr>
              <w:t>13</w:t>
            </w:r>
            <w:r>
              <w:rPr>
                <w:spacing w:val="-2"/>
              </w:rPr>
              <w:t>万元</w:t>
            </w:r>
            <w:r>
              <w:rPr>
                <w:spacing w:val="7"/>
              </w:rPr>
              <w:t>以下的罚款，对其直接负</w:t>
            </w:r>
            <w:r>
              <w:rPr>
                <w:spacing w:val="11"/>
              </w:rPr>
              <w:t>责的主管人员和其他直接</w:t>
            </w:r>
            <w:r>
              <w:rPr>
                <w:spacing w:val="9"/>
              </w:rPr>
              <w:t>责任人员处</w:t>
            </w:r>
            <w:r>
              <w:rPr>
                <w:rFonts w:ascii="宋体" w:hAnsi="宋体" w:eastAsia="宋体" w:cs="宋体"/>
                <w:spacing w:val="9"/>
              </w:rPr>
              <w:t>2</w:t>
            </w:r>
            <w:r>
              <w:rPr>
                <w:spacing w:val="9"/>
              </w:rPr>
              <w:t>万元以上</w:t>
            </w:r>
            <w:r>
              <w:rPr>
                <w:rFonts w:ascii="宋体" w:hAnsi="宋体" w:eastAsia="宋体" w:cs="宋体"/>
                <w:spacing w:val="9"/>
              </w:rPr>
              <w:t>3</w:t>
            </w:r>
            <w:r>
              <w:rPr>
                <w:spacing w:val="6"/>
              </w:rPr>
              <w:t>万元以下的罚款</w:t>
            </w:r>
          </w:p>
        </w:tc>
        <w:tc>
          <w:tcPr>
            <w:tcW w:w="811" w:type="dxa"/>
            <w:vMerge w:val="restart"/>
            <w:tcBorders>
              <w:bottom w:val="nil"/>
            </w:tcBorders>
            <w:vAlign w:val="top"/>
          </w:tcPr>
          <w:p w14:paraId="3F1BE69D">
            <w:pPr>
              <w:rPr>
                <w:rFonts w:ascii="Arial"/>
                <w:sz w:val="21"/>
              </w:rPr>
            </w:pPr>
          </w:p>
          <w:p w14:paraId="4663EFA8">
            <w:pPr>
              <w:rPr>
                <w:rFonts w:ascii="Arial"/>
                <w:sz w:val="21"/>
              </w:rPr>
            </w:pPr>
          </w:p>
          <w:p w14:paraId="1AAEA189">
            <w:pPr>
              <w:rPr>
                <w:rFonts w:ascii="Arial"/>
                <w:sz w:val="21"/>
              </w:rPr>
            </w:pPr>
          </w:p>
          <w:p w14:paraId="44430400">
            <w:pPr>
              <w:rPr>
                <w:rFonts w:ascii="Arial"/>
                <w:sz w:val="21"/>
              </w:rPr>
            </w:pPr>
          </w:p>
          <w:p w14:paraId="1FB4BF37">
            <w:pPr>
              <w:rPr>
                <w:rFonts w:ascii="Arial"/>
                <w:sz w:val="21"/>
              </w:rPr>
            </w:pPr>
          </w:p>
          <w:p w14:paraId="10F77041">
            <w:pPr>
              <w:rPr>
                <w:rFonts w:ascii="Arial"/>
                <w:sz w:val="21"/>
              </w:rPr>
            </w:pPr>
          </w:p>
          <w:p w14:paraId="5C970960">
            <w:pPr>
              <w:rPr>
                <w:rFonts w:ascii="Arial"/>
                <w:sz w:val="21"/>
              </w:rPr>
            </w:pPr>
          </w:p>
          <w:p w14:paraId="4131321D">
            <w:pPr>
              <w:rPr>
                <w:rFonts w:ascii="Arial"/>
                <w:sz w:val="21"/>
              </w:rPr>
            </w:pPr>
          </w:p>
          <w:p w14:paraId="6DEA242C">
            <w:pPr>
              <w:rPr>
                <w:rFonts w:ascii="Arial"/>
                <w:sz w:val="21"/>
              </w:rPr>
            </w:pPr>
          </w:p>
          <w:p w14:paraId="6C27084B">
            <w:pPr>
              <w:rPr>
                <w:rFonts w:ascii="Arial"/>
                <w:sz w:val="21"/>
              </w:rPr>
            </w:pPr>
          </w:p>
          <w:p w14:paraId="0C0DB2B6">
            <w:pPr>
              <w:rPr>
                <w:rFonts w:ascii="Arial"/>
                <w:sz w:val="21"/>
              </w:rPr>
            </w:pPr>
          </w:p>
          <w:p w14:paraId="3E53458E">
            <w:pPr>
              <w:rPr>
                <w:rFonts w:ascii="Arial"/>
                <w:sz w:val="21"/>
              </w:rPr>
            </w:pPr>
          </w:p>
          <w:p w14:paraId="5BDD9E5B">
            <w:pPr>
              <w:rPr>
                <w:rFonts w:ascii="Arial"/>
                <w:sz w:val="21"/>
              </w:rPr>
            </w:pPr>
          </w:p>
          <w:p w14:paraId="42A7903A">
            <w:pPr>
              <w:rPr>
                <w:rFonts w:ascii="Arial"/>
                <w:sz w:val="21"/>
              </w:rPr>
            </w:pPr>
          </w:p>
          <w:p w14:paraId="77EAC023">
            <w:pPr>
              <w:rPr>
                <w:rFonts w:ascii="Arial"/>
                <w:sz w:val="21"/>
              </w:rPr>
            </w:pPr>
          </w:p>
          <w:p w14:paraId="7C430465">
            <w:pPr>
              <w:rPr>
                <w:rFonts w:ascii="Arial"/>
                <w:sz w:val="21"/>
              </w:rPr>
            </w:pPr>
          </w:p>
          <w:p w14:paraId="49D62E06">
            <w:pPr>
              <w:rPr>
                <w:rFonts w:ascii="Arial"/>
                <w:sz w:val="21"/>
              </w:rPr>
            </w:pPr>
          </w:p>
          <w:p w14:paraId="0739F172">
            <w:pPr>
              <w:spacing w:line="241" w:lineRule="auto"/>
              <w:rPr>
                <w:rFonts w:ascii="Arial"/>
                <w:sz w:val="21"/>
              </w:rPr>
            </w:pPr>
          </w:p>
          <w:p w14:paraId="376B660E">
            <w:pPr>
              <w:spacing w:before="75" w:line="188" w:lineRule="auto"/>
              <w:ind w:left="352"/>
              <w:rPr>
                <w:rFonts w:ascii="宋体" w:hAnsi="宋体" w:eastAsia="宋体" w:cs="宋体"/>
                <w:sz w:val="23"/>
                <w:szCs w:val="23"/>
              </w:rPr>
            </w:pPr>
            <w:r>
              <w:rPr>
                <w:rFonts w:ascii="宋体" w:hAnsi="宋体" w:eastAsia="宋体" w:cs="宋体"/>
                <w:sz w:val="23"/>
                <w:szCs w:val="23"/>
              </w:rPr>
              <w:t>6</w:t>
            </w:r>
          </w:p>
        </w:tc>
      </w:tr>
      <w:tr w14:paraId="23B1F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0" w:hRule="atLeast"/>
        </w:trPr>
        <w:tc>
          <w:tcPr>
            <w:tcW w:w="818" w:type="dxa"/>
            <w:vMerge w:val="continue"/>
            <w:tcBorders>
              <w:top w:val="nil"/>
              <w:bottom w:val="nil"/>
            </w:tcBorders>
            <w:vAlign w:val="top"/>
          </w:tcPr>
          <w:p w14:paraId="574B06D9">
            <w:pPr>
              <w:rPr>
                <w:rFonts w:ascii="Arial"/>
                <w:sz w:val="21"/>
              </w:rPr>
            </w:pPr>
          </w:p>
        </w:tc>
        <w:tc>
          <w:tcPr>
            <w:tcW w:w="1440" w:type="dxa"/>
            <w:vMerge w:val="continue"/>
            <w:tcBorders>
              <w:top w:val="nil"/>
              <w:bottom w:val="nil"/>
            </w:tcBorders>
            <w:vAlign w:val="top"/>
          </w:tcPr>
          <w:p w14:paraId="2EB1B4A5">
            <w:pPr>
              <w:rPr>
                <w:rFonts w:ascii="Arial"/>
                <w:sz w:val="21"/>
              </w:rPr>
            </w:pPr>
          </w:p>
        </w:tc>
        <w:tc>
          <w:tcPr>
            <w:tcW w:w="3202" w:type="dxa"/>
            <w:vMerge w:val="continue"/>
            <w:tcBorders>
              <w:top w:val="nil"/>
              <w:bottom w:val="nil"/>
            </w:tcBorders>
            <w:vAlign w:val="top"/>
          </w:tcPr>
          <w:p w14:paraId="3D6D2E76">
            <w:pPr>
              <w:rPr>
                <w:rFonts w:ascii="Arial"/>
                <w:sz w:val="21"/>
              </w:rPr>
            </w:pPr>
          </w:p>
        </w:tc>
        <w:tc>
          <w:tcPr>
            <w:tcW w:w="2859" w:type="dxa"/>
            <w:vMerge w:val="continue"/>
            <w:tcBorders>
              <w:top w:val="nil"/>
              <w:bottom w:val="nil"/>
            </w:tcBorders>
            <w:vAlign w:val="top"/>
          </w:tcPr>
          <w:p w14:paraId="5C0D76F4">
            <w:pPr>
              <w:rPr>
                <w:rFonts w:ascii="Arial"/>
                <w:sz w:val="21"/>
              </w:rPr>
            </w:pPr>
          </w:p>
        </w:tc>
        <w:tc>
          <w:tcPr>
            <w:tcW w:w="803" w:type="dxa"/>
            <w:vAlign w:val="top"/>
          </w:tcPr>
          <w:p w14:paraId="3354B2A9">
            <w:pPr>
              <w:spacing w:line="273" w:lineRule="auto"/>
              <w:rPr>
                <w:rFonts w:ascii="Arial"/>
                <w:sz w:val="21"/>
              </w:rPr>
            </w:pPr>
          </w:p>
          <w:p w14:paraId="7599BCE6">
            <w:pPr>
              <w:spacing w:line="273" w:lineRule="auto"/>
              <w:rPr>
                <w:rFonts w:ascii="Arial"/>
                <w:sz w:val="21"/>
              </w:rPr>
            </w:pPr>
          </w:p>
          <w:p w14:paraId="5965A9DC">
            <w:pPr>
              <w:spacing w:line="273" w:lineRule="auto"/>
              <w:rPr>
                <w:rFonts w:ascii="Arial"/>
                <w:sz w:val="21"/>
              </w:rPr>
            </w:pPr>
          </w:p>
          <w:p w14:paraId="6FBC7671">
            <w:pPr>
              <w:spacing w:line="273" w:lineRule="auto"/>
              <w:rPr>
                <w:rFonts w:ascii="Arial"/>
                <w:sz w:val="21"/>
              </w:rPr>
            </w:pPr>
          </w:p>
          <w:p w14:paraId="3B2F7D2B">
            <w:pPr>
              <w:spacing w:line="274" w:lineRule="auto"/>
              <w:rPr>
                <w:rFonts w:ascii="Arial"/>
                <w:sz w:val="21"/>
              </w:rPr>
            </w:pPr>
          </w:p>
          <w:p w14:paraId="6F029CFF">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1DD88F6">
            <w:pPr>
              <w:spacing w:line="254" w:lineRule="auto"/>
              <w:rPr>
                <w:rFonts w:ascii="Arial"/>
                <w:sz w:val="21"/>
              </w:rPr>
            </w:pPr>
          </w:p>
          <w:p w14:paraId="79D803E0">
            <w:pPr>
              <w:pStyle w:val="6"/>
              <w:spacing w:before="99" w:line="186" w:lineRule="auto"/>
              <w:ind w:left="112" w:right="46" w:firstLine="18"/>
              <w:jc w:val="both"/>
            </w:pPr>
            <w:r>
              <w:rPr>
                <w:spacing w:val="3"/>
              </w:rPr>
              <w:t>生产经营单位生产、</w:t>
            </w:r>
            <w:r>
              <w:rPr>
                <w:spacing w:val="5"/>
              </w:rPr>
              <w:t>经营、运输、储存、</w:t>
            </w:r>
            <w:r>
              <w:rPr>
                <w:spacing w:val="26"/>
              </w:rPr>
              <w:t>使用危险物品或者处置废弃危险物品</w:t>
            </w:r>
            <w:r>
              <w:rPr>
                <w:spacing w:val="-2"/>
              </w:rPr>
              <w:t>时，建立了专门的安全管理制度，但未采</w:t>
            </w:r>
            <w:r>
              <w:rPr>
                <w:spacing w:val="26"/>
              </w:rPr>
              <w:t>取可靠的安全措施</w:t>
            </w:r>
            <w:r>
              <w:rPr>
                <w:spacing w:val="1"/>
              </w:rPr>
              <w:t>的</w:t>
            </w:r>
          </w:p>
        </w:tc>
        <w:tc>
          <w:tcPr>
            <w:tcW w:w="2894" w:type="dxa"/>
            <w:vAlign w:val="top"/>
          </w:tcPr>
          <w:p w14:paraId="4B942D9E">
            <w:pPr>
              <w:spacing w:line="250" w:lineRule="auto"/>
              <w:rPr>
                <w:rFonts w:ascii="Arial"/>
                <w:sz w:val="21"/>
              </w:rPr>
            </w:pPr>
          </w:p>
          <w:p w14:paraId="6969B5E6">
            <w:pPr>
              <w:pStyle w:val="6"/>
              <w:spacing w:before="98" w:line="186" w:lineRule="auto"/>
              <w:ind w:left="117" w:right="103" w:firstLine="10"/>
            </w:pPr>
            <w:r>
              <w:rPr>
                <w:spacing w:val="4"/>
              </w:rPr>
              <w:t>责令限期改正，处</w:t>
            </w:r>
            <w:r>
              <w:rPr>
                <w:rFonts w:ascii="宋体" w:hAnsi="宋体" w:eastAsia="宋体" w:cs="宋体"/>
                <w:spacing w:val="4"/>
              </w:rPr>
              <w:t>3</w:t>
            </w:r>
            <w:r>
              <w:rPr>
                <w:spacing w:val="4"/>
              </w:rPr>
              <w:t>万元</w:t>
            </w:r>
            <w:r>
              <w:rPr>
                <w:spacing w:val="3"/>
              </w:rPr>
              <w:t>以上</w:t>
            </w:r>
            <w:r>
              <w:rPr>
                <w:rFonts w:ascii="宋体" w:hAnsi="宋体" w:eastAsia="宋体" w:cs="宋体"/>
                <w:spacing w:val="3"/>
              </w:rPr>
              <w:t>7</w:t>
            </w:r>
            <w:r>
              <w:rPr>
                <w:spacing w:val="3"/>
              </w:rPr>
              <w:t>万元以下的罚款；</w:t>
            </w:r>
            <w:r>
              <w:rPr>
                <w:spacing w:val="8"/>
              </w:rPr>
              <w:t>逾期未改正的，责令停产</w:t>
            </w:r>
            <w:r>
              <w:rPr>
                <w:spacing w:val="-4"/>
              </w:rPr>
              <w:t>停业整顿，并处</w:t>
            </w:r>
            <w:r>
              <w:rPr>
                <w:rFonts w:ascii="宋体" w:hAnsi="宋体" w:eastAsia="宋体" w:cs="宋体"/>
                <w:spacing w:val="-4"/>
              </w:rPr>
              <w:t>13</w:t>
            </w:r>
            <w:r>
              <w:rPr>
                <w:spacing w:val="-4"/>
              </w:rPr>
              <w:t>万元以上</w:t>
            </w:r>
            <w:r>
              <w:rPr>
                <w:rFonts w:ascii="宋体" w:hAnsi="宋体" w:eastAsia="宋体" w:cs="宋体"/>
                <w:spacing w:val="-4"/>
              </w:rPr>
              <w:t>17</w:t>
            </w:r>
            <w:r>
              <w:rPr>
                <w:spacing w:val="-4"/>
              </w:rPr>
              <w:t>万元以下的罚款，对</w:t>
            </w:r>
            <w:r>
              <w:rPr>
                <w:spacing w:val="11"/>
              </w:rPr>
              <w:t>其直接负责的主管人员和</w:t>
            </w:r>
            <w:r>
              <w:rPr>
                <w:spacing w:val="8"/>
              </w:rPr>
              <w:t>其他直接责任人员处</w:t>
            </w:r>
            <w:r>
              <w:rPr>
                <w:rFonts w:ascii="宋体" w:hAnsi="宋体" w:eastAsia="宋体" w:cs="宋体"/>
                <w:spacing w:val="8"/>
              </w:rPr>
              <w:t>3</w:t>
            </w:r>
            <w:r>
              <w:rPr>
                <w:spacing w:val="8"/>
              </w:rPr>
              <w:t>万</w:t>
            </w:r>
            <w:r>
              <w:rPr>
                <w:spacing w:val="4"/>
              </w:rPr>
              <w:t>元以上</w:t>
            </w:r>
            <w:r>
              <w:rPr>
                <w:rFonts w:ascii="宋体" w:hAnsi="宋体" w:eastAsia="宋体" w:cs="宋体"/>
                <w:spacing w:val="4"/>
              </w:rPr>
              <w:t>4</w:t>
            </w:r>
            <w:r>
              <w:rPr>
                <w:spacing w:val="4"/>
              </w:rPr>
              <w:t>万元以下的罚款</w:t>
            </w:r>
          </w:p>
        </w:tc>
        <w:tc>
          <w:tcPr>
            <w:tcW w:w="811" w:type="dxa"/>
            <w:vMerge w:val="continue"/>
            <w:tcBorders>
              <w:top w:val="nil"/>
              <w:bottom w:val="nil"/>
            </w:tcBorders>
            <w:vAlign w:val="top"/>
          </w:tcPr>
          <w:p w14:paraId="32E3687D">
            <w:pPr>
              <w:rPr>
                <w:rFonts w:ascii="Arial"/>
                <w:sz w:val="21"/>
              </w:rPr>
            </w:pPr>
          </w:p>
        </w:tc>
      </w:tr>
      <w:tr w14:paraId="5DF89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3" w:hRule="atLeast"/>
        </w:trPr>
        <w:tc>
          <w:tcPr>
            <w:tcW w:w="818" w:type="dxa"/>
            <w:vMerge w:val="continue"/>
            <w:tcBorders>
              <w:top w:val="nil"/>
            </w:tcBorders>
            <w:vAlign w:val="top"/>
          </w:tcPr>
          <w:p w14:paraId="7B7B5340">
            <w:pPr>
              <w:rPr>
                <w:rFonts w:ascii="Arial"/>
                <w:sz w:val="21"/>
              </w:rPr>
            </w:pPr>
          </w:p>
        </w:tc>
        <w:tc>
          <w:tcPr>
            <w:tcW w:w="1440" w:type="dxa"/>
            <w:vMerge w:val="continue"/>
            <w:tcBorders>
              <w:top w:val="nil"/>
            </w:tcBorders>
            <w:vAlign w:val="top"/>
          </w:tcPr>
          <w:p w14:paraId="1B2268C8">
            <w:pPr>
              <w:rPr>
                <w:rFonts w:ascii="Arial"/>
                <w:sz w:val="21"/>
              </w:rPr>
            </w:pPr>
          </w:p>
        </w:tc>
        <w:tc>
          <w:tcPr>
            <w:tcW w:w="3202" w:type="dxa"/>
            <w:vMerge w:val="continue"/>
            <w:tcBorders>
              <w:top w:val="nil"/>
            </w:tcBorders>
            <w:vAlign w:val="top"/>
          </w:tcPr>
          <w:p w14:paraId="14585DED">
            <w:pPr>
              <w:rPr>
                <w:rFonts w:ascii="Arial"/>
                <w:sz w:val="21"/>
              </w:rPr>
            </w:pPr>
          </w:p>
        </w:tc>
        <w:tc>
          <w:tcPr>
            <w:tcW w:w="2859" w:type="dxa"/>
            <w:vMerge w:val="continue"/>
            <w:tcBorders>
              <w:top w:val="nil"/>
            </w:tcBorders>
            <w:vAlign w:val="top"/>
          </w:tcPr>
          <w:p w14:paraId="5733BC97">
            <w:pPr>
              <w:rPr>
                <w:rFonts w:ascii="Arial"/>
                <w:sz w:val="21"/>
              </w:rPr>
            </w:pPr>
          </w:p>
        </w:tc>
        <w:tc>
          <w:tcPr>
            <w:tcW w:w="803" w:type="dxa"/>
            <w:vAlign w:val="top"/>
          </w:tcPr>
          <w:p w14:paraId="632D3124">
            <w:pPr>
              <w:spacing w:line="251" w:lineRule="auto"/>
              <w:rPr>
                <w:rFonts w:ascii="Arial"/>
                <w:sz w:val="21"/>
              </w:rPr>
            </w:pPr>
          </w:p>
          <w:p w14:paraId="5CB3F101">
            <w:pPr>
              <w:spacing w:line="251" w:lineRule="auto"/>
              <w:rPr>
                <w:rFonts w:ascii="Arial"/>
                <w:sz w:val="21"/>
              </w:rPr>
            </w:pPr>
          </w:p>
          <w:p w14:paraId="4A048873">
            <w:pPr>
              <w:spacing w:line="252" w:lineRule="auto"/>
              <w:rPr>
                <w:rFonts w:ascii="Arial"/>
                <w:sz w:val="21"/>
              </w:rPr>
            </w:pPr>
          </w:p>
          <w:p w14:paraId="5957A7AE">
            <w:pPr>
              <w:spacing w:line="252" w:lineRule="auto"/>
              <w:rPr>
                <w:rFonts w:ascii="Arial"/>
                <w:sz w:val="21"/>
              </w:rPr>
            </w:pPr>
          </w:p>
          <w:p w14:paraId="6CFBE24D">
            <w:pPr>
              <w:spacing w:line="252" w:lineRule="auto"/>
              <w:rPr>
                <w:rFonts w:ascii="Arial"/>
                <w:sz w:val="21"/>
              </w:rPr>
            </w:pPr>
          </w:p>
          <w:p w14:paraId="3CAAF33C">
            <w:pPr>
              <w:spacing w:line="252" w:lineRule="auto"/>
              <w:rPr>
                <w:rFonts w:ascii="Arial"/>
                <w:sz w:val="21"/>
              </w:rPr>
            </w:pPr>
          </w:p>
          <w:p w14:paraId="671842A9">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8CD2A43">
            <w:pPr>
              <w:spacing w:line="400" w:lineRule="auto"/>
              <w:rPr>
                <w:rFonts w:ascii="Arial"/>
                <w:sz w:val="21"/>
              </w:rPr>
            </w:pPr>
          </w:p>
          <w:p w14:paraId="32E00F1F">
            <w:pPr>
              <w:pStyle w:val="6"/>
              <w:spacing w:before="99" w:line="186" w:lineRule="auto"/>
              <w:ind w:left="112" w:right="46" w:firstLine="18"/>
              <w:jc w:val="both"/>
            </w:pPr>
            <w:r>
              <w:rPr>
                <w:spacing w:val="3"/>
              </w:rPr>
              <w:t>生产经营单位生产、</w:t>
            </w:r>
            <w:r>
              <w:rPr>
                <w:spacing w:val="5"/>
              </w:rPr>
              <w:t>经营、运输、储存、</w:t>
            </w:r>
            <w:r>
              <w:rPr>
                <w:spacing w:val="26"/>
              </w:rPr>
              <w:t>使用危险物品或者处置废弃危险物品</w:t>
            </w:r>
            <w:r>
              <w:rPr>
                <w:spacing w:val="-2"/>
              </w:rPr>
              <w:t>时，未建立专门的安全管理制度，且未采</w:t>
            </w:r>
            <w:r>
              <w:rPr>
                <w:spacing w:val="26"/>
              </w:rPr>
              <w:t>取可靠的安全措施</w:t>
            </w:r>
            <w:r>
              <w:rPr>
                <w:spacing w:val="1"/>
              </w:rPr>
              <w:t>的</w:t>
            </w:r>
          </w:p>
        </w:tc>
        <w:tc>
          <w:tcPr>
            <w:tcW w:w="2894" w:type="dxa"/>
            <w:vAlign w:val="top"/>
          </w:tcPr>
          <w:p w14:paraId="4732CED7">
            <w:pPr>
              <w:spacing w:line="395" w:lineRule="auto"/>
              <w:rPr>
                <w:rFonts w:ascii="Arial"/>
                <w:sz w:val="21"/>
              </w:rPr>
            </w:pPr>
          </w:p>
          <w:p w14:paraId="2850C93C">
            <w:pPr>
              <w:pStyle w:val="6"/>
              <w:spacing w:before="99" w:line="186" w:lineRule="auto"/>
              <w:ind w:left="117" w:right="71" w:firstLine="10"/>
              <w:jc w:val="both"/>
            </w:pPr>
            <w:r>
              <w:rPr>
                <w:spacing w:val="4"/>
              </w:rPr>
              <w:t>责令限期改正，处</w:t>
            </w:r>
            <w:r>
              <w:rPr>
                <w:rFonts w:ascii="宋体" w:hAnsi="宋体" w:eastAsia="宋体" w:cs="宋体"/>
                <w:spacing w:val="4"/>
              </w:rPr>
              <w:t>7</w:t>
            </w:r>
            <w:r>
              <w:rPr>
                <w:spacing w:val="4"/>
              </w:rPr>
              <w:t>万元</w:t>
            </w:r>
            <w:r>
              <w:rPr>
                <w:spacing w:val="-1"/>
              </w:rPr>
              <w:t>以上</w:t>
            </w:r>
            <w:r>
              <w:rPr>
                <w:rFonts w:ascii="宋体" w:hAnsi="宋体" w:eastAsia="宋体" w:cs="宋体"/>
                <w:spacing w:val="-1"/>
              </w:rPr>
              <w:t>10</w:t>
            </w:r>
            <w:r>
              <w:rPr>
                <w:spacing w:val="-1"/>
              </w:rPr>
              <w:t>万元以下的罚款；</w:t>
            </w:r>
            <w:r>
              <w:rPr>
                <w:spacing w:val="8"/>
              </w:rPr>
              <w:t>逾期未改正的，责令停产</w:t>
            </w:r>
            <w:r>
              <w:rPr>
                <w:spacing w:val="-4"/>
              </w:rPr>
              <w:t>停业整顿，并处</w:t>
            </w:r>
            <w:r>
              <w:rPr>
                <w:rFonts w:ascii="宋体" w:hAnsi="宋体" w:eastAsia="宋体" w:cs="宋体"/>
                <w:spacing w:val="-4"/>
              </w:rPr>
              <w:t>17</w:t>
            </w:r>
            <w:r>
              <w:rPr>
                <w:spacing w:val="-4"/>
              </w:rPr>
              <w:t>万元以</w:t>
            </w:r>
            <w:r>
              <w:rPr>
                <w:spacing w:val="-2"/>
              </w:rPr>
              <w:t>上</w:t>
            </w:r>
            <w:r>
              <w:rPr>
                <w:rFonts w:ascii="宋体" w:hAnsi="宋体" w:eastAsia="宋体" w:cs="宋体"/>
                <w:spacing w:val="-2"/>
              </w:rPr>
              <w:t>20</w:t>
            </w:r>
            <w:r>
              <w:rPr>
                <w:spacing w:val="-2"/>
              </w:rPr>
              <w:t>万元以下的罚款，对</w:t>
            </w:r>
            <w:r>
              <w:rPr>
                <w:spacing w:val="11"/>
              </w:rPr>
              <w:t>其直接负责的主管人员和</w:t>
            </w:r>
            <w:r>
              <w:rPr>
                <w:spacing w:val="8"/>
              </w:rPr>
              <w:t>其他直接责任人员处</w:t>
            </w:r>
            <w:r>
              <w:rPr>
                <w:rFonts w:ascii="宋体" w:hAnsi="宋体" w:eastAsia="宋体" w:cs="宋体"/>
                <w:spacing w:val="8"/>
              </w:rPr>
              <w:t>4</w:t>
            </w:r>
            <w:r>
              <w:rPr>
                <w:spacing w:val="8"/>
              </w:rPr>
              <w:t>万</w:t>
            </w:r>
            <w:r>
              <w:rPr>
                <w:spacing w:val="4"/>
              </w:rPr>
              <w:t>元以上</w:t>
            </w:r>
            <w:r>
              <w:rPr>
                <w:rFonts w:ascii="宋体" w:hAnsi="宋体" w:eastAsia="宋体" w:cs="宋体"/>
                <w:spacing w:val="4"/>
              </w:rPr>
              <w:t>5</w:t>
            </w:r>
            <w:r>
              <w:rPr>
                <w:spacing w:val="4"/>
              </w:rPr>
              <w:t>万元以下的罚款</w:t>
            </w:r>
          </w:p>
        </w:tc>
        <w:tc>
          <w:tcPr>
            <w:tcW w:w="811" w:type="dxa"/>
            <w:vMerge w:val="continue"/>
            <w:tcBorders>
              <w:top w:val="nil"/>
            </w:tcBorders>
            <w:vAlign w:val="top"/>
          </w:tcPr>
          <w:p w14:paraId="4DC225E7">
            <w:pPr>
              <w:rPr>
                <w:rFonts w:ascii="Arial"/>
                <w:sz w:val="21"/>
              </w:rPr>
            </w:pPr>
          </w:p>
        </w:tc>
      </w:tr>
    </w:tbl>
    <w:p w14:paraId="4D320FF5">
      <w:pPr>
        <w:pStyle w:val="2"/>
      </w:pPr>
    </w:p>
    <w:p w14:paraId="174F04A4">
      <w:pPr>
        <w:sectPr>
          <w:footerReference r:id="rId32" w:type="default"/>
          <w:pgSz w:w="16839" w:h="11906"/>
          <w:pgMar w:top="1012" w:right="821" w:bottom="667" w:left="901" w:header="0" w:footer="388" w:gutter="0"/>
          <w:cols w:space="720" w:num="1"/>
        </w:sectPr>
      </w:pPr>
    </w:p>
    <w:p w14:paraId="47260D8D">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9688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5E14BB7">
            <w:pPr>
              <w:spacing w:before="222" w:line="241" w:lineRule="auto"/>
              <w:ind w:left="131"/>
              <w:outlineLvl w:val="0"/>
              <w:rPr>
                <w:rFonts w:ascii="黑体" w:hAnsi="黑体" w:eastAsia="黑体" w:cs="黑体"/>
                <w:sz w:val="28"/>
                <w:szCs w:val="28"/>
              </w:rPr>
            </w:pPr>
            <w:bookmarkStart w:id="379" w:name="bookmark34"/>
            <w:bookmarkEnd w:id="379"/>
            <w:r>
              <w:rPr>
                <w:rFonts w:ascii="黑体" w:hAnsi="黑体" w:eastAsia="黑体" w:cs="黑体"/>
                <w:spacing w:val="-2"/>
                <w:sz w:val="28"/>
                <w:szCs w:val="28"/>
              </w:rPr>
              <w:t>序号</w:t>
            </w:r>
          </w:p>
        </w:tc>
        <w:tc>
          <w:tcPr>
            <w:tcW w:w="1440" w:type="dxa"/>
            <w:vAlign w:val="top"/>
          </w:tcPr>
          <w:p w14:paraId="6B29100B">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EE7921A">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F8D2E58">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21C6D15">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0510D40E">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2038AA7">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B3BF4AB">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145D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Align w:val="top"/>
          </w:tcPr>
          <w:p w14:paraId="582E839B">
            <w:pPr>
              <w:rPr>
                <w:rFonts w:ascii="Arial"/>
                <w:sz w:val="21"/>
              </w:rPr>
            </w:pPr>
          </w:p>
        </w:tc>
        <w:tc>
          <w:tcPr>
            <w:tcW w:w="1440" w:type="dxa"/>
            <w:vAlign w:val="top"/>
          </w:tcPr>
          <w:p w14:paraId="217138AF">
            <w:pPr>
              <w:rPr>
                <w:rFonts w:ascii="Arial"/>
                <w:sz w:val="21"/>
              </w:rPr>
            </w:pPr>
          </w:p>
        </w:tc>
        <w:tc>
          <w:tcPr>
            <w:tcW w:w="3202" w:type="dxa"/>
            <w:vAlign w:val="top"/>
          </w:tcPr>
          <w:p w14:paraId="2830E7D1">
            <w:pPr>
              <w:rPr>
                <w:rFonts w:ascii="Arial"/>
                <w:sz w:val="21"/>
              </w:rPr>
            </w:pPr>
          </w:p>
        </w:tc>
        <w:tc>
          <w:tcPr>
            <w:tcW w:w="2859" w:type="dxa"/>
            <w:vAlign w:val="top"/>
          </w:tcPr>
          <w:p w14:paraId="0D58E7CD">
            <w:pPr>
              <w:pStyle w:val="6"/>
              <w:spacing w:before="28" w:line="179" w:lineRule="auto"/>
              <w:ind w:left="116" w:right="110"/>
              <w:jc w:val="both"/>
            </w:pPr>
            <w:r>
              <w:rPr>
                <w:spacing w:val="8"/>
              </w:rPr>
              <w:t>处二万元以上五万元以下</w:t>
            </w:r>
            <w:r>
              <w:t>的罚款：（二）未制定专</w:t>
            </w:r>
            <w:r>
              <w:rPr>
                <w:spacing w:val="8"/>
              </w:rPr>
              <w:t>人管理、登记、分发黑火药、引火线、烟火药及库存和中转效果件的安全管</w:t>
            </w:r>
            <w:r>
              <w:rPr>
                <w:spacing w:val="-2"/>
              </w:rPr>
              <w:t>理制度的；</w:t>
            </w:r>
          </w:p>
        </w:tc>
        <w:tc>
          <w:tcPr>
            <w:tcW w:w="803" w:type="dxa"/>
            <w:vAlign w:val="top"/>
          </w:tcPr>
          <w:p w14:paraId="799053F4">
            <w:pPr>
              <w:rPr>
                <w:rFonts w:ascii="Arial"/>
                <w:sz w:val="21"/>
              </w:rPr>
            </w:pPr>
          </w:p>
        </w:tc>
        <w:tc>
          <w:tcPr>
            <w:tcW w:w="2283" w:type="dxa"/>
            <w:vAlign w:val="top"/>
          </w:tcPr>
          <w:p w14:paraId="53498C99">
            <w:pPr>
              <w:rPr>
                <w:rFonts w:ascii="Arial"/>
                <w:sz w:val="21"/>
              </w:rPr>
            </w:pPr>
          </w:p>
        </w:tc>
        <w:tc>
          <w:tcPr>
            <w:tcW w:w="2894" w:type="dxa"/>
            <w:vAlign w:val="top"/>
          </w:tcPr>
          <w:p w14:paraId="6C033FCE">
            <w:pPr>
              <w:rPr>
                <w:rFonts w:ascii="Arial"/>
                <w:sz w:val="21"/>
              </w:rPr>
            </w:pPr>
          </w:p>
        </w:tc>
        <w:tc>
          <w:tcPr>
            <w:tcW w:w="811" w:type="dxa"/>
            <w:vAlign w:val="top"/>
          </w:tcPr>
          <w:p w14:paraId="7764C44D">
            <w:pPr>
              <w:rPr>
                <w:rFonts w:ascii="Arial"/>
                <w:sz w:val="21"/>
              </w:rPr>
            </w:pPr>
          </w:p>
        </w:tc>
      </w:tr>
      <w:tr w14:paraId="4BEA2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3" w:hRule="atLeast"/>
        </w:trPr>
        <w:tc>
          <w:tcPr>
            <w:tcW w:w="818" w:type="dxa"/>
            <w:vMerge w:val="restart"/>
            <w:tcBorders>
              <w:bottom w:val="nil"/>
            </w:tcBorders>
            <w:vAlign w:val="top"/>
          </w:tcPr>
          <w:p w14:paraId="51B94216">
            <w:pPr>
              <w:spacing w:line="245" w:lineRule="auto"/>
              <w:rPr>
                <w:rFonts w:ascii="Arial"/>
                <w:sz w:val="21"/>
              </w:rPr>
            </w:pPr>
          </w:p>
          <w:p w14:paraId="4EEEF428">
            <w:pPr>
              <w:spacing w:line="245" w:lineRule="auto"/>
              <w:rPr>
                <w:rFonts w:ascii="Arial"/>
                <w:sz w:val="21"/>
              </w:rPr>
            </w:pPr>
          </w:p>
          <w:p w14:paraId="72A002E1">
            <w:pPr>
              <w:spacing w:line="246" w:lineRule="auto"/>
              <w:rPr>
                <w:rFonts w:ascii="Arial"/>
                <w:sz w:val="21"/>
              </w:rPr>
            </w:pPr>
          </w:p>
          <w:p w14:paraId="65593154">
            <w:pPr>
              <w:spacing w:line="246" w:lineRule="auto"/>
              <w:rPr>
                <w:rFonts w:ascii="Arial"/>
                <w:sz w:val="21"/>
              </w:rPr>
            </w:pPr>
          </w:p>
          <w:p w14:paraId="710B9FB0">
            <w:pPr>
              <w:spacing w:line="246" w:lineRule="auto"/>
              <w:rPr>
                <w:rFonts w:ascii="Arial"/>
                <w:sz w:val="21"/>
              </w:rPr>
            </w:pPr>
          </w:p>
          <w:p w14:paraId="468D1E52">
            <w:pPr>
              <w:spacing w:line="246" w:lineRule="auto"/>
              <w:rPr>
                <w:rFonts w:ascii="Arial"/>
                <w:sz w:val="21"/>
              </w:rPr>
            </w:pPr>
          </w:p>
          <w:p w14:paraId="6701D8DC">
            <w:pPr>
              <w:spacing w:line="246" w:lineRule="auto"/>
              <w:rPr>
                <w:rFonts w:ascii="Arial"/>
                <w:sz w:val="21"/>
              </w:rPr>
            </w:pPr>
          </w:p>
          <w:p w14:paraId="4628B89F">
            <w:pPr>
              <w:spacing w:line="246" w:lineRule="auto"/>
              <w:rPr>
                <w:rFonts w:ascii="Arial"/>
                <w:sz w:val="21"/>
              </w:rPr>
            </w:pPr>
          </w:p>
          <w:p w14:paraId="05F041DB">
            <w:pPr>
              <w:spacing w:line="246" w:lineRule="auto"/>
              <w:rPr>
                <w:rFonts w:ascii="Arial"/>
                <w:sz w:val="21"/>
              </w:rPr>
            </w:pPr>
          </w:p>
          <w:p w14:paraId="55CC4860">
            <w:pPr>
              <w:spacing w:line="246" w:lineRule="auto"/>
              <w:rPr>
                <w:rFonts w:ascii="Arial"/>
                <w:sz w:val="21"/>
              </w:rPr>
            </w:pPr>
          </w:p>
          <w:p w14:paraId="6FB9C88D">
            <w:pPr>
              <w:spacing w:line="246" w:lineRule="auto"/>
              <w:rPr>
                <w:rFonts w:ascii="Arial"/>
                <w:sz w:val="21"/>
              </w:rPr>
            </w:pPr>
          </w:p>
          <w:p w14:paraId="3B81AAA8">
            <w:pPr>
              <w:spacing w:line="246" w:lineRule="auto"/>
              <w:rPr>
                <w:rFonts w:ascii="Arial"/>
                <w:sz w:val="21"/>
              </w:rPr>
            </w:pPr>
          </w:p>
          <w:p w14:paraId="555B5B94">
            <w:pPr>
              <w:spacing w:line="246" w:lineRule="auto"/>
              <w:rPr>
                <w:rFonts w:ascii="Arial"/>
                <w:sz w:val="21"/>
              </w:rPr>
            </w:pPr>
          </w:p>
          <w:p w14:paraId="34CE561D">
            <w:pPr>
              <w:spacing w:line="246" w:lineRule="auto"/>
              <w:rPr>
                <w:rFonts w:ascii="Arial"/>
                <w:sz w:val="21"/>
              </w:rPr>
            </w:pPr>
          </w:p>
          <w:p w14:paraId="3D350867">
            <w:pPr>
              <w:spacing w:before="74" w:line="186" w:lineRule="auto"/>
              <w:ind w:left="252"/>
              <w:rPr>
                <w:rFonts w:ascii="仿宋" w:hAnsi="仿宋" w:eastAsia="仿宋" w:cs="仿宋"/>
                <w:sz w:val="23"/>
                <w:szCs w:val="23"/>
              </w:rPr>
            </w:pPr>
            <w:r>
              <w:rPr>
                <w:rFonts w:ascii="仿宋" w:hAnsi="仿宋" w:eastAsia="仿宋" w:cs="仿宋"/>
                <w:spacing w:val="-10"/>
                <w:sz w:val="23"/>
                <w:szCs w:val="23"/>
              </w:rPr>
              <w:t>15</w:t>
            </w:r>
          </w:p>
        </w:tc>
        <w:tc>
          <w:tcPr>
            <w:tcW w:w="1440" w:type="dxa"/>
            <w:vMerge w:val="restart"/>
            <w:tcBorders>
              <w:bottom w:val="nil"/>
            </w:tcBorders>
            <w:vAlign w:val="top"/>
          </w:tcPr>
          <w:p w14:paraId="7B729EF5">
            <w:pPr>
              <w:spacing w:line="247" w:lineRule="auto"/>
              <w:rPr>
                <w:rFonts w:ascii="Arial"/>
                <w:sz w:val="21"/>
              </w:rPr>
            </w:pPr>
          </w:p>
          <w:p w14:paraId="76518651">
            <w:pPr>
              <w:spacing w:line="247" w:lineRule="auto"/>
              <w:rPr>
                <w:rFonts w:ascii="Arial"/>
                <w:sz w:val="21"/>
              </w:rPr>
            </w:pPr>
          </w:p>
          <w:p w14:paraId="1C7AA19F">
            <w:pPr>
              <w:spacing w:line="247" w:lineRule="auto"/>
              <w:rPr>
                <w:rFonts w:ascii="Arial"/>
                <w:sz w:val="21"/>
              </w:rPr>
            </w:pPr>
          </w:p>
          <w:p w14:paraId="591CED09">
            <w:pPr>
              <w:spacing w:line="247" w:lineRule="auto"/>
              <w:rPr>
                <w:rFonts w:ascii="Arial"/>
                <w:sz w:val="21"/>
              </w:rPr>
            </w:pPr>
          </w:p>
          <w:p w14:paraId="1E37C7D7">
            <w:pPr>
              <w:spacing w:line="247" w:lineRule="auto"/>
              <w:rPr>
                <w:rFonts w:ascii="Arial"/>
                <w:sz w:val="21"/>
              </w:rPr>
            </w:pPr>
          </w:p>
          <w:p w14:paraId="7649A0EF">
            <w:pPr>
              <w:spacing w:line="247" w:lineRule="auto"/>
              <w:rPr>
                <w:rFonts w:ascii="Arial"/>
                <w:sz w:val="21"/>
              </w:rPr>
            </w:pPr>
          </w:p>
          <w:p w14:paraId="53F07886">
            <w:pPr>
              <w:spacing w:line="247" w:lineRule="auto"/>
              <w:rPr>
                <w:rFonts w:ascii="Arial"/>
                <w:sz w:val="21"/>
              </w:rPr>
            </w:pPr>
          </w:p>
          <w:p w14:paraId="5E5D18CE">
            <w:pPr>
              <w:spacing w:line="247" w:lineRule="auto"/>
              <w:rPr>
                <w:rFonts w:ascii="Arial"/>
                <w:sz w:val="21"/>
              </w:rPr>
            </w:pPr>
          </w:p>
          <w:p w14:paraId="094D447F">
            <w:pPr>
              <w:spacing w:line="247" w:lineRule="auto"/>
              <w:rPr>
                <w:rFonts w:ascii="Arial"/>
                <w:sz w:val="21"/>
              </w:rPr>
            </w:pPr>
          </w:p>
          <w:p w14:paraId="6495C849">
            <w:pPr>
              <w:spacing w:line="248" w:lineRule="auto"/>
              <w:rPr>
                <w:rFonts w:ascii="Arial"/>
                <w:sz w:val="21"/>
              </w:rPr>
            </w:pPr>
          </w:p>
          <w:p w14:paraId="01B329A0">
            <w:pPr>
              <w:pStyle w:val="6"/>
              <w:spacing w:before="99" w:line="187" w:lineRule="auto"/>
              <w:ind w:left="115" w:right="111" w:firstLine="13"/>
              <w:jc w:val="both"/>
            </w:pPr>
            <w:r>
              <w:rPr>
                <w:spacing w:val="8"/>
              </w:rPr>
              <w:t>生产经营单</w:t>
            </w:r>
            <w:r>
              <w:rPr>
                <w:spacing w:val="11"/>
              </w:rPr>
              <w:t>位主要负责人和安全生产管理人员未按照规定经考核合格</w:t>
            </w:r>
            <w:r>
              <w:t>的</w:t>
            </w:r>
          </w:p>
        </w:tc>
        <w:tc>
          <w:tcPr>
            <w:tcW w:w="3202" w:type="dxa"/>
            <w:vMerge w:val="restart"/>
            <w:tcBorders>
              <w:bottom w:val="nil"/>
            </w:tcBorders>
            <w:vAlign w:val="top"/>
          </w:tcPr>
          <w:p w14:paraId="25BD344A">
            <w:pPr>
              <w:pStyle w:val="6"/>
              <w:spacing w:before="27" w:line="185" w:lineRule="auto"/>
              <w:ind w:left="116" w:right="111" w:hanging="18"/>
            </w:pPr>
            <w:r>
              <w:rPr>
                <w:spacing w:val="18"/>
              </w:rPr>
              <w:t>【法律】《中华人民共和国</w:t>
            </w:r>
            <w:r>
              <w:rPr>
                <w:spacing w:val="17"/>
              </w:rPr>
              <w:t>安全生产法》第二十七条第</w:t>
            </w:r>
            <w:r>
              <w:rPr>
                <w:spacing w:val="13"/>
              </w:rPr>
              <w:t>二款：危险物品的生产、经</w:t>
            </w:r>
            <w:r>
              <w:rPr>
                <w:spacing w:val="17"/>
              </w:rPr>
              <w:t>营、储存、装卸单位以及矿</w:t>
            </w:r>
            <w:r>
              <w:rPr>
                <w:spacing w:val="15"/>
              </w:rPr>
              <w:t>山、金属冶炼、建筑施工、</w:t>
            </w:r>
            <w:r>
              <w:rPr>
                <w:spacing w:val="17"/>
              </w:rPr>
              <w:t>运输单位的主要负责人和安</w:t>
            </w:r>
            <w:r>
              <w:rPr>
                <w:spacing w:val="13"/>
              </w:rPr>
              <w:t>全生产管理人员，应当由主</w:t>
            </w:r>
            <w:r>
              <w:rPr>
                <w:spacing w:val="17"/>
              </w:rPr>
              <w:t>管的负有安全生产监督管理职责的部门对其安全生产知识和管理能力考核合格。考</w:t>
            </w:r>
            <w:r>
              <w:rPr>
                <w:spacing w:val="1"/>
              </w:rPr>
              <w:t>核不得收费。</w:t>
            </w:r>
          </w:p>
        </w:tc>
        <w:tc>
          <w:tcPr>
            <w:tcW w:w="2859" w:type="dxa"/>
            <w:vMerge w:val="restart"/>
            <w:tcBorders>
              <w:bottom w:val="nil"/>
            </w:tcBorders>
            <w:vAlign w:val="top"/>
          </w:tcPr>
          <w:p w14:paraId="0989DAE7">
            <w:pPr>
              <w:pStyle w:val="6"/>
              <w:spacing w:before="27" w:line="184" w:lineRule="auto"/>
              <w:ind w:left="116" w:right="19" w:hanging="19"/>
            </w:pPr>
            <w:r>
              <w:rPr>
                <w:spacing w:val="10"/>
              </w:rPr>
              <w:t>【法律】《中华人民共和</w:t>
            </w:r>
            <w:r>
              <w:rPr>
                <w:spacing w:val="8"/>
              </w:rPr>
              <w:t>国安全生产法》第九十七条第二项：生产经营单位有下列行为之一的，责令限期改正，处十万元以下</w:t>
            </w:r>
            <w:r>
              <w:rPr>
                <w:spacing w:val="4"/>
              </w:rPr>
              <w:t>的罚款；逾期未改正的，</w:t>
            </w:r>
            <w:r>
              <w:rPr>
                <w:spacing w:val="8"/>
              </w:rPr>
              <w:t>责令停产停业整顿，并处十万元以上二十万元以下</w:t>
            </w:r>
            <w:r>
              <w:rPr>
                <w:spacing w:val="4"/>
              </w:rPr>
              <w:t>的罚款，对其直接负责的</w:t>
            </w:r>
            <w:r>
              <w:rPr>
                <w:spacing w:val="8"/>
              </w:rPr>
              <w:t>主管人员和其他直接责任人员处二万元以上五万元以下的罚款</w:t>
            </w:r>
            <w:r>
              <w:rPr>
                <w:spacing w:val="11"/>
              </w:rPr>
              <w:t>：（</w:t>
            </w:r>
            <w:r>
              <w:rPr>
                <w:spacing w:val="8"/>
              </w:rPr>
              <w:t>二）危险</w:t>
            </w:r>
            <w:r>
              <w:rPr>
                <w:spacing w:val="-4"/>
              </w:rPr>
              <w:t>物品的生产、经营、储存、</w:t>
            </w:r>
            <w:r>
              <w:rPr>
                <w:spacing w:val="8"/>
              </w:rPr>
              <w:t>装卸单位以及矿山、金属冶炼、建筑施工、运输单位的主要负责人和安全生产管理人员未按照规定经</w:t>
            </w:r>
            <w:r>
              <w:rPr>
                <w:spacing w:val="-1"/>
              </w:rPr>
              <w:t>考核合格的；</w:t>
            </w:r>
          </w:p>
        </w:tc>
        <w:tc>
          <w:tcPr>
            <w:tcW w:w="803" w:type="dxa"/>
            <w:vAlign w:val="top"/>
          </w:tcPr>
          <w:p w14:paraId="5BC1467C">
            <w:pPr>
              <w:spacing w:line="259" w:lineRule="auto"/>
              <w:rPr>
                <w:rFonts w:ascii="Arial"/>
                <w:sz w:val="21"/>
              </w:rPr>
            </w:pPr>
          </w:p>
          <w:p w14:paraId="43CD15C0">
            <w:pPr>
              <w:spacing w:line="260" w:lineRule="auto"/>
              <w:rPr>
                <w:rFonts w:ascii="Arial"/>
                <w:sz w:val="21"/>
              </w:rPr>
            </w:pPr>
          </w:p>
          <w:p w14:paraId="51F3DB85">
            <w:pPr>
              <w:spacing w:line="260" w:lineRule="auto"/>
              <w:rPr>
                <w:rFonts w:ascii="Arial"/>
                <w:sz w:val="21"/>
              </w:rPr>
            </w:pPr>
          </w:p>
          <w:p w14:paraId="6A2111B3">
            <w:pPr>
              <w:spacing w:line="260" w:lineRule="auto"/>
              <w:rPr>
                <w:rFonts w:ascii="Arial"/>
                <w:sz w:val="21"/>
              </w:rPr>
            </w:pPr>
          </w:p>
          <w:p w14:paraId="354790AD">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6A9BCBB">
            <w:pPr>
              <w:pStyle w:val="6"/>
              <w:spacing w:before="182" w:line="186" w:lineRule="auto"/>
              <w:ind w:left="117" w:right="109"/>
              <w:jc w:val="both"/>
            </w:pPr>
            <w:r>
              <w:rPr>
                <w:spacing w:val="-3"/>
              </w:rPr>
              <w:t>危险物品的生产、经营、储存、装卸单位</w:t>
            </w:r>
            <w:r>
              <w:rPr>
                <w:spacing w:val="26"/>
              </w:rPr>
              <w:t>以及矿山、金属冶</w:t>
            </w:r>
            <w:r>
              <w:rPr>
                <w:spacing w:val="-3"/>
              </w:rPr>
              <w:t>炼、建筑施工、运输单位，安全生产管理</w:t>
            </w:r>
            <w:r>
              <w:rPr>
                <w:spacing w:val="26"/>
              </w:rPr>
              <w:t>人员未按照规定经</w:t>
            </w:r>
            <w:r>
              <w:rPr>
                <w:spacing w:val="6"/>
              </w:rPr>
              <w:t>考核合格的</w:t>
            </w:r>
          </w:p>
        </w:tc>
        <w:tc>
          <w:tcPr>
            <w:tcW w:w="2894" w:type="dxa"/>
            <w:vAlign w:val="top"/>
          </w:tcPr>
          <w:p w14:paraId="2D81B26A">
            <w:pPr>
              <w:pStyle w:val="6"/>
              <w:spacing w:before="25" w:line="180" w:lineRule="auto"/>
              <w:ind w:left="126" w:right="103"/>
            </w:pPr>
            <w:r>
              <w:rPr>
                <w:spacing w:val="4"/>
              </w:rPr>
              <w:t>责令限期改正，处</w:t>
            </w:r>
            <w:r>
              <w:rPr>
                <w:rFonts w:ascii="宋体" w:hAnsi="宋体" w:eastAsia="宋体" w:cs="宋体"/>
                <w:spacing w:val="4"/>
              </w:rPr>
              <w:t>3</w:t>
            </w:r>
            <w:r>
              <w:rPr>
                <w:spacing w:val="4"/>
              </w:rPr>
              <w:t>万元</w:t>
            </w:r>
            <w:r>
              <w:rPr>
                <w:spacing w:val="8"/>
              </w:rPr>
              <w:t>以下的罚款；逾期未改正</w:t>
            </w:r>
            <w:r>
              <w:rPr>
                <w:spacing w:val="6"/>
              </w:rPr>
              <w:t>的，责令停产停业整顿，</w:t>
            </w:r>
            <w:r>
              <w:rPr>
                <w:spacing w:val="-2"/>
              </w:rPr>
              <w:t>并处</w:t>
            </w:r>
            <w:r>
              <w:rPr>
                <w:rFonts w:ascii="宋体" w:hAnsi="宋体" w:eastAsia="宋体" w:cs="宋体"/>
                <w:spacing w:val="-2"/>
              </w:rPr>
              <w:t>10</w:t>
            </w:r>
            <w:r>
              <w:rPr>
                <w:spacing w:val="-2"/>
              </w:rPr>
              <w:t>万元以上</w:t>
            </w:r>
            <w:r>
              <w:rPr>
                <w:rFonts w:ascii="宋体" w:hAnsi="宋体" w:eastAsia="宋体" w:cs="宋体"/>
                <w:spacing w:val="-2"/>
              </w:rPr>
              <w:t>13</w:t>
            </w:r>
            <w:r>
              <w:rPr>
                <w:spacing w:val="-2"/>
              </w:rPr>
              <w:t>万元</w:t>
            </w:r>
            <w:r>
              <w:rPr>
                <w:spacing w:val="7"/>
              </w:rPr>
              <w:t>以下的罚款，对其直接负</w:t>
            </w:r>
            <w:r>
              <w:rPr>
                <w:spacing w:val="11"/>
              </w:rPr>
              <w:t>责的主管人员和其他直接</w:t>
            </w:r>
            <w:r>
              <w:rPr>
                <w:spacing w:val="9"/>
              </w:rPr>
              <w:t>责任人员处</w:t>
            </w:r>
            <w:r>
              <w:rPr>
                <w:rFonts w:ascii="宋体" w:hAnsi="宋体" w:eastAsia="宋体" w:cs="宋体"/>
                <w:spacing w:val="9"/>
              </w:rPr>
              <w:t>2</w:t>
            </w:r>
            <w:r>
              <w:rPr>
                <w:spacing w:val="9"/>
              </w:rPr>
              <w:t>万元以上</w:t>
            </w:r>
            <w:r>
              <w:rPr>
                <w:rFonts w:ascii="宋体" w:hAnsi="宋体" w:eastAsia="宋体" w:cs="宋体"/>
                <w:spacing w:val="9"/>
              </w:rPr>
              <w:t>3</w:t>
            </w:r>
            <w:r>
              <w:rPr>
                <w:spacing w:val="6"/>
              </w:rPr>
              <w:t>万元以下的罚款</w:t>
            </w:r>
          </w:p>
        </w:tc>
        <w:tc>
          <w:tcPr>
            <w:tcW w:w="811" w:type="dxa"/>
            <w:vMerge w:val="restart"/>
            <w:tcBorders>
              <w:bottom w:val="nil"/>
            </w:tcBorders>
            <w:vAlign w:val="top"/>
          </w:tcPr>
          <w:p w14:paraId="564B78CE">
            <w:pPr>
              <w:spacing w:line="245" w:lineRule="auto"/>
              <w:rPr>
                <w:rFonts w:ascii="Arial"/>
                <w:sz w:val="21"/>
              </w:rPr>
            </w:pPr>
          </w:p>
          <w:p w14:paraId="6F79B72F">
            <w:pPr>
              <w:spacing w:line="245" w:lineRule="auto"/>
              <w:rPr>
                <w:rFonts w:ascii="Arial"/>
                <w:sz w:val="21"/>
              </w:rPr>
            </w:pPr>
          </w:p>
          <w:p w14:paraId="2B194032">
            <w:pPr>
              <w:spacing w:line="245" w:lineRule="auto"/>
              <w:rPr>
                <w:rFonts w:ascii="Arial"/>
                <w:sz w:val="21"/>
              </w:rPr>
            </w:pPr>
          </w:p>
          <w:p w14:paraId="298198CF">
            <w:pPr>
              <w:spacing w:line="245" w:lineRule="auto"/>
              <w:rPr>
                <w:rFonts w:ascii="Arial"/>
                <w:sz w:val="21"/>
              </w:rPr>
            </w:pPr>
          </w:p>
          <w:p w14:paraId="72348477">
            <w:pPr>
              <w:spacing w:line="245" w:lineRule="auto"/>
              <w:rPr>
                <w:rFonts w:ascii="Arial"/>
                <w:sz w:val="21"/>
              </w:rPr>
            </w:pPr>
          </w:p>
          <w:p w14:paraId="3537FEC4">
            <w:pPr>
              <w:spacing w:line="246" w:lineRule="auto"/>
              <w:rPr>
                <w:rFonts w:ascii="Arial"/>
                <w:sz w:val="21"/>
              </w:rPr>
            </w:pPr>
          </w:p>
          <w:p w14:paraId="61762A11">
            <w:pPr>
              <w:spacing w:line="246" w:lineRule="auto"/>
              <w:rPr>
                <w:rFonts w:ascii="Arial"/>
                <w:sz w:val="21"/>
              </w:rPr>
            </w:pPr>
          </w:p>
          <w:p w14:paraId="53F38BE4">
            <w:pPr>
              <w:spacing w:line="246" w:lineRule="auto"/>
              <w:rPr>
                <w:rFonts w:ascii="Arial"/>
                <w:sz w:val="21"/>
              </w:rPr>
            </w:pPr>
          </w:p>
          <w:p w14:paraId="22611020">
            <w:pPr>
              <w:spacing w:line="246" w:lineRule="auto"/>
              <w:rPr>
                <w:rFonts w:ascii="Arial"/>
                <w:sz w:val="21"/>
              </w:rPr>
            </w:pPr>
          </w:p>
          <w:p w14:paraId="3CCCE8D8">
            <w:pPr>
              <w:spacing w:line="246" w:lineRule="auto"/>
              <w:rPr>
                <w:rFonts w:ascii="Arial"/>
                <w:sz w:val="21"/>
              </w:rPr>
            </w:pPr>
          </w:p>
          <w:p w14:paraId="68D76F5F">
            <w:pPr>
              <w:spacing w:line="246" w:lineRule="auto"/>
              <w:rPr>
                <w:rFonts w:ascii="Arial"/>
                <w:sz w:val="21"/>
              </w:rPr>
            </w:pPr>
          </w:p>
          <w:p w14:paraId="57514D5E">
            <w:pPr>
              <w:spacing w:line="246" w:lineRule="auto"/>
              <w:rPr>
                <w:rFonts w:ascii="Arial"/>
                <w:sz w:val="21"/>
              </w:rPr>
            </w:pPr>
          </w:p>
          <w:p w14:paraId="2C24EAA4">
            <w:pPr>
              <w:spacing w:line="246" w:lineRule="auto"/>
              <w:rPr>
                <w:rFonts w:ascii="Arial"/>
                <w:sz w:val="21"/>
              </w:rPr>
            </w:pPr>
          </w:p>
          <w:p w14:paraId="55D6AEA4">
            <w:pPr>
              <w:spacing w:line="246" w:lineRule="auto"/>
              <w:rPr>
                <w:rFonts w:ascii="Arial"/>
                <w:sz w:val="21"/>
              </w:rPr>
            </w:pPr>
          </w:p>
          <w:p w14:paraId="617FAA1A">
            <w:pPr>
              <w:spacing w:before="75" w:line="188" w:lineRule="auto"/>
              <w:ind w:left="352"/>
              <w:rPr>
                <w:rFonts w:ascii="宋体" w:hAnsi="宋体" w:eastAsia="宋体" w:cs="宋体"/>
                <w:sz w:val="23"/>
                <w:szCs w:val="23"/>
              </w:rPr>
            </w:pPr>
            <w:r>
              <w:rPr>
                <w:rFonts w:ascii="宋体" w:hAnsi="宋体" w:eastAsia="宋体" w:cs="宋体"/>
                <w:sz w:val="23"/>
                <w:szCs w:val="23"/>
              </w:rPr>
              <w:t>8</w:t>
            </w:r>
          </w:p>
        </w:tc>
      </w:tr>
      <w:tr w14:paraId="69BD6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Merge w:val="continue"/>
            <w:tcBorders>
              <w:top w:val="nil"/>
              <w:bottom w:val="nil"/>
            </w:tcBorders>
            <w:vAlign w:val="top"/>
          </w:tcPr>
          <w:p w14:paraId="7F2E5C7D">
            <w:pPr>
              <w:rPr>
                <w:rFonts w:ascii="Arial"/>
                <w:sz w:val="21"/>
              </w:rPr>
            </w:pPr>
          </w:p>
        </w:tc>
        <w:tc>
          <w:tcPr>
            <w:tcW w:w="1440" w:type="dxa"/>
            <w:vMerge w:val="continue"/>
            <w:tcBorders>
              <w:top w:val="nil"/>
              <w:bottom w:val="nil"/>
            </w:tcBorders>
            <w:vAlign w:val="top"/>
          </w:tcPr>
          <w:p w14:paraId="14A97D3E">
            <w:pPr>
              <w:rPr>
                <w:rFonts w:ascii="Arial"/>
                <w:sz w:val="21"/>
              </w:rPr>
            </w:pPr>
          </w:p>
        </w:tc>
        <w:tc>
          <w:tcPr>
            <w:tcW w:w="3202" w:type="dxa"/>
            <w:vMerge w:val="continue"/>
            <w:tcBorders>
              <w:top w:val="nil"/>
              <w:bottom w:val="nil"/>
            </w:tcBorders>
            <w:vAlign w:val="top"/>
          </w:tcPr>
          <w:p w14:paraId="4F72FC2F">
            <w:pPr>
              <w:rPr>
                <w:rFonts w:ascii="Arial"/>
                <w:sz w:val="21"/>
              </w:rPr>
            </w:pPr>
          </w:p>
        </w:tc>
        <w:tc>
          <w:tcPr>
            <w:tcW w:w="2859" w:type="dxa"/>
            <w:vMerge w:val="continue"/>
            <w:tcBorders>
              <w:top w:val="nil"/>
              <w:bottom w:val="nil"/>
            </w:tcBorders>
            <w:vAlign w:val="top"/>
          </w:tcPr>
          <w:p w14:paraId="28CF21CE">
            <w:pPr>
              <w:rPr>
                <w:rFonts w:ascii="Arial"/>
                <w:sz w:val="21"/>
              </w:rPr>
            </w:pPr>
          </w:p>
        </w:tc>
        <w:tc>
          <w:tcPr>
            <w:tcW w:w="803" w:type="dxa"/>
            <w:vAlign w:val="top"/>
          </w:tcPr>
          <w:p w14:paraId="049C3B3A">
            <w:pPr>
              <w:spacing w:line="261" w:lineRule="auto"/>
              <w:rPr>
                <w:rFonts w:ascii="Arial"/>
                <w:sz w:val="21"/>
              </w:rPr>
            </w:pPr>
          </w:p>
          <w:p w14:paraId="2FB0F284">
            <w:pPr>
              <w:spacing w:line="262" w:lineRule="auto"/>
              <w:rPr>
                <w:rFonts w:ascii="Arial"/>
                <w:sz w:val="21"/>
              </w:rPr>
            </w:pPr>
          </w:p>
          <w:p w14:paraId="6BC9D79E">
            <w:pPr>
              <w:spacing w:line="262" w:lineRule="auto"/>
              <w:rPr>
                <w:rFonts w:ascii="Arial"/>
                <w:sz w:val="21"/>
              </w:rPr>
            </w:pPr>
          </w:p>
          <w:p w14:paraId="34FF3BED">
            <w:pPr>
              <w:spacing w:line="262" w:lineRule="auto"/>
              <w:rPr>
                <w:rFonts w:ascii="Arial"/>
                <w:sz w:val="21"/>
              </w:rPr>
            </w:pPr>
          </w:p>
          <w:p w14:paraId="41AF6D99">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B2955F0">
            <w:pPr>
              <w:pStyle w:val="6"/>
              <w:spacing w:before="184" w:line="186" w:lineRule="auto"/>
              <w:ind w:left="116" w:right="109"/>
              <w:jc w:val="both"/>
            </w:pPr>
            <w:r>
              <w:rPr>
                <w:spacing w:val="-3"/>
              </w:rPr>
              <w:t>危险物品的生产、经</w:t>
            </w:r>
            <w:r>
              <w:rPr>
                <w:spacing w:val="-2"/>
              </w:rPr>
              <w:t>营、储存、装卸单位</w:t>
            </w:r>
            <w:r>
              <w:rPr>
                <w:spacing w:val="26"/>
              </w:rPr>
              <w:t>以及矿山、金属冶</w:t>
            </w:r>
            <w:r>
              <w:rPr>
                <w:spacing w:val="-2"/>
              </w:rPr>
              <w:t>炼、建筑施工、运输单位，主要负责人未</w:t>
            </w:r>
            <w:r>
              <w:rPr>
                <w:spacing w:val="26"/>
              </w:rPr>
              <w:t>按照规定经考核合</w:t>
            </w:r>
            <w:r>
              <w:rPr>
                <w:spacing w:val="3"/>
              </w:rPr>
              <w:t>格的</w:t>
            </w:r>
          </w:p>
        </w:tc>
        <w:tc>
          <w:tcPr>
            <w:tcW w:w="2894" w:type="dxa"/>
            <w:vAlign w:val="top"/>
          </w:tcPr>
          <w:p w14:paraId="481EB1B2">
            <w:pPr>
              <w:pStyle w:val="6"/>
              <w:spacing w:before="26" w:line="180" w:lineRule="auto"/>
              <w:ind w:left="117" w:right="103" w:firstLine="10"/>
            </w:pPr>
            <w:r>
              <w:rPr>
                <w:spacing w:val="4"/>
              </w:rPr>
              <w:t>责令限期改正，处</w:t>
            </w:r>
            <w:r>
              <w:rPr>
                <w:rFonts w:ascii="宋体" w:hAnsi="宋体" w:eastAsia="宋体" w:cs="宋体"/>
                <w:spacing w:val="4"/>
              </w:rPr>
              <w:t>3</w:t>
            </w:r>
            <w:r>
              <w:rPr>
                <w:spacing w:val="4"/>
              </w:rPr>
              <w:t>万元</w:t>
            </w:r>
            <w:r>
              <w:rPr>
                <w:spacing w:val="3"/>
              </w:rPr>
              <w:t>以上</w:t>
            </w:r>
            <w:r>
              <w:rPr>
                <w:rFonts w:ascii="宋体" w:hAnsi="宋体" w:eastAsia="宋体" w:cs="宋体"/>
                <w:spacing w:val="3"/>
              </w:rPr>
              <w:t>7</w:t>
            </w:r>
            <w:r>
              <w:rPr>
                <w:spacing w:val="3"/>
              </w:rPr>
              <w:t>万元以下的罚款；</w:t>
            </w:r>
            <w:r>
              <w:rPr>
                <w:spacing w:val="8"/>
              </w:rPr>
              <w:t>逾期未改正的，责令停产</w:t>
            </w:r>
            <w:r>
              <w:rPr>
                <w:spacing w:val="-4"/>
              </w:rPr>
              <w:t>停业整顿，并处</w:t>
            </w:r>
            <w:r>
              <w:rPr>
                <w:rFonts w:ascii="宋体" w:hAnsi="宋体" w:eastAsia="宋体" w:cs="宋体"/>
                <w:spacing w:val="-4"/>
              </w:rPr>
              <w:t>13</w:t>
            </w:r>
            <w:r>
              <w:rPr>
                <w:spacing w:val="-4"/>
              </w:rPr>
              <w:t>万元以上</w:t>
            </w:r>
            <w:r>
              <w:rPr>
                <w:rFonts w:ascii="宋体" w:hAnsi="宋体" w:eastAsia="宋体" w:cs="宋体"/>
                <w:spacing w:val="-4"/>
              </w:rPr>
              <w:t>17</w:t>
            </w:r>
            <w:r>
              <w:rPr>
                <w:spacing w:val="-4"/>
              </w:rPr>
              <w:t>万元以下的罚款，对</w:t>
            </w:r>
            <w:r>
              <w:rPr>
                <w:spacing w:val="11"/>
              </w:rPr>
              <w:t>其直接负责的主管人员和</w:t>
            </w:r>
            <w:r>
              <w:rPr>
                <w:spacing w:val="8"/>
              </w:rPr>
              <w:t>其他直接责任人员处</w:t>
            </w:r>
            <w:r>
              <w:rPr>
                <w:rFonts w:ascii="宋体" w:hAnsi="宋体" w:eastAsia="宋体" w:cs="宋体"/>
                <w:spacing w:val="8"/>
              </w:rPr>
              <w:t>3</w:t>
            </w:r>
            <w:r>
              <w:rPr>
                <w:spacing w:val="8"/>
              </w:rPr>
              <w:t>万</w:t>
            </w:r>
            <w:r>
              <w:rPr>
                <w:spacing w:val="4"/>
              </w:rPr>
              <w:t>元以上</w:t>
            </w:r>
            <w:r>
              <w:rPr>
                <w:rFonts w:ascii="宋体" w:hAnsi="宋体" w:eastAsia="宋体" w:cs="宋体"/>
                <w:spacing w:val="4"/>
              </w:rPr>
              <w:t>4</w:t>
            </w:r>
            <w:r>
              <w:rPr>
                <w:spacing w:val="4"/>
              </w:rPr>
              <w:t>万元以下的罚款</w:t>
            </w:r>
          </w:p>
        </w:tc>
        <w:tc>
          <w:tcPr>
            <w:tcW w:w="811" w:type="dxa"/>
            <w:vMerge w:val="continue"/>
            <w:tcBorders>
              <w:top w:val="nil"/>
              <w:bottom w:val="nil"/>
            </w:tcBorders>
            <w:vAlign w:val="top"/>
          </w:tcPr>
          <w:p w14:paraId="7A11CBEF">
            <w:pPr>
              <w:rPr>
                <w:rFonts w:ascii="Arial"/>
                <w:sz w:val="21"/>
              </w:rPr>
            </w:pPr>
          </w:p>
        </w:tc>
      </w:tr>
      <w:tr w14:paraId="2E096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7" w:hRule="atLeast"/>
        </w:trPr>
        <w:tc>
          <w:tcPr>
            <w:tcW w:w="818" w:type="dxa"/>
            <w:vMerge w:val="continue"/>
            <w:tcBorders>
              <w:top w:val="nil"/>
            </w:tcBorders>
            <w:vAlign w:val="top"/>
          </w:tcPr>
          <w:p w14:paraId="30BF1C40">
            <w:pPr>
              <w:rPr>
                <w:rFonts w:ascii="Arial"/>
                <w:sz w:val="21"/>
              </w:rPr>
            </w:pPr>
          </w:p>
        </w:tc>
        <w:tc>
          <w:tcPr>
            <w:tcW w:w="1440" w:type="dxa"/>
            <w:vMerge w:val="continue"/>
            <w:tcBorders>
              <w:top w:val="nil"/>
            </w:tcBorders>
            <w:vAlign w:val="top"/>
          </w:tcPr>
          <w:p w14:paraId="5D6C459C">
            <w:pPr>
              <w:rPr>
                <w:rFonts w:ascii="Arial"/>
                <w:sz w:val="21"/>
              </w:rPr>
            </w:pPr>
          </w:p>
        </w:tc>
        <w:tc>
          <w:tcPr>
            <w:tcW w:w="3202" w:type="dxa"/>
            <w:vMerge w:val="continue"/>
            <w:tcBorders>
              <w:top w:val="nil"/>
            </w:tcBorders>
            <w:vAlign w:val="top"/>
          </w:tcPr>
          <w:p w14:paraId="6DCBC4EE">
            <w:pPr>
              <w:rPr>
                <w:rFonts w:ascii="Arial"/>
                <w:sz w:val="21"/>
              </w:rPr>
            </w:pPr>
          </w:p>
        </w:tc>
        <w:tc>
          <w:tcPr>
            <w:tcW w:w="2859" w:type="dxa"/>
            <w:vMerge w:val="continue"/>
            <w:tcBorders>
              <w:top w:val="nil"/>
            </w:tcBorders>
            <w:vAlign w:val="top"/>
          </w:tcPr>
          <w:p w14:paraId="32D50AEB">
            <w:pPr>
              <w:rPr>
                <w:rFonts w:ascii="Arial"/>
                <w:sz w:val="21"/>
              </w:rPr>
            </w:pPr>
          </w:p>
        </w:tc>
        <w:tc>
          <w:tcPr>
            <w:tcW w:w="803" w:type="dxa"/>
            <w:vAlign w:val="top"/>
          </w:tcPr>
          <w:p w14:paraId="154495C8">
            <w:pPr>
              <w:spacing w:line="261" w:lineRule="auto"/>
              <w:rPr>
                <w:rFonts w:ascii="Arial"/>
                <w:sz w:val="21"/>
              </w:rPr>
            </w:pPr>
          </w:p>
          <w:p w14:paraId="5F28DF48">
            <w:pPr>
              <w:spacing w:line="261" w:lineRule="auto"/>
              <w:rPr>
                <w:rFonts w:ascii="Arial"/>
                <w:sz w:val="21"/>
              </w:rPr>
            </w:pPr>
          </w:p>
          <w:p w14:paraId="4843315B">
            <w:pPr>
              <w:spacing w:line="262" w:lineRule="auto"/>
              <w:rPr>
                <w:rFonts w:ascii="Arial"/>
                <w:sz w:val="21"/>
              </w:rPr>
            </w:pPr>
          </w:p>
          <w:p w14:paraId="22076BB9">
            <w:pPr>
              <w:spacing w:line="262" w:lineRule="auto"/>
              <w:rPr>
                <w:rFonts w:ascii="Arial"/>
                <w:sz w:val="21"/>
              </w:rPr>
            </w:pPr>
          </w:p>
          <w:p w14:paraId="28D71F41">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EBF81B2">
            <w:pPr>
              <w:pStyle w:val="6"/>
              <w:spacing w:before="29" w:line="180" w:lineRule="auto"/>
              <w:ind w:left="117" w:right="109"/>
              <w:jc w:val="both"/>
            </w:pPr>
            <w:r>
              <w:rPr>
                <w:spacing w:val="-3"/>
              </w:rPr>
              <w:t>危险物品的生产、经营、储存、装卸单位</w:t>
            </w:r>
            <w:r>
              <w:rPr>
                <w:spacing w:val="26"/>
              </w:rPr>
              <w:t>以及矿山、金属冶</w:t>
            </w:r>
            <w:r>
              <w:rPr>
                <w:spacing w:val="-3"/>
              </w:rPr>
              <w:t>炼、建筑施工、运输单位，主要负责人和</w:t>
            </w:r>
            <w:r>
              <w:rPr>
                <w:spacing w:val="26"/>
              </w:rPr>
              <w:t>安全生产管理人员均未按照规定经考</w:t>
            </w:r>
            <w:r>
              <w:rPr>
                <w:spacing w:val="5"/>
              </w:rPr>
              <w:t>核合格的</w:t>
            </w:r>
          </w:p>
        </w:tc>
        <w:tc>
          <w:tcPr>
            <w:tcW w:w="2894" w:type="dxa"/>
            <w:vAlign w:val="top"/>
          </w:tcPr>
          <w:p w14:paraId="551FA8BF">
            <w:pPr>
              <w:pStyle w:val="6"/>
              <w:spacing w:before="29" w:line="180" w:lineRule="auto"/>
              <w:ind w:left="117" w:right="71" w:firstLine="10"/>
              <w:jc w:val="both"/>
            </w:pPr>
            <w:r>
              <w:rPr>
                <w:spacing w:val="4"/>
              </w:rPr>
              <w:t>责令限期改正，处</w:t>
            </w:r>
            <w:r>
              <w:rPr>
                <w:rFonts w:ascii="宋体" w:hAnsi="宋体" w:eastAsia="宋体" w:cs="宋体"/>
                <w:spacing w:val="4"/>
              </w:rPr>
              <w:t>7</w:t>
            </w:r>
            <w:r>
              <w:rPr>
                <w:spacing w:val="4"/>
              </w:rPr>
              <w:t>万元</w:t>
            </w:r>
            <w:r>
              <w:rPr>
                <w:spacing w:val="-1"/>
              </w:rPr>
              <w:t>以上</w:t>
            </w:r>
            <w:r>
              <w:rPr>
                <w:rFonts w:ascii="宋体" w:hAnsi="宋体" w:eastAsia="宋体" w:cs="宋体"/>
                <w:spacing w:val="-1"/>
              </w:rPr>
              <w:t>10</w:t>
            </w:r>
            <w:r>
              <w:rPr>
                <w:spacing w:val="-1"/>
              </w:rPr>
              <w:t>万元以下的罚款；</w:t>
            </w:r>
            <w:r>
              <w:rPr>
                <w:spacing w:val="8"/>
              </w:rPr>
              <w:t>逾期未改正的，责令停产</w:t>
            </w:r>
            <w:r>
              <w:rPr>
                <w:spacing w:val="-4"/>
              </w:rPr>
              <w:t>停业整顿，并处</w:t>
            </w:r>
            <w:r>
              <w:rPr>
                <w:rFonts w:ascii="宋体" w:hAnsi="宋体" w:eastAsia="宋体" w:cs="宋体"/>
                <w:spacing w:val="-4"/>
              </w:rPr>
              <w:t>17</w:t>
            </w:r>
            <w:r>
              <w:rPr>
                <w:spacing w:val="-4"/>
              </w:rPr>
              <w:t>万元以</w:t>
            </w:r>
            <w:r>
              <w:rPr>
                <w:spacing w:val="-2"/>
              </w:rPr>
              <w:t>上</w:t>
            </w:r>
            <w:r>
              <w:rPr>
                <w:rFonts w:ascii="宋体" w:hAnsi="宋体" w:eastAsia="宋体" w:cs="宋体"/>
                <w:spacing w:val="-2"/>
              </w:rPr>
              <w:t>20</w:t>
            </w:r>
            <w:r>
              <w:rPr>
                <w:spacing w:val="-2"/>
              </w:rPr>
              <w:t>万元以下的罚款，对</w:t>
            </w:r>
            <w:r>
              <w:rPr>
                <w:spacing w:val="11"/>
              </w:rPr>
              <w:t>其直接负责的主管人员和</w:t>
            </w:r>
            <w:r>
              <w:rPr>
                <w:spacing w:val="8"/>
              </w:rPr>
              <w:t>其他直接责任人员处</w:t>
            </w:r>
            <w:r>
              <w:rPr>
                <w:rFonts w:ascii="宋体" w:hAnsi="宋体" w:eastAsia="宋体" w:cs="宋体"/>
                <w:spacing w:val="8"/>
              </w:rPr>
              <w:t>4</w:t>
            </w:r>
            <w:r>
              <w:rPr>
                <w:spacing w:val="8"/>
              </w:rPr>
              <w:t>万</w:t>
            </w:r>
            <w:r>
              <w:rPr>
                <w:spacing w:val="4"/>
              </w:rPr>
              <w:t>元以上</w:t>
            </w:r>
            <w:r>
              <w:rPr>
                <w:rFonts w:ascii="宋体" w:hAnsi="宋体" w:eastAsia="宋体" w:cs="宋体"/>
                <w:spacing w:val="4"/>
              </w:rPr>
              <w:t>5</w:t>
            </w:r>
            <w:r>
              <w:rPr>
                <w:spacing w:val="4"/>
              </w:rPr>
              <w:t>万元以下的罚款</w:t>
            </w:r>
          </w:p>
        </w:tc>
        <w:tc>
          <w:tcPr>
            <w:tcW w:w="811" w:type="dxa"/>
            <w:vMerge w:val="continue"/>
            <w:tcBorders>
              <w:top w:val="nil"/>
            </w:tcBorders>
            <w:vAlign w:val="top"/>
          </w:tcPr>
          <w:p w14:paraId="06CBB785">
            <w:pPr>
              <w:rPr>
                <w:rFonts w:ascii="Arial"/>
                <w:sz w:val="21"/>
              </w:rPr>
            </w:pPr>
          </w:p>
        </w:tc>
      </w:tr>
    </w:tbl>
    <w:p w14:paraId="6BD6A467">
      <w:pPr>
        <w:pStyle w:val="2"/>
      </w:pPr>
    </w:p>
    <w:p w14:paraId="7F355872">
      <w:pPr>
        <w:sectPr>
          <w:footerReference r:id="rId33" w:type="default"/>
          <w:pgSz w:w="16839" w:h="11906"/>
          <w:pgMar w:top="1012" w:right="821" w:bottom="666" w:left="901" w:header="0" w:footer="388" w:gutter="0"/>
          <w:cols w:space="720" w:num="1"/>
        </w:sectPr>
      </w:pPr>
    </w:p>
    <w:p w14:paraId="74AA1C7C">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FE32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4983510">
            <w:pPr>
              <w:spacing w:before="222" w:line="241" w:lineRule="auto"/>
              <w:ind w:left="131"/>
              <w:rPr>
                <w:rFonts w:ascii="黑体" w:hAnsi="黑体" w:eastAsia="黑体" w:cs="黑体"/>
                <w:sz w:val="28"/>
                <w:szCs w:val="28"/>
              </w:rPr>
            </w:pPr>
            <w:bookmarkStart w:id="380" w:name="bookmark483"/>
            <w:bookmarkEnd w:id="380"/>
            <w:bookmarkStart w:id="381" w:name="bookmark36"/>
            <w:bookmarkEnd w:id="381"/>
            <w:r>
              <w:rPr>
                <w:rFonts w:ascii="黑体" w:hAnsi="黑体" w:eastAsia="黑体" w:cs="黑体"/>
                <w:spacing w:val="-2"/>
                <w:sz w:val="28"/>
                <w:szCs w:val="28"/>
              </w:rPr>
              <w:t>序号</w:t>
            </w:r>
          </w:p>
        </w:tc>
        <w:tc>
          <w:tcPr>
            <w:tcW w:w="1440" w:type="dxa"/>
            <w:vAlign w:val="top"/>
          </w:tcPr>
          <w:p w14:paraId="63A850A1">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E7CE6B6">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240A189">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E0AC044">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7C5ED8D">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37B9C190">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BAE3D92">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3BBD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8" w:hRule="atLeast"/>
        </w:trPr>
        <w:tc>
          <w:tcPr>
            <w:tcW w:w="818" w:type="dxa"/>
            <w:vMerge w:val="restart"/>
            <w:tcBorders>
              <w:bottom w:val="nil"/>
            </w:tcBorders>
            <w:vAlign w:val="top"/>
          </w:tcPr>
          <w:p w14:paraId="5A6C023E">
            <w:pPr>
              <w:rPr>
                <w:rFonts w:ascii="Arial"/>
                <w:sz w:val="21"/>
              </w:rPr>
            </w:pPr>
          </w:p>
          <w:p w14:paraId="34890968">
            <w:pPr>
              <w:rPr>
                <w:rFonts w:ascii="Arial"/>
                <w:sz w:val="21"/>
              </w:rPr>
            </w:pPr>
          </w:p>
          <w:p w14:paraId="6DBE98E1">
            <w:pPr>
              <w:rPr>
                <w:rFonts w:ascii="Arial"/>
                <w:sz w:val="21"/>
              </w:rPr>
            </w:pPr>
          </w:p>
          <w:p w14:paraId="3D143AAF">
            <w:pPr>
              <w:rPr>
                <w:rFonts w:ascii="Arial"/>
                <w:sz w:val="21"/>
              </w:rPr>
            </w:pPr>
          </w:p>
          <w:p w14:paraId="107E12BA">
            <w:pPr>
              <w:rPr>
                <w:rFonts w:ascii="Arial"/>
                <w:sz w:val="21"/>
              </w:rPr>
            </w:pPr>
          </w:p>
          <w:p w14:paraId="720154D9">
            <w:pPr>
              <w:rPr>
                <w:rFonts w:ascii="Arial"/>
                <w:sz w:val="21"/>
              </w:rPr>
            </w:pPr>
          </w:p>
          <w:p w14:paraId="351CED10">
            <w:pPr>
              <w:rPr>
                <w:rFonts w:ascii="Arial"/>
                <w:sz w:val="21"/>
              </w:rPr>
            </w:pPr>
          </w:p>
          <w:p w14:paraId="0235CA68">
            <w:pPr>
              <w:rPr>
                <w:rFonts w:ascii="Arial"/>
                <w:sz w:val="21"/>
              </w:rPr>
            </w:pPr>
          </w:p>
          <w:p w14:paraId="65EEA634">
            <w:pPr>
              <w:rPr>
                <w:rFonts w:ascii="Arial"/>
                <w:sz w:val="21"/>
              </w:rPr>
            </w:pPr>
          </w:p>
          <w:p w14:paraId="58551E59">
            <w:pPr>
              <w:rPr>
                <w:rFonts w:ascii="Arial"/>
                <w:sz w:val="21"/>
              </w:rPr>
            </w:pPr>
          </w:p>
          <w:p w14:paraId="02D55585">
            <w:pPr>
              <w:rPr>
                <w:rFonts w:ascii="Arial"/>
                <w:sz w:val="21"/>
              </w:rPr>
            </w:pPr>
          </w:p>
          <w:p w14:paraId="18855FFA">
            <w:pPr>
              <w:rPr>
                <w:rFonts w:ascii="Arial"/>
                <w:sz w:val="21"/>
              </w:rPr>
            </w:pPr>
          </w:p>
          <w:p w14:paraId="6036FBC2">
            <w:pPr>
              <w:rPr>
                <w:rFonts w:ascii="Arial"/>
                <w:sz w:val="21"/>
              </w:rPr>
            </w:pPr>
          </w:p>
          <w:p w14:paraId="46A6DACE">
            <w:pPr>
              <w:rPr>
                <w:rFonts w:ascii="Arial"/>
                <w:sz w:val="21"/>
              </w:rPr>
            </w:pPr>
          </w:p>
          <w:p w14:paraId="61C1D5A4">
            <w:pPr>
              <w:rPr>
                <w:rFonts w:ascii="Arial"/>
                <w:sz w:val="21"/>
              </w:rPr>
            </w:pPr>
          </w:p>
          <w:p w14:paraId="1AEBF02E">
            <w:pPr>
              <w:spacing w:line="241" w:lineRule="auto"/>
              <w:rPr>
                <w:rFonts w:ascii="Arial"/>
                <w:sz w:val="21"/>
              </w:rPr>
            </w:pPr>
          </w:p>
          <w:p w14:paraId="7CEA9EF9">
            <w:pPr>
              <w:spacing w:line="241" w:lineRule="auto"/>
              <w:rPr>
                <w:rFonts w:ascii="Arial"/>
                <w:sz w:val="21"/>
              </w:rPr>
            </w:pPr>
          </w:p>
          <w:p w14:paraId="5842D7C6">
            <w:pPr>
              <w:spacing w:line="241" w:lineRule="auto"/>
              <w:rPr>
                <w:rFonts w:ascii="Arial"/>
                <w:sz w:val="21"/>
              </w:rPr>
            </w:pPr>
          </w:p>
          <w:p w14:paraId="097BD66B">
            <w:pPr>
              <w:spacing w:before="75" w:line="186" w:lineRule="auto"/>
              <w:ind w:left="252"/>
              <w:rPr>
                <w:rFonts w:ascii="仿宋" w:hAnsi="仿宋" w:eastAsia="仿宋" w:cs="仿宋"/>
                <w:sz w:val="23"/>
                <w:szCs w:val="23"/>
              </w:rPr>
            </w:pPr>
            <w:r>
              <w:rPr>
                <w:rFonts w:ascii="仿宋" w:hAnsi="仿宋" w:eastAsia="仿宋" w:cs="仿宋"/>
                <w:spacing w:val="-10"/>
                <w:sz w:val="23"/>
                <w:szCs w:val="23"/>
              </w:rPr>
              <w:t>16</w:t>
            </w:r>
          </w:p>
        </w:tc>
        <w:tc>
          <w:tcPr>
            <w:tcW w:w="1440" w:type="dxa"/>
            <w:vMerge w:val="restart"/>
            <w:tcBorders>
              <w:bottom w:val="nil"/>
            </w:tcBorders>
            <w:vAlign w:val="top"/>
          </w:tcPr>
          <w:p w14:paraId="11C6C3B3">
            <w:pPr>
              <w:spacing w:line="245" w:lineRule="auto"/>
              <w:rPr>
                <w:rFonts w:ascii="Arial"/>
                <w:sz w:val="21"/>
              </w:rPr>
            </w:pPr>
          </w:p>
          <w:p w14:paraId="07D8CD23">
            <w:pPr>
              <w:spacing w:line="246" w:lineRule="auto"/>
              <w:rPr>
                <w:rFonts w:ascii="Arial"/>
                <w:sz w:val="21"/>
              </w:rPr>
            </w:pPr>
          </w:p>
          <w:p w14:paraId="737D7B59">
            <w:pPr>
              <w:spacing w:line="246" w:lineRule="auto"/>
              <w:rPr>
                <w:rFonts w:ascii="Arial"/>
                <w:sz w:val="21"/>
              </w:rPr>
            </w:pPr>
          </w:p>
          <w:p w14:paraId="06633933">
            <w:pPr>
              <w:spacing w:line="246" w:lineRule="auto"/>
              <w:rPr>
                <w:rFonts w:ascii="Arial"/>
                <w:sz w:val="21"/>
              </w:rPr>
            </w:pPr>
          </w:p>
          <w:p w14:paraId="56DBEF8A">
            <w:pPr>
              <w:spacing w:line="246" w:lineRule="auto"/>
              <w:rPr>
                <w:rFonts w:ascii="Arial"/>
                <w:sz w:val="21"/>
              </w:rPr>
            </w:pPr>
          </w:p>
          <w:p w14:paraId="610AC591">
            <w:pPr>
              <w:spacing w:line="246" w:lineRule="auto"/>
              <w:rPr>
                <w:rFonts w:ascii="Arial"/>
                <w:sz w:val="21"/>
              </w:rPr>
            </w:pPr>
          </w:p>
          <w:p w14:paraId="10B116A6">
            <w:pPr>
              <w:spacing w:line="246" w:lineRule="auto"/>
              <w:rPr>
                <w:rFonts w:ascii="Arial"/>
                <w:sz w:val="21"/>
              </w:rPr>
            </w:pPr>
          </w:p>
          <w:p w14:paraId="52E695BF">
            <w:pPr>
              <w:spacing w:line="246" w:lineRule="auto"/>
              <w:rPr>
                <w:rFonts w:ascii="Arial"/>
                <w:sz w:val="21"/>
              </w:rPr>
            </w:pPr>
          </w:p>
          <w:p w14:paraId="2B292E35">
            <w:pPr>
              <w:spacing w:line="246" w:lineRule="auto"/>
              <w:rPr>
                <w:rFonts w:ascii="Arial"/>
                <w:sz w:val="21"/>
              </w:rPr>
            </w:pPr>
          </w:p>
          <w:p w14:paraId="48F5202D">
            <w:pPr>
              <w:spacing w:line="246" w:lineRule="auto"/>
              <w:rPr>
                <w:rFonts w:ascii="Arial"/>
                <w:sz w:val="21"/>
              </w:rPr>
            </w:pPr>
          </w:p>
          <w:p w14:paraId="03500E90">
            <w:pPr>
              <w:pStyle w:val="6"/>
              <w:spacing w:before="98" w:line="185" w:lineRule="auto"/>
              <w:ind w:left="115" w:right="111" w:firstLine="13"/>
            </w:pPr>
            <w:r>
              <w:rPr>
                <w:spacing w:val="8"/>
              </w:rPr>
              <w:t>生产经营单</w:t>
            </w:r>
            <w:r>
              <w:rPr>
                <w:spacing w:val="11"/>
              </w:rPr>
              <w:t>位未按规定</w:t>
            </w:r>
            <w:r>
              <w:rPr>
                <w:spacing w:val="-5"/>
                <w:w w:val="98"/>
              </w:rPr>
              <w:t>对从业人</w:t>
            </w:r>
            <w:r>
              <w:rPr>
                <w:spacing w:val="11"/>
              </w:rPr>
              <w:t>员、被派遣劳动者、实习学生进行安全生产教</w:t>
            </w:r>
            <w:r>
              <w:rPr>
                <w:spacing w:val="2"/>
              </w:rPr>
              <w:t>育和培训，</w:t>
            </w:r>
            <w:r>
              <w:rPr>
                <w:spacing w:val="11"/>
              </w:rPr>
              <w:t>或者未按照规定如实告知有关的安全生产事项</w:t>
            </w:r>
            <w:r>
              <w:t>的</w:t>
            </w:r>
          </w:p>
        </w:tc>
        <w:tc>
          <w:tcPr>
            <w:tcW w:w="3202" w:type="dxa"/>
            <w:vMerge w:val="restart"/>
            <w:tcBorders>
              <w:bottom w:val="nil"/>
            </w:tcBorders>
            <w:vAlign w:val="top"/>
          </w:tcPr>
          <w:p w14:paraId="6AEBE317">
            <w:pPr>
              <w:pStyle w:val="6"/>
              <w:spacing w:before="38" w:line="182" w:lineRule="auto"/>
              <w:ind w:left="115" w:right="40" w:firstLine="15"/>
            </w:pPr>
            <w:r>
              <w:rPr>
                <w:rFonts w:ascii="宋体" w:hAnsi="宋体" w:eastAsia="宋体" w:cs="宋体"/>
                <w:spacing w:val="14"/>
              </w:rPr>
              <w:t>1.</w:t>
            </w:r>
            <w:r>
              <w:rPr>
                <w:spacing w:val="14"/>
              </w:rPr>
              <w:t>【法律】《中华人民共和</w:t>
            </w:r>
            <w:r>
              <w:rPr>
                <w:spacing w:val="17"/>
              </w:rPr>
              <w:t>国安全生产法》第二十八条</w:t>
            </w:r>
            <w:r>
              <w:rPr>
                <w:spacing w:val="12"/>
              </w:rPr>
              <w:t>第一款至第三款：生产经营</w:t>
            </w:r>
            <w:r>
              <w:rPr>
                <w:spacing w:val="17"/>
              </w:rPr>
              <w:t>单位应当对从业人员进行安</w:t>
            </w:r>
            <w:r>
              <w:rPr>
                <w:spacing w:val="14"/>
              </w:rPr>
              <w:t>全生产教育和培训，保证从</w:t>
            </w:r>
            <w:r>
              <w:rPr>
                <w:spacing w:val="17"/>
              </w:rPr>
              <w:t>业人员具备必要的安全生产</w:t>
            </w:r>
            <w:r>
              <w:rPr>
                <w:spacing w:val="12"/>
              </w:rPr>
              <w:t>知识，熟悉有关的安全生产</w:t>
            </w:r>
            <w:r>
              <w:rPr>
                <w:spacing w:val="13"/>
              </w:rPr>
              <w:t>规章制度和安全操作规程，</w:t>
            </w:r>
            <w:r>
              <w:rPr>
                <w:spacing w:val="40"/>
              </w:rPr>
              <w:t>掌握本岗位的安全操作技</w:t>
            </w:r>
            <w:r>
              <w:t>能，了解事故应急处理措施，</w:t>
            </w:r>
            <w:r>
              <w:rPr>
                <w:spacing w:val="17"/>
              </w:rPr>
              <w:t>知悉自身在安全生产方面的权利和义务。未经安全生产</w:t>
            </w:r>
            <w:r>
              <w:rPr>
                <w:spacing w:val="40"/>
              </w:rPr>
              <w:t>教育和培训合格的从业人</w:t>
            </w:r>
            <w:r>
              <w:rPr>
                <w:spacing w:val="4"/>
              </w:rPr>
              <w:t>员，不得上岗作业。</w:t>
            </w:r>
          </w:p>
          <w:p w14:paraId="7A23A9BE">
            <w:pPr>
              <w:pStyle w:val="6"/>
              <w:spacing w:before="6" w:line="182" w:lineRule="auto"/>
              <w:ind w:left="118" w:right="111" w:firstLine="12"/>
              <w:jc w:val="both"/>
            </w:pPr>
            <w:r>
              <w:rPr>
                <w:spacing w:val="16"/>
              </w:rPr>
              <w:t>生产经营单位使用被派遣劳</w:t>
            </w:r>
            <w:r>
              <w:rPr>
                <w:spacing w:val="13"/>
              </w:rPr>
              <w:t>动者的，应当将被派遣劳动</w:t>
            </w:r>
            <w:r>
              <w:rPr>
                <w:spacing w:val="14"/>
              </w:rPr>
              <w:t>者纳入本单位从业人员统一</w:t>
            </w:r>
            <w:r>
              <w:rPr>
                <w:spacing w:val="13"/>
              </w:rPr>
              <w:t>管理，对被派遣劳动者进行</w:t>
            </w:r>
            <w:r>
              <w:rPr>
                <w:spacing w:val="17"/>
              </w:rPr>
              <w:t>岗位安全操作规程和安全操作技能的教育和培训。劳务派遣单位应当对被派遣劳动者进行必要的安全生产教育</w:t>
            </w:r>
            <w:r>
              <w:rPr>
                <w:spacing w:val="-2"/>
              </w:rPr>
              <w:t>和培训。</w:t>
            </w:r>
          </w:p>
          <w:p w14:paraId="25599CEA">
            <w:pPr>
              <w:pStyle w:val="6"/>
              <w:spacing w:before="4" w:line="179" w:lineRule="auto"/>
              <w:ind w:left="123" w:right="40" w:firstLine="8"/>
              <w:jc w:val="both"/>
            </w:pPr>
            <w:r>
              <w:rPr>
                <w:spacing w:val="16"/>
              </w:rPr>
              <w:t>生产经营单位接收中等职业</w:t>
            </w:r>
            <w:r>
              <w:rPr>
                <w:spacing w:val="3"/>
              </w:rPr>
              <w:t>学校、高等学校学生实习的，</w:t>
            </w:r>
            <w:r>
              <w:rPr>
                <w:spacing w:val="16"/>
              </w:rPr>
              <w:t>应当对实习学生进行相应的</w:t>
            </w:r>
            <w:r>
              <w:rPr>
                <w:spacing w:val="13"/>
              </w:rPr>
              <w:t>安全生产教育和培训，提供</w:t>
            </w:r>
            <w:r>
              <w:rPr>
                <w:spacing w:val="16"/>
              </w:rPr>
              <w:t>必要的劳动防护用品。学校应当协助生产经营单位对实习学生进行安全生产教育和</w:t>
            </w:r>
          </w:p>
        </w:tc>
        <w:tc>
          <w:tcPr>
            <w:tcW w:w="2859" w:type="dxa"/>
            <w:vMerge w:val="restart"/>
            <w:tcBorders>
              <w:bottom w:val="nil"/>
            </w:tcBorders>
            <w:vAlign w:val="top"/>
          </w:tcPr>
          <w:p w14:paraId="0E40DA58">
            <w:pPr>
              <w:pStyle w:val="6"/>
              <w:spacing w:before="40" w:line="182" w:lineRule="auto"/>
              <w:ind w:left="115" w:right="38" w:firstLine="15"/>
            </w:pPr>
            <w:r>
              <w:rPr>
                <w:rFonts w:ascii="宋体" w:hAnsi="宋体" w:eastAsia="宋体" w:cs="宋体"/>
                <w:spacing w:val="6"/>
              </w:rPr>
              <w:t>1.</w:t>
            </w:r>
            <w:r>
              <w:rPr>
                <w:spacing w:val="6"/>
              </w:rPr>
              <w:t>【法律】《中华人民共</w:t>
            </w:r>
            <w:r>
              <w:rPr>
                <w:spacing w:val="8"/>
              </w:rPr>
              <w:t>和国安全生产法》第九十七条第三项：生产经营单</w:t>
            </w:r>
            <w:r>
              <w:rPr>
                <w:spacing w:val="4"/>
              </w:rPr>
              <w:t>位有下列行为之一的，责</w:t>
            </w:r>
            <w:r>
              <w:rPr>
                <w:spacing w:val="8"/>
              </w:rPr>
              <w:t>令限期改正，处十万元以</w:t>
            </w:r>
            <w:r>
              <w:rPr>
                <w:spacing w:val="-5"/>
              </w:rPr>
              <w:t>下的罚款；逾期未改正的，</w:t>
            </w:r>
            <w:r>
              <w:rPr>
                <w:spacing w:val="8"/>
              </w:rPr>
              <w:t>责令停产停业整顿，并处十万元以上二十万元以下</w:t>
            </w:r>
            <w:r>
              <w:rPr>
                <w:spacing w:val="4"/>
              </w:rPr>
              <w:t>的罚款，对其直接负责的</w:t>
            </w:r>
            <w:r>
              <w:rPr>
                <w:spacing w:val="8"/>
              </w:rPr>
              <w:t>主管人员和其他直接责任人员处二万元以上五万元以下的罚款</w:t>
            </w:r>
            <w:r>
              <w:rPr>
                <w:spacing w:val="12"/>
              </w:rPr>
              <w:t>：（</w:t>
            </w:r>
            <w:r>
              <w:rPr>
                <w:spacing w:val="8"/>
              </w:rPr>
              <w:t>三）未按照规定对从业人员、被派遣劳动者、实习学生进行</w:t>
            </w:r>
            <w:r>
              <w:rPr>
                <w:spacing w:val="2"/>
              </w:rPr>
              <w:t>安全生产教育和培训，或</w:t>
            </w:r>
            <w:r>
              <w:rPr>
                <w:spacing w:val="8"/>
              </w:rPr>
              <w:t>者未按照规定如实告知有</w:t>
            </w:r>
            <w:r>
              <w:rPr>
                <w:spacing w:val="3"/>
              </w:rPr>
              <w:t>关的安全生产事项的；</w:t>
            </w:r>
          </w:p>
          <w:p w14:paraId="57274887">
            <w:pPr>
              <w:pStyle w:val="6"/>
              <w:spacing w:before="17" w:line="180" w:lineRule="auto"/>
              <w:ind w:left="116" w:right="107"/>
            </w:pPr>
            <w:r>
              <w:rPr>
                <w:rFonts w:ascii="宋体" w:hAnsi="宋体" w:eastAsia="宋体" w:cs="宋体"/>
                <w:spacing w:val="7"/>
              </w:rPr>
              <w:t>2.</w:t>
            </w:r>
            <w:r>
              <w:rPr>
                <w:spacing w:val="7"/>
              </w:rPr>
              <w:t>【部门规章】《工贸企</w:t>
            </w:r>
            <w:r>
              <w:rPr>
                <w:spacing w:val="8"/>
              </w:rPr>
              <w:t>业粉尘防爆安全规定》第二十八条第一项：粉尘涉</w:t>
            </w:r>
            <w:r>
              <w:rPr>
                <w:spacing w:val="27"/>
              </w:rPr>
              <w:t>爆企业有下列行为之一</w:t>
            </w:r>
            <w:r>
              <w:rPr>
                <w:spacing w:val="8"/>
              </w:rPr>
              <w:t>的，由负责粉尘涉爆企业安全监管的部门依照《中</w:t>
            </w:r>
            <w:r>
              <w:rPr>
                <w:spacing w:val="32"/>
              </w:rPr>
              <w:t>华人民共和国安全生产</w:t>
            </w:r>
            <w:r>
              <w:rPr>
                <w:spacing w:val="8"/>
              </w:rPr>
              <w:t>法》有关规定，责令限期</w:t>
            </w:r>
            <w:r>
              <w:rPr>
                <w:spacing w:val="-7"/>
              </w:rPr>
              <w:t>改正，处</w:t>
            </w:r>
            <w:r>
              <w:rPr>
                <w:rFonts w:ascii="宋体" w:hAnsi="宋体" w:eastAsia="宋体" w:cs="宋体"/>
                <w:spacing w:val="-7"/>
              </w:rPr>
              <w:t>10</w:t>
            </w:r>
            <w:r>
              <w:rPr>
                <w:spacing w:val="-7"/>
              </w:rPr>
              <w:t>万元以下的罚</w:t>
            </w:r>
            <w:r>
              <w:rPr>
                <w:spacing w:val="8"/>
              </w:rPr>
              <w:t>款；逾期未改正的，责令</w:t>
            </w:r>
            <w:r>
              <w:rPr>
                <w:spacing w:val="12"/>
              </w:rPr>
              <w:t>停产停业整顿，并处</w:t>
            </w:r>
            <w:r>
              <w:rPr>
                <w:rFonts w:ascii="宋体" w:hAnsi="宋体" w:eastAsia="宋体" w:cs="宋体"/>
                <w:spacing w:val="12"/>
              </w:rPr>
              <w:t>10</w:t>
            </w:r>
            <w:r>
              <w:rPr>
                <w:spacing w:val="11"/>
              </w:rPr>
              <w:t>万元以上</w:t>
            </w:r>
            <w:r>
              <w:rPr>
                <w:rFonts w:ascii="宋体" w:hAnsi="宋体" w:eastAsia="宋体" w:cs="宋体"/>
                <w:spacing w:val="11"/>
              </w:rPr>
              <w:t>20</w:t>
            </w:r>
            <w:r>
              <w:rPr>
                <w:spacing w:val="11"/>
              </w:rPr>
              <w:t>万元以下的</w:t>
            </w:r>
            <w:r>
              <w:rPr>
                <w:spacing w:val="8"/>
              </w:rPr>
              <w:t>罚款，对其直接负责的主</w:t>
            </w:r>
          </w:p>
        </w:tc>
        <w:tc>
          <w:tcPr>
            <w:tcW w:w="803" w:type="dxa"/>
            <w:vAlign w:val="top"/>
          </w:tcPr>
          <w:p w14:paraId="7A87B6BE">
            <w:pPr>
              <w:spacing w:line="242" w:lineRule="auto"/>
              <w:rPr>
                <w:rFonts w:ascii="Arial"/>
                <w:sz w:val="21"/>
              </w:rPr>
            </w:pPr>
          </w:p>
          <w:p w14:paraId="4D68AB1C">
            <w:pPr>
              <w:spacing w:line="242" w:lineRule="auto"/>
              <w:rPr>
                <w:rFonts w:ascii="Arial"/>
                <w:sz w:val="21"/>
              </w:rPr>
            </w:pPr>
          </w:p>
          <w:p w14:paraId="3D56E410">
            <w:pPr>
              <w:spacing w:line="242" w:lineRule="auto"/>
              <w:rPr>
                <w:rFonts w:ascii="Arial"/>
                <w:sz w:val="21"/>
              </w:rPr>
            </w:pPr>
          </w:p>
          <w:p w14:paraId="70E3EBB3">
            <w:pPr>
              <w:spacing w:line="242" w:lineRule="auto"/>
              <w:rPr>
                <w:rFonts w:ascii="Arial"/>
                <w:sz w:val="21"/>
              </w:rPr>
            </w:pPr>
          </w:p>
          <w:p w14:paraId="4F29072A">
            <w:pPr>
              <w:spacing w:line="242" w:lineRule="auto"/>
              <w:rPr>
                <w:rFonts w:ascii="Arial"/>
                <w:sz w:val="21"/>
              </w:rPr>
            </w:pPr>
          </w:p>
          <w:p w14:paraId="1777B0AE">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764A8ED">
            <w:pPr>
              <w:pStyle w:val="6"/>
              <w:spacing w:before="201" w:line="182" w:lineRule="auto"/>
              <w:ind w:left="118"/>
              <w:outlineLvl w:val="0"/>
            </w:pPr>
            <w:r>
              <w:rPr>
                <w:spacing w:val="26"/>
              </w:rPr>
              <w:t>未按规定对从业人</w:t>
            </w:r>
          </w:p>
          <w:p w14:paraId="525AB27E">
            <w:pPr>
              <w:pStyle w:val="6"/>
              <w:spacing w:before="2" w:line="186" w:lineRule="auto"/>
              <w:ind w:left="119" w:right="46" w:firstLine="18"/>
              <w:jc w:val="both"/>
            </w:pPr>
            <w:r>
              <w:rPr>
                <w:spacing w:val="2"/>
              </w:rPr>
              <w:t>员、被派遣劳动者、</w:t>
            </w:r>
            <w:r>
              <w:rPr>
                <w:spacing w:val="26"/>
              </w:rPr>
              <w:t>实习学生进行安全</w:t>
            </w:r>
            <w:r>
              <w:rPr>
                <w:spacing w:val="-3"/>
              </w:rPr>
              <w:t>生产教育和培训，或</w:t>
            </w:r>
            <w:r>
              <w:rPr>
                <w:spacing w:val="26"/>
              </w:rPr>
              <w:t>者未按照规定如实告知有关的安全生</w:t>
            </w:r>
            <w:r>
              <w:t>产事项，涉及人数</w:t>
            </w:r>
            <w:r>
              <w:rPr>
                <w:rFonts w:ascii="宋体" w:hAnsi="宋体" w:eastAsia="宋体" w:cs="宋体"/>
              </w:rPr>
              <w:t>3</w:t>
            </w:r>
            <w:r>
              <w:rPr>
                <w:spacing w:val="5"/>
              </w:rPr>
              <w:t>人以下的</w:t>
            </w:r>
          </w:p>
        </w:tc>
        <w:tc>
          <w:tcPr>
            <w:tcW w:w="2894" w:type="dxa"/>
            <w:vAlign w:val="top"/>
          </w:tcPr>
          <w:p w14:paraId="7764B0B2">
            <w:pPr>
              <w:pStyle w:val="6"/>
              <w:spacing w:before="197" w:line="186" w:lineRule="auto"/>
              <w:ind w:left="126" w:right="103"/>
            </w:pPr>
            <w:r>
              <w:rPr>
                <w:spacing w:val="4"/>
              </w:rPr>
              <w:t>责令限期改正，处</w:t>
            </w:r>
            <w:r>
              <w:rPr>
                <w:rFonts w:ascii="宋体" w:hAnsi="宋体" w:eastAsia="宋体" w:cs="宋体"/>
                <w:spacing w:val="4"/>
              </w:rPr>
              <w:t>3</w:t>
            </w:r>
            <w:r>
              <w:rPr>
                <w:spacing w:val="4"/>
              </w:rPr>
              <w:t>万元</w:t>
            </w:r>
            <w:r>
              <w:rPr>
                <w:spacing w:val="8"/>
              </w:rPr>
              <w:t>以下的罚款；逾期未改正</w:t>
            </w:r>
            <w:r>
              <w:rPr>
                <w:spacing w:val="6"/>
              </w:rPr>
              <w:t>的，责令停产停业整顿，</w:t>
            </w:r>
            <w:r>
              <w:rPr>
                <w:spacing w:val="-1"/>
              </w:rPr>
              <w:t>并处</w:t>
            </w:r>
            <w:r>
              <w:rPr>
                <w:rFonts w:ascii="宋体" w:hAnsi="宋体" w:eastAsia="宋体" w:cs="宋体"/>
                <w:spacing w:val="-1"/>
              </w:rPr>
              <w:t>10</w:t>
            </w:r>
            <w:r>
              <w:rPr>
                <w:spacing w:val="-1"/>
              </w:rPr>
              <w:t>万元以上</w:t>
            </w:r>
            <w:r>
              <w:rPr>
                <w:rFonts w:ascii="宋体" w:hAnsi="宋体" w:eastAsia="宋体" w:cs="宋体"/>
                <w:spacing w:val="-1"/>
              </w:rPr>
              <w:t>13</w:t>
            </w:r>
            <w:r>
              <w:rPr>
                <w:spacing w:val="-1"/>
              </w:rPr>
              <w:t>万元</w:t>
            </w:r>
            <w:r>
              <w:rPr>
                <w:spacing w:val="7"/>
              </w:rPr>
              <w:t>以下的罚款，对其直接负</w:t>
            </w:r>
            <w:r>
              <w:rPr>
                <w:spacing w:val="11"/>
              </w:rPr>
              <w:t>责的主管人员和其他直接</w:t>
            </w:r>
            <w:r>
              <w:rPr>
                <w:spacing w:val="9"/>
              </w:rPr>
              <w:t>责任人员处</w:t>
            </w:r>
            <w:r>
              <w:rPr>
                <w:rFonts w:ascii="宋体" w:hAnsi="宋体" w:eastAsia="宋体" w:cs="宋体"/>
                <w:spacing w:val="9"/>
              </w:rPr>
              <w:t>2</w:t>
            </w:r>
            <w:r>
              <w:rPr>
                <w:spacing w:val="9"/>
              </w:rPr>
              <w:t>万元以上</w:t>
            </w:r>
            <w:r>
              <w:rPr>
                <w:rFonts w:ascii="宋体" w:hAnsi="宋体" w:eastAsia="宋体" w:cs="宋体"/>
                <w:spacing w:val="9"/>
              </w:rPr>
              <w:t>3</w:t>
            </w:r>
            <w:r>
              <w:rPr>
                <w:spacing w:val="6"/>
              </w:rPr>
              <w:t>万元以下的罚款</w:t>
            </w:r>
          </w:p>
        </w:tc>
        <w:tc>
          <w:tcPr>
            <w:tcW w:w="811" w:type="dxa"/>
            <w:vMerge w:val="restart"/>
            <w:tcBorders>
              <w:bottom w:val="nil"/>
            </w:tcBorders>
            <w:vAlign w:val="top"/>
          </w:tcPr>
          <w:p w14:paraId="4077F2C1">
            <w:pPr>
              <w:rPr>
                <w:rFonts w:ascii="Arial"/>
                <w:sz w:val="21"/>
              </w:rPr>
            </w:pPr>
          </w:p>
          <w:p w14:paraId="71FBCE4E">
            <w:pPr>
              <w:rPr>
                <w:rFonts w:ascii="Arial"/>
                <w:sz w:val="21"/>
              </w:rPr>
            </w:pPr>
          </w:p>
          <w:p w14:paraId="25C1668F">
            <w:pPr>
              <w:rPr>
                <w:rFonts w:ascii="Arial"/>
                <w:sz w:val="21"/>
              </w:rPr>
            </w:pPr>
          </w:p>
          <w:p w14:paraId="01FCC9AB">
            <w:pPr>
              <w:rPr>
                <w:rFonts w:ascii="Arial"/>
                <w:sz w:val="21"/>
              </w:rPr>
            </w:pPr>
          </w:p>
          <w:p w14:paraId="10C143CF">
            <w:pPr>
              <w:rPr>
                <w:rFonts w:ascii="Arial"/>
                <w:sz w:val="21"/>
              </w:rPr>
            </w:pPr>
          </w:p>
          <w:p w14:paraId="144BEB45">
            <w:pPr>
              <w:rPr>
                <w:rFonts w:ascii="Arial"/>
                <w:sz w:val="21"/>
              </w:rPr>
            </w:pPr>
          </w:p>
          <w:p w14:paraId="26750B26">
            <w:pPr>
              <w:rPr>
                <w:rFonts w:ascii="Arial"/>
                <w:sz w:val="21"/>
              </w:rPr>
            </w:pPr>
          </w:p>
          <w:p w14:paraId="33DA4117">
            <w:pPr>
              <w:rPr>
                <w:rFonts w:ascii="Arial"/>
                <w:sz w:val="21"/>
              </w:rPr>
            </w:pPr>
          </w:p>
          <w:p w14:paraId="76A4632F">
            <w:pPr>
              <w:rPr>
                <w:rFonts w:ascii="Arial"/>
                <w:sz w:val="21"/>
              </w:rPr>
            </w:pPr>
          </w:p>
          <w:p w14:paraId="2C427BFB">
            <w:pPr>
              <w:rPr>
                <w:rFonts w:ascii="Arial"/>
                <w:sz w:val="21"/>
              </w:rPr>
            </w:pPr>
          </w:p>
          <w:p w14:paraId="0749B416">
            <w:pPr>
              <w:rPr>
                <w:rFonts w:ascii="Arial"/>
                <w:sz w:val="21"/>
              </w:rPr>
            </w:pPr>
          </w:p>
          <w:p w14:paraId="53541CA7">
            <w:pPr>
              <w:rPr>
                <w:rFonts w:ascii="Arial"/>
                <w:sz w:val="21"/>
              </w:rPr>
            </w:pPr>
          </w:p>
          <w:p w14:paraId="6C156D06">
            <w:pPr>
              <w:rPr>
                <w:rFonts w:ascii="Arial"/>
                <w:sz w:val="21"/>
              </w:rPr>
            </w:pPr>
          </w:p>
          <w:p w14:paraId="429A7DA1">
            <w:pPr>
              <w:rPr>
                <w:rFonts w:ascii="Arial"/>
                <w:sz w:val="21"/>
              </w:rPr>
            </w:pPr>
          </w:p>
          <w:p w14:paraId="265A48CC">
            <w:pPr>
              <w:rPr>
                <w:rFonts w:ascii="Arial"/>
                <w:sz w:val="21"/>
              </w:rPr>
            </w:pPr>
          </w:p>
          <w:p w14:paraId="531B9CFE">
            <w:pPr>
              <w:rPr>
                <w:rFonts w:ascii="Arial"/>
                <w:sz w:val="21"/>
              </w:rPr>
            </w:pPr>
          </w:p>
          <w:p w14:paraId="39679D34">
            <w:pPr>
              <w:rPr>
                <w:rFonts w:ascii="Arial"/>
                <w:sz w:val="21"/>
              </w:rPr>
            </w:pPr>
          </w:p>
          <w:p w14:paraId="22417103">
            <w:pPr>
              <w:spacing w:line="241" w:lineRule="auto"/>
              <w:rPr>
                <w:rFonts w:ascii="Arial"/>
                <w:sz w:val="21"/>
              </w:rPr>
            </w:pPr>
          </w:p>
          <w:p w14:paraId="2B7A2F96">
            <w:pPr>
              <w:spacing w:before="75" w:line="188" w:lineRule="auto"/>
              <w:ind w:left="352"/>
              <w:rPr>
                <w:rFonts w:ascii="宋体" w:hAnsi="宋体" w:eastAsia="宋体" w:cs="宋体"/>
                <w:sz w:val="23"/>
                <w:szCs w:val="23"/>
              </w:rPr>
            </w:pPr>
            <w:r>
              <w:rPr>
                <w:rFonts w:ascii="宋体" w:hAnsi="宋体" w:eastAsia="宋体" w:cs="宋体"/>
                <w:sz w:val="23"/>
                <w:szCs w:val="23"/>
              </w:rPr>
              <w:t>9</w:t>
            </w:r>
          </w:p>
        </w:tc>
      </w:tr>
      <w:tr w14:paraId="48906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9" w:hRule="atLeast"/>
        </w:trPr>
        <w:tc>
          <w:tcPr>
            <w:tcW w:w="818" w:type="dxa"/>
            <w:vMerge w:val="continue"/>
            <w:tcBorders>
              <w:top w:val="nil"/>
              <w:bottom w:val="nil"/>
            </w:tcBorders>
            <w:vAlign w:val="top"/>
          </w:tcPr>
          <w:p w14:paraId="003D1C53">
            <w:pPr>
              <w:rPr>
                <w:rFonts w:ascii="Arial"/>
                <w:sz w:val="21"/>
              </w:rPr>
            </w:pPr>
          </w:p>
        </w:tc>
        <w:tc>
          <w:tcPr>
            <w:tcW w:w="1440" w:type="dxa"/>
            <w:vMerge w:val="continue"/>
            <w:tcBorders>
              <w:top w:val="nil"/>
              <w:bottom w:val="nil"/>
            </w:tcBorders>
            <w:vAlign w:val="top"/>
          </w:tcPr>
          <w:p w14:paraId="24723927">
            <w:pPr>
              <w:rPr>
                <w:rFonts w:ascii="Arial"/>
                <w:sz w:val="21"/>
              </w:rPr>
            </w:pPr>
          </w:p>
        </w:tc>
        <w:tc>
          <w:tcPr>
            <w:tcW w:w="3202" w:type="dxa"/>
            <w:vMerge w:val="continue"/>
            <w:tcBorders>
              <w:top w:val="nil"/>
              <w:bottom w:val="nil"/>
            </w:tcBorders>
            <w:vAlign w:val="top"/>
          </w:tcPr>
          <w:p w14:paraId="08910009">
            <w:pPr>
              <w:rPr>
                <w:rFonts w:ascii="Arial"/>
                <w:sz w:val="21"/>
              </w:rPr>
            </w:pPr>
          </w:p>
        </w:tc>
        <w:tc>
          <w:tcPr>
            <w:tcW w:w="2859" w:type="dxa"/>
            <w:vMerge w:val="continue"/>
            <w:tcBorders>
              <w:top w:val="nil"/>
              <w:bottom w:val="nil"/>
            </w:tcBorders>
            <w:vAlign w:val="top"/>
          </w:tcPr>
          <w:p w14:paraId="456157E4">
            <w:pPr>
              <w:rPr>
                <w:rFonts w:ascii="Arial"/>
                <w:sz w:val="21"/>
              </w:rPr>
            </w:pPr>
          </w:p>
        </w:tc>
        <w:tc>
          <w:tcPr>
            <w:tcW w:w="803" w:type="dxa"/>
            <w:vAlign w:val="top"/>
          </w:tcPr>
          <w:p w14:paraId="36138FA1">
            <w:pPr>
              <w:spacing w:line="258" w:lineRule="auto"/>
              <w:rPr>
                <w:rFonts w:ascii="Arial"/>
                <w:sz w:val="21"/>
              </w:rPr>
            </w:pPr>
          </w:p>
          <w:p w14:paraId="7EA3926A">
            <w:pPr>
              <w:spacing w:line="258" w:lineRule="auto"/>
              <w:rPr>
                <w:rFonts w:ascii="Arial"/>
                <w:sz w:val="21"/>
              </w:rPr>
            </w:pPr>
          </w:p>
          <w:p w14:paraId="0948461A">
            <w:pPr>
              <w:spacing w:line="258" w:lineRule="auto"/>
              <w:rPr>
                <w:rFonts w:ascii="Arial"/>
                <w:sz w:val="21"/>
              </w:rPr>
            </w:pPr>
          </w:p>
          <w:p w14:paraId="5BFAEA6F">
            <w:pPr>
              <w:spacing w:line="258" w:lineRule="auto"/>
              <w:rPr>
                <w:rFonts w:ascii="Arial"/>
                <w:sz w:val="21"/>
              </w:rPr>
            </w:pPr>
          </w:p>
          <w:p w14:paraId="4DD39023">
            <w:pPr>
              <w:spacing w:line="258" w:lineRule="auto"/>
              <w:rPr>
                <w:rFonts w:ascii="Arial"/>
                <w:sz w:val="21"/>
              </w:rPr>
            </w:pPr>
          </w:p>
          <w:p w14:paraId="0FA3C1E4">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B8FECBE">
            <w:pPr>
              <w:pStyle w:val="6"/>
              <w:spacing w:before="274" w:line="186" w:lineRule="auto"/>
              <w:ind w:left="118" w:right="46"/>
              <w:jc w:val="both"/>
            </w:pPr>
            <w:r>
              <w:rPr>
                <w:spacing w:val="26"/>
              </w:rPr>
              <w:t>未按规定对从业人</w:t>
            </w:r>
            <w:r>
              <w:rPr>
                <w:spacing w:val="4"/>
              </w:rPr>
              <w:t>员、被派遣劳动者、</w:t>
            </w:r>
            <w:r>
              <w:rPr>
                <w:spacing w:val="26"/>
              </w:rPr>
              <w:t>实习学生进行安全</w:t>
            </w:r>
            <w:r>
              <w:rPr>
                <w:spacing w:val="-3"/>
              </w:rPr>
              <w:t>生产教育和培训，或</w:t>
            </w:r>
            <w:r>
              <w:rPr>
                <w:spacing w:val="26"/>
              </w:rPr>
              <w:t>者未按照规定如实告知有关的安全生</w:t>
            </w:r>
            <w:r>
              <w:t>产事项，涉及人数</w:t>
            </w:r>
            <w:r>
              <w:rPr>
                <w:rFonts w:ascii="宋体" w:hAnsi="宋体" w:eastAsia="宋体" w:cs="宋体"/>
              </w:rPr>
              <w:t>3</w:t>
            </w:r>
            <w:r>
              <w:rPr>
                <w:spacing w:val="1"/>
              </w:rPr>
              <w:t>人以上</w:t>
            </w:r>
            <w:r>
              <w:rPr>
                <w:rFonts w:ascii="宋体" w:hAnsi="宋体" w:eastAsia="宋体" w:cs="宋体"/>
                <w:spacing w:val="1"/>
              </w:rPr>
              <w:t>10</w:t>
            </w:r>
            <w:r>
              <w:rPr>
                <w:spacing w:val="1"/>
              </w:rPr>
              <w:t>人以下的</w:t>
            </w:r>
          </w:p>
        </w:tc>
        <w:tc>
          <w:tcPr>
            <w:tcW w:w="2894" w:type="dxa"/>
            <w:vAlign w:val="top"/>
          </w:tcPr>
          <w:p w14:paraId="6CE44426">
            <w:pPr>
              <w:pStyle w:val="6"/>
              <w:spacing w:before="274" w:line="186" w:lineRule="auto"/>
              <w:ind w:left="117" w:right="103" w:firstLine="10"/>
            </w:pPr>
            <w:r>
              <w:rPr>
                <w:spacing w:val="4"/>
              </w:rPr>
              <w:t>责令限期改正，处</w:t>
            </w:r>
            <w:r>
              <w:rPr>
                <w:rFonts w:ascii="宋体" w:hAnsi="宋体" w:eastAsia="宋体" w:cs="宋体"/>
                <w:spacing w:val="4"/>
              </w:rPr>
              <w:t>3</w:t>
            </w:r>
            <w:r>
              <w:rPr>
                <w:spacing w:val="4"/>
              </w:rPr>
              <w:t>万元</w:t>
            </w:r>
            <w:r>
              <w:rPr>
                <w:spacing w:val="3"/>
              </w:rPr>
              <w:t>以上</w:t>
            </w:r>
            <w:r>
              <w:rPr>
                <w:rFonts w:ascii="宋体" w:hAnsi="宋体" w:eastAsia="宋体" w:cs="宋体"/>
                <w:spacing w:val="3"/>
              </w:rPr>
              <w:t>7</w:t>
            </w:r>
            <w:r>
              <w:rPr>
                <w:spacing w:val="3"/>
              </w:rPr>
              <w:t>万元以下的罚款；</w:t>
            </w:r>
            <w:r>
              <w:rPr>
                <w:spacing w:val="8"/>
              </w:rPr>
              <w:t>逾期未改正的，责令停产</w:t>
            </w:r>
            <w:r>
              <w:rPr>
                <w:spacing w:val="-4"/>
              </w:rPr>
              <w:t>停业整顿，并处</w:t>
            </w:r>
            <w:r>
              <w:rPr>
                <w:rFonts w:ascii="宋体" w:hAnsi="宋体" w:eastAsia="宋体" w:cs="宋体"/>
                <w:spacing w:val="-4"/>
              </w:rPr>
              <w:t>13</w:t>
            </w:r>
            <w:r>
              <w:rPr>
                <w:spacing w:val="-4"/>
              </w:rPr>
              <w:t>万元以上</w:t>
            </w:r>
            <w:r>
              <w:rPr>
                <w:rFonts w:ascii="宋体" w:hAnsi="宋体" w:eastAsia="宋体" w:cs="宋体"/>
                <w:spacing w:val="-4"/>
              </w:rPr>
              <w:t>17</w:t>
            </w:r>
            <w:r>
              <w:rPr>
                <w:spacing w:val="-4"/>
              </w:rPr>
              <w:t>万元以下的罚款，对</w:t>
            </w:r>
            <w:r>
              <w:rPr>
                <w:spacing w:val="11"/>
              </w:rPr>
              <w:t>其直接负责的主管人员和</w:t>
            </w:r>
            <w:r>
              <w:rPr>
                <w:spacing w:val="8"/>
              </w:rPr>
              <w:t>其他直接责任人员处</w:t>
            </w:r>
            <w:r>
              <w:rPr>
                <w:rFonts w:ascii="宋体" w:hAnsi="宋体" w:eastAsia="宋体" w:cs="宋体"/>
                <w:spacing w:val="8"/>
              </w:rPr>
              <w:t>3</w:t>
            </w:r>
            <w:r>
              <w:rPr>
                <w:spacing w:val="8"/>
              </w:rPr>
              <w:t>万</w:t>
            </w:r>
            <w:r>
              <w:rPr>
                <w:spacing w:val="4"/>
              </w:rPr>
              <w:t>元以上</w:t>
            </w:r>
            <w:r>
              <w:rPr>
                <w:rFonts w:ascii="宋体" w:hAnsi="宋体" w:eastAsia="宋体" w:cs="宋体"/>
                <w:spacing w:val="4"/>
              </w:rPr>
              <w:t>4</w:t>
            </w:r>
            <w:r>
              <w:rPr>
                <w:spacing w:val="4"/>
              </w:rPr>
              <w:t>万元以下的罚款</w:t>
            </w:r>
          </w:p>
        </w:tc>
        <w:tc>
          <w:tcPr>
            <w:tcW w:w="811" w:type="dxa"/>
            <w:vMerge w:val="continue"/>
            <w:tcBorders>
              <w:top w:val="nil"/>
              <w:bottom w:val="nil"/>
            </w:tcBorders>
            <w:vAlign w:val="top"/>
          </w:tcPr>
          <w:p w14:paraId="39A3EE53">
            <w:pPr>
              <w:rPr>
                <w:rFonts w:ascii="Arial"/>
                <w:sz w:val="21"/>
              </w:rPr>
            </w:pPr>
          </w:p>
        </w:tc>
      </w:tr>
      <w:tr w14:paraId="2BB91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6" w:hRule="atLeast"/>
        </w:trPr>
        <w:tc>
          <w:tcPr>
            <w:tcW w:w="818" w:type="dxa"/>
            <w:vMerge w:val="continue"/>
            <w:tcBorders>
              <w:top w:val="nil"/>
            </w:tcBorders>
            <w:vAlign w:val="top"/>
          </w:tcPr>
          <w:p w14:paraId="526B1C54">
            <w:pPr>
              <w:rPr>
                <w:rFonts w:ascii="Arial"/>
                <w:sz w:val="21"/>
              </w:rPr>
            </w:pPr>
          </w:p>
        </w:tc>
        <w:tc>
          <w:tcPr>
            <w:tcW w:w="1440" w:type="dxa"/>
            <w:vMerge w:val="continue"/>
            <w:tcBorders>
              <w:top w:val="nil"/>
            </w:tcBorders>
            <w:vAlign w:val="top"/>
          </w:tcPr>
          <w:p w14:paraId="6EEB6CEE">
            <w:pPr>
              <w:rPr>
                <w:rFonts w:ascii="Arial"/>
                <w:sz w:val="21"/>
              </w:rPr>
            </w:pPr>
          </w:p>
        </w:tc>
        <w:tc>
          <w:tcPr>
            <w:tcW w:w="3202" w:type="dxa"/>
            <w:vMerge w:val="continue"/>
            <w:tcBorders>
              <w:top w:val="nil"/>
            </w:tcBorders>
            <w:vAlign w:val="top"/>
          </w:tcPr>
          <w:p w14:paraId="7B6D40FC">
            <w:pPr>
              <w:rPr>
                <w:rFonts w:ascii="Arial"/>
                <w:sz w:val="21"/>
              </w:rPr>
            </w:pPr>
          </w:p>
        </w:tc>
        <w:tc>
          <w:tcPr>
            <w:tcW w:w="2859" w:type="dxa"/>
            <w:vMerge w:val="continue"/>
            <w:tcBorders>
              <w:top w:val="nil"/>
            </w:tcBorders>
            <w:vAlign w:val="top"/>
          </w:tcPr>
          <w:p w14:paraId="6F17AAE9">
            <w:pPr>
              <w:rPr>
                <w:rFonts w:ascii="Arial"/>
                <w:sz w:val="21"/>
              </w:rPr>
            </w:pPr>
          </w:p>
        </w:tc>
        <w:tc>
          <w:tcPr>
            <w:tcW w:w="803" w:type="dxa"/>
            <w:vAlign w:val="top"/>
          </w:tcPr>
          <w:p w14:paraId="597D6313">
            <w:pPr>
              <w:spacing w:line="251" w:lineRule="auto"/>
              <w:rPr>
                <w:rFonts w:ascii="Arial"/>
                <w:sz w:val="21"/>
              </w:rPr>
            </w:pPr>
          </w:p>
          <w:p w14:paraId="62AA5737">
            <w:pPr>
              <w:spacing w:line="252" w:lineRule="auto"/>
              <w:rPr>
                <w:rFonts w:ascii="Arial"/>
                <w:sz w:val="21"/>
              </w:rPr>
            </w:pPr>
          </w:p>
          <w:p w14:paraId="658EF200">
            <w:pPr>
              <w:spacing w:line="252" w:lineRule="auto"/>
              <w:rPr>
                <w:rFonts w:ascii="Arial"/>
                <w:sz w:val="21"/>
              </w:rPr>
            </w:pPr>
          </w:p>
          <w:p w14:paraId="5D122A12">
            <w:pPr>
              <w:spacing w:line="252" w:lineRule="auto"/>
              <w:rPr>
                <w:rFonts w:ascii="Arial"/>
                <w:sz w:val="21"/>
              </w:rPr>
            </w:pPr>
          </w:p>
          <w:p w14:paraId="7C46F2FA">
            <w:pPr>
              <w:spacing w:line="252" w:lineRule="auto"/>
              <w:rPr>
                <w:rFonts w:ascii="Arial"/>
                <w:sz w:val="21"/>
              </w:rPr>
            </w:pPr>
          </w:p>
          <w:p w14:paraId="21CC7E99">
            <w:pPr>
              <w:spacing w:line="252" w:lineRule="auto"/>
              <w:rPr>
                <w:rFonts w:ascii="Arial"/>
                <w:sz w:val="21"/>
              </w:rPr>
            </w:pPr>
          </w:p>
          <w:p w14:paraId="6606516B">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F63F54C">
            <w:pPr>
              <w:spacing w:line="398" w:lineRule="auto"/>
              <w:rPr>
                <w:rFonts w:ascii="Arial"/>
                <w:sz w:val="21"/>
              </w:rPr>
            </w:pPr>
          </w:p>
          <w:p w14:paraId="5D7E6479">
            <w:pPr>
              <w:pStyle w:val="6"/>
              <w:spacing w:before="99" w:line="186" w:lineRule="auto"/>
              <w:ind w:left="118" w:right="46"/>
              <w:jc w:val="both"/>
            </w:pPr>
            <w:r>
              <w:rPr>
                <w:spacing w:val="26"/>
              </w:rPr>
              <w:t>未按规定对从业人</w:t>
            </w:r>
            <w:r>
              <w:rPr>
                <w:spacing w:val="4"/>
              </w:rPr>
              <w:t>员、被派遣劳动者、</w:t>
            </w:r>
            <w:r>
              <w:rPr>
                <w:spacing w:val="26"/>
              </w:rPr>
              <w:t>实习学生进行安全</w:t>
            </w:r>
            <w:r>
              <w:rPr>
                <w:spacing w:val="-3"/>
              </w:rPr>
              <w:t>生产教育和培训，或</w:t>
            </w:r>
            <w:r>
              <w:rPr>
                <w:spacing w:val="26"/>
              </w:rPr>
              <w:t>者未按照规定如实告知有关的安全生</w:t>
            </w:r>
            <w:r>
              <w:rPr>
                <w:spacing w:val="15"/>
              </w:rPr>
              <w:t>产事项，涉及人数</w:t>
            </w:r>
            <w:r>
              <w:rPr>
                <w:rFonts w:ascii="宋体" w:hAnsi="宋体" w:eastAsia="宋体" w:cs="宋体"/>
                <w:spacing w:val="2"/>
              </w:rPr>
              <w:t>10</w:t>
            </w:r>
            <w:r>
              <w:rPr>
                <w:spacing w:val="2"/>
              </w:rPr>
              <w:t>人以上的</w:t>
            </w:r>
          </w:p>
        </w:tc>
        <w:tc>
          <w:tcPr>
            <w:tcW w:w="2894" w:type="dxa"/>
            <w:vAlign w:val="top"/>
          </w:tcPr>
          <w:p w14:paraId="11EA4079">
            <w:pPr>
              <w:spacing w:line="398" w:lineRule="auto"/>
              <w:rPr>
                <w:rFonts w:ascii="Arial"/>
                <w:sz w:val="21"/>
              </w:rPr>
            </w:pPr>
          </w:p>
          <w:p w14:paraId="30AA3ADA">
            <w:pPr>
              <w:pStyle w:val="6"/>
              <w:spacing w:before="99" w:line="186" w:lineRule="auto"/>
              <w:ind w:left="117" w:right="71" w:firstLine="10"/>
              <w:jc w:val="both"/>
            </w:pPr>
            <w:r>
              <w:rPr>
                <w:spacing w:val="4"/>
              </w:rPr>
              <w:t>责令限期改正，处</w:t>
            </w:r>
            <w:r>
              <w:rPr>
                <w:rFonts w:ascii="宋体" w:hAnsi="宋体" w:eastAsia="宋体" w:cs="宋体"/>
                <w:spacing w:val="4"/>
              </w:rPr>
              <w:t>7</w:t>
            </w:r>
            <w:r>
              <w:rPr>
                <w:spacing w:val="4"/>
              </w:rPr>
              <w:t>万元</w:t>
            </w:r>
            <w:r>
              <w:rPr>
                <w:spacing w:val="-1"/>
              </w:rPr>
              <w:t>以上</w:t>
            </w:r>
            <w:r>
              <w:rPr>
                <w:rFonts w:ascii="宋体" w:hAnsi="宋体" w:eastAsia="宋体" w:cs="宋体"/>
                <w:spacing w:val="-1"/>
              </w:rPr>
              <w:t>10</w:t>
            </w:r>
            <w:r>
              <w:rPr>
                <w:spacing w:val="-1"/>
              </w:rPr>
              <w:t>万元以下的罚款；</w:t>
            </w:r>
            <w:r>
              <w:rPr>
                <w:spacing w:val="8"/>
              </w:rPr>
              <w:t>逾期未改正的，责令停产</w:t>
            </w:r>
            <w:r>
              <w:rPr>
                <w:spacing w:val="-4"/>
              </w:rPr>
              <w:t>停业整顿，并处</w:t>
            </w:r>
            <w:r>
              <w:rPr>
                <w:rFonts w:ascii="宋体" w:hAnsi="宋体" w:eastAsia="宋体" w:cs="宋体"/>
                <w:spacing w:val="-4"/>
              </w:rPr>
              <w:t>17</w:t>
            </w:r>
            <w:r>
              <w:rPr>
                <w:spacing w:val="-4"/>
              </w:rPr>
              <w:t>万元以</w:t>
            </w:r>
            <w:r>
              <w:rPr>
                <w:spacing w:val="-2"/>
              </w:rPr>
              <w:t>上</w:t>
            </w:r>
            <w:r>
              <w:rPr>
                <w:rFonts w:ascii="宋体" w:hAnsi="宋体" w:eastAsia="宋体" w:cs="宋体"/>
                <w:spacing w:val="-2"/>
              </w:rPr>
              <w:t>20</w:t>
            </w:r>
            <w:r>
              <w:rPr>
                <w:spacing w:val="-2"/>
              </w:rPr>
              <w:t>万元以下的罚款，对</w:t>
            </w:r>
            <w:r>
              <w:rPr>
                <w:spacing w:val="11"/>
              </w:rPr>
              <w:t>其直接负责的主管人员和</w:t>
            </w:r>
            <w:r>
              <w:rPr>
                <w:spacing w:val="8"/>
              </w:rPr>
              <w:t>其他直接责任人员处</w:t>
            </w:r>
            <w:r>
              <w:rPr>
                <w:rFonts w:ascii="宋体" w:hAnsi="宋体" w:eastAsia="宋体" w:cs="宋体"/>
                <w:spacing w:val="8"/>
              </w:rPr>
              <w:t>4</w:t>
            </w:r>
            <w:r>
              <w:rPr>
                <w:spacing w:val="8"/>
              </w:rPr>
              <w:t>万</w:t>
            </w:r>
            <w:r>
              <w:rPr>
                <w:spacing w:val="4"/>
              </w:rPr>
              <w:t>元以上</w:t>
            </w:r>
            <w:r>
              <w:rPr>
                <w:rFonts w:ascii="宋体" w:hAnsi="宋体" w:eastAsia="宋体" w:cs="宋体"/>
                <w:spacing w:val="4"/>
              </w:rPr>
              <w:t>5</w:t>
            </w:r>
            <w:r>
              <w:rPr>
                <w:spacing w:val="4"/>
              </w:rPr>
              <w:t>万元以下的罚款</w:t>
            </w:r>
          </w:p>
        </w:tc>
        <w:tc>
          <w:tcPr>
            <w:tcW w:w="811" w:type="dxa"/>
            <w:vMerge w:val="continue"/>
            <w:tcBorders>
              <w:top w:val="nil"/>
            </w:tcBorders>
            <w:vAlign w:val="top"/>
          </w:tcPr>
          <w:p w14:paraId="2727BC7E">
            <w:pPr>
              <w:rPr>
                <w:rFonts w:ascii="Arial"/>
                <w:sz w:val="21"/>
              </w:rPr>
            </w:pPr>
          </w:p>
        </w:tc>
      </w:tr>
    </w:tbl>
    <w:p w14:paraId="6C3CDC9F">
      <w:pPr>
        <w:pStyle w:val="2"/>
      </w:pPr>
    </w:p>
    <w:p w14:paraId="079BCE4E">
      <w:pPr>
        <w:sectPr>
          <w:footerReference r:id="rId34" w:type="default"/>
          <w:pgSz w:w="16839" w:h="11906"/>
          <w:pgMar w:top="1012" w:right="821" w:bottom="666" w:left="901" w:header="0" w:footer="388" w:gutter="0"/>
          <w:cols w:space="720" w:num="1"/>
        </w:sectPr>
      </w:pPr>
    </w:p>
    <w:p w14:paraId="49E97D41">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3636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97BE022">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19BCF7E5">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ACE0AED">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5DAA337">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0F880C15">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57AB309">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F27F760">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F91F271">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BEF0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2" w:hRule="atLeast"/>
        </w:trPr>
        <w:tc>
          <w:tcPr>
            <w:tcW w:w="818" w:type="dxa"/>
            <w:vAlign w:val="top"/>
          </w:tcPr>
          <w:p w14:paraId="192085A4">
            <w:pPr>
              <w:rPr>
                <w:rFonts w:ascii="Arial"/>
                <w:sz w:val="21"/>
              </w:rPr>
            </w:pPr>
          </w:p>
        </w:tc>
        <w:tc>
          <w:tcPr>
            <w:tcW w:w="1440" w:type="dxa"/>
            <w:vAlign w:val="top"/>
          </w:tcPr>
          <w:p w14:paraId="2B514E78">
            <w:pPr>
              <w:rPr>
                <w:rFonts w:ascii="Arial"/>
                <w:sz w:val="21"/>
              </w:rPr>
            </w:pPr>
          </w:p>
        </w:tc>
        <w:tc>
          <w:tcPr>
            <w:tcW w:w="3202" w:type="dxa"/>
            <w:vAlign w:val="top"/>
          </w:tcPr>
          <w:p w14:paraId="6C728B13">
            <w:pPr>
              <w:pStyle w:val="6"/>
              <w:spacing w:before="28" w:line="182" w:lineRule="auto"/>
              <w:ind w:left="115"/>
            </w:pPr>
            <w:r>
              <w:rPr>
                <w:spacing w:val="-4"/>
              </w:rPr>
              <w:t>培训。</w:t>
            </w:r>
          </w:p>
          <w:p w14:paraId="78EDFA24">
            <w:pPr>
              <w:pStyle w:val="6"/>
              <w:spacing w:before="5" w:line="182" w:lineRule="auto"/>
              <w:ind w:left="117" w:right="111" w:firstLine="10"/>
            </w:pPr>
            <w:r>
              <w:rPr>
                <w:spacing w:val="11"/>
              </w:rPr>
              <w:t>第四十四条第一款：生产经</w:t>
            </w:r>
            <w:r>
              <w:rPr>
                <w:spacing w:val="17"/>
              </w:rPr>
              <w:t>营单位应当教育和督促从业人员严格执行本单位的安全生产规章制度和安全操作规</w:t>
            </w:r>
            <w:r>
              <w:rPr>
                <w:spacing w:val="13"/>
              </w:rPr>
              <w:t>程；并向从业人员如实告知</w:t>
            </w:r>
            <w:r>
              <w:rPr>
                <w:spacing w:val="17"/>
              </w:rPr>
              <w:t>作业场所和工作岗位存在的危险因素、防范措施以及事</w:t>
            </w:r>
            <w:r>
              <w:rPr>
                <w:spacing w:val="1"/>
              </w:rPr>
              <w:t>故应急措施。</w:t>
            </w:r>
          </w:p>
          <w:p w14:paraId="0F58D205">
            <w:pPr>
              <w:pStyle w:val="6"/>
              <w:spacing w:before="8" w:line="182" w:lineRule="auto"/>
              <w:ind w:left="114" w:right="42" w:firstLine="1"/>
            </w:pPr>
            <w:r>
              <w:rPr>
                <w:rFonts w:ascii="宋体" w:hAnsi="宋体" w:eastAsia="宋体" w:cs="宋体"/>
                <w:spacing w:val="15"/>
              </w:rPr>
              <w:t>2.</w:t>
            </w:r>
            <w:r>
              <w:rPr>
                <w:spacing w:val="15"/>
              </w:rPr>
              <w:t>【部门规章】《工贸企业</w:t>
            </w:r>
            <w:r>
              <w:rPr>
                <w:spacing w:val="3"/>
              </w:rPr>
              <w:t>粉尘防爆安全规定》第八条：</w:t>
            </w:r>
            <w:r>
              <w:rPr>
                <w:spacing w:val="17"/>
              </w:rPr>
              <w:t>粉尘涉爆企业应当组织对涉</w:t>
            </w:r>
            <w:r>
              <w:rPr>
                <w:spacing w:val="15"/>
              </w:rPr>
              <w:t>及粉尘防爆的生产、设备、</w:t>
            </w:r>
            <w:r>
              <w:rPr>
                <w:spacing w:val="17"/>
              </w:rPr>
              <w:t>安全管理等有关负责人和粉尘作业岗位等相关从业人员进行粉尘防爆专项安全生产</w:t>
            </w:r>
            <w:r>
              <w:rPr>
                <w:spacing w:val="14"/>
              </w:rPr>
              <w:t>教育和培训，使其了解作业</w:t>
            </w:r>
            <w:r>
              <w:rPr>
                <w:spacing w:val="17"/>
              </w:rPr>
              <w:t>场所和工作岗位存在的爆炸</w:t>
            </w:r>
            <w:r>
              <w:rPr>
                <w:spacing w:val="13"/>
              </w:rPr>
              <w:t>风险，掌握粉尘爆炸事故防</w:t>
            </w:r>
            <w:r>
              <w:rPr>
                <w:spacing w:val="14"/>
              </w:rPr>
              <w:t>范和应急措施；未经教育培</w:t>
            </w:r>
            <w:r>
              <w:rPr>
                <w:spacing w:val="5"/>
              </w:rPr>
              <w:t>训合格的，不得上岗作业。</w:t>
            </w:r>
          </w:p>
          <w:p w14:paraId="721AF876">
            <w:pPr>
              <w:pStyle w:val="6"/>
              <w:spacing w:before="4" w:line="182" w:lineRule="auto"/>
              <w:ind w:left="118" w:right="111"/>
            </w:pPr>
            <w:r>
              <w:rPr>
                <w:spacing w:val="17"/>
              </w:rPr>
              <w:t>粉尘涉爆企业应当如实记录粉尘防爆专项安全生产教育和培训的时间、内容及考核</w:t>
            </w:r>
            <w:r>
              <w:rPr>
                <w:spacing w:val="13"/>
              </w:rPr>
              <w:t>等情况，纳入员工教育和培</w:t>
            </w:r>
            <w:r>
              <w:rPr>
                <w:spacing w:val="-2"/>
              </w:rPr>
              <w:t>训档案。</w:t>
            </w:r>
          </w:p>
          <w:p w14:paraId="315521B1">
            <w:pPr>
              <w:pStyle w:val="6"/>
              <w:spacing w:before="6" w:line="176" w:lineRule="auto"/>
              <w:ind w:left="116" w:right="111" w:firstLine="1"/>
              <w:jc w:val="both"/>
            </w:pPr>
            <w:r>
              <w:rPr>
                <w:rFonts w:ascii="宋体" w:hAnsi="宋体" w:eastAsia="宋体" w:cs="宋体"/>
                <w:spacing w:val="15"/>
              </w:rPr>
              <w:t>3.</w:t>
            </w:r>
            <w:r>
              <w:rPr>
                <w:spacing w:val="15"/>
              </w:rPr>
              <w:t>【部门规章】《工贸企业</w:t>
            </w:r>
            <w:r>
              <w:rPr>
                <w:spacing w:val="17"/>
              </w:rPr>
              <w:t>有限空间作业安全规定》第</w:t>
            </w:r>
            <w:r>
              <w:rPr>
                <w:spacing w:val="13"/>
              </w:rPr>
              <w:t>九条：工贸企业应当每年至</w:t>
            </w:r>
            <w:r>
              <w:rPr>
                <w:spacing w:val="17"/>
              </w:rPr>
              <w:t>少组织一次有限空间作业专</w:t>
            </w:r>
          </w:p>
        </w:tc>
        <w:tc>
          <w:tcPr>
            <w:tcW w:w="2859" w:type="dxa"/>
            <w:vAlign w:val="top"/>
          </w:tcPr>
          <w:p w14:paraId="7A56BB20">
            <w:pPr>
              <w:pStyle w:val="6"/>
              <w:spacing w:before="34" w:line="182" w:lineRule="auto"/>
              <w:ind w:left="115" w:right="109" w:firstLine="11"/>
              <w:jc w:val="both"/>
            </w:pPr>
            <w:r>
              <w:rPr>
                <w:spacing w:val="7"/>
              </w:rPr>
              <w:t>管人员和其他直接责任人</w:t>
            </w:r>
            <w:r>
              <w:rPr>
                <w:spacing w:val="1"/>
              </w:rPr>
              <w:t>员处</w:t>
            </w:r>
            <w:r>
              <w:rPr>
                <w:rFonts w:ascii="宋体" w:hAnsi="宋体" w:eastAsia="宋体" w:cs="宋体"/>
                <w:spacing w:val="1"/>
              </w:rPr>
              <w:t>2</w:t>
            </w:r>
            <w:r>
              <w:rPr>
                <w:spacing w:val="1"/>
              </w:rPr>
              <w:t>万元以上</w:t>
            </w:r>
            <w:r>
              <w:rPr>
                <w:rFonts w:ascii="宋体" w:hAnsi="宋体" w:eastAsia="宋体" w:cs="宋体"/>
                <w:spacing w:val="1"/>
              </w:rPr>
              <w:t>5</w:t>
            </w:r>
            <w:r>
              <w:rPr>
                <w:spacing w:val="1"/>
              </w:rPr>
              <w:t>万元以</w:t>
            </w:r>
            <w:r>
              <w:t>下的罚款</w:t>
            </w:r>
            <w:r>
              <w:rPr>
                <w:spacing w:val="-10"/>
              </w:rPr>
              <w:t>：（</w:t>
            </w:r>
            <w:r>
              <w:t>一）未按照</w:t>
            </w:r>
            <w:r>
              <w:rPr>
                <w:spacing w:val="8"/>
              </w:rPr>
              <w:t>规定对有关负责人和粉尘作业岗位相关从业人员进行粉尘防爆专项安全生产教育和培训，或者未如实记录专项安全生产教育和</w:t>
            </w:r>
            <w:r>
              <w:t>培训情况的；</w:t>
            </w:r>
          </w:p>
          <w:p w14:paraId="6BE5ED47">
            <w:pPr>
              <w:pStyle w:val="6"/>
              <w:spacing w:before="2" w:line="184" w:lineRule="auto"/>
              <w:ind w:left="98" w:right="105" w:firstLine="19"/>
            </w:pPr>
            <w:r>
              <w:rPr>
                <w:rFonts w:ascii="宋体" w:hAnsi="宋体" w:eastAsia="宋体" w:cs="宋体"/>
                <w:spacing w:val="7"/>
              </w:rPr>
              <w:t>3.</w:t>
            </w:r>
            <w:r>
              <w:rPr>
                <w:spacing w:val="7"/>
              </w:rPr>
              <w:t>【部门规章】《工贸企</w:t>
            </w:r>
            <w:r>
              <w:rPr>
                <w:spacing w:val="34"/>
              </w:rPr>
              <w:t>业有限空间作业安全规</w:t>
            </w:r>
            <w:r>
              <w:rPr>
                <w:spacing w:val="10"/>
              </w:rPr>
              <w:t>定》第二十条第一项：工</w:t>
            </w:r>
            <w:r>
              <w:rPr>
                <w:spacing w:val="28"/>
              </w:rPr>
              <w:t>贸企业有下列行为之一</w:t>
            </w:r>
            <w:r>
              <w:rPr>
                <w:spacing w:val="-1"/>
              </w:rPr>
              <w:t>的，责令限期改正，处</w:t>
            </w:r>
            <w:r>
              <w:rPr>
                <w:rFonts w:ascii="宋体" w:hAnsi="宋体" w:eastAsia="宋体" w:cs="宋体"/>
                <w:spacing w:val="-1"/>
              </w:rPr>
              <w:t>10</w:t>
            </w:r>
            <w:r>
              <w:rPr>
                <w:spacing w:val="10"/>
              </w:rPr>
              <w:t>万元以下的罚款；逾期未</w:t>
            </w:r>
            <w:r>
              <w:rPr>
                <w:spacing w:val="3"/>
              </w:rPr>
              <w:t>改正的，责令停产停业整顿，并处</w:t>
            </w:r>
            <w:r>
              <w:rPr>
                <w:rFonts w:ascii="宋体" w:hAnsi="宋体" w:eastAsia="宋体" w:cs="宋体"/>
                <w:spacing w:val="3"/>
              </w:rPr>
              <w:t>10</w:t>
            </w:r>
            <w:r>
              <w:rPr>
                <w:spacing w:val="3"/>
              </w:rPr>
              <w:t>万元以上</w:t>
            </w:r>
            <w:r>
              <w:rPr>
                <w:rFonts w:ascii="宋体" w:hAnsi="宋体" w:eastAsia="宋体" w:cs="宋体"/>
                <w:spacing w:val="3"/>
              </w:rPr>
              <w:t>20</w:t>
            </w:r>
            <w:r>
              <w:rPr>
                <w:spacing w:val="10"/>
              </w:rPr>
              <w:t>万元以下的罚款，对其直接负责的主管人员和其他</w:t>
            </w:r>
            <w:r>
              <w:rPr>
                <w:spacing w:val="6"/>
              </w:rPr>
              <w:t>直接责任人员处</w:t>
            </w:r>
            <w:r>
              <w:rPr>
                <w:rFonts w:ascii="宋体" w:hAnsi="宋体" w:eastAsia="宋体" w:cs="宋体"/>
                <w:spacing w:val="6"/>
              </w:rPr>
              <w:t>2</w:t>
            </w:r>
            <w:r>
              <w:rPr>
                <w:spacing w:val="6"/>
              </w:rPr>
              <w:t>万元以</w:t>
            </w:r>
            <w:r>
              <w:rPr>
                <w:spacing w:val="17"/>
              </w:rPr>
              <w:t>上</w:t>
            </w:r>
            <w:r>
              <w:rPr>
                <w:rFonts w:ascii="宋体" w:hAnsi="宋体" w:eastAsia="宋体" w:cs="宋体"/>
                <w:spacing w:val="17"/>
              </w:rPr>
              <w:t>5</w:t>
            </w:r>
            <w:r>
              <w:rPr>
                <w:spacing w:val="17"/>
              </w:rPr>
              <w:t>万元以下的罚款：</w:t>
            </w:r>
            <w:r>
              <w:t>（一）未按照规定开展有</w:t>
            </w:r>
            <w:r>
              <w:rPr>
                <w:spacing w:val="10"/>
              </w:rPr>
              <w:t>限空间作业专题安全培训或者未如实记录安全培训</w:t>
            </w:r>
            <w:r>
              <w:rPr>
                <w:spacing w:val="-1"/>
              </w:rPr>
              <w:t>情况的；</w:t>
            </w:r>
          </w:p>
        </w:tc>
        <w:tc>
          <w:tcPr>
            <w:tcW w:w="803" w:type="dxa"/>
            <w:vAlign w:val="top"/>
          </w:tcPr>
          <w:p w14:paraId="60B1D7B6">
            <w:pPr>
              <w:rPr>
                <w:rFonts w:ascii="Arial"/>
                <w:sz w:val="21"/>
              </w:rPr>
            </w:pPr>
          </w:p>
        </w:tc>
        <w:tc>
          <w:tcPr>
            <w:tcW w:w="2283" w:type="dxa"/>
            <w:vAlign w:val="top"/>
          </w:tcPr>
          <w:p w14:paraId="6D8D6EF0">
            <w:pPr>
              <w:rPr>
                <w:rFonts w:ascii="Arial"/>
                <w:sz w:val="21"/>
              </w:rPr>
            </w:pPr>
          </w:p>
        </w:tc>
        <w:tc>
          <w:tcPr>
            <w:tcW w:w="2894" w:type="dxa"/>
            <w:vAlign w:val="top"/>
          </w:tcPr>
          <w:p w14:paraId="0FE567A9">
            <w:pPr>
              <w:rPr>
                <w:rFonts w:ascii="Arial"/>
                <w:sz w:val="21"/>
              </w:rPr>
            </w:pPr>
          </w:p>
        </w:tc>
        <w:tc>
          <w:tcPr>
            <w:tcW w:w="811" w:type="dxa"/>
            <w:vAlign w:val="top"/>
          </w:tcPr>
          <w:p w14:paraId="6FF24F0C">
            <w:pPr>
              <w:rPr>
                <w:rFonts w:ascii="Arial"/>
                <w:sz w:val="21"/>
              </w:rPr>
            </w:pPr>
          </w:p>
        </w:tc>
      </w:tr>
    </w:tbl>
    <w:p w14:paraId="4F00504D">
      <w:pPr>
        <w:pStyle w:val="2"/>
      </w:pPr>
    </w:p>
    <w:p w14:paraId="70A3D193">
      <w:pPr>
        <w:sectPr>
          <w:footerReference r:id="rId35" w:type="default"/>
          <w:pgSz w:w="16839" w:h="11906"/>
          <w:pgMar w:top="1012" w:right="821" w:bottom="666" w:left="901" w:header="0" w:footer="388" w:gutter="0"/>
          <w:cols w:space="720" w:num="1"/>
        </w:sectPr>
      </w:pPr>
    </w:p>
    <w:p w14:paraId="6B85EEAA">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9587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2974AB3">
            <w:pPr>
              <w:spacing w:before="222" w:line="241" w:lineRule="auto"/>
              <w:ind w:left="131"/>
              <w:rPr>
                <w:rFonts w:ascii="黑体" w:hAnsi="黑体" w:eastAsia="黑体" w:cs="黑体"/>
                <w:sz w:val="28"/>
                <w:szCs w:val="28"/>
              </w:rPr>
            </w:pPr>
            <w:bookmarkStart w:id="382" w:name="bookmark38"/>
            <w:bookmarkEnd w:id="382"/>
            <w:r>
              <w:rPr>
                <w:rFonts w:ascii="黑体" w:hAnsi="黑体" w:eastAsia="黑体" w:cs="黑体"/>
                <w:spacing w:val="-2"/>
                <w:sz w:val="28"/>
                <w:szCs w:val="28"/>
              </w:rPr>
              <w:t>序号</w:t>
            </w:r>
          </w:p>
        </w:tc>
        <w:tc>
          <w:tcPr>
            <w:tcW w:w="1440" w:type="dxa"/>
            <w:vAlign w:val="top"/>
          </w:tcPr>
          <w:p w14:paraId="6B3E74DC">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866E528">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EF51AB3">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1D55A4F">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5A9560A">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85D201F">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7F9CC8ED">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8FA0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818" w:type="dxa"/>
            <w:vAlign w:val="top"/>
          </w:tcPr>
          <w:p w14:paraId="08F55B81">
            <w:pPr>
              <w:rPr>
                <w:rFonts w:ascii="Arial"/>
                <w:sz w:val="21"/>
              </w:rPr>
            </w:pPr>
          </w:p>
        </w:tc>
        <w:tc>
          <w:tcPr>
            <w:tcW w:w="1440" w:type="dxa"/>
            <w:vAlign w:val="top"/>
          </w:tcPr>
          <w:p w14:paraId="41CB01D0">
            <w:pPr>
              <w:rPr>
                <w:rFonts w:ascii="Arial"/>
                <w:sz w:val="21"/>
              </w:rPr>
            </w:pPr>
          </w:p>
        </w:tc>
        <w:tc>
          <w:tcPr>
            <w:tcW w:w="3202" w:type="dxa"/>
            <w:vAlign w:val="top"/>
          </w:tcPr>
          <w:p w14:paraId="13DB6144">
            <w:pPr>
              <w:pStyle w:val="6"/>
              <w:spacing w:before="31" w:line="182" w:lineRule="auto"/>
              <w:ind w:left="119" w:right="21"/>
              <w:jc w:val="both"/>
            </w:pPr>
            <w:r>
              <w:rPr>
                <w:spacing w:val="1"/>
              </w:rPr>
              <w:t>题安全培训，对作业审批人、</w:t>
            </w:r>
            <w:r>
              <w:rPr>
                <w:spacing w:val="17"/>
              </w:rPr>
              <w:t>监护人员、作业人员和应急救援人员培训有限空间作业</w:t>
            </w:r>
            <w:r>
              <w:rPr>
                <w:spacing w:val="13"/>
              </w:rPr>
              <w:t>安全知识和技能，并如实记</w:t>
            </w:r>
            <w:r>
              <w:rPr>
                <w:spacing w:val="-8"/>
              </w:rPr>
              <w:t>录。</w:t>
            </w:r>
          </w:p>
          <w:p w14:paraId="2BF916D4">
            <w:pPr>
              <w:pStyle w:val="6"/>
              <w:spacing w:line="196" w:lineRule="auto"/>
              <w:ind w:left="134" w:right="111" w:hanging="16"/>
            </w:pPr>
            <w:r>
              <w:rPr>
                <w:spacing w:val="17"/>
              </w:rPr>
              <w:t>未经培训合格不得参与有限</w:t>
            </w:r>
            <w:r>
              <w:rPr>
                <w:spacing w:val="-3"/>
              </w:rPr>
              <w:t>空间作业。</w:t>
            </w:r>
          </w:p>
        </w:tc>
        <w:tc>
          <w:tcPr>
            <w:tcW w:w="2859" w:type="dxa"/>
            <w:vAlign w:val="top"/>
          </w:tcPr>
          <w:p w14:paraId="772879E2">
            <w:pPr>
              <w:rPr>
                <w:rFonts w:ascii="Arial"/>
                <w:sz w:val="21"/>
              </w:rPr>
            </w:pPr>
          </w:p>
        </w:tc>
        <w:tc>
          <w:tcPr>
            <w:tcW w:w="803" w:type="dxa"/>
            <w:vAlign w:val="top"/>
          </w:tcPr>
          <w:p w14:paraId="5E334C8A">
            <w:pPr>
              <w:rPr>
                <w:rFonts w:ascii="Arial"/>
                <w:sz w:val="21"/>
              </w:rPr>
            </w:pPr>
          </w:p>
        </w:tc>
        <w:tc>
          <w:tcPr>
            <w:tcW w:w="2283" w:type="dxa"/>
            <w:vAlign w:val="top"/>
          </w:tcPr>
          <w:p w14:paraId="431E4BFA">
            <w:pPr>
              <w:rPr>
                <w:rFonts w:ascii="Arial"/>
                <w:sz w:val="21"/>
              </w:rPr>
            </w:pPr>
          </w:p>
        </w:tc>
        <w:tc>
          <w:tcPr>
            <w:tcW w:w="2894" w:type="dxa"/>
            <w:vAlign w:val="top"/>
          </w:tcPr>
          <w:p w14:paraId="7573A243">
            <w:pPr>
              <w:rPr>
                <w:rFonts w:ascii="Arial"/>
                <w:sz w:val="21"/>
              </w:rPr>
            </w:pPr>
          </w:p>
        </w:tc>
        <w:tc>
          <w:tcPr>
            <w:tcW w:w="811" w:type="dxa"/>
            <w:vAlign w:val="top"/>
          </w:tcPr>
          <w:p w14:paraId="43089D95">
            <w:pPr>
              <w:rPr>
                <w:rFonts w:ascii="Arial"/>
                <w:sz w:val="21"/>
              </w:rPr>
            </w:pPr>
          </w:p>
        </w:tc>
      </w:tr>
      <w:tr w14:paraId="12D60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Merge w:val="restart"/>
            <w:tcBorders>
              <w:bottom w:val="nil"/>
            </w:tcBorders>
            <w:vAlign w:val="top"/>
          </w:tcPr>
          <w:p w14:paraId="027FFFBD">
            <w:pPr>
              <w:spacing w:line="256" w:lineRule="auto"/>
              <w:rPr>
                <w:rFonts w:ascii="Arial"/>
                <w:sz w:val="21"/>
              </w:rPr>
            </w:pPr>
          </w:p>
          <w:p w14:paraId="07EB2EEE">
            <w:pPr>
              <w:spacing w:line="256" w:lineRule="auto"/>
              <w:rPr>
                <w:rFonts w:ascii="Arial"/>
                <w:sz w:val="21"/>
              </w:rPr>
            </w:pPr>
          </w:p>
          <w:p w14:paraId="365E5C5B">
            <w:pPr>
              <w:spacing w:line="256" w:lineRule="auto"/>
              <w:rPr>
                <w:rFonts w:ascii="Arial"/>
                <w:sz w:val="21"/>
              </w:rPr>
            </w:pPr>
          </w:p>
          <w:p w14:paraId="676E7C07">
            <w:pPr>
              <w:spacing w:line="256" w:lineRule="auto"/>
              <w:rPr>
                <w:rFonts w:ascii="Arial"/>
                <w:sz w:val="21"/>
              </w:rPr>
            </w:pPr>
          </w:p>
          <w:p w14:paraId="4776B84D">
            <w:pPr>
              <w:spacing w:line="257" w:lineRule="auto"/>
              <w:rPr>
                <w:rFonts w:ascii="Arial"/>
                <w:sz w:val="21"/>
              </w:rPr>
            </w:pPr>
          </w:p>
          <w:p w14:paraId="55B198F2">
            <w:pPr>
              <w:spacing w:line="257" w:lineRule="auto"/>
              <w:rPr>
                <w:rFonts w:ascii="Arial"/>
                <w:sz w:val="21"/>
              </w:rPr>
            </w:pPr>
          </w:p>
          <w:p w14:paraId="3BDBFAC6">
            <w:pPr>
              <w:spacing w:line="257" w:lineRule="auto"/>
              <w:rPr>
                <w:rFonts w:ascii="Arial"/>
                <w:sz w:val="21"/>
              </w:rPr>
            </w:pPr>
          </w:p>
          <w:p w14:paraId="6F675C6E">
            <w:pPr>
              <w:spacing w:line="257" w:lineRule="auto"/>
              <w:rPr>
                <w:rFonts w:ascii="Arial"/>
                <w:sz w:val="21"/>
              </w:rPr>
            </w:pPr>
          </w:p>
          <w:p w14:paraId="3E5FB66E">
            <w:pPr>
              <w:spacing w:line="257" w:lineRule="auto"/>
              <w:rPr>
                <w:rFonts w:ascii="Arial"/>
                <w:sz w:val="21"/>
              </w:rPr>
            </w:pPr>
          </w:p>
          <w:p w14:paraId="0BAE0750">
            <w:pPr>
              <w:spacing w:line="257" w:lineRule="auto"/>
              <w:rPr>
                <w:rFonts w:ascii="Arial"/>
                <w:sz w:val="21"/>
              </w:rPr>
            </w:pPr>
          </w:p>
          <w:p w14:paraId="28843B2D">
            <w:pPr>
              <w:spacing w:line="257" w:lineRule="auto"/>
              <w:rPr>
                <w:rFonts w:ascii="Arial"/>
                <w:sz w:val="21"/>
              </w:rPr>
            </w:pPr>
          </w:p>
          <w:p w14:paraId="7C9D74E0">
            <w:pPr>
              <w:spacing w:line="257" w:lineRule="auto"/>
              <w:rPr>
                <w:rFonts w:ascii="Arial"/>
                <w:sz w:val="21"/>
              </w:rPr>
            </w:pPr>
          </w:p>
          <w:p w14:paraId="33332733">
            <w:pPr>
              <w:spacing w:line="257" w:lineRule="auto"/>
              <w:rPr>
                <w:rFonts w:ascii="Arial"/>
                <w:sz w:val="21"/>
              </w:rPr>
            </w:pPr>
          </w:p>
          <w:p w14:paraId="08697AD4">
            <w:pPr>
              <w:spacing w:before="74" w:line="186" w:lineRule="auto"/>
              <w:ind w:left="252"/>
              <w:rPr>
                <w:rFonts w:ascii="仿宋" w:hAnsi="仿宋" w:eastAsia="仿宋" w:cs="仿宋"/>
                <w:sz w:val="23"/>
                <w:szCs w:val="23"/>
              </w:rPr>
            </w:pPr>
            <w:r>
              <w:rPr>
                <w:rFonts w:ascii="仿宋" w:hAnsi="仿宋" w:eastAsia="仿宋" w:cs="仿宋"/>
                <w:spacing w:val="-10"/>
                <w:sz w:val="23"/>
                <w:szCs w:val="23"/>
              </w:rPr>
              <w:t>17</w:t>
            </w:r>
          </w:p>
        </w:tc>
        <w:tc>
          <w:tcPr>
            <w:tcW w:w="1440" w:type="dxa"/>
            <w:vMerge w:val="restart"/>
            <w:tcBorders>
              <w:bottom w:val="nil"/>
            </w:tcBorders>
            <w:vAlign w:val="top"/>
          </w:tcPr>
          <w:p w14:paraId="5AD665DA">
            <w:pPr>
              <w:spacing w:line="242" w:lineRule="auto"/>
              <w:rPr>
                <w:rFonts w:ascii="Arial"/>
                <w:sz w:val="21"/>
              </w:rPr>
            </w:pPr>
          </w:p>
          <w:p w14:paraId="288166C9">
            <w:pPr>
              <w:spacing w:line="242" w:lineRule="auto"/>
              <w:rPr>
                <w:rFonts w:ascii="Arial"/>
                <w:sz w:val="21"/>
              </w:rPr>
            </w:pPr>
          </w:p>
          <w:p w14:paraId="39B3A115">
            <w:pPr>
              <w:spacing w:line="242" w:lineRule="auto"/>
              <w:rPr>
                <w:rFonts w:ascii="Arial"/>
                <w:sz w:val="21"/>
              </w:rPr>
            </w:pPr>
          </w:p>
          <w:p w14:paraId="661214D3">
            <w:pPr>
              <w:spacing w:line="242" w:lineRule="auto"/>
              <w:rPr>
                <w:rFonts w:ascii="Arial"/>
                <w:sz w:val="21"/>
              </w:rPr>
            </w:pPr>
          </w:p>
          <w:p w14:paraId="01CAC90A">
            <w:pPr>
              <w:spacing w:line="243" w:lineRule="auto"/>
              <w:rPr>
                <w:rFonts w:ascii="Arial"/>
                <w:sz w:val="21"/>
              </w:rPr>
            </w:pPr>
          </w:p>
          <w:p w14:paraId="592DD299">
            <w:pPr>
              <w:spacing w:line="243" w:lineRule="auto"/>
              <w:rPr>
                <w:rFonts w:ascii="Arial"/>
                <w:sz w:val="21"/>
              </w:rPr>
            </w:pPr>
          </w:p>
          <w:p w14:paraId="29F717AD">
            <w:pPr>
              <w:spacing w:line="243" w:lineRule="auto"/>
              <w:rPr>
                <w:rFonts w:ascii="Arial"/>
                <w:sz w:val="21"/>
              </w:rPr>
            </w:pPr>
          </w:p>
          <w:p w14:paraId="3C8D6BE4">
            <w:pPr>
              <w:spacing w:line="243" w:lineRule="auto"/>
              <w:rPr>
                <w:rFonts w:ascii="Arial"/>
                <w:sz w:val="21"/>
              </w:rPr>
            </w:pPr>
          </w:p>
          <w:p w14:paraId="588DBED6">
            <w:pPr>
              <w:spacing w:line="243" w:lineRule="auto"/>
              <w:rPr>
                <w:rFonts w:ascii="Arial"/>
                <w:sz w:val="21"/>
              </w:rPr>
            </w:pPr>
          </w:p>
          <w:p w14:paraId="61FB0393">
            <w:pPr>
              <w:spacing w:line="243" w:lineRule="auto"/>
              <w:rPr>
                <w:rFonts w:ascii="Arial"/>
                <w:sz w:val="21"/>
              </w:rPr>
            </w:pPr>
          </w:p>
          <w:p w14:paraId="2F3A6D46">
            <w:pPr>
              <w:spacing w:line="243" w:lineRule="auto"/>
              <w:rPr>
                <w:rFonts w:ascii="Arial"/>
                <w:sz w:val="21"/>
              </w:rPr>
            </w:pPr>
          </w:p>
          <w:p w14:paraId="252FB632">
            <w:pPr>
              <w:pStyle w:val="6"/>
              <w:spacing w:before="98" w:line="188" w:lineRule="auto"/>
              <w:ind w:left="113" w:right="111" w:firstLine="15"/>
              <w:jc w:val="both"/>
            </w:pPr>
            <w:r>
              <w:rPr>
                <w:spacing w:val="8"/>
              </w:rPr>
              <w:t>生产经营单</w:t>
            </w:r>
            <w:r>
              <w:rPr>
                <w:spacing w:val="12"/>
              </w:rPr>
              <w:t>位未如实记录安全生产教育和培训</w:t>
            </w:r>
            <w:r>
              <w:rPr>
                <w:spacing w:val="5"/>
              </w:rPr>
              <w:t>情况的</w:t>
            </w:r>
          </w:p>
        </w:tc>
        <w:tc>
          <w:tcPr>
            <w:tcW w:w="3202" w:type="dxa"/>
            <w:vMerge w:val="restart"/>
            <w:tcBorders>
              <w:bottom w:val="nil"/>
            </w:tcBorders>
            <w:vAlign w:val="top"/>
          </w:tcPr>
          <w:p w14:paraId="70A7E28E">
            <w:pPr>
              <w:pStyle w:val="6"/>
              <w:spacing w:before="36" w:line="182" w:lineRule="auto"/>
              <w:ind w:left="117" w:right="111" w:firstLine="13"/>
            </w:pPr>
            <w:r>
              <w:rPr>
                <w:rFonts w:ascii="宋体" w:hAnsi="宋体" w:eastAsia="宋体" w:cs="宋体"/>
                <w:spacing w:val="14"/>
              </w:rPr>
              <w:t>1.</w:t>
            </w:r>
            <w:r>
              <w:rPr>
                <w:spacing w:val="14"/>
              </w:rPr>
              <w:t>【法律】《中华人民共和</w:t>
            </w:r>
            <w:r>
              <w:rPr>
                <w:spacing w:val="17"/>
              </w:rPr>
              <w:t>国安全生产法》第二十八条</w:t>
            </w:r>
            <w:r>
              <w:rPr>
                <w:spacing w:val="12"/>
              </w:rPr>
              <w:t>第四款：生产经营单位应当</w:t>
            </w:r>
            <w:r>
              <w:rPr>
                <w:spacing w:val="17"/>
              </w:rPr>
              <w:t>建立安全生产教育和培训档</w:t>
            </w:r>
            <w:r>
              <w:rPr>
                <w:spacing w:val="13"/>
              </w:rPr>
              <w:t>案，如实记录安全生产教育</w:t>
            </w:r>
            <w:r>
              <w:rPr>
                <w:spacing w:val="17"/>
              </w:rPr>
              <w:t>和培训的时间、内容、参加</w:t>
            </w:r>
            <w:r>
              <w:rPr>
                <w:spacing w:val="5"/>
              </w:rPr>
              <w:t>人员以及考核结果等情况。</w:t>
            </w:r>
          </w:p>
          <w:p w14:paraId="1C9455B8">
            <w:pPr>
              <w:pStyle w:val="6"/>
              <w:spacing w:before="8" w:line="182" w:lineRule="auto"/>
              <w:ind w:left="114" w:right="42" w:firstLine="1"/>
            </w:pPr>
            <w:r>
              <w:rPr>
                <w:rFonts w:ascii="宋体" w:hAnsi="宋体" w:eastAsia="宋体" w:cs="宋体"/>
                <w:spacing w:val="15"/>
              </w:rPr>
              <w:t>2.</w:t>
            </w:r>
            <w:r>
              <w:rPr>
                <w:spacing w:val="15"/>
              </w:rPr>
              <w:t>【部门规章】《工贸企业</w:t>
            </w:r>
            <w:r>
              <w:rPr>
                <w:spacing w:val="3"/>
              </w:rPr>
              <w:t>粉尘防爆安全规定》第八条：</w:t>
            </w:r>
            <w:r>
              <w:rPr>
                <w:spacing w:val="17"/>
              </w:rPr>
              <w:t>粉尘涉爆企业应当组织对涉</w:t>
            </w:r>
            <w:r>
              <w:rPr>
                <w:spacing w:val="15"/>
              </w:rPr>
              <w:t>及粉尘防爆的生产、设备、</w:t>
            </w:r>
            <w:r>
              <w:rPr>
                <w:spacing w:val="17"/>
              </w:rPr>
              <w:t>安全管理等有关负责人和粉尘作业岗位等相关从业人员进行粉尘防爆专项安全生产</w:t>
            </w:r>
            <w:r>
              <w:rPr>
                <w:spacing w:val="14"/>
              </w:rPr>
              <w:t>教育和培训，使其了解作业</w:t>
            </w:r>
            <w:r>
              <w:rPr>
                <w:spacing w:val="17"/>
              </w:rPr>
              <w:t>场所和工作岗位存在的爆炸</w:t>
            </w:r>
            <w:r>
              <w:rPr>
                <w:spacing w:val="13"/>
              </w:rPr>
              <w:t>风险，掌握粉尘爆炸事故防</w:t>
            </w:r>
            <w:r>
              <w:rPr>
                <w:spacing w:val="14"/>
              </w:rPr>
              <w:t>范和应急措施；未经教育培</w:t>
            </w:r>
            <w:r>
              <w:rPr>
                <w:spacing w:val="5"/>
              </w:rPr>
              <w:t>训合格的，不得上岗作业。</w:t>
            </w:r>
          </w:p>
          <w:p w14:paraId="7033D134">
            <w:pPr>
              <w:pStyle w:val="6"/>
              <w:spacing w:before="5" w:line="188" w:lineRule="auto"/>
              <w:ind w:left="118" w:right="111"/>
            </w:pPr>
            <w:r>
              <w:rPr>
                <w:spacing w:val="17"/>
              </w:rPr>
              <w:t>粉尘涉爆企业应当如实记录粉尘防爆专项安全生产教育和培训的时间、内容及考核</w:t>
            </w:r>
            <w:r>
              <w:rPr>
                <w:spacing w:val="13"/>
              </w:rPr>
              <w:t>等情况，纳入员工教育和培</w:t>
            </w:r>
          </w:p>
        </w:tc>
        <w:tc>
          <w:tcPr>
            <w:tcW w:w="2859" w:type="dxa"/>
            <w:vMerge w:val="restart"/>
            <w:tcBorders>
              <w:bottom w:val="nil"/>
            </w:tcBorders>
            <w:vAlign w:val="top"/>
          </w:tcPr>
          <w:p w14:paraId="4CC68832">
            <w:pPr>
              <w:pStyle w:val="6"/>
              <w:spacing w:before="41" w:line="182" w:lineRule="auto"/>
              <w:ind w:left="115" w:right="38" w:firstLine="15"/>
              <w:jc w:val="both"/>
            </w:pPr>
            <w:r>
              <w:rPr>
                <w:rFonts w:ascii="宋体" w:hAnsi="宋体" w:eastAsia="宋体" w:cs="宋体"/>
                <w:spacing w:val="6"/>
              </w:rPr>
              <w:t>1.</w:t>
            </w:r>
            <w:r>
              <w:rPr>
                <w:spacing w:val="6"/>
              </w:rPr>
              <w:t>【法律】《中华人民共</w:t>
            </w:r>
            <w:r>
              <w:rPr>
                <w:spacing w:val="8"/>
              </w:rPr>
              <w:t>和国安全生产法》第九十七条第四项：生产经营单</w:t>
            </w:r>
            <w:r>
              <w:rPr>
                <w:spacing w:val="4"/>
              </w:rPr>
              <w:t>位有下列行为之一的，责</w:t>
            </w:r>
            <w:r>
              <w:rPr>
                <w:spacing w:val="8"/>
              </w:rPr>
              <w:t>令限期改正，处十万元以</w:t>
            </w:r>
            <w:r>
              <w:rPr>
                <w:spacing w:val="-5"/>
              </w:rPr>
              <w:t>下的罚款；逾期未改正的，</w:t>
            </w:r>
            <w:r>
              <w:rPr>
                <w:spacing w:val="8"/>
              </w:rPr>
              <w:t>责令停产停业整顿，并处十万元以上二十万元以下</w:t>
            </w:r>
            <w:r>
              <w:rPr>
                <w:spacing w:val="4"/>
              </w:rPr>
              <w:t>的罚款，对其直接负责的</w:t>
            </w:r>
            <w:r>
              <w:rPr>
                <w:spacing w:val="8"/>
              </w:rPr>
              <w:t>主管人员和其他直接责任人员处二万元以上五万元以下的罚款</w:t>
            </w:r>
            <w:r>
              <w:rPr>
                <w:spacing w:val="12"/>
              </w:rPr>
              <w:t>：（</w:t>
            </w:r>
            <w:r>
              <w:rPr>
                <w:spacing w:val="8"/>
              </w:rPr>
              <w:t>四）未如实记录安全生产教育和培</w:t>
            </w:r>
            <w:r>
              <w:rPr>
                <w:spacing w:val="-2"/>
              </w:rPr>
              <w:t>训情况的；</w:t>
            </w:r>
          </w:p>
          <w:p w14:paraId="7A14999E">
            <w:pPr>
              <w:pStyle w:val="6"/>
              <w:spacing w:before="4" w:line="185" w:lineRule="auto"/>
              <w:ind w:left="116" w:right="108"/>
              <w:jc w:val="both"/>
            </w:pPr>
            <w:r>
              <w:rPr>
                <w:rFonts w:ascii="宋体" w:hAnsi="宋体" w:eastAsia="宋体" w:cs="宋体"/>
                <w:spacing w:val="7"/>
              </w:rPr>
              <w:t>2.</w:t>
            </w:r>
            <w:r>
              <w:rPr>
                <w:spacing w:val="7"/>
              </w:rPr>
              <w:t>【部门规章】《工贸企</w:t>
            </w:r>
            <w:r>
              <w:rPr>
                <w:spacing w:val="8"/>
              </w:rPr>
              <w:t>业粉尘防爆安全规定》第二十八条第一项：粉尘涉</w:t>
            </w:r>
            <w:r>
              <w:rPr>
                <w:spacing w:val="27"/>
              </w:rPr>
              <w:t>爆企业有下列行为之一</w:t>
            </w:r>
            <w:r>
              <w:rPr>
                <w:spacing w:val="8"/>
              </w:rPr>
              <w:t>的，由负责粉尘涉爆企业安全监管的部门依照《中</w:t>
            </w:r>
            <w:r>
              <w:rPr>
                <w:spacing w:val="32"/>
              </w:rPr>
              <w:t>华人民共和国安全生产</w:t>
            </w:r>
            <w:r>
              <w:rPr>
                <w:spacing w:val="8"/>
              </w:rPr>
              <w:t>法》有关规定，责令限期</w:t>
            </w:r>
            <w:r>
              <w:rPr>
                <w:spacing w:val="-7"/>
              </w:rPr>
              <w:t>改正，处</w:t>
            </w:r>
            <w:r>
              <w:rPr>
                <w:rFonts w:ascii="宋体" w:hAnsi="宋体" w:eastAsia="宋体" w:cs="宋体"/>
                <w:spacing w:val="-7"/>
              </w:rPr>
              <w:t>10</w:t>
            </w:r>
            <w:r>
              <w:rPr>
                <w:spacing w:val="-7"/>
              </w:rPr>
              <w:t>万元以下的罚</w:t>
            </w:r>
          </w:p>
        </w:tc>
        <w:tc>
          <w:tcPr>
            <w:tcW w:w="803" w:type="dxa"/>
            <w:vAlign w:val="top"/>
          </w:tcPr>
          <w:p w14:paraId="2EC3D32D">
            <w:pPr>
              <w:spacing w:line="259" w:lineRule="auto"/>
              <w:rPr>
                <w:rFonts w:ascii="Arial"/>
                <w:sz w:val="21"/>
              </w:rPr>
            </w:pPr>
          </w:p>
          <w:p w14:paraId="49C227E0">
            <w:pPr>
              <w:spacing w:line="260" w:lineRule="auto"/>
              <w:rPr>
                <w:rFonts w:ascii="Arial"/>
                <w:sz w:val="21"/>
              </w:rPr>
            </w:pPr>
          </w:p>
          <w:p w14:paraId="44FE6926">
            <w:pPr>
              <w:spacing w:line="260" w:lineRule="auto"/>
              <w:rPr>
                <w:rFonts w:ascii="Arial"/>
                <w:sz w:val="21"/>
              </w:rPr>
            </w:pPr>
          </w:p>
          <w:p w14:paraId="04B235FD">
            <w:pPr>
              <w:spacing w:line="260" w:lineRule="auto"/>
              <w:rPr>
                <w:rFonts w:ascii="Arial"/>
                <w:sz w:val="21"/>
              </w:rPr>
            </w:pPr>
          </w:p>
          <w:p w14:paraId="18D86984">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4F4F4B2">
            <w:pPr>
              <w:spacing w:line="338" w:lineRule="auto"/>
              <w:rPr>
                <w:rFonts w:ascii="Arial"/>
                <w:sz w:val="21"/>
              </w:rPr>
            </w:pPr>
          </w:p>
          <w:p w14:paraId="24A694D3">
            <w:pPr>
              <w:spacing w:line="339" w:lineRule="auto"/>
              <w:rPr>
                <w:rFonts w:ascii="Arial"/>
                <w:sz w:val="21"/>
              </w:rPr>
            </w:pPr>
          </w:p>
          <w:p w14:paraId="6E723375">
            <w:pPr>
              <w:pStyle w:val="6"/>
              <w:spacing w:before="99" w:line="182" w:lineRule="auto"/>
              <w:ind w:left="118"/>
              <w:outlineLvl w:val="0"/>
            </w:pPr>
            <w:r>
              <w:rPr>
                <w:spacing w:val="26"/>
              </w:rPr>
              <w:t>未如实记录安全生</w:t>
            </w:r>
          </w:p>
          <w:p w14:paraId="3F77BA37">
            <w:pPr>
              <w:pStyle w:val="6"/>
              <w:spacing w:before="2" w:line="195" w:lineRule="auto"/>
              <w:ind w:left="132" w:right="65" w:hanging="13"/>
            </w:pPr>
            <w:r>
              <w:rPr>
                <w:spacing w:val="2"/>
              </w:rPr>
              <w:t>产教育和培训情况，涉及</w:t>
            </w:r>
            <w:r>
              <w:rPr>
                <w:rFonts w:ascii="宋体" w:hAnsi="宋体" w:eastAsia="宋体" w:cs="宋体"/>
                <w:spacing w:val="2"/>
              </w:rPr>
              <w:t>3</w:t>
            </w:r>
            <w:r>
              <w:rPr>
                <w:spacing w:val="2"/>
              </w:rPr>
              <w:t>人次以下的</w:t>
            </w:r>
          </w:p>
        </w:tc>
        <w:tc>
          <w:tcPr>
            <w:tcW w:w="2894" w:type="dxa"/>
            <w:vAlign w:val="top"/>
          </w:tcPr>
          <w:p w14:paraId="1E3856E8">
            <w:pPr>
              <w:pStyle w:val="6"/>
              <w:spacing w:before="26" w:line="180" w:lineRule="auto"/>
              <w:ind w:left="126" w:right="103"/>
            </w:pPr>
            <w:r>
              <w:rPr>
                <w:spacing w:val="4"/>
              </w:rPr>
              <w:t>责令限期改正，处</w:t>
            </w:r>
            <w:r>
              <w:rPr>
                <w:rFonts w:ascii="宋体" w:hAnsi="宋体" w:eastAsia="宋体" w:cs="宋体"/>
                <w:spacing w:val="4"/>
              </w:rPr>
              <w:t>3</w:t>
            </w:r>
            <w:r>
              <w:rPr>
                <w:spacing w:val="4"/>
              </w:rPr>
              <w:t>万元</w:t>
            </w:r>
            <w:r>
              <w:rPr>
                <w:spacing w:val="8"/>
              </w:rPr>
              <w:t>以下的罚款；逾期未改正</w:t>
            </w:r>
            <w:r>
              <w:rPr>
                <w:spacing w:val="6"/>
              </w:rPr>
              <w:t>的，责令停产停业整顿，</w:t>
            </w:r>
            <w:r>
              <w:rPr>
                <w:spacing w:val="-1"/>
              </w:rPr>
              <w:t>并处</w:t>
            </w:r>
            <w:r>
              <w:rPr>
                <w:rFonts w:ascii="宋体" w:hAnsi="宋体" w:eastAsia="宋体" w:cs="宋体"/>
                <w:spacing w:val="-1"/>
              </w:rPr>
              <w:t>10</w:t>
            </w:r>
            <w:r>
              <w:rPr>
                <w:spacing w:val="-1"/>
              </w:rPr>
              <w:t>万元以上</w:t>
            </w:r>
            <w:r>
              <w:rPr>
                <w:rFonts w:ascii="宋体" w:hAnsi="宋体" w:eastAsia="宋体" w:cs="宋体"/>
                <w:spacing w:val="-1"/>
              </w:rPr>
              <w:t>13</w:t>
            </w:r>
            <w:r>
              <w:rPr>
                <w:spacing w:val="-1"/>
              </w:rPr>
              <w:t>万元</w:t>
            </w:r>
            <w:r>
              <w:rPr>
                <w:spacing w:val="7"/>
              </w:rPr>
              <w:t>以下的罚款，对其直接负</w:t>
            </w:r>
            <w:r>
              <w:rPr>
                <w:spacing w:val="11"/>
              </w:rPr>
              <w:t>责的主管人员和其他直接</w:t>
            </w:r>
            <w:r>
              <w:rPr>
                <w:spacing w:val="9"/>
              </w:rPr>
              <w:t>责任人员处</w:t>
            </w:r>
            <w:r>
              <w:rPr>
                <w:rFonts w:ascii="宋体" w:hAnsi="宋体" w:eastAsia="宋体" w:cs="宋体"/>
                <w:spacing w:val="9"/>
              </w:rPr>
              <w:t>2</w:t>
            </w:r>
            <w:r>
              <w:rPr>
                <w:spacing w:val="9"/>
              </w:rPr>
              <w:t>万元以上</w:t>
            </w:r>
            <w:r>
              <w:rPr>
                <w:rFonts w:ascii="宋体" w:hAnsi="宋体" w:eastAsia="宋体" w:cs="宋体"/>
                <w:spacing w:val="9"/>
              </w:rPr>
              <w:t>3</w:t>
            </w:r>
            <w:r>
              <w:rPr>
                <w:spacing w:val="6"/>
              </w:rPr>
              <w:t>万元以下的罚款</w:t>
            </w:r>
          </w:p>
        </w:tc>
        <w:tc>
          <w:tcPr>
            <w:tcW w:w="811" w:type="dxa"/>
            <w:vMerge w:val="restart"/>
            <w:tcBorders>
              <w:bottom w:val="nil"/>
            </w:tcBorders>
            <w:vAlign w:val="top"/>
          </w:tcPr>
          <w:p w14:paraId="5D7C6F56">
            <w:pPr>
              <w:spacing w:line="256" w:lineRule="auto"/>
              <w:rPr>
                <w:rFonts w:ascii="Arial"/>
                <w:sz w:val="21"/>
              </w:rPr>
            </w:pPr>
          </w:p>
          <w:p w14:paraId="0A334636">
            <w:pPr>
              <w:spacing w:line="256" w:lineRule="auto"/>
              <w:rPr>
                <w:rFonts w:ascii="Arial"/>
                <w:sz w:val="21"/>
              </w:rPr>
            </w:pPr>
          </w:p>
          <w:p w14:paraId="61EE7701">
            <w:pPr>
              <w:spacing w:line="256" w:lineRule="auto"/>
              <w:rPr>
                <w:rFonts w:ascii="Arial"/>
                <w:sz w:val="21"/>
              </w:rPr>
            </w:pPr>
          </w:p>
          <w:p w14:paraId="0B08C1ED">
            <w:pPr>
              <w:spacing w:line="256" w:lineRule="auto"/>
              <w:rPr>
                <w:rFonts w:ascii="Arial"/>
                <w:sz w:val="21"/>
              </w:rPr>
            </w:pPr>
          </w:p>
          <w:p w14:paraId="06F14322">
            <w:pPr>
              <w:spacing w:line="256" w:lineRule="auto"/>
              <w:rPr>
                <w:rFonts w:ascii="Arial"/>
                <w:sz w:val="21"/>
              </w:rPr>
            </w:pPr>
          </w:p>
          <w:p w14:paraId="2C4B72A8">
            <w:pPr>
              <w:spacing w:line="256" w:lineRule="auto"/>
              <w:rPr>
                <w:rFonts w:ascii="Arial"/>
                <w:sz w:val="21"/>
              </w:rPr>
            </w:pPr>
          </w:p>
          <w:p w14:paraId="12E30C24">
            <w:pPr>
              <w:spacing w:line="256" w:lineRule="auto"/>
              <w:rPr>
                <w:rFonts w:ascii="Arial"/>
                <w:sz w:val="21"/>
              </w:rPr>
            </w:pPr>
          </w:p>
          <w:p w14:paraId="374AEE1F">
            <w:pPr>
              <w:spacing w:line="256" w:lineRule="auto"/>
              <w:rPr>
                <w:rFonts w:ascii="Arial"/>
                <w:sz w:val="21"/>
              </w:rPr>
            </w:pPr>
          </w:p>
          <w:p w14:paraId="3EEAEAC9">
            <w:pPr>
              <w:spacing w:line="257" w:lineRule="auto"/>
              <w:rPr>
                <w:rFonts w:ascii="Arial"/>
                <w:sz w:val="21"/>
              </w:rPr>
            </w:pPr>
          </w:p>
          <w:p w14:paraId="244D877C">
            <w:pPr>
              <w:spacing w:line="257" w:lineRule="auto"/>
              <w:rPr>
                <w:rFonts w:ascii="Arial"/>
                <w:sz w:val="21"/>
              </w:rPr>
            </w:pPr>
          </w:p>
          <w:p w14:paraId="6404E524">
            <w:pPr>
              <w:spacing w:line="257" w:lineRule="auto"/>
              <w:rPr>
                <w:rFonts w:ascii="Arial"/>
                <w:sz w:val="21"/>
              </w:rPr>
            </w:pPr>
          </w:p>
          <w:p w14:paraId="76CD7786">
            <w:pPr>
              <w:spacing w:line="257" w:lineRule="auto"/>
              <w:rPr>
                <w:rFonts w:ascii="Arial"/>
                <w:sz w:val="21"/>
              </w:rPr>
            </w:pPr>
          </w:p>
          <w:p w14:paraId="25213C2F">
            <w:pPr>
              <w:spacing w:line="257" w:lineRule="auto"/>
              <w:rPr>
                <w:rFonts w:ascii="Arial"/>
                <w:sz w:val="21"/>
              </w:rPr>
            </w:pPr>
          </w:p>
          <w:p w14:paraId="69B6F408">
            <w:pPr>
              <w:spacing w:before="75" w:line="189" w:lineRule="auto"/>
              <w:ind w:left="308"/>
              <w:rPr>
                <w:rFonts w:ascii="宋体" w:hAnsi="宋体" w:eastAsia="宋体" w:cs="宋体"/>
                <w:sz w:val="23"/>
                <w:szCs w:val="23"/>
              </w:rPr>
            </w:pPr>
            <w:r>
              <w:rPr>
                <w:rFonts w:ascii="宋体" w:hAnsi="宋体" w:eastAsia="宋体" w:cs="宋体"/>
                <w:spacing w:val="-10"/>
                <w:sz w:val="23"/>
                <w:szCs w:val="23"/>
              </w:rPr>
              <w:t>10</w:t>
            </w:r>
          </w:p>
        </w:tc>
      </w:tr>
      <w:tr w14:paraId="27F86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5" w:hRule="atLeast"/>
        </w:trPr>
        <w:tc>
          <w:tcPr>
            <w:tcW w:w="818" w:type="dxa"/>
            <w:vMerge w:val="continue"/>
            <w:tcBorders>
              <w:top w:val="nil"/>
              <w:bottom w:val="nil"/>
            </w:tcBorders>
            <w:vAlign w:val="top"/>
          </w:tcPr>
          <w:p w14:paraId="4839A505">
            <w:pPr>
              <w:rPr>
                <w:rFonts w:ascii="Arial"/>
                <w:sz w:val="21"/>
              </w:rPr>
            </w:pPr>
          </w:p>
        </w:tc>
        <w:tc>
          <w:tcPr>
            <w:tcW w:w="1440" w:type="dxa"/>
            <w:vMerge w:val="continue"/>
            <w:tcBorders>
              <w:top w:val="nil"/>
              <w:bottom w:val="nil"/>
            </w:tcBorders>
            <w:vAlign w:val="top"/>
          </w:tcPr>
          <w:p w14:paraId="22905D69">
            <w:pPr>
              <w:rPr>
                <w:rFonts w:ascii="Arial"/>
                <w:sz w:val="21"/>
              </w:rPr>
            </w:pPr>
          </w:p>
        </w:tc>
        <w:tc>
          <w:tcPr>
            <w:tcW w:w="3202" w:type="dxa"/>
            <w:vMerge w:val="continue"/>
            <w:tcBorders>
              <w:top w:val="nil"/>
              <w:bottom w:val="nil"/>
            </w:tcBorders>
            <w:vAlign w:val="top"/>
          </w:tcPr>
          <w:p w14:paraId="0BE1822A">
            <w:pPr>
              <w:rPr>
                <w:rFonts w:ascii="Arial"/>
                <w:sz w:val="21"/>
              </w:rPr>
            </w:pPr>
          </w:p>
        </w:tc>
        <w:tc>
          <w:tcPr>
            <w:tcW w:w="2859" w:type="dxa"/>
            <w:vMerge w:val="continue"/>
            <w:tcBorders>
              <w:top w:val="nil"/>
              <w:bottom w:val="nil"/>
            </w:tcBorders>
            <w:vAlign w:val="top"/>
          </w:tcPr>
          <w:p w14:paraId="2B23B061">
            <w:pPr>
              <w:rPr>
                <w:rFonts w:ascii="Arial"/>
                <w:sz w:val="21"/>
              </w:rPr>
            </w:pPr>
          </w:p>
        </w:tc>
        <w:tc>
          <w:tcPr>
            <w:tcW w:w="803" w:type="dxa"/>
            <w:vAlign w:val="top"/>
          </w:tcPr>
          <w:p w14:paraId="120AED2E">
            <w:pPr>
              <w:spacing w:line="272" w:lineRule="auto"/>
              <w:rPr>
                <w:rFonts w:ascii="Arial"/>
                <w:sz w:val="21"/>
              </w:rPr>
            </w:pPr>
          </w:p>
          <w:p w14:paraId="4FA6E09F">
            <w:pPr>
              <w:spacing w:line="273" w:lineRule="auto"/>
              <w:rPr>
                <w:rFonts w:ascii="Arial"/>
                <w:sz w:val="21"/>
              </w:rPr>
            </w:pPr>
          </w:p>
          <w:p w14:paraId="3A90FC42">
            <w:pPr>
              <w:spacing w:line="273" w:lineRule="auto"/>
              <w:rPr>
                <w:rFonts w:ascii="Arial"/>
                <w:sz w:val="21"/>
              </w:rPr>
            </w:pPr>
          </w:p>
          <w:p w14:paraId="2C97F5D4">
            <w:pPr>
              <w:spacing w:line="273" w:lineRule="auto"/>
              <w:rPr>
                <w:rFonts w:ascii="Arial"/>
                <w:sz w:val="21"/>
              </w:rPr>
            </w:pPr>
          </w:p>
          <w:p w14:paraId="5F01F166">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D6DA612">
            <w:pPr>
              <w:spacing w:line="287" w:lineRule="auto"/>
              <w:rPr>
                <w:rFonts w:ascii="Arial"/>
                <w:sz w:val="21"/>
              </w:rPr>
            </w:pPr>
          </w:p>
          <w:p w14:paraId="1A348CEC">
            <w:pPr>
              <w:spacing w:line="288" w:lineRule="auto"/>
              <w:rPr>
                <w:rFonts w:ascii="Arial"/>
                <w:sz w:val="21"/>
              </w:rPr>
            </w:pPr>
          </w:p>
          <w:p w14:paraId="391CE690">
            <w:pPr>
              <w:pStyle w:val="6"/>
              <w:spacing w:before="99" w:line="189" w:lineRule="auto"/>
              <w:ind w:left="118" w:right="65"/>
              <w:jc w:val="both"/>
            </w:pPr>
            <w:r>
              <w:rPr>
                <w:spacing w:val="26"/>
              </w:rPr>
              <w:t>未如实记录安全生</w:t>
            </w:r>
            <w:r>
              <w:rPr>
                <w:spacing w:val="2"/>
              </w:rPr>
              <w:t>产教育和培训情况，</w:t>
            </w:r>
            <w:r>
              <w:rPr>
                <w:spacing w:val="5"/>
              </w:rPr>
              <w:t>涉及</w:t>
            </w:r>
            <w:r>
              <w:rPr>
                <w:rFonts w:ascii="宋体" w:hAnsi="宋体" w:eastAsia="宋体" w:cs="宋体"/>
                <w:spacing w:val="5"/>
              </w:rPr>
              <w:t>3</w:t>
            </w:r>
            <w:r>
              <w:rPr>
                <w:spacing w:val="5"/>
              </w:rPr>
              <w:t>人次以上</w:t>
            </w:r>
            <w:r>
              <w:rPr>
                <w:rFonts w:ascii="宋体" w:hAnsi="宋体" w:eastAsia="宋体" w:cs="宋体"/>
                <w:spacing w:val="5"/>
              </w:rPr>
              <w:t>10</w:t>
            </w:r>
            <w:r>
              <w:rPr>
                <w:spacing w:val="6"/>
              </w:rPr>
              <w:t>人次以下的</w:t>
            </w:r>
          </w:p>
        </w:tc>
        <w:tc>
          <w:tcPr>
            <w:tcW w:w="2894" w:type="dxa"/>
            <w:vAlign w:val="top"/>
          </w:tcPr>
          <w:p w14:paraId="777E65C9">
            <w:pPr>
              <w:pStyle w:val="6"/>
              <w:spacing w:before="77" w:line="183" w:lineRule="auto"/>
              <w:ind w:left="117" w:right="103" w:firstLine="10"/>
            </w:pPr>
            <w:r>
              <w:rPr>
                <w:spacing w:val="4"/>
              </w:rPr>
              <w:t>责令限期改正，处</w:t>
            </w:r>
            <w:r>
              <w:rPr>
                <w:rFonts w:ascii="宋体" w:hAnsi="宋体" w:eastAsia="宋体" w:cs="宋体"/>
                <w:spacing w:val="4"/>
              </w:rPr>
              <w:t>3</w:t>
            </w:r>
            <w:r>
              <w:rPr>
                <w:spacing w:val="4"/>
              </w:rPr>
              <w:t>万元</w:t>
            </w:r>
            <w:r>
              <w:rPr>
                <w:spacing w:val="3"/>
              </w:rPr>
              <w:t>以上</w:t>
            </w:r>
            <w:r>
              <w:rPr>
                <w:rFonts w:ascii="宋体" w:hAnsi="宋体" w:eastAsia="宋体" w:cs="宋体"/>
                <w:spacing w:val="3"/>
              </w:rPr>
              <w:t>7</w:t>
            </w:r>
            <w:r>
              <w:rPr>
                <w:spacing w:val="3"/>
              </w:rPr>
              <w:t>万元以下的罚款；</w:t>
            </w:r>
            <w:r>
              <w:rPr>
                <w:spacing w:val="8"/>
              </w:rPr>
              <w:t>逾期未改正的，责令停产</w:t>
            </w:r>
            <w:r>
              <w:rPr>
                <w:spacing w:val="-4"/>
              </w:rPr>
              <w:t>停业整顿，并处</w:t>
            </w:r>
            <w:r>
              <w:rPr>
                <w:rFonts w:ascii="宋体" w:hAnsi="宋体" w:eastAsia="宋体" w:cs="宋体"/>
                <w:spacing w:val="-4"/>
              </w:rPr>
              <w:t>13</w:t>
            </w:r>
            <w:r>
              <w:rPr>
                <w:spacing w:val="-4"/>
              </w:rPr>
              <w:t>万元以上</w:t>
            </w:r>
            <w:r>
              <w:rPr>
                <w:rFonts w:ascii="宋体" w:hAnsi="宋体" w:eastAsia="宋体" w:cs="宋体"/>
                <w:spacing w:val="-4"/>
              </w:rPr>
              <w:t>17</w:t>
            </w:r>
            <w:r>
              <w:rPr>
                <w:spacing w:val="-4"/>
              </w:rPr>
              <w:t>万元以下的罚款，对</w:t>
            </w:r>
            <w:r>
              <w:rPr>
                <w:spacing w:val="11"/>
              </w:rPr>
              <w:t>其直接负责的主管人员和</w:t>
            </w:r>
            <w:r>
              <w:rPr>
                <w:spacing w:val="8"/>
              </w:rPr>
              <w:t>其他直接责任人员处</w:t>
            </w:r>
            <w:r>
              <w:rPr>
                <w:rFonts w:ascii="宋体" w:hAnsi="宋体" w:eastAsia="宋体" w:cs="宋体"/>
                <w:spacing w:val="8"/>
              </w:rPr>
              <w:t>3</w:t>
            </w:r>
            <w:r>
              <w:rPr>
                <w:spacing w:val="8"/>
              </w:rPr>
              <w:t>万</w:t>
            </w:r>
            <w:r>
              <w:rPr>
                <w:spacing w:val="4"/>
              </w:rPr>
              <w:t>元以上</w:t>
            </w:r>
            <w:r>
              <w:rPr>
                <w:rFonts w:ascii="宋体" w:hAnsi="宋体" w:eastAsia="宋体" w:cs="宋体"/>
                <w:spacing w:val="4"/>
              </w:rPr>
              <w:t>4</w:t>
            </w:r>
            <w:r>
              <w:rPr>
                <w:spacing w:val="4"/>
              </w:rPr>
              <w:t>万元以下的罚款</w:t>
            </w:r>
          </w:p>
        </w:tc>
        <w:tc>
          <w:tcPr>
            <w:tcW w:w="811" w:type="dxa"/>
            <w:vMerge w:val="continue"/>
            <w:tcBorders>
              <w:top w:val="nil"/>
              <w:bottom w:val="nil"/>
            </w:tcBorders>
            <w:vAlign w:val="top"/>
          </w:tcPr>
          <w:p w14:paraId="67CBBA6B">
            <w:pPr>
              <w:rPr>
                <w:rFonts w:ascii="Arial"/>
                <w:sz w:val="21"/>
              </w:rPr>
            </w:pPr>
          </w:p>
        </w:tc>
      </w:tr>
      <w:tr w14:paraId="69230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7" w:hRule="atLeast"/>
        </w:trPr>
        <w:tc>
          <w:tcPr>
            <w:tcW w:w="818" w:type="dxa"/>
            <w:vMerge w:val="continue"/>
            <w:tcBorders>
              <w:top w:val="nil"/>
            </w:tcBorders>
            <w:vAlign w:val="top"/>
          </w:tcPr>
          <w:p w14:paraId="0A62A37D">
            <w:pPr>
              <w:rPr>
                <w:rFonts w:ascii="Arial"/>
                <w:sz w:val="21"/>
              </w:rPr>
            </w:pPr>
          </w:p>
        </w:tc>
        <w:tc>
          <w:tcPr>
            <w:tcW w:w="1440" w:type="dxa"/>
            <w:vMerge w:val="continue"/>
            <w:tcBorders>
              <w:top w:val="nil"/>
            </w:tcBorders>
            <w:vAlign w:val="top"/>
          </w:tcPr>
          <w:p w14:paraId="796D3F31">
            <w:pPr>
              <w:rPr>
                <w:rFonts w:ascii="Arial"/>
                <w:sz w:val="21"/>
              </w:rPr>
            </w:pPr>
          </w:p>
        </w:tc>
        <w:tc>
          <w:tcPr>
            <w:tcW w:w="3202" w:type="dxa"/>
            <w:vMerge w:val="continue"/>
            <w:tcBorders>
              <w:top w:val="nil"/>
            </w:tcBorders>
            <w:vAlign w:val="top"/>
          </w:tcPr>
          <w:p w14:paraId="1AECA796">
            <w:pPr>
              <w:rPr>
                <w:rFonts w:ascii="Arial"/>
                <w:sz w:val="21"/>
              </w:rPr>
            </w:pPr>
          </w:p>
        </w:tc>
        <w:tc>
          <w:tcPr>
            <w:tcW w:w="2859" w:type="dxa"/>
            <w:vMerge w:val="continue"/>
            <w:tcBorders>
              <w:top w:val="nil"/>
            </w:tcBorders>
            <w:vAlign w:val="top"/>
          </w:tcPr>
          <w:p w14:paraId="615E4865">
            <w:pPr>
              <w:rPr>
                <w:rFonts w:ascii="Arial"/>
                <w:sz w:val="21"/>
              </w:rPr>
            </w:pPr>
          </w:p>
        </w:tc>
        <w:tc>
          <w:tcPr>
            <w:tcW w:w="803" w:type="dxa"/>
            <w:vAlign w:val="top"/>
          </w:tcPr>
          <w:p w14:paraId="2435380F">
            <w:pPr>
              <w:spacing w:line="299" w:lineRule="auto"/>
              <w:rPr>
                <w:rFonts w:ascii="Arial"/>
                <w:sz w:val="21"/>
              </w:rPr>
            </w:pPr>
          </w:p>
          <w:p w14:paraId="0AA4D6F4">
            <w:pPr>
              <w:spacing w:line="299" w:lineRule="auto"/>
              <w:rPr>
                <w:rFonts w:ascii="Arial"/>
                <w:sz w:val="21"/>
              </w:rPr>
            </w:pPr>
          </w:p>
          <w:p w14:paraId="37AD9ED1">
            <w:pPr>
              <w:spacing w:line="300" w:lineRule="auto"/>
              <w:rPr>
                <w:rFonts w:ascii="Arial"/>
                <w:sz w:val="21"/>
              </w:rPr>
            </w:pPr>
          </w:p>
          <w:p w14:paraId="17B74A88">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7445E18">
            <w:pPr>
              <w:spacing w:line="265" w:lineRule="auto"/>
              <w:rPr>
                <w:rFonts w:ascii="Arial"/>
                <w:sz w:val="21"/>
              </w:rPr>
            </w:pPr>
          </w:p>
          <w:p w14:paraId="5D7A8C7D">
            <w:pPr>
              <w:spacing w:line="266" w:lineRule="auto"/>
              <w:rPr>
                <w:rFonts w:ascii="Arial"/>
                <w:sz w:val="21"/>
              </w:rPr>
            </w:pPr>
          </w:p>
          <w:p w14:paraId="14498FD7">
            <w:pPr>
              <w:pStyle w:val="6"/>
              <w:spacing w:before="99" w:line="191" w:lineRule="auto"/>
              <w:ind w:left="118" w:right="65"/>
              <w:jc w:val="both"/>
            </w:pPr>
            <w:r>
              <w:rPr>
                <w:spacing w:val="26"/>
              </w:rPr>
              <w:t>未如实记录安全生</w:t>
            </w:r>
            <w:r>
              <w:rPr>
                <w:spacing w:val="2"/>
              </w:rPr>
              <w:t>产教育和培训情况，</w:t>
            </w:r>
            <w:r>
              <w:rPr>
                <w:spacing w:val="1"/>
              </w:rPr>
              <w:t>涉及</w:t>
            </w:r>
            <w:r>
              <w:rPr>
                <w:rFonts w:ascii="宋体" w:hAnsi="宋体" w:eastAsia="宋体" w:cs="宋体"/>
                <w:spacing w:val="1"/>
              </w:rPr>
              <w:t>10</w:t>
            </w:r>
            <w:r>
              <w:rPr>
                <w:spacing w:val="1"/>
              </w:rPr>
              <w:t>人次以上的</w:t>
            </w:r>
          </w:p>
        </w:tc>
        <w:tc>
          <w:tcPr>
            <w:tcW w:w="2894" w:type="dxa"/>
            <w:vAlign w:val="top"/>
          </w:tcPr>
          <w:p w14:paraId="28147183">
            <w:pPr>
              <w:pStyle w:val="6"/>
              <w:spacing w:before="36" w:line="179" w:lineRule="auto"/>
              <w:ind w:left="117" w:right="71" w:firstLine="10"/>
              <w:jc w:val="both"/>
            </w:pPr>
            <w:r>
              <w:rPr>
                <w:spacing w:val="4"/>
              </w:rPr>
              <w:t>责令限期改正，处</w:t>
            </w:r>
            <w:r>
              <w:rPr>
                <w:rFonts w:ascii="宋体" w:hAnsi="宋体" w:eastAsia="宋体" w:cs="宋体"/>
                <w:spacing w:val="4"/>
              </w:rPr>
              <w:t>7</w:t>
            </w:r>
            <w:r>
              <w:rPr>
                <w:spacing w:val="4"/>
              </w:rPr>
              <w:t>万元</w:t>
            </w:r>
            <w:r>
              <w:rPr>
                <w:spacing w:val="-1"/>
              </w:rPr>
              <w:t>以上</w:t>
            </w:r>
            <w:r>
              <w:rPr>
                <w:rFonts w:ascii="宋体" w:hAnsi="宋体" w:eastAsia="宋体" w:cs="宋体"/>
                <w:spacing w:val="-1"/>
              </w:rPr>
              <w:t>10</w:t>
            </w:r>
            <w:r>
              <w:rPr>
                <w:spacing w:val="-1"/>
              </w:rPr>
              <w:t>万元以下的罚款；</w:t>
            </w:r>
            <w:r>
              <w:rPr>
                <w:spacing w:val="8"/>
              </w:rPr>
              <w:t>逾期未改正的，责令停产</w:t>
            </w:r>
            <w:r>
              <w:rPr>
                <w:spacing w:val="-4"/>
              </w:rPr>
              <w:t>停业整顿，并处</w:t>
            </w:r>
            <w:r>
              <w:rPr>
                <w:rFonts w:ascii="宋体" w:hAnsi="宋体" w:eastAsia="宋体" w:cs="宋体"/>
                <w:spacing w:val="-4"/>
              </w:rPr>
              <w:t>17</w:t>
            </w:r>
            <w:r>
              <w:rPr>
                <w:spacing w:val="-4"/>
              </w:rPr>
              <w:t>万元以</w:t>
            </w:r>
            <w:r>
              <w:rPr>
                <w:spacing w:val="-2"/>
              </w:rPr>
              <w:t>上</w:t>
            </w:r>
            <w:r>
              <w:rPr>
                <w:rFonts w:ascii="宋体" w:hAnsi="宋体" w:eastAsia="宋体" w:cs="宋体"/>
                <w:spacing w:val="-2"/>
              </w:rPr>
              <w:t>20</w:t>
            </w:r>
            <w:r>
              <w:rPr>
                <w:spacing w:val="-2"/>
              </w:rPr>
              <w:t>万元以下的罚款，对</w:t>
            </w:r>
            <w:r>
              <w:rPr>
                <w:spacing w:val="11"/>
              </w:rPr>
              <w:t>其直接负责的主管人员和</w:t>
            </w:r>
            <w:r>
              <w:rPr>
                <w:spacing w:val="9"/>
              </w:rPr>
              <w:t>其他直接责任人员处</w:t>
            </w:r>
            <w:r>
              <w:rPr>
                <w:rFonts w:ascii="宋体" w:hAnsi="宋体" w:eastAsia="宋体" w:cs="宋体"/>
                <w:spacing w:val="9"/>
              </w:rPr>
              <w:t>4</w:t>
            </w:r>
            <w:r>
              <w:rPr>
                <w:spacing w:val="9"/>
              </w:rPr>
              <w:t>万</w:t>
            </w:r>
          </w:p>
        </w:tc>
        <w:tc>
          <w:tcPr>
            <w:tcW w:w="811" w:type="dxa"/>
            <w:vMerge w:val="continue"/>
            <w:tcBorders>
              <w:top w:val="nil"/>
            </w:tcBorders>
            <w:vAlign w:val="top"/>
          </w:tcPr>
          <w:p w14:paraId="1706D3E0">
            <w:pPr>
              <w:rPr>
                <w:rFonts w:ascii="Arial"/>
                <w:sz w:val="21"/>
              </w:rPr>
            </w:pPr>
          </w:p>
        </w:tc>
      </w:tr>
    </w:tbl>
    <w:p w14:paraId="0A265186">
      <w:pPr>
        <w:spacing w:before="152" w:line="169" w:lineRule="auto"/>
        <w:ind w:left="13683"/>
        <w:rPr>
          <w:rFonts w:ascii="宋体" w:hAnsi="宋体" w:eastAsia="宋体" w:cs="宋体"/>
          <w:sz w:val="28"/>
          <w:szCs w:val="28"/>
        </w:rPr>
      </w:pPr>
      <w:r>
        <w:rPr>
          <w:rFonts w:ascii="宋体" w:hAnsi="宋体" w:eastAsia="宋体" w:cs="宋体"/>
          <w:spacing w:val="-3"/>
          <w:sz w:val="28"/>
          <w:szCs w:val="28"/>
        </w:rPr>
        <w:t>—35—</w:t>
      </w:r>
    </w:p>
    <w:p w14:paraId="0F351DE3">
      <w:pPr>
        <w:spacing w:line="169" w:lineRule="auto"/>
        <w:rPr>
          <w:rFonts w:ascii="宋体" w:hAnsi="宋体" w:eastAsia="宋体" w:cs="宋体"/>
          <w:sz w:val="28"/>
          <w:szCs w:val="28"/>
        </w:rPr>
        <w:sectPr>
          <w:footerReference r:id="rId36" w:type="default"/>
          <w:pgSz w:w="16839" w:h="11906"/>
          <w:pgMar w:top="1012" w:right="821" w:bottom="400" w:left="901" w:header="0" w:footer="0" w:gutter="0"/>
          <w:cols w:space="720" w:num="1"/>
        </w:sectPr>
      </w:pPr>
    </w:p>
    <w:p w14:paraId="5B53906C">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E1E6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73EFBBD">
            <w:pPr>
              <w:spacing w:before="222" w:line="241" w:lineRule="auto"/>
              <w:ind w:left="131"/>
              <w:rPr>
                <w:rFonts w:ascii="黑体" w:hAnsi="黑体" w:eastAsia="黑体" w:cs="黑体"/>
                <w:sz w:val="28"/>
                <w:szCs w:val="28"/>
              </w:rPr>
            </w:pPr>
            <w:bookmarkStart w:id="383" w:name="bookmark484"/>
            <w:bookmarkEnd w:id="383"/>
            <w:r>
              <w:rPr>
                <w:rFonts w:ascii="黑体" w:hAnsi="黑体" w:eastAsia="黑体" w:cs="黑体"/>
                <w:spacing w:val="-2"/>
                <w:sz w:val="28"/>
                <w:szCs w:val="28"/>
              </w:rPr>
              <w:t>序号</w:t>
            </w:r>
          </w:p>
        </w:tc>
        <w:tc>
          <w:tcPr>
            <w:tcW w:w="1440" w:type="dxa"/>
            <w:vAlign w:val="top"/>
          </w:tcPr>
          <w:p w14:paraId="0BA15D8C">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D47D987">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F167E8D">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492FFCCD">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90E6C05">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EC26C91">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72A2228">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ECD3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2" w:hRule="atLeast"/>
        </w:trPr>
        <w:tc>
          <w:tcPr>
            <w:tcW w:w="818" w:type="dxa"/>
            <w:vAlign w:val="top"/>
          </w:tcPr>
          <w:p w14:paraId="32694E7E">
            <w:pPr>
              <w:rPr>
                <w:rFonts w:ascii="Arial"/>
                <w:sz w:val="21"/>
              </w:rPr>
            </w:pPr>
          </w:p>
        </w:tc>
        <w:tc>
          <w:tcPr>
            <w:tcW w:w="1440" w:type="dxa"/>
            <w:vAlign w:val="top"/>
          </w:tcPr>
          <w:p w14:paraId="21EEE50C">
            <w:pPr>
              <w:rPr>
                <w:rFonts w:ascii="Arial"/>
                <w:sz w:val="21"/>
              </w:rPr>
            </w:pPr>
          </w:p>
        </w:tc>
        <w:tc>
          <w:tcPr>
            <w:tcW w:w="3202" w:type="dxa"/>
            <w:vAlign w:val="top"/>
          </w:tcPr>
          <w:p w14:paraId="591FD101">
            <w:pPr>
              <w:pStyle w:val="6"/>
              <w:spacing w:before="28" w:line="182" w:lineRule="auto"/>
              <w:ind w:left="122"/>
            </w:pPr>
            <w:r>
              <w:rPr>
                <w:spacing w:val="-3"/>
              </w:rPr>
              <w:t>训档案。</w:t>
            </w:r>
          </w:p>
          <w:p w14:paraId="66E61298">
            <w:pPr>
              <w:pStyle w:val="6"/>
              <w:spacing w:before="6" w:line="182" w:lineRule="auto"/>
              <w:ind w:left="116" w:right="21" w:firstLine="1"/>
            </w:pPr>
            <w:r>
              <w:rPr>
                <w:rFonts w:ascii="宋体" w:hAnsi="宋体" w:eastAsia="宋体" w:cs="宋体"/>
                <w:spacing w:val="15"/>
              </w:rPr>
              <w:t>3.</w:t>
            </w:r>
            <w:r>
              <w:rPr>
                <w:spacing w:val="15"/>
              </w:rPr>
              <w:t>【部门规章】《工贸企业</w:t>
            </w:r>
            <w:r>
              <w:rPr>
                <w:spacing w:val="17"/>
              </w:rPr>
              <w:t>有限空间作业安全规定》第</w:t>
            </w:r>
            <w:r>
              <w:rPr>
                <w:spacing w:val="13"/>
              </w:rPr>
              <w:t>九条：工贸企业应当每年至</w:t>
            </w:r>
            <w:r>
              <w:rPr>
                <w:spacing w:val="17"/>
              </w:rPr>
              <w:t>少组织一次有限空间作业专</w:t>
            </w:r>
            <w:r>
              <w:rPr>
                <w:spacing w:val="1"/>
              </w:rPr>
              <w:t>题安全培训，对作业审批人、</w:t>
            </w:r>
            <w:r>
              <w:rPr>
                <w:spacing w:val="17"/>
              </w:rPr>
              <w:t>监护人员、作业人员和应急救援人员培训有限空间作业</w:t>
            </w:r>
            <w:r>
              <w:rPr>
                <w:spacing w:val="13"/>
              </w:rPr>
              <w:t>安全知识和技能，并如实记</w:t>
            </w:r>
            <w:r>
              <w:rPr>
                <w:spacing w:val="-7"/>
              </w:rPr>
              <w:t>录。</w:t>
            </w:r>
          </w:p>
          <w:p w14:paraId="744A1CDC">
            <w:pPr>
              <w:pStyle w:val="6"/>
              <w:spacing w:line="196" w:lineRule="auto"/>
              <w:ind w:left="134" w:right="111" w:hanging="16"/>
            </w:pPr>
            <w:r>
              <w:rPr>
                <w:spacing w:val="17"/>
              </w:rPr>
              <w:t>未经培训合格不得参与有限</w:t>
            </w:r>
            <w:r>
              <w:rPr>
                <w:spacing w:val="-3"/>
              </w:rPr>
              <w:t>空间作业。</w:t>
            </w:r>
          </w:p>
        </w:tc>
        <w:tc>
          <w:tcPr>
            <w:tcW w:w="2859" w:type="dxa"/>
            <w:vAlign w:val="top"/>
          </w:tcPr>
          <w:p w14:paraId="30D3037F">
            <w:pPr>
              <w:pStyle w:val="6"/>
              <w:spacing w:before="37" w:line="182" w:lineRule="auto"/>
              <w:ind w:left="115" w:right="107" w:firstLine="5"/>
              <w:jc w:val="both"/>
            </w:pPr>
            <w:r>
              <w:rPr>
                <w:spacing w:val="8"/>
              </w:rPr>
              <w:t>款；逾期未改正的，责令</w:t>
            </w:r>
            <w:r>
              <w:rPr>
                <w:spacing w:val="12"/>
              </w:rPr>
              <w:t>停产停业整顿，并处</w:t>
            </w:r>
            <w:r>
              <w:rPr>
                <w:rFonts w:ascii="宋体" w:hAnsi="宋体" w:eastAsia="宋体" w:cs="宋体"/>
                <w:spacing w:val="12"/>
              </w:rPr>
              <w:t>10</w:t>
            </w:r>
            <w:r>
              <w:rPr>
                <w:spacing w:val="11"/>
              </w:rPr>
              <w:t>万元以上</w:t>
            </w:r>
            <w:r>
              <w:rPr>
                <w:rFonts w:ascii="宋体" w:hAnsi="宋体" w:eastAsia="宋体" w:cs="宋体"/>
                <w:spacing w:val="11"/>
              </w:rPr>
              <w:t>20</w:t>
            </w:r>
            <w:r>
              <w:rPr>
                <w:spacing w:val="11"/>
              </w:rPr>
              <w:t>万元以下的</w:t>
            </w:r>
            <w:r>
              <w:rPr>
                <w:spacing w:val="8"/>
              </w:rPr>
              <w:t>罚款，对其直接负责的主管人员和其他直接责任人</w:t>
            </w:r>
            <w:r>
              <w:rPr>
                <w:spacing w:val="1"/>
              </w:rPr>
              <w:t>员处</w:t>
            </w:r>
            <w:r>
              <w:rPr>
                <w:rFonts w:ascii="宋体" w:hAnsi="宋体" w:eastAsia="宋体" w:cs="宋体"/>
                <w:spacing w:val="1"/>
              </w:rPr>
              <w:t>2</w:t>
            </w:r>
            <w:r>
              <w:rPr>
                <w:spacing w:val="1"/>
              </w:rPr>
              <w:t>万元以上</w:t>
            </w:r>
            <w:r>
              <w:rPr>
                <w:rFonts w:ascii="宋体" w:hAnsi="宋体" w:eastAsia="宋体" w:cs="宋体"/>
                <w:spacing w:val="1"/>
              </w:rPr>
              <w:t>5</w:t>
            </w:r>
            <w:r>
              <w:rPr>
                <w:spacing w:val="1"/>
              </w:rPr>
              <w:t>万元以</w:t>
            </w:r>
            <w:r>
              <w:t>下的罚款</w:t>
            </w:r>
            <w:r>
              <w:rPr>
                <w:spacing w:val="-10"/>
              </w:rPr>
              <w:t>：（</w:t>
            </w:r>
            <w:r>
              <w:t>一）未按照</w:t>
            </w:r>
            <w:r>
              <w:rPr>
                <w:spacing w:val="8"/>
              </w:rPr>
              <w:t>规定对有关负责人和粉尘作业岗位相关从业人员进行粉尘防爆专项安全生产教育和培训，或者未如实记录专项安全生产教育和</w:t>
            </w:r>
            <w:r>
              <w:t>培训情况的；</w:t>
            </w:r>
          </w:p>
          <w:p w14:paraId="6BF828BD">
            <w:pPr>
              <w:pStyle w:val="6"/>
              <w:spacing w:before="2" w:line="181" w:lineRule="auto"/>
              <w:ind w:left="98" w:right="105" w:firstLine="19"/>
            </w:pPr>
            <w:r>
              <w:rPr>
                <w:rFonts w:ascii="宋体" w:hAnsi="宋体" w:eastAsia="宋体" w:cs="宋体"/>
                <w:spacing w:val="7"/>
              </w:rPr>
              <w:t>3.</w:t>
            </w:r>
            <w:r>
              <w:rPr>
                <w:spacing w:val="7"/>
              </w:rPr>
              <w:t>【部门规章】《工贸企</w:t>
            </w:r>
            <w:r>
              <w:rPr>
                <w:spacing w:val="34"/>
              </w:rPr>
              <w:t>业有限空间作业安全规</w:t>
            </w:r>
            <w:r>
              <w:rPr>
                <w:spacing w:val="6"/>
              </w:rPr>
              <w:t>定》第二十条第一项：工</w:t>
            </w:r>
            <w:r>
              <w:rPr>
                <w:spacing w:val="28"/>
              </w:rPr>
              <w:t>贸企业有下列行为之一</w:t>
            </w:r>
            <w:r>
              <w:rPr>
                <w:spacing w:val="-1"/>
              </w:rPr>
              <w:t>的，责令限期改正，处</w:t>
            </w:r>
            <w:r>
              <w:rPr>
                <w:rFonts w:ascii="宋体" w:hAnsi="宋体" w:eastAsia="宋体" w:cs="宋体"/>
                <w:spacing w:val="-1"/>
              </w:rPr>
              <w:t>10</w:t>
            </w:r>
            <w:r>
              <w:rPr>
                <w:spacing w:val="10"/>
              </w:rPr>
              <w:t>万元以下的罚款；逾期未</w:t>
            </w:r>
            <w:r>
              <w:rPr>
                <w:spacing w:val="3"/>
              </w:rPr>
              <w:t>改正的，责令停产停业整顿，并处</w:t>
            </w:r>
            <w:r>
              <w:rPr>
                <w:rFonts w:ascii="宋体" w:hAnsi="宋体" w:eastAsia="宋体" w:cs="宋体"/>
                <w:spacing w:val="3"/>
              </w:rPr>
              <w:t>10</w:t>
            </w:r>
            <w:r>
              <w:rPr>
                <w:spacing w:val="3"/>
              </w:rPr>
              <w:t>万元以上</w:t>
            </w:r>
            <w:r>
              <w:rPr>
                <w:rFonts w:ascii="宋体" w:hAnsi="宋体" w:eastAsia="宋体" w:cs="宋体"/>
                <w:spacing w:val="3"/>
              </w:rPr>
              <w:t>20</w:t>
            </w:r>
            <w:r>
              <w:rPr>
                <w:spacing w:val="10"/>
              </w:rPr>
              <w:t>万元以下的罚款，对其直接负责的主管人员和其他</w:t>
            </w:r>
            <w:r>
              <w:rPr>
                <w:spacing w:val="6"/>
              </w:rPr>
              <w:t>直接责任人员处</w:t>
            </w:r>
            <w:r>
              <w:rPr>
                <w:rFonts w:ascii="宋体" w:hAnsi="宋体" w:eastAsia="宋体" w:cs="宋体"/>
                <w:spacing w:val="6"/>
              </w:rPr>
              <w:t>2</w:t>
            </w:r>
            <w:r>
              <w:rPr>
                <w:spacing w:val="6"/>
              </w:rPr>
              <w:t>万元以</w:t>
            </w:r>
            <w:r>
              <w:rPr>
                <w:spacing w:val="17"/>
              </w:rPr>
              <w:t>上</w:t>
            </w:r>
            <w:r>
              <w:rPr>
                <w:rFonts w:ascii="宋体" w:hAnsi="宋体" w:eastAsia="宋体" w:cs="宋体"/>
                <w:spacing w:val="17"/>
              </w:rPr>
              <w:t>5</w:t>
            </w:r>
            <w:r>
              <w:rPr>
                <w:spacing w:val="17"/>
              </w:rPr>
              <w:t>万元以下的罚款：</w:t>
            </w:r>
            <w:r>
              <w:t>（一）未按照规定开展有</w:t>
            </w:r>
            <w:r>
              <w:rPr>
                <w:spacing w:val="10"/>
              </w:rPr>
              <w:t>限空间作业专题安全培训或者未如实记录安全培训</w:t>
            </w:r>
            <w:r>
              <w:rPr>
                <w:spacing w:val="-1"/>
              </w:rPr>
              <w:t>情况的；</w:t>
            </w:r>
          </w:p>
        </w:tc>
        <w:tc>
          <w:tcPr>
            <w:tcW w:w="803" w:type="dxa"/>
            <w:vAlign w:val="top"/>
          </w:tcPr>
          <w:p w14:paraId="51F27512">
            <w:pPr>
              <w:rPr>
                <w:rFonts w:ascii="Arial"/>
                <w:sz w:val="21"/>
              </w:rPr>
            </w:pPr>
          </w:p>
        </w:tc>
        <w:tc>
          <w:tcPr>
            <w:tcW w:w="2283" w:type="dxa"/>
            <w:vAlign w:val="top"/>
          </w:tcPr>
          <w:p w14:paraId="7722E11F">
            <w:pPr>
              <w:rPr>
                <w:rFonts w:ascii="Arial"/>
                <w:sz w:val="21"/>
              </w:rPr>
            </w:pPr>
          </w:p>
        </w:tc>
        <w:tc>
          <w:tcPr>
            <w:tcW w:w="2894" w:type="dxa"/>
            <w:vAlign w:val="top"/>
          </w:tcPr>
          <w:p w14:paraId="7D5C3A91">
            <w:pPr>
              <w:pStyle w:val="6"/>
              <w:spacing w:before="27" w:line="209" w:lineRule="auto"/>
              <w:ind w:left="124"/>
            </w:pPr>
            <w:r>
              <w:rPr>
                <w:spacing w:val="4"/>
              </w:rPr>
              <w:t>元以上</w:t>
            </w:r>
            <w:r>
              <w:rPr>
                <w:rFonts w:ascii="宋体" w:hAnsi="宋体" w:eastAsia="宋体" w:cs="宋体"/>
                <w:spacing w:val="4"/>
              </w:rPr>
              <w:t>5</w:t>
            </w:r>
            <w:r>
              <w:rPr>
                <w:spacing w:val="4"/>
              </w:rPr>
              <w:t>万元以下的罚款</w:t>
            </w:r>
          </w:p>
        </w:tc>
        <w:tc>
          <w:tcPr>
            <w:tcW w:w="811" w:type="dxa"/>
            <w:vAlign w:val="top"/>
          </w:tcPr>
          <w:p w14:paraId="0D7BCEBD">
            <w:pPr>
              <w:rPr>
                <w:rFonts w:ascii="Arial"/>
                <w:sz w:val="21"/>
              </w:rPr>
            </w:pPr>
          </w:p>
        </w:tc>
      </w:tr>
    </w:tbl>
    <w:p w14:paraId="39AD6887">
      <w:pPr>
        <w:pStyle w:val="2"/>
      </w:pPr>
    </w:p>
    <w:p w14:paraId="4FA3D28F">
      <w:pPr>
        <w:sectPr>
          <w:footerReference r:id="rId37" w:type="default"/>
          <w:pgSz w:w="16839" w:h="11906"/>
          <w:pgMar w:top="1012" w:right="821" w:bottom="666" w:left="901" w:header="0" w:footer="388" w:gutter="0"/>
          <w:cols w:space="720" w:num="1"/>
        </w:sectPr>
      </w:pPr>
    </w:p>
    <w:p w14:paraId="7232D1C7">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654C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CD06079">
            <w:pPr>
              <w:spacing w:before="222" w:line="241" w:lineRule="auto"/>
              <w:ind w:left="131"/>
              <w:rPr>
                <w:rFonts w:ascii="黑体" w:hAnsi="黑体" w:eastAsia="黑体" w:cs="黑体"/>
                <w:sz w:val="28"/>
                <w:szCs w:val="28"/>
              </w:rPr>
            </w:pPr>
            <w:bookmarkStart w:id="384" w:name="bookmark40"/>
            <w:bookmarkEnd w:id="384"/>
            <w:r>
              <w:rPr>
                <w:rFonts w:ascii="黑体" w:hAnsi="黑体" w:eastAsia="黑体" w:cs="黑体"/>
                <w:spacing w:val="-2"/>
                <w:sz w:val="28"/>
                <w:szCs w:val="28"/>
              </w:rPr>
              <w:t>序号</w:t>
            </w:r>
          </w:p>
        </w:tc>
        <w:tc>
          <w:tcPr>
            <w:tcW w:w="1440" w:type="dxa"/>
            <w:vAlign w:val="top"/>
          </w:tcPr>
          <w:p w14:paraId="2CD23642">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A919639">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943C464">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84B8E35">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3241E67">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5362CD6E">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C5D4774">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F9A6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7" w:hRule="atLeast"/>
        </w:trPr>
        <w:tc>
          <w:tcPr>
            <w:tcW w:w="818" w:type="dxa"/>
            <w:vMerge w:val="restart"/>
            <w:tcBorders>
              <w:bottom w:val="nil"/>
            </w:tcBorders>
            <w:vAlign w:val="top"/>
          </w:tcPr>
          <w:p w14:paraId="74A82A3B">
            <w:pPr>
              <w:spacing w:line="250" w:lineRule="auto"/>
              <w:rPr>
                <w:rFonts w:ascii="Arial"/>
                <w:sz w:val="21"/>
              </w:rPr>
            </w:pPr>
          </w:p>
          <w:p w14:paraId="4D77A7AD">
            <w:pPr>
              <w:spacing w:line="250" w:lineRule="auto"/>
              <w:rPr>
                <w:rFonts w:ascii="Arial"/>
                <w:sz w:val="21"/>
              </w:rPr>
            </w:pPr>
          </w:p>
          <w:p w14:paraId="5B2B00E9">
            <w:pPr>
              <w:spacing w:line="250" w:lineRule="auto"/>
              <w:rPr>
                <w:rFonts w:ascii="Arial"/>
                <w:sz w:val="21"/>
              </w:rPr>
            </w:pPr>
          </w:p>
          <w:p w14:paraId="16FC02F4">
            <w:pPr>
              <w:spacing w:line="250" w:lineRule="auto"/>
              <w:rPr>
                <w:rFonts w:ascii="Arial"/>
                <w:sz w:val="21"/>
              </w:rPr>
            </w:pPr>
          </w:p>
          <w:p w14:paraId="673F687C">
            <w:pPr>
              <w:spacing w:line="250" w:lineRule="auto"/>
              <w:rPr>
                <w:rFonts w:ascii="Arial"/>
                <w:sz w:val="21"/>
              </w:rPr>
            </w:pPr>
          </w:p>
          <w:p w14:paraId="34FEE7CD">
            <w:pPr>
              <w:spacing w:line="250" w:lineRule="auto"/>
              <w:rPr>
                <w:rFonts w:ascii="Arial"/>
                <w:sz w:val="21"/>
              </w:rPr>
            </w:pPr>
          </w:p>
          <w:p w14:paraId="0A1193EB">
            <w:pPr>
              <w:spacing w:line="250" w:lineRule="auto"/>
              <w:rPr>
                <w:rFonts w:ascii="Arial"/>
                <w:sz w:val="21"/>
              </w:rPr>
            </w:pPr>
          </w:p>
          <w:p w14:paraId="26BCC74A">
            <w:pPr>
              <w:spacing w:line="250" w:lineRule="auto"/>
              <w:rPr>
                <w:rFonts w:ascii="Arial"/>
                <w:sz w:val="21"/>
              </w:rPr>
            </w:pPr>
          </w:p>
          <w:p w14:paraId="2154879F">
            <w:pPr>
              <w:spacing w:line="250" w:lineRule="auto"/>
              <w:rPr>
                <w:rFonts w:ascii="Arial"/>
                <w:sz w:val="21"/>
              </w:rPr>
            </w:pPr>
          </w:p>
          <w:p w14:paraId="5E8DD81D">
            <w:pPr>
              <w:spacing w:line="251" w:lineRule="auto"/>
              <w:rPr>
                <w:rFonts w:ascii="Arial"/>
                <w:sz w:val="21"/>
              </w:rPr>
            </w:pPr>
          </w:p>
          <w:p w14:paraId="712482B4">
            <w:pPr>
              <w:spacing w:before="75" w:line="186" w:lineRule="auto"/>
              <w:ind w:left="252"/>
              <w:rPr>
                <w:rFonts w:ascii="仿宋" w:hAnsi="仿宋" w:eastAsia="仿宋" w:cs="仿宋"/>
                <w:sz w:val="23"/>
                <w:szCs w:val="23"/>
              </w:rPr>
            </w:pPr>
            <w:r>
              <w:rPr>
                <w:rFonts w:ascii="仿宋" w:hAnsi="仿宋" w:eastAsia="仿宋" w:cs="仿宋"/>
                <w:spacing w:val="-10"/>
                <w:sz w:val="23"/>
                <w:szCs w:val="23"/>
              </w:rPr>
              <w:t>18</w:t>
            </w:r>
          </w:p>
        </w:tc>
        <w:tc>
          <w:tcPr>
            <w:tcW w:w="1440" w:type="dxa"/>
            <w:vMerge w:val="restart"/>
            <w:tcBorders>
              <w:bottom w:val="nil"/>
            </w:tcBorders>
            <w:vAlign w:val="top"/>
          </w:tcPr>
          <w:p w14:paraId="7892CBF2">
            <w:pPr>
              <w:rPr>
                <w:rFonts w:ascii="Arial"/>
                <w:sz w:val="21"/>
              </w:rPr>
            </w:pPr>
          </w:p>
          <w:p w14:paraId="08F6A5D9">
            <w:pPr>
              <w:spacing w:line="241" w:lineRule="auto"/>
              <w:rPr>
                <w:rFonts w:ascii="Arial"/>
                <w:sz w:val="21"/>
              </w:rPr>
            </w:pPr>
          </w:p>
          <w:p w14:paraId="47A6775B">
            <w:pPr>
              <w:spacing w:line="241" w:lineRule="auto"/>
              <w:rPr>
                <w:rFonts w:ascii="Arial"/>
                <w:sz w:val="21"/>
              </w:rPr>
            </w:pPr>
          </w:p>
          <w:p w14:paraId="4FFA0905">
            <w:pPr>
              <w:spacing w:line="241" w:lineRule="auto"/>
              <w:rPr>
                <w:rFonts w:ascii="Arial"/>
                <w:sz w:val="21"/>
              </w:rPr>
            </w:pPr>
          </w:p>
          <w:p w14:paraId="131F160A">
            <w:pPr>
              <w:spacing w:line="241" w:lineRule="auto"/>
              <w:rPr>
                <w:rFonts w:ascii="Arial"/>
                <w:sz w:val="21"/>
              </w:rPr>
            </w:pPr>
          </w:p>
          <w:p w14:paraId="392BB074">
            <w:pPr>
              <w:spacing w:line="241" w:lineRule="auto"/>
              <w:rPr>
                <w:rFonts w:ascii="Arial"/>
                <w:sz w:val="21"/>
              </w:rPr>
            </w:pPr>
          </w:p>
          <w:p w14:paraId="03BD104F">
            <w:pPr>
              <w:spacing w:line="241" w:lineRule="auto"/>
              <w:rPr>
                <w:rFonts w:ascii="Arial"/>
                <w:sz w:val="21"/>
              </w:rPr>
            </w:pPr>
          </w:p>
          <w:p w14:paraId="5AD116BD">
            <w:pPr>
              <w:pStyle w:val="6"/>
              <w:spacing w:before="98" w:line="182" w:lineRule="auto"/>
              <w:ind w:left="129"/>
              <w:outlineLvl w:val="0"/>
            </w:pPr>
            <w:r>
              <w:rPr>
                <w:spacing w:val="8"/>
              </w:rPr>
              <w:t>生产经营单</w:t>
            </w:r>
          </w:p>
          <w:p w14:paraId="3A3EDE9F">
            <w:pPr>
              <w:pStyle w:val="6"/>
              <w:spacing w:before="5" w:line="187" w:lineRule="auto"/>
              <w:ind w:left="113" w:right="111" w:firstLine="1"/>
              <w:jc w:val="both"/>
            </w:pPr>
            <w:r>
              <w:rPr>
                <w:spacing w:val="11"/>
              </w:rPr>
              <w:t>位未支付从</w:t>
            </w:r>
            <w:r>
              <w:rPr>
                <w:spacing w:val="12"/>
              </w:rPr>
              <w:t>业人员安全培训期间工资及安全培</w:t>
            </w:r>
            <w:r>
              <w:rPr>
                <w:spacing w:val="6"/>
              </w:rPr>
              <w:t>训费用的</w:t>
            </w:r>
          </w:p>
        </w:tc>
        <w:tc>
          <w:tcPr>
            <w:tcW w:w="3202" w:type="dxa"/>
            <w:vMerge w:val="restart"/>
            <w:tcBorders>
              <w:bottom w:val="nil"/>
            </w:tcBorders>
            <w:vAlign w:val="top"/>
          </w:tcPr>
          <w:p w14:paraId="0D93BF3D">
            <w:pPr>
              <w:pStyle w:val="6"/>
              <w:spacing w:before="24" w:line="188" w:lineRule="auto"/>
              <w:ind w:left="117" w:right="111" w:hanging="19"/>
              <w:jc w:val="both"/>
            </w:pPr>
            <w:r>
              <w:rPr>
                <w:spacing w:val="18"/>
              </w:rPr>
              <w:t>【部门规章】《生产经营单</w:t>
            </w:r>
            <w:r>
              <w:rPr>
                <w:spacing w:val="17"/>
              </w:rPr>
              <w:t>位安全培训规定》第二十三</w:t>
            </w:r>
            <w:r>
              <w:rPr>
                <w:spacing w:val="12"/>
              </w:rPr>
              <w:t>条：生产经营单位安排从业</w:t>
            </w:r>
            <w:r>
              <w:rPr>
                <w:spacing w:val="13"/>
              </w:rPr>
              <w:t>人员进行安全培训期间，应</w:t>
            </w:r>
            <w:bookmarkStart w:id="385" w:name="bookmark42"/>
            <w:bookmarkEnd w:id="385"/>
            <w:r>
              <w:rPr>
                <w:spacing w:val="5"/>
              </w:rPr>
              <w:t>当支付工资和必要的费用。</w:t>
            </w:r>
          </w:p>
        </w:tc>
        <w:tc>
          <w:tcPr>
            <w:tcW w:w="2859" w:type="dxa"/>
            <w:vMerge w:val="restart"/>
            <w:tcBorders>
              <w:bottom w:val="nil"/>
            </w:tcBorders>
            <w:vAlign w:val="top"/>
          </w:tcPr>
          <w:p w14:paraId="1EF9BF11">
            <w:pPr>
              <w:pStyle w:val="6"/>
              <w:spacing w:before="30" w:line="185" w:lineRule="auto"/>
              <w:ind w:left="117" w:right="107" w:hanging="20"/>
            </w:pPr>
            <w:r>
              <w:rPr>
                <w:spacing w:val="10"/>
              </w:rPr>
              <w:t>【部门规章】《生产经营</w:t>
            </w:r>
            <w:r>
              <w:rPr>
                <w:spacing w:val="8"/>
              </w:rPr>
              <w:t>单位安全培训规定》第二十九条第二项：生产经营</w:t>
            </w:r>
            <w:r>
              <w:rPr>
                <w:spacing w:val="7"/>
              </w:rPr>
              <w:t>单位有下列行为之一的，</w:t>
            </w:r>
            <w:r>
              <w:rPr>
                <w:spacing w:val="8"/>
              </w:rPr>
              <w:t>由安全生产监管监察部门责令其限期改正，可以处</w:t>
            </w:r>
            <w:r>
              <w:rPr>
                <w:rFonts w:ascii="宋体" w:hAnsi="宋体" w:eastAsia="宋体" w:cs="宋体"/>
                <w:spacing w:val="6"/>
              </w:rPr>
              <w:t>1</w:t>
            </w:r>
            <w:r>
              <w:rPr>
                <w:spacing w:val="6"/>
              </w:rPr>
              <w:t>万元以上</w:t>
            </w:r>
            <w:r>
              <w:rPr>
                <w:rFonts w:ascii="宋体" w:hAnsi="宋体" w:eastAsia="宋体" w:cs="宋体"/>
                <w:spacing w:val="6"/>
              </w:rPr>
              <w:t>3</w:t>
            </w:r>
            <w:r>
              <w:rPr>
                <w:spacing w:val="6"/>
              </w:rPr>
              <w:t>万元以下的罚款</w:t>
            </w:r>
            <w:r>
              <w:t>：（</w:t>
            </w:r>
            <w:r>
              <w:rPr>
                <w:spacing w:val="6"/>
              </w:rPr>
              <w:t>二）从业人员进</w:t>
            </w:r>
            <w:r>
              <w:rPr>
                <w:spacing w:val="8"/>
              </w:rPr>
              <w:t>行安全培训期间未支付工</w:t>
            </w:r>
            <w:r>
              <w:rPr>
                <w:spacing w:val="32"/>
              </w:rPr>
              <w:t>资并承担安全培训费用</w:t>
            </w:r>
            <w:r>
              <w:rPr>
                <w:spacing w:val="-7"/>
              </w:rPr>
              <w:t>的。</w:t>
            </w:r>
          </w:p>
        </w:tc>
        <w:tc>
          <w:tcPr>
            <w:tcW w:w="803" w:type="dxa"/>
            <w:vAlign w:val="top"/>
          </w:tcPr>
          <w:p w14:paraId="3524ECA1">
            <w:pPr>
              <w:spacing w:line="316" w:lineRule="auto"/>
              <w:rPr>
                <w:rFonts w:ascii="Arial"/>
                <w:sz w:val="21"/>
              </w:rPr>
            </w:pPr>
          </w:p>
          <w:p w14:paraId="2A3953A5">
            <w:pPr>
              <w:spacing w:line="317" w:lineRule="auto"/>
              <w:rPr>
                <w:rFonts w:ascii="Arial"/>
                <w:sz w:val="21"/>
              </w:rPr>
            </w:pPr>
          </w:p>
          <w:p w14:paraId="70AB3FC1">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E6C0C78">
            <w:pPr>
              <w:pStyle w:val="6"/>
              <w:spacing w:before="220" w:line="182" w:lineRule="auto"/>
              <w:ind w:left="118"/>
              <w:outlineLvl w:val="0"/>
            </w:pPr>
            <w:r>
              <w:rPr>
                <w:spacing w:val="26"/>
              </w:rPr>
              <w:t>未支付从业人员安</w:t>
            </w:r>
          </w:p>
          <w:p w14:paraId="41F64D1C">
            <w:pPr>
              <w:pStyle w:val="6"/>
              <w:spacing w:before="1" w:line="191" w:lineRule="auto"/>
              <w:ind w:left="117" w:right="109"/>
              <w:jc w:val="both"/>
            </w:pPr>
            <w:r>
              <w:rPr>
                <w:spacing w:val="26"/>
              </w:rPr>
              <w:t>全培训期间工资及</w:t>
            </w:r>
            <w:r>
              <w:rPr>
                <w:spacing w:val="-3"/>
              </w:rPr>
              <w:t>安全培训费用，涉及</w:t>
            </w:r>
            <w:r>
              <w:rPr>
                <w:rFonts w:ascii="宋体" w:hAnsi="宋体" w:eastAsia="宋体" w:cs="宋体"/>
                <w:spacing w:val="3"/>
              </w:rPr>
              <w:t>3</w:t>
            </w:r>
            <w:r>
              <w:rPr>
                <w:spacing w:val="3"/>
              </w:rPr>
              <w:t>人次以下的</w:t>
            </w:r>
          </w:p>
        </w:tc>
        <w:tc>
          <w:tcPr>
            <w:tcW w:w="2894" w:type="dxa"/>
            <w:vAlign w:val="top"/>
          </w:tcPr>
          <w:p w14:paraId="0D7CA490">
            <w:pPr>
              <w:spacing w:line="270" w:lineRule="auto"/>
              <w:rPr>
                <w:rFonts w:ascii="Arial"/>
                <w:sz w:val="21"/>
              </w:rPr>
            </w:pPr>
          </w:p>
          <w:p w14:paraId="4C04EE2B">
            <w:pPr>
              <w:pStyle w:val="6"/>
              <w:spacing w:before="99" w:line="191" w:lineRule="auto"/>
              <w:ind w:left="127" w:right="104"/>
              <w:jc w:val="both"/>
            </w:pPr>
            <w:r>
              <w:rPr>
                <w:spacing w:val="8"/>
              </w:rPr>
              <w:t>责令限期改正，可以处</w:t>
            </w:r>
            <w:r>
              <w:rPr>
                <w:rFonts w:ascii="宋体" w:hAnsi="宋体" w:eastAsia="宋体" w:cs="宋体"/>
                <w:spacing w:val="8"/>
              </w:rPr>
              <w:t>1</w:t>
            </w:r>
            <w:r>
              <w:rPr>
                <w:spacing w:val="4"/>
              </w:rPr>
              <w:t>万元以上</w:t>
            </w:r>
            <w:r>
              <w:rPr>
                <w:rFonts w:ascii="宋体" w:hAnsi="宋体" w:eastAsia="宋体" w:cs="宋体"/>
                <w:spacing w:val="4"/>
              </w:rPr>
              <w:t>1.5</w:t>
            </w:r>
            <w:r>
              <w:rPr>
                <w:spacing w:val="4"/>
              </w:rPr>
              <w:t>万元以下的</w:t>
            </w:r>
            <w:r>
              <w:rPr>
                <w:spacing w:val="-1"/>
              </w:rPr>
              <w:t>罚款</w:t>
            </w:r>
          </w:p>
        </w:tc>
        <w:tc>
          <w:tcPr>
            <w:tcW w:w="811" w:type="dxa"/>
            <w:vMerge w:val="restart"/>
            <w:tcBorders>
              <w:bottom w:val="nil"/>
            </w:tcBorders>
            <w:vAlign w:val="top"/>
          </w:tcPr>
          <w:p w14:paraId="4038B1C2">
            <w:pPr>
              <w:spacing w:line="249" w:lineRule="auto"/>
              <w:rPr>
                <w:rFonts w:ascii="Arial"/>
                <w:sz w:val="21"/>
              </w:rPr>
            </w:pPr>
          </w:p>
          <w:p w14:paraId="3E9DAA4D">
            <w:pPr>
              <w:spacing w:line="249" w:lineRule="auto"/>
              <w:rPr>
                <w:rFonts w:ascii="Arial"/>
                <w:sz w:val="21"/>
              </w:rPr>
            </w:pPr>
          </w:p>
          <w:p w14:paraId="3ACB5AC8">
            <w:pPr>
              <w:spacing w:line="249" w:lineRule="auto"/>
              <w:rPr>
                <w:rFonts w:ascii="Arial"/>
                <w:sz w:val="21"/>
              </w:rPr>
            </w:pPr>
          </w:p>
          <w:p w14:paraId="3B641EB9">
            <w:pPr>
              <w:spacing w:line="250" w:lineRule="auto"/>
              <w:rPr>
                <w:rFonts w:ascii="Arial"/>
                <w:sz w:val="21"/>
              </w:rPr>
            </w:pPr>
          </w:p>
          <w:p w14:paraId="0318155F">
            <w:pPr>
              <w:spacing w:line="250" w:lineRule="auto"/>
              <w:rPr>
                <w:rFonts w:ascii="Arial"/>
                <w:sz w:val="21"/>
              </w:rPr>
            </w:pPr>
          </w:p>
          <w:p w14:paraId="6879B4F8">
            <w:pPr>
              <w:spacing w:line="250" w:lineRule="auto"/>
              <w:rPr>
                <w:rFonts w:ascii="Arial"/>
                <w:sz w:val="21"/>
              </w:rPr>
            </w:pPr>
          </w:p>
          <w:p w14:paraId="738679C8">
            <w:pPr>
              <w:spacing w:line="250" w:lineRule="auto"/>
              <w:rPr>
                <w:rFonts w:ascii="Arial"/>
                <w:sz w:val="21"/>
              </w:rPr>
            </w:pPr>
          </w:p>
          <w:p w14:paraId="45743829">
            <w:pPr>
              <w:spacing w:line="250" w:lineRule="auto"/>
              <w:rPr>
                <w:rFonts w:ascii="Arial"/>
                <w:sz w:val="21"/>
              </w:rPr>
            </w:pPr>
          </w:p>
          <w:p w14:paraId="29F1D993">
            <w:pPr>
              <w:spacing w:line="250" w:lineRule="auto"/>
              <w:rPr>
                <w:rFonts w:ascii="Arial"/>
                <w:sz w:val="21"/>
              </w:rPr>
            </w:pPr>
          </w:p>
          <w:p w14:paraId="718CFEB9">
            <w:pPr>
              <w:spacing w:line="250" w:lineRule="auto"/>
              <w:rPr>
                <w:rFonts w:ascii="Arial"/>
                <w:sz w:val="21"/>
              </w:rPr>
            </w:pPr>
          </w:p>
          <w:p w14:paraId="19058307">
            <w:pPr>
              <w:spacing w:before="75" w:line="189" w:lineRule="auto"/>
              <w:ind w:left="308"/>
              <w:rPr>
                <w:rFonts w:ascii="宋体" w:hAnsi="宋体" w:eastAsia="宋体" w:cs="宋体"/>
                <w:sz w:val="23"/>
                <w:szCs w:val="23"/>
              </w:rPr>
            </w:pPr>
            <w:r>
              <w:rPr>
                <w:rFonts w:ascii="宋体" w:hAnsi="宋体" w:eastAsia="宋体" w:cs="宋体"/>
                <w:spacing w:val="-10"/>
                <w:sz w:val="23"/>
                <w:szCs w:val="23"/>
              </w:rPr>
              <w:t>11</w:t>
            </w:r>
          </w:p>
        </w:tc>
      </w:tr>
      <w:tr w14:paraId="13C48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8" w:hRule="atLeast"/>
        </w:trPr>
        <w:tc>
          <w:tcPr>
            <w:tcW w:w="818" w:type="dxa"/>
            <w:vMerge w:val="continue"/>
            <w:tcBorders>
              <w:top w:val="nil"/>
              <w:bottom w:val="nil"/>
            </w:tcBorders>
            <w:vAlign w:val="top"/>
          </w:tcPr>
          <w:p w14:paraId="626D8059">
            <w:pPr>
              <w:rPr>
                <w:rFonts w:ascii="Arial"/>
                <w:sz w:val="21"/>
              </w:rPr>
            </w:pPr>
          </w:p>
        </w:tc>
        <w:tc>
          <w:tcPr>
            <w:tcW w:w="1440" w:type="dxa"/>
            <w:vMerge w:val="continue"/>
            <w:tcBorders>
              <w:top w:val="nil"/>
              <w:bottom w:val="nil"/>
            </w:tcBorders>
            <w:vAlign w:val="top"/>
          </w:tcPr>
          <w:p w14:paraId="39F279EC">
            <w:pPr>
              <w:rPr>
                <w:rFonts w:ascii="Arial"/>
                <w:sz w:val="21"/>
              </w:rPr>
            </w:pPr>
          </w:p>
        </w:tc>
        <w:tc>
          <w:tcPr>
            <w:tcW w:w="3202" w:type="dxa"/>
            <w:vMerge w:val="continue"/>
            <w:tcBorders>
              <w:top w:val="nil"/>
              <w:bottom w:val="nil"/>
            </w:tcBorders>
            <w:vAlign w:val="top"/>
          </w:tcPr>
          <w:p w14:paraId="5D3BC8ED">
            <w:pPr>
              <w:rPr>
                <w:rFonts w:ascii="Arial"/>
                <w:sz w:val="21"/>
              </w:rPr>
            </w:pPr>
          </w:p>
        </w:tc>
        <w:tc>
          <w:tcPr>
            <w:tcW w:w="2859" w:type="dxa"/>
            <w:vMerge w:val="continue"/>
            <w:tcBorders>
              <w:top w:val="nil"/>
              <w:bottom w:val="nil"/>
            </w:tcBorders>
            <w:vAlign w:val="top"/>
          </w:tcPr>
          <w:p w14:paraId="2B54BF0F">
            <w:pPr>
              <w:rPr>
                <w:rFonts w:ascii="Arial"/>
                <w:sz w:val="21"/>
              </w:rPr>
            </w:pPr>
          </w:p>
        </w:tc>
        <w:tc>
          <w:tcPr>
            <w:tcW w:w="803" w:type="dxa"/>
            <w:vAlign w:val="top"/>
          </w:tcPr>
          <w:p w14:paraId="2CD17A63">
            <w:pPr>
              <w:spacing w:line="243" w:lineRule="auto"/>
              <w:rPr>
                <w:rFonts w:ascii="Arial"/>
                <w:sz w:val="21"/>
              </w:rPr>
            </w:pPr>
          </w:p>
          <w:p w14:paraId="43CD7B5F">
            <w:pPr>
              <w:spacing w:line="243" w:lineRule="auto"/>
              <w:rPr>
                <w:rFonts w:ascii="Arial"/>
                <w:sz w:val="21"/>
              </w:rPr>
            </w:pPr>
          </w:p>
          <w:p w14:paraId="6387A692">
            <w:pPr>
              <w:spacing w:line="243" w:lineRule="auto"/>
              <w:rPr>
                <w:rFonts w:ascii="Arial"/>
                <w:sz w:val="21"/>
              </w:rPr>
            </w:pPr>
          </w:p>
          <w:p w14:paraId="650F6F4D">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9202EBE">
            <w:pPr>
              <w:pStyle w:val="6"/>
              <w:spacing w:before="159" w:line="188" w:lineRule="auto"/>
              <w:ind w:left="117" w:right="105"/>
              <w:jc w:val="both"/>
            </w:pPr>
            <w:r>
              <w:rPr>
                <w:spacing w:val="26"/>
              </w:rPr>
              <w:t>未支付从业人员安全培训期间工资及</w:t>
            </w:r>
            <w:r>
              <w:rPr>
                <w:spacing w:val="-3"/>
              </w:rPr>
              <w:t>安全培训费用，涉及</w:t>
            </w:r>
            <w:r>
              <w:rPr>
                <w:rFonts w:ascii="宋体" w:hAnsi="宋体" w:eastAsia="宋体" w:cs="宋体"/>
                <w:spacing w:val="5"/>
              </w:rPr>
              <w:t>3</w:t>
            </w:r>
            <w:r>
              <w:rPr>
                <w:spacing w:val="5"/>
              </w:rPr>
              <w:t>人次以上</w:t>
            </w:r>
            <w:r>
              <w:rPr>
                <w:rFonts w:ascii="宋体" w:hAnsi="宋体" w:eastAsia="宋体" w:cs="宋体"/>
                <w:spacing w:val="5"/>
              </w:rPr>
              <w:t>10</w:t>
            </w:r>
            <w:r>
              <w:rPr>
                <w:spacing w:val="5"/>
              </w:rPr>
              <w:t>人次以下的</w:t>
            </w:r>
          </w:p>
        </w:tc>
        <w:tc>
          <w:tcPr>
            <w:tcW w:w="2894" w:type="dxa"/>
            <w:vAlign w:val="top"/>
          </w:tcPr>
          <w:p w14:paraId="48AAFBD3">
            <w:pPr>
              <w:spacing w:line="362" w:lineRule="auto"/>
              <w:rPr>
                <w:rFonts w:ascii="Arial"/>
                <w:sz w:val="21"/>
              </w:rPr>
            </w:pPr>
          </w:p>
          <w:p w14:paraId="5A9D88EE">
            <w:pPr>
              <w:pStyle w:val="6"/>
              <w:spacing w:before="99" w:line="191" w:lineRule="auto"/>
              <w:ind w:left="122" w:right="104" w:firstLine="4"/>
              <w:jc w:val="both"/>
            </w:pPr>
            <w:r>
              <w:rPr>
                <w:spacing w:val="-5"/>
              </w:rPr>
              <w:t>责令限期改正，可以处</w:t>
            </w:r>
            <w:r>
              <w:rPr>
                <w:rFonts w:ascii="宋体" w:hAnsi="宋体" w:eastAsia="宋体" w:cs="宋体"/>
                <w:spacing w:val="-5"/>
              </w:rPr>
              <w:t>1.5</w:t>
            </w:r>
            <w:r>
              <w:rPr>
                <w:spacing w:val="7"/>
              </w:rPr>
              <w:t>万元以上</w:t>
            </w:r>
            <w:r>
              <w:rPr>
                <w:rFonts w:ascii="宋体" w:hAnsi="宋体" w:eastAsia="宋体" w:cs="宋体"/>
                <w:spacing w:val="7"/>
              </w:rPr>
              <w:t>2</w:t>
            </w:r>
            <w:r>
              <w:rPr>
                <w:spacing w:val="7"/>
              </w:rPr>
              <w:t>万元以下的罚</w:t>
            </w:r>
            <w:r>
              <w:t>款</w:t>
            </w:r>
          </w:p>
        </w:tc>
        <w:tc>
          <w:tcPr>
            <w:tcW w:w="811" w:type="dxa"/>
            <w:vMerge w:val="continue"/>
            <w:tcBorders>
              <w:top w:val="nil"/>
              <w:bottom w:val="nil"/>
            </w:tcBorders>
            <w:vAlign w:val="top"/>
          </w:tcPr>
          <w:p w14:paraId="5B9DAB3D">
            <w:pPr>
              <w:rPr>
                <w:rFonts w:ascii="Arial"/>
                <w:sz w:val="21"/>
              </w:rPr>
            </w:pPr>
          </w:p>
        </w:tc>
      </w:tr>
      <w:tr w14:paraId="60BC0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0" w:hRule="atLeast"/>
        </w:trPr>
        <w:tc>
          <w:tcPr>
            <w:tcW w:w="818" w:type="dxa"/>
            <w:vMerge w:val="continue"/>
            <w:tcBorders>
              <w:top w:val="nil"/>
            </w:tcBorders>
            <w:vAlign w:val="top"/>
          </w:tcPr>
          <w:p w14:paraId="2665D1B3">
            <w:pPr>
              <w:rPr>
                <w:rFonts w:ascii="Arial"/>
                <w:sz w:val="21"/>
              </w:rPr>
            </w:pPr>
          </w:p>
        </w:tc>
        <w:tc>
          <w:tcPr>
            <w:tcW w:w="1440" w:type="dxa"/>
            <w:vMerge w:val="continue"/>
            <w:tcBorders>
              <w:top w:val="nil"/>
            </w:tcBorders>
            <w:vAlign w:val="top"/>
          </w:tcPr>
          <w:p w14:paraId="138D1693">
            <w:pPr>
              <w:rPr>
                <w:rFonts w:ascii="Arial"/>
                <w:sz w:val="21"/>
              </w:rPr>
            </w:pPr>
          </w:p>
        </w:tc>
        <w:tc>
          <w:tcPr>
            <w:tcW w:w="3202" w:type="dxa"/>
            <w:vMerge w:val="continue"/>
            <w:tcBorders>
              <w:top w:val="nil"/>
            </w:tcBorders>
            <w:vAlign w:val="top"/>
          </w:tcPr>
          <w:p w14:paraId="58C95317">
            <w:pPr>
              <w:rPr>
                <w:rFonts w:ascii="Arial"/>
                <w:sz w:val="21"/>
              </w:rPr>
            </w:pPr>
          </w:p>
        </w:tc>
        <w:tc>
          <w:tcPr>
            <w:tcW w:w="2859" w:type="dxa"/>
            <w:vMerge w:val="continue"/>
            <w:tcBorders>
              <w:top w:val="nil"/>
            </w:tcBorders>
            <w:vAlign w:val="top"/>
          </w:tcPr>
          <w:p w14:paraId="5C67F10E">
            <w:pPr>
              <w:rPr>
                <w:rFonts w:ascii="Arial"/>
                <w:sz w:val="21"/>
              </w:rPr>
            </w:pPr>
          </w:p>
        </w:tc>
        <w:tc>
          <w:tcPr>
            <w:tcW w:w="803" w:type="dxa"/>
            <w:vAlign w:val="top"/>
          </w:tcPr>
          <w:p w14:paraId="338996E3">
            <w:pPr>
              <w:spacing w:line="276" w:lineRule="auto"/>
              <w:rPr>
                <w:rFonts w:ascii="Arial"/>
                <w:sz w:val="21"/>
              </w:rPr>
            </w:pPr>
          </w:p>
          <w:p w14:paraId="3F8C2B69">
            <w:pPr>
              <w:spacing w:line="276" w:lineRule="auto"/>
              <w:rPr>
                <w:rFonts w:ascii="Arial"/>
                <w:sz w:val="21"/>
              </w:rPr>
            </w:pPr>
          </w:p>
          <w:p w14:paraId="32C93EFF">
            <w:pPr>
              <w:spacing w:line="277" w:lineRule="auto"/>
              <w:rPr>
                <w:rFonts w:ascii="Arial"/>
                <w:sz w:val="21"/>
              </w:rPr>
            </w:pPr>
          </w:p>
          <w:p w14:paraId="346F470F">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1C49078">
            <w:pPr>
              <w:spacing w:line="314" w:lineRule="auto"/>
              <w:rPr>
                <w:rFonts w:ascii="Arial"/>
                <w:sz w:val="21"/>
              </w:rPr>
            </w:pPr>
          </w:p>
          <w:p w14:paraId="2A6D4863">
            <w:pPr>
              <w:pStyle w:val="6"/>
              <w:spacing w:before="98" w:line="189" w:lineRule="auto"/>
              <w:ind w:left="117" w:right="109"/>
              <w:jc w:val="both"/>
            </w:pPr>
            <w:r>
              <w:rPr>
                <w:spacing w:val="26"/>
              </w:rPr>
              <w:t>未支付从业人员安全培训期间工资及</w:t>
            </w:r>
            <w:r>
              <w:rPr>
                <w:spacing w:val="-3"/>
              </w:rPr>
              <w:t>安全培训费用，涉及</w:t>
            </w:r>
            <w:r>
              <w:rPr>
                <w:rFonts w:ascii="宋体" w:hAnsi="宋体" w:eastAsia="宋体" w:cs="宋体"/>
                <w:spacing w:val="3"/>
              </w:rPr>
              <w:t>10</w:t>
            </w:r>
            <w:r>
              <w:rPr>
                <w:spacing w:val="3"/>
              </w:rPr>
              <w:t>人次以上的</w:t>
            </w:r>
          </w:p>
        </w:tc>
        <w:tc>
          <w:tcPr>
            <w:tcW w:w="2894" w:type="dxa"/>
            <w:vAlign w:val="top"/>
          </w:tcPr>
          <w:p w14:paraId="3600CA13">
            <w:pPr>
              <w:spacing w:line="463" w:lineRule="auto"/>
              <w:rPr>
                <w:rFonts w:ascii="Arial"/>
                <w:sz w:val="21"/>
              </w:rPr>
            </w:pPr>
          </w:p>
          <w:p w14:paraId="46D904D5">
            <w:pPr>
              <w:pStyle w:val="6"/>
              <w:spacing w:before="99" w:line="191" w:lineRule="auto"/>
              <w:ind w:left="122" w:right="104" w:firstLine="4"/>
              <w:jc w:val="both"/>
            </w:pPr>
            <w:r>
              <w:rPr>
                <w:spacing w:val="10"/>
              </w:rPr>
              <w:t>责令限期改正，可以处</w:t>
            </w:r>
            <w:r>
              <w:rPr>
                <w:rFonts w:ascii="宋体" w:hAnsi="宋体" w:eastAsia="宋体" w:cs="宋体"/>
                <w:spacing w:val="10"/>
              </w:rPr>
              <w:t>2</w:t>
            </w:r>
            <w:r>
              <w:rPr>
                <w:spacing w:val="7"/>
              </w:rPr>
              <w:t>万元以上</w:t>
            </w:r>
            <w:r>
              <w:rPr>
                <w:rFonts w:ascii="宋体" w:hAnsi="宋体" w:eastAsia="宋体" w:cs="宋体"/>
                <w:spacing w:val="7"/>
              </w:rPr>
              <w:t>3</w:t>
            </w:r>
            <w:r>
              <w:rPr>
                <w:spacing w:val="7"/>
              </w:rPr>
              <w:t>万元以下的罚</w:t>
            </w:r>
            <w:r>
              <w:t>款</w:t>
            </w:r>
          </w:p>
        </w:tc>
        <w:tc>
          <w:tcPr>
            <w:tcW w:w="811" w:type="dxa"/>
            <w:vMerge w:val="continue"/>
            <w:tcBorders>
              <w:top w:val="nil"/>
            </w:tcBorders>
            <w:vAlign w:val="top"/>
          </w:tcPr>
          <w:p w14:paraId="4C746798">
            <w:pPr>
              <w:rPr>
                <w:rFonts w:ascii="Arial"/>
                <w:sz w:val="21"/>
              </w:rPr>
            </w:pPr>
          </w:p>
        </w:tc>
      </w:tr>
      <w:tr w14:paraId="26BC5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restart"/>
            <w:tcBorders>
              <w:bottom w:val="nil"/>
            </w:tcBorders>
            <w:vAlign w:val="top"/>
          </w:tcPr>
          <w:p w14:paraId="65E158F0">
            <w:pPr>
              <w:spacing w:line="275" w:lineRule="auto"/>
              <w:rPr>
                <w:rFonts w:ascii="Arial"/>
                <w:sz w:val="21"/>
              </w:rPr>
            </w:pPr>
          </w:p>
          <w:p w14:paraId="172ED41C">
            <w:pPr>
              <w:spacing w:line="275" w:lineRule="auto"/>
              <w:rPr>
                <w:rFonts w:ascii="Arial"/>
                <w:sz w:val="21"/>
              </w:rPr>
            </w:pPr>
          </w:p>
          <w:p w14:paraId="65B81A4B">
            <w:pPr>
              <w:spacing w:line="275" w:lineRule="auto"/>
              <w:rPr>
                <w:rFonts w:ascii="Arial"/>
                <w:sz w:val="21"/>
              </w:rPr>
            </w:pPr>
          </w:p>
          <w:p w14:paraId="75AB0C15">
            <w:pPr>
              <w:spacing w:line="275" w:lineRule="auto"/>
              <w:rPr>
                <w:rFonts w:ascii="Arial"/>
                <w:sz w:val="21"/>
              </w:rPr>
            </w:pPr>
          </w:p>
          <w:p w14:paraId="0E1E6D01">
            <w:pPr>
              <w:spacing w:line="275" w:lineRule="auto"/>
              <w:rPr>
                <w:rFonts w:ascii="Arial"/>
                <w:sz w:val="21"/>
              </w:rPr>
            </w:pPr>
          </w:p>
          <w:p w14:paraId="31EEE2AD">
            <w:pPr>
              <w:spacing w:line="275" w:lineRule="auto"/>
              <w:rPr>
                <w:rFonts w:ascii="Arial"/>
                <w:sz w:val="21"/>
              </w:rPr>
            </w:pPr>
          </w:p>
          <w:p w14:paraId="45AB483D">
            <w:pPr>
              <w:spacing w:before="74" w:line="186" w:lineRule="auto"/>
              <w:ind w:left="252"/>
              <w:rPr>
                <w:rFonts w:ascii="仿宋" w:hAnsi="仿宋" w:eastAsia="仿宋" w:cs="仿宋"/>
                <w:sz w:val="23"/>
                <w:szCs w:val="23"/>
              </w:rPr>
            </w:pPr>
            <w:r>
              <w:rPr>
                <w:rFonts w:ascii="仿宋" w:hAnsi="仿宋" w:eastAsia="仿宋" w:cs="仿宋"/>
                <w:spacing w:val="-10"/>
                <w:sz w:val="23"/>
                <w:szCs w:val="23"/>
              </w:rPr>
              <w:t>19</w:t>
            </w:r>
          </w:p>
        </w:tc>
        <w:tc>
          <w:tcPr>
            <w:tcW w:w="1440" w:type="dxa"/>
            <w:vMerge w:val="restart"/>
            <w:tcBorders>
              <w:bottom w:val="nil"/>
            </w:tcBorders>
            <w:vAlign w:val="top"/>
          </w:tcPr>
          <w:p w14:paraId="0370D30C">
            <w:pPr>
              <w:spacing w:line="244" w:lineRule="auto"/>
              <w:rPr>
                <w:rFonts w:ascii="Arial"/>
                <w:sz w:val="21"/>
              </w:rPr>
            </w:pPr>
          </w:p>
          <w:p w14:paraId="5ED4EEB2">
            <w:pPr>
              <w:spacing w:line="245" w:lineRule="auto"/>
              <w:rPr>
                <w:rFonts w:ascii="Arial"/>
                <w:sz w:val="21"/>
              </w:rPr>
            </w:pPr>
          </w:p>
          <w:p w14:paraId="360A3B56">
            <w:pPr>
              <w:spacing w:line="245" w:lineRule="auto"/>
              <w:rPr>
                <w:rFonts w:ascii="Arial"/>
                <w:sz w:val="21"/>
              </w:rPr>
            </w:pPr>
          </w:p>
          <w:p w14:paraId="36C98DB5">
            <w:pPr>
              <w:spacing w:line="245" w:lineRule="auto"/>
              <w:rPr>
                <w:rFonts w:ascii="Arial"/>
                <w:sz w:val="21"/>
              </w:rPr>
            </w:pPr>
          </w:p>
          <w:p w14:paraId="47B9CDDB">
            <w:pPr>
              <w:pStyle w:val="6"/>
              <w:spacing w:before="98" w:line="188" w:lineRule="auto"/>
              <w:ind w:left="115" w:right="111" w:firstLine="13"/>
              <w:jc w:val="both"/>
            </w:pPr>
            <w:r>
              <w:rPr>
                <w:spacing w:val="8"/>
              </w:rPr>
              <w:t>生产经营单</w:t>
            </w:r>
            <w:r>
              <w:rPr>
                <w:spacing w:val="11"/>
              </w:rPr>
              <w:t>位从业人员安全培训的时间不符合</w:t>
            </w:r>
            <w:r>
              <w:rPr>
                <w:spacing w:val="5"/>
              </w:rPr>
              <w:t>规定的</w:t>
            </w:r>
          </w:p>
        </w:tc>
        <w:tc>
          <w:tcPr>
            <w:tcW w:w="3202" w:type="dxa"/>
            <w:vMerge w:val="restart"/>
            <w:tcBorders>
              <w:bottom w:val="nil"/>
            </w:tcBorders>
            <w:vAlign w:val="top"/>
          </w:tcPr>
          <w:p w14:paraId="7DF51F93">
            <w:pPr>
              <w:pStyle w:val="6"/>
              <w:spacing w:before="37" w:line="182" w:lineRule="auto"/>
              <w:ind w:left="113" w:right="42" w:firstLine="17"/>
              <w:jc w:val="both"/>
            </w:pPr>
            <w:r>
              <w:rPr>
                <w:rFonts w:ascii="宋体" w:hAnsi="宋体" w:eastAsia="宋体" w:cs="宋体"/>
                <w:spacing w:val="14"/>
              </w:rPr>
              <w:t>1.</w:t>
            </w:r>
            <w:r>
              <w:rPr>
                <w:spacing w:val="14"/>
              </w:rPr>
              <w:t>【部门规章】《生产经营</w:t>
            </w:r>
            <w:r>
              <w:rPr>
                <w:spacing w:val="3"/>
              </w:rPr>
              <w:t>单位安全培训规定》第九条：</w:t>
            </w:r>
            <w:r>
              <w:rPr>
                <w:spacing w:val="17"/>
              </w:rPr>
              <w:t>生产经营单位主要负责人和安全生产管理人员初次安全</w:t>
            </w:r>
            <w:r>
              <w:rPr>
                <w:spacing w:val="2"/>
              </w:rPr>
              <w:t>培训时间不得少于</w:t>
            </w:r>
            <w:r>
              <w:rPr>
                <w:rFonts w:ascii="宋体" w:hAnsi="宋体" w:eastAsia="宋体" w:cs="宋体"/>
                <w:spacing w:val="2"/>
              </w:rPr>
              <w:t>32</w:t>
            </w:r>
            <w:r>
              <w:rPr>
                <w:spacing w:val="2"/>
              </w:rPr>
              <w:t>学时。</w:t>
            </w:r>
            <w:r>
              <w:rPr>
                <w:spacing w:val="5"/>
              </w:rPr>
              <w:t>每年再培训时间不得少于</w:t>
            </w:r>
            <w:r>
              <w:rPr>
                <w:rFonts w:ascii="宋体" w:hAnsi="宋体" w:eastAsia="宋体" w:cs="宋体"/>
                <w:spacing w:val="5"/>
              </w:rPr>
              <w:t>12</w:t>
            </w:r>
            <w:r>
              <w:rPr>
                <w:spacing w:val="-4"/>
              </w:rPr>
              <w:t>学时。</w:t>
            </w:r>
          </w:p>
          <w:p w14:paraId="42C5E3DA">
            <w:pPr>
              <w:pStyle w:val="6"/>
              <w:spacing w:before="1" w:line="179" w:lineRule="auto"/>
              <w:ind w:left="115" w:right="111"/>
              <w:jc w:val="both"/>
            </w:pPr>
            <w:r>
              <w:rPr>
                <w:spacing w:val="17"/>
              </w:rPr>
              <w:t>煤矿、非煤矿山、危险化学品、烟花爆竹、金属冶炼等生产经营单位主要负责人和安全生产管理人员初次安全</w:t>
            </w:r>
            <w:r>
              <w:rPr>
                <w:spacing w:val="2"/>
              </w:rPr>
              <w:t>培训时间不得少于</w:t>
            </w:r>
            <w:r>
              <w:rPr>
                <w:rFonts w:ascii="宋体" w:hAnsi="宋体" w:eastAsia="宋体" w:cs="宋体"/>
                <w:spacing w:val="2"/>
              </w:rPr>
              <w:t>48</w:t>
            </w:r>
            <w:r>
              <w:rPr>
                <w:spacing w:val="2"/>
              </w:rPr>
              <w:t>学时，</w:t>
            </w:r>
          </w:p>
        </w:tc>
        <w:tc>
          <w:tcPr>
            <w:tcW w:w="2859" w:type="dxa"/>
            <w:vMerge w:val="restart"/>
            <w:tcBorders>
              <w:bottom w:val="nil"/>
            </w:tcBorders>
            <w:vAlign w:val="top"/>
          </w:tcPr>
          <w:p w14:paraId="2BA9D8B8">
            <w:pPr>
              <w:pStyle w:val="6"/>
              <w:spacing w:before="37" w:line="185" w:lineRule="auto"/>
              <w:ind w:left="114" w:right="108" w:hanging="17"/>
              <w:jc w:val="both"/>
            </w:pPr>
            <w:r>
              <w:rPr>
                <w:spacing w:val="10"/>
              </w:rPr>
              <w:t>【部门规章】《安全生产</w:t>
            </w:r>
            <w:r>
              <w:rPr>
                <w:spacing w:val="8"/>
              </w:rPr>
              <w:t>培训管理办法》第三十六条第一项：生产经营单位有下列情形之一的，责令</w:t>
            </w:r>
            <w:r>
              <w:rPr>
                <w:spacing w:val="5"/>
              </w:rPr>
              <w:t>改正，处</w:t>
            </w:r>
            <w:r>
              <w:rPr>
                <w:rFonts w:ascii="宋体" w:hAnsi="宋体" w:eastAsia="宋体" w:cs="宋体"/>
                <w:spacing w:val="5"/>
              </w:rPr>
              <w:t>3</w:t>
            </w:r>
            <w:r>
              <w:rPr>
                <w:spacing w:val="5"/>
              </w:rPr>
              <w:t>万元以下的罚</w:t>
            </w:r>
            <w:r>
              <w:rPr>
                <w:spacing w:val="-3"/>
              </w:rPr>
              <w:t>款</w:t>
            </w:r>
            <w:r>
              <w:rPr>
                <w:spacing w:val="-7"/>
              </w:rPr>
              <w:t>：（</w:t>
            </w:r>
            <w:r>
              <w:rPr>
                <w:spacing w:val="-3"/>
              </w:rPr>
              <w:t>一）从业人员安全</w:t>
            </w:r>
            <w:r>
              <w:rPr>
                <w:spacing w:val="8"/>
              </w:rPr>
              <w:t>培训的时间少于《生产经营单位安全培训规定》或</w:t>
            </w:r>
            <w:r>
              <w:rPr>
                <w:spacing w:val="3"/>
              </w:rPr>
              <w:t>者有关标准规定的；</w:t>
            </w:r>
          </w:p>
        </w:tc>
        <w:tc>
          <w:tcPr>
            <w:tcW w:w="803" w:type="dxa"/>
            <w:vAlign w:val="top"/>
          </w:tcPr>
          <w:p w14:paraId="17CCF550">
            <w:pPr>
              <w:spacing w:line="248" w:lineRule="auto"/>
              <w:rPr>
                <w:rFonts w:ascii="Arial"/>
                <w:sz w:val="21"/>
              </w:rPr>
            </w:pPr>
          </w:p>
          <w:p w14:paraId="62630369">
            <w:pPr>
              <w:spacing w:line="248" w:lineRule="auto"/>
              <w:rPr>
                <w:rFonts w:ascii="Arial"/>
                <w:sz w:val="21"/>
              </w:rPr>
            </w:pPr>
          </w:p>
          <w:p w14:paraId="4D274BD5">
            <w:pPr>
              <w:spacing w:line="249" w:lineRule="auto"/>
              <w:rPr>
                <w:rFonts w:ascii="Arial"/>
                <w:sz w:val="21"/>
              </w:rPr>
            </w:pPr>
          </w:p>
          <w:p w14:paraId="70D32754">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6F13AAA8">
            <w:pPr>
              <w:pStyle w:val="6"/>
              <w:spacing w:before="28" w:line="179" w:lineRule="auto"/>
              <w:ind w:left="117" w:right="106" w:firstLine="2"/>
              <w:jc w:val="both"/>
            </w:pPr>
            <w:r>
              <w:rPr>
                <w:spacing w:val="26"/>
              </w:rPr>
              <w:t>从业人员安全培训</w:t>
            </w:r>
            <w:r>
              <w:rPr>
                <w:spacing w:val="-5"/>
              </w:rPr>
              <w:t>的时间少于《生产经</w:t>
            </w:r>
            <w:r>
              <w:rPr>
                <w:spacing w:val="26"/>
              </w:rPr>
              <w:t>营单位安全培训规</w:t>
            </w:r>
            <w:r>
              <w:rPr>
                <w:spacing w:val="-3"/>
              </w:rPr>
              <w:t>定》或者有关标准规</w:t>
            </w:r>
            <w:r>
              <w:rPr>
                <w:spacing w:val="-5"/>
              </w:rPr>
              <w:t>定，涉及</w:t>
            </w:r>
            <w:r>
              <w:rPr>
                <w:rFonts w:ascii="宋体" w:hAnsi="宋体" w:eastAsia="宋体" w:cs="宋体"/>
                <w:spacing w:val="-5"/>
              </w:rPr>
              <w:t>3</w:t>
            </w:r>
            <w:r>
              <w:rPr>
                <w:spacing w:val="-5"/>
              </w:rPr>
              <w:t>人次以下</w:t>
            </w:r>
            <w:r>
              <w:t>的</w:t>
            </w:r>
          </w:p>
        </w:tc>
        <w:tc>
          <w:tcPr>
            <w:tcW w:w="2894" w:type="dxa"/>
            <w:vAlign w:val="top"/>
          </w:tcPr>
          <w:p w14:paraId="65C68E25">
            <w:pPr>
              <w:spacing w:line="265" w:lineRule="auto"/>
              <w:rPr>
                <w:rFonts w:ascii="Arial"/>
                <w:sz w:val="21"/>
              </w:rPr>
            </w:pPr>
          </w:p>
          <w:p w14:paraId="71FC4107">
            <w:pPr>
              <w:spacing w:line="265" w:lineRule="auto"/>
              <w:rPr>
                <w:rFonts w:ascii="Arial"/>
                <w:sz w:val="21"/>
              </w:rPr>
            </w:pPr>
          </w:p>
          <w:p w14:paraId="6A373BA5">
            <w:pPr>
              <w:pStyle w:val="6"/>
              <w:spacing w:before="99" w:line="196" w:lineRule="auto"/>
              <w:ind w:left="140" w:right="106" w:hanging="13"/>
            </w:pPr>
            <w:r>
              <w:rPr>
                <w:spacing w:val="2"/>
              </w:rPr>
              <w:t>责令改正，处</w:t>
            </w:r>
            <w:r>
              <w:rPr>
                <w:rFonts w:ascii="宋体" w:hAnsi="宋体" w:eastAsia="宋体" w:cs="宋体"/>
                <w:spacing w:val="2"/>
              </w:rPr>
              <w:t>1</w:t>
            </w:r>
            <w:r>
              <w:rPr>
                <w:spacing w:val="2"/>
              </w:rPr>
              <w:t>万元以下</w:t>
            </w:r>
            <w:r>
              <w:rPr>
                <w:spacing w:val="-2"/>
              </w:rPr>
              <w:t>的罚款</w:t>
            </w:r>
          </w:p>
        </w:tc>
        <w:tc>
          <w:tcPr>
            <w:tcW w:w="811" w:type="dxa"/>
            <w:vMerge w:val="restart"/>
            <w:tcBorders>
              <w:bottom w:val="nil"/>
            </w:tcBorders>
            <w:vAlign w:val="top"/>
          </w:tcPr>
          <w:p w14:paraId="0A3CEA92">
            <w:pPr>
              <w:spacing w:line="274" w:lineRule="auto"/>
              <w:rPr>
                <w:rFonts w:ascii="Arial"/>
                <w:sz w:val="21"/>
              </w:rPr>
            </w:pPr>
          </w:p>
          <w:p w14:paraId="4A501702">
            <w:pPr>
              <w:spacing w:line="274" w:lineRule="auto"/>
              <w:rPr>
                <w:rFonts w:ascii="Arial"/>
                <w:sz w:val="21"/>
              </w:rPr>
            </w:pPr>
          </w:p>
          <w:p w14:paraId="2DD4CD0F">
            <w:pPr>
              <w:spacing w:line="274" w:lineRule="auto"/>
              <w:rPr>
                <w:rFonts w:ascii="Arial"/>
                <w:sz w:val="21"/>
              </w:rPr>
            </w:pPr>
          </w:p>
          <w:p w14:paraId="31B7294D">
            <w:pPr>
              <w:spacing w:line="274" w:lineRule="auto"/>
              <w:rPr>
                <w:rFonts w:ascii="Arial"/>
                <w:sz w:val="21"/>
              </w:rPr>
            </w:pPr>
          </w:p>
          <w:p w14:paraId="6AE9A4D0">
            <w:pPr>
              <w:spacing w:line="275" w:lineRule="auto"/>
              <w:rPr>
                <w:rFonts w:ascii="Arial"/>
                <w:sz w:val="21"/>
              </w:rPr>
            </w:pPr>
          </w:p>
          <w:p w14:paraId="5BAFBCD5">
            <w:pPr>
              <w:spacing w:line="275" w:lineRule="auto"/>
              <w:rPr>
                <w:rFonts w:ascii="Arial"/>
                <w:sz w:val="21"/>
              </w:rPr>
            </w:pPr>
          </w:p>
          <w:p w14:paraId="3ABDC941">
            <w:pPr>
              <w:spacing w:before="74" w:line="189" w:lineRule="auto"/>
              <w:ind w:left="308"/>
              <w:rPr>
                <w:rFonts w:ascii="宋体" w:hAnsi="宋体" w:eastAsia="宋体" w:cs="宋体"/>
                <w:sz w:val="23"/>
                <w:szCs w:val="23"/>
              </w:rPr>
            </w:pPr>
            <w:r>
              <w:rPr>
                <w:rFonts w:ascii="宋体" w:hAnsi="宋体" w:eastAsia="宋体" w:cs="宋体"/>
                <w:spacing w:val="-10"/>
                <w:sz w:val="23"/>
                <w:szCs w:val="23"/>
              </w:rPr>
              <w:t>12</w:t>
            </w:r>
          </w:p>
        </w:tc>
      </w:tr>
      <w:tr w14:paraId="65C87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818" w:type="dxa"/>
            <w:vMerge w:val="continue"/>
            <w:tcBorders>
              <w:top w:val="nil"/>
            </w:tcBorders>
            <w:vAlign w:val="top"/>
          </w:tcPr>
          <w:p w14:paraId="616761E1">
            <w:pPr>
              <w:rPr>
                <w:rFonts w:ascii="Arial"/>
                <w:sz w:val="21"/>
              </w:rPr>
            </w:pPr>
          </w:p>
        </w:tc>
        <w:tc>
          <w:tcPr>
            <w:tcW w:w="1440" w:type="dxa"/>
            <w:vMerge w:val="continue"/>
            <w:tcBorders>
              <w:top w:val="nil"/>
            </w:tcBorders>
            <w:vAlign w:val="top"/>
          </w:tcPr>
          <w:p w14:paraId="16C67932">
            <w:pPr>
              <w:rPr>
                <w:rFonts w:ascii="Arial"/>
                <w:sz w:val="21"/>
              </w:rPr>
            </w:pPr>
          </w:p>
        </w:tc>
        <w:tc>
          <w:tcPr>
            <w:tcW w:w="3202" w:type="dxa"/>
            <w:vMerge w:val="continue"/>
            <w:tcBorders>
              <w:top w:val="nil"/>
            </w:tcBorders>
            <w:vAlign w:val="top"/>
          </w:tcPr>
          <w:p w14:paraId="4FB13F05">
            <w:pPr>
              <w:rPr>
                <w:rFonts w:ascii="Arial"/>
                <w:sz w:val="21"/>
              </w:rPr>
            </w:pPr>
          </w:p>
        </w:tc>
        <w:tc>
          <w:tcPr>
            <w:tcW w:w="2859" w:type="dxa"/>
            <w:vMerge w:val="continue"/>
            <w:tcBorders>
              <w:top w:val="nil"/>
            </w:tcBorders>
            <w:vAlign w:val="top"/>
          </w:tcPr>
          <w:p w14:paraId="084986AD">
            <w:pPr>
              <w:rPr>
                <w:rFonts w:ascii="Arial"/>
                <w:sz w:val="21"/>
              </w:rPr>
            </w:pPr>
          </w:p>
        </w:tc>
        <w:tc>
          <w:tcPr>
            <w:tcW w:w="803" w:type="dxa"/>
            <w:vAlign w:val="top"/>
          </w:tcPr>
          <w:p w14:paraId="4BDB840E">
            <w:pPr>
              <w:spacing w:line="250" w:lineRule="auto"/>
              <w:rPr>
                <w:rFonts w:ascii="Arial"/>
                <w:sz w:val="21"/>
              </w:rPr>
            </w:pPr>
          </w:p>
          <w:p w14:paraId="0FB36A54">
            <w:pPr>
              <w:spacing w:line="250" w:lineRule="auto"/>
              <w:rPr>
                <w:rFonts w:ascii="Arial"/>
                <w:sz w:val="21"/>
              </w:rPr>
            </w:pPr>
          </w:p>
          <w:p w14:paraId="70627A06">
            <w:pPr>
              <w:spacing w:line="250" w:lineRule="auto"/>
              <w:rPr>
                <w:rFonts w:ascii="Arial"/>
                <w:sz w:val="21"/>
              </w:rPr>
            </w:pPr>
          </w:p>
          <w:p w14:paraId="4437B453">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22086DC">
            <w:pPr>
              <w:pStyle w:val="6"/>
              <w:spacing w:before="31" w:line="179" w:lineRule="auto"/>
              <w:ind w:left="117" w:right="106" w:firstLine="2"/>
              <w:jc w:val="both"/>
            </w:pPr>
            <w:r>
              <w:rPr>
                <w:spacing w:val="26"/>
              </w:rPr>
              <w:t>从业人员安全培训</w:t>
            </w:r>
            <w:r>
              <w:rPr>
                <w:spacing w:val="-5"/>
              </w:rPr>
              <w:t>的时间少于《生产经</w:t>
            </w:r>
            <w:r>
              <w:rPr>
                <w:spacing w:val="26"/>
              </w:rPr>
              <w:t>营单位安全培训规</w:t>
            </w:r>
            <w:r>
              <w:rPr>
                <w:spacing w:val="-3"/>
              </w:rPr>
              <w:t>定》或者有关标准规</w:t>
            </w:r>
            <w:r>
              <w:rPr>
                <w:spacing w:val="-5"/>
              </w:rPr>
              <w:t>定，涉及</w:t>
            </w:r>
            <w:r>
              <w:rPr>
                <w:rFonts w:ascii="宋体" w:hAnsi="宋体" w:eastAsia="宋体" w:cs="宋体"/>
                <w:spacing w:val="-5"/>
              </w:rPr>
              <w:t>3</w:t>
            </w:r>
            <w:r>
              <w:rPr>
                <w:spacing w:val="-5"/>
              </w:rPr>
              <w:t>人次以上</w:t>
            </w:r>
            <w:r>
              <w:rPr>
                <w:rFonts w:ascii="宋体" w:hAnsi="宋体" w:eastAsia="宋体" w:cs="宋体"/>
                <w:spacing w:val="3"/>
              </w:rPr>
              <w:t>10</w:t>
            </w:r>
            <w:r>
              <w:rPr>
                <w:spacing w:val="3"/>
              </w:rPr>
              <w:t>人次以下的</w:t>
            </w:r>
          </w:p>
        </w:tc>
        <w:tc>
          <w:tcPr>
            <w:tcW w:w="2894" w:type="dxa"/>
            <w:vAlign w:val="top"/>
          </w:tcPr>
          <w:p w14:paraId="04D3D9AF">
            <w:pPr>
              <w:spacing w:line="266" w:lineRule="auto"/>
              <w:rPr>
                <w:rFonts w:ascii="Arial"/>
                <w:sz w:val="21"/>
              </w:rPr>
            </w:pPr>
          </w:p>
          <w:p w14:paraId="68871F8A">
            <w:pPr>
              <w:spacing w:line="266" w:lineRule="auto"/>
              <w:rPr>
                <w:rFonts w:ascii="Arial"/>
                <w:sz w:val="21"/>
              </w:rPr>
            </w:pPr>
          </w:p>
          <w:p w14:paraId="30C37461">
            <w:pPr>
              <w:pStyle w:val="6"/>
              <w:spacing w:before="98" w:line="182" w:lineRule="auto"/>
              <w:ind w:left="127"/>
            </w:pPr>
            <w:r>
              <w:rPr>
                <w:spacing w:val="2"/>
              </w:rPr>
              <w:t>责令改正，处</w:t>
            </w:r>
            <w:r>
              <w:rPr>
                <w:rFonts w:ascii="宋体" w:hAnsi="宋体" w:eastAsia="宋体" w:cs="宋体"/>
                <w:spacing w:val="2"/>
              </w:rPr>
              <w:t>1</w:t>
            </w:r>
            <w:r>
              <w:rPr>
                <w:spacing w:val="2"/>
              </w:rPr>
              <w:t>万元以上</w:t>
            </w:r>
          </w:p>
          <w:p w14:paraId="296A9F49">
            <w:pPr>
              <w:pStyle w:val="6"/>
              <w:spacing w:before="1" w:line="208" w:lineRule="auto"/>
              <w:ind w:left="118"/>
            </w:pPr>
            <w:r>
              <w:rPr>
                <w:rFonts w:ascii="宋体" w:hAnsi="宋体" w:eastAsia="宋体" w:cs="宋体"/>
                <w:spacing w:val="4"/>
              </w:rPr>
              <w:t>2</w:t>
            </w:r>
            <w:r>
              <w:rPr>
                <w:spacing w:val="4"/>
              </w:rPr>
              <w:t>万元以下的罚款</w:t>
            </w:r>
          </w:p>
        </w:tc>
        <w:tc>
          <w:tcPr>
            <w:tcW w:w="811" w:type="dxa"/>
            <w:vMerge w:val="continue"/>
            <w:tcBorders>
              <w:top w:val="nil"/>
            </w:tcBorders>
            <w:vAlign w:val="top"/>
          </w:tcPr>
          <w:p w14:paraId="432C9125">
            <w:pPr>
              <w:rPr>
                <w:rFonts w:ascii="Arial"/>
                <w:sz w:val="21"/>
              </w:rPr>
            </w:pPr>
          </w:p>
        </w:tc>
      </w:tr>
    </w:tbl>
    <w:p w14:paraId="387E80AF">
      <w:pPr>
        <w:pStyle w:val="2"/>
      </w:pPr>
    </w:p>
    <w:p w14:paraId="1940CEF2">
      <w:pPr>
        <w:sectPr>
          <w:footerReference r:id="rId38" w:type="default"/>
          <w:pgSz w:w="16839" w:h="11906"/>
          <w:pgMar w:top="1012" w:right="821" w:bottom="666" w:left="901" w:header="0" w:footer="388" w:gutter="0"/>
          <w:cols w:space="720" w:num="1"/>
        </w:sectPr>
      </w:pPr>
    </w:p>
    <w:p w14:paraId="0F82EECD">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4198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462B5C0">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1A2BECE2">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82027F7">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14A823A">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056AF108">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C932802">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F5D59BE">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B684B64">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D684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2" w:hRule="atLeast"/>
        </w:trPr>
        <w:tc>
          <w:tcPr>
            <w:tcW w:w="818" w:type="dxa"/>
            <w:vAlign w:val="top"/>
          </w:tcPr>
          <w:p w14:paraId="0F59411A">
            <w:pPr>
              <w:rPr>
                <w:rFonts w:ascii="Arial"/>
                <w:sz w:val="21"/>
              </w:rPr>
            </w:pPr>
          </w:p>
        </w:tc>
        <w:tc>
          <w:tcPr>
            <w:tcW w:w="1440" w:type="dxa"/>
            <w:vAlign w:val="top"/>
          </w:tcPr>
          <w:p w14:paraId="164B3B7B">
            <w:pPr>
              <w:rPr>
                <w:rFonts w:ascii="Arial"/>
                <w:sz w:val="21"/>
              </w:rPr>
            </w:pPr>
          </w:p>
        </w:tc>
        <w:tc>
          <w:tcPr>
            <w:tcW w:w="3202" w:type="dxa"/>
            <w:vAlign w:val="top"/>
          </w:tcPr>
          <w:p w14:paraId="3730B634">
            <w:pPr>
              <w:pStyle w:val="6"/>
              <w:spacing w:before="29" w:line="182" w:lineRule="auto"/>
              <w:ind w:left="129" w:right="153" w:hanging="16"/>
            </w:pPr>
            <w:r>
              <w:rPr>
                <w:spacing w:val="5"/>
              </w:rPr>
              <w:t>每年再培训时间不得少于</w:t>
            </w:r>
            <w:r>
              <w:rPr>
                <w:rFonts w:ascii="宋体" w:hAnsi="宋体" w:eastAsia="宋体" w:cs="宋体"/>
                <w:spacing w:val="5"/>
              </w:rPr>
              <w:t>16</w:t>
            </w:r>
            <w:r>
              <w:rPr>
                <w:spacing w:val="-7"/>
              </w:rPr>
              <w:t>学时。</w:t>
            </w:r>
          </w:p>
          <w:p w14:paraId="1FA26E6E">
            <w:pPr>
              <w:pStyle w:val="6"/>
              <w:spacing w:line="182" w:lineRule="auto"/>
              <w:ind w:left="128"/>
              <w:outlineLvl w:val="0"/>
            </w:pPr>
            <w:r>
              <w:rPr>
                <w:spacing w:val="11"/>
              </w:rPr>
              <w:t>第十三条：生产经营单位新</w:t>
            </w:r>
          </w:p>
          <w:p w14:paraId="44B5E92B">
            <w:pPr>
              <w:pStyle w:val="6"/>
              <w:spacing w:before="5" w:line="182" w:lineRule="auto"/>
              <w:ind w:left="115" w:right="111" w:firstLine="7"/>
              <w:jc w:val="both"/>
            </w:pPr>
            <w:bookmarkStart w:id="386" w:name="bookmark44"/>
            <w:bookmarkEnd w:id="386"/>
            <w:r>
              <w:rPr>
                <w:spacing w:val="10"/>
              </w:rPr>
              <w:t>上岗的从业人员，岗前安全</w:t>
            </w:r>
            <w:r>
              <w:rPr>
                <w:spacing w:val="2"/>
              </w:rPr>
              <w:t>培训时间不得少于</w:t>
            </w:r>
            <w:r>
              <w:rPr>
                <w:rFonts w:ascii="宋体" w:hAnsi="宋体" w:eastAsia="宋体" w:cs="宋体"/>
                <w:spacing w:val="2"/>
              </w:rPr>
              <w:t>24</w:t>
            </w:r>
            <w:r>
              <w:rPr>
                <w:spacing w:val="2"/>
              </w:rPr>
              <w:t>学时。</w:t>
            </w:r>
            <w:r>
              <w:rPr>
                <w:spacing w:val="17"/>
              </w:rPr>
              <w:t>煤矿、非煤矿山、危险化学品、烟花爆竹、金属冶炼等生产经营单位新上岗的从业人员安全培训时间不得少于</w:t>
            </w:r>
            <w:r>
              <w:rPr>
                <w:rFonts w:ascii="宋体" w:hAnsi="宋体" w:eastAsia="宋体" w:cs="宋体"/>
                <w:spacing w:val="6"/>
              </w:rPr>
              <w:t>72</w:t>
            </w:r>
            <w:r>
              <w:rPr>
                <w:spacing w:val="6"/>
              </w:rPr>
              <w:t>学时，每年再培训的时间</w:t>
            </w:r>
            <w:r>
              <w:t>不得少于</w:t>
            </w:r>
            <w:r>
              <w:rPr>
                <w:rFonts w:ascii="宋体" w:hAnsi="宋体" w:eastAsia="宋体" w:cs="宋体"/>
              </w:rPr>
              <w:t>20</w:t>
            </w:r>
            <w:r>
              <w:t>学时。</w:t>
            </w:r>
          </w:p>
          <w:p w14:paraId="0E57B596">
            <w:pPr>
              <w:pStyle w:val="6"/>
              <w:spacing w:before="8" w:line="178" w:lineRule="auto"/>
              <w:ind w:left="115" w:right="111"/>
            </w:pPr>
            <w:r>
              <w:rPr>
                <w:rFonts w:ascii="宋体" w:hAnsi="宋体" w:eastAsia="宋体" w:cs="宋体"/>
                <w:spacing w:val="15"/>
              </w:rPr>
              <w:t>2.</w:t>
            </w:r>
            <w:r>
              <w:rPr>
                <w:spacing w:val="15"/>
              </w:rPr>
              <w:t>【部门规章】《安全生产</w:t>
            </w:r>
            <w:r>
              <w:rPr>
                <w:spacing w:val="13"/>
              </w:rPr>
              <w:t>培训管理办法》第十一条：</w:t>
            </w:r>
            <w:r>
              <w:rPr>
                <w:spacing w:val="17"/>
              </w:rPr>
              <w:t>生产经营单位从业人员的培</w:t>
            </w:r>
            <w:r>
              <w:rPr>
                <w:spacing w:val="13"/>
              </w:rPr>
              <w:t>训内容和培训时间，应当符</w:t>
            </w:r>
            <w:r>
              <w:rPr>
                <w:spacing w:val="17"/>
              </w:rPr>
              <w:t>合《生产经营单位安全培训</w:t>
            </w:r>
            <w:r>
              <w:rPr>
                <w:spacing w:val="5"/>
              </w:rPr>
              <w:t>规定》和有关标准的规定。</w:t>
            </w:r>
          </w:p>
        </w:tc>
        <w:tc>
          <w:tcPr>
            <w:tcW w:w="2859" w:type="dxa"/>
            <w:vAlign w:val="top"/>
          </w:tcPr>
          <w:p w14:paraId="453665DA">
            <w:pPr>
              <w:rPr>
                <w:rFonts w:ascii="Arial"/>
                <w:sz w:val="21"/>
              </w:rPr>
            </w:pPr>
          </w:p>
        </w:tc>
        <w:tc>
          <w:tcPr>
            <w:tcW w:w="803" w:type="dxa"/>
            <w:vAlign w:val="top"/>
          </w:tcPr>
          <w:p w14:paraId="3AE17505">
            <w:pPr>
              <w:spacing w:line="264" w:lineRule="auto"/>
              <w:rPr>
                <w:rFonts w:ascii="Arial"/>
                <w:sz w:val="21"/>
              </w:rPr>
            </w:pPr>
          </w:p>
          <w:p w14:paraId="292D7915">
            <w:pPr>
              <w:spacing w:line="265" w:lineRule="auto"/>
              <w:rPr>
                <w:rFonts w:ascii="Arial"/>
                <w:sz w:val="21"/>
              </w:rPr>
            </w:pPr>
          </w:p>
          <w:p w14:paraId="197B608A">
            <w:pPr>
              <w:spacing w:line="265" w:lineRule="auto"/>
              <w:rPr>
                <w:rFonts w:ascii="Arial"/>
                <w:sz w:val="21"/>
              </w:rPr>
            </w:pPr>
          </w:p>
          <w:p w14:paraId="6279E6B8">
            <w:pPr>
              <w:spacing w:line="265" w:lineRule="auto"/>
              <w:rPr>
                <w:rFonts w:ascii="Arial"/>
                <w:sz w:val="21"/>
              </w:rPr>
            </w:pPr>
          </w:p>
          <w:p w14:paraId="70818891">
            <w:pPr>
              <w:spacing w:line="265" w:lineRule="auto"/>
              <w:rPr>
                <w:rFonts w:ascii="Arial"/>
                <w:sz w:val="21"/>
              </w:rPr>
            </w:pPr>
          </w:p>
          <w:p w14:paraId="08B4DB35">
            <w:pPr>
              <w:spacing w:line="265" w:lineRule="auto"/>
              <w:rPr>
                <w:rFonts w:ascii="Arial"/>
                <w:sz w:val="21"/>
              </w:rPr>
            </w:pPr>
          </w:p>
          <w:p w14:paraId="408E2B18">
            <w:pPr>
              <w:spacing w:line="265" w:lineRule="auto"/>
              <w:rPr>
                <w:rFonts w:ascii="Arial"/>
                <w:sz w:val="21"/>
              </w:rPr>
            </w:pPr>
          </w:p>
          <w:p w14:paraId="72998EDE">
            <w:pPr>
              <w:spacing w:line="265" w:lineRule="auto"/>
              <w:rPr>
                <w:rFonts w:ascii="Arial"/>
                <w:sz w:val="21"/>
              </w:rPr>
            </w:pPr>
          </w:p>
          <w:p w14:paraId="4C87076A">
            <w:pPr>
              <w:spacing w:line="265" w:lineRule="auto"/>
              <w:rPr>
                <w:rFonts w:ascii="Arial"/>
                <w:sz w:val="21"/>
              </w:rPr>
            </w:pPr>
          </w:p>
          <w:p w14:paraId="763EEDDB">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D1BB2A2">
            <w:pPr>
              <w:spacing w:line="262" w:lineRule="auto"/>
              <w:rPr>
                <w:rFonts w:ascii="Arial"/>
                <w:sz w:val="21"/>
              </w:rPr>
            </w:pPr>
          </w:p>
          <w:p w14:paraId="762E9099">
            <w:pPr>
              <w:spacing w:line="262" w:lineRule="auto"/>
              <w:rPr>
                <w:rFonts w:ascii="Arial"/>
                <w:sz w:val="21"/>
              </w:rPr>
            </w:pPr>
          </w:p>
          <w:p w14:paraId="5CC590C9">
            <w:pPr>
              <w:spacing w:line="262" w:lineRule="auto"/>
              <w:rPr>
                <w:rFonts w:ascii="Arial"/>
                <w:sz w:val="21"/>
              </w:rPr>
            </w:pPr>
          </w:p>
          <w:p w14:paraId="553FF02E">
            <w:pPr>
              <w:spacing w:line="262" w:lineRule="auto"/>
              <w:rPr>
                <w:rFonts w:ascii="Arial"/>
                <w:sz w:val="21"/>
              </w:rPr>
            </w:pPr>
          </w:p>
          <w:p w14:paraId="3120EBC2">
            <w:pPr>
              <w:spacing w:line="263" w:lineRule="auto"/>
              <w:rPr>
                <w:rFonts w:ascii="Arial"/>
                <w:sz w:val="21"/>
              </w:rPr>
            </w:pPr>
          </w:p>
          <w:p w14:paraId="7D106227">
            <w:pPr>
              <w:spacing w:line="263" w:lineRule="auto"/>
              <w:rPr>
                <w:rFonts w:ascii="Arial"/>
                <w:sz w:val="21"/>
              </w:rPr>
            </w:pPr>
          </w:p>
          <w:p w14:paraId="1FA31FF7">
            <w:pPr>
              <w:pStyle w:val="6"/>
              <w:spacing w:before="99" w:line="187" w:lineRule="auto"/>
              <w:ind w:left="117" w:right="106" w:firstLine="2"/>
              <w:jc w:val="both"/>
            </w:pPr>
            <w:r>
              <w:rPr>
                <w:spacing w:val="26"/>
              </w:rPr>
              <w:t>从业人员安全培训</w:t>
            </w:r>
            <w:r>
              <w:rPr>
                <w:spacing w:val="-5"/>
              </w:rPr>
              <w:t>的时间少于《生产经</w:t>
            </w:r>
            <w:r>
              <w:rPr>
                <w:spacing w:val="26"/>
              </w:rPr>
              <w:t>营单位安全培训规</w:t>
            </w:r>
            <w:r>
              <w:rPr>
                <w:spacing w:val="-3"/>
              </w:rPr>
              <w:t>定》或者有关标准规</w:t>
            </w:r>
            <w:r>
              <w:rPr>
                <w:spacing w:val="-2"/>
              </w:rPr>
              <w:t>定，涉及</w:t>
            </w:r>
            <w:r>
              <w:rPr>
                <w:rFonts w:ascii="宋体" w:hAnsi="宋体" w:eastAsia="宋体" w:cs="宋体"/>
                <w:spacing w:val="-2"/>
              </w:rPr>
              <w:t>10</w:t>
            </w:r>
            <w:r>
              <w:rPr>
                <w:spacing w:val="-2"/>
              </w:rPr>
              <w:t>人次以</w:t>
            </w:r>
            <w:r>
              <w:rPr>
                <w:spacing w:val="2"/>
              </w:rPr>
              <w:t>上的</w:t>
            </w:r>
          </w:p>
        </w:tc>
        <w:tc>
          <w:tcPr>
            <w:tcW w:w="2894" w:type="dxa"/>
            <w:vAlign w:val="top"/>
          </w:tcPr>
          <w:p w14:paraId="3734FEAB">
            <w:pPr>
              <w:rPr>
                <w:rFonts w:ascii="Arial"/>
                <w:sz w:val="21"/>
              </w:rPr>
            </w:pPr>
          </w:p>
          <w:p w14:paraId="39823395">
            <w:pPr>
              <w:rPr>
                <w:rFonts w:ascii="Arial"/>
                <w:sz w:val="21"/>
              </w:rPr>
            </w:pPr>
          </w:p>
          <w:p w14:paraId="3EA447E6">
            <w:pPr>
              <w:spacing w:line="241" w:lineRule="auto"/>
              <w:rPr>
                <w:rFonts w:ascii="Arial"/>
                <w:sz w:val="21"/>
              </w:rPr>
            </w:pPr>
          </w:p>
          <w:p w14:paraId="6DAEE85A">
            <w:pPr>
              <w:spacing w:line="241" w:lineRule="auto"/>
              <w:rPr>
                <w:rFonts w:ascii="Arial"/>
                <w:sz w:val="21"/>
              </w:rPr>
            </w:pPr>
          </w:p>
          <w:p w14:paraId="5F2B365D">
            <w:pPr>
              <w:spacing w:line="241" w:lineRule="auto"/>
              <w:rPr>
                <w:rFonts w:ascii="Arial"/>
                <w:sz w:val="21"/>
              </w:rPr>
            </w:pPr>
          </w:p>
          <w:p w14:paraId="68991EE9">
            <w:pPr>
              <w:spacing w:line="241" w:lineRule="auto"/>
              <w:rPr>
                <w:rFonts w:ascii="Arial"/>
                <w:sz w:val="21"/>
              </w:rPr>
            </w:pPr>
          </w:p>
          <w:p w14:paraId="16BE1EF0">
            <w:pPr>
              <w:spacing w:line="241" w:lineRule="auto"/>
              <w:rPr>
                <w:rFonts w:ascii="Arial"/>
                <w:sz w:val="21"/>
              </w:rPr>
            </w:pPr>
          </w:p>
          <w:p w14:paraId="54CDF96C">
            <w:pPr>
              <w:spacing w:line="241" w:lineRule="auto"/>
              <w:rPr>
                <w:rFonts w:ascii="Arial"/>
                <w:sz w:val="21"/>
              </w:rPr>
            </w:pPr>
          </w:p>
          <w:p w14:paraId="306F1886">
            <w:pPr>
              <w:spacing w:line="241" w:lineRule="auto"/>
              <w:rPr>
                <w:rFonts w:ascii="Arial"/>
                <w:sz w:val="21"/>
              </w:rPr>
            </w:pPr>
          </w:p>
          <w:p w14:paraId="14655A74">
            <w:pPr>
              <w:pStyle w:val="6"/>
              <w:spacing w:before="99" w:line="182" w:lineRule="auto"/>
              <w:ind w:left="127"/>
            </w:pPr>
            <w:r>
              <w:rPr>
                <w:spacing w:val="4"/>
              </w:rPr>
              <w:t>责令改正，处</w:t>
            </w:r>
            <w:r>
              <w:rPr>
                <w:rFonts w:ascii="宋体" w:hAnsi="宋体" w:eastAsia="宋体" w:cs="宋体"/>
                <w:spacing w:val="4"/>
              </w:rPr>
              <w:t>2</w:t>
            </w:r>
            <w:r>
              <w:rPr>
                <w:spacing w:val="4"/>
              </w:rPr>
              <w:t>万元以上</w:t>
            </w:r>
          </w:p>
          <w:p w14:paraId="54CF80AE">
            <w:pPr>
              <w:pStyle w:val="6"/>
              <w:spacing w:before="1" w:line="208" w:lineRule="auto"/>
              <w:ind w:left="120"/>
            </w:pPr>
            <w:r>
              <w:rPr>
                <w:rFonts w:ascii="宋体" w:hAnsi="宋体" w:eastAsia="宋体" w:cs="宋体"/>
                <w:spacing w:val="4"/>
              </w:rPr>
              <w:t>3</w:t>
            </w:r>
            <w:r>
              <w:rPr>
                <w:spacing w:val="4"/>
              </w:rPr>
              <w:t>万元以下的罚款</w:t>
            </w:r>
          </w:p>
        </w:tc>
        <w:tc>
          <w:tcPr>
            <w:tcW w:w="811" w:type="dxa"/>
            <w:vAlign w:val="top"/>
          </w:tcPr>
          <w:p w14:paraId="39EB502D">
            <w:pPr>
              <w:rPr>
                <w:rFonts w:ascii="Arial"/>
                <w:sz w:val="21"/>
              </w:rPr>
            </w:pPr>
          </w:p>
        </w:tc>
      </w:tr>
      <w:tr w14:paraId="4067A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1" w:hRule="atLeast"/>
        </w:trPr>
        <w:tc>
          <w:tcPr>
            <w:tcW w:w="818" w:type="dxa"/>
            <w:vMerge w:val="restart"/>
            <w:tcBorders>
              <w:bottom w:val="nil"/>
            </w:tcBorders>
            <w:vAlign w:val="top"/>
          </w:tcPr>
          <w:p w14:paraId="61634892">
            <w:pPr>
              <w:spacing w:line="264" w:lineRule="auto"/>
              <w:rPr>
                <w:rFonts w:ascii="Arial"/>
                <w:sz w:val="21"/>
              </w:rPr>
            </w:pPr>
          </w:p>
          <w:p w14:paraId="5248FEBB">
            <w:pPr>
              <w:spacing w:line="265" w:lineRule="auto"/>
              <w:rPr>
                <w:rFonts w:ascii="Arial"/>
                <w:sz w:val="21"/>
              </w:rPr>
            </w:pPr>
          </w:p>
          <w:p w14:paraId="3576F4FA">
            <w:pPr>
              <w:spacing w:line="265" w:lineRule="auto"/>
              <w:rPr>
                <w:rFonts w:ascii="Arial"/>
                <w:sz w:val="21"/>
              </w:rPr>
            </w:pPr>
          </w:p>
          <w:p w14:paraId="07B12D90">
            <w:pPr>
              <w:spacing w:line="265" w:lineRule="auto"/>
              <w:rPr>
                <w:rFonts w:ascii="Arial"/>
                <w:sz w:val="21"/>
              </w:rPr>
            </w:pPr>
          </w:p>
          <w:p w14:paraId="08FDE094">
            <w:pPr>
              <w:spacing w:line="265" w:lineRule="auto"/>
              <w:rPr>
                <w:rFonts w:ascii="Arial"/>
                <w:sz w:val="21"/>
              </w:rPr>
            </w:pPr>
          </w:p>
          <w:p w14:paraId="4A0A13A4">
            <w:pPr>
              <w:spacing w:line="265" w:lineRule="auto"/>
              <w:rPr>
                <w:rFonts w:ascii="Arial"/>
                <w:sz w:val="21"/>
              </w:rPr>
            </w:pPr>
          </w:p>
          <w:p w14:paraId="344B16B5">
            <w:pPr>
              <w:spacing w:line="265" w:lineRule="auto"/>
              <w:rPr>
                <w:rFonts w:ascii="Arial"/>
                <w:sz w:val="21"/>
              </w:rPr>
            </w:pPr>
          </w:p>
          <w:p w14:paraId="422C868A">
            <w:pPr>
              <w:spacing w:before="74" w:line="185" w:lineRule="auto"/>
              <w:ind w:left="237"/>
              <w:rPr>
                <w:rFonts w:ascii="仿宋" w:hAnsi="仿宋" w:eastAsia="仿宋" w:cs="仿宋"/>
                <w:sz w:val="23"/>
                <w:szCs w:val="23"/>
              </w:rPr>
            </w:pPr>
            <w:r>
              <w:rPr>
                <w:rFonts w:ascii="仿宋" w:hAnsi="仿宋" w:eastAsia="仿宋" w:cs="仿宋"/>
                <w:spacing w:val="-3"/>
                <w:sz w:val="23"/>
                <w:szCs w:val="23"/>
              </w:rPr>
              <w:t>20</w:t>
            </w:r>
          </w:p>
        </w:tc>
        <w:tc>
          <w:tcPr>
            <w:tcW w:w="1440" w:type="dxa"/>
            <w:vMerge w:val="restart"/>
            <w:tcBorders>
              <w:bottom w:val="nil"/>
            </w:tcBorders>
            <w:vAlign w:val="top"/>
          </w:tcPr>
          <w:p w14:paraId="16E56FA7">
            <w:pPr>
              <w:spacing w:line="246" w:lineRule="auto"/>
              <w:rPr>
                <w:rFonts w:ascii="Arial"/>
                <w:sz w:val="21"/>
              </w:rPr>
            </w:pPr>
          </w:p>
          <w:p w14:paraId="25EC4471">
            <w:pPr>
              <w:spacing w:line="247" w:lineRule="auto"/>
              <w:rPr>
                <w:rFonts w:ascii="Arial"/>
                <w:sz w:val="21"/>
              </w:rPr>
            </w:pPr>
          </w:p>
          <w:p w14:paraId="7E841299">
            <w:pPr>
              <w:spacing w:line="247" w:lineRule="auto"/>
              <w:rPr>
                <w:rFonts w:ascii="Arial"/>
                <w:sz w:val="21"/>
              </w:rPr>
            </w:pPr>
          </w:p>
          <w:p w14:paraId="7658C24C">
            <w:pPr>
              <w:pStyle w:val="6"/>
              <w:spacing w:before="98" w:line="186" w:lineRule="auto"/>
              <w:ind w:left="115" w:right="111"/>
              <w:jc w:val="both"/>
            </w:pPr>
            <w:r>
              <w:rPr>
                <w:spacing w:val="11"/>
              </w:rPr>
              <w:t>危险物品生产经营单位新招的危险工艺操作岗</w:t>
            </w:r>
            <w:r>
              <w:rPr>
                <w:spacing w:val="4"/>
              </w:rPr>
              <w:t>位人员，未</w:t>
            </w:r>
            <w:r>
              <w:rPr>
                <w:spacing w:val="11"/>
              </w:rPr>
              <w:t>经实习期满独立上岗作</w:t>
            </w:r>
            <w:r>
              <w:rPr>
                <w:spacing w:val="2"/>
              </w:rPr>
              <w:t>业的</w:t>
            </w:r>
          </w:p>
        </w:tc>
        <w:tc>
          <w:tcPr>
            <w:tcW w:w="3202" w:type="dxa"/>
            <w:vMerge w:val="restart"/>
            <w:tcBorders>
              <w:bottom w:val="nil"/>
            </w:tcBorders>
            <w:vAlign w:val="top"/>
          </w:tcPr>
          <w:p w14:paraId="30B56E16">
            <w:pPr>
              <w:pStyle w:val="6"/>
              <w:spacing w:before="35" w:line="182" w:lineRule="auto"/>
              <w:ind w:left="114" w:right="111" w:hanging="16"/>
              <w:jc w:val="both"/>
            </w:pPr>
            <w:r>
              <w:rPr>
                <w:spacing w:val="18"/>
              </w:rPr>
              <w:t>【部门规章】《安全生产培</w:t>
            </w:r>
            <w:r>
              <w:rPr>
                <w:spacing w:val="11"/>
              </w:rPr>
              <w:t>训管理办法》第十三条：国</w:t>
            </w:r>
            <w:r>
              <w:rPr>
                <w:spacing w:val="17"/>
              </w:rPr>
              <w:t>家鼓励生产经营单位实行师</w:t>
            </w:r>
            <w:r>
              <w:rPr>
                <w:spacing w:val="3"/>
              </w:rPr>
              <w:t>傅带徒弟制度。</w:t>
            </w:r>
          </w:p>
          <w:p w14:paraId="76547B98">
            <w:pPr>
              <w:pStyle w:val="6"/>
              <w:spacing w:before="4" w:line="186" w:lineRule="auto"/>
              <w:ind w:left="117" w:right="109"/>
            </w:pPr>
            <w:r>
              <w:rPr>
                <w:spacing w:val="17"/>
              </w:rPr>
              <w:t>矿山新招的井下作业人员和危险物品生产经营单位新招</w:t>
            </w:r>
            <w:r>
              <w:rPr>
                <w:spacing w:val="13"/>
              </w:rPr>
              <w:t>的危险工艺操作岗位人员，</w:t>
            </w:r>
            <w:r>
              <w:rPr>
                <w:spacing w:val="39"/>
              </w:rPr>
              <w:t>除按照规定进行安全培训</w:t>
            </w:r>
            <w:r>
              <w:rPr>
                <w:spacing w:val="13"/>
              </w:rPr>
              <w:t>外，还应当在有经验的职工</w:t>
            </w:r>
            <w:r>
              <w:rPr>
                <w:spacing w:val="9"/>
              </w:rPr>
              <w:t>带领下实习满</w:t>
            </w:r>
            <w:r>
              <w:rPr>
                <w:rFonts w:ascii="宋体" w:hAnsi="宋体" w:eastAsia="宋体" w:cs="宋体"/>
                <w:spacing w:val="9"/>
              </w:rPr>
              <w:t>2</w:t>
            </w:r>
            <w:r>
              <w:rPr>
                <w:spacing w:val="9"/>
              </w:rPr>
              <w:t>个月后，方</w:t>
            </w:r>
            <w:r>
              <w:rPr>
                <w:spacing w:val="3"/>
              </w:rPr>
              <w:t>可独立上岗作业。</w:t>
            </w:r>
          </w:p>
        </w:tc>
        <w:tc>
          <w:tcPr>
            <w:tcW w:w="2859" w:type="dxa"/>
            <w:vMerge w:val="restart"/>
            <w:tcBorders>
              <w:bottom w:val="nil"/>
            </w:tcBorders>
            <w:vAlign w:val="top"/>
          </w:tcPr>
          <w:p w14:paraId="3030C9CB">
            <w:pPr>
              <w:pStyle w:val="6"/>
              <w:spacing w:before="33" w:line="185" w:lineRule="auto"/>
              <w:ind w:left="114" w:right="108" w:hanging="17"/>
              <w:jc w:val="both"/>
            </w:pPr>
            <w:r>
              <w:rPr>
                <w:spacing w:val="10"/>
              </w:rPr>
              <w:t>【部门规章】《安全生产</w:t>
            </w:r>
            <w:r>
              <w:rPr>
                <w:spacing w:val="8"/>
              </w:rPr>
              <w:t>培训管理办法》第三十六条第二项：生产经营单位有下列情形之一的，责令</w:t>
            </w:r>
            <w:r>
              <w:rPr>
                <w:spacing w:val="2"/>
              </w:rPr>
              <w:t>改正，处</w:t>
            </w:r>
            <w:r>
              <w:rPr>
                <w:rFonts w:ascii="宋体" w:hAnsi="宋体" w:eastAsia="宋体" w:cs="宋体"/>
                <w:spacing w:val="2"/>
              </w:rPr>
              <w:t>3</w:t>
            </w:r>
            <w:r>
              <w:rPr>
                <w:spacing w:val="2"/>
              </w:rPr>
              <w:t>万元以下的罚</w:t>
            </w:r>
            <w:r>
              <w:rPr>
                <w:spacing w:val="8"/>
              </w:rPr>
              <w:t>款</w:t>
            </w:r>
            <w:r>
              <w:rPr>
                <w:spacing w:val="11"/>
              </w:rPr>
              <w:t>：（</w:t>
            </w:r>
            <w:r>
              <w:rPr>
                <w:spacing w:val="8"/>
              </w:rPr>
              <w:t>二）矿山新招的井下作业人员和危险物品生产经营单位新招的危险工艺操作岗位人员，未经实</w:t>
            </w:r>
            <w:r>
              <w:rPr>
                <w:spacing w:val="4"/>
              </w:rPr>
              <w:t>习期满独立上岗作业的；</w:t>
            </w:r>
          </w:p>
        </w:tc>
        <w:tc>
          <w:tcPr>
            <w:tcW w:w="803" w:type="dxa"/>
            <w:vAlign w:val="top"/>
          </w:tcPr>
          <w:p w14:paraId="2F6D9CBF">
            <w:pPr>
              <w:spacing w:line="277" w:lineRule="auto"/>
              <w:rPr>
                <w:rFonts w:ascii="Arial"/>
                <w:sz w:val="21"/>
              </w:rPr>
            </w:pPr>
          </w:p>
          <w:p w14:paraId="43940174">
            <w:pPr>
              <w:spacing w:line="277" w:lineRule="auto"/>
              <w:rPr>
                <w:rFonts w:ascii="Arial"/>
                <w:sz w:val="21"/>
              </w:rPr>
            </w:pPr>
          </w:p>
          <w:p w14:paraId="31644BDD">
            <w:pPr>
              <w:spacing w:line="277" w:lineRule="auto"/>
              <w:rPr>
                <w:rFonts w:ascii="Arial"/>
                <w:sz w:val="21"/>
              </w:rPr>
            </w:pPr>
          </w:p>
          <w:p w14:paraId="0E4C14B3">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A02B39F">
            <w:pPr>
              <w:pStyle w:val="6"/>
              <w:spacing w:before="118" w:line="187" w:lineRule="auto"/>
              <w:ind w:left="122" w:right="105" w:hanging="5"/>
              <w:jc w:val="both"/>
            </w:pPr>
            <w:r>
              <w:rPr>
                <w:spacing w:val="26"/>
              </w:rPr>
              <w:t>危险物品生产经营</w:t>
            </w:r>
            <w:r>
              <w:rPr>
                <w:spacing w:val="25"/>
              </w:rPr>
              <w:t>单位新招的危险工</w:t>
            </w:r>
            <w:r>
              <w:rPr>
                <w:spacing w:val="-3"/>
              </w:rPr>
              <w:t>艺操作岗位人员，未</w:t>
            </w:r>
            <w:r>
              <w:rPr>
                <w:spacing w:val="25"/>
              </w:rPr>
              <w:t>经实习期满独立上</w:t>
            </w:r>
            <w:r>
              <w:rPr>
                <w:spacing w:val="-6"/>
              </w:rPr>
              <w:t>岗作业，涉及</w:t>
            </w:r>
            <w:r>
              <w:rPr>
                <w:rFonts w:ascii="宋体" w:hAnsi="宋体" w:eastAsia="宋体" w:cs="宋体"/>
                <w:spacing w:val="-6"/>
              </w:rPr>
              <w:t>3</w:t>
            </w:r>
            <w:r>
              <w:rPr>
                <w:spacing w:val="-6"/>
              </w:rPr>
              <w:t>人次</w:t>
            </w:r>
            <w:r>
              <w:rPr>
                <w:spacing w:val="3"/>
              </w:rPr>
              <w:t>以下的</w:t>
            </w:r>
          </w:p>
        </w:tc>
        <w:tc>
          <w:tcPr>
            <w:tcW w:w="2894" w:type="dxa"/>
            <w:vAlign w:val="top"/>
          </w:tcPr>
          <w:p w14:paraId="2A92BCA6">
            <w:pPr>
              <w:spacing w:line="308" w:lineRule="auto"/>
              <w:rPr>
                <w:rFonts w:ascii="Arial"/>
                <w:sz w:val="21"/>
              </w:rPr>
            </w:pPr>
          </w:p>
          <w:p w14:paraId="05FD6863">
            <w:pPr>
              <w:spacing w:line="308" w:lineRule="auto"/>
              <w:rPr>
                <w:rFonts w:ascii="Arial"/>
                <w:sz w:val="21"/>
              </w:rPr>
            </w:pPr>
          </w:p>
          <w:p w14:paraId="49BE7717">
            <w:pPr>
              <w:pStyle w:val="6"/>
              <w:spacing w:before="99" w:line="196" w:lineRule="auto"/>
              <w:ind w:left="140" w:right="106" w:hanging="13"/>
            </w:pPr>
            <w:r>
              <w:rPr>
                <w:spacing w:val="2"/>
              </w:rPr>
              <w:t>责令改正，处</w:t>
            </w:r>
            <w:r>
              <w:rPr>
                <w:rFonts w:ascii="宋体" w:hAnsi="宋体" w:eastAsia="宋体" w:cs="宋体"/>
                <w:spacing w:val="2"/>
              </w:rPr>
              <w:t>1</w:t>
            </w:r>
            <w:r>
              <w:rPr>
                <w:spacing w:val="2"/>
              </w:rPr>
              <w:t>万元以下</w:t>
            </w:r>
            <w:r>
              <w:rPr>
                <w:spacing w:val="-2"/>
              </w:rPr>
              <w:t>的罚款</w:t>
            </w:r>
          </w:p>
        </w:tc>
        <w:tc>
          <w:tcPr>
            <w:tcW w:w="811" w:type="dxa"/>
            <w:vMerge w:val="restart"/>
            <w:tcBorders>
              <w:bottom w:val="nil"/>
            </w:tcBorders>
            <w:vAlign w:val="top"/>
          </w:tcPr>
          <w:p w14:paraId="1164C86C">
            <w:pPr>
              <w:spacing w:line="264" w:lineRule="auto"/>
              <w:rPr>
                <w:rFonts w:ascii="Arial"/>
                <w:sz w:val="21"/>
              </w:rPr>
            </w:pPr>
          </w:p>
          <w:p w14:paraId="3F7B6666">
            <w:pPr>
              <w:spacing w:line="264" w:lineRule="auto"/>
              <w:rPr>
                <w:rFonts w:ascii="Arial"/>
                <w:sz w:val="21"/>
              </w:rPr>
            </w:pPr>
          </w:p>
          <w:p w14:paraId="2D306B00">
            <w:pPr>
              <w:spacing w:line="264" w:lineRule="auto"/>
              <w:rPr>
                <w:rFonts w:ascii="Arial"/>
                <w:sz w:val="21"/>
              </w:rPr>
            </w:pPr>
          </w:p>
          <w:p w14:paraId="4126F2FA">
            <w:pPr>
              <w:spacing w:line="264" w:lineRule="auto"/>
              <w:rPr>
                <w:rFonts w:ascii="Arial"/>
                <w:sz w:val="21"/>
              </w:rPr>
            </w:pPr>
          </w:p>
          <w:p w14:paraId="6CD9B5D2">
            <w:pPr>
              <w:spacing w:line="264" w:lineRule="auto"/>
              <w:rPr>
                <w:rFonts w:ascii="Arial"/>
                <w:sz w:val="21"/>
              </w:rPr>
            </w:pPr>
          </w:p>
          <w:p w14:paraId="1F91CF49">
            <w:pPr>
              <w:spacing w:line="264" w:lineRule="auto"/>
              <w:rPr>
                <w:rFonts w:ascii="Arial"/>
                <w:sz w:val="21"/>
              </w:rPr>
            </w:pPr>
          </w:p>
          <w:p w14:paraId="16EEB12D">
            <w:pPr>
              <w:spacing w:line="265" w:lineRule="auto"/>
              <w:rPr>
                <w:rFonts w:ascii="Arial"/>
                <w:sz w:val="21"/>
              </w:rPr>
            </w:pPr>
          </w:p>
          <w:p w14:paraId="08E5FC4F">
            <w:pPr>
              <w:spacing w:before="75" w:line="189" w:lineRule="auto"/>
              <w:ind w:left="308"/>
              <w:rPr>
                <w:rFonts w:ascii="宋体" w:hAnsi="宋体" w:eastAsia="宋体" w:cs="宋体"/>
                <w:sz w:val="23"/>
                <w:szCs w:val="23"/>
              </w:rPr>
            </w:pPr>
            <w:r>
              <w:rPr>
                <w:rFonts w:ascii="宋体" w:hAnsi="宋体" w:eastAsia="宋体" w:cs="宋体"/>
                <w:spacing w:val="-10"/>
                <w:sz w:val="23"/>
                <w:szCs w:val="23"/>
              </w:rPr>
              <w:t>13</w:t>
            </w:r>
          </w:p>
        </w:tc>
      </w:tr>
      <w:tr w14:paraId="1B521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0" w:hRule="atLeast"/>
        </w:trPr>
        <w:tc>
          <w:tcPr>
            <w:tcW w:w="818" w:type="dxa"/>
            <w:vMerge w:val="continue"/>
            <w:tcBorders>
              <w:top w:val="nil"/>
            </w:tcBorders>
            <w:vAlign w:val="top"/>
          </w:tcPr>
          <w:p w14:paraId="23447620">
            <w:pPr>
              <w:rPr>
                <w:rFonts w:ascii="Arial"/>
                <w:sz w:val="21"/>
              </w:rPr>
            </w:pPr>
          </w:p>
        </w:tc>
        <w:tc>
          <w:tcPr>
            <w:tcW w:w="1440" w:type="dxa"/>
            <w:vMerge w:val="continue"/>
            <w:tcBorders>
              <w:top w:val="nil"/>
            </w:tcBorders>
            <w:vAlign w:val="top"/>
          </w:tcPr>
          <w:p w14:paraId="51E6109A">
            <w:pPr>
              <w:rPr>
                <w:rFonts w:ascii="Arial"/>
                <w:sz w:val="21"/>
              </w:rPr>
            </w:pPr>
          </w:p>
        </w:tc>
        <w:tc>
          <w:tcPr>
            <w:tcW w:w="3202" w:type="dxa"/>
            <w:vMerge w:val="continue"/>
            <w:tcBorders>
              <w:top w:val="nil"/>
            </w:tcBorders>
            <w:vAlign w:val="top"/>
          </w:tcPr>
          <w:p w14:paraId="62C00D58">
            <w:pPr>
              <w:rPr>
                <w:rFonts w:ascii="Arial"/>
                <w:sz w:val="21"/>
              </w:rPr>
            </w:pPr>
          </w:p>
        </w:tc>
        <w:tc>
          <w:tcPr>
            <w:tcW w:w="2859" w:type="dxa"/>
            <w:vMerge w:val="continue"/>
            <w:tcBorders>
              <w:top w:val="nil"/>
            </w:tcBorders>
            <w:vAlign w:val="top"/>
          </w:tcPr>
          <w:p w14:paraId="7C01E74E">
            <w:pPr>
              <w:rPr>
                <w:rFonts w:ascii="Arial"/>
                <w:sz w:val="21"/>
              </w:rPr>
            </w:pPr>
          </w:p>
        </w:tc>
        <w:tc>
          <w:tcPr>
            <w:tcW w:w="803" w:type="dxa"/>
            <w:vAlign w:val="top"/>
          </w:tcPr>
          <w:p w14:paraId="096C9DA4">
            <w:pPr>
              <w:spacing w:line="288" w:lineRule="auto"/>
              <w:rPr>
                <w:rFonts w:ascii="Arial"/>
                <w:sz w:val="21"/>
              </w:rPr>
            </w:pPr>
          </w:p>
          <w:p w14:paraId="603D9FA5">
            <w:pPr>
              <w:spacing w:line="288" w:lineRule="auto"/>
              <w:rPr>
                <w:rFonts w:ascii="Arial"/>
                <w:sz w:val="21"/>
              </w:rPr>
            </w:pPr>
          </w:p>
          <w:p w14:paraId="55EC3F62">
            <w:pPr>
              <w:spacing w:line="289" w:lineRule="auto"/>
              <w:rPr>
                <w:rFonts w:ascii="Arial"/>
                <w:sz w:val="21"/>
              </w:rPr>
            </w:pPr>
          </w:p>
          <w:p w14:paraId="70C0B3AE">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1C1CE3B">
            <w:pPr>
              <w:pStyle w:val="6"/>
              <w:spacing w:before="147" w:line="187" w:lineRule="auto"/>
              <w:ind w:left="122" w:right="105" w:hanging="5"/>
              <w:jc w:val="both"/>
            </w:pPr>
            <w:r>
              <w:rPr>
                <w:spacing w:val="26"/>
              </w:rPr>
              <w:t>危险物品生产经营</w:t>
            </w:r>
            <w:r>
              <w:rPr>
                <w:spacing w:val="25"/>
              </w:rPr>
              <w:t>单位新招的危险工</w:t>
            </w:r>
            <w:r>
              <w:rPr>
                <w:spacing w:val="-3"/>
              </w:rPr>
              <w:t>艺操作岗位人员，未</w:t>
            </w:r>
            <w:r>
              <w:rPr>
                <w:spacing w:val="25"/>
              </w:rPr>
              <w:t>经实习期满独立上</w:t>
            </w:r>
            <w:r>
              <w:rPr>
                <w:spacing w:val="-6"/>
              </w:rPr>
              <w:t>岗作业，涉及</w:t>
            </w:r>
            <w:r>
              <w:rPr>
                <w:rFonts w:ascii="宋体" w:hAnsi="宋体" w:eastAsia="宋体" w:cs="宋体"/>
                <w:spacing w:val="-6"/>
              </w:rPr>
              <w:t>3</w:t>
            </w:r>
            <w:r>
              <w:rPr>
                <w:spacing w:val="-6"/>
              </w:rPr>
              <w:t>人次</w:t>
            </w:r>
            <w:r>
              <w:rPr>
                <w:spacing w:val="1"/>
              </w:rPr>
              <w:t>以上</w:t>
            </w:r>
            <w:r>
              <w:rPr>
                <w:rFonts w:ascii="宋体" w:hAnsi="宋体" w:eastAsia="宋体" w:cs="宋体"/>
                <w:spacing w:val="1"/>
              </w:rPr>
              <w:t>10</w:t>
            </w:r>
            <w:r>
              <w:rPr>
                <w:spacing w:val="1"/>
              </w:rPr>
              <w:t>人次以下的</w:t>
            </w:r>
          </w:p>
        </w:tc>
        <w:tc>
          <w:tcPr>
            <w:tcW w:w="2894" w:type="dxa"/>
            <w:vAlign w:val="top"/>
          </w:tcPr>
          <w:p w14:paraId="557F272D">
            <w:pPr>
              <w:spacing w:line="323" w:lineRule="auto"/>
              <w:rPr>
                <w:rFonts w:ascii="Arial"/>
                <w:sz w:val="21"/>
              </w:rPr>
            </w:pPr>
          </w:p>
          <w:p w14:paraId="27D7BB00">
            <w:pPr>
              <w:spacing w:line="324" w:lineRule="auto"/>
              <w:rPr>
                <w:rFonts w:ascii="Arial"/>
                <w:sz w:val="21"/>
              </w:rPr>
            </w:pPr>
          </w:p>
          <w:p w14:paraId="742B970B">
            <w:pPr>
              <w:pStyle w:val="6"/>
              <w:spacing w:before="99" w:line="182" w:lineRule="auto"/>
              <w:ind w:left="127"/>
            </w:pPr>
            <w:r>
              <w:rPr>
                <w:spacing w:val="2"/>
              </w:rPr>
              <w:t>责令改正，处</w:t>
            </w:r>
            <w:r>
              <w:rPr>
                <w:rFonts w:ascii="宋体" w:hAnsi="宋体" w:eastAsia="宋体" w:cs="宋体"/>
                <w:spacing w:val="2"/>
              </w:rPr>
              <w:t>1</w:t>
            </w:r>
            <w:r>
              <w:rPr>
                <w:spacing w:val="2"/>
              </w:rPr>
              <w:t>万元以上</w:t>
            </w:r>
          </w:p>
          <w:p w14:paraId="39EE8582">
            <w:pPr>
              <w:pStyle w:val="6"/>
              <w:spacing w:before="1" w:line="208" w:lineRule="auto"/>
              <w:ind w:left="118"/>
            </w:pPr>
            <w:r>
              <w:rPr>
                <w:rFonts w:ascii="宋体" w:hAnsi="宋体" w:eastAsia="宋体" w:cs="宋体"/>
                <w:spacing w:val="4"/>
              </w:rPr>
              <w:t>2</w:t>
            </w:r>
            <w:r>
              <w:rPr>
                <w:spacing w:val="4"/>
              </w:rPr>
              <w:t>万元以下的罚款</w:t>
            </w:r>
          </w:p>
        </w:tc>
        <w:tc>
          <w:tcPr>
            <w:tcW w:w="811" w:type="dxa"/>
            <w:vMerge w:val="continue"/>
            <w:tcBorders>
              <w:top w:val="nil"/>
            </w:tcBorders>
            <w:vAlign w:val="top"/>
          </w:tcPr>
          <w:p w14:paraId="363EE913">
            <w:pPr>
              <w:rPr>
                <w:rFonts w:ascii="Arial"/>
                <w:sz w:val="21"/>
              </w:rPr>
            </w:pPr>
          </w:p>
        </w:tc>
      </w:tr>
    </w:tbl>
    <w:p w14:paraId="1574E040">
      <w:pPr>
        <w:pStyle w:val="2"/>
        <w:spacing w:line="218" w:lineRule="exact"/>
        <w:rPr>
          <w:sz w:val="18"/>
        </w:rPr>
      </w:pPr>
    </w:p>
    <w:p w14:paraId="6C4C9AC6">
      <w:pPr>
        <w:spacing w:line="218" w:lineRule="exact"/>
        <w:rPr>
          <w:sz w:val="18"/>
          <w:szCs w:val="18"/>
        </w:rPr>
        <w:sectPr>
          <w:footerReference r:id="rId39" w:type="default"/>
          <w:pgSz w:w="16839" w:h="11906"/>
          <w:pgMar w:top="1012" w:right="821" w:bottom="666" w:left="901" w:header="0" w:footer="388" w:gutter="0"/>
          <w:cols w:space="720" w:num="1"/>
        </w:sectPr>
      </w:pPr>
    </w:p>
    <w:p w14:paraId="2A0CB855">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639D9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44DA6F7">
            <w:pPr>
              <w:spacing w:before="222" w:line="241" w:lineRule="auto"/>
              <w:ind w:left="131"/>
              <w:outlineLvl w:val="0"/>
              <w:rPr>
                <w:rFonts w:ascii="黑体" w:hAnsi="黑体" w:eastAsia="黑体" w:cs="黑体"/>
                <w:sz w:val="28"/>
                <w:szCs w:val="28"/>
              </w:rPr>
            </w:pPr>
            <w:bookmarkStart w:id="387" w:name="bookmark46"/>
            <w:bookmarkEnd w:id="387"/>
            <w:r>
              <w:rPr>
                <w:rFonts w:ascii="黑体" w:hAnsi="黑体" w:eastAsia="黑体" w:cs="黑体"/>
                <w:spacing w:val="-2"/>
                <w:sz w:val="28"/>
                <w:szCs w:val="28"/>
              </w:rPr>
              <w:t>序号</w:t>
            </w:r>
          </w:p>
        </w:tc>
        <w:tc>
          <w:tcPr>
            <w:tcW w:w="1440" w:type="dxa"/>
            <w:vAlign w:val="top"/>
          </w:tcPr>
          <w:p w14:paraId="358714AD">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5DD0F8F">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F6269F1">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103D28CA">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7376FB2">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E471EEC">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8CFC654">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75EB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Align w:val="top"/>
          </w:tcPr>
          <w:p w14:paraId="72FE1C06">
            <w:pPr>
              <w:rPr>
                <w:rFonts w:ascii="Arial"/>
                <w:sz w:val="21"/>
              </w:rPr>
            </w:pPr>
          </w:p>
        </w:tc>
        <w:tc>
          <w:tcPr>
            <w:tcW w:w="1440" w:type="dxa"/>
            <w:vAlign w:val="top"/>
          </w:tcPr>
          <w:p w14:paraId="568F0339">
            <w:pPr>
              <w:rPr>
                <w:rFonts w:ascii="Arial"/>
                <w:sz w:val="21"/>
              </w:rPr>
            </w:pPr>
          </w:p>
        </w:tc>
        <w:tc>
          <w:tcPr>
            <w:tcW w:w="3202" w:type="dxa"/>
            <w:vAlign w:val="top"/>
          </w:tcPr>
          <w:p w14:paraId="2116ACD2">
            <w:pPr>
              <w:rPr>
                <w:rFonts w:ascii="Arial"/>
                <w:sz w:val="21"/>
              </w:rPr>
            </w:pPr>
          </w:p>
        </w:tc>
        <w:tc>
          <w:tcPr>
            <w:tcW w:w="2859" w:type="dxa"/>
            <w:vAlign w:val="top"/>
          </w:tcPr>
          <w:p w14:paraId="5E610FB4">
            <w:pPr>
              <w:rPr>
                <w:rFonts w:ascii="Arial"/>
                <w:sz w:val="21"/>
              </w:rPr>
            </w:pPr>
          </w:p>
        </w:tc>
        <w:tc>
          <w:tcPr>
            <w:tcW w:w="803" w:type="dxa"/>
            <w:vAlign w:val="top"/>
          </w:tcPr>
          <w:p w14:paraId="209D6813">
            <w:pPr>
              <w:spacing w:line="247" w:lineRule="auto"/>
              <w:rPr>
                <w:rFonts w:ascii="Arial"/>
                <w:sz w:val="21"/>
              </w:rPr>
            </w:pPr>
          </w:p>
          <w:p w14:paraId="5A809D4E">
            <w:pPr>
              <w:spacing w:line="248" w:lineRule="auto"/>
              <w:rPr>
                <w:rFonts w:ascii="Arial"/>
                <w:sz w:val="21"/>
              </w:rPr>
            </w:pPr>
          </w:p>
          <w:p w14:paraId="4BD6487D">
            <w:pPr>
              <w:spacing w:line="248" w:lineRule="auto"/>
              <w:rPr>
                <w:rFonts w:ascii="Arial"/>
                <w:sz w:val="21"/>
              </w:rPr>
            </w:pPr>
          </w:p>
          <w:p w14:paraId="721DC5A6">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4A670F4">
            <w:pPr>
              <w:pStyle w:val="6"/>
              <w:spacing w:before="28" w:line="179" w:lineRule="auto"/>
              <w:ind w:left="122" w:right="105" w:hanging="5"/>
              <w:jc w:val="both"/>
            </w:pPr>
            <w:r>
              <w:rPr>
                <w:spacing w:val="26"/>
              </w:rPr>
              <w:t>危险物品生产经营</w:t>
            </w:r>
            <w:r>
              <w:rPr>
                <w:spacing w:val="25"/>
              </w:rPr>
              <w:t>单位新招的危险工</w:t>
            </w:r>
            <w:r>
              <w:rPr>
                <w:spacing w:val="-3"/>
              </w:rPr>
              <w:t>艺操作岗位人员，未</w:t>
            </w:r>
            <w:r>
              <w:rPr>
                <w:spacing w:val="25"/>
              </w:rPr>
              <w:t>经实习期满独立上</w:t>
            </w:r>
            <w:r>
              <w:rPr>
                <w:spacing w:val="-2"/>
              </w:rPr>
              <w:t>岗作业，涉及</w:t>
            </w:r>
            <w:r>
              <w:rPr>
                <w:rFonts w:ascii="宋体" w:hAnsi="宋体" w:eastAsia="宋体" w:cs="宋体"/>
                <w:spacing w:val="-2"/>
              </w:rPr>
              <w:t>10</w:t>
            </w:r>
            <w:r>
              <w:rPr>
                <w:spacing w:val="-2"/>
              </w:rPr>
              <w:t>人</w:t>
            </w:r>
            <w:r>
              <w:rPr>
                <w:spacing w:val="4"/>
              </w:rPr>
              <w:t>次以上的</w:t>
            </w:r>
          </w:p>
        </w:tc>
        <w:tc>
          <w:tcPr>
            <w:tcW w:w="2894" w:type="dxa"/>
            <w:vAlign w:val="top"/>
          </w:tcPr>
          <w:p w14:paraId="2BF4865A">
            <w:pPr>
              <w:spacing w:line="263" w:lineRule="auto"/>
              <w:rPr>
                <w:rFonts w:ascii="Arial"/>
                <w:sz w:val="21"/>
              </w:rPr>
            </w:pPr>
          </w:p>
          <w:p w14:paraId="5704B575">
            <w:pPr>
              <w:spacing w:line="263" w:lineRule="auto"/>
              <w:rPr>
                <w:rFonts w:ascii="Arial"/>
                <w:sz w:val="21"/>
              </w:rPr>
            </w:pPr>
          </w:p>
          <w:p w14:paraId="71C060AA">
            <w:pPr>
              <w:pStyle w:val="6"/>
              <w:spacing w:before="99" w:line="182" w:lineRule="auto"/>
              <w:ind w:left="127"/>
            </w:pPr>
            <w:r>
              <w:rPr>
                <w:spacing w:val="4"/>
              </w:rPr>
              <w:t>责令改正，处</w:t>
            </w:r>
            <w:r>
              <w:rPr>
                <w:rFonts w:ascii="宋体" w:hAnsi="宋体" w:eastAsia="宋体" w:cs="宋体"/>
                <w:spacing w:val="4"/>
              </w:rPr>
              <w:t>2</w:t>
            </w:r>
            <w:r>
              <w:rPr>
                <w:spacing w:val="4"/>
              </w:rPr>
              <w:t>万元以上</w:t>
            </w:r>
          </w:p>
          <w:p w14:paraId="49F9EFDD">
            <w:pPr>
              <w:pStyle w:val="6"/>
              <w:spacing w:before="1" w:line="208" w:lineRule="auto"/>
              <w:ind w:left="120"/>
            </w:pPr>
            <w:r>
              <w:rPr>
                <w:rFonts w:ascii="宋体" w:hAnsi="宋体" w:eastAsia="宋体" w:cs="宋体"/>
                <w:spacing w:val="4"/>
              </w:rPr>
              <w:t>3</w:t>
            </w:r>
            <w:r>
              <w:rPr>
                <w:spacing w:val="4"/>
              </w:rPr>
              <w:t>万元以下的罚款</w:t>
            </w:r>
          </w:p>
        </w:tc>
        <w:tc>
          <w:tcPr>
            <w:tcW w:w="811" w:type="dxa"/>
            <w:vAlign w:val="top"/>
          </w:tcPr>
          <w:p w14:paraId="2280AE2B">
            <w:pPr>
              <w:rPr>
                <w:rFonts w:ascii="Arial"/>
                <w:sz w:val="21"/>
              </w:rPr>
            </w:pPr>
          </w:p>
        </w:tc>
      </w:tr>
      <w:tr w14:paraId="77071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5" w:hRule="atLeast"/>
        </w:trPr>
        <w:tc>
          <w:tcPr>
            <w:tcW w:w="818" w:type="dxa"/>
            <w:vMerge w:val="restart"/>
            <w:tcBorders>
              <w:bottom w:val="nil"/>
            </w:tcBorders>
            <w:vAlign w:val="top"/>
          </w:tcPr>
          <w:p w14:paraId="4FE3B145">
            <w:pPr>
              <w:spacing w:line="256" w:lineRule="auto"/>
              <w:rPr>
                <w:rFonts w:ascii="Arial"/>
                <w:sz w:val="21"/>
              </w:rPr>
            </w:pPr>
          </w:p>
          <w:p w14:paraId="2BAF5A6C">
            <w:pPr>
              <w:spacing w:line="256" w:lineRule="auto"/>
              <w:rPr>
                <w:rFonts w:ascii="Arial"/>
                <w:sz w:val="21"/>
              </w:rPr>
            </w:pPr>
          </w:p>
          <w:p w14:paraId="0CDD4A84">
            <w:pPr>
              <w:spacing w:line="256" w:lineRule="auto"/>
              <w:rPr>
                <w:rFonts w:ascii="Arial"/>
                <w:sz w:val="21"/>
              </w:rPr>
            </w:pPr>
          </w:p>
          <w:p w14:paraId="5D0AC8CB">
            <w:pPr>
              <w:spacing w:line="256" w:lineRule="auto"/>
              <w:rPr>
                <w:rFonts w:ascii="Arial"/>
                <w:sz w:val="21"/>
              </w:rPr>
            </w:pPr>
          </w:p>
          <w:p w14:paraId="0C5F39D6">
            <w:pPr>
              <w:spacing w:line="256" w:lineRule="auto"/>
              <w:rPr>
                <w:rFonts w:ascii="Arial"/>
                <w:sz w:val="21"/>
              </w:rPr>
            </w:pPr>
          </w:p>
          <w:p w14:paraId="523719DC">
            <w:pPr>
              <w:spacing w:line="256" w:lineRule="auto"/>
              <w:rPr>
                <w:rFonts w:ascii="Arial"/>
                <w:sz w:val="21"/>
              </w:rPr>
            </w:pPr>
          </w:p>
          <w:p w14:paraId="3F382ED6">
            <w:pPr>
              <w:spacing w:line="256" w:lineRule="auto"/>
              <w:rPr>
                <w:rFonts w:ascii="Arial"/>
                <w:sz w:val="21"/>
              </w:rPr>
            </w:pPr>
          </w:p>
          <w:p w14:paraId="5955B699">
            <w:pPr>
              <w:spacing w:line="256" w:lineRule="auto"/>
              <w:rPr>
                <w:rFonts w:ascii="Arial"/>
                <w:sz w:val="21"/>
              </w:rPr>
            </w:pPr>
          </w:p>
          <w:p w14:paraId="5736FC67">
            <w:pPr>
              <w:spacing w:line="256" w:lineRule="auto"/>
              <w:rPr>
                <w:rFonts w:ascii="Arial"/>
                <w:sz w:val="21"/>
              </w:rPr>
            </w:pPr>
          </w:p>
          <w:p w14:paraId="26D5C6F4">
            <w:pPr>
              <w:spacing w:before="75" w:line="186" w:lineRule="auto"/>
              <w:ind w:left="237"/>
              <w:rPr>
                <w:rFonts w:ascii="仿宋" w:hAnsi="仿宋" w:eastAsia="仿宋" w:cs="仿宋"/>
                <w:sz w:val="23"/>
                <w:szCs w:val="23"/>
              </w:rPr>
            </w:pPr>
            <w:r>
              <w:rPr>
                <w:rFonts w:ascii="仿宋" w:hAnsi="仿宋" w:eastAsia="仿宋" w:cs="仿宋"/>
                <w:spacing w:val="-3"/>
                <w:sz w:val="23"/>
                <w:szCs w:val="23"/>
              </w:rPr>
              <w:t>21</w:t>
            </w:r>
          </w:p>
        </w:tc>
        <w:tc>
          <w:tcPr>
            <w:tcW w:w="1440" w:type="dxa"/>
            <w:vMerge w:val="restart"/>
            <w:tcBorders>
              <w:bottom w:val="nil"/>
            </w:tcBorders>
            <w:vAlign w:val="top"/>
          </w:tcPr>
          <w:p w14:paraId="45F1E5EF">
            <w:pPr>
              <w:spacing w:line="267" w:lineRule="auto"/>
              <w:rPr>
                <w:rFonts w:ascii="Arial"/>
                <w:sz w:val="21"/>
              </w:rPr>
            </w:pPr>
          </w:p>
          <w:p w14:paraId="7F3469F1">
            <w:pPr>
              <w:spacing w:line="267" w:lineRule="auto"/>
              <w:rPr>
                <w:rFonts w:ascii="Arial"/>
                <w:sz w:val="21"/>
              </w:rPr>
            </w:pPr>
          </w:p>
          <w:p w14:paraId="1595AE1F">
            <w:pPr>
              <w:spacing w:line="268" w:lineRule="auto"/>
              <w:rPr>
                <w:rFonts w:ascii="Arial"/>
                <w:sz w:val="21"/>
              </w:rPr>
            </w:pPr>
          </w:p>
          <w:p w14:paraId="2070365B">
            <w:pPr>
              <w:spacing w:line="268" w:lineRule="auto"/>
              <w:rPr>
                <w:rFonts w:ascii="Arial"/>
                <w:sz w:val="21"/>
              </w:rPr>
            </w:pPr>
          </w:p>
          <w:p w14:paraId="516E81B0">
            <w:pPr>
              <w:spacing w:line="268" w:lineRule="auto"/>
              <w:rPr>
                <w:rFonts w:ascii="Arial"/>
                <w:sz w:val="21"/>
              </w:rPr>
            </w:pPr>
          </w:p>
          <w:p w14:paraId="17C298C0">
            <w:pPr>
              <w:pStyle w:val="6"/>
              <w:spacing w:before="99" w:line="182" w:lineRule="auto"/>
              <w:ind w:left="129"/>
              <w:outlineLvl w:val="0"/>
            </w:pPr>
            <w:bookmarkStart w:id="388" w:name="bookmark29"/>
            <w:bookmarkEnd w:id="388"/>
            <w:r>
              <w:rPr>
                <w:spacing w:val="8"/>
              </w:rPr>
              <w:t>生产经营单</w:t>
            </w:r>
          </w:p>
          <w:p w14:paraId="24C09871">
            <w:pPr>
              <w:pStyle w:val="6"/>
              <w:spacing w:before="3" w:line="187" w:lineRule="auto"/>
              <w:ind w:left="117" w:right="109" w:hanging="2"/>
              <w:jc w:val="both"/>
            </w:pPr>
            <w:r>
              <w:rPr>
                <w:spacing w:val="12"/>
              </w:rPr>
              <w:t>位出现法定</w:t>
            </w:r>
            <w:r>
              <w:rPr>
                <w:spacing w:val="3"/>
              </w:rPr>
              <w:t>情形，相关</w:t>
            </w:r>
            <w:r>
              <w:rPr>
                <w:spacing w:val="11"/>
              </w:rPr>
              <w:t>人员未按照规定重新参加安全培训</w:t>
            </w:r>
            <w:r>
              <w:t>的</w:t>
            </w:r>
          </w:p>
        </w:tc>
        <w:tc>
          <w:tcPr>
            <w:tcW w:w="3202" w:type="dxa"/>
            <w:vMerge w:val="restart"/>
            <w:tcBorders>
              <w:bottom w:val="nil"/>
            </w:tcBorders>
            <w:vAlign w:val="top"/>
          </w:tcPr>
          <w:p w14:paraId="568F593F">
            <w:pPr>
              <w:pStyle w:val="6"/>
              <w:spacing w:before="31" w:line="182" w:lineRule="auto"/>
              <w:ind w:left="98"/>
              <w:outlineLvl w:val="0"/>
            </w:pPr>
            <w:r>
              <w:rPr>
                <w:spacing w:val="17"/>
              </w:rPr>
              <w:t>【部门规章】《安全生产培</w:t>
            </w:r>
          </w:p>
          <w:p w14:paraId="5BDA72ED">
            <w:pPr>
              <w:pStyle w:val="6"/>
              <w:spacing w:before="5" w:line="182" w:lineRule="auto"/>
              <w:ind w:left="115" w:right="111" w:firstLine="6"/>
              <w:jc w:val="both"/>
            </w:pPr>
            <w:bookmarkStart w:id="389" w:name="bookmark48"/>
            <w:bookmarkEnd w:id="389"/>
            <w:r>
              <w:rPr>
                <w:spacing w:val="10"/>
              </w:rPr>
              <w:t>训管理办法》第十二条：中</w:t>
            </w:r>
            <w:r>
              <w:rPr>
                <w:spacing w:val="17"/>
              </w:rPr>
              <w:t>央企业的分公司、子公司及其所属单位和其他生产经营</w:t>
            </w:r>
            <w:r>
              <w:rPr>
                <w:spacing w:val="13"/>
              </w:rPr>
              <w:t>单位，发生造成人员死亡的</w:t>
            </w:r>
            <w:r>
              <w:rPr>
                <w:spacing w:val="14"/>
              </w:rPr>
              <w:t>生产安全事故的，其主要负</w:t>
            </w:r>
            <w:r>
              <w:rPr>
                <w:spacing w:val="17"/>
              </w:rPr>
              <w:t>责人和安全生产管理人员应</w:t>
            </w:r>
            <w:r>
              <w:rPr>
                <w:spacing w:val="5"/>
              </w:rPr>
              <w:t>当重新参加安全培训。</w:t>
            </w:r>
          </w:p>
          <w:p w14:paraId="5C85F626">
            <w:pPr>
              <w:pStyle w:val="6"/>
              <w:spacing w:before="5" w:line="187" w:lineRule="auto"/>
              <w:ind w:left="115" w:right="26"/>
              <w:jc w:val="both"/>
            </w:pPr>
            <w:r>
              <w:rPr>
                <w:spacing w:val="17"/>
              </w:rPr>
              <w:t>特种作业人员对造成人员死亡的生产安全事故负有直接</w:t>
            </w:r>
            <w:r>
              <w:rPr>
                <w:spacing w:val="13"/>
              </w:rPr>
              <w:t>责任的，应当按照《特种作</w:t>
            </w:r>
            <w:r>
              <w:rPr>
                <w:spacing w:val="17"/>
              </w:rPr>
              <w:t>业人员安全技术培训考核管</w:t>
            </w:r>
            <w:r>
              <w:rPr>
                <w:spacing w:val="4"/>
              </w:rPr>
              <w:t>理规定》重新参加安全培训。</w:t>
            </w:r>
          </w:p>
        </w:tc>
        <w:tc>
          <w:tcPr>
            <w:tcW w:w="2859" w:type="dxa"/>
            <w:vMerge w:val="restart"/>
            <w:tcBorders>
              <w:bottom w:val="nil"/>
            </w:tcBorders>
            <w:vAlign w:val="top"/>
          </w:tcPr>
          <w:p w14:paraId="7ED668B1">
            <w:pPr>
              <w:pStyle w:val="6"/>
              <w:spacing w:before="27" w:line="186" w:lineRule="auto"/>
              <w:ind w:left="114" w:right="108" w:hanging="17"/>
              <w:jc w:val="both"/>
            </w:pPr>
            <w:r>
              <w:rPr>
                <w:spacing w:val="10"/>
              </w:rPr>
              <w:t>【部门规章】《安全生产</w:t>
            </w:r>
            <w:r>
              <w:rPr>
                <w:spacing w:val="8"/>
              </w:rPr>
              <w:t>培训管理办法》第三十六条第三项：生产经营单位有下列情形之一的，责令</w:t>
            </w:r>
            <w:r>
              <w:rPr>
                <w:spacing w:val="2"/>
              </w:rPr>
              <w:t>改正，处</w:t>
            </w:r>
            <w:r>
              <w:rPr>
                <w:rFonts w:ascii="宋体" w:hAnsi="宋体" w:eastAsia="宋体" w:cs="宋体"/>
                <w:spacing w:val="2"/>
              </w:rPr>
              <w:t>3</w:t>
            </w:r>
            <w:r>
              <w:rPr>
                <w:spacing w:val="2"/>
              </w:rPr>
              <w:t>万元以下的罚</w:t>
            </w:r>
            <w:r>
              <w:rPr>
                <w:spacing w:val="8"/>
              </w:rPr>
              <w:t>款</w:t>
            </w:r>
            <w:r>
              <w:rPr>
                <w:spacing w:val="11"/>
              </w:rPr>
              <w:t>：（</w:t>
            </w:r>
            <w:r>
              <w:rPr>
                <w:spacing w:val="8"/>
              </w:rPr>
              <w:t>三）相关人员未按照本办法第十二条规定重</w:t>
            </w:r>
            <w:r>
              <w:rPr>
                <w:spacing w:val="4"/>
              </w:rPr>
              <w:t>新参加安全培训的。</w:t>
            </w:r>
          </w:p>
        </w:tc>
        <w:tc>
          <w:tcPr>
            <w:tcW w:w="803" w:type="dxa"/>
            <w:vAlign w:val="top"/>
          </w:tcPr>
          <w:p w14:paraId="25F7F246">
            <w:pPr>
              <w:spacing w:line="324" w:lineRule="auto"/>
              <w:rPr>
                <w:rFonts w:ascii="Arial"/>
                <w:sz w:val="21"/>
              </w:rPr>
            </w:pPr>
          </w:p>
          <w:p w14:paraId="76DBCF70">
            <w:pPr>
              <w:spacing w:line="324" w:lineRule="auto"/>
              <w:rPr>
                <w:rFonts w:ascii="Arial"/>
                <w:sz w:val="21"/>
              </w:rPr>
            </w:pPr>
          </w:p>
          <w:p w14:paraId="78E43B79">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37F6B35">
            <w:pPr>
              <w:pStyle w:val="6"/>
              <w:spacing w:before="84" w:line="185" w:lineRule="auto"/>
              <w:ind w:left="115" w:right="109" w:firstLine="6"/>
              <w:jc w:val="both"/>
            </w:pPr>
            <w:r>
              <w:rPr>
                <w:spacing w:val="-6"/>
              </w:rPr>
              <w:t>相关人员未按照《安</w:t>
            </w:r>
            <w:r>
              <w:rPr>
                <w:spacing w:val="26"/>
              </w:rPr>
              <w:t>全生产培训管理办</w:t>
            </w:r>
            <w:r>
              <w:rPr>
                <w:spacing w:val="-2"/>
              </w:rPr>
              <w:t>法》第十二条规定重新参加安全培训，涉</w:t>
            </w:r>
            <w:r>
              <w:rPr>
                <w:spacing w:val="3"/>
              </w:rPr>
              <w:t>及</w:t>
            </w:r>
            <w:r>
              <w:rPr>
                <w:rFonts w:ascii="宋体" w:hAnsi="宋体" w:eastAsia="宋体" w:cs="宋体"/>
                <w:spacing w:val="3"/>
              </w:rPr>
              <w:t>3</w:t>
            </w:r>
            <w:r>
              <w:rPr>
                <w:spacing w:val="3"/>
              </w:rPr>
              <w:t>人次以下的</w:t>
            </w:r>
          </w:p>
        </w:tc>
        <w:tc>
          <w:tcPr>
            <w:tcW w:w="2894" w:type="dxa"/>
            <w:vAlign w:val="top"/>
          </w:tcPr>
          <w:p w14:paraId="57C129F4">
            <w:pPr>
              <w:spacing w:line="433" w:lineRule="auto"/>
              <w:rPr>
                <w:rFonts w:ascii="Arial"/>
                <w:sz w:val="21"/>
              </w:rPr>
            </w:pPr>
          </w:p>
          <w:p w14:paraId="4EACD957">
            <w:pPr>
              <w:pStyle w:val="6"/>
              <w:spacing w:before="99" w:line="196" w:lineRule="auto"/>
              <w:ind w:left="140" w:right="106" w:hanging="13"/>
            </w:pPr>
            <w:r>
              <w:rPr>
                <w:spacing w:val="2"/>
              </w:rPr>
              <w:t>责令改正，处</w:t>
            </w:r>
            <w:r>
              <w:rPr>
                <w:rFonts w:ascii="宋体" w:hAnsi="宋体" w:eastAsia="宋体" w:cs="宋体"/>
                <w:spacing w:val="2"/>
              </w:rPr>
              <w:t>1</w:t>
            </w:r>
            <w:r>
              <w:rPr>
                <w:spacing w:val="2"/>
              </w:rPr>
              <w:t>万元以下</w:t>
            </w:r>
            <w:r>
              <w:rPr>
                <w:spacing w:val="-2"/>
              </w:rPr>
              <w:t>的罚款</w:t>
            </w:r>
          </w:p>
        </w:tc>
        <w:tc>
          <w:tcPr>
            <w:tcW w:w="811" w:type="dxa"/>
            <w:vMerge w:val="restart"/>
            <w:tcBorders>
              <w:bottom w:val="nil"/>
            </w:tcBorders>
            <w:vAlign w:val="top"/>
          </w:tcPr>
          <w:p w14:paraId="42AEAA40">
            <w:pPr>
              <w:spacing w:line="255" w:lineRule="auto"/>
              <w:rPr>
                <w:rFonts w:ascii="Arial"/>
                <w:sz w:val="21"/>
              </w:rPr>
            </w:pPr>
          </w:p>
          <w:p w14:paraId="555DB6E2">
            <w:pPr>
              <w:spacing w:line="255" w:lineRule="auto"/>
              <w:rPr>
                <w:rFonts w:ascii="Arial"/>
                <w:sz w:val="21"/>
              </w:rPr>
            </w:pPr>
          </w:p>
          <w:p w14:paraId="2DE4B09D">
            <w:pPr>
              <w:spacing w:line="255" w:lineRule="auto"/>
              <w:rPr>
                <w:rFonts w:ascii="Arial"/>
                <w:sz w:val="21"/>
              </w:rPr>
            </w:pPr>
          </w:p>
          <w:p w14:paraId="6F6722FC">
            <w:pPr>
              <w:spacing w:line="255" w:lineRule="auto"/>
              <w:rPr>
                <w:rFonts w:ascii="Arial"/>
                <w:sz w:val="21"/>
              </w:rPr>
            </w:pPr>
          </w:p>
          <w:p w14:paraId="174A5591">
            <w:pPr>
              <w:spacing w:line="256" w:lineRule="auto"/>
              <w:rPr>
                <w:rFonts w:ascii="Arial"/>
                <w:sz w:val="21"/>
              </w:rPr>
            </w:pPr>
          </w:p>
          <w:p w14:paraId="75CF244B">
            <w:pPr>
              <w:spacing w:line="256" w:lineRule="auto"/>
              <w:rPr>
                <w:rFonts w:ascii="Arial"/>
                <w:sz w:val="21"/>
              </w:rPr>
            </w:pPr>
          </w:p>
          <w:p w14:paraId="1068C104">
            <w:pPr>
              <w:spacing w:line="256" w:lineRule="auto"/>
              <w:rPr>
                <w:rFonts w:ascii="Arial"/>
                <w:sz w:val="21"/>
              </w:rPr>
            </w:pPr>
          </w:p>
          <w:p w14:paraId="5629C0A0">
            <w:pPr>
              <w:spacing w:line="256" w:lineRule="auto"/>
              <w:rPr>
                <w:rFonts w:ascii="Arial"/>
                <w:sz w:val="21"/>
              </w:rPr>
            </w:pPr>
          </w:p>
          <w:p w14:paraId="18974E96">
            <w:pPr>
              <w:spacing w:line="256" w:lineRule="auto"/>
              <w:rPr>
                <w:rFonts w:ascii="Arial"/>
                <w:sz w:val="21"/>
              </w:rPr>
            </w:pPr>
          </w:p>
          <w:p w14:paraId="0454978F">
            <w:pPr>
              <w:spacing w:before="75" w:line="189" w:lineRule="auto"/>
              <w:ind w:left="308"/>
              <w:rPr>
                <w:rFonts w:ascii="宋体" w:hAnsi="宋体" w:eastAsia="宋体" w:cs="宋体"/>
                <w:sz w:val="23"/>
                <w:szCs w:val="23"/>
              </w:rPr>
            </w:pPr>
            <w:r>
              <w:rPr>
                <w:rFonts w:ascii="宋体" w:hAnsi="宋体" w:eastAsia="宋体" w:cs="宋体"/>
                <w:spacing w:val="-10"/>
                <w:sz w:val="23"/>
                <w:szCs w:val="23"/>
              </w:rPr>
              <w:t>14</w:t>
            </w:r>
          </w:p>
        </w:tc>
      </w:tr>
      <w:tr w14:paraId="6AAC8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bottom w:val="nil"/>
            </w:tcBorders>
            <w:vAlign w:val="top"/>
          </w:tcPr>
          <w:p w14:paraId="1321B062">
            <w:pPr>
              <w:rPr>
                <w:rFonts w:ascii="Arial"/>
                <w:sz w:val="21"/>
              </w:rPr>
            </w:pPr>
          </w:p>
        </w:tc>
        <w:tc>
          <w:tcPr>
            <w:tcW w:w="1440" w:type="dxa"/>
            <w:vMerge w:val="continue"/>
            <w:tcBorders>
              <w:top w:val="nil"/>
              <w:bottom w:val="nil"/>
            </w:tcBorders>
            <w:vAlign w:val="top"/>
          </w:tcPr>
          <w:p w14:paraId="1E432844">
            <w:pPr>
              <w:rPr>
                <w:rFonts w:ascii="Arial"/>
                <w:sz w:val="21"/>
              </w:rPr>
            </w:pPr>
          </w:p>
        </w:tc>
        <w:tc>
          <w:tcPr>
            <w:tcW w:w="3202" w:type="dxa"/>
            <w:vMerge w:val="continue"/>
            <w:tcBorders>
              <w:top w:val="nil"/>
              <w:bottom w:val="nil"/>
            </w:tcBorders>
            <w:vAlign w:val="top"/>
          </w:tcPr>
          <w:p w14:paraId="3CDB92A0">
            <w:pPr>
              <w:rPr>
                <w:rFonts w:ascii="Arial"/>
                <w:sz w:val="21"/>
              </w:rPr>
            </w:pPr>
          </w:p>
        </w:tc>
        <w:tc>
          <w:tcPr>
            <w:tcW w:w="2859" w:type="dxa"/>
            <w:vMerge w:val="continue"/>
            <w:tcBorders>
              <w:top w:val="nil"/>
              <w:bottom w:val="nil"/>
            </w:tcBorders>
            <w:vAlign w:val="top"/>
          </w:tcPr>
          <w:p w14:paraId="48BDD2DC">
            <w:pPr>
              <w:rPr>
                <w:rFonts w:ascii="Arial"/>
                <w:sz w:val="21"/>
              </w:rPr>
            </w:pPr>
          </w:p>
        </w:tc>
        <w:tc>
          <w:tcPr>
            <w:tcW w:w="803" w:type="dxa"/>
            <w:vAlign w:val="top"/>
          </w:tcPr>
          <w:p w14:paraId="3347175C">
            <w:pPr>
              <w:spacing w:line="249" w:lineRule="auto"/>
              <w:rPr>
                <w:rFonts w:ascii="Arial"/>
                <w:sz w:val="21"/>
              </w:rPr>
            </w:pPr>
          </w:p>
          <w:p w14:paraId="30F75E94">
            <w:pPr>
              <w:spacing w:line="249" w:lineRule="auto"/>
              <w:rPr>
                <w:rFonts w:ascii="Arial"/>
                <w:sz w:val="21"/>
              </w:rPr>
            </w:pPr>
          </w:p>
          <w:p w14:paraId="61BE5E06">
            <w:pPr>
              <w:spacing w:line="249" w:lineRule="auto"/>
              <w:rPr>
                <w:rFonts w:ascii="Arial"/>
                <w:sz w:val="21"/>
              </w:rPr>
            </w:pPr>
          </w:p>
          <w:p w14:paraId="0668A8C7">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C813C34">
            <w:pPr>
              <w:pStyle w:val="6"/>
              <w:spacing w:before="28" w:line="179" w:lineRule="auto"/>
              <w:ind w:left="115" w:right="105" w:firstLine="6"/>
              <w:jc w:val="both"/>
            </w:pPr>
            <w:r>
              <w:rPr>
                <w:spacing w:val="-6"/>
              </w:rPr>
              <w:t>相关人员未按照《安</w:t>
            </w:r>
            <w:r>
              <w:rPr>
                <w:spacing w:val="26"/>
              </w:rPr>
              <w:t>全生产培训管理办</w:t>
            </w:r>
            <w:r>
              <w:rPr>
                <w:spacing w:val="-2"/>
              </w:rPr>
              <w:t>法》第十二条规定重新参加安全培训，涉</w:t>
            </w:r>
            <w:r>
              <w:t>及</w:t>
            </w:r>
            <w:r>
              <w:rPr>
                <w:rFonts w:ascii="宋体" w:hAnsi="宋体" w:eastAsia="宋体" w:cs="宋体"/>
              </w:rPr>
              <w:t>3</w:t>
            </w:r>
            <w:r>
              <w:t>人次以上</w:t>
            </w:r>
            <w:r>
              <w:rPr>
                <w:rFonts w:ascii="宋体" w:hAnsi="宋体" w:eastAsia="宋体" w:cs="宋体"/>
              </w:rPr>
              <w:t>10</w:t>
            </w:r>
            <w:r>
              <w:t>人</w:t>
            </w:r>
            <w:r>
              <w:rPr>
                <w:spacing w:val="6"/>
              </w:rPr>
              <w:t>次以下的</w:t>
            </w:r>
          </w:p>
        </w:tc>
        <w:tc>
          <w:tcPr>
            <w:tcW w:w="2894" w:type="dxa"/>
            <w:vAlign w:val="top"/>
          </w:tcPr>
          <w:p w14:paraId="3EB91A18">
            <w:pPr>
              <w:spacing w:line="264" w:lineRule="auto"/>
              <w:rPr>
                <w:rFonts w:ascii="Arial"/>
                <w:sz w:val="21"/>
              </w:rPr>
            </w:pPr>
          </w:p>
          <w:p w14:paraId="1AB22320">
            <w:pPr>
              <w:spacing w:line="265" w:lineRule="auto"/>
              <w:rPr>
                <w:rFonts w:ascii="Arial"/>
                <w:sz w:val="21"/>
              </w:rPr>
            </w:pPr>
          </w:p>
          <w:p w14:paraId="1D7E89EA">
            <w:pPr>
              <w:pStyle w:val="6"/>
              <w:spacing w:before="99" w:line="182" w:lineRule="auto"/>
              <w:ind w:left="127"/>
            </w:pPr>
            <w:r>
              <w:rPr>
                <w:spacing w:val="2"/>
              </w:rPr>
              <w:t>责令改正，处</w:t>
            </w:r>
            <w:r>
              <w:rPr>
                <w:rFonts w:ascii="宋体" w:hAnsi="宋体" w:eastAsia="宋体" w:cs="宋体"/>
                <w:spacing w:val="2"/>
              </w:rPr>
              <w:t>1</w:t>
            </w:r>
            <w:r>
              <w:rPr>
                <w:spacing w:val="2"/>
              </w:rPr>
              <w:t>万元以上</w:t>
            </w:r>
          </w:p>
          <w:p w14:paraId="7A485F45">
            <w:pPr>
              <w:pStyle w:val="6"/>
              <w:spacing w:before="1" w:line="208" w:lineRule="auto"/>
              <w:ind w:left="118"/>
            </w:pPr>
            <w:r>
              <w:rPr>
                <w:rFonts w:ascii="宋体" w:hAnsi="宋体" w:eastAsia="宋体" w:cs="宋体"/>
                <w:spacing w:val="4"/>
              </w:rPr>
              <w:t>2</w:t>
            </w:r>
            <w:r>
              <w:rPr>
                <w:spacing w:val="4"/>
              </w:rPr>
              <w:t>万元以下的罚款</w:t>
            </w:r>
          </w:p>
        </w:tc>
        <w:tc>
          <w:tcPr>
            <w:tcW w:w="811" w:type="dxa"/>
            <w:vMerge w:val="continue"/>
            <w:tcBorders>
              <w:top w:val="nil"/>
              <w:bottom w:val="nil"/>
            </w:tcBorders>
            <w:vAlign w:val="top"/>
          </w:tcPr>
          <w:p w14:paraId="7E33E85A">
            <w:pPr>
              <w:rPr>
                <w:rFonts w:ascii="Arial"/>
                <w:sz w:val="21"/>
              </w:rPr>
            </w:pPr>
          </w:p>
        </w:tc>
      </w:tr>
      <w:tr w14:paraId="42844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continue"/>
            <w:tcBorders>
              <w:top w:val="nil"/>
            </w:tcBorders>
            <w:vAlign w:val="top"/>
          </w:tcPr>
          <w:p w14:paraId="4D157403">
            <w:pPr>
              <w:rPr>
                <w:rFonts w:ascii="Arial"/>
                <w:sz w:val="21"/>
              </w:rPr>
            </w:pPr>
          </w:p>
        </w:tc>
        <w:tc>
          <w:tcPr>
            <w:tcW w:w="1440" w:type="dxa"/>
            <w:vMerge w:val="continue"/>
            <w:tcBorders>
              <w:top w:val="nil"/>
            </w:tcBorders>
            <w:vAlign w:val="top"/>
          </w:tcPr>
          <w:p w14:paraId="23BDBD2F">
            <w:pPr>
              <w:rPr>
                <w:rFonts w:ascii="Arial"/>
                <w:sz w:val="21"/>
              </w:rPr>
            </w:pPr>
          </w:p>
        </w:tc>
        <w:tc>
          <w:tcPr>
            <w:tcW w:w="3202" w:type="dxa"/>
            <w:vMerge w:val="continue"/>
            <w:tcBorders>
              <w:top w:val="nil"/>
            </w:tcBorders>
            <w:vAlign w:val="top"/>
          </w:tcPr>
          <w:p w14:paraId="5DEE4235">
            <w:pPr>
              <w:rPr>
                <w:rFonts w:ascii="Arial"/>
                <w:sz w:val="21"/>
              </w:rPr>
            </w:pPr>
          </w:p>
        </w:tc>
        <w:tc>
          <w:tcPr>
            <w:tcW w:w="2859" w:type="dxa"/>
            <w:vMerge w:val="continue"/>
            <w:tcBorders>
              <w:top w:val="nil"/>
            </w:tcBorders>
            <w:vAlign w:val="top"/>
          </w:tcPr>
          <w:p w14:paraId="4422D47C">
            <w:pPr>
              <w:rPr>
                <w:rFonts w:ascii="Arial"/>
                <w:sz w:val="21"/>
              </w:rPr>
            </w:pPr>
          </w:p>
        </w:tc>
        <w:tc>
          <w:tcPr>
            <w:tcW w:w="803" w:type="dxa"/>
            <w:vAlign w:val="top"/>
          </w:tcPr>
          <w:p w14:paraId="178EB5E6">
            <w:pPr>
              <w:spacing w:line="299" w:lineRule="auto"/>
              <w:rPr>
                <w:rFonts w:ascii="Arial"/>
                <w:sz w:val="21"/>
              </w:rPr>
            </w:pPr>
          </w:p>
          <w:p w14:paraId="451151F3">
            <w:pPr>
              <w:spacing w:line="300" w:lineRule="auto"/>
              <w:rPr>
                <w:rFonts w:ascii="Arial"/>
                <w:sz w:val="21"/>
              </w:rPr>
            </w:pPr>
          </w:p>
          <w:p w14:paraId="5DA0A59E">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1B093EB">
            <w:pPr>
              <w:pStyle w:val="6"/>
              <w:spacing w:before="30" w:line="178" w:lineRule="auto"/>
              <w:ind w:left="115" w:right="109" w:firstLine="6"/>
              <w:jc w:val="both"/>
            </w:pPr>
            <w:r>
              <w:rPr>
                <w:spacing w:val="-6"/>
              </w:rPr>
              <w:t>相关人员未按照《安</w:t>
            </w:r>
            <w:r>
              <w:rPr>
                <w:spacing w:val="26"/>
              </w:rPr>
              <w:t>全生产培训管理办</w:t>
            </w:r>
            <w:r>
              <w:rPr>
                <w:spacing w:val="-2"/>
              </w:rPr>
              <w:t>法》第十二条规定重新参加安全培训，涉</w:t>
            </w:r>
            <w:r>
              <w:rPr>
                <w:spacing w:val="1"/>
              </w:rPr>
              <w:t>及</w:t>
            </w:r>
            <w:r>
              <w:rPr>
                <w:rFonts w:ascii="宋体" w:hAnsi="宋体" w:eastAsia="宋体" w:cs="宋体"/>
                <w:spacing w:val="1"/>
              </w:rPr>
              <w:t>10</w:t>
            </w:r>
            <w:r>
              <w:rPr>
                <w:spacing w:val="1"/>
              </w:rPr>
              <w:t>人次以上的</w:t>
            </w:r>
          </w:p>
        </w:tc>
        <w:tc>
          <w:tcPr>
            <w:tcW w:w="2894" w:type="dxa"/>
            <w:vAlign w:val="top"/>
          </w:tcPr>
          <w:p w14:paraId="0B11A23F">
            <w:pPr>
              <w:spacing w:line="382" w:lineRule="auto"/>
              <w:rPr>
                <w:rFonts w:ascii="Arial"/>
                <w:sz w:val="21"/>
              </w:rPr>
            </w:pPr>
          </w:p>
          <w:p w14:paraId="62BF5CAD">
            <w:pPr>
              <w:pStyle w:val="6"/>
              <w:spacing w:before="99" w:line="182" w:lineRule="auto"/>
              <w:ind w:left="127"/>
            </w:pPr>
            <w:r>
              <w:rPr>
                <w:spacing w:val="4"/>
              </w:rPr>
              <w:t>责令改正，处</w:t>
            </w:r>
            <w:r>
              <w:rPr>
                <w:rFonts w:ascii="宋体" w:hAnsi="宋体" w:eastAsia="宋体" w:cs="宋体"/>
                <w:spacing w:val="4"/>
              </w:rPr>
              <w:t>2</w:t>
            </w:r>
            <w:r>
              <w:rPr>
                <w:spacing w:val="4"/>
              </w:rPr>
              <w:t>万元以上</w:t>
            </w:r>
          </w:p>
          <w:p w14:paraId="1D330453">
            <w:pPr>
              <w:pStyle w:val="6"/>
              <w:spacing w:before="1" w:line="208" w:lineRule="auto"/>
              <w:ind w:left="120"/>
            </w:pPr>
            <w:r>
              <w:rPr>
                <w:rFonts w:ascii="宋体" w:hAnsi="宋体" w:eastAsia="宋体" w:cs="宋体"/>
                <w:spacing w:val="4"/>
              </w:rPr>
              <w:t>3</w:t>
            </w:r>
            <w:r>
              <w:rPr>
                <w:spacing w:val="4"/>
              </w:rPr>
              <w:t>万元以下的罚款</w:t>
            </w:r>
          </w:p>
        </w:tc>
        <w:tc>
          <w:tcPr>
            <w:tcW w:w="811" w:type="dxa"/>
            <w:vMerge w:val="continue"/>
            <w:tcBorders>
              <w:top w:val="nil"/>
            </w:tcBorders>
            <w:vAlign w:val="top"/>
          </w:tcPr>
          <w:p w14:paraId="0246BD99">
            <w:pPr>
              <w:rPr>
                <w:rFonts w:ascii="Arial"/>
                <w:sz w:val="21"/>
              </w:rPr>
            </w:pPr>
          </w:p>
        </w:tc>
      </w:tr>
      <w:tr w14:paraId="17CEA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8" w:hRule="atLeast"/>
        </w:trPr>
        <w:tc>
          <w:tcPr>
            <w:tcW w:w="818" w:type="dxa"/>
            <w:vAlign w:val="top"/>
          </w:tcPr>
          <w:p w14:paraId="6EC94478">
            <w:pPr>
              <w:spacing w:line="280" w:lineRule="auto"/>
              <w:rPr>
                <w:rFonts w:ascii="Arial"/>
                <w:sz w:val="21"/>
              </w:rPr>
            </w:pPr>
          </w:p>
          <w:p w14:paraId="78CE6AEB">
            <w:pPr>
              <w:spacing w:line="280" w:lineRule="auto"/>
              <w:rPr>
                <w:rFonts w:ascii="Arial"/>
                <w:sz w:val="21"/>
              </w:rPr>
            </w:pPr>
          </w:p>
          <w:p w14:paraId="7422D661">
            <w:pPr>
              <w:spacing w:line="280" w:lineRule="auto"/>
              <w:rPr>
                <w:rFonts w:ascii="Arial"/>
                <w:sz w:val="21"/>
              </w:rPr>
            </w:pPr>
          </w:p>
          <w:p w14:paraId="7D60E0D1">
            <w:pPr>
              <w:spacing w:before="75" w:line="186" w:lineRule="auto"/>
              <w:ind w:left="237"/>
              <w:rPr>
                <w:rFonts w:ascii="仿宋" w:hAnsi="仿宋" w:eastAsia="仿宋" w:cs="仿宋"/>
                <w:sz w:val="23"/>
                <w:szCs w:val="23"/>
              </w:rPr>
            </w:pPr>
            <w:r>
              <w:rPr>
                <w:rFonts w:ascii="仿宋" w:hAnsi="仿宋" w:eastAsia="仿宋" w:cs="仿宋"/>
                <w:spacing w:val="-3"/>
                <w:sz w:val="23"/>
                <w:szCs w:val="23"/>
              </w:rPr>
              <w:t>22</w:t>
            </w:r>
          </w:p>
        </w:tc>
        <w:tc>
          <w:tcPr>
            <w:tcW w:w="1440" w:type="dxa"/>
            <w:vAlign w:val="top"/>
          </w:tcPr>
          <w:p w14:paraId="3CBA026C">
            <w:pPr>
              <w:spacing w:line="321" w:lineRule="auto"/>
              <w:rPr>
                <w:rFonts w:ascii="Arial"/>
                <w:sz w:val="21"/>
              </w:rPr>
            </w:pPr>
          </w:p>
          <w:p w14:paraId="1D3C5A0F">
            <w:pPr>
              <w:pStyle w:val="6"/>
              <w:spacing w:before="99" w:line="190" w:lineRule="auto"/>
              <w:ind w:left="115" w:right="111" w:firstLine="5"/>
              <w:jc w:val="both"/>
            </w:pPr>
            <w:r>
              <w:rPr>
                <w:spacing w:val="10"/>
              </w:rPr>
              <w:t>安全培训机</w:t>
            </w:r>
            <w:r>
              <w:rPr>
                <w:spacing w:val="11"/>
              </w:rPr>
              <w:t>构不具备安全培训条件</w:t>
            </w:r>
            <w:r>
              <w:t>的</w:t>
            </w:r>
          </w:p>
        </w:tc>
        <w:tc>
          <w:tcPr>
            <w:tcW w:w="3202" w:type="dxa"/>
            <w:vAlign w:val="top"/>
          </w:tcPr>
          <w:p w14:paraId="7158F751">
            <w:pPr>
              <w:pStyle w:val="6"/>
              <w:spacing w:before="30" w:line="187" w:lineRule="auto"/>
              <w:ind w:left="119" w:right="42" w:hanging="21"/>
            </w:pPr>
            <w:r>
              <w:rPr>
                <w:spacing w:val="18"/>
              </w:rPr>
              <w:t>【部门规章】《安全生产培</w:t>
            </w:r>
            <w:r>
              <w:rPr>
                <w:spacing w:val="3"/>
              </w:rPr>
              <w:t>训管理办法》第五条第一款：</w:t>
            </w:r>
            <w:r>
              <w:rPr>
                <w:spacing w:val="17"/>
              </w:rPr>
              <w:t>安全培训的机构应当具备从事安全培训工作所需要的条</w:t>
            </w:r>
            <w:r>
              <w:rPr>
                <w:spacing w:val="14"/>
              </w:rPr>
              <w:t>件。从事危险物品的生产、</w:t>
            </w:r>
            <w:r>
              <w:rPr>
                <w:spacing w:val="15"/>
              </w:rPr>
              <w:t>经营、储存单位以及矿山、</w:t>
            </w:r>
          </w:p>
        </w:tc>
        <w:tc>
          <w:tcPr>
            <w:tcW w:w="2859" w:type="dxa"/>
            <w:vAlign w:val="top"/>
          </w:tcPr>
          <w:p w14:paraId="70AA952F">
            <w:pPr>
              <w:pStyle w:val="6"/>
              <w:spacing w:before="29" w:line="187" w:lineRule="auto"/>
              <w:ind w:left="114" w:right="105" w:hanging="17"/>
              <w:jc w:val="both"/>
            </w:pPr>
            <w:r>
              <w:rPr>
                <w:spacing w:val="10"/>
              </w:rPr>
              <w:t>【部门规章】《安全生产</w:t>
            </w:r>
            <w:r>
              <w:rPr>
                <w:spacing w:val="8"/>
              </w:rPr>
              <w:t>培训管理办法》第三十四条第一款第一项：安全培</w:t>
            </w:r>
            <w:r>
              <w:rPr>
                <w:spacing w:val="27"/>
              </w:rPr>
              <w:t>训机构有下列情形之一</w:t>
            </w:r>
            <w:r>
              <w:rPr>
                <w:spacing w:val="3"/>
              </w:rPr>
              <w:t>的，责令限期改正，处</w:t>
            </w:r>
            <w:r>
              <w:rPr>
                <w:rFonts w:ascii="宋体" w:hAnsi="宋体" w:eastAsia="宋体" w:cs="宋体"/>
                <w:spacing w:val="3"/>
              </w:rPr>
              <w:t>1</w:t>
            </w:r>
            <w:r>
              <w:rPr>
                <w:spacing w:val="8"/>
              </w:rPr>
              <w:t>万元以下的罚款；逾期未</w:t>
            </w:r>
          </w:p>
        </w:tc>
        <w:tc>
          <w:tcPr>
            <w:tcW w:w="803" w:type="dxa"/>
            <w:vAlign w:val="top"/>
          </w:tcPr>
          <w:p w14:paraId="49C78C2D">
            <w:pPr>
              <w:spacing w:line="278" w:lineRule="auto"/>
              <w:rPr>
                <w:rFonts w:ascii="Arial"/>
                <w:sz w:val="21"/>
              </w:rPr>
            </w:pPr>
          </w:p>
          <w:p w14:paraId="4B196A21">
            <w:pPr>
              <w:spacing w:line="278" w:lineRule="auto"/>
              <w:rPr>
                <w:rFonts w:ascii="Arial"/>
                <w:sz w:val="21"/>
              </w:rPr>
            </w:pPr>
          </w:p>
          <w:p w14:paraId="4F46B0B3">
            <w:pPr>
              <w:spacing w:line="279" w:lineRule="auto"/>
              <w:rPr>
                <w:rFonts w:ascii="Arial"/>
                <w:sz w:val="21"/>
              </w:rPr>
            </w:pPr>
          </w:p>
          <w:p w14:paraId="286D4189">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113F575">
            <w:pPr>
              <w:spacing w:line="311" w:lineRule="auto"/>
              <w:rPr>
                <w:rFonts w:ascii="Arial"/>
                <w:sz w:val="21"/>
              </w:rPr>
            </w:pPr>
          </w:p>
          <w:p w14:paraId="3D6F1CB7">
            <w:pPr>
              <w:spacing w:line="311" w:lineRule="auto"/>
              <w:rPr>
                <w:rFonts w:ascii="Arial"/>
                <w:sz w:val="21"/>
              </w:rPr>
            </w:pPr>
          </w:p>
          <w:p w14:paraId="292278EA">
            <w:pPr>
              <w:pStyle w:val="6"/>
              <w:spacing w:before="98" w:line="195" w:lineRule="auto"/>
              <w:ind w:left="119" w:right="109" w:firstLine="5"/>
            </w:pPr>
            <w:r>
              <w:rPr>
                <w:spacing w:val="25"/>
              </w:rPr>
              <w:t>不具备安全培训条</w:t>
            </w:r>
            <w:r>
              <w:t>件，涉及</w:t>
            </w:r>
            <w:r>
              <w:rPr>
                <w:rFonts w:ascii="宋体" w:hAnsi="宋体" w:eastAsia="宋体" w:cs="宋体"/>
              </w:rPr>
              <w:t>1</w:t>
            </w:r>
            <w:r>
              <w:t>处的</w:t>
            </w:r>
          </w:p>
        </w:tc>
        <w:tc>
          <w:tcPr>
            <w:tcW w:w="2894" w:type="dxa"/>
            <w:vAlign w:val="top"/>
          </w:tcPr>
          <w:p w14:paraId="7700A0BA">
            <w:pPr>
              <w:spacing w:line="323" w:lineRule="auto"/>
              <w:rPr>
                <w:rFonts w:ascii="Arial"/>
                <w:sz w:val="21"/>
              </w:rPr>
            </w:pPr>
          </w:p>
          <w:p w14:paraId="0C4726E8">
            <w:pPr>
              <w:pStyle w:val="6"/>
              <w:spacing w:before="98" w:line="189" w:lineRule="auto"/>
              <w:ind w:left="140" w:right="103" w:hanging="13"/>
              <w:jc w:val="both"/>
            </w:pPr>
            <w:r>
              <w:rPr>
                <w:spacing w:val="2"/>
              </w:rPr>
              <w:t>责令限期改正，处</w:t>
            </w:r>
            <w:r>
              <w:rPr>
                <w:rFonts w:ascii="宋体" w:hAnsi="宋体" w:eastAsia="宋体" w:cs="宋体"/>
                <w:spacing w:val="2"/>
              </w:rPr>
              <w:t>1</w:t>
            </w:r>
            <w:r>
              <w:rPr>
                <w:spacing w:val="2"/>
              </w:rPr>
              <w:t>万元</w:t>
            </w:r>
            <w:r>
              <w:rPr>
                <w:spacing w:val="6"/>
              </w:rPr>
              <w:t>以下的罚款；逾期未改正</w:t>
            </w:r>
            <w:r>
              <w:rPr>
                <w:spacing w:val="-3"/>
              </w:rPr>
              <w:t>的，给予警告，处</w:t>
            </w:r>
            <w:r>
              <w:rPr>
                <w:rFonts w:ascii="宋体" w:hAnsi="宋体" w:eastAsia="宋体" w:cs="宋体"/>
                <w:spacing w:val="-3"/>
              </w:rPr>
              <w:t>1</w:t>
            </w:r>
            <w:r>
              <w:rPr>
                <w:spacing w:val="-3"/>
              </w:rPr>
              <w:t>万元</w:t>
            </w:r>
            <w:r>
              <w:t>以上</w:t>
            </w:r>
            <w:r>
              <w:rPr>
                <w:rFonts w:ascii="宋体" w:hAnsi="宋体" w:eastAsia="宋体" w:cs="宋体"/>
              </w:rPr>
              <w:t>1.5</w:t>
            </w:r>
            <w:r>
              <w:t>万元以下的罚款</w:t>
            </w:r>
          </w:p>
        </w:tc>
        <w:tc>
          <w:tcPr>
            <w:tcW w:w="811" w:type="dxa"/>
            <w:vAlign w:val="top"/>
          </w:tcPr>
          <w:p w14:paraId="132A851C">
            <w:pPr>
              <w:spacing w:line="279" w:lineRule="auto"/>
              <w:rPr>
                <w:rFonts w:ascii="Arial"/>
                <w:sz w:val="21"/>
              </w:rPr>
            </w:pPr>
          </w:p>
          <w:p w14:paraId="74643B9F">
            <w:pPr>
              <w:spacing w:line="279" w:lineRule="auto"/>
              <w:rPr>
                <w:rFonts w:ascii="Arial"/>
                <w:sz w:val="21"/>
              </w:rPr>
            </w:pPr>
          </w:p>
          <w:p w14:paraId="7F550851">
            <w:pPr>
              <w:spacing w:line="279" w:lineRule="auto"/>
              <w:rPr>
                <w:rFonts w:ascii="Arial"/>
                <w:sz w:val="21"/>
              </w:rPr>
            </w:pPr>
          </w:p>
          <w:p w14:paraId="5E17E539">
            <w:pPr>
              <w:spacing w:before="74" w:line="189" w:lineRule="auto"/>
              <w:ind w:left="308"/>
              <w:rPr>
                <w:rFonts w:ascii="宋体" w:hAnsi="宋体" w:eastAsia="宋体" w:cs="宋体"/>
                <w:sz w:val="23"/>
                <w:szCs w:val="23"/>
              </w:rPr>
            </w:pPr>
            <w:r>
              <w:rPr>
                <w:rFonts w:ascii="宋体" w:hAnsi="宋体" w:eastAsia="宋体" w:cs="宋体"/>
                <w:spacing w:val="-10"/>
                <w:sz w:val="23"/>
                <w:szCs w:val="23"/>
              </w:rPr>
              <w:t>15</w:t>
            </w:r>
          </w:p>
        </w:tc>
      </w:tr>
    </w:tbl>
    <w:p w14:paraId="7292EF13">
      <w:pPr>
        <w:pStyle w:val="2"/>
      </w:pPr>
    </w:p>
    <w:p w14:paraId="35603F11">
      <w:pPr>
        <w:sectPr>
          <w:footerReference r:id="rId40" w:type="default"/>
          <w:pgSz w:w="16839" w:h="11906"/>
          <w:pgMar w:top="1012" w:right="821" w:bottom="666" w:left="901" w:header="0" w:footer="388" w:gutter="0"/>
          <w:cols w:space="720" w:num="1"/>
        </w:sectPr>
      </w:pPr>
    </w:p>
    <w:p w14:paraId="043B727D">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BFAE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B834435">
            <w:pPr>
              <w:spacing w:before="222" w:line="241" w:lineRule="auto"/>
              <w:ind w:left="131"/>
              <w:outlineLvl w:val="0"/>
              <w:rPr>
                <w:rFonts w:ascii="黑体" w:hAnsi="黑体" w:eastAsia="黑体" w:cs="黑体"/>
                <w:sz w:val="28"/>
                <w:szCs w:val="28"/>
              </w:rPr>
            </w:pPr>
            <w:bookmarkStart w:id="390" w:name="bookmark50"/>
            <w:bookmarkEnd w:id="390"/>
            <w:r>
              <w:rPr>
                <w:rFonts w:ascii="黑体" w:hAnsi="黑体" w:eastAsia="黑体" w:cs="黑体"/>
                <w:spacing w:val="-2"/>
                <w:sz w:val="28"/>
                <w:szCs w:val="28"/>
              </w:rPr>
              <w:t>序号</w:t>
            </w:r>
          </w:p>
        </w:tc>
        <w:tc>
          <w:tcPr>
            <w:tcW w:w="1440" w:type="dxa"/>
            <w:vAlign w:val="top"/>
          </w:tcPr>
          <w:p w14:paraId="359B9152">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C752781">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A1D2548">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1467CBE8">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3903569">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E3D58C6">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63A369B">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C901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8" w:hRule="atLeast"/>
        </w:trPr>
        <w:tc>
          <w:tcPr>
            <w:tcW w:w="818" w:type="dxa"/>
            <w:vMerge w:val="restart"/>
            <w:tcBorders>
              <w:bottom w:val="nil"/>
            </w:tcBorders>
            <w:vAlign w:val="top"/>
          </w:tcPr>
          <w:p w14:paraId="444ED76E">
            <w:pPr>
              <w:rPr>
                <w:rFonts w:ascii="Arial"/>
                <w:sz w:val="21"/>
              </w:rPr>
            </w:pPr>
          </w:p>
        </w:tc>
        <w:tc>
          <w:tcPr>
            <w:tcW w:w="1440" w:type="dxa"/>
            <w:vMerge w:val="restart"/>
            <w:tcBorders>
              <w:bottom w:val="nil"/>
            </w:tcBorders>
            <w:vAlign w:val="top"/>
          </w:tcPr>
          <w:p w14:paraId="403C059B">
            <w:pPr>
              <w:rPr>
                <w:rFonts w:ascii="Arial"/>
                <w:sz w:val="21"/>
              </w:rPr>
            </w:pPr>
          </w:p>
        </w:tc>
        <w:tc>
          <w:tcPr>
            <w:tcW w:w="3202" w:type="dxa"/>
            <w:vMerge w:val="restart"/>
            <w:tcBorders>
              <w:bottom w:val="nil"/>
            </w:tcBorders>
            <w:vAlign w:val="top"/>
          </w:tcPr>
          <w:p w14:paraId="305E84C7">
            <w:pPr>
              <w:pStyle w:val="6"/>
              <w:spacing w:before="31" w:line="182" w:lineRule="auto"/>
              <w:ind w:left="118" w:right="111" w:firstLine="1"/>
              <w:jc w:val="both"/>
            </w:pPr>
            <w:r>
              <w:rPr>
                <w:spacing w:val="17"/>
              </w:rPr>
              <w:t>金属冶炼单位的主要负责人</w:t>
            </w:r>
            <w:r>
              <w:rPr>
                <w:spacing w:val="13"/>
              </w:rPr>
              <w:t>和安全生产管理人员，特种</w:t>
            </w:r>
            <w:r>
              <w:rPr>
                <w:spacing w:val="17"/>
              </w:rPr>
              <w:t>作业人员以及注册安全工程师等相关人员培训的安全培</w:t>
            </w:r>
          </w:p>
          <w:p w14:paraId="73D9A943">
            <w:pPr>
              <w:pStyle w:val="6"/>
              <w:spacing w:line="182" w:lineRule="auto"/>
              <w:ind w:left="122"/>
              <w:outlineLvl w:val="0"/>
            </w:pPr>
            <w:r>
              <w:rPr>
                <w:spacing w:val="12"/>
              </w:rPr>
              <w:t>训机构，应当将教师、教学</w:t>
            </w:r>
          </w:p>
          <w:p w14:paraId="7E32D4B1">
            <w:pPr>
              <w:pStyle w:val="6"/>
              <w:spacing w:line="177" w:lineRule="auto"/>
              <w:ind w:left="116" w:right="111" w:firstLine="3"/>
              <w:jc w:val="both"/>
            </w:pPr>
            <w:r>
              <w:rPr>
                <w:spacing w:val="17"/>
              </w:rPr>
              <w:t>和实习实训设施等情况书面</w:t>
            </w:r>
            <w:bookmarkStart w:id="391" w:name="bookmark52"/>
            <w:bookmarkEnd w:id="391"/>
            <w:r>
              <w:rPr>
                <w:spacing w:val="17"/>
              </w:rPr>
              <w:t>报告所在地安全生产监督管理部门、煤矿安全培训监管</w:t>
            </w:r>
            <w:r>
              <w:rPr>
                <w:spacing w:val="-4"/>
              </w:rPr>
              <w:t>机构。</w:t>
            </w:r>
          </w:p>
        </w:tc>
        <w:tc>
          <w:tcPr>
            <w:tcW w:w="2859" w:type="dxa"/>
            <w:vMerge w:val="restart"/>
            <w:tcBorders>
              <w:bottom w:val="nil"/>
            </w:tcBorders>
            <w:vAlign w:val="top"/>
          </w:tcPr>
          <w:p w14:paraId="176FC579">
            <w:pPr>
              <w:pStyle w:val="6"/>
              <w:spacing w:before="27" w:line="189" w:lineRule="auto"/>
              <w:ind w:left="120" w:right="105" w:firstLine="16"/>
              <w:jc w:val="both"/>
            </w:pPr>
            <w:r>
              <w:rPr>
                <w:spacing w:val="1"/>
              </w:rPr>
              <w:t>改正的，给予警告，处</w:t>
            </w:r>
            <w:r>
              <w:rPr>
                <w:rFonts w:ascii="宋体" w:hAnsi="宋体" w:eastAsia="宋体" w:cs="宋体"/>
                <w:spacing w:val="1"/>
              </w:rPr>
              <w:t>1</w:t>
            </w:r>
            <w:r>
              <w:rPr>
                <w:spacing w:val="4"/>
              </w:rPr>
              <w:t>万元以上</w:t>
            </w:r>
            <w:r>
              <w:rPr>
                <w:rFonts w:ascii="宋体" w:hAnsi="宋体" w:eastAsia="宋体" w:cs="宋体"/>
                <w:spacing w:val="4"/>
              </w:rPr>
              <w:t>3</w:t>
            </w:r>
            <w:r>
              <w:rPr>
                <w:spacing w:val="4"/>
              </w:rPr>
              <w:t>万元以下的罚</w:t>
            </w:r>
            <w:r>
              <w:rPr>
                <w:spacing w:val="-3"/>
              </w:rPr>
              <w:t>款</w:t>
            </w:r>
            <w:r>
              <w:rPr>
                <w:spacing w:val="-10"/>
              </w:rPr>
              <w:t>：（</w:t>
            </w:r>
            <w:r>
              <w:rPr>
                <w:spacing w:val="-3"/>
              </w:rPr>
              <w:t>一）不具备安全培训条件的；</w:t>
            </w:r>
          </w:p>
        </w:tc>
        <w:tc>
          <w:tcPr>
            <w:tcW w:w="803" w:type="dxa"/>
            <w:vAlign w:val="top"/>
          </w:tcPr>
          <w:p w14:paraId="192950EF">
            <w:pPr>
              <w:spacing w:line="256" w:lineRule="auto"/>
              <w:rPr>
                <w:rFonts w:ascii="Arial"/>
                <w:sz w:val="21"/>
              </w:rPr>
            </w:pPr>
          </w:p>
          <w:p w14:paraId="314DF564">
            <w:pPr>
              <w:spacing w:line="257" w:lineRule="auto"/>
              <w:rPr>
                <w:rFonts w:ascii="Arial"/>
                <w:sz w:val="21"/>
              </w:rPr>
            </w:pPr>
          </w:p>
          <w:p w14:paraId="08C14D8B">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626042B">
            <w:pPr>
              <w:spacing w:line="295" w:lineRule="auto"/>
              <w:rPr>
                <w:rFonts w:ascii="Arial"/>
                <w:sz w:val="21"/>
              </w:rPr>
            </w:pPr>
          </w:p>
          <w:p w14:paraId="7D17186E">
            <w:pPr>
              <w:pStyle w:val="6"/>
              <w:spacing w:before="99" w:line="195" w:lineRule="auto"/>
              <w:ind w:left="119" w:right="109" w:firstLine="5"/>
            </w:pPr>
            <w:r>
              <w:rPr>
                <w:spacing w:val="25"/>
              </w:rPr>
              <w:t>不具备安全培训条</w:t>
            </w:r>
            <w:r>
              <w:rPr>
                <w:spacing w:val="3"/>
              </w:rPr>
              <w:t>件，涉及</w:t>
            </w:r>
            <w:r>
              <w:rPr>
                <w:rFonts w:ascii="宋体" w:hAnsi="宋体" w:eastAsia="宋体" w:cs="宋体"/>
                <w:spacing w:val="3"/>
              </w:rPr>
              <w:t>2</w:t>
            </w:r>
            <w:r>
              <w:rPr>
                <w:spacing w:val="3"/>
              </w:rPr>
              <w:t>处的</w:t>
            </w:r>
          </w:p>
        </w:tc>
        <w:tc>
          <w:tcPr>
            <w:tcW w:w="2894" w:type="dxa"/>
            <w:vAlign w:val="top"/>
          </w:tcPr>
          <w:p w14:paraId="4C1EE922">
            <w:pPr>
              <w:pStyle w:val="6"/>
              <w:spacing w:before="98" w:line="187" w:lineRule="auto"/>
              <w:ind w:left="124" w:right="103" w:firstLine="2"/>
              <w:jc w:val="both"/>
            </w:pPr>
            <w:r>
              <w:rPr>
                <w:spacing w:val="2"/>
              </w:rPr>
              <w:t>责令限期改正，处</w:t>
            </w:r>
            <w:r>
              <w:rPr>
                <w:rFonts w:ascii="宋体" w:hAnsi="宋体" w:eastAsia="宋体" w:cs="宋体"/>
                <w:spacing w:val="2"/>
              </w:rPr>
              <w:t>1</w:t>
            </w:r>
            <w:r>
              <w:rPr>
                <w:spacing w:val="2"/>
              </w:rPr>
              <w:t>万元</w:t>
            </w:r>
            <w:r>
              <w:rPr>
                <w:spacing w:val="8"/>
              </w:rPr>
              <w:t>以下的罚款；逾期未改正</w:t>
            </w:r>
            <w:r>
              <w:rPr>
                <w:spacing w:val="-2"/>
              </w:rPr>
              <w:t>的，给予警告，处</w:t>
            </w:r>
            <w:r>
              <w:rPr>
                <w:rFonts w:ascii="宋体" w:hAnsi="宋体" w:eastAsia="宋体" w:cs="宋体"/>
                <w:spacing w:val="-2"/>
              </w:rPr>
              <w:t>1.5</w:t>
            </w:r>
            <w:r>
              <w:rPr>
                <w:spacing w:val="-2"/>
              </w:rPr>
              <w:t>万</w:t>
            </w:r>
            <w:r>
              <w:rPr>
                <w:spacing w:val="4"/>
              </w:rPr>
              <w:t>元以上</w:t>
            </w:r>
            <w:r>
              <w:rPr>
                <w:rFonts w:ascii="宋体" w:hAnsi="宋体" w:eastAsia="宋体" w:cs="宋体"/>
                <w:spacing w:val="4"/>
              </w:rPr>
              <w:t>2</w:t>
            </w:r>
            <w:r>
              <w:rPr>
                <w:spacing w:val="4"/>
              </w:rPr>
              <w:t>万元以下的罚款</w:t>
            </w:r>
          </w:p>
        </w:tc>
        <w:tc>
          <w:tcPr>
            <w:tcW w:w="811" w:type="dxa"/>
            <w:vMerge w:val="restart"/>
            <w:tcBorders>
              <w:bottom w:val="nil"/>
            </w:tcBorders>
            <w:vAlign w:val="top"/>
          </w:tcPr>
          <w:p w14:paraId="6031F880">
            <w:pPr>
              <w:rPr>
                <w:rFonts w:ascii="Arial"/>
                <w:sz w:val="21"/>
              </w:rPr>
            </w:pPr>
          </w:p>
        </w:tc>
      </w:tr>
      <w:tr w14:paraId="12160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0" w:hRule="atLeast"/>
        </w:trPr>
        <w:tc>
          <w:tcPr>
            <w:tcW w:w="818" w:type="dxa"/>
            <w:vMerge w:val="continue"/>
            <w:tcBorders>
              <w:top w:val="nil"/>
            </w:tcBorders>
            <w:vAlign w:val="top"/>
          </w:tcPr>
          <w:p w14:paraId="7E8F3865">
            <w:pPr>
              <w:rPr>
                <w:rFonts w:ascii="Arial"/>
                <w:sz w:val="21"/>
              </w:rPr>
            </w:pPr>
          </w:p>
        </w:tc>
        <w:tc>
          <w:tcPr>
            <w:tcW w:w="1440" w:type="dxa"/>
            <w:vMerge w:val="continue"/>
            <w:tcBorders>
              <w:top w:val="nil"/>
            </w:tcBorders>
            <w:vAlign w:val="top"/>
          </w:tcPr>
          <w:p w14:paraId="690D86B0">
            <w:pPr>
              <w:rPr>
                <w:rFonts w:ascii="Arial"/>
                <w:sz w:val="21"/>
              </w:rPr>
            </w:pPr>
          </w:p>
        </w:tc>
        <w:tc>
          <w:tcPr>
            <w:tcW w:w="3202" w:type="dxa"/>
            <w:vMerge w:val="continue"/>
            <w:tcBorders>
              <w:top w:val="nil"/>
            </w:tcBorders>
            <w:vAlign w:val="top"/>
          </w:tcPr>
          <w:p w14:paraId="66653D7B">
            <w:pPr>
              <w:rPr>
                <w:rFonts w:ascii="Arial"/>
                <w:sz w:val="21"/>
              </w:rPr>
            </w:pPr>
          </w:p>
        </w:tc>
        <w:tc>
          <w:tcPr>
            <w:tcW w:w="2859" w:type="dxa"/>
            <w:vMerge w:val="continue"/>
            <w:tcBorders>
              <w:top w:val="nil"/>
            </w:tcBorders>
            <w:vAlign w:val="top"/>
          </w:tcPr>
          <w:p w14:paraId="2DB82D1B">
            <w:pPr>
              <w:rPr>
                <w:rFonts w:ascii="Arial"/>
                <w:sz w:val="21"/>
              </w:rPr>
            </w:pPr>
          </w:p>
        </w:tc>
        <w:tc>
          <w:tcPr>
            <w:tcW w:w="803" w:type="dxa"/>
            <w:vAlign w:val="top"/>
          </w:tcPr>
          <w:p w14:paraId="5D495EE9">
            <w:pPr>
              <w:spacing w:line="262" w:lineRule="auto"/>
              <w:rPr>
                <w:rFonts w:ascii="Arial"/>
                <w:sz w:val="21"/>
              </w:rPr>
            </w:pPr>
          </w:p>
          <w:p w14:paraId="5FE437D5">
            <w:pPr>
              <w:spacing w:line="263" w:lineRule="auto"/>
              <w:rPr>
                <w:rFonts w:ascii="Arial"/>
                <w:sz w:val="21"/>
              </w:rPr>
            </w:pPr>
          </w:p>
          <w:p w14:paraId="6D4912D7">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20E15BE">
            <w:pPr>
              <w:spacing w:line="308" w:lineRule="auto"/>
              <w:rPr>
                <w:rFonts w:ascii="Arial"/>
                <w:sz w:val="21"/>
              </w:rPr>
            </w:pPr>
          </w:p>
          <w:p w14:paraId="08CBA6A0">
            <w:pPr>
              <w:pStyle w:val="6"/>
              <w:spacing w:before="99" w:line="195" w:lineRule="auto"/>
              <w:ind w:left="119" w:right="106" w:firstLine="5"/>
            </w:pPr>
            <w:r>
              <w:rPr>
                <w:spacing w:val="25"/>
              </w:rPr>
              <w:t>不具备安全培训条</w:t>
            </w:r>
            <w:r>
              <w:rPr>
                <w:spacing w:val="-5"/>
              </w:rPr>
              <w:t>件，涉及</w:t>
            </w:r>
            <w:r>
              <w:rPr>
                <w:rFonts w:ascii="宋体" w:hAnsi="宋体" w:eastAsia="宋体" w:cs="宋体"/>
                <w:spacing w:val="-5"/>
              </w:rPr>
              <w:t>3</w:t>
            </w:r>
            <w:r>
              <w:rPr>
                <w:spacing w:val="-5"/>
              </w:rPr>
              <w:t>处以上的</w:t>
            </w:r>
          </w:p>
        </w:tc>
        <w:tc>
          <w:tcPr>
            <w:tcW w:w="2894" w:type="dxa"/>
            <w:vAlign w:val="top"/>
          </w:tcPr>
          <w:p w14:paraId="354B115F">
            <w:pPr>
              <w:pStyle w:val="6"/>
              <w:spacing w:before="106" w:line="189" w:lineRule="auto"/>
              <w:ind w:left="140" w:right="103" w:hanging="13"/>
              <w:jc w:val="both"/>
            </w:pPr>
            <w:r>
              <w:rPr>
                <w:spacing w:val="2"/>
              </w:rPr>
              <w:t>责令限期改正，处</w:t>
            </w:r>
            <w:r>
              <w:rPr>
                <w:rFonts w:ascii="宋体" w:hAnsi="宋体" w:eastAsia="宋体" w:cs="宋体"/>
                <w:spacing w:val="2"/>
              </w:rPr>
              <w:t>1</w:t>
            </w:r>
            <w:r>
              <w:rPr>
                <w:spacing w:val="2"/>
              </w:rPr>
              <w:t>万元</w:t>
            </w:r>
            <w:r>
              <w:rPr>
                <w:spacing w:val="6"/>
              </w:rPr>
              <w:t>以下的罚款；逾期未改正</w:t>
            </w:r>
            <w:r>
              <w:t>的，给予警告，处</w:t>
            </w:r>
            <w:r>
              <w:rPr>
                <w:rFonts w:ascii="宋体" w:hAnsi="宋体" w:eastAsia="宋体" w:cs="宋体"/>
              </w:rPr>
              <w:t>2</w:t>
            </w:r>
            <w:r>
              <w:t>万元</w:t>
            </w:r>
            <w:r>
              <w:rPr>
                <w:spacing w:val="2"/>
              </w:rPr>
              <w:t>以上</w:t>
            </w:r>
            <w:r>
              <w:rPr>
                <w:rFonts w:ascii="宋体" w:hAnsi="宋体" w:eastAsia="宋体" w:cs="宋体"/>
                <w:spacing w:val="2"/>
              </w:rPr>
              <w:t>3</w:t>
            </w:r>
            <w:r>
              <w:rPr>
                <w:spacing w:val="2"/>
              </w:rPr>
              <w:t>万元以下的罚款</w:t>
            </w:r>
          </w:p>
        </w:tc>
        <w:tc>
          <w:tcPr>
            <w:tcW w:w="811" w:type="dxa"/>
            <w:vMerge w:val="continue"/>
            <w:tcBorders>
              <w:top w:val="nil"/>
            </w:tcBorders>
            <w:vAlign w:val="top"/>
          </w:tcPr>
          <w:p w14:paraId="70892C1C">
            <w:pPr>
              <w:rPr>
                <w:rFonts w:ascii="Arial"/>
                <w:sz w:val="21"/>
              </w:rPr>
            </w:pPr>
          </w:p>
        </w:tc>
      </w:tr>
      <w:tr w14:paraId="436C1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restart"/>
            <w:tcBorders>
              <w:bottom w:val="nil"/>
            </w:tcBorders>
            <w:vAlign w:val="top"/>
          </w:tcPr>
          <w:p w14:paraId="14F7DA36">
            <w:pPr>
              <w:spacing w:line="275" w:lineRule="auto"/>
              <w:rPr>
                <w:rFonts w:ascii="Arial"/>
                <w:sz w:val="21"/>
              </w:rPr>
            </w:pPr>
          </w:p>
          <w:p w14:paraId="7A120448">
            <w:pPr>
              <w:spacing w:line="276" w:lineRule="auto"/>
              <w:rPr>
                <w:rFonts w:ascii="Arial"/>
                <w:sz w:val="21"/>
              </w:rPr>
            </w:pPr>
          </w:p>
          <w:p w14:paraId="0BE7F826">
            <w:pPr>
              <w:spacing w:line="276" w:lineRule="auto"/>
              <w:rPr>
                <w:rFonts w:ascii="Arial"/>
                <w:sz w:val="21"/>
              </w:rPr>
            </w:pPr>
          </w:p>
          <w:p w14:paraId="7549B864">
            <w:pPr>
              <w:spacing w:line="276" w:lineRule="auto"/>
              <w:rPr>
                <w:rFonts w:ascii="Arial"/>
                <w:sz w:val="21"/>
              </w:rPr>
            </w:pPr>
          </w:p>
          <w:p w14:paraId="7F7C3BD4">
            <w:pPr>
              <w:spacing w:line="276" w:lineRule="auto"/>
              <w:rPr>
                <w:rFonts w:ascii="Arial"/>
                <w:sz w:val="21"/>
              </w:rPr>
            </w:pPr>
          </w:p>
          <w:p w14:paraId="005B99B6">
            <w:pPr>
              <w:spacing w:line="276" w:lineRule="auto"/>
              <w:rPr>
                <w:rFonts w:ascii="Arial"/>
                <w:sz w:val="21"/>
              </w:rPr>
            </w:pPr>
          </w:p>
          <w:p w14:paraId="5F4A504D">
            <w:pPr>
              <w:spacing w:before="75" w:line="185" w:lineRule="auto"/>
              <w:ind w:left="237"/>
              <w:rPr>
                <w:rFonts w:ascii="仿宋" w:hAnsi="仿宋" w:eastAsia="仿宋" w:cs="仿宋"/>
                <w:sz w:val="23"/>
                <w:szCs w:val="23"/>
              </w:rPr>
            </w:pPr>
            <w:r>
              <w:rPr>
                <w:rFonts w:ascii="仿宋" w:hAnsi="仿宋" w:eastAsia="仿宋" w:cs="仿宋"/>
                <w:spacing w:val="-3"/>
                <w:sz w:val="23"/>
                <w:szCs w:val="23"/>
              </w:rPr>
              <w:t>23</w:t>
            </w:r>
          </w:p>
        </w:tc>
        <w:tc>
          <w:tcPr>
            <w:tcW w:w="1440" w:type="dxa"/>
            <w:vMerge w:val="restart"/>
            <w:tcBorders>
              <w:bottom w:val="nil"/>
            </w:tcBorders>
            <w:vAlign w:val="top"/>
          </w:tcPr>
          <w:p w14:paraId="3B0F46CF">
            <w:pPr>
              <w:spacing w:line="245" w:lineRule="auto"/>
              <w:rPr>
                <w:rFonts w:ascii="Arial"/>
                <w:sz w:val="21"/>
              </w:rPr>
            </w:pPr>
          </w:p>
          <w:p w14:paraId="09124749">
            <w:pPr>
              <w:spacing w:line="246" w:lineRule="auto"/>
              <w:rPr>
                <w:rFonts w:ascii="Arial"/>
                <w:sz w:val="21"/>
              </w:rPr>
            </w:pPr>
          </w:p>
          <w:p w14:paraId="5F58B091">
            <w:pPr>
              <w:spacing w:line="246" w:lineRule="auto"/>
              <w:rPr>
                <w:rFonts w:ascii="Arial"/>
                <w:sz w:val="21"/>
              </w:rPr>
            </w:pPr>
          </w:p>
          <w:p w14:paraId="28973BD0">
            <w:pPr>
              <w:spacing w:line="246" w:lineRule="auto"/>
              <w:rPr>
                <w:rFonts w:ascii="Arial"/>
                <w:sz w:val="21"/>
              </w:rPr>
            </w:pPr>
          </w:p>
          <w:p w14:paraId="56E058A6">
            <w:pPr>
              <w:pStyle w:val="6"/>
              <w:spacing w:before="99" w:line="188" w:lineRule="auto"/>
              <w:ind w:left="113" w:right="111" w:firstLine="7"/>
              <w:jc w:val="both"/>
            </w:pPr>
            <w:r>
              <w:rPr>
                <w:spacing w:val="10"/>
              </w:rPr>
              <w:t>安全培训机</w:t>
            </w:r>
            <w:r>
              <w:rPr>
                <w:spacing w:val="12"/>
              </w:rPr>
              <w:t>构未按照统一的培训大纲组织教学</w:t>
            </w:r>
            <w:r>
              <w:rPr>
                <w:spacing w:val="5"/>
              </w:rPr>
              <w:t>培训的</w:t>
            </w:r>
          </w:p>
        </w:tc>
        <w:tc>
          <w:tcPr>
            <w:tcW w:w="3202" w:type="dxa"/>
            <w:vMerge w:val="restart"/>
            <w:tcBorders>
              <w:bottom w:val="nil"/>
            </w:tcBorders>
            <w:vAlign w:val="top"/>
          </w:tcPr>
          <w:p w14:paraId="43B6F353">
            <w:pPr>
              <w:pStyle w:val="6"/>
              <w:spacing w:before="32" w:line="189" w:lineRule="auto"/>
              <w:ind w:left="117" w:right="42" w:hanging="19"/>
              <w:jc w:val="both"/>
            </w:pPr>
            <w:r>
              <w:rPr>
                <w:spacing w:val="18"/>
              </w:rPr>
              <w:t>【部门规章】《安全生产培</w:t>
            </w:r>
            <w:r>
              <w:rPr>
                <w:spacing w:val="3"/>
              </w:rPr>
              <w:t>训管理办法》第六条第一款：</w:t>
            </w:r>
            <w:r>
              <w:rPr>
                <w:spacing w:val="17"/>
              </w:rPr>
              <w:t>安全培训应当按照规定的安</w:t>
            </w:r>
            <w:r>
              <w:rPr>
                <w:spacing w:val="3"/>
              </w:rPr>
              <w:t>全培训大纲进行。</w:t>
            </w:r>
          </w:p>
        </w:tc>
        <w:tc>
          <w:tcPr>
            <w:tcW w:w="2859" w:type="dxa"/>
            <w:vMerge w:val="restart"/>
            <w:tcBorders>
              <w:bottom w:val="nil"/>
            </w:tcBorders>
            <w:vAlign w:val="top"/>
          </w:tcPr>
          <w:p w14:paraId="37541605">
            <w:pPr>
              <w:pStyle w:val="6"/>
              <w:spacing w:before="28" w:line="185" w:lineRule="auto"/>
              <w:ind w:left="114" w:right="105" w:hanging="17"/>
              <w:jc w:val="both"/>
            </w:pPr>
            <w:r>
              <w:rPr>
                <w:spacing w:val="10"/>
              </w:rPr>
              <w:t>【部门规章】《安全生产</w:t>
            </w:r>
            <w:r>
              <w:rPr>
                <w:spacing w:val="8"/>
              </w:rPr>
              <w:t>培训管理办法》第三十四条第一款第二项：安全培</w:t>
            </w:r>
            <w:r>
              <w:rPr>
                <w:spacing w:val="27"/>
              </w:rPr>
              <w:t>训机构有下列情形之一</w:t>
            </w:r>
            <w:r>
              <w:rPr>
                <w:spacing w:val="3"/>
              </w:rPr>
              <w:t>的，责令限期改正，处</w:t>
            </w:r>
            <w:r>
              <w:rPr>
                <w:rFonts w:ascii="宋体" w:hAnsi="宋体" w:eastAsia="宋体" w:cs="宋体"/>
                <w:spacing w:val="3"/>
              </w:rPr>
              <w:t>1</w:t>
            </w:r>
            <w:r>
              <w:rPr>
                <w:spacing w:val="8"/>
              </w:rPr>
              <w:t>万元以下的罚款；逾期未</w:t>
            </w:r>
            <w:r>
              <w:rPr>
                <w:spacing w:val="3"/>
              </w:rPr>
              <w:t>改正的，给予警告，处</w:t>
            </w:r>
            <w:r>
              <w:rPr>
                <w:rFonts w:ascii="宋体" w:hAnsi="宋体" w:eastAsia="宋体" w:cs="宋体"/>
                <w:spacing w:val="3"/>
              </w:rPr>
              <w:t>1</w:t>
            </w:r>
            <w:r>
              <w:rPr>
                <w:spacing w:val="5"/>
              </w:rPr>
              <w:t>万元以上</w:t>
            </w:r>
            <w:r>
              <w:rPr>
                <w:rFonts w:ascii="宋体" w:hAnsi="宋体" w:eastAsia="宋体" w:cs="宋体"/>
                <w:spacing w:val="5"/>
              </w:rPr>
              <w:t>3</w:t>
            </w:r>
            <w:r>
              <w:rPr>
                <w:spacing w:val="5"/>
              </w:rPr>
              <w:t>万元以下的罚</w:t>
            </w:r>
            <w:r>
              <w:rPr>
                <w:spacing w:val="8"/>
              </w:rPr>
              <w:t>款</w:t>
            </w:r>
            <w:r>
              <w:rPr>
                <w:spacing w:val="11"/>
              </w:rPr>
              <w:t>：（</w:t>
            </w:r>
            <w:r>
              <w:rPr>
                <w:spacing w:val="8"/>
              </w:rPr>
              <w:t>二）未按照统一的</w:t>
            </w:r>
            <w:r>
              <w:rPr>
                <w:spacing w:val="32"/>
              </w:rPr>
              <w:t>培训大纲组织教学培训</w:t>
            </w:r>
            <w:r>
              <w:rPr>
                <w:spacing w:val="-10"/>
              </w:rPr>
              <w:t>的；</w:t>
            </w:r>
          </w:p>
        </w:tc>
        <w:tc>
          <w:tcPr>
            <w:tcW w:w="803" w:type="dxa"/>
            <w:vAlign w:val="top"/>
          </w:tcPr>
          <w:p w14:paraId="68A8D433">
            <w:pPr>
              <w:spacing w:line="444" w:lineRule="auto"/>
              <w:rPr>
                <w:rFonts w:ascii="Arial"/>
                <w:sz w:val="21"/>
              </w:rPr>
            </w:pPr>
          </w:p>
          <w:p w14:paraId="663460FD">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FAA6672">
            <w:pPr>
              <w:pStyle w:val="6"/>
              <w:spacing w:before="182" w:line="191" w:lineRule="auto"/>
              <w:ind w:left="115" w:right="108" w:firstLine="7"/>
              <w:jc w:val="both"/>
            </w:pPr>
            <w:r>
              <w:rPr>
                <w:spacing w:val="10"/>
              </w:rPr>
              <w:t>有</w:t>
            </w:r>
            <w:r>
              <w:rPr>
                <w:rFonts w:ascii="宋体" w:hAnsi="宋体" w:eastAsia="宋体" w:cs="宋体"/>
                <w:spacing w:val="10"/>
              </w:rPr>
              <w:t>1</w:t>
            </w:r>
            <w:r>
              <w:rPr>
                <w:spacing w:val="10"/>
              </w:rPr>
              <w:t>门课程未按照</w:t>
            </w:r>
            <w:r>
              <w:rPr>
                <w:spacing w:val="26"/>
              </w:rPr>
              <w:t>培训大纲组织教学</w:t>
            </w:r>
            <w:r>
              <w:rPr>
                <w:spacing w:val="5"/>
              </w:rPr>
              <w:t>培训的</w:t>
            </w:r>
          </w:p>
        </w:tc>
        <w:tc>
          <w:tcPr>
            <w:tcW w:w="2894" w:type="dxa"/>
            <w:vAlign w:val="top"/>
          </w:tcPr>
          <w:p w14:paraId="2D23AD8B">
            <w:pPr>
              <w:pStyle w:val="6"/>
              <w:spacing w:before="29" w:line="177" w:lineRule="auto"/>
              <w:ind w:left="140" w:right="103" w:hanging="13"/>
              <w:jc w:val="both"/>
            </w:pPr>
            <w:r>
              <w:rPr>
                <w:spacing w:val="2"/>
              </w:rPr>
              <w:t>责令限期改正，处</w:t>
            </w:r>
            <w:r>
              <w:rPr>
                <w:rFonts w:ascii="宋体" w:hAnsi="宋体" w:eastAsia="宋体" w:cs="宋体"/>
                <w:spacing w:val="2"/>
              </w:rPr>
              <w:t>1</w:t>
            </w:r>
            <w:r>
              <w:rPr>
                <w:spacing w:val="2"/>
              </w:rPr>
              <w:t>万元</w:t>
            </w:r>
            <w:r>
              <w:rPr>
                <w:spacing w:val="6"/>
              </w:rPr>
              <w:t>以下的罚款；逾期未改正</w:t>
            </w:r>
            <w:r>
              <w:rPr>
                <w:spacing w:val="-3"/>
              </w:rPr>
              <w:t>的，给予警告，处</w:t>
            </w:r>
            <w:r>
              <w:rPr>
                <w:rFonts w:ascii="宋体" w:hAnsi="宋体" w:eastAsia="宋体" w:cs="宋体"/>
                <w:spacing w:val="-3"/>
              </w:rPr>
              <w:t>1</w:t>
            </w:r>
            <w:r>
              <w:rPr>
                <w:spacing w:val="-3"/>
              </w:rPr>
              <w:t>万元</w:t>
            </w:r>
            <w:r>
              <w:rPr>
                <w:spacing w:val="1"/>
              </w:rPr>
              <w:t>以上</w:t>
            </w:r>
            <w:r>
              <w:rPr>
                <w:rFonts w:ascii="宋体" w:hAnsi="宋体" w:eastAsia="宋体" w:cs="宋体"/>
                <w:spacing w:val="1"/>
              </w:rPr>
              <w:t>1.5</w:t>
            </w:r>
            <w:r>
              <w:rPr>
                <w:spacing w:val="1"/>
              </w:rPr>
              <w:t>万元以下的罚款</w:t>
            </w:r>
          </w:p>
        </w:tc>
        <w:tc>
          <w:tcPr>
            <w:tcW w:w="811" w:type="dxa"/>
            <w:vMerge w:val="restart"/>
            <w:tcBorders>
              <w:bottom w:val="nil"/>
            </w:tcBorders>
            <w:vAlign w:val="top"/>
          </w:tcPr>
          <w:p w14:paraId="3BEBE70C">
            <w:pPr>
              <w:spacing w:line="275" w:lineRule="auto"/>
              <w:rPr>
                <w:rFonts w:ascii="Arial"/>
                <w:sz w:val="21"/>
              </w:rPr>
            </w:pPr>
          </w:p>
          <w:p w14:paraId="3756809C">
            <w:pPr>
              <w:spacing w:line="275" w:lineRule="auto"/>
              <w:rPr>
                <w:rFonts w:ascii="Arial"/>
                <w:sz w:val="21"/>
              </w:rPr>
            </w:pPr>
          </w:p>
          <w:p w14:paraId="0D57F372">
            <w:pPr>
              <w:spacing w:line="275" w:lineRule="auto"/>
              <w:rPr>
                <w:rFonts w:ascii="Arial"/>
                <w:sz w:val="21"/>
              </w:rPr>
            </w:pPr>
          </w:p>
          <w:p w14:paraId="1EC7FCE8">
            <w:pPr>
              <w:spacing w:line="275" w:lineRule="auto"/>
              <w:rPr>
                <w:rFonts w:ascii="Arial"/>
                <w:sz w:val="21"/>
              </w:rPr>
            </w:pPr>
          </w:p>
          <w:p w14:paraId="22207698">
            <w:pPr>
              <w:spacing w:line="275" w:lineRule="auto"/>
              <w:rPr>
                <w:rFonts w:ascii="Arial"/>
                <w:sz w:val="21"/>
              </w:rPr>
            </w:pPr>
          </w:p>
          <w:p w14:paraId="31084D05">
            <w:pPr>
              <w:spacing w:line="275" w:lineRule="auto"/>
              <w:rPr>
                <w:rFonts w:ascii="Arial"/>
                <w:sz w:val="21"/>
              </w:rPr>
            </w:pPr>
          </w:p>
          <w:p w14:paraId="724E123B">
            <w:pPr>
              <w:spacing w:before="75" w:line="189" w:lineRule="auto"/>
              <w:ind w:left="308"/>
              <w:rPr>
                <w:rFonts w:ascii="宋体" w:hAnsi="宋体" w:eastAsia="宋体" w:cs="宋体"/>
                <w:sz w:val="23"/>
                <w:szCs w:val="23"/>
              </w:rPr>
            </w:pPr>
            <w:r>
              <w:rPr>
                <w:rFonts w:ascii="宋体" w:hAnsi="宋体" w:eastAsia="宋体" w:cs="宋体"/>
                <w:spacing w:val="-10"/>
                <w:sz w:val="23"/>
                <w:szCs w:val="23"/>
              </w:rPr>
              <w:t>15</w:t>
            </w:r>
          </w:p>
        </w:tc>
      </w:tr>
      <w:tr w14:paraId="3E49E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18" w:type="dxa"/>
            <w:vMerge w:val="continue"/>
            <w:tcBorders>
              <w:top w:val="nil"/>
              <w:bottom w:val="nil"/>
            </w:tcBorders>
            <w:vAlign w:val="top"/>
          </w:tcPr>
          <w:p w14:paraId="299459FE">
            <w:pPr>
              <w:rPr>
                <w:rFonts w:ascii="Arial"/>
                <w:sz w:val="21"/>
              </w:rPr>
            </w:pPr>
          </w:p>
        </w:tc>
        <w:tc>
          <w:tcPr>
            <w:tcW w:w="1440" w:type="dxa"/>
            <w:vMerge w:val="continue"/>
            <w:tcBorders>
              <w:top w:val="nil"/>
              <w:bottom w:val="nil"/>
            </w:tcBorders>
            <w:vAlign w:val="top"/>
          </w:tcPr>
          <w:p w14:paraId="3C2E2A7D">
            <w:pPr>
              <w:rPr>
                <w:rFonts w:ascii="Arial"/>
                <w:sz w:val="21"/>
              </w:rPr>
            </w:pPr>
          </w:p>
        </w:tc>
        <w:tc>
          <w:tcPr>
            <w:tcW w:w="3202" w:type="dxa"/>
            <w:vMerge w:val="continue"/>
            <w:tcBorders>
              <w:top w:val="nil"/>
              <w:bottom w:val="nil"/>
            </w:tcBorders>
            <w:vAlign w:val="top"/>
          </w:tcPr>
          <w:p w14:paraId="2D449BBC">
            <w:pPr>
              <w:rPr>
                <w:rFonts w:ascii="Arial"/>
                <w:sz w:val="21"/>
              </w:rPr>
            </w:pPr>
          </w:p>
        </w:tc>
        <w:tc>
          <w:tcPr>
            <w:tcW w:w="2859" w:type="dxa"/>
            <w:vMerge w:val="continue"/>
            <w:tcBorders>
              <w:top w:val="nil"/>
              <w:bottom w:val="nil"/>
            </w:tcBorders>
            <w:vAlign w:val="top"/>
          </w:tcPr>
          <w:p w14:paraId="6B3C8320">
            <w:pPr>
              <w:rPr>
                <w:rFonts w:ascii="Arial"/>
                <w:sz w:val="21"/>
              </w:rPr>
            </w:pPr>
          </w:p>
        </w:tc>
        <w:tc>
          <w:tcPr>
            <w:tcW w:w="803" w:type="dxa"/>
            <w:vAlign w:val="top"/>
          </w:tcPr>
          <w:p w14:paraId="76EEC145">
            <w:pPr>
              <w:spacing w:line="451" w:lineRule="auto"/>
              <w:rPr>
                <w:rFonts w:ascii="Arial"/>
                <w:sz w:val="21"/>
              </w:rPr>
            </w:pPr>
          </w:p>
          <w:p w14:paraId="64534369">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86A4430">
            <w:pPr>
              <w:pStyle w:val="6"/>
              <w:spacing w:before="182" w:line="191" w:lineRule="auto"/>
              <w:ind w:left="115" w:right="108" w:firstLine="7"/>
              <w:jc w:val="both"/>
            </w:pPr>
            <w:r>
              <w:rPr>
                <w:spacing w:val="12"/>
              </w:rPr>
              <w:t>有</w:t>
            </w:r>
            <w:r>
              <w:rPr>
                <w:rFonts w:ascii="宋体" w:hAnsi="宋体" w:eastAsia="宋体" w:cs="宋体"/>
                <w:spacing w:val="12"/>
              </w:rPr>
              <w:t>2</w:t>
            </w:r>
            <w:r>
              <w:rPr>
                <w:spacing w:val="12"/>
              </w:rPr>
              <w:t>门课程未按照</w:t>
            </w:r>
            <w:r>
              <w:rPr>
                <w:spacing w:val="26"/>
              </w:rPr>
              <w:t>培训大纲组织教学</w:t>
            </w:r>
            <w:r>
              <w:rPr>
                <w:spacing w:val="5"/>
              </w:rPr>
              <w:t>培训的</w:t>
            </w:r>
          </w:p>
        </w:tc>
        <w:tc>
          <w:tcPr>
            <w:tcW w:w="2894" w:type="dxa"/>
            <w:vAlign w:val="top"/>
          </w:tcPr>
          <w:p w14:paraId="0FE4DD3F">
            <w:pPr>
              <w:pStyle w:val="6"/>
              <w:spacing w:before="30" w:line="177" w:lineRule="auto"/>
              <w:ind w:left="124" w:right="103" w:firstLine="2"/>
              <w:jc w:val="both"/>
            </w:pPr>
            <w:r>
              <w:rPr>
                <w:spacing w:val="2"/>
              </w:rPr>
              <w:t>责令限期改正，处</w:t>
            </w:r>
            <w:r>
              <w:rPr>
                <w:rFonts w:ascii="宋体" w:hAnsi="宋体" w:eastAsia="宋体" w:cs="宋体"/>
                <w:spacing w:val="2"/>
              </w:rPr>
              <w:t>1</w:t>
            </w:r>
            <w:r>
              <w:rPr>
                <w:spacing w:val="2"/>
              </w:rPr>
              <w:t>万元</w:t>
            </w:r>
            <w:r>
              <w:rPr>
                <w:spacing w:val="8"/>
              </w:rPr>
              <w:t>以下的罚款；逾期未改正</w:t>
            </w:r>
            <w:r>
              <w:rPr>
                <w:spacing w:val="-2"/>
              </w:rPr>
              <w:t>的，给予警告，处</w:t>
            </w:r>
            <w:r>
              <w:rPr>
                <w:rFonts w:ascii="宋体" w:hAnsi="宋体" w:eastAsia="宋体" w:cs="宋体"/>
                <w:spacing w:val="-2"/>
              </w:rPr>
              <w:t>1.5</w:t>
            </w:r>
            <w:r>
              <w:rPr>
                <w:spacing w:val="-2"/>
              </w:rPr>
              <w:t>万</w:t>
            </w:r>
            <w:r>
              <w:rPr>
                <w:spacing w:val="4"/>
              </w:rPr>
              <w:t>元以上</w:t>
            </w:r>
            <w:r>
              <w:rPr>
                <w:rFonts w:ascii="宋体" w:hAnsi="宋体" w:eastAsia="宋体" w:cs="宋体"/>
                <w:spacing w:val="4"/>
              </w:rPr>
              <w:t>2</w:t>
            </w:r>
            <w:r>
              <w:rPr>
                <w:spacing w:val="4"/>
              </w:rPr>
              <w:t>万元以下的罚款</w:t>
            </w:r>
          </w:p>
        </w:tc>
        <w:tc>
          <w:tcPr>
            <w:tcW w:w="811" w:type="dxa"/>
            <w:vMerge w:val="continue"/>
            <w:tcBorders>
              <w:top w:val="nil"/>
              <w:bottom w:val="nil"/>
            </w:tcBorders>
            <w:vAlign w:val="top"/>
          </w:tcPr>
          <w:p w14:paraId="5DDD59BE">
            <w:pPr>
              <w:rPr>
                <w:rFonts w:ascii="Arial"/>
                <w:sz w:val="21"/>
              </w:rPr>
            </w:pPr>
          </w:p>
        </w:tc>
      </w:tr>
      <w:tr w14:paraId="10809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continue"/>
            <w:tcBorders>
              <w:top w:val="nil"/>
            </w:tcBorders>
            <w:vAlign w:val="top"/>
          </w:tcPr>
          <w:p w14:paraId="1CCF2400">
            <w:pPr>
              <w:rPr>
                <w:rFonts w:ascii="Arial"/>
                <w:sz w:val="21"/>
              </w:rPr>
            </w:pPr>
          </w:p>
        </w:tc>
        <w:tc>
          <w:tcPr>
            <w:tcW w:w="1440" w:type="dxa"/>
            <w:vMerge w:val="continue"/>
            <w:tcBorders>
              <w:top w:val="nil"/>
            </w:tcBorders>
            <w:vAlign w:val="top"/>
          </w:tcPr>
          <w:p w14:paraId="1DDDBA45">
            <w:pPr>
              <w:rPr>
                <w:rFonts w:ascii="Arial"/>
                <w:sz w:val="21"/>
              </w:rPr>
            </w:pPr>
          </w:p>
        </w:tc>
        <w:tc>
          <w:tcPr>
            <w:tcW w:w="3202" w:type="dxa"/>
            <w:vMerge w:val="continue"/>
            <w:tcBorders>
              <w:top w:val="nil"/>
            </w:tcBorders>
            <w:vAlign w:val="top"/>
          </w:tcPr>
          <w:p w14:paraId="505B93B6">
            <w:pPr>
              <w:rPr>
                <w:rFonts w:ascii="Arial"/>
                <w:sz w:val="21"/>
              </w:rPr>
            </w:pPr>
          </w:p>
        </w:tc>
        <w:tc>
          <w:tcPr>
            <w:tcW w:w="2859" w:type="dxa"/>
            <w:vMerge w:val="continue"/>
            <w:tcBorders>
              <w:top w:val="nil"/>
            </w:tcBorders>
            <w:vAlign w:val="top"/>
          </w:tcPr>
          <w:p w14:paraId="392DFDEB">
            <w:pPr>
              <w:rPr>
                <w:rFonts w:ascii="Arial"/>
                <w:sz w:val="21"/>
              </w:rPr>
            </w:pPr>
          </w:p>
        </w:tc>
        <w:tc>
          <w:tcPr>
            <w:tcW w:w="803" w:type="dxa"/>
            <w:vAlign w:val="top"/>
          </w:tcPr>
          <w:p w14:paraId="25D79FB9">
            <w:pPr>
              <w:spacing w:line="449" w:lineRule="auto"/>
              <w:rPr>
                <w:rFonts w:ascii="Arial"/>
                <w:sz w:val="21"/>
              </w:rPr>
            </w:pPr>
          </w:p>
          <w:p w14:paraId="0F4058C9">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35F49D5">
            <w:pPr>
              <w:pStyle w:val="6"/>
              <w:spacing w:before="181" w:line="191" w:lineRule="auto"/>
              <w:ind w:left="115" w:right="108" w:firstLine="7"/>
              <w:jc w:val="both"/>
            </w:pPr>
            <w:r>
              <w:rPr>
                <w:spacing w:val="12"/>
              </w:rPr>
              <w:t>有</w:t>
            </w:r>
            <w:r>
              <w:rPr>
                <w:rFonts w:ascii="宋体" w:hAnsi="宋体" w:eastAsia="宋体" w:cs="宋体"/>
                <w:spacing w:val="12"/>
              </w:rPr>
              <w:t>3</w:t>
            </w:r>
            <w:r>
              <w:rPr>
                <w:spacing w:val="12"/>
              </w:rPr>
              <w:t>门以上课程未</w:t>
            </w:r>
            <w:r>
              <w:rPr>
                <w:spacing w:val="26"/>
              </w:rPr>
              <w:t>按照培训大纲组织</w:t>
            </w:r>
            <w:r>
              <w:rPr>
                <w:spacing w:val="7"/>
              </w:rPr>
              <w:t>教学培训的</w:t>
            </w:r>
          </w:p>
        </w:tc>
        <w:tc>
          <w:tcPr>
            <w:tcW w:w="2894" w:type="dxa"/>
            <w:vAlign w:val="top"/>
          </w:tcPr>
          <w:p w14:paraId="402640FD">
            <w:pPr>
              <w:pStyle w:val="6"/>
              <w:spacing w:before="29" w:line="177" w:lineRule="auto"/>
              <w:ind w:left="140" w:right="103" w:hanging="13"/>
              <w:jc w:val="both"/>
            </w:pPr>
            <w:r>
              <w:rPr>
                <w:spacing w:val="2"/>
              </w:rPr>
              <w:t>责令限期改正，处</w:t>
            </w:r>
            <w:r>
              <w:rPr>
                <w:rFonts w:ascii="宋体" w:hAnsi="宋体" w:eastAsia="宋体" w:cs="宋体"/>
                <w:spacing w:val="2"/>
              </w:rPr>
              <w:t>1</w:t>
            </w:r>
            <w:r>
              <w:rPr>
                <w:spacing w:val="2"/>
              </w:rPr>
              <w:t>万元</w:t>
            </w:r>
            <w:r>
              <w:rPr>
                <w:spacing w:val="6"/>
              </w:rPr>
              <w:t>以下的罚款；逾期未改正</w:t>
            </w:r>
            <w:r>
              <w:t>的，给予警告，处</w:t>
            </w:r>
            <w:r>
              <w:rPr>
                <w:rFonts w:ascii="宋体" w:hAnsi="宋体" w:eastAsia="宋体" w:cs="宋体"/>
              </w:rPr>
              <w:t>2</w:t>
            </w:r>
            <w:r>
              <w:t>万元</w:t>
            </w:r>
            <w:r>
              <w:rPr>
                <w:spacing w:val="2"/>
              </w:rPr>
              <w:t>以上</w:t>
            </w:r>
            <w:r>
              <w:rPr>
                <w:rFonts w:ascii="宋体" w:hAnsi="宋体" w:eastAsia="宋体" w:cs="宋体"/>
                <w:spacing w:val="2"/>
              </w:rPr>
              <w:t>3</w:t>
            </w:r>
            <w:r>
              <w:rPr>
                <w:spacing w:val="2"/>
              </w:rPr>
              <w:t>万元以下的罚款</w:t>
            </w:r>
          </w:p>
        </w:tc>
        <w:tc>
          <w:tcPr>
            <w:tcW w:w="811" w:type="dxa"/>
            <w:vMerge w:val="continue"/>
            <w:tcBorders>
              <w:top w:val="nil"/>
            </w:tcBorders>
            <w:vAlign w:val="top"/>
          </w:tcPr>
          <w:p w14:paraId="02242015">
            <w:pPr>
              <w:rPr>
                <w:rFonts w:ascii="Arial"/>
                <w:sz w:val="21"/>
              </w:rPr>
            </w:pPr>
          </w:p>
        </w:tc>
      </w:tr>
      <w:tr w14:paraId="45349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18" w:type="dxa"/>
            <w:vMerge w:val="restart"/>
            <w:tcBorders>
              <w:bottom w:val="nil"/>
            </w:tcBorders>
            <w:vAlign w:val="top"/>
          </w:tcPr>
          <w:p w14:paraId="6CE80AF7">
            <w:pPr>
              <w:spacing w:line="297" w:lineRule="auto"/>
              <w:rPr>
                <w:rFonts w:ascii="Arial"/>
                <w:sz w:val="21"/>
              </w:rPr>
            </w:pPr>
          </w:p>
          <w:p w14:paraId="4B9E525B">
            <w:pPr>
              <w:spacing w:line="297" w:lineRule="auto"/>
              <w:rPr>
                <w:rFonts w:ascii="Arial"/>
                <w:sz w:val="21"/>
              </w:rPr>
            </w:pPr>
          </w:p>
          <w:p w14:paraId="5698CF5E">
            <w:pPr>
              <w:spacing w:line="297" w:lineRule="auto"/>
              <w:rPr>
                <w:rFonts w:ascii="Arial"/>
                <w:sz w:val="21"/>
              </w:rPr>
            </w:pPr>
          </w:p>
          <w:p w14:paraId="4A4DC874">
            <w:pPr>
              <w:spacing w:line="298" w:lineRule="auto"/>
              <w:rPr>
                <w:rFonts w:ascii="Arial"/>
                <w:sz w:val="21"/>
              </w:rPr>
            </w:pPr>
          </w:p>
          <w:p w14:paraId="46E23823">
            <w:pPr>
              <w:spacing w:before="75" w:line="186" w:lineRule="auto"/>
              <w:ind w:left="237"/>
              <w:rPr>
                <w:rFonts w:ascii="仿宋" w:hAnsi="仿宋" w:eastAsia="仿宋" w:cs="仿宋"/>
                <w:sz w:val="23"/>
                <w:szCs w:val="23"/>
              </w:rPr>
            </w:pPr>
            <w:r>
              <w:rPr>
                <w:rFonts w:ascii="仿宋" w:hAnsi="仿宋" w:eastAsia="仿宋" w:cs="仿宋"/>
                <w:spacing w:val="-3"/>
                <w:sz w:val="23"/>
                <w:szCs w:val="23"/>
              </w:rPr>
              <w:t>24</w:t>
            </w:r>
          </w:p>
        </w:tc>
        <w:tc>
          <w:tcPr>
            <w:tcW w:w="1440" w:type="dxa"/>
            <w:vMerge w:val="restart"/>
            <w:tcBorders>
              <w:bottom w:val="nil"/>
            </w:tcBorders>
            <w:vAlign w:val="top"/>
          </w:tcPr>
          <w:p w14:paraId="2CB1C708">
            <w:pPr>
              <w:spacing w:line="259" w:lineRule="auto"/>
              <w:rPr>
                <w:rFonts w:ascii="Arial"/>
                <w:sz w:val="21"/>
              </w:rPr>
            </w:pPr>
          </w:p>
          <w:p w14:paraId="06C5E054">
            <w:pPr>
              <w:spacing w:line="259" w:lineRule="auto"/>
              <w:rPr>
                <w:rFonts w:ascii="Arial"/>
                <w:sz w:val="21"/>
              </w:rPr>
            </w:pPr>
          </w:p>
          <w:p w14:paraId="2365E6E2">
            <w:pPr>
              <w:pStyle w:val="6"/>
              <w:spacing w:before="99" w:line="188" w:lineRule="auto"/>
              <w:ind w:left="113" w:right="111" w:firstLine="7"/>
              <w:jc w:val="both"/>
            </w:pPr>
            <w:r>
              <w:rPr>
                <w:spacing w:val="10"/>
              </w:rPr>
              <w:t>安全培训机</w:t>
            </w:r>
            <w:r>
              <w:rPr>
                <w:spacing w:val="12"/>
              </w:rPr>
              <w:t>构未建立培训档案或者培训档案管</w:t>
            </w:r>
            <w:r>
              <w:rPr>
                <w:spacing w:val="7"/>
              </w:rPr>
              <w:t>理不规范的</w:t>
            </w:r>
          </w:p>
        </w:tc>
        <w:tc>
          <w:tcPr>
            <w:tcW w:w="3202" w:type="dxa"/>
            <w:vMerge w:val="restart"/>
            <w:tcBorders>
              <w:bottom w:val="nil"/>
            </w:tcBorders>
            <w:vAlign w:val="top"/>
          </w:tcPr>
          <w:p w14:paraId="7BCCEA91">
            <w:pPr>
              <w:pStyle w:val="6"/>
              <w:spacing w:before="30" w:line="187" w:lineRule="auto"/>
              <w:ind w:left="117" w:right="110" w:hanging="19"/>
              <w:jc w:val="both"/>
            </w:pPr>
            <w:r>
              <w:rPr>
                <w:spacing w:val="18"/>
              </w:rPr>
              <w:t>【部门规章】《安全生产培</w:t>
            </w:r>
            <w:r>
              <w:rPr>
                <w:spacing w:val="13"/>
              </w:rPr>
              <w:t>训管理办法》第十五条：安</w:t>
            </w:r>
            <w:r>
              <w:rPr>
                <w:spacing w:val="17"/>
              </w:rPr>
              <w:t>全培训机构应当建立安全培</w:t>
            </w:r>
            <w:r>
              <w:rPr>
                <w:spacing w:val="39"/>
              </w:rPr>
              <w:t>训工作制度和人员培训档</w:t>
            </w:r>
            <w:r>
              <w:rPr>
                <w:spacing w:val="13"/>
              </w:rPr>
              <w:t>案。安全培训相关情况，应</w:t>
            </w:r>
            <w:r>
              <w:rPr>
                <w:spacing w:val="5"/>
              </w:rPr>
              <w:t>当如实记录并建档备查。</w:t>
            </w:r>
          </w:p>
        </w:tc>
        <w:tc>
          <w:tcPr>
            <w:tcW w:w="2859" w:type="dxa"/>
            <w:vMerge w:val="restart"/>
            <w:tcBorders>
              <w:bottom w:val="nil"/>
            </w:tcBorders>
            <w:vAlign w:val="top"/>
          </w:tcPr>
          <w:p w14:paraId="07BCA4D3">
            <w:pPr>
              <w:pStyle w:val="6"/>
              <w:spacing w:before="29" w:line="186" w:lineRule="auto"/>
              <w:ind w:left="114" w:right="105" w:hanging="17"/>
              <w:jc w:val="both"/>
            </w:pPr>
            <w:r>
              <w:rPr>
                <w:spacing w:val="10"/>
              </w:rPr>
              <w:t>【部门规章】《安全生产</w:t>
            </w:r>
            <w:r>
              <w:rPr>
                <w:spacing w:val="8"/>
              </w:rPr>
              <w:t>培训管理办法》第三十四条第一款第三项：安全培</w:t>
            </w:r>
            <w:r>
              <w:rPr>
                <w:spacing w:val="27"/>
              </w:rPr>
              <w:t>训机构有下列情形之一</w:t>
            </w:r>
            <w:r>
              <w:rPr>
                <w:spacing w:val="3"/>
              </w:rPr>
              <w:t>的，责令限期改正，处</w:t>
            </w:r>
            <w:r>
              <w:rPr>
                <w:rFonts w:ascii="宋体" w:hAnsi="宋体" w:eastAsia="宋体" w:cs="宋体"/>
                <w:spacing w:val="3"/>
              </w:rPr>
              <w:t>1</w:t>
            </w:r>
            <w:r>
              <w:rPr>
                <w:spacing w:val="8"/>
              </w:rPr>
              <w:t>万元以下的罚款；逾期未</w:t>
            </w:r>
            <w:r>
              <w:rPr>
                <w:spacing w:val="3"/>
              </w:rPr>
              <w:t>改正的，给予警告，处</w:t>
            </w:r>
            <w:r>
              <w:rPr>
                <w:rFonts w:ascii="宋体" w:hAnsi="宋体" w:eastAsia="宋体" w:cs="宋体"/>
                <w:spacing w:val="3"/>
              </w:rPr>
              <w:t>1</w:t>
            </w:r>
            <w:r>
              <w:rPr>
                <w:spacing w:val="5"/>
              </w:rPr>
              <w:t>万元以上</w:t>
            </w:r>
            <w:r>
              <w:rPr>
                <w:rFonts w:ascii="宋体" w:hAnsi="宋体" w:eastAsia="宋体" w:cs="宋体"/>
                <w:spacing w:val="5"/>
              </w:rPr>
              <w:t>3</w:t>
            </w:r>
            <w:r>
              <w:rPr>
                <w:spacing w:val="5"/>
              </w:rPr>
              <w:t>万元以下的罚</w:t>
            </w:r>
          </w:p>
        </w:tc>
        <w:tc>
          <w:tcPr>
            <w:tcW w:w="803" w:type="dxa"/>
            <w:vAlign w:val="top"/>
          </w:tcPr>
          <w:p w14:paraId="2EC28FEE">
            <w:pPr>
              <w:spacing w:line="447" w:lineRule="auto"/>
              <w:rPr>
                <w:rFonts w:ascii="Arial"/>
                <w:sz w:val="21"/>
              </w:rPr>
            </w:pPr>
          </w:p>
          <w:p w14:paraId="3EB50BDD">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572C33A">
            <w:pPr>
              <w:pStyle w:val="6"/>
              <w:spacing w:before="333" w:line="195" w:lineRule="auto"/>
              <w:ind w:left="135" w:right="109" w:hanging="20"/>
            </w:pPr>
            <w:r>
              <w:rPr>
                <w:spacing w:val="26"/>
              </w:rPr>
              <w:t>培训档案管理不规</w:t>
            </w:r>
            <w:r>
              <w:rPr>
                <w:spacing w:val="-2"/>
              </w:rPr>
              <w:t>范，涉及</w:t>
            </w:r>
            <w:r>
              <w:rPr>
                <w:rFonts w:ascii="宋体" w:hAnsi="宋体" w:eastAsia="宋体" w:cs="宋体"/>
                <w:spacing w:val="-2"/>
              </w:rPr>
              <w:t>1</w:t>
            </w:r>
            <w:r>
              <w:rPr>
                <w:spacing w:val="-2"/>
              </w:rPr>
              <w:t>处的</w:t>
            </w:r>
          </w:p>
        </w:tc>
        <w:tc>
          <w:tcPr>
            <w:tcW w:w="2894" w:type="dxa"/>
            <w:vAlign w:val="top"/>
          </w:tcPr>
          <w:p w14:paraId="614CCB32">
            <w:pPr>
              <w:pStyle w:val="6"/>
              <w:spacing w:before="30" w:line="177" w:lineRule="auto"/>
              <w:ind w:left="140" w:right="103" w:hanging="13"/>
              <w:jc w:val="both"/>
            </w:pPr>
            <w:r>
              <w:rPr>
                <w:spacing w:val="2"/>
              </w:rPr>
              <w:t>责令限期改正，处</w:t>
            </w:r>
            <w:r>
              <w:rPr>
                <w:rFonts w:ascii="宋体" w:hAnsi="宋体" w:eastAsia="宋体" w:cs="宋体"/>
                <w:spacing w:val="2"/>
              </w:rPr>
              <w:t>1</w:t>
            </w:r>
            <w:r>
              <w:rPr>
                <w:spacing w:val="2"/>
              </w:rPr>
              <w:t>万元</w:t>
            </w:r>
            <w:r>
              <w:rPr>
                <w:spacing w:val="6"/>
              </w:rPr>
              <w:t>以下的罚款；逾期未改正</w:t>
            </w:r>
            <w:r>
              <w:rPr>
                <w:spacing w:val="-3"/>
              </w:rPr>
              <w:t>的，给予警告，处</w:t>
            </w:r>
            <w:r>
              <w:rPr>
                <w:rFonts w:ascii="宋体" w:hAnsi="宋体" w:eastAsia="宋体" w:cs="宋体"/>
                <w:spacing w:val="-3"/>
              </w:rPr>
              <w:t>1</w:t>
            </w:r>
            <w:r>
              <w:rPr>
                <w:spacing w:val="-3"/>
              </w:rPr>
              <w:t>万元</w:t>
            </w:r>
            <w:r>
              <w:rPr>
                <w:spacing w:val="1"/>
              </w:rPr>
              <w:t>以上</w:t>
            </w:r>
            <w:r>
              <w:rPr>
                <w:rFonts w:ascii="宋体" w:hAnsi="宋体" w:eastAsia="宋体" w:cs="宋体"/>
                <w:spacing w:val="1"/>
              </w:rPr>
              <w:t>1.5</w:t>
            </w:r>
            <w:r>
              <w:rPr>
                <w:spacing w:val="1"/>
              </w:rPr>
              <w:t>万元以下的罚款</w:t>
            </w:r>
          </w:p>
        </w:tc>
        <w:tc>
          <w:tcPr>
            <w:tcW w:w="811" w:type="dxa"/>
            <w:vMerge w:val="restart"/>
            <w:tcBorders>
              <w:bottom w:val="nil"/>
            </w:tcBorders>
            <w:vAlign w:val="top"/>
          </w:tcPr>
          <w:p w14:paraId="512A66DC">
            <w:pPr>
              <w:spacing w:line="296" w:lineRule="auto"/>
              <w:rPr>
                <w:rFonts w:ascii="Arial"/>
                <w:sz w:val="21"/>
              </w:rPr>
            </w:pPr>
          </w:p>
          <w:p w14:paraId="6B2BFF83">
            <w:pPr>
              <w:spacing w:line="296" w:lineRule="auto"/>
              <w:rPr>
                <w:rFonts w:ascii="Arial"/>
                <w:sz w:val="21"/>
              </w:rPr>
            </w:pPr>
          </w:p>
          <w:p w14:paraId="42A7B74F">
            <w:pPr>
              <w:spacing w:line="296" w:lineRule="auto"/>
              <w:rPr>
                <w:rFonts w:ascii="Arial"/>
                <w:sz w:val="21"/>
              </w:rPr>
            </w:pPr>
          </w:p>
          <w:p w14:paraId="10CCECC5">
            <w:pPr>
              <w:spacing w:line="297" w:lineRule="auto"/>
              <w:rPr>
                <w:rFonts w:ascii="Arial"/>
                <w:sz w:val="21"/>
              </w:rPr>
            </w:pPr>
          </w:p>
          <w:p w14:paraId="5C47D247">
            <w:pPr>
              <w:spacing w:before="75" w:line="189" w:lineRule="auto"/>
              <w:ind w:left="308"/>
              <w:rPr>
                <w:rFonts w:ascii="宋体" w:hAnsi="宋体" w:eastAsia="宋体" w:cs="宋体"/>
                <w:sz w:val="23"/>
                <w:szCs w:val="23"/>
              </w:rPr>
            </w:pPr>
            <w:r>
              <w:rPr>
                <w:rFonts w:ascii="宋体" w:hAnsi="宋体" w:eastAsia="宋体" w:cs="宋体"/>
                <w:spacing w:val="-10"/>
                <w:sz w:val="23"/>
                <w:szCs w:val="23"/>
              </w:rPr>
              <w:t>15</w:t>
            </w:r>
          </w:p>
        </w:tc>
      </w:tr>
      <w:tr w14:paraId="202C1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9" w:hRule="atLeast"/>
        </w:trPr>
        <w:tc>
          <w:tcPr>
            <w:tcW w:w="818" w:type="dxa"/>
            <w:vMerge w:val="continue"/>
            <w:tcBorders>
              <w:top w:val="nil"/>
            </w:tcBorders>
            <w:vAlign w:val="top"/>
          </w:tcPr>
          <w:p w14:paraId="04A69CF2">
            <w:pPr>
              <w:rPr>
                <w:rFonts w:ascii="Arial"/>
                <w:sz w:val="21"/>
              </w:rPr>
            </w:pPr>
          </w:p>
        </w:tc>
        <w:tc>
          <w:tcPr>
            <w:tcW w:w="1440" w:type="dxa"/>
            <w:vMerge w:val="continue"/>
            <w:tcBorders>
              <w:top w:val="nil"/>
            </w:tcBorders>
            <w:vAlign w:val="top"/>
          </w:tcPr>
          <w:p w14:paraId="07250B7B">
            <w:pPr>
              <w:rPr>
                <w:rFonts w:ascii="Arial"/>
                <w:sz w:val="21"/>
              </w:rPr>
            </w:pPr>
          </w:p>
        </w:tc>
        <w:tc>
          <w:tcPr>
            <w:tcW w:w="3202" w:type="dxa"/>
            <w:vMerge w:val="continue"/>
            <w:tcBorders>
              <w:top w:val="nil"/>
            </w:tcBorders>
            <w:vAlign w:val="top"/>
          </w:tcPr>
          <w:p w14:paraId="2030404D">
            <w:pPr>
              <w:rPr>
                <w:rFonts w:ascii="Arial"/>
                <w:sz w:val="21"/>
              </w:rPr>
            </w:pPr>
          </w:p>
        </w:tc>
        <w:tc>
          <w:tcPr>
            <w:tcW w:w="2859" w:type="dxa"/>
            <w:vMerge w:val="continue"/>
            <w:tcBorders>
              <w:top w:val="nil"/>
            </w:tcBorders>
            <w:vAlign w:val="top"/>
          </w:tcPr>
          <w:p w14:paraId="592EA5EA">
            <w:pPr>
              <w:rPr>
                <w:rFonts w:ascii="Arial"/>
                <w:sz w:val="21"/>
              </w:rPr>
            </w:pPr>
          </w:p>
        </w:tc>
        <w:tc>
          <w:tcPr>
            <w:tcW w:w="803" w:type="dxa"/>
            <w:vAlign w:val="top"/>
          </w:tcPr>
          <w:p w14:paraId="3B3F4E4E">
            <w:pPr>
              <w:spacing w:line="293" w:lineRule="auto"/>
              <w:rPr>
                <w:rFonts w:ascii="Arial"/>
                <w:sz w:val="21"/>
              </w:rPr>
            </w:pPr>
          </w:p>
          <w:p w14:paraId="3DBB3E6B">
            <w:pPr>
              <w:spacing w:line="293" w:lineRule="auto"/>
              <w:rPr>
                <w:rFonts w:ascii="Arial"/>
                <w:sz w:val="21"/>
              </w:rPr>
            </w:pPr>
          </w:p>
          <w:p w14:paraId="0EF7E5B1">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7E7C77E">
            <w:pPr>
              <w:spacing w:line="369" w:lineRule="auto"/>
              <w:rPr>
                <w:rFonts w:ascii="Arial"/>
                <w:sz w:val="21"/>
              </w:rPr>
            </w:pPr>
          </w:p>
          <w:p w14:paraId="52495F22">
            <w:pPr>
              <w:pStyle w:val="6"/>
              <w:spacing w:before="98" w:line="195" w:lineRule="auto"/>
              <w:ind w:left="135" w:right="106" w:hanging="20"/>
            </w:pPr>
            <w:r>
              <w:rPr>
                <w:spacing w:val="26"/>
              </w:rPr>
              <w:t>培训档案管理不规</w:t>
            </w:r>
            <w:r>
              <w:rPr>
                <w:spacing w:val="-7"/>
              </w:rPr>
              <w:t>范，涉及</w:t>
            </w:r>
            <w:r>
              <w:rPr>
                <w:rFonts w:ascii="宋体" w:hAnsi="宋体" w:eastAsia="宋体" w:cs="宋体"/>
                <w:spacing w:val="-7"/>
              </w:rPr>
              <w:t>2</w:t>
            </w:r>
            <w:r>
              <w:rPr>
                <w:spacing w:val="-7"/>
              </w:rPr>
              <w:t>处以上的</w:t>
            </w:r>
          </w:p>
        </w:tc>
        <w:tc>
          <w:tcPr>
            <w:tcW w:w="2894" w:type="dxa"/>
            <w:vAlign w:val="top"/>
          </w:tcPr>
          <w:p w14:paraId="416ADF0B">
            <w:pPr>
              <w:pStyle w:val="6"/>
              <w:spacing w:before="169" w:line="189" w:lineRule="auto"/>
              <w:ind w:left="124" w:right="103" w:firstLine="2"/>
              <w:jc w:val="both"/>
            </w:pPr>
            <w:r>
              <w:rPr>
                <w:spacing w:val="2"/>
              </w:rPr>
              <w:t>责令限期改正，处</w:t>
            </w:r>
            <w:r>
              <w:rPr>
                <w:rFonts w:ascii="宋体" w:hAnsi="宋体" w:eastAsia="宋体" w:cs="宋体"/>
                <w:spacing w:val="2"/>
              </w:rPr>
              <w:t>1</w:t>
            </w:r>
            <w:r>
              <w:rPr>
                <w:spacing w:val="2"/>
              </w:rPr>
              <w:t>万元</w:t>
            </w:r>
            <w:r>
              <w:rPr>
                <w:spacing w:val="8"/>
              </w:rPr>
              <w:t>以下的罚款；逾期未改正</w:t>
            </w:r>
            <w:r>
              <w:rPr>
                <w:spacing w:val="-2"/>
              </w:rPr>
              <w:t>的，给予警告，处</w:t>
            </w:r>
            <w:r>
              <w:rPr>
                <w:rFonts w:ascii="宋体" w:hAnsi="宋体" w:eastAsia="宋体" w:cs="宋体"/>
                <w:spacing w:val="-2"/>
              </w:rPr>
              <w:t>1.5</w:t>
            </w:r>
            <w:r>
              <w:rPr>
                <w:spacing w:val="-2"/>
              </w:rPr>
              <w:t>万</w:t>
            </w:r>
            <w:r>
              <w:rPr>
                <w:spacing w:val="4"/>
              </w:rPr>
              <w:t>元以上</w:t>
            </w:r>
            <w:r>
              <w:rPr>
                <w:rFonts w:ascii="宋体" w:hAnsi="宋体" w:eastAsia="宋体" w:cs="宋体"/>
                <w:spacing w:val="4"/>
              </w:rPr>
              <w:t>2</w:t>
            </w:r>
            <w:r>
              <w:rPr>
                <w:spacing w:val="4"/>
              </w:rPr>
              <w:t>万元以下的罚款</w:t>
            </w:r>
          </w:p>
        </w:tc>
        <w:tc>
          <w:tcPr>
            <w:tcW w:w="811" w:type="dxa"/>
            <w:vMerge w:val="continue"/>
            <w:tcBorders>
              <w:top w:val="nil"/>
            </w:tcBorders>
            <w:vAlign w:val="top"/>
          </w:tcPr>
          <w:p w14:paraId="41460114">
            <w:pPr>
              <w:rPr>
                <w:rFonts w:ascii="Arial"/>
                <w:sz w:val="21"/>
              </w:rPr>
            </w:pPr>
          </w:p>
        </w:tc>
      </w:tr>
    </w:tbl>
    <w:p w14:paraId="3382878C">
      <w:pPr>
        <w:pStyle w:val="2"/>
      </w:pPr>
    </w:p>
    <w:p w14:paraId="1A1CEFAC">
      <w:pPr>
        <w:sectPr>
          <w:footerReference r:id="rId41" w:type="default"/>
          <w:pgSz w:w="16839" w:h="11906"/>
          <w:pgMar w:top="1012" w:right="821" w:bottom="666" w:left="901" w:header="0" w:footer="388" w:gutter="0"/>
          <w:cols w:space="720" w:num="1"/>
        </w:sectPr>
      </w:pPr>
    </w:p>
    <w:p w14:paraId="004D80E8">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FB1C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5AA1F87">
            <w:pPr>
              <w:spacing w:before="222" w:line="241" w:lineRule="auto"/>
              <w:ind w:left="131"/>
              <w:rPr>
                <w:rFonts w:ascii="黑体" w:hAnsi="黑体" w:eastAsia="黑体" w:cs="黑体"/>
                <w:sz w:val="28"/>
                <w:szCs w:val="28"/>
              </w:rPr>
            </w:pPr>
            <w:bookmarkStart w:id="392" w:name="bookmark54"/>
            <w:bookmarkEnd w:id="392"/>
            <w:r>
              <w:rPr>
                <w:rFonts w:ascii="黑体" w:hAnsi="黑体" w:eastAsia="黑体" w:cs="黑体"/>
                <w:spacing w:val="-2"/>
                <w:sz w:val="28"/>
                <w:szCs w:val="28"/>
              </w:rPr>
              <w:t>序号</w:t>
            </w:r>
          </w:p>
        </w:tc>
        <w:tc>
          <w:tcPr>
            <w:tcW w:w="1440" w:type="dxa"/>
            <w:vAlign w:val="top"/>
          </w:tcPr>
          <w:p w14:paraId="1EE10B8F">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7EDD2567">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96871D0">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541406F">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3DE1388">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59BF28F">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F22CF9D">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B3B9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Align w:val="top"/>
          </w:tcPr>
          <w:p w14:paraId="1B0D358F">
            <w:pPr>
              <w:rPr>
                <w:rFonts w:ascii="Arial"/>
                <w:sz w:val="21"/>
              </w:rPr>
            </w:pPr>
          </w:p>
        </w:tc>
        <w:tc>
          <w:tcPr>
            <w:tcW w:w="1440" w:type="dxa"/>
            <w:vAlign w:val="top"/>
          </w:tcPr>
          <w:p w14:paraId="28B15824">
            <w:pPr>
              <w:rPr>
                <w:rFonts w:ascii="Arial"/>
                <w:sz w:val="21"/>
              </w:rPr>
            </w:pPr>
          </w:p>
        </w:tc>
        <w:tc>
          <w:tcPr>
            <w:tcW w:w="3202" w:type="dxa"/>
            <w:vAlign w:val="top"/>
          </w:tcPr>
          <w:p w14:paraId="4C886D5F">
            <w:pPr>
              <w:rPr>
                <w:rFonts w:ascii="Arial"/>
                <w:sz w:val="21"/>
              </w:rPr>
            </w:pPr>
          </w:p>
        </w:tc>
        <w:tc>
          <w:tcPr>
            <w:tcW w:w="2859" w:type="dxa"/>
            <w:vAlign w:val="top"/>
          </w:tcPr>
          <w:p w14:paraId="34EBE440">
            <w:pPr>
              <w:pStyle w:val="6"/>
              <w:spacing w:before="29" w:line="182" w:lineRule="auto"/>
              <w:ind w:left="122" w:right="110" w:hanging="2"/>
            </w:pPr>
            <w:r>
              <w:rPr>
                <w:spacing w:val="8"/>
              </w:rPr>
              <w:t>款：（三）未建立培训档案或者培训档案管理不规</w:t>
            </w:r>
          </w:p>
          <w:p w14:paraId="197AF22F">
            <w:pPr>
              <w:pStyle w:val="6"/>
              <w:spacing w:line="208" w:lineRule="auto"/>
              <w:ind w:left="135"/>
              <w:outlineLvl w:val="0"/>
            </w:pPr>
            <w:r>
              <w:rPr>
                <w:spacing w:val="-11"/>
              </w:rPr>
              <w:t>范的；</w:t>
            </w:r>
          </w:p>
        </w:tc>
        <w:tc>
          <w:tcPr>
            <w:tcW w:w="803" w:type="dxa"/>
            <w:vAlign w:val="top"/>
          </w:tcPr>
          <w:p w14:paraId="7E1C7F91">
            <w:pPr>
              <w:spacing w:line="445" w:lineRule="auto"/>
              <w:rPr>
                <w:rFonts w:ascii="Arial"/>
                <w:sz w:val="21"/>
              </w:rPr>
            </w:pPr>
          </w:p>
          <w:p w14:paraId="254F5BD9">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0E9FA16">
            <w:pPr>
              <w:spacing w:line="378" w:lineRule="auto"/>
              <w:rPr>
                <w:rFonts w:ascii="Arial"/>
                <w:sz w:val="21"/>
              </w:rPr>
            </w:pPr>
          </w:p>
          <w:p w14:paraId="16B21739">
            <w:pPr>
              <w:pStyle w:val="6"/>
              <w:spacing w:before="98" w:line="209" w:lineRule="auto"/>
              <w:ind w:left="118"/>
            </w:pPr>
            <w:r>
              <w:rPr>
                <w:spacing w:val="7"/>
              </w:rPr>
              <w:t>未建立培训档案的</w:t>
            </w:r>
          </w:p>
        </w:tc>
        <w:tc>
          <w:tcPr>
            <w:tcW w:w="2894" w:type="dxa"/>
            <w:vAlign w:val="top"/>
          </w:tcPr>
          <w:p w14:paraId="1E69FF3A">
            <w:pPr>
              <w:pStyle w:val="6"/>
              <w:spacing w:before="29" w:line="177" w:lineRule="auto"/>
              <w:ind w:left="140" w:right="103" w:hanging="13"/>
              <w:jc w:val="both"/>
            </w:pPr>
            <w:r>
              <w:rPr>
                <w:spacing w:val="2"/>
              </w:rPr>
              <w:t>责令限期改正，处</w:t>
            </w:r>
            <w:r>
              <w:rPr>
                <w:rFonts w:ascii="宋体" w:hAnsi="宋体" w:eastAsia="宋体" w:cs="宋体"/>
                <w:spacing w:val="2"/>
              </w:rPr>
              <w:t>1</w:t>
            </w:r>
            <w:r>
              <w:rPr>
                <w:spacing w:val="2"/>
              </w:rPr>
              <w:t>万元</w:t>
            </w:r>
            <w:r>
              <w:rPr>
                <w:spacing w:val="6"/>
              </w:rPr>
              <w:t>以下的罚款；逾期未改正</w:t>
            </w:r>
            <w:r>
              <w:t>的，给予警告，处</w:t>
            </w:r>
            <w:r>
              <w:rPr>
                <w:rFonts w:ascii="宋体" w:hAnsi="宋体" w:eastAsia="宋体" w:cs="宋体"/>
              </w:rPr>
              <w:t>2</w:t>
            </w:r>
            <w:r>
              <w:t>万元</w:t>
            </w:r>
            <w:r>
              <w:rPr>
                <w:spacing w:val="2"/>
              </w:rPr>
              <w:t>以上</w:t>
            </w:r>
            <w:r>
              <w:rPr>
                <w:rFonts w:ascii="宋体" w:hAnsi="宋体" w:eastAsia="宋体" w:cs="宋体"/>
                <w:spacing w:val="2"/>
              </w:rPr>
              <w:t>3</w:t>
            </w:r>
            <w:r>
              <w:rPr>
                <w:spacing w:val="2"/>
              </w:rPr>
              <w:t>万元以下的罚款</w:t>
            </w:r>
          </w:p>
        </w:tc>
        <w:tc>
          <w:tcPr>
            <w:tcW w:w="811" w:type="dxa"/>
            <w:vAlign w:val="top"/>
          </w:tcPr>
          <w:p w14:paraId="1673339D">
            <w:pPr>
              <w:rPr>
                <w:rFonts w:ascii="Arial"/>
                <w:sz w:val="21"/>
              </w:rPr>
            </w:pPr>
          </w:p>
        </w:tc>
      </w:tr>
      <w:tr w14:paraId="7E732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2" w:hRule="atLeast"/>
        </w:trPr>
        <w:tc>
          <w:tcPr>
            <w:tcW w:w="818" w:type="dxa"/>
            <w:vMerge w:val="restart"/>
            <w:tcBorders>
              <w:bottom w:val="nil"/>
            </w:tcBorders>
            <w:vAlign w:val="top"/>
          </w:tcPr>
          <w:p w14:paraId="38B02A68">
            <w:pPr>
              <w:spacing w:line="265" w:lineRule="auto"/>
              <w:rPr>
                <w:rFonts w:ascii="Arial"/>
                <w:sz w:val="21"/>
              </w:rPr>
            </w:pPr>
          </w:p>
          <w:p w14:paraId="64D3CE14">
            <w:pPr>
              <w:spacing w:line="265" w:lineRule="auto"/>
              <w:rPr>
                <w:rFonts w:ascii="Arial"/>
                <w:sz w:val="21"/>
              </w:rPr>
            </w:pPr>
          </w:p>
          <w:p w14:paraId="4FFDD3CA">
            <w:pPr>
              <w:spacing w:line="265" w:lineRule="auto"/>
              <w:rPr>
                <w:rFonts w:ascii="Arial"/>
                <w:sz w:val="21"/>
              </w:rPr>
            </w:pPr>
          </w:p>
          <w:p w14:paraId="044CB5E5">
            <w:pPr>
              <w:spacing w:line="265" w:lineRule="auto"/>
              <w:rPr>
                <w:rFonts w:ascii="Arial"/>
                <w:sz w:val="21"/>
              </w:rPr>
            </w:pPr>
          </w:p>
          <w:p w14:paraId="02F6C652">
            <w:pPr>
              <w:spacing w:line="265" w:lineRule="auto"/>
              <w:rPr>
                <w:rFonts w:ascii="Arial"/>
                <w:sz w:val="21"/>
              </w:rPr>
            </w:pPr>
          </w:p>
          <w:p w14:paraId="51A6DD05">
            <w:pPr>
              <w:spacing w:line="265" w:lineRule="auto"/>
              <w:rPr>
                <w:rFonts w:ascii="Arial"/>
                <w:sz w:val="21"/>
              </w:rPr>
            </w:pPr>
          </w:p>
          <w:p w14:paraId="021721C4">
            <w:pPr>
              <w:spacing w:line="266" w:lineRule="auto"/>
              <w:rPr>
                <w:rFonts w:ascii="Arial"/>
                <w:sz w:val="21"/>
              </w:rPr>
            </w:pPr>
          </w:p>
          <w:p w14:paraId="5636200B">
            <w:pPr>
              <w:spacing w:line="266" w:lineRule="auto"/>
              <w:rPr>
                <w:rFonts w:ascii="Arial"/>
                <w:sz w:val="21"/>
              </w:rPr>
            </w:pPr>
          </w:p>
          <w:p w14:paraId="2E8A84EA">
            <w:pPr>
              <w:spacing w:line="266" w:lineRule="auto"/>
              <w:rPr>
                <w:rFonts w:ascii="Arial"/>
                <w:sz w:val="21"/>
              </w:rPr>
            </w:pPr>
          </w:p>
          <w:p w14:paraId="564FBD67">
            <w:pPr>
              <w:spacing w:before="75" w:line="185" w:lineRule="auto"/>
              <w:ind w:left="237"/>
              <w:rPr>
                <w:rFonts w:ascii="仿宋" w:hAnsi="仿宋" w:eastAsia="仿宋" w:cs="仿宋"/>
                <w:sz w:val="23"/>
                <w:szCs w:val="23"/>
              </w:rPr>
            </w:pPr>
            <w:r>
              <w:rPr>
                <w:rFonts w:ascii="仿宋" w:hAnsi="仿宋" w:eastAsia="仿宋" w:cs="仿宋"/>
                <w:spacing w:val="-3"/>
                <w:sz w:val="23"/>
                <w:szCs w:val="23"/>
              </w:rPr>
              <w:t>25</w:t>
            </w:r>
          </w:p>
        </w:tc>
        <w:tc>
          <w:tcPr>
            <w:tcW w:w="1440" w:type="dxa"/>
            <w:vMerge w:val="restart"/>
            <w:tcBorders>
              <w:bottom w:val="nil"/>
            </w:tcBorders>
            <w:vAlign w:val="top"/>
          </w:tcPr>
          <w:p w14:paraId="3EA1B91E">
            <w:pPr>
              <w:spacing w:line="285" w:lineRule="auto"/>
              <w:rPr>
                <w:rFonts w:ascii="Arial"/>
                <w:sz w:val="21"/>
              </w:rPr>
            </w:pPr>
          </w:p>
          <w:p w14:paraId="78AE6A1F">
            <w:pPr>
              <w:spacing w:line="285" w:lineRule="auto"/>
              <w:rPr>
                <w:rFonts w:ascii="Arial"/>
                <w:sz w:val="21"/>
              </w:rPr>
            </w:pPr>
          </w:p>
          <w:p w14:paraId="06EB9A45">
            <w:pPr>
              <w:spacing w:line="285" w:lineRule="auto"/>
              <w:rPr>
                <w:rFonts w:ascii="Arial"/>
                <w:sz w:val="21"/>
              </w:rPr>
            </w:pPr>
          </w:p>
          <w:p w14:paraId="467E4FA2">
            <w:pPr>
              <w:spacing w:line="285" w:lineRule="auto"/>
              <w:rPr>
                <w:rFonts w:ascii="Arial"/>
                <w:sz w:val="21"/>
              </w:rPr>
            </w:pPr>
          </w:p>
          <w:p w14:paraId="4C797859">
            <w:pPr>
              <w:spacing w:line="286" w:lineRule="auto"/>
              <w:rPr>
                <w:rFonts w:ascii="Arial"/>
                <w:sz w:val="21"/>
              </w:rPr>
            </w:pPr>
          </w:p>
          <w:p w14:paraId="3EA341F4">
            <w:pPr>
              <w:pStyle w:val="6"/>
              <w:spacing w:before="98" w:line="186" w:lineRule="auto"/>
              <w:ind w:left="111" w:right="111" w:firstLine="9"/>
              <w:jc w:val="both"/>
            </w:pPr>
            <w:r>
              <w:rPr>
                <w:spacing w:val="10"/>
              </w:rPr>
              <w:t>安全培训机</w:t>
            </w:r>
            <w:r>
              <w:rPr>
                <w:spacing w:val="12"/>
              </w:rPr>
              <w:t>构采取不正</w:t>
            </w:r>
            <w:r>
              <w:rPr>
                <w:spacing w:val="-10"/>
              </w:rPr>
              <w:t>当竞争手</w:t>
            </w:r>
            <w:r>
              <w:rPr>
                <w:spacing w:val="3"/>
              </w:rPr>
              <w:t>段，故意贬</w:t>
            </w:r>
            <w:r>
              <w:rPr>
                <w:spacing w:val="12"/>
              </w:rPr>
              <w:t>低、诋毁其他安全培训</w:t>
            </w:r>
            <w:r>
              <w:rPr>
                <w:spacing w:val="6"/>
              </w:rPr>
              <w:t>机构的</w:t>
            </w:r>
          </w:p>
        </w:tc>
        <w:tc>
          <w:tcPr>
            <w:tcW w:w="3202" w:type="dxa"/>
            <w:vMerge w:val="restart"/>
            <w:tcBorders>
              <w:bottom w:val="nil"/>
            </w:tcBorders>
            <w:vAlign w:val="top"/>
          </w:tcPr>
          <w:p w14:paraId="5BAFBF75">
            <w:pPr>
              <w:rPr>
                <w:rFonts w:ascii="Arial"/>
                <w:sz w:val="21"/>
              </w:rPr>
            </w:pPr>
          </w:p>
        </w:tc>
        <w:tc>
          <w:tcPr>
            <w:tcW w:w="2859" w:type="dxa"/>
            <w:vMerge w:val="restart"/>
            <w:tcBorders>
              <w:bottom w:val="nil"/>
            </w:tcBorders>
            <w:vAlign w:val="top"/>
          </w:tcPr>
          <w:p w14:paraId="5E8647C0">
            <w:pPr>
              <w:pStyle w:val="6"/>
              <w:spacing w:before="40" w:line="182" w:lineRule="auto"/>
              <w:ind w:left="114" w:right="33" w:hanging="17"/>
              <w:jc w:val="both"/>
            </w:pPr>
            <w:r>
              <w:rPr>
                <w:spacing w:val="10"/>
              </w:rPr>
              <w:t>【部门规章】《安全生产</w:t>
            </w:r>
            <w:bookmarkStart w:id="393" w:name="bookmark485"/>
            <w:bookmarkEnd w:id="393"/>
            <w:bookmarkStart w:id="394" w:name="bookmark56"/>
            <w:bookmarkEnd w:id="394"/>
            <w:r>
              <w:rPr>
                <w:spacing w:val="8"/>
              </w:rPr>
              <w:t>培训管理办法》第三十四条：安全培训机构有下列情形之一的，责令限期改</w:t>
            </w:r>
            <w:r>
              <w:rPr>
                <w:spacing w:val="-10"/>
              </w:rPr>
              <w:t>正，处</w:t>
            </w:r>
            <w:r>
              <w:rPr>
                <w:rFonts w:ascii="宋体" w:hAnsi="宋体" w:eastAsia="宋体" w:cs="宋体"/>
                <w:spacing w:val="-10"/>
              </w:rPr>
              <w:t>1</w:t>
            </w:r>
            <w:r>
              <w:rPr>
                <w:spacing w:val="-10"/>
              </w:rPr>
              <w:t>万元以下的罚款；</w:t>
            </w:r>
            <w:r>
              <w:rPr>
                <w:spacing w:val="-5"/>
              </w:rPr>
              <w:t>逾期未改正的，给予警告，</w:t>
            </w:r>
            <w:r>
              <w:t>处</w:t>
            </w:r>
            <w:r>
              <w:rPr>
                <w:rFonts w:ascii="宋体" w:hAnsi="宋体" w:eastAsia="宋体" w:cs="宋体"/>
              </w:rPr>
              <w:t>1</w:t>
            </w:r>
            <w:r>
              <w:t>万元以上</w:t>
            </w:r>
            <w:r>
              <w:rPr>
                <w:rFonts w:ascii="宋体" w:hAnsi="宋体" w:eastAsia="宋体" w:cs="宋体"/>
              </w:rPr>
              <w:t>3</w:t>
            </w:r>
            <w:r>
              <w:t>万元以下</w:t>
            </w:r>
            <w:r>
              <w:rPr>
                <w:spacing w:val="-2"/>
              </w:rPr>
              <w:t>的罚款</w:t>
            </w:r>
            <w:r>
              <w:rPr>
                <w:spacing w:val="-12"/>
              </w:rPr>
              <w:t>：（</w:t>
            </w:r>
            <w:r>
              <w:rPr>
                <w:spacing w:val="-2"/>
              </w:rPr>
              <w:t>一）不具备安</w:t>
            </w:r>
            <w:r>
              <w:rPr>
                <w:spacing w:val="2"/>
              </w:rPr>
              <w:t>全培训条件的</w:t>
            </w:r>
            <w:r>
              <w:rPr>
                <w:spacing w:val="4"/>
              </w:rPr>
              <w:t>；（</w:t>
            </w:r>
            <w:r>
              <w:rPr>
                <w:spacing w:val="2"/>
              </w:rPr>
              <w:t>二）未</w:t>
            </w:r>
            <w:r>
              <w:rPr>
                <w:spacing w:val="8"/>
              </w:rPr>
              <w:t>按照统一的培训大纲组织教学培训的</w:t>
            </w:r>
            <w:r>
              <w:rPr>
                <w:spacing w:val="12"/>
              </w:rPr>
              <w:t>；（</w:t>
            </w:r>
            <w:r>
              <w:rPr>
                <w:spacing w:val="8"/>
              </w:rPr>
              <w:t>三）未建立培训档案或者培训档案</w:t>
            </w:r>
            <w:r>
              <w:rPr>
                <w:spacing w:val="1"/>
              </w:rPr>
              <w:t>管理不规范的；</w:t>
            </w:r>
          </w:p>
          <w:p w14:paraId="3FD51367">
            <w:pPr>
              <w:pStyle w:val="6"/>
              <w:spacing w:before="3" w:line="176" w:lineRule="auto"/>
              <w:ind w:left="118" w:right="110" w:firstLine="4"/>
            </w:pPr>
            <w:r>
              <w:rPr>
                <w:spacing w:val="8"/>
              </w:rPr>
              <w:t>安全培训机构采取不正当</w:t>
            </w:r>
            <w:r>
              <w:rPr>
                <w:spacing w:val="6"/>
              </w:rPr>
              <w:t>竞争手段，故意贬低、诋</w:t>
            </w:r>
            <w:r>
              <w:rPr>
                <w:spacing w:val="7"/>
              </w:rPr>
              <w:t>毁其他安全培训机构的，</w:t>
            </w:r>
            <w:r>
              <w:rPr>
                <w:spacing w:val="4"/>
              </w:rPr>
              <w:t>依照前款规定处罚。</w:t>
            </w:r>
          </w:p>
        </w:tc>
        <w:tc>
          <w:tcPr>
            <w:tcW w:w="803" w:type="dxa"/>
            <w:vAlign w:val="top"/>
          </w:tcPr>
          <w:p w14:paraId="1C698304">
            <w:pPr>
              <w:spacing w:line="306" w:lineRule="auto"/>
              <w:rPr>
                <w:rFonts w:ascii="Arial"/>
                <w:sz w:val="21"/>
              </w:rPr>
            </w:pPr>
          </w:p>
          <w:p w14:paraId="69B2A383">
            <w:pPr>
              <w:spacing w:line="306" w:lineRule="auto"/>
              <w:rPr>
                <w:rFonts w:ascii="Arial"/>
                <w:sz w:val="21"/>
              </w:rPr>
            </w:pPr>
          </w:p>
          <w:p w14:paraId="0C37DB42">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BAAB367">
            <w:pPr>
              <w:pStyle w:val="6"/>
              <w:spacing w:before="199" w:line="182" w:lineRule="auto"/>
              <w:ind w:left="119"/>
              <w:outlineLvl w:val="0"/>
            </w:pPr>
            <w:r>
              <w:rPr>
                <w:spacing w:val="26"/>
              </w:rPr>
              <w:t>采取不正当竞争手</w:t>
            </w:r>
          </w:p>
          <w:p w14:paraId="5D24AA31">
            <w:pPr>
              <w:pStyle w:val="6"/>
              <w:spacing w:before="3" w:line="189" w:lineRule="auto"/>
              <w:ind w:left="115" w:right="65" w:firstLine="6"/>
              <w:jc w:val="both"/>
            </w:pPr>
            <w:r>
              <w:rPr>
                <w:spacing w:val="-3"/>
              </w:rPr>
              <w:t>段，故意贬低、诋毁</w:t>
            </w:r>
            <w:r>
              <w:rPr>
                <w:spacing w:val="3"/>
              </w:rPr>
              <w:t>其他安全培训机构，</w:t>
            </w:r>
            <w:r>
              <w:t>有</w:t>
            </w:r>
            <w:r>
              <w:rPr>
                <w:rFonts w:ascii="宋体" w:hAnsi="宋体" w:eastAsia="宋体" w:cs="宋体"/>
              </w:rPr>
              <w:t>1</w:t>
            </w:r>
            <w:r>
              <w:t>家（次）的</w:t>
            </w:r>
          </w:p>
        </w:tc>
        <w:tc>
          <w:tcPr>
            <w:tcW w:w="2894" w:type="dxa"/>
            <w:vAlign w:val="top"/>
          </w:tcPr>
          <w:p w14:paraId="21997FBF">
            <w:pPr>
              <w:pStyle w:val="6"/>
              <w:spacing w:before="199" w:line="189" w:lineRule="auto"/>
              <w:ind w:left="140" w:right="103" w:hanging="13"/>
              <w:jc w:val="both"/>
            </w:pPr>
            <w:r>
              <w:rPr>
                <w:spacing w:val="2"/>
              </w:rPr>
              <w:t>责令限期改正，处</w:t>
            </w:r>
            <w:r>
              <w:rPr>
                <w:rFonts w:ascii="宋体" w:hAnsi="宋体" w:eastAsia="宋体" w:cs="宋体"/>
                <w:spacing w:val="2"/>
              </w:rPr>
              <w:t>1</w:t>
            </w:r>
            <w:r>
              <w:rPr>
                <w:spacing w:val="2"/>
              </w:rPr>
              <w:t>万元</w:t>
            </w:r>
            <w:r>
              <w:rPr>
                <w:spacing w:val="6"/>
              </w:rPr>
              <w:t>以下的罚款；逾期未改正</w:t>
            </w:r>
            <w:r>
              <w:rPr>
                <w:spacing w:val="-3"/>
              </w:rPr>
              <w:t>的，给予警告，处</w:t>
            </w:r>
            <w:r>
              <w:rPr>
                <w:rFonts w:ascii="宋体" w:hAnsi="宋体" w:eastAsia="宋体" w:cs="宋体"/>
                <w:spacing w:val="-3"/>
              </w:rPr>
              <w:t>1</w:t>
            </w:r>
            <w:r>
              <w:rPr>
                <w:spacing w:val="-3"/>
              </w:rPr>
              <w:t>万元</w:t>
            </w:r>
            <w:r>
              <w:rPr>
                <w:spacing w:val="1"/>
              </w:rPr>
              <w:t>以上</w:t>
            </w:r>
            <w:r>
              <w:rPr>
                <w:rFonts w:ascii="宋体" w:hAnsi="宋体" w:eastAsia="宋体" w:cs="宋体"/>
                <w:spacing w:val="1"/>
              </w:rPr>
              <w:t>1.5</w:t>
            </w:r>
            <w:r>
              <w:rPr>
                <w:spacing w:val="1"/>
              </w:rPr>
              <w:t>万元以下的罚款</w:t>
            </w:r>
          </w:p>
        </w:tc>
        <w:tc>
          <w:tcPr>
            <w:tcW w:w="811" w:type="dxa"/>
            <w:vMerge w:val="restart"/>
            <w:tcBorders>
              <w:bottom w:val="nil"/>
            </w:tcBorders>
            <w:vAlign w:val="top"/>
          </w:tcPr>
          <w:p w14:paraId="6DA413E9">
            <w:pPr>
              <w:spacing w:line="264" w:lineRule="auto"/>
              <w:rPr>
                <w:rFonts w:ascii="Arial"/>
                <w:sz w:val="21"/>
              </w:rPr>
            </w:pPr>
          </w:p>
          <w:p w14:paraId="7E70FA54">
            <w:pPr>
              <w:spacing w:line="265" w:lineRule="auto"/>
              <w:rPr>
                <w:rFonts w:ascii="Arial"/>
                <w:sz w:val="21"/>
              </w:rPr>
            </w:pPr>
          </w:p>
          <w:p w14:paraId="69CD5A97">
            <w:pPr>
              <w:spacing w:line="265" w:lineRule="auto"/>
              <w:rPr>
                <w:rFonts w:ascii="Arial"/>
                <w:sz w:val="21"/>
              </w:rPr>
            </w:pPr>
          </w:p>
          <w:p w14:paraId="66F423DF">
            <w:pPr>
              <w:spacing w:line="265" w:lineRule="auto"/>
              <w:rPr>
                <w:rFonts w:ascii="Arial"/>
                <w:sz w:val="21"/>
              </w:rPr>
            </w:pPr>
          </w:p>
          <w:p w14:paraId="0FC563F3">
            <w:pPr>
              <w:spacing w:line="265" w:lineRule="auto"/>
              <w:rPr>
                <w:rFonts w:ascii="Arial"/>
                <w:sz w:val="21"/>
              </w:rPr>
            </w:pPr>
          </w:p>
          <w:p w14:paraId="4001FE26">
            <w:pPr>
              <w:spacing w:line="265" w:lineRule="auto"/>
              <w:rPr>
                <w:rFonts w:ascii="Arial"/>
                <w:sz w:val="21"/>
              </w:rPr>
            </w:pPr>
          </w:p>
          <w:p w14:paraId="0D6AC5F8">
            <w:pPr>
              <w:spacing w:line="265" w:lineRule="auto"/>
              <w:rPr>
                <w:rFonts w:ascii="Arial"/>
                <w:sz w:val="21"/>
              </w:rPr>
            </w:pPr>
          </w:p>
          <w:p w14:paraId="044CEC69">
            <w:pPr>
              <w:spacing w:line="265" w:lineRule="auto"/>
              <w:rPr>
                <w:rFonts w:ascii="Arial"/>
                <w:sz w:val="21"/>
              </w:rPr>
            </w:pPr>
          </w:p>
          <w:p w14:paraId="29F2300B">
            <w:pPr>
              <w:spacing w:line="265" w:lineRule="auto"/>
              <w:rPr>
                <w:rFonts w:ascii="Arial"/>
                <w:sz w:val="21"/>
              </w:rPr>
            </w:pPr>
          </w:p>
          <w:p w14:paraId="0B150073">
            <w:pPr>
              <w:spacing w:before="74" w:line="189" w:lineRule="auto"/>
              <w:ind w:left="308"/>
              <w:rPr>
                <w:rFonts w:ascii="宋体" w:hAnsi="宋体" w:eastAsia="宋体" w:cs="宋体"/>
                <w:sz w:val="23"/>
                <w:szCs w:val="23"/>
              </w:rPr>
            </w:pPr>
            <w:r>
              <w:rPr>
                <w:rFonts w:ascii="宋体" w:hAnsi="宋体" w:eastAsia="宋体" w:cs="宋体"/>
                <w:spacing w:val="-10"/>
                <w:sz w:val="23"/>
                <w:szCs w:val="23"/>
              </w:rPr>
              <w:t>15</w:t>
            </w:r>
          </w:p>
        </w:tc>
      </w:tr>
      <w:tr w14:paraId="2CEB8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8" w:hRule="atLeast"/>
        </w:trPr>
        <w:tc>
          <w:tcPr>
            <w:tcW w:w="818" w:type="dxa"/>
            <w:vMerge w:val="continue"/>
            <w:tcBorders>
              <w:top w:val="nil"/>
              <w:bottom w:val="nil"/>
            </w:tcBorders>
            <w:vAlign w:val="top"/>
          </w:tcPr>
          <w:p w14:paraId="4DD39411">
            <w:pPr>
              <w:rPr>
                <w:rFonts w:ascii="Arial"/>
                <w:sz w:val="21"/>
              </w:rPr>
            </w:pPr>
          </w:p>
        </w:tc>
        <w:tc>
          <w:tcPr>
            <w:tcW w:w="1440" w:type="dxa"/>
            <w:vMerge w:val="continue"/>
            <w:tcBorders>
              <w:top w:val="nil"/>
              <w:bottom w:val="nil"/>
            </w:tcBorders>
            <w:vAlign w:val="top"/>
          </w:tcPr>
          <w:p w14:paraId="4744452B">
            <w:pPr>
              <w:rPr>
                <w:rFonts w:ascii="Arial"/>
                <w:sz w:val="21"/>
              </w:rPr>
            </w:pPr>
          </w:p>
        </w:tc>
        <w:tc>
          <w:tcPr>
            <w:tcW w:w="3202" w:type="dxa"/>
            <w:vMerge w:val="continue"/>
            <w:tcBorders>
              <w:top w:val="nil"/>
              <w:bottom w:val="nil"/>
            </w:tcBorders>
            <w:vAlign w:val="top"/>
          </w:tcPr>
          <w:p w14:paraId="4EE71F1D">
            <w:pPr>
              <w:rPr>
                <w:rFonts w:ascii="Arial"/>
                <w:sz w:val="21"/>
              </w:rPr>
            </w:pPr>
          </w:p>
        </w:tc>
        <w:tc>
          <w:tcPr>
            <w:tcW w:w="2859" w:type="dxa"/>
            <w:vMerge w:val="continue"/>
            <w:tcBorders>
              <w:top w:val="nil"/>
              <w:bottom w:val="nil"/>
            </w:tcBorders>
            <w:vAlign w:val="top"/>
          </w:tcPr>
          <w:p w14:paraId="5F7E0885">
            <w:pPr>
              <w:rPr>
                <w:rFonts w:ascii="Arial"/>
                <w:sz w:val="21"/>
              </w:rPr>
            </w:pPr>
          </w:p>
        </w:tc>
        <w:tc>
          <w:tcPr>
            <w:tcW w:w="803" w:type="dxa"/>
            <w:vAlign w:val="top"/>
          </w:tcPr>
          <w:p w14:paraId="6D83B835">
            <w:pPr>
              <w:spacing w:line="352" w:lineRule="auto"/>
              <w:rPr>
                <w:rFonts w:ascii="Arial"/>
                <w:sz w:val="21"/>
              </w:rPr>
            </w:pPr>
          </w:p>
          <w:p w14:paraId="5E375A87">
            <w:pPr>
              <w:spacing w:line="353" w:lineRule="auto"/>
              <w:rPr>
                <w:rFonts w:ascii="Arial"/>
                <w:sz w:val="21"/>
              </w:rPr>
            </w:pPr>
          </w:p>
          <w:p w14:paraId="0DB5B798">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65069F2">
            <w:pPr>
              <w:pStyle w:val="6"/>
              <w:spacing w:before="287" w:line="188" w:lineRule="auto"/>
              <w:ind w:left="115" w:right="65" w:firstLine="3"/>
              <w:jc w:val="both"/>
            </w:pPr>
            <w:r>
              <w:rPr>
                <w:spacing w:val="26"/>
              </w:rPr>
              <w:t>采取不正当竞争手</w:t>
            </w:r>
            <w:r>
              <w:rPr>
                <w:spacing w:val="-2"/>
              </w:rPr>
              <w:t>段，故意贬低、诋毁</w:t>
            </w:r>
            <w:r>
              <w:rPr>
                <w:spacing w:val="3"/>
              </w:rPr>
              <w:t>其他安全培训机构，</w:t>
            </w:r>
            <w:r>
              <w:rPr>
                <w:spacing w:val="2"/>
              </w:rPr>
              <w:t>有</w:t>
            </w:r>
            <w:r>
              <w:rPr>
                <w:rFonts w:ascii="宋体" w:hAnsi="宋体" w:eastAsia="宋体" w:cs="宋体"/>
                <w:spacing w:val="2"/>
              </w:rPr>
              <w:t>2</w:t>
            </w:r>
            <w:r>
              <w:rPr>
                <w:spacing w:val="2"/>
              </w:rPr>
              <w:t>家（次）的</w:t>
            </w:r>
          </w:p>
        </w:tc>
        <w:tc>
          <w:tcPr>
            <w:tcW w:w="2894" w:type="dxa"/>
            <w:vAlign w:val="top"/>
          </w:tcPr>
          <w:p w14:paraId="43E57094">
            <w:pPr>
              <w:pStyle w:val="6"/>
              <w:spacing w:before="289" w:line="189" w:lineRule="auto"/>
              <w:ind w:left="124" w:right="103" w:firstLine="2"/>
              <w:jc w:val="both"/>
            </w:pPr>
            <w:r>
              <w:rPr>
                <w:spacing w:val="2"/>
              </w:rPr>
              <w:t>责令限期改正，处</w:t>
            </w:r>
            <w:r>
              <w:rPr>
                <w:rFonts w:ascii="宋体" w:hAnsi="宋体" w:eastAsia="宋体" w:cs="宋体"/>
                <w:spacing w:val="2"/>
              </w:rPr>
              <w:t>1</w:t>
            </w:r>
            <w:r>
              <w:rPr>
                <w:spacing w:val="2"/>
              </w:rPr>
              <w:t>万元</w:t>
            </w:r>
            <w:r>
              <w:rPr>
                <w:spacing w:val="8"/>
              </w:rPr>
              <w:t>以下的罚款；逾期未改正</w:t>
            </w:r>
            <w:r>
              <w:rPr>
                <w:spacing w:val="-2"/>
              </w:rPr>
              <w:t>的，给予警告，处</w:t>
            </w:r>
            <w:r>
              <w:rPr>
                <w:rFonts w:ascii="宋体" w:hAnsi="宋体" w:eastAsia="宋体" w:cs="宋体"/>
                <w:spacing w:val="-2"/>
              </w:rPr>
              <w:t>1.5</w:t>
            </w:r>
            <w:r>
              <w:rPr>
                <w:spacing w:val="-2"/>
              </w:rPr>
              <w:t>万</w:t>
            </w:r>
            <w:r>
              <w:rPr>
                <w:spacing w:val="4"/>
              </w:rPr>
              <w:t>元以上</w:t>
            </w:r>
            <w:r>
              <w:rPr>
                <w:rFonts w:ascii="宋体" w:hAnsi="宋体" w:eastAsia="宋体" w:cs="宋体"/>
                <w:spacing w:val="4"/>
              </w:rPr>
              <w:t>2</w:t>
            </w:r>
            <w:r>
              <w:rPr>
                <w:spacing w:val="4"/>
              </w:rPr>
              <w:t>万元以下的罚款</w:t>
            </w:r>
          </w:p>
        </w:tc>
        <w:tc>
          <w:tcPr>
            <w:tcW w:w="811" w:type="dxa"/>
            <w:vMerge w:val="continue"/>
            <w:tcBorders>
              <w:top w:val="nil"/>
              <w:bottom w:val="nil"/>
            </w:tcBorders>
            <w:vAlign w:val="top"/>
          </w:tcPr>
          <w:p w14:paraId="0A48F00E">
            <w:pPr>
              <w:rPr>
                <w:rFonts w:ascii="Arial"/>
                <w:sz w:val="21"/>
              </w:rPr>
            </w:pPr>
          </w:p>
        </w:tc>
      </w:tr>
      <w:tr w14:paraId="1CAD0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2" w:hRule="atLeast"/>
        </w:trPr>
        <w:tc>
          <w:tcPr>
            <w:tcW w:w="818" w:type="dxa"/>
            <w:vMerge w:val="continue"/>
            <w:tcBorders>
              <w:top w:val="nil"/>
            </w:tcBorders>
            <w:vAlign w:val="top"/>
          </w:tcPr>
          <w:p w14:paraId="15305F38">
            <w:pPr>
              <w:rPr>
                <w:rFonts w:ascii="Arial"/>
                <w:sz w:val="21"/>
              </w:rPr>
            </w:pPr>
          </w:p>
        </w:tc>
        <w:tc>
          <w:tcPr>
            <w:tcW w:w="1440" w:type="dxa"/>
            <w:vMerge w:val="continue"/>
            <w:tcBorders>
              <w:top w:val="nil"/>
            </w:tcBorders>
            <w:vAlign w:val="top"/>
          </w:tcPr>
          <w:p w14:paraId="7FF69A34">
            <w:pPr>
              <w:rPr>
                <w:rFonts w:ascii="Arial"/>
                <w:sz w:val="21"/>
              </w:rPr>
            </w:pPr>
          </w:p>
        </w:tc>
        <w:tc>
          <w:tcPr>
            <w:tcW w:w="3202" w:type="dxa"/>
            <w:vMerge w:val="continue"/>
            <w:tcBorders>
              <w:top w:val="nil"/>
            </w:tcBorders>
            <w:vAlign w:val="top"/>
          </w:tcPr>
          <w:p w14:paraId="03BCA6A6">
            <w:pPr>
              <w:rPr>
                <w:rFonts w:ascii="Arial"/>
                <w:sz w:val="21"/>
              </w:rPr>
            </w:pPr>
          </w:p>
        </w:tc>
        <w:tc>
          <w:tcPr>
            <w:tcW w:w="2859" w:type="dxa"/>
            <w:vMerge w:val="continue"/>
            <w:tcBorders>
              <w:top w:val="nil"/>
            </w:tcBorders>
            <w:vAlign w:val="top"/>
          </w:tcPr>
          <w:p w14:paraId="33154605">
            <w:pPr>
              <w:rPr>
                <w:rFonts w:ascii="Arial"/>
                <w:sz w:val="21"/>
              </w:rPr>
            </w:pPr>
          </w:p>
        </w:tc>
        <w:tc>
          <w:tcPr>
            <w:tcW w:w="803" w:type="dxa"/>
            <w:vAlign w:val="top"/>
          </w:tcPr>
          <w:p w14:paraId="79666130">
            <w:pPr>
              <w:spacing w:line="254" w:lineRule="auto"/>
              <w:rPr>
                <w:rFonts w:ascii="Arial"/>
                <w:sz w:val="21"/>
              </w:rPr>
            </w:pPr>
          </w:p>
          <w:p w14:paraId="64EB5123">
            <w:pPr>
              <w:spacing w:line="254" w:lineRule="auto"/>
              <w:rPr>
                <w:rFonts w:ascii="Arial"/>
                <w:sz w:val="21"/>
              </w:rPr>
            </w:pPr>
          </w:p>
          <w:p w14:paraId="457E92E4">
            <w:pPr>
              <w:spacing w:line="254" w:lineRule="auto"/>
              <w:rPr>
                <w:rFonts w:ascii="Arial"/>
                <w:sz w:val="21"/>
              </w:rPr>
            </w:pPr>
          </w:p>
          <w:p w14:paraId="330B0813">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D75C5AE">
            <w:pPr>
              <w:spacing w:line="245" w:lineRule="auto"/>
              <w:rPr>
                <w:rFonts w:ascii="Arial"/>
                <w:sz w:val="21"/>
              </w:rPr>
            </w:pPr>
          </w:p>
          <w:p w14:paraId="2947323A">
            <w:pPr>
              <w:pStyle w:val="6"/>
              <w:spacing w:before="98" w:line="188" w:lineRule="auto"/>
              <w:ind w:left="115" w:right="65" w:firstLine="3"/>
              <w:jc w:val="both"/>
            </w:pPr>
            <w:r>
              <w:rPr>
                <w:spacing w:val="26"/>
              </w:rPr>
              <w:t>采取不正当竞争手</w:t>
            </w:r>
            <w:r>
              <w:rPr>
                <w:spacing w:val="-2"/>
              </w:rPr>
              <w:t>段，故意贬低、诋毁</w:t>
            </w:r>
            <w:r>
              <w:rPr>
                <w:spacing w:val="3"/>
              </w:rPr>
              <w:t>其他安全培训机构，</w:t>
            </w:r>
            <w:r>
              <w:rPr>
                <w:spacing w:val="-6"/>
              </w:rPr>
              <w:t>有</w:t>
            </w:r>
            <w:r>
              <w:rPr>
                <w:rFonts w:ascii="宋体" w:hAnsi="宋体" w:eastAsia="宋体" w:cs="宋体"/>
                <w:spacing w:val="-6"/>
              </w:rPr>
              <w:t>3</w:t>
            </w:r>
            <w:r>
              <w:rPr>
                <w:spacing w:val="-6"/>
              </w:rPr>
              <w:t>家（次）以上的</w:t>
            </w:r>
          </w:p>
        </w:tc>
        <w:tc>
          <w:tcPr>
            <w:tcW w:w="2894" w:type="dxa"/>
            <w:vAlign w:val="top"/>
          </w:tcPr>
          <w:p w14:paraId="6A615BD0">
            <w:pPr>
              <w:spacing w:line="246" w:lineRule="auto"/>
              <w:rPr>
                <w:rFonts w:ascii="Arial"/>
                <w:sz w:val="21"/>
              </w:rPr>
            </w:pPr>
          </w:p>
          <w:p w14:paraId="3F600DA8">
            <w:pPr>
              <w:pStyle w:val="6"/>
              <w:spacing w:before="99" w:line="189" w:lineRule="auto"/>
              <w:ind w:left="140" w:right="103" w:hanging="13"/>
              <w:jc w:val="both"/>
            </w:pPr>
            <w:r>
              <w:rPr>
                <w:spacing w:val="2"/>
              </w:rPr>
              <w:t>责令限期改正，处</w:t>
            </w:r>
            <w:r>
              <w:rPr>
                <w:rFonts w:ascii="宋体" w:hAnsi="宋体" w:eastAsia="宋体" w:cs="宋体"/>
                <w:spacing w:val="2"/>
              </w:rPr>
              <w:t>1</w:t>
            </w:r>
            <w:r>
              <w:rPr>
                <w:spacing w:val="2"/>
              </w:rPr>
              <w:t>万元</w:t>
            </w:r>
            <w:r>
              <w:rPr>
                <w:spacing w:val="6"/>
              </w:rPr>
              <w:t>以下的罚款；逾期未改正</w:t>
            </w:r>
            <w:r>
              <w:t>的，给予警告，处</w:t>
            </w:r>
            <w:r>
              <w:rPr>
                <w:rFonts w:ascii="宋体" w:hAnsi="宋体" w:eastAsia="宋体" w:cs="宋体"/>
              </w:rPr>
              <w:t>2</w:t>
            </w:r>
            <w:r>
              <w:t>万元</w:t>
            </w:r>
            <w:r>
              <w:rPr>
                <w:spacing w:val="2"/>
              </w:rPr>
              <w:t>以上</w:t>
            </w:r>
            <w:r>
              <w:rPr>
                <w:rFonts w:ascii="宋体" w:hAnsi="宋体" w:eastAsia="宋体" w:cs="宋体"/>
                <w:spacing w:val="2"/>
              </w:rPr>
              <w:t>3</w:t>
            </w:r>
            <w:r>
              <w:rPr>
                <w:spacing w:val="2"/>
              </w:rPr>
              <w:t>万元以下的罚款</w:t>
            </w:r>
          </w:p>
        </w:tc>
        <w:tc>
          <w:tcPr>
            <w:tcW w:w="811" w:type="dxa"/>
            <w:vMerge w:val="continue"/>
            <w:tcBorders>
              <w:top w:val="nil"/>
            </w:tcBorders>
            <w:vAlign w:val="top"/>
          </w:tcPr>
          <w:p w14:paraId="66A19E3F">
            <w:pPr>
              <w:rPr>
                <w:rFonts w:ascii="Arial"/>
                <w:sz w:val="21"/>
              </w:rPr>
            </w:pPr>
          </w:p>
        </w:tc>
      </w:tr>
      <w:tr w14:paraId="169EB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4" w:hRule="atLeast"/>
        </w:trPr>
        <w:tc>
          <w:tcPr>
            <w:tcW w:w="818" w:type="dxa"/>
            <w:vAlign w:val="top"/>
          </w:tcPr>
          <w:p w14:paraId="047964BE">
            <w:pPr>
              <w:spacing w:line="242" w:lineRule="auto"/>
              <w:rPr>
                <w:rFonts w:ascii="Arial"/>
                <w:sz w:val="21"/>
              </w:rPr>
            </w:pPr>
          </w:p>
          <w:p w14:paraId="7E250E44">
            <w:pPr>
              <w:spacing w:line="242" w:lineRule="auto"/>
              <w:rPr>
                <w:rFonts w:ascii="Arial"/>
                <w:sz w:val="21"/>
              </w:rPr>
            </w:pPr>
          </w:p>
          <w:p w14:paraId="443FB2F6">
            <w:pPr>
              <w:spacing w:line="243" w:lineRule="auto"/>
              <w:rPr>
                <w:rFonts w:ascii="Arial"/>
                <w:sz w:val="21"/>
              </w:rPr>
            </w:pPr>
          </w:p>
          <w:p w14:paraId="6D3A7F5A">
            <w:pPr>
              <w:spacing w:line="243" w:lineRule="auto"/>
              <w:rPr>
                <w:rFonts w:ascii="Arial"/>
                <w:sz w:val="21"/>
              </w:rPr>
            </w:pPr>
          </w:p>
          <w:p w14:paraId="0F91B7BD">
            <w:pPr>
              <w:spacing w:line="243" w:lineRule="auto"/>
              <w:rPr>
                <w:rFonts w:ascii="Arial"/>
                <w:sz w:val="21"/>
              </w:rPr>
            </w:pPr>
          </w:p>
          <w:p w14:paraId="027646D7">
            <w:pPr>
              <w:spacing w:before="74" w:line="185" w:lineRule="auto"/>
              <w:ind w:left="237"/>
              <w:rPr>
                <w:rFonts w:ascii="仿宋" w:hAnsi="仿宋" w:eastAsia="仿宋" w:cs="仿宋"/>
                <w:sz w:val="23"/>
                <w:szCs w:val="23"/>
              </w:rPr>
            </w:pPr>
            <w:r>
              <w:rPr>
                <w:rFonts w:ascii="仿宋" w:hAnsi="仿宋" w:eastAsia="仿宋" w:cs="仿宋"/>
                <w:spacing w:val="-3"/>
                <w:sz w:val="23"/>
                <w:szCs w:val="23"/>
              </w:rPr>
              <w:t>26</w:t>
            </w:r>
          </w:p>
        </w:tc>
        <w:tc>
          <w:tcPr>
            <w:tcW w:w="1440" w:type="dxa"/>
            <w:vAlign w:val="top"/>
          </w:tcPr>
          <w:p w14:paraId="13AE0CDE">
            <w:pPr>
              <w:pStyle w:val="6"/>
              <w:spacing w:before="195" w:line="186" w:lineRule="auto"/>
              <w:ind w:left="115" w:right="111" w:firstLine="13"/>
              <w:jc w:val="both"/>
            </w:pPr>
            <w:r>
              <w:rPr>
                <w:spacing w:val="8"/>
              </w:rPr>
              <w:t>生产经营单</w:t>
            </w:r>
            <w:r>
              <w:rPr>
                <w:spacing w:val="11"/>
              </w:rPr>
              <w:t>位特种作业人员未按规定经专门的安全作业培训并取得相</w:t>
            </w:r>
            <w:r>
              <w:rPr>
                <w:spacing w:val="3"/>
              </w:rPr>
              <w:t>应资格，上</w:t>
            </w:r>
            <w:r>
              <w:rPr>
                <w:spacing w:val="6"/>
              </w:rPr>
              <w:t>岗作业的</w:t>
            </w:r>
          </w:p>
        </w:tc>
        <w:tc>
          <w:tcPr>
            <w:tcW w:w="3202" w:type="dxa"/>
            <w:vAlign w:val="top"/>
          </w:tcPr>
          <w:p w14:paraId="345D85ED">
            <w:pPr>
              <w:pStyle w:val="6"/>
              <w:spacing w:before="37" w:line="183" w:lineRule="auto"/>
              <w:ind w:left="116" w:right="111" w:hanging="18"/>
            </w:pPr>
            <w:r>
              <w:rPr>
                <w:spacing w:val="18"/>
              </w:rPr>
              <w:t>【法律】《中华人民共和国</w:t>
            </w:r>
            <w:r>
              <w:rPr>
                <w:spacing w:val="14"/>
              </w:rPr>
              <w:t>安全生产法》第三十条第一</w:t>
            </w:r>
            <w:r>
              <w:rPr>
                <w:spacing w:val="12"/>
              </w:rPr>
              <w:t>款：生产经营单位的特种作</w:t>
            </w:r>
            <w:r>
              <w:rPr>
                <w:spacing w:val="17"/>
              </w:rPr>
              <w:t>业人员必须按照国家有关规</w:t>
            </w:r>
            <w:r>
              <w:rPr>
                <w:spacing w:val="13"/>
              </w:rPr>
              <w:t>定经专门的安全作业培训，取得相应资格，方可上岗作</w:t>
            </w:r>
            <w:r>
              <w:rPr>
                <w:spacing w:val="-7"/>
              </w:rPr>
              <w:t>业。</w:t>
            </w:r>
          </w:p>
        </w:tc>
        <w:tc>
          <w:tcPr>
            <w:tcW w:w="2859" w:type="dxa"/>
            <w:vAlign w:val="top"/>
          </w:tcPr>
          <w:p w14:paraId="377F1732">
            <w:pPr>
              <w:pStyle w:val="6"/>
              <w:spacing w:before="30" w:line="182" w:lineRule="auto"/>
              <w:ind w:left="117" w:right="110" w:hanging="20"/>
            </w:pPr>
            <w:r>
              <w:rPr>
                <w:spacing w:val="10"/>
              </w:rPr>
              <w:t>【法律】《中华人民共和</w:t>
            </w:r>
            <w:r>
              <w:rPr>
                <w:spacing w:val="8"/>
              </w:rPr>
              <w:t>国安全生产法》第九十七条第七项：生产经营单位有下列行为之一的，责令限期改正，处十万元以下</w:t>
            </w:r>
            <w:r>
              <w:rPr>
                <w:spacing w:val="4"/>
              </w:rPr>
              <w:t>的罚款；逾期未改正的，</w:t>
            </w:r>
            <w:r>
              <w:rPr>
                <w:spacing w:val="8"/>
              </w:rPr>
              <w:t>责令停产停业整顿，并处十万元以上二十万元以下</w:t>
            </w:r>
            <w:r>
              <w:rPr>
                <w:spacing w:val="4"/>
              </w:rPr>
              <w:t>的罚款，对其直接负责的</w:t>
            </w:r>
          </w:p>
        </w:tc>
        <w:tc>
          <w:tcPr>
            <w:tcW w:w="803" w:type="dxa"/>
            <w:vAlign w:val="top"/>
          </w:tcPr>
          <w:p w14:paraId="60E81F4C">
            <w:pPr>
              <w:spacing w:line="241" w:lineRule="auto"/>
              <w:rPr>
                <w:rFonts w:ascii="Arial"/>
                <w:sz w:val="21"/>
              </w:rPr>
            </w:pPr>
          </w:p>
          <w:p w14:paraId="4D1B77D6">
            <w:pPr>
              <w:spacing w:line="241" w:lineRule="auto"/>
              <w:rPr>
                <w:rFonts w:ascii="Arial"/>
                <w:sz w:val="21"/>
              </w:rPr>
            </w:pPr>
          </w:p>
          <w:p w14:paraId="76A8769A">
            <w:pPr>
              <w:spacing w:line="241" w:lineRule="auto"/>
              <w:rPr>
                <w:rFonts w:ascii="Arial"/>
                <w:sz w:val="21"/>
              </w:rPr>
            </w:pPr>
          </w:p>
          <w:p w14:paraId="15C479BD">
            <w:pPr>
              <w:spacing w:line="241" w:lineRule="auto"/>
              <w:rPr>
                <w:rFonts w:ascii="Arial"/>
                <w:sz w:val="21"/>
              </w:rPr>
            </w:pPr>
          </w:p>
          <w:p w14:paraId="3F368AAB">
            <w:pPr>
              <w:spacing w:line="242" w:lineRule="auto"/>
              <w:rPr>
                <w:rFonts w:ascii="Arial"/>
                <w:sz w:val="21"/>
              </w:rPr>
            </w:pPr>
          </w:p>
          <w:p w14:paraId="67141509">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C430EAC">
            <w:pPr>
              <w:spacing w:line="270" w:lineRule="auto"/>
              <w:rPr>
                <w:rFonts w:ascii="Arial"/>
                <w:sz w:val="21"/>
              </w:rPr>
            </w:pPr>
          </w:p>
          <w:p w14:paraId="0DDEB8D0">
            <w:pPr>
              <w:spacing w:line="271" w:lineRule="auto"/>
              <w:rPr>
                <w:rFonts w:ascii="Arial"/>
                <w:sz w:val="21"/>
              </w:rPr>
            </w:pPr>
          </w:p>
          <w:p w14:paraId="654C73E6">
            <w:pPr>
              <w:pStyle w:val="6"/>
              <w:spacing w:before="99" w:line="188" w:lineRule="auto"/>
              <w:ind w:left="116" w:right="65" w:hanging="1"/>
              <w:jc w:val="both"/>
            </w:pPr>
            <w:r>
              <w:rPr>
                <w:spacing w:val="26"/>
              </w:rPr>
              <w:t>特种作业人员未按照规定经专门的安全作业培训并取得</w:t>
            </w:r>
            <w:r>
              <w:rPr>
                <w:spacing w:val="2"/>
              </w:rPr>
              <w:t>相应资格上岗作业，</w:t>
            </w:r>
            <w:r>
              <w:rPr>
                <w:spacing w:val="-3"/>
              </w:rPr>
              <w:t>有</w:t>
            </w:r>
            <w:r>
              <w:rPr>
                <w:rFonts w:ascii="宋体" w:hAnsi="宋体" w:eastAsia="宋体" w:cs="宋体"/>
                <w:spacing w:val="-3"/>
              </w:rPr>
              <w:t>1</w:t>
            </w:r>
            <w:r>
              <w:rPr>
                <w:spacing w:val="-3"/>
              </w:rPr>
              <w:t>人次的</w:t>
            </w:r>
          </w:p>
        </w:tc>
        <w:tc>
          <w:tcPr>
            <w:tcW w:w="2894" w:type="dxa"/>
            <w:vAlign w:val="top"/>
          </w:tcPr>
          <w:p w14:paraId="3A9A4838">
            <w:pPr>
              <w:pStyle w:val="6"/>
              <w:spacing w:before="193" w:line="186" w:lineRule="auto"/>
              <w:ind w:left="126" w:right="103"/>
            </w:pPr>
            <w:r>
              <w:rPr>
                <w:spacing w:val="4"/>
              </w:rPr>
              <w:t>责令限期改正，处</w:t>
            </w:r>
            <w:r>
              <w:rPr>
                <w:rFonts w:ascii="宋体" w:hAnsi="宋体" w:eastAsia="宋体" w:cs="宋体"/>
                <w:spacing w:val="4"/>
              </w:rPr>
              <w:t>3</w:t>
            </w:r>
            <w:r>
              <w:rPr>
                <w:spacing w:val="4"/>
              </w:rPr>
              <w:t>万元</w:t>
            </w:r>
            <w:r>
              <w:rPr>
                <w:spacing w:val="8"/>
              </w:rPr>
              <w:t>以下的罚款；逾期未改正</w:t>
            </w:r>
            <w:r>
              <w:rPr>
                <w:spacing w:val="6"/>
              </w:rPr>
              <w:t>的，责令停产停业整顿，</w:t>
            </w:r>
            <w:r>
              <w:rPr>
                <w:spacing w:val="-2"/>
              </w:rPr>
              <w:t>并处</w:t>
            </w:r>
            <w:r>
              <w:rPr>
                <w:rFonts w:ascii="宋体" w:hAnsi="宋体" w:eastAsia="宋体" w:cs="宋体"/>
                <w:spacing w:val="-2"/>
              </w:rPr>
              <w:t>10</w:t>
            </w:r>
            <w:r>
              <w:rPr>
                <w:spacing w:val="-2"/>
              </w:rPr>
              <w:t>万元以上</w:t>
            </w:r>
            <w:r>
              <w:rPr>
                <w:rFonts w:ascii="宋体" w:hAnsi="宋体" w:eastAsia="宋体" w:cs="宋体"/>
                <w:spacing w:val="-2"/>
              </w:rPr>
              <w:t>13</w:t>
            </w:r>
            <w:r>
              <w:rPr>
                <w:spacing w:val="-2"/>
              </w:rPr>
              <w:t>万元</w:t>
            </w:r>
            <w:r>
              <w:rPr>
                <w:spacing w:val="7"/>
              </w:rPr>
              <w:t>以下的罚款，对其直接负</w:t>
            </w:r>
            <w:r>
              <w:rPr>
                <w:spacing w:val="11"/>
              </w:rPr>
              <w:t>责的主管人员和其他直接</w:t>
            </w:r>
            <w:r>
              <w:rPr>
                <w:spacing w:val="9"/>
              </w:rPr>
              <w:t>责任人员处</w:t>
            </w:r>
            <w:r>
              <w:rPr>
                <w:rFonts w:ascii="宋体" w:hAnsi="宋体" w:eastAsia="宋体" w:cs="宋体"/>
                <w:spacing w:val="9"/>
              </w:rPr>
              <w:t>2</w:t>
            </w:r>
            <w:r>
              <w:rPr>
                <w:spacing w:val="9"/>
              </w:rPr>
              <w:t>万元以上</w:t>
            </w:r>
            <w:r>
              <w:rPr>
                <w:rFonts w:ascii="宋体" w:hAnsi="宋体" w:eastAsia="宋体" w:cs="宋体"/>
                <w:spacing w:val="9"/>
              </w:rPr>
              <w:t>3</w:t>
            </w:r>
            <w:r>
              <w:rPr>
                <w:spacing w:val="6"/>
              </w:rPr>
              <w:t>万元以下的罚款</w:t>
            </w:r>
          </w:p>
        </w:tc>
        <w:tc>
          <w:tcPr>
            <w:tcW w:w="811" w:type="dxa"/>
            <w:vAlign w:val="top"/>
          </w:tcPr>
          <w:p w14:paraId="0DE81E10">
            <w:pPr>
              <w:spacing w:line="241" w:lineRule="auto"/>
              <w:rPr>
                <w:rFonts w:ascii="Arial"/>
                <w:sz w:val="21"/>
              </w:rPr>
            </w:pPr>
          </w:p>
          <w:p w14:paraId="3E797D8F">
            <w:pPr>
              <w:spacing w:line="241" w:lineRule="auto"/>
              <w:rPr>
                <w:rFonts w:ascii="Arial"/>
                <w:sz w:val="21"/>
              </w:rPr>
            </w:pPr>
          </w:p>
          <w:p w14:paraId="7D8CE30C">
            <w:pPr>
              <w:spacing w:line="242" w:lineRule="auto"/>
              <w:rPr>
                <w:rFonts w:ascii="Arial"/>
                <w:sz w:val="21"/>
              </w:rPr>
            </w:pPr>
          </w:p>
          <w:p w14:paraId="0AFF5D4B">
            <w:pPr>
              <w:spacing w:line="242" w:lineRule="auto"/>
              <w:rPr>
                <w:rFonts w:ascii="Arial"/>
                <w:sz w:val="21"/>
              </w:rPr>
            </w:pPr>
          </w:p>
          <w:p w14:paraId="4A876C50">
            <w:pPr>
              <w:spacing w:line="242" w:lineRule="auto"/>
              <w:rPr>
                <w:rFonts w:ascii="Arial"/>
                <w:sz w:val="21"/>
              </w:rPr>
            </w:pPr>
          </w:p>
          <w:p w14:paraId="50177937">
            <w:pPr>
              <w:spacing w:before="74" w:line="189" w:lineRule="auto"/>
              <w:ind w:left="308"/>
              <w:rPr>
                <w:rFonts w:ascii="宋体" w:hAnsi="宋体" w:eastAsia="宋体" w:cs="宋体"/>
                <w:sz w:val="23"/>
                <w:szCs w:val="23"/>
              </w:rPr>
            </w:pPr>
            <w:r>
              <w:rPr>
                <w:rFonts w:ascii="宋体" w:hAnsi="宋体" w:eastAsia="宋体" w:cs="宋体"/>
                <w:spacing w:val="-10"/>
                <w:sz w:val="23"/>
                <w:szCs w:val="23"/>
              </w:rPr>
              <w:t>16</w:t>
            </w:r>
          </w:p>
        </w:tc>
      </w:tr>
    </w:tbl>
    <w:p w14:paraId="631F4358">
      <w:pPr>
        <w:pStyle w:val="2"/>
      </w:pPr>
    </w:p>
    <w:p w14:paraId="65A8DB3A">
      <w:pPr>
        <w:sectPr>
          <w:footerReference r:id="rId42" w:type="default"/>
          <w:pgSz w:w="16839" w:h="11906"/>
          <w:pgMar w:top="1012" w:right="821" w:bottom="667" w:left="901" w:header="0" w:footer="388" w:gutter="0"/>
          <w:cols w:space="720" w:num="1"/>
        </w:sectPr>
      </w:pPr>
    </w:p>
    <w:p w14:paraId="77977885">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6049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FB0A11C">
            <w:pPr>
              <w:spacing w:before="222" w:line="241" w:lineRule="auto"/>
              <w:ind w:left="131"/>
              <w:outlineLvl w:val="0"/>
              <w:rPr>
                <w:rFonts w:ascii="黑体" w:hAnsi="黑体" w:eastAsia="黑体" w:cs="黑体"/>
                <w:sz w:val="28"/>
                <w:szCs w:val="28"/>
              </w:rPr>
            </w:pPr>
            <w:bookmarkStart w:id="395" w:name="bookmark486"/>
            <w:bookmarkEnd w:id="395"/>
            <w:bookmarkStart w:id="396" w:name="bookmark58"/>
            <w:bookmarkEnd w:id="396"/>
            <w:r>
              <w:rPr>
                <w:rFonts w:ascii="黑体" w:hAnsi="黑体" w:eastAsia="黑体" w:cs="黑体"/>
                <w:spacing w:val="-2"/>
                <w:sz w:val="28"/>
                <w:szCs w:val="28"/>
              </w:rPr>
              <w:t>序号</w:t>
            </w:r>
          </w:p>
        </w:tc>
        <w:tc>
          <w:tcPr>
            <w:tcW w:w="1440" w:type="dxa"/>
            <w:vAlign w:val="top"/>
          </w:tcPr>
          <w:p w14:paraId="20C8B43F">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EBD6511">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7B9E0AF">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E73A121">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0A489919">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D6F9A07">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32347F6">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FD7D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Merge w:val="restart"/>
            <w:tcBorders>
              <w:bottom w:val="nil"/>
            </w:tcBorders>
            <w:vAlign w:val="top"/>
          </w:tcPr>
          <w:p w14:paraId="0F59CC3A">
            <w:pPr>
              <w:rPr>
                <w:rFonts w:ascii="Arial"/>
                <w:sz w:val="21"/>
              </w:rPr>
            </w:pPr>
          </w:p>
        </w:tc>
        <w:tc>
          <w:tcPr>
            <w:tcW w:w="1440" w:type="dxa"/>
            <w:vMerge w:val="restart"/>
            <w:tcBorders>
              <w:bottom w:val="nil"/>
            </w:tcBorders>
            <w:vAlign w:val="top"/>
          </w:tcPr>
          <w:p w14:paraId="48B78292">
            <w:pPr>
              <w:rPr>
                <w:rFonts w:ascii="Arial"/>
                <w:sz w:val="21"/>
              </w:rPr>
            </w:pPr>
          </w:p>
        </w:tc>
        <w:tc>
          <w:tcPr>
            <w:tcW w:w="3202" w:type="dxa"/>
            <w:vMerge w:val="restart"/>
            <w:tcBorders>
              <w:bottom w:val="nil"/>
            </w:tcBorders>
            <w:vAlign w:val="top"/>
          </w:tcPr>
          <w:p w14:paraId="12EFF7BE">
            <w:pPr>
              <w:rPr>
                <w:rFonts w:ascii="Arial"/>
                <w:sz w:val="21"/>
              </w:rPr>
            </w:pPr>
          </w:p>
        </w:tc>
        <w:tc>
          <w:tcPr>
            <w:tcW w:w="2859" w:type="dxa"/>
            <w:vMerge w:val="restart"/>
            <w:tcBorders>
              <w:bottom w:val="nil"/>
            </w:tcBorders>
            <w:vAlign w:val="top"/>
          </w:tcPr>
          <w:p w14:paraId="13A2619F">
            <w:pPr>
              <w:pStyle w:val="6"/>
              <w:spacing w:before="26" w:line="187" w:lineRule="auto"/>
              <w:ind w:left="118" w:right="110" w:firstLine="10"/>
              <w:jc w:val="both"/>
            </w:pPr>
            <w:r>
              <w:rPr>
                <w:spacing w:val="7"/>
              </w:rPr>
              <w:t>主管人员和其他直接责任</w:t>
            </w:r>
            <w:r>
              <w:rPr>
                <w:spacing w:val="8"/>
              </w:rPr>
              <w:t>人员处二万元以上五万元以下的罚款</w:t>
            </w:r>
            <w:r>
              <w:rPr>
                <w:spacing w:val="10"/>
              </w:rPr>
              <w:t>：（</w:t>
            </w:r>
            <w:r>
              <w:rPr>
                <w:spacing w:val="8"/>
              </w:rPr>
              <w:t>七）特种作业人员未按照规定经专门的安全作业培训并取得</w:t>
            </w:r>
            <w:r>
              <w:rPr>
                <w:spacing w:val="5"/>
              </w:rPr>
              <w:t>相应资格，上岗作业的。</w:t>
            </w:r>
          </w:p>
        </w:tc>
        <w:tc>
          <w:tcPr>
            <w:tcW w:w="803" w:type="dxa"/>
            <w:vAlign w:val="top"/>
          </w:tcPr>
          <w:p w14:paraId="4156EA9A">
            <w:pPr>
              <w:spacing w:line="260" w:lineRule="auto"/>
              <w:rPr>
                <w:rFonts w:ascii="Arial"/>
                <w:sz w:val="21"/>
              </w:rPr>
            </w:pPr>
          </w:p>
          <w:p w14:paraId="5E68B6B4">
            <w:pPr>
              <w:spacing w:line="260" w:lineRule="auto"/>
              <w:rPr>
                <w:rFonts w:ascii="Arial"/>
                <w:sz w:val="21"/>
              </w:rPr>
            </w:pPr>
          </w:p>
          <w:p w14:paraId="6BBF5CD6">
            <w:pPr>
              <w:spacing w:line="261" w:lineRule="auto"/>
              <w:rPr>
                <w:rFonts w:ascii="Arial"/>
                <w:sz w:val="21"/>
              </w:rPr>
            </w:pPr>
          </w:p>
          <w:p w14:paraId="73AD1D40">
            <w:pPr>
              <w:spacing w:line="261" w:lineRule="auto"/>
              <w:rPr>
                <w:rFonts w:ascii="Arial"/>
                <w:sz w:val="21"/>
              </w:rPr>
            </w:pPr>
          </w:p>
          <w:p w14:paraId="44754BC6">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6A45EEE">
            <w:pPr>
              <w:spacing w:line="376" w:lineRule="auto"/>
              <w:rPr>
                <w:rFonts w:ascii="Arial"/>
                <w:sz w:val="21"/>
              </w:rPr>
            </w:pPr>
          </w:p>
          <w:p w14:paraId="23C3E346">
            <w:pPr>
              <w:pStyle w:val="6"/>
              <w:spacing w:before="99" w:line="188" w:lineRule="auto"/>
              <w:ind w:left="116" w:right="65" w:hanging="1"/>
              <w:jc w:val="both"/>
            </w:pPr>
            <w:r>
              <w:rPr>
                <w:spacing w:val="26"/>
              </w:rPr>
              <w:t>特种作业人员未按照规定经专门的安全作业培训并取得</w:t>
            </w:r>
            <w:r>
              <w:rPr>
                <w:spacing w:val="2"/>
              </w:rPr>
              <w:t>相应资格上岗作业，</w:t>
            </w:r>
            <w:r>
              <w:rPr>
                <w:spacing w:val="1"/>
              </w:rPr>
              <w:t>有</w:t>
            </w:r>
            <w:r>
              <w:rPr>
                <w:rFonts w:ascii="宋体" w:hAnsi="宋体" w:eastAsia="宋体" w:cs="宋体"/>
                <w:spacing w:val="1"/>
              </w:rPr>
              <w:t>2</w:t>
            </w:r>
            <w:r>
              <w:rPr>
                <w:spacing w:val="1"/>
              </w:rPr>
              <w:t>人次的</w:t>
            </w:r>
          </w:p>
        </w:tc>
        <w:tc>
          <w:tcPr>
            <w:tcW w:w="2894" w:type="dxa"/>
            <w:vAlign w:val="top"/>
          </w:tcPr>
          <w:p w14:paraId="190ADEAB">
            <w:pPr>
              <w:pStyle w:val="6"/>
              <w:spacing w:before="26" w:line="180" w:lineRule="auto"/>
              <w:ind w:left="117" w:right="103" w:firstLine="10"/>
            </w:pPr>
            <w:r>
              <w:rPr>
                <w:spacing w:val="4"/>
              </w:rPr>
              <w:t>责令限期改正，处</w:t>
            </w:r>
            <w:r>
              <w:rPr>
                <w:rFonts w:ascii="宋体" w:hAnsi="宋体" w:eastAsia="宋体" w:cs="宋体"/>
                <w:spacing w:val="4"/>
              </w:rPr>
              <w:t>3</w:t>
            </w:r>
            <w:r>
              <w:rPr>
                <w:spacing w:val="4"/>
              </w:rPr>
              <w:t>万元</w:t>
            </w:r>
            <w:r>
              <w:rPr>
                <w:spacing w:val="3"/>
              </w:rPr>
              <w:t>以上</w:t>
            </w:r>
            <w:r>
              <w:rPr>
                <w:rFonts w:ascii="宋体" w:hAnsi="宋体" w:eastAsia="宋体" w:cs="宋体"/>
                <w:spacing w:val="3"/>
              </w:rPr>
              <w:t>7</w:t>
            </w:r>
            <w:r>
              <w:rPr>
                <w:spacing w:val="3"/>
              </w:rPr>
              <w:t>万元以下的罚款；</w:t>
            </w:r>
            <w:r>
              <w:rPr>
                <w:spacing w:val="8"/>
              </w:rPr>
              <w:t>逾期未改正的，责令停产</w:t>
            </w:r>
            <w:r>
              <w:rPr>
                <w:spacing w:val="-4"/>
              </w:rPr>
              <w:t>停业整顿，并处</w:t>
            </w:r>
            <w:r>
              <w:rPr>
                <w:rFonts w:ascii="宋体" w:hAnsi="宋体" w:eastAsia="宋体" w:cs="宋体"/>
                <w:spacing w:val="-4"/>
              </w:rPr>
              <w:t>13</w:t>
            </w:r>
            <w:r>
              <w:rPr>
                <w:spacing w:val="-4"/>
              </w:rPr>
              <w:t>万元以上</w:t>
            </w:r>
            <w:r>
              <w:rPr>
                <w:rFonts w:ascii="宋体" w:hAnsi="宋体" w:eastAsia="宋体" w:cs="宋体"/>
                <w:spacing w:val="-4"/>
              </w:rPr>
              <w:t>17</w:t>
            </w:r>
            <w:r>
              <w:rPr>
                <w:spacing w:val="-4"/>
              </w:rPr>
              <w:t>万元以下的罚款，对</w:t>
            </w:r>
            <w:r>
              <w:rPr>
                <w:spacing w:val="11"/>
              </w:rPr>
              <w:t>其直接负责的主管人员和</w:t>
            </w:r>
            <w:r>
              <w:rPr>
                <w:spacing w:val="8"/>
              </w:rPr>
              <w:t>其他直接责任人员处</w:t>
            </w:r>
            <w:r>
              <w:rPr>
                <w:rFonts w:ascii="宋体" w:hAnsi="宋体" w:eastAsia="宋体" w:cs="宋体"/>
                <w:spacing w:val="8"/>
              </w:rPr>
              <w:t>3</w:t>
            </w:r>
            <w:r>
              <w:rPr>
                <w:spacing w:val="8"/>
              </w:rPr>
              <w:t>万</w:t>
            </w:r>
            <w:r>
              <w:rPr>
                <w:spacing w:val="4"/>
              </w:rPr>
              <w:t>元以上</w:t>
            </w:r>
            <w:r>
              <w:rPr>
                <w:rFonts w:ascii="宋体" w:hAnsi="宋体" w:eastAsia="宋体" w:cs="宋体"/>
                <w:spacing w:val="4"/>
              </w:rPr>
              <w:t>4</w:t>
            </w:r>
            <w:r>
              <w:rPr>
                <w:spacing w:val="4"/>
              </w:rPr>
              <w:t>万元以下的罚款</w:t>
            </w:r>
          </w:p>
        </w:tc>
        <w:tc>
          <w:tcPr>
            <w:tcW w:w="811" w:type="dxa"/>
            <w:vMerge w:val="restart"/>
            <w:tcBorders>
              <w:bottom w:val="nil"/>
            </w:tcBorders>
            <w:vAlign w:val="top"/>
          </w:tcPr>
          <w:p w14:paraId="4B25B71B">
            <w:pPr>
              <w:rPr>
                <w:rFonts w:ascii="Arial"/>
                <w:sz w:val="21"/>
              </w:rPr>
            </w:pPr>
          </w:p>
        </w:tc>
      </w:tr>
      <w:tr w14:paraId="45A02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3" w:hRule="atLeast"/>
        </w:trPr>
        <w:tc>
          <w:tcPr>
            <w:tcW w:w="818" w:type="dxa"/>
            <w:vMerge w:val="continue"/>
            <w:tcBorders>
              <w:top w:val="nil"/>
            </w:tcBorders>
            <w:vAlign w:val="top"/>
          </w:tcPr>
          <w:p w14:paraId="5A267F95">
            <w:pPr>
              <w:rPr>
                <w:rFonts w:ascii="Arial"/>
                <w:sz w:val="21"/>
              </w:rPr>
            </w:pPr>
          </w:p>
        </w:tc>
        <w:tc>
          <w:tcPr>
            <w:tcW w:w="1440" w:type="dxa"/>
            <w:vMerge w:val="continue"/>
            <w:tcBorders>
              <w:top w:val="nil"/>
            </w:tcBorders>
            <w:vAlign w:val="top"/>
          </w:tcPr>
          <w:p w14:paraId="7F8A2160">
            <w:pPr>
              <w:rPr>
                <w:rFonts w:ascii="Arial"/>
                <w:sz w:val="21"/>
              </w:rPr>
            </w:pPr>
          </w:p>
        </w:tc>
        <w:tc>
          <w:tcPr>
            <w:tcW w:w="3202" w:type="dxa"/>
            <w:vMerge w:val="continue"/>
            <w:tcBorders>
              <w:top w:val="nil"/>
            </w:tcBorders>
            <w:vAlign w:val="top"/>
          </w:tcPr>
          <w:p w14:paraId="21B660AA">
            <w:pPr>
              <w:rPr>
                <w:rFonts w:ascii="Arial"/>
                <w:sz w:val="21"/>
              </w:rPr>
            </w:pPr>
          </w:p>
        </w:tc>
        <w:tc>
          <w:tcPr>
            <w:tcW w:w="2859" w:type="dxa"/>
            <w:vMerge w:val="continue"/>
            <w:tcBorders>
              <w:top w:val="nil"/>
            </w:tcBorders>
            <w:vAlign w:val="top"/>
          </w:tcPr>
          <w:p w14:paraId="169EAC3E">
            <w:pPr>
              <w:rPr>
                <w:rFonts w:ascii="Arial"/>
                <w:sz w:val="21"/>
              </w:rPr>
            </w:pPr>
          </w:p>
        </w:tc>
        <w:tc>
          <w:tcPr>
            <w:tcW w:w="803" w:type="dxa"/>
            <w:vAlign w:val="top"/>
          </w:tcPr>
          <w:p w14:paraId="38C0F7C7">
            <w:pPr>
              <w:spacing w:line="260" w:lineRule="auto"/>
              <w:rPr>
                <w:rFonts w:ascii="Arial"/>
                <w:sz w:val="21"/>
              </w:rPr>
            </w:pPr>
          </w:p>
          <w:p w14:paraId="6823E657">
            <w:pPr>
              <w:spacing w:line="260" w:lineRule="auto"/>
              <w:rPr>
                <w:rFonts w:ascii="Arial"/>
                <w:sz w:val="21"/>
              </w:rPr>
            </w:pPr>
          </w:p>
          <w:p w14:paraId="3DFE343C">
            <w:pPr>
              <w:spacing w:line="261" w:lineRule="auto"/>
              <w:rPr>
                <w:rFonts w:ascii="Arial"/>
                <w:sz w:val="21"/>
              </w:rPr>
            </w:pPr>
          </w:p>
          <w:p w14:paraId="5CAC5465">
            <w:pPr>
              <w:spacing w:line="261" w:lineRule="auto"/>
              <w:rPr>
                <w:rFonts w:ascii="Arial"/>
                <w:sz w:val="21"/>
              </w:rPr>
            </w:pPr>
          </w:p>
          <w:p w14:paraId="3CA3117C">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F5E712D">
            <w:pPr>
              <w:spacing w:line="376" w:lineRule="auto"/>
              <w:rPr>
                <w:rFonts w:ascii="Arial"/>
                <w:sz w:val="21"/>
              </w:rPr>
            </w:pPr>
          </w:p>
          <w:p w14:paraId="04BCA161">
            <w:pPr>
              <w:pStyle w:val="6"/>
              <w:spacing w:before="99" w:line="188" w:lineRule="auto"/>
              <w:ind w:left="116" w:right="65" w:hanging="1"/>
              <w:jc w:val="both"/>
            </w:pPr>
            <w:r>
              <w:rPr>
                <w:spacing w:val="26"/>
              </w:rPr>
              <w:t>特种作业人员未按照规定经专门的安全作业培训并取得</w:t>
            </w:r>
            <w:r>
              <w:rPr>
                <w:spacing w:val="2"/>
              </w:rPr>
              <w:t>相应资格上岗作业，</w:t>
            </w:r>
            <w:r>
              <w:rPr>
                <w:spacing w:val="3"/>
              </w:rPr>
              <w:t>有</w:t>
            </w:r>
            <w:r>
              <w:rPr>
                <w:rFonts w:ascii="宋体" w:hAnsi="宋体" w:eastAsia="宋体" w:cs="宋体"/>
                <w:spacing w:val="3"/>
              </w:rPr>
              <w:t>3</w:t>
            </w:r>
            <w:r>
              <w:rPr>
                <w:spacing w:val="3"/>
              </w:rPr>
              <w:t>人次以上的</w:t>
            </w:r>
          </w:p>
        </w:tc>
        <w:tc>
          <w:tcPr>
            <w:tcW w:w="2894" w:type="dxa"/>
            <w:vAlign w:val="top"/>
          </w:tcPr>
          <w:p w14:paraId="315EB122">
            <w:pPr>
              <w:pStyle w:val="6"/>
              <w:spacing w:before="25" w:line="180" w:lineRule="auto"/>
              <w:ind w:left="117" w:right="71" w:firstLine="10"/>
              <w:jc w:val="both"/>
            </w:pPr>
            <w:r>
              <w:rPr>
                <w:spacing w:val="4"/>
              </w:rPr>
              <w:t>责令限期改正，处</w:t>
            </w:r>
            <w:r>
              <w:rPr>
                <w:rFonts w:ascii="宋体" w:hAnsi="宋体" w:eastAsia="宋体" w:cs="宋体"/>
                <w:spacing w:val="4"/>
              </w:rPr>
              <w:t>7</w:t>
            </w:r>
            <w:r>
              <w:rPr>
                <w:spacing w:val="4"/>
              </w:rPr>
              <w:t>万元</w:t>
            </w:r>
            <w:r>
              <w:rPr>
                <w:spacing w:val="-1"/>
              </w:rPr>
              <w:t>以上</w:t>
            </w:r>
            <w:r>
              <w:rPr>
                <w:rFonts w:ascii="宋体" w:hAnsi="宋体" w:eastAsia="宋体" w:cs="宋体"/>
                <w:spacing w:val="-1"/>
              </w:rPr>
              <w:t>10</w:t>
            </w:r>
            <w:r>
              <w:rPr>
                <w:spacing w:val="-1"/>
              </w:rPr>
              <w:t>万元以下的罚款；</w:t>
            </w:r>
            <w:r>
              <w:rPr>
                <w:spacing w:val="8"/>
              </w:rPr>
              <w:t>逾期未改正的，责令停产</w:t>
            </w:r>
            <w:r>
              <w:rPr>
                <w:spacing w:val="-4"/>
              </w:rPr>
              <w:t>停业整顿，并处</w:t>
            </w:r>
            <w:r>
              <w:rPr>
                <w:rFonts w:ascii="宋体" w:hAnsi="宋体" w:eastAsia="宋体" w:cs="宋体"/>
                <w:spacing w:val="-4"/>
              </w:rPr>
              <w:t>17</w:t>
            </w:r>
            <w:r>
              <w:rPr>
                <w:spacing w:val="-4"/>
              </w:rPr>
              <w:t>万元以</w:t>
            </w:r>
            <w:r>
              <w:rPr>
                <w:spacing w:val="-2"/>
              </w:rPr>
              <w:t>上</w:t>
            </w:r>
            <w:r>
              <w:rPr>
                <w:rFonts w:ascii="宋体" w:hAnsi="宋体" w:eastAsia="宋体" w:cs="宋体"/>
                <w:spacing w:val="-2"/>
              </w:rPr>
              <w:t>20</w:t>
            </w:r>
            <w:r>
              <w:rPr>
                <w:spacing w:val="-2"/>
              </w:rPr>
              <w:t>万元以下的罚款，对</w:t>
            </w:r>
            <w:r>
              <w:rPr>
                <w:spacing w:val="11"/>
              </w:rPr>
              <w:t>其直接负责的主管人员和</w:t>
            </w:r>
            <w:r>
              <w:rPr>
                <w:spacing w:val="8"/>
              </w:rPr>
              <w:t>其他直接责任人员处</w:t>
            </w:r>
            <w:r>
              <w:rPr>
                <w:rFonts w:ascii="宋体" w:hAnsi="宋体" w:eastAsia="宋体" w:cs="宋体"/>
                <w:spacing w:val="8"/>
              </w:rPr>
              <w:t>4</w:t>
            </w:r>
            <w:r>
              <w:rPr>
                <w:spacing w:val="8"/>
              </w:rPr>
              <w:t>万</w:t>
            </w:r>
            <w:r>
              <w:rPr>
                <w:spacing w:val="4"/>
              </w:rPr>
              <w:t>元以上</w:t>
            </w:r>
            <w:r>
              <w:rPr>
                <w:rFonts w:ascii="宋体" w:hAnsi="宋体" w:eastAsia="宋体" w:cs="宋体"/>
                <w:spacing w:val="4"/>
              </w:rPr>
              <w:t>5</w:t>
            </w:r>
            <w:r>
              <w:rPr>
                <w:spacing w:val="4"/>
              </w:rPr>
              <w:t>万元以下的罚款</w:t>
            </w:r>
          </w:p>
        </w:tc>
        <w:tc>
          <w:tcPr>
            <w:tcW w:w="811" w:type="dxa"/>
            <w:vMerge w:val="continue"/>
            <w:tcBorders>
              <w:top w:val="nil"/>
            </w:tcBorders>
            <w:vAlign w:val="top"/>
          </w:tcPr>
          <w:p w14:paraId="330B69B4">
            <w:pPr>
              <w:rPr>
                <w:rFonts w:ascii="Arial"/>
                <w:sz w:val="21"/>
              </w:rPr>
            </w:pPr>
          </w:p>
        </w:tc>
      </w:tr>
      <w:tr w14:paraId="679F1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Merge w:val="restart"/>
            <w:tcBorders>
              <w:bottom w:val="nil"/>
            </w:tcBorders>
            <w:vAlign w:val="top"/>
          </w:tcPr>
          <w:p w14:paraId="22D24C24">
            <w:pPr>
              <w:spacing w:line="243" w:lineRule="auto"/>
              <w:rPr>
                <w:rFonts w:ascii="Arial"/>
                <w:sz w:val="21"/>
              </w:rPr>
            </w:pPr>
          </w:p>
          <w:p w14:paraId="063E2F98">
            <w:pPr>
              <w:spacing w:line="243" w:lineRule="auto"/>
              <w:rPr>
                <w:rFonts w:ascii="Arial"/>
                <w:sz w:val="21"/>
              </w:rPr>
            </w:pPr>
          </w:p>
          <w:p w14:paraId="3FA90739">
            <w:pPr>
              <w:spacing w:line="243" w:lineRule="auto"/>
              <w:rPr>
                <w:rFonts w:ascii="Arial"/>
                <w:sz w:val="21"/>
              </w:rPr>
            </w:pPr>
          </w:p>
          <w:p w14:paraId="679D465F">
            <w:pPr>
              <w:spacing w:line="244" w:lineRule="auto"/>
              <w:rPr>
                <w:rFonts w:ascii="Arial"/>
                <w:sz w:val="21"/>
              </w:rPr>
            </w:pPr>
          </w:p>
          <w:p w14:paraId="1F96E682">
            <w:pPr>
              <w:spacing w:line="244" w:lineRule="auto"/>
              <w:rPr>
                <w:rFonts w:ascii="Arial"/>
                <w:sz w:val="21"/>
              </w:rPr>
            </w:pPr>
          </w:p>
          <w:p w14:paraId="74A0E48D">
            <w:pPr>
              <w:spacing w:line="244" w:lineRule="auto"/>
              <w:rPr>
                <w:rFonts w:ascii="Arial"/>
                <w:sz w:val="21"/>
              </w:rPr>
            </w:pPr>
          </w:p>
          <w:p w14:paraId="5C083F18">
            <w:pPr>
              <w:spacing w:line="244" w:lineRule="auto"/>
              <w:rPr>
                <w:rFonts w:ascii="Arial"/>
                <w:sz w:val="21"/>
              </w:rPr>
            </w:pPr>
          </w:p>
          <w:p w14:paraId="6ED2FE83">
            <w:pPr>
              <w:spacing w:line="244" w:lineRule="auto"/>
              <w:rPr>
                <w:rFonts w:ascii="Arial"/>
                <w:sz w:val="21"/>
              </w:rPr>
            </w:pPr>
          </w:p>
          <w:p w14:paraId="27A1CFD9">
            <w:pPr>
              <w:spacing w:before="75" w:line="185" w:lineRule="auto"/>
              <w:ind w:left="237"/>
              <w:rPr>
                <w:rFonts w:ascii="仿宋" w:hAnsi="仿宋" w:eastAsia="仿宋" w:cs="仿宋"/>
                <w:sz w:val="23"/>
                <w:szCs w:val="23"/>
              </w:rPr>
            </w:pPr>
            <w:r>
              <w:rPr>
                <w:rFonts w:ascii="仿宋" w:hAnsi="仿宋" w:eastAsia="仿宋" w:cs="仿宋"/>
                <w:spacing w:val="-3"/>
                <w:sz w:val="23"/>
                <w:szCs w:val="23"/>
              </w:rPr>
              <w:t>27</w:t>
            </w:r>
          </w:p>
        </w:tc>
        <w:tc>
          <w:tcPr>
            <w:tcW w:w="1440" w:type="dxa"/>
            <w:vMerge w:val="restart"/>
            <w:tcBorders>
              <w:bottom w:val="nil"/>
            </w:tcBorders>
            <w:vAlign w:val="top"/>
          </w:tcPr>
          <w:p w14:paraId="77408040">
            <w:pPr>
              <w:spacing w:line="269" w:lineRule="auto"/>
              <w:rPr>
                <w:rFonts w:ascii="Arial"/>
                <w:sz w:val="21"/>
              </w:rPr>
            </w:pPr>
          </w:p>
          <w:p w14:paraId="727518CE">
            <w:pPr>
              <w:spacing w:line="269" w:lineRule="auto"/>
              <w:rPr>
                <w:rFonts w:ascii="Arial"/>
                <w:sz w:val="21"/>
              </w:rPr>
            </w:pPr>
          </w:p>
          <w:p w14:paraId="7E8490EC">
            <w:pPr>
              <w:pStyle w:val="6"/>
              <w:spacing w:before="99" w:line="185" w:lineRule="auto"/>
              <w:ind w:left="113" w:right="111" w:firstLine="15"/>
            </w:pPr>
            <w:r>
              <w:rPr>
                <w:spacing w:val="8"/>
              </w:rPr>
              <w:t>生产经营单</w:t>
            </w:r>
            <w:r>
              <w:rPr>
                <w:spacing w:val="-9"/>
                <w:w w:val="97"/>
              </w:rPr>
              <w:t>位非法印</w:t>
            </w:r>
            <w:r>
              <w:rPr>
                <w:spacing w:val="6"/>
              </w:rPr>
              <w:t>制、伪造、</w:t>
            </w:r>
            <w:r>
              <w:rPr>
                <w:spacing w:val="12"/>
              </w:rPr>
              <w:t>倒卖特种作</w:t>
            </w:r>
            <w:r>
              <w:rPr>
                <w:spacing w:val="2"/>
              </w:rPr>
              <w:t>业操作证，</w:t>
            </w:r>
            <w:r>
              <w:rPr>
                <w:spacing w:val="12"/>
              </w:rPr>
              <w:t>或者使用非法印制、伪造、倒卖的特种作业操</w:t>
            </w:r>
            <w:r>
              <w:rPr>
                <w:spacing w:val="5"/>
              </w:rPr>
              <w:t>作证的</w:t>
            </w:r>
          </w:p>
        </w:tc>
        <w:tc>
          <w:tcPr>
            <w:tcW w:w="3202" w:type="dxa"/>
            <w:vMerge w:val="restart"/>
            <w:tcBorders>
              <w:bottom w:val="nil"/>
            </w:tcBorders>
            <w:vAlign w:val="top"/>
          </w:tcPr>
          <w:p w14:paraId="37C7F6BC">
            <w:pPr>
              <w:pStyle w:val="6"/>
              <w:spacing w:before="36" w:line="186" w:lineRule="auto"/>
              <w:ind w:left="112" w:right="21" w:hanging="14"/>
              <w:jc w:val="both"/>
            </w:pPr>
            <w:r>
              <w:rPr>
                <w:spacing w:val="18"/>
              </w:rPr>
              <w:t>【部门规章】《特种作业人</w:t>
            </w:r>
            <w:r>
              <w:rPr>
                <w:spacing w:val="17"/>
              </w:rPr>
              <w:t>员安全技术培训考核管理规</w:t>
            </w:r>
            <w:r>
              <w:rPr>
                <w:spacing w:val="12"/>
              </w:rPr>
              <w:t>定》第三十六条第一款：生</w:t>
            </w:r>
            <w:r>
              <w:rPr>
                <w:spacing w:val="5"/>
              </w:rPr>
              <w:t>产经营单位不得印制、伪造、</w:t>
            </w:r>
            <w:r>
              <w:rPr>
                <w:spacing w:val="13"/>
              </w:rPr>
              <w:t>倒卖特种作业操作证，或者</w:t>
            </w:r>
            <w:r>
              <w:rPr>
                <w:spacing w:val="17"/>
              </w:rPr>
              <w:t>使用非法印制、伪造、倒卖</w:t>
            </w:r>
            <w:r>
              <w:rPr>
                <w:spacing w:val="4"/>
              </w:rPr>
              <w:t>的特种作业操作证。</w:t>
            </w:r>
          </w:p>
        </w:tc>
        <w:tc>
          <w:tcPr>
            <w:tcW w:w="2859" w:type="dxa"/>
            <w:vMerge w:val="restart"/>
            <w:tcBorders>
              <w:bottom w:val="nil"/>
            </w:tcBorders>
            <w:vAlign w:val="top"/>
          </w:tcPr>
          <w:p w14:paraId="3FC4F0CF">
            <w:pPr>
              <w:pStyle w:val="6"/>
              <w:spacing w:before="30" w:line="185" w:lineRule="auto"/>
              <w:ind w:left="115" w:right="19" w:hanging="18"/>
            </w:pPr>
            <w:r>
              <w:rPr>
                <w:spacing w:val="10"/>
              </w:rPr>
              <w:t>【部门规章】《特种作业</w:t>
            </w:r>
            <w:r>
              <w:rPr>
                <w:spacing w:val="8"/>
              </w:rPr>
              <w:t>人员安全技术培训考核管理规定》第四十条：生产</w:t>
            </w:r>
            <w:r>
              <w:rPr>
                <w:spacing w:val="-4"/>
              </w:rPr>
              <w:t>经营单位非法印制、伪造、</w:t>
            </w:r>
            <w:r>
              <w:rPr>
                <w:spacing w:val="2"/>
              </w:rPr>
              <w:t>倒卖特种作业操作证，或</w:t>
            </w:r>
            <w:r>
              <w:rPr>
                <w:spacing w:val="6"/>
              </w:rPr>
              <w:t>者使用非法印制、伪造、</w:t>
            </w:r>
            <w:r>
              <w:rPr>
                <w:spacing w:val="32"/>
              </w:rPr>
              <w:t>倒卖的特种作业操作证</w:t>
            </w:r>
            <w:r>
              <w:rPr>
                <w:spacing w:val="3"/>
              </w:rPr>
              <w:t>的，给予警告，并处</w:t>
            </w:r>
            <w:r>
              <w:rPr>
                <w:rFonts w:ascii="宋体" w:hAnsi="宋体" w:eastAsia="宋体" w:cs="宋体"/>
                <w:spacing w:val="3"/>
              </w:rPr>
              <w:t>1</w:t>
            </w:r>
            <w:r>
              <w:rPr>
                <w:spacing w:val="3"/>
              </w:rPr>
              <w:t>万</w:t>
            </w:r>
            <w:r>
              <w:rPr>
                <w:spacing w:val="20"/>
              </w:rPr>
              <w:t>元以上</w:t>
            </w:r>
            <w:r>
              <w:rPr>
                <w:rFonts w:ascii="宋体" w:hAnsi="宋体" w:eastAsia="宋体" w:cs="宋体"/>
                <w:spacing w:val="20"/>
              </w:rPr>
              <w:t>3</w:t>
            </w:r>
            <w:r>
              <w:rPr>
                <w:spacing w:val="20"/>
              </w:rPr>
              <w:t>万元以下的罚</w:t>
            </w:r>
            <w:r>
              <w:rPr>
                <w:spacing w:val="8"/>
              </w:rPr>
              <w:t>款；构成犯罪的，依法追</w:t>
            </w:r>
            <w:r>
              <w:rPr>
                <w:spacing w:val="1"/>
              </w:rPr>
              <w:t>究刑事责任。</w:t>
            </w:r>
          </w:p>
        </w:tc>
        <w:tc>
          <w:tcPr>
            <w:tcW w:w="803" w:type="dxa"/>
            <w:vAlign w:val="top"/>
          </w:tcPr>
          <w:p w14:paraId="12E69C13">
            <w:pPr>
              <w:spacing w:line="260" w:lineRule="auto"/>
              <w:rPr>
                <w:rFonts w:ascii="Arial"/>
                <w:sz w:val="21"/>
              </w:rPr>
            </w:pPr>
          </w:p>
          <w:p w14:paraId="0295E534">
            <w:pPr>
              <w:spacing w:line="261" w:lineRule="auto"/>
              <w:rPr>
                <w:rFonts w:ascii="Arial"/>
                <w:sz w:val="21"/>
              </w:rPr>
            </w:pPr>
          </w:p>
          <w:p w14:paraId="2F45DC76">
            <w:pPr>
              <w:spacing w:line="261" w:lineRule="auto"/>
              <w:rPr>
                <w:rFonts w:ascii="Arial"/>
                <w:sz w:val="21"/>
              </w:rPr>
            </w:pPr>
          </w:p>
          <w:p w14:paraId="02A3D20A">
            <w:pPr>
              <w:spacing w:line="261" w:lineRule="auto"/>
              <w:rPr>
                <w:rFonts w:ascii="Arial"/>
                <w:sz w:val="21"/>
              </w:rPr>
            </w:pPr>
          </w:p>
          <w:p w14:paraId="101B7584">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8A3C380">
            <w:pPr>
              <w:pStyle w:val="6"/>
              <w:spacing w:before="26" w:line="180" w:lineRule="auto"/>
              <w:ind w:left="112" w:right="105" w:firstLine="18"/>
              <w:jc w:val="both"/>
            </w:pPr>
            <w:r>
              <w:rPr>
                <w:spacing w:val="24"/>
              </w:rPr>
              <w:t>生产经营单位非法</w:t>
            </w:r>
            <w:r>
              <w:rPr>
                <w:spacing w:val="-2"/>
              </w:rPr>
              <w:t>印制、伪造、倒卖特种作业操作证，或者</w:t>
            </w:r>
            <w:r>
              <w:rPr>
                <w:spacing w:val="26"/>
              </w:rPr>
              <w:t>使用非法印制、伪</w:t>
            </w:r>
            <w:r>
              <w:rPr>
                <w:spacing w:val="-2"/>
              </w:rPr>
              <w:t>造、倒卖的特种作业</w:t>
            </w:r>
            <w:r>
              <w:rPr>
                <w:spacing w:val="16"/>
              </w:rPr>
              <w:t>操作证，有上述</w:t>
            </w:r>
            <w:r>
              <w:rPr>
                <w:rFonts w:ascii="宋体" w:hAnsi="宋体" w:eastAsia="宋体" w:cs="宋体"/>
                <w:spacing w:val="16"/>
              </w:rPr>
              <w:t>1</w:t>
            </w:r>
            <w:r>
              <w:rPr>
                <w:spacing w:val="26"/>
              </w:rPr>
              <w:t>种情形或者涉及</w:t>
            </w:r>
            <w:r>
              <w:rPr>
                <w:rFonts w:ascii="宋体" w:hAnsi="宋体" w:eastAsia="宋体" w:cs="宋体"/>
                <w:spacing w:val="26"/>
              </w:rPr>
              <w:t>1</w:t>
            </w:r>
            <w:r>
              <w:rPr>
                <w:spacing w:val="5"/>
              </w:rPr>
              <w:t>次的</w:t>
            </w:r>
          </w:p>
        </w:tc>
        <w:tc>
          <w:tcPr>
            <w:tcW w:w="2894" w:type="dxa"/>
            <w:vAlign w:val="top"/>
          </w:tcPr>
          <w:p w14:paraId="27500E36">
            <w:pPr>
              <w:spacing w:line="275" w:lineRule="auto"/>
              <w:rPr>
                <w:rFonts w:ascii="Arial"/>
                <w:sz w:val="21"/>
              </w:rPr>
            </w:pPr>
          </w:p>
          <w:p w14:paraId="2ACFF2A3">
            <w:pPr>
              <w:spacing w:line="276" w:lineRule="auto"/>
              <w:rPr>
                <w:rFonts w:ascii="Arial"/>
                <w:sz w:val="21"/>
              </w:rPr>
            </w:pPr>
          </w:p>
          <w:p w14:paraId="63674B97">
            <w:pPr>
              <w:spacing w:line="276" w:lineRule="auto"/>
              <w:rPr>
                <w:rFonts w:ascii="Arial"/>
                <w:sz w:val="21"/>
              </w:rPr>
            </w:pPr>
          </w:p>
          <w:p w14:paraId="352B0C91">
            <w:pPr>
              <w:pStyle w:val="6"/>
              <w:spacing w:before="99" w:line="196" w:lineRule="auto"/>
              <w:ind w:left="124" w:right="106" w:firstLine="1"/>
            </w:pPr>
            <w:r>
              <w:rPr>
                <w:spacing w:val="1"/>
              </w:rPr>
              <w:t>给予警告，并处</w:t>
            </w:r>
            <w:r>
              <w:rPr>
                <w:rFonts w:ascii="宋体" w:hAnsi="宋体" w:eastAsia="宋体" w:cs="宋体"/>
                <w:spacing w:val="1"/>
              </w:rPr>
              <w:t>1</w:t>
            </w:r>
            <w:r>
              <w:rPr>
                <w:spacing w:val="1"/>
              </w:rPr>
              <w:t>万元以上</w:t>
            </w:r>
            <w:r>
              <w:rPr>
                <w:rFonts w:ascii="宋体" w:hAnsi="宋体" w:eastAsia="宋体" w:cs="宋体"/>
                <w:spacing w:val="1"/>
              </w:rPr>
              <w:t>1.5</w:t>
            </w:r>
            <w:r>
              <w:rPr>
                <w:spacing w:val="1"/>
              </w:rPr>
              <w:t>万元以下的罚款</w:t>
            </w:r>
          </w:p>
        </w:tc>
        <w:tc>
          <w:tcPr>
            <w:tcW w:w="811" w:type="dxa"/>
            <w:vMerge w:val="restart"/>
            <w:tcBorders>
              <w:bottom w:val="nil"/>
            </w:tcBorders>
            <w:vAlign w:val="top"/>
          </w:tcPr>
          <w:p w14:paraId="7C78647C">
            <w:pPr>
              <w:spacing w:line="243" w:lineRule="auto"/>
              <w:rPr>
                <w:rFonts w:ascii="Arial"/>
                <w:sz w:val="21"/>
              </w:rPr>
            </w:pPr>
          </w:p>
          <w:p w14:paraId="19EA923C">
            <w:pPr>
              <w:spacing w:line="243" w:lineRule="auto"/>
              <w:rPr>
                <w:rFonts w:ascii="Arial"/>
                <w:sz w:val="21"/>
              </w:rPr>
            </w:pPr>
          </w:p>
          <w:p w14:paraId="16DFBCD7">
            <w:pPr>
              <w:spacing w:line="243" w:lineRule="auto"/>
              <w:rPr>
                <w:rFonts w:ascii="Arial"/>
                <w:sz w:val="21"/>
              </w:rPr>
            </w:pPr>
          </w:p>
          <w:p w14:paraId="0253D8B8">
            <w:pPr>
              <w:spacing w:line="243" w:lineRule="auto"/>
              <w:rPr>
                <w:rFonts w:ascii="Arial"/>
                <w:sz w:val="21"/>
              </w:rPr>
            </w:pPr>
          </w:p>
          <w:p w14:paraId="31BA0601">
            <w:pPr>
              <w:spacing w:line="243" w:lineRule="auto"/>
              <w:rPr>
                <w:rFonts w:ascii="Arial"/>
                <w:sz w:val="21"/>
              </w:rPr>
            </w:pPr>
          </w:p>
          <w:p w14:paraId="5C08AE50">
            <w:pPr>
              <w:spacing w:line="243" w:lineRule="auto"/>
              <w:rPr>
                <w:rFonts w:ascii="Arial"/>
                <w:sz w:val="21"/>
              </w:rPr>
            </w:pPr>
          </w:p>
          <w:p w14:paraId="7E1B7CBD">
            <w:pPr>
              <w:spacing w:line="243" w:lineRule="auto"/>
              <w:rPr>
                <w:rFonts w:ascii="Arial"/>
                <w:sz w:val="21"/>
              </w:rPr>
            </w:pPr>
          </w:p>
          <w:p w14:paraId="3D008CD0">
            <w:pPr>
              <w:spacing w:line="243" w:lineRule="auto"/>
              <w:rPr>
                <w:rFonts w:ascii="Arial"/>
                <w:sz w:val="21"/>
              </w:rPr>
            </w:pPr>
          </w:p>
          <w:p w14:paraId="65F17262">
            <w:pPr>
              <w:spacing w:before="75" w:line="189" w:lineRule="auto"/>
              <w:ind w:left="308"/>
              <w:rPr>
                <w:rFonts w:ascii="宋体" w:hAnsi="宋体" w:eastAsia="宋体" w:cs="宋体"/>
                <w:sz w:val="23"/>
                <w:szCs w:val="23"/>
              </w:rPr>
            </w:pPr>
            <w:r>
              <w:rPr>
                <w:rFonts w:ascii="宋体" w:hAnsi="宋体" w:eastAsia="宋体" w:cs="宋体"/>
                <w:spacing w:val="-10"/>
                <w:sz w:val="23"/>
                <w:szCs w:val="23"/>
              </w:rPr>
              <w:t>18</w:t>
            </w:r>
          </w:p>
        </w:tc>
      </w:tr>
      <w:tr w14:paraId="636EE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818" w:type="dxa"/>
            <w:vMerge w:val="continue"/>
            <w:tcBorders>
              <w:top w:val="nil"/>
            </w:tcBorders>
            <w:vAlign w:val="top"/>
          </w:tcPr>
          <w:p w14:paraId="0D02ED45">
            <w:pPr>
              <w:rPr>
                <w:rFonts w:ascii="Arial"/>
                <w:sz w:val="21"/>
              </w:rPr>
            </w:pPr>
          </w:p>
        </w:tc>
        <w:tc>
          <w:tcPr>
            <w:tcW w:w="1440" w:type="dxa"/>
            <w:vMerge w:val="continue"/>
            <w:tcBorders>
              <w:top w:val="nil"/>
            </w:tcBorders>
            <w:vAlign w:val="top"/>
          </w:tcPr>
          <w:p w14:paraId="47ED6680">
            <w:pPr>
              <w:rPr>
                <w:rFonts w:ascii="Arial"/>
                <w:sz w:val="21"/>
              </w:rPr>
            </w:pPr>
          </w:p>
        </w:tc>
        <w:tc>
          <w:tcPr>
            <w:tcW w:w="3202" w:type="dxa"/>
            <w:vMerge w:val="continue"/>
            <w:tcBorders>
              <w:top w:val="nil"/>
            </w:tcBorders>
            <w:vAlign w:val="top"/>
          </w:tcPr>
          <w:p w14:paraId="33AB8617">
            <w:pPr>
              <w:rPr>
                <w:rFonts w:ascii="Arial"/>
                <w:sz w:val="21"/>
              </w:rPr>
            </w:pPr>
          </w:p>
        </w:tc>
        <w:tc>
          <w:tcPr>
            <w:tcW w:w="2859" w:type="dxa"/>
            <w:vMerge w:val="continue"/>
            <w:tcBorders>
              <w:top w:val="nil"/>
            </w:tcBorders>
            <w:vAlign w:val="top"/>
          </w:tcPr>
          <w:p w14:paraId="2A710B42">
            <w:pPr>
              <w:rPr>
                <w:rFonts w:ascii="Arial"/>
                <w:sz w:val="21"/>
              </w:rPr>
            </w:pPr>
          </w:p>
        </w:tc>
        <w:tc>
          <w:tcPr>
            <w:tcW w:w="803" w:type="dxa"/>
            <w:vAlign w:val="top"/>
          </w:tcPr>
          <w:p w14:paraId="25DEF7EF">
            <w:pPr>
              <w:spacing w:line="249" w:lineRule="auto"/>
              <w:rPr>
                <w:rFonts w:ascii="Arial"/>
                <w:sz w:val="21"/>
              </w:rPr>
            </w:pPr>
          </w:p>
          <w:p w14:paraId="6F67DF7E">
            <w:pPr>
              <w:spacing w:line="250" w:lineRule="auto"/>
              <w:rPr>
                <w:rFonts w:ascii="Arial"/>
                <w:sz w:val="21"/>
              </w:rPr>
            </w:pPr>
          </w:p>
          <w:p w14:paraId="5DAF26C4">
            <w:pPr>
              <w:spacing w:line="250" w:lineRule="auto"/>
              <w:rPr>
                <w:rFonts w:ascii="Arial"/>
                <w:sz w:val="21"/>
              </w:rPr>
            </w:pPr>
          </w:p>
          <w:p w14:paraId="558102DB">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7C1969D">
            <w:pPr>
              <w:pStyle w:val="6"/>
              <w:spacing w:before="31" w:line="179" w:lineRule="auto"/>
              <w:ind w:left="112" w:right="105" w:firstLine="18"/>
              <w:jc w:val="both"/>
              <w:rPr>
                <w:rFonts w:ascii="宋体" w:hAnsi="宋体" w:eastAsia="宋体" w:cs="宋体"/>
              </w:rPr>
            </w:pPr>
            <w:r>
              <w:rPr>
                <w:spacing w:val="24"/>
              </w:rPr>
              <w:t>生产经营单位非法</w:t>
            </w:r>
            <w:r>
              <w:rPr>
                <w:spacing w:val="-2"/>
              </w:rPr>
              <w:t>印制、伪造、倒卖特种作业操作证，或者</w:t>
            </w:r>
            <w:r>
              <w:rPr>
                <w:spacing w:val="26"/>
              </w:rPr>
              <w:t>使用非法印制、伪</w:t>
            </w:r>
            <w:r>
              <w:rPr>
                <w:spacing w:val="-2"/>
              </w:rPr>
              <w:t>造、倒卖的特种作业</w:t>
            </w:r>
            <w:r>
              <w:rPr>
                <w:spacing w:val="18"/>
              </w:rPr>
              <w:t>操作证，有上述</w:t>
            </w:r>
            <w:r>
              <w:rPr>
                <w:rFonts w:ascii="宋体" w:hAnsi="宋体" w:eastAsia="宋体" w:cs="宋体"/>
                <w:spacing w:val="18"/>
              </w:rPr>
              <w:t>2</w:t>
            </w:r>
          </w:p>
        </w:tc>
        <w:tc>
          <w:tcPr>
            <w:tcW w:w="2894" w:type="dxa"/>
            <w:vAlign w:val="top"/>
          </w:tcPr>
          <w:p w14:paraId="6EFC8CE8">
            <w:pPr>
              <w:spacing w:line="265" w:lineRule="auto"/>
              <w:rPr>
                <w:rFonts w:ascii="Arial"/>
                <w:sz w:val="21"/>
              </w:rPr>
            </w:pPr>
          </w:p>
          <w:p w14:paraId="595E8814">
            <w:pPr>
              <w:spacing w:line="265" w:lineRule="auto"/>
              <w:rPr>
                <w:rFonts w:ascii="Arial"/>
                <w:sz w:val="21"/>
              </w:rPr>
            </w:pPr>
          </w:p>
          <w:p w14:paraId="4F6AB994">
            <w:pPr>
              <w:pStyle w:val="6"/>
              <w:spacing w:before="98" w:line="196" w:lineRule="auto"/>
              <w:ind w:left="146" w:right="105" w:hanging="20"/>
            </w:pPr>
            <w:r>
              <w:rPr>
                <w:spacing w:val="1"/>
              </w:rPr>
              <w:t>给予警告，并处</w:t>
            </w:r>
            <w:r>
              <w:rPr>
                <w:rFonts w:ascii="宋体" w:hAnsi="宋体" w:eastAsia="宋体" w:cs="宋体"/>
                <w:spacing w:val="1"/>
              </w:rPr>
              <w:t>1.5</w:t>
            </w:r>
            <w:r>
              <w:rPr>
                <w:spacing w:val="1"/>
              </w:rPr>
              <w:t>万元以上</w:t>
            </w:r>
            <w:r>
              <w:rPr>
                <w:rFonts w:ascii="宋体" w:hAnsi="宋体" w:eastAsia="宋体" w:cs="宋体"/>
                <w:spacing w:val="1"/>
              </w:rPr>
              <w:t>2</w:t>
            </w:r>
            <w:r>
              <w:rPr>
                <w:spacing w:val="1"/>
              </w:rPr>
              <w:t>万元以下的罚款</w:t>
            </w:r>
          </w:p>
        </w:tc>
        <w:tc>
          <w:tcPr>
            <w:tcW w:w="811" w:type="dxa"/>
            <w:vMerge w:val="continue"/>
            <w:tcBorders>
              <w:top w:val="nil"/>
            </w:tcBorders>
            <w:vAlign w:val="top"/>
          </w:tcPr>
          <w:p w14:paraId="518C01B9">
            <w:pPr>
              <w:rPr>
                <w:rFonts w:ascii="Arial"/>
                <w:sz w:val="21"/>
              </w:rPr>
            </w:pPr>
          </w:p>
        </w:tc>
      </w:tr>
    </w:tbl>
    <w:p w14:paraId="0C709858">
      <w:pPr>
        <w:pStyle w:val="2"/>
      </w:pPr>
    </w:p>
    <w:p w14:paraId="73CC6267">
      <w:pPr>
        <w:sectPr>
          <w:footerReference r:id="rId43" w:type="default"/>
          <w:pgSz w:w="16839" w:h="11906"/>
          <w:pgMar w:top="1012" w:right="821" w:bottom="666" w:left="901" w:header="0" w:footer="388" w:gutter="0"/>
          <w:cols w:space="720" w:num="1"/>
        </w:sectPr>
      </w:pPr>
    </w:p>
    <w:p w14:paraId="4F3DB5ED">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DE5E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54D3EFA">
            <w:pPr>
              <w:spacing w:before="222" w:line="241" w:lineRule="auto"/>
              <w:ind w:left="131"/>
              <w:outlineLvl w:val="0"/>
              <w:rPr>
                <w:rFonts w:ascii="黑体" w:hAnsi="黑体" w:eastAsia="黑体" w:cs="黑体"/>
                <w:sz w:val="28"/>
                <w:szCs w:val="28"/>
              </w:rPr>
            </w:pPr>
            <w:bookmarkStart w:id="397" w:name="bookmark487"/>
            <w:bookmarkEnd w:id="397"/>
            <w:bookmarkStart w:id="398" w:name="bookmark60"/>
            <w:bookmarkEnd w:id="398"/>
            <w:r>
              <w:rPr>
                <w:rFonts w:ascii="黑体" w:hAnsi="黑体" w:eastAsia="黑体" w:cs="黑体"/>
                <w:spacing w:val="-2"/>
                <w:sz w:val="28"/>
                <w:szCs w:val="28"/>
              </w:rPr>
              <w:t>序号</w:t>
            </w:r>
          </w:p>
        </w:tc>
        <w:tc>
          <w:tcPr>
            <w:tcW w:w="1440" w:type="dxa"/>
            <w:vAlign w:val="top"/>
          </w:tcPr>
          <w:p w14:paraId="4E91BFAB">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62E9E17">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791813A">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AEB7A88">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126BDD0">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A3594AC">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EBBA35D">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B326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18" w:type="dxa"/>
            <w:vMerge w:val="restart"/>
            <w:tcBorders>
              <w:bottom w:val="nil"/>
            </w:tcBorders>
            <w:vAlign w:val="top"/>
          </w:tcPr>
          <w:p w14:paraId="1A3DFE34">
            <w:pPr>
              <w:rPr>
                <w:rFonts w:ascii="Arial"/>
                <w:sz w:val="21"/>
              </w:rPr>
            </w:pPr>
          </w:p>
        </w:tc>
        <w:tc>
          <w:tcPr>
            <w:tcW w:w="1440" w:type="dxa"/>
            <w:vMerge w:val="restart"/>
            <w:tcBorders>
              <w:bottom w:val="nil"/>
            </w:tcBorders>
            <w:vAlign w:val="top"/>
          </w:tcPr>
          <w:p w14:paraId="78854AC2">
            <w:pPr>
              <w:rPr>
                <w:rFonts w:ascii="Arial"/>
                <w:sz w:val="21"/>
              </w:rPr>
            </w:pPr>
          </w:p>
        </w:tc>
        <w:tc>
          <w:tcPr>
            <w:tcW w:w="3202" w:type="dxa"/>
            <w:vMerge w:val="restart"/>
            <w:tcBorders>
              <w:bottom w:val="nil"/>
            </w:tcBorders>
            <w:vAlign w:val="top"/>
          </w:tcPr>
          <w:p w14:paraId="15D466A0">
            <w:pPr>
              <w:rPr>
                <w:rFonts w:ascii="Arial"/>
                <w:sz w:val="21"/>
              </w:rPr>
            </w:pPr>
          </w:p>
        </w:tc>
        <w:tc>
          <w:tcPr>
            <w:tcW w:w="2859" w:type="dxa"/>
            <w:vMerge w:val="restart"/>
            <w:tcBorders>
              <w:bottom w:val="nil"/>
            </w:tcBorders>
            <w:vAlign w:val="top"/>
          </w:tcPr>
          <w:p w14:paraId="6DA17CBA">
            <w:pPr>
              <w:rPr>
                <w:rFonts w:ascii="Arial"/>
                <w:sz w:val="21"/>
              </w:rPr>
            </w:pPr>
          </w:p>
        </w:tc>
        <w:tc>
          <w:tcPr>
            <w:tcW w:w="803" w:type="dxa"/>
            <w:vAlign w:val="top"/>
          </w:tcPr>
          <w:p w14:paraId="4681CBAB">
            <w:pPr>
              <w:rPr>
                <w:rFonts w:ascii="Arial"/>
                <w:sz w:val="21"/>
              </w:rPr>
            </w:pPr>
          </w:p>
        </w:tc>
        <w:tc>
          <w:tcPr>
            <w:tcW w:w="2283" w:type="dxa"/>
            <w:vAlign w:val="top"/>
          </w:tcPr>
          <w:p w14:paraId="68486203">
            <w:pPr>
              <w:pStyle w:val="6"/>
              <w:spacing w:before="28" w:line="172" w:lineRule="auto"/>
              <w:ind w:left="124" w:right="105" w:hanging="3"/>
            </w:pPr>
            <w:r>
              <w:rPr>
                <w:spacing w:val="27"/>
              </w:rPr>
              <w:t>种情形或者涉及</w:t>
            </w:r>
            <w:r>
              <w:rPr>
                <w:rFonts w:ascii="宋体" w:hAnsi="宋体" w:eastAsia="宋体" w:cs="宋体"/>
                <w:spacing w:val="27"/>
              </w:rPr>
              <w:t>2</w:t>
            </w:r>
            <w:r>
              <w:rPr>
                <w:spacing w:val="-1"/>
              </w:rPr>
              <w:t>次的</w:t>
            </w:r>
          </w:p>
        </w:tc>
        <w:tc>
          <w:tcPr>
            <w:tcW w:w="2894" w:type="dxa"/>
            <w:vAlign w:val="top"/>
          </w:tcPr>
          <w:p w14:paraId="21D7A7EB">
            <w:pPr>
              <w:rPr>
                <w:rFonts w:ascii="Arial"/>
                <w:sz w:val="21"/>
              </w:rPr>
            </w:pPr>
          </w:p>
        </w:tc>
        <w:tc>
          <w:tcPr>
            <w:tcW w:w="811" w:type="dxa"/>
            <w:vMerge w:val="restart"/>
            <w:tcBorders>
              <w:bottom w:val="nil"/>
            </w:tcBorders>
            <w:vAlign w:val="top"/>
          </w:tcPr>
          <w:p w14:paraId="49C3CC4A">
            <w:pPr>
              <w:rPr>
                <w:rFonts w:ascii="Arial"/>
                <w:sz w:val="21"/>
              </w:rPr>
            </w:pPr>
          </w:p>
        </w:tc>
      </w:tr>
      <w:tr w14:paraId="11603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Merge w:val="continue"/>
            <w:tcBorders>
              <w:top w:val="nil"/>
            </w:tcBorders>
            <w:vAlign w:val="top"/>
          </w:tcPr>
          <w:p w14:paraId="33AF46E8">
            <w:pPr>
              <w:rPr>
                <w:rFonts w:ascii="Arial"/>
                <w:sz w:val="21"/>
              </w:rPr>
            </w:pPr>
          </w:p>
        </w:tc>
        <w:tc>
          <w:tcPr>
            <w:tcW w:w="1440" w:type="dxa"/>
            <w:vMerge w:val="continue"/>
            <w:tcBorders>
              <w:top w:val="nil"/>
            </w:tcBorders>
            <w:vAlign w:val="top"/>
          </w:tcPr>
          <w:p w14:paraId="29917039">
            <w:pPr>
              <w:rPr>
                <w:rFonts w:ascii="Arial"/>
                <w:sz w:val="21"/>
              </w:rPr>
            </w:pPr>
          </w:p>
        </w:tc>
        <w:tc>
          <w:tcPr>
            <w:tcW w:w="3202" w:type="dxa"/>
            <w:vMerge w:val="continue"/>
            <w:tcBorders>
              <w:top w:val="nil"/>
            </w:tcBorders>
            <w:vAlign w:val="top"/>
          </w:tcPr>
          <w:p w14:paraId="605FD68E">
            <w:pPr>
              <w:rPr>
                <w:rFonts w:ascii="Arial"/>
                <w:sz w:val="21"/>
              </w:rPr>
            </w:pPr>
          </w:p>
        </w:tc>
        <w:tc>
          <w:tcPr>
            <w:tcW w:w="2859" w:type="dxa"/>
            <w:vMerge w:val="continue"/>
            <w:tcBorders>
              <w:top w:val="nil"/>
            </w:tcBorders>
            <w:vAlign w:val="top"/>
          </w:tcPr>
          <w:p w14:paraId="1CAE1837">
            <w:pPr>
              <w:rPr>
                <w:rFonts w:ascii="Arial"/>
                <w:sz w:val="21"/>
              </w:rPr>
            </w:pPr>
          </w:p>
        </w:tc>
        <w:tc>
          <w:tcPr>
            <w:tcW w:w="803" w:type="dxa"/>
            <w:vAlign w:val="top"/>
          </w:tcPr>
          <w:p w14:paraId="0D5BF528">
            <w:pPr>
              <w:spacing w:line="260" w:lineRule="auto"/>
              <w:rPr>
                <w:rFonts w:ascii="Arial"/>
                <w:sz w:val="21"/>
              </w:rPr>
            </w:pPr>
          </w:p>
          <w:p w14:paraId="05043577">
            <w:pPr>
              <w:spacing w:line="260" w:lineRule="auto"/>
              <w:rPr>
                <w:rFonts w:ascii="Arial"/>
                <w:sz w:val="21"/>
              </w:rPr>
            </w:pPr>
          </w:p>
          <w:p w14:paraId="447D4940">
            <w:pPr>
              <w:spacing w:line="261" w:lineRule="auto"/>
              <w:rPr>
                <w:rFonts w:ascii="Arial"/>
                <w:sz w:val="21"/>
              </w:rPr>
            </w:pPr>
          </w:p>
          <w:p w14:paraId="14D80A84">
            <w:pPr>
              <w:spacing w:line="261" w:lineRule="auto"/>
              <w:rPr>
                <w:rFonts w:ascii="Arial"/>
                <w:sz w:val="21"/>
              </w:rPr>
            </w:pPr>
          </w:p>
          <w:p w14:paraId="052A8357">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2D0FD477">
            <w:pPr>
              <w:pStyle w:val="6"/>
              <w:spacing w:before="26" w:line="180" w:lineRule="auto"/>
              <w:ind w:left="112" w:right="105" w:firstLine="18"/>
              <w:jc w:val="both"/>
            </w:pPr>
            <w:r>
              <w:rPr>
                <w:spacing w:val="24"/>
              </w:rPr>
              <w:t>生产经营单位非法</w:t>
            </w:r>
            <w:r>
              <w:rPr>
                <w:spacing w:val="-2"/>
              </w:rPr>
              <w:t>印制、伪造、倒卖特种作业操作证，或者</w:t>
            </w:r>
            <w:r>
              <w:rPr>
                <w:spacing w:val="26"/>
              </w:rPr>
              <w:t>使用非法印制、伪</w:t>
            </w:r>
            <w:r>
              <w:rPr>
                <w:spacing w:val="-2"/>
              </w:rPr>
              <w:t>造、倒卖的特种作业</w:t>
            </w:r>
            <w:r>
              <w:rPr>
                <w:spacing w:val="17"/>
              </w:rPr>
              <w:t>操作证，有上述</w:t>
            </w:r>
            <w:r>
              <w:rPr>
                <w:rFonts w:ascii="宋体" w:hAnsi="宋体" w:eastAsia="宋体" w:cs="宋体"/>
                <w:spacing w:val="17"/>
              </w:rPr>
              <w:t>3</w:t>
            </w:r>
            <w:r>
              <w:rPr>
                <w:spacing w:val="26"/>
              </w:rPr>
              <w:t>种以上情形或者涉</w:t>
            </w:r>
            <w:r>
              <w:rPr>
                <w:spacing w:val="2"/>
              </w:rPr>
              <w:t>及</w:t>
            </w:r>
            <w:r>
              <w:rPr>
                <w:rFonts w:ascii="宋体" w:hAnsi="宋体" w:eastAsia="宋体" w:cs="宋体"/>
                <w:spacing w:val="2"/>
              </w:rPr>
              <w:t>3</w:t>
            </w:r>
            <w:r>
              <w:rPr>
                <w:spacing w:val="2"/>
              </w:rPr>
              <w:t>次以上的</w:t>
            </w:r>
          </w:p>
        </w:tc>
        <w:tc>
          <w:tcPr>
            <w:tcW w:w="2894" w:type="dxa"/>
            <w:vAlign w:val="top"/>
          </w:tcPr>
          <w:p w14:paraId="4370A1C2">
            <w:pPr>
              <w:spacing w:line="275" w:lineRule="auto"/>
              <w:rPr>
                <w:rFonts w:ascii="Arial"/>
                <w:sz w:val="21"/>
              </w:rPr>
            </w:pPr>
          </w:p>
          <w:p w14:paraId="0B43A370">
            <w:pPr>
              <w:spacing w:line="275" w:lineRule="auto"/>
              <w:rPr>
                <w:rFonts w:ascii="Arial"/>
                <w:sz w:val="21"/>
              </w:rPr>
            </w:pPr>
          </w:p>
          <w:p w14:paraId="6F189869">
            <w:pPr>
              <w:spacing w:line="276" w:lineRule="auto"/>
              <w:rPr>
                <w:rFonts w:ascii="Arial"/>
                <w:sz w:val="21"/>
              </w:rPr>
            </w:pPr>
          </w:p>
          <w:p w14:paraId="090A4180">
            <w:pPr>
              <w:pStyle w:val="6"/>
              <w:spacing w:before="98" w:line="196" w:lineRule="auto"/>
              <w:ind w:left="124" w:right="106" w:firstLine="1"/>
            </w:pPr>
            <w:r>
              <w:rPr>
                <w:spacing w:val="3"/>
              </w:rPr>
              <w:t>给予警告，并处</w:t>
            </w:r>
            <w:r>
              <w:rPr>
                <w:rFonts w:ascii="宋体" w:hAnsi="宋体" w:eastAsia="宋体" w:cs="宋体"/>
                <w:spacing w:val="3"/>
              </w:rPr>
              <w:t>2</w:t>
            </w:r>
            <w:r>
              <w:rPr>
                <w:spacing w:val="3"/>
              </w:rPr>
              <w:t>万元以</w:t>
            </w:r>
            <w:r>
              <w:rPr>
                <w:spacing w:val="2"/>
              </w:rPr>
              <w:t>上</w:t>
            </w:r>
            <w:r>
              <w:rPr>
                <w:rFonts w:ascii="宋体" w:hAnsi="宋体" w:eastAsia="宋体" w:cs="宋体"/>
                <w:spacing w:val="2"/>
              </w:rPr>
              <w:t>3</w:t>
            </w:r>
            <w:r>
              <w:rPr>
                <w:spacing w:val="2"/>
              </w:rPr>
              <w:t>万元以下的罚款</w:t>
            </w:r>
          </w:p>
        </w:tc>
        <w:tc>
          <w:tcPr>
            <w:tcW w:w="811" w:type="dxa"/>
            <w:vMerge w:val="continue"/>
            <w:tcBorders>
              <w:top w:val="nil"/>
            </w:tcBorders>
            <w:vAlign w:val="top"/>
          </w:tcPr>
          <w:p w14:paraId="737D82AC">
            <w:pPr>
              <w:rPr>
                <w:rFonts w:ascii="Arial"/>
                <w:sz w:val="21"/>
              </w:rPr>
            </w:pPr>
          </w:p>
        </w:tc>
      </w:tr>
      <w:tr w14:paraId="02CCB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4" w:hRule="atLeast"/>
        </w:trPr>
        <w:tc>
          <w:tcPr>
            <w:tcW w:w="818" w:type="dxa"/>
            <w:vMerge w:val="restart"/>
            <w:tcBorders>
              <w:bottom w:val="nil"/>
            </w:tcBorders>
            <w:vAlign w:val="top"/>
          </w:tcPr>
          <w:p w14:paraId="21C80719">
            <w:pPr>
              <w:spacing w:line="242" w:lineRule="auto"/>
              <w:rPr>
                <w:rFonts w:ascii="Arial"/>
                <w:sz w:val="21"/>
              </w:rPr>
            </w:pPr>
          </w:p>
          <w:p w14:paraId="29C28189">
            <w:pPr>
              <w:spacing w:line="242" w:lineRule="auto"/>
              <w:rPr>
                <w:rFonts w:ascii="Arial"/>
                <w:sz w:val="21"/>
              </w:rPr>
            </w:pPr>
          </w:p>
          <w:p w14:paraId="189199A7">
            <w:pPr>
              <w:spacing w:line="242" w:lineRule="auto"/>
              <w:rPr>
                <w:rFonts w:ascii="Arial"/>
                <w:sz w:val="21"/>
              </w:rPr>
            </w:pPr>
          </w:p>
          <w:p w14:paraId="65B75B01">
            <w:pPr>
              <w:spacing w:line="242" w:lineRule="auto"/>
              <w:rPr>
                <w:rFonts w:ascii="Arial"/>
                <w:sz w:val="21"/>
              </w:rPr>
            </w:pPr>
          </w:p>
          <w:p w14:paraId="27D3F6AD">
            <w:pPr>
              <w:spacing w:line="242" w:lineRule="auto"/>
              <w:rPr>
                <w:rFonts w:ascii="Arial"/>
                <w:sz w:val="21"/>
              </w:rPr>
            </w:pPr>
          </w:p>
          <w:p w14:paraId="22AA0660">
            <w:pPr>
              <w:spacing w:line="243" w:lineRule="auto"/>
              <w:rPr>
                <w:rFonts w:ascii="Arial"/>
                <w:sz w:val="21"/>
              </w:rPr>
            </w:pPr>
          </w:p>
          <w:p w14:paraId="4E6E6839">
            <w:pPr>
              <w:spacing w:line="243" w:lineRule="auto"/>
              <w:rPr>
                <w:rFonts w:ascii="Arial"/>
                <w:sz w:val="21"/>
              </w:rPr>
            </w:pPr>
          </w:p>
          <w:p w14:paraId="36DC5B67">
            <w:pPr>
              <w:spacing w:line="243" w:lineRule="auto"/>
              <w:rPr>
                <w:rFonts w:ascii="Arial"/>
                <w:sz w:val="21"/>
              </w:rPr>
            </w:pPr>
          </w:p>
          <w:p w14:paraId="56E5508F">
            <w:pPr>
              <w:spacing w:line="243" w:lineRule="auto"/>
              <w:rPr>
                <w:rFonts w:ascii="Arial"/>
                <w:sz w:val="21"/>
              </w:rPr>
            </w:pPr>
          </w:p>
          <w:p w14:paraId="7EFAEBEE">
            <w:pPr>
              <w:spacing w:line="243" w:lineRule="auto"/>
              <w:rPr>
                <w:rFonts w:ascii="Arial"/>
                <w:sz w:val="21"/>
              </w:rPr>
            </w:pPr>
          </w:p>
          <w:p w14:paraId="549C9D16">
            <w:pPr>
              <w:spacing w:line="243" w:lineRule="auto"/>
              <w:rPr>
                <w:rFonts w:ascii="Arial"/>
                <w:sz w:val="21"/>
              </w:rPr>
            </w:pPr>
          </w:p>
          <w:p w14:paraId="0669040C">
            <w:pPr>
              <w:spacing w:line="243" w:lineRule="auto"/>
              <w:rPr>
                <w:rFonts w:ascii="Arial"/>
                <w:sz w:val="21"/>
              </w:rPr>
            </w:pPr>
          </w:p>
          <w:p w14:paraId="74AC212F">
            <w:pPr>
              <w:spacing w:before="75" w:line="185" w:lineRule="auto"/>
              <w:ind w:left="237"/>
              <w:rPr>
                <w:rFonts w:ascii="仿宋" w:hAnsi="仿宋" w:eastAsia="仿宋" w:cs="仿宋"/>
                <w:sz w:val="23"/>
                <w:szCs w:val="23"/>
              </w:rPr>
            </w:pPr>
            <w:r>
              <w:rPr>
                <w:rFonts w:ascii="仿宋" w:hAnsi="仿宋" w:eastAsia="仿宋" w:cs="仿宋"/>
                <w:spacing w:val="-3"/>
                <w:sz w:val="23"/>
                <w:szCs w:val="23"/>
              </w:rPr>
              <w:t>28</w:t>
            </w:r>
          </w:p>
        </w:tc>
        <w:tc>
          <w:tcPr>
            <w:tcW w:w="1440" w:type="dxa"/>
            <w:vMerge w:val="restart"/>
            <w:tcBorders>
              <w:bottom w:val="nil"/>
            </w:tcBorders>
            <w:vAlign w:val="top"/>
          </w:tcPr>
          <w:p w14:paraId="59A8A611">
            <w:pPr>
              <w:spacing w:line="249" w:lineRule="auto"/>
              <w:rPr>
                <w:rFonts w:ascii="Arial"/>
                <w:sz w:val="21"/>
              </w:rPr>
            </w:pPr>
          </w:p>
          <w:p w14:paraId="79890C7F">
            <w:pPr>
              <w:spacing w:line="250" w:lineRule="auto"/>
              <w:rPr>
                <w:rFonts w:ascii="Arial"/>
                <w:sz w:val="21"/>
              </w:rPr>
            </w:pPr>
          </w:p>
          <w:p w14:paraId="45E6A9C1">
            <w:pPr>
              <w:spacing w:line="250" w:lineRule="auto"/>
              <w:rPr>
                <w:rFonts w:ascii="Arial"/>
                <w:sz w:val="21"/>
              </w:rPr>
            </w:pPr>
          </w:p>
          <w:p w14:paraId="1CF407F6">
            <w:pPr>
              <w:spacing w:line="250" w:lineRule="auto"/>
              <w:rPr>
                <w:rFonts w:ascii="Arial"/>
                <w:sz w:val="21"/>
              </w:rPr>
            </w:pPr>
          </w:p>
          <w:p w14:paraId="5C39AB91">
            <w:pPr>
              <w:spacing w:line="250" w:lineRule="auto"/>
              <w:rPr>
                <w:rFonts w:ascii="Arial"/>
                <w:sz w:val="21"/>
              </w:rPr>
            </w:pPr>
          </w:p>
          <w:p w14:paraId="33A0237F">
            <w:pPr>
              <w:spacing w:line="250" w:lineRule="auto"/>
              <w:rPr>
                <w:rFonts w:ascii="Arial"/>
                <w:sz w:val="21"/>
              </w:rPr>
            </w:pPr>
          </w:p>
          <w:p w14:paraId="7936C4CB">
            <w:pPr>
              <w:pStyle w:val="6"/>
              <w:spacing w:before="98" w:line="185" w:lineRule="auto"/>
              <w:ind w:left="115" w:right="111" w:firstLine="13"/>
            </w:pPr>
            <w:r>
              <w:rPr>
                <w:spacing w:val="8"/>
              </w:rPr>
              <w:t>生产经营单</w:t>
            </w:r>
            <w:r>
              <w:rPr>
                <w:spacing w:val="11"/>
              </w:rPr>
              <w:t>位未按照规定对金属冶炼建设项目或者用于生</w:t>
            </w:r>
            <w:r>
              <w:rPr>
                <w:spacing w:val="5"/>
              </w:rPr>
              <w:t>产、储存、</w:t>
            </w:r>
            <w:r>
              <w:rPr>
                <w:spacing w:val="11"/>
              </w:rPr>
              <w:t>装卸危险物品的建设项目进行安全</w:t>
            </w:r>
            <w:r>
              <w:rPr>
                <w:spacing w:val="5"/>
              </w:rPr>
              <w:t>评价的</w:t>
            </w:r>
          </w:p>
        </w:tc>
        <w:tc>
          <w:tcPr>
            <w:tcW w:w="3202" w:type="dxa"/>
            <w:vMerge w:val="restart"/>
            <w:tcBorders>
              <w:bottom w:val="nil"/>
            </w:tcBorders>
            <w:vAlign w:val="top"/>
          </w:tcPr>
          <w:p w14:paraId="6BB98939">
            <w:pPr>
              <w:pStyle w:val="6"/>
              <w:spacing w:before="33" w:line="186" w:lineRule="auto"/>
              <w:ind w:left="116" w:right="110" w:hanging="18"/>
            </w:pPr>
            <w:r>
              <w:rPr>
                <w:spacing w:val="18"/>
              </w:rPr>
              <w:t>【法律】《中华人民共和国</w:t>
            </w:r>
            <w:r>
              <w:rPr>
                <w:spacing w:val="13"/>
              </w:rPr>
              <w:t>安全生产法》第三十二条：</w:t>
            </w:r>
            <w:r>
              <w:rPr>
                <w:spacing w:val="17"/>
              </w:rPr>
              <w:t>矿山、金属冶炼建设项目和用于生产、储存、装卸危险</w:t>
            </w:r>
            <w:r>
              <w:rPr>
                <w:spacing w:val="13"/>
              </w:rPr>
              <w:t>物品的建设项目，应当按照</w:t>
            </w:r>
            <w:r>
              <w:rPr>
                <w:spacing w:val="39"/>
              </w:rPr>
              <w:t>国家有关规定进行安全评</w:t>
            </w:r>
            <w:r>
              <w:rPr>
                <w:spacing w:val="-7"/>
              </w:rPr>
              <w:t>价。</w:t>
            </w:r>
          </w:p>
        </w:tc>
        <w:tc>
          <w:tcPr>
            <w:tcW w:w="2859" w:type="dxa"/>
            <w:vMerge w:val="restart"/>
            <w:tcBorders>
              <w:bottom w:val="nil"/>
            </w:tcBorders>
            <w:vAlign w:val="top"/>
          </w:tcPr>
          <w:p w14:paraId="73E93F80">
            <w:pPr>
              <w:pStyle w:val="6"/>
              <w:spacing w:before="22" w:line="184" w:lineRule="auto"/>
              <w:ind w:left="115" w:right="110" w:hanging="18"/>
            </w:pPr>
            <w:r>
              <w:rPr>
                <w:spacing w:val="10"/>
              </w:rPr>
              <w:t>【法律】《中华人民共和</w:t>
            </w:r>
            <w:r>
              <w:rPr>
                <w:spacing w:val="8"/>
              </w:rPr>
              <w:t>国安全生产法》第九十八条第一项：生产经营单位有下列行为之一的，责令停止建设或者停产停业整顿，限期改正，并处十万元以上五十万元以下的罚款，对其直接负责的主管人员和其他直接责任人员处二万元以上五万元以下</w:t>
            </w:r>
            <w:r>
              <w:rPr>
                <w:spacing w:val="4"/>
              </w:rPr>
              <w:t>的罚款；逾期未改正的，</w:t>
            </w:r>
            <w:r>
              <w:rPr>
                <w:spacing w:val="8"/>
              </w:rPr>
              <w:t>处五十万元以上一百万元以下的罚款，对其直接负责的主管人员和其他直接责任人员处五万元以上十万元以下的罚款；构成犯罪的，依照刑法有关规定</w:t>
            </w:r>
            <w:r>
              <w:rPr>
                <w:spacing w:val="-1"/>
              </w:rPr>
              <w:t>追究刑事责任</w:t>
            </w:r>
            <w:r>
              <w:rPr>
                <w:spacing w:val="-4"/>
              </w:rPr>
              <w:t>：（</w:t>
            </w:r>
            <w:r>
              <w:rPr>
                <w:spacing w:val="-1"/>
              </w:rPr>
              <w:t>一）未</w:t>
            </w:r>
            <w:r>
              <w:rPr>
                <w:spacing w:val="8"/>
              </w:rPr>
              <w:t>按照规定对矿山、金属冶</w:t>
            </w:r>
            <w:r>
              <w:rPr>
                <w:spacing w:val="32"/>
              </w:rPr>
              <w:t>炼建设项目或者用于生</w:t>
            </w:r>
          </w:p>
        </w:tc>
        <w:tc>
          <w:tcPr>
            <w:tcW w:w="803" w:type="dxa"/>
            <w:vAlign w:val="top"/>
          </w:tcPr>
          <w:p w14:paraId="43D15639">
            <w:pPr>
              <w:spacing w:line="244" w:lineRule="auto"/>
              <w:rPr>
                <w:rFonts w:ascii="Arial"/>
                <w:sz w:val="21"/>
              </w:rPr>
            </w:pPr>
          </w:p>
          <w:p w14:paraId="22B5265A">
            <w:pPr>
              <w:spacing w:line="244" w:lineRule="auto"/>
              <w:rPr>
                <w:rFonts w:ascii="Arial"/>
                <w:sz w:val="21"/>
              </w:rPr>
            </w:pPr>
          </w:p>
          <w:p w14:paraId="6376E999">
            <w:pPr>
              <w:spacing w:line="244" w:lineRule="auto"/>
              <w:rPr>
                <w:rFonts w:ascii="Arial"/>
                <w:sz w:val="21"/>
              </w:rPr>
            </w:pPr>
          </w:p>
          <w:p w14:paraId="0F3FB50E">
            <w:pPr>
              <w:spacing w:line="244" w:lineRule="auto"/>
              <w:rPr>
                <w:rFonts w:ascii="Arial"/>
                <w:sz w:val="21"/>
              </w:rPr>
            </w:pPr>
          </w:p>
          <w:p w14:paraId="3917A7EA">
            <w:pPr>
              <w:spacing w:line="244" w:lineRule="auto"/>
              <w:rPr>
                <w:rFonts w:ascii="Arial"/>
                <w:sz w:val="21"/>
              </w:rPr>
            </w:pPr>
          </w:p>
          <w:p w14:paraId="01DC2058">
            <w:pPr>
              <w:spacing w:line="244" w:lineRule="auto"/>
              <w:rPr>
                <w:rFonts w:ascii="Arial"/>
                <w:sz w:val="21"/>
              </w:rPr>
            </w:pPr>
          </w:p>
          <w:p w14:paraId="17E2A778">
            <w:pPr>
              <w:spacing w:line="244" w:lineRule="auto"/>
              <w:rPr>
                <w:rFonts w:ascii="Arial"/>
                <w:sz w:val="21"/>
              </w:rPr>
            </w:pPr>
          </w:p>
          <w:p w14:paraId="127658D1">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1910080">
            <w:pPr>
              <w:spacing w:line="249" w:lineRule="auto"/>
              <w:rPr>
                <w:rFonts w:ascii="Arial"/>
                <w:sz w:val="21"/>
              </w:rPr>
            </w:pPr>
          </w:p>
          <w:p w14:paraId="291524BD">
            <w:pPr>
              <w:spacing w:line="249" w:lineRule="auto"/>
              <w:rPr>
                <w:rFonts w:ascii="Arial"/>
                <w:sz w:val="21"/>
              </w:rPr>
            </w:pPr>
          </w:p>
          <w:p w14:paraId="0D1A60CE">
            <w:pPr>
              <w:spacing w:line="249" w:lineRule="auto"/>
              <w:rPr>
                <w:rFonts w:ascii="Arial"/>
                <w:sz w:val="21"/>
              </w:rPr>
            </w:pPr>
          </w:p>
          <w:p w14:paraId="06AB9CB0">
            <w:pPr>
              <w:spacing w:line="249" w:lineRule="auto"/>
              <w:rPr>
                <w:rFonts w:ascii="Arial"/>
                <w:sz w:val="21"/>
              </w:rPr>
            </w:pPr>
          </w:p>
          <w:p w14:paraId="57559299">
            <w:pPr>
              <w:spacing w:line="249" w:lineRule="auto"/>
              <w:rPr>
                <w:rFonts w:ascii="Arial"/>
                <w:sz w:val="21"/>
              </w:rPr>
            </w:pPr>
          </w:p>
          <w:p w14:paraId="79148414">
            <w:pPr>
              <w:spacing w:line="249" w:lineRule="auto"/>
              <w:rPr>
                <w:rFonts w:ascii="Arial"/>
                <w:sz w:val="21"/>
              </w:rPr>
            </w:pPr>
          </w:p>
          <w:p w14:paraId="3BDC9765">
            <w:pPr>
              <w:pStyle w:val="6"/>
              <w:spacing w:before="98" w:line="182" w:lineRule="auto"/>
              <w:ind w:left="117"/>
            </w:pPr>
            <w:r>
              <w:rPr>
                <w:spacing w:val="-9"/>
              </w:rPr>
              <w:t>建设项目投资额</w:t>
            </w:r>
          </w:p>
          <w:p w14:paraId="2D9C5C40">
            <w:pPr>
              <w:pStyle w:val="6"/>
              <w:spacing w:before="1" w:line="208" w:lineRule="auto"/>
              <w:ind w:left="131"/>
            </w:pPr>
            <w:r>
              <w:rPr>
                <w:rFonts w:ascii="宋体" w:hAnsi="宋体" w:eastAsia="宋体" w:cs="宋体"/>
                <w:spacing w:val="1"/>
              </w:rPr>
              <w:t>1000</w:t>
            </w:r>
            <w:r>
              <w:rPr>
                <w:spacing w:val="1"/>
              </w:rPr>
              <w:t>万元以下的</w:t>
            </w:r>
          </w:p>
        </w:tc>
        <w:tc>
          <w:tcPr>
            <w:tcW w:w="2894" w:type="dxa"/>
            <w:vAlign w:val="top"/>
          </w:tcPr>
          <w:p w14:paraId="0F320E41">
            <w:pPr>
              <w:pStyle w:val="6"/>
              <w:spacing w:before="103" w:line="184" w:lineRule="auto"/>
              <w:ind w:left="120" w:right="103" w:firstLine="7"/>
              <w:jc w:val="both"/>
            </w:pPr>
            <w:r>
              <w:rPr>
                <w:spacing w:val="10"/>
              </w:rPr>
              <w:t>责令停止建设或者停产停</w:t>
            </w:r>
            <w:r>
              <w:rPr>
                <w:spacing w:val="8"/>
              </w:rPr>
              <w:t>业整顿，限期改正，并处</w:t>
            </w:r>
            <w:r>
              <w:rPr>
                <w:rFonts w:ascii="宋体" w:hAnsi="宋体" w:eastAsia="宋体" w:cs="宋体"/>
                <w:spacing w:val="5"/>
              </w:rPr>
              <w:t>10</w:t>
            </w:r>
            <w:r>
              <w:rPr>
                <w:spacing w:val="5"/>
              </w:rPr>
              <w:t>万元以上</w:t>
            </w:r>
            <w:r>
              <w:rPr>
                <w:rFonts w:ascii="宋体" w:hAnsi="宋体" w:eastAsia="宋体" w:cs="宋体"/>
                <w:spacing w:val="5"/>
              </w:rPr>
              <w:t>30</w:t>
            </w:r>
            <w:r>
              <w:rPr>
                <w:spacing w:val="5"/>
              </w:rPr>
              <w:t>万元以下</w:t>
            </w:r>
            <w:r>
              <w:rPr>
                <w:spacing w:val="8"/>
              </w:rPr>
              <w:t>的罚款，对其直接负责的</w:t>
            </w:r>
            <w:r>
              <w:rPr>
                <w:spacing w:val="11"/>
              </w:rPr>
              <w:t>主管人员和其他直接责任</w:t>
            </w:r>
            <w:r>
              <w:rPr>
                <w:spacing w:val="4"/>
              </w:rPr>
              <w:t>人员处</w:t>
            </w:r>
            <w:r>
              <w:rPr>
                <w:rFonts w:ascii="宋体" w:hAnsi="宋体" w:eastAsia="宋体" w:cs="宋体"/>
                <w:spacing w:val="4"/>
              </w:rPr>
              <w:t>2</w:t>
            </w:r>
            <w:r>
              <w:rPr>
                <w:spacing w:val="4"/>
              </w:rPr>
              <w:t>万元以上</w:t>
            </w:r>
            <w:r>
              <w:rPr>
                <w:rFonts w:ascii="宋体" w:hAnsi="宋体" w:eastAsia="宋体" w:cs="宋体"/>
                <w:spacing w:val="4"/>
              </w:rPr>
              <w:t>3</w:t>
            </w:r>
            <w:r>
              <w:rPr>
                <w:spacing w:val="4"/>
              </w:rPr>
              <w:t>万元</w:t>
            </w:r>
            <w:r>
              <w:rPr>
                <w:spacing w:val="8"/>
              </w:rPr>
              <w:t>以下的罚款；逾期未改正</w:t>
            </w:r>
            <w:r>
              <w:rPr>
                <w:spacing w:val="-1"/>
              </w:rPr>
              <w:t>的，处</w:t>
            </w:r>
            <w:r>
              <w:rPr>
                <w:rFonts w:ascii="宋体" w:hAnsi="宋体" w:eastAsia="宋体" w:cs="宋体"/>
                <w:spacing w:val="-1"/>
              </w:rPr>
              <w:t>50</w:t>
            </w:r>
            <w:r>
              <w:rPr>
                <w:spacing w:val="-1"/>
              </w:rPr>
              <w:t>万元以上</w:t>
            </w:r>
            <w:r>
              <w:rPr>
                <w:rFonts w:ascii="宋体" w:hAnsi="宋体" w:eastAsia="宋体" w:cs="宋体"/>
                <w:spacing w:val="-1"/>
              </w:rPr>
              <w:t>70</w:t>
            </w:r>
            <w:r>
              <w:rPr>
                <w:spacing w:val="-1"/>
              </w:rPr>
              <w:t>万</w:t>
            </w:r>
            <w:r>
              <w:rPr>
                <w:spacing w:val="8"/>
              </w:rPr>
              <w:t>元以下的罚款，对其直接</w:t>
            </w:r>
            <w:r>
              <w:rPr>
                <w:spacing w:val="11"/>
              </w:rPr>
              <w:t>负责的主管人员和其他直</w:t>
            </w:r>
            <w:r>
              <w:rPr>
                <w:spacing w:val="4"/>
              </w:rPr>
              <w:t>接责任人员处</w:t>
            </w:r>
            <w:r>
              <w:rPr>
                <w:rFonts w:ascii="宋体" w:hAnsi="宋体" w:eastAsia="宋体" w:cs="宋体"/>
                <w:spacing w:val="4"/>
              </w:rPr>
              <w:t>5</w:t>
            </w:r>
            <w:r>
              <w:rPr>
                <w:spacing w:val="4"/>
              </w:rPr>
              <w:t>万元以上</w:t>
            </w:r>
            <w:r>
              <w:rPr>
                <w:rFonts w:ascii="宋体" w:hAnsi="宋体" w:eastAsia="宋体" w:cs="宋体"/>
                <w:spacing w:val="4"/>
              </w:rPr>
              <w:t>7</w:t>
            </w:r>
            <w:r>
              <w:rPr>
                <w:spacing w:val="4"/>
              </w:rPr>
              <w:t>万元以下的罚款</w:t>
            </w:r>
          </w:p>
        </w:tc>
        <w:tc>
          <w:tcPr>
            <w:tcW w:w="811" w:type="dxa"/>
            <w:vMerge w:val="restart"/>
            <w:tcBorders>
              <w:bottom w:val="nil"/>
            </w:tcBorders>
            <w:vAlign w:val="top"/>
          </w:tcPr>
          <w:p w14:paraId="3D6F056F">
            <w:pPr>
              <w:spacing w:line="242" w:lineRule="auto"/>
              <w:rPr>
                <w:rFonts w:ascii="Arial"/>
                <w:sz w:val="21"/>
              </w:rPr>
            </w:pPr>
          </w:p>
          <w:p w14:paraId="61B17FC0">
            <w:pPr>
              <w:spacing w:line="242" w:lineRule="auto"/>
              <w:rPr>
                <w:rFonts w:ascii="Arial"/>
                <w:sz w:val="21"/>
              </w:rPr>
            </w:pPr>
          </w:p>
          <w:p w14:paraId="76D4D828">
            <w:pPr>
              <w:spacing w:line="242" w:lineRule="auto"/>
              <w:rPr>
                <w:rFonts w:ascii="Arial"/>
                <w:sz w:val="21"/>
              </w:rPr>
            </w:pPr>
          </w:p>
          <w:p w14:paraId="58A148CD">
            <w:pPr>
              <w:spacing w:line="242" w:lineRule="auto"/>
              <w:rPr>
                <w:rFonts w:ascii="Arial"/>
                <w:sz w:val="21"/>
              </w:rPr>
            </w:pPr>
          </w:p>
          <w:p w14:paraId="1EFE0C88">
            <w:pPr>
              <w:spacing w:line="242" w:lineRule="auto"/>
              <w:rPr>
                <w:rFonts w:ascii="Arial"/>
                <w:sz w:val="21"/>
              </w:rPr>
            </w:pPr>
          </w:p>
          <w:p w14:paraId="3B1B97E7">
            <w:pPr>
              <w:spacing w:line="242" w:lineRule="auto"/>
              <w:rPr>
                <w:rFonts w:ascii="Arial"/>
                <w:sz w:val="21"/>
              </w:rPr>
            </w:pPr>
          </w:p>
          <w:p w14:paraId="5E4A796B">
            <w:pPr>
              <w:spacing w:line="242" w:lineRule="auto"/>
              <w:rPr>
                <w:rFonts w:ascii="Arial"/>
                <w:sz w:val="21"/>
              </w:rPr>
            </w:pPr>
          </w:p>
          <w:p w14:paraId="1981DEBA">
            <w:pPr>
              <w:spacing w:line="242" w:lineRule="auto"/>
              <w:rPr>
                <w:rFonts w:ascii="Arial"/>
                <w:sz w:val="21"/>
              </w:rPr>
            </w:pPr>
          </w:p>
          <w:p w14:paraId="06197D15">
            <w:pPr>
              <w:spacing w:line="243" w:lineRule="auto"/>
              <w:rPr>
                <w:rFonts w:ascii="Arial"/>
                <w:sz w:val="21"/>
              </w:rPr>
            </w:pPr>
          </w:p>
          <w:p w14:paraId="36C421AA">
            <w:pPr>
              <w:spacing w:line="243" w:lineRule="auto"/>
              <w:rPr>
                <w:rFonts w:ascii="Arial"/>
                <w:sz w:val="21"/>
              </w:rPr>
            </w:pPr>
          </w:p>
          <w:p w14:paraId="2ABB3DFC">
            <w:pPr>
              <w:spacing w:line="243" w:lineRule="auto"/>
              <w:rPr>
                <w:rFonts w:ascii="Arial"/>
                <w:sz w:val="21"/>
              </w:rPr>
            </w:pPr>
          </w:p>
          <w:p w14:paraId="11D2F116">
            <w:pPr>
              <w:spacing w:line="243" w:lineRule="auto"/>
              <w:rPr>
                <w:rFonts w:ascii="Arial"/>
                <w:sz w:val="21"/>
              </w:rPr>
            </w:pPr>
          </w:p>
          <w:p w14:paraId="469F4563">
            <w:pPr>
              <w:spacing w:before="74" w:line="188" w:lineRule="auto"/>
              <w:ind w:left="293"/>
              <w:rPr>
                <w:rFonts w:ascii="宋体" w:hAnsi="宋体" w:eastAsia="宋体" w:cs="宋体"/>
                <w:sz w:val="23"/>
                <w:szCs w:val="23"/>
              </w:rPr>
            </w:pPr>
            <w:r>
              <w:rPr>
                <w:rFonts w:ascii="宋体" w:hAnsi="宋体" w:eastAsia="宋体" w:cs="宋体"/>
                <w:spacing w:val="-3"/>
                <w:sz w:val="23"/>
                <w:szCs w:val="23"/>
              </w:rPr>
              <w:t>20</w:t>
            </w:r>
          </w:p>
        </w:tc>
      </w:tr>
      <w:tr w14:paraId="1A380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7" w:hRule="atLeast"/>
        </w:trPr>
        <w:tc>
          <w:tcPr>
            <w:tcW w:w="818" w:type="dxa"/>
            <w:vMerge w:val="continue"/>
            <w:tcBorders>
              <w:top w:val="nil"/>
            </w:tcBorders>
            <w:vAlign w:val="top"/>
          </w:tcPr>
          <w:p w14:paraId="020ECA35">
            <w:pPr>
              <w:rPr>
                <w:rFonts w:ascii="Arial"/>
                <w:sz w:val="21"/>
              </w:rPr>
            </w:pPr>
          </w:p>
        </w:tc>
        <w:tc>
          <w:tcPr>
            <w:tcW w:w="1440" w:type="dxa"/>
            <w:vMerge w:val="continue"/>
            <w:tcBorders>
              <w:top w:val="nil"/>
            </w:tcBorders>
            <w:vAlign w:val="top"/>
          </w:tcPr>
          <w:p w14:paraId="7019C57C">
            <w:pPr>
              <w:rPr>
                <w:rFonts w:ascii="Arial"/>
                <w:sz w:val="21"/>
              </w:rPr>
            </w:pPr>
          </w:p>
        </w:tc>
        <w:tc>
          <w:tcPr>
            <w:tcW w:w="3202" w:type="dxa"/>
            <w:vMerge w:val="continue"/>
            <w:tcBorders>
              <w:top w:val="nil"/>
            </w:tcBorders>
            <w:vAlign w:val="top"/>
          </w:tcPr>
          <w:p w14:paraId="56FAE418">
            <w:pPr>
              <w:rPr>
                <w:rFonts w:ascii="Arial"/>
                <w:sz w:val="21"/>
              </w:rPr>
            </w:pPr>
          </w:p>
        </w:tc>
        <w:tc>
          <w:tcPr>
            <w:tcW w:w="2859" w:type="dxa"/>
            <w:vMerge w:val="continue"/>
            <w:tcBorders>
              <w:top w:val="nil"/>
            </w:tcBorders>
            <w:vAlign w:val="top"/>
          </w:tcPr>
          <w:p w14:paraId="66CD3CFA">
            <w:pPr>
              <w:rPr>
                <w:rFonts w:ascii="Arial"/>
                <w:sz w:val="21"/>
              </w:rPr>
            </w:pPr>
          </w:p>
        </w:tc>
        <w:tc>
          <w:tcPr>
            <w:tcW w:w="803" w:type="dxa"/>
            <w:vAlign w:val="top"/>
          </w:tcPr>
          <w:p w14:paraId="7A409C1D">
            <w:pPr>
              <w:spacing w:line="262" w:lineRule="auto"/>
              <w:rPr>
                <w:rFonts w:ascii="Arial"/>
                <w:sz w:val="21"/>
              </w:rPr>
            </w:pPr>
          </w:p>
          <w:p w14:paraId="4D60195D">
            <w:pPr>
              <w:spacing w:line="262" w:lineRule="auto"/>
              <w:rPr>
                <w:rFonts w:ascii="Arial"/>
                <w:sz w:val="21"/>
              </w:rPr>
            </w:pPr>
          </w:p>
          <w:p w14:paraId="1ED03224">
            <w:pPr>
              <w:spacing w:line="262" w:lineRule="auto"/>
              <w:rPr>
                <w:rFonts w:ascii="Arial"/>
                <w:sz w:val="21"/>
              </w:rPr>
            </w:pPr>
          </w:p>
          <w:p w14:paraId="2ADC2559">
            <w:pPr>
              <w:spacing w:line="262" w:lineRule="auto"/>
              <w:rPr>
                <w:rFonts w:ascii="Arial"/>
                <w:sz w:val="21"/>
              </w:rPr>
            </w:pPr>
          </w:p>
          <w:p w14:paraId="134C24A6">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D64426D">
            <w:pPr>
              <w:spacing w:line="340" w:lineRule="auto"/>
              <w:rPr>
                <w:rFonts w:ascii="Arial"/>
                <w:sz w:val="21"/>
              </w:rPr>
            </w:pPr>
          </w:p>
          <w:p w14:paraId="6C4FC72F">
            <w:pPr>
              <w:spacing w:line="341" w:lineRule="auto"/>
              <w:rPr>
                <w:rFonts w:ascii="Arial"/>
                <w:sz w:val="21"/>
              </w:rPr>
            </w:pPr>
          </w:p>
          <w:p w14:paraId="64C1BAF0">
            <w:pPr>
              <w:pStyle w:val="6"/>
              <w:spacing w:before="98" w:line="191" w:lineRule="auto"/>
              <w:ind w:left="128" w:right="109" w:hanging="11"/>
              <w:jc w:val="both"/>
            </w:pPr>
            <w:r>
              <w:rPr>
                <w:spacing w:val="-10"/>
              </w:rPr>
              <w:t>建设项目投资额</w:t>
            </w:r>
            <w:r>
              <w:rPr>
                <w:rFonts w:ascii="宋体" w:hAnsi="宋体" w:eastAsia="宋体" w:cs="宋体"/>
                <w:spacing w:val="1"/>
              </w:rPr>
              <w:t>1000</w:t>
            </w:r>
            <w:r>
              <w:rPr>
                <w:spacing w:val="1"/>
              </w:rPr>
              <w:t>万元以上</w:t>
            </w:r>
            <w:r>
              <w:rPr>
                <w:rFonts w:ascii="宋体" w:hAnsi="宋体" w:eastAsia="宋体" w:cs="宋体"/>
                <w:spacing w:val="1"/>
              </w:rPr>
              <w:t>3000</w:t>
            </w:r>
            <w:r>
              <w:rPr>
                <w:spacing w:val="4"/>
              </w:rPr>
              <w:t>万元以下的</w:t>
            </w:r>
          </w:p>
        </w:tc>
        <w:tc>
          <w:tcPr>
            <w:tcW w:w="2894" w:type="dxa"/>
            <w:vAlign w:val="top"/>
          </w:tcPr>
          <w:p w14:paraId="05275D79">
            <w:pPr>
              <w:pStyle w:val="6"/>
              <w:spacing w:before="29" w:line="180" w:lineRule="auto"/>
              <w:ind w:left="120" w:right="103" w:firstLine="7"/>
              <w:jc w:val="both"/>
            </w:pPr>
            <w:r>
              <w:rPr>
                <w:spacing w:val="10"/>
              </w:rPr>
              <w:t>责令停止建设或者停产停</w:t>
            </w:r>
            <w:r>
              <w:rPr>
                <w:spacing w:val="8"/>
              </w:rPr>
              <w:t>业整顿，限期改正，并处</w:t>
            </w:r>
            <w:r>
              <w:rPr>
                <w:rFonts w:ascii="宋体" w:hAnsi="宋体" w:eastAsia="宋体" w:cs="宋体"/>
                <w:spacing w:val="5"/>
              </w:rPr>
              <w:t>30</w:t>
            </w:r>
            <w:r>
              <w:rPr>
                <w:spacing w:val="5"/>
              </w:rPr>
              <w:t>万元以上</w:t>
            </w:r>
            <w:r>
              <w:rPr>
                <w:rFonts w:ascii="宋体" w:hAnsi="宋体" w:eastAsia="宋体" w:cs="宋体"/>
                <w:spacing w:val="5"/>
              </w:rPr>
              <w:t>40</w:t>
            </w:r>
            <w:r>
              <w:rPr>
                <w:spacing w:val="5"/>
              </w:rPr>
              <w:t>万元以下</w:t>
            </w:r>
            <w:r>
              <w:rPr>
                <w:spacing w:val="8"/>
              </w:rPr>
              <w:t>的罚款，对其直接负责的</w:t>
            </w:r>
            <w:r>
              <w:rPr>
                <w:spacing w:val="11"/>
              </w:rPr>
              <w:t>主管人员和其他直接责任</w:t>
            </w:r>
            <w:r>
              <w:rPr>
                <w:spacing w:val="4"/>
              </w:rPr>
              <w:t>人员处</w:t>
            </w:r>
            <w:r>
              <w:rPr>
                <w:rFonts w:ascii="宋体" w:hAnsi="宋体" w:eastAsia="宋体" w:cs="宋体"/>
                <w:spacing w:val="4"/>
              </w:rPr>
              <w:t>3</w:t>
            </w:r>
            <w:r>
              <w:rPr>
                <w:spacing w:val="4"/>
              </w:rPr>
              <w:t>万元以上</w:t>
            </w:r>
            <w:r>
              <w:rPr>
                <w:rFonts w:ascii="宋体" w:hAnsi="宋体" w:eastAsia="宋体" w:cs="宋体"/>
                <w:spacing w:val="4"/>
              </w:rPr>
              <w:t>4</w:t>
            </w:r>
            <w:r>
              <w:rPr>
                <w:spacing w:val="4"/>
              </w:rPr>
              <w:t>万元</w:t>
            </w:r>
            <w:r>
              <w:rPr>
                <w:spacing w:val="8"/>
              </w:rPr>
              <w:t>以下的罚款；逾期未改正</w:t>
            </w:r>
            <w:r>
              <w:t>的，处</w:t>
            </w:r>
            <w:r>
              <w:rPr>
                <w:rFonts w:ascii="宋体" w:hAnsi="宋体" w:eastAsia="宋体" w:cs="宋体"/>
              </w:rPr>
              <w:t>70</w:t>
            </w:r>
            <w:r>
              <w:t>万元以上</w:t>
            </w:r>
            <w:r>
              <w:rPr>
                <w:rFonts w:ascii="宋体" w:hAnsi="宋体" w:eastAsia="宋体" w:cs="宋体"/>
              </w:rPr>
              <w:t>90</w:t>
            </w:r>
            <w:r>
              <w:t>万</w:t>
            </w:r>
          </w:p>
        </w:tc>
        <w:tc>
          <w:tcPr>
            <w:tcW w:w="811" w:type="dxa"/>
            <w:vMerge w:val="continue"/>
            <w:tcBorders>
              <w:top w:val="nil"/>
            </w:tcBorders>
            <w:vAlign w:val="top"/>
          </w:tcPr>
          <w:p w14:paraId="4F1B848B">
            <w:pPr>
              <w:rPr>
                <w:rFonts w:ascii="Arial"/>
                <w:sz w:val="21"/>
              </w:rPr>
            </w:pPr>
          </w:p>
        </w:tc>
      </w:tr>
    </w:tbl>
    <w:p w14:paraId="2EA16051">
      <w:pPr>
        <w:pStyle w:val="2"/>
        <w:spacing w:line="177" w:lineRule="exact"/>
        <w:rPr>
          <w:sz w:val="15"/>
        </w:rPr>
      </w:pPr>
    </w:p>
    <w:p w14:paraId="5A65E888">
      <w:pPr>
        <w:spacing w:line="177" w:lineRule="exact"/>
        <w:rPr>
          <w:sz w:val="15"/>
          <w:szCs w:val="15"/>
        </w:rPr>
        <w:sectPr>
          <w:footerReference r:id="rId44" w:type="default"/>
          <w:pgSz w:w="16839" w:h="11906"/>
          <w:pgMar w:top="1012" w:right="821" w:bottom="666" w:left="901" w:header="0" w:footer="388" w:gutter="0"/>
          <w:cols w:space="720" w:num="1"/>
        </w:sectPr>
      </w:pPr>
    </w:p>
    <w:p w14:paraId="47051B35">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02B6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33F868DA">
            <w:pPr>
              <w:spacing w:before="222" w:line="241" w:lineRule="auto"/>
              <w:ind w:left="131"/>
              <w:rPr>
                <w:rFonts w:ascii="黑体" w:hAnsi="黑体" w:eastAsia="黑体" w:cs="黑体"/>
                <w:sz w:val="28"/>
                <w:szCs w:val="28"/>
              </w:rPr>
            </w:pPr>
            <w:bookmarkStart w:id="399" w:name="bookmark488"/>
            <w:bookmarkEnd w:id="399"/>
            <w:bookmarkStart w:id="400" w:name="bookmark62"/>
            <w:bookmarkEnd w:id="400"/>
            <w:r>
              <w:rPr>
                <w:rFonts w:ascii="黑体" w:hAnsi="黑体" w:eastAsia="黑体" w:cs="黑体"/>
                <w:spacing w:val="-2"/>
                <w:sz w:val="28"/>
                <w:szCs w:val="28"/>
              </w:rPr>
              <w:t>序号</w:t>
            </w:r>
          </w:p>
        </w:tc>
        <w:tc>
          <w:tcPr>
            <w:tcW w:w="1440" w:type="dxa"/>
            <w:vAlign w:val="top"/>
          </w:tcPr>
          <w:p w14:paraId="6532C1DD">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CFC6AF3">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BB57E78">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0565449">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7721E54">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4762B8E">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65212493">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976A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restart"/>
            <w:tcBorders>
              <w:bottom w:val="nil"/>
            </w:tcBorders>
            <w:vAlign w:val="top"/>
          </w:tcPr>
          <w:p w14:paraId="1C5A462D">
            <w:pPr>
              <w:rPr>
                <w:rFonts w:ascii="Arial"/>
                <w:sz w:val="21"/>
              </w:rPr>
            </w:pPr>
          </w:p>
        </w:tc>
        <w:tc>
          <w:tcPr>
            <w:tcW w:w="1440" w:type="dxa"/>
            <w:vMerge w:val="restart"/>
            <w:tcBorders>
              <w:bottom w:val="nil"/>
            </w:tcBorders>
            <w:vAlign w:val="top"/>
          </w:tcPr>
          <w:p w14:paraId="4AD39608">
            <w:pPr>
              <w:rPr>
                <w:rFonts w:ascii="Arial"/>
                <w:sz w:val="21"/>
              </w:rPr>
            </w:pPr>
          </w:p>
        </w:tc>
        <w:tc>
          <w:tcPr>
            <w:tcW w:w="3202" w:type="dxa"/>
            <w:vMerge w:val="restart"/>
            <w:tcBorders>
              <w:bottom w:val="nil"/>
            </w:tcBorders>
            <w:vAlign w:val="top"/>
          </w:tcPr>
          <w:p w14:paraId="16ECDAF8">
            <w:pPr>
              <w:rPr>
                <w:rFonts w:ascii="Arial"/>
                <w:sz w:val="21"/>
              </w:rPr>
            </w:pPr>
          </w:p>
        </w:tc>
        <w:tc>
          <w:tcPr>
            <w:tcW w:w="2859" w:type="dxa"/>
            <w:vMerge w:val="restart"/>
            <w:tcBorders>
              <w:bottom w:val="nil"/>
            </w:tcBorders>
            <w:vAlign w:val="top"/>
          </w:tcPr>
          <w:p w14:paraId="6B3D3546">
            <w:pPr>
              <w:pStyle w:val="6"/>
              <w:spacing w:before="28" w:line="182" w:lineRule="auto"/>
              <w:ind w:left="119"/>
              <w:outlineLvl w:val="0"/>
            </w:pPr>
            <w:r>
              <w:rPr>
                <w:spacing w:val="8"/>
              </w:rPr>
              <w:t>产、储存、装卸危险物品</w:t>
            </w:r>
          </w:p>
          <w:p w14:paraId="7456681A">
            <w:pPr>
              <w:pStyle w:val="6"/>
              <w:spacing w:before="1" w:line="195" w:lineRule="auto"/>
              <w:ind w:left="139" w:right="110"/>
            </w:pPr>
            <w:r>
              <w:rPr>
                <w:spacing w:val="6"/>
              </w:rPr>
              <w:t>的建设项目进行安全评价</w:t>
            </w:r>
            <w:r>
              <w:rPr>
                <w:spacing w:val="-16"/>
              </w:rPr>
              <w:t>的；</w:t>
            </w:r>
          </w:p>
        </w:tc>
        <w:tc>
          <w:tcPr>
            <w:tcW w:w="803" w:type="dxa"/>
            <w:vAlign w:val="top"/>
          </w:tcPr>
          <w:p w14:paraId="0D279ED7">
            <w:pPr>
              <w:rPr>
                <w:rFonts w:ascii="Arial"/>
                <w:sz w:val="21"/>
              </w:rPr>
            </w:pPr>
          </w:p>
        </w:tc>
        <w:tc>
          <w:tcPr>
            <w:tcW w:w="2283" w:type="dxa"/>
            <w:vAlign w:val="top"/>
          </w:tcPr>
          <w:p w14:paraId="10612FBF">
            <w:pPr>
              <w:rPr>
                <w:rFonts w:ascii="Arial"/>
                <w:sz w:val="21"/>
              </w:rPr>
            </w:pPr>
          </w:p>
        </w:tc>
        <w:tc>
          <w:tcPr>
            <w:tcW w:w="2894" w:type="dxa"/>
            <w:vAlign w:val="top"/>
          </w:tcPr>
          <w:p w14:paraId="608ED37A">
            <w:pPr>
              <w:pStyle w:val="6"/>
              <w:spacing w:before="29" w:line="177" w:lineRule="auto"/>
              <w:ind w:left="116" w:right="110" w:firstLine="8"/>
              <w:jc w:val="both"/>
            </w:pPr>
            <w:r>
              <w:rPr>
                <w:spacing w:val="8"/>
              </w:rPr>
              <w:t>元以下的罚款，对其直接</w:t>
            </w:r>
            <w:r>
              <w:rPr>
                <w:spacing w:val="12"/>
              </w:rPr>
              <w:t>负责的主管人员和其他直</w:t>
            </w:r>
            <w:r>
              <w:rPr>
                <w:spacing w:val="4"/>
              </w:rPr>
              <w:t>接责任人员处</w:t>
            </w:r>
            <w:r>
              <w:rPr>
                <w:rFonts w:ascii="宋体" w:hAnsi="宋体" w:eastAsia="宋体" w:cs="宋体"/>
                <w:spacing w:val="4"/>
              </w:rPr>
              <w:t>7</w:t>
            </w:r>
            <w:r>
              <w:rPr>
                <w:spacing w:val="4"/>
              </w:rPr>
              <w:t>万元以上</w:t>
            </w:r>
            <w:r>
              <w:rPr>
                <w:rFonts w:ascii="宋体" w:hAnsi="宋体" w:eastAsia="宋体" w:cs="宋体"/>
                <w:spacing w:val="4"/>
              </w:rPr>
              <w:t>9</w:t>
            </w:r>
            <w:r>
              <w:rPr>
                <w:spacing w:val="4"/>
              </w:rPr>
              <w:t>万元以下的罚款</w:t>
            </w:r>
          </w:p>
        </w:tc>
        <w:tc>
          <w:tcPr>
            <w:tcW w:w="811" w:type="dxa"/>
            <w:vMerge w:val="restart"/>
            <w:tcBorders>
              <w:bottom w:val="nil"/>
            </w:tcBorders>
            <w:vAlign w:val="top"/>
          </w:tcPr>
          <w:p w14:paraId="65B12A8C">
            <w:pPr>
              <w:rPr>
                <w:rFonts w:ascii="Arial"/>
                <w:sz w:val="21"/>
              </w:rPr>
            </w:pPr>
          </w:p>
        </w:tc>
      </w:tr>
      <w:tr w14:paraId="3B623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7" w:hRule="atLeast"/>
        </w:trPr>
        <w:tc>
          <w:tcPr>
            <w:tcW w:w="818" w:type="dxa"/>
            <w:vMerge w:val="continue"/>
            <w:tcBorders>
              <w:top w:val="nil"/>
            </w:tcBorders>
            <w:vAlign w:val="top"/>
          </w:tcPr>
          <w:p w14:paraId="771370C4">
            <w:pPr>
              <w:rPr>
                <w:rFonts w:ascii="Arial"/>
                <w:sz w:val="21"/>
              </w:rPr>
            </w:pPr>
          </w:p>
        </w:tc>
        <w:tc>
          <w:tcPr>
            <w:tcW w:w="1440" w:type="dxa"/>
            <w:vMerge w:val="continue"/>
            <w:tcBorders>
              <w:top w:val="nil"/>
            </w:tcBorders>
            <w:vAlign w:val="top"/>
          </w:tcPr>
          <w:p w14:paraId="3EAF3AAB">
            <w:pPr>
              <w:rPr>
                <w:rFonts w:ascii="Arial"/>
                <w:sz w:val="21"/>
              </w:rPr>
            </w:pPr>
          </w:p>
        </w:tc>
        <w:tc>
          <w:tcPr>
            <w:tcW w:w="3202" w:type="dxa"/>
            <w:vMerge w:val="continue"/>
            <w:tcBorders>
              <w:top w:val="nil"/>
            </w:tcBorders>
            <w:vAlign w:val="top"/>
          </w:tcPr>
          <w:p w14:paraId="3301929E">
            <w:pPr>
              <w:rPr>
                <w:rFonts w:ascii="Arial"/>
                <w:sz w:val="21"/>
              </w:rPr>
            </w:pPr>
          </w:p>
        </w:tc>
        <w:tc>
          <w:tcPr>
            <w:tcW w:w="2859" w:type="dxa"/>
            <w:vMerge w:val="continue"/>
            <w:tcBorders>
              <w:top w:val="nil"/>
            </w:tcBorders>
            <w:vAlign w:val="top"/>
          </w:tcPr>
          <w:p w14:paraId="04B68591">
            <w:pPr>
              <w:rPr>
                <w:rFonts w:ascii="Arial"/>
                <w:sz w:val="21"/>
              </w:rPr>
            </w:pPr>
          </w:p>
        </w:tc>
        <w:tc>
          <w:tcPr>
            <w:tcW w:w="803" w:type="dxa"/>
            <w:vAlign w:val="top"/>
          </w:tcPr>
          <w:p w14:paraId="3F5830E3">
            <w:pPr>
              <w:spacing w:line="279" w:lineRule="auto"/>
              <w:rPr>
                <w:rFonts w:ascii="Arial"/>
                <w:sz w:val="21"/>
              </w:rPr>
            </w:pPr>
          </w:p>
          <w:p w14:paraId="08E2DDB4">
            <w:pPr>
              <w:spacing w:line="279" w:lineRule="auto"/>
              <w:rPr>
                <w:rFonts w:ascii="Arial"/>
                <w:sz w:val="21"/>
              </w:rPr>
            </w:pPr>
          </w:p>
          <w:p w14:paraId="13382F3B">
            <w:pPr>
              <w:spacing w:line="279" w:lineRule="auto"/>
              <w:rPr>
                <w:rFonts w:ascii="Arial"/>
                <w:sz w:val="21"/>
              </w:rPr>
            </w:pPr>
          </w:p>
          <w:p w14:paraId="2C0F117D">
            <w:pPr>
              <w:spacing w:line="279" w:lineRule="auto"/>
              <w:rPr>
                <w:rFonts w:ascii="Arial"/>
                <w:sz w:val="21"/>
              </w:rPr>
            </w:pPr>
          </w:p>
          <w:p w14:paraId="2D4D2537">
            <w:pPr>
              <w:spacing w:line="280" w:lineRule="auto"/>
              <w:rPr>
                <w:rFonts w:ascii="Arial"/>
                <w:sz w:val="21"/>
              </w:rPr>
            </w:pPr>
          </w:p>
          <w:p w14:paraId="789252A0">
            <w:pPr>
              <w:spacing w:line="280" w:lineRule="auto"/>
              <w:rPr>
                <w:rFonts w:ascii="Arial"/>
                <w:sz w:val="21"/>
              </w:rPr>
            </w:pPr>
          </w:p>
          <w:p w14:paraId="77CBB61B">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2C2BA8D7">
            <w:pPr>
              <w:spacing w:line="243" w:lineRule="auto"/>
              <w:rPr>
                <w:rFonts w:ascii="Arial"/>
                <w:sz w:val="21"/>
              </w:rPr>
            </w:pPr>
          </w:p>
          <w:p w14:paraId="7FCF53C6">
            <w:pPr>
              <w:spacing w:line="243" w:lineRule="auto"/>
              <w:rPr>
                <w:rFonts w:ascii="Arial"/>
                <w:sz w:val="21"/>
              </w:rPr>
            </w:pPr>
          </w:p>
          <w:p w14:paraId="4B64EFC6">
            <w:pPr>
              <w:spacing w:line="243" w:lineRule="auto"/>
              <w:rPr>
                <w:rFonts w:ascii="Arial"/>
                <w:sz w:val="21"/>
              </w:rPr>
            </w:pPr>
          </w:p>
          <w:p w14:paraId="00CFF2F0">
            <w:pPr>
              <w:spacing w:line="243" w:lineRule="auto"/>
              <w:rPr>
                <w:rFonts w:ascii="Arial"/>
                <w:sz w:val="21"/>
              </w:rPr>
            </w:pPr>
          </w:p>
          <w:p w14:paraId="0E785947">
            <w:pPr>
              <w:spacing w:line="243" w:lineRule="auto"/>
              <w:rPr>
                <w:rFonts w:ascii="Arial"/>
                <w:sz w:val="21"/>
              </w:rPr>
            </w:pPr>
          </w:p>
          <w:p w14:paraId="0AEAA7E6">
            <w:pPr>
              <w:spacing w:line="243" w:lineRule="auto"/>
              <w:rPr>
                <w:rFonts w:ascii="Arial"/>
                <w:sz w:val="21"/>
              </w:rPr>
            </w:pPr>
          </w:p>
          <w:p w14:paraId="49857890">
            <w:pPr>
              <w:pStyle w:val="6"/>
              <w:spacing w:before="99" w:line="196" w:lineRule="auto"/>
              <w:ind w:left="117" w:right="109"/>
            </w:pPr>
            <w:r>
              <w:rPr>
                <w:spacing w:val="-10"/>
              </w:rPr>
              <w:t>建设项目投资额</w:t>
            </w:r>
            <w:r>
              <w:rPr>
                <w:rFonts w:ascii="宋体" w:hAnsi="宋体" w:eastAsia="宋体" w:cs="宋体"/>
                <w:spacing w:val="2"/>
              </w:rPr>
              <w:t>3000</w:t>
            </w:r>
            <w:r>
              <w:rPr>
                <w:spacing w:val="2"/>
              </w:rPr>
              <w:t>万元以上的</w:t>
            </w:r>
          </w:p>
        </w:tc>
        <w:tc>
          <w:tcPr>
            <w:tcW w:w="2894" w:type="dxa"/>
            <w:vAlign w:val="top"/>
          </w:tcPr>
          <w:p w14:paraId="6A46C3B2">
            <w:pPr>
              <w:pStyle w:val="6"/>
              <w:spacing w:before="75" w:line="182" w:lineRule="auto"/>
              <w:ind w:left="114" w:right="103" w:firstLine="13"/>
              <w:jc w:val="both"/>
            </w:pPr>
            <w:r>
              <w:rPr>
                <w:spacing w:val="10"/>
              </w:rPr>
              <w:t>责令停止建设或者停产停</w:t>
            </w:r>
            <w:r>
              <w:rPr>
                <w:spacing w:val="8"/>
              </w:rPr>
              <w:t>业整顿，限期改正，并处</w:t>
            </w:r>
            <w:r>
              <w:rPr>
                <w:rFonts w:ascii="宋体" w:hAnsi="宋体" w:eastAsia="宋体" w:cs="宋体"/>
                <w:spacing w:val="6"/>
              </w:rPr>
              <w:t>40</w:t>
            </w:r>
            <w:r>
              <w:rPr>
                <w:spacing w:val="6"/>
              </w:rPr>
              <w:t>万元以上</w:t>
            </w:r>
            <w:r>
              <w:rPr>
                <w:rFonts w:ascii="宋体" w:hAnsi="宋体" w:eastAsia="宋体" w:cs="宋体"/>
                <w:spacing w:val="6"/>
              </w:rPr>
              <w:t>50</w:t>
            </w:r>
            <w:r>
              <w:rPr>
                <w:spacing w:val="6"/>
              </w:rPr>
              <w:t>万元以下</w:t>
            </w:r>
            <w:r>
              <w:rPr>
                <w:spacing w:val="9"/>
              </w:rPr>
              <w:t>的罚款，对其直接负责的</w:t>
            </w:r>
            <w:r>
              <w:rPr>
                <w:spacing w:val="12"/>
              </w:rPr>
              <w:t>主管人员和其他直接责任</w:t>
            </w:r>
            <w:r>
              <w:rPr>
                <w:spacing w:val="4"/>
              </w:rPr>
              <w:t>人员处</w:t>
            </w:r>
            <w:r>
              <w:rPr>
                <w:rFonts w:ascii="宋体" w:hAnsi="宋体" w:eastAsia="宋体" w:cs="宋体"/>
                <w:spacing w:val="4"/>
              </w:rPr>
              <w:t>4</w:t>
            </w:r>
            <w:r>
              <w:rPr>
                <w:spacing w:val="4"/>
              </w:rPr>
              <w:t>万元以上</w:t>
            </w:r>
            <w:r>
              <w:rPr>
                <w:rFonts w:ascii="宋体" w:hAnsi="宋体" w:eastAsia="宋体" w:cs="宋体"/>
                <w:spacing w:val="4"/>
              </w:rPr>
              <w:t>5</w:t>
            </w:r>
            <w:r>
              <w:rPr>
                <w:spacing w:val="4"/>
              </w:rPr>
              <w:t>万元</w:t>
            </w:r>
            <w:r>
              <w:rPr>
                <w:spacing w:val="9"/>
              </w:rPr>
              <w:t>以下的罚款；逾期未改正</w:t>
            </w:r>
            <w:r>
              <w:rPr>
                <w:spacing w:val="-6"/>
              </w:rPr>
              <w:t>的，处</w:t>
            </w:r>
            <w:r>
              <w:rPr>
                <w:rFonts w:ascii="宋体" w:hAnsi="宋体" w:eastAsia="宋体" w:cs="宋体"/>
                <w:spacing w:val="-6"/>
              </w:rPr>
              <w:t>90</w:t>
            </w:r>
            <w:r>
              <w:rPr>
                <w:spacing w:val="-6"/>
              </w:rPr>
              <w:t>万元以上</w:t>
            </w:r>
            <w:r>
              <w:rPr>
                <w:rFonts w:ascii="宋体" w:hAnsi="宋体" w:eastAsia="宋体" w:cs="宋体"/>
                <w:spacing w:val="-6"/>
              </w:rPr>
              <w:t>100</w:t>
            </w:r>
            <w:r>
              <w:rPr>
                <w:spacing w:val="-6"/>
              </w:rPr>
              <w:t>万</w:t>
            </w:r>
            <w:r>
              <w:rPr>
                <w:spacing w:val="9"/>
              </w:rPr>
              <w:t>元以下的罚款，对其直接</w:t>
            </w:r>
            <w:r>
              <w:rPr>
                <w:spacing w:val="12"/>
              </w:rPr>
              <w:t>负责的主管人员和其他直</w:t>
            </w:r>
            <w:r>
              <w:rPr>
                <w:spacing w:val="5"/>
              </w:rPr>
              <w:t>接责任人员处</w:t>
            </w:r>
            <w:r>
              <w:rPr>
                <w:rFonts w:ascii="宋体" w:hAnsi="宋体" w:eastAsia="宋体" w:cs="宋体"/>
                <w:spacing w:val="5"/>
              </w:rPr>
              <w:t>9</w:t>
            </w:r>
            <w:r>
              <w:rPr>
                <w:spacing w:val="5"/>
              </w:rPr>
              <w:t>万元以上</w:t>
            </w:r>
            <w:r>
              <w:rPr>
                <w:rFonts w:ascii="宋体" w:hAnsi="宋体" w:eastAsia="宋体" w:cs="宋体"/>
                <w:spacing w:val="4"/>
              </w:rPr>
              <w:t>10</w:t>
            </w:r>
            <w:r>
              <w:rPr>
                <w:spacing w:val="4"/>
              </w:rPr>
              <w:t>万元以下的罚款</w:t>
            </w:r>
          </w:p>
        </w:tc>
        <w:tc>
          <w:tcPr>
            <w:tcW w:w="811" w:type="dxa"/>
            <w:vMerge w:val="continue"/>
            <w:tcBorders>
              <w:top w:val="nil"/>
            </w:tcBorders>
            <w:vAlign w:val="top"/>
          </w:tcPr>
          <w:p w14:paraId="5B72A681">
            <w:pPr>
              <w:rPr>
                <w:rFonts w:ascii="Arial"/>
                <w:sz w:val="21"/>
              </w:rPr>
            </w:pPr>
          </w:p>
        </w:tc>
      </w:tr>
      <w:tr w14:paraId="23FDB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4" w:hRule="atLeast"/>
        </w:trPr>
        <w:tc>
          <w:tcPr>
            <w:tcW w:w="818" w:type="dxa"/>
            <w:vAlign w:val="top"/>
          </w:tcPr>
          <w:p w14:paraId="717FA179">
            <w:pPr>
              <w:spacing w:line="244" w:lineRule="auto"/>
              <w:rPr>
                <w:rFonts w:ascii="Arial"/>
                <w:sz w:val="21"/>
              </w:rPr>
            </w:pPr>
          </w:p>
          <w:p w14:paraId="155CFD64">
            <w:pPr>
              <w:spacing w:line="244" w:lineRule="auto"/>
              <w:rPr>
                <w:rFonts w:ascii="Arial"/>
                <w:sz w:val="21"/>
              </w:rPr>
            </w:pPr>
          </w:p>
          <w:p w14:paraId="718871FF">
            <w:pPr>
              <w:spacing w:line="244" w:lineRule="auto"/>
              <w:rPr>
                <w:rFonts w:ascii="Arial"/>
                <w:sz w:val="21"/>
              </w:rPr>
            </w:pPr>
          </w:p>
          <w:p w14:paraId="3BBD0E8D">
            <w:pPr>
              <w:spacing w:line="244" w:lineRule="auto"/>
              <w:rPr>
                <w:rFonts w:ascii="Arial"/>
                <w:sz w:val="21"/>
              </w:rPr>
            </w:pPr>
          </w:p>
          <w:p w14:paraId="63F0127C">
            <w:pPr>
              <w:spacing w:line="244" w:lineRule="auto"/>
              <w:rPr>
                <w:rFonts w:ascii="Arial"/>
                <w:sz w:val="21"/>
              </w:rPr>
            </w:pPr>
          </w:p>
          <w:p w14:paraId="3CD461D3">
            <w:pPr>
              <w:spacing w:line="244" w:lineRule="auto"/>
              <w:rPr>
                <w:rFonts w:ascii="Arial"/>
                <w:sz w:val="21"/>
              </w:rPr>
            </w:pPr>
          </w:p>
          <w:p w14:paraId="0E3A8587">
            <w:pPr>
              <w:spacing w:line="244" w:lineRule="auto"/>
              <w:rPr>
                <w:rFonts w:ascii="Arial"/>
                <w:sz w:val="21"/>
              </w:rPr>
            </w:pPr>
          </w:p>
          <w:p w14:paraId="1F576AE6">
            <w:pPr>
              <w:spacing w:line="244" w:lineRule="auto"/>
              <w:rPr>
                <w:rFonts w:ascii="Arial"/>
                <w:sz w:val="21"/>
              </w:rPr>
            </w:pPr>
          </w:p>
          <w:p w14:paraId="17D8451E">
            <w:pPr>
              <w:spacing w:before="74" w:line="185" w:lineRule="auto"/>
              <w:ind w:left="237"/>
              <w:rPr>
                <w:rFonts w:ascii="仿宋" w:hAnsi="仿宋" w:eastAsia="仿宋" w:cs="仿宋"/>
                <w:sz w:val="23"/>
                <w:szCs w:val="23"/>
              </w:rPr>
            </w:pPr>
            <w:r>
              <w:rPr>
                <w:rFonts w:ascii="仿宋" w:hAnsi="仿宋" w:eastAsia="仿宋" w:cs="仿宋"/>
                <w:spacing w:val="-3"/>
                <w:sz w:val="23"/>
                <w:szCs w:val="23"/>
              </w:rPr>
              <w:t>29</w:t>
            </w:r>
          </w:p>
        </w:tc>
        <w:tc>
          <w:tcPr>
            <w:tcW w:w="1440" w:type="dxa"/>
            <w:vAlign w:val="top"/>
          </w:tcPr>
          <w:p w14:paraId="455937AC">
            <w:pPr>
              <w:pStyle w:val="6"/>
              <w:spacing w:before="185" w:line="185" w:lineRule="auto"/>
              <w:ind w:left="114" w:right="111" w:firstLine="3"/>
            </w:pPr>
            <w:r>
              <w:rPr>
                <w:spacing w:val="11"/>
              </w:rPr>
              <w:t>金属冶炼建设项目或者</w:t>
            </w:r>
            <w:r>
              <w:rPr>
                <w:spacing w:val="6"/>
              </w:rPr>
              <w:t>用于生产、</w:t>
            </w:r>
            <w:r>
              <w:rPr>
                <w:spacing w:val="11"/>
              </w:rPr>
              <w:t>储存、装卸危险物品的建设项目没有安全设施设计或者安全设施设计未按照规定报经有关部门审查同意</w:t>
            </w:r>
            <w:r>
              <w:t>的</w:t>
            </w:r>
          </w:p>
        </w:tc>
        <w:tc>
          <w:tcPr>
            <w:tcW w:w="3202" w:type="dxa"/>
            <w:vAlign w:val="top"/>
          </w:tcPr>
          <w:p w14:paraId="133DA7A2">
            <w:pPr>
              <w:pStyle w:val="6"/>
              <w:spacing w:before="37" w:line="185" w:lineRule="auto"/>
              <w:ind w:left="117" w:right="111" w:hanging="19"/>
            </w:pPr>
            <w:r>
              <w:rPr>
                <w:spacing w:val="18"/>
              </w:rPr>
              <w:t>【法律】《中华人民共和国</w:t>
            </w:r>
            <w:r>
              <w:rPr>
                <w:spacing w:val="17"/>
              </w:rPr>
              <w:t>安全生产法》第三十三条第</w:t>
            </w:r>
            <w:r>
              <w:rPr>
                <w:spacing w:val="13"/>
              </w:rPr>
              <w:t>二款：矿山、金属冶炼建设</w:t>
            </w:r>
            <w:r>
              <w:rPr>
                <w:spacing w:val="17"/>
              </w:rPr>
              <w:t>项目和用于生产、储存、装卸危险物品的建设项目的安全设施设计应当按照国家有</w:t>
            </w:r>
            <w:r>
              <w:rPr>
                <w:spacing w:val="13"/>
              </w:rPr>
              <w:t>关规定报经有关部门审查，</w:t>
            </w:r>
            <w:r>
              <w:rPr>
                <w:spacing w:val="17"/>
              </w:rPr>
              <w:t>审查部门及其负责审查的人</w:t>
            </w:r>
            <w:r>
              <w:rPr>
                <w:spacing w:val="4"/>
              </w:rPr>
              <w:t>员对审查结果负责。</w:t>
            </w:r>
          </w:p>
        </w:tc>
        <w:tc>
          <w:tcPr>
            <w:tcW w:w="2859" w:type="dxa"/>
            <w:vAlign w:val="top"/>
          </w:tcPr>
          <w:p w14:paraId="21FC7C90">
            <w:pPr>
              <w:pStyle w:val="6"/>
              <w:spacing w:before="24" w:line="182" w:lineRule="auto"/>
              <w:ind w:left="116" w:right="110" w:hanging="19"/>
            </w:pPr>
            <w:r>
              <w:rPr>
                <w:spacing w:val="10"/>
              </w:rPr>
              <w:t>【法律】《中华人民共和</w:t>
            </w:r>
            <w:r>
              <w:rPr>
                <w:spacing w:val="8"/>
              </w:rPr>
              <w:t>国安全生产法》第九十八条第二项：生产经营单位有下列行为之一的，责令停止建设或者停产停业整</w:t>
            </w:r>
            <w:r>
              <w:rPr>
                <w:spacing w:val="6"/>
              </w:rPr>
              <w:t>顿，限期改正，并处十万</w:t>
            </w:r>
            <w:r>
              <w:rPr>
                <w:spacing w:val="8"/>
              </w:rPr>
              <w:t>元以上五十万元以下的罚款，对其直接负责的主管人员和其他直接责任人员处二万元以上五万元以下</w:t>
            </w:r>
            <w:r>
              <w:rPr>
                <w:spacing w:val="4"/>
              </w:rPr>
              <w:t>的罚款；逾期未改正的，</w:t>
            </w:r>
            <w:r>
              <w:rPr>
                <w:spacing w:val="8"/>
              </w:rPr>
              <w:t>处五十万元以上一百万元以下的罚款，对其直接负责的主管人员和其他直接</w:t>
            </w:r>
          </w:p>
        </w:tc>
        <w:tc>
          <w:tcPr>
            <w:tcW w:w="803" w:type="dxa"/>
            <w:vAlign w:val="top"/>
          </w:tcPr>
          <w:p w14:paraId="746773A3">
            <w:pPr>
              <w:spacing w:line="243" w:lineRule="auto"/>
              <w:rPr>
                <w:rFonts w:ascii="Arial"/>
                <w:sz w:val="21"/>
              </w:rPr>
            </w:pPr>
          </w:p>
          <w:p w14:paraId="460C5BA1">
            <w:pPr>
              <w:spacing w:line="243" w:lineRule="auto"/>
              <w:rPr>
                <w:rFonts w:ascii="Arial"/>
                <w:sz w:val="21"/>
              </w:rPr>
            </w:pPr>
          </w:p>
          <w:p w14:paraId="0F49DC0A">
            <w:pPr>
              <w:spacing w:line="243" w:lineRule="auto"/>
              <w:rPr>
                <w:rFonts w:ascii="Arial"/>
                <w:sz w:val="21"/>
              </w:rPr>
            </w:pPr>
          </w:p>
          <w:p w14:paraId="42A0E34E">
            <w:pPr>
              <w:spacing w:line="243" w:lineRule="auto"/>
              <w:rPr>
                <w:rFonts w:ascii="Arial"/>
                <w:sz w:val="21"/>
              </w:rPr>
            </w:pPr>
          </w:p>
          <w:p w14:paraId="427E857E">
            <w:pPr>
              <w:spacing w:line="243" w:lineRule="auto"/>
              <w:rPr>
                <w:rFonts w:ascii="Arial"/>
                <w:sz w:val="21"/>
              </w:rPr>
            </w:pPr>
          </w:p>
          <w:p w14:paraId="3AA9EF4C">
            <w:pPr>
              <w:spacing w:line="243" w:lineRule="auto"/>
              <w:rPr>
                <w:rFonts w:ascii="Arial"/>
                <w:sz w:val="21"/>
              </w:rPr>
            </w:pPr>
          </w:p>
          <w:p w14:paraId="2BD8C309">
            <w:pPr>
              <w:spacing w:line="243" w:lineRule="auto"/>
              <w:rPr>
                <w:rFonts w:ascii="Arial"/>
                <w:sz w:val="21"/>
              </w:rPr>
            </w:pPr>
          </w:p>
          <w:p w14:paraId="787E65F8">
            <w:pPr>
              <w:spacing w:line="244" w:lineRule="auto"/>
              <w:rPr>
                <w:rFonts w:ascii="Arial"/>
                <w:sz w:val="21"/>
              </w:rPr>
            </w:pPr>
          </w:p>
          <w:p w14:paraId="7DF1823D">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E849DE0">
            <w:pPr>
              <w:spacing w:line="247" w:lineRule="auto"/>
              <w:rPr>
                <w:rFonts w:ascii="Arial"/>
                <w:sz w:val="21"/>
              </w:rPr>
            </w:pPr>
          </w:p>
          <w:p w14:paraId="755D3DCF">
            <w:pPr>
              <w:spacing w:line="247" w:lineRule="auto"/>
              <w:rPr>
                <w:rFonts w:ascii="Arial"/>
                <w:sz w:val="21"/>
              </w:rPr>
            </w:pPr>
          </w:p>
          <w:p w14:paraId="6DE0E821">
            <w:pPr>
              <w:spacing w:line="247" w:lineRule="auto"/>
              <w:rPr>
                <w:rFonts w:ascii="Arial"/>
                <w:sz w:val="21"/>
              </w:rPr>
            </w:pPr>
          </w:p>
          <w:p w14:paraId="57248816">
            <w:pPr>
              <w:spacing w:line="247" w:lineRule="auto"/>
              <w:rPr>
                <w:rFonts w:ascii="Arial"/>
                <w:sz w:val="21"/>
              </w:rPr>
            </w:pPr>
          </w:p>
          <w:p w14:paraId="071503B5">
            <w:pPr>
              <w:spacing w:line="247" w:lineRule="auto"/>
              <w:rPr>
                <w:rFonts w:ascii="Arial"/>
                <w:sz w:val="21"/>
              </w:rPr>
            </w:pPr>
          </w:p>
          <w:p w14:paraId="2E9881F5">
            <w:pPr>
              <w:spacing w:line="248" w:lineRule="auto"/>
              <w:rPr>
                <w:rFonts w:ascii="Arial"/>
                <w:sz w:val="21"/>
              </w:rPr>
            </w:pPr>
          </w:p>
          <w:p w14:paraId="639E0524">
            <w:pPr>
              <w:spacing w:line="248" w:lineRule="auto"/>
              <w:rPr>
                <w:rFonts w:ascii="Arial"/>
                <w:sz w:val="21"/>
              </w:rPr>
            </w:pPr>
          </w:p>
          <w:p w14:paraId="646B8DCF">
            <w:pPr>
              <w:pStyle w:val="6"/>
              <w:spacing w:before="99" w:line="182" w:lineRule="auto"/>
              <w:ind w:left="117"/>
            </w:pPr>
            <w:r>
              <w:rPr>
                <w:spacing w:val="-9"/>
              </w:rPr>
              <w:t>建设项目投资额</w:t>
            </w:r>
          </w:p>
          <w:p w14:paraId="0217DDE5">
            <w:pPr>
              <w:pStyle w:val="6"/>
              <w:spacing w:before="1" w:line="208" w:lineRule="auto"/>
              <w:ind w:left="131"/>
            </w:pPr>
            <w:r>
              <w:rPr>
                <w:rFonts w:ascii="宋体" w:hAnsi="宋体" w:eastAsia="宋体" w:cs="宋体"/>
                <w:spacing w:val="1"/>
              </w:rPr>
              <w:t>1000</w:t>
            </w:r>
            <w:r>
              <w:rPr>
                <w:spacing w:val="1"/>
              </w:rPr>
              <w:t>万元以下的</w:t>
            </w:r>
          </w:p>
        </w:tc>
        <w:tc>
          <w:tcPr>
            <w:tcW w:w="2894" w:type="dxa"/>
            <w:vAlign w:val="top"/>
          </w:tcPr>
          <w:p w14:paraId="7840D280">
            <w:pPr>
              <w:pStyle w:val="6"/>
              <w:spacing w:before="333" w:line="185" w:lineRule="auto"/>
              <w:ind w:left="120" w:right="103" w:firstLine="7"/>
              <w:jc w:val="both"/>
            </w:pPr>
            <w:r>
              <w:rPr>
                <w:spacing w:val="10"/>
              </w:rPr>
              <w:t>责令停止建设或者停产停</w:t>
            </w:r>
            <w:r>
              <w:rPr>
                <w:spacing w:val="8"/>
              </w:rPr>
              <w:t>业整顿，限期改正，并处</w:t>
            </w:r>
            <w:r>
              <w:rPr>
                <w:rFonts w:ascii="宋体" w:hAnsi="宋体" w:eastAsia="宋体" w:cs="宋体"/>
                <w:spacing w:val="5"/>
              </w:rPr>
              <w:t>10</w:t>
            </w:r>
            <w:r>
              <w:rPr>
                <w:spacing w:val="5"/>
              </w:rPr>
              <w:t>万元以上</w:t>
            </w:r>
            <w:r>
              <w:rPr>
                <w:rFonts w:ascii="宋体" w:hAnsi="宋体" w:eastAsia="宋体" w:cs="宋体"/>
                <w:spacing w:val="5"/>
              </w:rPr>
              <w:t>30</w:t>
            </w:r>
            <w:r>
              <w:rPr>
                <w:spacing w:val="5"/>
              </w:rPr>
              <w:t>万元以下</w:t>
            </w:r>
            <w:r>
              <w:rPr>
                <w:spacing w:val="8"/>
              </w:rPr>
              <w:t>的罚款，对其直接负责的</w:t>
            </w:r>
            <w:r>
              <w:rPr>
                <w:spacing w:val="11"/>
              </w:rPr>
              <w:t>主管人员和其他直接责任</w:t>
            </w:r>
            <w:r>
              <w:rPr>
                <w:spacing w:val="4"/>
              </w:rPr>
              <w:t>人员处</w:t>
            </w:r>
            <w:r>
              <w:rPr>
                <w:rFonts w:ascii="宋体" w:hAnsi="宋体" w:eastAsia="宋体" w:cs="宋体"/>
                <w:spacing w:val="4"/>
              </w:rPr>
              <w:t>2</w:t>
            </w:r>
            <w:r>
              <w:rPr>
                <w:spacing w:val="4"/>
              </w:rPr>
              <w:t>万元以上</w:t>
            </w:r>
            <w:r>
              <w:rPr>
                <w:rFonts w:ascii="宋体" w:hAnsi="宋体" w:eastAsia="宋体" w:cs="宋体"/>
                <w:spacing w:val="4"/>
              </w:rPr>
              <w:t>3</w:t>
            </w:r>
            <w:r>
              <w:rPr>
                <w:spacing w:val="4"/>
              </w:rPr>
              <w:t>万元</w:t>
            </w:r>
            <w:r>
              <w:rPr>
                <w:spacing w:val="8"/>
              </w:rPr>
              <w:t>以下的罚款；逾期未改正</w:t>
            </w:r>
            <w:r>
              <w:rPr>
                <w:spacing w:val="-1"/>
              </w:rPr>
              <w:t>的，处</w:t>
            </w:r>
            <w:r>
              <w:rPr>
                <w:rFonts w:ascii="宋体" w:hAnsi="宋体" w:eastAsia="宋体" w:cs="宋体"/>
                <w:spacing w:val="-1"/>
              </w:rPr>
              <w:t>50</w:t>
            </w:r>
            <w:r>
              <w:rPr>
                <w:spacing w:val="-1"/>
              </w:rPr>
              <w:t>万元以上</w:t>
            </w:r>
            <w:r>
              <w:rPr>
                <w:rFonts w:ascii="宋体" w:hAnsi="宋体" w:eastAsia="宋体" w:cs="宋体"/>
                <w:spacing w:val="-1"/>
              </w:rPr>
              <w:t>70</w:t>
            </w:r>
            <w:r>
              <w:rPr>
                <w:spacing w:val="-1"/>
              </w:rPr>
              <w:t>万</w:t>
            </w:r>
            <w:r>
              <w:rPr>
                <w:spacing w:val="8"/>
              </w:rPr>
              <w:t>元以下的罚款，对其直接</w:t>
            </w:r>
            <w:r>
              <w:rPr>
                <w:spacing w:val="11"/>
              </w:rPr>
              <w:t>负责的主管人员和其他直</w:t>
            </w:r>
            <w:r>
              <w:rPr>
                <w:spacing w:val="4"/>
              </w:rPr>
              <w:t>接责任人员处</w:t>
            </w:r>
            <w:r>
              <w:rPr>
                <w:rFonts w:ascii="宋体" w:hAnsi="宋体" w:eastAsia="宋体" w:cs="宋体"/>
                <w:spacing w:val="4"/>
              </w:rPr>
              <w:t>5</w:t>
            </w:r>
            <w:r>
              <w:rPr>
                <w:spacing w:val="4"/>
              </w:rPr>
              <w:t>万元以上</w:t>
            </w:r>
            <w:r>
              <w:rPr>
                <w:rFonts w:ascii="宋体" w:hAnsi="宋体" w:eastAsia="宋体" w:cs="宋体"/>
                <w:spacing w:val="4"/>
              </w:rPr>
              <w:t>7</w:t>
            </w:r>
            <w:r>
              <w:rPr>
                <w:spacing w:val="4"/>
              </w:rPr>
              <w:t>万元以下的罚款</w:t>
            </w:r>
          </w:p>
        </w:tc>
        <w:tc>
          <w:tcPr>
            <w:tcW w:w="811" w:type="dxa"/>
            <w:vAlign w:val="top"/>
          </w:tcPr>
          <w:p w14:paraId="44477F5E">
            <w:pPr>
              <w:spacing w:line="243" w:lineRule="auto"/>
              <w:rPr>
                <w:rFonts w:ascii="Arial"/>
                <w:sz w:val="21"/>
              </w:rPr>
            </w:pPr>
          </w:p>
          <w:p w14:paraId="20AE15DA">
            <w:pPr>
              <w:spacing w:line="243" w:lineRule="auto"/>
              <w:rPr>
                <w:rFonts w:ascii="Arial"/>
                <w:sz w:val="21"/>
              </w:rPr>
            </w:pPr>
          </w:p>
          <w:p w14:paraId="114BCE1D">
            <w:pPr>
              <w:spacing w:line="243" w:lineRule="auto"/>
              <w:rPr>
                <w:rFonts w:ascii="Arial"/>
                <w:sz w:val="21"/>
              </w:rPr>
            </w:pPr>
          </w:p>
          <w:p w14:paraId="1BD213AE">
            <w:pPr>
              <w:spacing w:line="243" w:lineRule="auto"/>
              <w:rPr>
                <w:rFonts w:ascii="Arial"/>
                <w:sz w:val="21"/>
              </w:rPr>
            </w:pPr>
          </w:p>
          <w:p w14:paraId="4782F8B8">
            <w:pPr>
              <w:spacing w:line="243" w:lineRule="auto"/>
              <w:rPr>
                <w:rFonts w:ascii="Arial"/>
                <w:sz w:val="21"/>
              </w:rPr>
            </w:pPr>
          </w:p>
          <w:p w14:paraId="09735421">
            <w:pPr>
              <w:spacing w:line="243" w:lineRule="auto"/>
              <w:rPr>
                <w:rFonts w:ascii="Arial"/>
                <w:sz w:val="21"/>
              </w:rPr>
            </w:pPr>
          </w:p>
          <w:p w14:paraId="649254EA">
            <w:pPr>
              <w:spacing w:line="244" w:lineRule="auto"/>
              <w:rPr>
                <w:rFonts w:ascii="Arial"/>
                <w:sz w:val="21"/>
              </w:rPr>
            </w:pPr>
          </w:p>
          <w:p w14:paraId="19532EB6">
            <w:pPr>
              <w:spacing w:line="244" w:lineRule="auto"/>
              <w:rPr>
                <w:rFonts w:ascii="Arial"/>
                <w:sz w:val="21"/>
              </w:rPr>
            </w:pPr>
          </w:p>
          <w:p w14:paraId="1D96A2DB">
            <w:pPr>
              <w:spacing w:before="75" w:line="189" w:lineRule="auto"/>
              <w:ind w:left="293"/>
              <w:rPr>
                <w:rFonts w:ascii="宋体" w:hAnsi="宋体" w:eastAsia="宋体" w:cs="宋体"/>
                <w:sz w:val="23"/>
                <w:szCs w:val="23"/>
              </w:rPr>
            </w:pPr>
            <w:r>
              <w:rPr>
                <w:rFonts w:ascii="宋体" w:hAnsi="宋体" w:eastAsia="宋体" w:cs="宋体"/>
                <w:spacing w:val="-3"/>
                <w:sz w:val="23"/>
                <w:szCs w:val="23"/>
              </w:rPr>
              <w:t>21</w:t>
            </w:r>
          </w:p>
        </w:tc>
      </w:tr>
    </w:tbl>
    <w:p w14:paraId="7A2972CD">
      <w:pPr>
        <w:pStyle w:val="2"/>
        <w:spacing w:line="236" w:lineRule="exact"/>
        <w:rPr>
          <w:sz w:val="20"/>
        </w:rPr>
      </w:pPr>
    </w:p>
    <w:p w14:paraId="21A151E8">
      <w:pPr>
        <w:spacing w:line="236" w:lineRule="exact"/>
        <w:rPr>
          <w:sz w:val="20"/>
          <w:szCs w:val="20"/>
        </w:rPr>
        <w:sectPr>
          <w:footerReference r:id="rId45" w:type="default"/>
          <w:pgSz w:w="16839" w:h="11906"/>
          <w:pgMar w:top="1012" w:right="821" w:bottom="666" w:left="901" w:header="0" w:footer="388" w:gutter="0"/>
          <w:cols w:space="720" w:num="1"/>
        </w:sectPr>
      </w:pPr>
    </w:p>
    <w:p w14:paraId="036C8F19">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C316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D7654F9">
            <w:pPr>
              <w:spacing w:before="222" w:line="241" w:lineRule="auto"/>
              <w:ind w:left="131"/>
              <w:rPr>
                <w:rFonts w:ascii="黑体" w:hAnsi="黑体" w:eastAsia="黑体" w:cs="黑体"/>
                <w:sz w:val="28"/>
                <w:szCs w:val="28"/>
              </w:rPr>
            </w:pPr>
            <w:bookmarkStart w:id="401" w:name="bookmark489"/>
            <w:bookmarkEnd w:id="401"/>
            <w:r>
              <w:rPr>
                <w:rFonts w:ascii="黑体" w:hAnsi="黑体" w:eastAsia="黑体" w:cs="黑体"/>
                <w:spacing w:val="-2"/>
                <w:sz w:val="28"/>
                <w:szCs w:val="28"/>
              </w:rPr>
              <w:t>序号</w:t>
            </w:r>
          </w:p>
        </w:tc>
        <w:tc>
          <w:tcPr>
            <w:tcW w:w="1440" w:type="dxa"/>
            <w:vAlign w:val="top"/>
          </w:tcPr>
          <w:p w14:paraId="27B693DC">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0101939">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E8DAF5D">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A505B87">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3F62EB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2043639">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4CE9288">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D10F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trPr>
        <w:tc>
          <w:tcPr>
            <w:tcW w:w="818" w:type="dxa"/>
            <w:vMerge w:val="restart"/>
            <w:tcBorders>
              <w:bottom w:val="nil"/>
            </w:tcBorders>
            <w:vAlign w:val="top"/>
          </w:tcPr>
          <w:p w14:paraId="518FECE8">
            <w:pPr>
              <w:rPr>
                <w:rFonts w:ascii="Arial"/>
                <w:sz w:val="21"/>
              </w:rPr>
            </w:pPr>
          </w:p>
        </w:tc>
        <w:tc>
          <w:tcPr>
            <w:tcW w:w="1440" w:type="dxa"/>
            <w:vMerge w:val="restart"/>
            <w:tcBorders>
              <w:bottom w:val="nil"/>
            </w:tcBorders>
            <w:vAlign w:val="top"/>
          </w:tcPr>
          <w:p w14:paraId="739656CF">
            <w:pPr>
              <w:rPr>
                <w:rFonts w:ascii="Arial"/>
                <w:sz w:val="21"/>
              </w:rPr>
            </w:pPr>
          </w:p>
        </w:tc>
        <w:tc>
          <w:tcPr>
            <w:tcW w:w="3202" w:type="dxa"/>
            <w:vMerge w:val="restart"/>
            <w:tcBorders>
              <w:bottom w:val="nil"/>
            </w:tcBorders>
            <w:vAlign w:val="top"/>
          </w:tcPr>
          <w:p w14:paraId="5C0D79CD">
            <w:pPr>
              <w:rPr>
                <w:rFonts w:ascii="Arial"/>
                <w:sz w:val="21"/>
              </w:rPr>
            </w:pPr>
          </w:p>
        </w:tc>
        <w:tc>
          <w:tcPr>
            <w:tcW w:w="2859" w:type="dxa"/>
            <w:vMerge w:val="restart"/>
            <w:tcBorders>
              <w:bottom w:val="nil"/>
            </w:tcBorders>
            <w:vAlign w:val="top"/>
          </w:tcPr>
          <w:p w14:paraId="45369BB3">
            <w:pPr>
              <w:pStyle w:val="6"/>
              <w:spacing w:before="31" w:line="182" w:lineRule="auto"/>
              <w:ind w:left="116" w:right="110" w:firstLine="9"/>
              <w:jc w:val="both"/>
            </w:pPr>
            <w:r>
              <w:rPr>
                <w:spacing w:val="7"/>
              </w:rPr>
              <w:t>责任人员处五万元以上十</w:t>
            </w:r>
            <w:r>
              <w:rPr>
                <w:spacing w:val="8"/>
              </w:rPr>
              <w:t>万元以下的罚款；构成犯罪的，依照刑法有关规定追究刑事责任</w:t>
            </w:r>
            <w:r>
              <w:rPr>
                <w:spacing w:val="10"/>
              </w:rPr>
              <w:t>：（</w:t>
            </w:r>
            <w:r>
              <w:rPr>
                <w:spacing w:val="8"/>
              </w:rPr>
              <w:t>二）矿山、金属冶炼建设项目或</w:t>
            </w:r>
          </w:p>
          <w:p w14:paraId="03F39D0B">
            <w:pPr>
              <w:pStyle w:val="6"/>
              <w:spacing w:line="182" w:lineRule="auto"/>
              <w:ind w:left="119"/>
              <w:outlineLvl w:val="0"/>
            </w:pPr>
            <w:r>
              <w:rPr>
                <w:spacing w:val="8"/>
              </w:rPr>
              <w:t>者用于生产、储存、装卸</w:t>
            </w:r>
          </w:p>
          <w:p w14:paraId="4023B1CB">
            <w:pPr>
              <w:pStyle w:val="6"/>
              <w:spacing w:before="6" w:line="188" w:lineRule="auto"/>
              <w:ind w:left="121" w:right="110" w:hanging="4"/>
              <w:jc w:val="both"/>
            </w:pPr>
            <w:r>
              <w:rPr>
                <w:spacing w:val="8"/>
              </w:rPr>
              <w:t>危险物品的建设项目没有</w:t>
            </w:r>
            <w:bookmarkStart w:id="402" w:name="bookmark64"/>
            <w:bookmarkEnd w:id="402"/>
            <w:bookmarkStart w:id="403" w:name="bookmark490"/>
            <w:bookmarkEnd w:id="403"/>
            <w:r>
              <w:rPr>
                <w:spacing w:val="8"/>
              </w:rPr>
              <w:t>安全设施设计或者安全设施设计未按照规定报经有</w:t>
            </w:r>
            <w:r>
              <w:rPr>
                <w:spacing w:val="2"/>
              </w:rPr>
              <w:t>关部门审查同意的；</w:t>
            </w:r>
          </w:p>
        </w:tc>
        <w:tc>
          <w:tcPr>
            <w:tcW w:w="803" w:type="dxa"/>
            <w:vAlign w:val="top"/>
          </w:tcPr>
          <w:p w14:paraId="6C5B6145">
            <w:pPr>
              <w:spacing w:line="273" w:lineRule="auto"/>
              <w:rPr>
                <w:rFonts w:ascii="Arial"/>
                <w:sz w:val="21"/>
              </w:rPr>
            </w:pPr>
          </w:p>
          <w:p w14:paraId="1D2905CF">
            <w:pPr>
              <w:spacing w:line="273" w:lineRule="auto"/>
              <w:rPr>
                <w:rFonts w:ascii="Arial"/>
                <w:sz w:val="21"/>
              </w:rPr>
            </w:pPr>
          </w:p>
          <w:p w14:paraId="641C3C38">
            <w:pPr>
              <w:spacing w:line="273" w:lineRule="auto"/>
              <w:rPr>
                <w:rFonts w:ascii="Arial"/>
                <w:sz w:val="21"/>
              </w:rPr>
            </w:pPr>
          </w:p>
          <w:p w14:paraId="026AC79C">
            <w:pPr>
              <w:spacing w:line="273" w:lineRule="auto"/>
              <w:rPr>
                <w:rFonts w:ascii="Arial"/>
                <w:sz w:val="21"/>
              </w:rPr>
            </w:pPr>
          </w:p>
          <w:p w14:paraId="68061A2B">
            <w:pPr>
              <w:spacing w:line="273" w:lineRule="auto"/>
              <w:rPr>
                <w:rFonts w:ascii="Arial"/>
                <w:sz w:val="21"/>
              </w:rPr>
            </w:pPr>
          </w:p>
          <w:p w14:paraId="081E8177">
            <w:pPr>
              <w:spacing w:line="274" w:lineRule="auto"/>
              <w:rPr>
                <w:rFonts w:ascii="Arial"/>
                <w:sz w:val="21"/>
              </w:rPr>
            </w:pPr>
          </w:p>
          <w:p w14:paraId="0E3CD5A1">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3FDB5A8">
            <w:pPr>
              <w:spacing w:line="254" w:lineRule="auto"/>
              <w:rPr>
                <w:rFonts w:ascii="Arial"/>
                <w:sz w:val="21"/>
              </w:rPr>
            </w:pPr>
          </w:p>
          <w:p w14:paraId="4D183536">
            <w:pPr>
              <w:spacing w:line="255" w:lineRule="auto"/>
              <w:rPr>
                <w:rFonts w:ascii="Arial"/>
                <w:sz w:val="21"/>
              </w:rPr>
            </w:pPr>
          </w:p>
          <w:p w14:paraId="69ADBFD0">
            <w:pPr>
              <w:spacing w:line="255" w:lineRule="auto"/>
              <w:rPr>
                <w:rFonts w:ascii="Arial"/>
                <w:sz w:val="21"/>
              </w:rPr>
            </w:pPr>
          </w:p>
          <w:p w14:paraId="522D7815">
            <w:pPr>
              <w:spacing w:line="255" w:lineRule="auto"/>
              <w:rPr>
                <w:rFonts w:ascii="Arial"/>
                <w:sz w:val="21"/>
              </w:rPr>
            </w:pPr>
          </w:p>
          <w:p w14:paraId="03340438">
            <w:pPr>
              <w:spacing w:line="255" w:lineRule="auto"/>
              <w:rPr>
                <w:rFonts w:ascii="Arial"/>
                <w:sz w:val="21"/>
              </w:rPr>
            </w:pPr>
          </w:p>
          <w:p w14:paraId="6171954C">
            <w:pPr>
              <w:pStyle w:val="6"/>
              <w:spacing w:before="98" w:line="191" w:lineRule="auto"/>
              <w:ind w:left="128" w:right="109" w:hanging="11"/>
              <w:jc w:val="both"/>
            </w:pPr>
            <w:r>
              <w:rPr>
                <w:spacing w:val="-10"/>
              </w:rPr>
              <w:t>建设项目投资额</w:t>
            </w:r>
            <w:r>
              <w:rPr>
                <w:rFonts w:ascii="宋体" w:hAnsi="宋体" w:eastAsia="宋体" w:cs="宋体"/>
                <w:spacing w:val="1"/>
              </w:rPr>
              <w:t>1000</w:t>
            </w:r>
            <w:r>
              <w:rPr>
                <w:spacing w:val="1"/>
              </w:rPr>
              <w:t>万元以上</w:t>
            </w:r>
            <w:r>
              <w:rPr>
                <w:rFonts w:ascii="宋体" w:hAnsi="宋体" w:eastAsia="宋体" w:cs="宋体"/>
                <w:spacing w:val="1"/>
              </w:rPr>
              <w:t>3000</w:t>
            </w:r>
            <w:r>
              <w:rPr>
                <w:spacing w:val="4"/>
              </w:rPr>
              <w:t>万元以下的</w:t>
            </w:r>
          </w:p>
        </w:tc>
        <w:tc>
          <w:tcPr>
            <w:tcW w:w="2894" w:type="dxa"/>
            <w:vAlign w:val="top"/>
          </w:tcPr>
          <w:p w14:paraId="0CE47D80">
            <w:pPr>
              <w:pStyle w:val="6"/>
              <w:spacing w:before="21" w:line="181" w:lineRule="auto"/>
              <w:ind w:left="116" w:right="103" w:firstLine="11"/>
              <w:jc w:val="both"/>
            </w:pPr>
            <w:r>
              <w:rPr>
                <w:spacing w:val="10"/>
              </w:rPr>
              <w:t>责令停止建设或者停产停</w:t>
            </w:r>
            <w:r>
              <w:rPr>
                <w:spacing w:val="8"/>
              </w:rPr>
              <w:t>业整顿，限期改正，并处</w:t>
            </w:r>
            <w:r>
              <w:rPr>
                <w:rFonts w:ascii="宋体" w:hAnsi="宋体" w:eastAsia="宋体" w:cs="宋体"/>
                <w:spacing w:val="6"/>
              </w:rPr>
              <w:t>30</w:t>
            </w:r>
            <w:r>
              <w:rPr>
                <w:spacing w:val="6"/>
              </w:rPr>
              <w:t>万元以上</w:t>
            </w:r>
            <w:r>
              <w:rPr>
                <w:rFonts w:ascii="宋体" w:hAnsi="宋体" w:eastAsia="宋体" w:cs="宋体"/>
                <w:spacing w:val="6"/>
              </w:rPr>
              <w:t>40</w:t>
            </w:r>
            <w:r>
              <w:rPr>
                <w:spacing w:val="6"/>
              </w:rPr>
              <w:t>万元以下</w:t>
            </w:r>
            <w:r>
              <w:rPr>
                <w:spacing w:val="8"/>
              </w:rPr>
              <w:t>的罚款，对其直接负责的</w:t>
            </w:r>
            <w:r>
              <w:rPr>
                <w:spacing w:val="12"/>
              </w:rPr>
              <w:t>主管人员和其他直接责任</w:t>
            </w:r>
            <w:r>
              <w:rPr>
                <w:spacing w:val="4"/>
              </w:rPr>
              <w:t>人员处</w:t>
            </w:r>
            <w:r>
              <w:rPr>
                <w:rFonts w:ascii="宋体" w:hAnsi="宋体" w:eastAsia="宋体" w:cs="宋体"/>
                <w:spacing w:val="4"/>
              </w:rPr>
              <w:t>3</w:t>
            </w:r>
            <w:r>
              <w:rPr>
                <w:spacing w:val="4"/>
              </w:rPr>
              <w:t>万元以上</w:t>
            </w:r>
            <w:r>
              <w:rPr>
                <w:rFonts w:ascii="宋体" w:hAnsi="宋体" w:eastAsia="宋体" w:cs="宋体"/>
                <w:spacing w:val="4"/>
              </w:rPr>
              <w:t>4</w:t>
            </w:r>
            <w:r>
              <w:rPr>
                <w:spacing w:val="4"/>
              </w:rPr>
              <w:t>万元</w:t>
            </w:r>
            <w:r>
              <w:rPr>
                <w:spacing w:val="9"/>
              </w:rPr>
              <w:t>以下的罚款；逾期未改正</w:t>
            </w:r>
            <w:r>
              <w:t>的，处</w:t>
            </w:r>
            <w:r>
              <w:rPr>
                <w:rFonts w:ascii="宋体" w:hAnsi="宋体" w:eastAsia="宋体" w:cs="宋体"/>
              </w:rPr>
              <w:t>70</w:t>
            </w:r>
            <w:r>
              <w:t>万元以上</w:t>
            </w:r>
            <w:r>
              <w:rPr>
                <w:rFonts w:ascii="宋体" w:hAnsi="宋体" w:eastAsia="宋体" w:cs="宋体"/>
              </w:rPr>
              <w:t>90</w:t>
            </w:r>
            <w:r>
              <w:t>万</w:t>
            </w:r>
            <w:r>
              <w:rPr>
                <w:spacing w:val="8"/>
              </w:rPr>
              <w:t>元以下的罚款，对其直接</w:t>
            </w:r>
            <w:r>
              <w:rPr>
                <w:spacing w:val="12"/>
              </w:rPr>
              <w:t>负责的主管人员和其他直</w:t>
            </w:r>
            <w:r>
              <w:rPr>
                <w:spacing w:val="4"/>
              </w:rPr>
              <w:t>接责任人员处</w:t>
            </w:r>
            <w:r>
              <w:rPr>
                <w:rFonts w:ascii="宋体" w:hAnsi="宋体" w:eastAsia="宋体" w:cs="宋体"/>
                <w:spacing w:val="4"/>
              </w:rPr>
              <w:t>7</w:t>
            </w:r>
            <w:r>
              <w:rPr>
                <w:spacing w:val="4"/>
              </w:rPr>
              <w:t>万元以上</w:t>
            </w:r>
            <w:r>
              <w:rPr>
                <w:rFonts w:ascii="宋体" w:hAnsi="宋体" w:eastAsia="宋体" w:cs="宋体"/>
                <w:spacing w:val="4"/>
              </w:rPr>
              <w:t>9</w:t>
            </w:r>
            <w:r>
              <w:rPr>
                <w:spacing w:val="4"/>
              </w:rPr>
              <w:t>万元以下的罚款</w:t>
            </w:r>
          </w:p>
        </w:tc>
        <w:tc>
          <w:tcPr>
            <w:tcW w:w="811" w:type="dxa"/>
            <w:vMerge w:val="restart"/>
            <w:tcBorders>
              <w:bottom w:val="nil"/>
            </w:tcBorders>
            <w:vAlign w:val="top"/>
          </w:tcPr>
          <w:p w14:paraId="43C85F7C">
            <w:pPr>
              <w:rPr>
                <w:rFonts w:ascii="Arial"/>
                <w:sz w:val="21"/>
              </w:rPr>
            </w:pPr>
          </w:p>
        </w:tc>
      </w:tr>
      <w:tr w14:paraId="29FDD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trPr>
        <w:tc>
          <w:tcPr>
            <w:tcW w:w="818" w:type="dxa"/>
            <w:vMerge w:val="continue"/>
            <w:tcBorders>
              <w:top w:val="nil"/>
            </w:tcBorders>
            <w:vAlign w:val="top"/>
          </w:tcPr>
          <w:p w14:paraId="268D0B76">
            <w:pPr>
              <w:rPr>
                <w:rFonts w:ascii="Arial"/>
                <w:sz w:val="21"/>
              </w:rPr>
            </w:pPr>
          </w:p>
        </w:tc>
        <w:tc>
          <w:tcPr>
            <w:tcW w:w="1440" w:type="dxa"/>
            <w:vMerge w:val="continue"/>
            <w:tcBorders>
              <w:top w:val="nil"/>
            </w:tcBorders>
            <w:vAlign w:val="top"/>
          </w:tcPr>
          <w:p w14:paraId="1E7DF724">
            <w:pPr>
              <w:rPr>
                <w:rFonts w:ascii="Arial"/>
                <w:sz w:val="21"/>
              </w:rPr>
            </w:pPr>
          </w:p>
        </w:tc>
        <w:tc>
          <w:tcPr>
            <w:tcW w:w="3202" w:type="dxa"/>
            <w:vMerge w:val="continue"/>
            <w:tcBorders>
              <w:top w:val="nil"/>
            </w:tcBorders>
            <w:vAlign w:val="top"/>
          </w:tcPr>
          <w:p w14:paraId="3B919221">
            <w:pPr>
              <w:rPr>
                <w:rFonts w:ascii="Arial"/>
                <w:sz w:val="21"/>
              </w:rPr>
            </w:pPr>
          </w:p>
        </w:tc>
        <w:tc>
          <w:tcPr>
            <w:tcW w:w="2859" w:type="dxa"/>
            <w:vMerge w:val="continue"/>
            <w:tcBorders>
              <w:top w:val="nil"/>
            </w:tcBorders>
            <w:vAlign w:val="top"/>
          </w:tcPr>
          <w:p w14:paraId="7966782A">
            <w:pPr>
              <w:rPr>
                <w:rFonts w:ascii="Arial"/>
                <w:sz w:val="21"/>
              </w:rPr>
            </w:pPr>
          </w:p>
        </w:tc>
        <w:tc>
          <w:tcPr>
            <w:tcW w:w="803" w:type="dxa"/>
            <w:vAlign w:val="top"/>
          </w:tcPr>
          <w:p w14:paraId="7AADD531">
            <w:pPr>
              <w:spacing w:line="273" w:lineRule="auto"/>
              <w:rPr>
                <w:rFonts w:ascii="Arial"/>
                <w:sz w:val="21"/>
              </w:rPr>
            </w:pPr>
          </w:p>
          <w:p w14:paraId="47D6EE71">
            <w:pPr>
              <w:spacing w:line="273" w:lineRule="auto"/>
              <w:rPr>
                <w:rFonts w:ascii="Arial"/>
                <w:sz w:val="21"/>
              </w:rPr>
            </w:pPr>
          </w:p>
          <w:p w14:paraId="31804438">
            <w:pPr>
              <w:spacing w:line="273" w:lineRule="auto"/>
              <w:rPr>
                <w:rFonts w:ascii="Arial"/>
                <w:sz w:val="21"/>
              </w:rPr>
            </w:pPr>
          </w:p>
          <w:p w14:paraId="6BD6A476">
            <w:pPr>
              <w:spacing w:line="273" w:lineRule="auto"/>
              <w:rPr>
                <w:rFonts w:ascii="Arial"/>
                <w:sz w:val="21"/>
              </w:rPr>
            </w:pPr>
          </w:p>
          <w:p w14:paraId="7564915D">
            <w:pPr>
              <w:spacing w:line="273" w:lineRule="auto"/>
              <w:rPr>
                <w:rFonts w:ascii="Arial"/>
                <w:sz w:val="21"/>
              </w:rPr>
            </w:pPr>
          </w:p>
          <w:p w14:paraId="7142C652">
            <w:pPr>
              <w:spacing w:line="274" w:lineRule="auto"/>
              <w:rPr>
                <w:rFonts w:ascii="Arial"/>
                <w:sz w:val="21"/>
              </w:rPr>
            </w:pPr>
          </w:p>
          <w:p w14:paraId="111ED619">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97930CA">
            <w:pPr>
              <w:spacing w:line="284" w:lineRule="auto"/>
              <w:rPr>
                <w:rFonts w:ascii="Arial"/>
                <w:sz w:val="21"/>
              </w:rPr>
            </w:pPr>
          </w:p>
          <w:p w14:paraId="6DB4D768">
            <w:pPr>
              <w:spacing w:line="284" w:lineRule="auto"/>
              <w:rPr>
                <w:rFonts w:ascii="Arial"/>
                <w:sz w:val="21"/>
              </w:rPr>
            </w:pPr>
          </w:p>
          <w:p w14:paraId="7F535E6C">
            <w:pPr>
              <w:spacing w:line="285" w:lineRule="auto"/>
              <w:rPr>
                <w:rFonts w:ascii="Arial"/>
                <w:sz w:val="21"/>
              </w:rPr>
            </w:pPr>
          </w:p>
          <w:p w14:paraId="5E68817D">
            <w:pPr>
              <w:spacing w:line="285" w:lineRule="auto"/>
              <w:rPr>
                <w:rFonts w:ascii="Arial"/>
                <w:sz w:val="21"/>
              </w:rPr>
            </w:pPr>
          </w:p>
          <w:p w14:paraId="59589538">
            <w:pPr>
              <w:spacing w:line="285" w:lineRule="auto"/>
              <w:rPr>
                <w:rFonts w:ascii="Arial"/>
                <w:sz w:val="21"/>
              </w:rPr>
            </w:pPr>
          </w:p>
          <w:p w14:paraId="4BAF5D54">
            <w:pPr>
              <w:pStyle w:val="6"/>
              <w:spacing w:before="99" w:line="196" w:lineRule="auto"/>
              <w:ind w:left="117" w:right="109"/>
            </w:pPr>
            <w:r>
              <w:rPr>
                <w:spacing w:val="-10"/>
              </w:rPr>
              <w:t>建设项目投资额</w:t>
            </w:r>
            <w:r>
              <w:rPr>
                <w:rFonts w:ascii="宋体" w:hAnsi="宋体" w:eastAsia="宋体" w:cs="宋体"/>
                <w:spacing w:val="2"/>
              </w:rPr>
              <w:t>3000</w:t>
            </w:r>
            <w:r>
              <w:rPr>
                <w:spacing w:val="2"/>
              </w:rPr>
              <w:t>万元以上的</w:t>
            </w:r>
          </w:p>
        </w:tc>
        <w:tc>
          <w:tcPr>
            <w:tcW w:w="2894" w:type="dxa"/>
            <w:vAlign w:val="top"/>
          </w:tcPr>
          <w:p w14:paraId="2EB2A9B9">
            <w:pPr>
              <w:pStyle w:val="6"/>
              <w:spacing w:before="41" w:line="180" w:lineRule="auto"/>
              <w:ind w:left="114" w:right="103" w:firstLine="13"/>
              <w:jc w:val="both"/>
            </w:pPr>
            <w:r>
              <w:rPr>
                <w:spacing w:val="10"/>
              </w:rPr>
              <w:t>责令停止建设或者停产停</w:t>
            </w:r>
            <w:r>
              <w:rPr>
                <w:spacing w:val="8"/>
              </w:rPr>
              <w:t>业整顿，限期改正，并处</w:t>
            </w:r>
            <w:r>
              <w:rPr>
                <w:rFonts w:ascii="宋体" w:hAnsi="宋体" w:eastAsia="宋体" w:cs="宋体"/>
                <w:spacing w:val="6"/>
              </w:rPr>
              <w:t>40</w:t>
            </w:r>
            <w:r>
              <w:rPr>
                <w:spacing w:val="6"/>
              </w:rPr>
              <w:t>万元以上</w:t>
            </w:r>
            <w:r>
              <w:rPr>
                <w:rFonts w:ascii="宋体" w:hAnsi="宋体" w:eastAsia="宋体" w:cs="宋体"/>
                <w:spacing w:val="6"/>
              </w:rPr>
              <w:t>50</w:t>
            </w:r>
            <w:r>
              <w:rPr>
                <w:spacing w:val="6"/>
              </w:rPr>
              <w:t>万元以下</w:t>
            </w:r>
            <w:r>
              <w:rPr>
                <w:spacing w:val="9"/>
              </w:rPr>
              <w:t>的罚款，对其直接负责的</w:t>
            </w:r>
            <w:r>
              <w:rPr>
                <w:spacing w:val="12"/>
              </w:rPr>
              <w:t>主管人员和其他直接责任</w:t>
            </w:r>
            <w:r>
              <w:rPr>
                <w:spacing w:val="4"/>
              </w:rPr>
              <w:t>人员处</w:t>
            </w:r>
            <w:r>
              <w:rPr>
                <w:rFonts w:ascii="宋体" w:hAnsi="宋体" w:eastAsia="宋体" w:cs="宋体"/>
                <w:spacing w:val="4"/>
              </w:rPr>
              <w:t>4</w:t>
            </w:r>
            <w:r>
              <w:rPr>
                <w:spacing w:val="4"/>
              </w:rPr>
              <w:t>万元以上</w:t>
            </w:r>
            <w:r>
              <w:rPr>
                <w:rFonts w:ascii="宋体" w:hAnsi="宋体" w:eastAsia="宋体" w:cs="宋体"/>
                <w:spacing w:val="4"/>
              </w:rPr>
              <w:t>5</w:t>
            </w:r>
            <w:r>
              <w:rPr>
                <w:spacing w:val="4"/>
              </w:rPr>
              <w:t>万元</w:t>
            </w:r>
            <w:r>
              <w:rPr>
                <w:spacing w:val="9"/>
              </w:rPr>
              <w:t>以下的罚款；逾期未改正</w:t>
            </w:r>
            <w:r>
              <w:rPr>
                <w:spacing w:val="-6"/>
              </w:rPr>
              <w:t>的，处</w:t>
            </w:r>
            <w:r>
              <w:rPr>
                <w:rFonts w:ascii="宋体" w:hAnsi="宋体" w:eastAsia="宋体" w:cs="宋体"/>
                <w:spacing w:val="-6"/>
              </w:rPr>
              <w:t>90</w:t>
            </w:r>
            <w:r>
              <w:rPr>
                <w:spacing w:val="-6"/>
              </w:rPr>
              <w:t>万元以上</w:t>
            </w:r>
            <w:r>
              <w:rPr>
                <w:rFonts w:ascii="宋体" w:hAnsi="宋体" w:eastAsia="宋体" w:cs="宋体"/>
                <w:spacing w:val="-6"/>
              </w:rPr>
              <w:t>100</w:t>
            </w:r>
            <w:r>
              <w:rPr>
                <w:spacing w:val="-6"/>
              </w:rPr>
              <w:t>万</w:t>
            </w:r>
            <w:r>
              <w:rPr>
                <w:spacing w:val="9"/>
              </w:rPr>
              <w:t>元以下的罚款，对其直接</w:t>
            </w:r>
            <w:r>
              <w:rPr>
                <w:spacing w:val="12"/>
              </w:rPr>
              <w:t>负责的主管人员和其他直</w:t>
            </w:r>
            <w:r>
              <w:rPr>
                <w:spacing w:val="5"/>
              </w:rPr>
              <w:t>接责任人员处</w:t>
            </w:r>
            <w:r>
              <w:rPr>
                <w:rFonts w:ascii="宋体" w:hAnsi="宋体" w:eastAsia="宋体" w:cs="宋体"/>
                <w:spacing w:val="5"/>
              </w:rPr>
              <w:t>9</w:t>
            </w:r>
            <w:r>
              <w:rPr>
                <w:spacing w:val="5"/>
              </w:rPr>
              <w:t>万元以上</w:t>
            </w:r>
            <w:r>
              <w:rPr>
                <w:rFonts w:ascii="宋体" w:hAnsi="宋体" w:eastAsia="宋体" w:cs="宋体"/>
                <w:spacing w:val="4"/>
              </w:rPr>
              <w:t>10</w:t>
            </w:r>
            <w:r>
              <w:rPr>
                <w:spacing w:val="4"/>
              </w:rPr>
              <w:t>万元以下的罚款</w:t>
            </w:r>
          </w:p>
        </w:tc>
        <w:tc>
          <w:tcPr>
            <w:tcW w:w="811" w:type="dxa"/>
            <w:vMerge w:val="continue"/>
            <w:tcBorders>
              <w:top w:val="nil"/>
            </w:tcBorders>
            <w:vAlign w:val="top"/>
          </w:tcPr>
          <w:p w14:paraId="04078F58">
            <w:pPr>
              <w:rPr>
                <w:rFonts w:ascii="Arial"/>
                <w:sz w:val="21"/>
              </w:rPr>
            </w:pPr>
          </w:p>
        </w:tc>
      </w:tr>
      <w:tr w14:paraId="7F4B3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818" w:type="dxa"/>
            <w:vAlign w:val="top"/>
          </w:tcPr>
          <w:p w14:paraId="689AD9F3">
            <w:pPr>
              <w:spacing w:line="250" w:lineRule="auto"/>
              <w:rPr>
                <w:rFonts w:ascii="Arial"/>
                <w:sz w:val="21"/>
              </w:rPr>
            </w:pPr>
          </w:p>
          <w:p w14:paraId="2CB8C594">
            <w:pPr>
              <w:spacing w:line="251" w:lineRule="auto"/>
              <w:rPr>
                <w:rFonts w:ascii="Arial"/>
                <w:sz w:val="21"/>
              </w:rPr>
            </w:pPr>
          </w:p>
          <w:p w14:paraId="62214ECB">
            <w:pPr>
              <w:spacing w:line="251" w:lineRule="auto"/>
              <w:rPr>
                <w:rFonts w:ascii="Arial"/>
                <w:sz w:val="21"/>
              </w:rPr>
            </w:pPr>
          </w:p>
          <w:p w14:paraId="4F6A2FD9">
            <w:pPr>
              <w:spacing w:before="75" w:line="185" w:lineRule="auto"/>
              <w:ind w:left="239"/>
              <w:rPr>
                <w:rFonts w:ascii="仿宋" w:hAnsi="仿宋" w:eastAsia="仿宋" w:cs="仿宋"/>
                <w:sz w:val="23"/>
                <w:szCs w:val="23"/>
              </w:rPr>
            </w:pPr>
            <w:r>
              <w:rPr>
                <w:rFonts w:ascii="仿宋" w:hAnsi="仿宋" w:eastAsia="仿宋" w:cs="仿宋"/>
                <w:spacing w:val="-4"/>
                <w:sz w:val="23"/>
                <w:szCs w:val="23"/>
              </w:rPr>
              <w:t>30</w:t>
            </w:r>
          </w:p>
        </w:tc>
        <w:tc>
          <w:tcPr>
            <w:tcW w:w="1440" w:type="dxa"/>
            <w:vAlign w:val="top"/>
          </w:tcPr>
          <w:p w14:paraId="22BC4433">
            <w:pPr>
              <w:pStyle w:val="6"/>
              <w:spacing w:before="31" w:line="179" w:lineRule="auto"/>
              <w:ind w:left="114" w:right="111" w:firstLine="3"/>
            </w:pPr>
            <w:r>
              <w:rPr>
                <w:spacing w:val="11"/>
              </w:rPr>
              <w:t>金属冶炼建设项目或者</w:t>
            </w:r>
            <w:r>
              <w:rPr>
                <w:spacing w:val="6"/>
              </w:rPr>
              <w:t>用于生产、</w:t>
            </w:r>
            <w:r>
              <w:rPr>
                <w:spacing w:val="11"/>
              </w:rPr>
              <w:t>储存、装卸危险物品的建设项目的</w:t>
            </w:r>
          </w:p>
        </w:tc>
        <w:tc>
          <w:tcPr>
            <w:tcW w:w="3202" w:type="dxa"/>
            <w:vAlign w:val="top"/>
          </w:tcPr>
          <w:p w14:paraId="2B077610">
            <w:pPr>
              <w:pStyle w:val="6"/>
              <w:spacing w:before="31" w:line="179" w:lineRule="auto"/>
              <w:ind w:left="119" w:right="111" w:hanging="21"/>
              <w:jc w:val="both"/>
            </w:pPr>
            <w:r>
              <w:rPr>
                <w:spacing w:val="18"/>
              </w:rPr>
              <w:t>【法律】《中华人民共和国</w:t>
            </w:r>
            <w:r>
              <w:rPr>
                <w:spacing w:val="17"/>
              </w:rPr>
              <w:t>安全生产法》第三十四条第</w:t>
            </w:r>
            <w:r>
              <w:rPr>
                <w:spacing w:val="13"/>
              </w:rPr>
              <w:t>一款：矿山、金属冶炼建设</w:t>
            </w:r>
            <w:r>
              <w:rPr>
                <w:spacing w:val="17"/>
              </w:rPr>
              <w:t>项目和用于生产、储存、装卸危险物品的建设项目的施工单位必须按照批准的安全</w:t>
            </w:r>
          </w:p>
        </w:tc>
        <w:tc>
          <w:tcPr>
            <w:tcW w:w="2859" w:type="dxa"/>
            <w:vAlign w:val="top"/>
          </w:tcPr>
          <w:p w14:paraId="735D768C">
            <w:pPr>
              <w:pStyle w:val="6"/>
              <w:spacing w:before="31" w:line="179" w:lineRule="auto"/>
              <w:ind w:left="117" w:right="110" w:hanging="20"/>
              <w:jc w:val="both"/>
            </w:pPr>
            <w:r>
              <w:rPr>
                <w:spacing w:val="10"/>
              </w:rPr>
              <w:t>【法律】《中华人民共和</w:t>
            </w:r>
            <w:r>
              <w:rPr>
                <w:spacing w:val="8"/>
              </w:rPr>
              <w:t>国安全生产法》第九十八条第三项：生产经营单位有下列行为之一的，责令停止建设或者停产停业整</w:t>
            </w:r>
            <w:r>
              <w:rPr>
                <w:spacing w:val="6"/>
              </w:rPr>
              <w:t>顿，限期改正，并处十万</w:t>
            </w:r>
          </w:p>
        </w:tc>
        <w:tc>
          <w:tcPr>
            <w:tcW w:w="803" w:type="dxa"/>
            <w:vAlign w:val="top"/>
          </w:tcPr>
          <w:p w14:paraId="40DF0F68">
            <w:pPr>
              <w:spacing w:line="248" w:lineRule="auto"/>
              <w:rPr>
                <w:rFonts w:ascii="Arial"/>
                <w:sz w:val="21"/>
              </w:rPr>
            </w:pPr>
          </w:p>
          <w:p w14:paraId="135D9477">
            <w:pPr>
              <w:spacing w:line="249" w:lineRule="auto"/>
              <w:rPr>
                <w:rFonts w:ascii="Arial"/>
                <w:sz w:val="21"/>
              </w:rPr>
            </w:pPr>
          </w:p>
          <w:p w14:paraId="7CAF0F91">
            <w:pPr>
              <w:spacing w:line="249" w:lineRule="auto"/>
              <w:rPr>
                <w:rFonts w:ascii="Arial"/>
                <w:sz w:val="21"/>
              </w:rPr>
            </w:pPr>
          </w:p>
          <w:p w14:paraId="56C79E15">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71B09EA">
            <w:pPr>
              <w:spacing w:line="266" w:lineRule="auto"/>
              <w:rPr>
                <w:rFonts w:ascii="Arial"/>
                <w:sz w:val="21"/>
              </w:rPr>
            </w:pPr>
          </w:p>
          <w:p w14:paraId="18B8DFEF">
            <w:pPr>
              <w:spacing w:line="266" w:lineRule="auto"/>
              <w:rPr>
                <w:rFonts w:ascii="Arial"/>
                <w:sz w:val="21"/>
              </w:rPr>
            </w:pPr>
          </w:p>
          <w:p w14:paraId="20EA8A9C">
            <w:pPr>
              <w:pStyle w:val="6"/>
              <w:spacing w:before="98" w:line="182" w:lineRule="auto"/>
              <w:ind w:left="117"/>
            </w:pPr>
            <w:r>
              <w:rPr>
                <w:spacing w:val="-9"/>
              </w:rPr>
              <w:t>建设项目投资额</w:t>
            </w:r>
          </w:p>
          <w:p w14:paraId="62805570">
            <w:pPr>
              <w:pStyle w:val="6"/>
              <w:spacing w:before="1" w:line="208" w:lineRule="auto"/>
              <w:ind w:left="131"/>
            </w:pPr>
            <w:r>
              <w:rPr>
                <w:rFonts w:ascii="宋体" w:hAnsi="宋体" w:eastAsia="宋体" w:cs="宋体"/>
                <w:spacing w:val="1"/>
              </w:rPr>
              <w:t>1000</w:t>
            </w:r>
            <w:r>
              <w:rPr>
                <w:spacing w:val="1"/>
              </w:rPr>
              <w:t>万元以下的</w:t>
            </w:r>
          </w:p>
        </w:tc>
        <w:tc>
          <w:tcPr>
            <w:tcW w:w="2894" w:type="dxa"/>
            <w:vAlign w:val="top"/>
          </w:tcPr>
          <w:p w14:paraId="7044444A">
            <w:pPr>
              <w:pStyle w:val="6"/>
              <w:spacing w:before="31" w:line="179" w:lineRule="auto"/>
              <w:ind w:left="122" w:right="103" w:firstLine="5"/>
              <w:jc w:val="both"/>
            </w:pPr>
            <w:r>
              <w:rPr>
                <w:spacing w:val="10"/>
              </w:rPr>
              <w:t>责令停止建设或者停产停</w:t>
            </w:r>
            <w:r>
              <w:rPr>
                <w:spacing w:val="8"/>
              </w:rPr>
              <w:t>业整顿，限期改正，并处</w:t>
            </w:r>
            <w:r>
              <w:rPr>
                <w:rFonts w:ascii="宋体" w:hAnsi="宋体" w:eastAsia="宋体" w:cs="宋体"/>
                <w:spacing w:val="5"/>
              </w:rPr>
              <w:t>10</w:t>
            </w:r>
            <w:r>
              <w:rPr>
                <w:spacing w:val="5"/>
              </w:rPr>
              <w:t>万元以上</w:t>
            </w:r>
            <w:r>
              <w:rPr>
                <w:rFonts w:ascii="宋体" w:hAnsi="宋体" w:eastAsia="宋体" w:cs="宋体"/>
                <w:spacing w:val="5"/>
              </w:rPr>
              <w:t>30</w:t>
            </w:r>
            <w:r>
              <w:rPr>
                <w:spacing w:val="5"/>
              </w:rPr>
              <w:t>万元以下</w:t>
            </w:r>
            <w:r>
              <w:rPr>
                <w:spacing w:val="8"/>
              </w:rPr>
              <w:t>的罚款，对其直接负责的</w:t>
            </w:r>
            <w:r>
              <w:rPr>
                <w:spacing w:val="11"/>
              </w:rPr>
              <w:t>主管人员和其他直接责任</w:t>
            </w:r>
            <w:r>
              <w:rPr>
                <w:spacing w:val="3"/>
              </w:rPr>
              <w:t>人员处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万元</w:t>
            </w:r>
          </w:p>
        </w:tc>
        <w:tc>
          <w:tcPr>
            <w:tcW w:w="811" w:type="dxa"/>
            <w:vAlign w:val="top"/>
          </w:tcPr>
          <w:p w14:paraId="58A10391">
            <w:pPr>
              <w:spacing w:line="249" w:lineRule="auto"/>
              <w:rPr>
                <w:rFonts w:ascii="Arial"/>
                <w:sz w:val="21"/>
              </w:rPr>
            </w:pPr>
          </w:p>
          <w:p w14:paraId="3AA0A035">
            <w:pPr>
              <w:spacing w:line="249" w:lineRule="auto"/>
              <w:rPr>
                <w:rFonts w:ascii="Arial"/>
                <w:sz w:val="21"/>
              </w:rPr>
            </w:pPr>
          </w:p>
          <w:p w14:paraId="7B43F186">
            <w:pPr>
              <w:spacing w:line="250" w:lineRule="auto"/>
              <w:rPr>
                <w:rFonts w:ascii="Arial"/>
                <w:sz w:val="21"/>
              </w:rPr>
            </w:pPr>
          </w:p>
          <w:p w14:paraId="48744C76">
            <w:pPr>
              <w:spacing w:before="75" w:line="188" w:lineRule="auto"/>
              <w:ind w:left="293"/>
              <w:rPr>
                <w:rFonts w:ascii="宋体" w:hAnsi="宋体" w:eastAsia="宋体" w:cs="宋体"/>
                <w:sz w:val="23"/>
                <w:szCs w:val="23"/>
              </w:rPr>
            </w:pPr>
            <w:r>
              <w:rPr>
                <w:rFonts w:ascii="宋体" w:hAnsi="宋体" w:eastAsia="宋体" w:cs="宋体"/>
                <w:spacing w:val="-3"/>
                <w:sz w:val="23"/>
                <w:szCs w:val="23"/>
              </w:rPr>
              <w:t>22</w:t>
            </w:r>
          </w:p>
        </w:tc>
      </w:tr>
    </w:tbl>
    <w:p w14:paraId="629E2FCC">
      <w:pPr>
        <w:pStyle w:val="2"/>
      </w:pPr>
    </w:p>
    <w:p w14:paraId="6711D055">
      <w:pPr>
        <w:sectPr>
          <w:footerReference r:id="rId46" w:type="default"/>
          <w:pgSz w:w="16839" w:h="11906"/>
          <w:pgMar w:top="1012" w:right="821" w:bottom="666" w:left="901" w:header="0" w:footer="388" w:gutter="0"/>
          <w:cols w:space="720" w:num="1"/>
        </w:sectPr>
      </w:pPr>
    </w:p>
    <w:p w14:paraId="78429FCE">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8CB2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55B1BC6">
            <w:pPr>
              <w:spacing w:before="222" w:line="241" w:lineRule="auto"/>
              <w:ind w:left="131"/>
              <w:rPr>
                <w:rFonts w:ascii="黑体" w:hAnsi="黑体" w:eastAsia="黑体" w:cs="黑体"/>
                <w:sz w:val="28"/>
                <w:szCs w:val="28"/>
              </w:rPr>
            </w:pPr>
            <w:bookmarkStart w:id="404" w:name="bookmark491"/>
            <w:bookmarkEnd w:id="404"/>
            <w:r>
              <w:rPr>
                <w:rFonts w:ascii="黑体" w:hAnsi="黑体" w:eastAsia="黑体" w:cs="黑体"/>
                <w:spacing w:val="-2"/>
                <w:sz w:val="28"/>
                <w:szCs w:val="28"/>
              </w:rPr>
              <w:t>序号</w:t>
            </w:r>
          </w:p>
        </w:tc>
        <w:tc>
          <w:tcPr>
            <w:tcW w:w="1440" w:type="dxa"/>
            <w:vAlign w:val="top"/>
          </w:tcPr>
          <w:p w14:paraId="309C3C53">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529DF45">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C31CAEF">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01054CD">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BA66581">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190D0BB2">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54FDD41">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6050E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restart"/>
            <w:tcBorders>
              <w:bottom w:val="nil"/>
            </w:tcBorders>
            <w:vAlign w:val="top"/>
          </w:tcPr>
          <w:p w14:paraId="33663954">
            <w:pPr>
              <w:rPr>
                <w:rFonts w:ascii="Arial"/>
                <w:sz w:val="21"/>
              </w:rPr>
            </w:pPr>
          </w:p>
        </w:tc>
        <w:tc>
          <w:tcPr>
            <w:tcW w:w="1440" w:type="dxa"/>
            <w:vMerge w:val="restart"/>
            <w:tcBorders>
              <w:bottom w:val="nil"/>
            </w:tcBorders>
            <w:vAlign w:val="top"/>
          </w:tcPr>
          <w:p w14:paraId="44789872">
            <w:pPr>
              <w:pStyle w:val="6"/>
              <w:spacing w:before="30" w:line="189" w:lineRule="auto"/>
              <w:ind w:left="114" w:right="111" w:firstLine="5"/>
              <w:jc w:val="both"/>
            </w:pPr>
            <w:r>
              <w:rPr>
                <w:spacing w:val="10"/>
              </w:rPr>
              <w:t>施工单位未</w:t>
            </w:r>
            <w:r>
              <w:rPr>
                <w:spacing w:val="11"/>
              </w:rPr>
              <w:t>按照批准的安全设施设</w:t>
            </w:r>
            <w:r>
              <w:rPr>
                <w:spacing w:val="6"/>
              </w:rPr>
              <w:t>计施工的</w:t>
            </w:r>
          </w:p>
        </w:tc>
        <w:tc>
          <w:tcPr>
            <w:tcW w:w="3202" w:type="dxa"/>
            <w:vMerge w:val="restart"/>
            <w:tcBorders>
              <w:bottom w:val="nil"/>
            </w:tcBorders>
            <w:vAlign w:val="top"/>
          </w:tcPr>
          <w:p w14:paraId="7F1C5AAA">
            <w:pPr>
              <w:pStyle w:val="6"/>
              <w:spacing w:before="29" w:line="195" w:lineRule="auto"/>
              <w:ind w:left="121" w:right="111" w:hanging="5"/>
            </w:pPr>
            <w:r>
              <w:rPr>
                <w:spacing w:val="13"/>
              </w:rPr>
              <w:t>设施设计施工，并对安全设</w:t>
            </w:r>
            <w:r>
              <w:rPr>
                <w:spacing w:val="3"/>
              </w:rPr>
              <w:t>施的工程质量负责。</w:t>
            </w:r>
          </w:p>
        </w:tc>
        <w:tc>
          <w:tcPr>
            <w:tcW w:w="2859" w:type="dxa"/>
            <w:vMerge w:val="restart"/>
            <w:tcBorders>
              <w:bottom w:val="nil"/>
            </w:tcBorders>
            <w:vAlign w:val="top"/>
          </w:tcPr>
          <w:p w14:paraId="62594132">
            <w:pPr>
              <w:pStyle w:val="6"/>
              <w:spacing w:before="27" w:line="184" w:lineRule="auto"/>
              <w:ind w:left="116" w:right="110" w:firstLine="6"/>
            </w:pPr>
            <w:r>
              <w:rPr>
                <w:spacing w:val="8"/>
              </w:rPr>
              <w:t>元以上五十万元以下的罚款，对其直接负责的主管人员和其他直接责任人员处二万元以上五万元以下</w:t>
            </w:r>
            <w:r>
              <w:rPr>
                <w:spacing w:val="4"/>
              </w:rPr>
              <w:t>的罚款；逾期未改正的，</w:t>
            </w:r>
            <w:r>
              <w:rPr>
                <w:spacing w:val="8"/>
              </w:rPr>
              <w:t>处五十万元以上一百万元以下的罚款，对其直接负责的主管人员和其他直接责任人员处五万元以上十万元以下的罚款；构成犯罪的，依照刑法有关规定追究刑事责任</w:t>
            </w:r>
            <w:r>
              <w:rPr>
                <w:spacing w:val="10"/>
              </w:rPr>
              <w:t>：（</w:t>
            </w:r>
            <w:r>
              <w:rPr>
                <w:spacing w:val="8"/>
              </w:rPr>
              <w:t>三）矿山、金属冶炼建设项目或者用于生产、储存、装卸危险物品的建设项目的施工单位未按照批准的安全</w:t>
            </w:r>
            <w:r>
              <w:rPr>
                <w:spacing w:val="2"/>
              </w:rPr>
              <w:t>设施设计施工的；</w:t>
            </w:r>
          </w:p>
        </w:tc>
        <w:tc>
          <w:tcPr>
            <w:tcW w:w="803" w:type="dxa"/>
            <w:vAlign w:val="top"/>
          </w:tcPr>
          <w:p w14:paraId="0C15D1AA">
            <w:pPr>
              <w:rPr>
                <w:rFonts w:ascii="Arial"/>
                <w:sz w:val="21"/>
              </w:rPr>
            </w:pPr>
          </w:p>
        </w:tc>
        <w:tc>
          <w:tcPr>
            <w:tcW w:w="2283" w:type="dxa"/>
            <w:vAlign w:val="top"/>
          </w:tcPr>
          <w:p w14:paraId="3A633E0E">
            <w:pPr>
              <w:rPr>
                <w:rFonts w:ascii="Arial"/>
                <w:sz w:val="21"/>
              </w:rPr>
            </w:pPr>
          </w:p>
        </w:tc>
        <w:tc>
          <w:tcPr>
            <w:tcW w:w="2894" w:type="dxa"/>
            <w:vAlign w:val="top"/>
          </w:tcPr>
          <w:p w14:paraId="50953FEB">
            <w:pPr>
              <w:pStyle w:val="6"/>
              <w:spacing w:before="28" w:line="179" w:lineRule="auto"/>
              <w:ind w:left="120" w:right="104" w:firstLine="27"/>
              <w:jc w:val="both"/>
            </w:pPr>
            <w:r>
              <w:rPr>
                <w:spacing w:val="6"/>
              </w:rPr>
              <w:t>以下的罚款；逾期未改正</w:t>
            </w:r>
            <w:r>
              <w:rPr>
                <w:spacing w:val="-1"/>
              </w:rPr>
              <w:t>的，处</w:t>
            </w:r>
            <w:r>
              <w:rPr>
                <w:rFonts w:ascii="宋体" w:hAnsi="宋体" w:eastAsia="宋体" w:cs="宋体"/>
                <w:spacing w:val="-1"/>
              </w:rPr>
              <w:t>50</w:t>
            </w:r>
            <w:r>
              <w:rPr>
                <w:spacing w:val="-1"/>
              </w:rPr>
              <w:t>万元以上</w:t>
            </w:r>
            <w:r>
              <w:rPr>
                <w:rFonts w:ascii="宋体" w:hAnsi="宋体" w:eastAsia="宋体" w:cs="宋体"/>
                <w:spacing w:val="-1"/>
              </w:rPr>
              <w:t>70</w:t>
            </w:r>
            <w:r>
              <w:rPr>
                <w:spacing w:val="-1"/>
              </w:rPr>
              <w:t>万</w:t>
            </w:r>
            <w:r>
              <w:rPr>
                <w:spacing w:val="8"/>
              </w:rPr>
              <w:t>元以下的罚款，对其直接</w:t>
            </w:r>
            <w:r>
              <w:rPr>
                <w:spacing w:val="11"/>
              </w:rPr>
              <w:t>负责的主管人员和其他直</w:t>
            </w:r>
            <w:r>
              <w:rPr>
                <w:spacing w:val="4"/>
              </w:rPr>
              <w:t>接责任人员处</w:t>
            </w:r>
            <w:r>
              <w:rPr>
                <w:rFonts w:ascii="宋体" w:hAnsi="宋体" w:eastAsia="宋体" w:cs="宋体"/>
                <w:spacing w:val="4"/>
              </w:rPr>
              <w:t>5</w:t>
            </w:r>
            <w:r>
              <w:rPr>
                <w:spacing w:val="4"/>
              </w:rPr>
              <w:t>万元以上</w:t>
            </w:r>
            <w:r>
              <w:rPr>
                <w:rFonts w:ascii="宋体" w:hAnsi="宋体" w:eastAsia="宋体" w:cs="宋体"/>
                <w:spacing w:val="4"/>
              </w:rPr>
              <w:t>7</w:t>
            </w:r>
            <w:r>
              <w:rPr>
                <w:spacing w:val="4"/>
              </w:rPr>
              <w:t>万元以下的罚款</w:t>
            </w:r>
          </w:p>
        </w:tc>
        <w:tc>
          <w:tcPr>
            <w:tcW w:w="811" w:type="dxa"/>
            <w:vMerge w:val="restart"/>
            <w:tcBorders>
              <w:bottom w:val="nil"/>
            </w:tcBorders>
            <w:vAlign w:val="top"/>
          </w:tcPr>
          <w:p w14:paraId="655AC233">
            <w:pPr>
              <w:rPr>
                <w:rFonts w:ascii="Arial"/>
                <w:sz w:val="21"/>
              </w:rPr>
            </w:pPr>
          </w:p>
        </w:tc>
      </w:tr>
      <w:tr w14:paraId="03F5D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trPr>
        <w:tc>
          <w:tcPr>
            <w:tcW w:w="818" w:type="dxa"/>
            <w:vMerge w:val="continue"/>
            <w:tcBorders>
              <w:top w:val="nil"/>
              <w:bottom w:val="nil"/>
            </w:tcBorders>
            <w:vAlign w:val="top"/>
          </w:tcPr>
          <w:p w14:paraId="1C5D57C9">
            <w:pPr>
              <w:rPr>
                <w:rFonts w:ascii="Arial"/>
                <w:sz w:val="21"/>
              </w:rPr>
            </w:pPr>
          </w:p>
        </w:tc>
        <w:tc>
          <w:tcPr>
            <w:tcW w:w="1440" w:type="dxa"/>
            <w:vMerge w:val="continue"/>
            <w:tcBorders>
              <w:top w:val="nil"/>
              <w:bottom w:val="nil"/>
            </w:tcBorders>
            <w:vAlign w:val="top"/>
          </w:tcPr>
          <w:p w14:paraId="44E46509">
            <w:pPr>
              <w:rPr>
                <w:rFonts w:ascii="Arial"/>
                <w:sz w:val="21"/>
              </w:rPr>
            </w:pPr>
          </w:p>
        </w:tc>
        <w:tc>
          <w:tcPr>
            <w:tcW w:w="3202" w:type="dxa"/>
            <w:vMerge w:val="continue"/>
            <w:tcBorders>
              <w:top w:val="nil"/>
              <w:bottom w:val="nil"/>
            </w:tcBorders>
            <w:vAlign w:val="top"/>
          </w:tcPr>
          <w:p w14:paraId="00991676">
            <w:pPr>
              <w:rPr>
                <w:rFonts w:ascii="Arial"/>
                <w:sz w:val="21"/>
              </w:rPr>
            </w:pPr>
          </w:p>
        </w:tc>
        <w:tc>
          <w:tcPr>
            <w:tcW w:w="2859" w:type="dxa"/>
            <w:vMerge w:val="continue"/>
            <w:tcBorders>
              <w:top w:val="nil"/>
              <w:bottom w:val="nil"/>
            </w:tcBorders>
            <w:vAlign w:val="top"/>
          </w:tcPr>
          <w:p w14:paraId="6701F328">
            <w:pPr>
              <w:rPr>
                <w:rFonts w:ascii="Arial"/>
                <w:sz w:val="21"/>
              </w:rPr>
            </w:pPr>
          </w:p>
        </w:tc>
        <w:tc>
          <w:tcPr>
            <w:tcW w:w="803" w:type="dxa"/>
            <w:vAlign w:val="top"/>
          </w:tcPr>
          <w:p w14:paraId="6BD186CF">
            <w:pPr>
              <w:spacing w:line="273" w:lineRule="auto"/>
              <w:rPr>
                <w:rFonts w:ascii="Arial"/>
                <w:sz w:val="21"/>
              </w:rPr>
            </w:pPr>
          </w:p>
          <w:p w14:paraId="35F18B17">
            <w:pPr>
              <w:spacing w:line="273" w:lineRule="auto"/>
              <w:rPr>
                <w:rFonts w:ascii="Arial"/>
                <w:sz w:val="21"/>
              </w:rPr>
            </w:pPr>
          </w:p>
          <w:p w14:paraId="7F7EE299">
            <w:pPr>
              <w:spacing w:line="273" w:lineRule="auto"/>
              <w:rPr>
                <w:rFonts w:ascii="Arial"/>
                <w:sz w:val="21"/>
              </w:rPr>
            </w:pPr>
          </w:p>
          <w:p w14:paraId="254A8C47">
            <w:pPr>
              <w:spacing w:line="273" w:lineRule="auto"/>
              <w:rPr>
                <w:rFonts w:ascii="Arial"/>
                <w:sz w:val="21"/>
              </w:rPr>
            </w:pPr>
          </w:p>
          <w:p w14:paraId="1DC10ABD">
            <w:pPr>
              <w:spacing w:line="273" w:lineRule="auto"/>
              <w:rPr>
                <w:rFonts w:ascii="Arial"/>
                <w:sz w:val="21"/>
              </w:rPr>
            </w:pPr>
          </w:p>
          <w:p w14:paraId="0C00297A">
            <w:pPr>
              <w:spacing w:line="274" w:lineRule="auto"/>
              <w:rPr>
                <w:rFonts w:ascii="Arial"/>
                <w:sz w:val="21"/>
              </w:rPr>
            </w:pPr>
          </w:p>
          <w:p w14:paraId="37918A75">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32991DA">
            <w:pPr>
              <w:spacing w:line="254" w:lineRule="auto"/>
              <w:rPr>
                <w:rFonts w:ascii="Arial"/>
                <w:sz w:val="21"/>
              </w:rPr>
            </w:pPr>
          </w:p>
          <w:p w14:paraId="2FFB8BFF">
            <w:pPr>
              <w:spacing w:line="255" w:lineRule="auto"/>
              <w:rPr>
                <w:rFonts w:ascii="Arial"/>
                <w:sz w:val="21"/>
              </w:rPr>
            </w:pPr>
          </w:p>
          <w:p w14:paraId="21E95B2B">
            <w:pPr>
              <w:spacing w:line="255" w:lineRule="auto"/>
              <w:rPr>
                <w:rFonts w:ascii="Arial"/>
                <w:sz w:val="21"/>
              </w:rPr>
            </w:pPr>
          </w:p>
          <w:p w14:paraId="412BCB8F">
            <w:pPr>
              <w:spacing w:line="255" w:lineRule="auto"/>
              <w:rPr>
                <w:rFonts w:ascii="Arial"/>
                <w:sz w:val="21"/>
              </w:rPr>
            </w:pPr>
          </w:p>
          <w:p w14:paraId="4A5581C8">
            <w:pPr>
              <w:spacing w:line="255" w:lineRule="auto"/>
              <w:rPr>
                <w:rFonts w:ascii="Arial"/>
                <w:sz w:val="21"/>
              </w:rPr>
            </w:pPr>
          </w:p>
          <w:p w14:paraId="08AE9890">
            <w:pPr>
              <w:pStyle w:val="6"/>
              <w:spacing w:before="99" w:line="191" w:lineRule="auto"/>
              <w:ind w:left="128" w:right="109" w:hanging="11"/>
              <w:jc w:val="both"/>
            </w:pPr>
            <w:r>
              <w:rPr>
                <w:spacing w:val="-10"/>
              </w:rPr>
              <w:t>建设项目投资额</w:t>
            </w:r>
            <w:r>
              <w:rPr>
                <w:rFonts w:ascii="宋体" w:hAnsi="宋体" w:eastAsia="宋体" w:cs="宋体"/>
                <w:spacing w:val="1"/>
              </w:rPr>
              <w:t>1000</w:t>
            </w:r>
            <w:r>
              <w:rPr>
                <w:spacing w:val="1"/>
              </w:rPr>
              <w:t>万元以上</w:t>
            </w:r>
            <w:r>
              <w:rPr>
                <w:rFonts w:ascii="宋体" w:hAnsi="宋体" w:eastAsia="宋体" w:cs="宋体"/>
                <w:spacing w:val="1"/>
              </w:rPr>
              <w:t>3000</w:t>
            </w:r>
            <w:r>
              <w:rPr>
                <w:spacing w:val="4"/>
              </w:rPr>
              <w:t>万元以下的</w:t>
            </w:r>
          </w:p>
        </w:tc>
        <w:tc>
          <w:tcPr>
            <w:tcW w:w="2894" w:type="dxa"/>
            <w:vAlign w:val="top"/>
          </w:tcPr>
          <w:p w14:paraId="01607F6A">
            <w:pPr>
              <w:pStyle w:val="6"/>
              <w:spacing w:before="21" w:line="181" w:lineRule="auto"/>
              <w:ind w:left="116" w:right="103" w:firstLine="11"/>
              <w:jc w:val="both"/>
            </w:pPr>
            <w:r>
              <w:rPr>
                <w:spacing w:val="10"/>
              </w:rPr>
              <w:t>责令停止建设或者停产停</w:t>
            </w:r>
            <w:r>
              <w:rPr>
                <w:spacing w:val="8"/>
              </w:rPr>
              <w:t>业整顿，限期改正，并处</w:t>
            </w:r>
            <w:r>
              <w:rPr>
                <w:rFonts w:ascii="宋体" w:hAnsi="宋体" w:eastAsia="宋体" w:cs="宋体"/>
                <w:spacing w:val="6"/>
              </w:rPr>
              <w:t>30</w:t>
            </w:r>
            <w:r>
              <w:rPr>
                <w:spacing w:val="6"/>
              </w:rPr>
              <w:t>万元以上</w:t>
            </w:r>
            <w:r>
              <w:rPr>
                <w:rFonts w:ascii="宋体" w:hAnsi="宋体" w:eastAsia="宋体" w:cs="宋体"/>
                <w:spacing w:val="6"/>
              </w:rPr>
              <w:t>40</w:t>
            </w:r>
            <w:r>
              <w:rPr>
                <w:spacing w:val="6"/>
              </w:rPr>
              <w:t>万元以下</w:t>
            </w:r>
            <w:r>
              <w:rPr>
                <w:spacing w:val="8"/>
              </w:rPr>
              <w:t>的罚款，对其直接负责的</w:t>
            </w:r>
            <w:r>
              <w:rPr>
                <w:spacing w:val="12"/>
              </w:rPr>
              <w:t>主管人员和其他直接责任</w:t>
            </w:r>
            <w:r>
              <w:rPr>
                <w:spacing w:val="4"/>
              </w:rPr>
              <w:t>人员处</w:t>
            </w:r>
            <w:r>
              <w:rPr>
                <w:rFonts w:ascii="宋体" w:hAnsi="宋体" w:eastAsia="宋体" w:cs="宋体"/>
                <w:spacing w:val="4"/>
              </w:rPr>
              <w:t>3</w:t>
            </w:r>
            <w:r>
              <w:rPr>
                <w:spacing w:val="4"/>
              </w:rPr>
              <w:t>万元以上</w:t>
            </w:r>
            <w:r>
              <w:rPr>
                <w:rFonts w:ascii="宋体" w:hAnsi="宋体" w:eastAsia="宋体" w:cs="宋体"/>
                <w:spacing w:val="4"/>
              </w:rPr>
              <w:t>4</w:t>
            </w:r>
            <w:r>
              <w:rPr>
                <w:spacing w:val="4"/>
              </w:rPr>
              <w:t>万元</w:t>
            </w:r>
            <w:r>
              <w:rPr>
                <w:spacing w:val="9"/>
              </w:rPr>
              <w:t>以下的罚款；逾期未改正</w:t>
            </w:r>
            <w:r>
              <w:t>的，处</w:t>
            </w:r>
            <w:r>
              <w:rPr>
                <w:rFonts w:ascii="宋体" w:hAnsi="宋体" w:eastAsia="宋体" w:cs="宋体"/>
              </w:rPr>
              <w:t>70</w:t>
            </w:r>
            <w:r>
              <w:t>万元以上</w:t>
            </w:r>
            <w:r>
              <w:rPr>
                <w:rFonts w:ascii="宋体" w:hAnsi="宋体" w:eastAsia="宋体" w:cs="宋体"/>
              </w:rPr>
              <w:t>90</w:t>
            </w:r>
            <w:r>
              <w:t>万</w:t>
            </w:r>
            <w:r>
              <w:rPr>
                <w:spacing w:val="8"/>
              </w:rPr>
              <w:t>元以下的罚款，对其直接</w:t>
            </w:r>
            <w:r>
              <w:rPr>
                <w:spacing w:val="12"/>
              </w:rPr>
              <w:t>负责的主管人员和其他直</w:t>
            </w:r>
            <w:r>
              <w:rPr>
                <w:spacing w:val="4"/>
              </w:rPr>
              <w:t>接责任人员处</w:t>
            </w:r>
            <w:r>
              <w:rPr>
                <w:rFonts w:ascii="宋体" w:hAnsi="宋体" w:eastAsia="宋体" w:cs="宋体"/>
                <w:spacing w:val="4"/>
              </w:rPr>
              <w:t>7</w:t>
            </w:r>
            <w:r>
              <w:rPr>
                <w:spacing w:val="4"/>
              </w:rPr>
              <w:t>万元以上</w:t>
            </w:r>
            <w:r>
              <w:rPr>
                <w:rFonts w:ascii="宋体" w:hAnsi="宋体" w:eastAsia="宋体" w:cs="宋体"/>
                <w:spacing w:val="4"/>
              </w:rPr>
              <w:t>9</w:t>
            </w:r>
            <w:r>
              <w:rPr>
                <w:spacing w:val="4"/>
              </w:rPr>
              <w:t>万元以下的罚款</w:t>
            </w:r>
          </w:p>
        </w:tc>
        <w:tc>
          <w:tcPr>
            <w:tcW w:w="811" w:type="dxa"/>
            <w:vMerge w:val="continue"/>
            <w:tcBorders>
              <w:top w:val="nil"/>
              <w:bottom w:val="nil"/>
            </w:tcBorders>
            <w:vAlign w:val="top"/>
          </w:tcPr>
          <w:p w14:paraId="36E932FD">
            <w:pPr>
              <w:rPr>
                <w:rFonts w:ascii="Arial"/>
                <w:sz w:val="21"/>
              </w:rPr>
            </w:pPr>
          </w:p>
        </w:tc>
      </w:tr>
      <w:tr w14:paraId="7042B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6" w:hRule="atLeast"/>
        </w:trPr>
        <w:tc>
          <w:tcPr>
            <w:tcW w:w="818" w:type="dxa"/>
            <w:vMerge w:val="continue"/>
            <w:tcBorders>
              <w:top w:val="nil"/>
            </w:tcBorders>
            <w:vAlign w:val="top"/>
          </w:tcPr>
          <w:p w14:paraId="1D9A0D9E">
            <w:pPr>
              <w:rPr>
                <w:rFonts w:ascii="Arial"/>
                <w:sz w:val="21"/>
              </w:rPr>
            </w:pPr>
          </w:p>
        </w:tc>
        <w:tc>
          <w:tcPr>
            <w:tcW w:w="1440" w:type="dxa"/>
            <w:vMerge w:val="continue"/>
            <w:tcBorders>
              <w:top w:val="nil"/>
            </w:tcBorders>
            <w:vAlign w:val="top"/>
          </w:tcPr>
          <w:p w14:paraId="347BB422">
            <w:pPr>
              <w:rPr>
                <w:rFonts w:ascii="Arial"/>
                <w:sz w:val="21"/>
              </w:rPr>
            </w:pPr>
          </w:p>
        </w:tc>
        <w:tc>
          <w:tcPr>
            <w:tcW w:w="3202" w:type="dxa"/>
            <w:vMerge w:val="continue"/>
            <w:tcBorders>
              <w:top w:val="nil"/>
            </w:tcBorders>
            <w:vAlign w:val="top"/>
          </w:tcPr>
          <w:p w14:paraId="1F19E03C">
            <w:pPr>
              <w:rPr>
                <w:rFonts w:ascii="Arial"/>
                <w:sz w:val="21"/>
              </w:rPr>
            </w:pPr>
          </w:p>
        </w:tc>
        <w:tc>
          <w:tcPr>
            <w:tcW w:w="2859" w:type="dxa"/>
            <w:vMerge w:val="continue"/>
            <w:tcBorders>
              <w:top w:val="nil"/>
            </w:tcBorders>
            <w:vAlign w:val="top"/>
          </w:tcPr>
          <w:p w14:paraId="7C222939">
            <w:pPr>
              <w:rPr>
                <w:rFonts w:ascii="Arial"/>
                <w:sz w:val="21"/>
              </w:rPr>
            </w:pPr>
          </w:p>
        </w:tc>
        <w:tc>
          <w:tcPr>
            <w:tcW w:w="803" w:type="dxa"/>
            <w:vAlign w:val="top"/>
          </w:tcPr>
          <w:p w14:paraId="25C07872">
            <w:pPr>
              <w:spacing w:line="273" w:lineRule="auto"/>
              <w:rPr>
                <w:rFonts w:ascii="Arial"/>
                <w:sz w:val="21"/>
              </w:rPr>
            </w:pPr>
          </w:p>
          <w:p w14:paraId="049BE827">
            <w:pPr>
              <w:spacing w:line="273" w:lineRule="auto"/>
              <w:rPr>
                <w:rFonts w:ascii="Arial"/>
                <w:sz w:val="21"/>
              </w:rPr>
            </w:pPr>
          </w:p>
          <w:p w14:paraId="1EBF3428">
            <w:pPr>
              <w:spacing w:line="274" w:lineRule="auto"/>
              <w:rPr>
                <w:rFonts w:ascii="Arial"/>
                <w:sz w:val="21"/>
              </w:rPr>
            </w:pPr>
          </w:p>
          <w:p w14:paraId="6A11D3A6">
            <w:pPr>
              <w:spacing w:line="274" w:lineRule="auto"/>
              <w:rPr>
                <w:rFonts w:ascii="Arial"/>
                <w:sz w:val="21"/>
              </w:rPr>
            </w:pPr>
          </w:p>
          <w:p w14:paraId="1E07C65F">
            <w:pPr>
              <w:spacing w:line="274" w:lineRule="auto"/>
              <w:rPr>
                <w:rFonts w:ascii="Arial"/>
                <w:sz w:val="21"/>
              </w:rPr>
            </w:pPr>
          </w:p>
          <w:p w14:paraId="05108DCD">
            <w:pPr>
              <w:spacing w:line="274" w:lineRule="auto"/>
              <w:rPr>
                <w:rFonts w:ascii="Arial"/>
                <w:sz w:val="21"/>
              </w:rPr>
            </w:pPr>
          </w:p>
          <w:p w14:paraId="0C56C730">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E01780E">
            <w:pPr>
              <w:spacing w:line="284" w:lineRule="auto"/>
              <w:rPr>
                <w:rFonts w:ascii="Arial"/>
                <w:sz w:val="21"/>
              </w:rPr>
            </w:pPr>
          </w:p>
          <w:p w14:paraId="4FC8DC27">
            <w:pPr>
              <w:spacing w:line="285" w:lineRule="auto"/>
              <w:rPr>
                <w:rFonts w:ascii="Arial"/>
                <w:sz w:val="21"/>
              </w:rPr>
            </w:pPr>
          </w:p>
          <w:p w14:paraId="37F741B5">
            <w:pPr>
              <w:spacing w:line="285" w:lineRule="auto"/>
              <w:rPr>
                <w:rFonts w:ascii="Arial"/>
                <w:sz w:val="21"/>
              </w:rPr>
            </w:pPr>
          </w:p>
          <w:p w14:paraId="32E06B87">
            <w:pPr>
              <w:spacing w:line="285" w:lineRule="auto"/>
              <w:rPr>
                <w:rFonts w:ascii="Arial"/>
                <w:sz w:val="21"/>
              </w:rPr>
            </w:pPr>
          </w:p>
          <w:p w14:paraId="4F8C18ED">
            <w:pPr>
              <w:spacing w:line="285" w:lineRule="auto"/>
              <w:rPr>
                <w:rFonts w:ascii="Arial"/>
                <w:sz w:val="21"/>
              </w:rPr>
            </w:pPr>
          </w:p>
          <w:p w14:paraId="2EA78A5A">
            <w:pPr>
              <w:pStyle w:val="6"/>
              <w:spacing w:before="98" w:line="196" w:lineRule="auto"/>
              <w:ind w:left="117" w:right="109"/>
            </w:pPr>
            <w:r>
              <w:rPr>
                <w:spacing w:val="-10"/>
              </w:rPr>
              <w:t>建设项目投资额</w:t>
            </w:r>
            <w:r>
              <w:rPr>
                <w:rFonts w:ascii="宋体" w:hAnsi="宋体" w:eastAsia="宋体" w:cs="宋体"/>
                <w:spacing w:val="2"/>
              </w:rPr>
              <w:t>3000</w:t>
            </w:r>
            <w:r>
              <w:rPr>
                <w:spacing w:val="2"/>
              </w:rPr>
              <w:t>万元以上的</w:t>
            </w:r>
          </w:p>
        </w:tc>
        <w:tc>
          <w:tcPr>
            <w:tcW w:w="2894" w:type="dxa"/>
            <w:vAlign w:val="top"/>
          </w:tcPr>
          <w:p w14:paraId="7B9FFA57">
            <w:pPr>
              <w:pStyle w:val="6"/>
              <w:spacing w:before="24" w:line="181" w:lineRule="auto"/>
              <w:ind w:left="114" w:right="103" w:firstLine="13"/>
              <w:jc w:val="both"/>
            </w:pPr>
            <w:r>
              <w:rPr>
                <w:spacing w:val="10"/>
              </w:rPr>
              <w:t>责令停止建设或者停产停</w:t>
            </w:r>
            <w:r>
              <w:rPr>
                <w:spacing w:val="8"/>
              </w:rPr>
              <w:t>业整顿，限期改正，并处</w:t>
            </w:r>
            <w:r>
              <w:rPr>
                <w:rFonts w:ascii="宋体" w:hAnsi="宋体" w:eastAsia="宋体" w:cs="宋体"/>
                <w:spacing w:val="6"/>
              </w:rPr>
              <w:t>40</w:t>
            </w:r>
            <w:r>
              <w:rPr>
                <w:spacing w:val="6"/>
              </w:rPr>
              <w:t>万元以上</w:t>
            </w:r>
            <w:r>
              <w:rPr>
                <w:rFonts w:ascii="宋体" w:hAnsi="宋体" w:eastAsia="宋体" w:cs="宋体"/>
                <w:spacing w:val="6"/>
              </w:rPr>
              <w:t>50</w:t>
            </w:r>
            <w:r>
              <w:rPr>
                <w:spacing w:val="6"/>
              </w:rPr>
              <w:t>万元以下</w:t>
            </w:r>
            <w:r>
              <w:rPr>
                <w:spacing w:val="9"/>
              </w:rPr>
              <w:t>的罚款，对其直接负责的</w:t>
            </w:r>
            <w:r>
              <w:rPr>
                <w:spacing w:val="12"/>
              </w:rPr>
              <w:t>主管人员和其他直接责任</w:t>
            </w:r>
            <w:r>
              <w:rPr>
                <w:spacing w:val="4"/>
              </w:rPr>
              <w:t>人员处</w:t>
            </w:r>
            <w:r>
              <w:rPr>
                <w:rFonts w:ascii="宋体" w:hAnsi="宋体" w:eastAsia="宋体" w:cs="宋体"/>
                <w:spacing w:val="4"/>
              </w:rPr>
              <w:t>4</w:t>
            </w:r>
            <w:r>
              <w:rPr>
                <w:spacing w:val="4"/>
              </w:rPr>
              <w:t>万元以上</w:t>
            </w:r>
            <w:r>
              <w:rPr>
                <w:rFonts w:ascii="宋体" w:hAnsi="宋体" w:eastAsia="宋体" w:cs="宋体"/>
                <w:spacing w:val="4"/>
              </w:rPr>
              <w:t>5</w:t>
            </w:r>
            <w:r>
              <w:rPr>
                <w:spacing w:val="4"/>
              </w:rPr>
              <w:t>万元</w:t>
            </w:r>
            <w:r>
              <w:rPr>
                <w:spacing w:val="9"/>
              </w:rPr>
              <w:t>以下的罚款；逾期未改正</w:t>
            </w:r>
            <w:r>
              <w:rPr>
                <w:spacing w:val="-6"/>
              </w:rPr>
              <w:t>的，处</w:t>
            </w:r>
            <w:r>
              <w:rPr>
                <w:rFonts w:ascii="宋体" w:hAnsi="宋体" w:eastAsia="宋体" w:cs="宋体"/>
                <w:spacing w:val="-6"/>
              </w:rPr>
              <w:t>90</w:t>
            </w:r>
            <w:r>
              <w:rPr>
                <w:spacing w:val="-6"/>
              </w:rPr>
              <w:t>万元以上</w:t>
            </w:r>
            <w:r>
              <w:rPr>
                <w:rFonts w:ascii="宋体" w:hAnsi="宋体" w:eastAsia="宋体" w:cs="宋体"/>
                <w:spacing w:val="-6"/>
              </w:rPr>
              <w:t>100</w:t>
            </w:r>
            <w:r>
              <w:rPr>
                <w:spacing w:val="-6"/>
              </w:rPr>
              <w:t>万</w:t>
            </w:r>
            <w:r>
              <w:rPr>
                <w:spacing w:val="9"/>
              </w:rPr>
              <w:t>元以下的罚款，对其直接</w:t>
            </w:r>
            <w:r>
              <w:rPr>
                <w:spacing w:val="12"/>
              </w:rPr>
              <w:t>负责的主管人员和其他直</w:t>
            </w:r>
            <w:r>
              <w:rPr>
                <w:spacing w:val="5"/>
              </w:rPr>
              <w:t>接责任人员处</w:t>
            </w:r>
            <w:r>
              <w:rPr>
                <w:rFonts w:ascii="宋体" w:hAnsi="宋体" w:eastAsia="宋体" w:cs="宋体"/>
                <w:spacing w:val="5"/>
              </w:rPr>
              <w:t>9</w:t>
            </w:r>
            <w:r>
              <w:rPr>
                <w:spacing w:val="5"/>
              </w:rPr>
              <w:t>万元以上</w:t>
            </w:r>
            <w:r>
              <w:rPr>
                <w:rFonts w:ascii="宋体" w:hAnsi="宋体" w:eastAsia="宋体" w:cs="宋体"/>
                <w:spacing w:val="4"/>
              </w:rPr>
              <w:t>10</w:t>
            </w:r>
            <w:r>
              <w:rPr>
                <w:spacing w:val="4"/>
              </w:rPr>
              <w:t>万元以下的罚款</w:t>
            </w:r>
          </w:p>
        </w:tc>
        <w:tc>
          <w:tcPr>
            <w:tcW w:w="811" w:type="dxa"/>
            <w:vMerge w:val="continue"/>
            <w:tcBorders>
              <w:top w:val="nil"/>
            </w:tcBorders>
            <w:vAlign w:val="top"/>
          </w:tcPr>
          <w:p w14:paraId="00D186B6">
            <w:pPr>
              <w:rPr>
                <w:rFonts w:ascii="Arial"/>
                <w:sz w:val="21"/>
              </w:rPr>
            </w:pPr>
          </w:p>
        </w:tc>
      </w:tr>
    </w:tbl>
    <w:p w14:paraId="11548940">
      <w:pPr>
        <w:pStyle w:val="2"/>
      </w:pPr>
    </w:p>
    <w:p w14:paraId="717C1ACF">
      <w:pPr>
        <w:sectPr>
          <w:footerReference r:id="rId47" w:type="default"/>
          <w:pgSz w:w="16839" w:h="11906"/>
          <w:pgMar w:top="1012" w:right="821" w:bottom="666" w:left="901" w:header="0" w:footer="388" w:gutter="0"/>
          <w:cols w:space="720" w:num="1"/>
        </w:sectPr>
      </w:pPr>
    </w:p>
    <w:p w14:paraId="34F9BBD6">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F4FC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B902B69">
            <w:pPr>
              <w:spacing w:before="222" w:line="241" w:lineRule="auto"/>
              <w:ind w:left="131"/>
              <w:rPr>
                <w:rFonts w:ascii="黑体" w:hAnsi="黑体" w:eastAsia="黑体" w:cs="黑体"/>
                <w:sz w:val="28"/>
                <w:szCs w:val="28"/>
              </w:rPr>
            </w:pPr>
            <w:bookmarkStart w:id="405" w:name="bookmark66"/>
            <w:bookmarkEnd w:id="405"/>
            <w:bookmarkStart w:id="406" w:name="bookmark492"/>
            <w:bookmarkEnd w:id="406"/>
            <w:r>
              <w:rPr>
                <w:rFonts w:ascii="黑体" w:hAnsi="黑体" w:eastAsia="黑体" w:cs="黑体"/>
                <w:spacing w:val="-2"/>
                <w:sz w:val="28"/>
                <w:szCs w:val="28"/>
              </w:rPr>
              <w:t>序号</w:t>
            </w:r>
          </w:p>
        </w:tc>
        <w:tc>
          <w:tcPr>
            <w:tcW w:w="1440" w:type="dxa"/>
            <w:vAlign w:val="top"/>
          </w:tcPr>
          <w:p w14:paraId="4161DA5B">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D7F94C0">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745193B">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1E75CDC">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707182C">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58D007D5">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A903988">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2CF9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trPr>
        <w:tc>
          <w:tcPr>
            <w:tcW w:w="818" w:type="dxa"/>
            <w:vMerge w:val="restart"/>
            <w:tcBorders>
              <w:bottom w:val="nil"/>
            </w:tcBorders>
            <w:vAlign w:val="top"/>
          </w:tcPr>
          <w:p w14:paraId="407BB592">
            <w:pPr>
              <w:rPr>
                <w:rFonts w:ascii="Arial"/>
                <w:sz w:val="21"/>
              </w:rPr>
            </w:pPr>
          </w:p>
          <w:p w14:paraId="2C96182E">
            <w:pPr>
              <w:rPr>
                <w:rFonts w:ascii="Arial"/>
                <w:sz w:val="21"/>
              </w:rPr>
            </w:pPr>
          </w:p>
          <w:p w14:paraId="682E25C9">
            <w:pPr>
              <w:rPr>
                <w:rFonts w:ascii="Arial"/>
                <w:sz w:val="21"/>
              </w:rPr>
            </w:pPr>
          </w:p>
          <w:p w14:paraId="2329E0CA">
            <w:pPr>
              <w:rPr>
                <w:rFonts w:ascii="Arial"/>
                <w:sz w:val="21"/>
              </w:rPr>
            </w:pPr>
          </w:p>
          <w:p w14:paraId="1C7558E9">
            <w:pPr>
              <w:rPr>
                <w:rFonts w:ascii="Arial"/>
                <w:sz w:val="21"/>
              </w:rPr>
            </w:pPr>
          </w:p>
          <w:p w14:paraId="0F935014">
            <w:pPr>
              <w:spacing w:line="241" w:lineRule="auto"/>
              <w:rPr>
                <w:rFonts w:ascii="Arial"/>
                <w:sz w:val="21"/>
              </w:rPr>
            </w:pPr>
          </w:p>
          <w:p w14:paraId="30BB9FD3">
            <w:pPr>
              <w:spacing w:line="241" w:lineRule="auto"/>
              <w:rPr>
                <w:rFonts w:ascii="Arial"/>
                <w:sz w:val="21"/>
              </w:rPr>
            </w:pPr>
          </w:p>
          <w:p w14:paraId="007384DD">
            <w:pPr>
              <w:spacing w:line="241" w:lineRule="auto"/>
              <w:rPr>
                <w:rFonts w:ascii="Arial"/>
                <w:sz w:val="21"/>
              </w:rPr>
            </w:pPr>
          </w:p>
          <w:p w14:paraId="200EEFC0">
            <w:pPr>
              <w:spacing w:line="241" w:lineRule="auto"/>
              <w:rPr>
                <w:rFonts w:ascii="Arial"/>
                <w:sz w:val="21"/>
              </w:rPr>
            </w:pPr>
          </w:p>
          <w:p w14:paraId="4033AE43">
            <w:pPr>
              <w:spacing w:line="241" w:lineRule="auto"/>
              <w:rPr>
                <w:rFonts w:ascii="Arial"/>
                <w:sz w:val="21"/>
              </w:rPr>
            </w:pPr>
          </w:p>
          <w:p w14:paraId="11ED5DF8">
            <w:pPr>
              <w:spacing w:line="241" w:lineRule="auto"/>
              <w:rPr>
                <w:rFonts w:ascii="Arial"/>
                <w:sz w:val="21"/>
              </w:rPr>
            </w:pPr>
          </w:p>
          <w:p w14:paraId="62329E1A">
            <w:pPr>
              <w:spacing w:line="241" w:lineRule="auto"/>
              <w:rPr>
                <w:rFonts w:ascii="Arial"/>
                <w:sz w:val="21"/>
              </w:rPr>
            </w:pPr>
          </w:p>
          <w:p w14:paraId="7A5E5DB3">
            <w:pPr>
              <w:spacing w:line="241" w:lineRule="auto"/>
              <w:rPr>
                <w:rFonts w:ascii="Arial"/>
                <w:sz w:val="21"/>
              </w:rPr>
            </w:pPr>
          </w:p>
          <w:p w14:paraId="385B678F">
            <w:pPr>
              <w:spacing w:line="241" w:lineRule="auto"/>
              <w:rPr>
                <w:rFonts w:ascii="Arial"/>
                <w:sz w:val="21"/>
              </w:rPr>
            </w:pPr>
          </w:p>
          <w:p w14:paraId="10FAB3A6">
            <w:pPr>
              <w:spacing w:line="241" w:lineRule="auto"/>
              <w:rPr>
                <w:rFonts w:ascii="Arial"/>
                <w:sz w:val="21"/>
              </w:rPr>
            </w:pPr>
          </w:p>
          <w:p w14:paraId="79F93C0F">
            <w:pPr>
              <w:spacing w:line="241" w:lineRule="auto"/>
              <w:rPr>
                <w:rFonts w:ascii="Arial"/>
                <w:sz w:val="21"/>
              </w:rPr>
            </w:pPr>
          </w:p>
          <w:p w14:paraId="6C58BA7C">
            <w:pPr>
              <w:spacing w:line="241" w:lineRule="auto"/>
              <w:rPr>
                <w:rFonts w:ascii="Arial"/>
                <w:sz w:val="21"/>
              </w:rPr>
            </w:pPr>
          </w:p>
          <w:p w14:paraId="01E31A5E">
            <w:pPr>
              <w:spacing w:line="241" w:lineRule="auto"/>
              <w:rPr>
                <w:rFonts w:ascii="Arial"/>
                <w:sz w:val="21"/>
              </w:rPr>
            </w:pPr>
          </w:p>
          <w:p w14:paraId="7703D67B">
            <w:pPr>
              <w:spacing w:before="75" w:line="186" w:lineRule="auto"/>
              <w:ind w:left="239"/>
              <w:rPr>
                <w:rFonts w:ascii="仿宋" w:hAnsi="仿宋" w:eastAsia="仿宋" w:cs="仿宋"/>
                <w:sz w:val="23"/>
                <w:szCs w:val="23"/>
              </w:rPr>
            </w:pPr>
            <w:r>
              <w:rPr>
                <w:rFonts w:ascii="仿宋" w:hAnsi="仿宋" w:eastAsia="仿宋" w:cs="仿宋"/>
                <w:spacing w:val="-4"/>
                <w:sz w:val="23"/>
                <w:szCs w:val="23"/>
              </w:rPr>
              <w:t>31</w:t>
            </w:r>
          </w:p>
        </w:tc>
        <w:tc>
          <w:tcPr>
            <w:tcW w:w="1440" w:type="dxa"/>
            <w:vMerge w:val="restart"/>
            <w:tcBorders>
              <w:bottom w:val="nil"/>
            </w:tcBorders>
            <w:vAlign w:val="top"/>
          </w:tcPr>
          <w:p w14:paraId="3DDDA93E">
            <w:pPr>
              <w:spacing w:line="251" w:lineRule="auto"/>
              <w:rPr>
                <w:rFonts w:ascii="Arial"/>
                <w:sz w:val="21"/>
              </w:rPr>
            </w:pPr>
          </w:p>
          <w:p w14:paraId="2F030A14">
            <w:pPr>
              <w:spacing w:line="251" w:lineRule="auto"/>
              <w:rPr>
                <w:rFonts w:ascii="Arial"/>
                <w:sz w:val="21"/>
              </w:rPr>
            </w:pPr>
          </w:p>
          <w:p w14:paraId="181FFA80">
            <w:pPr>
              <w:spacing w:line="252" w:lineRule="auto"/>
              <w:rPr>
                <w:rFonts w:ascii="Arial"/>
                <w:sz w:val="21"/>
              </w:rPr>
            </w:pPr>
          </w:p>
          <w:p w14:paraId="056F0BFF">
            <w:pPr>
              <w:spacing w:line="252" w:lineRule="auto"/>
              <w:rPr>
                <w:rFonts w:ascii="Arial"/>
                <w:sz w:val="21"/>
              </w:rPr>
            </w:pPr>
          </w:p>
          <w:p w14:paraId="5AB2FFC6">
            <w:pPr>
              <w:spacing w:line="252" w:lineRule="auto"/>
              <w:rPr>
                <w:rFonts w:ascii="Arial"/>
                <w:sz w:val="21"/>
              </w:rPr>
            </w:pPr>
          </w:p>
          <w:p w14:paraId="7B82B12C">
            <w:pPr>
              <w:spacing w:line="252" w:lineRule="auto"/>
              <w:rPr>
                <w:rFonts w:ascii="Arial"/>
                <w:sz w:val="21"/>
              </w:rPr>
            </w:pPr>
          </w:p>
          <w:p w14:paraId="650A52B2">
            <w:pPr>
              <w:spacing w:line="252" w:lineRule="auto"/>
              <w:rPr>
                <w:rFonts w:ascii="Arial"/>
                <w:sz w:val="21"/>
              </w:rPr>
            </w:pPr>
          </w:p>
          <w:p w14:paraId="41E8C18B">
            <w:pPr>
              <w:spacing w:line="252" w:lineRule="auto"/>
              <w:rPr>
                <w:rFonts w:ascii="Arial"/>
                <w:sz w:val="21"/>
              </w:rPr>
            </w:pPr>
          </w:p>
          <w:p w14:paraId="73CCF3F7">
            <w:pPr>
              <w:spacing w:line="252" w:lineRule="auto"/>
              <w:rPr>
                <w:rFonts w:ascii="Arial"/>
                <w:sz w:val="21"/>
              </w:rPr>
            </w:pPr>
          </w:p>
          <w:p w14:paraId="2A0F630D">
            <w:pPr>
              <w:spacing w:line="252" w:lineRule="auto"/>
              <w:rPr>
                <w:rFonts w:ascii="Arial"/>
                <w:sz w:val="21"/>
              </w:rPr>
            </w:pPr>
          </w:p>
          <w:p w14:paraId="103158B0">
            <w:pPr>
              <w:spacing w:line="252" w:lineRule="auto"/>
              <w:rPr>
                <w:rFonts w:ascii="Arial"/>
                <w:sz w:val="21"/>
              </w:rPr>
            </w:pPr>
          </w:p>
          <w:p w14:paraId="459587BF">
            <w:pPr>
              <w:pStyle w:val="6"/>
              <w:spacing w:before="98" w:line="185" w:lineRule="auto"/>
              <w:ind w:left="114" w:right="111" w:firstLine="3"/>
            </w:pPr>
            <w:r>
              <w:rPr>
                <w:spacing w:val="11"/>
              </w:rPr>
              <w:t>金属冶炼建设项目或者</w:t>
            </w:r>
            <w:r>
              <w:rPr>
                <w:spacing w:val="6"/>
              </w:rPr>
              <w:t>用于生产、</w:t>
            </w:r>
            <w:r>
              <w:rPr>
                <w:spacing w:val="11"/>
              </w:rPr>
              <w:t>储存、装卸危险物品的建设项目竣工投入生产</w:t>
            </w:r>
            <w:r>
              <w:rPr>
                <w:spacing w:val="-4"/>
              </w:rPr>
              <w:t>或者使用</w:t>
            </w:r>
            <w:r>
              <w:rPr>
                <w:spacing w:val="3"/>
              </w:rPr>
              <w:t>前，安全设</w:t>
            </w:r>
            <w:r>
              <w:rPr>
                <w:spacing w:val="11"/>
              </w:rPr>
              <w:t>施未经验收</w:t>
            </w:r>
            <w:r>
              <w:rPr>
                <w:spacing w:val="5"/>
              </w:rPr>
              <w:t>合格的</w:t>
            </w:r>
          </w:p>
        </w:tc>
        <w:tc>
          <w:tcPr>
            <w:tcW w:w="3202" w:type="dxa"/>
            <w:vMerge w:val="restart"/>
            <w:tcBorders>
              <w:bottom w:val="nil"/>
            </w:tcBorders>
            <w:vAlign w:val="top"/>
          </w:tcPr>
          <w:p w14:paraId="3D7C2B8A">
            <w:pPr>
              <w:pStyle w:val="6"/>
              <w:spacing w:before="31" w:line="182" w:lineRule="auto"/>
              <w:ind w:left="119" w:right="111" w:hanging="21"/>
              <w:jc w:val="both"/>
            </w:pPr>
            <w:r>
              <w:rPr>
                <w:spacing w:val="18"/>
              </w:rPr>
              <w:t>【法律】《中华人民共和国</w:t>
            </w:r>
            <w:r>
              <w:rPr>
                <w:spacing w:val="17"/>
              </w:rPr>
              <w:t>安全生产法》第三十四条第</w:t>
            </w:r>
            <w:r>
              <w:rPr>
                <w:spacing w:val="13"/>
              </w:rPr>
              <w:t>二款：矿山、金属冶炼建设</w:t>
            </w:r>
            <w:r>
              <w:rPr>
                <w:spacing w:val="17"/>
              </w:rPr>
              <w:t>项目和用于生产、储存、装</w:t>
            </w:r>
          </w:p>
          <w:p w14:paraId="1F6D4AE0">
            <w:pPr>
              <w:pStyle w:val="6"/>
              <w:spacing w:line="182" w:lineRule="auto"/>
              <w:ind w:left="128"/>
              <w:outlineLvl w:val="0"/>
            </w:pPr>
            <w:r>
              <w:rPr>
                <w:spacing w:val="16"/>
              </w:rPr>
              <w:t>卸危险物品的建设项目竣工</w:t>
            </w:r>
          </w:p>
          <w:p w14:paraId="6F37F97B">
            <w:pPr>
              <w:pStyle w:val="6"/>
              <w:spacing w:before="4" w:line="183" w:lineRule="auto"/>
              <w:ind w:left="116" w:right="40"/>
              <w:jc w:val="both"/>
            </w:pPr>
            <w:r>
              <w:rPr>
                <w:spacing w:val="13"/>
              </w:rPr>
              <w:t>投入生产或者使用前，应当</w:t>
            </w:r>
            <w:r>
              <w:rPr>
                <w:spacing w:val="17"/>
              </w:rPr>
              <w:t>由建设单位负责组织对安全</w:t>
            </w:r>
            <w:r>
              <w:rPr>
                <w:spacing w:val="-1"/>
              </w:rPr>
              <w:t>设施进行验收；验收合格后，</w:t>
            </w:r>
            <w:r>
              <w:rPr>
                <w:spacing w:val="17"/>
              </w:rPr>
              <w:t>方可投入生产和使用。负有安全生产监督管理职责的部门应当加强对建设单位验收</w:t>
            </w:r>
            <w:r>
              <w:rPr>
                <w:spacing w:val="39"/>
              </w:rPr>
              <w:t>活动和验收结果的监督核</w:t>
            </w:r>
            <w:r>
              <w:rPr>
                <w:spacing w:val="-7"/>
              </w:rPr>
              <w:t>查。</w:t>
            </w:r>
          </w:p>
        </w:tc>
        <w:tc>
          <w:tcPr>
            <w:tcW w:w="2859" w:type="dxa"/>
            <w:vMerge w:val="restart"/>
            <w:tcBorders>
              <w:bottom w:val="nil"/>
            </w:tcBorders>
            <w:vAlign w:val="top"/>
          </w:tcPr>
          <w:p w14:paraId="37CD975A">
            <w:pPr>
              <w:pStyle w:val="6"/>
              <w:spacing w:before="12" w:line="184" w:lineRule="auto"/>
              <w:ind w:left="115" w:right="110" w:hanging="18"/>
            </w:pPr>
            <w:r>
              <w:rPr>
                <w:spacing w:val="10"/>
              </w:rPr>
              <w:t>【法律】《中华人民共和</w:t>
            </w:r>
            <w:r>
              <w:rPr>
                <w:spacing w:val="8"/>
              </w:rPr>
              <w:t>国安全生产法》第九十八条第四项：生产经营单位有下列行为之一的，责令停止建设或者停产停业整</w:t>
            </w:r>
            <w:r>
              <w:rPr>
                <w:spacing w:val="6"/>
              </w:rPr>
              <w:t>顿，限期改正，并处十万</w:t>
            </w:r>
            <w:r>
              <w:rPr>
                <w:spacing w:val="8"/>
              </w:rPr>
              <w:t>元以上五十万元以下的罚款，对其直接负责的主管人员和其他直接责任人员处二万元以上五万元以下</w:t>
            </w:r>
            <w:r>
              <w:rPr>
                <w:spacing w:val="4"/>
              </w:rPr>
              <w:t>的罚款；逾期未改正的，</w:t>
            </w:r>
            <w:r>
              <w:rPr>
                <w:spacing w:val="8"/>
              </w:rPr>
              <w:t>处五十万元以上一百万元以下的罚款，对其直接负责的主管人员和其他直接责任人员处五万元以上十万元以下的罚款；构成犯罪的，依照刑法有关规定追究刑事责任</w:t>
            </w:r>
            <w:r>
              <w:rPr>
                <w:spacing w:val="10"/>
              </w:rPr>
              <w:t>：（</w:t>
            </w:r>
            <w:r>
              <w:rPr>
                <w:spacing w:val="8"/>
              </w:rPr>
              <w:t>四）矿山、金属冶炼建设项目或者用于生产、储存、装卸危险物品的建设项目竣工</w:t>
            </w:r>
            <w:r>
              <w:rPr>
                <w:spacing w:val="2"/>
              </w:rPr>
              <w:t>投入生产或者使用前，安</w:t>
            </w:r>
            <w:r>
              <w:rPr>
                <w:spacing w:val="5"/>
              </w:rPr>
              <w:t>全设施未经验收合格的。</w:t>
            </w:r>
          </w:p>
        </w:tc>
        <w:tc>
          <w:tcPr>
            <w:tcW w:w="803" w:type="dxa"/>
            <w:vAlign w:val="top"/>
          </w:tcPr>
          <w:p w14:paraId="0ECA8491">
            <w:pPr>
              <w:spacing w:line="272" w:lineRule="auto"/>
              <w:rPr>
                <w:rFonts w:ascii="Arial"/>
                <w:sz w:val="21"/>
              </w:rPr>
            </w:pPr>
          </w:p>
          <w:p w14:paraId="25141745">
            <w:pPr>
              <w:spacing w:line="272" w:lineRule="auto"/>
              <w:rPr>
                <w:rFonts w:ascii="Arial"/>
                <w:sz w:val="21"/>
              </w:rPr>
            </w:pPr>
          </w:p>
          <w:p w14:paraId="2A83B587">
            <w:pPr>
              <w:spacing w:line="272" w:lineRule="auto"/>
              <w:rPr>
                <w:rFonts w:ascii="Arial"/>
                <w:sz w:val="21"/>
              </w:rPr>
            </w:pPr>
          </w:p>
          <w:p w14:paraId="484F5181">
            <w:pPr>
              <w:spacing w:line="273" w:lineRule="auto"/>
              <w:rPr>
                <w:rFonts w:ascii="Arial"/>
                <w:sz w:val="21"/>
              </w:rPr>
            </w:pPr>
          </w:p>
          <w:p w14:paraId="4B5D2C51">
            <w:pPr>
              <w:spacing w:line="273" w:lineRule="auto"/>
              <w:rPr>
                <w:rFonts w:ascii="Arial"/>
                <w:sz w:val="21"/>
              </w:rPr>
            </w:pPr>
          </w:p>
          <w:p w14:paraId="70C4F736">
            <w:pPr>
              <w:spacing w:line="273" w:lineRule="auto"/>
              <w:rPr>
                <w:rFonts w:ascii="Arial"/>
                <w:sz w:val="21"/>
              </w:rPr>
            </w:pPr>
          </w:p>
          <w:p w14:paraId="697B07AD">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611CD25D">
            <w:pPr>
              <w:spacing w:line="284" w:lineRule="auto"/>
              <w:rPr>
                <w:rFonts w:ascii="Arial"/>
                <w:sz w:val="21"/>
              </w:rPr>
            </w:pPr>
          </w:p>
          <w:p w14:paraId="2B0BD051">
            <w:pPr>
              <w:spacing w:line="284" w:lineRule="auto"/>
              <w:rPr>
                <w:rFonts w:ascii="Arial"/>
                <w:sz w:val="21"/>
              </w:rPr>
            </w:pPr>
          </w:p>
          <w:p w14:paraId="314BE4A3">
            <w:pPr>
              <w:spacing w:line="284" w:lineRule="auto"/>
              <w:rPr>
                <w:rFonts w:ascii="Arial"/>
                <w:sz w:val="21"/>
              </w:rPr>
            </w:pPr>
          </w:p>
          <w:p w14:paraId="7682B62D">
            <w:pPr>
              <w:spacing w:line="284" w:lineRule="auto"/>
              <w:rPr>
                <w:rFonts w:ascii="Arial"/>
                <w:sz w:val="21"/>
              </w:rPr>
            </w:pPr>
          </w:p>
          <w:p w14:paraId="714A0E29">
            <w:pPr>
              <w:spacing w:line="285" w:lineRule="auto"/>
              <w:rPr>
                <w:rFonts w:ascii="Arial"/>
                <w:sz w:val="21"/>
              </w:rPr>
            </w:pPr>
          </w:p>
          <w:p w14:paraId="0B2265CA">
            <w:pPr>
              <w:pStyle w:val="6"/>
              <w:spacing w:before="99" w:line="182" w:lineRule="auto"/>
              <w:ind w:left="117"/>
            </w:pPr>
            <w:r>
              <w:rPr>
                <w:spacing w:val="-9"/>
              </w:rPr>
              <w:t>建设项目投资额</w:t>
            </w:r>
          </w:p>
          <w:p w14:paraId="355BFBF7">
            <w:pPr>
              <w:pStyle w:val="6"/>
              <w:spacing w:before="1" w:line="208" w:lineRule="auto"/>
              <w:ind w:left="131"/>
            </w:pPr>
            <w:r>
              <w:rPr>
                <w:rFonts w:ascii="宋体" w:hAnsi="宋体" w:eastAsia="宋体" w:cs="宋体"/>
                <w:spacing w:val="1"/>
              </w:rPr>
              <w:t>1000</w:t>
            </w:r>
            <w:r>
              <w:rPr>
                <w:spacing w:val="1"/>
              </w:rPr>
              <w:t>万元以下的</w:t>
            </w:r>
          </w:p>
        </w:tc>
        <w:tc>
          <w:tcPr>
            <w:tcW w:w="2894" w:type="dxa"/>
            <w:vAlign w:val="top"/>
          </w:tcPr>
          <w:p w14:paraId="7BFDF660">
            <w:pPr>
              <w:pStyle w:val="6"/>
              <w:spacing w:before="21" w:line="181" w:lineRule="auto"/>
              <w:ind w:left="120" w:right="103" w:firstLine="7"/>
              <w:jc w:val="both"/>
            </w:pPr>
            <w:r>
              <w:rPr>
                <w:spacing w:val="10"/>
              </w:rPr>
              <w:t>责令停止建设或者停产停</w:t>
            </w:r>
            <w:r>
              <w:rPr>
                <w:spacing w:val="8"/>
              </w:rPr>
              <w:t>业整顿，限期改正，并处</w:t>
            </w:r>
            <w:r>
              <w:rPr>
                <w:rFonts w:ascii="宋体" w:hAnsi="宋体" w:eastAsia="宋体" w:cs="宋体"/>
                <w:spacing w:val="5"/>
              </w:rPr>
              <w:t>10</w:t>
            </w:r>
            <w:r>
              <w:rPr>
                <w:spacing w:val="5"/>
              </w:rPr>
              <w:t>万元以上</w:t>
            </w:r>
            <w:r>
              <w:rPr>
                <w:rFonts w:ascii="宋体" w:hAnsi="宋体" w:eastAsia="宋体" w:cs="宋体"/>
                <w:spacing w:val="5"/>
              </w:rPr>
              <w:t>30</w:t>
            </w:r>
            <w:r>
              <w:rPr>
                <w:spacing w:val="5"/>
              </w:rPr>
              <w:t>万元以下</w:t>
            </w:r>
            <w:r>
              <w:rPr>
                <w:spacing w:val="8"/>
              </w:rPr>
              <w:t>的罚款，对其直接负责的</w:t>
            </w:r>
            <w:r>
              <w:rPr>
                <w:spacing w:val="11"/>
              </w:rPr>
              <w:t>主管人员和其他直接责任</w:t>
            </w:r>
            <w:r>
              <w:rPr>
                <w:spacing w:val="4"/>
              </w:rPr>
              <w:t>人员处</w:t>
            </w:r>
            <w:r>
              <w:rPr>
                <w:rFonts w:ascii="宋体" w:hAnsi="宋体" w:eastAsia="宋体" w:cs="宋体"/>
                <w:spacing w:val="4"/>
              </w:rPr>
              <w:t>2</w:t>
            </w:r>
            <w:r>
              <w:rPr>
                <w:spacing w:val="4"/>
              </w:rPr>
              <w:t>万元以上</w:t>
            </w:r>
            <w:r>
              <w:rPr>
                <w:rFonts w:ascii="宋体" w:hAnsi="宋体" w:eastAsia="宋体" w:cs="宋体"/>
                <w:spacing w:val="4"/>
              </w:rPr>
              <w:t>3</w:t>
            </w:r>
            <w:r>
              <w:rPr>
                <w:spacing w:val="4"/>
              </w:rPr>
              <w:t>万元</w:t>
            </w:r>
            <w:r>
              <w:rPr>
                <w:spacing w:val="8"/>
              </w:rPr>
              <w:t>以下的罚款；逾期未改正</w:t>
            </w:r>
            <w:r>
              <w:rPr>
                <w:spacing w:val="-1"/>
              </w:rPr>
              <w:t>的，处</w:t>
            </w:r>
            <w:r>
              <w:rPr>
                <w:rFonts w:ascii="宋体" w:hAnsi="宋体" w:eastAsia="宋体" w:cs="宋体"/>
                <w:spacing w:val="-1"/>
              </w:rPr>
              <w:t>50</w:t>
            </w:r>
            <w:r>
              <w:rPr>
                <w:spacing w:val="-1"/>
              </w:rPr>
              <w:t>万元以上</w:t>
            </w:r>
            <w:r>
              <w:rPr>
                <w:rFonts w:ascii="宋体" w:hAnsi="宋体" w:eastAsia="宋体" w:cs="宋体"/>
                <w:spacing w:val="-1"/>
              </w:rPr>
              <w:t>70</w:t>
            </w:r>
            <w:r>
              <w:rPr>
                <w:spacing w:val="-1"/>
              </w:rPr>
              <w:t>万</w:t>
            </w:r>
            <w:r>
              <w:rPr>
                <w:spacing w:val="8"/>
              </w:rPr>
              <w:t>元以下的罚款，对其直接</w:t>
            </w:r>
            <w:r>
              <w:rPr>
                <w:spacing w:val="11"/>
              </w:rPr>
              <w:t>负责的主管人员和其他直</w:t>
            </w:r>
            <w:r>
              <w:rPr>
                <w:spacing w:val="4"/>
              </w:rPr>
              <w:t>接责任人员处</w:t>
            </w:r>
            <w:r>
              <w:rPr>
                <w:rFonts w:ascii="宋体" w:hAnsi="宋体" w:eastAsia="宋体" w:cs="宋体"/>
                <w:spacing w:val="4"/>
              </w:rPr>
              <w:t>5</w:t>
            </w:r>
            <w:r>
              <w:rPr>
                <w:spacing w:val="4"/>
              </w:rPr>
              <w:t>万元以上</w:t>
            </w:r>
            <w:r>
              <w:rPr>
                <w:rFonts w:ascii="宋体" w:hAnsi="宋体" w:eastAsia="宋体" w:cs="宋体"/>
                <w:spacing w:val="4"/>
              </w:rPr>
              <w:t>7</w:t>
            </w:r>
            <w:r>
              <w:rPr>
                <w:spacing w:val="4"/>
              </w:rPr>
              <w:t>万元以下的罚款</w:t>
            </w:r>
          </w:p>
        </w:tc>
        <w:tc>
          <w:tcPr>
            <w:tcW w:w="811" w:type="dxa"/>
            <w:vMerge w:val="restart"/>
            <w:tcBorders>
              <w:bottom w:val="nil"/>
            </w:tcBorders>
            <w:vAlign w:val="top"/>
          </w:tcPr>
          <w:p w14:paraId="4A784EB7">
            <w:pPr>
              <w:rPr>
                <w:rFonts w:ascii="Arial"/>
                <w:sz w:val="21"/>
              </w:rPr>
            </w:pPr>
          </w:p>
          <w:p w14:paraId="59BBCFB7">
            <w:pPr>
              <w:rPr>
                <w:rFonts w:ascii="Arial"/>
                <w:sz w:val="21"/>
              </w:rPr>
            </w:pPr>
          </w:p>
          <w:p w14:paraId="38F384DD">
            <w:pPr>
              <w:rPr>
                <w:rFonts w:ascii="Arial"/>
                <w:sz w:val="21"/>
              </w:rPr>
            </w:pPr>
          </w:p>
          <w:p w14:paraId="1FEBB57A">
            <w:pPr>
              <w:rPr>
                <w:rFonts w:ascii="Arial"/>
                <w:sz w:val="21"/>
              </w:rPr>
            </w:pPr>
          </w:p>
          <w:p w14:paraId="41A10842">
            <w:pPr>
              <w:rPr>
                <w:rFonts w:ascii="Arial"/>
                <w:sz w:val="21"/>
              </w:rPr>
            </w:pPr>
          </w:p>
          <w:p w14:paraId="02933D38">
            <w:pPr>
              <w:rPr>
                <w:rFonts w:ascii="Arial"/>
                <w:sz w:val="21"/>
              </w:rPr>
            </w:pPr>
          </w:p>
          <w:p w14:paraId="6EF8CA50">
            <w:pPr>
              <w:rPr>
                <w:rFonts w:ascii="Arial"/>
                <w:sz w:val="21"/>
              </w:rPr>
            </w:pPr>
          </w:p>
          <w:p w14:paraId="47395D1F">
            <w:pPr>
              <w:spacing w:line="241" w:lineRule="auto"/>
              <w:rPr>
                <w:rFonts w:ascii="Arial"/>
                <w:sz w:val="21"/>
              </w:rPr>
            </w:pPr>
          </w:p>
          <w:p w14:paraId="75F2A329">
            <w:pPr>
              <w:spacing w:line="241" w:lineRule="auto"/>
              <w:rPr>
                <w:rFonts w:ascii="Arial"/>
                <w:sz w:val="21"/>
              </w:rPr>
            </w:pPr>
          </w:p>
          <w:p w14:paraId="44938EED">
            <w:pPr>
              <w:spacing w:line="241" w:lineRule="auto"/>
              <w:rPr>
                <w:rFonts w:ascii="Arial"/>
                <w:sz w:val="21"/>
              </w:rPr>
            </w:pPr>
          </w:p>
          <w:p w14:paraId="52D0BC7A">
            <w:pPr>
              <w:spacing w:line="241" w:lineRule="auto"/>
              <w:rPr>
                <w:rFonts w:ascii="Arial"/>
                <w:sz w:val="21"/>
              </w:rPr>
            </w:pPr>
          </w:p>
          <w:p w14:paraId="7A8A090E">
            <w:pPr>
              <w:spacing w:line="241" w:lineRule="auto"/>
              <w:rPr>
                <w:rFonts w:ascii="Arial"/>
                <w:sz w:val="21"/>
              </w:rPr>
            </w:pPr>
          </w:p>
          <w:p w14:paraId="551A97BF">
            <w:pPr>
              <w:spacing w:line="241" w:lineRule="auto"/>
              <w:rPr>
                <w:rFonts w:ascii="Arial"/>
                <w:sz w:val="21"/>
              </w:rPr>
            </w:pPr>
          </w:p>
          <w:p w14:paraId="158625B6">
            <w:pPr>
              <w:spacing w:line="241" w:lineRule="auto"/>
              <w:rPr>
                <w:rFonts w:ascii="Arial"/>
                <w:sz w:val="21"/>
              </w:rPr>
            </w:pPr>
          </w:p>
          <w:p w14:paraId="68BCEE40">
            <w:pPr>
              <w:spacing w:line="241" w:lineRule="auto"/>
              <w:rPr>
                <w:rFonts w:ascii="Arial"/>
                <w:sz w:val="21"/>
              </w:rPr>
            </w:pPr>
          </w:p>
          <w:p w14:paraId="5CED15B1">
            <w:pPr>
              <w:spacing w:line="241" w:lineRule="auto"/>
              <w:rPr>
                <w:rFonts w:ascii="Arial"/>
                <w:sz w:val="21"/>
              </w:rPr>
            </w:pPr>
          </w:p>
          <w:p w14:paraId="68F4D35D">
            <w:pPr>
              <w:spacing w:line="241" w:lineRule="auto"/>
              <w:rPr>
                <w:rFonts w:ascii="Arial"/>
                <w:sz w:val="21"/>
              </w:rPr>
            </w:pPr>
          </w:p>
          <w:p w14:paraId="4674E58F">
            <w:pPr>
              <w:spacing w:line="241" w:lineRule="auto"/>
              <w:rPr>
                <w:rFonts w:ascii="Arial"/>
                <w:sz w:val="21"/>
              </w:rPr>
            </w:pPr>
          </w:p>
          <w:p w14:paraId="04DA19B0">
            <w:pPr>
              <w:spacing w:before="74" w:line="188" w:lineRule="auto"/>
              <w:ind w:left="293"/>
              <w:rPr>
                <w:rFonts w:ascii="宋体" w:hAnsi="宋体" w:eastAsia="宋体" w:cs="宋体"/>
                <w:sz w:val="23"/>
                <w:szCs w:val="23"/>
              </w:rPr>
            </w:pPr>
            <w:r>
              <w:rPr>
                <w:rFonts w:ascii="宋体" w:hAnsi="宋体" w:eastAsia="宋体" w:cs="宋体"/>
                <w:spacing w:val="-3"/>
                <w:sz w:val="23"/>
                <w:szCs w:val="23"/>
              </w:rPr>
              <w:t>23</w:t>
            </w:r>
          </w:p>
        </w:tc>
      </w:tr>
      <w:tr w14:paraId="7F0BD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trPr>
        <w:tc>
          <w:tcPr>
            <w:tcW w:w="818" w:type="dxa"/>
            <w:vMerge w:val="continue"/>
            <w:tcBorders>
              <w:top w:val="nil"/>
              <w:bottom w:val="nil"/>
            </w:tcBorders>
            <w:vAlign w:val="top"/>
          </w:tcPr>
          <w:p w14:paraId="3D66CE27">
            <w:pPr>
              <w:rPr>
                <w:rFonts w:ascii="Arial"/>
                <w:sz w:val="21"/>
              </w:rPr>
            </w:pPr>
          </w:p>
        </w:tc>
        <w:tc>
          <w:tcPr>
            <w:tcW w:w="1440" w:type="dxa"/>
            <w:vMerge w:val="continue"/>
            <w:tcBorders>
              <w:top w:val="nil"/>
              <w:bottom w:val="nil"/>
            </w:tcBorders>
            <w:vAlign w:val="top"/>
          </w:tcPr>
          <w:p w14:paraId="7490F1D6">
            <w:pPr>
              <w:rPr>
                <w:rFonts w:ascii="Arial"/>
                <w:sz w:val="21"/>
              </w:rPr>
            </w:pPr>
          </w:p>
        </w:tc>
        <w:tc>
          <w:tcPr>
            <w:tcW w:w="3202" w:type="dxa"/>
            <w:vMerge w:val="continue"/>
            <w:tcBorders>
              <w:top w:val="nil"/>
              <w:bottom w:val="nil"/>
            </w:tcBorders>
            <w:vAlign w:val="top"/>
          </w:tcPr>
          <w:p w14:paraId="347EAD79">
            <w:pPr>
              <w:rPr>
                <w:rFonts w:ascii="Arial"/>
                <w:sz w:val="21"/>
              </w:rPr>
            </w:pPr>
          </w:p>
        </w:tc>
        <w:tc>
          <w:tcPr>
            <w:tcW w:w="2859" w:type="dxa"/>
            <w:vMerge w:val="continue"/>
            <w:tcBorders>
              <w:top w:val="nil"/>
              <w:bottom w:val="nil"/>
            </w:tcBorders>
            <w:vAlign w:val="top"/>
          </w:tcPr>
          <w:p w14:paraId="087973EA">
            <w:pPr>
              <w:rPr>
                <w:rFonts w:ascii="Arial"/>
                <w:sz w:val="21"/>
              </w:rPr>
            </w:pPr>
          </w:p>
        </w:tc>
        <w:tc>
          <w:tcPr>
            <w:tcW w:w="803" w:type="dxa"/>
            <w:vAlign w:val="top"/>
          </w:tcPr>
          <w:p w14:paraId="39DECF49">
            <w:pPr>
              <w:spacing w:line="273" w:lineRule="auto"/>
              <w:rPr>
                <w:rFonts w:ascii="Arial"/>
                <w:sz w:val="21"/>
              </w:rPr>
            </w:pPr>
          </w:p>
          <w:p w14:paraId="4FB72A9A">
            <w:pPr>
              <w:spacing w:line="273" w:lineRule="auto"/>
              <w:rPr>
                <w:rFonts w:ascii="Arial"/>
                <w:sz w:val="21"/>
              </w:rPr>
            </w:pPr>
          </w:p>
          <w:p w14:paraId="20C43417">
            <w:pPr>
              <w:spacing w:line="273" w:lineRule="auto"/>
              <w:rPr>
                <w:rFonts w:ascii="Arial"/>
                <w:sz w:val="21"/>
              </w:rPr>
            </w:pPr>
          </w:p>
          <w:p w14:paraId="76CB4EEF">
            <w:pPr>
              <w:spacing w:line="273" w:lineRule="auto"/>
              <w:rPr>
                <w:rFonts w:ascii="Arial"/>
                <w:sz w:val="21"/>
              </w:rPr>
            </w:pPr>
          </w:p>
          <w:p w14:paraId="1AFBCFED">
            <w:pPr>
              <w:spacing w:line="274" w:lineRule="auto"/>
              <w:rPr>
                <w:rFonts w:ascii="Arial"/>
                <w:sz w:val="21"/>
              </w:rPr>
            </w:pPr>
          </w:p>
          <w:p w14:paraId="6A0444C5">
            <w:pPr>
              <w:spacing w:line="274" w:lineRule="auto"/>
              <w:rPr>
                <w:rFonts w:ascii="Arial"/>
                <w:sz w:val="21"/>
              </w:rPr>
            </w:pPr>
          </w:p>
          <w:p w14:paraId="74D5DB1A">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D14E86F">
            <w:pPr>
              <w:spacing w:line="255" w:lineRule="auto"/>
              <w:rPr>
                <w:rFonts w:ascii="Arial"/>
                <w:sz w:val="21"/>
              </w:rPr>
            </w:pPr>
          </w:p>
          <w:p w14:paraId="57EE23B6">
            <w:pPr>
              <w:spacing w:line="255" w:lineRule="auto"/>
              <w:rPr>
                <w:rFonts w:ascii="Arial"/>
                <w:sz w:val="21"/>
              </w:rPr>
            </w:pPr>
          </w:p>
          <w:p w14:paraId="323767A5">
            <w:pPr>
              <w:spacing w:line="255" w:lineRule="auto"/>
              <w:rPr>
                <w:rFonts w:ascii="Arial"/>
                <w:sz w:val="21"/>
              </w:rPr>
            </w:pPr>
          </w:p>
          <w:p w14:paraId="761E8534">
            <w:pPr>
              <w:spacing w:line="255" w:lineRule="auto"/>
              <w:rPr>
                <w:rFonts w:ascii="Arial"/>
                <w:sz w:val="21"/>
              </w:rPr>
            </w:pPr>
          </w:p>
          <w:p w14:paraId="50FB4633">
            <w:pPr>
              <w:spacing w:line="255" w:lineRule="auto"/>
              <w:rPr>
                <w:rFonts w:ascii="Arial"/>
                <w:sz w:val="21"/>
              </w:rPr>
            </w:pPr>
          </w:p>
          <w:p w14:paraId="39D860DD">
            <w:pPr>
              <w:pStyle w:val="6"/>
              <w:spacing w:before="99" w:line="191" w:lineRule="auto"/>
              <w:ind w:left="128" w:right="109" w:hanging="11"/>
              <w:jc w:val="both"/>
            </w:pPr>
            <w:r>
              <w:rPr>
                <w:spacing w:val="-10"/>
              </w:rPr>
              <w:t>建设项目投资额</w:t>
            </w:r>
            <w:r>
              <w:rPr>
                <w:rFonts w:ascii="宋体" w:hAnsi="宋体" w:eastAsia="宋体" w:cs="宋体"/>
                <w:spacing w:val="1"/>
              </w:rPr>
              <w:t>1000</w:t>
            </w:r>
            <w:r>
              <w:rPr>
                <w:spacing w:val="1"/>
              </w:rPr>
              <w:t>万元以上</w:t>
            </w:r>
            <w:r>
              <w:rPr>
                <w:rFonts w:ascii="宋体" w:hAnsi="宋体" w:eastAsia="宋体" w:cs="宋体"/>
                <w:spacing w:val="1"/>
              </w:rPr>
              <w:t>3000</w:t>
            </w:r>
            <w:r>
              <w:rPr>
                <w:spacing w:val="4"/>
              </w:rPr>
              <w:t>万元以下的</w:t>
            </w:r>
          </w:p>
        </w:tc>
        <w:tc>
          <w:tcPr>
            <w:tcW w:w="2894" w:type="dxa"/>
            <w:vAlign w:val="top"/>
          </w:tcPr>
          <w:p w14:paraId="235229CD">
            <w:pPr>
              <w:pStyle w:val="6"/>
              <w:spacing w:before="41" w:line="180" w:lineRule="auto"/>
              <w:ind w:left="116" w:right="103" w:firstLine="11"/>
              <w:jc w:val="both"/>
            </w:pPr>
            <w:r>
              <w:rPr>
                <w:spacing w:val="10"/>
              </w:rPr>
              <w:t>责令停止建设或者停产停</w:t>
            </w:r>
            <w:r>
              <w:rPr>
                <w:spacing w:val="8"/>
              </w:rPr>
              <w:t>业整顿，限期改正，并处</w:t>
            </w:r>
            <w:r>
              <w:rPr>
                <w:rFonts w:ascii="宋体" w:hAnsi="宋体" w:eastAsia="宋体" w:cs="宋体"/>
                <w:spacing w:val="6"/>
              </w:rPr>
              <w:t>30</w:t>
            </w:r>
            <w:r>
              <w:rPr>
                <w:spacing w:val="6"/>
              </w:rPr>
              <w:t>万元以上</w:t>
            </w:r>
            <w:r>
              <w:rPr>
                <w:rFonts w:ascii="宋体" w:hAnsi="宋体" w:eastAsia="宋体" w:cs="宋体"/>
                <w:spacing w:val="6"/>
              </w:rPr>
              <w:t>40</w:t>
            </w:r>
            <w:r>
              <w:rPr>
                <w:spacing w:val="6"/>
              </w:rPr>
              <w:t>万元以下</w:t>
            </w:r>
            <w:r>
              <w:rPr>
                <w:spacing w:val="8"/>
              </w:rPr>
              <w:t>的罚款，对其直接负责的</w:t>
            </w:r>
            <w:r>
              <w:rPr>
                <w:spacing w:val="12"/>
              </w:rPr>
              <w:t>主管人员和其他直接责任</w:t>
            </w:r>
            <w:r>
              <w:rPr>
                <w:spacing w:val="4"/>
              </w:rPr>
              <w:t>人员处</w:t>
            </w:r>
            <w:r>
              <w:rPr>
                <w:rFonts w:ascii="宋体" w:hAnsi="宋体" w:eastAsia="宋体" w:cs="宋体"/>
                <w:spacing w:val="4"/>
              </w:rPr>
              <w:t>3</w:t>
            </w:r>
            <w:r>
              <w:rPr>
                <w:spacing w:val="4"/>
              </w:rPr>
              <w:t>万元以上</w:t>
            </w:r>
            <w:r>
              <w:rPr>
                <w:rFonts w:ascii="宋体" w:hAnsi="宋体" w:eastAsia="宋体" w:cs="宋体"/>
                <w:spacing w:val="4"/>
              </w:rPr>
              <w:t>4</w:t>
            </w:r>
            <w:r>
              <w:rPr>
                <w:spacing w:val="4"/>
              </w:rPr>
              <w:t>万元</w:t>
            </w:r>
            <w:r>
              <w:rPr>
                <w:spacing w:val="9"/>
              </w:rPr>
              <w:t>以下的罚款；逾期未改正</w:t>
            </w:r>
            <w:r>
              <w:t>的，处</w:t>
            </w:r>
            <w:r>
              <w:rPr>
                <w:rFonts w:ascii="宋体" w:hAnsi="宋体" w:eastAsia="宋体" w:cs="宋体"/>
              </w:rPr>
              <w:t>70</w:t>
            </w:r>
            <w:r>
              <w:t>万元以上</w:t>
            </w:r>
            <w:r>
              <w:rPr>
                <w:rFonts w:ascii="宋体" w:hAnsi="宋体" w:eastAsia="宋体" w:cs="宋体"/>
              </w:rPr>
              <w:t>90</w:t>
            </w:r>
            <w:r>
              <w:t>万</w:t>
            </w:r>
            <w:r>
              <w:rPr>
                <w:spacing w:val="8"/>
              </w:rPr>
              <w:t>元以下的罚款，对其直接</w:t>
            </w:r>
            <w:r>
              <w:rPr>
                <w:spacing w:val="12"/>
              </w:rPr>
              <w:t>负责的主管人员和其他直</w:t>
            </w:r>
            <w:r>
              <w:rPr>
                <w:spacing w:val="4"/>
              </w:rPr>
              <w:t>接责任人员处</w:t>
            </w:r>
            <w:r>
              <w:rPr>
                <w:rFonts w:ascii="宋体" w:hAnsi="宋体" w:eastAsia="宋体" w:cs="宋体"/>
                <w:spacing w:val="4"/>
              </w:rPr>
              <w:t>7</w:t>
            </w:r>
            <w:r>
              <w:rPr>
                <w:spacing w:val="4"/>
              </w:rPr>
              <w:t>万元以上</w:t>
            </w:r>
            <w:r>
              <w:rPr>
                <w:rFonts w:ascii="宋体" w:hAnsi="宋体" w:eastAsia="宋体" w:cs="宋体"/>
                <w:spacing w:val="4"/>
              </w:rPr>
              <w:t>9</w:t>
            </w:r>
            <w:r>
              <w:rPr>
                <w:spacing w:val="4"/>
              </w:rPr>
              <w:t>万元以下的罚款</w:t>
            </w:r>
          </w:p>
        </w:tc>
        <w:tc>
          <w:tcPr>
            <w:tcW w:w="811" w:type="dxa"/>
            <w:vMerge w:val="continue"/>
            <w:tcBorders>
              <w:top w:val="nil"/>
              <w:bottom w:val="nil"/>
            </w:tcBorders>
            <w:vAlign w:val="top"/>
          </w:tcPr>
          <w:p w14:paraId="5C4D78BC">
            <w:pPr>
              <w:rPr>
                <w:rFonts w:ascii="Arial"/>
                <w:sz w:val="21"/>
              </w:rPr>
            </w:pPr>
          </w:p>
        </w:tc>
      </w:tr>
      <w:tr w14:paraId="21E61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818" w:type="dxa"/>
            <w:vMerge w:val="continue"/>
            <w:tcBorders>
              <w:top w:val="nil"/>
            </w:tcBorders>
            <w:vAlign w:val="top"/>
          </w:tcPr>
          <w:p w14:paraId="10DAEC1F">
            <w:pPr>
              <w:rPr>
                <w:rFonts w:ascii="Arial"/>
                <w:sz w:val="21"/>
              </w:rPr>
            </w:pPr>
          </w:p>
        </w:tc>
        <w:tc>
          <w:tcPr>
            <w:tcW w:w="1440" w:type="dxa"/>
            <w:vMerge w:val="continue"/>
            <w:tcBorders>
              <w:top w:val="nil"/>
            </w:tcBorders>
            <w:vAlign w:val="top"/>
          </w:tcPr>
          <w:p w14:paraId="20D75078">
            <w:pPr>
              <w:rPr>
                <w:rFonts w:ascii="Arial"/>
                <w:sz w:val="21"/>
              </w:rPr>
            </w:pPr>
          </w:p>
        </w:tc>
        <w:tc>
          <w:tcPr>
            <w:tcW w:w="3202" w:type="dxa"/>
            <w:vMerge w:val="continue"/>
            <w:tcBorders>
              <w:top w:val="nil"/>
            </w:tcBorders>
            <w:vAlign w:val="top"/>
          </w:tcPr>
          <w:p w14:paraId="778A226A">
            <w:pPr>
              <w:rPr>
                <w:rFonts w:ascii="Arial"/>
                <w:sz w:val="21"/>
              </w:rPr>
            </w:pPr>
          </w:p>
        </w:tc>
        <w:tc>
          <w:tcPr>
            <w:tcW w:w="2859" w:type="dxa"/>
            <w:vMerge w:val="continue"/>
            <w:tcBorders>
              <w:top w:val="nil"/>
            </w:tcBorders>
            <w:vAlign w:val="top"/>
          </w:tcPr>
          <w:p w14:paraId="697BE63C">
            <w:pPr>
              <w:rPr>
                <w:rFonts w:ascii="Arial"/>
                <w:sz w:val="21"/>
              </w:rPr>
            </w:pPr>
          </w:p>
        </w:tc>
        <w:tc>
          <w:tcPr>
            <w:tcW w:w="803" w:type="dxa"/>
            <w:vAlign w:val="top"/>
          </w:tcPr>
          <w:p w14:paraId="67C5B479">
            <w:pPr>
              <w:spacing w:line="249" w:lineRule="auto"/>
              <w:rPr>
                <w:rFonts w:ascii="Arial"/>
                <w:sz w:val="21"/>
              </w:rPr>
            </w:pPr>
          </w:p>
          <w:p w14:paraId="7CD89EEF">
            <w:pPr>
              <w:spacing w:line="250" w:lineRule="auto"/>
              <w:rPr>
                <w:rFonts w:ascii="Arial"/>
                <w:sz w:val="21"/>
              </w:rPr>
            </w:pPr>
          </w:p>
          <w:p w14:paraId="38CF84E8">
            <w:pPr>
              <w:spacing w:line="250" w:lineRule="auto"/>
              <w:rPr>
                <w:rFonts w:ascii="Arial"/>
                <w:sz w:val="21"/>
              </w:rPr>
            </w:pPr>
          </w:p>
          <w:p w14:paraId="16A259E1">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D358233">
            <w:pPr>
              <w:spacing w:line="265" w:lineRule="auto"/>
              <w:rPr>
                <w:rFonts w:ascii="Arial"/>
                <w:sz w:val="21"/>
              </w:rPr>
            </w:pPr>
          </w:p>
          <w:p w14:paraId="295F5DE6">
            <w:pPr>
              <w:spacing w:line="265" w:lineRule="auto"/>
              <w:rPr>
                <w:rFonts w:ascii="Arial"/>
                <w:sz w:val="21"/>
              </w:rPr>
            </w:pPr>
          </w:p>
          <w:p w14:paraId="30774F60">
            <w:pPr>
              <w:pStyle w:val="6"/>
              <w:spacing w:before="99" w:line="196" w:lineRule="auto"/>
              <w:ind w:left="117" w:right="109"/>
            </w:pPr>
            <w:r>
              <w:rPr>
                <w:spacing w:val="-10"/>
              </w:rPr>
              <w:t>建设项目投资额</w:t>
            </w:r>
            <w:r>
              <w:rPr>
                <w:rFonts w:ascii="宋体" w:hAnsi="宋体" w:eastAsia="宋体" w:cs="宋体"/>
                <w:spacing w:val="2"/>
              </w:rPr>
              <w:t>3000</w:t>
            </w:r>
            <w:r>
              <w:rPr>
                <w:spacing w:val="2"/>
              </w:rPr>
              <w:t>万元以上的</w:t>
            </w:r>
          </w:p>
        </w:tc>
        <w:tc>
          <w:tcPr>
            <w:tcW w:w="2894" w:type="dxa"/>
            <w:vAlign w:val="top"/>
          </w:tcPr>
          <w:p w14:paraId="0500735D">
            <w:pPr>
              <w:pStyle w:val="6"/>
              <w:spacing w:before="31" w:line="179" w:lineRule="auto"/>
              <w:ind w:left="114" w:right="103" w:firstLine="13"/>
              <w:jc w:val="both"/>
            </w:pPr>
            <w:r>
              <w:rPr>
                <w:spacing w:val="10"/>
              </w:rPr>
              <w:t>责令停止建设或者停产停</w:t>
            </w:r>
            <w:r>
              <w:rPr>
                <w:spacing w:val="8"/>
              </w:rPr>
              <w:t>业整顿，限期改正，并处</w:t>
            </w:r>
            <w:r>
              <w:rPr>
                <w:rFonts w:ascii="宋体" w:hAnsi="宋体" w:eastAsia="宋体" w:cs="宋体"/>
                <w:spacing w:val="6"/>
              </w:rPr>
              <w:t>40</w:t>
            </w:r>
            <w:r>
              <w:rPr>
                <w:spacing w:val="6"/>
              </w:rPr>
              <w:t>万元以上</w:t>
            </w:r>
            <w:r>
              <w:rPr>
                <w:rFonts w:ascii="宋体" w:hAnsi="宋体" w:eastAsia="宋体" w:cs="宋体"/>
                <w:spacing w:val="6"/>
              </w:rPr>
              <w:t>50</w:t>
            </w:r>
            <w:r>
              <w:rPr>
                <w:spacing w:val="6"/>
              </w:rPr>
              <w:t>万元以下</w:t>
            </w:r>
            <w:r>
              <w:rPr>
                <w:spacing w:val="9"/>
              </w:rPr>
              <w:t>的罚款，对其直接负责的</w:t>
            </w:r>
            <w:r>
              <w:rPr>
                <w:spacing w:val="12"/>
              </w:rPr>
              <w:t>主管人员和其他直接责任</w:t>
            </w:r>
            <w:r>
              <w:rPr>
                <w:spacing w:val="4"/>
              </w:rPr>
              <w:t>人员处</w:t>
            </w:r>
            <w:r>
              <w:rPr>
                <w:rFonts w:ascii="宋体" w:hAnsi="宋体" w:eastAsia="宋体" w:cs="宋体"/>
                <w:spacing w:val="4"/>
              </w:rPr>
              <w:t>4</w:t>
            </w:r>
            <w:r>
              <w:rPr>
                <w:spacing w:val="4"/>
              </w:rPr>
              <w:t>万元以上</w:t>
            </w:r>
            <w:r>
              <w:rPr>
                <w:rFonts w:ascii="宋体" w:hAnsi="宋体" w:eastAsia="宋体" w:cs="宋体"/>
                <w:spacing w:val="4"/>
              </w:rPr>
              <w:t>5</w:t>
            </w:r>
            <w:r>
              <w:rPr>
                <w:spacing w:val="4"/>
              </w:rPr>
              <w:t>万元</w:t>
            </w:r>
          </w:p>
        </w:tc>
        <w:tc>
          <w:tcPr>
            <w:tcW w:w="811" w:type="dxa"/>
            <w:vMerge w:val="continue"/>
            <w:tcBorders>
              <w:top w:val="nil"/>
            </w:tcBorders>
            <w:vAlign w:val="top"/>
          </w:tcPr>
          <w:p w14:paraId="3DC6C624">
            <w:pPr>
              <w:rPr>
                <w:rFonts w:ascii="Arial"/>
                <w:sz w:val="21"/>
              </w:rPr>
            </w:pPr>
          </w:p>
        </w:tc>
      </w:tr>
    </w:tbl>
    <w:p w14:paraId="0740E820">
      <w:pPr>
        <w:pStyle w:val="2"/>
      </w:pPr>
    </w:p>
    <w:p w14:paraId="7B8240F0">
      <w:pPr>
        <w:sectPr>
          <w:footerReference r:id="rId48" w:type="default"/>
          <w:pgSz w:w="16839" w:h="11906"/>
          <w:pgMar w:top="1012" w:right="821" w:bottom="666" w:left="901" w:header="0" w:footer="388" w:gutter="0"/>
          <w:cols w:space="720" w:num="1"/>
        </w:sectPr>
      </w:pPr>
    </w:p>
    <w:p w14:paraId="144B4256">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2654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53CDBEE">
            <w:pPr>
              <w:spacing w:before="222" w:line="241" w:lineRule="auto"/>
              <w:ind w:left="131"/>
              <w:outlineLvl w:val="0"/>
              <w:rPr>
                <w:rFonts w:ascii="黑体" w:hAnsi="黑体" w:eastAsia="黑体" w:cs="黑体"/>
                <w:sz w:val="28"/>
                <w:szCs w:val="28"/>
              </w:rPr>
            </w:pPr>
            <w:bookmarkStart w:id="407" w:name="bookmark493"/>
            <w:bookmarkEnd w:id="407"/>
            <w:bookmarkStart w:id="408" w:name="bookmark68"/>
            <w:bookmarkEnd w:id="408"/>
            <w:bookmarkStart w:id="409" w:name="bookmark70"/>
            <w:bookmarkEnd w:id="409"/>
            <w:r>
              <w:rPr>
                <w:rFonts w:ascii="黑体" w:hAnsi="黑体" w:eastAsia="黑体" w:cs="黑体"/>
                <w:spacing w:val="-2"/>
                <w:sz w:val="28"/>
                <w:szCs w:val="28"/>
              </w:rPr>
              <w:t>序号</w:t>
            </w:r>
          </w:p>
        </w:tc>
        <w:tc>
          <w:tcPr>
            <w:tcW w:w="1440" w:type="dxa"/>
            <w:vAlign w:val="top"/>
          </w:tcPr>
          <w:p w14:paraId="7D4AFDB2">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2824CFC">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E3858F3">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41966F07">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2F9D259">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79452A1">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CD5A2A3">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6A2A6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Align w:val="top"/>
          </w:tcPr>
          <w:p w14:paraId="5FC81B07">
            <w:pPr>
              <w:rPr>
                <w:rFonts w:ascii="Arial"/>
                <w:sz w:val="21"/>
              </w:rPr>
            </w:pPr>
          </w:p>
        </w:tc>
        <w:tc>
          <w:tcPr>
            <w:tcW w:w="1440" w:type="dxa"/>
            <w:vAlign w:val="top"/>
          </w:tcPr>
          <w:p w14:paraId="43CFF69B">
            <w:pPr>
              <w:rPr>
                <w:rFonts w:ascii="Arial"/>
                <w:sz w:val="21"/>
              </w:rPr>
            </w:pPr>
          </w:p>
        </w:tc>
        <w:tc>
          <w:tcPr>
            <w:tcW w:w="3202" w:type="dxa"/>
            <w:vAlign w:val="top"/>
          </w:tcPr>
          <w:p w14:paraId="3C0FB389">
            <w:pPr>
              <w:rPr>
                <w:rFonts w:ascii="Arial"/>
                <w:sz w:val="21"/>
              </w:rPr>
            </w:pPr>
          </w:p>
        </w:tc>
        <w:tc>
          <w:tcPr>
            <w:tcW w:w="2859" w:type="dxa"/>
            <w:vAlign w:val="top"/>
          </w:tcPr>
          <w:p w14:paraId="5E4A4739">
            <w:pPr>
              <w:rPr>
                <w:rFonts w:ascii="Arial"/>
                <w:sz w:val="21"/>
              </w:rPr>
            </w:pPr>
          </w:p>
        </w:tc>
        <w:tc>
          <w:tcPr>
            <w:tcW w:w="803" w:type="dxa"/>
            <w:vAlign w:val="top"/>
          </w:tcPr>
          <w:p w14:paraId="6F3B10E6">
            <w:pPr>
              <w:rPr>
                <w:rFonts w:ascii="Arial"/>
                <w:sz w:val="21"/>
              </w:rPr>
            </w:pPr>
          </w:p>
        </w:tc>
        <w:tc>
          <w:tcPr>
            <w:tcW w:w="2283" w:type="dxa"/>
            <w:vAlign w:val="top"/>
          </w:tcPr>
          <w:p w14:paraId="770C79C8">
            <w:pPr>
              <w:rPr>
                <w:rFonts w:ascii="Arial"/>
                <w:sz w:val="21"/>
              </w:rPr>
            </w:pPr>
          </w:p>
        </w:tc>
        <w:tc>
          <w:tcPr>
            <w:tcW w:w="2894" w:type="dxa"/>
            <w:vAlign w:val="top"/>
          </w:tcPr>
          <w:p w14:paraId="70972110">
            <w:pPr>
              <w:pStyle w:val="6"/>
              <w:spacing w:before="28" w:line="179" w:lineRule="auto"/>
              <w:ind w:left="120" w:right="104" w:firstLine="27"/>
              <w:jc w:val="both"/>
            </w:pPr>
            <w:r>
              <w:rPr>
                <w:spacing w:val="6"/>
              </w:rPr>
              <w:t>以下的罚款；逾期未改正</w:t>
            </w:r>
            <w:r>
              <w:rPr>
                <w:spacing w:val="-6"/>
              </w:rPr>
              <w:t>的，处</w:t>
            </w:r>
            <w:r>
              <w:rPr>
                <w:rFonts w:ascii="宋体" w:hAnsi="宋体" w:eastAsia="宋体" w:cs="宋体"/>
                <w:spacing w:val="-6"/>
              </w:rPr>
              <w:t>90</w:t>
            </w:r>
            <w:r>
              <w:rPr>
                <w:spacing w:val="-6"/>
              </w:rPr>
              <w:t>万元以上</w:t>
            </w:r>
            <w:r>
              <w:rPr>
                <w:rFonts w:ascii="宋体" w:hAnsi="宋体" w:eastAsia="宋体" w:cs="宋体"/>
                <w:spacing w:val="-6"/>
              </w:rPr>
              <w:t>100</w:t>
            </w:r>
            <w:r>
              <w:rPr>
                <w:spacing w:val="-6"/>
              </w:rPr>
              <w:t>万</w:t>
            </w:r>
            <w:r>
              <w:rPr>
                <w:spacing w:val="8"/>
              </w:rPr>
              <w:t>元以下的罚款，对其直接</w:t>
            </w:r>
            <w:r>
              <w:rPr>
                <w:spacing w:val="11"/>
              </w:rPr>
              <w:t>负责的主管人员和其他直</w:t>
            </w:r>
            <w:r>
              <w:rPr>
                <w:spacing w:val="4"/>
              </w:rPr>
              <w:t>接责任人员处</w:t>
            </w:r>
            <w:r>
              <w:rPr>
                <w:rFonts w:ascii="宋体" w:hAnsi="宋体" w:eastAsia="宋体" w:cs="宋体"/>
                <w:spacing w:val="4"/>
              </w:rPr>
              <w:t>9</w:t>
            </w:r>
            <w:r>
              <w:rPr>
                <w:spacing w:val="4"/>
              </w:rPr>
              <w:t>万元以上</w:t>
            </w:r>
            <w:r>
              <w:rPr>
                <w:rFonts w:ascii="宋体" w:hAnsi="宋体" w:eastAsia="宋体" w:cs="宋体"/>
                <w:spacing w:val="3"/>
              </w:rPr>
              <w:t>10</w:t>
            </w:r>
            <w:r>
              <w:rPr>
                <w:spacing w:val="3"/>
              </w:rPr>
              <w:t>万元以下的罚款</w:t>
            </w:r>
          </w:p>
        </w:tc>
        <w:tc>
          <w:tcPr>
            <w:tcW w:w="811" w:type="dxa"/>
            <w:vAlign w:val="top"/>
          </w:tcPr>
          <w:p w14:paraId="5CC02DC6">
            <w:pPr>
              <w:rPr>
                <w:rFonts w:ascii="Arial"/>
                <w:sz w:val="21"/>
              </w:rPr>
            </w:pPr>
          </w:p>
        </w:tc>
      </w:tr>
      <w:tr w14:paraId="466BD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8" w:hRule="atLeast"/>
        </w:trPr>
        <w:tc>
          <w:tcPr>
            <w:tcW w:w="818" w:type="dxa"/>
            <w:vMerge w:val="restart"/>
            <w:tcBorders>
              <w:bottom w:val="nil"/>
            </w:tcBorders>
            <w:vAlign w:val="top"/>
          </w:tcPr>
          <w:p w14:paraId="6EECA6DF">
            <w:pPr>
              <w:spacing w:line="256" w:lineRule="auto"/>
              <w:rPr>
                <w:rFonts w:ascii="Arial"/>
                <w:sz w:val="21"/>
              </w:rPr>
            </w:pPr>
          </w:p>
          <w:p w14:paraId="0657D6F0">
            <w:pPr>
              <w:spacing w:line="256" w:lineRule="auto"/>
              <w:rPr>
                <w:rFonts w:ascii="Arial"/>
                <w:sz w:val="21"/>
              </w:rPr>
            </w:pPr>
          </w:p>
          <w:p w14:paraId="2FD7AD06">
            <w:pPr>
              <w:spacing w:line="256" w:lineRule="auto"/>
              <w:rPr>
                <w:rFonts w:ascii="Arial"/>
                <w:sz w:val="21"/>
              </w:rPr>
            </w:pPr>
          </w:p>
          <w:p w14:paraId="6163AEF2">
            <w:pPr>
              <w:spacing w:line="256" w:lineRule="auto"/>
              <w:rPr>
                <w:rFonts w:ascii="Arial"/>
                <w:sz w:val="21"/>
              </w:rPr>
            </w:pPr>
          </w:p>
          <w:p w14:paraId="58C92223">
            <w:pPr>
              <w:spacing w:line="256" w:lineRule="auto"/>
              <w:rPr>
                <w:rFonts w:ascii="Arial"/>
                <w:sz w:val="21"/>
              </w:rPr>
            </w:pPr>
          </w:p>
          <w:p w14:paraId="60B7D9CC">
            <w:pPr>
              <w:spacing w:line="256" w:lineRule="auto"/>
              <w:rPr>
                <w:rFonts w:ascii="Arial"/>
                <w:sz w:val="21"/>
              </w:rPr>
            </w:pPr>
          </w:p>
          <w:p w14:paraId="2A2BA098">
            <w:pPr>
              <w:spacing w:line="256" w:lineRule="auto"/>
              <w:rPr>
                <w:rFonts w:ascii="Arial"/>
                <w:sz w:val="21"/>
              </w:rPr>
            </w:pPr>
          </w:p>
          <w:p w14:paraId="2830CC11">
            <w:pPr>
              <w:spacing w:before="75" w:line="185" w:lineRule="auto"/>
              <w:ind w:left="239"/>
              <w:rPr>
                <w:rFonts w:ascii="仿宋" w:hAnsi="仿宋" w:eastAsia="仿宋" w:cs="仿宋"/>
                <w:sz w:val="23"/>
                <w:szCs w:val="23"/>
              </w:rPr>
            </w:pPr>
            <w:r>
              <w:rPr>
                <w:rFonts w:ascii="仿宋" w:hAnsi="仿宋" w:eastAsia="仿宋" w:cs="仿宋"/>
                <w:spacing w:val="-4"/>
                <w:sz w:val="23"/>
                <w:szCs w:val="23"/>
              </w:rPr>
              <w:t>32</w:t>
            </w:r>
          </w:p>
        </w:tc>
        <w:tc>
          <w:tcPr>
            <w:tcW w:w="1440" w:type="dxa"/>
            <w:vMerge w:val="restart"/>
            <w:tcBorders>
              <w:bottom w:val="nil"/>
            </w:tcBorders>
            <w:vAlign w:val="top"/>
          </w:tcPr>
          <w:p w14:paraId="7BB00C49">
            <w:pPr>
              <w:pStyle w:val="6"/>
              <w:spacing w:before="31" w:line="182" w:lineRule="auto"/>
              <w:ind w:left="110"/>
              <w:outlineLvl w:val="0"/>
            </w:pPr>
            <w:r>
              <w:rPr>
                <w:spacing w:val="12"/>
              </w:rPr>
              <w:t>使用危险化</w:t>
            </w:r>
          </w:p>
          <w:p w14:paraId="06B5B193">
            <w:pPr>
              <w:pStyle w:val="6"/>
              <w:spacing w:before="9" w:line="180" w:lineRule="auto"/>
              <w:ind w:left="113" w:right="109" w:firstLine="14"/>
              <w:jc w:val="both"/>
            </w:pPr>
            <w:r>
              <w:rPr>
                <w:spacing w:val="9"/>
              </w:rPr>
              <w:t>学品从事生</w:t>
            </w:r>
            <w:r>
              <w:rPr>
                <w:spacing w:val="12"/>
              </w:rPr>
              <w:t>产并且使用量达到规定数量的化工建设项目以及法律、行政法规和国务院规定其</w:t>
            </w:r>
            <w:r>
              <w:rPr>
                <w:spacing w:val="-4"/>
              </w:rPr>
              <w:t>他建设项</w:t>
            </w:r>
            <w:r>
              <w:rPr>
                <w:spacing w:val="3"/>
              </w:rPr>
              <w:t>目，没有安</w:t>
            </w:r>
            <w:r>
              <w:rPr>
                <w:spacing w:val="12"/>
              </w:rPr>
              <w:t>全设施设计</w:t>
            </w:r>
            <w:r>
              <w:t>的</w:t>
            </w:r>
          </w:p>
        </w:tc>
        <w:tc>
          <w:tcPr>
            <w:tcW w:w="3202" w:type="dxa"/>
            <w:vMerge w:val="restart"/>
            <w:tcBorders>
              <w:bottom w:val="nil"/>
            </w:tcBorders>
            <w:vAlign w:val="top"/>
          </w:tcPr>
          <w:p w14:paraId="4FB3342B">
            <w:pPr>
              <w:pStyle w:val="6"/>
              <w:spacing w:before="27" w:line="186" w:lineRule="auto"/>
              <w:ind w:left="116" w:right="111" w:hanging="18"/>
              <w:jc w:val="both"/>
            </w:pPr>
            <w:r>
              <w:rPr>
                <w:spacing w:val="18"/>
              </w:rPr>
              <w:t>【部门规章】《建设项目安</w:t>
            </w:r>
            <w:r>
              <w:rPr>
                <w:spacing w:val="17"/>
              </w:rPr>
              <w:t>全设施“三同时”监督管理</w:t>
            </w:r>
            <w:r>
              <w:rPr>
                <w:spacing w:val="12"/>
              </w:rPr>
              <w:t>办法》第十条第一款：生产</w:t>
            </w:r>
            <w:r>
              <w:rPr>
                <w:spacing w:val="17"/>
              </w:rPr>
              <w:t>经营单位在建设项目初步设</w:t>
            </w:r>
            <w:r>
              <w:rPr>
                <w:spacing w:val="13"/>
              </w:rPr>
              <w:t>计时，应当委托有相应资质</w:t>
            </w:r>
            <w:r>
              <w:rPr>
                <w:spacing w:val="17"/>
              </w:rPr>
              <w:t>的设计单位对建设项目安全</w:t>
            </w:r>
            <w:r>
              <w:rPr>
                <w:spacing w:val="13"/>
              </w:rPr>
              <w:t>设施同时进行设计，编制安</w:t>
            </w:r>
            <w:r>
              <w:rPr>
                <w:spacing w:val="1"/>
              </w:rPr>
              <w:t>全设施设计。</w:t>
            </w:r>
          </w:p>
        </w:tc>
        <w:tc>
          <w:tcPr>
            <w:tcW w:w="2859" w:type="dxa"/>
            <w:vMerge w:val="restart"/>
            <w:tcBorders>
              <w:bottom w:val="nil"/>
            </w:tcBorders>
            <w:vAlign w:val="top"/>
          </w:tcPr>
          <w:p w14:paraId="0C13D03D">
            <w:pPr>
              <w:pStyle w:val="6"/>
              <w:spacing w:before="23" w:line="185" w:lineRule="auto"/>
              <w:ind w:left="115" w:hanging="18"/>
              <w:jc w:val="both"/>
            </w:pPr>
            <w:r>
              <w:rPr>
                <w:spacing w:val="8"/>
              </w:rPr>
              <w:t>【部门规章】《建设项目</w:t>
            </w:r>
            <w:r>
              <w:rPr>
                <w:spacing w:val="6"/>
              </w:rPr>
              <w:t>安全设施“三同时”监督</w:t>
            </w:r>
            <w:r>
              <w:rPr>
                <w:spacing w:val="2"/>
              </w:rPr>
              <w:t>管理办法》第三十条第一</w:t>
            </w:r>
            <w:r>
              <w:rPr>
                <w:spacing w:val="-11"/>
              </w:rPr>
              <w:t>项：本办法第七条第（一）</w:t>
            </w:r>
            <w:r>
              <w:rPr>
                <w:spacing w:val="-2"/>
              </w:rPr>
              <w:t>项、第（二）项、第（三）</w:t>
            </w:r>
            <w:r>
              <w:rPr>
                <w:spacing w:val="7"/>
              </w:rPr>
              <w:t>项和第（四）项规定以外的建设项目有下列情形之一的，对有关生产经营单位责令限期改正，可以并</w:t>
            </w:r>
            <w:r>
              <w:rPr>
                <w:spacing w:val="11"/>
              </w:rPr>
              <w:t>处</w:t>
            </w:r>
            <w:r>
              <w:rPr>
                <w:rFonts w:ascii="宋体" w:hAnsi="宋体" w:eastAsia="宋体" w:cs="宋体"/>
                <w:spacing w:val="11"/>
              </w:rPr>
              <w:t>5000</w:t>
            </w:r>
            <w:r>
              <w:rPr>
                <w:spacing w:val="11"/>
              </w:rPr>
              <w:t>元以上</w:t>
            </w:r>
            <w:r>
              <w:rPr>
                <w:rFonts w:ascii="宋体" w:hAnsi="宋体" w:eastAsia="宋体" w:cs="宋体"/>
                <w:spacing w:val="11"/>
              </w:rPr>
              <w:t>3</w:t>
            </w:r>
            <w:r>
              <w:rPr>
                <w:spacing w:val="11"/>
              </w:rPr>
              <w:t>万元以下</w:t>
            </w:r>
            <w:r>
              <w:rPr>
                <w:spacing w:val="-3"/>
              </w:rPr>
              <w:t>的罚款</w:t>
            </w:r>
            <w:r>
              <w:rPr>
                <w:spacing w:val="-6"/>
              </w:rPr>
              <w:t>：（</w:t>
            </w:r>
            <w:r>
              <w:rPr>
                <w:spacing w:val="-3"/>
              </w:rPr>
              <w:t>一）没有安全</w:t>
            </w:r>
            <w:r>
              <w:rPr>
                <w:spacing w:val="-2"/>
              </w:rPr>
              <w:t>设施设计的；</w:t>
            </w:r>
          </w:p>
        </w:tc>
        <w:tc>
          <w:tcPr>
            <w:tcW w:w="803" w:type="dxa"/>
            <w:vAlign w:val="top"/>
          </w:tcPr>
          <w:p w14:paraId="128B6AD9">
            <w:pPr>
              <w:spacing w:line="412" w:lineRule="auto"/>
              <w:rPr>
                <w:rFonts w:ascii="Arial"/>
                <w:sz w:val="21"/>
              </w:rPr>
            </w:pPr>
          </w:p>
          <w:p w14:paraId="2250BE05">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9E95EBD">
            <w:pPr>
              <w:pStyle w:val="6"/>
              <w:spacing w:before="298" w:line="182" w:lineRule="auto"/>
              <w:ind w:left="117"/>
            </w:pPr>
            <w:r>
              <w:rPr>
                <w:spacing w:val="-9"/>
              </w:rPr>
              <w:t>建设项目投资额</w:t>
            </w:r>
          </w:p>
          <w:p w14:paraId="458E80CE">
            <w:pPr>
              <w:pStyle w:val="6"/>
              <w:spacing w:before="1" w:line="208" w:lineRule="auto"/>
              <w:ind w:left="131"/>
            </w:pPr>
            <w:r>
              <w:rPr>
                <w:rFonts w:ascii="宋体" w:hAnsi="宋体" w:eastAsia="宋体" w:cs="宋体"/>
                <w:spacing w:val="1"/>
              </w:rPr>
              <w:t>1000</w:t>
            </w:r>
            <w:r>
              <w:rPr>
                <w:spacing w:val="1"/>
              </w:rPr>
              <w:t>万元以下的</w:t>
            </w:r>
          </w:p>
        </w:tc>
        <w:tc>
          <w:tcPr>
            <w:tcW w:w="2894" w:type="dxa"/>
            <w:vAlign w:val="top"/>
          </w:tcPr>
          <w:p w14:paraId="3BC6BFBF">
            <w:pPr>
              <w:pStyle w:val="6"/>
              <w:spacing w:before="148" w:line="191" w:lineRule="auto"/>
              <w:ind w:left="120" w:right="107" w:firstLine="7"/>
              <w:jc w:val="both"/>
            </w:pPr>
            <w:r>
              <w:rPr>
                <w:spacing w:val="7"/>
              </w:rPr>
              <w:t>责令限期改正，可以并处</w:t>
            </w:r>
            <w:r>
              <w:rPr>
                <w:rFonts w:ascii="宋体" w:hAnsi="宋体" w:eastAsia="宋体" w:cs="宋体"/>
                <w:spacing w:val="2"/>
              </w:rPr>
              <w:t>5000</w:t>
            </w:r>
            <w:r>
              <w:rPr>
                <w:spacing w:val="2"/>
              </w:rPr>
              <w:t>元以上</w:t>
            </w:r>
            <w:r>
              <w:rPr>
                <w:rFonts w:ascii="宋体" w:hAnsi="宋体" w:eastAsia="宋体" w:cs="宋体"/>
                <w:spacing w:val="2"/>
              </w:rPr>
              <w:t>1</w:t>
            </w:r>
            <w:r>
              <w:rPr>
                <w:spacing w:val="2"/>
              </w:rPr>
              <w:t>万元以下的罚款</w:t>
            </w:r>
          </w:p>
        </w:tc>
        <w:tc>
          <w:tcPr>
            <w:tcW w:w="811" w:type="dxa"/>
            <w:vMerge w:val="restart"/>
            <w:tcBorders>
              <w:bottom w:val="nil"/>
            </w:tcBorders>
            <w:vAlign w:val="top"/>
          </w:tcPr>
          <w:p w14:paraId="04C6B0B3">
            <w:pPr>
              <w:spacing w:line="255" w:lineRule="auto"/>
              <w:rPr>
                <w:rFonts w:ascii="Arial"/>
                <w:sz w:val="21"/>
              </w:rPr>
            </w:pPr>
          </w:p>
          <w:p w14:paraId="0FF84311">
            <w:pPr>
              <w:spacing w:line="255" w:lineRule="auto"/>
              <w:rPr>
                <w:rFonts w:ascii="Arial"/>
                <w:sz w:val="21"/>
              </w:rPr>
            </w:pPr>
          </w:p>
          <w:p w14:paraId="550AED8A">
            <w:pPr>
              <w:spacing w:line="255" w:lineRule="auto"/>
              <w:rPr>
                <w:rFonts w:ascii="Arial"/>
                <w:sz w:val="21"/>
              </w:rPr>
            </w:pPr>
          </w:p>
          <w:p w14:paraId="4BF911E7">
            <w:pPr>
              <w:spacing w:line="255" w:lineRule="auto"/>
              <w:rPr>
                <w:rFonts w:ascii="Arial"/>
                <w:sz w:val="21"/>
              </w:rPr>
            </w:pPr>
          </w:p>
          <w:p w14:paraId="5F25839C">
            <w:pPr>
              <w:spacing w:line="256" w:lineRule="auto"/>
              <w:rPr>
                <w:rFonts w:ascii="Arial"/>
                <w:sz w:val="21"/>
              </w:rPr>
            </w:pPr>
          </w:p>
          <w:p w14:paraId="1520271D">
            <w:pPr>
              <w:spacing w:line="256" w:lineRule="auto"/>
              <w:rPr>
                <w:rFonts w:ascii="Arial"/>
                <w:sz w:val="21"/>
              </w:rPr>
            </w:pPr>
          </w:p>
          <w:p w14:paraId="1DA753DF">
            <w:pPr>
              <w:spacing w:line="256" w:lineRule="auto"/>
              <w:rPr>
                <w:rFonts w:ascii="Arial"/>
                <w:sz w:val="21"/>
              </w:rPr>
            </w:pPr>
          </w:p>
          <w:p w14:paraId="4BD021D5">
            <w:pPr>
              <w:spacing w:before="75" w:line="188" w:lineRule="auto"/>
              <w:ind w:left="293"/>
              <w:rPr>
                <w:rFonts w:ascii="宋体" w:hAnsi="宋体" w:eastAsia="宋体" w:cs="宋体"/>
                <w:sz w:val="23"/>
                <w:szCs w:val="23"/>
              </w:rPr>
            </w:pPr>
            <w:r>
              <w:rPr>
                <w:rFonts w:ascii="宋体" w:hAnsi="宋体" w:eastAsia="宋体" w:cs="宋体"/>
                <w:spacing w:val="-3"/>
                <w:sz w:val="23"/>
                <w:szCs w:val="23"/>
              </w:rPr>
              <w:t>24</w:t>
            </w:r>
          </w:p>
        </w:tc>
      </w:tr>
      <w:tr w14:paraId="35732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3" w:hRule="atLeast"/>
        </w:trPr>
        <w:tc>
          <w:tcPr>
            <w:tcW w:w="818" w:type="dxa"/>
            <w:vMerge w:val="continue"/>
            <w:tcBorders>
              <w:top w:val="nil"/>
              <w:bottom w:val="nil"/>
            </w:tcBorders>
            <w:vAlign w:val="top"/>
          </w:tcPr>
          <w:p w14:paraId="7B036E87">
            <w:pPr>
              <w:rPr>
                <w:rFonts w:ascii="Arial"/>
                <w:sz w:val="21"/>
              </w:rPr>
            </w:pPr>
          </w:p>
        </w:tc>
        <w:tc>
          <w:tcPr>
            <w:tcW w:w="1440" w:type="dxa"/>
            <w:vMerge w:val="continue"/>
            <w:tcBorders>
              <w:top w:val="nil"/>
              <w:bottom w:val="nil"/>
            </w:tcBorders>
            <w:vAlign w:val="top"/>
          </w:tcPr>
          <w:p w14:paraId="502E7655">
            <w:pPr>
              <w:rPr>
                <w:rFonts w:ascii="Arial"/>
                <w:sz w:val="21"/>
              </w:rPr>
            </w:pPr>
          </w:p>
        </w:tc>
        <w:tc>
          <w:tcPr>
            <w:tcW w:w="3202" w:type="dxa"/>
            <w:vMerge w:val="continue"/>
            <w:tcBorders>
              <w:top w:val="nil"/>
              <w:bottom w:val="nil"/>
            </w:tcBorders>
            <w:vAlign w:val="top"/>
          </w:tcPr>
          <w:p w14:paraId="029A9F4A">
            <w:pPr>
              <w:rPr>
                <w:rFonts w:ascii="Arial"/>
                <w:sz w:val="21"/>
              </w:rPr>
            </w:pPr>
          </w:p>
        </w:tc>
        <w:tc>
          <w:tcPr>
            <w:tcW w:w="2859" w:type="dxa"/>
            <w:vMerge w:val="continue"/>
            <w:tcBorders>
              <w:top w:val="nil"/>
              <w:bottom w:val="nil"/>
            </w:tcBorders>
            <w:vAlign w:val="top"/>
          </w:tcPr>
          <w:p w14:paraId="4FA375C3">
            <w:pPr>
              <w:rPr>
                <w:rFonts w:ascii="Arial"/>
                <w:sz w:val="21"/>
              </w:rPr>
            </w:pPr>
          </w:p>
        </w:tc>
        <w:tc>
          <w:tcPr>
            <w:tcW w:w="803" w:type="dxa"/>
            <w:vAlign w:val="top"/>
          </w:tcPr>
          <w:p w14:paraId="4FC9F453">
            <w:pPr>
              <w:spacing w:line="261" w:lineRule="auto"/>
              <w:rPr>
                <w:rFonts w:ascii="Arial"/>
                <w:sz w:val="21"/>
              </w:rPr>
            </w:pPr>
          </w:p>
          <w:p w14:paraId="0F921212">
            <w:pPr>
              <w:spacing w:line="261" w:lineRule="auto"/>
              <w:rPr>
                <w:rFonts w:ascii="Arial"/>
                <w:sz w:val="21"/>
              </w:rPr>
            </w:pPr>
          </w:p>
          <w:p w14:paraId="6CD18693">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6024723">
            <w:pPr>
              <w:pStyle w:val="6"/>
              <w:spacing w:before="257" w:line="191" w:lineRule="auto"/>
              <w:ind w:left="128" w:right="109" w:hanging="11"/>
              <w:jc w:val="both"/>
            </w:pPr>
            <w:r>
              <w:rPr>
                <w:spacing w:val="-10"/>
              </w:rPr>
              <w:t>建设项目投资额</w:t>
            </w:r>
            <w:r>
              <w:rPr>
                <w:rFonts w:ascii="宋体" w:hAnsi="宋体" w:eastAsia="宋体" w:cs="宋体"/>
                <w:spacing w:val="1"/>
              </w:rPr>
              <w:t>1000</w:t>
            </w:r>
            <w:r>
              <w:rPr>
                <w:spacing w:val="1"/>
              </w:rPr>
              <w:t>万元以上</w:t>
            </w:r>
            <w:r>
              <w:rPr>
                <w:rFonts w:ascii="宋体" w:hAnsi="宋体" w:eastAsia="宋体" w:cs="宋体"/>
                <w:spacing w:val="1"/>
              </w:rPr>
              <w:t>3000</w:t>
            </w:r>
            <w:r>
              <w:rPr>
                <w:spacing w:val="4"/>
              </w:rPr>
              <w:t>万元以下的</w:t>
            </w:r>
          </w:p>
        </w:tc>
        <w:tc>
          <w:tcPr>
            <w:tcW w:w="2894" w:type="dxa"/>
            <w:vAlign w:val="top"/>
          </w:tcPr>
          <w:p w14:paraId="503D2550">
            <w:pPr>
              <w:pStyle w:val="6"/>
              <w:spacing w:before="258" w:line="191" w:lineRule="auto"/>
              <w:ind w:left="127" w:right="107"/>
              <w:jc w:val="both"/>
            </w:pPr>
            <w:r>
              <w:rPr>
                <w:spacing w:val="7"/>
              </w:rPr>
              <w:t>责令限期改正，可以并处</w:t>
            </w:r>
            <w:r>
              <w:rPr>
                <w:rFonts w:ascii="宋体" w:hAnsi="宋体" w:eastAsia="宋体" w:cs="宋体"/>
                <w:spacing w:val="8"/>
              </w:rPr>
              <w:t>1</w:t>
            </w:r>
            <w:r>
              <w:rPr>
                <w:spacing w:val="8"/>
              </w:rPr>
              <w:t>万元以上</w:t>
            </w:r>
            <w:r>
              <w:rPr>
                <w:rFonts w:ascii="宋体" w:hAnsi="宋体" w:eastAsia="宋体" w:cs="宋体"/>
                <w:spacing w:val="8"/>
              </w:rPr>
              <w:t>2</w:t>
            </w:r>
            <w:r>
              <w:rPr>
                <w:spacing w:val="8"/>
              </w:rPr>
              <w:t>万元以下的</w:t>
            </w:r>
            <w:r>
              <w:rPr>
                <w:spacing w:val="-1"/>
              </w:rPr>
              <w:t>罚款</w:t>
            </w:r>
          </w:p>
        </w:tc>
        <w:tc>
          <w:tcPr>
            <w:tcW w:w="811" w:type="dxa"/>
            <w:vMerge w:val="continue"/>
            <w:tcBorders>
              <w:top w:val="nil"/>
              <w:bottom w:val="nil"/>
            </w:tcBorders>
            <w:vAlign w:val="top"/>
          </w:tcPr>
          <w:p w14:paraId="157A3A37">
            <w:pPr>
              <w:rPr>
                <w:rFonts w:ascii="Arial"/>
                <w:sz w:val="21"/>
              </w:rPr>
            </w:pPr>
          </w:p>
        </w:tc>
      </w:tr>
      <w:tr w14:paraId="47C3F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818" w:type="dxa"/>
            <w:vMerge w:val="continue"/>
            <w:tcBorders>
              <w:top w:val="nil"/>
            </w:tcBorders>
            <w:vAlign w:val="top"/>
          </w:tcPr>
          <w:p w14:paraId="0A1905B6">
            <w:pPr>
              <w:rPr>
                <w:rFonts w:ascii="Arial"/>
                <w:sz w:val="21"/>
              </w:rPr>
            </w:pPr>
          </w:p>
        </w:tc>
        <w:tc>
          <w:tcPr>
            <w:tcW w:w="1440" w:type="dxa"/>
            <w:vMerge w:val="continue"/>
            <w:tcBorders>
              <w:top w:val="nil"/>
            </w:tcBorders>
            <w:vAlign w:val="top"/>
          </w:tcPr>
          <w:p w14:paraId="0AE7E7EC">
            <w:pPr>
              <w:rPr>
                <w:rFonts w:ascii="Arial"/>
                <w:sz w:val="21"/>
              </w:rPr>
            </w:pPr>
          </w:p>
        </w:tc>
        <w:tc>
          <w:tcPr>
            <w:tcW w:w="3202" w:type="dxa"/>
            <w:vMerge w:val="continue"/>
            <w:tcBorders>
              <w:top w:val="nil"/>
            </w:tcBorders>
            <w:vAlign w:val="top"/>
          </w:tcPr>
          <w:p w14:paraId="20A82CB0">
            <w:pPr>
              <w:rPr>
                <w:rFonts w:ascii="Arial"/>
                <w:sz w:val="21"/>
              </w:rPr>
            </w:pPr>
          </w:p>
        </w:tc>
        <w:tc>
          <w:tcPr>
            <w:tcW w:w="2859" w:type="dxa"/>
            <w:vMerge w:val="continue"/>
            <w:tcBorders>
              <w:top w:val="nil"/>
            </w:tcBorders>
            <w:vAlign w:val="top"/>
          </w:tcPr>
          <w:p w14:paraId="6BB0A300">
            <w:pPr>
              <w:rPr>
                <w:rFonts w:ascii="Arial"/>
                <w:sz w:val="21"/>
              </w:rPr>
            </w:pPr>
          </w:p>
        </w:tc>
        <w:tc>
          <w:tcPr>
            <w:tcW w:w="803" w:type="dxa"/>
            <w:vAlign w:val="top"/>
          </w:tcPr>
          <w:p w14:paraId="387BAE9E">
            <w:pPr>
              <w:spacing w:line="272" w:lineRule="auto"/>
              <w:rPr>
                <w:rFonts w:ascii="Arial"/>
                <w:sz w:val="21"/>
              </w:rPr>
            </w:pPr>
          </w:p>
          <w:p w14:paraId="38513AAA">
            <w:pPr>
              <w:spacing w:line="273" w:lineRule="auto"/>
              <w:rPr>
                <w:rFonts w:ascii="Arial"/>
                <w:sz w:val="21"/>
              </w:rPr>
            </w:pPr>
          </w:p>
          <w:p w14:paraId="7CB79A0D">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55D531E">
            <w:pPr>
              <w:spacing w:line="327" w:lineRule="auto"/>
              <w:rPr>
                <w:rFonts w:ascii="Arial"/>
                <w:sz w:val="21"/>
              </w:rPr>
            </w:pPr>
          </w:p>
          <w:p w14:paraId="3BD957D0">
            <w:pPr>
              <w:pStyle w:val="6"/>
              <w:spacing w:before="99" w:line="196" w:lineRule="auto"/>
              <w:ind w:left="117" w:right="109"/>
            </w:pPr>
            <w:r>
              <w:rPr>
                <w:spacing w:val="-10"/>
              </w:rPr>
              <w:t>建设项目投资额</w:t>
            </w:r>
            <w:r>
              <w:rPr>
                <w:rFonts w:ascii="宋体" w:hAnsi="宋体" w:eastAsia="宋体" w:cs="宋体"/>
                <w:spacing w:val="2"/>
              </w:rPr>
              <w:t>3000</w:t>
            </w:r>
            <w:r>
              <w:rPr>
                <w:spacing w:val="2"/>
              </w:rPr>
              <w:t>万元以上的</w:t>
            </w:r>
          </w:p>
        </w:tc>
        <w:tc>
          <w:tcPr>
            <w:tcW w:w="2894" w:type="dxa"/>
            <w:vAlign w:val="top"/>
          </w:tcPr>
          <w:p w14:paraId="4005F053">
            <w:pPr>
              <w:pStyle w:val="6"/>
              <w:spacing w:before="282" w:line="191" w:lineRule="auto"/>
              <w:ind w:left="118" w:right="107" w:firstLine="9"/>
              <w:jc w:val="both"/>
            </w:pPr>
            <w:r>
              <w:rPr>
                <w:spacing w:val="7"/>
              </w:rPr>
              <w:t>责令限期改正，可以并处</w:t>
            </w:r>
            <w:r>
              <w:rPr>
                <w:rFonts w:ascii="宋体" w:hAnsi="宋体" w:eastAsia="宋体" w:cs="宋体"/>
                <w:spacing w:val="8"/>
              </w:rPr>
              <w:t>2</w:t>
            </w:r>
            <w:r>
              <w:rPr>
                <w:spacing w:val="8"/>
              </w:rPr>
              <w:t>万元以上</w:t>
            </w:r>
            <w:r>
              <w:rPr>
                <w:rFonts w:ascii="宋体" w:hAnsi="宋体" w:eastAsia="宋体" w:cs="宋体"/>
                <w:spacing w:val="8"/>
              </w:rPr>
              <w:t>3</w:t>
            </w:r>
            <w:r>
              <w:rPr>
                <w:spacing w:val="8"/>
              </w:rPr>
              <w:t>万元以下的</w:t>
            </w:r>
            <w:r>
              <w:rPr>
                <w:spacing w:val="3"/>
              </w:rPr>
              <w:t>罚款</w:t>
            </w:r>
          </w:p>
        </w:tc>
        <w:tc>
          <w:tcPr>
            <w:tcW w:w="811" w:type="dxa"/>
            <w:vMerge w:val="continue"/>
            <w:tcBorders>
              <w:top w:val="nil"/>
            </w:tcBorders>
            <w:vAlign w:val="top"/>
          </w:tcPr>
          <w:p w14:paraId="0783B9F5">
            <w:pPr>
              <w:rPr>
                <w:rFonts w:ascii="Arial"/>
                <w:sz w:val="21"/>
              </w:rPr>
            </w:pPr>
          </w:p>
        </w:tc>
      </w:tr>
      <w:tr w14:paraId="6500B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2" w:hRule="atLeast"/>
        </w:trPr>
        <w:tc>
          <w:tcPr>
            <w:tcW w:w="818" w:type="dxa"/>
            <w:vMerge w:val="restart"/>
            <w:tcBorders>
              <w:bottom w:val="nil"/>
            </w:tcBorders>
            <w:vAlign w:val="top"/>
          </w:tcPr>
          <w:p w14:paraId="19888954">
            <w:pPr>
              <w:spacing w:line="249" w:lineRule="auto"/>
              <w:rPr>
                <w:rFonts w:ascii="Arial"/>
                <w:sz w:val="21"/>
              </w:rPr>
            </w:pPr>
          </w:p>
          <w:p w14:paraId="394A8E56">
            <w:pPr>
              <w:spacing w:line="249" w:lineRule="auto"/>
              <w:rPr>
                <w:rFonts w:ascii="Arial"/>
                <w:sz w:val="21"/>
              </w:rPr>
            </w:pPr>
          </w:p>
          <w:p w14:paraId="259C4914">
            <w:pPr>
              <w:spacing w:line="249" w:lineRule="auto"/>
              <w:rPr>
                <w:rFonts w:ascii="Arial"/>
                <w:sz w:val="21"/>
              </w:rPr>
            </w:pPr>
          </w:p>
          <w:p w14:paraId="4ADCB3BE">
            <w:pPr>
              <w:spacing w:line="250" w:lineRule="auto"/>
              <w:rPr>
                <w:rFonts w:ascii="Arial"/>
                <w:sz w:val="21"/>
              </w:rPr>
            </w:pPr>
          </w:p>
          <w:p w14:paraId="2978E59F">
            <w:pPr>
              <w:spacing w:line="250" w:lineRule="auto"/>
              <w:rPr>
                <w:rFonts w:ascii="Arial"/>
                <w:sz w:val="21"/>
              </w:rPr>
            </w:pPr>
          </w:p>
          <w:p w14:paraId="0BDCE4FB">
            <w:pPr>
              <w:spacing w:line="250" w:lineRule="auto"/>
              <w:rPr>
                <w:rFonts w:ascii="Arial"/>
                <w:sz w:val="21"/>
              </w:rPr>
            </w:pPr>
          </w:p>
          <w:p w14:paraId="4BE20478">
            <w:pPr>
              <w:spacing w:before="74" w:line="185" w:lineRule="auto"/>
              <w:ind w:left="239"/>
              <w:rPr>
                <w:rFonts w:ascii="仿宋" w:hAnsi="仿宋" w:eastAsia="仿宋" w:cs="仿宋"/>
                <w:sz w:val="23"/>
                <w:szCs w:val="23"/>
              </w:rPr>
            </w:pPr>
            <w:r>
              <w:rPr>
                <w:rFonts w:ascii="仿宋" w:hAnsi="仿宋" w:eastAsia="仿宋" w:cs="仿宋"/>
                <w:spacing w:val="-4"/>
                <w:sz w:val="23"/>
                <w:szCs w:val="23"/>
              </w:rPr>
              <w:t>33</w:t>
            </w:r>
          </w:p>
        </w:tc>
        <w:tc>
          <w:tcPr>
            <w:tcW w:w="1440" w:type="dxa"/>
            <w:vMerge w:val="restart"/>
            <w:tcBorders>
              <w:bottom w:val="nil"/>
            </w:tcBorders>
            <w:vAlign w:val="top"/>
          </w:tcPr>
          <w:p w14:paraId="0D912ABA">
            <w:pPr>
              <w:pStyle w:val="6"/>
              <w:spacing w:before="41" w:line="180" w:lineRule="auto"/>
              <w:ind w:left="112" w:right="109" w:hanging="2"/>
              <w:jc w:val="both"/>
            </w:pPr>
            <w:r>
              <w:rPr>
                <w:spacing w:val="12"/>
              </w:rPr>
              <w:t>使用危险化学品从事生产并且使用量达到规定数量的化工建设项目以及法律、行政法规和国务院规定其</w:t>
            </w:r>
            <w:r>
              <w:rPr>
                <w:spacing w:val="-4"/>
              </w:rPr>
              <w:t>他建设项</w:t>
            </w:r>
            <w:r>
              <w:rPr>
                <w:spacing w:val="3"/>
              </w:rPr>
              <w:t>目，安全设</w:t>
            </w:r>
          </w:p>
        </w:tc>
        <w:tc>
          <w:tcPr>
            <w:tcW w:w="3202" w:type="dxa"/>
            <w:vMerge w:val="restart"/>
            <w:tcBorders>
              <w:bottom w:val="nil"/>
            </w:tcBorders>
            <w:vAlign w:val="top"/>
          </w:tcPr>
          <w:p w14:paraId="34DE238A">
            <w:pPr>
              <w:pStyle w:val="6"/>
              <w:spacing w:before="37" w:line="183" w:lineRule="auto"/>
              <w:ind w:left="116" w:right="106" w:hanging="18"/>
              <w:jc w:val="both"/>
            </w:pPr>
            <w:r>
              <w:rPr>
                <w:spacing w:val="18"/>
              </w:rPr>
              <w:t>【部门规章】《建设项目安</w:t>
            </w:r>
            <w:r>
              <w:rPr>
                <w:spacing w:val="17"/>
              </w:rPr>
              <w:t>全设施“三同时”监督管理</w:t>
            </w:r>
            <w:r>
              <w:rPr>
                <w:spacing w:val="13"/>
              </w:rPr>
              <w:t>办法》第十六条：本办法第</w:t>
            </w:r>
            <w:r>
              <w:rPr>
                <w:spacing w:val="5"/>
              </w:rPr>
              <w:t>七条第（一）项、第（二）</w:t>
            </w:r>
            <w:r>
              <w:rPr>
                <w:spacing w:val="14"/>
              </w:rPr>
              <w:t>项、第（三）项和第（四）</w:t>
            </w:r>
            <w:r>
              <w:rPr>
                <w:spacing w:val="17"/>
              </w:rPr>
              <w:t>项规定以外的建设项目安全</w:t>
            </w:r>
            <w:r>
              <w:rPr>
                <w:spacing w:val="10"/>
              </w:rPr>
              <w:t>设施设计，由生产经营单位</w:t>
            </w:r>
            <w:r>
              <w:rPr>
                <w:spacing w:val="13"/>
              </w:rPr>
              <w:t>组织审查，形成书面报告备</w:t>
            </w:r>
            <w:r>
              <w:rPr>
                <w:spacing w:val="-7"/>
              </w:rPr>
              <w:t>查。</w:t>
            </w:r>
          </w:p>
        </w:tc>
        <w:tc>
          <w:tcPr>
            <w:tcW w:w="2859" w:type="dxa"/>
            <w:vMerge w:val="restart"/>
            <w:tcBorders>
              <w:bottom w:val="nil"/>
            </w:tcBorders>
            <w:vAlign w:val="top"/>
          </w:tcPr>
          <w:p w14:paraId="48772F85">
            <w:pPr>
              <w:pStyle w:val="6"/>
              <w:spacing w:before="41" w:line="180" w:lineRule="auto"/>
              <w:ind w:left="116" w:hanging="19"/>
              <w:jc w:val="both"/>
            </w:pPr>
            <w:r>
              <w:rPr>
                <w:spacing w:val="8"/>
              </w:rPr>
              <w:t>【部门规章】《建设项目</w:t>
            </w:r>
            <w:r>
              <w:rPr>
                <w:spacing w:val="6"/>
              </w:rPr>
              <w:t>安全设施“三同时”监督</w:t>
            </w:r>
            <w:r>
              <w:rPr>
                <w:spacing w:val="4"/>
              </w:rPr>
              <w:t>管理办法》第三十条第二</w:t>
            </w:r>
            <w:r>
              <w:rPr>
                <w:spacing w:val="-11"/>
              </w:rPr>
              <w:t>项：本办法第七条第（一）</w:t>
            </w:r>
            <w:r>
              <w:rPr>
                <w:spacing w:val="-2"/>
              </w:rPr>
              <w:t>项、第（二）项、第（三）</w:t>
            </w:r>
            <w:r>
              <w:rPr>
                <w:spacing w:val="7"/>
              </w:rPr>
              <w:t>项和第（四）项规定以外的建设项目有下列情形之一的，对有关生产经营单位责令限期改正，可以并</w:t>
            </w:r>
            <w:r>
              <w:rPr>
                <w:spacing w:val="11"/>
              </w:rPr>
              <w:t>处</w:t>
            </w:r>
            <w:r>
              <w:rPr>
                <w:rFonts w:ascii="宋体" w:hAnsi="宋体" w:eastAsia="宋体" w:cs="宋体"/>
                <w:spacing w:val="11"/>
              </w:rPr>
              <w:t>5000</w:t>
            </w:r>
            <w:r>
              <w:rPr>
                <w:spacing w:val="11"/>
              </w:rPr>
              <w:t>元以上</w:t>
            </w:r>
            <w:r>
              <w:rPr>
                <w:rFonts w:ascii="宋体" w:hAnsi="宋体" w:eastAsia="宋体" w:cs="宋体"/>
                <w:spacing w:val="11"/>
              </w:rPr>
              <w:t>3</w:t>
            </w:r>
            <w:r>
              <w:rPr>
                <w:spacing w:val="11"/>
              </w:rPr>
              <w:t>万元以下</w:t>
            </w:r>
            <w:r>
              <w:rPr>
                <w:spacing w:val="5"/>
              </w:rPr>
              <w:t>的罚款</w:t>
            </w:r>
            <w:r>
              <w:rPr>
                <w:spacing w:val="1"/>
              </w:rPr>
              <w:t>：（</w:t>
            </w:r>
            <w:r>
              <w:rPr>
                <w:spacing w:val="5"/>
              </w:rPr>
              <w:t>二）安全设施</w:t>
            </w:r>
          </w:p>
        </w:tc>
        <w:tc>
          <w:tcPr>
            <w:tcW w:w="803" w:type="dxa"/>
            <w:vAlign w:val="top"/>
          </w:tcPr>
          <w:p w14:paraId="60A6913E">
            <w:pPr>
              <w:spacing w:line="376" w:lineRule="auto"/>
              <w:rPr>
                <w:rFonts w:ascii="Arial"/>
                <w:sz w:val="21"/>
              </w:rPr>
            </w:pPr>
          </w:p>
          <w:p w14:paraId="28A9225F">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D589F95">
            <w:pPr>
              <w:pStyle w:val="6"/>
              <w:spacing w:before="262" w:line="182" w:lineRule="auto"/>
              <w:ind w:left="117"/>
            </w:pPr>
            <w:r>
              <w:rPr>
                <w:spacing w:val="-9"/>
              </w:rPr>
              <w:t>建设项目投资额</w:t>
            </w:r>
          </w:p>
          <w:p w14:paraId="57F61256">
            <w:pPr>
              <w:pStyle w:val="6"/>
              <w:spacing w:before="1" w:line="208" w:lineRule="auto"/>
              <w:ind w:left="131"/>
            </w:pPr>
            <w:r>
              <w:rPr>
                <w:rFonts w:ascii="宋体" w:hAnsi="宋体" w:eastAsia="宋体" w:cs="宋体"/>
                <w:spacing w:val="1"/>
              </w:rPr>
              <w:t>1000</w:t>
            </w:r>
            <w:r>
              <w:rPr>
                <w:spacing w:val="1"/>
              </w:rPr>
              <w:t>万元以下的</w:t>
            </w:r>
          </w:p>
        </w:tc>
        <w:tc>
          <w:tcPr>
            <w:tcW w:w="2894" w:type="dxa"/>
            <w:vAlign w:val="top"/>
          </w:tcPr>
          <w:p w14:paraId="17EBD4A5">
            <w:pPr>
              <w:pStyle w:val="6"/>
              <w:spacing w:before="109" w:line="191" w:lineRule="auto"/>
              <w:ind w:left="120" w:right="107" w:firstLine="7"/>
              <w:jc w:val="both"/>
            </w:pPr>
            <w:r>
              <w:rPr>
                <w:spacing w:val="7"/>
              </w:rPr>
              <w:t>责令限期改正，可以并处</w:t>
            </w:r>
            <w:r>
              <w:rPr>
                <w:rFonts w:ascii="宋体" w:hAnsi="宋体" w:eastAsia="宋体" w:cs="宋体"/>
                <w:spacing w:val="2"/>
              </w:rPr>
              <w:t>5000</w:t>
            </w:r>
            <w:r>
              <w:rPr>
                <w:spacing w:val="2"/>
              </w:rPr>
              <w:t>元以上</w:t>
            </w:r>
            <w:r>
              <w:rPr>
                <w:rFonts w:ascii="宋体" w:hAnsi="宋体" w:eastAsia="宋体" w:cs="宋体"/>
                <w:spacing w:val="2"/>
              </w:rPr>
              <w:t>1</w:t>
            </w:r>
            <w:r>
              <w:rPr>
                <w:spacing w:val="2"/>
              </w:rPr>
              <w:t>万元以下的罚款</w:t>
            </w:r>
          </w:p>
        </w:tc>
        <w:tc>
          <w:tcPr>
            <w:tcW w:w="811" w:type="dxa"/>
            <w:vMerge w:val="restart"/>
            <w:tcBorders>
              <w:bottom w:val="nil"/>
            </w:tcBorders>
            <w:vAlign w:val="top"/>
          </w:tcPr>
          <w:p w14:paraId="7A41CA23">
            <w:pPr>
              <w:spacing w:line="248" w:lineRule="auto"/>
              <w:rPr>
                <w:rFonts w:ascii="Arial"/>
                <w:sz w:val="21"/>
              </w:rPr>
            </w:pPr>
          </w:p>
          <w:p w14:paraId="2682E664">
            <w:pPr>
              <w:spacing w:line="249" w:lineRule="auto"/>
              <w:rPr>
                <w:rFonts w:ascii="Arial"/>
                <w:sz w:val="21"/>
              </w:rPr>
            </w:pPr>
          </w:p>
          <w:p w14:paraId="1821EBAE">
            <w:pPr>
              <w:spacing w:line="249" w:lineRule="auto"/>
              <w:rPr>
                <w:rFonts w:ascii="Arial"/>
                <w:sz w:val="21"/>
              </w:rPr>
            </w:pPr>
          </w:p>
          <w:p w14:paraId="6D86BE8F">
            <w:pPr>
              <w:spacing w:line="249" w:lineRule="auto"/>
              <w:rPr>
                <w:rFonts w:ascii="Arial"/>
                <w:sz w:val="21"/>
              </w:rPr>
            </w:pPr>
          </w:p>
          <w:p w14:paraId="6153604C">
            <w:pPr>
              <w:spacing w:line="249" w:lineRule="auto"/>
              <w:rPr>
                <w:rFonts w:ascii="Arial"/>
                <w:sz w:val="21"/>
              </w:rPr>
            </w:pPr>
          </w:p>
          <w:p w14:paraId="2D1E05D7">
            <w:pPr>
              <w:spacing w:line="249" w:lineRule="auto"/>
              <w:rPr>
                <w:rFonts w:ascii="Arial"/>
                <w:sz w:val="21"/>
              </w:rPr>
            </w:pPr>
          </w:p>
          <w:p w14:paraId="1CB1CF38">
            <w:pPr>
              <w:spacing w:before="74" w:line="188" w:lineRule="auto"/>
              <w:ind w:left="293"/>
              <w:rPr>
                <w:rFonts w:ascii="宋体" w:hAnsi="宋体" w:eastAsia="宋体" w:cs="宋体"/>
                <w:sz w:val="23"/>
                <w:szCs w:val="23"/>
              </w:rPr>
            </w:pPr>
            <w:r>
              <w:rPr>
                <w:rFonts w:ascii="宋体" w:hAnsi="宋体" w:eastAsia="宋体" w:cs="宋体"/>
                <w:spacing w:val="-3"/>
                <w:sz w:val="23"/>
                <w:szCs w:val="23"/>
              </w:rPr>
              <w:t>24</w:t>
            </w:r>
          </w:p>
        </w:tc>
      </w:tr>
      <w:tr w14:paraId="2E3D3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8" w:hRule="atLeast"/>
        </w:trPr>
        <w:tc>
          <w:tcPr>
            <w:tcW w:w="818" w:type="dxa"/>
            <w:vMerge w:val="continue"/>
            <w:tcBorders>
              <w:top w:val="nil"/>
              <w:bottom w:val="nil"/>
            </w:tcBorders>
            <w:vAlign w:val="top"/>
          </w:tcPr>
          <w:p w14:paraId="07C0B030">
            <w:pPr>
              <w:rPr>
                <w:rFonts w:ascii="Arial"/>
                <w:sz w:val="21"/>
              </w:rPr>
            </w:pPr>
          </w:p>
        </w:tc>
        <w:tc>
          <w:tcPr>
            <w:tcW w:w="1440" w:type="dxa"/>
            <w:vMerge w:val="continue"/>
            <w:tcBorders>
              <w:top w:val="nil"/>
              <w:bottom w:val="nil"/>
            </w:tcBorders>
            <w:vAlign w:val="top"/>
          </w:tcPr>
          <w:p w14:paraId="1AACFF0B">
            <w:pPr>
              <w:rPr>
                <w:rFonts w:ascii="Arial"/>
                <w:sz w:val="21"/>
              </w:rPr>
            </w:pPr>
          </w:p>
        </w:tc>
        <w:tc>
          <w:tcPr>
            <w:tcW w:w="3202" w:type="dxa"/>
            <w:vMerge w:val="continue"/>
            <w:tcBorders>
              <w:top w:val="nil"/>
              <w:bottom w:val="nil"/>
            </w:tcBorders>
            <w:vAlign w:val="top"/>
          </w:tcPr>
          <w:p w14:paraId="2D5C65D7">
            <w:pPr>
              <w:rPr>
                <w:rFonts w:ascii="Arial"/>
                <w:sz w:val="21"/>
              </w:rPr>
            </w:pPr>
          </w:p>
        </w:tc>
        <w:tc>
          <w:tcPr>
            <w:tcW w:w="2859" w:type="dxa"/>
            <w:vMerge w:val="continue"/>
            <w:tcBorders>
              <w:top w:val="nil"/>
              <w:bottom w:val="nil"/>
            </w:tcBorders>
            <w:vAlign w:val="top"/>
          </w:tcPr>
          <w:p w14:paraId="16036357">
            <w:pPr>
              <w:rPr>
                <w:rFonts w:ascii="Arial"/>
                <w:sz w:val="21"/>
              </w:rPr>
            </w:pPr>
          </w:p>
        </w:tc>
        <w:tc>
          <w:tcPr>
            <w:tcW w:w="803" w:type="dxa"/>
            <w:vAlign w:val="top"/>
          </w:tcPr>
          <w:p w14:paraId="5849F238">
            <w:pPr>
              <w:spacing w:line="429" w:lineRule="auto"/>
              <w:rPr>
                <w:rFonts w:ascii="Arial"/>
                <w:sz w:val="21"/>
              </w:rPr>
            </w:pPr>
          </w:p>
          <w:p w14:paraId="43DBD0BD">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9F51145">
            <w:pPr>
              <w:pStyle w:val="6"/>
              <w:spacing w:before="160" w:line="191" w:lineRule="auto"/>
              <w:ind w:left="128" w:right="109" w:hanging="11"/>
              <w:jc w:val="both"/>
            </w:pPr>
            <w:r>
              <w:rPr>
                <w:spacing w:val="-10"/>
              </w:rPr>
              <w:t>建设项目投资额</w:t>
            </w:r>
            <w:r>
              <w:rPr>
                <w:rFonts w:ascii="宋体" w:hAnsi="宋体" w:eastAsia="宋体" w:cs="宋体"/>
                <w:spacing w:val="1"/>
              </w:rPr>
              <w:t>1000</w:t>
            </w:r>
            <w:r>
              <w:rPr>
                <w:spacing w:val="1"/>
              </w:rPr>
              <w:t>万元以上</w:t>
            </w:r>
            <w:r>
              <w:rPr>
                <w:rFonts w:ascii="宋体" w:hAnsi="宋体" w:eastAsia="宋体" w:cs="宋体"/>
                <w:spacing w:val="1"/>
              </w:rPr>
              <w:t>3000</w:t>
            </w:r>
            <w:r>
              <w:rPr>
                <w:spacing w:val="4"/>
              </w:rPr>
              <w:t>万元以下的</w:t>
            </w:r>
          </w:p>
        </w:tc>
        <w:tc>
          <w:tcPr>
            <w:tcW w:w="2894" w:type="dxa"/>
            <w:vAlign w:val="top"/>
          </w:tcPr>
          <w:p w14:paraId="073D4419">
            <w:pPr>
              <w:pStyle w:val="6"/>
              <w:spacing w:before="161" w:line="191" w:lineRule="auto"/>
              <w:ind w:left="127" w:right="107"/>
              <w:jc w:val="both"/>
            </w:pPr>
            <w:r>
              <w:rPr>
                <w:spacing w:val="7"/>
              </w:rPr>
              <w:t>责令限期改正，可以并处</w:t>
            </w:r>
            <w:r>
              <w:rPr>
                <w:rFonts w:ascii="宋体" w:hAnsi="宋体" w:eastAsia="宋体" w:cs="宋体"/>
                <w:spacing w:val="8"/>
              </w:rPr>
              <w:t>1</w:t>
            </w:r>
            <w:r>
              <w:rPr>
                <w:spacing w:val="8"/>
              </w:rPr>
              <w:t>万元以上</w:t>
            </w:r>
            <w:r>
              <w:rPr>
                <w:rFonts w:ascii="宋体" w:hAnsi="宋体" w:eastAsia="宋体" w:cs="宋体"/>
                <w:spacing w:val="8"/>
              </w:rPr>
              <w:t>2</w:t>
            </w:r>
            <w:r>
              <w:rPr>
                <w:spacing w:val="8"/>
              </w:rPr>
              <w:t>万元以下的</w:t>
            </w:r>
            <w:r>
              <w:rPr>
                <w:spacing w:val="-1"/>
              </w:rPr>
              <w:t>罚款</w:t>
            </w:r>
          </w:p>
        </w:tc>
        <w:tc>
          <w:tcPr>
            <w:tcW w:w="811" w:type="dxa"/>
            <w:vMerge w:val="continue"/>
            <w:tcBorders>
              <w:top w:val="nil"/>
              <w:bottom w:val="nil"/>
            </w:tcBorders>
            <w:vAlign w:val="top"/>
          </w:tcPr>
          <w:p w14:paraId="5F0434AA">
            <w:pPr>
              <w:rPr>
                <w:rFonts w:ascii="Arial"/>
                <w:sz w:val="21"/>
              </w:rPr>
            </w:pPr>
          </w:p>
        </w:tc>
      </w:tr>
      <w:tr w14:paraId="39F3A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trPr>
        <w:tc>
          <w:tcPr>
            <w:tcW w:w="818" w:type="dxa"/>
            <w:vMerge w:val="continue"/>
            <w:tcBorders>
              <w:top w:val="nil"/>
            </w:tcBorders>
            <w:vAlign w:val="top"/>
          </w:tcPr>
          <w:p w14:paraId="34914D42">
            <w:pPr>
              <w:rPr>
                <w:rFonts w:ascii="Arial"/>
                <w:sz w:val="21"/>
              </w:rPr>
            </w:pPr>
          </w:p>
        </w:tc>
        <w:tc>
          <w:tcPr>
            <w:tcW w:w="1440" w:type="dxa"/>
            <w:vMerge w:val="continue"/>
            <w:tcBorders>
              <w:top w:val="nil"/>
            </w:tcBorders>
            <w:vAlign w:val="top"/>
          </w:tcPr>
          <w:p w14:paraId="000DEA0F">
            <w:pPr>
              <w:rPr>
                <w:rFonts w:ascii="Arial"/>
                <w:sz w:val="21"/>
              </w:rPr>
            </w:pPr>
          </w:p>
        </w:tc>
        <w:tc>
          <w:tcPr>
            <w:tcW w:w="3202" w:type="dxa"/>
            <w:vMerge w:val="continue"/>
            <w:tcBorders>
              <w:top w:val="nil"/>
            </w:tcBorders>
            <w:vAlign w:val="top"/>
          </w:tcPr>
          <w:p w14:paraId="7938C207">
            <w:pPr>
              <w:rPr>
                <w:rFonts w:ascii="Arial"/>
                <w:sz w:val="21"/>
              </w:rPr>
            </w:pPr>
          </w:p>
        </w:tc>
        <w:tc>
          <w:tcPr>
            <w:tcW w:w="2859" w:type="dxa"/>
            <w:vMerge w:val="continue"/>
            <w:tcBorders>
              <w:top w:val="nil"/>
            </w:tcBorders>
            <w:vAlign w:val="top"/>
          </w:tcPr>
          <w:p w14:paraId="4325D0ED">
            <w:pPr>
              <w:rPr>
                <w:rFonts w:ascii="Arial"/>
                <w:sz w:val="21"/>
              </w:rPr>
            </w:pPr>
          </w:p>
        </w:tc>
        <w:tc>
          <w:tcPr>
            <w:tcW w:w="803" w:type="dxa"/>
            <w:vAlign w:val="top"/>
          </w:tcPr>
          <w:p w14:paraId="1B02184D">
            <w:pPr>
              <w:spacing w:line="386" w:lineRule="auto"/>
              <w:rPr>
                <w:rFonts w:ascii="Arial"/>
                <w:sz w:val="21"/>
              </w:rPr>
            </w:pPr>
          </w:p>
          <w:p w14:paraId="6EA60CC0">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FAD67DC">
            <w:pPr>
              <w:pStyle w:val="6"/>
              <w:spacing w:before="267" w:line="196" w:lineRule="auto"/>
              <w:ind w:left="117" w:right="109"/>
            </w:pPr>
            <w:r>
              <w:rPr>
                <w:spacing w:val="-10"/>
              </w:rPr>
              <w:t>建设项目投资额</w:t>
            </w:r>
            <w:r>
              <w:rPr>
                <w:rFonts w:ascii="宋体" w:hAnsi="宋体" w:eastAsia="宋体" w:cs="宋体"/>
                <w:spacing w:val="2"/>
              </w:rPr>
              <w:t>3000</w:t>
            </w:r>
            <w:r>
              <w:rPr>
                <w:spacing w:val="2"/>
              </w:rPr>
              <w:t>万元以上的</w:t>
            </w:r>
          </w:p>
        </w:tc>
        <w:tc>
          <w:tcPr>
            <w:tcW w:w="2894" w:type="dxa"/>
            <w:vAlign w:val="top"/>
          </w:tcPr>
          <w:p w14:paraId="1CD12027">
            <w:pPr>
              <w:pStyle w:val="6"/>
              <w:spacing w:before="119" w:line="191" w:lineRule="auto"/>
              <w:ind w:left="118" w:right="107" w:firstLine="9"/>
              <w:jc w:val="both"/>
            </w:pPr>
            <w:r>
              <w:rPr>
                <w:spacing w:val="7"/>
              </w:rPr>
              <w:t>责令限期改正，可以并处</w:t>
            </w:r>
            <w:r>
              <w:rPr>
                <w:rFonts w:ascii="宋体" w:hAnsi="宋体" w:eastAsia="宋体" w:cs="宋体"/>
                <w:spacing w:val="8"/>
              </w:rPr>
              <w:t>2</w:t>
            </w:r>
            <w:r>
              <w:rPr>
                <w:spacing w:val="8"/>
              </w:rPr>
              <w:t>万元以上</w:t>
            </w:r>
            <w:r>
              <w:rPr>
                <w:rFonts w:ascii="宋体" w:hAnsi="宋体" w:eastAsia="宋体" w:cs="宋体"/>
                <w:spacing w:val="8"/>
              </w:rPr>
              <w:t>3</w:t>
            </w:r>
            <w:r>
              <w:rPr>
                <w:spacing w:val="8"/>
              </w:rPr>
              <w:t>万元以下的</w:t>
            </w:r>
            <w:r>
              <w:rPr>
                <w:spacing w:val="3"/>
              </w:rPr>
              <w:t>罚款</w:t>
            </w:r>
          </w:p>
        </w:tc>
        <w:tc>
          <w:tcPr>
            <w:tcW w:w="811" w:type="dxa"/>
            <w:vMerge w:val="continue"/>
            <w:tcBorders>
              <w:top w:val="nil"/>
            </w:tcBorders>
            <w:vAlign w:val="top"/>
          </w:tcPr>
          <w:p w14:paraId="7EA56AD8">
            <w:pPr>
              <w:rPr>
                <w:rFonts w:ascii="Arial"/>
                <w:sz w:val="21"/>
              </w:rPr>
            </w:pPr>
          </w:p>
        </w:tc>
      </w:tr>
    </w:tbl>
    <w:p w14:paraId="09B97E33">
      <w:pPr>
        <w:pStyle w:val="2"/>
      </w:pPr>
    </w:p>
    <w:p w14:paraId="65A84ADE">
      <w:pPr>
        <w:sectPr>
          <w:footerReference r:id="rId49" w:type="default"/>
          <w:pgSz w:w="16839" w:h="11906"/>
          <w:pgMar w:top="1012" w:right="821" w:bottom="666" w:left="901" w:header="0" w:footer="388" w:gutter="0"/>
          <w:cols w:space="720" w:num="1"/>
        </w:sectPr>
      </w:pPr>
    </w:p>
    <w:p w14:paraId="10F580BD">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02A2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148AB65">
            <w:pPr>
              <w:spacing w:before="222" w:line="241" w:lineRule="auto"/>
              <w:ind w:left="131"/>
              <w:outlineLvl w:val="0"/>
              <w:rPr>
                <w:rFonts w:ascii="黑体" w:hAnsi="黑体" w:eastAsia="黑体" w:cs="黑体"/>
                <w:sz w:val="28"/>
                <w:szCs w:val="28"/>
              </w:rPr>
            </w:pPr>
            <w:bookmarkStart w:id="410" w:name="bookmark494"/>
            <w:bookmarkEnd w:id="410"/>
            <w:bookmarkStart w:id="411" w:name="bookmark72"/>
            <w:bookmarkEnd w:id="411"/>
            <w:r>
              <w:rPr>
                <w:rFonts w:ascii="黑体" w:hAnsi="黑体" w:eastAsia="黑体" w:cs="黑体"/>
                <w:spacing w:val="-2"/>
                <w:sz w:val="28"/>
                <w:szCs w:val="28"/>
              </w:rPr>
              <w:t>序号</w:t>
            </w:r>
          </w:p>
        </w:tc>
        <w:tc>
          <w:tcPr>
            <w:tcW w:w="1440" w:type="dxa"/>
            <w:vAlign w:val="top"/>
          </w:tcPr>
          <w:p w14:paraId="0480DEB7">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931AD5E">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4F357F4">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3000A50">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E4AFFAF">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5E624C62">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67F7CA18">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31D4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Align w:val="top"/>
          </w:tcPr>
          <w:p w14:paraId="1A6E17A9">
            <w:pPr>
              <w:rPr>
                <w:rFonts w:ascii="Arial"/>
                <w:sz w:val="21"/>
              </w:rPr>
            </w:pPr>
          </w:p>
        </w:tc>
        <w:tc>
          <w:tcPr>
            <w:tcW w:w="1440" w:type="dxa"/>
            <w:vAlign w:val="top"/>
          </w:tcPr>
          <w:p w14:paraId="19CE6E74">
            <w:pPr>
              <w:pStyle w:val="6"/>
              <w:spacing w:before="29" w:line="177" w:lineRule="auto"/>
              <w:ind w:left="116" w:right="108" w:firstLine="3"/>
              <w:jc w:val="both"/>
            </w:pPr>
            <w:r>
              <w:rPr>
                <w:spacing w:val="11"/>
              </w:rPr>
              <w:t>施设计未组</w:t>
            </w:r>
            <w:bookmarkStart w:id="412" w:name="bookmark495"/>
            <w:bookmarkEnd w:id="412"/>
            <w:bookmarkStart w:id="413" w:name="bookmark74"/>
            <w:bookmarkEnd w:id="413"/>
            <w:r>
              <w:rPr>
                <w:spacing w:val="3"/>
              </w:rPr>
              <w:t>织审查，并</w:t>
            </w:r>
            <w:r>
              <w:rPr>
                <w:spacing w:val="11"/>
              </w:rPr>
              <w:t>形成书面审</w:t>
            </w:r>
            <w:r>
              <w:rPr>
                <w:spacing w:val="5"/>
              </w:rPr>
              <w:t>查报告的</w:t>
            </w:r>
          </w:p>
        </w:tc>
        <w:tc>
          <w:tcPr>
            <w:tcW w:w="3202" w:type="dxa"/>
            <w:vAlign w:val="top"/>
          </w:tcPr>
          <w:p w14:paraId="1747F8E1">
            <w:pPr>
              <w:rPr>
                <w:rFonts w:ascii="Arial"/>
                <w:sz w:val="21"/>
              </w:rPr>
            </w:pPr>
          </w:p>
        </w:tc>
        <w:tc>
          <w:tcPr>
            <w:tcW w:w="2859" w:type="dxa"/>
            <w:vAlign w:val="top"/>
          </w:tcPr>
          <w:p w14:paraId="657BA452">
            <w:pPr>
              <w:pStyle w:val="6"/>
              <w:spacing w:before="29" w:line="195" w:lineRule="auto"/>
              <w:ind w:left="128" w:right="137" w:hanging="12"/>
            </w:pPr>
            <w:r>
              <w:rPr>
                <w:spacing w:val="6"/>
              </w:rPr>
              <w:t>设计未组织审查，并形成</w:t>
            </w:r>
            <w:r>
              <w:t>书面审查报告的；</w:t>
            </w:r>
          </w:p>
        </w:tc>
        <w:tc>
          <w:tcPr>
            <w:tcW w:w="803" w:type="dxa"/>
            <w:vAlign w:val="top"/>
          </w:tcPr>
          <w:p w14:paraId="1C515042">
            <w:pPr>
              <w:rPr>
                <w:rFonts w:ascii="Arial"/>
                <w:sz w:val="21"/>
              </w:rPr>
            </w:pPr>
          </w:p>
        </w:tc>
        <w:tc>
          <w:tcPr>
            <w:tcW w:w="2283" w:type="dxa"/>
            <w:vAlign w:val="top"/>
          </w:tcPr>
          <w:p w14:paraId="61785292">
            <w:pPr>
              <w:rPr>
                <w:rFonts w:ascii="Arial"/>
                <w:sz w:val="21"/>
              </w:rPr>
            </w:pPr>
          </w:p>
        </w:tc>
        <w:tc>
          <w:tcPr>
            <w:tcW w:w="2894" w:type="dxa"/>
            <w:vAlign w:val="top"/>
          </w:tcPr>
          <w:p w14:paraId="5FC0AECF">
            <w:pPr>
              <w:rPr>
                <w:rFonts w:ascii="Arial"/>
                <w:sz w:val="21"/>
              </w:rPr>
            </w:pPr>
          </w:p>
        </w:tc>
        <w:tc>
          <w:tcPr>
            <w:tcW w:w="811" w:type="dxa"/>
            <w:vAlign w:val="top"/>
          </w:tcPr>
          <w:p w14:paraId="40A44D54">
            <w:pPr>
              <w:rPr>
                <w:rFonts w:ascii="Arial"/>
                <w:sz w:val="21"/>
              </w:rPr>
            </w:pPr>
          </w:p>
        </w:tc>
      </w:tr>
      <w:tr w14:paraId="102F0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3" w:hRule="atLeast"/>
        </w:trPr>
        <w:tc>
          <w:tcPr>
            <w:tcW w:w="818" w:type="dxa"/>
            <w:vMerge w:val="restart"/>
            <w:tcBorders>
              <w:bottom w:val="nil"/>
            </w:tcBorders>
            <w:vAlign w:val="top"/>
          </w:tcPr>
          <w:p w14:paraId="3F7E3117">
            <w:pPr>
              <w:spacing w:line="242" w:lineRule="auto"/>
              <w:rPr>
                <w:rFonts w:ascii="Arial"/>
                <w:sz w:val="21"/>
              </w:rPr>
            </w:pPr>
          </w:p>
          <w:p w14:paraId="7962D514">
            <w:pPr>
              <w:spacing w:line="242" w:lineRule="auto"/>
              <w:rPr>
                <w:rFonts w:ascii="Arial"/>
                <w:sz w:val="21"/>
              </w:rPr>
            </w:pPr>
          </w:p>
          <w:p w14:paraId="1637904A">
            <w:pPr>
              <w:spacing w:line="242" w:lineRule="auto"/>
              <w:rPr>
                <w:rFonts w:ascii="Arial"/>
                <w:sz w:val="21"/>
              </w:rPr>
            </w:pPr>
          </w:p>
          <w:p w14:paraId="63183C6C">
            <w:pPr>
              <w:spacing w:line="242" w:lineRule="auto"/>
              <w:rPr>
                <w:rFonts w:ascii="Arial"/>
                <w:sz w:val="21"/>
              </w:rPr>
            </w:pPr>
          </w:p>
          <w:p w14:paraId="30F81DEF">
            <w:pPr>
              <w:spacing w:line="243" w:lineRule="auto"/>
              <w:rPr>
                <w:rFonts w:ascii="Arial"/>
                <w:sz w:val="21"/>
              </w:rPr>
            </w:pPr>
          </w:p>
          <w:p w14:paraId="24C44312">
            <w:pPr>
              <w:spacing w:line="243" w:lineRule="auto"/>
              <w:rPr>
                <w:rFonts w:ascii="Arial"/>
                <w:sz w:val="21"/>
              </w:rPr>
            </w:pPr>
          </w:p>
          <w:p w14:paraId="066D3B08">
            <w:pPr>
              <w:spacing w:line="243" w:lineRule="auto"/>
              <w:rPr>
                <w:rFonts w:ascii="Arial"/>
                <w:sz w:val="21"/>
              </w:rPr>
            </w:pPr>
          </w:p>
          <w:p w14:paraId="2428043C">
            <w:pPr>
              <w:spacing w:line="243" w:lineRule="auto"/>
              <w:rPr>
                <w:rFonts w:ascii="Arial"/>
                <w:sz w:val="21"/>
              </w:rPr>
            </w:pPr>
          </w:p>
          <w:p w14:paraId="128B8D85">
            <w:pPr>
              <w:spacing w:before="75" w:line="185" w:lineRule="auto"/>
              <w:ind w:left="239"/>
              <w:rPr>
                <w:rFonts w:ascii="仿宋" w:hAnsi="仿宋" w:eastAsia="仿宋" w:cs="仿宋"/>
                <w:sz w:val="23"/>
                <w:szCs w:val="23"/>
              </w:rPr>
            </w:pPr>
            <w:r>
              <w:rPr>
                <w:rFonts w:ascii="仿宋" w:hAnsi="仿宋" w:eastAsia="仿宋" w:cs="仿宋"/>
                <w:spacing w:val="-4"/>
                <w:sz w:val="23"/>
                <w:szCs w:val="23"/>
              </w:rPr>
              <w:t>34</w:t>
            </w:r>
          </w:p>
        </w:tc>
        <w:tc>
          <w:tcPr>
            <w:tcW w:w="1440" w:type="dxa"/>
            <w:vMerge w:val="restart"/>
            <w:tcBorders>
              <w:bottom w:val="nil"/>
            </w:tcBorders>
            <w:vAlign w:val="top"/>
          </w:tcPr>
          <w:p w14:paraId="02C77419">
            <w:pPr>
              <w:pStyle w:val="6"/>
              <w:spacing w:before="31" w:line="182" w:lineRule="auto"/>
              <w:ind w:left="110"/>
              <w:outlineLvl w:val="0"/>
            </w:pPr>
            <w:r>
              <w:rPr>
                <w:spacing w:val="12"/>
              </w:rPr>
              <w:t>使用危险化</w:t>
            </w:r>
          </w:p>
          <w:p w14:paraId="3A643265">
            <w:pPr>
              <w:pStyle w:val="6"/>
              <w:spacing w:before="13" w:line="180" w:lineRule="auto"/>
              <w:ind w:left="113" w:right="109" w:firstLine="14"/>
              <w:jc w:val="both"/>
            </w:pPr>
            <w:r>
              <w:rPr>
                <w:spacing w:val="9"/>
              </w:rPr>
              <w:t>学品从事生</w:t>
            </w:r>
            <w:r>
              <w:rPr>
                <w:spacing w:val="12"/>
              </w:rPr>
              <w:t>产并且使用量达到规定数量的化工建设项目以及法律、行政法规和国务院规定其</w:t>
            </w:r>
            <w:r>
              <w:rPr>
                <w:spacing w:val="-4"/>
              </w:rPr>
              <w:t>他建设项</w:t>
            </w:r>
            <w:r>
              <w:rPr>
                <w:spacing w:val="4"/>
              </w:rPr>
              <w:t>目，施工单</w:t>
            </w:r>
            <w:r>
              <w:rPr>
                <w:spacing w:val="12"/>
              </w:rPr>
              <w:t>位未按照安全设施设计</w:t>
            </w:r>
            <w:r>
              <w:rPr>
                <w:spacing w:val="5"/>
              </w:rPr>
              <w:t>施工的</w:t>
            </w:r>
          </w:p>
        </w:tc>
        <w:tc>
          <w:tcPr>
            <w:tcW w:w="3202" w:type="dxa"/>
            <w:vMerge w:val="restart"/>
            <w:tcBorders>
              <w:bottom w:val="nil"/>
            </w:tcBorders>
            <w:vAlign w:val="top"/>
          </w:tcPr>
          <w:p w14:paraId="72C89340">
            <w:pPr>
              <w:pStyle w:val="6"/>
              <w:spacing w:before="33" w:line="186" w:lineRule="auto"/>
              <w:ind w:left="117" w:right="110" w:hanging="19"/>
              <w:jc w:val="both"/>
            </w:pPr>
            <w:r>
              <w:rPr>
                <w:spacing w:val="18"/>
              </w:rPr>
              <w:t>【部门规章】《建设项目安</w:t>
            </w:r>
            <w:r>
              <w:rPr>
                <w:spacing w:val="17"/>
              </w:rPr>
              <w:t>全设施“三同时”监督管理</w:t>
            </w:r>
            <w:r>
              <w:rPr>
                <w:spacing w:val="13"/>
              </w:rPr>
              <w:t>办法》第十七条第三款：施</w:t>
            </w:r>
            <w:r>
              <w:rPr>
                <w:spacing w:val="17"/>
              </w:rPr>
              <w:t>工单位应当严格按照安全设</w:t>
            </w:r>
            <w:r>
              <w:rPr>
                <w:spacing w:val="39"/>
              </w:rPr>
              <w:t>施设计和相关施工技术标</w:t>
            </w:r>
            <w:r>
              <w:rPr>
                <w:spacing w:val="13"/>
              </w:rPr>
              <w:t>准、规范施工，并对安全设</w:t>
            </w:r>
            <w:r>
              <w:rPr>
                <w:spacing w:val="4"/>
              </w:rPr>
              <w:t>施的工程质量负责。</w:t>
            </w:r>
          </w:p>
        </w:tc>
        <w:tc>
          <w:tcPr>
            <w:tcW w:w="2859" w:type="dxa"/>
            <w:vMerge w:val="restart"/>
            <w:tcBorders>
              <w:bottom w:val="nil"/>
            </w:tcBorders>
            <w:vAlign w:val="top"/>
          </w:tcPr>
          <w:p w14:paraId="08D1753E">
            <w:pPr>
              <w:pStyle w:val="6"/>
              <w:spacing w:before="40" w:line="184" w:lineRule="auto"/>
              <w:ind w:left="116" w:hanging="19"/>
              <w:jc w:val="both"/>
            </w:pPr>
            <w:r>
              <w:rPr>
                <w:spacing w:val="8"/>
              </w:rPr>
              <w:t>【部门规章】《建设项目</w:t>
            </w:r>
            <w:r>
              <w:rPr>
                <w:spacing w:val="6"/>
              </w:rPr>
              <w:t>安全设施“三同时”监督</w:t>
            </w:r>
            <w:r>
              <w:rPr>
                <w:spacing w:val="4"/>
              </w:rPr>
              <w:t>管理办法》第三十条第三</w:t>
            </w:r>
            <w:r>
              <w:rPr>
                <w:spacing w:val="-11"/>
              </w:rPr>
              <w:t>项：本办法第七条第（一）</w:t>
            </w:r>
            <w:r>
              <w:rPr>
                <w:spacing w:val="-2"/>
              </w:rPr>
              <w:t>项、第（二）项、第（三）</w:t>
            </w:r>
            <w:r>
              <w:rPr>
                <w:spacing w:val="7"/>
              </w:rPr>
              <w:t>项和第（四）项规定以外的建设项目有下列情形之一的，对有关生产经营单位责令限期改正，可以并</w:t>
            </w:r>
            <w:r>
              <w:rPr>
                <w:spacing w:val="11"/>
              </w:rPr>
              <w:t>处</w:t>
            </w:r>
            <w:r>
              <w:rPr>
                <w:rFonts w:ascii="宋体" w:hAnsi="宋体" w:eastAsia="宋体" w:cs="宋体"/>
                <w:spacing w:val="11"/>
              </w:rPr>
              <w:t>5000</w:t>
            </w:r>
            <w:r>
              <w:rPr>
                <w:spacing w:val="11"/>
              </w:rPr>
              <w:t>元以上</w:t>
            </w:r>
            <w:r>
              <w:rPr>
                <w:rFonts w:ascii="宋体" w:hAnsi="宋体" w:eastAsia="宋体" w:cs="宋体"/>
                <w:spacing w:val="11"/>
              </w:rPr>
              <w:t>3</w:t>
            </w:r>
            <w:r>
              <w:rPr>
                <w:spacing w:val="11"/>
              </w:rPr>
              <w:t>万元以下</w:t>
            </w:r>
            <w:r>
              <w:rPr>
                <w:spacing w:val="5"/>
              </w:rPr>
              <w:t>的罚款</w:t>
            </w:r>
            <w:r>
              <w:rPr>
                <w:spacing w:val="1"/>
              </w:rPr>
              <w:t>：（</w:t>
            </w:r>
            <w:r>
              <w:rPr>
                <w:spacing w:val="5"/>
              </w:rPr>
              <w:t>三）施工单位</w:t>
            </w:r>
            <w:r>
              <w:rPr>
                <w:spacing w:val="7"/>
              </w:rPr>
              <w:t>未按照安全设施设计施工</w:t>
            </w:r>
            <w:r>
              <w:rPr>
                <w:spacing w:val="-11"/>
              </w:rPr>
              <w:t>的；</w:t>
            </w:r>
          </w:p>
        </w:tc>
        <w:tc>
          <w:tcPr>
            <w:tcW w:w="803" w:type="dxa"/>
            <w:vAlign w:val="top"/>
          </w:tcPr>
          <w:p w14:paraId="09B151B3">
            <w:pPr>
              <w:spacing w:line="244" w:lineRule="auto"/>
              <w:rPr>
                <w:rFonts w:ascii="Arial"/>
                <w:sz w:val="21"/>
              </w:rPr>
            </w:pPr>
          </w:p>
          <w:p w14:paraId="23B9CDFF">
            <w:pPr>
              <w:spacing w:line="244" w:lineRule="auto"/>
              <w:rPr>
                <w:rFonts w:ascii="Arial"/>
                <w:sz w:val="21"/>
              </w:rPr>
            </w:pPr>
          </w:p>
          <w:p w14:paraId="47344676">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636E922E">
            <w:pPr>
              <w:spacing w:line="274" w:lineRule="auto"/>
              <w:rPr>
                <w:rFonts w:ascii="Arial"/>
                <w:sz w:val="21"/>
              </w:rPr>
            </w:pPr>
          </w:p>
          <w:p w14:paraId="61E41BCF">
            <w:pPr>
              <w:pStyle w:val="6"/>
              <w:spacing w:before="99" w:line="182" w:lineRule="auto"/>
              <w:ind w:left="117"/>
            </w:pPr>
            <w:r>
              <w:rPr>
                <w:spacing w:val="-9"/>
              </w:rPr>
              <w:t>建设项目投资额</w:t>
            </w:r>
          </w:p>
          <w:p w14:paraId="461624C0">
            <w:pPr>
              <w:pStyle w:val="6"/>
              <w:spacing w:before="1" w:line="208" w:lineRule="auto"/>
              <w:ind w:left="131"/>
            </w:pPr>
            <w:r>
              <w:rPr>
                <w:rFonts w:ascii="宋体" w:hAnsi="宋体" w:eastAsia="宋体" w:cs="宋体"/>
                <w:spacing w:val="1"/>
              </w:rPr>
              <w:t>1000</w:t>
            </w:r>
            <w:r>
              <w:rPr>
                <w:spacing w:val="1"/>
              </w:rPr>
              <w:t>万元以下的</w:t>
            </w:r>
          </w:p>
        </w:tc>
        <w:tc>
          <w:tcPr>
            <w:tcW w:w="2894" w:type="dxa"/>
            <w:vAlign w:val="top"/>
          </w:tcPr>
          <w:p w14:paraId="7923569C">
            <w:pPr>
              <w:pStyle w:val="6"/>
              <w:spacing w:before="225" w:line="191" w:lineRule="auto"/>
              <w:ind w:left="120" w:right="107" w:firstLine="7"/>
              <w:jc w:val="both"/>
            </w:pPr>
            <w:r>
              <w:rPr>
                <w:spacing w:val="7"/>
              </w:rPr>
              <w:t>责令限期改正，可以并处</w:t>
            </w:r>
            <w:r>
              <w:rPr>
                <w:rFonts w:ascii="宋体" w:hAnsi="宋体" w:eastAsia="宋体" w:cs="宋体"/>
                <w:spacing w:val="2"/>
              </w:rPr>
              <w:t>5000</w:t>
            </w:r>
            <w:r>
              <w:rPr>
                <w:spacing w:val="2"/>
              </w:rPr>
              <w:t>元以上</w:t>
            </w:r>
            <w:r>
              <w:rPr>
                <w:rFonts w:ascii="宋体" w:hAnsi="宋体" w:eastAsia="宋体" w:cs="宋体"/>
                <w:spacing w:val="2"/>
              </w:rPr>
              <w:t>1</w:t>
            </w:r>
            <w:r>
              <w:rPr>
                <w:spacing w:val="2"/>
              </w:rPr>
              <w:t>万元以下的罚款</w:t>
            </w:r>
          </w:p>
        </w:tc>
        <w:tc>
          <w:tcPr>
            <w:tcW w:w="811" w:type="dxa"/>
            <w:vMerge w:val="restart"/>
            <w:tcBorders>
              <w:bottom w:val="nil"/>
            </w:tcBorders>
            <w:vAlign w:val="top"/>
          </w:tcPr>
          <w:p w14:paraId="3EEF0E21">
            <w:pPr>
              <w:spacing w:line="242" w:lineRule="auto"/>
              <w:rPr>
                <w:rFonts w:ascii="Arial"/>
                <w:sz w:val="21"/>
              </w:rPr>
            </w:pPr>
          </w:p>
          <w:p w14:paraId="1A4ED209">
            <w:pPr>
              <w:spacing w:line="242" w:lineRule="auto"/>
              <w:rPr>
                <w:rFonts w:ascii="Arial"/>
                <w:sz w:val="21"/>
              </w:rPr>
            </w:pPr>
          </w:p>
          <w:p w14:paraId="1140F8FB">
            <w:pPr>
              <w:spacing w:line="242" w:lineRule="auto"/>
              <w:rPr>
                <w:rFonts w:ascii="Arial"/>
                <w:sz w:val="21"/>
              </w:rPr>
            </w:pPr>
          </w:p>
          <w:p w14:paraId="76C57641">
            <w:pPr>
              <w:spacing w:line="242" w:lineRule="auto"/>
              <w:rPr>
                <w:rFonts w:ascii="Arial"/>
                <w:sz w:val="21"/>
              </w:rPr>
            </w:pPr>
          </w:p>
          <w:p w14:paraId="01045B55">
            <w:pPr>
              <w:spacing w:line="242" w:lineRule="auto"/>
              <w:rPr>
                <w:rFonts w:ascii="Arial"/>
                <w:sz w:val="21"/>
              </w:rPr>
            </w:pPr>
          </w:p>
          <w:p w14:paraId="60F03390">
            <w:pPr>
              <w:spacing w:line="242" w:lineRule="auto"/>
              <w:rPr>
                <w:rFonts w:ascii="Arial"/>
                <w:sz w:val="21"/>
              </w:rPr>
            </w:pPr>
          </w:p>
          <w:p w14:paraId="5F053C4F">
            <w:pPr>
              <w:spacing w:line="242" w:lineRule="auto"/>
              <w:rPr>
                <w:rFonts w:ascii="Arial"/>
                <w:sz w:val="21"/>
              </w:rPr>
            </w:pPr>
          </w:p>
          <w:p w14:paraId="7FB26BAE">
            <w:pPr>
              <w:spacing w:line="242" w:lineRule="auto"/>
              <w:rPr>
                <w:rFonts w:ascii="Arial"/>
                <w:sz w:val="21"/>
              </w:rPr>
            </w:pPr>
          </w:p>
          <w:p w14:paraId="38BB9F05">
            <w:pPr>
              <w:spacing w:before="75" w:line="188" w:lineRule="auto"/>
              <w:ind w:left="293"/>
              <w:rPr>
                <w:rFonts w:ascii="宋体" w:hAnsi="宋体" w:eastAsia="宋体" w:cs="宋体"/>
                <w:sz w:val="23"/>
                <w:szCs w:val="23"/>
              </w:rPr>
            </w:pPr>
            <w:r>
              <w:rPr>
                <w:rFonts w:ascii="宋体" w:hAnsi="宋体" w:eastAsia="宋体" w:cs="宋体"/>
                <w:spacing w:val="-3"/>
                <w:sz w:val="23"/>
                <w:szCs w:val="23"/>
              </w:rPr>
              <w:t>24</w:t>
            </w:r>
          </w:p>
        </w:tc>
      </w:tr>
      <w:tr w14:paraId="5BA11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2" w:hRule="atLeast"/>
        </w:trPr>
        <w:tc>
          <w:tcPr>
            <w:tcW w:w="818" w:type="dxa"/>
            <w:vMerge w:val="continue"/>
            <w:tcBorders>
              <w:top w:val="nil"/>
              <w:bottom w:val="nil"/>
            </w:tcBorders>
            <w:vAlign w:val="top"/>
          </w:tcPr>
          <w:p w14:paraId="047BCDB8">
            <w:pPr>
              <w:rPr>
                <w:rFonts w:ascii="Arial"/>
                <w:sz w:val="21"/>
              </w:rPr>
            </w:pPr>
          </w:p>
        </w:tc>
        <w:tc>
          <w:tcPr>
            <w:tcW w:w="1440" w:type="dxa"/>
            <w:vMerge w:val="continue"/>
            <w:tcBorders>
              <w:top w:val="nil"/>
              <w:bottom w:val="nil"/>
            </w:tcBorders>
            <w:vAlign w:val="top"/>
          </w:tcPr>
          <w:p w14:paraId="7BE7DAD8">
            <w:pPr>
              <w:rPr>
                <w:rFonts w:ascii="Arial"/>
                <w:sz w:val="21"/>
              </w:rPr>
            </w:pPr>
          </w:p>
        </w:tc>
        <w:tc>
          <w:tcPr>
            <w:tcW w:w="3202" w:type="dxa"/>
            <w:vMerge w:val="continue"/>
            <w:tcBorders>
              <w:top w:val="nil"/>
              <w:bottom w:val="nil"/>
            </w:tcBorders>
            <w:vAlign w:val="top"/>
          </w:tcPr>
          <w:p w14:paraId="1A732E2F">
            <w:pPr>
              <w:rPr>
                <w:rFonts w:ascii="Arial"/>
                <w:sz w:val="21"/>
              </w:rPr>
            </w:pPr>
          </w:p>
        </w:tc>
        <w:tc>
          <w:tcPr>
            <w:tcW w:w="2859" w:type="dxa"/>
            <w:vMerge w:val="continue"/>
            <w:tcBorders>
              <w:top w:val="nil"/>
              <w:bottom w:val="nil"/>
            </w:tcBorders>
            <w:vAlign w:val="top"/>
          </w:tcPr>
          <w:p w14:paraId="2D2B2A90">
            <w:pPr>
              <w:rPr>
                <w:rFonts w:ascii="Arial"/>
                <w:sz w:val="21"/>
              </w:rPr>
            </w:pPr>
          </w:p>
        </w:tc>
        <w:tc>
          <w:tcPr>
            <w:tcW w:w="803" w:type="dxa"/>
            <w:vAlign w:val="top"/>
          </w:tcPr>
          <w:p w14:paraId="1A0D0A04">
            <w:pPr>
              <w:spacing w:line="298" w:lineRule="auto"/>
              <w:rPr>
                <w:rFonts w:ascii="Arial"/>
                <w:sz w:val="21"/>
              </w:rPr>
            </w:pPr>
          </w:p>
          <w:p w14:paraId="50626EF7">
            <w:pPr>
              <w:spacing w:line="299" w:lineRule="auto"/>
              <w:rPr>
                <w:rFonts w:ascii="Arial"/>
                <w:sz w:val="21"/>
              </w:rPr>
            </w:pPr>
          </w:p>
          <w:p w14:paraId="354C8F50">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E631F1F">
            <w:pPr>
              <w:pStyle w:val="6"/>
              <w:spacing w:before="330" w:line="191" w:lineRule="auto"/>
              <w:ind w:left="128" w:right="109" w:hanging="11"/>
              <w:jc w:val="both"/>
            </w:pPr>
            <w:r>
              <w:rPr>
                <w:spacing w:val="-10"/>
              </w:rPr>
              <w:t>建设项目投资额</w:t>
            </w:r>
            <w:r>
              <w:rPr>
                <w:rFonts w:ascii="宋体" w:hAnsi="宋体" w:eastAsia="宋体" w:cs="宋体"/>
                <w:spacing w:val="1"/>
              </w:rPr>
              <w:t>1000</w:t>
            </w:r>
            <w:r>
              <w:rPr>
                <w:spacing w:val="1"/>
              </w:rPr>
              <w:t>万元以上</w:t>
            </w:r>
            <w:r>
              <w:rPr>
                <w:rFonts w:ascii="宋体" w:hAnsi="宋体" w:eastAsia="宋体" w:cs="宋体"/>
                <w:spacing w:val="1"/>
              </w:rPr>
              <w:t>3000</w:t>
            </w:r>
            <w:r>
              <w:rPr>
                <w:spacing w:val="4"/>
              </w:rPr>
              <w:t>万元以下的</w:t>
            </w:r>
          </w:p>
        </w:tc>
        <w:tc>
          <w:tcPr>
            <w:tcW w:w="2894" w:type="dxa"/>
            <w:vAlign w:val="top"/>
          </w:tcPr>
          <w:p w14:paraId="260F85A0">
            <w:pPr>
              <w:pStyle w:val="6"/>
              <w:spacing w:before="331" w:line="191" w:lineRule="auto"/>
              <w:ind w:left="127" w:right="107"/>
              <w:jc w:val="both"/>
            </w:pPr>
            <w:r>
              <w:rPr>
                <w:spacing w:val="7"/>
              </w:rPr>
              <w:t>责令限期改正，可以并处</w:t>
            </w:r>
            <w:r>
              <w:rPr>
                <w:rFonts w:ascii="宋体" w:hAnsi="宋体" w:eastAsia="宋体" w:cs="宋体"/>
                <w:spacing w:val="8"/>
              </w:rPr>
              <w:t>1</w:t>
            </w:r>
            <w:r>
              <w:rPr>
                <w:spacing w:val="8"/>
              </w:rPr>
              <w:t>万元以上</w:t>
            </w:r>
            <w:r>
              <w:rPr>
                <w:rFonts w:ascii="宋体" w:hAnsi="宋体" w:eastAsia="宋体" w:cs="宋体"/>
                <w:spacing w:val="8"/>
              </w:rPr>
              <w:t>2</w:t>
            </w:r>
            <w:r>
              <w:rPr>
                <w:spacing w:val="8"/>
              </w:rPr>
              <w:t>万元以下的</w:t>
            </w:r>
            <w:r>
              <w:rPr>
                <w:spacing w:val="-1"/>
              </w:rPr>
              <w:t>罚款</w:t>
            </w:r>
          </w:p>
        </w:tc>
        <w:tc>
          <w:tcPr>
            <w:tcW w:w="811" w:type="dxa"/>
            <w:vMerge w:val="continue"/>
            <w:tcBorders>
              <w:top w:val="nil"/>
              <w:bottom w:val="nil"/>
            </w:tcBorders>
            <w:vAlign w:val="top"/>
          </w:tcPr>
          <w:p w14:paraId="29D93543">
            <w:pPr>
              <w:rPr>
                <w:rFonts w:ascii="Arial"/>
                <w:sz w:val="21"/>
              </w:rPr>
            </w:pPr>
          </w:p>
        </w:tc>
      </w:tr>
      <w:tr w14:paraId="1BCA1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7" w:hRule="atLeast"/>
        </w:trPr>
        <w:tc>
          <w:tcPr>
            <w:tcW w:w="818" w:type="dxa"/>
            <w:vMerge w:val="continue"/>
            <w:tcBorders>
              <w:top w:val="nil"/>
            </w:tcBorders>
            <w:vAlign w:val="top"/>
          </w:tcPr>
          <w:p w14:paraId="36E801BC">
            <w:pPr>
              <w:rPr>
                <w:rFonts w:ascii="Arial"/>
                <w:sz w:val="21"/>
              </w:rPr>
            </w:pPr>
          </w:p>
        </w:tc>
        <w:tc>
          <w:tcPr>
            <w:tcW w:w="1440" w:type="dxa"/>
            <w:vMerge w:val="continue"/>
            <w:tcBorders>
              <w:top w:val="nil"/>
            </w:tcBorders>
            <w:vAlign w:val="top"/>
          </w:tcPr>
          <w:p w14:paraId="1CDEEB1B">
            <w:pPr>
              <w:rPr>
                <w:rFonts w:ascii="Arial"/>
                <w:sz w:val="21"/>
              </w:rPr>
            </w:pPr>
          </w:p>
        </w:tc>
        <w:tc>
          <w:tcPr>
            <w:tcW w:w="3202" w:type="dxa"/>
            <w:vMerge w:val="continue"/>
            <w:tcBorders>
              <w:top w:val="nil"/>
            </w:tcBorders>
            <w:vAlign w:val="top"/>
          </w:tcPr>
          <w:p w14:paraId="6BD1B226">
            <w:pPr>
              <w:rPr>
                <w:rFonts w:ascii="Arial"/>
                <w:sz w:val="21"/>
              </w:rPr>
            </w:pPr>
          </w:p>
        </w:tc>
        <w:tc>
          <w:tcPr>
            <w:tcW w:w="2859" w:type="dxa"/>
            <w:vMerge w:val="continue"/>
            <w:tcBorders>
              <w:top w:val="nil"/>
            </w:tcBorders>
            <w:vAlign w:val="top"/>
          </w:tcPr>
          <w:p w14:paraId="6D65C158">
            <w:pPr>
              <w:rPr>
                <w:rFonts w:ascii="Arial"/>
                <w:sz w:val="21"/>
              </w:rPr>
            </w:pPr>
          </w:p>
        </w:tc>
        <w:tc>
          <w:tcPr>
            <w:tcW w:w="803" w:type="dxa"/>
            <w:vAlign w:val="top"/>
          </w:tcPr>
          <w:p w14:paraId="0EB97465">
            <w:pPr>
              <w:spacing w:line="272" w:lineRule="auto"/>
              <w:rPr>
                <w:rFonts w:ascii="Arial"/>
                <w:sz w:val="21"/>
              </w:rPr>
            </w:pPr>
          </w:p>
          <w:p w14:paraId="16E915B9">
            <w:pPr>
              <w:spacing w:line="272" w:lineRule="auto"/>
              <w:rPr>
                <w:rFonts w:ascii="Arial"/>
                <w:sz w:val="21"/>
              </w:rPr>
            </w:pPr>
          </w:p>
          <w:p w14:paraId="429042B4">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4138F4C">
            <w:pPr>
              <w:spacing w:line="325" w:lineRule="auto"/>
              <w:rPr>
                <w:rFonts w:ascii="Arial"/>
                <w:sz w:val="21"/>
              </w:rPr>
            </w:pPr>
          </w:p>
          <w:p w14:paraId="40E625BA">
            <w:pPr>
              <w:pStyle w:val="6"/>
              <w:spacing w:before="99" w:line="196" w:lineRule="auto"/>
              <w:ind w:left="117" w:right="109"/>
            </w:pPr>
            <w:r>
              <w:rPr>
                <w:spacing w:val="-10"/>
              </w:rPr>
              <w:t>建设项目投资额</w:t>
            </w:r>
            <w:r>
              <w:rPr>
                <w:rFonts w:ascii="宋体" w:hAnsi="宋体" w:eastAsia="宋体" w:cs="宋体"/>
                <w:spacing w:val="2"/>
              </w:rPr>
              <w:t>3000</w:t>
            </w:r>
            <w:r>
              <w:rPr>
                <w:spacing w:val="2"/>
              </w:rPr>
              <w:t>万元以上的</w:t>
            </w:r>
          </w:p>
        </w:tc>
        <w:tc>
          <w:tcPr>
            <w:tcW w:w="2894" w:type="dxa"/>
            <w:vAlign w:val="top"/>
          </w:tcPr>
          <w:p w14:paraId="48AA0A86">
            <w:pPr>
              <w:pStyle w:val="6"/>
              <w:spacing w:before="280" w:line="191" w:lineRule="auto"/>
              <w:ind w:left="118" w:right="107" w:firstLine="9"/>
              <w:jc w:val="both"/>
            </w:pPr>
            <w:r>
              <w:rPr>
                <w:spacing w:val="7"/>
              </w:rPr>
              <w:t>责令限期改正，可以并处</w:t>
            </w:r>
            <w:r>
              <w:rPr>
                <w:rFonts w:ascii="宋体" w:hAnsi="宋体" w:eastAsia="宋体" w:cs="宋体"/>
                <w:spacing w:val="8"/>
              </w:rPr>
              <w:t>2</w:t>
            </w:r>
            <w:r>
              <w:rPr>
                <w:spacing w:val="8"/>
              </w:rPr>
              <w:t>万元以上</w:t>
            </w:r>
            <w:r>
              <w:rPr>
                <w:rFonts w:ascii="宋体" w:hAnsi="宋体" w:eastAsia="宋体" w:cs="宋体"/>
                <w:spacing w:val="8"/>
              </w:rPr>
              <w:t>3</w:t>
            </w:r>
            <w:r>
              <w:rPr>
                <w:spacing w:val="8"/>
              </w:rPr>
              <w:t>万元以下的</w:t>
            </w:r>
            <w:r>
              <w:rPr>
                <w:spacing w:val="3"/>
              </w:rPr>
              <w:t>罚款</w:t>
            </w:r>
          </w:p>
        </w:tc>
        <w:tc>
          <w:tcPr>
            <w:tcW w:w="811" w:type="dxa"/>
            <w:vMerge w:val="continue"/>
            <w:tcBorders>
              <w:top w:val="nil"/>
            </w:tcBorders>
            <w:vAlign w:val="top"/>
          </w:tcPr>
          <w:p w14:paraId="7AA0B661">
            <w:pPr>
              <w:rPr>
                <w:rFonts w:ascii="Arial"/>
                <w:sz w:val="21"/>
              </w:rPr>
            </w:pPr>
          </w:p>
        </w:tc>
      </w:tr>
      <w:tr w14:paraId="0B56A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2" w:hRule="atLeast"/>
        </w:trPr>
        <w:tc>
          <w:tcPr>
            <w:tcW w:w="818" w:type="dxa"/>
            <w:vMerge w:val="restart"/>
            <w:tcBorders>
              <w:bottom w:val="nil"/>
            </w:tcBorders>
            <w:vAlign w:val="top"/>
          </w:tcPr>
          <w:p w14:paraId="56B441F8">
            <w:pPr>
              <w:spacing w:line="274" w:lineRule="auto"/>
              <w:rPr>
                <w:rFonts w:ascii="Arial"/>
                <w:sz w:val="21"/>
              </w:rPr>
            </w:pPr>
          </w:p>
          <w:p w14:paraId="1446E670">
            <w:pPr>
              <w:spacing w:line="274" w:lineRule="auto"/>
              <w:rPr>
                <w:rFonts w:ascii="Arial"/>
                <w:sz w:val="21"/>
              </w:rPr>
            </w:pPr>
          </w:p>
          <w:p w14:paraId="0AAD7996">
            <w:pPr>
              <w:spacing w:line="274" w:lineRule="auto"/>
              <w:rPr>
                <w:rFonts w:ascii="Arial"/>
                <w:sz w:val="21"/>
              </w:rPr>
            </w:pPr>
          </w:p>
          <w:p w14:paraId="490238A4">
            <w:pPr>
              <w:spacing w:line="275" w:lineRule="auto"/>
              <w:rPr>
                <w:rFonts w:ascii="Arial"/>
                <w:sz w:val="21"/>
              </w:rPr>
            </w:pPr>
          </w:p>
          <w:p w14:paraId="3E89CCD1">
            <w:pPr>
              <w:spacing w:line="275" w:lineRule="auto"/>
              <w:rPr>
                <w:rFonts w:ascii="Arial"/>
                <w:sz w:val="21"/>
              </w:rPr>
            </w:pPr>
          </w:p>
          <w:p w14:paraId="73E495AD">
            <w:pPr>
              <w:spacing w:line="275" w:lineRule="auto"/>
              <w:rPr>
                <w:rFonts w:ascii="Arial"/>
                <w:sz w:val="21"/>
              </w:rPr>
            </w:pPr>
          </w:p>
          <w:p w14:paraId="59A315AD">
            <w:pPr>
              <w:spacing w:before="75" w:line="185" w:lineRule="auto"/>
              <w:ind w:left="239"/>
              <w:rPr>
                <w:rFonts w:ascii="仿宋" w:hAnsi="仿宋" w:eastAsia="仿宋" w:cs="仿宋"/>
                <w:sz w:val="23"/>
                <w:szCs w:val="23"/>
              </w:rPr>
            </w:pPr>
            <w:r>
              <w:rPr>
                <w:rFonts w:ascii="仿宋" w:hAnsi="仿宋" w:eastAsia="仿宋" w:cs="仿宋"/>
                <w:spacing w:val="-4"/>
                <w:sz w:val="23"/>
                <w:szCs w:val="23"/>
              </w:rPr>
              <w:t>35</w:t>
            </w:r>
          </w:p>
        </w:tc>
        <w:tc>
          <w:tcPr>
            <w:tcW w:w="1440" w:type="dxa"/>
            <w:vMerge w:val="restart"/>
            <w:tcBorders>
              <w:bottom w:val="nil"/>
            </w:tcBorders>
            <w:vAlign w:val="top"/>
          </w:tcPr>
          <w:p w14:paraId="5C3395BA">
            <w:pPr>
              <w:pStyle w:val="6"/>
              <w:spacing w:before="25" w:line="181" w:lineRule="auto"/>
              <w:ind w:left="112" w:right="109" w:hanging="2"/>
              <w:jc w:val="both"/>
            </w:pPr>
            <w:r>
              <w:rPr>
                <w:spacing w:val="12"/>
              </w:rPr>
              <w:t>使用危险化学品从事生产并且使用量达到规定数量的化工建设项目以及法律、行政法规和国务院规定其</w:t>
            </w:r>
            <w:r>
              <w:rPr>
                <w:spacing w:val="-4"/>
              </w:rPr>
              <w:t>他建设项</w:t>
            </w:r>
            <w:r>
              <w:rPr>
                <w:spacing w:val="5"/>
              </w:rPr>
              <w:t>目，投入生</w:t>
            </w:r>
            <w:r>
              <w:rPr>
                <w:spacing w:val="12"/>
              </w:rPr>
              <w:t>产或者使用</w:t>
            </w:r>
          </w:p>
        </w:tc>
        <w:tc>
          <w:tcPr>
            <w:tcW w:w="3202" w:type="dxa"/>
            <w:vMerge w:val="restart"/>
            <w:tcBorders>
              <w:bottom w:val="nil"/>
            </w:tcBorders>
            <w:vAlign w:val="top"/>
          </w:tcPr>
          <w:p w14:paraId="715AC6B4">
            <w:pPr>
              <w:pStyle w:val="6"/>
              <w:spacing w:before="38" w:line="185" w:lineRule="auto"/>
              <w:ind w:left="112" w:right="111" w:hanging="14"/>
            </w:pPr>
            <w:r>
              <w:rPr>
                <w:spacing w:val="18"/>
              </w:rPr>
              <w:t>【部门规章】《建设项目安</w:t>
            </w:r>
            <w:r>
              <w:rPr>
                <w:spacing w:val="17"/>
              </w:rPr>
              <w:t>全设施“三同时”监督管理</w:t>
            </w:r>
            <w:r>
              <w:rPr>
                <w:spacing w:val="13"/>
              </w:rPr>
              <w:t>办法》第二十三条第一款：</w:t>
            </w:r>
            <w:r>
              <w:rPr>
                <w:spacing w:val="17"/>
              </w:rPr>
              <w:t>建设项目竣工投入生产或者</w:t>
            </w:r>
            <w:r>
              <w:rPr>
                <w:spacing w:val="13"/>
              </w:rPr>
              <w:t>使用前，生产经营单位应当</w:t>
            </w:r>
            <w:r>
              <w:rPr>
                <w:spacing w:val="17"/>
              </w:rPr>
              <w:t>组织对安全设施进行竣工验</w:t>
            </w:r>
            <w:r>
              <w:rPr>
                <w:spacing w:val="10"/>
              </w:rPr>
              <w:t>收，并形成书面报告备查。</w:t>
            </w:r>
            <w:r>
              <w:rPr>
                <w:spacing w:val="13"/>
              </w:rPr>
              <w:t>安全设施竣工验收合格后，</w:t>
            </w:r>
            <w:r>
              <w:rPr>
                <w:spacing w:val="5"/>
              </w:rPr>
              <w:t>方可投入生产和使用。</w:t>
            </w:r>
          </w:p>
        </w:tc>
        <w:tc>
          <w:tcPr>
            <w:tcW w:w="2859" w:type="dxa"/>
            <w:vMerge w:val="restart"/>
            <w:tcBorders>
              <w:bottom w:val="nil"/>
            </w:tcBorders>
            <w:vAlign w:val="top"/>
          </w:tcPr>
          <w:p w14:paraId="5C37CD8E">
            <w:pPr>
              <w:pStyle w:val="6"/>
              <w:spacing w:before="25" w:line="181" w:lineRule="auto"/>
              <w:ind w:left="116" w:hanging="19"/>
              <w:jc w:val="both"/>
            </w:pPr>
            <w:r>
              <w:rPr>
                <w:spacing w:val="8"/>
              </w:rPr>
              <w:t>【部门规章】《建设项目</w:t>
            </w:r>
            <w:r>
              <w:rPr>
                <w:spacing w:val="6"/>
              </w:rPr>
              <w:t>安全设施“三同时”监督</w:t>
            </w:r>
            <w:r>
              <w:rPr>
                <w:spacing w:val="3"/>
              </w:rPr>
              <w:t>管理办法》第三十条第四</w:t>
            </w:r>
            <w:r>
              <w:rPr>
                <w:spacing w:val="-11"/>
              </w:rPr>
              <w:t>项：本办法第七条第（一）</w:t>
            </w:r>
            <w:r>
              <w:rPr>
                <w:spacing w:val="-2"/>
              </w:rPr>
              <w:t>项、第（二）项、第（三）</w:t>
            </w:r>
            <w:r>
              <w:rPr>
                <w:spacing w:val="7"/>
              </w:rPr>
              <w:t>项和第（四）项规定以外的建设项目有下列情形之一的，对有关生产经营单位责令限期改正，可以并</w:t>
            </w:r>
            <w:r>
              <w:rPr>
                <w:spacing w:val="11"/>
              </w:rPr>
              <w:t>处</w:t>
            </w:r>
            <w:r>
              <w:rPr>
                <w:rFonts w:ascii="宋体" w:hAnsi="宋体" w:eastAsia="宋体" w:cs="宋体"/>
                <w:spacing w:val="11"/>
              </w:rPr>
              <w:t>5000</w:t>
            </w:r>
            <w:r>
              <w:rPr>
                <w:spacing w:val="11"/>
              </w:rPr>
              <w:t>元以上</w:t>
            </w:r>
            <w:r>
              <w:rPr>
                <w:rFonts w:ascii="宋体" w:hAnsi="宋体" w:eastAsia="宋体" w:cs="宋体"/>
                <w:spacing w:val="11"/>
              </w:rPr>
              <w:t>3</w:t>
            </w:r>
            <w:r>
              <w:rPr>
                <w:spacing w:val="11"/>
              </w:rPr>
              <w:t>万元以下</w:t>
            </w:r>
            <w:r>
              <w:rPr>
                <w:spacing w:val="4"/>
              </w:rPr>
              <w:t>的罚款</w:t>
            </w:r>
            <w:r>
              <w:rPr>
                <w:spacing w:val="2"/>
              </w:rPr>
              <w:t>：（</w:t>
            </w:r>
            <w:r>
              <w:rPr>
                <w:spacing w:val="4"/>
              </w:rPr>
              <w:t>四）投入生产</w:t>
            </w:r>
            <w:r>
              <w:rPr>
                <w:spacing w:val="7"/>
              </w:rPr>
              <w:t>或者使用前，安全设施未</w:t>
            </w:r>
          </w:p>
        </w:tc>
        <w:tc>
          <w:tcPr>
            <w:tcW w:w="803" w:type="dxa"/>
            <w:vAlign w:val="top"/>
          </w:tcPr>
          <w:p w14:paraId="376A9115">
            <w:pPr>
              <w:spacing w:line="431" w:lineRule="auto"/>
              <w:rPr>
                <w:rFonts w:ascii="Arial"/>
                <w:sz w:val="21"/>
              </w:rPr>
            </w:pPr>
          </w:p>
          <w:p w14:paraId="2A48B6CE">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07910FC">
            <w:pPr>
              <w:pStyle w:val="6"/>
              <w:spacing w:before="317" w:line="182" w:lineRule="auto"/>
              <w:ind w:left="117"/>
            </w:pPr>
            <w:r>
              <w:rPr>
                <w:spacing w:val="-9"/>
              </w:rPr>
              <w:t>建设项目投资额</w:t>
            </w:r>
          </w:p>
          <w:p w14:paraId="65B21888">
            <w:pPr>
              <w:pStyle w:val="6"/>
              <w:spacing w:before="1" w:line="208" w:lineRule="auto"/>
              <w:ind w:left="131"/>
            </w:pPr>
            <w:r>
              <w:rPr>
                <w:rFonts w:ascii="宋体" w:hAnsi="宋体" w:eastAsia="宋体" w:cs="宋体"/>
                <w:spacing w:val="1"/>
              </w:rPr>
              <w:t>1000</w:t>
            </w:r>
            <w:r>
              <w:rPr>
                <w:spacing w:val="1"/>
              </w:rPr>
              <w:t>万元以下的</w:t>
            </w:r>
          </w:p>
        </w:tc>
        <w:tc>
          <w:tcPr>
            <w:tcW w:w="2894" w:type="dxa"/>
            <w:vAlign w:val="top"/>
          </w:tcPr>
          <w:p w14:paraId="56FD0170">
            <w:pPr>
              <w:pStyle w:val="6"/>
              <w:spacing w:before="167" w:line="191" w:lineRule="auto"/>
              <w:ind w:left="120" w:right="107" w:firstLine="7"/>
              <w:jc w:val="both"/>
            </w:pPr>
            <w:r>
              <w:rPr>
                <w:spacing w:val="7"/>
              </w:rPr>
              <w:t>责令限期改正，可以并处</w:t>
            </w:r>
            <w:r>
              <w:rPr>
                <w:rFonts w:ascii="宋体" w:hAnsi="宋体" w:eastAsia="宋体" w:cs="宋体"/>
                <w:spacing w:val="2"/>
              </w:rPr>
              <w:t>5000</w:t>
            </w:r>
            <w:r>
              <w:rPr>
                <w:spacing w:val="2"/>
              </w:rPr>
              <w:t>元以上</w:t>
            </w:r>
            <w:r>
              <w:rPr>
                <w:rFonts w:ascii="宋体" w:hAnsi="宋体" w:eastAsia="宋体" w:cs="宋体"/>
                <w:spacing w:val="2"/>
              </w:rPr>
              <w:t>1</w:t>
            </w:r>
            <w:r>
              <w:rPr>
                <w:spacing w:val="2"/>
              </w:rPr>
              <w:t>万元以下的罚款</w:t>
            </w:r>
          </w:p>
        </w:tc>
        <w:tc>
          <w:tcPr>
            <w:tcW w:w="811" w:type="dxa"/>
            <w:vMerge w:val="restart"/>
            <w:tcBorders>
              <w:bottom w:val="nil"/>
            </w:tcBorders>
            <w:vAlign w:val="top"/>
          </w:tcPr>
          <w:p w14:paraId="7FF2D7AD">
            <w:pPr>
              <w:spacing w:line="273" w:lineRule="auto"/>
              <w:rPr>
                <w:rFonts w:ascii="Arial"/>
                <w:sz w:val="21"/>
              </w:rPr>
            </w:pPr>
          </w:p>
          <w:p w14:paraId="7F33E1F3">
            <w:pPr>
              <w:spacing w:line="274" w:lineRule="auto"/>
              <w:rPr>
                <w:rFonts w:ascii="Arial"/>
                <w:sz w:val="21"/>
              </w:rPr>
            </w:pPr>
          </w:p>
          <w:p w14:paraId="35080900">
            <w:pPr>
              <w:spacing w:line="274" w:lineRule="auto"/>
              <w:rPr>
                <w:rFonts w:ascii="Arial"/>
                <w:sz w:val="21"/>
              </w:rPr>
            </w:pPr>
          </w:p>
          <w:p w14:paraId="06568139">
            <w:pPr>
              <w:spacing w:line="274" w:lineRule="auto"/>
              <w:rPr>
                <w:rFonts w:ascii="Arial"/>
                <w:sz w:val="21"/>
              </w:rPr>
            </w:pPr>
          </w:p>
          <w:p w14:paraId="1DEB7CB6">
            <w:pPr>
              <w:spacing w:line="274" w:lineRule="auto"/>
              <w:rPr>
                <w:rFonts w:ascii="Arial"/>
                <w:sz w:val="21"/>
              </w:rPr>
            </w:pPr>
          </w:p>
          <w:p w14:paraId="6B07858D">
            <w:pPr>
              <w:spacing w:line="274" w:lineRule="auto"/>
              <w:rPr>
                <w:rFonts w:ascii="Arial"/>
                <w:sz w:val="21"/>
              </w:rPr>
            </w:pPr>
          </w:p>
          <w:p w14:paraId="2F56E246">
            <w:pPr>
              <w:spacing w:before="75" w:line="188" w:lineRule="auto"/>
              <w:ind w:left="293"/>
              <w:rPr>
                <w:rFonts w:ascii="宋体" w:hAnsi="宋体" w:eastAsia="宋体" w:cs="宋体"/>
                <w:sz w:val="23"/>
                <w:szCs w:val="23"/>
              </w:rPr>
            </w:pPr>
            <w:r>
              <w:rPr>
                <w:rFonts w:ascii="宋体" w:hAnsi="宋体" w:eastAsia="宋体" w:cs="宋体"/>
                <w:spacing w:val="-3"/>
                <w:sz w:val="23"/>
                <w:szCs w:val="23"/>
              </w:rPr>
              <w:t>24</w:t>
            </w:r>
          </w:p>
        </w:tc>
      </w:tr>
      <w:tr w14:paraId="1BE07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2" w:hRule="atLeast"/>
        </w:trPr>
        <w:tc>
          <w:tcPr>
            <w:tcW w:w="818" w:type="dxa"/>
            <w:vMerge w:val="continue"/>
            <w:tcBorders>
              <w:top w:val="nil"/>
              <w:bottom w:val="nil"/>
            </w:tcBorders>
            <w:vAlign w:val="top"/>
          </w:tcPr>
          <w:p w14:paraId="22703AAD">
            <w:pPr>
              <w:rPr>
                <w:rFonts w:ascii="Arial"/>
                <w:sz w:val="21"/>
              </w:rPr>
            </w:pPr>
          </w:p>
        </w:tc>
        <w:tc>
          <w:tcPr>
            <w:tcW w:w="1440" w:type="dxa"/>
            <w:vMerge w:val="continue"/>
            <w:tcBorders>
              <w:top w:val="nil"/>
              <w:bottom w:val="nil"/>
            </w:tcBorders>
            <w:vAlign w:val="top"/>
          </w:tcPr>
          <w:p w14:paraId="110267D5">
            <w:pPr>
              <w:rPr>
                <w:rFonts w:ascii="Arial"/>
                <w:sz w:val="21"/>
              </w:rPr>
            </w:pPr>
          </w:p>
        </w:tc>
        <w:tc>
          <w:tcPr>
            <w:tcW w:w="3202" w:type="dxa"/>
            <w:vMerge w:val="continue"/>
            <w:tcBorders>
              <w:top w:val="nil"/>
              <w:bottom w:val="nil"/>
            </w:tcBorders>
            <w:vAlign w:val="top"/>
          </w:tcPr>
          <w:p w14:paraId="0B77E015">
            <w:pPr>
              <w:rPr>
                <w:rFonts w:ascii="Arial"/>
                <w:sz w:val="21"/>
              </w:rPr>
            </w:pPr>
          </w:p>
        </w:tc>
        <w:tc>
          <w:tcPr>
            <w:tcW w:w="2859" w:type="dxa"/>
            <w:vMerge w:val="continue"/>
            <w:tcBorders>
              <w:top w:val="nil"/>
              <w:bottom w:val="nil"/>
            </w:tcBorders>
            <w:vAlign w:val="top"/>
          </w:tcPr>
          <w:p w14:paraId="3E2427B8">
            <w:pPr>
              <w:rPr>
                <w:rFonts w:ascii="Arial"/>
                <w:sz w:val="21"/>
              </w:rPr>
            </w:pPr>
          </w:p>
        </w:tc>
        <w:tc>
          <w:tcPr>
            <w:tcW w:w="803" w:type="dxa"/>
            <w:vAlign w:val="top"/>
          </w:tcPr>
          <w:p w14:paraId="632F5B4A">
            <w:pPr>
              <w:spacing w:line="465" w:lineRule="auto"/>
              <w:rPr>
                <w:rFonts w:ascii="Arial"/>
                <w:sz w:val="21"/>
              </w:rPr>
            </w:pPr>
          </w:p>
          <w:p w14:paraId="56277E3F">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A846B48">
            <w:pPr>
              <w:pStyle w:val="6"/>
              <w:spacing w:before="197" w:line="191" w:lineRule="auto"/>
              <w:ind w:left="128" w:right="109" w:hanging="11"/>
              <w:jc w:val="both"/>
            </w:pPr>
            <w:r>
              <w:rPr>
                <w:spacing w:val="-10"/>
              </w:rPr>
              <w:t>建设项目投资额</w:t>
            </w:r>
            <w:r>
              <w:rPr>
                <w:rFonts w:ascii="宋体" w:hAnsi="宋体" w:eastAsia="宋体" w:cs="宋体"/>
                <w:spacing w:val="1"/>
              </w:rPr>
              <w:t>1000</w:t>
            </w:r>
            <w:r>
              <w:rPr>
                <w:spacing w:val="1"/>
              </w:rPr>
              <w:t>万元以上</w:t>
            </w:r>
            <w:r>
              <w:rPr>
                <w:rFonts w:ascii="宋体" w:hAnsi="宋体" w:eastAsia="宋体" w:cs="宋体"/>
                <w:spacing w:val="1"/>
              </w:rPr>
              <w:t>3000</w:t>
            </w:r>
            <w:r>
              <w:rPr>
                <w:spacing w:val="4"/>
              </w:rPr>
              <w:t>万元以下的</w:t>
            </w:r>
          </w:p>
        </w:tc>
        <w:tc>
          <w:tcPr>
            <w:tcW w:w="2894" w:type="dxa"/>
            <w:vAlign w:val="top"/>
          </w:tcPr>
          <w:p w14:paraId="65280F55">
            <w:pPr>
              <w:pStyle w:val="6"/>
              <w:spacing w:before="197" w:line="191" w:lineRule="auto"/>
              <w:ind w:left="127" w:right="107"/>
              <w:jc w:val="both"/>
            </w:pPr>
            <w:r>
              <w:rPr>
                <w:spacing w:val="7"/>
              </w:rPr>
              <w:t>责令限期改正，可以并处</w:t>
            </w:r>
            <w:r>
              <w:rPr>
                <w:rFonts w:ascii="宋体" w:hAnsi="宋体" w:eastAsia="宋体" w:cs="宋体"/>
                <w:spacing w:val="8"/>
              </w:rPr>
              <w:t>1</w:t>
            </w:r>
            <w:r>
              <w:rPr>
                <w:spacing w:val="8"/>
              </w:rPr>
              <w:t>万元以上</w:t>
            </w:r>
            <w:r>
              <w:rPr>
                <w:rFonts w:ascii="宋体" w:hAnsi="宋体" w:eastAsia="宋体" w:cs="宋体"/>
                <w:spacing w:val="8"/>
              </w:rPr>
              <w:t>2</w:t>
            </w:r>
            <w:r>
              <w:rPr>
                <w:spacing w:val="8"/>
              </w:rPr>
              <w:t>万元以下的</w:t>
            </w:r>
            <w:r>
              <w:rPr>
                <w:spacing w:val="-1"/>
              </w:rPr>
              <w:t>罚款</w:t>
            </w:r>
          </w:p>
        </w:tc>
        <w:tc>
          <w:tcPr>
            <w:tcW w:w="811" w:type="dxa"/>
            <w:vMerge w:val="continue"/>
            <w:tcBorders>
              <w:top w:val="nil"/>
              <w:bottom w:val="nil"/>
            </w:tcBorders>
            <w:vAlign w:val="top"/>
          </w:tcPr>
          <w:p w14:paraId="65A1D463">
            <w:pPr>
              <w:rPr>
                <w:rFonts w:ascii="Arial"/>
                <w:sz w:val="21"/>
              </w:rPr>
            </w:pPr>
          </w:p>
        </w:tc>
      </w:tr>
      <w:tr w14:paraId="79F7B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3" w:hRule="atLeast"/>
        </w:trPr>
        <w:tc>
          <w:tcPr>
            <w:tcW w:w="818" w:type="dxa"/>
            <w:vMerge w:val="continue"/>
            <w:tcBorders>
              <w:top w:val="nil"/>
            </w:tcBorders>
            <w:vAlign w:val="top"/>
          </w:tcPr>
          <w:p w14:paraId="6CBCC85E">
            <w:pPr>
              <w:rPr>
                <w:rFonts w:ascii="Arial"/>
                <w:sz w:val="21"/>
              </w:rPr>
            </w:pPr>
          </w:p>
        </w:tc>
        <w:tc>
          <w:tcPr>
            <w:tcW w:w="1440" w:type="dxa"/>
            <w:vMerge w:val="continue"/>
            <w:tcBorders>
              <w:top w:val="nil"/>
            </w:tcBorders>
            <w:vAlign w:val="top"/>
          </w:tcPr>
          <w:p w14:paraId="3116B089">
            <w:pPr>
              <w:rPr>
                <w:rFonts w:ascii="Arial"/>
                <w:sz w:val="21"/>
              </w:rPr>
            </w:pPr>
          </w:p>
        </w:tc>
        <w:tc>
          <w:tcPr>
            <w:tcW w:w="3202" w:type="dxa"/>
            <w:vMerge w:val="continue"/>
            <w:tcBorders>
              <w:top w:val="nil"/>
            </w:tcBorders>
            <w:vAlign w:val="top"/>
          </w:tcPr>
          <w:p w14:paraId="2880317C">
            <w:pPr>
              <w:rPr>
                <w:rFonts w:ascii="Arial"/>
                <w:sz w:val="21"/>
              </w:rPr>
            </w:pPr>
          </w:p>
        </w:tc>
        <w:tc>
          <w:tcPr>
            <w:tcW w:w="2859" w:type="dxa"/>
            <w:vMerge w:val="continue"/>
            <w:tcBorders>
              <w:top w:val="nil"/>
            </w:tcBorders>
            <w:vAlign w:val="top"/>
          </w:tcPr>
          <w:p w14:paraId="638BEE1C">
            <w:pPr>
              <w:rPr>
                <w:rFonts w:ascii="Arial"/>
                <w:sz w:val="21"/>
              </w:rPr>
            </w:pPr>
          </w:p>
        </w:tc>
        <w:tc>
          <w:tcPr>
            <w:tcW w:w="803" w:type="dxa"/>
            <w:vAlign w:val="top"/>
          </w:tcPr>
          <w:p w14:paraId="1ADA9CA5">
            <w:pPr>
              <w:spacing w:line="444" w:lineRule="auto"/>
              <w:rPr>
                <w:rFonts w:ascii="Arial"/>
                <w:sz w:val="21"/>
              </w:rPr>
            </w:pPr>
          </w:p>
          <w:p w14:paraId="5024A133">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2F27385">
            <w:pPr>
              <w:pStyle w:val="6"/>
              <w:spacing w:before="325" w:line="196" w:lineRule="auto"/>
              <w:ind w:left="117" w:right="109"/>
            </w:pPr>
            <w:r>
              <w:rPr>
                <w:spacing w:val="-10"/>
              </w:rPr>
              <w:t>建设项目投资额</w:t>
            </w:r>
            <w:r>
              <w:rPr>
                <w:rFonts w:ascii="宋体" w:hAnsi="宋体" w:eastAsia="宋体" w:cs="宋体"/>
                <w:spacing w:val="2"/>
              </w:rPr>
              <w:t>3000</w:t>
            </w:r>
            <w:r>
              <w:rPr>
                <w:spacing w:val="2"/>
              </w:rPr>
              <w:t>万元以上的</w:t>
            </w:r>
          </w:p>
        </w:tc>
        <w:tc>
          <w:tcPr>
            <w:tcW w:w="2894" w:type="dxa"/>
            <w:vAlign w:val="top"/>
          </w:tcPr>
          <w:p w14:paraId="17F0D436">
            <w:pPr>
              <w:pStyle w:val="6"/>
              <w:spacing w:before="177" w:line="191" w:lineRule="auto"/>
              <w:ind w:left="118" w:right="107" w:firstLine="9"/>
              <w:jc w:val="both"/>
            </w:pPr>
            <w:r>
              <w:rPr>
                <w:spacing w:val="7"/>
              </w:rPr>
              <w:t>责令限期改正，可以并处</w:t>
            </w:r>
            <w:r>
              <w:rPr>
                <w:rFonts w:ascii="宋体" w:hAnsi="宋体" w:eastAsia="宋体" w:cs="宋体"/>
                <w:spacing w:val="8"/>
              </w:rPr>
              <w:t>2</w:t>
            </w:r>
            <w:r>
              <w:rPr>
                <w:spacing w:val="8"/>
              </w:rPr>
              <w:t>万元以上</w:t>
            </w:r>
            <w:r>
              <w:rPr>
                <w:rFonts w:ascii="宋体" w:hAnsi="宋体" w:eastAsia="宋体" w:cs="宋体"/>
                <w:spacing w:val="8"/>
              </w:rPr>
              <w:t>3</w:t>
            </w:r>
            <w:r>
              <w:rPr>
                <w:spacing w:val="8"/>
              </w:rPr>
              <w:t>万元以下的</w:t>
            </w:r>
            <w:r>
              <w:rPr>
                <w:spacing w:val="3"/>
              </w:rPr>
              <w:t>罚款</w:t>
            </w:r>
          </w:p>
        </w:tc>
        <w:tc>
          <w:tcPr>
            <w:tcW w:w="811" w:type="dxa"/>
            <w:vMerge w:val="continue"/>
            <w:tcBorders>
              <w:top w:val="nil"/>
            </w:tcBorders>
            <w:vAlign w:val="top"/>
          </w:tcPr>
          <w:p w14:paraId="34C6862D">
            <w:pPr>
              <w:rPr>
                <w:rFonts w:ascii="Arial"/>
                <w:sz w:val="21"/>
              </w:rPr>
            </w:pPr>
          </w:p>
        </w:tc>
      </w:tr>
    </w:tbl>
    <w:p w14:paraId="723A3A7A">
      <w:pPr>
        <w:pStyle w:val="2"/>
      </w:pPr>
    </w:p>
    <w:p w14:paraId="13819EF5">
      <w:pPr>
        <w:sectPr>
          <w:footerReference r:id="rId50" w:type="default"/>
          <w:pgSz w:w="16839" w:h="11906"/>
          <w:pgMar w:top="1012" w:right="821" w:bottom="666" w:left="901" w:header="0" w:footer="388" w:gutter="0"/>
          <w:cols w:space="720" w:num="1"/>
        </w:sectPr>
      </w:pPr>
    </w:p>
    <w:p w14:paraId="617A2F89">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3DBA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C6507C4">
            <w:pPr>
              <w:spacing w:before="222" w:line="241" w:lineRule="auto"/>
              <w:ind w:left="131"/>
              <w:outlineLvl w:val="0"/>
              <w:rPr>
                <w:rFonts w:ascii="黑体" w:hAnsi="黑体" w:eastAsia="黑体" w:cs="黑体"/>
                <w:sz w:val="28"/>
                <w:szCs w:val="28"/>
              </w:rPr>
            </w:pPr>
            <w:bookmarkStart w:id="414" w:name="bookmark496"/>
            <w:bookmarkEnd w:id="414"/>
            <w:bookmarkStart w:id="415" w:name="bookmark76"/>
            <w:bookmarkEnd w:id="415"/>
            <w:r>
              <w:rPr>
                <w:rFonts w:ascii="黑体" w:hAnsi="黑体" w:eastAsia="黑体" w:cs="黑体"/>
                <w:spacing w:val="-2"/>
                <w:sz w:val="28"/>
                <w:szCs w:val="28"/>
              </w:rPr>
              <w:t>序号</w:t>
            </w:r>
          </w:p>
        </w:tc>
        <w:tc>
          <w:tcPr>
            <w:tcW w:w="1440" w:type="dxa"/>
            <w:vAlign w:val="top"/>
          </w:tcPr>
          <w:p w14:paraId="2EB1D71A">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A732939">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6DF19B6">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4F250E0E">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6C8A37E">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0D462E7">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7D2AF654">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3F8C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Align w:val="top"/>
          </w:tcPr>
          <w:p w14:paraId="18A72438">
            <w:pPr>
              <w:rPr>
                <w:rFonts w:ascii="Arial"/>
                <w:sz w:val="21"/>
              </w:rPr>
            </w:pPr>
          </w:p>
        </w:tc>
        <w:tc>
          <w:tcPr>
            <w:tcW w:w="1440" w:type="dxa"/>
            <w:vAlign w:val="top"/>
          </w:tcPr>
          <w:p w14:paraId="315D545C">
            <w:pPr>
              <w:pStyle w:val="6"/>
              <w:spacing w:before="29" w:line="182" w:lineRule="auto"/>
              <w:ind w:left="118" w:right="111"/>
            </w:pPr>
            <w:r>
              <w:rPr>
                <w:spacing w:val="2"/>
              </w:rPr>
              <w:t>前，安全设</w:t>
            </w:r>
            <w:r>
              <w:rPr>
                <w:spacing w:val="10"/>
              </w:rPr>
              <w:t>施未经竣工</w:t>
            </w:r>
          </w:p>
          <w:p w14:paraId="698627DE">
            <w:pPr>
              <w:pStyle w:val="6"/>
              <w:spacing w:line="182" w:lineRule="auto"/>
              <w:ind w:left="116"/>
              <w:outlineLvl w:val="0"/>
            </w:pPr>
            <w:r>
              <w:rPr>
                <w:spacing w:val="8"/>
              </w:rPr>
              <w:t>验收合格，</w:t>
            </w:r>
          </w:p>
          <w:p w14:paraId="09B21D13">
            <w:pPr>
              <w:pStyle w:val="6"/>
              <w:spacing w:line="172" w:lineRule="auto"/>
              <w:ind w:left="118" w:right="111" w:firstLine="3"/>
            </w:pPr>
            <w:bookmarkStart w:id="416" w:name="bookmark497"/>
            <w:bookmarkEnd w:id="416"/>
            <w:bookmarkStart w:id="417" w:name="bookmark78"/>
            <w:bookmarkEnd w:id="417"/>
            <w:r>
              <w:rPr>
                <w:spacing w:val="10"/>
              </w:rPr>
              <w:t>并形成书面</w:t>
            </w:r>
            <w:r>
              <w:rPr>
                <w:spacing w:val="3"/>
              </w:rPr>
              <w:t>报告的</w:t>
            </w:r>
          </w:p>
        </w:tc>
        <w:tc>
          <w:tcPr>
            <w:tcW w:w="3202" w:type="dxa"/>
            <w:vAlign w:val="top"/>
          </w:tcPr>
          <w:p w14:paraId="783049E0">
            <w:pPr>
              <w:rPr>
                <w:rFonts w:ascii="Arial"/>
                <w:sz w:val="21"/>
              </w:rPr>
            </w:pPr>
          </w:p>
        </w:tc>
        <w:tc>
          <w:tcPr>
            <w:tcW w:w="2859" w:type="dxa"/>
            <w:vAlign w:val="top"/>
          </w:tcPr>
          <w:p w14:paraId="31C6E16E">
            <w:pPr>
              <w:pStyle w:val="6"/>
              <w:spacing w:before="27" w:line="196" w:lineRule="auto"/>
              <w:ind w:left="128" w:right="113" w:hanging="6"/>
            </w:pPr>
            <w:r>
              <w:rPr>
                <w:spacing w:val="7"/>
              </w:rPr>
              <w:t>经竣工验收合格，并形成</w:t>
            </w:r>
            <w:r>
              <w:rPr>
                <w:spacing w:val="-1"/>
              </w:rPr>
              <w:t>书面报告的。</w:t>
            </w:r>
          </w:p>
        </w:tc>
        <w:tc>
          <w:tcPr>
            <w:tcW w:w="803" w:type="dxa"/>
            <w:vAlign w:val="top"/>
          </w:tcPr>
          <w:p w14:paraId="53FACC00">
            <w:pPr>
              <w:rPr>
                <w:rFonts w:ascii="Arial"/>
                <w:sz w:val="21"/>
              </w:rPr>
            </w:pPr>
          </w:p>
        </w:tc>
        <w:tc>
          <w:tcPr>
            <w:tcW w:w="2283" w:type="dxa"/>
            <w:vAlign w:val="top"/>
          </w:tcPr>
          <w:p w14:paraId="7592B3C8">
            <w:pPr>
              <w:rPr>
                <w:rFonts w:ascii="Arial"/>
                <w:sz w:val="21"/>
              </w:rPr>
            </w:pPr>
          </w:p>
        </w:tc>
        <w:tc>
          <w:tcPr>
            <w:tcW w:w="2894" w:type="dxa"/>
            <w:vAlign w:val="top"/>
          </w:tcPr>
          <w:p w14:paraId="1339E643">
            <w:pPr>
              <w:rPr>
                <w:rFonts w:ascii="Arial"/>
                <w:sz w:val="21"/>
              </w:rPr>
            </w:pPr>
          </w:p>
        </w:tc>
        <w:tc>
          <w:tcPr>
            <w:tcW w:w="811" w:type="dxa"/>
            <w:vAlign w:val="top"/>
          </w:tcPr>
          <w:p w14:paraId="55471C73">
            <w:pPr>
              <w:rPr>
                <w:rFonts w:ascii="Arial"/>
                <w:sz w:val="21"/>
              </w:rPr>
            </w:pPr>
          </w:p>
        </w:tc>
      </w:tr>
      <w:tr w14:paraId="06E70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5" w:hRule="atLeast"/>
        </w:trPr>
        <w:tc>
          <w:tcPr>
            <w:tcW w:w="818" w:type="dxa"/>
            <w:vMerge w:val="restart"/>
            <w:tcBorders>
              <w:bottom w:val="nil"/>
            </w:tcBorders>
            <w:vAlign w:val="top"/>
          </w:tcPr>
          <w:p w14:paraId="6BA63874">
            <w:pPr>
              <w:spacing w:line="256" w:lineRule="auto"/>
              <w:rPr>
                <w:rFonts w:ascii="Arial"/>
                <w:sz w:val="21"/>
              </w:rPr>
            </w:pPr>
          </w:p>
          <w:p w14:paraId="22C6359B">
            <w:pPr>
              <w:spacing w:line="256" w:lineRule="auto"/>
              <w:rPr>
                <w:rFonts w:ascii="Arial"/>
                <w:sz w:val="21"/>
              </w:rPr>
            </w:pPr>
          </w:p>
          <w:p w14:paraId="40FA29F7">
            <w:pPr>
              <w:spacing w:line="256" w:lineRule="auto"/>
              <w:rPr>
                <w:rFonts w:ascii="Arial"/>
                <w:sz w:val="21"/>
              </w:rPr>
            </w:pPr>
          </w:p>
          <w:p w14:paraId="64EB9138">
            <w:pPr>
              <w:spacing w:line="256" w:lineRule="auto"/>
              <w:rPr>
                <w:rFonts w:ascii="Arial"/>
                <w:sz w:val="21"/>
              </w:rPr>
            </w:pPr>
          </w:p>
          <w:p w14:paraId="1C543C89">
            <w:pPr>
              <w:spacing w:line="256" w:lineRule="auto"/>
              <w:rPr>
                <w:rFonts w:ascii="Arial"/>
                <w:sz w:val="21"/>
              </w:rPr>
            </w:pPr>
          </w:p>
          <w:p w14:paraId="7AA803F6">
            <w:pPr>
              <w:spacing w:line="256" w:lineRule="auto"/>
              <w:rPr>
                <w:rFonts w:ascii="Arial"/>
                <w:sz w:val="21"/>
              </w:rPr>
            </w:pPr>
          </w:p>
          <w:p w14:paraId="53302511">
            <w:pPr>
              <w:spacing w:line="256" w:lineRule="auto"/>
              <w:rPr>
                <w:rFonts w:ascii="Arial"/>
                <w:sz w:val="21"/>
              </w:rPr>
            </w:pPr>
          </w:p>
          <w:p w14:paraId="3699E9CB">
            <w:pPr>
              <w:spacing w:before="75" w:line="185" w:lineRule="auto"/>
              <w:ind w:left="239"/>
              <w:rPr>
                <w:rFonts w:ascii="仿宋" w:hAnsi="仿宋" w:eastAsia="仿宋" w:cs="仿宋"/>
                <w:sz w:val="23"/>
                <w:szCs w:val="23"/>
              </w:rPr>
            </w:pPr>
            <w:r>
              <w:rPr>
                <w:rFonts w:ascii="仿宋" w:hAnsi="仿宋" w:eastAsia="仿宋" w:cs="仿宋"/>
                <w:spacing w:val="-4"/>
                <w:sz w:val="23"/>
                <w:szCs w:val="23"/>
              </w:rPr>
              <w:t>36</w:t>
            </w:r>
          </w:p>
        </w:tc>
        <w:tc>
          <w:tcPr>
            <w:tcW w:w="1440" w:type="dxa"/>
            <w:vMerge w:val="restart"/>
            <w:tcBorders>
              <w:bottom w:val="nil"/>
            </w:tcBorders>
            <w:vAlign w:val="top"/>
          </w:tcPr>
          <w:p w14:paraId="13DACA5D">
            <w:pPr>
              <w:spacing w:line="385" w:lineRule="auto"/>
              <w:rPr>
                <w:rFonts w:ascii="Arial"/>
                <w:sz w:val="21"/>
              </w:rPr>
            </w:pPr>
          </w:p>
          <w:p w14:paraId="05499842">
            <w:pPr>
              <w:pStyle w:val="6"/>
              <w:spacing w:before="98" w:line="185" w:lineRule="auto"/>
              <w:ind w:left="115" w:right="111" w:firstLine="38"/>
              <w:jc w:val="both"/>
            </w:pPr>
            <w:r>
              <w:rPr>
                <w:spacing w:val="3"/>
              </w:rPr>
              <w:t>已经批准的</w:t>
            </w:r>
            <w:r>
              <w:rPr>
                <w:spacing w:val="11"/>
              </w:rPr>
              <w:t>建设项目安全设施设计发生重大变</w:t>
            </w:r>
            <w:r>
              <w:rPr>
                <w:spacing w:val="1"/>
              </w:rPr>
              <w:t>更，生产经</w:t>
            </w:r>
            <w:r>
              <w:rPr>
                <w:spacing w:val="11"/>
              </w:rPr>
              <w:t>营单位未报原批准部门审查同意擅自开工建设</w:t>
            </w:r>
            <w:r>
              <w:t>的</w:t>
            </w:r>
          </w:p>
        </w:tc>
        <w:tc>
          <w:tcPr>
            <w:tcW w:w="3202" w:type="dxa"/>
            <w:vMerge w:val="restart"/>
            <w:tcBorders>
              <w:bottom w:val="nil"/>
            </w:tcBorders>
            <w:vAlign w:val="top"/>
          </w:tcPr>
          <w:p w14:paraId="419ABFCC">
            <w:pPr>
              <w:pStyle w:val="6"/>
              <w:spacing w:before="24" w:line="181" w:lineRule="auto"/>
              <w:ind w:left="98"/>
            </w:pPr>
            <w:r>
              <w:rPr>
                <w:spacing w:val="17"/>
              </w:rPr>
              <w:t>【部门规章】《建设项目安全设施“三同时”监督管理</w:t>
            </w:r>
            <w:r>
              <w:rPr>
                <w:spacing w:val="11"/>
              </w:rPr>
              <w:t>办法》第十五条：已经批准</w:t>
            </w:r>
            <w:r>
              <w:rPr>
                <w:spacing w:val="17"/>
              </w:rPr>
              <w:t>的建设项目及其安全设施设</w:t>
            </w:r>
            <w:r>
              <w:rPr>
                <w:spacing w:val="13"/>
              </w:rPr>
              <w:t>计有下列情形之一的，生产</w:t>
            </w:r>
            <w:r>
              <w:rPr>
                <w:spacing w:val="17"/>
              </w:rPr>
              <w:t>经营单位应当报原批准部门</w:t>
            </w:r>
            <w:r>
              <w:t>审查同意；未经审查同意的，</w:t>
            </w:r>
            <w:r>
              <w:rPr>
                <w:spacing w:val="6"/>
              </w:rPr>
              <w:t>不得开工建设</w:t>
            </w:r>
            <w:r>
              <w:rPr>
                <w:spacing w:val="-12"/>
              </w:rPr>
              <w:t>：（</w:t>
            </w:r>
            <w:r>
              <w:rPr>
                <w:spacing w:val="6"/>
              </w:rPr>
              <w:t>一）建设</w:t>
            </w:r>
            <w:r>
              <w:rPr>
                <w:spacing w:val="17"/>
              </w:rPr>
              <w:t>项目的规模、生产工艺、原</w:t>
            </w:r>
            <w:r>
              <w:rPr>
                <w:spacing w:val="14"/>
              </w:rPr>
              <w:t>料、设备发生重大变更的；</w:t>
            </w:r>
            <w:r>
              <w:rPr>
                <w:spacing w:val="11"/>
              </w:rPr>
              <w:t>（二）改变安全设施设计且</w:t>
            </w:r>
            <w:r>
              <w:rPr>
                <w:spacing w:val="7"/>
              </w:rPr>
              <w:t>可能降低安全性能的</w:t>
            </w:r>
            <w:r>
              <w:rPr>
                <w:spacing w:val="-4"/>
              </w:rPr>
              <w:t>；（</w:t>
            </w:r>
            <w:r>
              <w:rPr>
                <w:spacing w:val="7"/>
              </w:rPr>
              <w:t>三）</w:t>
            </w:r>
            <w:r>
              <w:rPr>
                <w:spacing w:val="6"/>
              </w:rPr>
              <w:t>在施工期间重新设计的。</w:t>
            </w:r>
          </w:p>
        </w:tc>
        <w:tc>
          <w:tcPr>
            <w:tcW w:w="2859" w:type="dxa"/>
            <w:vMerge w:val="restart"/>
            <w:tcBorders>
              <w:bottom w:val="nil"/>
            </w:tcBorders>
            <w:vAlign w:val="top"/>
          </w:tcPr>
          <w:p w14:paraId="5C5B2DF9">
            <w:pPr>
              <w:pStyle w:val="6"/>
              <w:spacing w:before="32" w:line="185" w:lineRule="auto"/>
              <w:ind w:left="115" w:right="108" w:hanging="18"/>
            </w:pPr>
            <w:r>
              <w:rPr>
                <w:spacing w:val="10"/>
              </w:rPr>
              <w:t>【部门规章】《建设项目</w:t>
            </w:r>
            <w:r>
              <w:rPr>
                <w:spacing w:val="8"/>
              </w:rPr>
              <w:t>安全设施“三同时”监督</w:t>
            </w:r>
            <w:r>
              <w:rPr>
                <w:spacing w:val="4"/>
              </w:rPr>
              <w:t>管理办法》第二十九条：</w:t>
            </w:r>
            <w:r>
              <w:rPr>
                <w:spacing w:val="8"/>
              </w:rPr>
              <w:t>已经批准的建设项目安全</w:t>
            </w:r>
            <w:r>
              <w:rPr>
                <w:spacing w:val="7"/>
              </w:rPr>
              <w:t>设施设计发生重大变更，</w:t>
            </w:r>
            <w:r>
              <w:rPr>
                <w:spacing w:val="8"/>
              </w:rPr>
              <w:t>生产经营单位未报原批准部门审查同意擅自开工建</w:t>
            </w:r>
            <w:r>
              <w:rPr>
                <w:spacing w:val="5"/>
              </w:rPr>
              <w:t>设的，责令限期改正，可</w:t>
            </w:r>
            <w:r>
              <w:t>以并处</w:t>
            </w:r>
            <w:r>
              <w:rPr>
                <w:rFonts w:ascii="宋体" w:hAnsi="宋体" w:eastAsia="宋体" w:cs="宋体"/>
              </w:rPr>
              <w:t>1</w:t>
            </w:r>
            <w:r>
              <w:t>万元以上</w:t>
            </w:r>
            <w:r>
              <w:rPr>
                <w:rFonts w:ascii="宋体" w:hAnsi="宋体" w:eastAsia="宋体" w:cs="宋体"/>
              </w:rPr>
              <w:t>3</w:t>
            </w:r>
            <w:r>
              <w:t>万元</w:t>
            </w:r>
            <w:r>
              <w:rPr>
                <w:spacing w:val="1"/>
              </w:rPr>
              <w:t>以下的罚款。</w:t>
            </w:r>
          </w:p>
        </w:tc>
        <w:tc>
          <w:tcPr>
            <w:tcW w:w="803" w:type="dxa"/>
            <w:vAlign w:val="top"/>
          </w:tcPr>
          <w:p w14:paraId="072D32DF">
            <w:pPr>
              <w:spacing w:line="433" w:lineRule="auto"/>
              <w:rPr>
                <w:rFonts w:ascii="Arial"/>
                <w:sz w:val="21"/>
              </w:rPr>
            </w:pPr>
          </w:p>
          <w:p w14:paraId="13BD92EE">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BE98BDA">
            <w:pPr>
              <w:pStyle w:val="6"/>
              <w:spacing w:before="319" w:line="182" w:lineRule="auto"/>
              <w:ind w:left="117"/>
            </w:pPr>
            <w:r>
              <w:rPr>
                <w:spacing w:val="-9"/>
              </w:rPr>
              <w:t>建设项目投资额</w:t>
            </w:r>
          </w:p>
          <w:p w14:paraId="621EE8B1">
            <w:pPr>
              <w:pStyle w:val="6"/>
              <w:spacing w:before="1" w:line="208" w:lineRule="auto"/>
              <w:ind w:left="131"/>
            </w:pPr>
            <w:r>
              <w:rPr>
                <w:rFonts w:ascii="宋体" w:hAnsi="宋体" w:eastAsia="宋体" w:cs="宋体"/>
                <w:spacing w:val="1"/>
              </w:rPr>
              <w:t>1000</w:t>
            </w:r>
            <w:r>
              <w:rPr>
                <w:spacing w:val="1"/>
              </w:rPr>
              <w:t>万元以下的</w:t>
            </w:r>
          </w:p>
        </w:tc>
        <w:tc>
          <w:tcPr>
            <w:tcW w:w="2894" w:type="dxa"/>
            <w:vAlign w:val="top"/>
          </w:tcPr>
          <w:p w14:paraId="7349C405">
            <w:pPr>
              <w:pStyle w:val="6"/>
              <w:spacing w:before="172" w:line="191" w:lineRule="auto"/>
              <w:ind w:left="132" w:right="104" w:hanging="5"/>
              <w:jc w:val="both"/>
            </w:pPr>
            <w:r>
              <w:rPr>
                <w:spacing w:val="7"/>
              </w:rPr>
              <w:t>责令限期改正，可以并处</w:t>
            </w:r>
            <w:r>
              <w:rPr>
                <w:rFonts w:ascii="宋体" w:hAnsi="宋体" w:eastAsia="宋体" w:cs="宋体"/>
                <w:spacing w:val="3"/>
              </w:rPr>
              <w:t>1</w:t>
            </w:r>
            <w:r>
              <w:rPr>
                <w:spacing w:val="3"/>
              </w:rPr>
              <w:t>万元以上</w:t>
            </w:r>
            <w:r>
              <w:rPr>
                <w:rFonts w:ascii="宋体" w:hAnsi="宋体" w:eastAsia="宋体" w:cs="宋体"/>
                <w:spacing w:val="3"/>
              </w:rPr>
              <w:t>1.5</w:t>
            </w:r>
            <w:r>
              <w:rPr>
                <w:spacing w:val="3"/>
              </w:rPr>
              <w:t>万元以下</w:t>
            </w:r>
            <w:r>
              <w:t>的罚款</w:t>
            </w:r>
          </w:p>
        </w:tc>
        <w:tc>
          <w:tcPr>
            <w:tcW w:w="811" w:type="dxa"/>
            <w:vMerge w:val="restart"/>
            <w:tcBorders>
              <w:bottom w:val="nil"/>
            </w:tcBorders>
            <w:vAlign w:val="top"/>
          </w:tcPr>
          <w:p w14:paraId="53889780">
            <w:pPr>
              <w:spacing w:line="255" w:lineRule="auto"/>
              <w:rPr>
                <w:rFonts w:ascii="Arial"/>
                <w:sz w:val="21"/>
              </w:rPr>
            </w:pPr>
          </w:p>
          <w:p w14:paraId="705CB0B7">
            <w:pPr>
              <w:spacing w:line="255" w:lineRule="auto"/>
              <w:rPr>
                <w:rFonts w:ascii="Arial"/>
                <w:sz w:val="21"/>
              </w:rPr>
            </w:pPr>
          </w:p>
          <w:p w14:paraId="71D39D8A">
            <w:pPr>
              <w:spacing w:line="255" w:lineRule="auto"/>
              <w:rPr>
                <w:rFonts w:ascii="Arial"/>
                <w:sz w:val="21"/>
              </w:rPr>
            </w:pPr>
          </w:p>
          <w:p w14:paraId="046D2FF8">
            <w:pPr>
              <w:spacing w:line="255" w:lineRule="auto"/>
              <w:rPr>
                <w:rFonts w:ascii="Arial"/>
                <w:sz w:val="21"/>
              </w:rPr>
            </w:pPr>
          </w:p>
          <w:p w14:paraId="287040EF">
            <w:pPr>
              <w:spacing w:line="256" w:lineRule="auto"/>
              <w:rPr>
                <w:rFonts w:ascii="Arial"/>
                <w:sz w:val="21"/>
              </w:rPr>
            </w:pPr>
          </w:p>
          <w:p w14:paraId="01FA05FF">
            <w:pPr>
              <w:spacing w:line="256" w:lineRule="auto"/>
              <w:rPr>
                <w:rFonts w:ascii="Arial"/>
                <w:sz w:val="21"/>
              </w:rPr>
            </w:pPr>
          </w:p>
          <w:p w14:paraId="65D1CB98">
            <w:pPr>
              <w:spacing w:line="256" w:lineRule="auto"/>
              <w:rPr>
                <w:rFonts w:ascii="Arial"/>
                <w:sz w:val="21"/>
              </w:rPr>
            </w:pPr>
          </w:p>
          <w:p w14:paraId="67697DAF">
            <w:pPr>
              <w:spacing w:before="75" w:line="188" w:lineRule="auto"/>
              <w:ind w:left="293"/>
              <w:rPr>
                <w:rFonts w:ascii="宋体" w:hAnsi="宋体" w:eastAsia="宋体" w:cs="宋体"/>
                <w:sz w:val="23"/>
                <w:szCs w:val="23"/>
              </w:rPr>
            </w:pPr>
            <w:r>
              <w:rPr>
                <w:rFonts w:ascii="宋体" w:hAnsi="宋体" w:eastAsia="宋体" w:cs="宋体"/>
                <w:spacing w:val="-3"/>
                <w:sz w:val="23"/>
                <w:szCs w:val="23"/>
              </w:rPr>
              <w:t>25</w:t>
            </w:r>
          </w:p>
        </w:tc>
      </w:tr>
      <w:tr w14:paraId="249FD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2" w:hRule="atLeast"/>
        </w:trPr>
        <w:tc>
          <w:tcPr>
            <w:tcW w:w="818" w:type="dxa"/>
            <w:vMerge w:val="continue"/>
            <w:tcBorders>
              <w:top w:val="nil"/>
              <w:bottom w:val="nil"/>
            </w:tcBorders>
            <w:vAlign w:val="top"/>
          </w:tcPr>
          <w:p w14:paraId="5AB8FD84">
            <w:pPr>
              <w:rPr>
                <w:rFonts w:ascii="Arial"/>
                <w:sz w:val="21"/>
              </w:rPr>
            </w:pPr>
          </w:p>
        </w:tc>
        <w:tc>
          <w:tcPr>
            <w:tcW w:w="1440" w:type="dxa"/>
            <w:vMerge w:val="continue"/>
            <w:tcBorders>
              <w:top w:val="nil"/>
              <w:bottom w:val="nil"/>
            </w:tcBorders>
            <w:vAlign w:val="top"/>
          </w:tcPr>
          <w:p w14:paraId="3AD11660">
            <w:pPr>
              <w:rPr>
                <w:rFonts w:ascii="Arial"/>
                <w:sz w:val="21"/>
              </w:rPr>
            </w:pPr>
          </w:p>
        </w:tc>
        <w:tc>
          <w:tcPr>
            <w:tcW w:w="3202" w:type="dxa"/>
            <w:vMerge w:val="continue"/>
            <w:tcBorders>
              <w:top w:val="nil"/>
              <w:bottom w:val="nil"/>
            </w:tcBorders>
            <w:vAlign w:val="top"/>
          </w:tcPr>
          <w:p w14:paraId="6ACBD222">
            <w:pPr>
              <w:rPr>
                <w:rFonts w:ascii="Arial"/>
                <w:sz w:val="21"/>
              </w:rPr>
            </w:pPr>
          </w:p>
        </w:tc>
        <w:tc>
          <w:tcPr>
            <w:tcW w:w="2859" w:type="dxa"/>
            <w:vMerge w:val="continue"/>
            <w:tcBorders>
              <w:top w:val="nil"/>
              <w:bottom w:val="nil"/>
            </w:tcBorders>
            <w:vAlign w:val="top"/>
          </w:tcPr>
          <w:p w14:paraId="69A71CE7">
            <w:pPr>
              <w:rPr>
                <w:rFonts w:ascii="Arial"/>
                <w:sz w:val="21"/>
              </w:rPr>
            </w:pPr>
          </w:p>
        </w:tc>
        <w:tc>
          <w:tcPr>
            <w:tcW w:w="803" w:type="dxa"/>
            <w:vAlign w:val="top"/>
          </w:tcPr>
          <w:p w14:paraId="7C39C1E1">
            <w:pPr>
              <w:spacing w:line="461" w:lineRule="auto"/>
              <w:rPr>
                <w:rFonts w:ascii="Arial"/>
                <w:sz w:val="21"/>
              </w:rPr>
            </w:pPr>
          </w:p>
          <w:p w14:paraId="179BF8E4">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465A4D8">
            <w:pPr>
              <w:pStyle w:val="6"/>
              <w:spacing w:before="195" w:line="191" w:lineRule="auto"/>
              <w:ind w:left="128" w:right="109" w:hanging="11"/>
              <w:jc w:val="both"/>
            </w:pPr>
            <w:r>
              <w:rPr>
                <w:spacing w:val="-10"/>
              </w:rPr>
              <w:t>建设项目投资额</w:t>
            </w:r>
            <w:r>
              <w:rPr>
                <w:rFonts w:ascii="宋体" w:hAnsi="宋体" w:eastAsia="宋体" w:cs="宋体"/>
                <w:spacing w:val="1"/>
              </w:rPr>
              <w:t>1000</w:t>
            </w:r>
            <w:r>
              <w:rPr>
                <w:spacing w:val="1"/>
              </w:rPr>
              <w:t>万元以上</w:t>
            </w:r>
            <w:r>
              <w:rPr>
                <w:rFonts w:ascii="宋体" w:hAnsi="宋体" w:eastAsia="宋体" w:cs="宋体"/>
                <w:spacing w:val="1"/>
              </w:rPr>
              <w:t>3000</w:t>
            </w:r>
            <w:r>
              <w:rPr>
                <w:spacing w:val="4"/>
              </w:rPr>
              <w:t>万元以下的</w:t>
            </w:r>
          </w:p>
        </w:tc>
        <w:tc>
          <w:tcPr>
            <w:tcW w:w="2894" w:type="dxa"/>
            <w:vAlign w:val="top"/>
          </w:tcPr>
          <w:p w14:paraId="41B4169B">
            <w:pPr>
              <w:pStyle w:val="6"/>
              <w:spacing w:before="196" w:line="191" w:lineRule="auto"/>
              <w:ind w:left="132" w:right="104" w:hanging="5"/>
              <w:jc w:val="both"/>
            </w:pPr>
            <w:r>
              <w:rPr>
                <w:spacing w:val="7"/>
              </w:rPr>
              <w:t>责令限期改正，可以并处</w:t>
            </w:r>
            <w:r>
              <w:rPr>
                <w:rFonts w:ascii="宋体" w:hAnsi="宋体" w:eastAsia="宋体" w:cs="宋体"/>
                <w:spacing w:val="5"/>
              </w:rPr>
              <w:t>1.5</w:t>
            </w:r>
            <w:r>
              <w:rPr>
                <w:spacing w:val="5"/>
              </w:rPr>
              <w:t>万元以上</w:t>
            </w:r>
            <w:r>
              <w:rPr>
                <w:rFonts w:ascii="宋体" w:hAnsi="宋体" w:eastAsia="宋体" w:cs="宋体"/>
                <w:spacing w:val="5"/>
              </w:rPr>
              <w:t>2</w:t>
            </w:r>
            <w:r>
              <w:rPr>
                <w:spacing w:val="5"/>
              </w:rPr>
              <w:t>万元以下</w:t>
            </w:r>
            <w:r>
              <w:t>的罚款</w:t>
            </w:r>
          </w:p>
        </w:tc>
        <w:tc>
          <w:tcPr>
            <w:tcW w:w="811" w:type="dxa"/>
            <w:vMerge w:val="continue"/>
            <w:tcBorders>
              <w:top w:val="nil"/>
              <w:bottom w:val="nil"/>
            </w:tcBorders>
            <w:vAlign w:val="top"/>
          </w:tcPr>
          <w:p w14:paraId="75B1E9C1">
            <w:pPr>
              <w:rPr>
                <w:rFonts w:ascii="Arial"/>
                <w:sz w:val="21"/>
              </w:rPr>
            </w:pPr>
          </w:p>
        </w:tc>
      </w:tr>
      <w:tr w14:paraId="07D27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6" w:hRule="atLeast"/>
        </w:trPr>
        <w:tc>
          <w:tcPr>
            <w:tcW w:w="818" w:type="dxa"/>
            <w:vMerge w:val="continue"/>
            <w:tcBorders>
              <w:top w:val="nil"/>
            </w:tcBorders>
            <w:vAlign w:val="top"/>
          </w:tcPr>
          <w:p w14:paraId="45879C12">
            <w:pPr>
              <w:rPr>
                <w:rFonts w:ascii="Arial"/>
                <w:sz w:val="21"/>
              </w:rPr>
            </w:pPr>
          </w:p>
        </w:tc>
        <w:tc>
          <w:tcPr>
            <w:tcW w:w="1440" w:type="dxa"/>
            <w:vMerge w:val="continue"/>
            <w:tcBorders>
              <w:top w:val="nil"/>
            </w:tcBorders>
            <w:vAlign w:val="top"/>
          </w:tcPr>
          <w:p w14:paraId="449A76E9">
            <w:pPr>
              <w:rPr>
                <w:rFonts w:ascii="Arial"/>
                <w:sz w:val="21"/>
              </w:rPr>
            </w:pPr>
          </w:p>
        </w:tc>
        <w:tc>
          <w:tcPr>
            <w:tcW w:w="3202" w:type="dxa"/>
            <w:vMerge w:val="continue"/>
            <w:tcBorders>
              <w:top w:val="nil"/>
            </w:tcBorders>
            <w:vAlign w:val="top"/>
          </w:tcPr>
          <w:p w14:paraId="62B78ED5">
            <w:pPr>
              <w:rPr>
                <w:rFonts w:ascii="Arial"/>
                <w:sz w:val="21"/>
              </w:rPr>
            </w:pPr>
          </w:p>
        </w:tc>
        <w:tc>
          <w:tcPr>
            <w:tcW w:w="2859" w:type="dxa"/>
            <w:vMerge w:val="continue"/>
            <w:tcBorders>
              <w:top w:val="nil"/>
            </w:tcBorders>
            <w:vAlign w:val="top"/>
          </w:tcPr>
          <w:p w14:paraId="131CBA4B">
            <w:pPr>
              <w:rPr>
                <w:rFonts w:ascii="Arial"/>
                <w:sz w:val="21"/>
              </w:rPr>
            </w:pPr>
          </w:p>
        </w:tc>
        <w:tc>
          <w:tcPr>
            <w:tcW w:w="803" w:type="dxa"/>
            <w:vAlign w:val="top"/>
          </w:tcPr>
          <w:p w14:paraId="6F06DC86">
            <w:pPr>
              <w:spacing w:line="291" w:lineRule="auto"/>
              <w:rPr>
                <w:rFonts w:ascii="Arial"/>
                <w:sz w:val="21"/>
              </w:rPr>
            </w:pPr>
          </w:p>
          <w:p w14:paraId="0E18DB62">
            <w:pPr>
              <w:spacing w:line="292" w:lineRule="auto"/>
              <w:rPr>
                <w:rFonts w:ascii="Arial"/>
                <w:sz w:val="21"/>
              </w:rPr>
            </w:pPr>
          </w:p>
          <w:p w14:paraId="742E5D0F">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25B5586">
            <w:pPr>
              <w:spacing w:line="365" w:lineRule="auto"/>
              <w:rPr>
                <w:rFonts w:ascii="Arial"/>
                <w:sz w:val="21"/>
              </w:rPr>
            </w:pPr>
          </w:p>
          <w:p w14:paraId="4FAE1200">
            <w:pPr>
              <w:pStyle w:val="6"/>
              <w:spacing w:before="98" w:line="196" w:lineRule="auto"/>
              <w:ind w:left="117" w:right="109"/>
            </w:pPr>
            <w:r>
              <w:rPr>
                <w:spacing w:val="-10"/>
              </w:rPr>
              <w:t>建设项目投资额</w:t>
            </w:r>
            <w:r>
              <w:rPr>
                <w:rFonts w:ascii="宋体" w:hAnsi="宋体" w:eastAsia="宋体" w:cs="宋体"/>
                <w:spacing w:val="2"/>
              </w:rPr>
              <w:t>3000</w:t>
            </w:r>
            <w:r>
              <w:rPr>
                <w:spacing w:val="2"/>
              </w:rPr>
              <w:t>万元以上的</w:t>
            </w:r>
          </w:p>
        </w:tc>
        <w:tc>
          <w:tcPr>
            <w:tcW w:w="2894" w:type="dxa"/>
            <w:vAlign w:val="top"/>
          </w:tcPr>
          <w:p w14:paraId="1CA1E438">
            <w:pPr>
              <w:pStyle w:val="6"/>
              <w:spacing w:before="318" w:line="191" w:lineRule="auto"/>
              <w:ind w:left="118" w:right="107" w:firstLine="9"/>
              <w:jc w:val="both"/>
            </w:pPr>
            <w:r>
              <w:rPr>
                <w:spacing w:val="7"/>
              </w:rPr>
              <w:t>责令限期改正，可以并处</w:t>
            </w:r>
            <w:r>
              <w:rPr>
                <w:rFonts w:ascii="宋体" w:hAnsi="宋体" w:eastAsia="宋体" w:cs="宋体"/>
                <w:spacing w:val="8"/>
              </w:rPr>
              <w:t>2</w:t>
            </w:r>
            <w:r>
              <w:rPr>
                <w:spacing w:val="8"/>
              </w:rPr>
              <w:t>万元以上</w:t>
            </w:r>
            <w:r>
              <w:rPr>
                <w:rFonts w:ascii="宋体" w:hAnsi="宋体" w:eastAsia="宋体" w:cs="宋体"/>
                <w:spacing w:val="8"/>
              </w:rPr>
              <w:t>3</w:t>
            </w:r>
            <w:r>
              <w:rPr>
                <w:spacing w:val="8"/>
              </w:rPr>
              <w:t>万元以下的</w:t>
            </w:r>
            <w:r>
              <w:rPr>
                <w:spacing w:val="3"/>
              </w:rPr>
              <w:t>罚款</w:t>
            </w:r>
          </w:p>
        </w:tc>
        <w:tc>
          <w:tcPr>
            <w:tcW w:w="811" w:type="dxa"/>
            <w:vMerge w:val="continue"/>
            <w:tcBorders>
              <w:top w:val="nil"/>
            </w:tcBorders>
            <w:vAlign w:val="top"/>
          </w:tcPr>
          <w:p w14:paraId="096E99C5">
            <w:pPr>
              <w:rPr>
                <w:rFonts w:ascii="Arial"/>
                <w:sz w:val="21"/>
              </w:rPr>
            </w:pPr>
          </w:p>
        </w:tc>
      </w:tr>
      <w:tr w14:paraId="249A8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7" w:hRule="atLeast"/>
        </w:trPr>
        <w:tc>
          <w:tcPr>
            <w:tcW w:w="818" w:type="dxa"/>
            <w:vAlign w:val="top"/>
          </w:tcPr>
          <w:p w14:paraId="6FA88B13">
            <w:pPr>
              <w:spacing w:line="242" w:lineRule="auto"/>
              <w:rPr>
                <w:rFonts w:ascii="Arial"/>
                <w:sz w:val="21"/>
              </w:rPr>
            </w:pPr>
          </w:p>
          <w:p w14:paraId="65E642A5">
            <w:pPr>
              <w:spacing w:line="242" w:lineRule="auto"/>
              <w:rPr>
                <w:rFonts w:ascii="Arial"/>
                <w:sz w:val="21"/>
              </w:rPr>
            </w:pPr>
          </w:p>
          <w:p w14:paraId="11F27019">
            <w:pPr>
              <w:spacing w:line="242" w:lineRule="auto"/>
              <w:rPr>
                <w:rFonts w:ascii="Arial"/>
                <w:sz w:val="21"/>
              </w:rPr>
            </w:pPr>
          </w:p>
          <w:p w14:paraId="5C8FF5E6">
            <w:pPr>
              <w:spacing w:line="242" w:lineRule="auto"/>
              <w:rPr>
                <w:rFonts w:ascii="Arial"/>
                <w:sz w:val="21"/>
              </w:rPr>
            </w:pPr>
          </w:p>
          <w:p w14:paraId="193CAB14">
            <w:pPr>
              <w:spacing w:line="242" w:lineRule="auto"/>
              <w:rPr>
                <w:rFonts w:ascii="Arial"/>
                <w:sz w:val="21"/>
              </w:rPr>
            </w:pPr>
          </w:p>
          <w:p w14:paraId="079AFD8C">
            <w:pPr>
              <w:spacing w:line="242" w:lineRule="auto"/>
              <w:rPr>
                <w:rFonts w:ascii="Arial"/>
                <w:sz w:val="21"/>
              </w:rPr>
            </w:pPr>
          </w:p>
          <w:p w14:paraId="3E54C7FD">
            <w:pPr>
              <w:spacing w:line="242" w:lineRule="auto"/>
              <w:rPr>
                <w:rFonts w:ascii="Arial"/>
                <w:sz w:val="21"/>
              </w:rPr>
            </w:pPr>
          </w:p>
          <w:p w14:paraId="0033D243">
            <w:pPr>
              <w:spacing w:before="74" w:line="185" w:lineRule="auto"/>
              <w:ind w:left="239"/>
              <w:rPr>
                <w:rFonts w:ascii="仿宋" w:hAnsi="仿宋" w:eastAsia="仿宋" w:cs="仿宋"/>
                <w:sz w:val="23"/>
                <w:szCs w:val="23"/>
              </w:rPr>
            </w:pPr>
            <w:r>
              <w:rPr>
                <w:rFonts w:ascii="仿宋" w:hAnsi="仿宋" w:eastAsia="仿宋" w:cs="仿宋"/>
                <w:spacing w:val="-4"/>
                <w:sz w:val="23"/>
                <w:szCs w:val="23"/>
              </w:rPr>
              <w:t>37</w:t>
            </w:r>
          </w:p>
        </w:tc>
        <w:tc>
          <w:tcPr>
            <w:tcW w:w="1440" w:type="dxa"/>
            <w:vAlign w:val="top"/>
          </w:tcPr>
          <w:p w14:paraId="58F15580">
            <w:pPr>
              <w:spacing w:line="424" w:lineRule="auto"/>
              <w:rPr>
                <w:rFonts w:ascii="Arial"/>
                <w:sz w:val="21"/>
              </w:rPr>
            </w:pPr>
          </w:p>
          <w:p w14:paraId="6A07FDF0">
            <w:pPr>
              <w:pStyle w:val="6"/>
              <w:spacing w:before="98" w:line="186" w:lineRule="auto"/>
              <w:ind w:left="112" w:right="111" w:firstLine="16"/>
              <w:jc w:val="both"/>
            </w:pPr>
            <w:r>
              <w:rPr>
                <w:spacing w:val="8"/>
              </w:rPr>
              <w:t>生产经营单</w:t>
            </w:r>
            <w:r>
              <w:rPr>
                <w:spacing w:val="12"/>
              </w:rPr>
              <w:t>位未在有较大危险因素的生产经营场所和有关设施、设备上设置明显的安全警示</w:t>
            </w:r>
            <w:r>
              <w:rPr>
                <w:spacing w:val="6"/>
              </w:rPr>
              <w:t>标志的</w:t>
            </w:r>
          </w:p>
        </w:tc>
        <w:tc>
          <w:tcPr>
            <w:tcW w:w="3202" w:type="dxa"/>
            <w:vAlign w:val="top"/>
          </w:tcPr>
          <w:p w14:paraId="46DC7055">
            <w:pPr>
              <w:pStyle w:val="6"/>
              <w:spacing w:before="36" w:line="182" w:lineRule="auto"/>
              <w:ind w:left="117" w:right="42" w:firstLine="13"/>
              <w:jc w:val="both"/>
            </w:pPr>
            <w:r>
              <w:rPr>
                <w:rFonts w:ascii="宋体" w:hAnsi="宋体" w:eastAsia="宋体" w:cs="宋体"/>
                <w:spacing w:val="14"/>
              </w:rPr>
              <w:t>1.</w:t>
            </w:r>
            <w:r>
              <w:rPr>
                <w:spacing w:val="14"/>
              </w:rPr>
              <w:t>【法律】《中华人民共和</w:t>
            </w:r>
            <w:r>
              <w:rPr>
                <w:spacing w:val="3"/>
              </w:rPr>
              <w:t>国安全生产法》第三十五条：</w:t>
            </w:r>
            <w:r>
              <w:rPr>
                <w:spacing w:val="17"/>
              </w:rPr>
              <w:t>生产经营单位应当在有较大危险因素的生产经营场所和</w:t>
            </w:r>
            <w:r>
              <w:rPr>
                <w:spacing w:val="13"/>
              </w:rPr>
              <w:t>有关设施、设备上，设置明</w:t>
            </w:r>
            <w:r>
              <w:rPr>
                <w:spacing w:val="4"/>
              </w:rPr>
              <w:t>显的安全警示标志。</w:t>
            </w:r>
          </w:p>
          <w:p w14:paraId="1B97D2EB">
            <w:pPr>
              <w:pStyle w:val="6"/>
              <w:spacing w:before="8" w:line="186" w:lineRule="auto"/>
              <w:ind w:left="116" w:right="111"/>
              <w:jc w:val="both"/>
            </w:pPr>
            <w:r>
              <w:rPr>
                <w:rFonts w:ascii="宋体" w:hAnsi="宋体" w:eastAsia="宋体" w:cs="宋体"/>
                <w:spacing w:val="15"/>
              </w:rPr>
              <w:t>2.</w:t>
            </w:r>
            <w:r>
              <w:rPr>
                <w:spacing w:val="15"/>
              </w:rPr>
              <w:t>【行政法规】《危险化学</w:t>
            </w:r>
            <w:r>
              <w:rPr>
                <w:spacing w:val="17"/>
              </w:rPr>
              <w:t>品安全管理条例》第二十条</w:t>
            </w:r>
            <w:r>
              <w:rPr>
                <w:spacing w:val="12"/>
              </w:rPr>
              <w:t>第二款：生产、储存危险化</w:t>
            </w:r>
            <w:r>
              <w:rPr>
                <w:spacing w:val="13"/>
              </w:rPr>
              <w:t>学品的单位，应当在其作业</w:t>
            </w:r>
            <w:r>
              <w:rPr>
                <w:spacing w:val="17"/>
              </w:rPr>
              <w:t>场所和安全设施、设备上设</w:t>
            </w:r>
            <w:r>
              <w:rPr>
                <w:spacing w:val="5"/>
              </w:rPr>
              <w:t>置明显的安全警示标志。</w:t>
            </w:r>
          </w:p>
        </w:tc>
        <w:tc>
          <w:tcPr>
            <w:tcW w:w="2859" w:type="dxa"/>
            <w:vAlign w:val="top"/>
          </w:tcPr>
          <w:p w14:paraId="3AC92969">
            <w:pPr>
              <w:pStyle w:val="6"/>
              <w:spacing w:before="24" w:line="185" w:lineRule="auto"/>
              <w:ind w:left="115" w:right="38" w:firstLine="15"/>
              <w:jc w:val="both"/>
            </w:pPr>
            <w:r>
              <w:rPr>
                <w:rFonts w:ascii="宋体" w:hAnsi="宋体" w:eastAsia="宋体" w:cs="宋体"/>
                <w:spacing w:val="6"/>
              </w:rPr>
              <w:t>1.</w:t>
            </w:r>
            <w:r>
              <w:rPr>
                <w:spacing w:val="6"/>
              </w:rPr>
              <w:t>【法律】《中华人民共</w:t>
            </w:r>
            <w:r>
              <w:rPr>
                <w:spacing w:val="8"/>
              </w:rPr>
              <w:t>和国安全生产法》第九十九条第一项：生产经营单</w:t>
            </w:r>
            <w:r>
              <w:rPr>
                <w:spacing w:val="4"/>
              </w:rPr>
              <w:t>位有下列行为之一的，责</w:t>
            </w:r>
            <w:r>
              <w:rPr>
                <w:spacing w:val="8"/>
              </w:rPr>
              <w:t>令限期改正，处五万元以</w:t>
            </w:r>
            <w:r>
              <w:rPr>
                <w:spacing w:val="-5"/>
              </w:rPr>
              <w:t>下的罚款；逾期未改正的，</w:t>
            </w:r>
            <w:r>
              <w:rPr>
                <w:spacing w:val="8"/>
              </w:rPr>
              <w:t>处五万元以上二十万元以下的罚款，对其直接负责的主管人员和其他直接责任人员处一万元以上二万元以下的罚款；情节严重</w:t>
            </w:r>
            <w:r>
              <w:rPr>
                <w:spacing w:val="7"/>
              </w:rPr>
              <w:t>的，责令停产停业整顿；</w:t>
            </w:r>
          </w:p>
        </w:tc>
        <w:tc>
          <w:tcPr>
            <w:tcW w:w="803" w:type="dxa"/>
            <w:vAlign w:val="top"/>
          </w:tcPr>
          <w:p w14:paraId="61119E41">
            <w:pPr>
              <w:spacing w:line="241" w:lineRule="auto"/>
              <w:rPr>
                <w:rFonts w:ascii="Arial"/>
                <w:sz w:val="21"/>
              </w:rPr>
            </w:pPr>
          </w:p>
          <w:p w14:paraId="37BCBA18">
            <w:pPr>
              <w:spacing w:line="241" w:lineRule="auto"/>
              <w:rPr>
                <w:rFonts w:ascii="Arial"/>
                <w:sz w:val="21"/>
              </w:rPr>
            </w:pPr>
          </w:p>
          <w:p w14:paraId="609A4CA3">
            <w:pPr>
              <w:spacing w:line="241" w:lineRule="auto"/>
              <w:rPr>
                <w:rFonts w:ascii="Arial"/>
                <w:sz w:val="21"/>
              </w:rPr>
            </w:pPr>
          </w:p>
          <w:p w14:paraId="2DF7ED9C">
            <w:pPr>
              <w:spacing w:line="241" w:lineRule="auto"/>
              <w:rPr>
                <w:rFonts w:ascii="Arial"/>
                <w:sz w:val="21"/>
              </w:rPr>
            </w:pPr>
          </w:p>
          <w:p w14:paraId="69BC98A1">
            <w:pPr>
              <w:spacing w:line="241" w:lineRule="auto"/>
              <w:rPr>
                <w:rFonts w:ascii="Arial"/>
                <w:sz w:val="21"/>
              </w:rPr>
            </w:pPr>
          </w:p>
          <w:p w14:paraId="1D086CAD">
            <w:pPr>
              <w:spacing w:line="241" w:lineRule="auto"/>
              <w:rPr>
                <w:rFonts w:ascii="Arial"/>
                <w:sz w:val="21"/>
              </w:rPr>
            </w:pPr>
          </w:p>
          <w:p w14:paraId="73922382">
            <w:pPr>
              <w:spacing w:line="241" w:lineRule="auto"/>
              <w:rPr>
                <w:rFonts w:ascii="Arial"/>
                <w:sz w:val="21"/>
              </w:rPr>
            </w:pPr>
          </w:p>
          <w:p w14:paraId="4A2E7342">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7E1E3EA">
            <w:pPr>
              <w:spacing w:line="293" w:lineRule="auto"/>
              <w:rPr>
                <w:rFonts w:ascii="Arial"/>
                <w:sz w:val="21"/>
              </w:rPr>
            </w:pPr>
          </w:p>
          <w:p w14:paraId="15D4E97A">
            <w:pPr>
              <w:spacing w:line="293" w:lineRule="auto"/>
              <w:rPr>
                <w:rFonts w:ascii="Arial"/>
                <w:sz w:val="21"/>
              </w:rPr>
            </w:pPr>
          </w:p>
          <w:p w14:paraId="5D8CBDA4">
            <w:pPr>
              <w:spacing w:line="294" w:lineRule="auto"/>
              <w:rPr>
                <w:rFonts w:ascii="Arial"/>
                <w:sz w:val="21"/>
              </w:rPr>
            </w:pPr>
          </w:p>
          <w:p w14:paraId="0B05C47F">
            <w:pPr>
              <w:pStyle w:val="6"/>
              <w:spacing w:before="98" w:line="187" w:lineRule="auto"/>
              <w:ind w:left="116" w:right="105" w:firstLine="1"/>
              <w:jc w:val="both"/>
            </w:pPr>
            <w:r>
              <w:rPr>
                <w:spacing w:val="26"/>
              </w:rPr>
              <w:t>未在有较大危险因素的生产经营场所</w:t>
            </w:r>
            <w:r>
              <w:rPr>
                <w:spacing w:val="-2"/>
              </w:rPr>
              <w:t>和有关设施、设备上</w:t>
            </w:r>
            <w:r>
              <w:rPr>
                <w:spacing w:val="26"/>
              </w:rPr>
              <w:t>设置明显的安全警</w:t>
            </w:r>
            <w:r>
              <w:rPr>
                <w:spacing w:val="-5"/>
              </w:rPr>
              <w:t>示标志，涉及</w:t>
            </w:r>
            <w:r>
              <w:rPr>
                <w:rFonts w:ascii="宋体" w:hAnsi="宋体" w:eastAsia="宋体" w:cs="宋体"/>
                <w:spacing w:val="-5"/>
              </w:rPr>
              <w:t>3</w:t>
            </w:r>
            <w:r>
              <w:rPr>
                <w:spacing w:val="-5"/>
              </w:rPr>
              <w:t>处以</w:t>
            </w:r>
            <w:r>
              <w:rPr>
                <w:spacing w:val="3"/>
              </w:rPr>
              <w:t>下的</w:t>
            </w:r>
          </w:p>
        </w:tc>
        <w:tc>
          <w:tcPr>
            <w:tcW w:w="2894" w:type="dxa"/>
            <w:vAlign w:val="top"/>
          </w:tcPr>
          <w:p w14:paraId="4B2A7677">
            <w:pPr>
              <w:spacing w:line="288" w:lineRule="auto"/>
              <w:rPr>
                <w:rFonts w:ascii="Arial"/>
                <w:sz w:val="21"/>
              </w:rPr>
            </w:pPr>
          </w:p>
          <w:p w14:paraId="67CD968F">
            <w:pPr>
              <w:spacing w:line="288" w:lineRule="auto"/>
              <w:rPr>
                <w:rFonts w:ascii="Arial"/>
                <w:sz w:val="21"/>
              </w:rPr>
            </w:pPr>
          </w:p>
          <w:p w14:paraId="2BD75686">
            <w:pPr>
              <w:pStyle w:val="6"/>
              <w:spacing w:before="98" w:line="186" w:lineRule="auto"/>
              <w:ind w:left="127" w:right="103"/>
              <w:jc w:val="both"/>
            </w:pPr>
            <w:r>
              <w:rPr>
                <w:spacing w:val="4"/>
              </w:rPr>
              <w:t>责令限期改正，处</w:t>
            </w:r>
            <w:r>
              <w:rPr>
                <w:rFonts w:ascii="宋体" w:hAnsi="宋体" w:eastAsia="宋体" w:cs="宋体"/>
                <w:spacing w:val="4"/>
              </w:rPr>
              <w:t>2</w:t>
            </w:r>
            <w:r>
              <w:rPr>
                <w:spacing w:val="4"/>
              </w:rPr>
              <w:t>万元</w:t>
            </w:r>
            <w:r>
              <w:rPr>
                <w:spacing w:val="8"/>
              </w:rPr>
              <w:t>以下的罚款；逾期未改正</w:t>
            </w:r>
            <w:r>
              <w:rPr>
                <w:spacing w:val="-7"/>
              </w:rPr>
              <w:t>的，处</w:t>
            </w:r>
            <w:r>
              <w:rPr>
                <w:rFonts w:ascii="宋体" w:hAnsi="宋体" w:eastAsia="宋体" w:cs="宋体"/>
                <w:spacing w:val="-7"/>
              </w:rPr>
              <w:t>5</w:t>
            </w:r>
            <w:r>
              <w:rPr>
                <w:spacing w:val="-7"/>
              </w:rPr>
              <w:t>万元以上</w:t>
            </w:r>
            <w:r>
              <w:rPr>
                <w:rFonts w:ascii="宋体" w:hAnsi="宋体" w:eastAsia="宋体" w:cs="宋体"/>
                <w:spacing w:val="-7"/>
              </w:rPr>
              <w:t>10</w:t>
            </w:r>
            <w:r>
              <w:rPr>
                <w:spacing w:val="-7"/>
              </w:rPr>
              <w:t>万元</w:t>
            </w:r>
            <w:r>
              <w:rPr>
                <w:spacing w:val="7"/>
              </w:rPr>
              <w:t>以下的罚款，对其直接负</w:t>
            </w:r>
            <w:r>
              <w:rPr>
                <w:spacing w:val="10"/>
              </w:rPr>
              <w:t>责的主管人员和其他直接</w:t>
            </w:r>
            <w:r>
              <w:rPr>
                <w:spacing w:val="7"/>
              </w:rPr>
              <w:t>责任人员处</w:t>
            </w:r>
            <w:r>
              <w:rPr>
                <w:rFonts w:ascii="宋体" w:hAnsi="宋体" w:eastAsia="宋体" w:cs="宋体"/>
                <w:spacing w:val="7"/>
              </w:rPr>
              <w:t>1</w:t>
            </w:r>
            <w:r>
              <w:rPr>
                <w:spacing w:val="7"/>
              </w:rPr>
              <w:t>万元以上</w:t>
            </w:r>
            <w:r>
              <w:rPr>
                <w:rFonts w:ascii="宋体" w:hAnsi="宋体" w:eastAsia="宋体" w:cs="宋体"/>
                <w:spacing w:val="7"/>
              </w:rPr>
              <w:t>2</w:t>
            </w:r>
            <w:r>
              <w:rPr>
                <w:spacing w:val="7"/>
              </w:rPr>
              <w:t>万元以下的罚款；情节严重的，责令停产停业整顿</w:t>
            </w:r>
          </w:p>
        </w:tc>
        <w:tc>
          <w:tcPr>
            <w:tcW w:w="811" w:type="dxa"/>
            <w:vAlign w:val="top"/>
          </w:tcPr>
          <w:p w14:paraId="5195BCBC">
            <w:pPr>
              <w:spacing w:line="241" w:lineRule="auto"/>
              <w:rPr>
                <w:rFonts w:ascii="Arial"/>
                <w:sz w:val="21"/>
              </w:rPr>
            </w:pPr>
          </w:p>
          <w:p w14:paraId="58F9C344">
            <w:pPr>
              <w:spacing w:line="241" w:lineRule="auto"/>
              <w:rPr>
                <w:rFonts w:ascii="Arial"/>
                <w:sz w:val="21"/>
              </w:rPr>
            </w:pPr>
          </w:p>
          <w:p w14:paraId="0433F67F">
            <w:pPr>
              <w:spacing w:line="241" w:lineRule="auto"/>
              <w:rPr>
                <w:rFonts w:ascii="Arial"/>
                <w:sz w:val="21"/>
              </w:rPr>
            </w:pPr>
          </w:p>
          <w:p w14:paraId="7E5B1B4B">
            <w:pPr>
              <w:spacing w:line="241" w:lineRule="auto"/>
              <w:rPr>
                <w:rFonts w:ascii="Arial"/>
                <w:sz w:val="21"/>
              </w:rPr>
            </w:pPr>
          </w:p>
          <w:p w14:paraId="29C1F529">
            <w:pPr>
              <w:spacing w:line="242" w:lineRule="auto"/>
              <w:rPr>
                <w:rFonts w:ascii="Arial"/>
                <w:sz w:val="21"/>
              </w:rPr>
            </w:pPr>
          </w:p>
          <w:p w14:paraId="2B7F4CB2">
            <w:pPr>
              <w:spacing w:line="242" w:lineRule="auto"/>
              <w:rPr>
                <w:rFonts w:ascii="Arial"/>
                <w:sz w:val="21"/>
              </w:rPr>
            </w:pPr>
          </w:p>
          <w:p w14:paraId="000A7B33">
            <w:pPr>
              <w:spacing w:line="242" w:lineRule="auto"/>
              <w:rPr>
                <w:rFonts w:ascii="Arial"/>
                <w:sz w:val="21"/>
              </w:rPr>
            </w:pPr>
          </w:p>
          <w:p w14:paraId="2403EBC1">
            <w:pPr>
              <w:spacing w:before="75" w:line="188" w:lineRule="auto"/>
              <w:ind w:left="293"/>
              <w:rPr>
                <w:rFonts w:ascii="宋体" w:hAnsi="宋体" w:eastAsia="宋体" w:cs="宋体"/>
                <w:sz w:val="23"/>
                <w:szCs w:val="23"/>
              </w:rPr>
            </w:pPr>
            <w:r>
              <w:rPr>
                <w:rFonts w:ascii="宋体" w:hAnsi="宋体" w:eastAsia="宋体" w:cs="宋体"/>
                <w:spacing w:val="-3"/>
                <w:sz w:val="23"/>
                <w:szCs w:val="23"/>
              </w:rPr>
              <w:t>26</w:t>
            </w:r>
          </w:p>
        </w:tc>
      </w:tr>
    </w:tbl>
    <w:p w14:paraId="53109384">
      <w:pPr>
        <w:pStyle w:val="2"/>
        <w:spacing w:line="227" w:lineRule="exact"/>
        <w:rPr>
          <w:sz w:val="19"/>
        </w:rPr>
      </w:pPr>
    </w:p>
    <w:p w14:paraId="7B4BBE19">
      <w:pPr>
        <w:spacing w:line="227" w:lineRule="exact"/>
        <w:rPr>
          <w:sz w:val="19"/>
          <w:szCs w:val="19"/>
        </w:rPr>
        <w:sectPr>
          <w:footerReference r:id="rId51" w:type="default"/>
          <w:pgSz w:w="16839" w:h="11906"/>
          <w:pgMar w:top="1012" w:right="821" w:bottom="666" w:left="901" w:header="0" w:footer="388" w:gutter="0"/>
          <w:cols w:space="720" w:num="1"/>
        </w:sectPr>
      </w:pPr>
    </w:p>
    <w:p w14:paraId="39928668">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814E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19E047A">
            <w:pPr>
              <w:spacing w:before="222" w:line="241" w:lineRule="auto"/>
              <w:ind w:left="131"/>
              <w:rPr>
                <w:rFonts w:ascii="黑体" w:hAnsi="黑体" w:eastAsia="黑体" w:cs="黑体"/>
                <w:sz w:val="28"/>
                <w:szCs w:val="28"/>
              </w:rPr>
            </w:pPr>
            <w:bookmarkStart w:id="418" w:name="bookmark498"/>
            <w:bookmarkEnd w:id="418"/>
            <w:r>
              <w:rPr>
                <w:rFonts w:ascii="黑体" w:hAnsi="黑体" w:eastAsia="黑体" w:cs="黑体"/>
                <w:spacing w:val="-2"/>
                <w:sz w:val="28"/>
                <w:szCs w:val="28"/>
              </w:rPr>
              <w:t>序号</w:t>
            </w:r>
          </w:p>
        </w:tc>
        <w:tc>
          <w:tcPr>
            <w:tcW w:w="1440" w:type="dxa"/>
            <w:vAlign w:val="top"/>
          </w:tcPr>
          <w:p w14:paraId="230D046A">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2615A8C">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C591FFA">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9ED5BE7">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F710076">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1B6C89F">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06AA5DF">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14E8D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7" w:hRule="atLeast"/>
        </w:trPr>
        <w:tc>
          <w:tcPr>
            <w:tcW w:w="818" w:type="dxa"/>
            <w:vMerge w:val="restart"/>
            <w:tcBorders>
              <w:bottom w:val="nil"/>
            </w:tcBorders>
            <w:vAlign w:val="top"/>
          </w:tcPr>
          <w:p w14:paraId="1ECB3387">
            <w:pPr>
              <w:rPr>
                <w:rFonts w:ascii="Arial"/>
                <w:sz w:val="21"/>
              </w:rPr>
            </w:pPr>
          </w:p>
        </w:tc>
        <w:tc>
          <w:tcPr>
            <w:tcW w:w="1440" w:type="dxa"/>
            <w:vMerge w:val="restart"/>
            <w:tcBorders>
              <w:bottom w:val="nil"/>
            </w:tcBorders>
            <w:vAlign w:val="top"/>
          </w:tcPr>
          <w:p w14:paraId="3C16C0A6">
            <w:pPr>
              <w:rPr>
                <w:rFonts w:ascii="Arial"/>
                <w:sz w:val="21"/>
              </w:rPr>
            </w:pPr>
          </w:p>
        </w:tc>
        <w:tc>
          <w:tcPr>
            <w:tcW w:w="3202" w:type="dxa"/>
            <w:vMerge w:val="restart"/>
            <w:tcBorders>
              <w:bottom w:val="nil"/>
            </w:tcBorders>
            <w:vAlign w:val="top"/>
          </w:tcPr>
          <w:p w14:paraId="6EDF79D0">
            <w:pPr>
              <w:pStyle w:val="6"/>
              <w:spacing w:before="32" w:line="182" w:lineRule="auto"/>
              <w:ind w:left="123" w:right="97" w:hanging="5"/>
              <w:jc w:val="both"/>
            </w:pPr>
            <w:r>
              <w:rPr>
                <w:rFonts w:ascii="宋体" w:hAnsi="宋体" w:eastAsia="宋体" w:cs="宋体"/>
                <w:spacing w:val="15"/>
              </w:rPr>
              <w:t>3.</w:t>
            </w:r>
            <w:r>
              <w:rPr>
                <w:spacing w:val="15"/>
              </w:rPr>
              <w:t>【部门规章】《危险化学</w:t>
            </w:r>
            <w:r>
              <w:rPr>
                <w:spacing w:val="17"/>
              </w:rPr>
              <w:t>品输送管道安全管理规定》</w:t>
            </w:r>
            <w:r>
              <w:rPr>
                <w:spacing w:val="13"/>
              </w:rPr>
              <w:t>第十五条：危险化学品管道</w:t>
            </w:r>
            <w:r>
              <w:rPr>
                <w:spacing w:val="16"/>
              </w:rPr>
              <w:t>应当设置明显标志。发现标</w:t>
            </w:r>
            <w:r>
              <w:rPr>
                <w:spacing w:val="12"/>
              </w:rPr>
              <w:t>志毁损的，管道单位应当及</w:t>
            </w:r>
            <w:r>
              <w:rPr>
                <w:spacing w:val="4"/>
              </w:rPr>
              <w:t>时予以修复或者更新。</w:t>
            </w:r>
          </w:p>
          <w:p w14:paraId="318F6120">
            <w:pPr>
              <w:pStyle w:val="6"/>
              <w:spacing w:before="4" w:line="182" w:lineRule="auto"/>
              <w:ind w:left="117" w:right="111" w:hanging="5"/>
            </w:pPr>
            <w:r>
              <w:rPr>
                <w:rFonts w:ascii="宋体" w:hAnsi="宋体" w:eastAsia="宋体" w:cs="宋体"/>
                <w:spacing w:val="16"/>
              </w:rPr>
              <w:t>4.</w:t>
            </w:r>
            <w:r>
              <w:rPr>
                <w:spacing w:val="16"/>
              </w:rPr>
              <w:t>【部门规章】《工贸企业</w:t>
            </w:r>
            <w:r>
              <w:rPr>
                <w:spacing w:val="14"/>
              </w:rPr>
              <w:t>粉尘防爆安全规定》第十一</w:t>
            </w:r>
            <w:r>
              <w:rPr>
                <w:spacing w:val="13"/>
              </w:rPr>
              <w:t>条第二款：粉尘涉爆企业应</w:t>
            </w:r>
            <w:r>
              <w:rPr>
                <w:spacing w:val="17"/>
              </w:rPr>
              <w:t>当在粉尘爆炸较大危险因素的工艺、场所、设施设备和</w:t>
            </w:r>
            <w:r>
              <w:rPr>
                <w:spacing w:val="5"/>
              </w:rPr>
              <w:t>岗位，设置安全警示标志。</w:t>
            </w:r>
          </w:p>
          <w:p w14:paraId="7FD250C2">
            <w:pPr>
              <w:pStyle w:val="6"/>
              <w:spacing w:before="3" w:line="186" w:lineRule="auto"/>
              <w:ind w:left="117" w:right="111"/>
            </w:pPr>
            <w:r>
              <w:rPr>
                <w:rFonts w:ascii="宋体" w:hAnsi="宋体" w:eastAsia="宋体" w:cs="宋体"/>
                <w:spacing w:val="15"/>
              </w:rPr>
              <w:t>5.</w:t>
            </w:r>
            <w:r>
              <w:rPr>
                <w:spacing w:val="15"/>
              </w:rPr>
              <w:t>【部门规章】《工贸企业</w:t>
            </w:r>
            <w:r>
              <w:rPr>
                <w:spacing w:val="17"/>
              </w:rPr>
              <w:t>有限空间作业安全规定》第</w:t>
            </w:r>
            <w:r>
              <w:rPr>
                <w:spacing w:val="13"/>
              </w:rPr>
              <w:t>十一条：工贸企业应当在有</w:t>
            </w:r>
            <w:r>
              <w:rPr>
                <w:spacing w:val="17"/>
              </w:rPr>
              <w:t>限空间出入口等醒目位置设</w:t>
            </w:r>
            <w:r>
              <w:rPr>
                <w:spacing w:val="13"/>
              </w:rPr>
              <w:t>置明显的安全警示标志，并</w:t>
            </w:r>
            <w:r>
              <w:rPr>
                <w:spacing w:val="17"/>
              </w:rPr>
              <w:t>在具备条件的场所设置安全</w:t>
            </w:r>
            <w:r>
              <w:rPr>
                <w:spacing w:val="1"/>
              </w:rPr>
              <w:t>风险告知牌。</w:t>
            </w:r>
          </w:p>
        </w:tc>
        <w:tc>
          <w:tcPr>
            <w:tcW w:w="2859" w:type="dxa"/>
            <w:vMerge w:val="restart"/>
            <w:tcBorders>
              <w:bottom w:val="nil"/>
            </w:tcBorders>
            <w:vAlign w:val="top"/>
          </w:tcPr>
          <w:p w14:paraId="448ABAA2">
            <w:pPr>
              <w:pStyle w:val="6"/>
              <w:spacing w:before="32" w:line="182" w:lineRule="auto"/>
              <w:ind w:left="98" w:right="110" w:firstLine="20"/>
            </w:pPr>
            <w:r>
              <w:rPr>
                <w:spacing w:val="8"/>
              </w:rPr>
              <w:t>构成犯罪的，依照刑法有</w:t>
            </w:r>
            <w:r>
              <w:rPr>
                <w:spacing w:val="29"/>
              </w:rPr>
              <w:t>关规定追究刑事责任：</w:t>
            </w:r>
            <w:r>
              <w:t>（一）未在有较大危险因</w:t>
            </w:r>
            <w:r>
              <w:rPr>
                <w:spacing w:val="10"/>
              </w:rPr>
              <w:t>素的生产经营场所和有关设施、设备上设置明显的</w:t>
            </w:r>
            <w:r>
              <w:rPr>
                <w:spacing w:val="4"/>
              </w:rPr>
              <w:t>安全警示标志的；</w:t>
            </w:r>
          </w:p>
          <w:p w14:paraId="35FECDF1">
            <w:pPr>
              <w:pStyle w:val="6"/>
              <w:spacing w:before="11" w:line="182" w:lineRule="auto"/>
              <w:ind w:left="116" w:right="105"/>
              <w:jc w:val="both"/>
            </w:pPr>
            <w:r>
              <w:rPr>
                <w:rFonts w:ascii="宋体" w:hAnsi="宋体" w:eastAsia="宋体" w:cs="宋体"/>
                <w:spacing w:val="7"/>
              </w:rPr>
              <w:t>2.</w:t>
            </w:r>
            <w:r>
              <w:rPr>
                <w:spacing w:val="7"/>
              </w:rPr>
              <w:t>【行政法规】《危险化</w:t>
            </w:r>
            <w:r>
              <w:rPr>
                <w:spacing w:val="8"/>
              </w:rPr>
              <w:t>学品安全管理条例》第七十八条第一款第八项：有下列情形之一的，由安全生产监督管理部门责令改</w:t>
            </w:r>
            <w:r>
              <w:rPr>
                <w:spacing w:val="5"/>
              </w:rPr>
              <w:t>正，可以处</w:t>
            </w:r>
            <w:r>
              <w:rPr>
                <w:rFonts w:ascii="宋体" w:hAnsi="宋体" w:eastAsia="宋体" w:cs="宋体"/>
                <w:spacing w:val="5"/>
              </w:rPr>
              <w:t>5</w:t>
            </w:r>
            <w:r>
              <w:rPr>
                <w:spacing w:val="5"/>
              </w:rPr>
              <w:t>万元以下的</w:t>
            </w:r>
            <w:r>
              <w:rPr>
                <w:spacing w:val="6"/>
              </w:rPr>
              <w:t>罚款；拒不改正的，处</w:t>
            </w:r>
            <w:r>
              <w:rPr>
                <w:rFonts w:ascii="宋体" w:hAnsi="宋体" w:eastAsia="宋体" w:cs="宋体"/>
                <w:spacing w:val="6"/>
              </w:rPr>
              <w:t>5</w:t>
            </w:r>
            <w:r>
              <w:rPr>
                <w:spacing w:val="9"/>
              </w:rPr>
              <w:t>万元以上</w:t>
            </w:r>
            <w:r>
              <w:rPr>
                <w:rFonts w:ascii="宋体" w:hAnsi="宋体" w:eastAsia="宋体" w:cs="宋体"/>
                <w:spacing w:val="9"/>
              </w:rPr>
              <w:t>10</w:t>
            </w:r>
            <w:r>
              <w:rPr>
                <w:spacing w:val="9"/>
              </w:rPr>
              <w:t>万元以下的</w:t>
            </w:r>
            <w:r>
              <w:rPr>
                <w:spacing w:val="8"/>
              </w:rPr>
              <w:t>罚款；情节严重的，责令</w:t>
            </w:r>
            <w:r>
              <w:t>停产停业整顿</w:t>
            </w:r>
            <w:r>
              <w:rPr>
                <w:spacing w:val="3"/>
              </w:rPr>
              <w:t>：（</w:t>
            </w:r>
            <w:r>
              <w:t>八）生</w:t>
            </w:r>
            <w:r>
              <w:rPr>
                <w:spacing w:val="8"/>
              </w:rPr>
              <w:t>产、储存危险化学品的单位未在作业场所和安全设施、设备上设置明显的安全警示标志，或者未在作业场所设置通信、报警装</w:t>
            </w:r>
            <w:r>
              <w:rPr>
                <w:spacing w:val="-7"/>
              </w:rPr>
              <w:t>置的；</w:t>
            </w:r>
          </w:p>
          <w:p w14:paraId="1A22F76F">
            <w:pPr>
              <w:pStyle w:val="6"/>
              <w:spacing w:before="10" w:line="179" w:lineRule="auto"/>
              <w:ind w:left="116" w:right="110" w:firstLine="1"/>
              <w:jc w:val="both"/>
            </w:pPr>
            <w:r>
              <w:rPr>
                <w:rFonts w:ascii="宋体" w:hAnsi="宋体" w:eastAsia="宋体" w:cs="宋体"/>
                <w:spacing w:val="7"/>
              </w:rPr>
              <w:t>3.</w:t>
            </w:r>
            <w:r>
              <w:rPr>
                <w:spacing w:val="7"/>
              </w:rPr>
              <w:t>【部门规章】《危险化</w:t>
            </w:r>
            <w:r>
              <w:rPr>
                <w:spacing w:val="8"/>
              </w:rPr>
              <w:t>学品输送管道安全管理规定》第三十四条：管道单位未对危险化学品管道设</w:t>
            </w:r>
            <w:r>
              <w:rPr>
                <w:spacing w:val="32"/>
              </w:rPr>
              <w:t>置明显的安全警示标志</w:t>
            </w:r>
            <w:r>
              <w:rPr>
                <w:spacing w:val="8"/>
              </w:rPr>
              <w:t>的，由安全生产监督管理部门责令限期改正，可以</w:t>
            </w:r>
            <w:r>
              <w:rPr>
                <w:spacing w:val="4"/>
              </w:rPr>
              <w:t>处</w:t>
            </w:r>
            <w:r>
              <w:rPr>
                <w:rFonts w:ascii="宋体" w:hAnsi="宋体" w:eastAsia="宋体" w:cs="宋体"/>
                <w:spacing w:val="4"/>
              </w:rPr>
              <w:t>5</w:t>
            </w:r>
            <w:r>
              <w:rPr>
                <w:spacing w:val="4"/>
              </w:rPr>
              <w:t>万元以下的罚款；逾</w:t>
            </w:r>
          </w:p>
        </w:tc>
        <w:tc>
          <w:tcPr>
            <w:tcW w:w="803" w:type="dxa"/>
            <w:vAlign w:val="top"/>
          </w:tcPr>
          <w:p w14:paraId="1C76E2A2">
            <w:pPr>
              <w:spacing w:line="253" w:lineRule="auto"/>
              <w:rPr>
                <w:rFonts w:ascii="Arial"/>
                <w:sz w:val="21"/>
              </w:rPr>
            </w:pPr>
          </w:p>
          <w:p w14:paraId="30B0F7C9">
            <w:pPr>
              <w:spacing w:line="253" w:lineRule="auto"/>
              <w:rPr>
                <w:rFonts w:ascii="Arial"/>
                <w:sz w:val="21"/>
              </w:rPr>
            </w:pPr>
          </w:p>
          <w:p w14:paraId="2F9285A2">
            <w:pPr>
              <w:spacing w:line="253" w:lineRule="auto"/>
              <w:rPr>
                <w:rFonts w:ascii="Arial"/>
                <w:sz w:val="21"/>
              </w:rPr>
            </w:pPr>
          </w:p>
          <w:p w14:paraId="1B446961">
            <w:pPr>
              <w:spacing w:line="254" w:lineRule="auto"/>
              <w:rPr>
                <w:rFonts w:ascii="Arial"/>
                <w:sz w:val="21"/>
              </w:rPr>
            </w:pPr>
          </w:p>
          <w:p w14:paraId="61AD5E5D">
            <w:pPr>
              <w:spacing w:line="254" w:lineRule="auto"/>
              <w:rPr>
                <w:rFonts w:ascii="Arial"/>
                <w:sz w:val="21"/>
              </w:rPr>
            </w:pPr>
          </w:p>
          <w:p w14:paraId="60BEA540">
            <w:pPr>
              <w:spacing w:line="254" w:lineRule="auto"/>
              <w:rPr>
                <w:rFonts w:ascii="Arial"/>
                <w:sz w:val="21"/>
              </w:rPr>
            </w:pPr>
          </w:p>
          <w:p w14:paraId="4F9BF1E4">
            <w:pPr>
              <w:spacing w:line="254" w:lineRule="auto"/>
              <w:rPr>
                <w:rFonts w:ascii="Arial"/>
                <w:sz w:val="21"/>
              </w:rPr>
            </w:pPr>
          </w:p>
          <w:p w14:paraId="6CE0F395">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497841B">
            <w:pPr>
              <w:spacing w:line="319" w:lineRule="auto"/>
              <w:rPr>
                <w:rFonts w:ascii="Arial"/>
                <w:sz w:val="21"/>
              </w:rPr>
            </w:pPr>
          </w:p>
          <w:p w14:paraId="528B3E6A">
            <w:pPr>
              <w:spacing w:line="319" w:lineRule="auto"/>
              <w:rPr>
                <w:rFonts w:ascii="Arial"/>
                <w:sz w:val="21"/>
              </w:rPr>
            </w:pPr>
          </w:p>
          <w:p w14:paraId="6E5190F2">
            <w:pPr>
              <w:spacing w:line="319" w:lineRule="auto"/>
              <w:rPr>
                <w:rFonts w:ascii="Arial"/>
                <w:sz w:val="21"/>
              </w:rPr>
            </w:pPr>
          </w:p>
          <w:p w14:paraId="09915B92">
            <w:pPr>
              <w:pStyle w:val="6"/>
              <w:spacing w:before="99" w:line="187" w:lineRule="auto"/>
              <w:ind w:left="116" w:right="105" w:firstLine="1"/>
              <w:jc w:val="both"/>
            </w:pPr>
            <w:r>
              <w:rPr>
                <w:spacing w:val="26"/>
              </w:rPr>
              <w:t>未在有较大危险因素的生产经营场所</w:t>
            </w:r>
            <w:r>
              <w:rPr>
                <w:spacing w:val="-2"/>
              </w:rPr>
              <w:t>和有关设施、设备上</w:t>
            </w:r>
            <w:r>
              <w:rPr>
                <w:spacing w:val="26"/>
              </w:rPr>
              <w:t>设置明显的安全警</w:t>
            </w:r>
            <w:r>
              <w:rPr>
                <w:spacing w:val="-5"/>
              </w:rPr>
              <w:t>示标志，涉及</w:t>
            </w:r>
            <w:r>
              <w:rPr>
                <w:rFonts w:ascii="宋体" w:hAnsi="宋体" w:eastAsia="宋体" w:cs="宋体"/>
                <w:spacing w:val="-5"/>
              </w:rPr>
              <w:t>3</w:t>
            </w:r>
            <w:r>
              <w:rPr>
                <w:spacing w:val="-5"/>
              </w:rPr>
              <w:t>处以</w:t>
            </w:r>
            <w:r>
              <w:rPr>
                <w:spacing w:val="2"/>
              </w:rPr>
              <w:t>上</w:t>
            </w:r>
            <w:r>
              <w:rPr>
                <w:rFonts w:ascii="宋体" w:hAnsi="宋体" w:eastAsia="宋体" w:cs="宋体"/>
                <w:spacing w:val="2"/>
              </w:rPr>
              <w:t>7</w:t>
            </w:r>
            <w:r>
              <w:rPr>
                <w:spacing w:val="2"/>
              </w:rPr>
              <w:t>处以下的</w:t>
            </w:r>
          </w:p>
        </w:tc>
        <w:tc>
          <w:tcPr>
            <w:tcW w:w="2894" w:type="dxa"/>
            <w:vAlign w:val="top"/>
          </w:tcPr>
          <w:p w14:paraId="79E503BA">
            <w:pPr>
              <w:spacing w:line="260" w:lineRule="auto"/>
              <w:rPr>
                <w:rFonts w:ascii="Arial"/>
                <w:sz w:val="21"/>
              </w:rPr>
            </w:pPr>
          </w:p>
          <w:p w14:paraId="39DF4140">
            <w:pPr>
              <w:spacing w:line="260" w:lineRule="auto"/>
              <w:rPr>
                <w:rFonts w:ascii="Arial"/>
                <w:sz w:val="21"/>
              </w:rPr>
            </w:pPr>
          </w:p>
          <w:p w14:paraId="06E7B959">
            <w:pPr>
              <w:pStyle w:val="6"/>
              <w:spacing w:before="99" w:line="185" w:lineRule="auto"/>
              <w:ind w:left="117" w:right="73" w:firstLine="10"/>
            </w:pPr>
            <w:r>
              <w:rPr>
                <w:spacing w:val="4"/>
              </w:rPr>
              <w:t>责令限期改正，处</w:t>
            </w:r>
            <w:r>
              <w:rPr>
                <w:rFonts w:ascii="宋体" w:hAnsi="宋体" w:eastAsia="宋体" w:cs="宋体"/>
                <w:spacing w:val="4"/>
              </w:rPr>
              <w:t>2</w:t>
            </w:r>
            <w:r>
              <w:rPr>
                <w:spacing w:val="4"/>
              </w:rPr>
              <w:t>万元</w:t>
            </w:r>
            <w:r>
              <w:rPr>
                <w:spacing w:val="3"/>
              </w:rPr>
              <w:t>以上</w:t>
            </w:r>
            <w:r>
              <w:rPr>
                <w:rFonts w:ascii="宋体" w:hAnsi="宋体" w:eastAsia="宋体" w:cs="宋体"/>
                <w:spacing w:val="3"/>
              </w:rPr>
              <w:t>4</w:t>
            </w:r>
            <w:r>
              <w:rPr>
                <w:spacing w:val="3"/>
              </w:rPr>
              <w:t>万元以下的罚款；</w:t>
            </w:r>
            <w:r>
              <w:rPr>
                <w:spacing w:val="-4"/>
              </w:rPr>
              <w:t>逾期未改正的，处</w:t>
            </w:r>
            <w:r>
              <w:rPr>
                <w:rFonts w:ascii="宋体" w:hAnsi="宋体" w:eastAsia="宋体" w:cs="宋体"/>
                <w:spacing w:val="-4"/>
              </w:rPr>
              <w:t>10</w:t>
            </w:r>
            <w:r>
              <w:rPr>
                <w:spacing w:val="-4"/>
              </w:rPr>
              <w:t>万元</w:t>
            </w:r>
            <w:r>
              <w:rPr>
                <w:spacing w:val="-1"/>
              </w:rPr>
              <w:t>以上</w:t>
            </w:r>
            <w:r>
              <w:rPr>
                <w:rFonts w:ascii="宋体" w:hAnsi="宋体" w:eastAsia="宋体" w:cs="宋体"/>
                <w:spacing w:val="-1"/>
              </w:rPr>
              <w:t>15</w:t>
            </w:r>
            <w:r>
              <w:rPr>
                <w:spacing w:val="-1"/>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万元以上</w:t>
            </w:r>
            <w:r>
              <w:rPr>
                <w:rFonts w:ascii="宋体" w:hAnsi="宋体" w:eastAsia="宋体" w:cs="宋体"/>
                <w:spacing w:val="7"/>
              </w:rPr>
              <w:t>2</w:t>
            </w:r>
            <w:r>
              <w:rPr>
                <w:spacing w:val="7"/>
              </w:rPr>
              <w:t>万元以下的罚</w:t>
            </w:r>
            <w:r>
              <w:rPr>
                <w:spacing w:val="4"/>
              </w:rPr>
              <w:t>款；情节严重的，责令停</w:t>
            </w:r>
            <w:r>
              <w:rPr>
                <w:spacing w:val="7"/>
              </w:rPr>
              <w:t>产停业整顿</w:t>
            </w:r>
          </w:p>
        </w:tc>
        <w:tc>
          <w:tcPr>
            <w:tcW w:w="811" w:type="dxa"/>
            <w:vMerge w:val="restart"/>
            <w:tcBorders>
              <w:bottom w:val="nil"/>
            </w:tcBorders>
            <w:vAlign w:val="top"/>
          </w:tcPr>
          <w:p w14:paraId="6E9DB5CE">
            <w:pPr>
              <w:rPr>
                <w:rFonts w:ascii="Arial"/>
                <w:sz w:val="21"/>
              </w:rPr>
            </w:pPr>
          </w:p>
        </w:tc>
      </w:tr>
      <w:tr w14:paraId="4841C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1" w:hRule="atLeast"/>
        </w:trPr>
        <w:tc>
          <w:tcPr>
            <w:tcW w:w="818" w:type="dxa"/>
            <w:vMerge w:val="continue"/>
            <w:tcBorders>
              <w:top w:val="nil"/>
            </w:tcBorders>
            <w:vAlign w:val="top"/>
          </w:tcPr>
          <w:p w14:paraId="301F3398">
            <w:pPr>
              <w:rPr>
                <w:rFonts w:ascii="Arial"/>
                <w:sz w:val="21"/>
              </w:rPr>
            </w:pPr>
          </w:p>
        </w:tc>
        <w:tc>
          <w:tcPr>
            <w:tcW w:w="1440" w:type="dxa"/>
            <w:vMerge w:val="continue"/>
            <w:tcBorders>
              <w:top w:val="nil"/>
            </w:tcBorders>
            <w:vAlign w:val="top"/>
          </w:tcPr>
          <w:p w14:paraId="1A2AB83C">
            <w:pPr>
              <w:rPr>
                <w:rFonts w:ascii="Arial"/>
                <w:sz w:val="21"/>
              </w:rPr>
            </w:pPr>
          </w:p>
        </w:tc>
        <w:tc>
          <w:tcPr>
            <w:tcW w:w="3202" w:type="dxa"/>
            <w:vMerge w:val="continue"/>
            <w:tcBorders>
              <w:top w:val="nil"/>
            </w:tcBorders>
            <w:vAlign w:val="top"/>
          </w:tcPr>
          <w:p w14:paraId="065719EE">
            <w:pPr>
              <w:rPr>
                <w:rFonts w:ascii="Arial"/>
                <w:sz w:val="21"/>
              </w:rPr>
            </w:pPr>
          </w:p>
        </w:tc>
        <w:tc>
          <w:tcPr>
            <w:tcW w:w="2859" w:type="dxa"/>
            <w:vMerge w:val="continue"/>
            <w:tcBorders>
              <w:top w:val="nil"/>
            </w:tcBorders>
            <w:vAlign w:val="top"/>
          </w:tcPr>
          <w:p w14:paraId="623040B4">
            <w:pPr>
              <w:rPr>
                <w:rFonts w:ascii="Arial"/>
                <w:sz w:val="21"/>
              </w:rPr>
            </w:pPr>
          </w:p>
        </w:tc>
        <w:tc>
          <w:tcPr>
            <w:tcW w:w="803" w:type="dxa"/>
            <w:vAlign w:val="top"/>
          </w:tcPr>
          <w:p w14:paraId="4B8CC68E">
            <w:pPr>
              <w:spacing w:line="265" w:lineRule="auto"/>
              <w:rPr>
                <w:rFonts w:ascii="Arial"/>
                <w:sz w:val="21"/>
              </w:rPr>
            </w:pPr>
          </w:p>
          <w:p w14:paraId="3FA1EF9B">
            <w:pPr>
              <w:spacing w:line="265" w:lineRule="auto"/>
              <w:rPr>
                <w:rFonts w:ascii="Arial"/>
                <w:sz w:val="21"/>
              </w:rPr>
            </w:pPr>
          </w:p>
          <w:p w14:paraId="51E4D113">
            <w:pPr>
              <w:spacing w:line="266" w:lineRule="auto"/>
              <w:rPr>
                <w:rFonts w:ascii="Arial"/>
                <w:sz w:val="21"/>
              </w:rPr>
            </w:pPr>
          </w:p>
          <w:p w14:paraId="1EF83D37">
            <w:pPr>
              <w:spacing w:line="266" w:lineRule="auto"/>
              <w:rPr>
                <w:rFonts w:ascii="Arial"/>
                <w:sz w:val="21"/>
              </w:rPr>
            </w:pPr>
          </w:p>
          <w:p w14:paraId="16517F9E">
            <w:pPr>
              <w:spacing w:line="266" w:lineRule="auto"/>
              <w:rPr>
                <w:rFonts w:ascii="Arial"/>
                <w:sz w:val="21"/>
              </w:rPr>
            </w:pPr>
          </w:p>
          <w:p w14:paraId="5E4A9D97">
            <w:pPr>
              <w:spacing w:line="266" w:lineRule="auto"/>
              <w:rPr>
                <w:rFonts w:ascii="Arial"/>
                <w:sz w:val="21"/>
              </w:rPr>
            </w:pPr>
          </w:p>
          <w:p w14:paraId="400D8288">
            <w:pPr>
              <w:spacing w:line="266" w:lineRule="auto"/>
              <w:rPr>
                <w:rFonts w:ascii="Arial"/>
                <w:sz w:val="21"/>
              </w:rPr>
            </w:pPr>
          </w:p>
          <w:p w14:paraId="64FBF0A5">
            <w:pPr>
              <w:spacing w:line="266" w:lineRule="auto"/>
              <w:rPr>
                <w:rFonts w:ascii="Arial"/>
                <w:sz w:val="21"/>
              </w:rPr>
            </w:pPr>
          </w:p>
          <w:p w14:paraId="54CCF64C">
            <w:pPr>
              <w:spacing w:line="266" w:lineRule="auto"/>
              <w:rPr>
                <w:rFonts w:ascii="Arial"/>
                <w:sz w:val="21"/>
              </w:rPr>
            </w:pPr>
          </w:p>
          <w:p w14:paraId="0DABD15F">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3E1F21F">
            <w:pPr>
              <w:spacing w:line="264" w:lineRule="auto"/>
              <w:rPr>
                <w:rFonts w:ascii="Arial"/>
                <w:sz w:val="21"/>
              </w:rPr>
            </w:pPr>
          </w:p>
          <w:p w14:paraId="4CDA16AF">
            <w:pPr>
              <w:spacing w:line="264" w:lineRule="auto"/>
              <w:rPr>
                <w:rFonts w:ascii="Arial"/>
                <w:sz w:val="21"/>
              </w:rPr>
            </w:pPr>
          </w:p>
          <w:p w14:paraId="6F514667">
            <w:pPr>
              <w:spacing w:line="264" w:lineRule="auto"/>
              <w:rPr>
                <w:rFonts w:ascii="Arial"/>
                <w:sz w:val="21"/>
              </w:rPr>
            </w:pPr>
          </w:p>
          <w:p w14:paraId="5F6227CD">
            <w:pPr>
              <w:spacing w:line="264" w:lineRule="auto"/>
              <w:rPr>
                <w:rFonts w:ascii="Arial"/>
                <w:sz w:val="21"/>
              </w:rPr>
            </w:pPr>
          </w:p>
          <w:p w14:paraId="236907F7">
            <w:pPr>
              <w:spacing w:line="264" w:lineRule="auto"/>
              <w:rPr>
                <w:rFonts w:ascii="Arial"/>
                <w:sz w:val="21"/>
              </w:rPr>
            </w:pPr>
          </w:p>
          <w:p w14:paraId="110B410B">
            <w:pPr>
              <w:spacing w:line="265" w:lineRule="auto"/>
              <w:rPr>
                <w:rFonts w:ascii="Arial"/>
                <w:sz w:val="21"/>
              </w:rPr>
            </w:pPr>
          </w:p>
          <w:p w14:paraId="2F159914">
            <w:pPr>
              <w:pStyle w:val="6"/>
              <w:spacing w:before="98" w:line="187" w:lineRule="auto"/>
              <w:ind w:left="116" w:right="105" w:firstLine="1"/>
              <w:jc w:val="both"/>
            </w:pPr>
            <w:r>
              <w:rPr>
                <w:spacing w:val="26"/>
              </w:rPr>
              <w:t>未在有较大危险因素的生产经营场所</w:t>
            </w:r>
            <w:r>
              <w:rPr>
                <w:spacing w:val="-2"/>
              </w:rPr>
              <w:t>和有关设施、设备上</w:t>
            </w:r>
            <w:r>
              <w:rPr>
                <w:spacing w:val="26"/>
              </w:rPr>
              <w:t>设置明显的安全警</w:t>
            </w:r>
            <w:r>
              <w:rPr>
                <w:spacing w:val="-5"/>
              </w:rPr>
              <w:t>示标志，涉及</w:t>
            </w:r>
            <w:r>
              <w:rPr>
                <w:rFonts w:ascii="宋体" w:hAnsi="宋体" w:eastAsia="宋体" w:cs="宋体"/>
                <w:spacing w:val="-5"/>
              </w:rPr>
              <w:t>7</w:t>
            </w:r>
            <w:r>
              <w:rPr>
                <w:spacing w:val="-5"/>
              </w:rPr>
              <w:t>处以</w:t>
            </w:r>
            <w:r>
              <w:rPr>
                <w:spacing w:val="3"/>
              </w:rPr>
              <w:t>上的</w:t>
            </w:r>
          </w:p>
        </w:tc>
        <w:tc>
          <w:tcPr>
            <w:tcW w:w="2894" w:type="dxa"/>
            <w:vAlign w:val="top"/>
          </w:tcPr>
          <w:p w14:paraId="41A4767B">
            <w:pPr>
              <w:spacing w:line="284" w:lineRule="auto"/>
              <w:rPr>
                <w:rFonts w:ascii="Arial"/>
                <w:sz w:val="21"/>
              </w:rPr>
            </w:pPr>
          </w:p>
          <w:p w14:paraId="1EC0E96E">
            <w:pPr>
              <w:spacing w:line="285" w:lineRule="auto"/>
              <w:rPr>
                <w:rFonts w:ascii="Arial"/>
                <w:sz w:val="21"/>
              </w:rPr>
            </w:pPr>
          </w:p>
          <w:p w14:paraId="37B34138">
            <w:pPr>
              <w:spacing w:line="285" w:lineRule="auto"/>
              <w:rPr>
                <w:rFonts w:ascii="Arial"/>
                <w:sz w:val="21"/>
              </w:rPr>
            </w:pPr>
          </w:p>
          <w:p w14:paraId="636789B1">
            <w:pPr>
              <w:spacing w:line="285" w:lineRule="auto"/>
              <w:rPr>
                <w:rFonts w:ascii="Arial"/>
                <w:sz w:val="21"/>
              </w:rPr>
            </w:pPr>
          </w:p>
          <w:p w14:paraId="5721A3AA">
            <w:pPr>
              <w:pStyle w:val="6"/>
              <w:spacing w:before="99" w:line="185" w:lineRule="auto"/>
              <w:ind w:left="117" w:right="73" w:firstLine="10"/>
            </w:pPr>
            <w:r>
              <w:rPr>
                <w:spacing w:val="4"/>
              </w:rPr>
              <w:t>责令限期改正，处</w:t>
            </w:r>
            <w:r>
              <w:rPr>
                <w:rFonts w:ascii="宋体" w:hAnsi="宋体" w:eastAsia="宋体" w:cs="宋体"/>
                <w:spacing w:val="4"/>
              </w:rPr>
              <w:t>4</w:t>
            </w:r>
            <w:r>
              <w:rPr>
                <w:spacing w:val="4"/>
              </w:rPr>
              <w:t>万元</w:t>
            </w:r>
            <w:r>
              <w:rPr>
                <w:spacing w:val="3"/>
              </w:rPr>
              <w:t>以上</w:t>
            </w:r>
            <w:r>
              <w:rPr>
                <w:rFonts w:ascii="宋体" w:hAnsi="宋体" w:eastAsia="宋体" w:cs="宋体"/>
                <w:spacing w:val="3"/>
              </w:rPr>
              <w:t>5</w:t>
            </w:r>
            <w:r>
              <w:rPr>
                <w:spacing w:val="3"/>
              </w:rPr>
              <w:t>万元以下的罚款；</w:t>
            </w:r>
            <w:r>
              <w:rPr>
                <w:spacing w:val="-4"/>
              </w:rPr>
              <w:t>逾期未改正的，处</w:t>
            </w:r>
            <w:r>
              <w:rPr>
                <w:rFonts w:ascii="宋体" w:hAnsi="宋体" w:eastAsia="宋体" w:cs="宋体"/>
                <w:spacing w:val="-4"/>
              </w:rPr>
              <w:t>15</w:t>
            </w:r>
            <w:r>
              <w:rPr>
                <w:spacing w:val="-4"/>
              </w:rPr>
              <w:t>万元</w:t>
            </w:r>
            <w:r>
              <w:t>以上</w:t>
            </w:r>
            <w:r>
              <w:rPr>
                <w:rFonts w:ascii="宋体" w:hAnsi="宋体" w:eastAsia="宋体" w:cs="宋体"/>
              </w:rPr>
              <w:t>20</w:t>
            </w:r>
            <w: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万元以上</w:t>
            </w:r>
            <w:r>
              <w:rPr>
                <w:rFonts w:ascii="宋体" w:hAnsi="宋体" w:eastAsia="宋体" w:cs="宋体"/>
                <w:spacing w:val="7"/>
              </w:rPr>
              <w:t>2</w:t>
            </w:r>
            <w:r>
              <w:rPr>
                <w:spacing w:val="7"/>
              </w:rPr>
              <w:t>万元以下的罚</w:t>
            </w:r>
            <w:r>
              <w:rPr>
                <w:spacing w:val="4"/>
              </w:rPr>
              <w:t>款；情节严重的，责令停</w:t>
            </w:r>
            <w:r>
              <w:rPr>
                <w:spacing w:val="7"/>
              </w:rPr>
              <w:t>产停业整顿</w:t>
            </w:r>
          </w:p>
        </w:tc>
        <w:tc>
          <w:tcPr>
            <w:tcW w:w="811" w:type="dxa"/>
            <w:vMerge w:val="continue"/>
            <w:tcBorders>
              <w:top w:val="nil"/>
            </w:tcBorders>
            <w:vAlign w:val="top"/>
          </w:tcPr>
          <w:p w14:paraId="48ADA57C">
            <w:pPr>
              <w:rPr>
                <w:rFonts w:ascii="Arial"/>
                <w:sz w:val="21"/>
              </w:rPr>
            </w:pPr>
          </w:p>
        </w:tc>
      </w:tr>
    </w:tbl>
    <w:p w14:paraId="6D15F655">
      <w:pPr>
        <w:pStyle w:val="2"/>
      </w:pPr>
    </w:p>
    <w:p w14:paraId="05016ED7">
      <w:pPr>
        <w:sectPr>
          <w:footerReference r:id="rId52" w:type="default"/>
          <w:pgSz w:w="16839" w:h="11906"/>
          <w:pgMar w:top="1012" w:right="821" w:bottom="667" w:left="901" w:header="0" w:footer="388" w:gutter="0"/>
          <w:cols w:space="720" w:num="1"/>
        </w:sectPr>
      </w:pPr>
    </w:p>
    <w:p w14:paraId="51E4FF36">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AB40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175165E">
            <w:pPr>
              <w:spacing w:before="222" w:line="241" w:lineRule="auto"/>
              <w:ind w:left="131"/>
              <w:rPr>
                <w:rFonts w:ascii="黑体" w:hAnsi="黑体" w:eastAsia="黑体" w:cs="黑体"/>
                <w:sz w:val="28"/>
                <w:szCs w:val="28"/>
              </w:rPr>
            </w:pPr>
            <w:bookmarkStart w:id="419" w:name="bookmark499"/>
            <w:bookmarkEnd w:id="419"/>
            <w:r>
              <w:rPr>
                <w:rFonts w:ascii="黑体" w:hAnsi="黑体" w:eastAsia="黑体" w:cs="黑体"/>
                <w:spacing w:val="-2"/>
                <w:sz w:val="28"/>
                <w:szCs w:val="28"/>
              </w:rPr>
              <w:t>序号</w:t>
            </w:r>
          </w:p>
        </w:tc>
        <w:tc>
          <w:tcPr>
            <w:tcW w:w="1440" w:type="dxa"/>
            <w:vAlign w:val="top"/>
          </w:tcPr>
          <w:p w14:paraId="19E0FF6A">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FC2F9D9">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412DD83">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8C9C67B">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B09985C">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39921FD">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88338AB">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14C57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2" w:hRule="atLeast"/>
        </w:trPr>
        <w:tc>
          <w:tcPr>
            <w:tcW w:w="818" w:type="dxa"/>
            <w:vAlign w:val="top"/>
          </w:tcPr>
          <w:p w14:paraId="451F7D69">
            <w:pPr>
              <w:rPr>
                <w:rFonts w:ascii="Arial"/>
                <w:sz w:val="21"/>
              </w:rPr>
            </w:pPr>
          </w:p>
        </w:tc>
        <w:tc>
          <w:tcPr>
            <w:tcW w:w="1440" w:type="dxa"/>
            <w:vAlign w:val="top"/>
          </w:tcPr>
          <w:p w14:paraId="2B6B92B4">
            <w:pPr>
              <w:rPr>
                <w:rFonts w:ascii="Arial"/>
                <w:sz w:val="21"/>
              </w:rPr>
            </w:pPr>
          </w:p>
        </w:tc>
        <w:tc>
          <w:tcPr>
            <w:tcW w:w="3202" w:type="dxa"/>
            <w:vAlign w:val="top"/>
          </w:tcPr>
          <w:p w14:paraId="29B0928D">
            <w:pPr>
              <w:rPr>
                <w:rFonts w:ascii="Arial"/>
                <w:sz w:val="21"/>
              </w:rPr>
            </w:pPr>
          </w:p>
        </w:tc>
        <w:tc>
          <w:tcPr>
            <w:tcW w:w="2859" w:type="dxa"/>
            <w:vAlign w:val="top"/>
          </w:tcPr>
          <w:p w14:paraId="45B34BFE">
            <w:pPr>
              <w:pStyle w:val="6"/>
              <w:spacing w:before="34" w:line="182" w:lineRule="auto"/>
              <w:ind w:left="115" w:right="38" w:firstLine="9"/>
              <w:jc w:val="both"/>
            </w:pPr>
            <w:r>
              <w:rPr>
                <w:spacing w:val="4"/>
              </w:rPr>
              <w:t>期未改正的，处</w:t>
            </w:r>
            <w:r>
              <w:rPr>
                <w:rFonts w:ascii="宋体" w:hAnsi="宋体" w:eastAsia="宋体" w:cs="宋体"/>
                <w:spacing w:val="4"/>
              </w:rPr>
              <w:t>5</w:t>
            </w:r>
            <w:r>
              <w:rPr>
                <w:spacing w:val="4"/>
              </w:rPr>
              <w:t>万元以</w:t>
            </w:r>
            <w:r>
              <w:rPr>
                <w:spacing w:val="-5"/>
              </w:rPr>
              <w:t>上</w:t>
            </w:r>
            <w:r>
              <w:rPr>
                <w:rFonts w:ascii="宋体" w:hAnsi="宋体" w:eastAsia="宋体" w:cs="宋体"/>
                <w:spacing w:val="-5"/>
              </w:rPr>
              <w:t>20</w:t>
            </w:r>
            <w:r>
              <w:rPr>
                <w:spacing w:val="-5"/>
              </w:rPr>
              <w:t>万元以下的罚款，对</w:t>
            </w:r>
            <w:r>
              <w:rPr>
                <w:spacing w:val="8"/>
              </w:rPr>
              <w:t>其直接负责的主管人员和</w:t>
            </w:r>
            <w:r>
              <w:rPr>
                <w:spacing w:val="3"/>
              </w:rPr>
              <w:t>其他直接责任人员处</w:t>
            </w:r>
            <w:r>
              <w:rPr>
                <w:rFonts w:ascii="宋体" w:hAnsi="宋体" w:eastAsia="宋体" w:cs="宋体"/>
                <w:spacing w:val="3"/>
              </w:rPr>
              <w:t>1</w:t>
            </w:r>
            <w:r>
              <w:rPr>
                <w:spacing w:val="3"/>
              </w:rPr>
              <w:t>万</w:t>
            </w:r>
            <w:r>
              <w:rPr>
                <w:spacing w:val="20"/>
              </w:rPr>
              <w:t>元以上</w:t>
            </w:r>
            <w:r>
              <w:rPr>
                <w:rFonts w:ascii="宋体" w:hAnsi="宋体" w:eastAsia="宋体" w:cs="宋体"/>
                <w:spacing w:val="20"/>
              </w:rPr>
              <w:t>2</w:t>
            </w:r>
            <w:r>
              <w:rPr>
                <w:spacing w:val="20"/>
              </w:rPr>
              <w:t>万元以下的罚</w:t>
            </w:r>
            <w:r>
              <w:rPr>
                <w:spacing w:val="8"/>
              </w:rPr>
              <w:t>款；情节严重的，责令停</w:t>
            </w:r>
            <w:r>
              <w:rPr>
                <w:spacing w:val="-5"/>
              </w:rPr>
              <w:t>产停业整顿；构成犯罪的，</w:t>
            </w:r>
            <w:r>
              <w:rPr>
                <w:spacing w:val="8"/>
              </w:rPr>
              <w:t>依照刑法有关规定追究刑</w:t>
            </w:r>
            <w:r>
              <w:rPr>
                <w:spacing w:val="-2"/>
              </w:rPr>
              <w:t>事责任。</w:t>
            </w:r>
          </w:p>
          <w:p w14:paraId="38FDD232">
            <w:pPr>
              <w:pStyle w:val="6"/>
              <w:spacing w:before="14" w:line="181" w:lineRule="auto"/>
              <w:ind w:left="115" w:right="105" w:hanging="3"/>
            </w:pPr>
            <w:r>
              <w:rPr>
                <w:rFonts w:ascii="宋体" w:hAnsi="宋体" w:eastAsia="宋体" w:cs="宋体"/>
                <w:spacing w:val="8"/>
              </w:rPr>
              <w:t>4.</w:t>
            </w:r>
            <w:r>
              <w:rPr>
                <w:spacing w:val="8"/>
              </w:rPr>
              <w:t>【部门规章】《工贸企业粉尘防爆安全规定》第二十七条第一项：粉尘涉</w:t>
            </w:r>
            <w:r>
              <w:rPr>
                <w:spacing w:val="27"/>
              </w:rPr>
              <w:t>爆企业有下列行为之一</w:t>
            </w:r>
            <w:r>
              <w:rPr>
                <w:spacing w:val="8"/>
              </w:rPr>
              <w:t>的，由负责粉尘涉爆企业安全监管的部门依照《中</w:t>
            </w:r>
            <w:r>
              <w:rPr>
                <w:spacing w:val="32"/>
              </w:rPr>
              <w:t>华人民共和国安全生产</w:t>
            </w:r>
            <w:r>
              <w:rPr>
                <w:spacing w:val="8"/>
              </w:rPr>
              <w:t>法》有关规定，责令限期</w:t>
            </w:r>
            <w:r>
              <w:rPr>
                <w:spacing w:val="2"/>
              </w:rPr>
              <w:t>改正，处</w:t>
            </w:r>
            <w:r>
              <w:rPr>
                <w:rFonts w:ascii="宋体" w:hAnsi="宋体" w:eastAsia="宋体" w:cs="宋体"/>
                <w:spacing w:val="2"/>
              </w:rPr>
              <w:t>5</w:t>
            </w:r>
            <w:r>
              <w:rPr>
                <w:spacing w:val="2"/>
              </w:rPr>
              <w:t>万元以下的罚</w:t>
            </w:r>
            <w:r>
              <w:rPr>
                <w:spacing w:val="6"/>
              </w:rPr>
              <w:t>款；逾期未改正的，处</w:t>
            </w:r>
            <w:r>
              <w:rPr>
                <w:rFonts w:ascii="宋体" w:hAnsi="宋体" w:eastAsia="宋体" w:cs="宋体"/>
                <w:spacing w:val="6"/>
              </w:rPr>
              <w:t>5</w:t>
            </w:r>
            <w:r>
              <w:rPr>
                <w:spacing w:val="11"/>
              </w:rPr>
              <w:t>万元以上</w:t>
            </w:r>
            <w:r>
              <w:rPr>
                <w:rFonts w:ascii="宋体" w:hAnsi="宋体" w:eastAsia="宋体" w:cs="宋体"/>
                <w:spacing w:val="11"/>
              </w:rPr>
              <w:t>20</w:t>
            </w:r>
            <w:r>
              <w:rPr>
                <w:spacing w:val="11"/>
              </w:rPr>
              <w:t>万元以下的</w:t>
            </w:r>
            <w:r>
              <w:rPr>
                <w:spacing w:val="8"/>
              </w:rPr>
              <w:t>罚款，对其直接负责的主管人员和其他直接责任人</w:t>
            </w:r>
            <w:r>
              <w:t>员处</w:t>
            </w:r>
            <w:r>
              <w:rPr>
                <w:rFonts w:ascii="宋体" w:hAnsi="宋体" w:eastAsia="宋体" w:cs="宋体"/>
              </w:rPr>
              <w:t>1</w:t>
            </w:r>
            <w:r>
              <w:t>万元以上</w:t>
            </w:r>
            <w:r>
              <w:rPr>
                <w:rFonts w:ascii="宋体" w:hAnsi="宋体" w:eastAsia="宋体" w:cs="宋体"/>
              </w:rPr>
              <w:t>2</w:t>
            </w:r>
            <w:r>
              <w:t>万元以</w:t>
            </w:r>
            <w:r>
              <w:rPr>
                <w:spacing w:val="4"/>
              </w:rPr>
              <w:t>下的罚款；情节严重的，</w:t>
            </w:r>
            <w:r>
              <w:rPr>
                <w:spacing w:val="8"/>
              </w:rPr>
              <w:t>责令停产停业整顿；构成</w:t>
            </w:r>
            <w:r>
              <w:rPr>
                <w:spacing w:val="4"/>
              </w:rPr>
              <w:t>犯罪的，依照刑法有关规</w:t>
            </w:r>
            <w:r>
              <w:rPr>
                <w:spacing w:val="-4"/>
              </w:rPr>
              <w:t>定追究刑事责任</w:t>
            </w:r>
            <w:r>
              <w:t>：（</w:t>
            </w:r>
            <w:r>
              <w:rPr>
                <w:spacing w:val="-4"/>
              </w:rPr>
              <w:t>一）</w:t>
            </w:r>
            <w:r>
              <w:rPr>
                <w:spacing w:val="6"/>
              </w:rPr>
              <w:t>未在产生、输送、收集、</w:t>
            </w:r>
            <w:r>
              <w:rPr>
                <w:spacing w:val="8"/>
              </w:rPr>
              <w:t>贮存可燃性粉尘，并且有较大危险因素的场所、设</w:t>
            </w:r>
          </w:p>
        </w:tc>
        <w:tc>
          <w:tcPr>
            <w:tcW w:w="803" w:type="dxa"/>
            <w:vAlign w:val="top"/>
          </w:tcPr>
          <w:p w14:paraId="2CD8F908">
            <w:pPr>
              <w:rPr>
                <w:rFonts w:ascii="Arial"/>
                <w:sz w:val="21"/>
              </w:rPr>
            </w:pPr>
          </w:p>
        </w:tc>
        <w:tc>
          <w:tcPr>
            <w:tcW w:w="2283" w:type="dxa"/>
            <w:vAlign w:val="top"/>
          </w:tcPr>
          <w:p w14:paraId="4F22E6D0">
            <w:pPr>
              <w:rPr>
                <w:rFonts w:ascii="Arial"/>
                <w:sz w:val="21"/>
              </w:rPr>
            </w:pPr>
          </w:p>
        </w:tc>
        <w:tc>
          <w:tcPr>
            <w:tcW w:w="2894" w:type="dxa"/>
            <w:vAlign w:val="top"/>
          </w:tcPr>
          <w:p w14:paraId="4A458C8C">
            <w:pPr>
              <w:rPr>
                <w:rFonts w:ascii="Arial"/>
                <w:sz w:val="21"/>
              </w:rPr>
            </w:pPr>
          </w:p>
        </w:tc>
        <w:tc>
          <w:tcPr>
            <w:tcW w:w="811" w:type="dxa"/>
            <w:vAlign w:val="top"/>
          </w:tcPr>
          <w:p w14:paraId="56E84051">
            <w:pPr>
              <w:rPr>
                <w:rFonts w:ascii="Arial"/>
                <w:sz w:val="21"/>
              </w:rPr>
            </w:pPr>
          </w:p>
        </w:tc>
      </w:tr>
    </w:tbl>
    <w:p w14:paraId="54AE9720">
      <w:pPr>
        <w:pStyle w:val="2"/>
      </w:pPr>
    </w:p>
    <w:p w14:paraId="2C4A76BA">
      <w:pPr>
        <w:sectPr>
          <w:footerReference r:id="rId53" w:type="default"/>
          <w:pgSz w:w="16839" w:h="11906"/>
          <w:pgMar w:top="1012" w:right="821" w:bottom="666" w:left="901" w:header="0" w:footer="388" w:gutter="0"/>
          <w:cols w:space="720" w:num="1"/>
        </w:sectPr>
      </w:pPr>
    </w:p>
    <w:p w14:paraId="32BB036D">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9426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42135D5">
            <w:pPr>
              <w:spacing w:before="222" w:line="241" w:lineRule="auto"/>
              <w:ind w:left="131"/>
              <w:rPr>
                <w:rFonts w:ascii="黑体" w:hAnsi="黑体" w:eastAsia="黑体" w:cs="黑体"/>
                <w:sz w:val="28"/>
                <w:szCs w:val="28"/>
              </w:rPr>
            </w:pPr>
            <w:bookmarkStart w:id="420" w:name="bookmark500"/>
            <w:bookmarkEnd w:id="420"/>
            <w:r>
              <w:rPr>
                <w:rFonts w:ascii="黑体" w:hAnsi="黑体" w:eastAsia="黑体" w:cs="黑体"/>
                <w:spacing w:val="-2"/>
                <w:sz w:val="28"/>
                <w:szCs w:val="28"/>
              </w:rPr>
              <w:t>序号</w:t>
            </w:r>
          </w:p>
        </w:tc>
        <w:tc>
          <w:tcPr>
            <w:tcW w:w="1440" w:type="dxa"/>
            <w:vAlign w:val="top"/>
          </w:tcPr>
          <w:p w14:paraId="07E9AA74">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51B9CF7">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BA7A782">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03B3F864">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6174E03">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54BB65F8">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6C4064F6">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0F1B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2" w:hRule="atLeast"/>
        </w:trPr>
        <w:tc>
          <w:tcPr>
            <w:tcW w:w="818" w:type="dxa"/>
            <w:vAlign w:val="top"/>
          </w:tcPr>
          <w:p w14:paraId="6C17AEAB">
            <w:pPr>
              <w:rPr>
                <w:rFonts w:ascii="Arial"/>
                <w:sz w:val="21"/>
              </w:rPr>
            </w:pPr>
          </w:p>
        </w:tc>
        <w:tc>
          <w:tcPr>
            <w:tcW w:w="1440" w:type="dxa"/>
            <w:vAlign w:val="top"/>
          </w:tcPr>
          <w:p w14:paraId="107EA9F6">
            <w:pPr>
              <w:rPr>
                <w:rFonts w:ascii="Arial"/>
                <w:sz w:val="21"/>
              </w:rPr>
            </w:pPr>
          </w:p>
        </w:tc>
        <w:tc>
          <w:tcPr>
            <w:tcW w:w="3202" w:type="dxa"/>
            <w:vAlign w:val="top"/>
          </w:tcPr>
          <w:p w14:paraId="18EB14B6">
            <w:pPr>
              <w:rPr>
                <w:rFonts w:ascii="Arial"/>
                <w:sz w:val="21"/>
              </w:rPr>
            </w:pPr>
          </w:p>
        </w:tc>
        <w:tc>
          <w:tcPr>
            <w:tcW w:w="2859" w:type="dxa"/>
            <w:vAlign w:val="top"/>
          </w:tcPr>
          <w:p w14:paraId="7127ECB2">
            <w:pPr>
              <w:pStyle w:val="6"/>
              <w:spacing w:before="29" w:line="182" w:lineRule="auto"/>
              <w:ind w:left="117" w:right="110" w:firstLine="4"/>
            </w:pPr>
            <w:r>
              <w:rPr>
                <w:spacing w:val="8"/>
              </w:rPr>
              <w:t>施和设备上设置明显的安</w:t>
            </w:r>
            <w:r>
              <w:rPr>
                <w:spacing w:val="1"/>
              </w:rPr>
              <w:t>全警示标志的；</w:t>
            </w:r>
          </w:p>
          <w:p w14:paraId="001703CA">
            <w:pPr>
              <w:pStyle w:val="6"/>
              <w:spacing w:line="182" w:lineRule="auto"/>
              <w:ind w:left="118"/>
            </w:pPr>
            <w:r>
              <w:rPr>
                <w:rFonts w:ascii="宋体" w:hAnsi="宋体" w:eastAsia="宋体" w:cs="宋体"/>
                <w:spacing w:val="6"/>
              </w:rPr>
              <w:t>5.</w:t>
            </w:r>
            <w:r>
              <w:rPr>
                <w:spacing w:val="6"/>
              </w:rPr>
              <w:t>【部门规章】《工贸企</w:t>
            </w:r>
          </w:p>
          <w:p w14:paraId="2BFBA1D4">
            <w:pPr>
              <w:pStyle w:val="6"/>
              <w:spacing w:line="182" w:lineRule="auto"/>
              <w:ind w:left="127"/>
              <w:outlineLvl w:val="0"/>
            </w:pPr>
            <w:bookmarkStart w:id="421" w:name="bookmark80"/>
            <w:bookmarkEnd w:id="421"/>
            <w:bookmarkStart w:id="422" w:name="bookmark501"/>
            <w:bookmarkEnd w:id="422"/>
            <w:r>
              <w:rPr>
                <w:spacing w:val="31"/>
              </w:rPr>
              <w:t>业有限空间作业安全规</w:t>
            </w:r>
          </w:p>
          <w:p w14:paraId="04477049">
            <w:pPr>
              <w:pStyle w:val="6"/>
              <w:spacing w:before="24" w:line="180" w:lineRule="auto"/>
              <w:ind w:left="117" w:right="105"/>
              <w:jc w:val="both"/>
            </w:pPr>
            <w:r>
              <w:rPr>
                <w:spacing w:val="5"/>
              </w:rPr>
              <w:t>定》第十九条第一项：工</w:t>
            </w:r>
            <w:r>
              <w:rPr>
                <w:spacing w:val="26"/>
              </w:rPr>
              <w:t>贸企业有下列行为之一</w:t>
            </w:r>
            <w:r>
              <w:rPr>
                <w:spacing w:val="5"/>
              </w:rPr>
              <w:t>的，责令限期改正，处</w:t>
            </w:r>
            <w:r>
              <w:rPr>
                <w:rFonts w:ascii="宋体" w:hAnsi="宋体" w:eastAsia="宋体" w:cs="宋体"/>
                <w:spacing w:val="5"/>
              </w:rPr>
              <w:t>5</w:t>
            </w:r>
            <w:r>
              <w:rPr>
                <w:spacing w:val="8"/>
              </w:rPr>
              <w:t>万元以下的罚款；逾期未</w:t>
            </w:r>
            <w:r>
              <w:rPr>
                <w:spacing w:val="-1"/>
              </w:rPr>
              <w:t>改正的，处</w:t>
            </w:r>
            <w:r>
              <w:rPr>
                <w:rFonts w:ascii="宋体" w:hAnsi="宋体" w:eastAsia="宋体" w:cs="宋体"/>
                <w:spacing w:val="-1"/>
              </w:rPr>
              <w:t>5</w:t>
            </w:r>
            <w:r>
              <w:rPr>
                <w:spacing w:val="-1"/>
              </w:rPr>
              <w:t>万元以上</w:t>
            </w:r>
            <w:r>
              <w:rPr>
                <w:rFonts w:ascii="宋体" w:hAnsi="宋体" w:eastAsia="宋体" w:cs="宋体"/>
                <w:spacing w:val="-1"/>
              </w:rPr>
              <w:t>20</w:t>
            </w:r>
            <w:r>
              <w:rPr>
                <w:spacing w:val="8"/>
              </w:rPr>
              <w:t>万元以下的罚款，对其直接负责的主管人员和其他</w:t>
            </w:r>
            <w:r>
              <w:rPr>
                <w:spacing w:val="3"/>
              </w:rPr>
              <w:t>直接责任人员处</w:t>
            </w:r>
            <w:r>
              <w:rPr>
                <w:rFonts w:ascii="宋体" w:hAnsi="宋体" w:eastAsia="宋体" w:cs="宋体"/>
                <w:spacing w:val="3"/>
              </w:rPr>
              <w:t>1</w:t>
            </w:r>
            <w:r>
              <w:rPr>
                <w:spacing w:val="3"/>
              </w:rPr>
              <w:t>万元以</w:t>
            </w:r>
            <w:r>
              <w:rPr>
                <w:spacing w:val="4"/>
              </w:rPr>
              <w:t>上</w:t>
            </w:r>
            <w:r>
              <w:rPr>
                <w:rFonts w:ascii="宋体" w:hAnsi="宋体" w:eastAsia="宋体" w:cs="宋体"/>
                <w:spacing w:val="4"/>
              </w:rPr>
              <w:t>2</w:t>
            </w:r>
            <w:r>
              <w:rPr>
                <w:spacing w:val="4"/>
              </w:rPr>
              <w:t>万元以下的罚款；情</w:t>
            </w:r>
            <w:r>
              <w:rPr>
                <w:spacing w:val="8"/>
              </w:rPr>
              <w:t>节严重的，责令停产停业整顿；构成犯罪的，依照刑法有关规定追究刑事责</w:t>
            </w:r>
            <w:r>
              <w:rPr>
                <w:spacing w:val="-1"/>
              </w:rPr>
              <w:t>任</w:t>
            </w:r>
            <w:r>
              <w:rPr>
                <w:spacing w:val="-9"/>
              </w:rPr>
              <w:t>：（</w:t>
            </w:r>
            <w:r>
              <w:rPr>
                <w:spacing w:val="-1"/>
              </w:rPr>
              <w:t>一）未按照规定设</w:t>
            </w:r>
            <w:r>
              <w:rPr>
                <w:spacing w:val="8"/>
              </w:rPr>
              <w:t>置明显的有限空间安全警</w:t>
            </w:r>
            <w:r>
              <w:rPr>
                <w:spacing w:val="-2"/>
              </w:rPr>
              <w:t>示标志的；</w:t>
            </w:r>
          </w:p>
        </w:tc>
        <w:tc>
          <w:tcPr>
            <w:tcW w:w="803" w:type="dxa"/>
            <w:vAlign w:val="top"/>
          </w:tcPr>
          <w:p w14:paraId="46BD26A6">
            <w:pPr>
              <w:rPr>
                <w:rFonts w:ascii="Arial"/>
                <w:sz w:val="21"/>
              </w:rPr>
            </w:pPr>
          </w:p>
        </w:tc>
        <w:tc>
          <w:tcPr>
            <w:tcW w:w="2283" w:type="dxa"/>
            <w:vAlign w:val="top"/>
          </w:tcPr>
          <w:p w14:paraId="56BBAA65">
            <w:pPr>
              <w:rPr>
                <w:rFonts w:ascii="Arial"/>
                <w:sz w:val="21"/>
              </w:rPr>
            </w:pPr>
          </w:p>
        </w:tc>
        <w:tc>
          <w:tcPr>
            <w:tcW w:w="2894" w:type="dxa"/>
            <w:vAlign w:val="top"/>
          </w:tcPr>
          <w:p w14:paraId="7A4A8E56">
            <w:pPr>
              <w:rPr>
                <w:rFonts w:ascii="Arial"/>
                <w:sz w:val="21"/>
              </w:rPr>
            </w:pPr>
          </w:p>
        </w:tc>
        <w:tc>
          <w:tcPr>
            <w:tcW w:w="811" w:type="dxa"/>
            <w:vAlign w:val="top"/>
          </w:tcPr>
          <w:p w14:paraId="00B745E9">
            <w:pPr>
              <w:rPr>
                <w:rFonts w:ascii="Arial"/>
                <w:sz w:val="21"/>
              </w:rPr>
            </w:pPr>
          </w:p>
        </w:tc>
      </w:tr>
      <w:tr w14:paraId="5A763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7" w:hRule="atLeast"/>
        </w:trPr>
        <w:tc>
          <w:tcPr>
            <w:tcW w:w="818" w:type="dxa"/>
            <w:vAlign w:val="top"/>
          </w:tcPr>
          <w:p w14:paraId="487DD1C0">
            <w:pPr>
              <w:spacing w:line="245" w:lineRule="auto"/>
              <w:rPr>
                <w:rFonts w:ascii="Arial"/>
                <w:sz w:val="21"/>
              </w:rPr>
            </w:pPr>
          </w:p>
          <w:p w14:paraId="61015F2E">
            <w:pPr>
              <w:spacing w:line="245" w:lineRule="auto"/>
              <w:rPr>
                <w:rFonts w:ascii="Arial"/>
                <w:sz w:val="21"/>
              </w:rPr>
            </w:pPr>
          </w:p>
          <w:p w14:paraId="33343262">
            <w:pPr>
              <w:spacing w:line="245" w:lineRule="auto"/>
              <w:rPr>
                <w:rFonts w:ascii="Arial"/>
                <w:sz w:val="21"/>
              </w:rPr>
            </w:pPr>
          </w:p>
          <w:p w14:paraId="22468CB2">
            <w:pPr>
              <w:spacing w:line="245" w:lineRule="auto"/>
              <w:rPr>
                <w:rFonts w:ascii="Arial"/>
                <w:sz w:val="21"/>
              </w:rPr>
            </w:pPr>
          </w:p>
          <w:p w14:paraId="5B95DF91">
            <w:pPr>
              <w:spacing w:line="246" w:lineRule="auto"/>
              <w:rPr>
                <w:rFonts w:ascii="Arial"/>
                <w:sz w:val="21"/>
              </w:rPr>
            </w:pPr>
          </w:p>
          <w:p w14:paraId="240A8DD3">
            <w:pPr>
              <w:spacing w:line="246" w:lineRule="auto"/>
              <w:rPr>
                <w:rFonts w:ascii="Arial"/>
                <w:sz w:val="21"/>
              </w:rPr>
            </w:pPr>
          </w:p>
          <w:p w14:paraId="37DCF783">
            <w:pPr>
              <w:spacing w:before="75" w:line="185" w:lineRule="auto"/>
              <w:ind w:left="239"/>
              <w:rPr>
                <w:rFonts w:ascii="仿宋" w:hAnsi="仿宋" w:eastAsia="仿宋" w:cs="仿宋"/>
                <w:sz w:val="23"/>
                <w:szCs w:val="23"/>
              </w:rPr>
            </w:pPr>
            <w:r>
              <w:rPr>
                <w:rFonts w:ascii="仿宋" w:hAnsi="仿宋" w:eastAsia="仿宋" w:cs="仿宋"/>
                <w:spacing w:val="-4"/>
                <w:sz w:val="23"/>
                <w:szCs w:val="23"/>
              </w:rPr>
              <w:t>38</w:t>
            </w:r>
          </w:p>
        </w:tc>
        <w:tc>
          <w:tcPr>
            <w:tcW w:w="1440" w:type="dxa"/>
            <w:vAlign w:val="top"/>
          </w:tcPr>
          <w:p w14:paraId="31BD592E">
            <w:pPr>
              <w:spacing w:line="354" w:lineRule="auto"/>
              <w:rPr>
                <w:rFonts w:ascii="Arial"/>
                <w:sz w:val="21"/>
              </w:rPr>
            </w:pPr>
          </w:p>
          <w:p w14:paraId="5F972B63">
            <w:pPr>
              <w:pStyle w:val="6"/>
              <w:spacing w:before="99" w:line="186" w:lineRule="auto"/>
              <w:ind w:left="112" w:right="111" w:firstLine="16"/>
            </w:pPr>
            <w:r>
              <w:rPr>
                <w:spacing w:val="8"/>
              </w:rPr>
              <w:t>生产经营单</w:t>
            </w:r>
            <w:r>
              <w:rPr>
                <w:spacing w:val="12"/>
              </w:rPr>
              <w:t>位安全设备的安装、使</w:t>
            </w:r>
            <w:r>
              <w:rPr>
                <w:spacing w:val="6"/>
              </w:rPr>
              <w:t>用、检测、</w:t>
            </w:r>
            <w:r>
              <w:rPr>
                <w:spacing w:val="12"/>
              </w:rPr>
              <w:t>改造和报废不符合国家标准或者行</w:t>
            </w:r>
            <w:r>
              <w:rPr>
                <w:spacing w:val="6"/>
              </w:rPr>
              <w:t>业标准的</w:t>
            </w:r>
          </w:p>
        </w:tc>
        <w:tc>
          <w:tcPr>
            <w:tcW w:w="3202" w:type="dxa"/>
            <w:vAlign w:val="top"/>
          </w:tcPr>
          <w:p w14:paraId="3C0EB7F5">
            <w:pPr>
              <w:pStyle w:val="6"/>
              <w:spacing w:before="37" w:line="182" w:lineRule="auto"/>
              <w:ind w:left="118" w:right="111" w:firstLine="12"/>
            </w:pPr>
            <w:r>
              <w:rPr>
                <w:rFonts w:ascii="宋体" w:hAnsi="宋体" w:eastAsia="宋体" w:cs="宋体"/>
                <w:spacing w:val="14"/>
              </w:rPr>
              <w:t>1.</w:t>
            </w:r>
            <w:r>
              <w:rPr>
                <w:spacing w:val="14"/>
              </w:rPr>
              <w:t>【法律】《中华人民共和</w:t>
            </w:r>
            <w:r>
              <w:rPr>
                <w:spacing w:val="17"/>
              </w:rPr>
              <w:t>国安全生产法》第三十六条</w:t>
            </w:r>
            <w:r>
              <w:rPr>
                <w:spacing w:val="10"/>
              </w:rPr>
              <w:t>第一款：安全设备的设计、</w:t>
            </w:r>
            <w:r>
              <w:rPr>
                <w:spacing w:val="14"/>
              </w:rPr>
              <w:t>制造、安装、使用、检测、</w:t>
            </w:r>
            <w:r>
              <w:rPr>
                <w:spacing w:val="13"/>
              </w:rPr>
              <w:t>维修、改造和报废，应当符</w:t>
            </w:r>
            <w:r>
              <w:rPr>
                <w:spacing w:val="5"/>
              </w:rPr>
              <w:t>合国家标准或者行业标准。</w:t>
            </w:r>
          </w:p>
          <w:p w14:paraId="0394435A">
            <w:pPr>
              <w:pStyle w:val="6"/>
              <w:spacing w:before="1" w:line="189" w:lineRule="auto"/>
              <w:ind w:left="117" w:right="111" w:hanging="1"/>
            </w:pPr>
            <w:r>
              <w:rPr>
                <w:rFonts w:ascii="宋体" w:hAnsi="宋体" w:eastAsia="宋体" w:cs="宋体"/>
                <w:spacing w:val="15"/>
              </w:rPr>
              <w:t>2.</w:t>
            </w:r>
            <w:r>
              <w:rPr>
                <w:spacing w:val="15"/>
              </w:rPr>
              <w:t>【部门规章】《工贸企业</w:t>
            </w:r>
            <w:r>
              <w:rPr>
                <w:spacing w:val="17"/>
              </w:rPr>
              <w:t>粉尘防爆安全规定》第十七</w:t>
            </w:r>
            <w:r>
              <w:rPr>
                <w:spacing w:val="13"/>
              </w:rPr>
              <w:t>条第一款：粉尘防爆相关的</w:t>
            </w:r>
            <w:r>
              <w:rPr>
                <w:spacing w:val="15"/>
              </w:rPr>
              <w:t>泄爆、隔爆、抑爆、惰化、</w:t>
            </w:r>
          </w:p>
        </w:tc>
        <w:tc>
          <w:tcPr>
            <w:tcW w:w="2859" w:type="dxa"/>
            <w:vAlign w:val="top"/>
          </w:tcPr>
          <w:p w14:paraId="07E4881F">
            <w:pPr>
              <w:pStyle w:val="6"/>
              <w:spacing w:before="33" w:line="185" w:lineRule="auto"/>
              <w:ind w:left="115" w:right="38" w:firstLine="15"/>
              <w:jc w:val="both"/>
            </w:pPr>
            <w:r>
              <w:rPr>
                <w:rFonts w:ascii="宋体" w:hAnsi="宋体" w:eastAsia="宋体" w:cs="宋体"/>
                <w:spacing w:val="6"/>
              </w:rPr>
              <w:t>1.</w:t>
            </w:r>
            <w:r>
              <w:rPr>
                <w:spacing w:val="6"/>
              </w:rPr>
              <w:t>【法律】《中华人民共</w:t>
            </w:r>
            <w:r>
              <w:rPr>
                <w:spacing w:val="8"/>
              </w:rPr>
              <w:t>和国安全生产法》第九十九条第二项：生产经营单</w:t>
            </w:r>
            <w:r>
              <w:rPr>
                <w:spacing w:val="4"/>
              </w:rPr>
              <w:t>位有下列行为之一的，责</w:t>
            </w:r>
            <w:r>
              <w:rPr>
                <w:spacing w:val="8"/>
              </w:rPr>
              <w:t>令限期改正，处五万元以</w:t>
            </w:r>
            <w:r>
              <w:rPr>
                <w:spacing w:val="-5"/>
              </w:rPr>
              <w:t>下的罚款；逾期未改正的，</w:t>
            </w:r>
            <w:r>
              <w:rPr>
                <w:spacing w:val="8"/>
              </w:rPr>
              <w:t>处五万元以上二十万元以下的罚款，对其直接负责的主管人员和其他直接责任人员处一万元以上二万</w:t>
            </w:r>
          </w:p>
        </w:tc>
        <w:tc>
          <w:tcPr>
            <w:tcW w:w="803" w:type="dxa"/>
            <w:vAlign w:val="top"/>
          </w:tcPr>
          <w:p w14:paraId="0260F633">
            <w:pPr>
              <w:spacing w:line="244" w:lineRule="auto"/>
              <w:rPr>
                <w:rFonts w:ascii="Arial"/>
                <w:sz w:val="21"/>
              </w:rPr>
            </w:pPr>
          </w:p>
          <w:p w14:paraId="5E913AD1">
            <w:pPr>
              <w:spacing w:line="244" w:lineRule="auto"/>
              <w:rPr>
                <w:rFonts w:ascii="Arial"/>
                <w:sz w:val="21"/>
              </w:rPr>
            </w:pPr>
          </w:p>
          <w:p w14:paraId="03165DB4">
            <w:pPr>
              <w:spacing w:line="244" w:lineRule="auto"/>
              <w:rPr>
                <w:rFonts w:ascii="Arial"/>
                <w:sz w:val="21"/>
              </w:rPr>
            </w:pPr>
          </w:p>
          <w:p w14:paraId="6635703E">
            <w:pPr>
              <w:spacing w:line="244" w:lineRule="auto"/>
              <w:rPr>
                <w:rFonts w:ascii="Arial"/>
                <w:sz w:val="21"/>
              </w:rPr>
            </w:pPr>
          </w:p>
          <w:p w14:paraId="77613DC3">
            <w:pPr>
              <w:spacing w:line="245" w:lineRule="auto"/>
              <w:rPr>
                <w:rFonts w:ascii="Arial"/>
                <w:sz w:val="21"/>
              </w:rPr>
            </w:pPr>
          </w:p>
          <w:p w14:paraId="408404A9">
            <w:pPr>
              <w:spacing w:line="245" w:lineRule="auto"/>
              <w:rPr>
                <w:rFonts w:ascii="Arial"/>
                <w:sz w:val="21"/>
              </w:rPr>
            </w:pPr>
          </w:p>
          <w:p w14:paraId="249FA9C2">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6393B826">
            <w:pPr>
              <w:spacing w:line="268" w:lineRule="auto"/>
              <w:rPr>
                <w:rFonts w:ascii="Arial"/>
                <w:sz w:val="21"/>
              </w:rPr>
            </w:pPr>
          </w:p>
          <w:p w14:paraId="76E30A34">
            <w:pPr>
              <w:spacing w:line="268" w:lineRule="auto"/>
              <w:rPr>
                <w:rFonts w:ascii="Arial"/>
                <w:sz w:val="21"/>
              </w:rPr>
            </w:pPr>
          </w:p>
          <w:p w14:paraId="5459CA41">
            <w:pPr>
              <w:spacing w:line="268" w:lineRule="auto"/>
              <w:rPr>
                <w:rFonts w:ascii="Arial"/>
                <w:sz w:val="21"/>
              </w:rPr>
            </w:pPr>
          </w:p>
          <w:p w14:paraId="555D2530">
            <w:pPr>
              <w:pStyle w:val="6"/>
              <w:spacing w:before="99" w:line="188" w:lineRule="auto"/>
              <w:ind w:left="116" w:right="108" w:firstLine="6"/>
              <w:jc w:val="both"/>
            </w:pPr>
            <w:r>
              <w:rPr>
                <w:spacing w:val="-12"/>
              </w:rPr>
              <w:t>有</w:t>
            </w:r>
            <w:r>
              <w:rPr>
                <w:rFonts w:ascii="宋体" w:hAnsi="宋体" w:eastAsia="宋体" w:cs="宋体"/>
                <w:spacing w:val="-12"/>
              </w:rPr>
              <w:t>1</w:t>
            </w:r>
            <w:r>
              <w:rPr>
                <w:spacing w:val="-12"/>
              </w:rPr>
              <w:t>台（套）安全设</w:t>
            </w:r>
            <w:r>
              <w:rPr>
                <w:spacing w:val="-2"/>
              </w:rPr>
              <w:t>备的安装、使用、检测、改造、报废不符</w:t>
            </w:r>
            <w:r>
              <w:rPr>
                <w:spacing w:val="26"/>
              </w:rPr>
              <w:t>合国家标准或者行</w:t>
            </w:r>
            <w:r>
              <w:rPr>
                <w:spacing w:val="6"/>
              </w:rPr>
              <w:t>业标准的</w:t>
            </w:r>
          </w:p>
        </w:tc>
        <w:tc>
          <w:tcPr>
            <w:tcW w:w="2894" w:type="dxa"/>
            <w:vAlign w:val="top"/>
          </w:tcPr>
          <w:p w14:paraId="0B512EFB">
            <w:pPr>
              <w:spacing w:line="352" w:lineRule="auto"/>
              <w:rPr>
                <w:rFonts w:ascii="Arial"/>
                <w:sz w:val="21"/>
              </w:rPr>
            </w:pPr>
          </w:p>
          <w:p w14:paraId="27369924">
            <w:pPr>
              <w:pStyle w:val="6"/>
              <w:spacing w:before="98" w:line="186" w:lineRule="auto"/>
              <w:ind w:left="127" w:right="103"/>
              <w:jc w:val="both"/>
            </w:pPr>
            <w:r>
              <w:rPr>
                <w:spacing w:val="4"/>
              </w:rPr>
              <w:t>责令限期改正，处</w:t>
            </w:r>
            <w:r>
              <w:rPr>
                <w:rFonts w:ascii="宋体" w:hAnsi="宋体" w:eastAsia="宋体" w:cs="宋体"/>
                <w:spacing w:val="4"/>
              </w:rPr>
              <w:t>2</w:t>
            </w:r>
            <w:r>
              <w:rPr>
                <w:spacing w:val="4"/>
              </w:rPr>
              <w:t>万元</w:t>
            </w:r>
            <w:r>
              <w:rPr>
                <w:spacing w:val="8"/>
              </w:rPr>
              <w:t>以下的罚款；逾期未改正</w:t>
            </w:r>
            <w:r>
              <w:rPr>
                <w:spacing w:val="-7"/>
              </w:rPr>
              <w:t>的，处</w:t>
            </w:r>
            <w:r>
              <w:rPr>
                <w:rFonts w:ascii="宋体" w:hAnsi="宋体" w:eastAsia="宋体" w:cs="宋体"/>
                <w:spacing w:val="-7"/>
              </w:rPr>
              <w:t>5</w:t>
            </w:r>
            <w:r>
              <w:rPr>
                <w:spacing w:val="-7"/>
              </w:rPr>
              <w:t>万元以上</w:t>
            </w:r>
            <w:r>
              <w:rPr>
                <w:rFonts w:ascii="宋体" w:hAnsi="宋体" w:eastAsia="宋体" w:cs="宋体"/>
                <w:spacing w:val="-7"/>
              </w:rPr>
              <w:t>10</w:t>
            </w:r>
            <w:r>
              <w:rPr>
                <w:spacing w:val="-7"/>
              </w:rPr>
              <w:t>万元</w:t>
            </w:r>
            <w:r>
              <w:rPr>
                <w:spacing w:val="7"/>
              </w:rPr>
              <w:t>以下的罚款，对其直接负</w:t>
            </w:r>
            <w:r>
              <w:rPr>
                <w:spacing w:val="10"/>
              </w:rPr>
              <w:t>责的主管人员和其他直接</w:t>
            </w:r>
            <w:r>
              <w:rPr>
                <w:spacing w:val="7"/>
              </w:rPr>
              <w:t>责任人员处</w:t>
            </w:r>
            <w:r>
              <w:rPr>
                <w:rFonts w:ascii="宋体" w:hAnsi="宋体" w:eastAsia="宋体" w:cs="宋体"/>
                <w:spacing w:val="7"/>
              </w:rPr>
              <w:t>1</w:t>
            </w:r>
            <w:r>
              <w:rPr>
                <w:spacing w:val="7"/>
              </w:rPr>
              <w:t>万元以上</w:t>
            </w:r>
            <w:r>
              <w:rPr>
                <w:rFonts w:ascii="宋体" w:hAnsi="宋体" w:eastAsia="宋体" w:cs="宋体"/>
                <w:spacing w:val="7"/>
              </w:rPr>
              <w:t>2</w:t>
            </w:r>
            <w:r>
              <w:rPr>
                <w:spacing w:val="7"/>
              </w:rPr>
              <w:t>万元以下的罚款；情节严重的，责令停产停业整顿</w:t>
            </w:r>
          </w:p>
        </w:tc>
        <w:tc>
          <w:tcPr>
            <w:tcW w:w="811" w:type="dxa"/>
            <w:vAlign w:val="top"/>
          </w:tcPr>
          <w:p w14:paraId="197FBC99">
            <w:pPr>
              <w:spacing w:line="244" w:lineRule="auto"/>
              <w:rPr>
                <w:rFonts w:ascii="Arial"/>
                <w:sz w:val="21"/>
              </w:rPr>
            </w:pPr>
          </w:p>
          <w:p w14:paraId="2A6D76D2">
            <w:pPr>
              <w:spacing w:line="244" w:lineRule="auto"/>
              <w:rPr>
                <w:rFonts w:ascii="Arial"/>
                <w:sz w:val="21"/>
              </w:rPr>
            </w:pPr>
          </w:p>
          <w:p w14:paraId="36D9D656">
            <w:pPr>
              <w:spacing w:line="245" w:lineRule="auto"/>
              <w:rPr>
                <w:rFonts w:ascii="Arial"/>
                <w:sz w:val="21"/>
              </w:rPr>
            </w:pPr>
          </w:p>
          <w:p w14:paraId="07CD960D">
            <w:pPr>
              <w:spacing w:line="245" w:lineRule="auto"/>
              <w:rPr>
                <w:rFonts w:ascii="Arial"/>
                <w:sz w:val="21"/>
              </w:rPr>
            </w:pPr>
          </w:p>
          <w:p w14:paraId="0C1B0D5F">
            <w:pPr>
              <w:spacing w:line="245" w:lineRule="auto"/>
              <w:rPr>
                <w:rFonts w:ascii="Arial"/>
                <w:sz w:val="21"/>
              </w:rPr>
            </w:pPr>
          </w:p>
          <w:p w14:paraId="6A8209E8">
            <w:pPr>
              <w:spacing w:line="245" w:lineRule="auto"/>
              <w:rPr>
                <w:rFonts w:ascii="Arial"/>
                <w:sz w:val="21"/>
              </w:rPr>
            </w:pPr>
          </w:p>
          <w:p w14:paraId="19A4C037">
            <w:pPr>
              <w:spacing w:before="75" w:line="188" w:lineRule="auto"/>
              <w:ind w:left="293"/>
              <w:rPr>
                <w:rFonts w:ascii="宋体" w:hAnsi="宋体" w:eastAsia="宋体" w:cs="宋体"/>
                <w:sz w:val="23"/>
                <w:szCs w:val="23"/>
              </w:rPr>
            </w:pPr>
            <w:r>
              <w:rPr>
                <w:rFonts w:ascii="宋体" w:hAnsi="宋体" w:eastAsia="宋体" w:cs="宋体"/>
                <w:spacing w:val="-3"/>
                <w:sz w:val="23"/>
                <w:szCs w:val="23"/>
              </w:rPr>
              <w:t>27</w:t>
            </w:r>
          </w:p>
        </w:tc>
      </w:tr>
    </w:tbl>
    <w:p w14:paraId="063336D6">
      <w:pPr>
        <w:pStyle w:val="2"/>
      </w:pPr>
    </w:p>
    <w:p w14:paraId="26E8A7B9">
      <w:pPr>
        <w:sectPr>
          <w:footerReference r:id="rId54" w:type="default"/>
          <w:pgSz w:w="16839" w:h="11906"/>
          <w:pgMar w:top="1012" w:right="821" w:bottom="666" w:left="901" w:header="0" w:footer="388" w:gutter="0"/>
          <w:cols w:space="720" w:num="1"/>
        </w:sectPr>
      </w:pPr>
    </w:p>
    <w:p w14:paraId="265C2527">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0A84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33B3434B">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501AF336">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61E7AC0">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3B86101">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4035D353">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7A128F6">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8C9B95F">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70F82C8D">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CB9F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3" w:hRule="atLeast"/>
        </w:trPr>
        <w:tc>
          <w:tcPr>
            <w:tcW w:w="818" w:type="dxa"/>
            <w:vMerge w:val="restart"/>
            <w:tcBorders>
              <w:bottom w:val="nil"/>
            </w:tcBorders>
            <w:vAlign w:val="top"/>
          </w:tcPr>
          <w:p w14:paraId="49CC10BA">
            <w:pPr>
              <w:rPr>
                <w:rFonts w:ascii="Arial"/>
                <w:sz w:val="21"/>
              </w:rPr>
            </w:pPr>
          </w:p>
        </w:tc>
        <w:tc>
          <w:tcPr>
            <w:tcW w:w="1440" w:type="dxa"/>
            <w:vMerge w:val="restart"/>
            <w:tcBorders>
              <w:bottom w:val="nil"/>
            </w:tcBorders>
            <w:vAlign w:val="top"/>
          </w:tcPr>
          <w:p w14:paraId="546BDD42">
            <w:pPr>
              <w:rPr>
                <w:rFonts w:ascii="Arial"/>
                <w:sz w:val="21"/>
              </w:rPr>
            </w:pPr>
          </w:p>
        </w:tc>
        <w:tc>
          <w:tcPr>
            <w:tcW w:w="3202" w:type="dxa"/>
            <w:vMerge w:val="restart"/>
            <w:tcBorders>
              <w:bottom w:val="nil"/>
            </w:tcBorders>
            <w:vAlign w:val="top"/>
          </w:tcPr>
          <w:p w14:paraId="5573ED04">
            <w:pPr>
              <w:pStyle w:val="6"/>
              <w:spacing w:before="36" w:line="182" w:lineRule="auto"/>
              <w:ind w:left="116" w:right="111" w:firstLine="1"/>
              <w:jc w:val="both"/>
            </w:pPr>
            <w:r>
              <w:rPr>
                <w:spacing w:val="17"/>
              </w:rPr>
              <w:t>锁气卸灰、除杂、监测、报警、火花探测消除等安全设备的设计、制造、安装、使用、检测、维修、改造和报</w:t>
            </w:r>
            <w:r>
              <w:rPr>
                <w:spacing w:val="13"/>
              </w:rPr>
              <w:t>废，应当符合《粉尘防爆安</w:t>
            </w:r>
            <w:r>
              <w:rPr>
                <w:spacing w:val="17"/>
              </w:rPr>
              <w:t>全规程》等有关国家标准或</w:t>
            </w:r>
            <w:r>
              <w:rPr>
                <w:spacing w:val="13"/>
              </w:rPr>
              <w:t>者行业标准，相关设计、制</w:t>
            </w:r>
            <w:r>
              <w:rPr>
                <w:spacing w:val="17"/>
              </w:rPr>
              <w:t>造、安装单位应当提供相关设备安全性能和使用说明等</w:t>
            </w:r>
            <w:r>
              <w:rPr>
                <w:spacing w:val="13"/>
              </w:rPr>
              <w:t>资料，对安全设备的安全性</w:t>
            </w:r>
            <w:r>
              <w:rPr>
                <w:spacing w:val="-2"/>
              </w:rPr>
              <w:t>能负责。</w:t>
            </w:r>
          </w:p>
          <w:p w14:paraId="2339A8B0">
            <w:pPr>
              <w:pStyle w:val="6"/>
              <w:spacing w:before="11" w:line="184" w:lineRule="auto"/>
              <w:ind w:left="114" w:right="111" w:firstLine="3"/>
            </w:pPr>
            <w:r>
              <w:rPr>
                <w:rFonts w:ascii="宋体" w:hAnsi="宋体" w:eastAsia="宋体" w:cs="宋体"/>
                <w:spacing w:val="15"/>
              </w:rPr>
              <w:t>3.</w:t>
            </w:r>
            <w:r>
              <w:rPr>
                <w:spacing w:val="15"/>
              </w:rPr>
              <w:t>【部门规章】《工贸企业</w:t>
            </w:r>
            <w:r>
              <w:rPr>
                <w:spacing w:val="17"/>
              </w:rPr>
              <w:t>有限空间作业安全规定》第</w:t>
            </w:r>
            <w:r>
              <w:rPr>
                <w:spacing w:val="13"/>
              </w:rPr>
              <w:t>十三条：工贸企业应当根据有限空间危险因素的特点，</w:t>
            </w:r>
            <w:r>
              <w:rPr>
                <w:spacing w:val="17"/>
              </w:rPr>
              <w:t>配备符合国家标准或者行业</w:t>
            </w:r>
            <w:r>
              <w:rPr>
                <w:spacing w:val="15"/>
              </w:rPr>
              <w:t>标准的气体检测报警仪器、</w:t>
            </w:r>
            <w:r>
              <w:rPr>
                <w:spacing w:val="17"/>
              </w:rPr>
              <w:t>机械通风设备、呼吸防护用品、全身式安全带等防护用</w:t>
            </w:r>
            <w:r>
              <w:rPr>
                <w:spacing w:val="13"/>
              </w:rPr>
              <w:t>品和应急救援装备，并对相</w:t>
            </w:r>
            <w:r>
              <w:rPr>
                <w:spacing w:val="17"/>
              </w:rPr>
              <w:t>关用品、装备进行经常性维</w:t>
            </w:r>
            <w:r>
              <w:rPr>
                <w:spacing w:val="13"/>
              </w:rPr>
              <w:t>护、保养和定期检测，确保</w:t>
            </w:r>
            <w:r>
              <w:rPr>
                <w:spacing w:val="3"/>
              </w:rPr>
              <w:t>能够正常使用。</w:t>
            </w:r>
          </w:p>
        </w:tc>
        <w:tc>
          <w:tcPr>
            <w:tcW w:w="2859" w:type="dxa"/>
            <w:vMerge w:val="restart"/>
            <w:tcBorders>
              <w:bottom w:val="nil"/>
            </w:tcBorders>
            <w:vAlign w:val="top"/>
          </w:tcPr>
          <w:p w14:paraId="60550681">
            <w:pPr>
              <w:pStyle w:val="6"/>
              <w:spacing w:before="33" w:line="182" w:lineRule="auto"/>
              <w:ind w:left="98" w:right="110" w:firstLine="24"/>
            </w:pPr>
            <w:r>
              <w:rPr>
                <w:spacing w:val="8"/>
              </w:rPr>
              <w:t>元以下的罚款；情节严重</w:t>
            </w:r>
            <w:r>
              <w:rPr>
                <w:spacing w:val="6"/>
              </w:rPr>
              <w:t>的，责令停产停业整顿；</w:t>
            </w:r>
            <w:r>
              <w:rPr>
                <w:spacing w:val="10"/>
              </w:rPr>
              <w:t>构成犯罪的，依照刑法有</w:t>
            </w:r>
            <w:r>
              <w:rPr>
                <w:spacing w:val="29"/>
              </w:rPr>
              <w:t>关规定追究刑事责任：</w:t>
            </w:r>
            <w:r>
              <w:rPr>
                <w:spacing w:val="7"/>
              </w:rPr>
              <w:t>（二）安全设备的安装、</w:t>
            </w:r>
            <w:r>
              <w:rPr>
                <w:spacing w:val="10"/>
              </w:rPr>
              <w:t>使用、检测、改造和报废不符合国家标准或者行业</w:t>
            </w:r>
            <w:r>
              <w:rPr>
                <w:spacing w:val="-1"/>
              </w:rPr>
              <w:t>标准的；</w:t>
            </w:r>
          </w:p>
          <w:p w14:paraId="3A08E2B1">
            <w:pPr>
              <w:pStyle w:val="6"/>
              <w:spacing w:before="17" w:line="181" w:lineRule="auto"/>
              <w:ind w:left="116" w:right="105"/>
            </w:pPr>
            <w:r>
              <w:rPr>
                <w:rFonts w:ascii="宋体" w:hAnsi="宋体" w:eastAsia="宋体" w:cs="宋体"/>
                <w:spacing w:val="7"/>
              </w:rPr>
              <w:t>2.</w:t>
            </w:r>
            <w:r>
              <w:rPr>
                <w:spacing w:val="7"/>
              </w:rPr>
              <w:t>【部门规章】《工贸企</w:t>
            </w:r>
            <w:r>
              <w:rPr>
                <w:spacing w:val="8"/>
              </w:rPr>
              <w:t>业粉尘防爆安全规定》第二十七条第二项：粉尘涉</w:t>
            </w:r>
            <w:r>
              <w:rPr>
                <w:spacing w:val="27"/>
              </w:rPr>
              <w:t>爆企业有下列行为之一</w:t>
            </w:r>
            <w:r>
              <w:rPr>
                <w:spacing w:val="8"/>
              </w:rPr>
              <w:t>的，由负责粉尘涉爆企业安全监管的部门依照《中</w:t>
            </w:r>
            <w:r>
              <w:rPr>
                <w:spacing w:val="32"/>
              </w:rPr>
              <w:t>华人民共和国安全生产</w:t>
            </w:r>
            <w:r>
              <w:rPr>
                <w:spacing w:val="8"/>
              </w:rPr>
              <w:t>法》有关规定，责令限期</w:t>
            </w:r>
            <w:r>
              <w:rPr>
                <w:spacing w:val="5"/>
              </w:rPr>
              <w:t>改正，处</w:t>
            </w:r>
            <w:r>
              <w:rPr>
                <w:rFonts w:ascii="宋体" w:hAnsi="宋体" w:eastAsia="宋体" w:cs="宋体"/>
                <w:spacing w:val="5"/>
              </w:rPr>
              <w:t>5</w:t>
            </w:r>
            <w:r>
              <w:rPr>
                <w:spacing w:val="5"/>
              </w:rPr>
              <w:t>万元以下的罚</w:t>
            </w:r>
            <w:r>
              <w:rPr>
                <w:spacing w:val="6"/>
              </w:rPr>
              <w:t>款；逾期未改正的，处</w:t>
            </w:r>
            <w:r>
              <w:rPr>
                <w:rFonts w:ascii="宋体" w:hAnsi="宋体" w:eastAsia="宋体" w:cs="宋体"/>
                <w:spacing w:val="6"/>
              </w:rPr>
              <w:t>5</w:t>
            </w:r>
            <w:r>
              <w:rPr>
                <w:spacing w:val="11"/>
              </w:rPr>
              <w:t>万元以上</w:t>
            </w:r>
            <w:r>
              <w:rPr>
                <w:rFonts w:ascii="宋体" w:hAnsi="宋体" w:eastAsia="宋体" w:cs="宋体"/>
                <w:spacing w:val="11"/>
              </w:rPr>
              <w:t>20</w:t>
            </w:r>
            <w:r>
              <w:rPr>
                <w:spacing w:val="11"/>
              </w:rPr>
              <w:t>万元以下的</w:t>
            </w:r>
            <w:r>
              <w:rPr>
                <w:spacing w:val="8"/>
              </w:rPr>
              <w:t>罚款，对其直接负责的主管人员和其他直接责任人</w:t>
            </w:r>
            <w:r>
              <w:t>员处</w:t>
            </w:r>
            <w:r>
              <w:rPr>
                <w:rFonts w:ascii="宋体" w:hAnsi="宋体" w:eastAsia="宋体" w:cs="宋体"/>
              </w:rPr>
              <w:t>1</w:t>
            </w:r>
            <w:r>
              <w:t>万元以上</w:t>
            </w:r>
            <w:r>
              <w:rPr>
                <w:rFonts w:ascii="宋体" w:hAnsi="宋体" w:eastAsia="宋体" w:cs="宋体"/>
              </w:rPr>
              <w:t>2</w:t>
            </w:r>
            <w:r>
              <w:t>万元以</w:t>
            </w:r>
            <w:r>
              <w:rPr>
                <w:spacing w:val="4"/>
              </w:rPr>
              <w:t>下的罚款；情节严重的，</w:t>
            </w:r>
            <w:r>
              <w:rPr>
                <w:spacing w:val="8"/>
              </w:rPr>
              <w:t>责令停产停业整顿；构成</w:t>
            </w:r>
            <w:r>
              <w:rPr>
                <w:spacing w:val="4"/>
              </w:rPr>
              <w:t>犯罪的，依照刑法有关规</w:t>
            </w:r>
            <w:r>
              <w:rPr>
                <w:spacing w:val="8"/>
              </w:rPr>
              <w:t>定追究刑事责任</w:t>
            </w:r>
            <w:r>
              <w:rPr>
                <w:spacing w:val="12"/>
              </w:rPr>
              <w:t>：（</w:t>
            </w:r>
            <w:r>
              <w:rPr>
                <w:spacing w:val="8"/>
              </w:rPr>
              <w:t>二）</w:t>
            </w:r>
            <w:r>
              <w:rPr>
                <w:spacing w:val="32"/>
              </w:rPr>
              <w:t>粉尘防爆安全设备的安</w:t>
            </w:r>
            <w:r>
              <w:rPr>
                <w:spacing w:val="8"/>
              </w:rPr>
              <w:t>装、使用、检测、改造和报废不符合国家标准或者</w:t>
            </w:r>
            <w:r>
              <w:t>行业标准的；</w:t>
            </w:r>
          </w:p>
        </w:tc>
        <w:tc>
          <w:tcPr>
            <w:tcW w:w="803" w:type="dxa"/>
            <w:vAlign w:val="top"/>
          </w:tcPr>
          <w:p w14:paraId="6DB854B6">
            <w:pPr>
              <w:spacing w:line="266" w:lineRule="auto"/>
              <w:rPr>
                <w:rFonts w:ascii="Arial"/>
                <w:sz w:val="21"/>
              </w:rPr>
            </w:pPr>
          </w:p>
          <w:p w14:paraId="6E8FB1E8">
            <w:pPr>
              <w:spacing w:line="266" w:lineRule="auto"/>
              <w:rPr>
                <w:rFonts w:ascii="Arial"/>
                <w:sz w:val="21"/>
              </w:rPr>
            </w:pPr>
          </w:p>
          <w:p w14:paraId="51BC8CC8">
            <w:pPr>
              <w:spacing w:line="266" w:lineRule="auto"/>
              <w:rPr>
                <w:rFonts w:ascii="Arial"/>
                <w:sz w:val="21"/>
              </w:rPr>
            </w:pPr>
          </w:p>
          <w:p w14:paraId="4DDF9ED6">
            <w:pPr>
              <w:spacing w:line="266" w:lineRule="auto"/>
              <w:rPr>
                <w:rFonts w:ascii="Arial"/>
                <w:sz w:val="21"/>
              </w:rPr>
            </w:pPr>
          </w:p>
          <w:p w14:paraId="67FF030E">
            <w:pPr>
              <w:spacing w:line="266" w:lineRule="auto"/>
              <w:rPr>
                <w:rFonts w:ascii="Arial"/>
                <w:sz w:val="21"/>
              </w:rPr>
            </w:pPr>
          </w:p>
          <w:p w14:paraId="06C4D249">
            <w:pPr>
              <w:spacing w:line="266" w:lineRule="auto"/>
              <w:rPr>
                <w:rFonts w:ascii="Arial"/>
                <w:sz w:val="21"/>
              </w:rPr>
            </w:pPr>
          </w:p>
          <w:p w14:paraId="65F39370">
            <w:pPr>
              <w:spacing w:line="267" w:lineRule="auto"/>
              <w:rPr>
                <w:rFonts w:ascii="Arial"/>
                <w:sz w:val="21"/>
              </w:rPr>
            </w:pPr>
          </w:p>
          <w:p w14:paraId="490E8BB3">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CABDA67">
            <w:pPr>
              <w:spacing w:line="299" w:lineRule="auto"/>
              <w:rPr>
                <w:rFonts w:ascii="Arial"/>
                <w:sz w:val="21"/>
              </w:rPr>
            </w:pPr>
          </w:p>
          <w:p w14:paraId="7588BDAA">
            <w:pPr>
              <w:spacing w:line="299" w:lineRule="auto"/>
              <w:rPr>
                <w:rFonts w:ascii="Arial"/>
                <w:sz w:val="21"/>
              </w:rPr>
            </w:pPr>
          </w:p>
          <w:p w14:paraId="666EFDBA">
            <w:pPr>
              <w:spacing w:line="299" w:lineRule="auto"/>
              <w:rPr>
                <w:rFonts w:ascii="Arial"/>
                <w:sz w:val="21"/>
              </w:rPr>
            </w:pPr>
          </w:p>
          <w:p w14:paraId="6C0E846C">
            <w:pPr>
              <w:spacing w:line="300" w:lineRule="auto"/>
              <w:rPr>
                <w:rFonts w:ascii="Arial"/>
                <w:sz w:val="21"/>
              </w:rPr>
            </w:pPr>
          </w:p>
          <w:p w14:paraId="158A8E14">
            <w:pPr>
              <w:pStyle w:val="6"/>
              <w:spacing w:before="99" w:line="188" w:lineRule="auto"/>
              <w:ind w:left="116" w:right="108" w:firstLine="6"/>
              <w:jc w:val="both"/>
            </w:pPr>
            <w:r>
              <w:rPr>
                <w:spacing w:val="-9"/>
              </w:rPr>
              <w:t>有</w:t>
            </w:r>
            <w:r>
              <w:rPr>
                <w:rFonts w:ascii="宋体" w:hAnsi="宋体" w:eastAsia="宋体" w:cs="宋体"/>
                <w:spacing w:val="-9"/>
              </w:rPr>
              <w:t>2</w:t>
            </w:r>
            <w:r>
              <w:rPr>
                <w:spacing w:val="-9"/>
              </w:rPr>
              <w:t>台（套）安全设</w:t>
            </w:r>
            <w:r>
              <w:rPr>
                <w:spacing w:val="-2"/>
              </w:rPr>
              <w:t>备的安装、使用、检测、改造、报废不符</w:t>
            </w:r>
            <w:r>
              <w:rPr>
                <w:spacing w:val="26"/>
              </w:rPr>
              <w:t>合国家标准或者行</w:t>
            </w:r>
            <w:r>
              <w:rPr>
                <w:spacing w:val="6"/>
              </w:rPr>
              <w:t>业标准的</w:t>
            </w:r>
          </w:p>
        </w:tc>
        <w:tc>
          <w:tcPr>
            <w:tcW w:w="2894" w:type="dxa"/>
            <w:vAlign w:val="top"/>
          </w:tcPr>
          <w:p w14:paraId="73EE28B9">
            <w:pPr>
              <w:spacing w:line="304" w:lineRule="auto"/>
              <w:rPr>
                <w:rFonts w:ascii="Arial"/>
                <w:sz w:val="21"/>
              </w:rPr>
            </w:pPr>
          </w:p>
          <w:p w14:paraId="44B22D37">
            <w:pPr>
              <w:spacing w:line="304" w:lineRule="auto"/>
              <w:rPr>
                <w:rFonts w:ascii="Arial"/>
                <w:sz w:val="21"/>
              </w:rPr>
            </w:pPr>
          </w:p>
          <w:p w14:paraId="1FD8099B">
            <w:pPr>
              <w:pStyle w:val="6"/>
              <w:spacing w:before="99" w:line="185" w:lineRule="auto"/>
              <w:ind w:left="117" w:right="73" w:firstLine="10"/>
            </w:pPr>
            <w:r>
              <w:rPr>
                <w:spacing w:val="4"/>
              </w:rPr>
              <w:t>责令限期改正，处</w:t>
            </w:r>
            <w:r>
              <w:rPr>
                <w:rFonts w:ascii="宋体" w:hAnsi="宋体" w:eastAsia="宋体" w:cs="宋体"/>
                <w:spacing w:val="4"/>
              </w:rPr>
              <w:t>2</w:t>
            </w:r>
            <w:r>
              <w:rPr>
                <w:spacing w:val="4"/>
              </w:rPr>
              <w:t>万元</w:t>
            </w:r>
            <w:r>
              <w:rPr>
                <w:spacing w:val="3"/>
              </w:rPr>
              <w:t>以上</w:t>
            </w:r>
            <w:r>
              <w:rPr>
                <w:rFonts w:ascii="宋体" w:hAnsi="宋体" w:eastAsia="宋体" w:cs="宋体"/>
                <w:spacing w:val="3"/>
              </w:rPr>
              <w:t>4</w:t>
            </w:r>
            <w:r>
              <w:rPr>
                <w:spacing w:val="3"/>
              </w:rPr>
              <w:t>万元以下的罚款；</w:t>
            </w:r>
            <w:r>
              <w:rPr>
                <w:spacing w:val="-4"/>
              </w:rPr>
              <w:t>逾期未改正的，处</w:t>
            </w:r>
            <w:r>
              <w:rPr>
                <w:rFonts w:ascii="宋体" w:hAnsi="宋体" w:eastAsia="宋体" w:cs="宋体"/>
                <w:spacing w:val="-4"/>
              </w:rPr>
              <w:t>10</w:t>
            </w:r>
            <w:r>
              <w:rPr>
                <w:spacing w:val="-4"/>
              </w:rPr>
              <w:t>万元</w:t>
            </w:r>
            <w:r>
              <w:rPr>
                <w:spacing w:val="-1"/>
              </w:rPr>
              <w:t>以上</w:t>
            </w:r>
            <w:r>
              <w:rPr>
                <w:rFonts w:ascii="宋体" w:hAnsi="宋体" w:eastAsia="宋体" w:cs="宋体"/>
                <w:spacing w:val="-1"/>
              </w:rPr>
              <w:t>15</w:t>
            </w:r>
            <w:r>
              <w:rPr>
                <w:spacing w:val="-1"/>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万元以上</w:t>
            </w:r>
            <w:r>
              <w:rPr>
                <w:rFonts w:ascii="宋体" w:hAnsi="宋体" w:eastAsia="宋体" w:cs="宋体"/>
                <w:spacing w:val="7"/>
              </w:rPr>
              <w:t>2</w:t>
            </w:r>
            <w:r>
              <w:rPr>
                <w:spacing w:val="7"/>
              </w:rPr>
              <w:t>万元以下的罚</w:t>
            </w:r>
            <w:r>
              <w:rPr>
                <w:spacing w:val="4"/>
              </w:rPr>
              <w:t>款；情节严重的，责令停</w:t>
            </w:r>
            <w:r>
              <w:rPr>
                <w:spacing w:val="7"/>
              </w:rPr>
              <w:t>产停业整顿</w:t>
            </w:r>
          </w:p>
        </w:tc>
        <w:tc>
          <w:tcPr>
            <w:tcW w:w="811" w:type="dxa"/>
            <w:vMerge w:val="restart"/>
            <w:tcBorders>
              <w:bottom w:val="nil"/>
            </w:tcBorders>
            <w:vAlign w:val="top"/>
          </w:tcPr>
          <w:p w14:paraId="285A150F">
            <w:pPr>
              <w:rPr>
                <w:rFonts w:ascii="Arial"/>
                <w:sz w:val="21"/>
              </w:rPr>
            </w:pPr>
          </w:p>
        </w:tc>
      </w:tr>
      <w:tr w14:paraId="74228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5" w:hRule="atLeast"/>
        </w:trPr>
        <w:tc>
          <w:tcPr>
            <w:tcW w:w="818" w:type="dxa"/>
            <w:vMerge w:val="continue"/>
            <w:tcBorders>
              <w:top w:val="nil"/>
            </w:tcBorders>
            <w:vAlign w:val="top"/>
          </w:tcPr>
          <w:p w14:paraId="67858B65">
            <w:pPr>
              <w:rPr>
                <w:rFonts w:ascii="Arial"/>
                <w:sz w:val="21"/>
              </w:rPr>
            </w:pPr>
          </w:p>
        </w:tc>
        <w:tc>
          <w:tcPr>
            <w:tcW w:w="1440" w:type="dxa"/>
            <w:vMerge w:val="continue"/>
            <w:tcBorders>
              <w:top w:val="nil"/>
            </w:tcBorders>
            <w:vAlign w:val="top"/>
          </w:tcPr>
          <w:p w14:paraId="2593A484">
            <w:pPr>
              <w:rPr>
                <w:rFonts w:ascii="Arial"/>
                <w:sz w:val="21"/>
              </w:rPr>
            </w:pPr>
          </w:p>
        </w:tc>
        <w:tc>
          <w:tcPr>
            <w:tcW w:w="3202" w:type="dxa"/>
            <w:vMerge w:val="continue"/>
            <w:tcBorders>
              <w:top w:val="nil"/>
            </w:tcBorders>
            <w:vAlign w:val="top"/>
          </w:tcPr>
          <w:p w14:paraId="71C8A4B2">
            <w:pPr>
              <w:rPr>
                <w:rFonts w:ascii="Arial"/>
                <w:sz w:val="21"/>
              </w:rPr>
            </w:pPr>
          </w:p>
        </w:tc>
        <w:tc>
          <w:tcPr>
            <w:tcW w:w="2859" w:type="dxa"/>
            <w:vMerge w:val="continue"/>
            <w:tcBorders>
              <w:top w:val="nil"/>
            </w:tcBorders>
            <w:vAlign w:val="top"/>
          </w:tcPr>
          <w:p w14:paraId="4B9968CA">
            <w:pPr>
              <w:rPr>
                <w:rFonts w:ascii="Arial"/>
                <w:sz w:val="21"/>
              </w:rPr>
            </w:pPr>
          </w:p>
        </w:tc>
        <w:tc>
          <w:tcPr>
            <w:tcW w:w="803" w:type="dxa"/>
            <w:vAlign w:val="top"/>
          </w:tcPr>
          <w:p w14:paraId="3B33A62A">
            <w:pPr>
              <w:spacing w:line="256" w:lineRule="auto"/>
              <w:rPr>
                <w:rFonts w:ascii="Arial"/>
                <w:sz w:val="21"/>
              </w:rPr>
            </w:pPr>
          </w:p>
          <w:p w14:paraId="79D637EC">
            <w:pPr>
              <w:spacing w:line="256" w:lineRule="auto"/>
              <w:rPr>
                <w:rFonts w:ascii="Arial"/>
                <w:sz w:val="21"/>
              </w:rPr>
            </w:pPr>
          </w:p>
          <w:p w14:paraId="1125C07B">
            <w:pPr>
              <w:spacing w:line="256" w:lineRule="auto"/>
              <w:rPr>
                <w:rFonts w:ascii="Arial"/>
                <w:sz w:val="21"/>
              </w:rPr>
            </w:pPr>
          </w:p>
          <w:p w14:paraId="235BFB96">
            <w:pPr>
              <w:spacing w:line="256" w:lineRule="auto"/>
              <w:rPr>
                <w:rFonts w:ascii="Arial"/>
                <w:sz w:val="21"/>
              </w:rPr>
            </w:pPr>
          </w:p>
          <w:p w14:paraId="762D306F">
            <w:pPr>
              <w:spacing w:line="256" w:lineRule="auto"/>
              <w:rPr>
                <w:rFonts w:ascii="Arial"/>
                <w:sz w:val="21"/>
              </w:rPr>
            </w:pPr>
          </w:p>
          <w:p w14:paraId="5265E745">
            <w:pPr>
              <w:spacing w:line="256" w:lineRule="auto"/>
              <w:rPr>
                <w:rFonts w:ascii="Arial"/>
                <w:sz w:val="21"/>
              </w:rPr>
            </w:pPr>
          </w:p>
          <w:p w14:paraId="2785ABBD">
            <w:pPr>
              <w:spacing w:line="256" w:lineRule="auto"/>
              <w:rPr>
                <w:rFonts w:ascii="Arial"/>
                <w:sz w:val="21"/>
              </w:rPr>
            </w:pPr>
          </w:p>
          <w:p w14:paraId="6C2F03E8">
            <w:pPr>
              <w:spacing w:line="257" w:lineRule="auto"/>
              <w:rPr>
                <w:rFonts w:ascii="Arial"/>
                <w:sz w:val="21"/>
              </w:rPr>
            </w:pPr>
          </w:p>
          <w:p w14:paraId="3487B2A8">
            <w:pPr>
              <w:spacing w:line="257" w:lineRule="auto"/>
              <w:rPr>
                <w:rFonts w:ascii="Arial"/>
                <w:sz w:val="21"/>
              </w:rPr>
            </w:pPr>
          </w:p>
          <w:p w14:paraId="45701A1A">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A24D28A">
            <w:pPr>
              <w:spacing w:line="273" w:lineRule="auto"/>
              <w:rPr>
                <w:rFonts w:ascii="Arial"/>
                <w:sz w:val="21"/>
              </w:rPr>
            </w:pPr>
          </w:p>
          <w:p w14:paraId="68F70521">
            <w:pPr>
              <w:spacing w:line="273" w:lineRule="auto"/>
              <w:rPr>
                <w:rFonts w:ascii="Arial"/>
                <w:sz w:val="21"/>
              </w:rPr>
            </w:pPr>
          </w:p>
          <w:p w14:paraId="26BB6A3A">
            <w:pPr>
              <w:spacing w:line="273" w:lineRule="auto"/>
              <w:rPr>
                <w:rFonts w:ascii="Arial"/>
                <w:sz w:val="21"/>
              </w:rPr>
            </w:pPr>
          </w:p>
          <w:p w14:paraId="518638FA">
            <w:pPr>
              <w:spacing w:line="274" w:lineRule="auto"/>
              <w:rPr>
                <w:rFonts w:ascii="Arial"/>
                <w:sz w:val="21"/>
              </w:rPr>
            </w:pPr>
          </w:p>
          <w:p w14:paraId="3EAF809F">
            <w:pPr>
              <w:spacing w:line="274" w:lineRule="auto"/>
              <w:rPr>
                <w:rFonts w:ascii="Arial"/>
                <w:sz w:val="21"/>
              </w:rPr>
            </w:pPr>
          </w:p>
          <w:p w14:paraId="67AE9165">
            <w:pPr>
              <w:spacing w:line="274" w:lineRule="auto"/>
              <w:rPr>
                <w:rFonts w:ascii="Arial"/>
                <w:sz w:val="21"/>
              </w:rPr>
            </w:pPr>
          </w:p>
          <w:p w14:paraId="23021F36">
            <w:pPr>
              <w:pStyle w:val="6"/>
              <w:spacing w:before="99" w:line="188" w:lineRule="auto"/>
              <w:ind w:left="117" w:right="108" w:firstLine="5"/>
              <w:jc w:val="both"/>
            </w:pPr>
            <w:r>
              <w:rPr>
                <w:spacing w:val="-9"/>
              </w:rPr>
              <w:t>有</w:t>
            </w:r>
            <w:r>
              <w:rPr>
                <w:rFonts w:ascii="宋体" w:hAnsi="宋体" w:eastAsia="宋体" w:cs="宋体"/>
                <w:spacing w:val="-9"/>
              </w:rPr>
              <w:t>3</w:t>
            </w:r>
            <w:r>
              <w:rPr>
                <w:spacing w:val="-9"/>
              </w:rPr>
              <w:t>台（套）以上安</w:t>
            </w:r>
            <w:r>
              <w:rPr>
                <w:spacing w:val="26"/>
              </w:rPr>
              <w:t>全设备的安装、使</w:t>
            </w:r>
            <w:r>
              <w:rPr>
                <w:spacing w:val="-3"/>
              </w:rPr>
              <w:t>用、检测、改造、报</w:t>
            </w:r>
            <w:r>
              <w:rPr>
                <w:spacing w:val="26"/>
              </w:rPr>
              <w:t>废不符合国家标准</w:t>
            </w:r>
            <w:r>
              <w:rPr>
                <w:spacing w:val="7"/>
              </w:rPr>
              <w:t>或者行业标准的</w:t>
            </w:r>
          </w:p>
        </w:tc>
        <w:tc>
          <w:tcPr>
            <w:tcW w:w="2894" w:type="dxa"/>
            <w:vAlign w:val="top"/>
          </w:tcPr>
          <w:p w14:paraId="2BD1A874">
            <w:pPr>
              <w:spacing w:line="263" w:lineRule="auto"/>
              <w:rPr>
                <w:rFonts w:ascii="Arial"/>
                <w:sz w:val="21"/>
              </w:rPr>
            </w:pPr>
          </w:p>
          <w:p w14:paraId="36536750">
            <w:pPr>
              <w:spacing w:line="263" w:lineRule="auto"/>
              <w:rPr>
                <w:rFonts w:ascii="Arial"/>
                <w:sz w:val="21"/>
              </w:rPr>
            </w:pPr>
          </w:p>
          <w:p w14:paraId="72B97005">
            <w:pPr>
              <w:spacing w:line="263" w:lineRule="auto"/>
              <w:rPr>
                <w:rFonts w:ascii="Arial"/>
                <w:sz w:val="21"/>
              </w:rPr>
            </w:pPr>
          </w:p>
          <w:p w14:paraId="4658CF6B">
            <w:pPr>
              <w:spacing w:line="263" w:lineRule="auto"/>
              <w:rPr>
                <w:rFonts w:ascii="Arial"/>
                <w:sz w:val="21"/>
              </w:rPr>
            </w:pPr>
          </w:p>
          <w:p w14:paraId="5DAC22B2">
            <w:pPr>
              <w:pStyle w:val="6"/>
              <w:spacing w:before="99" w:line="185" w:lineRule="auto"/>
              <w:ind w:left="117" w:right="73" w:firstLine="10"/>
            </w:pPr>
            <w:r>
              <w:rPr>
                <w:spacing w:val="4"/>
              </w:rPr>
              <w:t>责令限期改正，处</w:t>
            </w:r>
            <w:r>
              <w:rPr>
                <w:rFonts w:ascii="宋体" w:hAnsi="宋体" w:eastAsia="宋体" w:cs="宋体"/>
                <w:spacing w:val="4"/>
              </w:rPr>
              <w:t>4</w:t>
            </w:r>
            <w:r>
              <w:rPr>
                <w:spacing w:val="4"/>
              </w:rPr>
              <w:t>万元</w:t>
            </w:r>
            <w:r>
              <w:rPr>
                <w:spacing w:val="3"/>
              </w:rPr>
              <w:t>以上</w:t>
            </w:r>
            <w:r>
              <w:rPr>
                <w:rFonts w:ascii="宋体" w:hAnsi="宋体" w:eastAsia="宋体" w:cs="宋体"/>
                <w:spacing w:val="3"/>
              </w:rPr>
              <w:t>5</w:t>
            </w:r>
            <w:r>
              <w:rPr>
                <w:spacing w:val="3"/>
              </w:rPr>
              <w:t>万元以下的罚款；</w:t>
            </w:r>
            <w:r>
              <w:rPr>
                <w:spacing w:val="-4"/>
              </w:rPr>
              <w:t>逾期未改正的，处</w:t>
            </w:r>
            <w:r>
              <w:rPr>
                <w:rFonts w:ascii="宋体" w:hAnsi="宋体" w:eastAsia="宋体" w:cs="宋体"/>
                <w:spacing w:val="-4"/>
              </w:rPr>
              <w:t>15</w:t>
            </w:r>
            <w:r>
              <w:rPr>
                <w:spacing w:val="-4"/>
              </w:rPr>
              <w:t>万元</w:t>
            </w:r>
            <w:r>
              <w:t>以上</w:t>
            </w:r>
            <w:r>
              <w:rPr>
                <w:rFonts w:ascii="宋体" w:hAnsi="宋体" w:eastAsia="宋体" w:cs="宋体"/>
              </w:rPr>
              <w:t>20</w:t>
            </w:r>
            <w: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万元以上</w:t>
            </w:r>
            <w:r>
              <w:rPr>
                <w:rFonts w:ascii="宋体" w:hAnsi="宋体" w:eastAsia="宋体" w:cs="宋体"/>
                <w:spacing w:val="7"/>
              </w:rPr>
              <w:t>2</w:t>
            </w:r>
            <w:r>
              <w:rPr>
                <w:spacing w:val="7"/>
              </w:rPr>
              <w:t>万元以下的罚</w:t>
            </w:r>
            <w:r>
              <w:rPr>
                <w:spacing w:val="4"/>
              </w:rPr>
              <w:t>款；情节严重的，责令停</w:t>
            </w:r>
            <w:r>
              <w:rPr>
                <w:spacing w:val="7"/>
              </w:rPr>
              <w:t>产停业整顿</w:t>
            </w:r>
          </w:p>
        </w:tc>
        <w:tc>
          <w:tcPr>
            <w:tcW w:w="811" w:type="dxa"/>
            <w:vMerge w:val="continue"/>
            <w:tcBorders>
              <w:top w:val="nil"/>
            </w:tcBorders>
            <w:vAlign w:val="top"/>
          </w:tcPr>
          <w:p w14:paraId="6AC04341">
            <w:pPr>
              <w:rPr>
                <w:rFonts w:ascii="Arial"/>
                <w:sz w:val="21"/>
              </w:rPr>
            </w:pPr>
          </w:p>
        </w:tc>
      </w:tr>
    </w:tbl>
    <w:p w14:paraId="341D19F9">
      <w:pPr>
        <w:pStyle w:val="2"/>
      </w:pPr>
    </w:p>
    <w:p w14:paraId="48F47E00">
      <w:pPr>
        <w:sectPr>
          <w:footerReference r:id="rId55" w:type="default"/>
          <w:pgSz w:w="16839" w:h="11906"/>
          <w:pgMar w:top="1012" w:right="821" w:bottom="666" w:left="901" w:header="0" w:footer="388" w:gutter="0"/>
          <w:cols w:space="720" w:num="1"/>
        </w:sectPr>
      </w:pPr>
    </w:p>
    <w:p w14:paraId="033B890B">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D13F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AC6AFD9">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7A1F577A">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F8A10D3">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5573097">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F04C390">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D45B8B7">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57564372">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A67AB29">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1759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1" w:hRule="atLeast"/>
        </w:trPr>
        <w:tc>
          <w:tcPr>
            <w:tcW w:w="818" w:type="dxa"/>
            <w:vAlign w:val="top"/>
          </w:tcPr>
          <w:p w14:paraId="6B431FC4">
            <w:pPr>
              <w:rPr>
                <w:rFonts w:ascii="Arial"/>
                <w:sz w:val="21"/>
              </w:rPr>
            </w:pPr>
          </w:p>
        </w:tc>
        <w:tc>
          <w:tcPr>
            <w:tcW w:w="1440" w:type="dxa"/>
            <w:vAlign w:val="top"/>
          </w:tcPr>
          <w:p w14:paraId="56D62684">
            <w:pPr>
              <w:rPr>
                <w:rFonts w:ascii="Arial"/>
                <w:sz w:val="21"/>
              </w:rPr>
            </w:pPr>
          </w:p>
        </w:tc>
        <w:tc>
          <w:tcPr>
            <w:tcW w:w="3202" w:type="dxa"/>
            <w:vAlign w:val="top"/>
          </w:tcPr>
          <w:p w14:paraId="237CBF58">
            <w:pPr>
              <w:rPr>
                <w:rFonts w:ascii="Arial"/>
                <w:sz w:val="21"/>
              </w:rPr>
            </w:pPr>
          </w:p>
        </w:tc>
        <w:tc>
          <w:tcPr>
            <w:tcW w:w="2859" w:type="dxa"/>
            <w:vAlign w:val="top"/>
          </w:tcPr>
          <w:p w14:paraId="04791133">
            <w:pPr>
              <w:pStyle w:val="6"/>
              <w:spacing w:before="31" w:line="182" w:lineRule="auto"/>
              <w:ind w:left="117" w:right="110"/>
              <w:jc w:val="both"/>
            </w:pPr>
            <w:r>
              <w:rPr>
                <w:rFonts w:ascii="宋体" w:hAnsi="宋体" w:eastAsia="宋体" w:cs="宋体"/>
                <w:spacing w:val="7"/>
              </w:rPr>
              <w:t>3.</w:t>
            </w:r>
            <w:r>
              <w:rPr>
                <w:spacing w:val="7"/>
              </w:rPr>
              <w:t>【部门规章】《工贸企</w:t>
            </w:r>
            <w:r>
              <w:rPr>
                <w:spacing w:val="32"/>
              </w:rPr>
              <w:t>业有限空间作业安全规</w:t>
            </w:r>
            <w:r>
              <w:rPr>
                <w:spacing w:val="8"/>
              </w:rPr>
              <w:t>定》第十九条第二项：工</w:t>
            </w:r>
            <w:r>
              <w:rPr>
                <w:spacing w:val="26"/>
              </w:rPr>
              <w:t>贸企业有下列行为之一</w:t>
            </w:r>
          </w:p>
          <w:p w14:paraId="1A2BED9E">
            <w:pPr>
              <w:pStyle w:val="6"/>
              <w:spacing w:line="182" w:lineRule="auto"/>
              <w:ind w:left="139"/>
              <w:outlineLvl w:val="0"/>
              <w:rPr>
                <w:rFonts w:ascii="宋体" w:hAnsi="宋体" w:eastAsia="宋体" w:cs="宋体"/>
              </w:rPr>
            </w:pPr>
            <w:r>
              <w:rPr>
                <w:spacing w:val="4"/>
              </w:rPr>
              <w:t>的，责令限期改正，处</w:t>
            </w:r>
            <w:r>
              <w:rPr>
                <w:rFonts w:ascii="宋体" w:hAnsi="宋体" w:eastAsia="宋体" w:cs="宋体"/>
                <w:spacing w:val="4"/>
              </w:rPr>
              <w:t>5</w:t>
            </w:r>
          </w:p>
          <w:p w14:paraId="5DA5F94B">
            <w:pPr>
              <w:pStyle w:val="6"/>
              <w:spacing w:before="1" w:line="181" w:lineRule="auto"/>
              <w:ind w:left="116" w:right="105" w:firstLine="12"/>
              <w:jc w:val="both"/>
            </w:pPr>
            <w:r>
              <w:rPr>
                <w:spacing w:val="7"/>
              </w:rPr>
              <w:t>万元以下的罚款；逾期未</w:t>
            </w:r>
            <w:bookmarkStart w:id="423" w:name="bookmark82"/>
            <w:bookmarkEnd w:id="423"/>
            <w:r>
              <w:rPr>
                <w:spacing w:val="-1"/>
              </w:rPr>
              <w:t>改正的，处</w:t>
            </w:r>
            <w:r>
              <w:rPr>
                <w:rFonts w:ascii="宋体" w:hAnsi="宋体" w:eastAsia="宋体" w:cs="宋体"/>
                <w:spacing w:val="-1"/>
              </w:rPr>
              <w:t>5</w:t>
            </w:r>
            <w:r>
              <w:rPr>
                <w:spacing w:val="-1"/>
              </w:rPr>
              <w:t>万元以上</w:t>
            </w:r>
            <w:r>
              <w:rPr>
                <w:rFonts w:ascii="宋体" w:hAnsi="宋体" w:eastAsia="宋体" w:cs="宋体"/>
                <w:spacing w:val="-1"/>
              </w:rPr>
              <w:t>20</w:t>
            </w:r>
            <w:r>
              <w:rPr>
                <w:spacing w:val="8"/>
              </w:rPr>
              <w:t>万元以下的罚款，对其直接负责的主管人员和其他</w:t>
            </w:r>
            <w:r>
              <w:rPr>
                <w:spacing w:val="3"/>
              </w:rPr>
              <w:t>直接责任人员处</w:t>
            </w:r>
            <w:r>
              <w:rPr>
                <w:rFonts w:ascii="宋体" w:hAnsi="宋体" w:eastAsia="宋体" w:cs="宋体"/>
                <w:spacing w:val="3"/>
              </w:rPr>
              <w:t>1</w:t>
            </w:r>
            <w:r>
              <w:rPr>
                <w:spacing w:val="3"/>
              </w:rPr>
              <w:t>万元以</w:t>
            </w:r>
            <w:r>
              <w:rPr>
                <w:spacing w:val="4"/>
              </w:rPr>
              <w:t>上</w:t>
            </w:r>
            <w:r>
              <w:rPr>
                <w:rFonts w:ascii="宋体" w:hAnsi="宋体" w:eastAsia="宋体" w:cs="宋体"/>
                <w:spacing w:val="4"/>
              </w:rPr>
              <w:t>2</w:t>
            </w:r>
            <w:r>
              <w:rPr>
                <w:spacing w:val="4"/>
              </w:rPr>
              <w:t>万元以下的罚款；情</w:t>
            </w:r>
            <w:r>
              <w:rPr>
                <w:spacing w:val="8"/>
              </w:rPr>
              <w:t>节严重的，责令停产停业整顿；构成犯罪的，依照刑法有关规定追究刑事责任</w:t>
            </w:r>
            <w:r>
              <w:rPr>
                <w:spacing w:val="10"/>
              </w:rPr>
              <w:t>：（</w:t>
            </w:r>
            <w:r>
              <w:rPr>
                <w:spacing w:val="8"/>
              </w:rPr>
              <w:t>二）未按照规定配备、使用符合国家标准或者行业标准的有限空间作业安全仪器、设备、装备和器材的，或者未对其进行经常性维护、保养和定</w:t>
            </w:r>
            <w:r>
              <w:t>期检测的。</w:t>
            </w:r>
          </w:p>
        </w:tc>
        <w:tc>
          <w:tcPr>
            <w:tcW w:w="803" w:type="dxa"/>
            <w:vAlign w:val="top"/>
          </w:tcPr>
          <w:p w14:paraId="6F8C4B95">
            <w:pPr>
              <w:rPr>
                <w:rFonts w:ascii="Arial"/>
                <w:sz w:val="21"/>
              </w:rPr>
            </w:pPr>
          </w:p>
        </w:tc>
        <w:tc>
          <w:tcPr>
            <w:tcW w:w="2283" w:type="dxa"/>
            <w:vAlign w:val="top"/>
          </w:tcPr>
          <w:p w14:paraId="4D9ABD5F">
            <w:pPr>
              <w:rPr>
                <w:rFonts w:ascii="Arial"/>
                <w:sz w:val="21"/>
              </w:rPr>
            </w:pPr>
          </w:p>
        </w:tc>
        <w:tc>
          <w:tcPr>
            <w:tcW w:w="2894" w:type="dxa"/>
            <w:vAlign w:val="top"/>
          </w:tcPr>
          <w:p w14:paraId="66A9F99B">
            <w:pPr>
              <w:rPr>
                <w:rFonts w:ascii="Arial"/>
                <w:sz w:val="21"/>
              </w:rPr>
            </w:pPr>
          </w:p>
        </w:tc>
        <w:tc>
          <w:tcPr>
            <w:tcW w:w="811" w:type="dxa"/>
            <w:vAlign w:val="top"/>
          </w:tcPr>
          <w:p w14:paraId="4FCF157E">
            <w:pPr>
              <w:rPr>
                <w:rFonts w:ascii="Arial"/>
                <w:sz w:val="21"/>
              </w:rPr>
            </w:pPr>
          </w:p>
        </w:tc>
      </w:tr>
      <w:tr w14:paraId="4FAEA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2" w:hRule="atLeast"/>
        </w:trPr>
        <w:tc>
          <w:tcPr>
            <w:tcW w:w="818" w:type="dxa"/>
            <w:vAlign w:val="top"/>
          </w:tcPr>
          <w:p w14:paraId="5A950D93">
            <w:pPr>
              <w:spacing w:line="265" w:lineRule="auto"/>
              <w:rPr>
                <w:rFonts w:ascii="Arial"/>
                <w:sz w:val="21"/>
              </w:rPr>
            </w:pPr>
          </w:p>
          <w:p w14:paraId="5B25A61D">
            <w:pPr>
              <w:spacing w:line="265" w:lineRule="auto"/>
              <w:rPr>
                <w:rFonts w:ascii="Arial"/>
                <w:sz w:val="21"/>
              </w:rPr>
            </w:pPr>
          </w:p>
          <w:p w14:paraId="731787E0">
            <w:pPr>
              <w:spacing w:line="265" w:lineRule="auto"/>
              <w:rPr>
                <w:rFonts w:ascii="Arial"/>
                <w:sz w:val="21"/>
              </w:rPr>
            </w:pPr>
          </w:p>
          <w:p w14:paraId="4572F954">
            <w:pPr>
              <w:spacing w:line="265" w:lineRule="auto"/>
              <w:rPr>
                <w:rFonts w:ascii="Arial"/>
                <w:sz w:val="21"/>
              </w:rPr>
            </w:pPr>
          </w:p>
          <w:p w14:paraId="3E3391FE">
            <w:pPr>
              <w:spacing w:line="265" w:lineRule="auto"/>
              <w:rPr>
                <w:rFonts w:ascii="Arial"/>
                <w:sz w:val="21"/>
              </w:rPr>
            </w:pPr>
          </w:p>
          <w:p w14:paraId="23143C6C">
            <w:pPr>
              <w:spacing w:before="75" w:line="185" w:lineRule="auto"/>
              <w:ind w:left="239"/>
              <w:rPr>
                <w:rFonts w:ascii="仿宋" w:hAnsi="仿宋" w:eastAsia="仿宋" w:cs="仿宋"/>
                <w:sz w:val="23"/>
                <w:szCs w:val="23"/>
              </w:rPr>
            </w:pPr>
            <w:r>
              <w:rPr>
                <w:rFonts w:ascii="仿宋" w:hAnsi="仿宋" w:eastAsia="仿宋" w:cs="仿宋"/>
                <w:spacing w:val="-4"/>
                <w:sz w:val="23"/>
                <w:szCs w:val="23"/>
              </w:rPr>
              <w:t>39</w:t>
            </w:r>
          </w:p>
        </w:tc>
        <w:tc>
          <w:tcPr>
            <w:tcW w:w="1440" w:type="dxa"/>
            <w:vAlign w:val="top"/>
          </w:tcPr>
          <w:p w14:paraId="726CDBE0">
            <w:pPr>
              <w:spacing w:line="253" w:lineRule="auto"/>
              <w:rPr>
                <w:rFonts w:ascii="Arial"/>
                <w:sz w:val="21"/>
              </w:rPr>
            </w:pPr>
          </w:p>
          <w:p w14:paraId="20C86544">
            <w:pPr>
              <w:spacing w:line="253" w:lineRule="auto"/>
              <w:rPr>
                <w:rFonts w:ascii="Arial"/>
                <w:sz w:val="21"/>
              </w:rPr>
            </w:pPr>
          </w:p>
          <w:p w14:paraId="1C1A99B1">
            <w:pPr>
              <w:pStyle w:val="6"/>
              <w:spacing w:before="99" w:line="187" w:lineRule="auto"/>
              <w:ind w:left="112" w:right="111" w:firstLine="16"/>
            </w:pPr>
            <w:r>
              <w:rPr>
                <w:spacing w:val="8"/>
              </w:rPr>
              <w:t>生产经营单</w:t>
            </w:r>
            <w:r>
              <w:rPr>
                <w:spacing w:val="12"/>
              </w:rPr>
              <w:t>位未对安全设备进行经</w:t>
            </w:r>
            <w:r>
              <w:rPr>
                <w:spacing w:val="6"/>
              </w:rPr>
              <w:t>常性维护、</w:t>
            </w:r>
            <w:r>
              <w:rPr>
                <w:spacing w:val="12"/>
              </w:rPr>
              <w:t>保养和定期</w:t>
            </w:r>
            <w:r>
              <w:rPr>
                <w:spacing w:val="6"/>
              </w:rPr>
              <w:t>检测的</w:t>
            </w:r>
          </w:p>
        </w:tc>
        <w:tc>
          <w:tcPr>
            <w:tcW w:w="3202" w:type="dxa"/>
            <w:vAlign w:val="top"/>
          </w:tcPr>
          <w:p w14:paraId="6A4A64B2">
            <w:pPr>
              <w:pStyle w:val="6"/>
              <w:spacing w:before="39" w:line="182" w:lineRule="auto"/>
              <w:ind w:left="117" w:right="110" w:firstLine="13"/>
            </w:pPr>
            <w:r>
              <w:rPr>
                <w:rFonts w:ascii="宋体" w:hAnsi="宋体" w:eastAsia="宋体" w:cs="宋体"/>
                <w:spacing w:val="14"/>
              </w:rPr>
              <w:t>1.</w:t>
            </w:r>
            <w:r>
              <w:rPr>
                <w:spacing w:val="14"/>
              </w:rPr>
              <w:t>【法律】《中华人民共和</w:t>
            </w:r>
            <w:r>
              <w:rPr>
                <w:spacing w:val="17"/>
              </w:rPr>
              <w:t>国安全生产法》第三十六条</w:t>
            </w:r>
            <w:r>
              <w:rPr>
                <w:spacing w:val="12"/>
              </w:rPr>
              <w:t>第二款：生产经营单位必须</w:t>
            </w:r>
            <w:r>
              <w:rPr>
                <w:spacing w:val="39"/>
              </w:rPr>
              <w:t>对安全设备进行经常性维</w:t>
            </w:r>
            <w:r>
              <w:rPr>
                <w:spacing w:val="9"/>
              </w:rPr>
              <w:t>护、保养，并定期检测，保</w:t>
            </w:r>
            <w:r>
              <w:rPr>
                <w:spacing w:val="14"/>
              </w:rPr>
              <w:t>证正常运转。维护、保养、</w:t>
            </w:r>
            <w:r>
              <w:rPr>
                <w:spacing w:val="13"/>
              </w:rPr>
              <w:t>检测应当作好记录，并由有</w:t>
            </w:r>
            <w:r>
              <w:rPr>
                <w:spacing w:val="1"/>
              </w:rPr>
              <w:t>关人员签字。</w:t>
            </w:r>
          </w:p>
          <w:p w14:paraId="12AAE0B3">
            <w:pPr>
              <w:pStyle w:val="6"/>
              <w:spacing w:before="1" w:line="208" w:lineRule="auto"/>
              <w:ind w:left="116"/>
            </w:pPr>
            <w:r>
              <w:rPr>
                <w:rFonts w:ascii="宋体" w:hAnsi="宋体" w:eastAsia="宋体" w:cs="宋体"/>
                <w:spacing w:val="14"/>
              </w:rPr>
              <w:t>2.</w:t>
            </w:r>
            <w:r>
              <w:rPr>
                <w:spacing w:val="14"/>
              </w:rPr>
              <w:t>【部门规章】《工贸企业</w:t>
            </w:r>
          </w:p>
        </w:tc>
        <w:tc>
          <w:tcPr>
            <w:tcW w:w="2859" w:type="dxa"/>
            <w:vAlign w:val="top"/>
          </w:tcPr>
          <w:p w14:paraId="2DA36DFB">
            <w:pPr>
              <w:pStyle w:val="6"/>
              <w:spacing w:before="38" w:line="185" w:lineRule="auto"/>
              <w:ind w:left="115" w:right="38" w:firstLine="15"/>
              <w:jc w:val="both"/>
            </w:pPr>
            <w:r>
              <w:rPr>
                <w:rFonts w:ascii="宋体" w:hAnsi="宋体" w:eastAsia="宋体" w:cs="宋体"/>
                <w:spacing w:val="6"/>
              </w:rPr>
              <w:t>1.</w:t>
            </w:r>
            <w:r>
              <w:rPr>
                <w:spacing w:val="6"/>
              </w:rPr>
              <w:t>【法律】《中华人民共</w:t>
            </w:r>
            <w:r>
              <w:rPr>
                <w:spacing w:val="8"/>
              </w:rPr>
              <w:t>和国安全生产法》第九十九条第三项：生产经营单</w:t>
            </w:r>
            <w:r>
              <w:rPr>
                <w:spacing w:val="4"/>
              </w:rPr>
              <w:t>位有下列行为之一的，责</w:t>
            </w:r>
            <w:r>
              <w:rPr>
                <w:spacing w:val="8"/>
              </w:rPr>
              <w:t>令限期改正，处五万元以</w:t>
            </w:r>
            <w:r>
              <w:rPr>
                <w:spacing w:val="-5"/>
              </w:rPr>
              <w:t>下的罚款；逾期未改正的，</w:t>
            </w:r>
            <w:r>
              <w:rPr>
                <w:spacing w:val="8"/>
              </w:rPr>
              <w:t>处五万元以上二十万元以下的罚款，对其直接负责的主管人员和其他直接责</w:t>
            </w:r>
          </w:p>
        </w:tc>
        <w:tc>
          <w:tcPr>
            <w:tcW w:w="803" w:type="dxa"/>
            <w:vAlign w:val="top"/>
          </w:tcPr>
          <w:p w14:paraId="44877E75">
            <w:pPr>
              <w:spacing w:line="263" w:lineRule="auto"/>
              <w:rPr>
                <w:rFonts w:ascii="Arial"/>
                <w:sz w:val="21"/>
              </w:rPr>
            </w:pPr>
          </w:p>
          <w:p w14:paraId="4FB54406">
            <w:pPr>
              <w:spacing w:line="264" w:lineRule="auto"/>
              <w:rPr>
                <w:rFonts w:ascii="Arial"/>
                <w:sz w:val="21"/>
              </w:rPr>
            </w:pPr>
          </w:p>
          <w:p w14:paraId="256F025E">
            <w:pPr>
              <w:spacing w:line="264" w:lineRule="auto"/>
              <w:rPr>
                <w:rFonts w:ascii="Arial"/>
                <w:sz w:val="21"/>
              </w:rPr>
            </w:pPr>
          </w:p>
          <w:p w14:paraId="38383F3A">
            <w:pPr>
              <w:spacing w:line="264" w:lineRule="auto"/>
              <w:rPr>
                <w:rFonts w:ascii="Arial"/>
                <w:sz w:val="21"/>
              </w:rPr>
            </w:pPr>
          </w:p>
          <w:p w14:paraId="4D80C455">
            <w:pPr>
              <w:spacing w:line="264" w:lineRule="auto"/>
              <w:rPr>
                <w:rFonts w:ascii="Arial"/>
                <w:sz w:val="21"/>
              </w:rPr>
            </w:pPr>
          </w:p>
          <w:p w14:paraId="2A46D3B1">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3635CF9">
            <w:pPr>
              <w:spacing w:line="268" w:lineRule="auto"/>
              <w:rPr>
                <w:rFonts w:ascii="Arial"/>
                <w:sz w:val="21"/>
              </w:rPr>
            </w:pPr>
          </w:p>
          <w:p w14:paraId="786B4643">
            <w:pPr>
              <w:spacing w:line="268" w:lineRule="auto"/>
              <w:rPr>
                <w:rFonts w:ascii="Arial"/>
                <w:sz w:val="21"/>
              </w:rPr>
            </w:pPr>
          </w:p>
          <w:p w14:paraId="2A321C6A">
            <w:pPr>
              <w:spacing w:line="269" w:lineRule="auto"/>
              <w:rPr>
                <w:rFonts w:ascii="Arial"/>
                <w:sz w:val="21"/>
              </w:rPr>
            </w:pPr>
          </w:p>
          <w:p w14:paraId="44F78971">
            <w:pPr>
              <w:pStyle w:val="6"/>
              <w:spacing w:before="98" w:line="190" w:lineRule="auto"/>
              <w:ind w:left="116" w:right="108" w:firstLine="6"/>
              <w:jc w:val="both"/>
            </w:pPr>
            <w:r>
              <w:rPr>
                <w:spacing w:val="-12"/>
              </w:rPr>
              <w:t>有</w:t>
            </w:r>
            <w:r>
              <w:rPr>
                <w:rFonts w:ascii="宋体" w:hAnsi="宋体" w:eastAsia="宋体" w:cs="宋体"/>
                <w:spacing w:val="-12"/>
              </w:rPr>
              <w:t>1</w:t>
            </w:r>
            <w:r>
              <w:rPr>
                <w:spacing w:val="-12"/>
              </w:rPr>
              <w:t>台（套）安全设</w:t>
            </w:r>
            <w:r>
              <w:rPr>
                <w:spacing w:val="26"/>
              </w:rPr>
              <w:t>备未进行经常性维</w:t>
            </w:r>
            <w:r>
              <w:rPr>
                <w:spacing w:val="-2"/>
              </w:rPr>
              <w:t>护、保养和定期检测</w:t>
            </w:r>
            <w:r>
              <w:t>的</w:t>
            </w:r>
          </w:p>
        </w:tc>
        <w:tc>
          <w:tcPr>
            <w:tcW w:w="2894" w:type="dxa"/>
            <w:vAlign w:val="top"/>
          </w:tcPr>
          <w:p w14:paraId="43BE2E06">
            <w:pPr>
              <w:pStyle w:val="6"/>
              <w:spacing w:before="305" w:line="186" w:lineRule="auto"/>
              <w:ind w:left="127" w:right="103"/>
              <w:jc w:val="both"/>
            </w:pPr>
            <w:r>
              <w:rPr>
                <w:spacing w:val="4"/>
              </w:rPr>
              <w:t>责令限期改正，处</w:t>
            </w:r>
            <w:r>
              <w:rPr>
                <w:rFonts w:ascii="宋体" w:hAnsi="宋体" w:eastAsia="宋体" w:cs="宋体"/>
                <w:spacing w:val="4"/>
              </w:rPr>
              <w:t>2</w:t>
            </w:r>
            <w:r>
              <w:rPr>
                <w:spacing w:val="4"/>
              </w:rPr>
              <w:t>万元</w:t>
            </w:r>
            <w:r>
              <w:rPr>
                <w:spacing w:val="8"/>
              </w:rPr>
              <w:t>以下的罚款；逾期未改正</w:t>
            </w:r>
            <w:r>
              <w:rPr>
                <w:spacing w:val="-7"/>
              </w:rPr>
              <w:t>的，处</w:t>
            </w:r>
            <w:r>
              <w:rPr>
                <w:rFonts w:ascii="宋体" w:hAnsi="宋体" w:eastAsia="宋体" w:cs="宋体"/>
                <w:spacing w:val="-7"/>
              </w:rPr>
              <w:t>5</w:t>
            </w:r>
            <w:r>
              <w:rPr>
                <w:spacing w:val="-7"/>
              </w:rPr>
              <w:t>万元以上</w:t>
            </w:r>
            <w:r>
              <w:rPr>
                <w:rFonts w:ascii="宋体" w:hAnsi="宋体" w:eastAsia="宋体" w:cs="宋体"/>
                <w:spacing w:val="-7"/>
              </w:rPr>
              <w:t>10</w:t>
            </w:r>
            <w:r>
              <w:rPr>
                <w:spacing w:val="-7"/>
              </w:rPr>
              <w:t>万元</w:t>
            </w:r>
            <w:r>
              <w:rPr>
                <w:spacing w:val="7"/>
              </w:rPr>
              <w:t>以下的罚款，对其直接负</w:t>
            </w:r>
            <w:r>
              <w:rPr>
                <w:spacing w:val="10"/>
              </w:rPr>
              <w:t>责的主管人员和其他直接</w:t>
            </w:r>
            <w:r>
              <w:rPr>
                <w:spacing w:val="7"/>
              </w:rPr>
              <w:t>责任人员处</w:t>
            </w:r>
            <w:r>
              <w:rPr>
                <w:rFonts w:ascii="宋体" w:hAnsi="宋体" w:eastAsia="宋体" w:cs="宋体"/>
                <w:spacing w:val="7"/>
              </w:rPr>
              <w:t>1</w:t>
            </w:r>
            <w:r>
              <w:rPr>
                <w:spacing w:val="7"/>
              </w:rPr>
              <w:t>万元以上</w:t>
            </w:r>
            <w:r>
              <w:rPr>
                <w:rFonts w:ascii="宋体" w:hAnsi="宋体" w:eastAsia="宋体" w:cs="宋体"/>
                <w:spacing w:val="7"/>
              </w:rPr>
              <w:t>2</w:t>
            </w:r>
            <w:r>
              <w:rPr>
                <w:spacing w:val="7"/>
              </w:rPr>
              <w:t>万元以下的罚款；情节严重的，责令停产停业整顿</w:t>
            </w:r>
          </w:p>
        </w:tc>
        <w:tc>
          <w:tcPr>
            <w:tcW w:w="811" w:type="dxa"/>
            <w:vAlign w:val="top"/>
          </w:tcPr>
          <w:p w14:paraId="730651A3">
            <w:pPr>
              <w:spacing w:line="264" w:lineRule="auto"/>
              <w:rPr>
                <w:rFonts w:ascii="Arial"/>
                <w:sz w:val="21"/>
              </w:rPr>
            </w:pPr>
          </w:p>
          <w:p w14:paraId="313B8170">
            <w:pPr>
              <w:spacing w:line="264" w:lineRule="auto"/>
              <w:rPr>
                <w:rFonts w:ascii="Arial"/>
                <w:sz w:val="21"/>
              </w:rPr>
            </w:pPr>
          </w:p>
          <w:p w14:paraId="6999D49E">
            <w:pPr>
              <w:spacing w:line="264" w:lineRule="auto"/>
              <w:rPr>
                <w:rFonts w:ascii="Arial"/>
                <w:sz w:val="21"/>
              </w:rPr>
            </w:pPr>
          </w:p>
          <w:p w14:paraId="7814BF6B">
            <w:pPr>
              <w:spacing w:line="264" w:lineRule="auto"/>
              <w:rPr>
                <w:rFonts w:ascii="Arial"/>
                <w:sz w:val="21"/>
              </w:rPr>
            </w:pPr>
          </w:p>
          <w:p w14:paraId="7EF78DDC">
            <w:pPr>
              <w:spacing w:line="265" w:lineRule="auto"/>
              <w:rPr>
                <w:rFonts w:ascii="Arial"/>
                <w:sz w:val="21"/>
              </w:rPr>
            </w:pPr>
          </w:p>
          <w:p w14:paraId="38565CB4">
            <w:pPr>
              <w:spacing w:before="75" w:line="188" w:lineRule="auto"/>
              <w:ind w:left="293"/>
              <w:rPr>
                <w:rFonts w:ascii="宋体" w:hAnsi="宋体" w:eastAsia="宋体" w:cs="宋体"/>
                <w:sz w:val="23"/>
                <w:szCs w:val="23"/>
              </w:rPr>
            </w:pPr>
            <w:r>
              <w:rPr>
                <w:rFonts w:ascii="宋体" w:hAnsi="宋体" w:eastAsia="宋体" w:cs="宋体"/>
                <w:spacing w:val="-3"/>
                <w:sz w:val="23"/>
                <w:szCs w:val="23"/>
              </w:rPr>
              <w:t>28</w:t>
            </w:r>
          </w:p>
        </w:tc>
      </w:tr>
    </w:tbl>
    <w:p w14:paraId="160CCB90">
      <w:pPr>
        <w:spacing w:before="94" w:line="168" w:lineRule="auto"/>
        <w:ind w:left="13683"/>
        <w:rPr>
          <w:rFonts w:ascii="宋体" w:hAnsi="宋体" w:eastAsia="宋体" w:cs="宋体"/>
          <w:sz w:val="28"/>
          <w:szCs w:val="28"/>
        </w:rPr>
      </w:pPr>
      <w:r>
        <w:rPr>
          <w:rFonts w:ascii="宋体" w:hAnsi="宋体" w:eastAsia="宋体" w:cs="宋体"/>
          <w:spacing w:val="-3"/>
          <w:sz w:val="28"/>
          <w:szCs w:val="28"/>
        </w:rPr>
        <w:t>—55—</w:t>
      </w:r>
    </w:p>
    <w:p w14:paraId="4F0C2BAA">
      <w:pPr>
        <w:spacing w:line="168" w:lineRule="auto"/>
        <w:rPr>
          <w:rFonts w:ascii="宋体" w:hAnsi="宋体" w:eastAsia="宋体" w:cs="宋体"/>
          <w:sz w:val="28"/>
          <w:szCs w:val="28"/>
        </w:rPr>
        <w:sectPr>
          <w:footerReference r:id="rId56" w:type="default"/>
          <w:pgSz w:w="16839" w:h="11906"/>
          <w:pgMar w:top="1012" w:right="821" w:bottom="400" w:left="901" w:header="0" w:footer="0" w:gutter="0"/>
          <w:cols w:space="720" w:num="1"/>
        </w:sectPr>
      </w:pPr>
    </w:p>
    <w:p w14:paraId="3C0814E5">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6B2C7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AF92F39">
            <w:pPr>
              <w:spacing w:before="222" w:line="241" w:lineRule="auto"/>
              <w:ind w:left="131"/>
              <w:rPr>
                <w:rFonts w:ascii="黑体" w:hAnsi="黑体" w:eastAsia="黑体" w:cs="黑体"/>
                <w:sz w:val="28"/>
                <w:szCs w:val="28"/>
              </w:rPr>
            </w:pPr>
            <w:bookmarkStart w:id="424" w:name="bookmark502"/>
            <w:bookmarkEnd w:id="424"/>
            <w:r>
              <w:rPr>
                <w:rFonts w:ascii="黑体" w:hAnsi="黑体" w:eastAsia="黑体" w:cs="黑体"/>
                <w:spacing w:val="-2"/>
                <w:sz w:val="28"/>
                <w:szCs w:val="28"/>
              </w:rPr>
              <w:t>序号</w:t>
            </w:r>
          </w:p>
        </w:tc>
        <w:tc>
          <w:tcPr>
            <w:tcW w:w="1440" w:type="dxa"/>
            <w:vAlign w:val="top"/>
          </w:tcPr>
          <w:p w14:paraId="7FD3851B">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B24DA7B">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E6D610A">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9699627">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352564A">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81446C3">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574433A">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62ADF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4" w:hRule="atLeast"/>
        </w:trPr>
        <w:tc>
          <w:tcPr>
            <w:tcW w:w="818" w:type="dxa"/>
            <w:vMerge w:val="restart"/>
            <w:tcBorders>
              <w:bottom w:val="nil"/>
            </w:tcBorders>
            <w:vAlign w:val="top"/>
          </w:tcPr>
          <w:p w14:paraId="055A850D">
            <w:pPr>
              <w:rPr>
                <w:rFonts w:ascii="Arial"/>
                <w:sz w:val="21"/>
              </w:rPr>
            </w:pPr>
          </w:p>
        </w:tc>
        <w:tc>
          <w:tcPr>
            <w:tcW w:w="1440" w:type="dxa"/>
            <w:vMerge w:val="restart"/>
            <w:tcBorders>
              <w:bottom w:val="nil"/>
            </w:tcBorders>
            <w:vAlign w:val="top"/>
          </w:tcPr>
          <w:p w14:paraId="194DF704">
            <w:pPr>
              <w:rPr>
                <w:rFonts w:ascii="Arial"/>
                <w:sz w:val="21"/>
              </w:rPr>
            </w:pPr>
          </w:p>
        </w:tc>
        <w:tc>
          <w:tcPr>
            <w:tcW w:w="3202" w:type="dxa"/>
            <w:vMerge w:val="restart"/>
            <w:tcBorders>
              <w:bottom w:val="nil"/>
            </w:tcBorders>
            <w:vAlign w:val="top"/>
          </w:tcPr>
          <w:p w14:paraId="3FE954C0">
            <w:pPr>
              <w:pStyle w:val="6"/>
              <w:spacing w:before="39" w:line="182" w:lineRule="auto"/>
              <w:ind w:left="90" w:right="111" w:firstLine="28"/>
            </w:pPr>
            <w:r>
              <w:rPr>
                <w:spacing w:val="17"/>
              </w:rPr>
              <w:t>粉尘防爆安全规定》第十七</w:t>
            </w:r>
            <w:r>
              <w:rPr>
                <w:spacing w:val="16"/>
              </w:rPr>
              <w:t>条第二款：粉尘涉爆企业应</w:t>
            </w:r>
            <w:r>
              <w:rPr>
                <w:spacing w:val="19"/>
              </w:rPr>
              <w:t>当对粉尘防爆安全设备进行</w:t>
            </w:r>
            <w:r>
              <w:rPr>
                <w:spacing w:val="15"/>
              </w:rPr>
              <w:t>经常性维护、保养，并按照</w:t>
            </w:r>
            <w:r>
              <w:rPr>
                <w:spacing w:val="19"/>
              </w:rPr>
              <w:t>《粉尘防爆安全规程》等有关国家标准或者行业标准定</w:t>
            </w:r>
            <w:r>
              <w:rPr>
                <w:spacing w:val="16"/>
              </w:rPr>
              <w:t>期检测或者检查，保证正常</w:t>
            </w:r>
            <w:r>
              <w:rPr>
                <w:spacing w:val="11"/>
              </w:rPr>
              <w:t>运行，做好相关记录，不得</w:t>
            </w:r>
            <w:r>
              <w:rPr>
                <w:spacing w:val="19"/>
              </w:rPr>
              <w:t>关闭、破坏直接关系粉尘防爆安全的监控、报警、防控</w:t>
            </w:r>
            <w:r>
              <w:rPr>
                <w:spacing w:val="13"/>
              </w:rPr>
              <w:t>等设备、设施，或者篡改、</w:t>
            </w:r>
            <w:r>
              <w:rPr>
                <w:spacing w:val="19"/>
              </w:rPr>
              <w:t>隐瞒、销毁其相关数据、信息。粉尘涉爆企业应当规范选用与爆炸危险区域相适应</w:t>
            </w:r>
            <w:r>
              <w:rPr>
                <w:spacing w:val="7"/>
              </w:rPr>
              <w:t>的防爆型电气设备。</w:t>
            </w:r>
          </w:p>
          <w:p w14:paraId="4679DAFE">
            <w:pPr>
              <w:pStyle w:val="6"/>
              <w:spacing w:before="11" w:line="184" w:lineRule="auto"/>
              <w:ind w:left="114" w:right="111" w:firstLine="3"/>
            </w:pPr>
            <w:r>
              <w:rPr>
                <w:rFonts w:ascii="宋体" w:hAnsi="宋体" w:eastAsia="宋体" w:cs="宋体"/>
                <w:spacing w:val="15"/>
              </w:rPr>
              <w:t>3.</w:t>
            </w:r>
            <w:r>
              <w:rPr>
                <w:spacing w:val="15"/>
              </w:rPr>
              <w:t>【部门规章】《工贸企业</w:t>
            </w:r>
            <w:r>
              <w:rPr>
                <w:spacing w:val="17"/>
              </w:rPr>
              <w:t>有限空间作业安全规定》第</w:t>
            </w:r>
            <w:r>
              <w:rPr>
                <w:spacing w:val="13"/>
              </w:rPr>
              <w:t>十三条：工贸企业应当根据有限空间危险因素的特点，</w:t>
            </w:r>
            <w:r>
              <w:rPr>
                <w:spacing w:val="17"/>
              </w:rPr>
              <w:t>配备符合国家标准或者行业</w:t>
            </w:r>
            <w:r>
              <w:rPr>
                <w:spacing w:val="15"/>
              </w:rPr>
              <w:t>标准的气体检测报警仪器、</w:t>
            </w:r>
            <w:r>
              <w:rPr>
                <w:spacing w:val="17"/>
              </w:rPr>
              <w:t>机械通风设备、呼吸防护用品、全身式安全带等防护用</w:t>
            </w:r>
            <w:r>
              <w:rPr>
                <w:spacing w:val="13"/>
              </w:rPr>
              <w:t>品和应急救援装备，并对相</w:t>
            </w:r>
            <w:r>
              <w:rPr>
                <w:spacing w:val="17"/>
              </w:rPr>
              <w:t>关用品、装备进行经常性维</w:t>
            </w:r>
            <w:r>
              <w:rPr>
                <w:spacing w:val="13"/>
              </w:rPr>
              <w:t>护、保养和定期检测，确保</w:t>
            </w:r>
            <w:r>
              <w:rPr>
                <w:spacing w:val="3"/>
              </w:rPr>
              <w:t>能够正常使用。</w:t>
            </w:r>
          </w:p>
        </w:tc>
        <w:tc>
          <w:tcPr>
            <w:tcW w:w="2859" w:type="dxa"/>
            <w:vMerge w:val="restart"/>
            <w:tcBorders>
              <w:bottom w:val="nil"/>
            </w:tcBorders>
            <w:vAlign w:val="top"/>
          </w:tcPr>
          <w:p w14:paraId="76272803">
            <w:pPr>
              <w:pStyle w:val="6"/>
              <w:spacing w:before="33" w:line="182" w:lineRule="auto"/>
              <w:ind w:left="98" w:right="110" w:firstLine="20"/>
            </w:pPr>
            <w:r>
              <w:rPr>
                <w:spacing w:val="8"/>
              </w:rPr>
              <w:t>任人员处一万元以上二万</w:t>
            </w:r>
            <w:r>
              <w:rPr>
                <w:spacing w:val="10"/>
              </w:rPr>
              <w:t>元以下的罚款；情节严重</w:t>
            </w:r>
            <w:r>
              <w:rPr>
                <w:spacing w:val="6"/>
              </w:rPr>
              <w:t>的，责令停产停业整顿；</w:t>
            </w:r>
            <w:r>
              <w:rPr>
                <w:spacing w:val="10"/>
              </w:rPr>
              <w:t>构成犯罪的，依照刑法有</w:t>
            </w:r>
            <w:r>
              <w:rPr>
                <w:spacing w:val="29"/>
              </w:rPr>
              <w:t>关规定追究刑事责任：</w:t>
            </w:r>
            <w:r>
              <w:rPr>
                <w:spacing w:val="10"/>
              </w:rPr>
              <w:t>（三）未对安全设备进行经常性维护、保养和定期</w:t>
            </w:r>
            <w:r>
              <w:rPr>
                <w:spacing w:val="-1"/>
              </w:rPr>
              <w:t>检测的；</w:t>
            </w:r>
          </w:p>
          <w:p w14:paraId="1F44E7DB">
            <w:pPr>
              <w:pStyle w:val="6"/>
              <w:spacing w:before="15" w:line="182" w:lineRule="auto"/>
              <w:ind w:left="116" w:right="105"/>
            </w:pPr>
            <w:r>
              <w:rPr>
                <w:rFonts w:ascii="宋体" w:hAnsi="宋体" w:eastAsia="宋体" w:cs="宋体"/>
                <w:spacing w:val="7"/>
              </w:rPr>
              <w:t>2.</w:t>
            </w:r>
            <w:r>
              <w:rPr>
                <w:spacing w:val="7"/>
              </w:rPr>
              <w:t>【部门规章】《工贸企</w:t>
            </w:r>
            <w:r>
              <w:rPr>
                <w:spacing w:val="8"/>
              </w:rPr>
              <w:t>业粉尘防爆安全规定》第二十七条第三项：粉尘涉</w:t>
            </w:r>
            <w:r>
              <w:rPr>
                <w:spacing w:val="27"/>
              </w:rPr>
              <w:t>爆企业有下列行为之一</w:t>
            </w:r>
            <w:r>
              <w:rPr>
                <w:spacing w:val="8"/>
              </w:rPr>
              <w:t>的，由负责粉尘涉爆企业安全监管的部门依照《中</w:t>
            </w:r>
            <w:r>
              <w:rPr>
                <w:spacing w:val="32"/>
              </w:rPr>
              <w:t>华人民共和国安全生产</w:t>
            </w:r>
            <w:r>
              <w:rPr>
                <w:spacing w:val="8"/>
              </w:rPr>
              <w:t>法》有关规定，责令限期</w:t>
            </w:r>
            <w:r>
              <w:rPr>
                <w:spacing w:val="5"/>
              </w:rPr>
              <w:t>改正，处</w:t>
            </w:r>
            <w:r>
              <w:rPr>
                <w:rFonts w:ascii="宋体" w:hAnsi="宋体" w:eastAsia="宋体" w:cs="宋体"/>
                <w:spacing w:val="5"/>
              </w:rPr>
              <w:t>5</w:t>
            </w:r>
            <w:r>
              <w:rPr>
                <w:spacing w:val="5"/>
              </w:rPr>
              <w:t>万元以下的罚</w:t>
            </w:r>
            <w:r>
              <w:rPr>
                <w:spacing w:val="6"/>
              </w:rPr>
              <w:t>款；逾期未改正的，处</w:t>
            </w:r>
            <w:r>
              <w:rPr>
                <w:rFonts w:ascii="宋体" w:hAnsi="宋体" w:eastAsia="宋体" w:cs="宋体"/>
                <w:spacing w:val="6"/>
              </w:rPr>
              <w:t>5</w:t>
            </w:r>
            <w:r>
              <w:rPr>
                <w:spacing w:val="11"/>
              </w:rPr>
              <w:t>万元以上</w:t>
            </w:r>
            <w:r>
              <w:rPr>
                <w:rFonts w:ascii="宋体" w:hAnsi="宋体" w:eastAsia="宋体" w:cs="宋体"/>
                <w:spacing w:val="11"/>
              </w:rPr>
              <w:t>20</w:t>
            </w:r>
            <w:r>
              <w:rPr>
                <w:spacing w:val="11"/>
              </w:rPr>
              <w:t>万元以下的</w:t>
            </w:r>
            <w:r>
              <w:rPr>
                <w:spacing w:val="8"/>
              </w:rPr>
              <w:t>罚款，对其直接负责的主管人员和其他直接责任人</w:t>
            </w:r>
            <w:r>
              <w:t>员处</w:t>
            </w:r>
            <w:r>
              <w:rPr>
                <w:rFonts w:ascii="宋体" w:hAnsi="宋体" w:eastAsia="宋体" w:cs="宋体"/>
              </w:rPr>
              <w:t>1</w:t>
            </w:r>
            <w:r>
              <w:t>万元以上</w:t>
            </w:r>
            <w:r>
              <w:rPr>
                <w:rFonts w:ascii="宋体" w:hAnsi="宋体" w:eastAsia="宋体" w:cs="宋体"/>
              </w:rPr>
              <w:t>2</w:t>
            </w:r>
            <w:r>
              <w:t>万元以</w:t>
            </w:r>
            <w:r>
              <w:rPr>
                <w:spacing w:val="4"/>
              </w:rPr>
              <w:t>下的罚款；情节严重的，</w:t>
            </w:r>
            <w:r>
              <w:rPr>
                <w:spacing w:val="8"/>
              </w:rPr>
              <w:t>责令停产停业整顿；构成</w:t>
            </w:r>
            <w:r>
              <w:rPr>
                <w:spacing w:val="4"/>
              </w:rPr>
              <w:t>犯罪的，依照刑法有关规</w:t>
            </w:r>
            <w:r>
              <w:rPr>
                <w:spacing w:val="8"/>
              </w:rPr>
              <w:t>定追究刑事责任</w:t>
            </w:r>
            <w:r>
              <w:rPr>
                <w:spacing w:val="12"/>
              </w:rPr>
              <w:t>：（</w:t>
            </w:r>
            <w:r>
              <w:rPr>
                <w:spacing w:val="8"/>
              </w:rPr>
              <w:t>三）未对粉尘防爆安全设备进行经常性维护、保养和定</w:t>
            </w:r>
            <w:r>
              <w:rPr>
                <w:spacing w:val="3"/>
              </w:rPr>
              <w:t>期检测或者检查的；</w:t>
            </w:r>
          </w:p>
          <w:p w14:paraId="0E8ACF84">
            <w:pPr>
              <w:pStyle w:val="6"/>
              <w:spacing w:line="161" w:lineRule="auto"/>
              <w:ind w:left="118"/>
            </w:pPr>
            <w:r>
              <w:rPr>
                <w:rFonts w:ascii="宋体" w:hAnsi="宋体" w:eastAsia="宋体" w:cs="宋体"/>
                <w:spacing w:val="6"/>
              </w:rPr>
              <w:t>3.</w:t>
            </w:r>
            <w:r>
              <w:rPr>
                <w:spacing w:val="6"/>
              </w:rPr>
              <w:t>【部门规章】《工贸企</w:t>
            </w:r>
          </w:p>
        </w:tc>
        <w:tc>
          <w:tcPr>
            <w:tcW w:w="803" w:type="dxa"/>
            <w:vAlign w:val="top"/>
          </w:tcPr>
          <w:p w14:paraId="12C58F3C">
            <w:pPr>
              <w:spacing w:line="251" w:lineRule="auto"/>
              <w:rPr>
                <w:rFonts w:ascii="Arial"/>
                <w:sz w:val="21"/>
              </w:rPr>
            </w:pPr>
          </w:p>
          <w:p w14:paraId="1F2E7A8F">
            <w:pPr>
              <w:spacing w:line="252" w:lineRule="auto"/>
              <w:rPr>
                <w:rFonts w:ascii="Arial"/>
                <w:sz w:val="21"/>
              </w:rPr>
            </w:pPr>
          </w:p>
          <w:p w14:paraId="3953C25D">
            <w:pPr>
              <w:spacing w:line="252" w:lineRule="auto"/>
              <w:rPr>
                <w:rFonts w:ascii="Arial"/>
                <w:sz w:val="21"/>
              </w:rPr>
            </w:pPr>
          </w:p>
          <w:p w14:paraId="45AAC510">
            <w:pPr>
              <w:spacing w:line="252" w:lineRule="auto"/>
              <w:rPr>
                <w:rFonts w:ascii="Arial"/>
                <w:sz w:val="21"/>
              </w:rPr>
            </w:pPr>
          </w:p>
          <w:p w14:paraId="15257246">
            <w:pPr>
              <w:spacing w:line="252" w:lineRule="auto"/>
              <w:rPr>
                <w:rFonts w:ascii="Arial"/>
                <w:sz w:val="21"/>
              </w:rPr>
            </w:pPr>
          </w:p>
          <w:p w14:paraId="6ABFCF6B">
            <w:pPr>
              <w:spacing w:line="252" w:lineRule="auto"/>
              <w:rPr>
                <w:rFonts w:ascii="Arial"/>
                <w:sz w:val="21"/>
              </w:rPr>
            </w:pPr>
          </w:p>
          <w:p w14:paraId="70B41267">
            <w:pPr>
              <w:spacing w:line="252" w:lineRule="auto"/>
              <w:rPr>
                <w:rFonts w:ascii="Arial"/>
                <w:sz w:val="21"/>
              </w:rPr>
            </w:pPr>
          </w:p>
          <w:p w14:paraId="0C6F4B4D">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5C112EA">
            <w:pPr>
              <w:spacing w:line="249" w:lineRule="auto"/>
              <w:rPr>
                <w:rFonts w:ascii="Arial"/>
                <w:sz w:val="21"/>
              </w:rPr>
            </w:pPr>
          </w:p>
          <w:p w14:paraId="425F6060">
            <w:pPr>
              <w:spacing w:line="249" w:lineRule="auto"/>
              <w:rPr>
                <w:rFonts w:ascii="Arial"/>
                <w:sz w:val="21"/>
              </w:rPr>
            </w:pPr>
          </w:p>
          <w:p w14:paraId="5DF0BCAC">
            <w:pPr>
              <w:spacing w:line="249" w:lineRule="auto"/>
              <w:rPr>
                <w:rFonts w:ascii="Arial"/>
                <w:sz w:val="21"/>
              </w:rPr>
            </w:pPr>
          </w:p>
          <w:p w14:paraId="687788A1">
            <w:pPr>
              <w:spacing w:line="249" w:lineRule="auto"/>
              <w:rPr>
                <w:rFonts w:ascii="Arial"/>
                <w:sz w:val="21"/>
              </w:rPr>
            </w:pPr>
          </w:p>
          <w:p w14:paraId="4AE89079">
            <w:pPr>
              <w:spacing w:line="249" w:lineRule="auto"/>
              <w:rPr>
                <w:rFonts w:ascii="Arial"/>
                <w:sz w:val="21"/>
              </w:rPr>
            </w:pPr>
          </w:p>
          <w:p w14:paraId="3189E9CA">
            <w:pPr>
              <w:pStyle w:val="6"/>
              <w:spacing w:before="98" w:line="190" w:lineRule="auto"/>
              <w:ind w:left="116" w:right="108" w:firstLine="6"/>
              <w:jc w:val="both"/>
            </w:pPr>
            <w:r>
              <w:rPr>
                <w:spacing w:val="-9"/>
              </w:rPr>
              <w:t>有</w:t>
            </w:r>
            <w:r>
              <w:rPr>
                <w:rFonts w:ascii="宋体" w:hAnsi="宋体" w:eastAsia="宋体" w:cs="宋体"/>
                <w:spacing w:val="-9"/>
              </w:rPr>
              <w:t>2</w:t>
            </w:r>
            <w:r>
              <w:rPr>
                <w:spacing w:val="-9"/>
              </w:rPr>
              <w:t>台（套）安全设</w:t>
            </w:r>
            <w:r>
              <w:rPr>
                <w:spacing w:val="26"/>
              </w:rPr>
              <w:t>备未进行经常性维</w:t>
            </w:r>
            <w:r>
              <w:rPr>
                <w:spacing w:val="-2"/>
              </w:rPr>
              <w:t>护、保养和定期检测</w:t>
            </w:r>
            <w:r>
              <w:t>的</w:t>
            </w:r>
          </w:p>
        </w:tc>
        <w:tc>
          <w:tcPr>
            <w:tcW w:w="2894" w:type="dxa"/>
            <w:vAlign w:val="top"/>
          </w:tcPr>
          <w:p w14:paraId="0F87E1B4">
            <w:pPr>
              <w:spacing w:line="254" w:lineRule="auto"/>
              <w:rPr>
                <w:rFonts w:ascii="Arial"/>
                <w:sz w:val="21"/>
              </w:rPr>
            </w:pPr>
          </w:p>
          <w:p w14:paraId="3F86B666">
            <w:pPr>
              <w:spacing w:line="254" w:lineRule="auto"/>
              <w:rPr>
                <w:rFonts w:ascii="Arial"/>
                <w:sz w:val="21"/>
              </w:rPr>
            </w:pPr>
          </w:p>
          <w:p w14:paraId="188CD596">
            <w:pPr>
              <w:pStyle w:val="6"/>
              <w:spacing w:before="99" w:line="185" w:lineRule="auto"/>
              <w:ind w:left="117" w:right="73" w:firstLine="10"/>
            </w:pPr>
            <w:r>
              <w:rPr>
                <w:spacing w:val="4"/>
              </w:rPr>
              <w:t>责令限期改正，处</w:t>
            </w:r>
            <w:r>
              <w:rPr>
                <w:rFonts w:ascii="宋体" w:hAnsi="宋体" w:eastAsia="宋体" w:cs="宋体"/>
                <w:spacing w:val="4"/>
              </w:rPr>
              <w:t>2</w:t>
            </w:r>
            <w:r>
              <w:rPr>
                <w:spacing w:val="4"/>
              </w:rPr>
              <w:t>万元</w:t>
            </w:r>
            <w:r>
              <w:rPr>
                <w:spacing w:val="3"/>
              </w:rPr>
              <w:t>以上</w:t>
            </w:r>
            <w:r>
              <w:rPr>
                <w:rFonts w:ascii="宋体" w:hAnsi="宋体" w:eastAsia="宋体" w:cs="宋体"/>
                <w:spacing w:val="3"/>
              </w:rPr>
              <w:t>4</w:t>
            </w:r>
            <w:r>
              <w:rPr>
                <w:spacing w:val="3"/>
              </w:rPr>
              <w:t>万元以下的罚款；</w:t>
            </w:r>
            <w:r>
              <w:rPr>
                <w:spacing w:val="-4"/>
              </w:rPr>
              <w:t>逾期未改正的，处</w:t>
            </w:r>
            <w:r>
              <w:rPr>
                <w:rFonts w:ascii="宋体" w:hAnsi="宋体" w:eastAsia="宋体" w:cs="宋体"/>
                <w:spacing w:val="-4"/>
              </w:rPr>
              <w:t>10</w:t>
            </w:r>
            <w:r>
              <w:rPr>
                <w:spacing w:val="-4"/>
              </w:rPr>
              <w:t>万元</w:t>
            </w:r>
            <w:r>
              <w:rPr>
                <w:spacing w:val="-1"/>
              </w:rPr>
              <w:t>以上</w:t>
            </w:r>
            <w:r>
              <w:rPr>
                <w:rFonts w:ascii="宋体" w:hAnsi="宋体" w:eastAsia="宋体" w:cs="宋体"/>
                <w:spacing w:val="-1"/>
              </w:rPr>
              <w:t>15</w:t>
            </w:r>
            <w:r>
              <w:rPr>
                <w:spacing w:val="-1"/>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万元以上</w:t>
            </w:r>
            <w:r>
              <w:rPr>
                <w:rFonts w:ascii="宋体" w:hAnsi="宋体" w:eastAsia="宋体" w:cs="宋体"/>
                <w:spacing w:val="7"/>
              </w:rPr>
              <w:t>2</w:t>
            </w:r>
            <w:r>
              <w:rPr>
                <w:spacing w:val="7"/>
              </w:rPr>
              <w:t>万元以下的罚</w:t>
            </w:r>
            <w:r>
              <w:rPr>
                <w:spacing w:val="4"/>
              </w:rPr>
              <w:t>款；情节严重的，责令停</w:t>
            </w:r>
            <w:r>
              <w:rPr>
                <w:spacing w:val="7"/>
              </w:rPr>
              <w:t>产停业整顿</w:t>
            </w:r>
          </w:p>
        </w:tc>
        <w:tc>
          <w:tcPr>
            <w:tcW w:w="811" w:type="dxa"/>
            <w:vMerge w:val="restart"/>
            <w:tcBorders>
              <w:bottom w:val="nil"/>
            </w:tcBorders>
            <w:vAlign w:val="top"/>
          </w:tcPr>
          <w:p w14:paraId="708EF39C">
            <w:pPr>
              <w:rPr>
                <w:rFonts w:ascii="Arial"/>
                <w:sz w:val="21"/>
              </w:rPr>
            </w:pPr>
          </w:p>
        </w:tc>
      </w:tr>
      <w:tr w14:paraId="4C386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4" w:hRule="atLeast"/>
        </w:trPr>
        <w:tc>
          <w:tcPr>
            <w:tcW w:w="818" w:type="dxa"/>
            <w:vMerge w:val="continue"/>
            <w:tcBorders>
              <w:top w:val="nil"/>
            </w:tcBorders>
            <w:vAlign w:val="top"/>
          </w:tcPr>
          <w:p w14:paraId="6512644F">
            <w:pPr>
              <w:rPr>
                <w:rFonts w:ascii="Arial"/>
                <w:sz w:val="21"/>
              </w:rPr>
            </w:pPr>
          </w:p>
        </w:tc>
        <w:tc>
          <w:tcPr>
            <w:tcW w:w="1440" w:type="dxa"/>
            <w:vMerge w:val="continue"/>
            <w:tcBorders>
              <w:top w:val="nil"/>
            </w:tcBorders>
            <w:vAlign w:val="top"/>
          </w:tcPr>
          <w:p w14:paraId="701480C0">
            <w:pPr>
              <w:rPr>
                <w:rFonts w:ascii="Arial"/>
                <w:sz w:val="21"/>
              </w:rPr>
            </w:pPr>
          </w:p>
        </w:tc>
        <w:tc>
          <w:tcPr>
            <w:tcW w:w="3202" w:type="dxa"/>
            <w:vMerge w:val="continue"/>
            <w:tcBorders>
              <w:top w:val="nil"/>
            </w:tcBorders>
            <w:vAlign w:val="top"/>
          </w:tcPr>
          <w:p w14:paraId="2DF5652D">
            <w:pPr>
              <w:rPr>
                <w:rFonts w:ascii="Arial"/>
                <w:sz w:val="21"/>
              </w:rPr>
            </w:pPr>
          </w:p>
        </w:tc>
        <w:tc>
          <w:tcPr>
            <w:tcW w:w="2859" w:type="dxa"/>
            <w:vMerge w:val="continue"/>
            <w:tcBorders>
              <w:top w:val="nil"/>
            </w:tcBorders>
            <w:vAlign w:val="top"/>
          </w:tcPr>
          <w:p w14:paraId="3839226C">
            <w:pPr>
              <w:rPr>
                <w:rFonts w:ascii="Arial"/>
                <w:sz w:val="21"/>
              </w:rPr>
            </w:pPr>
          </w:p>
        </w:tc>
        <w:tc>
          <w:tcPr>
            <w:tcW w:w="803" w:type="dxa"/>
            <w:vAlign w:val="top"/>
          </w:tcPr>
          <w:p w14:paraId="7043F95E">
            <w:pPr>
              <w:rPr>
                <w:rFonts w:ascii="Arial"/>
                <w:sz w:val="21"/>
              </w:rPr>
            </w:pPr>
          </w:p>
          <w:p w14:paraId="321D99B3">
            <w:pPr>
              <w:rPr>
                <w:rFonts w:ascii="Arial"/>
                <w:sz w:val="21"/>
              </w:rPr>
            </w:pPr>
          </w:p>
          <w:p w14:paraId="5D129B54">
            <w:pPr>
              <w:rPr>
                <w:rFonts w:ascii="Arial"/>
                <w:sz w:val="21"/>
              </w:rPr>
            </w:pPr>
          </w:p>
          <w:p w14:paraId="560D2608">
            <w:pPr>
              <w:rPr>
                <w:rFonts w:ascii="Arial"/>
                <w:sz w:val="21"/>
              </w:rPr>
            </w:pPr>
          </w:p>
          <w:p w14:paraId="31969973">
            <w:pPr>
              <w:rPr>
                <w:rFonts w:ascii="Arial"/>
                <w:sz w:val="21"/>
              </w:rPr>
            </w:pPr>
          </w:p>
          <w:p w14:paraId="4D6F55CB">
            <w:pPr>
              <w:rPr>
                <w:rFonts w:ascii="Arial"/>
                <w:sz w:val="21"/>
              </w:rPr>
            </w:pPr>
          </w:p>
          <w:p w14:paraId="2CAC6377">
            <w:pPr>
              <w:rPr>
                <w:rFonts w:ascii="Arial"/>
                <w:sz w:val="21"/>
              </w:rPr>
            </w:pPr>
          </w:p>
          <w:p w14:paraId="79EB4D77">
            <w:pPr>
              <w:spacing w:line="241" w:lineRule="auto"/>
              <w:rPr>
                <w:rFonts w:ascii="Arial"/>
                <w:sz w:val="21"/>
              </w:rPr>
            </w:pPr>
          </w:p>
          <w:p w14:paraId="6E2C6823">
            <w:pPr>
              <w:spacing w:line="241" w:lineRule="auto"/>
              <w:rPr>
                <w:rFonts w:ascii="Arial"/>
                <w:sz w:val="21"/>
              </w:rPr>
            </w:pPr>
          </w:p>
          <w:p w14:paraId="2064A328">
            <w:pPr>
              <w:spacing w:line="241" w:lineRule="auto"/>
              <w:rPr>
                <w:rFonts w:ascii="Arial"/>
                <w:sz w:val="21"/>
              </w:rPr>
            </w:pPr>
          </w:p>
          <w:p w14:paraId="117EC2F3">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C9D3BCD">
            <w:pPr>
              <w:spacing w:line="270" w:lineRule="auto"/>
              <w:rPr>
                <w:rFonts w:ascii="Arial"/>
                <w:sz w:val="21"/>
              </w:rPr>
            </w:pPr>
          </w:p>
          <w:p w14:paraId="3D3F65CA">
            <w:pPr>
              <w:spacing w:line="270" w:lineRule="auto"/>
              <w:rPr>
                <w:rFonts w:ascii="Arial"/>
                <w:sz w:val="21"/>
              </w:rPr>
            </w:pPr>
          </w:p>
          <w:p w14:paraId="046A6D95">
            <w:pPr>
              <w:spacing w:line="270" w:lineRule="auto"/>
              <w:rPr>
                <w:rFonts w:ascii="Arial"/>
                <w:sz w:val="21"/>
              </w:rPr>
            </w:pPr>
          </w:p>
          <w:p w14:paraId="3AC312C8">
            <w:pPr>
              <w:spacing w:line="270" w:lineRule="auto"/>
              <w:rPr>
                <w:rFonts w:ascii="Arial"/>
                <w:sz w:val="21"/>
              </w:rPr>
            </w:pPr>
          </w:p>
          <w:p w14:paraId="5A71DDBD">
            <w:pPr>
              <w:spacing w:line="270" w:lineRule="auto"/>
              <w:rPr>
                <w:rFonts w:ascii="Arial"/>
                <w:sz w:val="21"/>
              </w:rPr>
            </w:pPr>
          </w:p>
          <w:p w14:paraId="109811BE">
            <w:pPr>
              <w:spacing w:line="270" w:lineRule="auto"/>
              <w:rPr>
                <w:rFonts w:ascii="Arial"/>
                <w:sz w:val="21"/>
              </w:rPr>
            </w:pPr>
          </w:p>
          <w:p w14:paraId="60BAF336">
            <w:pPr>
              <w:spacing w:line="270" w:lineRule="auto"/>
              <w:rPr>
                <w:rFonts w:ascii="Arial"/>
                <w:sz w:val="21"/>
              </w:rPr>
            </w:pPr>
          </w:p>
          <w:p w14:paraId="33DE123B">
            <w:pPr>
              <w:pStyle w:val="6"/>
              <w:spacing w:before="99" w:line="189" w:lineRule="auto"/>
              <w:ind w:left="117" w:right="108" w:firstLine="5"/>
              <w:jc w:val="both"/>
            </w:pPr>
            <w:r>
              <w:rPr>
                <w:spacing w:val="-9"/>
              </w:rPr>
              <w:t>有</w:t>
            </w:r>
            <w:r>
              <w:rPr>
                <w:rFonts w:ascii="宋体" w:hAnsi="宋体" w:eastAsia="宋体" w:cs="宋体"/>
                <w:spacing w:val="-9"/>
              </w:rPr>
              <w:t>3</w:t>
            </w:r>
            <w:r>
              <w:rPr>
                <w:spacing w:val="-9"/>
              </w:rPr>
              <w:t>台（套）以上安</w:t>
            </w:r>
            <w:r>
              <w:rPr>
                <w:spacing w:val="26"/>
              </w:rPr>
              <w:t>全设备未进行经常</w:t>
            </w:r>
            <w:r>
              <w:rPr>
                <w:spacing w:val="-3"/>
              </w:rPr>
              <w:t>性维护、保养和定期</w:t>
            </w:r>
            <w:r>
              <w:rPr>
                <w:spacing w:val="5"/>
              </w:rPr>
              <w:t>检测的</w:t>
            </w:r>
          </w:p>
        </w:tc>
        <w:tc>
          <w:tcPr>
            <w:tcW w:w="2894" w:type="dxa"/>
            <w:vAlign w:val="top"/>
          </w:tcPr>
          <w:p w14:paraId="4B06EECA">
            <w:pPr>
              <w:spacing w:line="287" w:lineRule="auto"/>
              <w:rPr>
                <w:rFonts w:ascii="Arial"/>
                <w:sz w:val="21"/>
              </w:rPr>
            </w:pPr>
          </w:p>
          <w:p w14:paraId="12911E7A">
            <w:pPr>
              <w:spacing w:line="287" w:lineRule="auto"/>
              <w:rPr>
                <w:rFonts w:ascii="Arial"/>
                <w:sz w:val="21"/>
              </w:rPr>
            </w:pPr>
          </w:p>
          <w:p w14:paraId="3C830278">
            <w:pPr>
              <w:spacing w:line="288" w:lineRule="auto"/>
              <w:rPr>
                <w:rFonts w:ascii="Arial"/>
                <w:sz w:val="21"/>
              </w:rPr>
            </w:pPr>
          </w:p>
          <w:p w14:paraId="6E1876CF">
            <w:pPr>
              <w:spacing w:line="288" w:lineRule="auto"/>
              <w:rPr>
                <w:rFonts w:ascii="Arial"/>
                <w:sz w:val="21"/>
              </w:rPr>
            </w:pPr>
          </w:p>
          <w:p w14:paraId="5C291CA5">
            <w:pPr>
              <w:pStyle w:val="6"/>
              <w:spacing w:before="99" w:line="185" w:lineRule="auto"/>
              <w:ind w:left="117" w:right="73" w:firstLine="10"/>
            </w:pPr>
            <w:r>
              <w:rPr>
                <w:spacing w:val="4"/>
              </w:rPr>
              <w:t>责令限期改正，处</w:t>
            </w:r>
            <w:r>
              <w:rPr>
                <w:rFonts w:ascii="宋体" w:hAnsi="宋体" w:eastAsia="宋体" w:cs="宋体"/>
                <w:spacing w:val="4"/>
              </w:rPr>
              <w:t>4</w:t>
            </w:r>
            <w:r>
              <w:rPr>
                <w:spacing w:val="4"/>
              </w:rPr>
              <w:t>万元</w:t>
            </w:r>
            <w:r>
              <w:rPr>
                <w:spacing w:val="3"/>
              </w:rPr>
              <w:t>以上</w:t>
            </w:r>
            <w:r>
              <w:rPr>
                <w:rFonts w:ascii="宋体" w:hAnsi="宋体" w:eastAsia="宋体" w:cs="宋体"/>
                <w:spacing w:val="3"/>
              </w:rPr>
              <w:t>5</w:t>
            </w:r>
            <w:r>
              <w:rPr>
                <w:spacing w:val="3"/>
              </w:rPr>
              <w:t>万元以下的罚款；</w:t>
            </w:r>
            <w:r>
              <w:rPr>
                <w:spacing w:val="-4"/>
              </w:rPr>
              <w:t>逾期未改正的，处</w:t>
            </w:r>
            <w:r>
              <w:rPr>
                <w:rFonts w:ascii="宋体" w:hAnsi="宋体" w:eastAsia="宋体" w:cs="宋体"/>
                <w:spacing w:val="-4"/>
              </w:rPr>
              <w:t>15</w:t>
            </w:r>
            <w:r>
              <w:rPr>
                <w:spacing w:val="-4"/>
              </w:rPr>
              <w:t>万元</w:t>
            </w:r>
            <w:r>
              <w:t>以上</w:t>
            </w:r>
            <w:r>
              <w:rPr>
                <w:rFonts w:ascii="宋体" w:hAnsi="宋体" w:eastAsia="宋体" w:cs="宋体"/>
              </w:rPr>
              <w:t>20</w:t>
            </w:r>
            <w: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万元以上</w:t>
            </w:r>
            <w:r>
              <w:rPr>
                <w:rFonts w:ascii="宋体" w:hAnsi="宋体" w:eastAsia="宋体" w:cs="宋体"/>
                <w:spacing w:val="7"/>
              </w:rPr>
              <w:t>2</w:t>
            </w:r>
            <w:r>
              <w:rPr>
                <w:spacing w:val="7"/>
              </w:rPr>
              <w:t>万元以下的罚</w:t>
            </w:r>
            <w:r>
              <w:rPr>
                <w:spacing w:val="4"/>
              </w:rPr>
              <w:t>款；情节严重的，责令停</w:t>
            </w:r>
            <w:r>
              <w:rPr>
                <w:spacing w:val="7"/>
              </w:rPr>
              <w:t>产停业整顿</w:t>
            </w:r>
          </w:p>
        </w:tc>
        <w:tc>
          <w:tcPr>
            <w:tcW w:w="811" w:type="dxa"/>
            <w:vMerge w:val="continue"/>
            <w:tcBorders>
              <w:top w:val="nil"/>
            </w:tcBorders>
            <w:vAlign w:val="top"/>
          </w:tcPr>
          <w:p w14:paraId="3EBD2DDB">
            <w:pPr>
              <w:rPr>
                <w:rFonts w:ascii="Arial"/>
                <w:sz w:val="21"/>
              </w:rPr>
            </w:pPr>
          </w:p>
        </w:tc>
      </w:tr>
    </w:tbl>
    <w:p w14:paraId="197D4F81">
      <w:pPr>
        <w:pStyle w:val="2"/>
      </w:pPr>
    </w:p>
    <w:p w14:paraId="255D03D5">
      <w:pPr>
        <w:sectPr>
          <w:footerReference r:id="rId57" w:type="default"/>
          <w:pgSz w:w="16839" w:h="11906"/>
          <w:pgMar w:top="1012" w:right="821" w:bottom="666" w:left="901" w:header="0" w:footer="388" w:gutter="0"/>
          <w:cols w:space="720" w:num="1"/>
        </w:sectPr>
      </w:pPr>
    </w:p>
    <w:p w14:paraId="35147D56">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8BB2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818" w:type="dxa"/>
            <w:vAlign w:val="top"/>
          </w:tcPr>
          <w:p w14:paraId="6F15314E">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1FDE0A16">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52FA411">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F71636F">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0491A72">
            <w:pPr>
              <w:spacing w:before="42" w:line="223"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D6D94D0">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39B1B03F">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54D7F24">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8412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2" w:hRule="atLeast"/>
        </w:trPr>
        <w:tc>
          <w:tcPr>
            <w:tcW w:w="818" w:type="dxa"/>
            <w:vAlign w:val="top"/>
          </w:tcPr>
          <w:p w14:paraId="017C00D2">
            <w:pPr>
              <w:rPr>
                <w:rFonts w:ascii="Arial"/>
                <w:sz w:val="21"/>
              </w:rPr>
            </w:pPr>
          </w:p>
        </w:tc>
        <w:tc>
          <w:tcPr>
            <w:tcW w:w="1440" w:type="dxa"/>
            <w:vAlign w:val="top"/>
          </w:tcPr>
          <w:p w14:paraId="4906932C">
            <w:pPr>
              <w:rPr>
                <w:rFonts w:ascii="Arial"/>
                <w:sz w:val="21"/>
              </w:rPr>
            </w:pPr>
          </w:p>
        </w:tc>
        <w:tc>
          <w:tcPr>
            <w:tcW w:w="3202" w:type="dxa"/>
            <w:vAlign w:val="top"/>
          </w:tcPr>
          <w:p w14:paraId="0B7CD4BE">
            <w:pPr>
              <w:rPr>
                <w:rFonts w:ascii="Arial"/>
                <w:sz w:val="21"/>
              </w:rPr>
            </w:pPr>
          </w:p>
        </w:tc>
        <w:tc>
          <w:tcPr>
            <w:tcW w:w="2859" w:type="dxa"/>
            <w:vAlign w:val="top"/>
          </w:tcPr>
          <w:p w14:paraId="1A5ED778">
            <w:pPr>
              <w:pStyle w:val="6"/>
              <w:spacing w:before="31" w:line="182" w:lineRule="auto"/>
              <w:ind w:left="117" w:right="110" w:firstLine="10"/>
              <w:jc w:val="both"/>
            </w:pPr>
            <w:r>
              <w:rPr>
                <w:spacing w:val="31"/>
              </w:rPr>
              <w:t>业有限空间作业安全规</w:t>
            </w:r>
            <w:r>
              <w:rPr>
                <w:spacing w:val="8"/>
              </w:rPr>
              <w:t>定》第十九条第二项：工</w:t>
            </w:r>
            <w:r>
              <w:rPr>
                <w:spacing w:val="26"/>
              </w:rPr>
              <w:t>贸企业有下列行为之一</w:t>
            </w:r>
          </w:p>
          <w:p w14:paraId="347E5C9F">
            <w:pPr>
              <w:pStyle w:val="6"/>
              <w:spacing w:line="182" w:lineRule="auto"/>
              <w:ind w:left="139"/>
              <w:outlineLvl w:val="0"/>
              <w:rPr>
                <w:rFonts w:ascii="宋体" w:hAnsi="宋体" w:eastAsia="宋体" w:cs="宋体"/>
              </w:rPr>
            </w:pPr>
            <w:bookmarkStart w:id="425" w:name="bookmark84"/>
            <w:bookmarkEnd w:id="425"/>
            <w:bookmarkStart w:id="426" w:name="bookmark503"/>
            <w:bookmarkEnd w:id="426"/>
            <w:r>
              <w:rPr>
                <w:spacing w:val="4"/>
              </w:rPr>
              <w:t>的，责令限期改正，处</w:t>
            </w:r>
            <w:r>
              <w:rPr>
                <w:rFonts w:ascii="宋体" w:hAnsi="宋体" w:eastAsia="宋体" w:cs="宋体"/>
                <w:spacing w:val="4"/>
              </w:rPr>
              <w:t>5</w:t>
            </w:r>
          </w:p>
          <w:p w14:paraId="1328A768">
            <w:pPr>
              <w:pStyle w:val="6"/>
              <w:spacing w:before="1" w:line="181" w:lineRule="auto"/>
              <w:ind w:left="116" w:right="105" w:firstLine="12"/>
              <w:jc w:val="both"/>
            </w:pPr>
            <w:r>
              <w:rPr>
                <w:spacing w:val="7"/>
              </w:rPr>
              <w:t>万元以下的罚款；逾期未</w:t>
            </w:r>
            <w:r>
              <w:rPr>
                <w:spacing w:val="-1"/>
              </w:rPr>
              <w:t>改正的，处</w:t>
            </w:r>
            <w:r>
              <w:rPr>
                <w:rFonts w:ascii="宋体" w:hAnsi="宋体" w:eastAsia="宋体" w:cs="宋体"/>
                <w:spacing w:val="-1"/>
              </w:rPr>
              <w:t>5</w:t>
            </w:r>
            <w:r>
              <w:rPr>
                <w:spacing w:val="-1"/>
              </w:rPr>
              <w:t>万元以上</w:t>
            </w:r>
            <w:r>
              <w:rPr>
                <w:rFonts w:ascii="宋体" w:hAnsi="宋体" w:eastAsia="宋体" w:cs="宋体"/>
                <w:spacing w:val="-1"/>
              </w:rPr>
              <w:t>20</w:t>
            </w:r>
            <w:r>
              <w:rPr>
                <w:spacing w:val="8"/>
              </w:rPr>
              <w:t>万元以下的罚款，对其直接负责的主管人员和其他</w:t>
            </w:r>
            <w:r>
              <w:rPr>
                <w:spacing w:val="3"/>
              </w:rPr>
              <w:t>直接责任人员处</w:t>
            </w:r>
            <w:r>
              <w:rPr>
                <w:rFonts w:ascii="宋体" w:hAnsi="宋体" w:eastAsia="宋体" w:cs="宋体"/>
                <w:spacing w:val="3"/>
              </w:rPr>
              <w:t>1</w:t>
            </w:r>
            <w:r>
              <w:rPr>
                <w:spacing w:val="3"/>
              </w:rPr>
              <w:t>万元以</w:t>
            </w:r>
            <w:r>
              <w:rPr>
                <w:spacing w:val="4"/>
              </w:rPr>
              <w:t>上</w:t>
            </w:r>
            <w:r>
              <w:rPr>
                <w:rFonts w:ascii="宋体" w:hAnsi="宋体" w:eastAsia="宋体" w:cs="宋体"/>
                <w:spacing w:val="4"/>
              </w:rPr>
              <w:t>2</w:t>
            </w:r>
            <w:r>
              <w:rPr>
                <w:spacing w:val="4"/>
              </w:rPr>
              <w:t>万元以下的罚款；情</w:t>
            </w:r>
            <w:r>
              <w:rPr>
                <w:spacing w:val="8"/>
              </w:rPr>
              <w:t>节严重的，责令停产停业整顿；构成犯罪的，依照刑法有关规定追究刑事责任</w:t>
            </w:r>
            <w:r>
              <w:rPr>
                <w:spacing w:val="10"/>
              </w:rPr>
              <w:t>：（</w:t>
            </w:r>
            <w:r>
              <w:rPr>
                <w:spacing w:val="8"/>
              </w:rPr>
              <w:t>二）未按照规定配备、使用符合国家标准或者行业标准的有限空间作业安全仪器、设备、装备和器材的，或者未对其进行经常性维护、保养和定</w:t>
            </w:r>
            <w:r>
              <w:t>期检测的。</w:t>
            </w:r>
          </w:p>
        </w:tc>
        <w:tc>
          <w:tcPr>
            <w:tcW w:w="803" w:type="dxa"/>
            <w:vAlign w:val="top"/>
          </w:tcPr>
          <w:p w14:paraId="13C65FC0">
            <w:pPr>
              <w:rPr>
                <w:rFonts w:ascii="Arial"/>
                <w:sz w:val="21"/>
              </w:rPr>
            </w:pPr>
          </w:p>
        </w:tc>
        <w:tc>
          <w:tcPr>
            <w:tcW w:w="2283" w:type="dxa"/>
            <w:vAlign w:val="top"/>
          </w:tcPr>
          <w:p w14:paraId="50ECF467">
            <w:pPr>
              <w:rPr>
                <w:rFonts w:ascii="Arial"/>
                <w:sz w:val="21"/>
              </w:rPr>
            </w:pPr>
          </w:p>
        </w:tc>
        <w:tc>
          <w:tcPr>
            <w:tcW w:w="2894" w:type="dxa"/>
            <w:vAlign w:val="top"/>
          </w:tcPr>
          <w:p w14:paraId="60701997">
            <w:pPr>
              <w:rPr>
                <w:rFonts w:ascii="Arial"/>
                <w:sz w:val="21"/>
              </w:rPr>
            </w:pPr>
          </w:p>
        </w:tc>
        <w:tc>
          <w:tcPr>
            <w:tcW w:w="811" w:type="dxa"/>
            <w:vAlign w:val="top"/>
          </w:tcPr>
          <w:p w14:paraId="79A68A91">
            <w:pPr>
              <w:rPr>
                <w:rFonts w:ascii="Arial"/>
                <w:sz w:val="21"/>
              </w:rPr>
            </w:pPr>
          </w:p>
        </w:tc>
      </w:tr>
      <w:tr w14:paraId="058F6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0" w:hRule="atLeast"/>
        </w:trPr>
        <w:tc>
          <w:tcPr>
            <w:tcW w:w="818" w:type="dxa"/>
            <w:vAlign w:val="top"/>
          </w:tcPr>
          <w:p w14:paraId="445FEC51">
            <w:pPr>
              <w:spacing w:line="278" w:lineRule="auto"/>
              <w:rPr>
                <w:rFonts w:ascii="Arial"/>
                <w:sz w:val="21"/>
              </w:rPr>
            </w:pPr>
          </w:p>
          <w:p w14:paraId="36A6E6DF">
            <w:pPr>
              <w:spacing w:line="278" w:lineRule="auto"/>
              <w:rPr>
                <w:rFonts w:ascii="Arial"/>
                <w:sz w:val="21"/>
              </w:rPr>
            </w:pPr>
          </w:p>
          <w:p w14:paraId="4228F2AD">
            <w:pPr>
              <w:spacing w:line="278" w:lineRule="auto"/>
              <w:rPr>
                <w:rFonts w:ascii="Arial"/>
                <w:sz w:val="21"/>
              </w:rPr>
            </w:pPr>
          </w:p>
          <w:p w14:paraId="4ED0583E">
            <w:pPr>
              <w:spacing w:line="278" w:lineRule="auto"/>
              <w:rPr>
                <w:rFonts w:ascii="Arial"/>
                <w:sz w:val="21"/>
              </w:rPr>
            </w:pPr>
          </w:p>
          <w:p w14:paraId="3C6B348D">
            <w:pPr>
              <w:spacing w:line="278" w:lineRule="auto"/>
              <w:rPr>
                <w:rFonts w:ascii="Arial"/>
                <w:sz w:val="21"/>
              </w:rPr>
            </w:pPr>
          </w:p>
          <w:p w14:paraId="5D5288D8">
            <w:pPr>
              <w:spacing w:before="74" w:line="185" w:lineRule="auto"/>
              <w:ind w:left="234"/>
              <w:rPr>
                <w:rFonts w:ascii="仿宋" w:hAnsi="仿宋" w:eastAsia="仿宋" w:cs="仿宋"/>
                <w:sz w:val="23"/>
                <w:szCs w:val="23"/>
              </w:rPr>
            </w:pPr>
            <w:r>
              <w:rPr>
                <w:rFonts w:ascii="仿宋" w:hAnsi="仿宋" w:eastAsia="仿宋" w:cs="仿宋"/>
                <w:spacing w:val="-1"/>
                <w:sz w:val="23"/>
                <w:szCs w:val="23"/>
              </w:rPr>
              <w:t>40</w:t>
            </w:r>
          </w:p>
        </w:tc>
        <w:tc>
          <w:tcPr>
            <w:tcW w:w="1440" w:type="dxa"/>
            <w:vAlign w:val="top"/>
          </w:tcPr>
          <w:p w14:paraId="3DA7802B">
            <w:pPr>
              <w:pStyle w:val="6"/>
              <w:spacing w:before="70" w:line="183" w:lineRule="auto"/>
              <w:ind w:left="113" w:right="17" w:firstLine="15"/>
            </w:pPr>
            <w:r>
              <w:rPr>
                <w:spacing w:val="8"/>
              </w:rPr>
              <w:t>生产经营单</w:t>
            </w:r>
            <w:r>
              <w:rPr>
                <w:spacing w:val="12"/>
              </w:rPr>
              <w:t>位关闭、破坏直接关系生产安全的</w:t>
            </w:r>
            <w:r>
              <w:rPr>
                <w:spacing w:val="-13"/>
              </w:rPr>
              <w:t>监控、报警、</w:t>
            </w:r>
            <w:r>
              <w:rPr>
                <w:spacing w:val="12"/>
              </w:rPr>
              <w:t>防护、救生</w:t>
            </w:r>
            <w:r>
              <w:rPr>
                <w:spacing w:val="-16"/>
              </w:rPr>
              <w:t>设备、设施，</w:t>
            </w:r>
            <w:r>
              <w:rPr>
                <w:spacing w:val="6"/>
              </w:rPr>
              <w:t>或者篡改、</w:t>
            </w:r>
            <w:r>
              <w:rPr>
                <w:spacing w:val="12"/>
              </w:rPr>
              <w:t>隐瞒、销毁</w:t>
            </w:r>
            <w:r>
              <w:rPr>
                <w:spacing w:val="-6"/>
              </w:rPr>
              <w:t>其相关数</w:t>
            </w:r>
          </w:p>
        </w:tc>
        <w:tc>
          <w:tcPr>
            <w:tcW w:w="3202" w:type="dxa"/>
            <w:vAlign w:val="top"/>
          </w:tcPr>
          <w:p w14:paraId="5B3A9E07">
            <w:pPr>
              <w:pStyle w:val="6"/>
              <w:spacing w:before="39" w:line="182" w:lineRule="auto"/>
              <w:ind w:left="117" w:right="111" w:firstLine="13"/>
            </w:pPr>
            <w:r>
              <w:rPr>
                <w:rFonts w:ascii="宋体" w:hAnsi="宋体" w:eastAsia="宋体" w:cs="宋体"/>
                <w:spacing w:val="14"/>
              </w:rPr>
              <w:t>1.</w:t>
            </w:r>
            <w:r>
              <w:rPr>
                <w:spacing w:val="14"/>
              </w:rPr>
              <w:t>【法律】《中华人民共和</w:t>
            </w:r>
            <w:r>
              <w:rPr>
                <w:spacing w:val="17"/>
              </w:rPr>
              <w:t>国安全生产法》第三十六条</w:t>
            </w:r>
            <w:r>
              <w:rPr>
                <w:spacing w:val="12"/>
              </w:rPr>
              <w:t>第三款：生产经营单位不得</w:t>
            </w:r>
            <w:r>
              <w:rPr>
                <w:spacing w:val="17"/>
              </w:rPr>
              <w:t>关闭、破坏直接关系生产安全的监控、报警、防护、救</w:t>
            </w:r>
            <w:r>
              <w:rPr>
                <w:spacing w:val="11"/>
              </w:rPr>
              <w:t>生设备、设施，或者篡改、</w:t>
            </w:r>
            <w:r>
              <w:rPr>
                <w:spacing w:val="17"/>
              </w:rPr>
              <w:t>隐瞒、销毁其相关数据、信</w:t>
            </w:r>
            <w:r>
              <w:rPr>
                <w:spacing w:val="-7"/>
              </w:rPr>
              <w:t>息。</w:t>
            </w:r>
          </w:p>
          <w:p w14:paraId="61E86CD9">
            <w:pPr>
              <w:pStyle w:val="6"/>
              <w:spacing w:before="2" w:line="195" w:lineRule="auto"/>
              <w:ind w:left="117" w:right="111" w:hanging="1"/>
            </w:pPr>
            <w:r>
              <w:rPr>
                <w:rFonts w:ascii="宋体" w:hAnsi="宋体" w:eastAsia="宋体" w:cs="宋体"/>
                <w:spacing w:val="15"/>
              </w:rPr>
              <w:t>2.</w:t>
            </w:r>
            <w:r>
              <w:rPr>
                <w:spacing w:val="15"/>
              </w:rPr>
              <w:t>【部门规章】《工贸企业</w:t>
            </w:r>
            <w:r>
              <w:rPr>
                <w:spacing w:val="17"/>
              </w:rPr>
              <w:t>粉尘防爆安全规定》第十七</w:t>
            </w:r>
          </w:p>
        </w:tc>
        <w:tc>
          <w:tcPr>
            <w:tcW w:w="2859" w:type="dxa"/>
            <w:vAlign w:val="top"/>
          </w:tcPr>
          <w:p w14:paraId="58DD703C">
            <w:pPr>
              <w:pStyle w:val="6"/>
              <w:spacing w:before="34" w:line="185" w:lineRule="auto"/>
              <w:ind w:left="115" w:right="38" w:firstLine="15"/>
              <w:jc w:val="both"/>
            </w:pPr>
            <w:r>
              <w:rPr>
                <w:rFonts w:ascii="宋体" w:hAnsi="宋体" w:eastAsia="宋体" w:cs="宋体"/>
                <w:spacing w:val="6"/>
              </w:rPr>
              <w:t>1.</w:t>
            </w:r>
            <w:r>
              <w:rPr>
                <w:spacing w:val="6"/>
              </w:rPr>
              <w:t>【法律】《中华人民共</w:t>
            </w:r>
            <w:r>
              <w:rPr>
                <w:spacing w:val="8"/>
              </w:rPr>
              <w:t>和国安全生产法》第九十九条第四项：生产经营单</w:t>
            </w:r>
            <w:r>
              <w:rPr>
                <w:spacing w:val="4"/>
              </w:rPr>
              <w:t>位有下列行为之一的，责</w:t>
            </w:r>
            <w:r>
              <w:rPr>
                <w:spacing w:val="8"/>
              </w:rPr>
              <w:t>令限期改正，处五万元以</w:t>
            </w:r>
            <w:r>
              <w:rPr>
                <w:spacing w:val="-5"/>
              </w:rPr>
              <w:t>下的罚款；逾期未改正的，</w:t>
            </w:r>
            <w:r>
              <w:rPr>
                <w:spacing w:val="8"/>
              </w:rPr>
              <w:t>处五万元以上二十万元以下的罚款，对其直接负责的主管人员和其他直接责任人员处一万元以上二万</w:t>
            </w:r>
          </w:p>
        </w:tc>
        <w:tc>
          <w:tcPr>
            <w:tcW w:w="803" w:type="dxa"/>
            <w:vAlign w:val="top"/>
          </w:tcPr>
          <w:p w14:paraId="44F74876">
            <w:pPr>
              <w:spacing w:line="276" w:lineRule="auto"/>
              <w:rPr>
                <w:rFonts w:ascii="Arial"/>
                <w:sz w:val="21"/>
              </w:rPr>
            </w:pPr>
          </w:p>
          <w:p w14:paraId="2004DBE5">
            <w:pPr>
              <w:spacing w:line="276" w:lineRule="auto"/>
              <w:rPr>
                <w:rFonts w:ascii="Arial"/>
                <w:sz w:val="21"/>
              </w:rPr>
            </w:pPr>
          </w:p>
          <w:p w14:paraId="00C3A6D8">
            <w:pPr>
              <w:spacing w:line="277" w:lineRule="auto"/>
              <w:rPr>
                <w:rFonts w:ascii="Arial"/>
                <w:sz w:val="21"/>
              </w:rPr>
            </w:pPr>
          </w:p>
          <w:p w14:paraId="12FEAD5A">
            <w:pPr>
              <w:spacing w:line="277" w:lineRule="auto"/>
              <w:rPr>
                <w:rFonts w:ascii="Arial"/>
                <w:sz w:val="21"/>
              </w:rPr>
            </w:pPr>
          </w:p>
          <w:p w14:paraId="08CB329A">
            <w:pPr>
              <w:spacing w:line="277" w:lineRule="auto"/>
              <w:rPr>
                <w:rFonts w:ascii="Arial"/>
                <w:sz w:val="21"/>
              </w:rPr>
            </w:pPr>
          </w:p>
          <w:p w14:paraId="086F7C61">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FBC2FA0">
            <w:pPr>
              <w:pStyle w:val="6"/>
              <w:spacing w:before="230" w:line="185" w:lineRule="auto"/>
              <w:ind w:left="114" w:right="46" w:firstLine="16"/>
              <w:jc w:val="both"/>
            </w:pPr>
            <w:r>
              <w:rPr>
                <w:spacing w:val="3"/>
              </w:rPr>
              <w:t>生产经营单位关闭、</w:t>
            </w:r>
            <w:r>
              <w:rPr>
                <w:spacing w:val="26"/>
              </w:rPr>
              <w:t>破坏直接关系生产</w:t>
            </w:r>
            <w:r>
              <w:rPr>
                <w:spacing w:val="5"/>
              </w:rPr>
              <w:t>安全的监控、报警、</w:t>
            </w:r>
            <w:r>
              <w:rPr>
                <w:spacing w:val="-2"/>
              </w:rPr>
              <w:t>防护、救生设备、设</w:t>
            </w:r>
            <w:r>
              <w:rPr>
                <w:spacing w:val="-18"/>
              </w:rPr>
              <w:t>施</w:t>
            </w:r>
            <w:r>
              <w:rPr>
                <w:rFonts w:ascii="宋体" w:hAnsi="宋体" w:eastAsia="宋体" w:cs="宋体"/>
                <w:spacing w:val="-18"/>
              </w:rPr>
              <w:t>1</w:t>
            </w:r>
            <w:r>
              <w:rPr>
                <w:spacing w:val="-18"/>
              </w:rPr>
              <w:t>台（套</w:t>
            </w:r>
            <w:r>
              <w:rPr>
                <w:spacing w:val="-17"/>
              </w:rPr>
              <w:t>），</w:t>
            </w:r>
            <w:r>
              <w:rPr>
                <w:spacing w:val="-18"/>
              </w:rPr>
              <w:t>或篡</w:t>
            </w:r>
            <w:r>
              <w:rPr>
                <w:spacing w:val="-2"/>
              </w:rPr>
              <w:t>改、隐瞒、销毁直接</w:t>
            </w:r>
            <w:r>
              <w:rPr>
                <w:spacing w:val="26"/>
              </w:rPr>
              <w:t>关系生产安全相关数据、信息涉及</w:t>
            </w:r>
            <w:r>
              <w:rPr>
                <w:rFonts w:ascii="宋体" w:hAnsi="宋体" w:eastAsia="宋体" w:cs="宋体"/>
                <w:spacing w:val="26"/>
              </w:rPr>
              <w:t>1</w:t>
            </w:r>
            <w:r>
              <w:rPr>
                <w:spacing w:val="4"/>
              </w:rPr>
              <w:t>处的</w:t>
            </w:r>
          </w:p>
        </w:tc>
        <w:tc>
          <w:tcPr>
            <w:tcW w:w="2894" w:type="dxa"/>
            <w:vAlign w:val="top"/>
          </w:tcPr>
          <w:p w14:paraId="511E98E1">
            <w:pPr>
              <w:spacing w:line="269" w:lineRule="auto"/>
              <w:rPr>
                <w:rFonts w:ascii="Arial"/>
                <w:sz w:val="21"/>
              </w:rPr>
            </w:pPr>
          </w:p>
          <w:p w14:paraId="32D913D0">
            <w:pPr>
              <w:pStyle w:val="6"/>
              <w:spacing w:before="99" w:line="186" w:lineRule="auto"/>
              <w:ind w:left="127" w:right="103"/>
              <w:jc w:val="both"/>
            </w:pPr>
            <w:r>
              <w:rPr>
                <w:spacing w:val="4"/>
              </w:rPr>
              <w:t>责令限期改正，处</w:t>
            </w:r>
            <w:r>
              <w:rPr>
                <w:rFonts w:ascii="宋体" w:hAnsi="宋体" w:eastAsia="宋体" w:cs="宋体"/>
                <w:spacing w:val="4"/>
              </w:rPr>
              <w:t>2</w:t>
            </w:r>
            <w:r>
              <w:rPr>
                <w:spacing w:val="4"/>
              </w:rPr>
              <w:t>万元</w:t>
            </w:r>
            <w:r>
              <w:rPr>
                <w:spacing w:val="8"/>
              </w:rPr>
              <w:t>以下的罚款；逾期未改正</w:t>
            </w:r>
            <w:r>
              <w:rPr>
                <w:spacing w:val="-7"/>
              </w:rPr>
              <w:t>的，处</w:t>
            </w:r>
            <w:r>
              <w:rPr>
                <w:rFonts w:ascii="宋体" w:hAnsi="宋体" w:eastAsia="宋体" w:cs="宋体"/>
                <w:spacing w:val="-7"/>
              </w:rPr>
              <w:t>5</w:t>
            </w:r>
            <w:r>
              <w:rPr>
                <w:spacing w:val="-7"/>
              </w:rPr>
              <w:t>万元以上</w:t>
            </w:r>
            <w:r>
              <w:rPr>
                <w:rFonts w:ascii="宋体" w:hAnsi="宋体" w:eastAsia="宋体" w:cs="宋体"/>
                <w:spacing w:val="-7"/>
              </w:rPr>
              <w:t>10</w:t>
            </w:r>
            <w:r>
              <w:rPr>
                <w:spacing w:val="-7"/>
              </w:rPr>
              <w:t>万元</w:t>
            </w:r>
            <w:r>
              <w:rPr>
                <w:spacing w:val="7"/>
              </w:rPr>
              <w:t>以下的罚款，对其直接负</w:t>
            </w:r>
            <w:r>
              <w:rPr>
                <w:spacing w:val="10"/>
              </w:rPr>
              <w:t>责的主管人员和其他直接</w:t>
            </w:r>
            <w:r>
              <w:rPr>
                <w:spacing w:val="7"/>
              </w:rPr>
              <w:t>责任人员处</w:t>
            </w:r>
            <w:r>
              <w:rPr>
                <w:rFonts w:ascii="宋体" w:hAnsi="宋体" w:eastAsia="宋体" w:cs="宋体"/>
                <w:spacing w:val="7"/>
              </w:rPr>
              <w:t>1</w:t>
            </w:r>
            <w:r>
              <w:rPr>
                <w:spacing w:val="7"/>
              </w:rPr>
              <w:t>万元以上</w:t>
            </w:r>
            <w:r>
              <w:rPr>
                <w:rFonts w:ascii="宋体" w:hAnsi="宋体" w:eastAsia="宋体" w:cs="宋体"/>
                <w:spacing w:val="7"/>
              </w:rPr>
              <w:t>2</w:t>
            </w:r>
            <w:r>
              <w:rPr>
                <w:spacing w:val="7"/>
              </w:rPr>
              <w:t>万元以下的罚款；情节严重的，责令停产停业整顿</w:t>
            </w:r>
          </w:p>
        </w:tc>
        <w:tc>
          <w:tcPr>
            <w:tcW w:w="811" w:type="dxa"/>
            <w:vAlign w:val="top"/>
          </w:tcPr>
          <w:p w14:paraId="2B8CDC89">
            <w:pPr>
              <w:spacing w:line="277" w:lineRule="auto"/>
              <w:rPr>
                <w:rFonts w:ascii="Arial"/>
                <w:sz w:val="21"/>
              </w:rPr>
            </w:pPr>
          </w:p>
          <w:p w14:paraId="516B08B3">
            <w:pPr>
              <w:spacing w:line="277" w:lineRule="auto"/>
              <w:rPr>
                <w:rFonts w:ascii="Arial"/>
                <w:sz w:val="21"/>
              </w:rPr>
            </w:pPr>
          </w:p>
          <w:p w14:paraId="40102714">
            <w:pPr>
              <w:spacing w:line="277" w:lineRule="auto"/>
              <w:rPr>
                <w:rFonts w:ascii="Arial"/>
                <w:sz w:val="21"/>
              </w:rPr>
            </w:pPr>
          </w:p>
          <w:p w14:paraId="41453F7E">
            <w:pPr>
              <w:spacing w:line="277" w:lineRule="auto"/>
              <w:rPr>
                <w:rFonts w:ascii="Arial"/>
                <w:sz w:val="21"/>
              </w:rPr>
            </w:pPr>
          </w:p>
          <w:p w14:paraId="1EA3A8FD">
            <w:pPr>
              <w:spacing w:line="278" w:lineRule="auto"/>
              <w:rPr>
                <w:rFonts w:ascii="Arial"/>
                <w:sz w:val="21"/>
              </w:rPr>
            </w:pPr>
          </w:p>
          <w:p w14:paraId="7AC07EF3">
            <w:pPr>
              <w:spacing w:before="75" w:line="188" w:lineRule="auto"/>
              <w:ind w:left="293"/>
              <w:rPr>
                <w:rFonts w:ascii="宋体" w:hAnsi="宋体" w:eastAsia="宋体" w:cs="宋体"/>
                <w:sz w:val="23"/>
                <w:szCs w:val="23"/>
              </w:rPr>
            </w:pPr>
            <w:r>
              <w:rPr>
                <w:rFonts w:ascii="宋体" w:hAnsi="宋体" w:eastAsia="宋体" w:cs="宋体"/>
                <w:spacing w:val="-3"/>
                <w:sz w:val="23"/>
                <w:szCs w:val="23"/>
              </w:rPr>
              <w:t>29</w:t>
            </w:r>
          </w:p>
        </w:tc>
      </w:tr>
    </w:tbl>
    <w:p w14:paraId="2319C079">
      <w:pPr>
        <w:pStyle w:val="2"/>
      </w:pPr>
    </w:p>
    <w:p w14:paraId="75AACCA8">
      <w:pPr>
        <w:sectPr>
          <w:footerReference r:id="rId58" w:type="default"/>
          <w:pgSz w:w="16839" w:h="11906"/>
          <w:pgMar w:top="1012" w:right="821" w:bottom="664" w:left="901" w:header="0" w:footer="388" w:gutter="0"/>
          <w:cols w:space="720" w:num="1"/>
        </w:sectPr>
      </w:pPr>
    </w:p>
    <w:p w14:paraId="67053D21">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8AB7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A69CE8B">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4D5A83F5">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4573499">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975011F">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CEF4EF0">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E0A8861">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C94CAFA">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F76C209">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2557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1" w:hRule="atLeast"/>
        </w:trPr>
        <w:tc>
          <w:tcPr>
            <w:tcW w:w="818" w:type="dxa"/>
            <w:vMerge w:val="restart"/>
            <w:tcBorders>
              <w:bottom w:val="nil"/>
            </w:tcBorders>
            <w:vAlign w:val="top"/>
          </w:tcPr>
          <w:p w14:paraId="1E888363">
            <w:pPr>
              <w:rPr>
                <w:rFonts w:ascii="Arial"/>
                <w:sz w:val="21"/>
              </w:rPr>
            </w:pPr>
          </w:p>
        </w:tc>
        <w:tc>
          <w:tcPr>
            <w:tcW w:w="1440" w:type="dxa"/>
            <w:vMerge w:val="restart"/>
            <w:tcBorders>
              <w:bottom w:val="nil"/>
            </w:tcBorders>
            <w:vAlign w:val="top"/>
          </w:tcPr>
          <w:p w14:paraId="73E8A212">
            <w:pPr>
              <w:pStyle w:val="6"/>
              <w:spacing w:before="28" w:line="209" w:lineRule="auto"/>
              <w:ind w:left="115"/>
            </w:pPr>
            <w:r>
              <w:rPr>
                <w:spacing w:val="6"/>
              </w:rPr>
              <w:t>据、信息的</w:t>
            </w:r>
          </w:p>
        </w:tc>
        <w:tc>
          <w:tcPr>
            <w:tcW w:w="3202" w:type="dxa"/>
            <w:vMerge w:val="restart"/>
            <w:tcBorders>
              <w:bottom w:val="nil"/>
            </w:tcBorders>
            <w:vAlign w:val="top"/>
          </w:tcPr>
          <w:p w14:paraId="4F8CB114">
            <w:pPr>
              <w:pStyle w:val="6"/>
              <w:spacing w:before="35" w:line="184" w:lineRule="auto"/>
              <w:ind w:left="90" w:right="111" w:firstLine="28"/>
            </w:pPr>
            <w:r>
              <w:rPr>
                <w:spacing w:val="13"/>
              </w:rPr>
              <w:t>条第二款：粉尘涉爆企业应</w:t>
            </w:r>
            <w:r>
              <w:rPr>
                <w:spacing w:val="19"/>
              </w:rPr>
              <w:t>当对粉尘防爆安全设备进行</w:t>
            </w:r>
            <w:r>
              <w:rPr>
                <w:spacing w:val="15"/>
              </w:rPr>
              <w:t>经常性维护、保养，并按照</w:t>
            </w:r>
            <w:r>
              <w:rPr>
                <w:spacing w:val="19"/>
              </w:rPr>
              <w:t>《粉尘防爆安全规程》等有关国家标准或者行业标准定</w:t>
            </w:r>
            <w:r>
              <w:rPr>
                <w:spacing w:val="16"/>
              </w:rPr>
              <w:t>期检测或者检查，保证正常</w:t>
            </w:r>
            <w:r>
              <w:rPr>
                <w:spacing w:val="11"/>
              </w:rPr>
              <w:t>运行，做好相关记录，不得</w:t>
            </w:r>
            <w:r>
              <w:rPr>
                <w:spacing w:val="19"/>
              </w:rPr>
              <w:t>关闭、破坏直接关系粉尘防爆安全的监控、报警、防控</w:t>
            </w:r>
            <w:r>
              <w:rPr>
                <w:spacing w:val="13"/>
              </w:rPr>
              <w:t>等设备、设施，或者篡改、</w:t>
            </w:r>
            <w:r>
              <w:rPr>
                <w:spacing w:val="19"/>
              </w:rPr>
              <w:t>隐瞒、销毁其相关数据、信息。粉尘涉爆企业应当规范选用与爆炸危险区域相适应</w:t>
            </w:r>
            <w:r>
              <w:rPr>
                <w:spacing w:val="7"/>
              </w:rPr>
              <w:t>的防爆型电气设备。</w:t>
            </w:r>
          </w:p>
        </w:tc>
        <w:tc>
          <w:tcPr>
            <w:tcW w:w="2859" w:type="dxa"/>
            <w:vMerge w:val="restart"/>
            <w:tcBorders>
              <w:bottom w:val="nil"/>
            </w:tcBorders>
            <w:vAlign w:val="top"/>
          </w:tcPr>
          <w:p w14:paraId="45093CFE">
            <w:pPr>
              <w:pStyle w:val="6"/>
              <w:spacing w:before="34" w:line="182" w:lineRule="auto"/>
              <w:ind w:left="98" w:right="19" w:firstLine="24"/>
            </w:pPr>
            <w:r>
              <w:rPr>
                <w:spacing w:val="8"/>
              </w:rPr>
              <w:t>元以下的罚款；情节严重</w:t>
            </w:r>
            <w:r>
              <w:rPr>
                <w:spacing w:val="6"/>
              </w:rPr>
              <w:t>的，责令停产停业整顿；</w:t>
            </w:r>
            <w:r>
              <w:rPr>
                <w:spacing w:val="10"/>
              </w:rPr>
              <w:t>构成犯罪的，依照刑法有</w:t>
            </w:r>
            <w:r>
              <w:rPr>
                <w:spacing w:val="29"/>
              </w:rPr>
              <w:t>关规定追究刑事责任：</w:t>
            </w:r>
            <w:r>
              <w:rPr>
                <w:spacing w:val="10"/>
              </w:rPr>
              <w:t>（四）关闭、破坏直接关</w:t>
            </w:r>
            <w:r>
              <w:rPr>
                <w:spacing w:val="-2"/>
              </w:rPr>
              <w:t>系生产安全的监控、报警、</w:t>
            </w:r>
            <w:r>
              <w:rPr>
                <w:spacing w:val="9"/>
              </w:rPr>
              <w:t>防护、救生设备、设施，</w:t>
            </w:r>
            <w:r>
              <w:rPr>
                <w:spacing w:val="10"/>
              </w:rPr>
              <w:t>或者篡改、隐瞒、销毁其</w:t>
            </w:r>
            <w:r>
              <w:rPr>
                <w:spacing w:val="5"/>
              </w:rPr>
              <w:t>相关数据、信息的；</w:t>
            </w:r>
          </w:p>
          <w:p w14:paraId="4F00C590">
            <w:pPr>
              <w:pStyle w:val="6"/>
              <w:spacing w:before="15" w:line="181" w:lineRule="auto"/>
              <w:ind w:left="116" w:right="105"/>
            </w:pPr>
            <w:r>
              <w:rPr>
                <w:rFonts w:ascii="宋体" w:hAnsi="宋体" w:eastAsia="宋体" w:cs="宋体"/>
                <w:spacing w:val="7"/>
              </w:rPr>
              <w:t>2.</w:t>
            </w:r>
            <w:r>
              <w:rPr>
                <w:spacing w:val="7"/>
              </w:rPr>
              <w:t>【部门规章】《工贸企</w:t>
            </w:r>
            <w:r>
              <w:rPr>
                <w:spacing w:val="8"/>
              </w:rPr>
              <w:t>业粉尘防爆安全规定》第二十七条第五项：粉尘涉</w:t>
            </w:r>
            <w:r>
              <w:rPr>
                <w:spacing w:val="27"/>
              </w:rPr>
              <w:t>爆企业有下列行为之一</w:t>
            </w:r>
            <w:r>
              <w:rPr>
                <w:spacing w:val="8"/>
              </w:rPr>
              <w:t>的，由负责粉尘涉爆企业安全监管的部门依照《中</w:t>
            </w:r>
            <w:r>
              <w:rPr>
                <w:spacing w:val="32"/>
              </w:rPr>
              <w:t>华人民共和国安全生产</w:t>
            </w:r>
            <w:r>
              <w:rPr>
                <w:spacing w:val="8"/>
              </w:rPr>
              <w:t>法》有关规定，责令限期</w:t>
            </w:r>
            <w:r>
              <w:rPr>
                <w:spacing w:val="5"/>
              </w:rPr>
              <w:t>改正，处</w:t>
            </w:r>
            <w:r>
              <w:rPr>
                <w:rFonts w:ascii="宋体" w:hAnsi="宋体" w:eastAsia="宋体" w:cs="宋体"/>
                <w:spacing w:val="5"/>
              </w:rPr>
              <w:t>5</w:t>
            </w:r>
            <w:r>
              <w:rPr>
                <w:spacing w:val="5"/>
              </w:rPr>
              <w:t>万元以下的罚</w:t>
            </w:r>
            <w:r>
              <w:rPr>
                <w:spacing w:val="6"/>
              </w:rPr>
              <w:t>款；逾期未改正的，处</w:t>
            </w:r>
            <w:r>
              <w:rPr>
                <w:rFonts w:ascii="宋体" w:hAnsi="宋体" w:eastAsia="宋体" w:cs="宋体"/>
                <w:spacing w:val="6"/>
              </w:rPr>
              <w:t>5</w:t>
            </w:r>
            <w:r>
              <w:rPr>
                <w:spacing w:val="11"/>
              </w:rPr>
              <w:t>万元以上</w:t>
            </w:r>
            <w:r>
              <w:rPr>
                <w:rFonts w:ascii="宋体" w:hAnsi="宋体" w:eastAsia="宋体" w:cs="宋体"/>
                <w:spacing w:val="11"/>
              </w:rPr>
              <w:t>20</w:t>
            </w:r>
            <w:r>
              <w:rPr>
                <w:spacing w:val="11"/>
              </w:rPr>
              <w:t>万元以下的</w:t>
            </w:r>
            <w:r>
              <w:rPr>
                <w:spacing w:val="8"/>
              </w:rPr>
              <w:t>罚款，对其直接负责的主管人员和其他直接责任人</w:t>
            </w:r>
            <w:r>
              <w:t>员处</w:t>
            </w:r>
            <w:r>
              <w:rPr>
                <w:rFonts w:ascii="宋体" w:hAnsi="宋体" w:eastAsia="宋体" w:cs="宋体"/>
              </w:rPr>
              <w:t>1</w:t>
            </w:r>
            <w:r>
              <w:t>万元以上</w:t>
            </w:r>
            <w:r>
              <w:rPr>
                <w:rFonts w:ascii="宋体" w:hAnsi="宋体" w:eastAsia="宋体" w:cs="宋体"/>
              </w:rPr>
              <w:t>2</w:t>
            </w:r>
            <w:r>
              <w:t>万元以</w:t>
            </w:r>
            <w:r>
              <w:rPr>
                <w:spacing w:val="4"/>
              </w:rPr>
              <w:t>下的罚款；情节严重的，</w:t>
            </w:r>
            <w:r>
              <w:rPr>
                <w:spacing w:val="8"/>
              </w:rPr>
              <w:t>责令停产停业整顿；构成</w:t>
            </w:r>
            <w:r>
              <w:rPr>
                <w:spacing w:val="4"/>
              </w:rPr>
              <w:t>犯罪的，依照刑法有关规</w:t>
            </w:r>
            <w:r>
              <w:rPr>
                <w:spacing w:val="8"/>
              </w:rPr>
              <w:t>定追究刑事责任</w:t>
            </w:r>
            <w:r>
              <w:rPr>
                <w:spacing w:val="12"/>
              </w:rPr>
              <w:t>：（</w:t>
            </w:r>
            <w:r>
              <w:rPr>
                <w:spacing w:val="8"/>
              </w:rPr>
              <w:t>五）关闭、破坏直接关系粉尘</w:t>
            </w:r>
            <w:r>
              <w:rPr>
                <w:spacing w:val="6"/>
              </w:rPr>
              <w:t>防爆安全的监控、报警、</w:t>
            </w:r>
            <w:r>
              <w:rPr>
                <w:spacing w:val="8"/>
              </w:rPr>
              <w:t>防控等设备、设施，或者</w:t>
            </w:r>
          </w:p>
        </w:tc>
        <w:tc>
          <w:tcPr>
            <w:tcW w:w="803" w:type="dxa"/>
            <w:vAlign w:val="top"/>
          </w:tcPr>
          <w:p w14:paraId="4E5BE150">
            <w:pPr>
              <w:spacing w:line="266" w:lineRule="auto"/>
              <w:rPr>
                <w:rFonts w:ascii="Arial"/>
                <w:sz w:val="21"/>
              </w:rPr>
            </w:pPr>
          </w:p>
          <w:p w14:paraId="30416C6E">
            <w:pPr>
              <w:spacing w:line="266" w:lineRule="auto"/>
              <w:rPr>
                <w:rFonts w:ascii="Arial"/>
                <w:sz w:val="21"/>
              </w:rPr>
            </w:pPr>
          </w:p>
          <w:p w14:paraId="33B5432D">
            <w:pPr>
              <w:spacing w:line="266" w:lineRule="auto"/>
              <w:rPr>
                <w:rFonts w:ascii="Arial"/>
                <w:sz w:val="21"/>
              </w:rPr>
            </w:pPr>
          </w:p>
          <w:p w14:paraId="3C0117AB">
            <w:pPr>
              <w:spacing w:line="266" w:lineRule="auto"/>
              <w:rPr>
                <w:rFonts w:ascii="Arial"/>
                <w:sz w:val="21"/>
              </w:rPr>
            </w:pPr>
          </w:p>
          <w:p w14:paraId="65F085E4">
            <w:pPr>
              <w:spacing w:line="266" w:lineRule="auto"/>
              <w:rPr>
                <w:rFonts w:ascii="Arial"/>
                <w:sz w:val="21"/>
              </w:rPr>
            </w:pPr>
          </w:p>
          <w:p w14:paraId="5DF00652">
            <w:pPr>
              <w:spacing w:line="266" w:lineRule="auto"/>
              <w:rPr>
                <w:rFonts w:ascii="Arial"/>
                <w:sz w:val="21"/>
              </w:rPr>
            </w:pPr>
          </w:p>
          <w:p w14:paraId="30BB85EF">
            <w:pPr>
              <w:spacing w:line="267" w:lineRule="auto"/>
              <w:rPr>
                <w:rFonts w:ascii="Arial"/>
                <w:sz w:val="21"/>
              </w:rPr>
            </w:pPr>
          </w:p>
          <w:p w14:paraId="1D48E412">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5D00D3B">
            <w:pPr>
              <w:spacing w:line="302" w:lineRule="auto"/>
              <w:rPr>
                <w:rFonts w:ascii="Arial"/>
                <w:sz w:val="21"/>
              </w:rPr>
            </w:pPr>
          </w:p>
          <w:p w14:paraId="6EE39934">
            <w:pPr>
              <w:spacing w:line="302" w:lineRule="auto"/>
              <w:rPr>
                <w:rFonts w:ascii="Arial"/>
                <w:sz w:val="21"/>
              </w:rPr>
            </w:pPr>
          </w:p>
          <w:p w14:paraId="5240A48A">
            <w:pPr>
              <w:pStyle w:val="6"/>
              <w:spacing w:before="99" w:line="185" w:lineRule="auto"/>
              <w:ind w:left="114" w:right="46" w:firstLine="16"/>
              <w:jc w:val="both"/>
            </w:pPr>
            <w:r>
              <w:rPr>
                <w:spacing w:val="3"/>
              </w:rPr>
              <w:t>生产经营单位关闭、</w:t>
            </w:r>
            <w:r>
              <w:rPr>
                <w:spacing w:val="26"/>
              </w:rPr>
              <w:t>破坏直接关系生产</w:t>
            </w:r>
            <w:r>
              <w:rPr>
                <w:spacing w:val="5"/>
              </w:rPr>
              <w:t>安全的监控、报警、</w:t>
            </w:r>
            <w:r>
              <w:rPr>
                <w:spacing w:val="-2"/>
              </w:rPr>
              <w:t>防护、救生设备、设</w:t>
            </w:r>
            <w:r>
              <w:rPr>
                <w:spacing w:val="-14"/>
              </w:rPr>
              <w:t>施</w:t>
            </w:r>
            <w:r>
              <w:rPr>
                <w:rFonts w:ascii="宋体" w:hAnsi="宋体" w:eastAsia="宋体" w:cs="宋体"/>
                <w:spacing w:val="-14"/>
              </w:rPr>
              <w:t>2</w:t>
            </w:r>
            <w:r>
              <w:rPr>
                <w:spacing w:val="-14"/>
              </w:rPr>
              <w:t>台（套</w:t>
            </w:r>
            <w:r>
              <w:rPr>
                <w:spacing w:val="-17"/>
              </w:rPr>
              <w:t>），</w:t>
            </w:r>
            <w:r>
              <w:rPr>
                <w:spacing w:val="-14"/>
              </w:rPr>
              <w:t>或篡</w:t>
            </w:r>
            <w:r>
              <w:rPr>
                <w:spacing w:val="-2"/>
              </w:rPr>
              <w:t>改、隐瞒、销毁直接</w:t>
            </w:r>
            <w:r>
              <w:rPr>
                <w:spacing w:val="26"/>
              </w:rPr>
              <w:t>关系生产安全相关</w:t>
            </w:r>
            <w:r>
              <w:rPr>
                <w:spacing w:val="28"/>
              </w:rPr>
              <w:t>数据、信息涉及</w:t>
            </w:r>
            <w:r>
              <w:rPr>
                <w:rFonts w:ascii="宋体" w:hAnsi="宋体" w:eastAsia="宋体" w:cs="宋体"/>
                <w:spacing w:val="28"/>
              </w:rPr>
              <w:t>2</w:t>
            </w:r>
            <w:r>
              <w:rPr>
                <w:spacing w:val="4"/>
              </w:rPr>
              <w:t>处的</w:t>
            </w:r>
          </w:p>
        </w:tc>
        <w:tc>
          <w:tcPr>
            <w:tcW w:w="2894" w:type="dxa"/>
            <w:vAlign w:val="top"/>
          </w:tcPr>
          <w:p w14:paraId="78F2EF7B">
            <w:pPr>
              <w:spacing w:line="303" w:lineRule="auto"/>
              <w:rPr>
                <w:rFonts w:ascii="Arial"/>
                <w:sz w:val="21"/>
              </w:rPr>
            </w:pPr>
          </w:p>
          <w:p w14:paraId="148B9857">
            <w:pPr>
              <w:spacing w:line="303" w:lineRule="auto"/>
              <w:rPr>
                <w:rFonts w:ascii="Arial"/>
                <w:sz w:val="21"/>
              </w:rPr>
            </w:pPr>
          </w:p>
          <w:p w14:paraId="4B8DC12F">
            <w:pPr>
              <w:pStyle w:val="6"/>
              <w:spacing w:before="99" w:line="185" w:lineRule="auto"/>
              <w:ind w:left="117" w:right="73" w:firstLine="10"/>
            </w:pPr>
            <w:r>
              <w:rPr>
                <w:spacing w:val="4"/>
              </w:rPr>
              <w:t>责令限期改正，处</w:t>
            </w:r>
            <w:r>
              <w:rPr>
                <w:rFonts w:ascii="宋体" w:hAnsi="宋体" w:eastAsia="宋体" w:cs="宋体"/>
                <w:spacing w:val="4"/>
              </w:rPr>
              <w:t>2</w:t>
            </w:r>
            <w:r>
              <w:rPr>
                <w:spacing w:val="4"/>
              </w:rPr>
              <w:t>万元</w:t>
            </w:r>
            <w:r>
              <w:rPr>
                <w:spacing w:val="3"/>
              </w:rPr>
              <w:t>以上</w:t>
            </w:r>
            <w:r>
              <w:rPr>
                <w:rFonts w:ascii="宋体" w:hAnsi="宋体" w:eastAsia="宋体" w:cs="宋体"/>
                <w:spacing w:val="3"/>
              </w:rPr>
              <w:t>4</w:t>
            </w:r>
            <w:r>
              <w:rPr>
                <w:spacing w:val="3"/>
              </w:rPr>
              <w:t>万元以下的罚款；</w:t>
            </w:r>
            <w:r>
              <w:rPr>
                <w:spacing w:val="-4"/>
              </w:rPr>
              <w:t>逾期未改正的，处</w:t>
            </w:r>
            <w:r>
              <w:rPr>
                <w:rFonts w:ascii="宋体" w:hAnsi="宋体" w:eastAsia="宋体" w:cs="宋体"/>
                <w:spacing w:val="-4"/>
              </w:rPr>
              <w:t>10</w:t>
            </w:r>
            <w:r>
              <w:rPr>
                <w:spacing w:val="-4"/>
              </w:rPr>
              <w:t>万元</w:t>
            </w:r>
            <w:r>
              <w:rPr>
                <w:spacing w:val="-1"/>
              </w:rPr>
              <w:t>以上</w:t>
            </w:r>
            <w:r>
              <w:rPr>
                <w:rFonts w:ascii="宋体" w:hAnsi="宋体" w:eastAsia="宋体" w:cs="宋体"/>
                <w:spacing w:val="-1"/>
              </w:rPr>
              <w:t>15</w:t>
            </w:r>
            <w:r>
              <w:rPr>
                <w:spacing w:val="-1"/>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万元以上</w:t>
            </w:r>
            <w:r>
              <w:rPr>
                <w:rFonts w:ascii="宋体" w:hAnsi="宋体" w:eastAsia="宋体" w:cs="宋体"/>
                <w:spacing w:val="7"/>
              </w:rPr>
              <w:t>2</w:t>
            </w:r>
            <w:r>
              <w:rPr>
                <w:spacing w:val="7"/>
              </w:rPr>
              <w:t>万元以下的罚</w:t>
            </w:r>
            <w:r>
              <w:rPr>
                <w:spacing w:val="4"/>
              </w:rPr>
              <w:t>款；情节严重的，责令停</w:t>
            </w:r>
            <w:r>
              <w:rPr>
                <w:spacing w:val="7"/>
              </w:rPr>
              <w:t>产停业整顿</w:t>
            </w:r>
          </w:p>
        </w:tc>
        <w:tc>
          <w:tcPr>
            <w:tcW w:w="811" w:type="dxa"/>
            <w:vMerge w:val="restart"/>
            <w:tcBorders>
              <w:bottom w:val="nil"/>
            </w:tcBorders>
            <w:vAlign w:val="top"/>
          </w:tcPr>
          <w:p w14:paraId="66EC6604">
            <w:pPr>
              <w:rPr>
                <w:rFonts w:ascii="Arial"/>
                <w:sz w:val="21"/>
              </w:rPr>
            </w:pPr>
          </w:p>
        </w:tc>
      </w:tr>
      <w:tr w14:paraId="122CE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7" w:hRule="atLeast"/>
        </w:trPr>
        <w:tc>
          <w:tcPr>
            <w:tcW w:w="818" w:type="dxa"/>
            <w:vMerge w:val="continue"/>
            <w:tcBorders>
              <w:top w:val="nil"/>
            </w:tcBorders>
            <w:vAlign w:val="top"/>
          </w:tcPr>
          <w:p w14:paraId="2BCD9FCD">
            <w:pPr>
              <w:rPr>
                <w:rFonts w:ascii="Arial"/>
                <w:sz w:val="21"/>
              </w:rPr>
            </w:pPr>
          </w:p>
        </w:tc>
        <w:tc>
          <w:tcPr>
            <w:tcW w:w="1440" w:type="dxa"/>
            <w:vMerge w:val="continue"/>
            <w:tcBorders>
              <w:top w:val="nil"/>
            </w:tcBorders>
            <w:vAlign w:val="top"/>
          </w:tcPr>
          <w:p w14:paraId="4BB8DC19">
            <w:pPr>
              <w:rPr>
                <w:rFonts w:ascii="Arial"/>
                <w:sz w:val="21"/>
              </w:rPr>
            </w:pPr>
          </w:p>
        </w:tc>
        <w:tc>
          <w:tcPr>
            <w:tcW w:w="3202" w:type="dxa"/>
            <w:vMerge w:val="continue"/>
            <w:tcBorders>
              <w:top w:val="nil"/>
            </w:tcBorders>
            <w:vAlign w:val="top"/>
          </w:tcPr>
          <w:p w14:paraId="228E4BDB">
            <w:pPr>
              <w:rPr>
                <w:rFonts w:ascii="Arial"/>
                <w:sz w:val="21"/>
              </w:rPr>
            </w:pPr>
          </w:p>
        </w:tc>
        <w:tc>
          <w:tcPr>
            <w:tcW w:w="2859" w:type="dxa"/>
            <w:vMerge w:val="continue"/>
            <w:tcBorders>
              <w:top w:val="nil"/>
            </w:tcBorders>
            <w:vAlign w:val="top"/>
          </w:tcPr>
          <w:p w14:paraId="133204EE">
            <w:pPr>
              <w:rPr>
                <w:rFonts w:ascii="Arial"/>
                <w:sz w:val="21"/>
              </w:rPr>
            </w:pPr>
          </w:p>
        </w:tc>
        <w:tc>
          <w:tcPr>
            <w:tcW w:w="803" w:type="dxa"/>
            <w:vAlign w:val="top"/>
          </w:tcPr>
          <w:p w14:paraId="2CBE4CA5">
            <w:pPr>
              <w:spacing w:line="256" w:lineRule="auto"/>
              <w:rPr>
                <w:rFonts w:ascii="Arial"/>
                <w:sz w:val="21"/>
              </w:rPr>
            </w:pPr>
          </w:p>
          <w:p w14:paraId="74D817D5">
            <w:pPr>
              <w:spacing w:line="256" w:lineRule="auto"/>
              <w:rPr>
                <w:rFonts w:ascii="Arial"/>
                <w:sz w:val="21"/>
              </w:rPr>
            </w:pPr>
          </w:p>
          <w:p w14:paraId="04F7E86B">
            <w:pPr>
              <w:spacing w:line="256" w:lineRule="auto"/>
              <w:rPr>
                <w:rFonts w:ascii="Arial"/>
                <w:sz w:val="21"/>
              </w:rPr>
            </w:pPr>
          </w:p>
          <w:p w14:paraId="12BBB637">
            <w:pPr>
              <w:spacing w:line="256" w:lineRule="auto"/>
              <w:rPr>
                <w:rFonts w:ascii="Arial"/>
                <w:sz w:val="21"/>
              </w:rPr>
            </w:pPr>
          </w:p>
          <w:p w14:paraId="50B18851">
            <w:pPr>
              <w:spacing w:line="256" w:lineRule="auto"/>
              <w:rPr>
                <w:rFonts w:ascii="Arial"/>
                <w:sz w:val="21"/>
              </w:rPr>
            </w:pPr>
          </w:p>
          <w:p w14:paraId="62E76A62">
            <w:pPr>
              <w:spacing w:line="257" w:lineRule="auto"/>
              <w:rPr>
                <w:rFonts w:ascii="Arial"/>
                <w:sz w:val="21"/>
              </w:rPr>
            </w:pPr>
          </w:p>
          <w:p w14:paraId="271C479D">
            <w:pPr>
              <w:spacing w:line="257" w:lineRule="auto"/>
              <w:rPr>
                <w:rFonts w:ascii="Arial"/>
                <w:sz w:val="21"/>
              </w:rPr>
            </w:pPr>
          </w:p>
          <w:p w14:paraId="22871ED9">
            <w:pPr>
              <w:spacing w:line="257" w:lineRule="auto"/>
              <w:rPr>
                <w:rFonts w:ascii="Arial"/>
                <w:sz w:val="21"/>
              </w:rPr>
            </w:pPr>
          </w:p>
          <w:p w14:paraId="03768180">
            <w:pPr>
              <w:spacing w:line="257" w:lineRule="auto"/>
              <w:rPr>
                <w:rFonts w:ascii="Arial"/>
                <w:sz w:val="21"/>
              </w:rPr>
            </w:pPr>
          </w:p>
          <w:p w14:paraId="787BDBB6">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4453ACE">
            <w:pPr>
              <w:spacing w:line="262" w:lineRule="auto"/>
              <w:rPr>
                <w:rFonts w:ascii="Arial"/>
                <w:sz w:val="21"/>
              </w:rPr>
            </w:pPr>
          </w:p>
          <w:p w14:paraId="372043D1">
            <w:pPr>
              <w:spacing w:line="262" w:lineRule="auto"/>
              <w:rPr>
                <w:rFonts w:ascii="Arial"/>
                <w:sz w:val="21"/>
              </w:rPr>
            </w:pPr>
          </w:p>
          <w:p w14:paraId="297D506A">
            <w:pPr>
              <w:spacing w:line="263" w:lineRule="auto"/>
              <w:rPr>
                <w:rFonts w:ascii="Arial"/>
                <w:sz w:val="21"/>
              </w:rPr>
            </w:pPr>
          </w:p>
          <w:p w14:paraId="0FF27264">
            <w:pPr>
              <w:spacing w:line="263" w:lineRule="auto"/>
              <w:rPr>
                <w:rFonts w:ascii="Arial"/>
                <w:sz w:val="21"/>
              </w:rPr>
            </w:pPr>
          </w:p>
          <w:p w14:paraId="7E0082C2">
            <w:pPr>
              <w:pStyle w:val="6"/>
              <w:spacing w:before="99" w:line="185" w:lineRule="auto"/>
              <w:ind w:left="114" w:right="46" w:firstLine="16"/>
              <w:jc w:val="both"/>
            </w:pPr>
            <w:r>
              <w:rPr>
                <w:spacing w:val="3"/>
              </w:rPr>
              <w:t>生产经营单位关闭、</w:t>
            </w:r>
            <w:r>
              <w:rPr>
                <w:spacing w:val="26"/>
              </w:rPr>
              <w:t>破坏直接关系生产</w:t>
            </w:r>
            <w:r>
              <w:rPr>
                <w:spacing w:val="5"/>
              </w:rPr>
              <w:t>安全的监控、报警、</w:t>
            </w:r>
            <w:r>
              <w:rPr>
                <w:spacing w:val="-2"/>
              </w:rPr>
              <w:t>防护、救生设备、设</w:t>
            </w:r>
            <w:r>
              <w:rPr>
                <w:spacing w:val="-4"/>
              </w:rPr>
              <w:t>施</w:t>
            </w:r>
            <w:r>
              <w:rPr>
                <w:rFonts w:ascii="宋体" w:hAnsi="宋体" w:eastAsia="宋体" w:cs="宋体"/>
                <w:spacing w:val="-4"/>
              </w:rPr>
              <w:t>3</w:t>
            </w:r>
            <w:r>
              <w:rPr>
                <w:spacing w:val="-4"/>
              </w:rPr>
              <w:t>台（套）以上，</w:t>
            </w:r>
            <w:r>
              <w:rPr>
                <w:spacing w:val="-2"/>
              </w:rPr>
              <w:t>或篡改、隐瞒、销毁</w:t>
            </w:r>
            <w:r>
              <w:rPr>
                <w:spacing w:val="26"/>
              </w:rPr>
              <w:t>直接关系生产安全</w:t>
            </w:r>
            <w:r>
              <w:rPr>
                <w:spacing w:val="-2"/>
              </w:rPr>
              <w:t>相关数据、信息涉及</w:t>
            </w:r>
            <w:r>
              <w:rPr>
                <w:rFonts w:ascii="宋体" w:hAnsi="宋体" w:eastAsia="宋体" w:cs="宋体"/>
                <w:spacing w:val="3"/>
              </w:rPr>
              <w:t>3</w:t>
            </w:r>
            <w:r>
              <w:rPr>
                <w:spacing w:val="3"/>
              </w:rPr>
              <w:t>处以上的</w:t>
            </w:r>
          </w:p>
        </w:tc>
        <w:tc>
          <w:tcPr>
            <w:tcW w:w="2894" w:type="dxa"/>
            <w:vAlign w:val="top"/>
          </w:tcPr>
          <w:p w14:paraId="1B149B0C">
            <w:pPr>
              <w:spacing w:line="263" w:lineRule="auto"/>
              <w:rPr>
                <w:rFonts w:ascii="Arial"/>
                <w:sz w:val="21"/>
              </w:rPr>
            </w:pPr>
          </w:p>
          <w:p w14:paraId="4A925D7B">
            <w:pPr>
              <w:spacing w:line="263" w:lineRule="auto"/>
              <w:rPr>
                <w:rFonts w:ascii="Arial"/>
                <w:sz w:val="21"/>
              </w:rPr>
            </w:pPr>
          </w:p>
          <w:p w14:paraId="39D6855D">
            <w:pPr>
              <w:spacing w:line="263" w:lineRule="auto"/>
              <w:rPr>
                <w:rFonts w:ascii="Arial"/>
                <w:sz w:val="21"/>
              </w:rPr>
            </w:pPr>
          </w:p>
          <w:p w14:paraId="43855AD9">
            <w:pPr>
              <w:spacing w:line="263" w:lineRule="auto"/>
              <w:rPr>
                <w:rFonts w:ascii="Arial"/>
                <w:sz w:val="21"/>
              </w:rPr>
            </w:pPr>
          </w:p>
          <w:p w14:paraId="3F6F1A65">
            <w:pPr>
              <w:pStyle w:val="6"/>
              <w:spacing w:before="99" w:line="185" w:lineRule="auto"/>
              <w:ind w:left="117" w:right="73" w:firstLine="10"/>
            </w:pPr>
            <w:r>
              <w:rPr>
                <w:spacing w:val="4"/>
              </w:rPr>
              <w:t>责令限期改正，处</w:t>
            </w:r>
            <w:r>
              <w:rPr>
                <w:rFonts w:ascii="宋体" w:hAnsi="宋体" w:eastAsia="宋体" w:cs="宋体"/>
                <w:spacing w:val="4"/>
              </w:rPr>
              <w:t>4</w:t>
            </w:r>
            <w:r>
              <w:rPr>
                <w:spacing w:val="4"/>
              </w:rPr>
              <w:t>万元</w:t>
            </w:r>
            <w:r>
              <w:rPr>
                <w:spacing w:val="3"/>
              </w:rPr>
              <w:t>以上</w:t>
            </w:r>
            <w:r>
              <w:rPr>
                <w:rFonts w:ascii="宋体" w:hAnsi="宋体" w:eastAsia="宋体" w:cs="宋体"/>
                <w:spacing w:val="3"/>
              </w:rPr>
              <w:t>5</w:t>
            </w:r>
            <w:r>
              <w:rPr>
                <w:spacing w:val="3"/>
              </w:rPr>
              <w:t>万元以下的罚款；</w:t>
            </w:r>
            <w:r>
              <w:rPr>
                <w:spacing w:val="-4"/>
              </w:rPr>
              <w:t>逾期未改正的，处</w:t>
            </w:r>
            <w:r>
              <w:rPr>
                <w:rFonts w:ascii="宋体" w:hAnsi="宋体" w:eastAsia="宋体" w:cs="宋体"/>
                <w:spacing w:val="-4"/>
              </w:rPr>
              <w:t>15</w:t>
            </w:r>
            <w:r>
              <w:rPr>
                <w:spacing w:val="-4"/>
              </w:rPr>
              <w:t>万元</w:t>
            </w:r>
            <w:r>
              <w:t>以上</w:t>
            </w:r>
            <w:r>
              <w:rPr>
                <w:rFonts w:ascii="宋体" w:hAnsi="宋体" w:eastAsia="宋体" w:cs="宋体"/>
              </w:rPr>
              <w:t>20</w:t>
            </w:r>
            <w: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万元以上</w:t>
            </w:r>
            <w:r>
              <w:rPr>
                <w:rFonts w:ascii="宋体" w:hAnsi="宋体" w:eastAsia="宋体" w:cs="宋体"/>
                <w:spacing w:val="7"/>
              </w:rPr>
              <w:t>2</w:t>
            </w:r>
            <w:r>
              <w:rPr>
                <w:spacing w:val="7"/>
              </w:rPr>
              <w:t>万元以下的罚</w:t>
            </w:r>
            <w:r>
              <w:rPr>
                <w:spacing w:val="4"/>
              </w:rPr>
              <w:t>款；情节严重的，责令停</w:t>
            </w:r>
            <w:r>
              <w:rPr>
                <w:spacing w:val="7"/>
              </w:rPr>
              <w:t>产停业整顿</w:t>
            </w:r>
          </w:p>
        </w:tc>
        <w:tc>
          <w:tcPr>
            <w:tcW w:w="811" w:type="dxa"/>
            <w:vMerge w:val="continue"/>
            <w:tcBorders>
              <w:top w:val="nil"/>
            </w:tcBorders>
            <w:vAlign w:val="top"/>
          </w:tcPr>
          <w:p w14:paraId="1FC8CFFD">
            <w:pPr>
              <w:rPr>
                <w:rFonts w:ascii="Arial"/>
                <w:sz w:val="21"/>
              </w:rPr>
            </w:pPr>
          </w:p>
        </w:tc>
      </w:tr>
    </w:tbl>
    <w:p w14:paraId="3972558D">
      <w:pPr>
        <w:pStyle w:val="2"/>
      </w:pPr>
    </w:p>
    <w:p w14:paraId="23DBC719">
      <w:pPr>
        <w:sectPr>
          <w:footerReference r:id="rId59" w:type="default"/>
          <w:pgSz w:w="16839" w:h="11906"/>
          <w:pgMar w:top="1012" w:right="821" w:bottom="666" w:left="901" w:header="0" w:footer="388" w:gutter="0"/>
          <w:cols w:space="720" w:num="1"/>
        </w:sectPr>
      </w:pPr>
    </w:p>
    <w:p w14:paraId="2EE260C3">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15BB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0F64651">
            <w:pPr>
              <w:spacing w:before="222" w:line="241" w:lineRule="auto"/>
              <w:ind w:left="131"/>
              <w:rPr>
                <w:rFonts w:ascii="黑体" w:hAnsi="黑体" w:eastAsia="黑体" w:cs="黑体"/>
                <w:sz w:val="28"/>
                <w:szCs w:val="28"/>
              </w:rPr>
            </w:pPr>
            <w:bookmarkStart w:id="427" w:name="bookmark86"/>
            <w:bookmarkEnd w:id="427"/>
            <w:bookmarkStart w:id="428" w:name="bookmark504"/>
            <w:bookmarkEnd w:id="428"/>
            <w:r>
              <w:rPr>
                <w:rFonts w:ascii="黑体" w:hAnsi="黑体" w:eastAsia="黑体" w:cs="黑体"/>
                <w:spacing w:val="-2"/>
                <w:sz w:val="28"/>
                <w:szCs w:val="28"/>
              </w:rPr>
              <w:t>序号</w:t>
            </w:r>
          </w:p>
        </w:tc>
        <w:tc>
          <w:tcPr>
            <w:tcW w:w="1440" w:type="dxa"/>
            <w:vAlign w:val="top"/>
          </w:tcPr>
          <w:p w14:paraId="116D9196">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7BDA8865">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7A4E797">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A30F3F0">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7E90F66">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3B78541">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E25BFB7">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663A8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818" w:type="dxa"/>
            <w:vAlign w:val="top"/>
          </w:tcPr>
          <w:p w14:paraId="403FA422">
            <w:pPr>
              <w:rPr>
                <w:rFonts w:ascii="Arial"/>
                <w:sz w:val="21"/>
              </w:rPr>
            </w:pPr>
          </w:p>
        </w:tc>
        <w:tc>
          <w:tcPr>
            <w:tcW w:w="1440" w:type="dxa"/>
            <w:vAlign w:val="top"/>
          </w:tcPr>
          <w:p w14:paraId="60A363F7">
            <w:pPr>
              <w:rPr>
                <w:rFonts w:ascii="Arial"/>
                <w:sz w:val="21"/>
              </w:rPr>
            </w:pPr>
          </w:p>
        </w:tc>
        <w:tc>
          <w:tcPr>
            <w:tcW w:w="3202" w:type="dxa"/>
            <w:vAlign w:val="top"/>
          </w:tcPr>
          <w:p w14:paraId="7F4D1070">
            <w:pPr>
              <w:rPr>
                <w:rFonts w:ascii="Arial"/>
                <w:sz w:val="21"/>
              </w:rPr>
            </w:pPr>
          </w:p>
        </w:tc>
        <w:tc>
          <w:tcPr>
            <w:tcW w:w="2859" w:type="dxa"/>
            <w:vAlign w:val="top"/>
          </w:tcPr>
          <w:p w14:paraId="563685D8">
            <w:pPr>
              <w:pStyle w:val="6"/>
              <w:spacing w:before="28" w:line="178" w:lineRule="auto"/>
              <w:ind w:left="122" w:right="110"/>
            </w:pPr>
            <w:r>
              <w:rPr>
                <w:spacing w:val="8"/>
              </w:rPr>
              <w:t>篡改、隐瞒、销毁其相关</w:t>
            </w:r>
            <w:r>
              <w:rPr>
                <w:spacing w:val="2"/>
              </w:rPr>
              <w:t>数据、信息的。</w:t>
            </w:r>
          </w:p>
        </w:tc>
        <w:tc>
          <w:tcPr>
            <w:tcW w:w="803" w:type="dxa"/>
            <w:vAlign w:val="top"/>
          </w:tcPr>
          <w:p w14:paraId="5D74FB01">
            <w:pPr>
              <w:rPr>
                <w:rFonts w:ascii="Arial"/>
                <w:sz w:val="21"/>
              </w:rPr>
            </w:pPr>
          </w:p>
        </w:tc>
        <w:tc>
          <w:tcPr>
            <w:tcW w:w="2283" w:type="dxa"/>
            <w:vAlign w:val="top"/>
          </w:tcPr>
          <w:p w14:paraId="5DCA3E30">
            <w:pPr>
              <w:rPr>
                <w:rFonts w:ascii="Arial"/>
                <w:sz w:val="21"/>
              </w:rPr>
            </w:pPr>
          </w:p>
        </w:tc>
        <w:tc>
          <w:tcPr>
            <w:tcW w:w="2894" w:type="dxa"/>
            <w:vAlign w:val="top"/>
          </w:tcPr>
          <w:p w14:paraId="3379278A">
            <w:pPr>
              <w:rPr>
                <w:rFonts w:ascii="Arial"/>
                <w:sz w:val="21"/>
              </w:rPr>
            </w:pPr>
          </w:p>
        </w:tc>
        <w:tc>
          <w:tcPr>
            <w:tcW w:w="811" w:type="dxa"/>
            <w:vAlign w:val="top"/>
          </w:tcPr>
          <w:p w14:paraId="39214304">
            <w:pPr>
              <w:rPr>
                <w:rFonts w:ascii="Arial"/>
                <w:sz w:val="21"/>
              </w:rPr>
            </w:pPr>
          </w:p>
        </w:tc>
      </w:tr>
      <w:tr w14:paraId="5536D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4" w:hRule="atLeast"/>
        </w:trPr>
        <w:tc>
          <w:tcPr>
            <w:tcW w:w="818" w:type="dxa"/>
            <w:vMerge w:val="restart"/>
            <w:tcBorders>
              <w:bottom w:val="nil"/>
            </w:tcBorders>
            <w:vAlign w:val="top"/>
          </w:tcPr>
          <w:p w14:paraId="1E2216F0">
            <w:pPr>
              <w:rPr>
                <w:rFonts w:ascii="Arial"/>
                <w:sz w:val="21"/>
              </w:rPr>
            </w:pPr>
          </w:p>
          <w:p w14:paraId="45AA27FC">
            <w:pPr>
              <w:rPr>
                <w:rFonts w:ascii="Arial"/>
                <w:sz w:val="21"/>
              </w:rPr>
            </w:pPr>
          </w:p>
          <w:p w14:paraId="6E17C6BE">
            <w:pPr>
              <w:rPr>
                <w:rFonts w:ascii="Arial"/>
                <w:sz w:val="21"/>
              </w:rPr>
            </w:pPr>
          </w:p>
          <w:p w14:paraId="2B7DD207">
            <w:pPr>
              <w:rPr>
                <w:rFonts w:ascii="Arial"/>
                <w:sz w:val="21"/>
              </w:rPr>
            </w:pPr>
          </w:p>
          <w:p w14:paraId="7C458C19">
            <w:pPr>
              <w:rPr>
                <w:rFonts w:ascii="Arial"/>
                <w:sz w:val="21"/>
              </w:rPr>
            </w:pPr>
          </w:p>
          <w:p w14:paraId="2CE539CE">
            <w:pPr>
              <w:rPr>
                <w:rFonts w:ascii="Arial"/>
                <w:sz w:val="21"/>
              </w:rPr>
            </w:pPr>
          </w:p>
          <w:p w14:paraId="2E85E9E4">
            <w:pPr>
              <w:rPr>
                <w:rFonts w:ascii="Arial"/>
                <w:sz w:val="21"/>
              </w:rPr>
            </w:pPr>
          </w:p>
          <w:p w14:paraId="01FC4F1F">
            <w:pPr>
              <w:rPr>
                <w:rFonts w:ascii="Arial"/>
                <w:sz w:val="21"/>
              </w:rPr>
            </w:pPr>
          </w:p>
          <w:p w14:paraId="00DADE27">
            <w:pPr>
              <w:rPr>
                <w:rFonts w:ascii="Arial"/>
                <w:sz w:val="21"/>
              </w:rPr>
            </w:pPr>
          </w:p>
          <w:p w14:paraId="05CBB3B5">
            <w:pPr>
              <w:rPr>
                <w:rFonts w:ascii="Arial"/>
                <w:sz w:val="21"/>
              </w:rPr>
            </w:pPr>
          </w:p>
          <w:p w14:paraId="1173705B">
            <w:pPr>
              <w:rPr>
                <w:rFonts w:ascii="Arial"/>
                <w:sz w:val="21"/>
              </w:rPr>
            </w:pPr>
          </w:p>
          <w:p w14:paraId="4DD0361B">
            <w:pPr>
              <w:rPr>
                <w:rFonts w:ascii="Arial"/>
                <w:sz w:val="21"/>
              </w:rPr>
            </w:pPr>
          </w:p>
          <w:p w14:paraId="660D03D5">
            <w:pPr>
              <w:rPr>
                <w:rFonts w:ascii="Arial"/>
                <w:sz w:val="21"/>
              </w:rPr>
            </w:pPr>
          </w:p>
          <w:p w14:paraId="12F5E079">
            <w:pPr>
              <w:rPr>
                <w:rFonts w:ascii="Arial"/>
                <w:sz w:val="21"/>
              </w:rPr>
            </w:pPr>
          </w:p>
          <w:p w14:paraId="0C84E062">
            <w:pPr>
              <w:spacing w:line="241" w:lineRule="auto"/>
              <w:rPr>
                <w:rFonts w:ascii="Arial"/>
                <w:sz w:val="21"/>
              </w:rPr>
            </w:pPr>
          </w:p>
          <w:p w14:paraId="389ABCEE">
            <w:pPr>
              <w:spacing w:line="241" w:lineRule="auto"/>
              <w:rPr>
                <w:rFonts w:ascii="Arial"/>
                <w:sz w:val="21"/>
              </w:rPr>
            </w:pPr>
          </w:p>
          <w:p w14:paraId="49A12073">
            <w:pPr>
              <w:spacing w:line="241" w:lineRule="auto"/>
              <w:rPr>
                <w:rFonts w:ascii="Arial"/>
                <w:sz w:val="21"/>
              </w:rPr>
            </w:pPr>
          </w:p>
          <w:p w14:paraId="25D89147">
            <w:pPr>
              <w:spacing w:before="74" w:line="186" w:lineRule="auto"/>
              <w:ind w:left="234"/>
              <w:rPr>
                <w:rFonts w:ascii="仿宋" w:hAnsi="仿宋" w:eastAsia="仿宋" w:cs="仿宋"/>
                <w:sz w:val="23"/>
                <w:szCs w:val="23"/>
              </w:rPr>
            </w:pPr>
            <w:r>
              <w:rPr>
                <w:rFonts w:ascii="仿宋" w:hAnsi="仿宋" w:eastAsia="仿宋" w:cs="仿宋"/>
                <w:spacing w:val="-1"/>
                <w:sz w:val="23"/>
                <w:szCs w:val="23"/>
              </w:rPr>
              <w:t>41</w:t>
            </w:r>
          </w:p>
        </w:tc>
        <w:tc>
          <w:tcPr>
            <w:tcW w:w="1440" w:type="dxa"/>
            <w:vMerge w:val="restart"/>
            <w:tcBorders>
              <w:bottom w:val="nil"/>
            </w:tcBorders>
            <w:vAlign w:val="top"/>
          </w:tcPr>
          <w:p w14:paraId="27DCAD8F">
            <w:pPr>
              <w:spacing w:line="245" w:lineRule="auto"/>
              <w:rPr>
                <w:rFonts w:ascii="Arial"/>
                <w:sz w:val="21"/>
              </w:rPr>
            </w:pPr>
          </w:p>
          <w:p w14:paraId="5CD4338E">
            <w:pPr>
              <w:spacing w:line="245" w:lineRule="auto"/>
              <w:rPr>
                <w:rFonts w:ascii="Arial"/>
                <w:sz w:val="21"/>
              </w:rPr>
            </w:pPr>
          </w:p>
          <w:p w14:paraId="093E1C01">
            <w:pPr>
              <w:spacing w:line="246" w:lineRule="auto"/>
              <w:rPr>
                <w:rFonts w:ascii="Arial"/>
                <w:sz w:val="21"/>
              </w:rPr>
            </w:pPr>
          </w:p>
          <w:p w14:paraId="03776796">
            <w:pPr>
              <w:spacing w:line="246" w:lineRule="auto"/>
              <w:rPr>
                <w:rFonts w:ascii="Arial"/>
                <w:sz w:val="21"/>
              </w:rPr>
            </w:pPr>
          </w:p>
          <w:p w14:paraId="3A5A3C5B">
            <w:pPr>
              <w:spacing w:line="246" w:lineRule="auto"/>
              <w:rPr>
                <w:rFonts w:ascii="Arial"/>
                <w:sz w:val="21"/>
              </w:rPr>
            </w:pPr>
          </w:p>
          <w:p w14:paraId="66C7CC03">
            <w:pPr>
              <w:spacing w:line="246" w:lineRule="auto"/>
              <w:rPr>
                <w:rFonts w:ascii="Arial"/>
                <w:sz w:val="21"/>
              </w:rPr>
            </w:pPr>
          </w:p>
          <w:p w14:paraId="1388CE80">
            <w:pPr>
              <w:pStyle w:val="6"/>
              <w:spacing w:before="98" w:line="184" w:lineRule="auto"/>
              <w:ind w:left="114" w:right="111"/>
              <w:jc w:val="both"/>
            </w:pPr>
            <w:r>
              <w:rPr>
                <w:spacing w:val="11"/>
              </w:rPr>
              <w:t>危险物品的容器、运输</w:t>
            </w:r>
            <w:r>
              <w:rPr>
                <w:spacing w:val="-2"/>
              </w:rPr>
              <w:t>工具，以及</w:t>
            </w:r>
            <w:r>
              <w:rPr>
                <w:spacing w:val="11"/>
              </w:rPr>
              <w:t>涉及人身安全、危险性较大的海洋石油开采特种设备和矿山井下特种设备未经具有专业资质</w:t>
            </w:r>
            <w:r>
              <w:rPr>
                <w:spacing w:val="-4"/>
              </w:rPr>
              <w:t>的机构检</w:t>
            </w:r>
            <w:r>
              <w:rPr>
                <w:spacing w:val="11"/>
              </w:rPr>
              <w:t>测、检验合</w:t>
            </w:r>
            <w:r>
              <w:rPr>
                <w:spacing w:val="5"/>
              </w:rPr>
              <w:t>格，取得安</w:t>
            </w:r>
            <w:r>
              <w:rPr>
                <w:spacing w:val="11"/>
              </w:rPr>
              <w:t>全使用证或</w:t>
            </w:r>
            <w:r>
              <w:rPr>
                <w:spacing w:val="-5"/>
              </w:rPr>
              <w:t>者安全标</w:t>
            </w:r>
            <w:r>
              <w:rPr>
                <w:spacing w:val="4"/>
              </w:rPr>
              <w:t>志，投入使</w:t>
            </w:r>
            <w:r>
              <w:rPr>
                <w:spacing w:val="3"/>
              </w:rPr>
              <w:t>用的</w:t>
            </w:r>
          </w:p>
        </w:tc>
        <w:tc>
          <w:tcPr>
            <w:tcW w:w="3202" w:type="dxa"/>
            <w:vMerge w:val="restart"/>
            <w:tcBorders>
              <w:bottom w:val="nil"/>
            </w:tcBorders>
            <w:vAlign w:val="top"/>
          </w:tcPr>
          <w:p w14:paraId="58975594">
            <w:pPr>
              <w:pStyle w:val="6"/>
              <w:spacing w:before="30" w:line="182" w:lineRule="auto"/>
              <w:ind w:left="123" w:right="111" w:hanging="25"/>
            </w:pPr>
            <w:r>
              <w:rPr>
                <w:spacing w:val="18"/>
              </w:rPr>
              <w:t>【法律】《中华人民共和国</w:t>
            </w:r>
            <w:r>
              <w:rPr>
                <w:spacing w:val="12"/>
              </w:rPr>
              <w:t>安全生产法》第三十七条：</w:t>
            </w:r>
            <w:r>
              <w:rPr>
                <w:spacing w:val="16"/>
              </w:rPr>
              <w:t>生产经营单位使用的危险物</w:t>
            </w:r>
          </w:p>
          <w:p w14:paraId="56018DBE">
            <w:pPr>
              <w:pStyle w:val="6"/>
              <w:spacing w:line="182" w:lineRule="auto"/>
              <w:ind w:left="145"/>
              <w:outlineLvl w:val="0"/>
            </w:pPr>
            <w:r>
              <w:rPr>
                <w:spacing w:val="8"/>
              </w:rPr>
              <w:t>品的容器、运输工具，以及</w:t>
            </w:r>
          </w:p>
          <w:p w14:paraId="2E904FA7">
            <w:pPr>
              <w:pStyle w:val="6"/>
              <w:spacing w:line="185" w:lineRule="auto"/>
              <w:ind w:left="117" w:right="19" w:firstLine="15"/>
              <w:jc w:val="both"/>
            </w:pPr>
            <w:r>
              <w:rPr>
                <w:spacing w:val="16"/>
              </w:rPr>
              <w:t>涉及人身安全、危险性较大</w:t>
            </w:r>
            <w:r>
              <w:rPr>
                <w:spacing w:val="17"/>
              </w:rPr>
              <w:t>的海洋石油开采特种设备和</w:t>
            </w:r>
            <w:r>
              <w:rPr>
                <w:spacing w:val="12"/>
              </w:rPr>
              <w:t>矿山井下特种设备，必须按</w:t>
            </w:r>
            <w:r>
              <w:rPr>
                <w:spacing w:val="10"/>
              </w:rPr>
              <w:t>照国家有关规定，由专业生</w:t>
            </w:r>
            <w:r>
              <w:rPr>
                <w:spacing w:val="13"/>
              </w:rPr>
              <w:t>产单位生产，并经具有专业</w:t>
            </w:r>
            <w:r>
              <w:rPr>
                <w:spacing w:val="5"/>
              </w:rPr>
              <w:t>资质的检测、检验机构检测、</w:t>
            </w:r>
            <w:r>
              <w:rPr>
                <w:spacing w:val="13"/>
              </w:rPr>
              <w:t>检验合格，取得安全使用证或者安全标志，方可投入使</w:t>
            </w:r>
            <w:r>
              <w:rPr>
                <w:spacing w:val="5"/>
              </w:rPr>
              <w:t>用。检测、检验机构对检测、</w:t>
            </w:r>
            <w:r>
              <w:rPr>
                <w:spacing w:val="2"/>
              </w:rPr>
              <w:t>检验结果负责。</w:t>
            </w:r>
          </w:p>
        </w:tc>
        <w:tc>
          <w:tcPr>
            <w:tcW w:w="2859" w:type="dxa"/>
            <w:vMerge w:val="restart"/>
            <w:tcBorders>
              <w:bottom w:val="nil"/>
            </w:tcBorders>
            <w:vAlign w:val="top"/>
          </w:tcPr>
          <w:p w14:paraId="276990B0">
            <w:pPr>
              <w:pStyle w:val="6"/>
              <w:spacing w:before="14" w:line="184" w:lineRule="auto"/>
              <w:ind w:left="97" w:right="35"/>
            </w:pPr>
            <w:r>
              <w:rPr>
                <w:spacing w:val="10"/>
              </w:rPr>
              <w:t>【法律】《中华人民共和国安全生产法》第九十九条第六项：生产经营单位有下列行为之一的，责令限期改正，处五万元以下</w:t>
            </w:r>
            <w:r>
              <w:rPr>
                <w:spacing w:val="4"/>
              </w:rPr>
              <w:t>的罚款；逾期未改正的，</w:t>
            </w:r>
            <w:r>
              <w:rPr>
                <w:spacing w:val="10"/>
              </w:rPr>
              <w:t>处五万元以上二十万元以下的罚款，对其直接负责的主管人员和其他直接责任人员处一万元以上二万元以下的罚款；情节严重</w:t>
            </w:r>
            <w:r>
              <w:rPr>
                <w:spacing w:val="6"/>
              </w:rPr>
              <w:t>的，责令停产停业整顿；</w:t>
            </w:r>
            <w:r>
              <w:rPr>
                <w:spacing w:val="10"/>
              </w:rPr>
              <w:t>构成犯罪的，依照刑法有</w:t>
            </w:r>
            <w:r>
              <w:rPr>
                <w:spacing w:val="29"/>
              </w:rPr>
              <w:t>关规定追究刑事责任：</w:t>
            </w:r>
            <w:r>
              <w:rPr>
                <w:spacing w:val="7"/>
              </w:rPr>
              <w:t>（六）危险物品的容器、</w:t>
            </w:r>
            <w:r>
              <w:rPr>
                <w:spacing w:val="10"/>
              </w:rPr>
              <w:t>运输工具，以及涉及人身安全、危险性较大的海洋石油开采特种设备和矿山井下特种设备未经具有专业资质的机构检测、检验合格，取得安全使用证或</w:t>
            </w:r>
            <w:r>
              <w:rPr>
                <w:spacing w:val="-4"/>
              </w:rPr>
              <w:t>者安全标志，投入使用的；</w:t>
            </w:r>
          </w:p>
        </w:tc>
        <w:tc>
          <w:tcPr>
            <w:tcW w:w="803" w:type="dxa"/>
            <w:vAlign w:val="top"/>
          </w:tcPr>
          <w:p w14:paraId="09859A15">
            <w:pPr>
              <w:spacing w:line="277" w:lineRule="auto"/>
              <w:rPr>
                <w:rFonts w:ascii="Arial"/>
                <w:sz w:val="21"/>
              </w:rPr>
            </w:pPr>
          </w:p>
          <w:p w14:paraId="63C7881A">
            <w:pPr>
              <w:spacing w:line="277" w:lineRule="auto"/>
              <w:rPr>
                <w:rFonts w:ascii="Arial"/>
                <w:sz w:val="21"/>
              </w:rPr>
            </w:pPr>
          </w:p>
          <w:p w14:paraId="0FBC52B9">
            <w:pPr>
              <w:spacing w:line="278" w:lineRule="auto"/>
              <w:rPr>
                <w:rFonts w:ascii="Arial"/>
                <w:sz w:val="21"/>
              </w:rPr>
            </w:pPr>
          </w:p>
          <w:p w14:paraId="5A284E9D">
            <w:pPr>
              <w:spacing w:line="278" w:lineRule="auto"/>
              <w:rPr>
                <w:rFonts w:ascii="Arial"/>
                <w:sz w:val="21"/>
              </w:rPr>
            </w:pPr>
          </w:p>
          <w:p w14:paraId="41485509">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0DD9C24">
            <w:pPr>
              <w:pStyle w:val="6"/>
              <w:spacing w:before="100" w:line="185" w:lineRule="auto"/>
              <w:ind w:left="116" w:right="65" w:firstLine="14"/>
              <w:jc w:val="both"/>
            </w:pPr>
            <w:r>
              <w:rPr>
                <w:spacing w:val="24"/>
              </w:rPr>
              <w:t>生产经营单位有</w:t>
            </w:r>
            <w:r>
              <w:rPr>
                <w:rFonts w:ascii="宋体" w:hAnsi="宋体" w:eastAsia="宋体" w:cs="宋体"/>
                <w:spacing w:val="24"/>
              </w:rPr>
              <w:t>1</w:t>
            </w:r>
            <w:r>
              <w:rPr>
                <w:spacing w:val="-2"/>
              </w:rPr>
              <w:t>台（套）容器、运输工具、特种设备未经</w:t>
            </w:r>
            <w:r>
              <w:rPr>
                <w:spacing w:val="26"/>
              </w:rPr>
              <w:t>具有专业资质的机</w:t>
            </w:r>
            <w:r>
              <w:rPr>
                <w:spacing w:val="2"/>
              </w:rPr>
              <w:t>构检测、检验合格，</w:t>
            </w:r>
            <w:r>
              <w:rPr>
                <w:spacing w:val="26"/>
              </w:rPr>
              <w:t>取得安全使用证或</w:t>
            </w:r>
            <w:r>
              <w:rPr>
                <w:spacing w:val="-2"/>
              </w:rPr>
              <w:t>者安全标志，投入使</w:t>
            </w:r>
            <w:r>
              <w:rPr>
                <w:spacing w:val="3"/>
              </w:rPr>
              <w:t>用的</w:t>
            </w:r>
          </w:p>
        </w:tc>
        <w:tc>
          <w:tcPr>
            <w:tcW w:w="2894" w:type="dxa"/>
            <w:vAlign w:val="top"/>
          </w:tcPr>
          <w:p w14:paraId="3AF86ADA">
            <w:pPr>
              <w:pStyle w:val="6"/>
              <w:spacing w:before="100" w:line="185" w:lineRule="auto"/>
              <w:ind w:left="127" w:right="103"/>
              <w:jc w:val="both"/>
            </w:pPr>
            <w:r>
              <w:rPr>
                <w:spacing w:val="4"/>
              </w:rPr>
              <w:t>责令限期改正，处</w:t>
            </w:r>
            <w:r>
              <w:rPr>
                <w:rFonts w:ascii="宋体" w:hAnsi="宋体" w:eastAsia="宋体" w:cs="宋体"/>
                <w:spacing w:val="4"/>
              </w:rPr>
              <w:t>2</w:t>
            </w:r>
            <w:r>
              <w:rPr>
                <w:spacing w:val="4"/>
              </w:rPr>
              <w:t>万元</w:t>
            </w:r>
            <w:r>
              <w:rPr>
                <w:spacing w:val="8"/>
              </w:rPr>
              <w:t>以下的罚款；逾期未改正</w:t>
            </w:r>
            <w:r>
              <w:rPr>
                <w:spacing w:val="-7"/>
              </w:rPr>
              <w:t>的，处</w:t>
            </w:r>
            <w:r>
              <w:rPr>
                <w:rFonts w:ascii="宋体" w:hAnsi="宋体" w:eastAsia="宋体" w:cs="宋体"/>
                <w:spacing w:val="-7"/>
              </w:rPr>
              <w:t>5</w:t>
            </w:r>
            <w:r>
              <w:rPr>
                <w:spacing w:val="-7"/>
              </w:rPr>
              <w:t>万元以上</w:t>
            </w:r>
            <w:r>
              <w:rPr>
                <w:rFonts w:ascii="宋体" w:hAnsi="宋体" w:eastAsia="宋体" w:cs="宋体"/>
                <w:spacing w:val="-7"/>
              </w:rPr>
              <w:t>10</w:t>
            </w:r>
            <w:r>
              <w:rPr>
                <w:spacing w:val="-7"/>
              </w:rPr>
              <w:t>万元</w:t>
            </w:r>
            <w:r>
              <w:rPr>
                <w:spacing w:val="7"/>
              </w:rPr>
              <w:t>以下的罚款，对其直接负</w:t>
            </w:r>
            <w:r>
              <w:rPr>
                <w:spacing w:val="10"/>
              </w:rPr>
              <w:t>责的主管人员和其他直接</w:t>
            </w:r>
            <w:r>
              <w:rPr>
                <w:spacing w:val="7"/>
              </w:rPr>
              <w:t>责任人员处</w:t>
            </w:r>
            <w:r>
              <w:rPr>
                <w:rFonts w:ascii="宋体" w:hAnsi="宋体" w:eastAsia="宋体" w:cs="宋体"/>
                <w:spacing w:val="7"/>
              </w:rPr>
              <w:t>1</w:t>
            </w:r>
            <w:r>
              <w:rPr>
                <w:spacing w:val="7"/>
              </w:rPr>
              <w:t>万元以上</w:t>
            </w:r>
            <w:r>
              <w:rPr>
                <w:rFonts w:ascii="宋体" w:hAnsi="宋体" w:eastAsia="宋体" w:cs="宋体"/>
                <w:spacing w:val="7"/>
              </w:rPr>
              <w:t>2</w:t>
            </w:r>
            <w:r>
              <w:rPr>
                <w:spacing w:val="7"/>
              </w:rPr>
              <w:t>万元以下的罚款；情节严重的，责令停产停业整顿</w:t>
            </w:r>
          </w:p>
        </w:tc>
        <w:tc>
          <w:tcPr>
            <w:tcW w:w="811" w:type="dxa"/>
            <w:vMerge w:val="restart"/>
            <w:tcBorders>
              <w:bottom w:val="nil"/>
            </w:tcBorders>
            <w:vAlign w:val="top"/>
          </w:tcPr>
          <w:p w14:paraId="07F3C2E5">
            <w:pPr>
              <w:rPr>
                <w:rFonts w:ascii="Arial"/>
                <w:sz w:val="21"/>
              </w:rPr>
            </w:pPr>
          </w:p>
        </w:tc>
      </w:tr>
      <w:tr w14:paraId="39E81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6" w:hRule="atLeast"/>
        </w:trPr>
        <w:tc>
          <w:tcPr>
            <w:tcW w:w="818" w:type="dxa"/>
            <w:vMerge w:val="continue"/>
            <w:tcBorders>
              <w:top w:val="nil"/>
              <w:bottom w:val="nil"/>
            </w:tcBorders>
            <w:vAlign w:val="top"/>
          </w:tcPr>
          <w:p w14:paraId="3D7B46BA">
            <w:pPr>
              <w:rPr>
                <w:rFonts w:ascii="Arial"/>
                <w:sz w:val="21"/>
              </w:rPr>
            </w:pPr>
          </w:p>
        </w:tc>
        <w:tc>
          <w:tcPr>
            <w:tcW w:w="1440" w:type="dxa"/>
            <w:vMerge w:val="continue"/>
            <w:tcBorders>
              <w:top w:val="nil"/>
              <w:bottom w:val="nil"/>
            </w:tcBorders>
            <w:vAlign w:val="top"/>
          </w:tcPr>
          <w:p w14:paraId="1CDC9DB1">
            <w:pPr>
              <w:rPr>
                <w:rFonts w:ascii="Arial"/>
                <w:sz w:val="21"/>
              </w:rPr>
            </w:pPr>
          </w:p>
        </w:tc>
        <w:tc>
          <w:tcPr>
            <w:tcW w:w="3202" w:type="dxa"/>
            <w:vMerge w:val="continue"/>
            <w:tcBorders>
              <w:top w:val="nil"/>
              <w:bottom w:val="nil"/>
            </w:tcBorders>
            <w:vAlign w:val="top"/>
          </w:tcPr>
          <w:p w14:paraId="0779C667">
            <w:pPr>
              <w:rPr>
                <w:rFonts w:ascii="Arial"/>
                <w:sz w:val="21"/>
              </w:rPr>
            </w:pPr>
          </w:p>
        </w:tc>
        <w:tc>
          <w:tcPr>
            <w:tcW w:w="2859" w:type="dxa"/>
            <w:vMerge w:val="continue"/>
            <w:tcBorders>
              <w:top w:val="nil"/>
              <w:bottom w:val="nil"/>
            </w:tcBorders>
            <w:vAlign w:val="top"/>
          </w:tcPr>
          <w:p w14:paraId="44510914">
            <w:pPr>
              <w:rPr>
                <w:rFonts w:ascii="Arial"/>
                <w:sz w:val="21"/>
              </w:rPr>
            </w:pPr>
          </w:p>
        </w:tc>
        <w:tc>
          <w:tcPr>
            <w:tcW w:w="803" w:type="dxa"/>
            <w:vAlign w:val="top"/>
          </w:tcPr>
          <w:p w14:paraId="111F706D">
            <w:pPr>
              <w:spacing w:line="266" w:lineRule="auto"/>
              <w:rPr>
                <w:rFonts w:ascii="Arial"/>
                <w:sz w:val="21"/>
              </w:rPr>
            </w:pPr>
          </w:p>
          <w:p w14:paraId="7C1521FA">
            <w:pPr>
              <w:spacing w:line="266" w:lineRule="auto"/>
              <w:rPr>
                <w:rFonts w:ascii="Arial"/>
                <w:sz w:val="21"/>
              </w:rPr>
            </w:pPr>
          </w:p>
          <w:p w14:paraId="44D44D72">
            <w:pPr>
              <w:spacing w:line="267" w:lineRule="auto"/>
              <w:rPr>
                <w:rFonts w:ascii="Arial"/>
                <w:sz w:val="21"/>
              </w:rPr>
            </w:pPr>
          </w:p>
          <w:p w14:paraId="4621FF8C">
            <w:pPr>
              <w:spacing w:line="267" w:lineRule="auto"/>
              <w:rPr>
                <w:rFonts w:ascii="Arial"/>
                <w:sz w:val="21"/>
              </w:rPr>
            </w:pPr>
          </w:p>
          <w:p w14:paraId="07A35BD5">
            <w:pPr>
              <w:spacing w:line="267" w:lineRule="auto"/>
              <w:rPr>
                <w:rFonts w:ascii="Arial"/>
                <w:sz w:val="21"/>
              </w:rPr>
            </w:pPr>
          </w:p>
          <w:p w14:paraId="4CCF4B58">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E5B6B14">
            <w:pPr>
              <w:pStyle w:val="6"/>
              <w:spacing w:before="316" w:line="186" w:lineRule="auto"/>
              <w:ind w:left="116" w:right="65" w:firstLine="14"/>
              <w:jc w:val="both"/>
            </w:pPr>
            <w:r>
              <w:rPr>
                <w:spacing w:val="26"/>
              </w:rPr>
              <w:t>生产经营单位有</w:t>
            </w:r>
            <w:r>
              <w:rPr>
                <w:rFonts w:ascii="宋体" w:hAnsi="宋体" w:eastAsia="宋体" w:cs="宋体"/>
                <w:spacing w:val="26"/>
              </w:rPr>
              <w:t>2</w:t>
            </w:r>
            <w:r>
              <w:rPr>
                <w:spacing w:val="-2"/>
              </w:rPr>
              <w:t>台（套）容器、运输工具、特种设备未经</w:t>
            </w:r>
            <w:r>
              <w:rPr>
                <w:spacing w:val="26"/>
              </w:rPr>
              <w:t>具有专业资质的机</w:t>
            </w:r>
            <w:r>
              <w:rPr>
                <w:spacing w:val="2"/>
              </w:rPr>
              <w:t>构检测、检验合格，</w:t>
            </w:r>
            <w:r>
              <w:rPr>
                <w:spacing w:val="26"/>
              </w:rPr>
              <w:t>取得安全使用证或</w:t>
            </w:r>
            <w:r>
              <w:rPr>
                <w:spacing w:val="-2"/>
              </w:rPr>
              <w:t>者安全标志，投入使</w:t>
            </w:r>
            <w:r>
              <w:rPr>
                <w:spacing w:val="3"/>
              </w:rPr>
              <w:t>用的</w:t>
            </w:r>
          </w:p>
        </w:tc>
        <w:tc>
          <w:tcPr>
            <w:tcW w:w="2894" w:type="dxa"/>
            <w:vAlign w:val="top"/>
          </w:tcPr>
          <w:p w14:paraId="72F560D2">
            <w:pPr>
              <w:pStyle w:val="6"/>
              <w:spacing w:before="178" w:line="185" w:lineRule="auto"/>
              <w:ind w:left="117" w:right="73" w:firstLine="10"/>
            </w:pPr>
            <w:r>
              <w:rPr>
                <w:spacing w:val="4"/>
              </w:rPr>
              <w:t>责令限期改正，处</w:t>
            </w:r>
            <w:r>
              <w:rPr>
                <w:rFonts w:ascii="宋体" w:hAnsi="宋体" w:eastAsia="宋体" w:cs="宋体"/>
                <w:spacing w:val="4"/>
              </w:rPr>
              <w:t>2</w:t>
            </w:r>
            <w:r>
              <w:rPr>
                <w:spacing w:val="4"/>
              </w:rPr>
              <w:t>万元</w:t>
            </w:r>
            <w:r>
              <w:rPr>
                <w:spacing w:val="3"/>
              </w:rPr>
              <w:t>以上</w:t>
            </w:r>
            <w:r>
              <w:rPr>
                <w:rFonts w:ascii="宋体" w:hAnsi="宋体" w:eastAsia="宋体" w:cs="宋体"/>
                <w:spacing w:val="3"/>
              </w:rPr>
              <w:t>4</w:t>
            </w:r>
            <w:r>
              <w:rPr>
                <w:spacing w:val="3"/>
              </w:rPr>
              <w:t>万元以下的罚款；</w:t>
            </w:r>
            <w:r>
              <w:rPr>
                <w:spacing w:val="-4"/>
              </w:rPr>
              <w:t>逾期未改正的，处</w:t>
            </w:r>
            <w:r>
              <w:rPr>
                <w:rFonts w:ascii="宋体" w:hAnsi="宋体" w:eastAsia="宋体" w:cs="宋体"/>
                <w:spacing w:val="-4"/>
              </w:rPr>
              <w:t>10</w:t>
            </w:r>
            <w:r>
              <w:rPr>
                <w:spacing w:val="-4"/>
              </w:rPr>
              <w:t>万元</w:t>
            </w:r>
            <w:r>
              <w:rPr>
                <w:spacing w:val="-1"/>
              </w:rPr>
              <w:t>以上</w:t>
            </w:r>
            <w:r>
              <w:rPr>
                <w:rFonts w:ascii="宋体" w:hAnsi="宋体" w:eastAsia="宋体" w:cs="宋体"/>
                <w:spacing w:val="-1"/>
              </w:rPr>
              <w:t>15</w:t>
            </w:r>
            <w:r>
              <w:rPr>
                <w:spacing w:val="-1"/>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万元以上</w:t>
            </w:r>
            <w:r>
              <w:rPr>
                <w:rFonts w:ascii="宋体" w:hAnsi="宋体" w:eastAsia="宋体" w:cs="宋体"/>
                <w:spacing w:val="7"/>
              </w:rPr>
              <w:t>2</w:t>
            </w:r>
            <w:r>
              <w:rPr>
                <w:spacing w:val="7"/>
              </w:rPr>
              <w:t>万元以下的罚</w:t>
            </w:r>
            <w:r>
              <w:rPr>
                <w:spacing w:val="4"/>
              </w:rPr>
              <w:t>款；情节严重的，责令停</w:t>
            </w:r>
            <w:r>
              <w:rPr>
                <w:spacing w:val="7"/>
              </w:rPr>
              <w:t>产停业整顿</w:t>
            </w:r>
          </w:p>
        </w:tc>
        <w:tc>
          <w:tcPr>
            <w:tcW w:w="811" w:type="dxa"/>
            <w:vMerge w:val="continue"/>
            <w:tcBorders>
              <w:top w:val="nil"/>
              <w:bottom w:val="nil"/>
            </w:tcBorders>
            <w:vAlign w:val="top"/>
          </w:tcPr>
          <w:p w14:paraId="000DB484">
            <w:pPr>
              <w:rPr>
                <w:rFonts w:ascii="Arial"/>
                <w:sz w:val="21"/>
              </w:rPr>
            </w:pPr>
          </w:p>
        </w:tc>
      </w:tr>
      <w:tr w14:paraId="7D18E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7" w:hRule="atLeast"/>
        </w:trPr>
        <w:tc>
          <w:tcPr>
            <w:tcW w:w="818" w:type="dxa"/>
            <w:vMerge w:val="continue"/>
            <w:tcBorders>
              <w:top w:val="nil"/>
            </w:tcBorders>
            <w:vAlign w:val="top"/>
          </w:tcPr>
          <w:p w14:paraId="42049C3B">
            <w:pPr>
              <w:rPr>
                <w:rFonts w:ascii="Arial"/>
                <w:sz w:val="21"/>
              </w:rPr>
            </w:pPr>
          </w:p>
        </w:tc>
        <w:tc>
          <w:tcPr>
            <w:tcW w:w="1440" w:type="dxa"/>
            <w:vMerge w:val="continue"/>
            <w:tcBorders>
              <w:top w:val="nil"/>
            </w:tcBorders>
            <w:vAlign w:val="top"/>
          </w:tcPr>
          <w:p w14:paraId="05059D0E">
            <w:pPr>
              <w:rPr>
                <w:rFonts w:ascii="Arial"/>
                <w:sz w:val="21"/>
              </w:rPr>
            </w:pPr>
          </w:p>
        </w:tc>
        <w:tc>
          <w:tcPr>
            <w:tcW w:w="3202" w:type="dxa"/>
            <w:vMerge w:val="continue"/>
            <w:tcBorders>
              <w:top w:val="nil"/>
            </w:tcBorders>
            <w:vAlign w:val="top"/>
          </w:tcPr>
          <w:p w14:paraId="485A3270">
            <w:pPr>
              <w:rPr>
                <w:rFonts w:ascii="Arial"/>
                <w:sz w:val="21"/>
              </w:rPr>
            </w:pPr>
          </w:p>
        </w:tc>
        <w:tc>
          <w:tcPr>
            <w:tcW w:w="2859" w:type="dxa"/>
            <w:vMerge w:val="continue"/>
            <w:tcBorders>
              <w:top w:val="nil"/>
            </w:tcBorders>
            <w:vAlign w:val="top"/>
          </w:tcPr>
          <w:p w14:paraId="3BDC741A">
            <w:pPr>
              <w:rPr>
                <w:rFonts w:ascii="Arial"/>
                <w:sz w:val="21"/>
              </w:rPr>
            </w:pPr>
          </w:p>
        </w:tc>
        <w:tc>
          <w:tcPr>
            <w:tcW w:w="803" w:type="dxa"/>
            <w:vAlign w:val="top"/>
          </w:tcPr>
          <w:p w14:paraId="59F1A9B4">
            <w:pPr>
              <w:spacing w:line="265" w:lineRule="auto"/>
              <w:rPr>
                <w:rFonts w:ascii="Arial"/>
                <w:sz w:val="21"/>
              </w:rPr>
            </w:pPr>
          </w:p>
          <w:p w14:paraId="67E9C97A">
            <w:pPr>
              <w:spacing w:line="266" w:lineRule="auto"/>
              <w:rPr>
                <w:rFonts w:ascii="Arial"/>
                <w:sz w:val="21"/>
              </w:rPr>
            </w:pPr>
          </w:p>
          <w:p w14:paraId="4D9E70E2">
            <w:pPr>
              <w:spacing w:line="266" w:lineRule="auto"/>
              <w:rPr>
                <w:rFonts w:ascii="Arial"/>
                <w:sz w:val="21"/>
              </w:rPr>
            </w:pPr>
          </w:p>
          <w:p w14:paraId="3A6DCA74">
            <w:pPr>
              <w:spacing w:line="266" w:lineRule="auto"/>
              <w:rPr>
                <w:rFonts w:ascii="Arial"/>
                <w:sz w:val="21"/>
              </w:rPr>
            </w:pPr>
          </w:p>
          <w:p w14:paraId="26D2364D">
            <w:pPr>
              <w:spacing w:line="266" w:lineRule="auto"/>
              <w:rPr>
                <w:rFonts w:ascii="Arial"/>
                <w:sz w:val="21"/>
              </w:rPr>
            </w:pPr>
          </w:p>
          <w:p w14:paraId="5865A6E3">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8CC80EC">
            <w:pPr>
              <w:pStyle w:val="6"/>
              <w:spacing w:before="313" w:line="186" w:lineRule="auto"/>
              <w:ind w:left="112" w:right="46" w:firstLine="18"/>
              <w:jc w:val="both"/>
            </w:pPr>
            <w:r>
              <w:rPr>
                <w:spacing w:val="25"/>
              </w:rPr>
              <w:t>生产经营单位有</w:t>
            </w:r>
            <w:r>
              <w:rPr>
                <w:rFonts w:ascii="宋体" w:hAnsi="宋体" w:eastAsia="宋体" w:cs="宋体"/>
                <w:spacing w:val="25"/>
              </w:rPr>
              <w:t>3</w:t>
            </w:r>
            <w:r>
              <w:rPr>
                <w:spacing w:val="5"/>
              </w:rPr>
              <w:t>台（套）以上容器、</w:t>
            </w:r>
            <w:r>
              <w:rPr>
                <w:spacing w:val="-2"/>
              </w:rPr>
              <w:t>运输工具、特种设备</w:t>
            </w:r>
            <w:r>
              <w:rPr>
                <w:spacing w:val="26"/>
              </w:rPr>
              <w:t>未经具有专业资质</w:t>
            </w:r>
            <w:r>
              <w:rPr>
                <w:spacing w:val="-2"/>
              </w:rPr>
              <w:t>的机构检测、检验合格，取得安全使用证或者安全标志，投入</w:t>
            </w:r>
            <w:r>
              <w:rPr>
                <w:spacing w:val="6"/>
              </w:rPr>
              <w:t>使用的</w:t>
            </w:r>
          </w:p>
        </w:tc>
        <w:tc>
          <w:tcPr>
            <w:tcW w:w="2894" w:type="dxa"/>
            <w:vAlign w:val="top"/>
          </w:tcPr>
          <w:p w14:paraId="650A510B">
            <w:pPr>
              <w:pStyle w:val="6"/>
              <w:spacing w:before="172" w:line="185" w:lineRule="auto"/>
              <w:ind w:left="117" w:right="73" w:firstLine="10"/>
            </w:pPr>
            <w:r>
              <w:rPr>
                <w:spacing w:val="4"/>
              </w:rPr>
              <w:t>责令限期改正，处</w:t>
            </w:r>
            <w:r>
              <w:rPr>
                <w:rFonts w:ascii="宋体" w:hAnsi="宋体" w:eastAsia="宋体" w:cs="宋体"/>
                <w:spacing w:val="4"/>
              </w:rPr>
              <w:t>4</w:t>
            </w:r>
            <w:r>
              <w:rPr>
                <w:spacing w:val="4"/>
              </w:rPr>
              <w:t>万元</w:t>
            </w:r>
            <w:r>
              <w:rPr>
                <w:spacing w:val="3"/>
              </w:rPr>
              <w:t>以上</w:t>
            </w:r>
            <w:r>
              <w:rPr>
                <w:rFonts w:ascii="宋体" w:hAnsi="宋体" w:eastAsia="宋体" w:cs="宋体"/>
                <w:spacing w:val="3"/>
              </w:rPr>
              <w:t>5</w:t>
            </w:r>
            <w:r>
              <w:rPr>
                <w:spacing w:val="3"/>
              </w:rPr>
              <w:t>万元以下的罚款；</w:t>
            </w:r>
            <w:r>
              <w:rPr>
                <w:spacing w:val="-4"/>
              </w:rPr>
              <w:t>逾期未改正的，处</w:t>
            </w:r>
            <w:r>
              <w:rPr>
                <w:rFonts w:ascii="宋体" w:hAnsi="宋体" w:eastAsia="宋体" w:cs="宋体"/>
                <w:spacing w:val="-4"/>
              </w:rPr>
              <w:t>15</w:t>
            </w:r>
            <w:r>
              <w:rPr>
                <w:spacing w:val="-4"/>
              </w:rPr>
              <w:t>万元</w:t>
            </w:r>
            <w:r>
              <w:t>以上</w:t>
            </w:r>
            <w:r>
              <w:rPr>
                <w:rFonts w:ascii="宋体" w:hAnsi="宋体" w:eastAsia="宋体" w:cs="宋体"/>
              </w:rPr>
              <w:t>20</w:t>
            </w:r>
            <w: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万元以上</w:t>
            </w:r>
            <w:r>
              <w:rPr>
                <w:rFonts w:ascii="宋体" w:hAnsi="宋体" w:eastAsia="宋体" w:cs="宋体"/>
                <w:spacing w:val="7"/>
              </w:rPr>
              <w:t>2</w:t>
            </w:r>
            <w:r>
              <w:rPr>
                <w:spacing w:val="7"/>
              </w:rPr>
              <w:t>万元以下的罚</w:t>
            </w:r>
            <w:r>
              <w:rPr>
                <w:spacing w:val="4"/>
              </w:rPr>
              <w:t>款；情节严重的，责令停</w:t>
            </w:r>
            <w:r>
              <w:rPr>
                <w:spacing w:val="7"/>
              </w:rPr>
              <w:t>产停业整顿</w:t>
            </w:r>
          </w:p>
        </w:tc>
        <w:tc>
          <w:tcPr>
            <w:tcW w:w="811" w:type="dxa"/>
            <w:vMerge w:val="continue"/>
            <w:tcBorders>
              <w:top w:val="nil"/>
            </w:tcBorders>
            <w:vAlign w:val="top"/>
          </w:tcPr>
          <w:p w14:paraId="5ED27CC8">
            <w:pPr>
              <w:rPr>
                <w:rFonts w:ascii="Arial"/>
                <w:sz w:val="21"/>
              </w:rPr>
            </w:pPr>
          </w:p>
        </w:tc>
      </w:tr>
    </w:tbl>
    <w:p w14:paraId="2BA10774">
      <w:pPr>
        <w:pStyle w:val="2"/>
        <w:spacing w:line="205" w:lineRule="exact"/>
        <w:rPr>
          <w:sz w:val="17"/>
        </w:rPr>
      </w:pPr>
    </w:p>
    <w:p w14:paraId="51B2DB74">
      <w:pPr>
        <w:spacing w:line="205" w:lineRule="exact"/>
        <w:rPr>
          <w:sz w:val="17"/>
          <w:szCs w:val="17"/>
        </w:rPr>
        <w:sectPr>
          <w:footerReference r:id="rId60" w:type="default"/>
          <w:pgSz w:w="16839" w:h="11906"/>
          <w:pgMar w:top="1012" w:right="821" w:bottom="666" w:left="901" w:header="0" w:footer="388" w:gutter="0"/>
          <w:cols w:space="720" w:num="1"/>
        </w:sectPr>
      </w:pPr>
    </w:p>
    <w:p w14:paraId="436DE9EC">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CA2A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D0CFDD0">
            <w:pPr>
              <w:spacing w:before="222" w:line="241" w:lineRule="auto"/>
              <w:ind w:left="131"/>
              <w:rPr>
                <w:rFonts w:ascii="黑体" w:hAnsi="黑体" w:eastAsia="黑体" w:cs="黑体"/>
                <w:sz w:val="28"/>
                <w:szCs w:val="28"/>
              </w:rPr>
            </w:pPr>
            <w:bookmarkStart w:id="429" w:name="bookmark88"/>
            <w:bookmarkEnd w:id="429"/>
            <w:r>
              <w:rPr>
                <w:rFonts w:ascii="黑体" w:hAnsi="黑体" w:eastAsia="黑体" w:cs="黑体"/>
                <w:spacing w:val="-2"/>
                <w:sz w:val="28"/>
                <w:szCs w:val="28"/>
              </w:rPr>
              <w:t>序号</w:t>
            </w:r>
          </w:p>
        </w:tc>
        <w:tc>
          <w:tcPr>
            <w:tcW w:w="1440" w:type="dxa"/>
            <w:vAlign w:val="top"/>
          </w:tcPr>
          <w:p w14:paraId="14B323F5">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F320FB3">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04FE88A">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454E89B">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E0CBB76">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756D614">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6FEED43">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62D7A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Merge w:val="restart"/>
            <w:tcBorders>
              <w:bottom w:val="nil"/>
            </w:tcBorders>
            <w:vAlign w:val="top"/>
          </w:tcPr>
          <w:p w14:paraId="5AE5E2FE">
            <w:pPr>
              <w:spacing w:line="249" w:lineRule="auto"/>
              <w:rPr>
                <w:rFonts w:ascii="Arial"/>
                <w:sz w:val="21"/>
              </w:rPr>
            </w:pPr>
          </w:p>
          <w:p w14:paraId="368CAE50">
            <w:pPr>
              <w:spacing w:line="249" w:lineRule="auto"/>
              <w:rPr>
                <w:rFonts w:ascii="Arial"/>
                <w:sz w:val="21"/>
              </w:rPr>
            </w:pPr>
          </w:p>
          <w:p w14:paraId="136C667B">
            <w:pPr>
              <w:spacing w:line="249" w:lineRule="auto"/>
              <w:rPr>
                <w:rFonts w:ascii="Arial"/>
                <w:sz w:val="21"/>
              </w:rPr>
            </w:pPr>
          </w:p>
          <w:p w14:paraId="77E4A7FF">
            <w:pPr>
              <w:spacing w:line="249" w:lineRule="auto"/>
              <w:rPr>
                <w:rFonts w:ascii="Arial"/>
                <w:sz w:val="21"/>
              </w:rPr>
            </w:pPr>
          </w:p>
          <w:p w14:paraId="06CFFBF7">
            <w:pPr>
              <w:spacing w:line="249" w:lineRule="auto"/>
              <w:rPr>
                <w:rFonts w:ascii="Arial"/>
                <w:sz w:val="21"/>
              </w:rPr>
            </w:pPr>
          </w:p>
          <w:p w14:paraId="7EAEE944">
            <w:pPr>
              <w:spacing w:line="249" w:lineRule="auto"/>
              <w:rPr>
                <w:rFonts w:ascii="Arial"/>
                <w:sz w:val="21"/>
              </w:rPr>
            </w:pPr>
          </w:p>
          <w:p w14:paraId="4C83B671">
            <w:pPr>
              <w:spacing w:line="249" w:lineRule="auto"/>
              <w:rPr>
                <w:rFonts w:ascii="Arial"/>
                <w:sz w:val="21"/>
              </w:rPr>
            </w:pPr>
          </w:p>
          <w:p w14:paraId="4231FC11">
            <w:pPr>
              <w:spacing w:line="249" w:lineRule="auto"/>
              <w:rPr>
                <w:rFonts w:ascii="Arial"/>
                <w:sz w:val="21"/>
              </w:rPr>
            </w:pPr>
          </w:p>
          <w:p w14:paraId="7E913E9C">
            <w:pPr>
              <w:spacing w:line="249" w:lineRule="auto"/>
              <w:rPr>
                <w:rFonts w:ascii="Arial"/>
                <w:sz w:val="21"/>
              </w:rPr>
            </w:pPr>
          </w:p>
          <w:p w14:paraId="3A02134C">
            <w:pPr>
              <w:spacing w:line="249" w:lineRule="auto"/>
              <w:rPr>
                <w:rFonts w:ascii="Arial"/>
                <w:sz w:val="21"/>
              </w:rPr>
            </w:pPr>
          </w:p>
          <w:p w14:paraId="30D9FCC8">
            <w:pPr>
              <w:spacing w:line="249" w:lineRule="auto"/>
              <w:rPr>
                <w:rFonts w:ascii="Arial"/>
                <w:sz w:val="21"/>
              </w:rPr>
            </w:pPr>
          </w:p>
          <w:p w14:paraId="1049F632">
            <w:pPr>
              <w:spacing w:line="249" w:lineRule="auto"/>
              <w:rPr>
                <w:rFonts w:ascii="Arial"/>
                <w:sz w:val="21"/>
              </w:rPr>
            </w:pPr>
          </w:p>
          <w:p w14:paraId="4F0F6BB0">
            <w:pPr>
              <w:spacing w:line="249" w:lineRule="auto"/>
              <w:rPr>
                <w:rFonts w:ascii="Arial"/>
                <w:sz w:val="21"/>
              </w:rPr>
            </w:pPr>
          </w:p>
          <w:p w14:paraId="54F4C81B">
            <w:pPr>
              <w:spacing w:line="250" w:lineRule="auto"/>
              <w:rPr>
                <w:rFonts w:ascii="Arial"/>
                <w:sz w:val="21"/>
              </w:rPr>
            </w:pPr>
          </w:p>
          <w:p w14:paraId="715E3260">
            <w:pPr>
              <w:spacing w:line="250" w:lineRule="auto"/>
              <w:rPr>
                <w:rFonts w:ascii="Arial"/>
                <w:sz w:val="21"/>
              </w:rPr>
            </w:pPr>
          </w:p>
          <w:p w14:paraId="6D90D82D">
            <w:pPr>
              <w:spacing w:before="75" w:line="186" w:lineRule="auto"/>
              <w:ind w:left="234"/>
              <w:rPr>
                <w:rFonts w:ascii="仿宋" w:hAnsi="仿宋" w:eastAsia="仿宋" w:cs="仿宋"/>
                <w:sz w:val="23"/>
                <w:szCs w:val="23"/>
              </w:rPr>
            </w:pPr>
            <w:r>
              <w:rPr>
                <w:rFonts w:ascii="仿宋" w:hAnsi="仿宋" w:eastAsia="仿宋" w:cs="仿宋"/>
                <w:spacing w:val="-1"/>
                <w:sz w:val="23"/>
                <w:szCs w:val="23"/>
              </w:rPr>
              <w:t>42</w:t>
            </w:r>
          </w:p>
        </w:tc>
        <w:tc>
          <w:tcPr>
            <w:tcW w:w="1440" w:type="dxa"/>
            <w:vMerge w:val="restart"/>
            <w:tcBorders>
              <w:bottom w:val="nil"/>
            </w:tcBorders>
            <w:vAlign w:val="top"/>
          </w:tcPr>
          <w:p w14:paraId="083C3B94">
            <w:pPr>
              <w:spacing w:line="243" w:lineRule="auto"/>
              <w:rPr>
                <w:rFonts w:ascii="Arial"/>
                <w:sz w:val="21"/>
              </w:rPr>
            </w:pPr>
          </w:p>
          <w:p w14:paraId="111C72D9">
            <w:pPr>
              <w:spacing w:line="243" w:lineRule="auto"/>
              <w:rPr>
                <w:rFonts w:ascii="Arial"/>
                <w:sz w:val="21"/>
              </w:rPr>
            </w:pPr>
          </w:p>
          <w:p w14:paraId="5E86EDF0">
            <w:pPr>
              <w:spacing w:line="244" w:lineRule="auto"/>
              <w:rPr>
                <w:rFonts w:ascii="Arial"/>
                <w:sz w:val="21"/>
              </w:rPr>
            </w:pPr>
          </w:p>
          <w:p w14:paraId="2EAA28DE">
            <w:pPr>
              <w:spacing w:line="244" w:lineRule="auto"/>
              <w:rPr>
                <w:rFonts w:ascii="Arial"/>
                <w:sz w:val="21"/>
              </w:rPr>
            </w:pPr>
          </w:p>
          <w:p w14:paraId="767C35FE">
            <w:pPr>
              <w:spacing w:line="244" w:lineRule="auto"/>
              <w:rPr>
                <w:rFonts w:ascii="Arial"/>
                <w:sz w:val="21"/>
              </w:rPr>
            </w:pPr>
          </w:p>
          <w:p w14:paraId="2D2022FB">
            <w:pPr>
              <w:spacing w:line="244" w:lineRule="auto"/>
              <w:rPr>
                <w:rFonts w:ascii="Arial"/>
                <w:sz w:val="21"/>
              </w:rPr>
            </w:pPr>
          </w:p>
          <w:p w14:paraId="54CD3DF2">
            <w:pPr>
              <w:spacing w:line="244" w:lineRule="auto"/>
              <w:rPr>
                <w:rFonts w:ascii="Arial"/>
                <w:sz w:val="21"/>
              </w:rPr>
            </w:pPr>
          </w:p>
          <w:p w14:paraId="7ADD894E">
            <w:pPr>
              <w:spacing w:line="244" w:lineRule="auto"/>
              <w:rPr>
                <w:rFonts w:ascii="Arial"/>
                <w:sz w:val="21"/>
              </w:rPr>
            </w:pPr>
          </w:p>
          <w:p w14:paraId="009A1D1E">
            <w:pPr>
              <w:spacing w:line="244" w:lineRule="auto"/>
              <w:rPr>
                <w:rFonts w:ascii="Arial"/>
                <w:sz w:val="21"/>
              </w:rPr>
            </w:pPr>
          </w:p>
          <w:p w14:paraId="502D13D2">
            <w:pPr>
              <w:spacing w:line="244" w:lineRule="auto"/>
              <w:rPr>
                <w:rFonts w:ascii="Arial"/>
                <w:sz w:val="21"/>
              </w:rPr>
            </w:pPr>
          </w:p>
          <w:p w14:paraId="1507AD26">
            <w:pPr>
              <w:spacing w:line="244" w:lineRule="auto"/>
              <w:rPr>
                <w:rFonts w:ascii="Arial"/>
                <w:sz w:val="21"/>
              </w:rPr>
            </w:pPr>
          </w:p>
          <w:p w14:paraId="1710E5B0">
            <w:pPr>
              <w:spacing w:line="244" w:lineRule="auto"/>
              <w:rPr>
                <w:rFonts w:ascii="Arial"/>
                <w:sz w:val="21"/>
              </w:rPr>
            </w:pPr>
          </w:p>
          <w:p w14:paraId="40130D09">
            <w:pPr>
              <w:pStyle w:val="6"/>
              <w:spacing w:before="99" w:line="187" w:lineRule="auto"/>
              <w:ind w:left="115" w:right="111" w:firstLine="13"/>
              <w:jc w:val="both"/>
            </w:pPr>
            <w:bookmarkStart w:id="430" w:name="bookmark505"/>
            <w:bookmarkEnd w:id="430"/>
            <w:bookmarkStart w:id="431" w:name="bookmark90"/>
            <w:bookmarkEnd w:id="431"/>
            <w:r>
              <w:rPr>
                <w:spacing w:val="8"/>
              </w:rPr>
              <w:t>生产经营单</w:t>
            </w:r>
            <w:r>
              <w:rPr>
                <w:spacing w:val="11"/>
              </w:rPr>
              <w:t>位使用应当淘汰的危及生产安全的工艺、设备</w:t>
            </w:r>
            <w:r>
              <w:t>的</w:t>
            </w:r>
          </w:p>
        </w:tc>
        <w:tc>
          <w:tcPr>
            <w:tcW w:w="3202" w:type="dxa"/>
            <w:vMerge w:val="restart"/>
            <w:tcBorders>
              <w:bottom w:val="nil"/>
            </w:tcBorders>
            <w:vAlign w:val="top"/>
          </w:tcPr>
          <w:p w14:paraId="42AF6E3B">
            <w:pPr>
              <w:pStyle w:val="6"/>
              <w:spacing w:before="30" w:line="182" w:lineRule="auto"/>
              <w:ind w:left="123" w:right="112" w:hanging="25"/>
              <w:jc w:val="both"/>
            </w:pPr>
            <w:r>
              <w:rPr>
                <w:spacing w:val="18"/>
              </w:rPr>
              <w:t>【法律】《中华人民共和国</w:t>
            </w:r>
            <w:r>
              <w:rPr>
                <w:spacing w:val="16"/>
              </w:rPr>
              <w:t>安全生产法》第三十八条第</w:t>
            </w:r>
            <w:r>
              <w:rPr>
                <w:spacing w:val="12"/>
              </w:rPr>
              <w:t>三款：生产经营单位不得使</w:t>
            </w:r>
          </w:p>
          <w:p w14:paraId="7E0A46FF">
            <w:pPr>
              <w:pStyle w:val="6"/>
              <w:spacing w:line="182" w:lineRule="auto"/>
              <w:ind w:left="120"/>
              <w:outlineLvl w:val="0"/>
            </w:pPr>
            <w:r>
              <w:rPr>
                <w:spacing w:val="17"/>
              </w:rPr>
              <w:t>用应当淘汰的危及生产安全</w:t>
            </w:r>
          </w:p>
          <w:p w14:paraId="5AF3FF83">
            <w:pPr>
              <w:pStyle w:val="6"/>
              <w:spacing w:before="1" w:line="208" w:lineRule="auto"/>
              <w:ind w:left="140"/>
              <w:outlineLvl w:val="0"/>
            </w:pPr>
            <w:r>
              <w:rPr>
                <w:spacing w:val="-1"/>
              </w:rPr>
              <w:t>的工艺、设备。</w:t>
            </w:r>
          </w:p>
        </w:tc>
        <w:tc>
          <w:tcPr>
            <w:tcW w:w="2859" w:type="dxa"/>
            <w:vMerge w:val="restart"/>
            <w:tcBorders>
              <w:bottom w:val="nil"/>
            </w:tcBorders>
            <w:vAlign w:val="top"/>
          </w:tcPr>
          <w:p w14:paraId="42E33C05">
            <w:pPr>
              <w:pStyle w:val="6"/>
              <w:spacing w:before="27" w:line="184" w:lineRule="auto"/>
              <w:ind w:left="97" w:right="110"/>
            </w:pPr>
            <w:r>
              <w:rPr>
                <w:spacing w:val="10"/>
              </w:rPr>
              <w:t>【法律】《中华人民共和国安全生产法》第九十九条第七项：生产经营单位有下列行为之一的，责令限期改正，处五万元以下</w:t>
            </w:r>
            <w:r>
              <w:rPr>
                <w:spacing w:val="4"/>
              </w:rPr>
              <w:t>的罚款；逾期未改正的，</w:t>
            </w:r>
            <w:r>
              <w:rPr>
                <w:spacing w:val="10"/>
              </w:rPr>
              <w:t>处五万元以上二十万元以下的罚款，对其直接负责的主管人员和其他直接责任人员处一万元以上二万元以下的罚款；情节严重</w:t>
            </w:r>
            <w:r>
              <w:rPr>
                <w:spacing w:val="6"/>
              </w:rPr>
              <w:t>的，责令停产停业整顿；</w:t>
            </w:r>
            <w:r>
              <w:rPr>
                <w:spacing w:val="10"/>
              </w:rPr>
              <w:t>构成犯罪的，依照刑法有</w:t>
            </w:r>
            <w:r>
              <w:rPr>
                <w:spacing w:val="29"/>
              </w:rPr>
              <w:t>关规定追究刑事责任：</w:t>
            </w:r>
            <w:r>
              <w:rPr>
                <w:spacing w:val="10"/>
              </w:rPr>
              <w:t>（七）使用应当淘汰的危及生产安全的工艺、设备</w:t>
            </w:r>
            <w:r>
              <w:rPr>
                <w:spacing w:val="-5"/>
              </w:rPr>
              <w:t>的；</w:t>
            </w:r>
          </w:p>
        </w:tc>
        <w:tc>
          <w:tcPr>
            <w:tcW w:w="803" w:type="dxa"/>
            <w:vAlign w:val="top"/>
          </w:tcPr>
          <w:p w14:paraId="051FC672">
            <w:pPr>
              <w:spacing w:line="259" w:lineRule="auto"/>
              <w:rPr>
                <w:rFonts w:ascii="Arial"/>
                <w:sz w:val="21"/>
              </w:rPr>
            </w:pPr>
          </w:p>
          <w:p w14:paraId="4E142665">
            <w:pPr>
              <w:spacing w:line="260" w:lineRule="auto"/>
              <w:rPr>
                <w:rFonts w:ascii="Arial"/>
                <w:sz w:val="21"/>
              </w:rPr>
            </w:pPr>
          </w:p>
          <w:p w14:paraId="373DAC76">
            <w:pPr>
              <w:spacing w:line="260" w:lineRule="auto"/>
              <w:rPr>
                <w:rFonts w:ascii="Arial"/>
                <w:sz w:val="21"/>
              </w:rPr>
            </w:pPr>
          </w:p>
          <w:p w14:paraId="4332163D">
            <w:pPr>
              <w:spacing w:line="260" w:lineRule="auto"/>
              <w:rPr>
                <w:rFonts w:ascii="Arial"/>
                <w:sz w:val="21"/>
              </w:rPr>
            </w:pPr>
          </w:p>
          <w:p w14:paraId="5623361D">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F7C71F7">
            <w:pPr>
              <w:spacing w:line="262" w:lineRule="auto"/>
              <w:rPr>
                <w:rFonts w:ascii="Arial"/>
                <w:sz w:val="21"/>
              </w:rPr>
            </w:pPr>
          </w:p>
          <w:p w14:paraId="6BA76F9F">
            <w:pPr>
              <w:spacing w:line="262" w:lineRule="auto"/>
              <w:rPr>
                <w:rFonts w:ascii="Arial"/>
                <w:sz w:val="21"/>
              </w:rPr>
            </w:pPr>
          </w:p>
          <w:p w14:paraId="353E7067">
            <w:pPr>
              <w:pStyle w:val="6"/>
              <w:spacing w:before="99" w:line="190" w:lineRule="auto"/>
              <w:ind w:left="118" w:right="12" w:hanging="6"/>
              <w:jc w:val="both"/>
            </w:pPr>
            <w:r>
              <w:rPr>
                <w:spacing w:val="-1"/>
              </w:rPr>
              <w:t>使用</w:t>
            </w:r>
            <w:r>
              <w:rPr>
                <w:rFonts w:ascii="宋体" w:hAnsi="宋体" w:eastAsia="宋体" w:cs="宋体"/>
                <w:spacing w:val="-1"/>
              </w:rPr>
              <w:t>1</w:t>
            </w:r>
            <w:r>
              <w:rPr>
                <w:spacing w:val="-1"/>
              </w:rPr>
              <w:t>台（套、种）</w:t>
            </w:r>
            <w:r>
              <w:rPr>
                <w:spacing w:val="26"/>
              </w:rPr>
              <w:t>应当淘汰的危及生</w:t>
            </w:r>
            <w:r>
              <w:rPr>
                <w:spacing w:val="-3"/>
              </w:rPr>
              <w:t>产安全的工艺、设备</w:t>
            </w:r>
            <w:r>
              <w:t>的</w:t>
            </w:r>
          </w:p>
        </w:tc>
        <w:tc>
          <w:tcPr>
            <w:tcW w:w="2894" w:type="dxa"/>
            <w:vAlign w:val="top"/>
          </w:tcPr>
          <w:p w14:paraId="673C654D">
            <w:pPr>
              <w:pStyle w:val="6"/>
              <w:spacing w:before="26" w:line="180" w:lineRule="auto"/>
              <w:ind w:left="127" w:right="103"/>
              <w:jc w:val="both"/>
            </w:pPr>
            <w:r>
              <w:rPr>
                <w:spacing w:val="4"/>
              </w:rPr>
              <w:t>责令限期改正，处</w:t>
            </w:r>
            <w:r>
              <w:rPr>
                <w:rFonts w:ascii="宋体" w:hAnsi="宋体" w:eastAsia="宋体" w:cs="宋体"/>
                <w:spacing w:val="4"/>
              </w:rPr>
              <w:t>2</w:t>
            </w:r>
            <w:r>
              <w:rPr>
                <w:spacing w:val="4"/>
              </w:rPr>
              <w:t>万元</w:t>
            </w:r>
            <w:r>
              <w:rPr>
                <w:spacing w:val="8"/>
              </w:rPr>
              <w:t>以下的罚款；逾期未改正</w:t>
            </w:r>
            <w:r>
              <w:rPr>
                <w:spacing w:val="-7"/>
              </w:rPr>
              <w:t>的，处</w:t>
            </w:r>
            <w:r>
              <w:rPr>
                <w:rFonts w:ascii="宋体" w:hAnsi="宋体" w:eastAsia="宋体" w:cs="宋体"/>
                <w:spacing w:val="-7"/>
              </w:rPr>
              <w:t>5</w:t>
            </w:r>
            <w:r>
              <w:rPr>
                <w:spacing w:val="-7"/>
              </w:rPr>
              <w:t>万元以上</w:t>
            </w:r>
            <w:r>
              <w:rPr>
                <w:rFonts w:ascii="宋体" w:hAnsi="宋体" w:eastAsia="宋体" w:cs="宋体"/>
                <w:spacing w:val="-7"/>
              </w:rPr>
              <w:t>10</w:t>
            </w:r>
            <w:r>
              <w:rPr>
                <w:spacing w:val="-7"/>
              </w:rPr>
              <w:t>万元</w:t>
            </w:r>
            <w:r>
              <w:rPr>
                <w:spacing w:val="7"/>
              </w:rPr>
              <w:t>以下的罚款，对其直接负</w:t>
            </w:r>
            <w:r>
              <w:rPr>
                <w:spacing w:val="10"/>
              </w:rPr>
              <w:t>责的主管人员和其他直接</w:t>
            </w:r>
            <w:r>
              <w:rPr>
                <w:spacing w:val="7"/>
              </w:rPr>
              <w:t>责任人员处</w:t>
            </w:r>
            <w:r>
              <w:rPr>
                <w:rFonts w:ascii="宋体" w:hAnsi="宋体" w:eastAsia="宋体" w:cs="宋体"/>
                <w:spacing w:val="7"/>
              </w:rPr>
              <w:t>1</w:t>
            </w:r>
            <w:r>
              <w:rPr>
                <w:spacing w:val="7"/>
              </w:rPr>
              <w:t>万元以上</w:t>
            </w:r>
            <w:r>
              <w:rPr>
                <w:rFonts w:ascii="宋体" w:hAnsi="宋体" w:eastAsia="宋体" w:cs="宋体"/>
                <w:spacing w:val="7"/>
              </w:rPr>
              <w:t>2</w:t>
            </w:r>
            <w:r>
              <w:rPr>
                <w:spacing w:val="7"/>
              </w:rPr>
              <w:t>万元以下的罚款；情节严重的，责令停产停业整顿</w:t>
            </w:r>
          </w:p>
        </w:tc>
        <w:tc>
          <w:tcPr>
            <w:tcW w:w="811" w:type="dxa"/>
            <w:vMerge w:val="restart"/>
            <w:tcBorders>
              <w:bottom w:val="nil"/>
            </w:tcBorders>
            <w:vAlign w:val="top"/>
          </w:tcPr>
          <w:p w14:paraId="25257717">
            <w:pPr>
              <w:spacing w:line="248" w:lineRule="auto"/>
              <w:rPr>
                <w:rFonts w:ascii="Arial"/>
                <w:sz w:val="21"/>
              </w:rPr>
            </w:pPr>
          </w:p>
          <w:p w14:paraId="0029DF76">
            <w:pPr>
              <w:spacing w:line="249" w:lineRule="auto"/>
              <w:rPr>
                <w:rFonts w:ascii="Arial"/>
                <w:sz w:val="21"/>
              </w:rPr>
            </w:pPr>
          </w:p>
          <w:p w14:paraId="47420A1C">
            <w:pPr>
              <w:spacing w:line="249" w:lineRule="auto"/>
              <w:rPr>
                <w:rFonts w:ascii="Arial"/>
                <w:sz w:val="21"/>
              </w:rPr>
            </w:pPr>
          </w:p>
          <w:p w14:paraId="76CAF14E">
            <w:pPr>
              <w:spacing w:line="249" w:lineRule="auto"/>
              <w:rPr>
                <w:rFonts w:ascii="Arial"/>
                <w:sz w:val="21"/>
              </w:rPr>
            </w:pPr>
          </w:p>
          <w:p w14:paraId="78A02FF3">
            <w:pPr>
              <w:spacing w:line="249" w:lineRule="auto"/>
              <w:rPr>
                <w:rFonts w:ascii="Arial"/>
                <w:sz w:val="21"/>
              </w:rPr>
            </w:pPr>
          </w:p>
          <w:p w14:paraId="4D17A055">
            <w:pPr>
              <w:spacing w:line="249" w:lineRule="auto"/>
              <w:rPr>
                <w:rFonts w:ascii="Arial"/>
                <w:sz w:val="21"/>
              </w:rPr>
            </w:pPr>
          </w:p>
          <w:p w14:paraId="4FCF76E6">
            <w:pPr>
              <w:spacing w:line="249" w:lineRule="auto"/>
              <w:rPr>
                <w:rFonts w:ascii="Arial"/>
                <w:sz w:val="21"/>
              </w:rPr>
            </w:pPr>
          </w:p>
          <w:p w14:paraId="5D8A8F33">
            <w:pPr>
              <w:spacing w:line="249" w:lineRule="auto"/>
              <w:rPr>
                <w:rFonts w:ascii="Arial"/>
                <w:sz w:val="21"/>
              </w:rPr>
            </w:pPr>
          </w:p>
          <w:p w14:paraId="29CC2BD7">
            <w:pPr>
              <w:spacing w:line="249" w:lineRule="auto"/>
              <w:rPr>
                <w:rFonts w:ascii="Arial"/>
                <w:sz w:val="21"/>
              </w:rPr>
            </w:pPr>
          </w:p>
          <w:p w14:paraId="55F1D693">
            <w:pPr>
              <w:spacing w:line="249" w:lineRule="auto"/>
              <w:rPr>
                <w:rFonts w:ascii="Arial"/>
                <w:sz w:val="21"/>
              </w:rPr>
            </w:pPr>
          </w:p>
          <w:p w14:paraId="497C0D73">
            <w:pPr>
              <w:spacing w:line="249" w:lineRule="auto"/>
              <w:rPr>
                <w:rFonts w:ascii="Arial"/>
                <w:sz w:val="21"/>
              </w:rPr>
            </w:pPr>
          </w:p>
          <w:p w14:paraId="087A9399">
            <w:pPr>
              <w:spacing w:line="249" w:lineRule="auto"/>
              <w:rPr>
                <w:rFonts w:ascii="Arial"/>
                <w:sz w:val="21"/>
              </w:rPr>
            </w:pPr>
          </w:p>
          <w:p w14:paraId="7565A88E">
            <w:pPr>
              <w:spacing w:line="249" w:lineRule="auto"/>
              <w:rPr>
                <w:rFonts w:ascii="Arial"/>
                <w:sz w:val="21"/>
              </w:rPr>
            </w:pPr>
          </w:p>
          <w:p w14:paraId="0A7C17FA">
            <w:pPr>
              <w:spacing w:line="249" w:lineRule="auto"/>
              <w:rPr>
                <w:rFonts w:ascii="Arial"/>
                <w:sz w:val="21"/>
              </w:rPr>
            </w:pPr>
          </w:p>
          <w:p w14:paraId="7B1E7D9D">
            <w:pPr>
              <w:spacing w:line="249" w:lineRule="auto"/>
              <w:rPr>
                <w:rFonts w:ascii="Arial"/>
                <w:sz w:val="21"/>
              </w:rPr>
            </w:pPr>
          </w:p>
          <w:p w14:paraId="1D4B970D">
            <w:pPr>
              <w:spacing w:before="75" w:line="188" w:lineRule="auto"/>
              <w:ind w:left="295"/>
              <w:rPr>
                <w:rFonts w:ascii="宋体" w:hAnsi="宋体" w:eastAsia="宋体" w:cs="宋体"/>
                <w:sz w:val="23"/>
                <w:szCs w:val="23"/>
              </w:rPr>
            </w:pPr>
            <w:r>
              <w:rPr>
                <w:rFonts w:ascii="宋体" w:hAnsi="宋体" w:eastAsia="宋体" w:cs="宋体"/>
                <w:spacing w:val="-4"/>
                <w:sz w:val="23"/>
                <w:szCs w:val="23"/>
              </w:rPr>
              <w:t>30</w:t>
            </w:r>
          </w:p>
        </w:tc>
      </w:tr>
      <w:tr w14:paraId="33230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trPr>
        <w:tc>
          <w:tcPr>
            <w:tcW w:w="818" w:type="dxa"/>
            <w:vMerge w:val="continue"/>
            <w:tcBorders>
              <w:top w:val="nil"/>
              <w:bottom w:val="nil"/>
            </w:tcBorders>
            <w:vAlign w:val="top"/>
          </w:tcPr>
          <w:p w14:paraId="0FB20E02">
            <w:pPr>
              <w:rPr>
                <w:rFonts w:ascii="Arial"/>
                <w:sz w:val="21"/>
              </w:rPr>
            </w:pPr>
          </w:p>
        </w:tc>
        <w:tc>
          <w:tcPr>
            <w:tcW w:w="1440" w:type="dxa"/>
            <w:vMerge w:val="continue"/>
            <w:tcBorders>
              <w:top w:val="nil"/>
              <w:bottom w:val="nil"/>
            </w:tcBorders>
            <w:vAlign w:val="top"/>
          </w:tcPr>
          <w:p w14:paraId="2D6D1619">
            <w:pPr>
              <w:rPr>
                <w:rFonts w:ascii="Arial"/>
                <w:sz w:val="21"/>
              </w:rPr>
            </w:pPr>
          </w:p>
        </w:tc>
        <w:tc>
          <w:tcPr>
            <w:tcW w:w="3202" w:type="dxa"/>
            <w:vMerge w:val="continue"/>
            <w:tcBorders>
              <w:top w:val="nil"/>
              <w:bottom w:val="nil"/>
            </w:tcBorders>
            <w:vAlign w:val="top"/>
          </w:tcPr>
          <w:p w14:paraId="4F45D8D2">
            <w:pPr>
              <w:rPr>
                <w:rFonts w:ascii="Arial"/>
                <w:sz w:val="21"/>
              </w:rPr>
            </w:pPr>
          </w:p>
        </w:tc>
        <w:tc>
          <w:tcPr>
            <w:tcW w:w="2859" w:type="dxa"/>
            <w:vMerge w:val="continue"/>
            <w:tcBorders>
              <w:top w:val="nil"/>
              <w:bottom w:val="nil"/>
            </w:tcBorders>
            <w:vAlign w:val="top"/>
          </w:tcPr>
          <w:p w14:paraId="45779FCD">
            <w:pPr>
              <w:rPr>
                <w:rFonts w:ascii="Arial"/>
                <w:sz w:val="21"/>
              </w:rPr>
            </w:pPr>
          </w:p>
        </w:tc>
        <w:tc>
          <w:tcPr>
            <w:tcW w:w="803" w:type="dxa"/>
            <w:vAlign w:val="top"/>
          </w:tcPr>
          <w:p w14:paraId="6D02CC09">
            <w:pPr>
              <w:spacing w:line="298" w:lineRule="auto"/>
              <w:rPr>
                <w:rFonts w:ascii="Arial"/>
                <w:sz w:val="21"/>
              </w:rPr>
            </w:pPr>
          </w:p>
          <w:p w14:paraId="57E95B16">
            <w:pPr>
              <w:spacing w:line="298" w:lineRule="auto"/>
              <w:rPr>
                <w:rFonts w:ascii="Arial"/>
                <w:sz w:val="21"/>
              </w:rPr>
            </w:pPr>
          </w:p>
          <w:p w14:paraId="3AD94A49">
            <w:pPr>
              <w:spacing w:line="298" w:lineRule="auto"/>
              <w:rPr>
                <w:rFonts w:ascii="Arial"/>
                <w:sz w:val="21"/>
              </w:rPr>
            </w:pPr>
          </w:p>
          <w:p w14:paraId="3FC8187F">
            <w:pPr>
              <w:spacing w:line="299" w:lineRule="auto"/>
              <w:rPr>
                <w:rFonts w:ascii="Arial"/>
                <w:sz w:val="21"/>
              </w:rPr>
            </w:pPr>
          </w:p>
          <w:p w14:paraId="39DD9D0D">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CFE76F9">
            <w:pPr>
              <w:spacing w:line="337" w:lineRule="auto"/>
              <w:rPr>
                <w:rFonts w:ascii="Arial"/>
                <w:sz w:val="21"/>
              </w:rPr>
            </w:pPr>
          </w:p>
          <w:p w14:paraId="689ACA6E">
            <w:pPr>
              <w:spacing w:line="338" w:lineRule="auto"/>
              <w:rPr>
                <w:rFonts w:ascii="Arial"/>
                <w:sz w:val="21"/>
              </w:rPr>
            </w:pPr>
          </w:p>
          <w:p w14:paraId="2D46A099">
            <w:pPr>
              <w:pStyle w:val="6"/>
              <w:spacing w:before="99" w:line="190" w:lineRule="auto"/>
              <w:ind w:left="118" w:right="12" w:hanging="6"/>
              <w:jc w:val="both"/>
            </w:pPr>
            <w:r>
              <w:rPr>
                <w:spacing w:val="1"/>
              </w:rPr>
              <w:t>使用</w:t>
            </w:r>
            <w:r>
              <w:rPr>
                <w:rFonts w:ascii="宋体" w:hAnsi="宋体" w:eastAsia="宋体" w:cs="宋体"/>
                <w:spacing w:val="1"/>
              </w:rPr>
              <w:t>2</w:t>
            </w:r>
            <w:r>
              <w:rPr>
                <w:spacing w:val="1"/>
              </w:rPr>
              <w:t>台（套、种）</w:t>
            </w:r>
            <w:r>
              <w:rPr>
                <w:spacing w:val="26"/>
              </w:rPr>
              <w:t>应当淘汰的危及生</w:t>
            </w:r>
            <w:r>
              <w:rPr>
                <w:spacing w:val="-3"/>
              </w:rPr>
              <w:t>产安全的工艺、设备</w:t>
            </w:r>
            <w:r>
              <w:t>的</w:t>
            </w:r>
          </w:p>
        </w:tc>
        <w:tc>
          <w:tcPr>
            <w:tcW w:w="2894" w:type="dxa"/>
            <w:vAlign w:val="top"/>
          </w:tcPr>
          <w:p w14:paraId="77BA61FE">
            <w:pPr>
              <w:pStyle w:val="6"/>
              <w:spacing w:before="29" w:line="180" w:lineRule="auto"/>
              <w:ind w:left="117" w:right="73" w:firstLine="10"/>
            </w:pPr>
            <w:r>
              <w:rPr>
                <w:spacing w:val="4"/>
              </w:rPr>
              <w:t>责令限期改正，处</w:t>
            </w:r>
            <w:r>
              <w:rPr>
                <w:rFonts w:ascii="宋体" w:hAnsi="宋体" w:eastAsia="宋体" w:cs="宋体"/>
                <w:spacing w:val="4"/>
              </w:rPr>
              <w:t>2</w:t>
            </w:r>
            <w:r>
              <w:rPr>
                <w:spacing w:val="4"/>
              </w:rPr>
              <w:t>万元</w:t>
            </w:r>
            <w:r>
              <w:rPr>
                <w:spacing w:val="3"/>
              </w:rPr>
              <w:t>以上</w:t>
            </w:r>
            <w:r>
              <w:rPr>
                <w:rFonts w:ascii="宋体" w:hAnsi="宋体" w:eastAsia="宋体" w:cs="宋体"/>
                <w:spacing w:val="3"/>
              </w:rPr>
              <w:t>4</w:t>
            </w:r>
            <w:r>
              <w:rPr>
                <w:spacing w:val="3"/>
              </w:rPr>
              <w:t>万元以下的罚款；</w:t>
            </w:r>
            <w:r>
              <w:rPr>
                <w:spacing w:val="-4"/>
              </w:rPr>
              <w:t>逾期未改正的，处</w:t>
            </w:r>
            <w:r>
              <w:rPr>
                <w:rFonts w:ascii="宋体" w:hAnsi="宋体" w:eastAsia="宋体" w:cs="宋体"/>
                <w:spacing w:val="-4"/>
              </w:rPr>
              <w:t>10</w:t>
            </w:r>
            <w:r>
              <w:rPr>
                <w:spacing w:val="-4"/>
              </w:rPr>
              <w:t>万元</w:t>
            </w:r>
            <w:r>
              <w:rPr>
                <w:spacing w:val="-1"/>
              </w:rPr>
              <w:t>以上</w:t>
            </w:r>
            <w:r>
              <w:rPr>
                <w:rFonts w:ascii="宋体" w:hAnsi="宋体" w:eastAsia="宋体" w:cs="宋体"/>
                <w:spacing w:val="-1"/>
              </w:rPr>
              <w:t>15</w:t>
            </w:r>
            <w:r>
              <w:rPr>
                <w:spacing w:val="-1"/>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万元以上</w:t>
            </w:r>
            <w:r>
              <w:rPr>
                <w:rFonts w:ascii="宋体" w:hAnsi="宋体" w:eastAsia="宋体" w:cs="宋体"/>
                <w:spacing w:val="7"/>
              </w:rPr>
              <w:t>2</w:t>
            </w:r>
            <w:r>
              <w:rPr>
                <w:spacing w:val="7"/>
              </w:rPr>
              <w:t>万元以下的罚</w:t>
            </w:r>
            <w:r>
              <w:rPr>
                <w:spacing w:val="4"/>
              </w:rPr>
              <w:t>款；情节严重的，责令停</w:t>
            </w:r>
            <w:r>
              <w:rPr>
                <w:spacing w:val="7"/>
              </w:rPr>
              <w:t>产停业整顿</w:t>
            </w:r>
          </w:p>
        </w:tc>
        <w:tc>
          <w:tcPr>
            <w:tcW w:w="811" w:type="dxa"/>
            <w:vMerge w:val="continue"/>
            <w:tcBorders>
              <w:top w:val="nil"/>
              <w:bottom w:val="nil"/>
            </w:tcBorders>
            <w:vAlign w:val="top"/>
          </w:tcPr>
          <w:p w14:paraId="2A601393">
            <w:pPr>
              <w:rPr>
                <w:rFonts w:ascii="Arial"/>
                <w:sz w:val="21"/>
              </w:rPr>
            </w:pPr>
          </w:p>
        </w:tc>
      </w:tr>
      <w:tr w14:paraId="5E9DB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818" w:type="dxa"/>
            <w:vMerge w:val="continue"/>
            <w:tcBorders>
              <w:top w:val="nil"/>
            </w:tcBorders>
            <w:vAlign w:val="top"/>
          </w:tcPr>
          <w:p w14:paraId="664FA107">
            <w:pPr>
              <w:rPr>
                <w:rFonts w:ascii="Arial"/>
                <w:sz w:val="21"/>
              </w:rPr>
            </w:pPr>
          </w:p>
        </w:tc>
        <w:tc>
          <w:tcPr>
            <w:tcW w:w="1440" w:type="dxa"/>
            <w:vMerge w:val="continue"/>
            <w:tcBorders>
              <w:top w:val="nil"/>
            </w:tcBorders>
            <w:vAlign w:val="top"/>
          </w:tcPr>
          <w:p w14:paraId="7BD6E09D">
            <w:pPr>
              <w:rPr>
                <w:rFonts w:ascii="Arial"/>
                <w:sz w:val="21"/>
              </w:rPr>
            </w:pPr>
          </w:p>
        </w:tc>
        <w:tc>
          <w:tcPr>
            <w:tcW w:w="3202" w:type="dxa"/>
            <w:vMerge w:val="continue"/>
            <w:tcBorders>
              <w:top w:val="nil"/>
            </w:tcBorders>
            <w:vAlign w:val="top"/>
          </w:tcPr>
          <w:p w14:paraId="57974359">
            <w:pPr>
              <w:rPr>
                <w:rFonts w:ascii="Arial"/>
                <w:sz w:val="21"/>
              </w:rPr>
            </w:pPr>
          </w:p>
        </w:tc>
        <w:tc>
          <w:tcPr>
            <w:tcW w:w="2859" w:type="dxa"/>
            <w:vMerge w:val="continue"/>
            <w:tcBorders>
              <w:top w:val="nil"/>
            </w:tcBorders>
            <w:vAlign w:val="top"/>
          </w:tcPr>
          <w:p w14:paraId="61F49700">
            <w:pPr>
              <w:rPr>
                <w:rFonts w:ascii="Arial"/>
                <w:sz w:val="21"/>
              </w:rPr>
            </w:pPr>
          </w:p>
        </w:tc>
        <w:tc>
          <w:tcPr>
            <w:tcW w:w="803" w:type="dxa"/>
            <w:vAlign w:val="top"/>
          </w:tcPr>
          <w:p w14:paraId="618238C8">
            <w:pPr>
              <w:spacing w:line="298" w:lineRule="auto"/>
              <w:rPr>
                <w:rFonts w:ascii="Arial"/>
                <w:sz w:val="21"/>
              </w:rPr>
            </w:pPr>
          </w:p>
          <w:p w14:paraId="47121478">
            <w:pPr>
              <w:spacing w:line="298" w:lineRule="auto"/>
              <w:rPr>
                <w:rFonts w:ascii="Arial"/>
                <w:sz w:val="21"/>
              </w:rPr>
            </w:pPr>
          </w:p>
          <w:p w14:paraId="6E239FCA">
            <w:pPr>
              <w:spacing w:line="299" w:lineRule="auto"/>
              <w:rPr>
                <w:rFonts w:ascii="Arial"/>
                <w:sz w:val="21"/>
              </w:rPr>
            </w:pPr>
          </w:p>
          <w:p w14:paraId="33C33415">
            <w:pPr>
              <w:spacing w:line="299" w:lineRule="auto"/>
              <w:rPr>
                <w:rFonts w:ascii="Arial"/>
                <w:sz w:val="21"/>
              </w:rPr>
            </w:pPr>
          </w:p>
          <w:p w14:paraId="7F74C94C">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6756363">
            <w:pPr>
              <w:spacing w:line="339" w:lineRule="auto"/>
              <w:rPr>
                <w:rFonts w:ascii="Arial"/>
                <w:sz w:val="21"/>
              </w:rPr>
            </w:pPr>
          </w:p>
          <w:p w14:paraId="5CE3DAAA">
            <w:pPr>
              <w:spacing w:line="339" w:lineRule="auto"/>
              <w:rPr>
                <w:rFonts w:ascii="Arial"/>
                <w:sz w:val="21"/>
              </w:rPr>
            </w:pPr>
          </w:p>
          <w:p w14:paraId="539CC735">
            <w:pPr>
              <w:pStyle w:val="6"/>
              <w:spacing w:before="99" w:line="189" w:lineRule="auto"/>
              <w:ind w:left="114" w:right="12" w:hanging="2"/>
              <w:jc w:val="both"/>
            </w:pPr>
            <w:r>
              <w:rPr>
                <w:spacing w:val="1"/>
              </w:rPr>
              <w:t>使用</w:t>
            </w:r>
            <w:r>
              <w:rPr>
                <w:rFonts w:ascii="宋体" w:hAnsi="宋体" w:eastAsia="宋体" w:cs="宋体"/>
                <w:spacing w:val="1"/>
              </w:rPr>
              <w:t>3</w:t>
            </w:r>
            <w:r>
              <w:rPr>
                <w:spacing w:val="1"/>
              </w:rPr>
              <w:t>台（套、种）</w:t>
            </w:r>
            <w:r>
              <w:rPr>
                <w:spacing w:val="26"/>
              </w:rPr>
              <w:t>以上应当淘汰的危</w:t>
            </w:r>
            <w:r>
              <w:rPr>
                <w:spacing w:val="5"/>
              </w:rPr>
              <w:t>及生产安全的工艺、设备的</w:t>
            </w:r>
          </w:p>
        </w:tc>
        <w:tc>
          <w:tcPr>
            <w:tcW w:w="2894" w:type="dxa"/>
            <w:vAlign w:val="top"/>
          </w:tcPr>
          <w:p w14:paraId="1C099528">
            <w:pPr>
              <w:pStyle w:val="6"/>
              <w:spacing w:before="30" w:line="180" w:lineRule="auto"/>
              <w:ind w:left="117" w:right="73" w:firstLine="10"/>
            </w:pPr>
            <w:r>
              <w:rPr>
                <w:spacing w:val="4"/>
              </w:rPr>
              <w:t>责令限期改正，处</w:t>
            </w:r>
            <w:r>
              <w:rPr>
                <w:rFonts w:ascii="宋体" w:hAnsi="宋体" w:eastAsia="宋体" w:cs="宋体"/>
                <w:spacing w:val="4"/>
              </w:rPr>
              <w:t>4</w:t>
            </w:r>
            <w:r>
              <w:rPr>
                <w:spacing w:val="4"/>
              </w:rPr>
              <w:t>万元</w:t>
            </w:r>
            <w:r>
              <w:rPr>
                <w:spacing w:val="3"/>
              </w:rPr>
              <w:t>以上</w:t>
            </w:r>
            <w:r>
              <w:rPr>
                <w:rFonts w:ascii="宋体" w:hAnsi="宋体" w:eastAsia="宋体" w:cs="宋体"/>
                <w:spacing w:val="3"/>
              </w:rPr>
              <w:t>5</w:t>
            </w:r>
            <w:r>
              <w:rPr>
                <w:spacing w:val="3"/>
              </w:rPr>
              <w:t>万元以下的罚款；</w:t>
            </w:r>
            <w:r>
              <w:rPr>
                <w:spacing w:val="-4"/>
              </w:rPr>
              <w:t>逾期未改正的，处</w:t>
            </w:r>
            <w:r>
              <w:rPr>
                <w:rFonts w:ascii="宋体" w:hAnsi="宋体" w:eastAsia="宋体" w:cs="宋体"/>
                <w:spacing w:val="-4"/>
              </w:rPr>
              <w:t>15</w:t>
            </w:r>
            <w:r>
              <w:rPr>
                <w:spacing w:val="-4"/>
              </w:rPr>
              <w:t>万元</w:t>
            </w:r>
            <w:r>
              <w:t>以上</w:t>
            </w:r>
            <w:r>
              <w:rPr>
                <w:rFonts w:ascii="宋体" w:hAnsi="宋体" w:eastAsia="宋体" w:cs="宋体"/>
              </w:rPr>
              <w:t>20</w:t>
            </w:r>
            <w: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万元以上</w:t>
            </w:r>
            <w:r>
              <w:rPr>
                <w:rFonts w:ascii="宋体" w:hAnsi="宋体" w:eastAsia="宋体" w:cs="宋体"/>
                <w:spacing w:val="7"/>
              </w:rPr>
              <w:t>2</w:t>
            </w:r>
            <w:r>
              <w:rPr>
                <w:spacing w:val="7"/>
              </w:rPr>
              <w:t>万元以下的罚</w:t>
            </w:r>
            <w:r>
              <w:rPr>
                <w:spacing w:val="4"/>
              </w:rPr>
              <w:t>款；情节严重的，责令停</w:t>
            </w:r>
            <w:r>
              <w:rPr>
                <w:spacing w:val="7"/>
              </w:rPr>
              <w:t>产停业整顿</w:t>
            </w:r>
          </w:p>
        </w:tc>
        <w:tc>
          <w:tcPr>
            <w:tcW w:w="811" w:type="dxa"/>
            <w:vMerge w:val="continue"/>
            <w:tcBorders>
              <w:top w:val="nil"/>
            </w:tcBorders>
            <w:vAlign w:val="top"/>
          </w:tcPr>
          <w:p w14:paraId="19E44EEC">
            <w:pPr>
              <w:rPr>
                <w:rFonts w:ascii="Arial"/>
                <w:sz w:val="21"/>
              </w:rPr>
            </w:pPr>
          </w:p>
        </w:tc>
      </w:tr>
      <w:tr w14:paraId="38C13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818" w:type="dxa"/>
            <w:vAlign w:val="top"/>
          </w:tcPr>
          <w:p w14:paraId="58F3565D">
            <w:pPr>
              <w:spacing w:line="454" w:lineRule="auto"/>
              <w:rPr>
                <w:rFonts w:ascii="Arial"/>
                <w:sz w:val="21"/>
              </w:rPr>
            </w:pPr>
          </w:p>
          <w:p w14:paraId="4B7C560F">
            <w:pPr>
              <w:spacing w:before="74" w:line="185" w:lineRule="auto"/>
              <w:ind w:left="234"/>
              <w:rPr>
                <w:rFonts w:ascii="仿宋" w:hAnsi="仿宋" w:eastAsia="仿宋" w:cs="仿宋"/>
                <w:sz w:val="23"/>
                <w:szCs w:val="23"/>
              </w:rPr>
            </w:pPr>
            <w:r>
              <w:rPr>
                <w:rFonts w:ascii="仿宋" w:hAnsi="仿宋" w:eastAsia="仿宋" w:cs="仿宋"/>
                <w:spacing w:val="-1"/>
                <w:sz w:val="23"/>
                <w:szCs w:val="23"/>
              </w:rPr>
              <w:t>43</w:t>
            </w:r>
          </w:p>
        </w:tc>
        <w:tc>
          <w:tcPr>
            <w:tcW w:w="1440" w:type="dxa"/>
            <w:vAlign w:val="top"/>
          </w:tcPr>
          <w:p w14:paraId="75939A27">
            <w:pPr>
              <w:pStyle w:val="6"/>
              <w:spacing w:before="32" w:line="177" w:lineRule="auto"/>
              <w:ind w:left="115" w:right="111" w:firstLine="13"/>
              <w:jc w:val="both"/>
            </w:pPr>
            <w:r>
              <w:rPr>
                <w:spacing w:val="8"/>
              </w:rPr>
              <w:t>生产经营单</w:t>
            </w:r>
            <w:r>
              <w:rPr>
                <w:spacing w:val="11"/>
              </w:rPr>
              <w:t>位对重大危险源未登记</w:t>
            </w:r>
            <w:r>
              <w:rPr>
                <w:spacing w:val="4"/>
              </w:rPr>
              <w:t>建档，未进</w:t>
            </w:r>
          </w:p>
        </w:tc>
        <w:tc>
          <w:tcPr>
            <w:tcW w:w="3202" w:type="dxa"/>
            <w:vAlign w:val="top"/>
          </w:tcPr>
          <w:p w14:paraId="27806E51">
            <w:pPr>
              <w:pStyle w:val="6"/>
              <w:spacing w:before="32" w:line="177" w:lineRule="auto"/>
              <w:ind w:left="117" w:right="111" w:firstLine="13"/>
              <w:jc w:val="both"/>
            </w:pPr>
            <w:r>
              <w:rPr>
                <w:rFonts w:ascii="宋体" w:hAnsi="宋体" w:eastAsia="宋体" w:cs="宋体"/>
                <w:spacing w:val="14"/>
              </w:rPr>
              <w:t>1.</w:t>
            </w:r>
            <w:r>
              <w:rPr>
                <w:spacing w:val="14"/>
              </w:rPr>
              <w:t>【法律】《中华人民共和</w:t>
            </w:r>
            <w:r>
              <w:rPr>
                <w:spacing w:val="17"/>
              </w:rPr>
              <w:t>国安全生产法》第四十条第</w:t>
            </w:r>
            <w:r>
              <w:rPr>
                <w:spacing w:val="12"/>
              </w:rPr>
              <w:t>一款：生产经营单位对重大</w:t>
            </w:r>
            <w:r>
              <w:rPr>
                <w:spacing w:val="13"/>
              </w:rPr>
              <w:t>危险源应当登记建档，进行</w:t>
            </w:r>
          </w:p>
        </w:tc>
        <w:tc>
          <w:tcPr>
            <w:tcW w:w="2859" w:type="dxa"/>
            <w:vAlign w:val="top"/>
          </w:tcPr>
          <w:p w14:paraId="1B329193">
            <w:pPr>
              <w:pStyle w:val="6"/>
              <w:spacing w:before="32" w:line="177" w:lineRule="auto"/>
              <w:ind w:left="117" w:right="110" w:firstLine="13"/>
              <w:jc w:val="both"/>
            </w:pPr>
            <w:r>
              <w:rPr>
                <w:rFonts w:ascii="宋体" w:hAnsi="宋体" w:eastAsia="宋体" w:cs="宋体"/>
                <w:spacing w:val="6"/>
              </w:rPr>
              <w:t>1.</w:t>
            </w:r>
            <w:r>
              <w:rPr>
                <w:spacing w:val="6"/>
              </w:rPr>
              <w:t>【法律】《中华人民共</w:t>
            </w:r>
            <w:r>
              <w:rPr>
                <w:spacing w:val="8"/>
              </w:rPr>
              <w:t>和国安全生产法》第一百零一条第二项：生产经营</w:t>
            </w:r>
            <w:r>
              <w:rPr>
                <w:spacing w:val="7"/>
              </w:rPr>
              <w:t>单位有下列行为之一的，</w:t>
            </w:r>
          </w:p>
        </w:tc>
        <w:tc>
          <w:tcPr>
            <w:tcW w:w="803" w:type="dxa"/>
            <w:vAlign w:val="top"/>
          </w:tcPr>
          <w:p w14:paraId="4839B127">
            <w:pPr>
              <w:spacing w:line="447" w:lineRule="auto"/>
              <w:rPr>
                <w:rFonts w:ascii="Arial"/>
                <w:sz w:val="21"/>
              </w:rPr>
            </w:pPr>
          </w:p>
          <w:p w14:paraId="2F055105">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95531E3">
            <w:pPr>
              <w:pStyle w:val="6"/>
              <w:spacing w:before="32" w:line="177" w:lineRule="auto"/>
              <w:ind w:left="117" w:right="65" w:firstLine="13"/>
              <w:jc w:val="both"/>
            </w:pPr>
            <w:r>
              <w:rPr>
                <w:spacing w:val="24"/>
              </w:rPr>
              <w:t>生产经营单位对四</w:t>
            </w:r>
            <w:r>
              <w:rPr>
                <w:spacing w:val="26"/>
              </w:rPr>
              <w:t>级重大危险源未登</w:t>
            </w:r>
            <w:r>
              <w:rPr>
                <w:spacing w:val="-3"/>
              </w:rPr>
              <w:t>记建档，未进行定期</w:t>
            </w:r>
            <w:r>
              <w:rPr>
                <w:spacing w:val="2"/>
              </w:rPr>
              <w:t>检测、评估、监控，</w:t>
            </w:r>
          </w:p>
        </w:tc>
        <w:tc>
          <w:tcPr>
            <w:tcW w:w="2894" w:type="dxa"/>
            <w:vAlign w:val="top"/>
          </w:tcPr>
          <w:p w14:paraId="470E1A03">
            <w:pPr>
              <w:pStyle w:val="6"/>
              <w:spacing w:before="32" w:line="177" w:lineRule="auto"/>
              <w:ind w:left="126" w:right="103"/>
            </w:pPr>
            <w:r>
              <w:rPr>
                <w:spacing w:val="4"/>
              </w:rPr>
              <w:t>责令限期改正，处</w:t>
            </w:r>
            <w:r>
              <w:rPr>
                <w:rFonts w:ascii="宋体" w:hAnsi="宋体" w:eastAsia="宋体" w:cs="宋体"/>
                <w:spacing w:val="4"/>
              </w:rPr>
              <w:t>2</w:t>
            </w:r>
            <w:r>
              <w:rPr>
                <w:spacing w:val="4"/>
              </w:rPr>
              <w:t>万元</w:t>
            </w:r>
            <w:r>
              <w:rPr>
                <w:spacing w:val="8"/>
              </w:rPr>
              <w:t>以下的罚款；逾期未改正</w:t>
            </w:r>
            <w:r>
              <w:rPr>
                <w:spacing w:val="6"/>
              </w:rPr>
              <w:t>的，责令停产停业整顿，</w:t>
            </w:r>
            <w:r>
              <w:rPr>
                <w:spacing w:val="-1"/>
              </w:rPr>
              <w:t>并处</w:t>
            </w:r>
            <w:r>
              <w:rPr>
                <w:rFonts w:ascii="宋体" w:hAnsi="宋体" w:eastAsia="宋体" w:cs="宋体"/>
                <w:spacing w:val="-1"/>
              </w:rPr>
              <w:t>10</w:t>
            </w:r>
            <w:r>
              <w:rPr>
                <w:spacing w:val="-1"/>
              </w:rPr>
              <w:t>万元以上</w:t>
            </w:r>
            <w:r>
              <w:rPr>
                <w:rFonts w:ascii="宋体" w:hAnsi="宋体" w:eastAsia="宋体" w:cs="宋体"/>
                <w:spacing w:val="-1"/>
              </w:rPr>
              <w:t>12</w:t>
            </w:r>
            <w:r>
              <w:rPr>
                <w:spacing w:val="-1"/>
              </w:rPr>
              <w:t>万元</w:t>
            </w:r>
          </w:p>
        </w:tc>
        <w:tc>
          <w:tcPr>
            <w:tcW w:w="811" w:type="dxa"/>
            <w:vAlign w:val="top"/>
          </w:tcPr>
          <w:p w14:paraId="18B56AC1">
            <w:pPr>
              <w:spacing w:line="449" w:lineRule="auto"/>
              <w:rPr>
                <w:rFonts w:ascii="Arial"/>
                <w:sz w:val="21"/>
              </w:rPr>
            </w:pPr>
          </w:p>
          <w:p w14:paraId="07229AD4">
            <w:pPr>
              <w:spacing w:before="75" w:line="189" w:lineRule="auto"/>
              <w:ind w:left="295"/>
              <w:rPr>
                <w:rFonts w:ascii="宋体" w:hAnsi="宋体" w:eastAsia="宋体" w:cs="宋体"/>
                <w:sz w:val="23"/>
                <w:szCs w:val="23"/>
              </w:rPr>
            </w:pPr>
            <w:r>
              <w:rPr>
                <w:rFonts w:ascii="宋体" w:hAnsi="宋体" w:eastAsia="宋体" w:cs="宋体"/>
                <w:spacing w:val="-4"/>
                <w:sz w:val="23"/>
                <w:szCs w:val="23"/>
              </w:rPr>
              <w:t>31</w:t>
            </w:r>
          </w:p>
        </w:tc>
      </w:tr>
    </w:tbl>
    <w:p w14:paraId="2FF0CD4B">
      <w:pPr>
        <w:pStyle w:val="2"/>
      </w:pPr>
    </w:p>
    <w:p w14:paraId="1FCF950F">
      <w:pPr>
        <w:sectPr>
          <w:footerReference r:id="rId61" w:type="default"/>
          <w:pgSz w:w="16839" w:h="11906"/>
          <w:pgMar w:top="1012" w:right="821" w:bottom="666" w:left="901" w:header="0" w:footer="388" w:gutter="0"/>
          <w:cols w:space="720" w:num="1"/>
        </w:sectPr>
      </w:pPr>
    </w:p>
    <w:p w14:paraId="5DF37124">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72C9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BEEDF88">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31C151CE">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8B02FA2">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362DBC4">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E5F98C5">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884AB25">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925DA05">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60BB2A22">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72AA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restart"/>
            <w:tcBorders>
              <w:bottom w:val="nil"/>
            </w:tcBorders>
            <w:vAlign w:val="top"/>
          </w:tcPr>
          <w:p w14:paraId="24DE56B9">
            <w:pPr>
              <w:rPr>
                <w:rFonts w:ascii="Arial"/>
                <w:sz w:val="21"/>
              </w:rPr>
            </w:pPr>
          </w:p>
        </w:tc>
        <w:tc>
          <w:tcPr>
            <w:tcW w:w="1440" w:type="dxa"/>
            <w:vMerge w:val="restart"/>
            <w:tcBorders>
              <w:bottom w:val="nil"/>
            </w:tcBorders>
            <w:vAlign w:val="top"/>
          </w:tcPr>
          <w:p w14:paraId="06725EB5">
            <w:pPr>
              <w:pStyle w:val="6"/>
              <w:spacing w:before="22" w:line="187" w:lineRule="auto"/>
              <w:ind w:left="115" w:right="111"/>
            </w:pPr>
            <w:r>
              <w:rPr>
                <w:spacing w:val="-5"/>
                <w:w w:val="99"/>
              </w:rPr>
              <w:t>行定期检</w:t>
            </w:r>
            <w:r>
              <w:rPr>
                <w:spacing w:val="5"/>
              </w:rPr>
              <w:t>测、评估、</w:t>
            </w:r>
            <w:r>
              <w:rPr>
                <w:spacing w:val="4"/>
              </w:rPr>
              <w:t>监控，未制</w:t>
            </w:r>
            <w:r>
              <w:rPr>
                <w:spacing w:val="-3"/>
                <w:w w:val="97"/>
              </w:rPr>
              <w:t>定应急预</w:t>
            </w:r>
            <w:r>
              <w:rPr>
                <w:spacing w:val="3"/>
              </w:rPr>
              <w:t>案，或者未</w:t>
            </w:r>
            <w:r>
              <w:rPr>
                <w:spacing w:val="11"/>
              </w:rPr>
              <w:t>告知应急措</w:t>
            </w:r>
            <w:r>
              <w:rPr>
                <w:spacing w:val="2"/>
              </w:rPr>
              <w:t>施的</w:t>
            </w:r>
          </w:p>
        </w:tc>
        <w:tc>
          <w:tcPr>
            <w:tcW w:w="3202" w:type="dxa"/>
            <w:vMerge w:val="restart"/>
            <w:tcBorders>
              <w:bottom w:val="nil"/>
            </w:tcBorders>
            <w:vAlign w:val="top"/>
          </w:tcPr>
          <w:p w14:paraId="56AB039C">
            <w:pPr>
              <w:pStyle w:val="6"/>
              <w:spacing w:before="31" w:line="182" w:lineRule="auto"/>
              <w:ind w:left="122" w:right="111" w:hanging="5"/>
              <w:jc w:val="both"/>
            </w:pPr>
            <w:r>
              <w:rPr>
                <w:spacing w:val="13"/>
              </w:rPr>
              <w:t>定期检测、评估、监控，并</w:t>
            </w:r>
            <w:r>
              <w:rPr>
                <w:spacing w:val="12"/>
              </w:rPr>
              <w:t>制定应急预案，告知从业人</w:t>
            </w:r>
            <w:r>
              <w:rPr>
                <w:spacing w:val="16"/>
              </w:rPr>
              <w:t>员和相关人员在紧急情况下</w:t>
            </w:r>
            <w:r>
              <w:rPr>
                <w:spacing w:val="4"/>
              </w:rPr>
              <w:t>应当采取的应急措施。</w:t>
            </w:r>
          </w:p>
          <w:p w14:paraId="78A6C5C3">
            <w:pPr>
              <w:pStyle w:val="6"/>
              <w:spacing w:before="8" w:line="182" w:lineRule="auto"/>
              <w:ind w:left="98" w:right="106" w:firstLine="17"/>
            </w:pPr>
            <w:r>
              <w:rPr>
                <w:rFonts w:ascii="宋体" w:hAnsi="宋体" w:eastAsia="宋体" w:cs="宋体"/>
                <w:spacing w:val="15"/>
              </w:rPr>
              <w:t>2.</w:t>
            </w:r>
            <w:r>
              <w:rPr>
                <w:spacing w:val="15"/>
              </w:rPr>
              <w:t>【部门规章】《危险化学</w:t>
            </w:r>
            <w:r>
              <w:rPr>
                <w:spacing w:val="18"/>
              </w:rPr>
              <w:t>品重大危险源监督管理暂行</w:t>
            </w:r>
            <w:r>
              <w:rPr>
                <w:spacing w:val="15"/>
              </w:rPr>
              <w:t>规定》第十三条第五项：危</w:t>
            </w:r>
            <w:r>
              <w:rPr>
                <w:spacing w:val="18"/>
              </w:rPr>
              <w:t>险化学品单位应当根据构成重大危险源的危险化学品种类、数量、生产、使用工艺</w:t>
            </w:r>
            <w:r>
              <w:rPr>
                <w:spacing w:val="15"/>
              </w:rPr>
              <w:t>（方式）或者相关设备、设施等实际情况，按照下列要</w:t>
            </w:r>
            <w:r>
              <w:rPr>
                <w:spacing w:val="18"/>
              </w:rPr>
              <w:t>求建立健全安全监测监控体</w:t>
            </w:r>
            <w:r>
              <w:rPr>
                <w:spacing w:val="20"/>
              </w:rPr>
              <w:t>系，完善控制措施</w:t>
            </w:r>
            <w:r>
              <w:rPr>
                <w:spacing w:val="-11"/>
              </w:rPr>
              <w:t>：（</w:t>
            </w:r>
            <w:r>
              <w:rPr>
                <w:spacing w:val="20"/>
              </w:rPr>
              <w:t>五）</w:t>
            </w:r>
            <w:r>
              <w:rPr>
                <w:spacing w:val="18"/>
              </w:rPr>
              <w:t>安全监测监控系统符合国家</w:t>
            </w:r>
            <w:r>
              <w:rPr>
                <w:spacing w:val="7"/>
              </w:rPr>
              <w:t>标准或者行业标准的规定。</w:t>
            </w:r>
          </w:p>
          <w:p w14:paraId="33DA1F29">
            <w:pPr>
              <w:pStyle w:val="6"/>
              <w:spacing w:before="8" w:line="182" w:lineRule="auto"/>
              <w:ind w:left="112" w:right="111" w:firstLine="15"/>
            </w:pPr>
            <w:r>
              <w:rPr>
                <w:spacing w:val="12"/>
              </w:rPr>
              <w:t>第二十条第一款：危险化学</w:t>
            </w:r>
            <w:r>
              <w:rPr>
                <w:spacing w:val="17"/>
              </w:rPr>
              <w:t>品单位应当依法制定重大危</w:t>
            </w:r>
            <w:r>
              <w:rPr>
                <w:spacing w:val="14"/>
              </w:rPr>
              <w:t>险源事故应急预案，建立应</w:t>
            </w:r>
            <w:r>
              <w:rPr>
                <w:spacing w:val="17"/>
              </w:rPr>
              <w:t>急救援组织或者配备应急救</w:t>
            </w:r>
            <w:r>
              <w:rPr>
                <w:spacing w:val="13"/>
              </w:rPr>
              <w:t>援人员，配备必要的防护装</w:t>
            </w:r>
            <w:r>
              <w:rPr>
                <w:spacing w:val="15"/>
              </w:rPr>
              <w:t>备及应急救援器材、设备、</w:t>
            </w:r>
            <w:r>
              <w:rPr>
                <w:spacing w:val="13"/>
              </w:rPr>
              <w:t>物资，并保障其完好和方便使用；配合地方人民政府安</w:t>
            </w:r>
            <w:r>
              <w:rPr>
                <w:spacing w:val="17"/>
              </w:rPr>
              <w:t>全生产监督管理部门制定所在地区涉及本单位的危险化</w:t>
            </w:r>
            <w:r>
              <w:rPr>
                <w:spacing w:val="4"/>
              </w:rPr>
              <w:t>学品事故应急预案。</w:t>
            </w:r>
          </w:p>
          <w:p w14:paraId="3D558B1F">
            <w:pPr>
              <w:pStyle w:val="6"/>
              <w:spacing w:before="1" w:line="175" w:lineRule="auto"/>
              <w:ind w:left="127" w:right="111"/>
              <w:jc w:val="both"/>
            </w:pPr>
            <w:r>
              <w:rPr>
                <w:spacing w:val="12"/>
              </w:rPr>
              <w:t>第二十二条第一款：危险化</w:t>
            </w:r>
            <w:r>
              <w:rPr>
                <w:spacing w:val="16"/>
              </w:rPr>
              <w:t>学品单位应当对辨识确认的重大危险源及时、逐项进行</w:t>
            </w:r>
          </w:p>
        </w:tc>
        <w:tc>
          <w:tcPr>
            <w:tcW w:w="2859" w:type="dxa"/>
            <w:vMerge w:val="restart"/>
            <w:tcBorders>
              <w:bottom w:val="nil"/>
            </w:tcBorders>
            <w:vAlign w:val="top"/>
          </w:tcPr>
          <w:p w14:paraId="63C2C65A">
            <w:pPr>
              <w:pStyle w:val="6"/>
              <w:spacing w:before="15" w:line="182" w:lineRule="auto"/>
              <w:ind w:left="115" w:right="105" w:firstLine="10"/>
            </w:pPr>
            <w:r>
              <w:rPr>
                <w:spacing w:val="7"/>
              </w:rPr>
              <w:t>责令限期改正，处十万元</w:t>
            </w:r>
            <w:r>
              <w:rPr>
                <w:spacing w:val="8"/>
              </w:rPr>
              <w:t>以下的罚款；逾期未改正</w:t>
            </w:r>
            <w:r>
              <w:rPr>
                <w:spacing w:val="7"/>
              </w:rPr>
              <w:t>的，责令停产停业整顿，</w:t>
            </w:r>
            <w:r>
              <w:rPr>
                <w:spacing w:val="8"/>
              </w:rPr>
              <w:t>并处十万元以上二十万元以下的罚款，对其直接负责的主管人员和其他直接责任人员处二万元以上五万元以下的罚款；构成犯罪的，依照刑法有关规定追究刑事责任</w:t>
            </w:r>
            <w:r>
              <w:rPr>
                <w:spacing w:val="11"/>
              </w:rPr>
              <w:t>：（</w:t>
            </w:r>
            <w:r>
              <w:rPr>
                <w:spacing w:val="8"/>
              </w:rPr>
              <w:t>二）对</w:t>
            </w:r>
            <w:r>
              <w:rPr>
                <w:spacing w:val="7"/>
              </w:rPr>
              <w:t>重大危险源未登记建档，</w:t>
            </w:r>
            <w:r>
              <w:rPr>
                <w:spacing w:val="6"/>
              </w:rPr>
              <w:t>未进行定期检测、评估、</w:t>
            </w:r>
            <w:r>
              <w:rPr>
                <w:spacing w:val="7"/>
              </w:rPr>
              <w:t>监控，未制定应急预案，</w:t>
            </w:r>
            <w:r>
              <w:rPr>
                <w:spacing w:val="4"/>
              </w:rPr>
              <w:t>或者未告知应急措施的；</w:t>
            </w:r>
            <w:r>
              <w:rPr>
                <w:rFonts w:ascii="宋体" w:hAnsi="宋体" w:eastAsia="宋体" w:cs="宋体"/>
                <w:spacing w:val="8"/>
              </w:rPr>
              <w:t>2.</w:t>
            </w:r>
            <w:r>
              <w:rPr>
                <w:spacing w:val="8"/>
              </w:rPr>
              <w:t>【部门规章】《危险化学品重大危险源监督管理暂行规定》第三十二条第二项至第四项：危险化学</w:t>
            </w:r>
            <w:r>
              <w:rPr>
                <w:spacing w:val="27"/>
              </w:rPr>
              <w:t>品单位有下列行为之一</w:t>
            </w:r>
            <w:r>
              <w:rPr>
                <w:spacing w:val="8"/>
              </w:rPr>
              <w:t>的，由县级以上人民政府安全生产监督管理部门责</w:t>
            </w:r>
            <w:r>
              <w:rPr>
                <w:spacing w:val="12"/>
              </w:rPr>
              <w:t>令限期改正，可以处</w:t>
            </w:r>
            <w:r>
              <w:rPr>
                <w:rFonts w:ascii="宋体" w:hAnsi="宋体" w:eastAsia="宋体" w:cs="宋体"/>
                <w:spacing w:val="12"/>
              </w:rPr>
              <w:t>10</w:t>
            </w:r>
            <w:r>
              <w:rPr>
                <w:spacing w:val="8"/>
              </w:rPr>
              <w:t>万元以下的罚款；逾期未</w:t>
            </w:r>
            <w:r>
              <w:rPr>
                <w:spacing w:val="4"/>
              </w:rPr>
              <w:t>改正的，责令停产停业整</w:t>
            </w:r>
            <w:r>
              <w:rPr>
                <w:spacing w:val="2"/>
              </w:rPr>
              <w:t>顿，并处</w:t>
            </w:r>
            <w:r>
              <w:rPr>
                <w:rFonts w:ascii="宋体" w:hAnsi="宋体" w:eastAsia="宋体" w:cs="宋体"/>
                <w:spacing w:val="2"/>
              </w:rPr>
              <w:t>10</w:t>
            </w:r>
            <w:r>
              <w:rPr>
                <w:spacing w:val="2"/>
              </w:rPr>
              <w:t>万元以上</w:t>
            </w:r>
            <w:r>
              <w:rPr>
                <w:rFonts w:ascii="宋体" w:hAnsi="宋体" w:eastAsia="宋体" w:cs="宋体"/>
                <w:spacing w:val="2"/>
              </w:rPr>
              <w:t>20</w:t>
            </w:r>
            <w:r>
              <w:rPr>
                <w:spacing w:val="8"/>
              </w:rPr>
              <w:t>万元以下的罚款，对其直接负责的主管人员和其他</w:t>
            </w:r>
            <w:r>
              <w:rPr>
                <w:spacing w:val="5"/>
              </w:rPr>
              <w:t>直接责任人员处</w:t>
            </w:r>
            <w:r>
              <w:rPr>
                <w:rFonts w:ascii="宋体" w:hAnsi="宋体" w:eastAsia="宋体" w:cs="宋体"/>
                <w:spacing w:val="5"/>
              </w:rPr>
              <w:t>2</w:t>
            </w:r>
            <w:r>
              <w:rPr>
                <w:spacing w:val="5"/>
              </w:rPr>
              <w:t>万元以</w:t>
            </w:r>
            <w:r>
              <w:rPr>
                <w:spacing w:val="4"/>
              </w:rPr>
              <w:t>上</w:t>
            </w:r>
            <w:r>
              <w:rPr>
                <w:rFonts w:ascii="宋体" w:hAnsi="宋体" w:eastAsia="宋体" w:cs="宋体"/>
                <w:spacing w:val="4"/>
              </w:rPr>
              <w:t>5</w:t>
            </w:r>
            <w:r>
              <w:rPr>
                <w:spacing w:val="4"/>
              </w:rPr>
              <w:t>万元以下的罚款；构</w:t>
            </w:r>
            <w:r>
              <w:rPr>
                <w:spacing w:val="8"/>
              </w:rPr>
              <w:t>成犯罪的，依照刑法有关</w:t>
            </w:r>
          </w:p>
        </w:tc>
        <w:tc>
          <w:tcPr>
            <w:tcW w:w="803" w:type="dxa"/>
            <w:vAlign w:val="top"/>
          </w:tcPr>
          <w:p w14:paraId="69A35559">
            <w:pPr>
              <w:rPr>
                <w:rFonts w:ascii="Arial"/>
                <w:sz w:val="21"/>
              </w:rPr>
            </w:pPr>
          </w:p>
        </w:tc>
        <w:tc>
          <w:tcPr>
            <w:tcW w:w="2283" w:type="dxa"/>
            <w:vAlign w:val="top"/>
          </w:tcPr>
          <w:p w14:paraId="75765B0C">
            <w:pPr>
              <w:pStyle w:val="6"/>
              <w:spacing w:before="29" w:line="192" w:lineRule="auto"/>
              <w:ind w:left="119" w:right="109" w:hanging="1"/>
              <w:jc w:val="both"/>
            </w:pPr>
            <w:r>
              <w:rPr>
                <w:spacing w:val="-3"/>
              </w:rPr>
              <w:t>未制定应急预案，或</w:t>
            </w:r>
            <w:r>
              <w:rPr>
                <w:spacing w:val="26"/>
              </w:rPr>
              <w:t>者未告知应急措施</w:t>
            </w:r>
            <w:r>
              <w:t>的</w:t>
            </w:r>
          </w:p>
        </w:tc>
        <w:tc>
          <w:tcPr>
            <w:tcW w:w="2894" w:type="dxa"/>
            <w:vAlign w:val="top"/>
          </w:tcPr>
          <w:p w14:paraId="06E27059">
            <w:pPr>
              <w:pStyle w:val="6"/>
              <w:spacing w:before="29" w:line="177" w:lineRule="auto"/>
              <w:ind w:left="127" w:right="104" w:firstLine="19"/>
              <w:jc w:val="both"/>
            </w:pPr>
            <w:r>
              <w:rPr>
                <w:spacing w:val="6"/>
              </w:rPr>
              <w:t>以下的罚款，对其直接负</w:t>
            </w:r>
            <w:r>
              <w:rPr>
                <w:spacing w:val="10"/>
              </w:rPr>
              <w:t>责的主管人员和其他直接</w:t>
            </w:r>
            <w:r>
              <w:rPr>
                <w:spacing w:val="9"/>
              </w:rPr>
              <w:t>责任人员处</w:t>
            </w:r>
            <w:r>
              <w:rPr>
                <w:rFonts w:ascii="宋体" w:hAnsi="宋体" w:eastAsia="宋体" w:cs="宋体"/>
                <w:spacing w:val="9"/>
              </w:rPr>
              <w:t>2</w:t>
            </w:r>
            <w:r>
              <w:rPr>
                <w:spacing w:val="9"/>
              </w:rPr>
              <w:t>万元以上</w:t>
            </w:r>
            <w:r>
              <w:rPr>
                <w:rFonts w:ascii="宋体" w:hAnsi="宋体" w:eastAsia="宋体" w:cs="宋体"/>
                <w:spacing w:val="9"/>
              </w:rPr>
              <w:t>3</w:t>
            </w:r>
            <w:r>
              <w:rPr>
                <w:spacing w:val="6"/>
              </w:rPr>
              <w:t>万元以下的罚款</w:t>
            </w:r>
          </w:p>
        </w:tc>
        <w:tc>
          <w:tcPr>
            <w:tcW w:w="811" w:type="dxa"/>
            <w:vMerge w:val="restart"/>
            <w:tcBorders>
              <w:bottom w:val="nil"/>
            </w:tcBorders>
            <w:vAlign w:val="top"/>
          </w:tcPr>
          <w:p w14:paraId="2562F94D">
            <w:pPr>
              <w:rPr>
                <w:rFonts w:ascii="Arial"/>
                <w:sz w:val="21"/>
              </w:rPr>
            </w:pPr>
          </w:p>
        </w:tc>
      </w:tr>
      <w:tr w14:paraId="6B261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Merge w:val="continue"/>
            <w:tcBorders>
              <w:top w:val="nil"/>
              <w:bottom w:val="nil"/>
            </w:tcBorders>
            <w:vAlign w:val="top"/>
          </w:tcPr>
          <w:p w14:paraId="137F2FB4">
            <w:pPr>
              <w:rPr>
                <w:rFonts w:ascii="Arial"/>
                <w:sz w:val="21"/>
              </w:rPr>
            </w:pPr>
          </w:p>
        </w:tc>
        <w:tc>
          <w:tcPr>
            <w:tcW w:w="1440" w:type="dxa"/>
            <w:vMerge w:val="continue"/>
            <w:tcBorders>
              <w:top w:val="nil"/>
              <w:bottom w:val="nil"/>
            </w:tcBorders>
            <w:vAlign w:val="top"/>
          </w:tcPr>
          <w:p w14:paraId="1C26DE4A">
            <w:pPr>
              <w:rPr>
                <w:rFonts w:ascii="Arial"/>
                <w:sz w:val="21"/>
              </w:rPr>
            </w:pPr>
          </w:p>
        </w:tc>
        <w:tc>
          <w:tcPr>
            <w:tcW w:w="3202" w:type="dxa"/>
            <w:vMerge w:val="continue"/>
            <w:tcBorders>
              <w:top w:val="nil"/>
              <w:bottom w:val="nil"/>
            </w:tcBorders>
            <w:vAlign w:val="top"/>
          </w:tcPr>
          <w:p w14:paraId="2DF17655">
            <w:pPr>
              <w:rPr>
                <w:rFonts w:ascii="Arial"/>
                <w:sz w:val="21"/>
              </w:rPr>
            </w:pPr>
          </w:p>
        </w:tc>
        <w:tc>
          <w:tcPr>
            <w:tcW w:w="2859" w:type="dxa"/>
            <w:vMerge w:val="continue"/>
            <w:tcBorders>
              <w:top w:val="nil"/>
              <w:bottom w:val="nil"/>
            </w:tcBorders>
            <w:vAlign w:val="top"/>
          </w:tcPr>
          <w:p w14:paraId="4DD056F7">
            <w:pPr>
              <w:rPr>
                <w:rFonts w:ascii="Arial"/>
                <w:sz w:val="21"/>
              </w:rPr>
            </w:pPr>
          </w:p>
        </w:tc>
        <w:tc>
          <w:tcPr>
            <w:tcW w:w="803" w:type="dxa"/>
            <w:vAlign w:val="top"/>
          </w:tcPr>
          <w:p w14:paraId="134DCFE1">
            <w:pPr>
              <w:spacing w:line="260" w:lineRule="auto"/>
              <w:rPr>
                <w:rFonts w:ascii="Arial"/>
                <w:sz w:val="21"/>
              </w:rPr>
            </w:pPr>
          </w:p>
          <w:p w14:paraId="63231999">
            <w:pPr>
              <w:spacing w:line="261" w:lineRule="auto"/>
              <w:rPr>
                <w:rFonts w:ascii="Arial"/>
                <w:sz w:val="21"/>
              </w:rPr>
            </w:pPr>
          </w:p>
          <w:p w14:paraId="33B4B584">
            <w:pPr>
              <w:spacing w:line="261" w:lineRule="auto"/>
              <w:rPr>
                <w:rFonts w:ascii="Arial"/>
                <w:sz w:val="21"/>
              </w:rPr>
            </w:pPr>
          </w:p>
          <w:p w14:paraId="7E31549C">
            <w:pPr>
              <w:spacing w:line="261" w:lineRule="auto"/>
              <w:rPr>
                <w:rFonts w:ascii="Arial"/>
                <w:sz w:val="21"/>
              </w:rPr>
            </w:pPr>
          </w:p>
          <w:p w14:paraId="0534E86B">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617B22E">
            <w:pPr>
              <w:pStyle w:val="6"/>
              <w:spacing w:before="175" w:line="187" w:lineRule="auto"/>
              <w:ind w:left="117" w:right="65" w:firstLine="13"/>
              <w:jc w:val="both"/>
            </w:pPr>
            <w:r>
              <w:rPr>
                <w:spacing w:val="24"/>
              </w:rPr>
              <w:t>生产经营单位对三</w:t>
            </w:r>
            <w:r>
              <w:rPr>
                <w:spacing w:val="26"/>
              </w:rPr>
              <w:t>级重大危险源未登</w:t>
            </w:r>
            <w:r>
              <w:rPr>
                <w:spacing w:val="-3"/>
              </w:rPr>
              <w:t>记建档，未进行定期</w:t>
            </w:r>
            <w:r>
              <w:rPr>
                <w:spacing w:val="2"/>
              </w:rPr>
              <w:t>检测、评估、监控，</w:t>
            </w:r>
            <w:r>
              <w:rPr>
                <w:spacing w:val="-3"/>
              </w:rPr>
              <w:t>未制定应急预案，或</w:t>
            </w:r>
            <w:r>
              <w:rPr>
                <w:spacing w:val="26"/>
              </w:rPr>
              <w:t>者未告知应急措施</w:t>
            </w:r>
            <w:r>
              <w:t>的</w:t>
            </w:r>
          </w:p>
        </w:tc>
        <w:tc>
          <w:tcPr>
            <w:tcW w:w="2894" w:type="dxa"/>
            <w:vAlign w:val="top"/>
          </w:tcPr>
          <w:p w14:paraId="73930E12">
            <w:pPr>
              <w:pStyle w:val="6"/>
              <w:spacing w:before="26" w:line="180" w:lineRule="auto"/>
              <w:ind w:left="117" w:right="103" w:firstLine="10"/>
            </w:pPr>
            <w:r>
              <w:rPr>
                <w:spacing w:val="4"/>
              </w:rPr>
              <w:t>责令限期改正，处</w:t>
            </w:r>
            <w:r>
              <w:rPr>
                <w:rFonts w:ascii="宋体" w:hAnsi="宋体" w:eastAsia="宋体" w:cs="宋体"/>
                <w:spacing w:val="4"/>
              </w:rPr>
              <w:t>2</w:t>
            </w:r>
            <w:r>
              <w:rPr>
                <w:spacing w:val="4"/>
              </w:rPr>
              <w:t>万元</w:t>
            </w:r>
            <w:r>
              <w:rPr>
                <w:spacing w:val="3"/>
              </w:rPr>
              <w:t>以上</w:t>
            </w:r>
            <w:r>
              <w:rPr>
                <w:rFonts w:ascii="宋体" w:hAnsi="宋体" w:eastAsia="宋体" w:cs="宋体"/>
                <w:spacing w:val="3"/>
              </w:rPr>
              <w:t>5</w:t>
            </w:r>
            <w:r>
              <w:rPr>
                <w:spacing w:val="3"/>
              </w:rPr>
              <w:t>万元以下的罚款；</w:t>
            </w:r>
            <w:r>
              <w:rPr>
                <w:spacing w:val="8"/>
              </w:rPr>
              <w:t>逾期未改正的，责令停产</w:t>
            </w:r>
            <w:r>
              <w:rPr>
                <w:spacing w:val="-4"/>
              </w:rPr>
              <w:t>停业整顿，并处</w:t>
            </w:r>
            <w:r>
              <w:rPr>
                <w:rFonts w:ascii="宋体" w:hAnsi="宋体" w:eastAsia="宋体" w:cs="宋体"/>
                <w:spacing w:val="-4"/>
              </w:rPr>
              <w:t>12</w:t>
            </w:r>
            <w:r>
              <w:rPr>
                <w:spacing w:val="-4"/>
              </w:rPr>
              <w:t>万元以上</w:t>
            </w:r>
            <w:r>
              <w:rPr>
                <w:rFonts w:ascii="宋体" w:hAnsi="宋体" w:eastAsia="宋体" w:cs="宋体"/>
                <w:spacing w:val="-4"/>
              </w:rPr>
              <w:t>15</w:t>
            </w:r>
            <w:r>
              <w:rPr>
                <w:spacing w:val="-4"/>
              </w:rPr>
              <w:t>万元以下的罚款，对</w:t>
            </w:r>
            <w:r>
              <w:rPr>
                <w:spacing w:val="11"/>
              </w:rPr>
              <w:t>其直接负责的主管人员和</w:t>
            </w:r>
            <w:r>
              <w:rPr>
                <w:spacing w:val="8"/>
              </w:rPr>
              <w:t>其他直接责任人员处</w:t>
            </w:r>
            <w:r>
              <w:rPr>
                <w:rFonts w:ascii="宋体" w:hAnsi="宋体" w:eastAsia="宋体" w:cs="宋体"/>
                <w:spacing w:val="8"/>
              </w:rPr>
              <w:t>3</w:t>
            </w:r>
            <w:r>
              <w:rPr>
                <w:spacing w:val="8"/>
              </w:rPr>
              <w:t>万</w:t>
            </w:r>
            <w:r>
              <w:rPr>
                <w:spacing w:val="4"/>
              </w:rPr>
              <w:t>元以上</w:t>
            </w:r>
            <w:r>
              <w:rPr>
                <w:rFonts w:ascii="宋体" w:hAnsi="宋体" w:eastAsia="宋体" w:cs="宋体"/>
                <w:spacing w:val="4"/>
              </w:rPr>
              <w:t>4</w:t>
            </w:r>
            <w:r>
              <w:rPr>
                <w:spacing w:val="4"/>
              </w:rPr>
              <w:t>万元以下的罚款</w:t>
            </w:r>
          </w:p>
        </w:tc>
        <w:tc>
          <w:tcPr>
            <w:tcW w:w="811" w:type="dxa"/>
            <w:vMerge w:val="continue"/>
            <w:tcBorders>
              <w:top w:val="nil"/>
              <w:bottom w:val="nil"/>
            </w:tcBorders>
            <w:vAlign w:val="top"/>
          </w:tcPr>
          <w:p w14:paraId="0B7CFA7E">
            <w:pPr>
              <w:rPr>
                <w:rFonts w:ascii="Arial"/>
                <w:sz w:val="21"/>
              </w:rPr>
            </w:pPr>
          </w:p>
        </w:tc>
      </w:tr>
      <w:tr w14:paraId="72BF2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4" w:hRule="atLeast"/>
        </w:trPr>
        <w:tc>
          <w:tcPr>
            <w:tcW w:w="818" w:type="dxa"/>
            <w:vMerge w:val="continue"/>
            <w:tcBorders>
              <w:top w:val="nil"/>
              <w:bottom w:val="nil"/>
            </w:tcBorders>
            <w:vAlign w:val="top"/>
          </w:tcPr>
          <w:p w14:paraId="55BBA373">
            <w:pPr>
              <w:rPr>
                <w:rFonts w:ascii="Arial"/>
                <w:sz w:val="21"/>
              </w:rPr>
            </w:pPr>
          </w:p>
        </w:tc>
        <w:tc>
          <w:tcPr>
            <w:tcW w:w="1440" w:type="dxa"/>
            <w:vMerge w:val="continue"/>
            <w:tcBorders>
              <w:top w:val="nil"/>
              <w:bottom w:val="nil"/>
            </w:tcBorders>
            <w:vAlign w:val="top"/>
          </w:tcPr>
          <w:p w14:paraId="226F1294">
            <w:pPr>
              <w:rPr>
                <w:rFonts w:ascii="Arial"/>
                <w:sz w:val="21"/>
              </w:rPr>
            </w:pPr>
          </w:p>
        </w:tc>
        <w:tc>
          <w:tcPr>
            <w:tcW w:w="3202" w:type="dxa"/>
            <w:vMerge w:val="continue"/>
            <w:tcBorders>
              <w:top w:val="nil"/>
              <w:bottom w:val="nil"/>
            </w:tcBorders>
            <w:vAlign w:val="top"/>
          </w:tcPr>
          <w:p w14:paraId="05A6243E">
            <w:pPr>
              <w:rPr>
                <w:rFonts w:ascii="Arial"/>
                <w:sz w:val="21"/>
              </w:rPr>
            </w:pPr>
          </w:p>
        </w:tc>
        <w:tc>
          <w:tcPr>
            <w:tcW w:w="2859" w:type="dxa"/>
            <w:vMerge w:val="continue"/>
            <w:tcBorders>
              <w:top w:val="nil"/>
              <w:bottom w:val="nil"/>
            </w:tcBorders>
            <w:vAlign w:val="top"/>
          </w:tcPr>
          <w:p w14:paraId="5E412819">
            <w:pPr>
              <w:rPr>
                <w:rFonts w:ascii="Arial"/>
                <w:sz w:val="21"/>
              </w:rPr>
            </w:pPr>
          </w:p>
        </w:tc>
        <w:tc>
          <w:tcPr>
            <w:tcW w:w="803" w:type="dxa"/>
            <w:vAlign w:val="top"/>
          </w:tcPr>
          <w:p w14:paraId="5CEEF688">
            <w:pPr>
              <w:spacing w:line="291" w:lineRule="auto"/>
              <w:rPr>
                <w:rFonts w:ascii="Arial"/>
                <w:sz w:val="21"/>
              </w:rPr>
            </w:pPr>
          </w:p>
          <w:p w14:paraId="777B8A22">
            <w:pPr>
              <w:spacing w:line="291" w:lineRule="auto"/>
              <w:rPr>
                <w:rFonts w:ascii="Arial"/>
                <w:sz w:val="21"/>
              </w:rPr>
            </w:pPr>
          </w:p>
          <w:p w14:paraId="7AEB3A9F">
            <w:pPr>
              <w:spacing w:line="291" w:lineRule="auto"/>
              <w:rPr>
                <w:rFonts w:ascii="Arial"/>
                <w:sz w:val="21"/>
              </w:rPr>
            </w:pPr>
          </w:p>
          <w:p w14:paraId="425943FA">
            <w:pPr>
              <w:spacing w:line="291" w:lineRule="auto"/>
              <w:rPr>
                <w:rFonts w:ascii="Arial"/>
                <w:sz w:val="21"/>
              </w:rPr>
            </w:pPr>
          </w:p>
          <w:p w14:paraId="33A20797">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226167C">
            <w:pPr>
              <w:pStyle w:val="6"/>
              <w:spacing w:before="296" w:line="187" w:lineRule="auto"/>
              <w:ind w:left="117" w:right="65" w:firstLine="13"/>
              <w:jc w:val="both"/>
            </w:pPr>
            <w:r>
              <w:rPr>
                <w:spacing w:val="24"/>
              </w:rPr>
              <w:t>生产经营单位对二</w:t>
            </w:r>
            <w:r>
              <w:rPr>
                <w:spacing w:val="26"/>
              </w:rPr>
              <w:t>级重大危险源未登</w:t>
            </w:r>
            <w:r>
              <w:rPr>
                <w:spacing w:val="-3"/>
              </w:rPr>
              <w:t>记建档，未进行定期</w:t>
            </w:r>
            <w:r>
              <w:rPr>
                <w:spacing w:val="2"/>
              </w:rPr>
              <w:t>检测、评估、监控，</w:t>
            </w:r>
            <w:r>
              <w:rPr>
                <w:spacing w:val="-3"/>
              </w:rPr>
              <w:t>未制定应急预案，或</w:t>
            </w:r>
            <w:r>
              <w:rPr>
                <w:spacing w:val="26"/>
              </w:rPr>
              <w:t>者未告知应急措施</w:t>
            </w:r>
            <w:r>
              <w:t>的</w:t>
            </w:r>
          </w:p>
        </w:tc>
        <w:tc>
          <w:tcPr>
            <w:tcW w:w="2894" w:type="dxa"/>
            <w:vAlign w:val="top"/>
          </w:tcPr>
          <w:p w14:paraId="7E207FC7">
            <w:pPr>
              <w:pStyle w:val="6"/>
              <w:spacing w:before="148" w:line="186" w:lineRule="auto"/>
              <w:ind w:left="117" w:right="103" w:firstLine="10"/>
            </w:pPr>
            <w:r>
              <w:rPr>
                <w:spacing w:val="4"/>
              </w:rPr>
              <w:t>责令限期改正，处</w:t>
            </w:r>
            <w:r>
              <w:rPr>
                <w:rFonts w:ascii="宋体" w:hAnsi="宋体" w:eastAsia="宋体" w:cs="宋体"/>
                <w:spacing w:val="4"/>
              </w:rPr>
              <w:t>5</w:t>
            </w:r>
            <w:r>
              <w:rPr>
                <w:spacing w:val="4"/>
              </w:rPr>
              <w:t>万元</w:t>
            </w:r>
            <w:r>
              <w:rPr>
                <w:spacing w:val="3"/>
              </w:rPr>
              <w:t>以上</w:t>
            </w:r>
            <w:r>
              <w:rPr>
                <w:rFonts w:ascii="宋体" w:hAnsi="宋体" w:eastAsia="宋体" w:cs="宋体"/>
                <w:spacing w:val="3"/>
              </w:rPr>
              <w:t>8</w:t>
            </w:r>
            <w:r>
              <w:rPr>
                <w:spacing w:val="3"/>
              </w:rPr>
              <w:t>万元以下的罚款；</w:t>
            </w:r>
            <w:r>
              <w:rPr>
                <w:spacing w:val="8"/>
              </w:rPr>
              <w:t>逾期未改正的，责令停产</w:t>
            </w:r>
            <w:r>
              <w:rPr>
                <w:spacing w:val="-4"/>
              </w:rPr>
              <w:t>停业整顿，并处</w:t>
            </w:r>
            <w:r>
              <w:rPr>
                <w:rFonts w:ascii="宋体" w:hAnsi="宋体" w:eastAsia="宋体" w:cs="宋体"/>
                <w:spacing w:val="-4"/>
              </w:rPr>
              <w:t>15</w:t>
            </w:r>
            <w:r>
              <w:rPr>
                <w:spacing w:val="-4"/>
              </w:rPr>
              <w:t>万元以上</w:t>
            </w:r>
            <w:r>
              <w:rPr>
                <w:rFonts w:ascii="宋体" w:hAnsi="宋体" w:eastAsia="宋体" w:cs="宋体"/>
                <w:spacing w:val="-4"/>
              </w:rPr>
              <w:t>18</w:t>
            </w:r>
            <w:r>
              <w:rPr>
                <w:spacing w:val="-4"/>
              </w:rPr>
              <w:t>万元以下的罚款，对</w:t>
            </w:r>
            <w:r>
              <w:rPr>
                <w:spacing w:val="11"/>
              </w:rPr>
              <w:t>其直接负责的主管人员和</w:t>
            </w:r>
            <w:r>
              <w:rPr>
                <w:spacing w:val="8"/>
              </w:rPr>
              <w:t>其他直接责任人员处</w:t>
            </w:r>
            <w:r>
              <w:rPr>
                <w:rFonts w:ascii="宋体" w:hAnsi="宋体" w:eastAsia="宋体" w:cs="宋体"/>
                <w:spacing w:val="8"/>
              </w:rPr>
              <w:t>4</w:t>
            </w:r>
            <w:r>
              <w:rPr>
                <w:spacing w:val="8"/>
              </w:rPr>
              <w:t>万</w:t>
            </w:r>
            <w:r>
              <w:rPr>
                <w:spacing w:val="4"/>
              </w:rPr>
              <w:t>元以上</w:t>
            </w:r>
            <w:r>
              <w:rPr>
                <w:rFonts w:ascii="宋体" w:hAnsi="宋体" w:eastAsia="宋体" w:cs="宋体"/>
                <w:spacing w:val="4"/>
              </w:rPr>
              <w:t>5</w:t>
            </w:r>
            <w:r>
              <w:rPr>
                <w:spacing w:val="4"/>
              </w:rPr>
              <w:t>万元以下的罚款</w:t>
            </w:r>
          </w:p>
        </w:tc>
        <w:tc>
          <w:tcPr>
            <w:tcW w:w="811" w:type="dxa"/>
            <w:vMerge w:val="continue"/>
            <w:tcBorders>
              <w:top w:val="nil"/>
              <w:bottom w:val="nil"/>
            </w:tcBorders>
            <w:vAlign w:val="top"/>
          </w:tcPr>
          <w:p w14:paraId="380372B3">
            <w:pPr>
              <w:rPr>
                <w:rFonts w:ascii="Arial"/>
                <w:sz w:val="21"/>
              </w:rPr>
            </w:pPr>
          </w:p>
        </w:tc>
      </w:tr>
      <w:tr w14:paraId="25C03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6" w:hRule="atLeast"/>
        </w:trPr>
        <w:tc>
          <w:tcPr>
            <w:tcW w:w="818" w:type="dxa"/>
            <w:vMerge w:val="continue"/>
            <w:tcBorders>
              <w:top w:val="nil"/>
            </w:tcBorders>
            <w:vAlign w:val="top"/>
          </w:tcPr>
          <w:p w14:paraId="5C67DD08">
            <w:pPr>
              <w:rPr>
                <w:rFonts w:ascii="Arial"/>
                <w:sz w:val="21"/>
              </w:rPr>
            </w:pPr>
          </w:p>
        </w:tc>
        <w:tc>
          <w:tcPr>
            <w:tcW w:w="1440" w:type="dxa"/>
            <w:vMerge w:val="continue"/>
            <w:tcBorders>
              <w:top w:val="nil"/>
            </w:tcBorders>
            <w:vAlign w:val="top"/>
          </w:tcPr>
          <w:p w14:paraId="6A29E4E0">
            <w:pPr>
              <w:rPr>
                <w:rFonts w:ascii="Arial"/>
                <w:sz w:val="21"/>
              </w:rPr>
            </w:pPr>
          </w:p>
        </w:tc>
        <w:tc>
          <w:tcPr>
            <w:tcW w:w="3202" w:type="dxa"/>
            <w:vMerge w:val="continue"/>
            <w:tcBorders>
              <w:top w:val="nil"/>
            </w:tcBorders>
            <w:vAlign w:val="top"/>
          </w:tcPr>
          <w:p w14:paraId="43D8B0FB">
            <w:pPr>
              <w:rPr>
                <w:rFonts w:ascii="Arial"/>
                <w:sz w:val="21"/>
              </w:rPr>
            </w:pPr>
          </w:p>
        </w:tc>
        <w:tc>
          <w:tcPr>
            <w:tcW w:w="2859" w:type="dxa"/>
            <w:vMerge w:val="continue"/>
            <w:tcBorders>
              <w:top w:val="nil"/>
            </w:tcBorders>
            <w:vAlign w:val="top"/>
          </w:tcPr>
          <w:p w14:paraId="2013C19C">
            <w:pPr>
              <w:rPr>
                <w:rFonts w:ascii="Arial"/>
                <w:sz w:val="21"/>
              </w:rPr>
            </w:pPr>
          </w:p>
        </w:tc>
        <w:tc>
          <w:tcPr>
            <w:tcW w:w="803" w:type="dxa"/>
            <w:vAlign w:val="top"/>
          </w:tcPr>
          <w:p w14:paraId="1DDB08B1">
            <w:pPr>
              <w:spacing w:line="242" w:lineRule="auto"/>
              <w:rPr>
                <w:rFonts w:ascii="Arial"/>
                <w:sz w:val="21"/>
              </w:rPr>
            </w:pPr>
          </w:p>
          <w:p w14:paraId="08C8544D">
            <w:pPr>
              <w:spacing w:line="242" w:lineRule="auto"/>
              <w:rPr>
                <w:rFonts w:ascii="Arial"/>
                <w:sz w:val="21"/>
              </w:rPr>
            </w:pPr>
          </w:p>
          <w:p w14:paraId="55D1D7DC">
            <w:pPr>
              <w:spacing w:line="242" w:lineRule="auto"/>
              <w:rPr>
                <w:rFonts w:ascii="Arial"/>
                <w:sz w:val="21"/>
              </w:rPr>
            </w:pPr>
          </w:p>
          <w:p w14:paraId="74942F65">
            <w:pPr>
              <w:spacing w:line="242" w:lineRule="auto"/>
              <w:rPr>
                <w:rFonts w:ascii="Arial"/>
                <w:sz w:val="21"/>
              </w:rPr>
            </w:pPr>
          </w:p>
          <w:p w14:paraId="24DB5A0D">
            <w:pPr>
              <w:spacing w:line="243" w:lineRule="auto"/>
              <w:rPr>
                <w:rFonts w:ascii="Arial"/>
                <w:sz w:val="21"/>
              </w:rPr>
            </w:pPr>
          </w:p>
          <w:p w14:paraId="662465F2">
            <w:pPr>
              <w:spacing w:before="75" w:line="187" w:lineRule="auto"/>
              <w:ind w:left="343"/>
              <w:rPr>
                <w:rFonts w:ascii="宋体" w:hAnsi="宋体" w:eastAsia="宋体" w:cs="宋体"/>
                <w:sz w:val="23"/>
                <w:szCs w:val="23"/>
              </w:rPr>
            </w:pPr>
            <w:r>
              <w:rPr>
                <w:rFonts w:ascii="宋体" w:hAnsi="宋体" w:eastAsia="宋体" w:cs="宋体"/>
                <w:sz w:val="23"/>
                <w:szCs w:val="23"/>
              </w:rPr>
              <w:t>D</w:t>
            </w:r>
          </w:p>
        </w:tc>
        <w:tc>
          <w:tcPr>
            <w:tcW w:w="2283" w:type="dxa"/>
            <w:vAlign w:val="top"/>
          </w:tcPr>
          <w:p w14:paraId="7F692D6B">
            <w:pPr>
              <w:spacing w:line="242" w:lineRule="auto"/>
              <w:rPr>
                <w:rFonts w:ascii="Arial"/>
                <w:sz w:val="21"/>
              </w:rPr>
            </w:pPr>
          </w:p>
          <w:p w14:paraId="6353252A">
            <w:pPr>
              <w:pStyle w:val="6"/>
              <w:spacing w:before="99" w:line="187" w:lineRule="auto"/>
              <w:ind w:left="117" w:right="65" w:firstLine="13"/>
              <w:jc w:val="both"/>
            </w:pPr>
            <w:r>
              <w:rPr>
                <w:spacing w:val="18"/>
              </w:rPr>
              <w:t>生产经营单位对一</w:t>
            </w:r>
            <w:r>
              <w:rPr>
                <w:spacing w:val="26"/>
              </w:rPr>
              <w:t>级重大危险源未登</w:t>
            </w:r>
            <w:r>
              <w:rPr>
                <w:spacing w:val="-3"/>
              </w:rPr>
              <w:t>记建档，未进行定期</w:t>
            </w:r>
            <w:r>
              <w:rPr>
                <w:spacing w:val="2"/>
              </w:rPr>
              <w:t>检测、评估、监控，</w:t>
            </w:r>
            <w:r>
              <w:rPr>
                <w:spacing w:val="-3"/>
              </w:rPr>
              <w:t>未制定应急预案，或</w:t>
            </w:r>
            <w:r>
              <w:rPr>
                <w:spacing w:val="26"/>
              </w:rPr>
              <w:t>者未告知应急措施</w:t>
            </w:r>
            <w:r>
              <w:t>的</w:t>
            </w:r>
          </w:p>
        </w:tc>
        <w:tc>
          <w:tcPr>
            <w:tcW w:w="2894" w:type="dxa"/>
            <w:vAlign w:val="top"/>
          </w:tcPr>
          <w:p w14:paraId="2B031ECE">
            <w:pPr>
              <w:pStyle w:val="6"/>
              <w:spacing w:before="195" w:line="186" w:lineRule="auto"/>
              <w:ind w:left="117" w:right="71" w:firstLine="10"/>
              <w:jc w:val="both"/>
            </w:pPr>
            <w:r>
              <w:rPr>
                <w:spacing w:val="4"/>
              </w:rPr>
              <w:t>责令限期改正，处</w:t>
            </w:r>
            <w:r>
              <w:rPr>
                <w:rFonts w:ascii="宋体" w:hAnsi="宋体" w:eastAsia="宋体" w:cs="宋体"/>
                <w:spacing w:val="4"/>
              </w:rPr>
              <w:t>8</w:t>
            </w:r>
            <w:r>
              <w:rPr>
                <w:spacing w:val="4"/>
              </w:rPr>
              <w:t>万元</w:t>
            </w:r>
            <w:r>
              <w:rPr>
                <w:spacing w:val="-1"/>
              </w:rPr>
              <w:t>以上</w:t>
            </w:r>
            <w:r>
              <w:rPr>
                <w:rFonts w:ascii="宋体" w:hAnsi="宋体" w:eastAsia="宋体" w:cs="宋体"/>
                <w:spacing w:val="-1"/>
              </w:rPr>
              <w:t>10</w:t>
            </w:r>
            <w:r>
              <w:rPr>
                <w:spacing w:val="-1"/>
              </w:rPr>
              <w:t>万元以下的罚款；</w:t>
            </w:r>
            <w:r>
              <w:rPr>
                <w:spacing w:val="8"/>
              </w:rPr>
              <w:t>逾期未改正的，责令停产</w:t>
            </w:r>
            <w:r>
              <w:rPr>
                <w:spacing w:val="-4"/>
              </w:rPr>
              <w:t>停业整顿，并处</w:t>
            </w:r>
            <w:r>
              <w:rPr>
                <w:rFonts w:ascii="宋体" w:hAnsi="宋体" w:eastAsia="宋体" w:cs="宋体"/>
                <w:spacing w:val="-4"/>
              </w:rPr>
              <w:t>18</w:t>
            </w:r>
            <w:r>
              <w:rPr>
                <w:spacing w:val="-4"/>
              </w:rPr>
              <w:t>万元以</w:t>
            </w:r>
            <w:r>
              <w:rPr>
                <w:spacing w:val="-2"/>
              </w:rPr>
              <w:t>上</w:t>
            </w:r>
            <w:r>
              <w:rPr>
                <w:rFonts w:ascii="宋体" w:hAnsi="宋体" w:eastAsia="宋体" w:cs="宋体"/>
                <w:spacing w:val="-2"/>
              </w:rPr>
              <w:t>20</w:t>
            </w:r>
            <w:r>
              <w:rPr>
                <w:spacing w:val="-2"/>
              </w:rPr>
              <w:t>万元以下的罚款，对</w:t>
            </w:r>
            <w:r>
              <w:rPr>
                <w:spacing w:val="11"/>
              </w:rPr>
              <w:t>其直接负责的主管人员和</w:t>
            </w:r>
            <w:r>
              <w:rPr>
                <w:spacing w:val="8"/>
              </w:rPr>
              <w:t>其他直接责任人员处</w:t>
            </w:r>
            <w:r>
              <w:rPr>
                <w:rFonts w:ascii="宋体" w:hAnsi="宋体" w:eastAsia="宋体" w:cs="宋体"/>
                <w:spacing w:val="8"/>
              </w:rPr>
              <w:t>5</w:t>
            </w:r>
            <w:r>
              <w:rPr>
                <w:spacing w:val="8"/>
              </w:rPr>
              <w:t>万</w:t>
            </w:r>
            <w:r>
              <w:rPr>
                <w:spacing w:val="6"/>
              </w:rPr>
              <w:t>元的罚款</w:t>
            </w:r>
          </w:p>
        </w:tc>
        <w:tc>
          <w:tcPr>
            <w:tcW w:w="811" w:type="dxa"/>
            <w:vMerge w:val="continue"/>
            <w:tcBorders>
              <w:top w:val="nil"/>
            </w:tcBorders>
            <w:vAlign w:val="top"/>
          </w:tcPr>
          <w:p w14:paraId="46A9756F">
            <w:pPr>
              <w:rPr>
                <w:rFonts w:ascii="Arial"/>
                <w:sz w:val="21"/>
              </w:rPr>
            </w:pPr>
          </w:p>
        </w:tc>
      </w:tr>
    </w:tbl>
    <w:p w14:paraId="44E12681">
      <w:pPr>
        <w:pStyle w:val="2"/>
      </w:pPr>
    </w:p>
    <w:p w14:paraId="22CC9F4F">
      <w:pPr>
        <w:sectPr>
          <w:footerReference r:id="rId62" w:type="default"/>
          <w:pgSz w:w="16839" w:h="11906"/>
          <w:pgMar w:top="1012" w:right="821" w:bottom="667" w:left="901" w:header="0" w:footer="388" w:gutter="0"/>
          <w:cols w:space="720" w:num="1"/>
        </w:sectPr>
      </w:pPr>
    </w:p>
    <w:p w14:paraId="6A9E6A1F">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DD86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0587950">
            <w:pPr>
              <w:spacing w:before="222" w:line="241" w:lineRule="auto"/>
              <w:ind w:left="131"/>
              <w:outlineLvl w:val="0"/>
              <w:rPr>
                <w:rFonts w:ascii="黑体" w:hAnsi="黑体" w:eastAsia="黑体" w:cs="黑体"/>
                <w:sz w:val="28"/>
                <w:szCs w:val="28"/>
              </w:rPr>
            </w:pPr>
            <w:bookmarkStart w:id="432" w:name="bookmark506"/>
            <w:bookmarkEnd w:id="432"/>
            <w:bookmarkStart w:id="433" w:name="bookmark92"/>
            <w:bookmarkEnd w:id="433"/>
            <w:r>
              <w:rPr>
                <w:rFonts w:ascii="黑体" w:hAnsi="黑体" w:eastAsia="黑体" w:cs="黑体"/>
                <w:spacing w:val="-2"/>
                <w:sz w:val="28"/>
                <w:szCs w:val="28"/>
              </w:rPr>
              <w:t>序号</w:t>
            </w:r>
          </w:p>
        </w:tc>
        <w:tc>
          <w:tcPr>
            <w:tcW w:w="1440" w:type="dxa"/>
            <w:vAlign w:val="top"/>
          </w:tcPr>
          <w:p w14:paraId="51ACDF85">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DDAD409">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EBD6E6A">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6215874">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3C13205">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3D009820">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1B0049C">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4912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Align w:val="top"/>
          </w:tcPr>
          <w:p w14:paraId="6DD58C88">
            <w:pPr>
              <w:rPr>
                <w:rFonts w:ascii="Arial"/>
                <w:sz w:val="21"/>
              </w:rPr>
            </w:pPr>
          </w:p>
        </w:tc>
        <w:tc>
          <w:tcPr>
            <w:tcW w:w="1440" w:type="dxa"/>
            <w:vAlign w:val="top"/>
          </w:tcPr>
          <w:p w14:paraId="7C96C581">
            <w:pPr>
              <w:rPr>
                <w:rFonts w:ascii="Arial"/>
                <w:sz w:val="21"/>
              </w:rPr>
            </w:pPr>
          </w:p>
        </w:tc>
        <w:tc>
          <w:tcPr>
            <w:tcW w:w="3202" w:type="dxa"/>
            <w:vAlign w:val="top"/>
          </w:tcPr>
          <w:p w14:paraId="5F51E3F0">
            <w:pPr>
              <w:pStyle w:val="6"/>
              <w:spacing w:before="28" w:line="209" w:lineRule="auto"/>
              <w:ind w:left="118"/>
            </w:pPr>
            <w:r>
              <w:t>登记建档。</w:t>
            </w:r>
          </w:p>
        </w:tc>
        <w:tc>
          <w:tcPr>
            <w:tcW w:w="2859" w:type="dxa"/>
            <w:vAlign w:val="top"/>
          </w:tcPr>
          <w:p w14:paraId="7BE7C21E">
            <w:pPr>
              <w:pStyle w:val="6"/>
              <w:spacing w:before="26" w:line="180" w:lineRule="auto"/>
              <w:ind w:left="98" w:firstLine="23"/>
            </w:pPr>
            <w:r>
              <w:rPr>
                <w:spacing w:val="-5"/>
              </w:rPr>
              <w:t>规定追究刑事责任</w:t>
            </w:r>
            <w:r>
              <w:rPr>
                <w:spacing w:val="10"/>
              </w:rPr>
              <w:t>：（</w:t>
            </w:r>
            <w:r>
              <w:rPr>
                <w:spacing w:val="-5"/>
              </w:rPr>
              <w:t>二）</w:t>
            </w:r>
            <w:r>
              <w:rPr>
                <w:spacing w:val="9"/>
              </w:rPr>
              <w:t>未按照本规定要求对重大</w:t>
            </w:r>
            <w:r>
              <w:rPr>
                <w:spacing w:val="5"/>
              </w:rPr>
              <w:t>危险源进行登记建档的；</w:t>
            </w:r>
            <w:r>
              <w:rPr>
                <w:spacing w:val="9"/>
              </w:rPr>
              <w:t>（三）未按照本规定及相关标准要求对重大危险源</w:t>
            </w:r>
            <w:r>
              <w:rPr>
                <w:spacing w:val="28"/>
              </w:rPr>
              <w:t>进行安全监测监控的；</w:t>
            </w:r>
            <w:r>
              <w:rPr>
                <w:spacing w:val="9"/>
              </w:rPr>
              <w:t>（四）未制定重大危险源</w:t>
            </w:r>
            <w:r>
              <w:rPr>
                <w:spacing w:val="4"/>
              </w:rPr>
              <w:t>事故应急预案的。</w:t>
            </w:r>
          </w:p>
        </w:tc>
        <w:tc>
          <w:tcPr>
            <w:tcW w:w="803" w:type="dxa"/>
            <w:vAlign w:val="top"/>
          </w:tcPr>
          <w:p w14:paraId="76272AF8">
            <w:pPr>
              <w:rPr>
                <w:rFonts w:ascii="Arial"/>
                <w:sz w:val="21"/>
              </w:rPr>
            </w:pPr>
          </w:p>
        </w:tc>
        <w:tc>
          <w:tcPr>
            <w:tcW w:w="2283" w:type="dxa"/>
            <w:vAlign w:val="top"/>
          </w:tcPr>
          <w:p w14:paraId="23CD8B67">
            <w:pPr>
              <w:rPr>
                <w:rFonts w:ascii="Arial"/>
                <w:sz w:val="21"/>
              </w:rPr>
            </w:pPr>
          </w:p>
        </w:tc>
        <w:tc>
          <w:tcPr>
            <w:tcW w:w="2894" w:type="dxa"/>
            <w:vAlign w:val="top"/>
          </w:tcPr>
          <w:p w14:paraId="1B46911F">
            <w:pPr>
              <w:rPr>
                <w:rFonts w:ascii="Arial"/>
                <w:sz w:val="21"/>
              </w:rPr>
            </w:pPr>
          </w:p>
        </w:tc>
        <w:tc>
          <w:tcPr>
            <w:tcW w:w="811" w:type="dxa"/>
            <w:vAlign w:val="top"/>
          </w:tcPr>
          <w:p w14:paraId="428BFA9C">
            <w:pPr>
              <w:rPr>
                <w:rFonts w:ascii="Arial"/>
                <w:sz w:val="21"/>
              </w:rPr>
            </w:pPr>
          </w:p>
        </w:tc>
      </w:tr>
      <w:tr w14:paraId="75219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3" w:hRule="atLeast"/>
        </w:trPr>
        <w:tc>
          <w:tcPr>
            <w:tcW w:w="818" w:type="dxa"/>
            <w:vMerge w:val="restart"/>
            <w:tcBorders>
              <w:bottom w:val="nil"/>
            </w:tcBorders>
            <w:vAlign w:val="top"/>
          </w:tcPr>
          <w:p w14:paraId="374EAC89">
            <w:pPr>
              <w:spacing w:line="241" w:lineRule="auto"/>
              <w:rPr>
                <w:rFonts w:ascii="Arial"/>
                <w:sz w:val="21"/>
              </w:rPr>
            </w:pPr>
          </w:p>
          <w:p w14:paraId="6B652424">
            <w:pPr>
              <w:spacing w:line="241" w:lineRule="auto"/>
              <w:rPr>
                <w:rFonts w:ascii="Arial"/>
                <w:sz w:val="21"/>
              </w:rPr>
            </w:pPr>
          </w:p>
          <w:p w14:paraId="5F6F0DF8">
            <w:pPr>
              <w:spacing w:line="241" w:lineRule="auto"/>
              <w:rPr>
                <w:rFonts w:ascii="Arial"/>
                <w:sz w:val="21"/>
              </w:rPr>
            </w:pPr>
          </w:p>
          <w:p w14:paraId="2D3EEB06">
            <w:pPr>
              <w:spacing w:line="242" w:lineRule="auto"/>
              <w:rPr>
                <w:rFonts w:ascii="Arial"/>
                <w:sz w:val="21"/>
              </w:rPr>
            </w:pPr>
          </w:p>
          <w:p w14:paraId="02EB7DF8">
            <w:pPr>
              <w:spacing w:line="242" w:lineRule="auto"/>
              <w:rPr>
                <w:rFonts w:ascii="Arial"/>
                <w:sz w:val="21"/>
              </w:rPr>
            </w:pPr>
          </w:p>
          <w:p w14:paraId="7F7F678F">
            <w:pPr>
              <w:spacing w:line="242" w:lineRule="auto"/>
              <w:rPr>
                <w:rFonts w:ascii="Arial"/>
                <w:sz w:val="21"/>
              </w:rPr>
            </w:pPr>
          </w:p>
          <w:p w14:paraId="0945DA47">
            <w:pPr>
              <w:spacing w:line="242" w:lineRule="auto"/>
              <w:rPr>
                <w:rFonts w:ascii="Arial"/>
                <w:sz w:val="21"/>
              </w:rPr>
            </w:pPr>
          </w:p>
          <w:p w14:paraId="117FB5CF">
            <w:pPr>
              <w:spacing w:line="242" w:lineRule="auto"/>
              <w:rPr>
                <w:rFonts w:ascii="Arial"/>
                <w:sz w:val="21"/>
              </w:rPr>
            </w:pPr>
          </w:p>
          <w:p w14:paraId="5AB9DDC3">
            <w:pPr>
              <w:spacing w:line="242" w:lineRule="auto"/>
              <w:rPr>
                <w:rFonts w:ascii="Arial"/>
                <w:sz w:val="21"/>
              </w:rPr>
            </w:pPr>
          </w:p>
          <w:p w14:paraId="6A63A52B">
            <w:pPr>
              <w:spacing w:line="242" w:lineRule="auto"/>
              <w:rPr>
                <w:rFonts w:ascii="Arial"/>
                <w:sz w:val="21"/>
              </w:rPr>
            </w:pPr>
          </w:p>
          <w:p w14:paraId="1BD6C7AD">
            <w:pPr>
              <w:spacing w:line="242" w:lineRule="auto"/>
              <w:rPr>
                <w:rFonts w:ascii="Arial"/>
                <w:sz w:val="21"/>
              </w:rPr>
            </w:pPr>
          </w:p>
          <w:p w14:paraId="280E8D6D">
            <w:pPr>
              <w:spacing w:line="242" w:lineRule="auto"/>
              <w:rPr>
                <w:rFonts w:ascii="Arial"/>
                <w:sz w:val="21"/>
              </w:rPr>
            </w:pPr>
          </w:p>
          <w:p w14:paraId="71E51779">
            <w:pPr>
              <w:spacing w:line="242" w:lineRule="auto"/>
              <w:rPr>
                <w:rFonts w:ascii="Arial"/>
                <w:sz w:val="21"/>
              </w:rPr>
            </w:pPr>
          </w:p>
          <w:p w14:paraId="59CAB2ED">
            <w:pPr>
              <w:spacing w:before="75" w:line="186" w:lineRule="auto"/>
              <w:ind w:left="234"/>
              <w:rPr>
                <w:rFonts w:ascii="仿宋" w:hAnsi="仿宋" w:eastAsia="仿宋" w:cs="仿宋"/>
                <w:sz w:val="23"/>
                <w:szCs w:val="23"/>
              </w:rPr>
            </w:pPr>
            <w:r>
              <w:rPr>
                <w:rFonts w:ascii="仿宋" w:hAnsi="仿宋" w:eastAsia="仿宋" w:cs="仿宋"/>
                <w:spacing w:val="-1"/>
                <w:sz w:val="23"/>
                <w:szCs w:val="23"/>
              </w:rPr>
              <w:t>44</w:t>
            </w:r>
          </w:p>
        </w:tc>
        <w:tc>
          <w:tcPr>
            <w:tcW w:w="1440" w:type="dxa"/>
            <w:vMerge w:val="restart"/>
            <w:tcBorders>
              <w:bottom w:val="nil"/>
            </w:tcBorders>
            <w:vAlign w:val="top"/>
          </w:tcPr>
          <w:p w14:paraId="1D9EB40D">
            <w:pPr>
              <w:spacing w:line="253" w:lineRule="auto"/>
              <w:rPr>
                <w:rFonts w:ascii="Arial"/>
                <w:sz w:val="21"/>
              </w:rPr>
            </w:pPr>
          </w:p>
          <w:p w14:paraId="615E88BF">
            <w:pPr>
              <w:spacing w:line="253" w:lineRule="auto"/>
              <w:rPr>
                <w:rFonts w:ascii="Arial"/>
                <w:sz w:val="21"/>
              </w:rPr>
            </w:pPr>
          </w:p>
          <w:p w14:paraId="646967C4">
            <w:pPr>
              <w:spacing w:line="253" w:lineRule="auto"/>
              <w:rPr>
                <w:rFonts w:ascii="Arial"/>
                <w:sz w:val="21"/>
              </w:rPr>
            </w:pPr>
          </w:p>
          <w:p w14:paraId="055344A0">
            <w:pPr>
              <w:spacing w:line="253" w:lineRule="auto"/>
              <w:rPr>
                <w:rFonts w:ascii="Arial"/>
                <w:sz w:val="21"/>
              </w:rPr>
            </w:pPr>
          </w:p>
          <w:p w14:paraId="6A637C36">
            <w:pPr>
              <w:spacing w:line="254" w:lineRule="auto"/>
              <w:rPr>
                <w:rFonts w:ascii="Arial"/>
                <w:sz w:val="21"/>
              </w:rPr>
            </w:pPr>
          </w:p>
          <w:p w14:paraId="06E9C9BD">
            <w:pPr>
              <w:spacing w:line="254" w:lineRule="auto"/>
              <w:rPr>
                <w:rFonts w:ascii="Arial"/>
                <w:sz w:val="21"/>
              </w:rPr>
            </w:pPr>
          </w:p>
          <w:p w14:paraId="7923C652">
            <w:pPr>
              <w:spacing w:line="254" w:lineRule="auto"/>
              <w:rPr>
                <w:rFonts w:ascii="Arial"/>
                <w:sz w:val="21"/>
              </w:rPr>
            </w:pPr>
          </w:p>
          <w:p w14:paraId="354CCCA0">
            <w:pPr>
              <w:spacing w:line="254" w:lineRule="auto"/>
              <w:rPr>
                <w:rFonts w:ascii="Arial"/>
                <w:sz w:val="21"/>
              </w:rPr>
            </w:pPr>
          </w:p>
          <w:p w14:paraId="323F3252">
            <w:pPr>
              <w:pStyle w:val="6"/>
              <w:spacing w:before="99" w:line="186" w:lineRule="auto"/>
              <w:ind w:left="115" w:right="111" w:firstLine="13"/>
              <w:jc w:val="both"/>
            </w:pPr>
            <w:r>
              <w:rPr>
                <w:spacing w:val="8"/>
              </w:rPr>
              <w:t>生产经营单</w:t>
            </w:r>
            <w:r>
              <w:rPr>
                <w:spacing w:val="11"/>
              </w:rPr>
              <w:t>位未建立安全风险分级管控制度或者未按照安全风险分级采取相应管</w:t>
            </w:r>
            <w:r>
              <w:rPr>
                <w:spacing w:val="6"/>
              </w:rPr>
              <w:t>控措施的</w:t>
            </w:r>
          </w:p>
        </w:tc>
        <w:tc>
          <w:tcPr>
            <w:tcW w:w="3202" w:type="dxa"/>
            <w:vMerge w:val="restart"/>
            <w:tcBorders>
              <w:bottom w:val="nil"/>
            </w:tcBorders>
            <w:vAlign w:val="top"/>
          </w:tcPr>
          <w:p w14:paraId="2A788C00">
            <w:pPr>
              <w:pStyle w:val="6"/>
              <w:spacing w:before="31" w:line="187" w:lineRule="auto"/>
              <w:ind w:left="116" w:right="111" w:hanging="18"/>
            </w:pPr>
            <w:r>
              <w:rPr>
                <w:spacing w:val="18"/>
              </w:rPr>
              <w:t>【法律】《中华人民共和国</w:t>
            </w:r>
            <w:r>
              <w:rPr>
                <w:spacing w:val="17"/>
              </w:rPr>
              <w:t>安全生产法》第四十一条第</w:t>
            </w:r>
            <w:r>
              <w:rPr>
                <w:spacing w:val="12"/>
              </w:rPr>
              <w:t>一款：生产经营单位应当建</w:t>
            </w:r>
            <w:r>
              <w:rPr>
                <w:spacing w:val="13"/>
              </w:rPr>
              <w:t>立安全风险分级管控制度，</w:t>
            </w:r>
            <w:r>
              <w:rPr>
                <w:spacing w:val="17"/>
              </w:rPr>
              <w:t>按照安全风险分级采取相应</w:t>
            </w:r>
            <w:r>
              <w:rPr>
                <w:spacing w:val="1"/>
              </w:rPr>
              <w:t>的管控措施。</w:t>
            </w:r>
          </w:p>
        </w:tc>
        <w:tc>
          <w:tcPr>
            <w:tcW w:w="2859" w:type="dxa"/>
            <w:vMerge w:val="restart"/>
            <w:tcBorders>
              <w:bottom w:val="nil"/>
            </w:tcBorders>
            <w:vAlign w:val="top"/>
          </w:tcPr>
          <w:p w14:paraId="4C158D34">
            <w:pPr>
              <w:pStyle w:val="6"/>
              <w:spacing w:before="30" w:line="184" w:lineRule="auto"/>
              <w:ind w:left="114" w:right="38" w:hanging="17"/>
              <w:jc w:val="both"/>
            </w:pPr>
            <w:r>
              <w:rPr>
                <w:spacing w:val="10"/>
              </w:rPr>
              <w:t>【法律】《中华人民共和</w:t>
            </w:r>
            <w:r>
              <w:rPr>
                <w:spacing w:val="8"/>
              </w:rPr>
              <w:t>国安全生产法》第一百零一条第四项：生产经营单</w:t>
            </w:r>
            <w:r>
              <w:rPr>
                <w:spacing w:val="4"/>
              </w:rPr>
              <w:t>位有下列行为之一的，责</w:t>
            </w:r>
            <w:r>
              <w:rPr>
                <w:spacing w:val="8"/>
              </w:rPr>
              <w:t>令限期改正，处十万元以</w:t>
            </w:r>
            <w:r>
              <w:rPr>
                <w:spacing w:val="-5"/>
              </w:rPr>
              <w:t>下的罚款；逾期未改正的，</w:t>
            </w:r>
            <w:r>
              <w:rPr>
                <w:spacing w:val="8"/>
              </w:rPr>
              <w:t>责令停产停业整顿，并处十万元以上二十万元以下</w:t>
            </w:r>
            <w:r>
              <w:rPr>
                <w:spacing w:val="4"/>
              </w:rPr>
              <w:t>的罚款，对其直接负责的</w:t>
            </w:r>
            <w:r>
              <w:rPr>
                <w:spacing w:val="8"/>
              </w:rPr>
              <w:t>主管人员和其他直接责任人员处二万元以上五万元</w:t>
            </w:r>
            <w:r>
              <w:rPr>
                <w:spacing w:val="-5"/>
              </w:rPr>
              <w:t>以下的罚款；构成犯罪的，</w:t>
            </w:r>
            <w:r>
              <w:rPr>
                <w:spacing w:val="8"/>
              </w:rPr>
              <w:t>依照刑法有关规定追究刑</w:t>
            </w:r>
            <w:r>
              <w:rPr>
                <w:spacing w:val="5"/>
              </w:rPr>
              <w:t>事责任</w:t>
            </w:r>
            <w:r>
              <w:t>：（</w:t>
            </w:r>
            <w:r>
              <w:rPr>
                <w:spacing w:val="5"/>
              </w:rPr>
              <w:t>四）未建立安</w:t>
            </w:r>
            <w:r>
              <w:rPr>
                <w:spacing w:val="8"/>
              </w:rPr>
              <w:t>全风险分级管控制度或者未按照安全风险分级采取</w:t>
            </w:r>
            <w:r>
              <w:rPr>
                <w:spacing w:val="2"/>
              </w:rPr>
              <w:t>相应管控措施的；</w:t>
            </w:r>
          </w:p>
        </w:tc>
        <w:tc>
          <w:tcPr>
            <w:tcW w:w="803" w:type="dxa"/>
            <w:vAlign w:val="top"/>
          </w:tcPr>
          <w:p w14:paraId="1C64C0C1">
            <w:pPr>
              <w:spacing w:line="267" w:lineRule="auto"/>
              <w:rPr>
                <w:rFonts w:ascii="Arial"/>
                <w:sz w:val="21"/>
              </w:rPr>
            </w:pPr>
          </w:p>
          <w:p w14:paraId="63B804B0">
            <w:pPr>
              <w:spacing w:line="267" w:lineRule="auto"/>
              <w:rPr>
                <w:rFonts w:ascii="Arial"/>
                <w:sz w:val="21"/>
              </w:rPr>
            </w:pPr>
          </w:p>
          <w:p w14:paraId="14541636">
            <w:pPr>
              <w:spacing w:line="267" w:lineRule="auto"/>
              <w:rPr>
                <w:rFonts w:ascii="Arial"/>
                <w:sz w:val="21"/>
              </w:rPr>
            </w:pPr>
          </w:p>
          <w:p w14:paraId="128A0AE0">
            <w:pPr>
              <w:spacing w:line="268" w:lineRule="auto"/>
              <w:rPr>
                <w:rFonts w:ascii="Arial"/>
                <w:sz w:val="21"/>
              </w:rPr>
            </w:pPr>
          </w:p>
          <w:p w14:paraId="22B6A335">
            <w:pPr>
              <w:spacing w:line="268" w:lineRule="auto"/>
              <w:rPr>
                <w:rFonts w:ascii="Arial"/>
                <w:sz w:val="21"/>
              </w:rPr>
            </w:pPr>
          </w:p>
          <w:p w14:paraId="324BF988">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5C5166B">
            <w:pPr>
              <w:pStyle w:val="6"/>
              <w:spacing w:before="33" w:line="180" w:lineRule="auto"/>
              <w:ind w:left="117" w:right="108"/>
              <w:jc w:val="both"/>
            </w:pPr>
            <w:r>
              <w:rPr>
                <w:spacing w:val="-3"/>
              </w:rPr>
              <w:t>矿山、金属冶炼、建筑施工、道路运输单</w:t>
            </w:r>
            <w:r>
              <w:rPr>
                <w:spacing w:val="26"/>
              </w:rPr>
              <w:t>位和危险物品的生</w:t>
            </w:r>
            <w:r>
              <w:rPr>
                <w:spacing w:val="-3"/>
              </w:rPr>
              <w:t>产、经营、储存、装</w:t>
            </w:r>
            <w:r>
              <w:rPr>
                <w:spacing w:val="26"/>
              </w:rPr>
              <w:t>卸单位以外的其他</w:t>
            </w:r>
            <w:r>
              <w:rPr>
                <w:spacing w:val="-3"/>
              </w:rPr>
              <w:t>生产经营单位，未建</w:t>
            </w:r>
            <w:r>
              <w:rPr>
                <w:spacing w:val="26"/>
              </w:rPr>
              <w:t>立安全风险分级管控制度或者未按照安全风险分级采取</w:t>
            </w:r>
            <w:r>
              <w:rPr>
                <w:spacing w:val="7"/>
              </w:rPr>
              <w:t>相应管控措施的</w:t>
            </w:r>
          </w:p>
        </w:tc>
        <w:tc>
          <w:tcPr>
            <w:tcW w:w="2894" w:type="dxa"/>
            <w:vAlign w:val="top"/>
          </w:tcPr>
          <w:p w14:paraId="1E1A32CE">
            <w:pPr>
              <w:pStyle w:val="6"/>
              <w:spacing w:before="327" w:line="186" w:lineRule="auto"/>
              <w:ind w:left="126" w:right="103"/>
            </w:pPr>
            <w:r>
              <w:rPr>
                <w:spacing w:val="4"/>
              </w:rPr>
              <w:t>责令限期改正，处</w:t>
            </w:r>
            <w:r>
              <w:rPr>
                <w:rFonts w:ascii="宋体" w:hAnsi="宋体" w:eastAsia="宋体" w:cs="宋体"/>
                <w:spacing w:val="4"/>
              </w:rPr>
              <w:t>2</w:t>
            </w:r>
            <w:r>
              <w:rPr>
                <w:spacing w:val="4"/>
              </w:rPr>
              <w:t>万元</w:t>
            </w:r>
            <w:r>
              <w:rPr>
                <w:spacing w:val="8"/>
              </w:rPr>
              <w:t>以下的罚款；逾期未改正</w:t>
            </w:r>
            <w:r>
              <w:rPr>
                <w:spacing w:val="6"/>
              </w:rPr>
              <w:t>的，责令停产停业整顿，</w:t>
            </w:r>
            <w:r>
              <w:rPr>
                <w:spacing w:val="-2"/>
              </w:rPr>
              <w:t>并处</w:t>
            </w:r>
            <w:r>
              <w:rPr>
                <w:rFonts w:ascii="宋体" w:hAnsi="宋体" w:eastAsia="宋体" w:cs="宋体"/>
                <w:spacing w:val="-2"/>
              </w:rPr>
              <w:t>10</w:t>
            </w:r>
            <w:r>
              <w:rPr>
                <w:spacing w:val="-2"/>
              </w:rPr>
              <w:t>万元以上</w:t>
            </w:r>
            <w:r>
              <w:rPr>
                <w:rFonts w:ascii="宋体" w:hAnsi="宋体" w:eastAsia="宋体" w:cs="宋体"/>
                <w:spacing w:val="-2"/>
              </w:rPr>
              <w:t>12</w:t>
            </w:r>
            <w:r>
              <w:rPr>
                <w:spacing w:val="-2"/>
              </w:rPr>
              <w:t>万元</w:t>
            </w:r>
            <w:r>
              <w:rPr>
                <w:spacing w:val="7"/>
              </w:rPr>
              <w:t>以下的罚款，对其直接负</w:t>
            </w:r>
            <w:r>
              <w:rPr>
                <w:spacing w:val="11"/>
              </w:rPr>
              <w:t>责的主管人员和其他直接</w:t>
            </w:r>
            <w:r>
              <w:rPr>
                <w:spacing w:val="9"/>
              </w:rPr>
              <w:t>责任人员处</w:t>
            </w:r>
            <w:r>
              <w:rPr>
                <w:rFonts w:ascii="宋体" w:hAnsi="宋体" w:eastAsia="宋体" w:cs="宋体"/>
                <w:spacing w:val="9"/>
              </w:rPr>
              <w:t>2</w:t>
            </w:r>
            <w:r>
              <w:rPr>
                <w:spacing w:val="9"/>
              </w:rPr>
              <w:t>万元以上</w:t>
            </w:r>
            <w:r>
              <w:rPr>
                <w:rFonts w:ascii="宋体" w:hAnsi="宋体" w:eastAsia="宋体" w:cs="宋体"/>
                <w:spacing w:val="9"/>
              </w:rPr>
              <w:t>3</w:t>
            </w:r>
            <w:r>
              <w:rPr>
                <w:spacing w:val="6"/>
              </w:rPr>
              <w:t>万元以下的罚款</w:t>
            </w:r>
          </w:p>
        </w:tc>
        <w:tc>
          <w:tcPr>
            <w:tcW w:w="811" w:type="dxa"/>
            <w:vMerge w:val="restart"/>
            <w:tcBorders>
              <w:bottom w:val="nil"/>
            </w:tcBorders>
            <w:vAlign w:val="top"/>
          </w:tcPr>
          <w:p w14:paraId="72724881">
            <w:pPr>
              <w:spacing w:line="241" w:lineRule="auto"/>
              <w:rPr>
                <w:rFonts w:ascii="Arial"/>
                <w:sz w:val="21"/>
              </w:rPr>
            </w:pPr>
          </w:p>
          <w:p w14:paraId="1FBB35FE">
            <w:pPr>
              <w:spacing w:line="241" w:lineRule="auto"/>
              <w:rPr>
                <w:rFonts w:ascii="Arial"/>
                <w:sz w:val="21"/>
              </w:rPr>
            </w:pPr>
          </w:p>
          <w:p w14:paraId="7492D3B4">
            <w:pPr>
              <w:spacing w:line="241" w:lineRule="auto"/>
              <w:rPr>
                <w:rFonts w:ascii="Arial"/>
                <w:sz w:val="21"/>
              </w:rPr>
            </w:pPr>
          </w:p>
          <w:p w14:paraId="43A6F1FD">
            <w:pPr>
              <w:spacing w:line="241" w:lineRule="auto"/>
              <w:rPr>
                <w:rFonts w:ascii="Arial"/>
                <w:sz w:val="21"/>
              </w:rPr>
            </w:pPr>
          </w:p>
          <w:p w14:paraId="7470E37D">
            <w:pPr>
              <w:spacing w:line="241" w:lineRule="auto"/>
              <w:rPr>
                <w:rFonts w:ascii="Arial"/>
                <w:sz w:val="21"/>
              </w:rPr>
            </w:pPr>
          </w:p>
          <w:p w14:paraId="608DE77E">
            <w:pPr>
              <w:spacing w:line="242" w:lineRule="auto"/>
              <w:rPr>
                <w:rFonts w:ascii="Arial"/>
                <w:sz w:val="21"/>
              </w:rPr>
            </w:pPr>
          </w:p>
          <w:p w14:paraId="667DA521">
            <w:pPr>
              <w:spacing w:line="242" w:lineRule="auto"/>
              <w:rPr>
                <w:rFonts w:ascii="Arial"/>
                <w:sz w:val="21"/>
              </w:rPr>
            </w:pPr>
          </w:p>
          <w:p w14:paraId="5ACCE2B3">
            <w:pPr>
              <w:spacing w:line="242" w:lineRule="auto"/>
              <w:rPr>
                <w:rFonts w:ascii="Arial"/>
                <w:sz w:val="21"/>
              </w:rPr>
            </w:pPr>
          </w:p>
          <w:p w14:paraId="31A0AB3E">
            <w:pPr>
              <w:spacing w:line="242" w:lineRule="auto"/>
              <w:rPr>
                <w:rFonts w:ascii="Arial"/>
                <w:sz w:val="21"/>
              </w:rPr>
            </w:pPr>
          </w:p>
          <w:p w14:paraId="0C911939">
            <w:pPr>
              <w:spacing w:line="242" w:lineRule="auto"/>
              <w:rPr>
                <w:rFonts w:ascii="Arial"/>
                <w:sz w:val="21"/>
              </w:rPr>
            </w:pPr>
          </w:p>
          <w:p w14:paraId="71E46514">
            <w:pPr>
              <w:spacing w:line="242" w:lineRule="auto"/>
              <w:rPr>
                <w:rFonts w:ascii="Arial"/>
                <w:sz w:val="21"/>
              </w:rPr>
            </w:pPr>
          </w:p>
          <w:p w14:paraId="07022676">
            <w:pPr>
              <w:spacing w:line="242" w:lineRule="auto"/>
              <w:rPr>
                <w:rFonts w:ascii="Arial"/>
                <w:sz w:val="21"/>
              </w:rPr>
            </w:pPr>
          </w:p>
          <w:p w14:paraId="44BC24E8">
            <w:pPr>
              <w:spacing w:line="242" w:lineRule="auto"/>
              <w:rPr>
                <w:rFonts w:ascii="Arial"/>
                <w:sz w:val="21"/>
              </w:rPr>
            </w:pPr>
          </w:p>
          <w:p w14:paraId="382F5F30">
            <w:pPr>
              <w:spacing w:before="75" w:line="188" w:lineRule="auto"/>
              <w:ind w:left="295"/>
              <w:rPr>
                <w:rFonts w:ascii="宋体" w:hAnsi="宋体" w:eastAsia="宋体" w:cs="宋体"/>
                <w:sz w:val="23"/>
                <w:szCs w:val="23"/>
              </w:rPr>
            </w:pPr>
            <w:r>
              <w:rPr>
                <w:rFonts w:ascii="宋体" w:hAnsi="宋体" w:eastAsia="宋体" w:cs="宋体"/>
                <w:spacing w:val="-4"/>
                <w:sz w:val="23"/>
                <w:szCs w:val="23"/>
              </w:rPr>
              <w:t>32</w:t>
            </w:r>
          </w:p>
        </w:tc>
      </w:tr>
      <w:tr w14:paraId="0DDE2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3" w:hRule="atLeast"/>
        </w:trPr>
        <w:tc>
          <w:tcPr>
            <w:tcW w:w="818" w:type="dxa"/>
            <w:vMerge w:val="continue"/>
            <w:tcBorders>
              <w:top w:val="nil"/>
              <w:bottom w:val="nil"/>
            </w:tcBorders>
            <w:vAlign w:val="top"/>
          </w:tcPr>
          <w:p w14:paraId="0B13022A">
            <w:pPr>
              <w:rPr>
                <w:rFonts w:ascii="Arial"/>
                <w:sz w:val="21"/>
              </w:rPr>
            </w:pPr>
          </w:p>
        </w:tc>
        <w:tc>
          <w:tcPr>
            <w:tcW w:w="1440" w:type="dxa"/>
            <w:vMerge w:val="continue"/>
            <w:tcBorders>
              <w:top w:val="nil"/>
              <w:bottom w:val="nil"/>
            </w:tcBorders>
            <w:vAlign w:val="top"/>
          </w:tcPr>
          <w:p w14:paraId="663E31FC">
            <w:pPr>
              <w:rPr>
                <w:rFonts w:ascii="Arial"/>
                <w:sz w:val="21"/>
              </w:rPr>
            </w:pPr>
          </w:p>
        </w:tc>
        <w:tc>
          <w:tcPr>
            <w:tcW w:w="3202" w:type="dxa"/>
            <w:vMerge w:val="continue"/>
            <w:tcBorders>
              <w:top w:val="nil"/>
              <w:bottom w:val="nil"/>
            </w:tcBorders>
            <w:vAlign w:val="top"/>
          </w:tcPr>
          <w:p w14:paraId="6254EB07">
            <w:pPr>
              <w:rPr>
                <w:rFonts w:ascii="Arial"/>
                <w:sz w:val="21"/>
              </w:rPr>
            </w:pPr>
          </w:p>
        </w:tc>
        <w:tc>
          <w:tcPr>
            <w:tcW w:w="2859" w:type="dxa"/>
            <w:vMerge w:val="continue"/>
            <w:tcBorders>
              <w:top w:val="nil"/>
              <w:bottom w:val="nil"/>
            </w:tcBorders>
            <w:vAlign w:val="top"/>
          </w:tcPr>
          <w:p w14:paraId="7CB587C7">
            <w:pPr>
              <w:rPr>
                <w:rFonts w:ascii="Arial"/>
                <w:sz w:val="21"/>
              </w:rPr>
            </w:pPr>
          </w:p>
        </w:tc>
        <w:tc>
          <w:tcPr>
            <w:tcW w:w="803" w:type="dxa"/>
            <w:vAlign w:val="top"/>
          </w:tcPr>
          <w:p w14:paraId="0352BB68">
            <w:pPr>
              <w:spacing w:line="269" w:lineRule="auto"/>
              <w:rPr>
                <w:rFonts w:ascii="Arial"/>
                <w:sz w:val="21"/>
              </w:rPr>
            </w:pPr>
          </w:p>
          <w:p w14:paraId="4CA7EF7D">
            <w:pPr>
              <w:spacing w:line="269" w:lineRule="auto"/>
              <w:rPr>
                <w:rFonts w:ascii="Arial"/>
                <w:sz w:val="21"/>
              </w:rPr>
            </w:pPr>
          </w:p>
          <w:p w14:paraId="41BE781D">
            <w:pPr>
              <w:spacing w:line="269" w:lineRule="auto"/>
              <w:rPr>
                <w:rFonts w:ascii="Arial"/>
                <w:sz w:val="21"/>
              </w:rPr>
            </w:pPr>
          </w:p>
          <w:p w14:paraId="1133273E">
            <w:pPr>
              <w:spacing w:line="269" w:lineRule="auto"/>
              <w:rPr>
                <w:rFonts w:ascii="Arial"/>
                <w:sz w:val="21"/>
              </w:rPr>
            </w:pPr>
          </w:p>
          <w:p w14:paraId="287AADF7">
            <w:pPr>
              <w:spacing w:line="269" w:lineRule="auto"/>
              <w:rPr>
                <w:rFonts w:ascii="Arial"/>
                <w:sz w:val="21"/>
              </w:rPr>
            </w:pPr>
          </w:p>
          <w:p w14:paraId="5141DBF1">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342A903">
            <w:pPr>
              <w:pStyle w:val="6"/>
              <w:spacing w:before="33" w:line="180" w:lineRule="auto"/>
              <w:ind w:left="117" w:right="108"/>
              <w:jc w:val="both"/>
            </w:pPr>
            <w:r>
              <w:rPr>
                <w:spacing w:val="-3"/>
              </w:rPr>
              <w:t>矿山、金属冶炼、建筑施工、道路运输单</w:t>
            </w:r>
            <w:r>
              <w:rPr>
                <w:spacing w:val="26"/>
              </w:rPr>
              <w:t>位和危险物品的生</w:t>
            </w:r>
            <w:r>
              <w:rPr>
                <w:spacing w:val="-3"/>
              </w:rPr>
              <w:t>产、经营、储存、装</w:t>
            </w:r>
            <w:r>
              <w:rPr>
                <w:spacing w:val="26"/>
              </w:rPr>
              <w:t>卸单位以外的其他</w:t>
            </w:r>
            <w:r>
              <w:rPr>
                <w:spacing w:val="-3"/>
              </w:rPr>
              <w:t>生产经营单位，未建</w:t>
            </w:r>
            <w:r>
              <w:rPr>
                <w:spacing w:val="26"/>
              </w:rPr>
              <w:t>立安全风险分级管</w:t>
            </w:r>
            <w:r>
              <w:rPr>
                <w:spacing w:val="-3"/>
              </w:rPr>
              <w:t>控制度，且未按照安</w:t>
            </w:r>
            <w:r>
              <w:rPr>
                <w:spacing w:val="26"/>
              </w:rPr>
              <w:t>全风险分级采取相</w:t>
            </w:r>
            <w:r>
              <w:rPr>
                <w:spacing w:val="7"/>
              </w:rPr>
              <w:t>应管控措施的</w:t>
            </w:r>
          </w:p>
        </w:tc>
        <w:tc>
          <w:tcPr>
            <w:tcW w:w="2894" w:type="dxa"/>
            <w:vAlign w:val="top"/>
          </w:tcPr>
          <w:p w14:paraId="484C6C12">
            <w:pPr>
              <w:pStyle w:val="6"/>
              <w:spacing w:before="329" w:line="186" w:lineRule="auto"/>
              <w:ind w:left="117" w:right="103" w:firstLine="10"/>
            </w:pPr>
            <w:r>
              <w:rPr>
                <w:spacing w:val="4"/>
              </w:rPr>
              <w:t>责令限期改正，处</w:t>
            </w:r>
            <w:r>
              <w:rPr>
                <w:rFonts w:ascii="宋体" w:hAnsi="宋体" w:eastAsia="宋体" w:cs="宋体"/>
                <w:spacing w:val="4"/>
              </w:rPr>
              <w:t>2</w:t>
            </w:r>
            <w:r>
              <w:rPr>
                <w:spacing w:val="4"/>
              </w:rPr>
              <w:t>万元</w:t>
            </w:r>
            <w:r>
              <w:rPr>
                <w:spacing w:val="3"/>
              </w:rPr>
              <w:t>以上</w:t>
            </w:r>
            <w:r>
              <w:rPr>
                <w:rFonts w:ascii="宋体" w:hAnsi="宋体" w:eastAsia="宋体" w:cs="宋体"/>
                <w:spacing w:val="3"/>
              </w:rPr>
              <w:t>5</w:t>
            </w:r>
            <w:r>
              <w:rPr>
                <w:spacing w:val="3"/>
              </w:rPr>
              <w:t>万元以下的罚款；</w:t>
            </w:r>
            <w:r>
              <w:rPr>
                <w:spacing w:val="8"/>
              </w:rPr>
              <w:t>逾期未改正的，责令停产</w:t>
            </w:r>
            <w:r>
              <w:rPr>
                <w:spacing w:val="-4"/>
              </w:rPr>
              <w:t>停业整顿，并处</w:t>
            </w:r>
            <w:r>
              <w:rPr>
                <w:rFonts w:ascii="宋体" w:hAnsi="宋体" w:eastAsia="宋体" w:cs="宋体"/>
                <w:spacing w:val="-4"/>
              </w:rPr>
              <w:t>12</w:t>
            </w:r>
            <w:r>
              <w:rPr>
                <w:spacing w:val="-4"/>
              </w:rPr>
              <w:t>万元以上</w:t>
            </w:r>
            <w:r>
              <w:rPr>
                <w:rFonts w:ascii="宋体" w:hAnsi="宋体" w:eastAsia="宋体" w:cs="宋体"/>
                <w:spacing w:val="-4"/>
              </w:rPr>
              <w:t>15</w:t>
            </w:r>
            <w:r>
              <w:rPr>
                <w:spacing w:val="-4"/>
              </w:rPr>
              <w:t>万元以下的罚款，对</w:t>
            </w:r>
            <w:r>
              <w:rPr>
                <w:spacing w:val="11"/>
              </w:rPr>
              <w:t>其直接负责的主管人员和</w:t>
            </w:r>
            <w:r>
              <w:rPr>
                <w:spacing w:val="8"/>
              </w:rPr>
              <w:t>其他直接责任人员处</w:t>
            </w:r>
            <w:r>
              <w:rPr>
                <w:rFonts w:ascii="宋体" w:hAnsi="宋体" w:eastAsia="宋体" w:cs="宋体"/>
                <w:spacing w:val="8"/>
              </w:rPr>
              <w:t>3</w:t>
            </w:r>
            <w:r>
              <w:rPr>
                <w:spacing w:val="8"/>
              </w:rPr>
              <w:t>万</w:t>
            </w:r>
            <w:r>
              <w:rPr>
                <w:spacing w:val="4"/>
              </w:rPr>
              <w:t>元以上</w:t>
            </w:r>
            <w:r>
              <w:rPr>
                <w:rFonts w:ascii="宋体" w:hAnsi="宋体" w:eastAsia="宋体" w:cs="宋体"/>
                <w:spacing w:val="4"/>
              </w:rPr>
              <w:t>4</w:t>
            </w:r>
            <w:r>
              <w:rPr>
                <w:spacing w:val="4"/>
              </w:rPr>
              <w:t>万元以下的罚款</w:t>
            </w:r>
          </w:p>
        </w:tc>
        <w:tc>
          <w:tcPr>
            <w:tcW w:w="811" w:type="dxa"/>
            <w:vMerge w:val="continue"/>
            <w:tcBorders>
              <w:top w:val="nil"/>
              <w:bottom w:val="nil"/>
            </w:tcBorders>
            <w:vAlign w:val="top"/>
          </w:tcPr>
          <w:p w14:paraId="1DDA99B7">
            <w:pPr>
              <w:rPr>
                <w:rFonts w:ascii="Arial"/>
                <w:sz w:val="21"/>
              </w:rPr>
            </w:pPr>
          </w:p>
        </w:tc>
      </w:tr>
      <w:tr w14:paraId="7A77E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18" w:type="dxa"/>
            <w:vMerge w:val="continue"/>
            <w:tcBorders>
              <w:top w:val="nil"/>
            </w:tcBorders>
            <w:vAlign w:val="top"/>
          </w:tcPr>
          <w:p w14:paraId="0F256FBE">
            <w:pPr>
              <w:rPr>
                <w:rFonts w:ascii="Arial"/>
                <w:sz w:val="21"/>
              </w:rPr>
            </w:pPr>
          </w:p>
        </w:tc>
        <w:tc>
          <w:tcPr>
            <w:tcW w:w="1440" w:type="dxa"/>
            <w:vMerge w:val="continue"/>
            <w:tcBorders>
              <w:top w:val="nil"/>
            </w:tcBorders>
            <w:vAlign w:val="top"/>
          </w:tcPr>
          <w:p w14:paraId="01A9A438">
            <w:pPr>
              <w:rPr>
                <w:rFonts w:ascii="Arial"/>
                <w:sz w:val="21"/>
              </w:rPr>
            </w:pPr>
          </w:p>
        </w:tc>
        <w:tc>
          <w:tcPr>
            <w:tcW w:w="3202" w:type="dxa"/>
            <w:vMerge w:val="continue"/>
            <w:tcBorders>
              <w:top w:val="nil"/>
            </w:tcBorders>
            <w:vAlign w:val="top"/>
          </w:tcPr>
          <w:p w14:paraId="67500025">
            <w:pPr>
              <w:rPr>
                <w:rFonts w:ascii="Arial"/>
                <w:sz w:val="21"/>
              </w:rPr>
            </w:pPr>
          </w:p>
        </w:tc>
        <w:tc>
          <w:tcPr>
            <w:tcW w:w="2859" w:type="dxa"/>
            <w:vMerge w:val="continue"/>
            <w:tcBorders>
              <w:top w:val="nil"/>
            </w:tcBorders>
            <w:vAlign w:val="top"/>
          </w:tcPr>
          <w:p w14:paraId="617C32A5">
            <w:pPr>
              <w:rPr>
                <w:rFonts w:ascii="Arial"/>
                <w:sz w:val="21"/>
              </w:rPr>
            </w:pPr>
          </w:p>
        </w:tc>
        <w:tc>
          <w:tcPr>
            <w:tcW w:w="803" w:type="dxa"/>
            <w:vAlign w:val="top"/>
          </w:tcPr>
          <w:p w14:paraId="67FE9F56">
            <w:pPr>
              <w:spacing w:before="229"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7FA31C5">
            <w:pPr>
              <w:pStyle w:val="6"/>
              <w:spacing w:before="35" w:line="171" w:lineRule="auto"/>
              <w:ind w:left="124" w:right="109" w:hanging="6"/>
            </w:pPr>
            <w:r>
              <w:rPr>
                <w:spacing w:val="-3"/>
              </w:rPr>
              <w:t>矿山、金属冶炼、建筑施工、道路运输单</w:t>
            </w:r>
          </w:p>
        </w:tc>
        <w:tc>
          <w:tcPr>
            <w:tcW w:w="2894" w:type="dxa"/>
            <w:vAlign w:val="top"/>
          </w:tcPr>
          <w:p w14:paraId="568628A8">
            <w:pPr>
              <w:pStyle w:val="6"/>
              <w:spacing w:before="35" w:line="171" w:lineRule="auto"/>
              <w:ind w:left="146" w:right="103" w:hanging="19"/>
            </w:pPr>
            <w:r>
              <w:rPr>
                <w:spacing w:val="4"/>
              </w:rPr>
              <w:t>责令限期改正，处</w:t>
            </w:r>
            <w:r>
              <w:rPr>
                <w:rFonts w:ascii="宋体" w:hAnsi="宋体" w:eastAsia="宋体" w:cs="宋体"/>
                <w:spacing w:val="4"/>
              </w:rPr>
              <w:t>5</w:t>
            </w:r>
            <w:r>
              <w:rPr>
                <w:spacing w:val="4"/>
              </w:rPr>
              <w:t>万元以上</w:t>
            </w:r>
            <w:r>
              <w:rPr>
                <w:rFonts w:ascii="宋体" w:hAnsi="宋体" w:eastAsia="宋体" w:cs="宋体"/>
                <w:spacing w:val="4"/>
              </w:rPr>
              <w:t>8</w:t>
            </w:r>
            <w:r>
              <w:rPr>
                <w:spacing w:val="4"/>
              </w:rPr>
              <w:t>万元以下的罚款；</w:t>
            </w:r>
          </w:p>
        </w:tc>
        <w:tc>
          <w:tcPr>
            <w:tcW w:w="811" w:type="dxa"/>
            <w:vMerge w:val="continue"/>
            <w:tcBorders>
              <w:top w:val="nil"/>
            </w:tcBorders>
            <w:vAlign w:val="top"/>
          </w:tcPr>
          <w:p w14:paraId="353BA188">
            <w:pPr>
              <w:rPr>
                <w:rFonts w:ascii="Arial"/>
                <w:sz w:val="21"/>
              </w:rPr>
            </w:pPr>
          </w:p>
        </w:tc>
      </w:tr>
    </w:tbl>
    <w:p w14:paraId="3AD8B65C">
      <w:pPr>
        <w:pStyle w:val="2"/>
      </w:pPr>
    </w:p>
    <w:p w14:paraId="1124C227">
      <w:pPr>
        <w:sectPr>
          <w:footerReference r:id="rId63" w:type="default"/>
          <w:pgSz w:w="16839" w:h="11906"/>
          <w:pgMar w:top="1012" w:right="821" w:bottom="666" w:left="901" w:header="0" w:footer="388" w:gutter="0"/>
          <w:cols w:space="720" w:num="1"/>
        </w:sectPr>
      </w:pPr>
    </w:p>
    <w:p w14:paraId="2463E273">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C3F7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3AB06EF3">
            <w:pPr>
              <w:spacing w:before="222" w:line="241" w:lineRule="auto"/>
              <w:ind w:left="131"/>
              <w:outlineLvl w:val="0"/>
              <w:rPr>
                <w:rFonts w:ascii="黑体" w:hAnsi="黑体" w:eastAsia="黑体" w:cs="黑体"/>
                <w:sz w:val="28"/>
                <w:szCs w:val="28"/>
              </w:rPr>
            </w:pPr>
            <w:bookmarkStart w:id="434" w:name="bookmark94"/>
            <w:bookmarkEnd w:id="434"/>
            <w:bookmarkStart w:id="435" w:name="bookmark96"/>
            <w:bookmarkEnd w:id="435"/>
            <w:r>
              <w:rPr>
                <w:rFonts w:ascii="黑体" w:hAnsi="黑体" w:eastAsia="黑体" w:cs="黑体"/>
                <w:spacing w:val="-2"/>
                <w:sz w:val="28"/>
                <w:szCs w:val="28"/>
              </w:rPr>
              <w:t>序号</w:t>
            </w:r>
          </w:p>
        </w:tc>
        <w:tc>
          <w:tcPr>
            <w:tcW w:w="1440" w:type="dxa"/>
            <w:vAlign w:val="top"/>
          </w:tcPr>
          <w:p w14:paraId="66EB82FF">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36496FA">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429FD1B0">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049F67D1">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A9F7C4D">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D9B2A24">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770AB6A4">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79E1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restart"/>
            <w:tcBorders>
              <w:bottom w:val="nil"/>
            </w:tcBorders>
            <w:vAlign w:val="top"/>
          </w:tcPr>
          <w:p w14:paraId="64C92DD0">
            <w:pPr>
              <w:rPr>
                <w:rFonts w:ascii="Arial"/>
                <w:sz w:val="21"/>
              </w:rPr>
            </w:pPr>
          </w:p>
        </w:tc>
        <w:tc>
          <w:tcPr>
            <w:tcW w:w="1440" w:type="dxa"/>
            <w:vMerge w:val="restart"/>
            <w:tcBorders>
              <w:bottom w:val="nil"/>
            </w:tcBorders>
            <w:vAlign w:val="top"/>
          </w:tcPr>
          <w:p w14:paraId="34580B11">
            <w:pPr>
              <w:rPr>
                <w:rFonts w:ascii="Arial"/>
                <w:sz w:val="21"/>
              </w:rPr>
            </w:pPr>
          </w:p>
        </w:tc>
        <w:tc>
          <w:tcPr>
            <w:tcW w:w="3202" w:type="dxa"/>
            <w:vMerge w:val="restart"/>
            <w:tcBorders>
              <w:bottom w:val="nil"/>
            </w:tcBorders>
            <w:vAlign w:val="top"/>
          </w:tcPr>
          <w:p w14:paraId="63BE6D15">
            <w:pPr>
              <w:rPr>
                <w:rFonts w:ascii="Arial"/>
                <w:sz w:val="21"/>
              </w:rPr>
            </w:pPr>
          </w:p>
        </w:tc>
        <w:tc>
          <w:tcPr>
            <w:tcW w:w="2859" w:type="dxa"/>
            <w:vMerge w:val="restart"/>
            <w:tcBorders>
              <w:bottom w:val="nil"/>
            </w:tcBorders>
            <w:vAlign w:val="top"/>
          </w:tcPr>
          <w:p w14:paraId="2544EA51">
            <w:pPr>
              <w:rPr>
                <w:rFonts w:ascii="Arial"/>
                <w:sz w:val="21"/>
              </w:rPr>
            </w:pPr>
          </w:p>
        </w:tc>
        <w:tc>
          <w:tcPr>
            <w:tcW w:w="803" w:type="dxa"/>
            <w:vAlign w:val="top"/>
          </w:tcPr>
          <w:p w14:paraId="2183587E">
            <w:pPr>
              <w:rPr>
                <w:rFonts w:ascii="Arial"/>
                <w:sz w:val="21"/>
              </w:rPr>
            </w:pPr>
          </w:p>
        </w:tc>
        <w:tc>
          <w:tcPr>
            <w:tcW w:w="2283" w:type="dxa"/>
            <w:vAlign w:val="top"/>
          </w:tcPr>
          <w:p w14:paraId="5D86CBD1">
            <w:pPr>
              <w:pStyle w:val="6"/>
              <w:spacing w:before="33" w:line="179" w:lineRule="auto"/>
              <w:ind w:left="117" w:right="108"/>
              <w:jc w:val="both"/>
            </w:pPr>
            <w:r>
              <w:rPr>
                <w:spacing w:val="26"/>
              </w:rPr>
              <w:t>位和危险物品的生</w:t>
            </w:r>
            <w:r>
              <w:rPr>
                <w:spacing w:val="-3"/>
              </w:rPr>
              <w:t>产、经营、储存、装卸单位，未建立安全</w:t>
            </w:r>
            <w:r>
              <w:rPr>
                <w:spacing w:val="26"/>
              </w:rPr>
              <w:t>风险分级管控制度或者未按照安全风险分级采取相应管</w:t>
            </w:r>
            <w:r>
              <w:rPr>
                <w:spacing w:val="5"/>
              </w:rPr>
              <w:t>控措施的</w:t>
            </w:r>
          </w:p>
        </w:tc>
        <w:tc>
          <w:tcPr>
            <w:tcW w:w="2894" w:type="dxa"/>
            <w:vAlign w:val="top"/>
          </w:tcPr>
          <w:p w14:paraId="44B69A27">
            <w:pPr>
              <w:pStyle w:val="6"/>
              <w:spacing w:before="26" w:line="187" w:lineRule="auto"/>
              <w:ind w:left="117" w:right="104"/>
              <w:jc w:val="both"/>
            </w:pPr>
            <w:r>
              <w:rPr>
                <w:spacing w:val="8"/>
              </w:rPr>
              <w:t>逾期未改正的，责令停产</w:t>
            </w:r>
            <w:r>
              <w:rPr>
                <w:spacing w:val="-4"/>
              </w:rPr>
              <w:t>停业整顿，并处</w:t>
            </w:r>
            <w:r>
              <w:rPr>
                <w:rFonts w:ascii="宋体" w:hAnsi="宋体" w:eastAsia="宋体" w:cs="宋体"/>
                <w:spacing w:val="-4"/>
              </w:rPr>
              <w:t>15</w:t>
            </w:r>
            <w:r>
              <w:rPr>
                <w:spacing w:val="-4"/>
              </w:rPr>
              <w:t>万元以上</w:t>
            </w:r>
            <w:r>
              <w:rPr>
                <w:rFonts w:ascii="宋体" w:hAnsi="宋体" w:eastAsia="宋体" w:cs="宋体"/>
                <w:spacing w:val="-4"/>
              </w:rPr>
              <w:t>18</w:t>
            </w:r>
            <w:r>
              <w:rPr>
                <w:spacing w:val="-4"/>
              </w:rPr>
              <w:t>万元以下的罚款，对</w:t>
            </w:r>
            <w:r>
              <w:rPr>
                <w:spacing w:val="11"/>
              </w:rPr>
              <w:t>其直接负责的主管人员和</w:t>
            </w:r>
            <w:r>
              <w:rPr>
                <w:spacing w:val="8"/>
              </w:rPr>
              <w:t>其他直接责任人员处</w:t>
            </w:r>
            <w:r>
              <w:rPr>
                <w:rFonts w:ascii="宋体" w:hAnsi="宋体" w:eastAsia="宋体" w:cs="宋体"/>
                <w:spacing w:val="8"/>
              </w:rPr>
              <w:t>4</w:t>
            </w:r>
            <w:r>
              <w:rPr>
                <w:spacing w:val="8"/>
              </w:rPr>
              <w:t>万</w:t>
            </w:r>
            <w:r>
              <w:rPr>
                <w:spacing w:val="4"/>
              </w:rPr>
              <w:t>元以上</w:t>
            </w:r>
            <w:r>
              <w:rPr>
                <w:rFonts w:ascii="宋体" w:hAnsi="宋体" w:eastAsia="宋体" w:cs="宋体"/>
                <w:spacing w:val="4"/>
              </w:rPr>
              <w:t>5</w:t>
            </w:r>
            <w:r>
              <w:rPr>
                <w:spacing w:val="4"/>
              </w:rPr>
              <w:t>万元以下的罚款</w:t>
            </w:r>
          </w:p>
        </w:tc>
        <w:tc>
          <w:tcPr>
            <w:tcW w:w="811" w:type="dxa"/>
            <w:vMerge w:val="restart"/>
            <w:tcBorders>
              <w:bottom w:val="nil"/>
            </w:tcBorders>
            <w:vAlign w:val="top"/>
          </w:tcPr>
          <w:p w14:paraId="38EFC0FC">
            <w:pPr>
              <w:rPr>
                <w:rFonts w:ascii="Arial"/>
                <w:sz w:val="21"/>
              </w:rPr>
            </w:pPr>
          </w:p>
        </w:tc>
      </w:tr>
      <w:tr w14:paraId="78B63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818" w:type="dxa"/>
            <w:vMerge w:val="continue"/>
            <w:tcBorders>
              <w:top w:val="nil"/>
            </w:tcBorders>
            <w:vAlign w:val="top"/>
          </w:tcPr>
          <w:p w14:paraId="1E0F2685">
            <w:pPr>
              <w:rPr>
                <w:rFonts w:ascii="Arial"/>
                <w:sz w:val="21"/>
              </w:rPr>
            </w:pPr>
          </w:p>
        </w:tc>
        <w:tc>
          <w:tcPr>
            <w:tcW w:w="1440" w:type="dxa"/>
            <w:vMerge w:val="continue"/>
            <w:tcBorders>
              <w:top w:val="nil"/>
            </w:tcBorders>
            <w:vAlign w:val="top"/>
          </w:tcPr>
          <w:p w14:paraId="4ED4A318">
            <w:pPr>
              <w:rPr>
                <w:rFonts w:ascii="Arial"/>
                <w:sz w:val="21"/>
              </w:rPr>
            </w:pPr>
          </w:p>
        </w:tc>
        <w:tc>
          <w:tcPr>
            <w:tcW w:w="3202" w:type="dxa"/>
            <w:vMerge w:val="continue"/>
            <w:tcBorders>
              <w:top w:val="nil"/>
            </w:tcBorders>
            <w:vAlign w:val="top"/>
          </w:tcPr>
          <w:p w14:paraId="32847F42">
            <w:pPr>
              <w:rPr>
                <w:rFonts w:ascii="Arial"/>
                <w:sz w:val="21"/>
              </w:rPr>
            </w:pPr>
          </w:p>
        </w:tc>
        <w:tc>
          <w:tcPr>
            <w:tcW w:w="2859" w:type="dxa"/>
            <w:vMerge w:val="continue"/>
            <w:tcBorders>
              <w:top w:val="nil"/>
            </w:tcBorders>
            <w:vAlign w:val="top"/>
          </w:tcPr>
          <w:p w14:paraId="66F3D2B7">
            <w:pPr>
              <w:rPr>
                <w:rFonts w:ascii="Arial"/>
                <w:sz w:val="21"/>
              </w:rPr>
            </w:pPr>
          </w:p>
        </w:tc>
        <w:tc>
          <w:tcPr>
            <w:tcW w:w="803" w:type="dxa"/>
            <w:vAlign w:val="top"/>
          </w:tcPr>
          <w:p w14:paraId="72E87B7F">
            <w:pPr>
              <w:spacing w:line="298" w:lineRule="auto"/>
              <w:rPr>
                <w:rFonts w:ascii="Arial"/>
                <w:sz w:val="21"/>
              </w:rPr>
            </w:pPr>
          </w:p>
          <w:p w14:paraId="587A185B">
            <w:pPr>
              <w:spacing w:line="298" w:lineRule="auto"/>
              <w:rPr>
                <w:rFonts w:ascii="Arial"/>
                <w:sz w:val="21"/>
              </w:rPr>
            </w:pPr>
          </w:p>
          <w:p w14:paraId="32EF8CAB">
            <w:pPr>
              <w:spacing w:line="298" w:lineRule="auto"/>
              <w:rPr>
                <w:rFonts w:ascii="Arial"/>
                <w:sz w:val="21"/>
              </w:rPr>
            </w:pPr>
          </w:p>
          <w:p w14:paraId="0C9BDD5A">
            <w:pPr>
              <w:spacing w:line="299" w:lineRule="auto"/>
              <w:rPr>
                <w:rFonts w:ascii="Arial"/>
                <w:sz w:val="21"/>
              </w:rPr>
            </w:pPr>
          </w:p>
          <w:p w14:paraId="6EFBF8DC">
            <w:pPr>
              <w:spacing w:before="75" w:line="187" w:lineRule="auto"/>
              <w:ind w:left="343"/>
              <w:rPr>
                <w:rFonts w:ascii="宋体" w:hAnsi="宋体" w:eastAsia="宋体" w:cs="宋体"/>
                <w:sz w:val="23"/>
                <w:szCs w:val="23"/>
              </w:rPr>
            </w:pPr>
            <w:r>
              <w:rPr>
                <w:rFonts w:ascii="宋体" w:hAnsi="宋体" w:eastAsia="宋体" w:cs="宋体"/>
                <w:sz w:val="23"/>
                <w:szCs w:val="23"/>
              </w:rPr>
              <w:t>D</w:t>
            </w:r>
          </w:p>
        </w:tc>
        <w:tc>
          <w:tcPr>
            <w:tcW w:w="2283" w:type="dxa"/>
            <w:vAlign w:val="top"/>
          </w:tcPr>
          <w:p w14:paraId="53969AB1">
            <w:pPr>
              <w:pStyle w:val="6"/>
              <w:spacing w:before="30" w:line="180" w:lineRule="auto"/>
              <w:ind w:left="116" w:right="65" w:firstLine="1"/>
              <w:jc w:val="both"/>
            </w:pPr>
            <w:r>
              <w:rPr>
                <w:spacing w:val="-3"/>
              </w:rPr>
              <w:t>矿山、金属冶炼、建</w:t>
            </w:r>
            <w:r>
              <w:rPr>
                <w:spacing w:val="-2"/>
              </w:rPr>
              <w:t>筑施工、道路运输单</w:t>
            </w:r>
            <w:r>
              <w:rPr>
                <w:spacing w:val="26"/>
              </w:rPr>
              <w:t>位和危险物品的生</w:t>
            </w:r>
            <w:r>
              <w:rPr>
                <w:spacing w:val="-2"/>
              </w:rPr>
              <w:t>产、经营、储存、装卸单位，未建立安全</w:t>
            </w:r>
            <w:r>
              <w:rPr>
                <w:spacing w:val="2"/>
              </w:rPr>
              <w:t>风险分级管控制度，</w:t>
            </w:r>
            <w:r>
              <w:rPr>
                <w:spacing w:val="26"/>
              </w:rPr>
              <w:t>且未按照安全风险分级采取相应管控</w:t>
            </w:r>
            <w:r>
              <w:rPr>
                <w:spacing w:val="5"/>
              </w:rPr>
              <w:t>措施的</w:t>
            </w:r>
          </w:p>
        </w:tc>
        <w:tc>
          <w:tcPr>
            <w:tcW w:w="2894" w:type="dxa"/>
            <w:vAlign w:val="top"/>
          </w:tcPr>
          <w:p w14:paraId="07DCA1F5">
            <w:pPr>
              <w:pStyle w:val="6"/>
              <w:spacing w:before="177" w:line="186" w:lineRule="auto"/>
              <w:ind w:left="117" w:right="71" w:firstLine="10"/>
              <w:jc w:val="both"/>
            </w:pPr>
            <w:r>
              <w:rPr>
                <w:spacing w:val="4"/>
              </w:rPr>
              <w:t>责令限期改正，处</w:t>
            </w:r>
            <w:r>
              <w:rPr>
                <w:rFonts w:ascii="宋体" w:hAnsi="宋体" w:eastAsia="宋体" w:cs="宋体"/>
                <w:spacing w:val="4"/>
              </w:rPr>
              <w:t>8</w:t>
            </w:r>
            <w:r>
              <w:rPr>
                <w:spacing w:val="4"/>
              </w:rPr>
              <w:t>万元</w:t>
            </w:r>
            <w:r>
              <w:rPr>
                <w:spacing w:val="-1"/>
              </w:rPr>
              <w:t>以上</w:t>
            </w:r>
            <w:r>
              <w:rPr>
                <w:rFonts w:ascii="宋体" w:hAnsi="宋体" w:eastAsia="宋体" w:cs="宋体"/>
                <w:spacing w:val="-1"/>
              </w:rPr>
              <w:t>10</w:t>
            </w:r>
            <w:r>
              <w:rPr>
                <w:spacing w:val="-1"/>
              </w:rPr>
              <w:t>万元以下的罚款；</w:t>
            </w:r>
            <w:r>
              <w:rPr>
                <w:spacing w:val="8"/>
              </w:rPr>
              <w:t>逾期未改正的，责令停产</w:t>
            </w:r>
            <w:r>
              <w:rPr>
                <w:spacing w:val="-4"/>
              </w:rPr>
              <w:t>停业整顿，并处</w:t>
            </w:r>
            <w:r>
              <w:rPr>
                <w:rFonts w:ascii="宋体" w:hAnsi="宋体" w:eastAsia="宋体" w:cs="宋体"/>
                <w:spacing w:val="-4"/>
              </w:rPr>
              <w:t>18</w:t>
            </w:r>
            <w:r>
              <w:rPr>
                <w:spacing w:val="-4"/>
              </w:rPr>
              <w:t>万元以</w:t>
            </w:r>
            <w:r>
              <w:rPr>
                <w:spacing w:val="-2"/>
              </w:rPr>
              <w:t>上</w:t>
            </w:r>
            <w:r>
              <w:rPr>
                <w:rFonts w:ascii="宋体" w:hAnsi="宋体" w:eastAsia="宋体" w:cs="宋体"/>
                <w:spacing w:val="-2"/>
              </w:rPr>
              <w:t>20</w:t>
            </w:r>
            <w:r>
              <w:rPr>
                <w:spacing w:val="-2"/>
              </w:rPr>
              <w:t>万元以下的罚款，对</w:t>
            </w:r>
            <w:r>
              <w:rPr>
                <w:spacing w:val="11"/>
              </w:rPr>
              <w:t>其直接负责的主管人员和</w:t>
            </w:r>
            <w:r>
              <w:rPr>
                <w:spacing w:val="8"/>
              </w:rPr>
              <w:t>其他直接责任人员处</w:t>
            </w:r>
            <w:r>
              <w:rPr>
                <w:rFonts w:ascii="宋体" w:hAnsi="宋体" w:eastAsia="宋体" w:cs="宋体"/>
                <w:spacing w:val="8"/>
              </w:rPr>
              <w:t>5</w:t>
            </w:r>
            <w:r>
              <w:rPr>
                <w:spacing w:val="8"/>
              </w:rPr>
              <w:t>万</w:t>
            </w:r>
            <w:r>
              <w:rPr>
                <w:spacing w:val="6"/>
              </w:rPr>
              <w:t>元的罚款</w:t>
            </w:r>
          </w:p>
        </w:tc>
        <w:tc>
          <w:tcPr>
            <w:tcW w:w="811" w:type="dxa"/>
            <w:vMerge w:val="continue"/>
            <w:tcBorders>
              <w:top w:val="nil"/>
            </w:tcBorders>
            <w:vAlign w:val="top"/>
          </w:tcPr>
          <w:p w14:paraId="0757CAE9">
            <w:pPr>
              <w:rPr>
                <w:rFonts w:ascii="Arial"/>
                <w:sz w:val="21"/>
              </w:rPr>
            </w:pPr>
          </w:p>
        </w:tc>
      </w:tr>
      <w:tr w14:paraId="65EBE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818" w:type="dxa"/>
            <w:vMerge w:val="restart"/>
            <w:tcBorders>
              <w:bottom w:val="nil"/>
            </w:tcBorders>
            <w:vAlign w:val="top"/>
          </w:tcPr>
          <w:p w14:paraId="30FF5F4A">
            <w:pPr>
              <w:spacing w:line="243" w:lineRule="auto"/>
              <w:rPr>
                <w:rFonts w:ascii="Arial"/>
                <w:sz w:val="21"/>
              </w:rPr>
            </w:pPr>
          </w:p>
          <w:p w14:paraId="08E872FA">
            <w:pPr>
              <w:spacing w:line="243" w:lineRule="auto"/>
              <w:rPr>
                <w:rFonts w:ascii="Arial"/>
                <w:sz w:val="21"/>
              </w:rPr>
            </w:pPr>
          </w:p>
          <w:p w14:paraId="21128441">
            <w:pPr>
              <w:spacing w:line="243" w:lineRule="auto"/>
              <w:rPr>
                <w:rFonts w:ascii="Arial"/>
                <w:sz w:val="21"/>
              </w:rPr>
            </w:pPr>
          </w:p>
          <w:p w14:paraId="5BC7A939">
            <w:pPr>
              <w:spacing w:line="243" w:lineRule="auto"/>
              <w:rPr>
                <w:rFonts w:ascii="Arial"/>
                <w:sz w:val="21"/>
              </w:rPr>
            </w:pPr>
          </w:p>
          <w:p w14:paraId="50884A6A">
            <w:pPr>
              <w:spacing w:line="244" w:lineRule="auto"/>
              <w:rPr>
                <w:rFonts w:ascii="Arial"/>
                <w:sz w:val="21"/>
              </w:rPr>
            </w:pPr>
          </w:p>
          <w:p w14:paraId="40FD27DA">
            <w:pPr>
              <w:spacing w:line="244" w:lineRule="auto"/>
              <w:rPr>
                <w:rFonts w:ascii="Arial"/>
                <w:sz w:val="21"/>
              </w:rPr>
            </w:pPr>
          </w:p>
          <w:p w14:paraId="06D45E75">
            <w:pPr>
              <w:spacing w:line="244" w:lineRule="auto"/>
              <w:rPr>
                <w:rFonts w:ascii="Arial"/>
                <w:sz w:val="21"/>
              </w:rPr>
            </w:pPr>
          </w:p>
          <w:p w14:paraId="4E4D73E7">
            <w:pPr>
              <w:spacing w:line="244" w:lineRule="auto"/>
              <w:rPr>
                <w:rFonts w:ascii="Arial"/>
                <w:sz w:val="21"/>
              </w:rPr>
            </w:pPr>
          </w:p>
          <w:p w14:paraId="62CC34EB">
            <w:pPr>
              <w:spacing w:before="75" w:line="185" w:lineRule="auto"/>
              <w:ind w:left="234"/>
              <w:rPr>
                <w:rFonts w:ascii="仿宋" w:hAnsi="仿宋" w:eastAsia="仿宋" w:cs="仿宋"/>
                <w:sz w:val="23"/>
                <w:szCs w:val="23"/>
              </w:rPr>
            </w:pPr>
            <w:r>
              <w:rPr>
                <w:rFonts w:ascii="仿宋" w:hAnsi="仿宋" w:eastAsia="仿宋" w:cs="仿宋"/>
                <w:spacing w:val="-1"/>
                <w:sz w:val="23"/>
                <w:szCs w:val="23"/>
              </w:rPr>
              <w:t>45</w:t>
            </w:r>
          </w:p>
        </w:tc>
        <w:tc>
          <w:tcPr>
            <w:tcW w:w="1440" w:type="dxa"/>
            <w:vMerge w:val="restart"/>
            <w:tcBorders>
              <w:bottom w:val="nil"/>
            </w:tcBorders>
            <w:vAlign w:val="top"/>
          </w:tcPr>
          <w:p w14:paraId="038FEB69">
            <w:pPr>
              <w:spacing w:line="338" w:lineRule="auto"/>
              <w:rPr>
                <w:rFonts w:ascii="Arial"/>
                <w:sz w:val="21"/>
              </w:rPr>
            </w:pPr>
          </w:p>
          <w:p w14:paraId="0A63640F">
            <w:pPr>
              <w:spacing w:line="338" w:lineRule="auto"/>
              <w:rPr>
                <w:rFonts w:ascii="Arial"/>
                <w:sz w:val="21"/>
              </w:rPr>
            </w:pPr>
          </w:p>
          <w:p w14:paraId="0A110867">
            <w:pPr>
              <w:pStyle w:val="6"/>
              <w:spacing w:before="99" w:line="186" w:lineRule="auto"/>
              <w:ind w:left="114" w:right="111" w:firstLine="14"/>
            </w:pPr>
            <w:r>
              <w:rPr>
                <w:spacing w:val="8"/>
              </w:rPr>
              <w:t>生产经营单</w:t>
            </w:r>
            <w:r>
              <w:rPr>
                <w:spacing w:val="11"/>
              </w:rPr>
              <w:t>位未建立事故隐患排查</w:t>
            </w:r>
            <w:r>
              <w:rPr>
                <w:spacing w:val="2"/>
              </w:rPr>
              <w:t>治理制度，</w:t>
            </w:r>
            <w:r>
              <w:rPr>
                <w:spacing w:val="11"/>
              </w:rPr>
              <w:t>或者重大事故隐患排查治理情况未按照规定报</w:t>
            </w:r>
            <w:r>
              <w:rPr>
                <w:spacing w:val="3"/>
              </w:rPr>
              <w:t>告的</w:t>
            </w:r>
          </w:p>
        </w:tc>
        <w:tc>
          <w:tcPr>
            <w:tcW w:w="3202" w:type="dxa"/>
            <w:vMerge w:val="restart"/>
            <w:tcBorders>
              <w:bottom w:val="nil"/>
            </w:tcBorders>
            <w:vAlign w:val="top"/>
          </w:tcPr>
          <w:p w14:paraId="1DDBE228">
            <w:pPr>
              <w:pStyle w:val="6"/>
              <w:spacing w:before="38" w:line="181" w:lineRule="auto"/>
              <w:ind w:left="116" w:right="111" w:hanging="18"/>
            </w:pPr>
            <w:r>
              <w:rPr>
                <w:spacing w:val="18"/>
              </w:rPr>
              <w:t>【法律】《中华人民共和国</w:t>
            </w:r>
            <w:r>
              <w:rPr>
                <w:spacing w:val="17"/>
              </w:rPr>
              <w:t>安全生产法》第四十一条第</w:t>
            </w:r>
            <w:r>
              <w:rPr>
                <w:spacing w:val="12"/>
              </w:rPr>
              <w:t>二款：生产经营单位应当建</w:t>
            </w:r>
            <w:r>
              <w:rPr>
                <w:spacing w:val="17"/>
              </w:rPr>
              <w:t>立健全并落实生产安全事故</w:t>
            </w:r>
            <w:r>
              <w:rPr>
                <w:spacing w:val="13"/>
              </w:rPr>
              <w:t>隐患排查治理制度，采取技</w:t>
            </w:r>
            <w:r>
              <w:rPr>
                <w:spacing w:val="14"/>
              </w:rPr>
              <w:t>术、管理措施，及时发现并</w:t>
            </w:r>
            <w:r>
              <w:rPr>
                <w:spacing w:val="17"/>
              </w:rPr>
              <w:t>消除事故隐患。事故隐患排</w:t>
            </w:r>
            <w:r>
              <w:rPr>
                <w:spacing w:val="13"/>
              </w:rPr>
              <w:t>查治理情况应当如实记录，</w:t>
            </w:r>
            <w:r>
              <w:rPr>
                <w:spacing w:val="17"/>
              </w:rPr>
              <w:t>并通过职工大会或者职工代表大会、信息公示栏等方式</w:t>
            </w:r>
            <w:r>
              <w:rPr>
                <w:spacing w:val="12"/>
              </w:rPr>
              <w:t>向从业人员通报。其中，重</w:t>
            </w:r>
            <w:r>
              <w:rPr>
                <w:spacing w:val="17"/>
              </w:rPr>
              <w:t>大事故隐患排查治理情况应当及时向负有安全生产监督管理职责的部门和职工大会</w:t>
            </w:r>
          </w:p>
        </w:tc>
        <w:tc>
          <w:tcPr>
            <w:tcW w:w="2859" w:type="dxa"/>
            <w:vMerge w:val="restart"/>
            <w:tcBorders>
              <w:bottom w:val="nil"/>
            </w:tcBorders>
            <w:vAlign w:val="top"/>
          </w:tcPr>
          <w:p w14:paraId="7132719B">
            <w:pPr>
              <w:pStyle w:val="6"/>
              <w:spacing w:before="38" w:line="181" w:lineRule="auto"/>
              <w:ind w:left="114" w:right="38" w:hanging="17"/>
              <w:jc w:val="both"/>
            </w:pPr>
            <w:r>
              <w:rPr>
                <w:spacing w:val="10"/>
              </w:rPr>
              <w:t>【法律】《中华人民共和</w:t>
            </w:r>
            <w:r>
              <w:rPr>
                <w:spacing w:val="8"/>
              </w:rPr>
              <w:t>国安全生产法》第一百零一条第五项：生产经营单</w:t>
            </w:r>
            <w:r>
              <w:rPr>
                <w:spacing w:val="4"/>
              </w:rPr>
              <w:t>位有下列行为之一的，责</w:t>
            </w:r>
            <w:r>
              <w:rPr>
                <w:spacing w:val="8"/>
              </w:rPr>
              <w:t>令限期改正，处十万元以</w:t>
            </w:r>
            <w:r>
              <w:rPr>
                <w:spacing w:val="-5"/>
              </w:rPr>
              <w:t>下的罚款；逾期未改正的，</w:t>
            </w:r>
            <w:r>
              <w:rPr>
                <w:spacing w:val="8"/>
              </w:rPr>
              <w:t>责令停产停业整顿，并处十万元以上二十万元以下</w:t>
            </w:r>
            <w:r>
              <w:rPr>
                <w:spacing w:val="4"/>
              </w:rPr>
              <w:t>的罚款，对其直接负责的</w:t>
            </w:r>
            <w:r>
              <w:rPr>
                <w:spacing w:val="8"/>
              </w:rPr>
              <w:t>主管人员和其他直接责任人员处二万元以上五万元</w:t>
            </w:r>
            <w:r>
              <w:rPr>
                <w:spacing w:val="-5"/>
              </w:rPr>
              <w:t>以下的罚款；构成犯罪的，</w:t>
            </w:r>
            <w:r>
              <w:rPr>
                <w:spacing w:val="8"/>
              </w:rPr>
              <w:t>依照刑法有关规定追究刑</w:t>
            </w:r>
            <w:r>
              <w:rPr>
                <w:spacing w:val="5"/>
              </w:rPr>
              <w:t>事责任</w:t>
            </w:r>
            <w:r>
              <w:t>：（</w:t>
            </w:r>
            <w:r>
              <w:rPr>
                <w:spacing w:val="5"/>
              </w:rPr>
              <w:t>五）未建立事</w:t>
            </w:r>
          </w:p>
        </w:tc>
        <w:tc>
          <w:tcPr>
            <w:tcW w:w="803" w:type="dxa"/>
            <w:vAlign w:val="top"/>
          </w:tcPr>
          <w:p w14:paraId="2CBFBDCF">
            <w:pPr>
              <w:spacing w:line="248" w:lineRule="auto"/>
              <w:rPr>
                <w:rFonts w:ascii="Arial"/>
                <w:sz w:val="21"/>
              </w:rPr>
            </w:pPr>
          </w:p>
          <w:p w14:paraId="0C95F1B7">
            <w:pPr>
              <w:spacing w:line="248" w:lineRule="auto"/>
              <w:rPr>
                <w:rFonts w:ascii="Arial"/>
                <w:sz w:val="21"/>
              </w:rPr>
            </w:pPr>
          </w:p>
          <w:p w14:paraId="501404A5">
            <w:pPr>
              <w:spacing w:line="248" w:lineRule="auto"/>
              <w:rPr>
                <w:rFonts w:ascii="Arial"/>
                <w:sz w:val="21"/>
              </w:rPr>
            </w:pPr>
          </w:p>
          <w:p w14:paraId="499B5DF0">
            <w:pPr>
              <w:spacing w:line="248" w:lineRule="auto"/>
              <w:rPr>
                <w:rFonts w:ascii="Arial"/>
                <w:sz w:val="21"/>
              </w:rPr>
            </w:pPr>
          </w:p>
          <w:p w14:paraId="18422178">
            <w:pPr>
              <w:spacing w:line="248" w:lineRule="auto"/>
              <w:rPr>
                <w:rFonts w:ascii="Arial"/>
                <w:sz w:val="21"/>
              </w:rPr>
            </w:pPr>
          </w:p>
          <w:p w14:paraId="39280AF8">
            <w:pPr>
              <w:spacing w:line="248" w:lineRule="auto"/>
              <w:rPr>
                <w:rFonts w:ascii="Arial"/>
                <w:sz w:val="21"/>
              </w:rPr>
            </w:pPr>
          </w:p>
          <w:p w14:paraId="07D81420">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623BB45A">
            <w:pPr>
              <w:pStyle w:val="6"/>
              <w:spacing w:before="37" w:line="180" w:lineRule="auto"/>
              <w:ind w:left="116" w:right="108" w:firstLine="1"/>
              <w:jc w:val="both"/>
            </w:pPr>
            <w:r>
              <w:rPr>
                <w:spacing w:val="-3"/>
              </w:rPr>
              <w:t>矿山、金属冶炼、建</w:t>
            </w:r>
            <w:r>
              <w:rPr>
                <w:spacing w:val="-2"/>
              </w:rPr>
              <w:t>筑施工、道路运输单</w:t>
            </w:r>
            <w:r>
              <w:rPr>
                <w:spacing w:val="26"/>
              </w:rPr>
              <w:t>位和危险物品的生</w:t>
            </w:r>
            <w:r>
              <w:rPr>
                <w:spacing w:val="-2"/>
              </w:rPr>
              <w:t>产、经营、储存、装</w:t>
            </w:r>
            <w:r>
              <w:rPr>
                <w:spacing w:val="26"/>
              </w:rPr>
              <w:t>卸单位以外的其他</w:t>
            </w:r>
            <w:r>
              <w:rPr>
                <w:spacing w:val="-2"/>
              </w:rPr>
              <w:t>生产经营单位，未建</w:t>
            </w:r>
            <w:r>
              <w:rPr>
                <w:spacing w:val="26"/>
              </w:rPr>
              <w:t>立事故隐患排查治</w:t>
            </w:r>
            <w:r>
              <w:rPr>
                <w:spacing w:val="-2"/>
              </w:rPr>
              <w:t>理制度，或者重大事</w:t>
            </w:r>
            <w:r>
              <w:rPr>
                <w:spacing w:val="26"/>
              </w:rPr>
              <w:t>故隐患排查治理情况未按照规定报告</w:t>
            </w:r>
            <w:r>
              <w:t>的</w:t>
            </w:r>
          </w:p>
        </w:tc>
        <w:tc>
          <w:tcPr>
            <w:tcW w:w="2894" w:type="dxa"/>
            <w:vAlign w:val="top"/>
          </w:tcPr>
          <w:p w14:paraId="5B15269F">
            <w:pPr>
              <w:spacing w:line="376" w:lineRule="auto"/>
              <w:rPr>
                <w:rFonts w:ascii="Arial"/>
                <w:sz w:val="21"/>
              </w:rPr>
            </w:pPr>
          </w:p>
          <w:p w14:paraId="30F68B70">
            <w:pPr>
              <w:pStyle w:val="6"/>
              <w:spacing w:before="98" w:line="186" w:lineRule="auto"/>
              <w:ind w:left="126" w:right="103"/>
            </w:pPr>
            <w:r>
              <w:rPr>
                <w:spacing w:val="4"/>
              </w:rPr>
              <w:t>责令限期改正，处</w:t>
            </w:r>
            <w:r>
              <w:rPr>
                <w:rFonts w:ascii="宋体" w:hAnsi="宋体" w:eastAsia="宋体" w:cs="宋体"/>
                <w:spacing w:val="4"/>
              </w:rPr>
              <w:t>2</w:t>
            </w:r>
            <w:r>
              <w:rPr>
                <w:spacing w:val="4"/>
              </w:rPr>
              <w:t>万元</w:t>
            </w:r>
            <w:r>
              <w:rPr>
                <w:spacing w:val="8"/>
              </w:rPr>
              <w:t>以下的罚款；逾期未改正</w:t>
            </w:r>
            <w:r>
              <w:rPr>
                <w:spacing w:val="6"/>
              </w:rPr>
              <w:t>的，责令停产停业整顿，</w:t>
            </w:r>
            <w:r>
              <w:rPr>
                <w:spacing w:val="-2"/>
              </w:rPr>
              <w:t>并处</w:t>
            </w:r>
            <w:r>
              <w:rPr>
                <w:rFonts w:ascii="宋体" w:hAnsi="宋体" w:eastAsia="宋体" w:cs="宋体"/>
                <w:spacing w:val="-2"/>
              </w:rPr>
              <w:t>10</w:t>
            </w:r>
            <w:r>
              <w:rPr>
                <w:spacing w:val="-2"/>
              </w:rPr>
              <w:t>万元以上</w:t>
            </w:r>
            <w:r>
              <w:rPr>
                <w:rFonts w:ascii="宋体" w:hAnsi="宋体" w:eastAsia="宋体" w:cs="宋体"/>
                <w:spacing w:val="-2"/>
              </w:rPr>
              <w:t>12</w:t>
            </w:r>
            <w:r>
              <w:rPr>
                <w:spacing w:val="-2"/>
              </w:rPr>
              <w:t>万元</w:t>
            </w:r>
            <w:r>
              <w:rPr>
                <w:spacing w:val="7"/>
              </w:rPr>
              <w:t>以下的罚款，对其直接负</w:t>
            </w:r>
            <w:r>
              <w:rPr>
                <w:spacing w:val="11"/>
              </w:rPr>
              <w:t>责的主管人员和其他直接</w:t>
            </w:r>
            <w:r>
              <w:rPr>
                <w:spacing w:val="9"/>
              </w:rPr>
              <w:t>责任人员处</w:t>
            </w:r>
            <w:r>
              <w:rPr>
                <w:rFonts w:ascii="宋体" w:hAnsi="宋体" w:eastAsia="宋体" w:cs="宋体"/>
                <w:spacing w:val="9"/>
              </w:rPr>
              <w:t>2</w:t>
            </w:r>
            <w:r>
              <w:rPr>
                <w:spacing w:val="9"/>
              </w:rPr>
              <w:t>万元以上</w:t>
            </w:r>
            <w:r>
              <w:rPr>
                <w:rFonts w:ascii="宋体" w:hAnsi="宋体" w:eastAsia="宋体" w:cs="宋体"/>
                <w:spacing w:val="9"/>
              </w:rPr>
              <w:t>3</w:t>
            </w:r>
            <w:r>
              <w:rPr>
                <w:spacing w:val="6"/>
              </w:rPr>
              <w:t>万元以下的罚款</w:t>
            </w:r>
          </w:p>
        </w:tc>
        <w:tc>
          <w:tcPr>
            <w:tcW w:w="811" w:type="dxa"/>
            <w:vMerge w:val="restart"/>
            <w:tcBorders>
              <w:bottom w:val="nil"/>
            </w:tcBorders>
            <w:vAlign w:val="top"/>
          </w:tcPr>
          <w:p w14:paraId="1CE87B3B">
            <w:pPr>
              <w:spacing w:line="243" w:lineRule="auto"/>
              <w:rPr>
                <w:rFonts w:ascii="Arial"/>
                <w:sz w:val="21"/>
              </w:rPr>
            </w:pPr>
          </w:p>
          <w:p w14:paraId="3CE8ED55">
            <w:pPr>
              <w:spacing w:line="243" w:lineRule="auto"/>
              <w:rPr>
                <w:rFonts w:ascii="Arial"/>
                <w:sz w:val="21"/>
              </w:rPr>
            </w:pPr>
          </w:p>
          <w:p w14:paraId="2C9E9817">
            <w:pPr>
              <w:spacing w:line="243" w:lineRule="auto"/>
              <w:rPr>
                <w:rFonts w:ascii="Arial"/>
                <w:sz w:val="21"/>
              </w:rPr>
            </w:pPr>
          </w:p>
          <w:p w14:paraId="408778AF">
            <w:pPr>
              <w:spacing w:line="243" w:lineRule="auto"/>
              <w:rPr>
                <w:rFonts w:ascii="Arial"/>
                <w:sz w:val="21"/>
              </w:rPr>
            </w:pPr>
          </w:p>
          <w:p w14:paraId="72CBA3D7">
            <w:pPr>
              <w:spacing w:line="243" w:lineRule="auto"/>
              <w:rPr>
                <w:rFonts w:ascii="Arial"/>
                <w:sz w:val="21"/>
              </w:rPr>
            </w:pPr>
          </w:p>
          <w:p w14:paraId="6A057F04">
            <w:pPr>
              <w:spacing w:line="243" w:lineRule="auto"/>
              <w:rPr>
                <w:rFonts w:ascii="Arial"/>
                <w:sz w:val="21"/>
              </w:rPr>
            </w:pPr>
          </w:p>
          <w:p w14:paraId="1DB678B6">
            <w:pPr>
              <w:spacing w:line="243" w:lineRule="auto"/>
              <w:rPr>
                <w:rFonts w:ascii="Arial"/>
                <w:sz w:val="21"/>
              </w:rPr>
            </w:pPr>
          </w:p>
          <w:p w14:paraId="561993B8">
            <w:pPr>
              <w:spacing w:line="243" w:lineRule="auto"/>
              <w:rPr>
                <w:rFonts w:ascii="Arial"/>
                <w:sz w:val="21"/>
              </w:rPr>
            </w:pPr>
          </w:p>
          <w:p w14:paraId="5B1236D7">
            <w:pPr>
              <w:spacing w:before="75" w:line="188" w:lineRule="auto"/>
              <w:ind w:left="295"/>
              <w:rPr>
                <w:rFonts w:ascii="宋体" w:hAnsi="宋体" w:eastAsia="宋体" w:cs="宋体"/>
                <w:sz w:val="23"/>
                <w:szCs w:val="23"/>
              </w:rPr>
            </w:pPr>
            <w:r>
              <w:rPr>
                <w:rFonts w:ascii="宋体" w:hAnsi="宋体" w:eastAsia="宋体" w:cs="宋体"/>
                <w:spacing w:val="-4"/>
                <w:sz w:val="23"/>
                <w:szCs w:val="23"/>
              </w:rPr>
              <w:t>33</w:t>
            </w:r>
          </w:p>
        </w:tc>
      </w:tr>
      <w:tr w14:paraId="38E44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818" w:type="dxa"/>
            <w:vMerge w:val="continue"/>
            <w:tcBorders>
              <w:top w:val="nil"/>
            </w:tcBorders>
            <w:vAlign w:val="top"/>
          </w:tcPr>
          <w:p w14:paraId="2E6D3F96">
            <w:pPr>
              <w:rPr>
                <w:rFonts w:ascii="Arial"/>
                <w:sz w:val="21"/>
              </w:rPr>
            </w:pPr>
          </w:p>
        </w:tc>
        <w:tc>
          <w:tcPr>
            <w:tcW w:w="1440" w:type="dxa"/>
            <w:vMerge w:val="continue"/>
            <w:tcBorders>
              <w:top w:val="nil"/>
            </w:tcBorders>
            <w:vAlign w:val="top"/>
          </w:tcPr>
          <w:p w14:paraId="6A90910F">
            <w:pPr>
              <w:rPr>
                <w:rFonts w:ascii="Arial"/>
                <w:sz w:val="21"/>
              </w:rPr>
            </w:pPr>
          </w:p>
        </w:tc>
        <w:tc>
          <w:tcPr>
            <w:tcW w:w="3202" w:type="dxa"/>
            <w:vMerge w:val="continue"/>
            <w:tcBorders>
              <w:top w:val="nil"/>
            </w:tcBorders>
            <w:vAlign w:val="top"/>
          </w:tcPr>
          <w:p w14:paraId="20C04FBE">
            <w:pPr>
              <w:rPr>
                <w:rFonts w:ascii="Arial"/>
                <w:sz w:val="21"/>
              </w:rPr>
            </w:pPr>
          </w:p>
        </w:tc>
        <w:tc>
          <w:tcPr>
            <w:tcW w:w="2859" w:type="dxa"/>
            <w:vMerge w:val="continue"/>
            <w:tcBorders>
              <w:top w:val="nil"/>
            </w:tcBorders>
            <w:vAlign w:val="top"/>
          </w:tcPr>
          <w:p w14:paraId="0768448A">
            <w:pPr>
              <w:rPr>
                <w:rFonts w:ascii="Arial"/>
                <w:sz w:val="21"/>
              </w:rPr>
            </w:pPr>
          </w:p>
        </w:tc>
        <w:tc>
          <w:tcPr>
            <w:tcW w:w="803" w:type="dxa"/>
            <w:vAlign w:val="top"/>
          </w:tcPr>
          <w:p w14:paraId="2445BDC8">
            <w:pPr>
              <w:spacing w:line="301" w:lineRule="auto"/>
              <w:rPr>
                <w:rFonts w:ascii="Arial"/>
                <w:sz w:val="21"/>
              </w:rPr>
            </w:pPr>
          </w:p>
          <w:p w14:paraId="389FA006">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3929C2E">
            <w:pPr>
              <w:pStyle w:val="6"/>
              <w:spacing w:before="33" w:line="175" w:lineRule="auto"/>
              <w:ind w:left="117" w:right="109"/>
              <w:jc w:val="both"/>
            </w:pPr>
            <w:r>
              <w:rPr>
                <w:spacing w:val="-3"/>
              </w:rPr>
              <w:t>矿山、金属冶炼、建筑施工、道路运输单</w:t>
            </w:r>
            <w:r>
              <w:rPr>
                <w:spacing w:val="26"/>
              </w:rPr>
              <w:t>位和危险物品的生</w:t>
            </w:r>
          </w:p>
        </w:tc>
        <w:tc>
          <w:tcPr>
            <w:tcW w:w="2894" w:type="dxa"/>
            <w:vAlign w:val="top"/>
          </w:tcPr>
          <w:p w14:paraId="3F546EB7">
            <w:pPr>
              <w:pStyle w:val="6"/>
              <w:spacing w:before="33" w:line="175" w:lineRule="auto"/>
              <w:ind w:left="117" w:right="103" w:firstLine="10"/>
            </w:pPr>
            <w:r>
              <w:rPr>
                <w:spacing w:val="4"/>
              </w:rPr>
              <w:t>责令限期改正，处</w:t>
            </w:r>
            <w:r>
              <w:rPr>
                <w:rFonts w:ascii="宋体" w:hAnsi="宋体" w:eastAsia="宋体" w:cs="宋体"/>
                <w:spacing w:val="4"/>
              </w:rPr>
              <w:t>2</w:t>
            </w:r>
            <w:r>
              <w:rPr>
                <w:spacing w:val="4"/>
              </w:rPr>
              <w:t>万元</w:t>
            </w:r>
            <w:r>
              <w:rPr>
                <w:spacing w:val="3"/>
              </w:rPr>
              <w:t>以上</w:t>
            </w:r>
            <w:r>
              <w:rPr>
                <w:rFonts w:ascii="宋体" w:hAnsi="宋体" w:eastAsia="宋体" w:cs="宋体"/>
                <w:spacing w:val="3"/>
              </w:rPr>
              <w:t>5</w:t>
            </w:r>
            <w:r>
              <w:rPr>
                <w:spacing w:val="3"/>
              </w:rPr>
              <w:t>万元以下的罚款；</w:t>
            </w:r>
            <w:r>
              <w:rPr>
                <w:spacing w:val="8"/>
              </w:rPr>
              <w:t>逾期未改正的，责令停产</w:t>
            </w:r>
          </w:p>
        </w:tc>
        <w:tc>
          <w:tcPr>
            <w:tcW w:w="811" w:type="dxa"/>
            <w:vMerge w:val="continue"/>
            <w:tcBorders>
              <w:top w:val="nil"/>
            </w:tcBorders>
            <w:vAlign w:val="top"/>
          </w:tcPr>
          <w:p w14:paraId="4AAFCC69">
            <w:pPr>
              <w:rPr>
                <w:rFonts w:ascii="Arial"/>
                <w:sz w:val="21"/>
              </w:rPr>
            </w:pPr>
          </w:p>
        </w:tc>
      </w:tr>
    </w:tbl>
    <w:p w14:paraId="4EC6B2F4">
      <w:pPr>
        <w:pStyle w:val="2"/>
      </w:pPr>
    </w:p>
    <w:p w14:paraId="0AEEBEEC">
      <w:pPr>
        <w:sectPr>
          <w:footerReference r:id="rId64" w:type="default"/>
          <w:pgSz w:w="16839" w:h="11906"/>
          <w:pgMar w:top="1012" w:right="821" w:bottom="666" w:left="901" w:header="0" w:footer="388" w:gutter="0"/>
          <w:cols w:space="720" w:num="1"/>
        </w:sectPr>
      </w:pPr>
    </w:p>
    <w:p w14:paraId="504E8A47">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D352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7D4AE96">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30489653">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B97E215">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DC95A67">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633EB0E">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370A006">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1EA1535">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C1E3E78">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CCC1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restart"/>
            <w:tcBorders>
              <w:bottom w:val="nil"/>
            </w:tcBorders>
            <w:vAlign w:val="top"/>
          </w:tcPr>
          <w:p w14:paraId="03C4B567">
            <w:pPr>
              <w:rPr>
                <w:rFonts w:ascii="Arial"/>
                <w:sz w:val="21"/>
              </w:rPr>
            </w:pPr>
          </w:p>
        </w:tc>
        <w:tc>
          <w:tcPr>
            <w:tcW w:w="1440" w:type="dxa"/>
            <w:vMerge w:val="restart"/>
            <w:tcBorders>
              <w:bottom w:val="nil"/>
            </w:tcBorders>
            <w:vAlign w:val="top"/>
          </w:tcPr>
          <w:p w14:paraId="70A7B1C2">
            <w:pPr>
              <w:rPr>
                <w:rFonts w:ascii="Arial"/>
                <w:sz w:val="21"/>
              </w:rPr>
            </w:pPr>
          </w:p>
        </w:tc>
        <w:tc>
          <w:tcPr>
            <w:tcW w:w="3202" w:type="dxa"/>
            <w:vMerge w:val="restart"/>
            <w:tcBorders>
              <w:bottom w:val="nil"/>
            </w:tcBorders>
            <w:vAlign w:val="top"/>
          </w:tcPr>
          <w:p w14:paraId="7D0034A1">
            <w:pPr>
              <w:pStyle w:val="6"/>
              <w:spacing w:before="28" w:line="208" w:lineRule="auto"/>
              <w:ind w:left="121"/>
            </w:pPr>
            <w:r>
              <w:rPr>
                <w:spacing w:val="4"/>
              </w:rPr>
              <w:t>或者职工代表大会报告。</w:t>
            </w:r>
          </w:p>
        </w:tc>
        <w:tc>
          <w:tcPr>
            <w:tcW w:w="2859" w:type="dxa"/>
            <w:vMerge w:val="restart"/>
            <w:tcBorders>
              <w:bottom w:val="nil"/>
            </w:tcBorders>
            <w:vAlign w:val="top"/>
          </w:tcPr>
          <w:p w14:paraId="0EE198D6">
            <w:pPr>
              <w:pStyle w:val="6"/>
              <w:spacing w:before="29" w:line="191" w:lineRule="auto"/>
              <w:ind w:left="119" w:right="110" w:firstLine="5"/>
              <w:jc w:val="both"/>
            </w:pPr>
            <w:r>
              <w:rPr>
                <w:spacing w:val="1"/>
              </w:rPr>
              <w:t>故隐患排查治理制度，或</w:t>
            </w:r>
            <w:r>
              <w:rPr>
                <w:spacing w:val="8"/>
              </w:rPr>
              <w:t>者重大事故隐患排查治理</w:t>
            </w:r>
            <w:r>
              <w:rPr>
                <w:spacing w:val="5"/>
              </w:rPr>
              <w:t>情况未按照规定报告的。</w:t>
            </w:r>
          </w:p>
        </w:tc>
        <w:tc>
          <w:tcPr>
            <w:tcW w:w="803" w:type="dxa"/>
            <w:vAlign w:val="top"/>
          </w:tcPr>
          <w:p w14:paraId="6645B6E1">
            <w:pPr>
              <w:rPr>
                <w:rFonts w:ascii="Arial"/>
                <w:sz w:val="21"/>
              </w:rPr>
            </w:pPr>
          </w:p>
        </w:tc>
        <w:tc>
          <w:tcPr>
            <w:tcW w:w="2283" w:type="dxa"/>
            <w:vAlign w:val="top"/>
          </w:tcPr>
          <w:p w14:paraId="21CA266F">
            <w:pPr>
              <w:pStyle w:val="6"/>
              <w:spacing w:before="31" w:line="182" w:lineRule="auto"/>
              <w:ind w:left="122" w:right="108" w:hanging="3"/>
              <w:jc w:val="both"/>
            </w:pPr>
            <w:r>
              <w:rPr>
                <w:spacing w:val="-3"/>
              </w:rPr>
              <w:t>产、经营、储存、装</w:t>
            </w:r>
            <w:r>
              <w:rPr>
                <w:spacing w:val="25"/>
              </w:rPr>
              <w:t>卸单位以外的其他</w:t>
            </w:r>
            <w:r>
              <w:rPr>
                <w:spacing w:val="-3"/>
              </w:rPr>
              <w:t>生产经营单位，未建</w:t>
            </w:r>
            <w:r>
              <w:rPr>
                <w:spacing w:val="25"/>
              </w:rPr>
              <w:t>立事故隐患排查治</w:t>
            </w:r>
          </w:p>
          <w:p w14:paraId="33AC0C11">
            <w:pPr>
              <w:pStyle w:val="6"/>
              <w:spacing w:line="182" w:lineRule="auto"/>
              <w:ind w:left="116"/>
              <w:outlineLvl w:val="0"/>
            </w:pPr>
            <w:r>
              <w:rPr>
                <w:spacing w:val="-2"/>
              </w:rPr>
              <w:t>理制度，且重大事故</w:t>
            </w:r>
          </w:p>
          <w:p w14:paraId="2E3AA3A8">
            <w:pPr>
              <w:pStyle w:val="6"/>
              <w:spacing w:line="172" w:lineRule="auto"/>
              <w:ind w:left="118" w:right="109" w:firstLine="20"/>
            </w:pPr>
            <w:r>
              <w:rPr>
                <w:spacing w:val="23"/>
              </w:rPr>
              <w:t>隐患排查治理情况</w:t>
            </w:r>
            <w:r>
              <w:rPr>
                <w:spacing w:val="7"/>
              </w:rPr>
              <w:t>未按照规定报告的</w:t>
            </w:r>
          </w:p>
        </w:tc>
        <w:tc>
          <w:tcPr>
            <w:tcW w:w="2894" w:type="dxa"/>
            <w:vAlign w:val="top"/>
          </w:tcPr>
          <w:p w14:paraId="1B7B2FCD">
            <w:pPr>
              <w:pStyle w:val="6"/>
              <w:spacing w:before="25" w:line="188" w:lineRule="auto"/>
              <w:ind w:left="117" w:right="104" w:firstLine="2"/>
              <w:jc w:val="both"/>
            </w:pPr>
            <w:r>
              <w:rPr>
                <w:spacing w:val="-4"/>
              </w:rPr>
              <w:t>停业整顿，并处</w:t>
            </w:r>
            <w:r>
              <w:rPr>
                <w:rFonts w:ascii="宋体" w:hAnsi="宋体" w:eastAsia="宋体" w:cs="宋体"/>
                <w:spacing w:val="-4"/>
              </w:rPr>
              <w:t>12</w:t>
            </w:r>
            <w:r>
              <w:rPr>
                <w:spacing w:val="-4"/>
              </w:rPr>
              <w:t>万元以上</w:t>
            </w:r>
            <w:r>
              <w:rPr>
                <w:rFonts w:ascii="宋体" w:hAnsi="宋体" w:eastAsia="宋体" w:cs="宋体"/>
                <w:spacing w:val="-4"/>
              </w:rPr>
              <w:t>15</w:t>
            </w:r>
            <w:r>
              <w:rPr>
                <w:spacing w:val="-4"/>
              </w:rPr>
              <w:t>万元以下的罚款，对</w:t>
            </w:r>
            <w:r>
              <w:rPr>
                <w:spacing w:val="11"/>
              </w:rPr>
              <w:t>其直接负责的主管人员和</w:t>
            </w:r>
            <w:r>
              <w:rPr>
                <w:spacing w:val="8"/>
              </w:rPr>
              <w:t>其他直接责任人员处</w:t>
            </w:r>
            <w:r>
              <w:rPr>
                <w:rFonts w:ascii="宋体" w:hAnsi="宋体" w:eastAsia="宋体" w:cs="宋体"/>
                <w:spacing w:val="8"/>
              </w:rPr>
              <w:t>3</w:t>
            </w:r>
            <w:r>
              <w:rPr>
                <w:spacing w:val="8"/>
              </w:rPr>
              <w:t>万</w:t>
            </w:r>
            <w:r>
              <w:rPr>
                <w:spacing w:val="4"/>
              </w:rPr>
              <w:t>元以上</w:t>
            </w:r>
            <w:r>
              <w:rPr>
                <w:rFonts w:ascii="宋体" w:hAnsi="宋体" w:eastAsia="宋体" w:cs="宋体"/>
                <w:spacing w:val="4"/>
              </w:rPr>
              <w:t>4</w:t>
            </w:r>
            <w:r>
              <w:rPr>
                <w:spacing w:val="4"/>
              </w:rPr>
              <w:t>万元以下的罚款</w:t>
            </w:r>
          </w:p>
        </w:tc>
        <w:tc>
          <w:tcPr>
            <w:tcW w:w="811" w:type="dxa"/>
            <w:vMerge w:val="restart"/>
            <w:tcBorders>
              <w:bottom w:val="nil"/>
            </w:tcBorders>
            <w:vAlign w:val="top"/>
          </w:tcPr>
          <w:p w14:paraId="7D534B05">
            <w:pPr>
              <w:rPr>
                <w:rFonts w:ascii="Arial"/>
                <w:sz w:val="21"/>
              </w:rPr>
            </w:pPr>
          </w:p>
        </w:tc>
      </w:tr>
      <w:tr w14:paraId="2FAF8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trPr>
        <w:tc>
          <w:tcPr>
            <w:tcW w:w="818" w:type="dxa"/>
            <w:vMerge w:val="continue"/>
            <w:tcBorders>
              <w:top w:val="nil"/>
              <w:bottom w:val="nil"/>
            </w:tcBorders>
            <w:vAlign w:val="top"/>
          </w:tcPr>
          <w:p w14:paraId="6DDF6CB4">
            <w:pPr>
              <w:rPr>
                <w:rFonts w:ascii="Arial"/>
                <w:sz w:val="21"/>
              </w:rPr>
            </w:pPr>
          </w:p>
        </w:tc>
        <w:tc>
          <w:tcPr>
            <w:tcW w:w="1440" w:type="dxa"/>
            <w:vMerge w:val="continue"/>
            <w:tcBorders>
              <w:top w:val="nil"/>
              <w:bottom w:val="nil"/>
            </w:tcBorders>
            <w:vAlign w:val="top"/>
          </w:tcPr>
          <w:p w14:paraId="4A28D9E7">
            <w:pPr>
              <w:rPr>
                <w:rFonts w:ascii="Arial"/>
                <w:sz w:val="21"/>
              </w:rPr>
            </w:pPr>
          </w:p>
        </w:tc>
        <w:tc>
          <w:tcPr>
            <w:tcW w:w="3202" w:type="dxa"/>
            <w:vMerge w:val="continue"/>
            <w:tcBorders>
              <w:top w:val="nil"/>
              <w:bottom w:val="nil"/>
            </w:tcBorders>
            <w:vAlign w:val="top"/>
          </w:tcPr>
          <w:p w14:paraId="16056CB4">
            <w:pPr>
              <w:rPr>
                <w:rFonts w:ascii="Arial"/>
                <w:sz w:val="21"/>
              </w:rPr>
            </w:pPr>
          </w:p>
        </w:tc>
        <w:tc>
          <w:tcPr>
            <w:tcW w:w="2859" w:type="dxa"/>
            <w:vMerge w:val="continue"/>
            <w:tcBorders>
              <w:top w:val="nil"/>
              <w:bottom w:val="nil"/>
            </w:tcBorders>
            <w:vAlign w:val="top"/>
          </w:tcPr>
          <w:p w14:paraId="11115842">
            <w:pPr>
              <w:rPr>
                <w:rFonts w:ascii="Arial"/>
                <w:sz w:val="21"/>
              </w:rPr>
            </w:pPr>
          </w:p>
        </w:tc>
        <w:tc>
          <w:tcPr>
            <w:tcW w:w="803" w:type="dxa"/>
            <w:vAlign w:val="top"/>
          </w:tcPr>
          <w:p w14:paraId="4767E1BF">
            <w:pPr>
              <w:spacing w:line="298" w:lineRule="auto"/>
              <w:rPr>
                <w:rFonts w:ascii="Arial"/>
                <w:sz w:val="21"/>
              </w:rPr>
            </w:pPr>
          </w:p>
          <w:p w14:paraId="45CE15BF">
            <w:pPr>
              <w:spacing w:line="298" w:lineRule="auto"/>
              <w:rPr>
                <w:rFonts w:ascii="Arial"/>
                <w:sz w:val="21"/>
              </w:rPr>
            </w:pPr>
          </w:p>
          <w:p w14:paraId="72AA395C">
            <w:pPr>
              <w:spacing w:line="298" w:lineRule="auto"/>
              <w:rPr>
                <w:rFonts w:ascii="Arial"/>
                <w:sz w:val="21"/>
              </w:rPr>
            </w:pPr>
          </w:p>
          <w:p w14:paraId="1C62197C">
            <w:pPr>
              <w:spacing w:line="298" w:lineRule="auto"/>
              <w:rPr>
                <w:rFonts w:ascii="Arial"/>
                <w:sz w:val="21"/>
              </w:rPr>
            </w:pPr>
          </w:p>
          <w:p w14:paraId="178405D4">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255FA1D">
            <w:pPr>
              <w:pStyle w:val="6"/>
              <w:spacing w:before="29" w:line="180" w:lineRule="auto"/>
              <w:ind w:left="117" w:right="65"/>
              <w:jc w:val="both"/>
            </w:pPr>
            <w:r>
              <w:rPr>
                <w:spacing w:val="-3"/>
              </w:rPr>
              <w:t>矿山、金属冶炼、建筑施工、道路运输单</w:t>
            </w:r>
            <w:bookmarkStart w:id="436" w:name="bookmark98"/>
            <w:bookmarkEnd w:id="436"/>
            <w:r>
              <w:rPr>
                <w:spacing w:val="26"/>
              </w:rPr>
              <w:t>位和危险物品的生</w:t>
            </w:r>
            <w:r>
              <w:rPr>
                <w:spacing w:val="-3"/>
              </w:rPr>
              <w:t>产、经营、储存、装卸单位，未建立事故</w:t>
            </w:r>
            <w:r>
              <w:rPr>
                <w:spacing w:val="2"/>
              </w:rPr>
              <w:t>隐患排查治理制度，</w:t>
            </w:r>
            <w:r>
              <w:rPr>
                <w:spacing w:val="26"/>
              </w:rPr>
              <w:t>或者重大事故隐患排查治理情况未按</w:t>
            </w:r>
            <w:r>
              <w:rPr>
                <w:spacing w:val="7"/>
              </w:rPr>
              <w:t>照规定报告的</w:t>
            </w:r>
          </w:p>
        </w:tc>
        <w:tc>
          <w:tcPr>
            <w:tcW w:w="2894" w:type="dxa"/>
            <w:vAlign w:val="top"/>
          </w:tcPr>
          <w:p w14:paraId="7AA0A45D">
            <w:pPr>
              <w:pStyle w:val="6"/>
              <w:spacing w:before="176" w:line="186" w:lineRule="auto"/>
              <w:ind w:left="117" w:right="103" w:firstLine="10"/>
            </w:pPr>
            <w:r>
              <w:rPr>
                <w:spacing w:val="4"/>
              </w:rPr>
              <w:t>责令限期改正，处</w:t>
            </w:r>
            <w:r>
              <w:rPr>
                <w:rFonts w:ascii="宋体" w:hAnsi="宋体" w:eastAsia="宋体" w:cs="宋体"/>
                <w:spacing w:val="4"/>
              </w:rPr>
              <w:t>5</w:t>
            </w:r>
            <w:r>
              <w:rPr>
                <w:spacing w:val="4"/>
              </w:rPr>
              <w:t>万元</w:t>
            </w:r>
            <w:r>
              <w:rPr>
                <w:spacing w:val="3"/>
              </w:rPr>
              <w:t>以上</w:t>
            </w:r>
            <w:r>
              <w:rPr>
                <w:rFonts w:ascii="宋体" w:hAnsi="宋体" w:eastAsia="宋体" w:cs="宋体"/>
                <w:spacing w:val="3"/>
              </w:rPr>
              <w:t>8</w:t>
            </w:r>
            <w:r>
              <w:rPr>
                <w:spacing w:val="3"/>
              </w:rPr>
              <w:t>万元以下的罚款；</w:t>
            </w:r>
            <w:r>
              <w:rPr>
                <w:spacing w:val="8"/>
              </w:rPr>
              <w:t>逾期未改正的，责令停产</w:t>
            </w:r>
            <w:r>
              <w:rPr>
                <w:spacing w:val="-4"/>
              </w:rPr>
              <w:t>停业整顿，并处</w:t>
            </w:r>
            <w:r>
              <w:rPr>
                <w:rFonts w:ascii="宋体" w:hAnsi="宋体" w:eastAsia="宋体" w:cs="宋体"/>
                <w:spacing w:val="-4"/>
              </w:rPr>
              <w:t>15</w:t>
            </w:r>
            <w:r>
              <w:rPr>
                <w:spacing w:val="-4"/>
              </w:rPr>
              <w:t>万元以上</w:t>
            </w:r>
            <w:r>
              <w:rPr>
                <w:rFonts w:ascii="宋体" w:hAnsi="宋体" w:eastAsia="宋体" w:cs="宋体"/>
                <w:spacing w:val="-4"/>
              </w:rPr>
              <w:t>18</w:t>
            </w:r>
            <w:r>
              <w:rPr>
                <w:spacing w:val="-4"/>
              </w:rPr>
              <w:t>万元以下的罚款，对</w:t>
            </w:r>
            <w:r>
              <w:rPr>
                <w:spacing w:val="11"/>
              </w:rPr>
              <w:t>其直接负责的主管人员和</w:t>
            </w:r>
            <w:r>
              <w:rPr>
                <w:spacing w:val="8"/>
              </w:rPr>
              <w:t>其他直接责任人员处</w:t>
            </w:r>
            <w:r>
              <w:rPr>
                <w:rFonts w:ascii="宋体" w:hAnsi="宋体" w:eastAsia="宋体" w:cs="宋体"/>
                <w:spacing w:val="8"/>
              </w:rPr>
              <w:t>4</w:t>
            </w:r>
            <w:r>
              <w:rPr>
                <w:spacing w:val="8"/>
              </w:rPr>
              <w:t>万</w:t>
            </w:r>
            <w:r>
              <w:rPr>
                <w:spacing w:val="4"/>
              </w:rPr>
              <w:t>元以上</w:t>
            </w:r>
            <w:r>
              <w:rPr>
                <w:rFonts w:ascii="宋体" w:hAnsi="宋体" w:eastAsia="宋体" w:cs="宋体"/>
                <w:spacing w:val="4"/>
              </w:rPr>
              <w:t>5</w:t>
            </w:r>
            <w:r>
              <w:rPr>
                <w:spacing w:val="4"/>
              </w:rPr>
              <w:t>万元以下的罚款</w:t>
            </w:r>
          </w:p>
        </w:tc>
        <w:tc>
          <w:tcPr>
            <w:tcW w:w="811" w:type="dxa"/>
            <w:vMerge w:val="continue"/>
            <w:tcBorders>
              <w:top w:val="nil"/>
              <w:bottom w:val="nil"/>
            </w:tcBorders>
            <w:vAlign w:val="top"/>
          </w:tcPr>
          <w:p w14:paraId="5E578E49">
            <w:pPr>
              <w:rPr>
                <w:rFonts w:ascii="Arial"/>
                <w:sz w:val="21"/>
              </w:rPr>
            </w:pPr>
          </w:p>
        </w:tc>
      </w:tr>
      <w:tr w14:paraId="05139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818" w:type="dxa"/>
            <w:vMerge w:val="continue"/>
            <w:tcBorders>
              <w:top w:val="nil"/>
            </w:tcBorders>
            <w:vAlign w:val="top"/>
          </w:tcPr>
          <w:p w14:paraId="43AB6E51">
            <w:pPr>
              <w:rPr>
                <w:rFonts w:ascii="Arial"/>
                <w:sz w:val="21"/>
              </w:rPr>
            </w:pPr>
          </w:p>
        </w:tc>
        <w:tc>
          <w:tcPr>
            <w:tcW w:w="1440" w:type="dxa"/>
            <w:vMerge w:val="continue"/>
            <w:tcBorders>
              <w:top w:val="nil"/>
            </w:tcBorders>
            <w:vAlign w:val="top"/>
          </w:tcPr>
          <w:p w14:paraId="20528A63">
            <w:pPr>
              <w:rPr>
                <w:rFonts w:ascii="Arial"/>
                <w:sz w:val="21"/>
              </w:rPr>
            </w:pPr>
          </w:p>
        </w:tc>
        <w:tc>
          <w:tcPr>
            <w:tcW w:w="3202" w:type="dxa"/>
            <w:vMerge w:val="continue"/>
            <w:tcBorders>
              <w:top w:val="nil"/>
            </w:tcBorders>
            <w:vAlign w:val="top"/>
          </w:tcPr>
          <w:p w14:paraId="671C6D8F">
            <w:pPr>
              <w:rPr>
                <w:rFonts w:ascii="Arial"/>
                <w:sz w:val="21"/>
              </w:rPr>
            </w:pPr>
          </w:p>
        </w:tc>
        <w:tc>
          <w:tcPr>
            <w:tcW w:w="2859" w:type="dxa"/>
            <w:vMerge w:val="continue"/>
            <w:tcBorders>
              <w:top w:val="nil"/>
            </w:tcBorders>
            <w:vAlign w:val="top"/>
          </w:tcPr>
          <w:p w14:paraId="5A4AEF68">
            <w:pPr>
              <w:rPr>
                <w:rFonts w:ascii="Arial"/>
                <w:sz w:val="21"/>
              </w:rPr>
            </w:pPr>
          </w:p>
        </w:tc>
        <w:tc>
          <w:tcPr>
            <w:tcW w:w="803" w:type="dxa"/>
            <w:vAlign w:val="top"/>
          </w:tcPr>
          <w:p w14:paraId="51F3602A">
            <w:pPr>
              <w:spacing w:line="298" w:lineRule="auto"/>
              <w:rPr>
                <w:rFonts w:ascii="Arial"/>
                <w:sz w:val="21"/>
              </w:rPr>
            </w:pPr>
          </w:p>
          <w:p w14:paraId="18C96668">
            <w:pPr>
              <w:spacing w:line="299" w:lineRule="auto"/>
              <w:rPr>
                <w:rFonts w:ascii="Arial"/>
                <w:sz w:val="21"/>
              </w:rPr>
            </w:pPr>
          </w:p>
          <w:p w14:paraId="5A849720">
            <w:pPr>
              <w:spacing w:line="299" w:lineRule="auto"/>
              <w:rPr>
                <w:rFonts w:ascii="Arial"/>
                <w:sz w:val="21"/>
              </w:rPr>
            </w:pPr>
          </w:p>
          <w:p w14:paraId="301361C2">
            <w:pPr>
              <w:spacing w:line="299" w:lineRule="auto"/>
              <w:rPr>
                <w:rFonts w:ascii="Arial"/>
                <w:sz w:val="21"/>
              </w:rPr>
            </w:pPr>
          </w:p>
          <w:p w14:paraId="61CAF68A">
            <w:pPr>
              <w:spacing w:before="75" w:line="187" w:lineRule="auto"/>
              <w:ind w:left="343"/>
              <w:rPr>
                <w:rFonts w:ascii="宋体" w:hAnsi="宋体" w:eastAsia="宋体" w:cs="宋体"/>
                <w:sz w:val="23"/>
                <w:szCs w:val="23"/>
              </w:rPr>
            </w:pPr>
            <w:r>
              <w:rPr>
                <w:rFonts w:ascii="宋体" w:hAnsi="宋体" w:eastAsia="宋体" w:cs="宋体"/>
                <w:sz w:val="23"/>
                <w:szCs w:val="23"/>
              </w:rPr>
              <w:t>D</w:t>
            </w:r>
          </w:p>
        </w:tc>
        <w:tc>
          <w:tcPr>
            <w:tcW w:w="2283" w:type="dxa"/>
            <w:vAlign w:val="top"/>
          </w:tcPr>
          <w:p w14:paraId="34139663">
            <w:pPr>
              <w:pStyle w:val="6"/>
              <w:spacing w:before="30" w:line="180" w:lineRule="auto"/>
              <w:ind w:left="116" w:right="65" w:firstLine="1"/>
              <w:jc w:val="both"/>
            </w:pPr>
            <w:r>
              <w:rPr>
                <w:spacing w:val="-3"/>
              </w:rPr>
              <w:t>矿山、金属冶炼、建</w:t>
            </w:r>
            <w:r>
              <w:rPr>
                <w:spacing w:val="-2"/>
              </w:rPr>
              <w:t>筑施工、道路运输单</w:t>
            </w:r>
            <w:r>
              <w:rPr>
                <w:spacing w:val="26"/>
              </w:rPr>
              <w:t>位和危险物品的生</w:t>
            </w:r>
            <w:r>
              <w:rPr>
                <w:spacing w:val="-2"/>
              </w:rPr>
              <w:t>产、经营、储存、装卸单位，未建立事故</w:t>
            </w:r>
            <w:r>
              <w:rPr>
                <w:spacing w:val="2"/>
              </w:rPr>
              <w:t>隐患排查治理制度，</w:t>
            </w:r>
            <w:r>
              <w:rPr>
                <w:spacing w:val="26"/>
              </w:rPr>
              <w:t>且重大事故隐患排查治理情况未按照</w:t>
            </w:r>
            <w:r>
              <w:rPr>
                <w:spacing w:val="7"/>
              </w:rPr>
              <w:t>规定报告的</w:t>
            </w:r>
          </w:p>
        </w:tc>
        <w:tc>
          <w:tcPr>
            <w:tcW w:w="2894" w:type="dxa"/>
            <w:vAlign w:val="top"/>
          </w:tcPr>
          <w:p w14:paraId="6C41C915">
            <w:pPr>
              <w:pStyle w:val="6"/>
              <w:spacing w:before="178" w:line="186" w:lineRule="auto"/>
              <w:ind w:left="117" w:right="71" w:firstLine="10"/>
              <w:jc w:val="both"/>
            </w:pPr>
            <w:r>
              <w:rPr>
                <w:spacing w:val="4"/>
              </w:rPr>
              <w:t>责令限期改正，处</w:t>
            </w:r>
            <w:r>
              <w:rPr>
                <w:rFonts w:ascii="宋体" w:hAnsi="宋体" w:eastAsia="宋体" w:cs="宋体"/>
                <w:spacing w:val="4"/>
              </w:rPr>
              <w:t>8</w:t>
            </w:r>
            <w:r>
              <w:rPr>
                <w:spacing w:val="4"/>
              </w:rPr>
              <w:t>万元</w:t>
            </w:r>
            <w:r>
              <w:rPr>
                <w:spacing w:val="-1"/>
              </w:rPr>
              <w:t>以上</w:t>
            </w:r>
            <w:r>
              <w:rPr>
                <w:rFonts w:ascii="宋体" w:hAnsi="宋体" w:eastAsia="宋体" w:cs="宋体"/>
                <w:spacing w:val="-1"/>
              </w:rPr>
              <w:t>10</w:t>
            </w:r>
            <w:r>
              <w:rPr>
                <w:spacing w:val="-1"/>
              </w:rPr>
              <w:t>万元以下的罚款；</w:t>
            </w:r>
            <w:r>
              <w:rPr>
                <w:spacing w:val="8"/>
              </w:rPr>
              <w:t>逾期未改正的，责令停产</w:t>
            </w:r>
            <w:r>
              <w:rPr>
                <w:spacing w:val="-4"/>
              </w:rPr>
              <w:t>停业整顿，并处</w:t>
            </w:r>
            <w:r>
              <w:rPr>
                <w:rFonts w:ascii="宋体" w:hAnsi="宋体" w:eastAsia="宋体" w:cs="宋体"/>
                <w:spacing w:val="-4"/>
              </w:rPr>
              <w:t>18</w:t>
            </w:r>
            <w:r>
              <w:rPr>
                <w:spacing w:val="-4"/>
              </w:rPr>
              <w:t>万元以</w:t>
            </w:r>
            <w:r>
              <w:rPr>
                <w:spacing w:val="-2"/>
              </w:rPr>
              <w:t>上</w:t>
            </w:r>
            <w:r>
              <w:rPr>
                <w:rFonts w:ascii="宋体" w:hAnsi="宋体" w:eastAsia="宋体" w:cs="宋体"/>
                <w:spacing w:val="-2"/>
              </w:rPr>
              <w:t>20</w:t>
            </w:r>
            <w:r>
              <w:rPr>
                <w:spacing w:val="-2"/>
              </w:rPr>
              <w:t>万元以下的罚款，对</w:t>
            </w:r>
            <w:r>
              <w:rPr>
                <w:spacing w:val="11"/>
              </w:rPr>
              <w:t>其直接负责的主管人员和</w:t>
            </w:r>
            <w:r>
              <w:rPr>
                <w:spacing w:val="8"/>
              </w:rPr>
              <w:t>其他直接责任人员处</w:t>
            </w:r>
            <w:r>
              <w:rPr>
                <w:rFonts w:ascii="宋体" w:hAnsi="宋体" w:eastAsia="宋体" w:cs="宋体"/>
                <w:spacing w:val="8"/>
              </w:rPr>
              <w:t>5</w:t>
            </w:r>
            <w:r>
              <w:rPr>
                <w:spacing w:val="8"/>
              </w:rPr>
              <w:t>万</w:t>
            </w:r>
            <w:r>
              <w:rPr>
                <w:spacing w:val="6"/>
              </w:rPr>
              <w:t>元的罚款</w:t>
            </w:r>
          </w:p>
        </w:tc>
        <w:tc>
          <w:tcPr>
            <w:tcW w:w="811" w:type="dxa"/>
            <w:vMerge w:val="continue"/>
            <w:tcBorders>
              <w:top w:val="nil"/>
            </w:tcBorders>
            <w:vAlign w:val="top"/>
          </w:tcPr>
          <w:p w14:paraId="45E67272">
            <w:pPr>
              <w:rPr>
                <w:rFonts w:ascii="Arial"/>
                <w:sz w:val="21"/>
              </w:rPr>
            </w:pPr>
          </w:p>
        </w:tc>
      </w:tr>
      <w:tr w14:paraId="41EA8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818" w:type="dxa"/>
            <w:vAlign w:val="top"/>
          </w:tcPr>
          <w:p w14:paraId="6EF94D7D">
            <w:pPr>
              <w:spacing w:line="301" w:lineRule="auto"/>
              <w:rPr>
                <w:rFonts w:ascii="Arial"/>
                <w:sz w:val="21"/>
              </w:rPr>
            </w:pPr>
          </w:p>
          <w:p w14:paraId="5E86D4EE">
            <w:pPr>
              <w:spacing w:line="301" w:lineRule="auto"/>
              <w:rPr>
                <w:rFonts w:ascii="Arial"/>
                <w:sz w:val="21"/>
              </w:rPr>
            </w:pPr>
          </w:p>
          <w:p w14:paraId="5E7B2E2D">
            <w:pPr>
              <w:spacing w:before="74" w:line="185" w:lineRule="auto"/>
              <w:ind w:left="234"/>
              <w:rPr>
                <w:rFonts w:ascii="仿宋" w:hAnsi="仿宋" w:eastAsia="仿宋" w:cs="仿宋"/>
                <w:sz w:val="23"/>
                <w:szCs w:val="23"/>
              </w:rPr>
            </w:pPr>
            <w:r>
              <w:rPr>
                <w:rFonts w:ascii="仿宋" w:hAnsi="仿宋" w:eastAsia="仿宋" w:cs="仿宋"/>
                <w:spacing w:val="-1"/>
                <w:sz w:val="23"/>
                <w:szCs w:val="23"/>
              </w:rPr>
              <w:t>46</w:t>
            </w:r>
          </w:p>
        </w:tc>
        <w:tc>
          <w:tcPr>
            <w:tcW w:w="1440" w:type="dxa"/>
            <w:vAlign w:val="top"/>
          </w:tcPr>
          <w:p w14:paraId="1FDE755C">
            <w:pPr>
              <w:pStyle w:val="6"/>
              <w:spacing w:before="183" w:line="189" w:lineRule="auto"/>
              <w:ind w:left="115" w:right="111" w:firstLine="13"/>
              <w:jc w:val="both"/>
            </w:pPr>
            <w:r>
              <w:rPr>
                <w:spacing w:val="8"/>
              </w:rPr>
              <w:t>生产经营单</w:t>
            </w:r>
            <w:r>
              <w:rPr>
                <w:spacing w:val="11"/>
              </w:rPr>
              <w:t>位未采取措施消除事故</w:t>
            </w:r>
            <w:r>
              <w:rPr>
                <w:spacing w:val="5"/>
              </w:rPr>
              <w:t>隐患的</w:t>
            </w:r>
          </w:p>
        </w:tc>
        <w:tc>
          <w:tcPr>
            <w:tcW w:w="3202" w:type="dxa"/>
            <w:vAlign w:val="top"/>
          </w:tcPr>
          <w:p w14:paraId="22A82F84">
            <w:pPr>
              <w:pStyle w:val="6"/>
              <w:spacing w:before="33" w:line="178" w:lineRule="auto"/>
              <w:ind w:left="123" w:right="111" w:hanging="25"/>
              <w:jc w:val="both"/>
            </w:pPr>
            <w:r>
              <w:rPr>
                <w:spacing w:val="18"/>
              </w:rPr>
              <w:t>【法律】《中华人民共和国</w:t>
            </w:r>
            <w:r>
              <w:rPr>
                <w:spacing w:val="16"/>
              </w:rPr>
              <w:t>安全生产法》第四十一条第</w:t>
            </w:r>
            <w:r>
              <w:rPr>
                <w:spacing w:val="12"/>
              </w:rPr>
              <w:t>二款：生产经营单位应当建</w:t>
            </w:r>
            <w:r>
              <w:rPr>
                <w:spacing w:val="16"/>
              </w:rPr>
              <w:t>立健全并落实生产安全事故</w:t>
            </w:r>
            <w:r>
              <w:rPr>
                <w:spacing w:val="13"/>
              </w:rPr>
              <w:t>隐患排查治理制度，采取技</w:t>
            </w:r>
          </w:p>
        </w:tc>
        <w:tc>
          <w:tcPr>
            <w:tcW w:w="2859" w:type="dxa"/>
            <w:vAlign w:val="top"/>
          </w:tcPr>
          <w:p w14:paraId="6DE05EEF">
            <w:pPr>
              <w:pStyle w:val="6"/>
              <w:spacing w:before="33" w:line="178" w:lineRule="auto"/>
              <w:ind w:left="115" w:right="110" w:hanging="18"/>
            </w:pPr>
            <w:r>
              <w:rPr>
                <w:spacing w:val="10"/>
              </w:rPr>
              <w:t>【法律】《中华人民共和</w:t>
            </w:r>
            <w:r>
              <w:rPr>
                <w:spacing w:val="8"/>
              </w:rPr>
              <w:t>国安全生产法》第一百零</w:t>
            </w:r>
            <w:r>
              <w:rPr>
                <w:spacing w:val="4"/>
              </w:rPr>
              <w:t>二条：生产经营单位未采</w:t>
            </w:r>
            <w:r>
              <w:rPr>
                <w:spacing w:val="7"/>
              </w:rPr>
              <w:t>取措施消除事故隐患的，</w:t>
            </w:r>
            <w:r>
              <w:rPr>
                <w:spacing w:val="8"/>
              </w:rPr>
              <w:t>责令立即消除或者限期消</w:t>
            </w:r>
          </w:p>
        </w:tc>
        <w:tc>
          <w:tcPr>
            <w:tcW w:w="803" w:type="dxa"/>
            <w:vAlign w:val="top"/>
          </w:tcPr>
          <w:p w14:paraId="31FA92EE">
            <w:pPr>
              <w:spacing w:line="297" w:lineRule="auto"/>
              <w:rPr>
                <w:rFonts w:ascii="Arial"/>
                <w:sz w:val="21"/>
              </w:rPr>
            </w:pPr>
          </w:p>
          <w:p w14:paraId="2BCE8DC5">
            <w:pPr>
              <w:spacing w:line="298" w:lineRule="auto"/>
              <w:rPr>
                <w:rFonts w:ascii="Arial"/>
                <w:sz w:val="21"/>
              </w:rPr>
            </w:pPr>
          </w:p>
          <w:p w14:paraId="6EAA85AE">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C711876">
            <w:pPr>
              <w:pStyle w:val="6"/>
              <w:spacing w:before="183" w:line="189" w:lineRule="auto"/>
              <w:ind w:left="121" w:right="105" w:hanging="3"/>
              <w:jc w:val="both"/>
            </w:pPr>
            <w:r>
              <w:rPr>
                <w:spacing w:val="16"/>
              </w:rPr>
              <w:t>未对</w:t>
            </w:r>
            <w:r>
              <w:rPr>
                <w:rFonts w:ascii="宋体" w:hAnsi="宋体" w:eastAsia="宋体" w:cs="宋体"/>
                <w:spacing w:val="16"/>
              </w:rPr>
              <w:t>3</w:t>
            </w:r>
            <w:r>
              <w:rPr>
                <w:spacing w:val="16"/>
              </w:rPr>
              <w:t>处以下一般</w:t>
            </w:r>
            <w:r>
              <w:rPr>
                <w:spacing w:val="14"/>
              </w:rPr>
              <w:t>事故隐患或</w:t>
            </w:r>
            <w:r>
              <w:rPr>
                <w:rFonts w:ascii="宋体" w:hAnsi="宋体" w:eastAsia="宋体" w:cs="宋体"/>
                <w:spacing w:val="14"/>
              </w:rPr>
              <w:t>1</w:t>
            </w:r>
            <w:r>
              <w:rPr>
                <w:spacing w:val="14"/>
              </w:rPr>
              <w:t>处重</w:t>
            </w:r>
            <w:r>
              <w:rPr>
                <w:spacing w:val="25"/>
              </w:rPr>
              <w:t>大事故隐患采取措</w:t>
            </w:r>
            <w:r>
              <w:rPr>
                <w:spacing w:val="5"/>
              </w:rPr>
              <w:t>施消除的</w:t>
            </w:r>
          </w:p>
        </w:tc>
        <w:tc>
          <w:tcPr>
            <w:tcW w:w="2894" w:type="dxa"/>
            <w:vAlign w:val="top"/>
          </w:tcPr>
          <w:p w14:paraId="7C8ABE7E">
            <w:pPr>
              <w:pStyle w:val="6"/>
              <w:spacing w:before="33" w:line="178" w:lineRule="auto"/>
              <w:ind w:left="122" w:right="32" w:firstLine="4"/>
            </w:pPr>
            <w:r>
              <w:rPr>
                <w:spacing w:val="10"/>
              </w:rPr>
              <w:t>责令立即消除或者限期消</w:t>
            </w:r>
            <w:r>
              <w:rPr>
                <w:spacing w:val="-5"/>
              </w:rPr>
              <w:t>除，处</w:t>
            </w:r>
            <w:r>
              <w:rPr>
                <w:rFonts w:ascii="宋体" w:hAnsi="宋体" w:eastAsia="宋体" w:cs="宋体"/>
                <w:spacing w:val="-5"/>
              </w:rPr>
              <w:t>2</w:t>
            </w:r>
            <w:r>
              <w:rPr>
                <w:spacing w:val="-5"/>
              </w:rPr>
              <w:t>万元以下的罚款；</w:t>
            </w:r>
            <w:r>
              <w:rPr>
                <w:spacing w:val="35"/>
              </w:rPr>
              <w:t>生产经营单位拒不执行</w:t>
            </w:r>
            <w:r>
              <w:rPr>
                <w:spacing w:val="6"/>
              </w:rPr>
              <w:t>的，责令停产停业整顿，</w:t>
            </w:r>
            <w:r>
              <w:rPr>
                <w:spacing w:val="11"/>
              </w:rPr>
              <w:t>对其直接负责的主管人员</w:t>
            </w:r>
          </w:p>
        </w:tc>
        <w:tc>
          <w:tcPr>
            <w:tcW w:w="811" w:type="dxa"/>
            <w:vAlign w:val="top"/>
          </w:tcPr>
          <w:p w14:paraId="169184B2">
            <w:pPr>
              <w:spacing w:line="299" w:lineRule="auto"/>
              <w:rPr>
                <w:rFonts w:ascii="Arial"/>
                <w:sz w:val="21"/>
              </w:rPr>
            </w:pPr>
          </w:p>
          <w:p w14:paraId="24DCDE43">
            <w:pPr>
              <w:spacing w:line="299" w:lineRule="auto"/>
              <w:rPr>
                <w:rFonts w:ascii="Arial"/>
                <w:sz w:val="21"/>
              </w:rPr>
            </w:pPr>
          </w:p>
          <w:p w14:paraId="0B436F12">
            <w:pPr>
              <w:spacing w:before="75" w:line="188" w:lineRule="auto"/>
              <w:ind w:left="295"/>
              <w:rPr>
                <w:rFonts w:ascii="宋体" w:hAnsi="宋体" w:eastAsia="宋体" w:cs="宋体"/>
                <w:sz w:val="23"/>
                <w:szCs w:val="23"/>
              </w:rPr>
            </w:pPr>
            <w:r>
              <w:rPr>
                <w:rFonts w:ascii="宋体" w:hAnsi="宋体" w:eastAsia="宋体" w:cs="宋体"/>
                <w:spacing w:val="-4"/>
                <w:sz w:val="23"/>
                <w:szCs w:val="23"/>
              </w:rPr>
              <w:t>34</w:t>
            </w:r>
          </w:p>
        </w:tc>
      </w:tr>
    </w:tbl>
    <w:p w14:paraId="625429EA">
      <w:pPr>
        <w:pStyle w:val="2"/>
      </w:pPr>
    </w:p>
    <w:p w14:paraId="2EA7FEC7">
      <w:pPr>
        <w:sectPr>
          <w:footerReference r:id="rId65" w:type="default"/>
          <w:pgSz w:w="16839" w:h="11906"/>
          <w:pgMar w:top="1012" w:right="821" w:bottom="666" w:left="901" w:header="0" w:footer="388" w:gutter="0"/>
          <w:cols w:space="720" w:num="1"/>
        </w:sectPr>
      </w:pPr>
    </w:p>
    <w:p w14:paraId="71298FFA">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E6C1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32C776BF">
            <w:pPr>
              <w:spacing w:before="222" w:line="241" w:lineRule="auto"/>
              <w:ind w:left="131"/>
              <w:rPr>
                <w:rFonts w:ascii="黑体" w:hAnsi="黑体" w:eastAsia="黑体" w:cs="黑体"/>
                <w:sz w:val="28"/>
                <w:szCs w:val="28"/>
              </w:rPr>
            </w:pPr>
            <w:bookmarkStart w:id="437" w:name="bookmark507"/>
            <w:bookmarkEnd w:id="437"/>
            <w:r>
              <w:rPr>
                <w:rFonts w:ascii="黑体" w:hAnsi="黑体" w:eastAsia="黑体" w:cs="黑体"/>
                <w:spacing w:val="-2"/>
                <w:sz w:val="28"/>
                <w:szCs w:val="28"/>
              </w:rPr>
              <w:t>序号</w:t>
            </w:r>
          </w:p>
        </w:tc>
        <w:tc>
          <w:tcPr>
            <w:tcW w:w="1440" w:type="dxa"/>
            <w:vAlign w:val="top"/>
          </w:tcPr>
          <w:p w14:paraId="1DC02F20">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4D5FBD9">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48D072EC">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9B5D8EF">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D1A3616">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5FBB4413">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66BA11D">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611C3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818" w:type="dxa"/>
            <w:vMerge w:val="restart"/>
            <w:tcBorders>
              <w:bottom w:val="nil"/>
            </w:tcBorders>
            <w:vAlign w:val="top"/>
          </w:tcPr>
          <w:p w14:paraId="2B908664">
            <w:pPr>
              <w:rPr>
                <w:rFonts w:ascii="Arial"/>
                <w:sz w:val="21"/>
              </w:rPr>
            </w:pPr>
          </w:p>
        </w:tc>
        <w:tc>
          <w:tcPr>
            <w:tcW w:w="1440" w:type="dxa"/>
            <w:vMerge w:val="restart"/>
            <w:tcBorders>
              <w:bottom w:val="nil"/>
            </w:tcBorders>
            <w:vAlign w:val="top"/>
          </w:tcPr>
          <w:p w14:paraId="7D2D0F78">
            <w:pPr>
              <w:rPr>
                <w:rFonts w:ascii="Arial"/>
                <w:sz w:val="21"/>
              </w:rPr>
            </w:pPr>
          </w:p>
        </w:tc>
        <w:tc>
          <w:tcPr>
            <w:tcW w:w="3202" w:type="dxa"/>
            <w:vMerge w:val="restart"/>
            <w:tcBorders>
              <w:bottom w:val="nil"/>
            </w:tcBorders>
            <w:vAlign w:val="top"/>
          </w:tcPr>
          <w:p w14:paraId="399A9F24">
            <w:pPr>
              <w:pStyle w:val="6"/>
              <w:spacing w:before="30" w:line="182" w:lineRule="auto"/>
              <w:ind w:left="118" w:right="111" w:firstLine="3"/>
              <w:jc w:val="both"/>
            </w:pPr>
            <w:r>
              <w:rPr>
                <w:spacing w:val="13"/>
              </w:rPr>
              <w:t>术、管理措施，及时发现并</w:t>
            </w:r>
            <w:r>
              <w:rPr>
                <w:spacing w:val="17"/>
              </w:rPr>
              <w:t>消除事故隐患。事故隐患排</w:t>
            </w:r>
            <w:r>
              <w:rPr>
                <w:spacing w:val="15"/>
              </w:rPr>
              <w:t>查治理情况应当如实记录，</w:t>
            </w:r>
          </w:p>
          <w:p w14:paraId="40072E73">
            <w:pPr>
              <w:pStyle w:val="6"/>
              <w:spacing w:line="182" w:lineRule="auto"/>
              <w:ind w:left="125"/>
              <w:outlineLvl w:val="0"/>
            </w:pPr>
            <w:r>
              <w:rPr>
                <w:spacing w:val="16"/>
              </w:rPr>
              <w:t>并通过职工大会或者职工代</w:t>
            </w:r>
          </w:p>
          <w:p w14:paraId="44B0AFAD">
            <w:pPr>
              <w:pStyle w:val="6"/>
              <w:spacing w:before="7" w:line="186" w:lineRule="auto"/>
              <w:ind w:left="120" w:right="111" w:hanging="4"/>
              <w:jc w:val="both"/>
            </w:pPr>
            <w:bookmarkStart w:id="438" w:name="bookmark100"/>
            <w:bookmarkEnd w:id="438"/>
            <w:r>
              <w:rPr>
                <w:spacing w:val="17"/>
              </w:rPr>
              <w:t>表大会、信息公示栏等方式</w:t>
            </w:r>
            <w:r>
              <w:rPr>
                <w:spacing w:val="12"/>
              </w:rPr>
              <w:t>向从业人员通报。其中，重</w:t>
            </w:r>
            <w:r>
              <w:rPr>
                <w:spacing w:val="17"/>
              </w:rPr>
              <w:t>大事故隐患排查治理情况应当及时向负有安全生产监督管理职责的部门和职工大会</w:t>
            </w:r>
            <w:r>
              <w:rPr>
                <w:spacing w:val="4"/>
              </w:rPr>
              <w:t>或者职工代表大会报告。</w:t>
            </w:r>
          </w:p>
        </w:tc>
        <w:tc>
          <w:tcPr>
            <w:tcW w:w="2859" w:type="dxa"/>
            <w:vMerge w:val="restart"/>
            <w:tcBorders>
              <w:bottom w:val="nil"/>
            </w:tcBorders>
            <w:vAlign w:val="top"/>
          </w:tcPr>
          <w:p w14:paraId="32289276">
            <w:pPr>
              <w:pStyle w:val="6"/>
              <w:spacing w:before="27" w:line="183" w:lineRule="auto"/>
              <w:ind w:left="119" w:right="35" w:firstLine="16"/>
            </w:pPr>
            <w:r>
              <w:rPr>
                <w:spacing w:val="-7"/>
              </w:rPr>
              <w:t>除，处五万元以下的罚款；</w:t>
            </w:r>
            <w:r>
              <w:rPr>
                <w:spacing w:val="32"/>
              </w:rPr>
              <w:t>生产经营单位拒不执行</w:t>
            </w:r>
            <w:r>
              <w:rPr>
                <w:spacing w:val="7"/>
              </w:rPr>
              <w:t>的，责令停产停业整顿，</w:t>
            </w:r>
            <w:r>
              <w:rPr>
                <w:spacing w:val="8"/>
              </w:rPr>
              <w:t>对其直接负责的主管人员和其他直接责任人员处五万元以上十万元以下的罚款；构成犯罪的，依照刑</w:t>
            </w:r>
            <w:r>
              <w:rPr>
                <w:spacing w:val="32"/>
              </w:rPr>
              <w:t>法有关规定追究刑事责</w:t>
            </w:r>
            <w:r>
              <w:rPr>
                <w:spacing w:val="-8"/>
              </w:rPr>
              <w:t>任。</w:t>
            </w:r>
          </w:p>
        </w:tc>
        <w:tc>
          <w:tcPr>
            <w:tcW w:w="803" w:type="dxa"/>
            <w:vAlign w:val="top"/>
          </w:tcPr>
          <w:p w14:paraId="1D050F36">
            <w:pPr>
              <w:rPr>
                <w:rFonts w:ascii="Arial"/>
                <w:sz w:val="21"/>
              </w:rPr>
            </w:pPr>
          </w:p>
        </w:tc>
        <w:tc>
          <w:tcPr>
            <w:tcW w:w="2283" w:type="dxa"/>
            <w:vAlign w:val="top"/>
          </w:tcPr>
          <w:p w14:paraId="0B48AB64">
            <w:pPr>
              <w:rPr>
                <w:rFonts w:ascii="Arial"/>
                <w:sz w:val="21"/>
              </w:rPr>
            </w:pPr>
          </w:p>
        </w:tc>
        <w:tc>
          <w:tcPr>
            <w:tcW w:w="2894" w:type="dxa"/>
            <w:vAlign w:val="top"/>
          </w:tcPr>
          <w:p w14:paraId="26BE0501">
            <w:pPr>
              <w:pStyle w:val="6"/>
              <w:spacing w:before="25" w:line="176" w:lineRule="auto"/>
              <w:ind w:left="122" w:right="104"/>
              <w:jc w:val="both"/>
            </w:pPr>
            <w:r>
              <w:rPr>
                <w:spacing w:val="14"/>
              </w:rPr>
              <w:t>和其他直接责任人员处</w:t>
            </w:r>
            <w:r>
              <w:rPr>
                <w:rFonts w:ascii="宋体" w:hAnsi="宋体" w:eastAsia="宋体" w:cs="宋体"/>
                <w:spacing w:val="14"/>
              </w:rPr>
              <w:t>5</w:t>
            </w:r>
            <w:r>
              <w:rPr>
                <w:spacing w:val="7"/>
              </w:rPr>
              <w:t>万元以上</w:t>
            </w:r>
            <w:r>
              <w:rPr>
                <w:rFonts w:ascii="宋体" w:hAnsi="宋体" w:eastAsia="宋体" w:cs="宋体"/>
                <w:spacing w:val="7"/>
              </w:rPr>
              <w:t>7</w:t>
            </w:r>
            <w:r>
              <w:rPr>
                <w:spacing w:val="7"/>
              </w:rPr>
              <w:t>万元以下的罚</w:t>
            </w:r>
            <w:r>
              <w:t>款</w:t>
            </w:r>
          </w:p>
        </w:tc>
        <w:tc>
          <w:tcPr>
            <w:tcW w:w="811" w:type="dxa"/>
            <w:vMerge w:val="restart"/>
            <w:tcBorders>
              <w:bottom w:val="nil"/>
            </w:tcBorders>
            <w:vAlign w:val="top"/>
          </w:tcPr>
          <w:p w14:paraId="2820E20E">
            <w:pPr>
              <w:rPr>
                <w:rFonts w:ascii="Arial"/>
                <w:sz w:val="21"/>
              </w:rPr>
            </w:pPr>
          </w:p>
        </w:tc>
      </w:tr>
      <w:tr w14:paraId="5AB12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Merge w:val="continue"/>
            <w:tcBorders>
              <w:top w:val="nil"/>
              <w:bottom w:val="nil"/>
            </w:tcBorders>
            <w:vAlign w:val="top"/>
          </w:tcPr>
          <w:p w14:paraId="35AF2CCD">
            <w:pPr>
              <w:rPr>
                <w:rFonts w:ascii="Arial"/>
                <w:sz w:val="21"/>
              </w:rPr>
            </w:pPr>
          </w:p>
        </w:tc>
        <w:tc>
          <w:tcPr>
            <w:tcW w:w="1440" w:type="dxa"/>
            <w:vMerge w:val="continue"/>
            <w:tcBorders>
              <w:top w:val="nil"/>
              <w:bottom w:val="nil"/>
            </w:tcBorders>
            <w:vAlign w:val="top"/>
          </w:tcPr>
          <w:p w14:paraId="43A78DDA">
            <w:pPr>
              <w:rPr>
                <w:rFonts w:ascii="Arial"/>
                <w:sz w:val="21"/>
              </w:rPr>
            </w:pPr>
          </w:p>
        </w:tc>
        <w:tc>
          <w:tcPr>
            <w:tcW w:w="3202" w:type="dxa"/>
            <w:vMerge w:val="continue"/>
            <w:tcBorders>
              <w:top w:val="nil"/>
              <w:bottom w:val="nil"/>
            </w:tcBorders>
            <w:vAlign w:val="top"/>
          </w:tcPr>
          <w:p w14:paraId="01B974B8">
            <w:pPr>
              <w:rPr>
                <w:rFonts w:ascii="Arial"/>
                <w:sz w:val="21"/>
              </w:rPr>
            </w:pPr>
          </w:p>
        </w:tc>
        <w:tc>
          <w:tcPr>
            <w:tcW w:w="2859" w:type="dxa"/>
            <w:vMerge w:val="continue"/>
            <w:tcBorders>
              <w:top w:val="nil"/>
              <w:bottom w:val="nil"/>
            </w:tcBorders>
            <w:vAlign w:val="top"/>
          </w:tcPr>
          <w:p w14:paraId="5AEC7086">
            <w:pPr>
              <w:rPr>
                <w:rFonts w:ascii="Arial"/>
                <w:sz w:val="21"/>
              </w:rPr>
            </w:pPr>
          </w:p>
        </w:tc>
        <w:tc>
          <w:tcPr>
            <w:tcW w:w="803" w:type="dxa"/>
            <w:vAlign w:val="top"/>
          </w:tcPr>
          <w:p w14:paraId="396DD531">
            <w:pPr>
              <w:spacing w:line="260" w:lineRule="auto"/>
              <w:rPr>
                <w:rFonts w:ascii="Arial"/>
                <w:sz w:val="21"/>
              </w:rPr>
            </w:pPr>
          </w:p>
          <w:p w14:paraId="60B10C38">
            <w:pPr>
              <w:spacing w:line="261" w:lineRule="auto"/>
              <w:rPr>
                <w:rFonts w:ascii="Arial"/>
                <w:sz w:val="21"/>
              </w:rPr>
            </w:pPr>
          </w:p>
          <w:p w14:paraId="6D00AEDC">
            <w:pPr>
              <w:spacing w:line="261" w:lineRule="auto"/>
              <w:rPr>
                <w:rFonts w:ascii="Arial"/>
                <w:sz w:val="21"/>
              </w:rPr>
            </w:pPr>
          </w:p>
          <w:p w14:paraId="7A315E03">
            <w:pPr>
              <w:spacing w:line="261" w:lineRule="auto"/>
              <w:rPr>
                <w:rFonts w:ascii="Arial"/>
                <w:sz w:val="21"/>
              </w:rPr>
            </w:pPr>
          </w:p>
          <w:p w14:paraId="7E287AEF">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A7818C4">
            <w:pPr>
              <w:spacing w:line="264" w:lineRule="auto"/>
              <w:rPr>
                <w:rFonts w:ascii="Arial"/>
                <w:sz w:val="21"/>
              </w:rPr>
            </w:pPr>
          </w:p>
          <w:p w14:paraId="064FB674">
            <w:pPr>
              <w:spacing w:line="265" w:lineRule="auto"/>
              <w:rPr>
                <w:rFonts w:ascii="Arial"/>
                <w:sz w:val="21"/>
              </w:rPr>
            </w:pPr>
          </w:p>
          <w:p w14:paraId="67884F30">
            <w:pPr>
              <w:pStyle w:val="6"/>
              <w:spacing w:before="99" w:line="189" w:lineRule="auto"/>
              <w:ind w:left="116" w:right="105" w:firstLine="1"/>
              <w:jc w:val="both"/>
            </w:pPr>
            <w:r>
              <w:t>未对</w:t>
            </w:r>
            <w:r>
              <w:rPr>
                <w:rFonts w:ascii="宋体" w:hAnsi="宋体" w:eastAsia="宋体" w:cs="宋体"/>
              </w:rPr>
              <w:t>3</w:t>
            </w:r>
            <w:r>
              <w:t>处以上</w:t>
            </w:r>
            <w:r>
              <w:rPr>
                <w:rFonts w:ascii="宋体" w:hAnsi="宋体" w:eastAsia="宋体" w:cs="宋体"/>
              </w:rPr>
              <w:t>7</w:t>
            </w:r>
            <w:r>
              <w:t>处以</w:t>
            </w:r>
            <w:r>
              <w:rPr>
                <w:spacing w:val="26"/>
              </w:rPr>
              <w:t>下一般事故隐患或</w:t>
            </w:r>
            <w:r>
              <w:rPr>
                <w:rFonts w:ascii="宋体" w:hAnsi="宋体" w:eastAsia="宋体" w:cs="宋体"/>
                <w:spacing w:val="27"/>
              </w:rPr>
              <w:t>2</w:t>
            </w:r>
            <w:r>
              <w:rPr>
                <w:spacing w:val="27"/>
              </w:rPr>
              <w:t>处重大事故隐患</w:t>
            </w:r>
            <w:r>
              <w:rPr>
                <w:spacing w:val="7"/>
              </w:rPr>
              <w:t>采取措施消除的</w:t>
            </w:r>
          </w:p>
        </w:tc>
        <w:tc>
          <w:tcPr>
            <w:tcW w:w="2894" w:type="dxa"/>
            <w:vAlign w:val="top"/>
          </w:tcPr>
          <w:p w14:paraId="2F42BC9C">
            <w:pPr>
              <w:pStyle w:val="6"/>
              <w:spacing w:before="26" w:line="180" w:lineRule="auto"/>
              <w:ind w:left="119" w:right="103" w:firstLine="8"/>
              <w:jc w:val="both"/>
            </w:pPr>
            <w:r>
              <w:rPr>
                <w:spacing w:val="10"/>
              </w:rPr>
              <w:t>责令立即消除或者限期消</w:t>
            </w:r>
            <w:r>
              <w:rPr>
                <w:spacing w:val="1"/>
              </w:rPr>
              <w:t>除，处</w:t>
            </w:r>
            <w:r>
              <w:rPr>
                <w:rFonts w:ascii="宋体" w:hAnsi="宋体" w:eastAsia="宋体" w:cs="宋体"/>
                <w:spacing w:val="1"/>
              </w:rPr>
              <w:t>2</w:t>
            </w:r>
            <w:r>
              <w:rPr>
                <w:spacing w:val="1"/>
              </w:rPr>
              <w:t>万元以上</w:t>
            </w:r>
            <w:r>
              <w:rPr>
                <w:rFonts w:ascii="宋体" w:hAnsi="宋体" w:eastAsia="宋体" w:cs="宋体"/>
                <w:spacing w:val="1"/>
              </w:rPr>
              <w:t>4</w:t>
            </w:r>
            <w:r>
              <w:rPr>
                <w:spacing w:val="1"/>
              </w:rPr>
              <w:t>万元</w:t>
            </w:r>
            <w:r>
              <w:rPr>
                <w:spacing w:val="7"/>
              </w:rPr>
              <w:t>以下的罚款；生产经营单</w:t>
            </w:r>
            <w:r>
              <w:rPr>
                <w:spacing w:val="8"/>
              </w:rPr>
              <w:t>位拒不执行的，责令停产停业整顿，对其直接负责</w:t>
            </w:r>
            <w:r>
              <w:rPr>
                <w:spacing w:val="11"/>
              </w:rPr>
              <w:t>的主管人员和其他直接责</w:t>
            </w:r>
            <w:r>
              <w:rPr>
                <w:spacing w:val="3"/>
              </w:rPr>
              <w:t>任人员处</w:t>
            </w:r>
            <w:r>
              <w:rPr>
                <w:rFonts w:ascii="宋体" w:hAnsi="宋体" w:eastAsia="宋体" w:cs="宋体"/>
                <w:spacing w:val="3"/>
              </w:rPr>
              <w:t>7</w:t>
            </w:r>
            <w:r>
              <w:rPr>
                <w:spacing w:val="3"/>
              </w:rPr>
              <w:t>万元以上</w:t>
            </w:r>
            <w:r>
              <w:rPr>
                <w:rFonts w:ascii="宋体" w:hAnsi="宋体" w:eastAsia="宋体" w:cs="宋体"/>
                <w:spacing w:val="3"/>
              </w:rPr>
              <w:t>9</w:t>
            </w:r>
            <w:r>
              <w:rPr>
                <w:spacing w:val="3"/>
              </w:rPr>
              <w:t>万</w:t>
            </w:r>
            <w:r>
              <w:rPr>
                <w:spacing w:val="7"/>
              </w:rPr>
              <w:t>元以下的罚款</w:t>
            </w:r>
          </w:p>
        </w:tc>
        <w:tc>
          <w:tcPr>
            <w:tcW w:w="811" w:type="dxa"/>
            <w:vMerge w:val="continue"/>
            <w:tcBorders>
              <w:top w:val="nil"/>
              <w:bottom w:val="nil"/>
            </w:tcBorders>
            <w:vAlign w:val="top"/>
          </w:tcPr>
          <w:p w14:paraId="18B1384F">
            <w:pPr>
              <w:rPr>
                <w:rFonts w:ascii="Arial"/>
                <w:sz w:val="21"/>
              </w:rPr>
            </w:pPr>
          </w:p>
        </w:tc>
      </w:tr>
      <w:tr w14:paraId="6FF68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4" w:hRule="atLeast"/>
        </w:trPr>
        <w:tc>
          <w:tcPr>
            <w:tcW w:w="818" w:type="dxa"/>
            <w:vMerge w:val="continue"/>
            <w:tcBorders>
              <w:top w:val="nil"/>
            </w:tcBorders>
            <w:vAlign w:val="top"/>
          </w:tcPr>
          <w:p w14:paraId="4E60EE0A">
            <w:pPr>
              <w:rPr>
                <w:rFonts w:ascii="Arial"/>
                <w:sz w:val="21"/>
              </w:rPr>
            </w:pPr>
          </w:p>
        </w:tc>
        <w:tc>
          <w:tcPr>
            <w:tcW w:w="1440" w:type="dxa"/>
            <w:vMerge w:val="continue"/>
            <w:tcBorders>
              <w:top w:val="nil"/>
            </w:tcBorders>
            <w:vAlign w:val="top"/>
          </w:tcPr>
          <w:p w14:paraId="7AB6C189">
            <w:pPr>
              <w:rPr>
                <w:rFonts w:ascii="Arial"/>
                <w:sz w:val="21"/>
              </w:rPr>
            </w:pPr>
          </w:p>
        </w:tc>
        <w:tc>
          <w:tcPr>
            <w:tcW w:w="3202" w:type="dxa"/>
            <w:vMerge w:val="continue"/>
            <w:tcBorders>
              <w:top w:val="nil"/>
            </w:tcBorders>
            <w:vAlign w:val="top"/>
          </w:tcPr>
          <w:p w14:paraId="575F263A">
            <w:pPr>
              <w:rPr>
                <w:rFonts w:ascii="Arial"/>
                <w:sz w:val="21"/>
              </w:rPr>
            </w:pPr>
          </w:p>
        </w:tc>
        <w:tc>
          <w:tcPr>
            <w:tcW w:w="2859" w:type="dxa"/>
            <w:vMerge w:val="continue"/>
            <w:tcBorders>
              <w:top w:val="nil"/>
            </w:tcBorders>
            <w:vAlign w:val="top"/>
          </w:tcPr>
          <w:p w14:paraId="69773B3F">
            <w:pPr>
              <w:rPr>
                <w:rFonts w:ascii="Arial"/>
                <w:sz w:val="21"/>
              </w:rPr>
            </w:pPr>
          </w:p>
        </w:tc>
        <w:tc>
          <w:tcPr>
            <w:tcW w:w="803" w:type="dxa"/>
            <w:vAlign w:val="top"/>
          </w:tcPr>
          <w:p w14:paraId="7844084C">
            <w:pPr>
              <w:spacing w:line="291" w:lineRule="auto"/>
              <w:rPr>
                <w:rFonts w:ascii="Arial"/>
                <w:sz w:val="21"/>
              </w:rPr>
            </w:pPr>
          </w:p>
          <w:p w14:paraId="4AA1EDB8">
            <w:pPr>
              <w:spacing w:line="291" w:lineRule="auto"/>
              <w:rPr>
                <w:rFonts w:ascii="Arial"/>
                <w:sz w:val="21"/>
              </w:rPr>
            </w:pPr>
          </w:p>
          <w:p w14:paraId="7F9B7EAD">
            <w:pPr>
              <w:spacing w:line="291" w:lineRule="auto"/>
              <w:rPr>
                <w:rFonts w:ascii="Arial"/>
                <w:sz w:val="21"/>
              </w:rPr>
            </w:pPr>
          </w:p>
          <w:p w14:paraId="3586938B">
            <w:pPr>
              <w:spacing w:line="291" w:lineRule="auto"/>
              <w:rPr>
                <w:rFonts w:ascii="Arial"/>
                <w:sz w:val="21"/>
              </w:rPr>
            </w:pPr>
          </w:p>
          <w:p w14:paraId="3AC60A81">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7CB20BA">
            <w:pPr>
              <w:spacing w:line="325" w:lineRule="auto"/>
              <w:rPr>
                <w:rFonts w:ascii="Arial"/>
                <w:sz w:val="21"/>
              </w:rPr>
            </w:pPr>
          </w:p>
          <w:p w14:paraId="6115AA19">
            <w:pPr>
              <w:spacing w:line="325" w:lineRule="auto"/>
              <w:rPr>
                <w:rFonts w:ascii="Arial"/>
                <w:sz w:val="21"/>
              </w:rPr>
            </w:pPr>
          </w:p>
          <w:p w14:paraId="5A54A80D">
            <w:pPr>
              <w:pStyle w:val="6"/>
              <w:spacing w:before="98" w:line="189" w:lineRule="auto"/>
              <w:ind w:left="116" w:right="105" w:firstLine="1"/>
              <w:jc w:val="both"/>
            </w:pPr>
            <w:r>
              <w:rPr>
                <w:spacing w:val="16"/>
              </w:rPr>
              <w:t>未对</w:t>
            </w:r>
            <w:r>
              <w:rPr>
                <w:rFonts w:ascii="宋体" w:hAnsi="宋体" w:eastAsia="宋体" w:cs="宋体"/>
                <w:spacing w:val="16"/>
              </w:rPr>
              <w:t>7</w:t>
            </w:r>
            <w:r>
              <w:rPr>
                <w:spacing w:val="16"/>
              </w:rPr>
              <w:t>处以上一般</w:t>
            </w:r>
            <w:r>
              <w:rPr>
                <w:spacing w:val="17"/>
              </w:rPr>
              <w:t>事故隐患或</w:t>
            </w:r>
            <w:r>
              <w:rPr>
                <w:rFonts w:ascii="宋体" w:hAnsi="宋体" w:eastAsia="宋体" w:cs="宋体"/>
                <w:spacing w:val="17"/>
              </w:rPr>
              <w:t>3</w:t>
            </w:r>
            <w:r>
              <w:rPr>
                <w:spacing w:val="17"/>
              </w:rPr>
              <w:t>处以</w:t>
            </w:r>
            <w:r>
              <w:rPr>
                <w:spacing w:val="26"/>
              </w:rPr>
              <w:t>上重大事故隐患采</w:t>
            </w:r>
            <w:r>
              <w:rPr>
                <w:spacing w:val="7"/>
              </w:rPr>
              <w:t>取措施消除的</w:t>
            </w:r>
          </w:p>
        </w:tc>
        <w:tc>
          <w:tcPr>
            <w:tcW w:w="2894" w:type="dxa"/>
            <w:vAlign w:val="top"/>
          </w:tcPr>
          <w:p w14:paraId="19AB6202">
            <w:pPr>
              <w:pStyle w:val="6"/>
              <w:spacing w:before="148" w:line="186" w:lineRule="auto"/>
              <w:ind w:left="119" w:right="102" w:firstLine="8"/>
              <w:jc w:val="both"/>
            </w:pPr>
            <w:r>
              <w:rPr>
                <w:spacing w:val="10"/>
              </w:rPr>
              <w:t>责令立即消除或者限期消</w:t>
            </w:r>
            <w:r>
              <w:rPr>
                <w:spacing w:val="1"/>
              </w:rPr>
              <w:t>除，处</w:t>
            </w:r>
            <w:r>
              <w:rPr>
                <w:rFonts w:ascii="宋体" w:hAnsi="宋体" w:eastAsia="宋体" w:cs="宋体"/>
                <w:spacing w:val="1"/>
              </w:rPr>
              <w:t>4</w:t>
            </w:r>
            <w:r>
              <w:rPr>
                <w:spacing w:val="1"/>
              </w:rPr>
              <w:t>万元以上</w:t>
            </w:r>
            <w:r>
              <w:rPr>
                <w:rFonts w:ascii="宋体" w:hAnsi="宋体" w:eastAsia="宋体" w:cs="宋体"/>
                <w:spacing w:val="1"/>
              </w:rPr>
              <w:t>5</w:t>
            </w:r>
            <w:r>
              <w:rPr>
                <w:spacing w:val="1"/>
              </w:rPr>
              <w:t>万元</w:t>
            </w:r>
            <w:r>
              <w:rPr>
                <w:spacing w:val="7"/>
              </w:rPr>
              <w:t>以下的罚款；生产经营单</w:t>
            </w:r>
            <w:r>
              <w:rPr>
                <w:spacing w:val="8"/>
              </w:rPr>
              <w:t>位拒不执行的，责令停产停业整顿，对其直接负责</w:t>
            </w:r>
            <w:r>
              <w:rPr>
                <w:spacing w:val="11"/>
              </w:rPr>
              <w:t>的主管人员和其他直接责</w:t>
            </w:r>
            <w:r>
              <w:rPr>
                <w:spacing w:val="10"/>
              </w:rPr>
              <w:t>任人员处</w:t>
            </w:r>
            <w:r>
              <w:rPr>
                <w:rFonts w:ascii="宋体" w:hAnsi="宋体" w:eastAsia="宋体" w:cs="宋体"/>
                <w:spacing w:val="10"/>
              </w:rPr>
              <w:t>9</w:t>
            </w:r>
            <w:r>
              <w:rPr>
                <w:spacing w:val="10"/>
              </w:rPr>
              <w:t>万元以上</w:t>
            </w:r>
            <w:r>
              <w:rPr>
                <w:rFonts w:ascii="宋体" w:hAnsi="宋体" w:eastAsia="宋体" w:cs="宋体"/>
                <w:spacing w:val="10"/>
              </w:rPr>
              <w:t>10</w:t>
            </w:r>
            <w:r>
              <w:rPr>
                <w:spacing w:val="10"/>
              </w:rPr>
              <w:t>万</w:t>
            </w:r>
            <w:r>
              <w:rPr>
                <w:spacing w:val="7"/>
              </w:rPr>
              <w:t>元以下的罚款</w:t>
            </w:r>
          </w:p>
        </w:tc>
        <w:tc>
          <w:tcPr>
            <w:tcW w:w="811" w:type="dxa"/>
            <w:vMerge w:val="continue"/>
            <w:tcBorders>
              <w:top w:val="nil"/>
            </w:tcBorders>
            <w:vAlign w:val="top"/>
          </w:tcPr>
          <w:p w14:paraId="74691FBB">
            <w:pPr>
              <w:rPr>
                <w:rFonts w:ascii="Arial"/>
                <w:sz w:val="21"/>
              </w:rPr>
            </w:pPr>
          </w:p>
        </w:tc>
      </w:tr>
      <w:tr w14:paraId="1B8E6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6" w:hRule="atLeast"/>
        </w:trPr>
        <w:tc>
          <w:tcPr>
            <w:tcW w:w="818" w:type="dxa"/>
            <w:vAlign w:val="top"/>
          </w:tcPr>
          <w:p w14:paraId="2D70CAC2">
            <w:pPr>
              <w:spacing w:line="273" w:lineRule="auto"/>
              <w:rPr>
                <w:rFonts w:ascii="Arial"/>
                <w:sz w:val="21"/>
              </w:rPr>
            </w:pPr>
          </w:p>
          <w:p w14:paraId="02BBB6B1">
            <w:pPr>
              <w:spacing w:line="273" w:lineRule="auto"/>
              <w:rPr>
                <w:rFonts w:ascii="Arial"/>
                <w:sz w:val="21"/>
              </w:rPr>
            </w:pPr>
          </w:p>
          <w:p w14:paraId="30726C70">
            <w:pPr>
              <w:spacing w:line="273" w:lineRule="auto"/>
              <w:rPr>
                <w:rFonts w:ascii="Arial"/>
                <w:sz w:val="21"/>
              </w:rPr>
            </w:pPr>
          </w:p>
          <w:p w14:paraId="7481A45C">
            <w:pPr>
              <w:spacing w:line="273" w:lineRule="auto"/>
              <w:rPr>
                <w:rFonts w:ascii="Arial"/>
                <w:sz w:val="21"/>
              </w:rPr>
            </w:pPr>
          </w:p>
          <w:p w14:paraId="51D4D165">
            <w:pPr>
              <w:spacing w:line="274" w:lineRule="auto"/>
              <w:rPr>
                <w:rFonts w:ascii="Arial"/>
                <w:sz w:val="21"/>
              </w:rPr>
            </w:pPr>
          </w:p>
          <w:p w14:paraId="691A243E">
            <w:pPr>
              <w:spacing w:before="75" w:line="185" w:lineRule="auto"/>
              <w:ind w:left="234"/>
              <w:rPr>
                <w:rFonts w:ascii="仿宋" w:hAnsi="仿宋" w:eastAsia="仿宋" w:cs="仿宋"/>
                <w:sz w:val="23"/>
                <w:szCs w:val="23"/>
              </w:rPr>
            </w:pPr>
            <w:r>
              <w:rPr>
                <w:rFonts w:ascii="仿宋" w:hAnsi="仿宋" w:eastAsia="仿宋" w:cs="仿宋"/>
                <w:spacing w:val="-1"/>
                <w:sz w:val="23"/>
                <w:szCs w:val="23"/>
              </w:rPr>
              <w:t>47</w:t>
            </w:r>
          </w:p>
        </w:tc>
        <w:tc>
          <w:tcPr>
            <w:tcW w:w="1440" w:type="dxa"/>
            <w:vAlign w:val="top"/>
          </w:tcPr>
          <w:p w14:paraId="209BE2A8">
            <w:pPr>
              <w:spacing w:line="404" w:lineRule="auto"/>
              <w:rPr>
                <w:rFonts w:ascii="Arial"/>
                <w:sz w:val="21"/>
              </w:rPr>
            </w:pPr>
          </w:p>
          <w:p w14:paraId="78710262">
            <w:pPr>
              <w:pStyle w:val="6"/>
              <w:spacing w:before="99" w:line="186" w:lineRule="auto"/>
              <w:ind w:left="114" w:right="111" w:firstLine="14"/>
              <w:jc w:val="both"/>
            </w:pPr>
            <w:r>
              <w:rPr>
                <w:spacing w:val="8"/>
              </w:rPr>
              <w:t>生产经营单</w:t>
            </w:r>
            <w:r>
              <w:rPr>
                <w:spacing w:val="11"/>
              </w:rPr>
              <w:t>位未将事故隐患排查治理情况如实记录或者未向从业人员</w:t>
            </w:r>
            <w:r>
              <w:rPr>
                <w:spacing w:val="5"/>
              </w:rPr>
              <w:t>通报的</w:t>
            </w:r>
          </w:p>
        </w:tc>
        <w:tc>
          <w:tcPr>
            <w:tcW w:w="3202" w:type="dxa"/>
            <w:vAlign w:val="top"/>
          </w:tcPr>
          <w:p w14:paraId="0F18358F">
            <w:pPr>
              <w:pStyle w:val="6"/>
              <w:spacing w:before="26" w:line="183" w:lineRule="auto"/>
              <w:ind w:left="117" w:right="110" w:firstLine="13"/>
              <w:jc w:val="both"/>
            </w:pPr>
            <w:r>
              <w:rPr>
                <w:rFonts w:ascii="宋体" w:hAnsi="宋体" w:eastAsia="宋体" w:cs="宋体"/>
                <w:spacing w:val="14"/>
              </w:rPr>
              <w:t>1.</w:t>
            </w:r>
            <w:r>
              <w:rPr>
                <w:spacing w:val="14"/>
              </w:rPr>
              <w:t>【法律】《中华人民共和</w:t>
            </w:r>
            <w:r>
              <w:rPr>
                <w:spacing w:val="17"/>
              </w:rPr>
              <w:t>国安全生产法》第四十一条</w:t>
            </w:r>
            <w:r>
              <w:rPr>
                <w:spacing w:val="12"/>
              </w:rPr>
              <w:t>第二款：生产经营单位应当</w:t>
            </w:r>
            <w:r>
              <w:rPr>
                <w:spacing w:val="17"/>
              </w:rPr>
              <w:t>建立健全并落实生产安全事</w:t>
            </w:r>
            <w:r>
              <w:rPr>
                <w:spacing w:val="13"/>
              </w:rPr>
              <w:t>故隐患排查治理制度，采取</w:t>
            </w:r>
            <w:r>
              <w:rPr>
                <w:spacing w:val="14"/>
              </w:rPr>
              <w:t>技术、管理措施，及时发现</w:t>
            </w:r>
            <w:r>
              <w:rPr>
                <w:spacing w:val="17"/>
              </w:rPr>
              <w:t>并消除事故隐患。事故隐患</w:t>
            </w:r>
            <w:r>
              <w:rPr>
                <w:spacing w:val="39"/>
              </w:rPr>
              <w:t>排查治理情况应当如实记</w:t>
            </w:r>
            <w:r>
              <w:rPr>
                <w:spacing w:val="13"/>
              </w:rPr>
              <w:t>录，并通过职工大会或者职</w:t>
            </w:r>
            <w:r>
              <w:rPr>
                <w:spacing w:val="17"/>
              </w:rPr>
              <w:t>工代表大会、信息公示栏等</w:t>
            </w:r>
          </w:p>
        </w:tc>
        <w:tc>
          <w:tcPr>
            <w:tcW w:w="2859" w:type="dxa"/>
            <w:vAlign w:val="top"/>
          </w:tcPr>
          <w:p w14:paraId="7F4273E2">
            <w:pPr>
              <w:pStyle w:val="6"/>
              <w:spacing w:before="26" w:line="183" w:lineRule="auto"/>
              <w:ind w:left="115" w:right="38" w:firstLine="15"/>
              <w:jc w:val="both"/>
            </w:pPr>
            <w:r>
              <w:rPr>
                <w:rFonts w:ascii="宋体" w:hAnsi="宋体" w:eastAsia="宋体" w:cs="宋体"/>
                <w:spacing w:val="5"/>
              </w:rPr>
              <w:t>1.</w:t>
            </w:r>
            <w:r>
              <w:rPr>
                <w:spacing w:val="5"/>
              </w:rPr>
              <w:t>【法律】《中华人民共</w:t>
            </w:r>
            <w:r>
              <w:rPr>
                <w:spacing w:val="8"/>
              </w:rPr>
              <w:t>和国安全生产法》第九十七条第五项：生产经营单</w:t>
            </w:r>
            <w:r>
              <w:rPr>
                <w:spacing w:val="4"/>
              </w:rPr>
              <w:t>位有下列行为之一的，责</w:t>
            </w:r>
            <w:r>
              <w:rPr>
                <w:spacing w:val="8"/>
              </w:rPr>
              <w:t>令限期改正，处十万元以</w:t>
            </w:r>
            <w:r>
              <w:rPr>
                <w:spacing w:val="-5"/>
              </w:rPr>
              <w:t>下的罚款；逾期未改正的，</w:t>
            </w:r>
            <w:r>
              <w:rPr>
                <w:spacing w:val="8"/>
              </w:rPr>
              <w:t>责令停产停业整顿，并处十万元以上二十万元以下</w:t>
            </w:r>
            <w:r>
              <w:rPr>
                <w:spacing w:val="4"/>
              </w:rPr>
              <w:t>的罚款，对其直接负责的</w:t>
            </w:r>
            <w:r>
              <w:rPr>
                <w:spacing w:val="8"/>
              </w:rPr>
              <w:t>主管人员和其他直接责任</w:t>
            </w:r>
          </w:p>
        </w:tc>
        <w:tc>
          <w:tcPr>
            <w:tcW w:w="803" w:type="dxa"/>
            <w:vAlign w:val="top"/>
          </w:tcPr>
          <w:p w14:paraId="7B609EEC">
            <w:pPr>
              <w:spacing w:line="272" w:lineRule="auto"/>
              <w:rPr>
                <w:rFonts w:ascii="Arial"/>
                <w:sz w:val="21"/>
              </w:rPr>
            </w:pPr>
          </w:p>
          <w:p w14:paraId="096AFA1F">
            <w:pPr>
              <w:spacing w:line="272" w:lineRule="auto"/>
              <w:rPr>
                <w:rFonts w:ascii="Arial"/>
                <w:sz w:val="21"/>
              </w:rPr>
            </w:pPr>
          </w:p>
          <w:p w14:paraId="6BDC373E">
            <w:pPr>
              <w:spacing w:line="272" w:lineRule="auto"/>
              <w:rPr>
                <w:rFonts w:ascii="Arial"/>
                <w:sz w:val="21"/>
              </w:rPr>
            </w:pPr>
          </w:p>
          <w:p w14:paraId="02D882CA">
            <w:pPr>
              <w:spacing w:line="272" w:lineRule="auto"/>
              <w:rPr>
                <w:rFonts w:ascii="Arial"/>
                <w:sz w:val="21"/>
              </w:rPr>
            </w:pPr>
          </w:p>
          <w:p w14:paraId="4DA35048">
            <w:pPr>
              <w:spacing w:line="272" w:lineRule="auto"/>
              <w:rPr>
                <w:rFonts w:ascii="Arial"/>
                <w:sz w:val="21"/>
              </w:rPr>
            </w:pPr>
          </w:p>
          <w:p w14:paraId="03688610">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17E7984">
            <w:pPr>
              <w:spacing w:line="274" w:lineRule="auto"/>
              <w:rPr>
                <w:rFonts w:ascii="Arial"/>
                <w:sz w:val="21"/>
              </w:rPr>
            </w:pPr>
          </w:p>
          <w:p w14:paraId="3E8AC507">
            <w:pPr>
              <w:spacing w:line="274" w:lineRule="auto"/>
              <w:rPr>
                <w:rFonts w:ascii="Arial"/>
                <w:sz w:val="21"/>
              </w:rPr>
            </w:pPr>
          </w:p>
          <w:p w14:paraId="5CAA95FE">
            <w:pPr>
              <w:pStyle w:val="6"/>
              <w:spacing w:before="99" w:line="187" w:lineRule="auto"/>
              <w:ind w:left="120" w:right="106" w:firstLine="2"/>
              <w:jc w:val="both"/>
            </w:pPr>
            <w:r>
              <w:rPr>
                <w:spacing w:val="16"/>
              </w:rPr>
              <w:t>有</w:t>
            </w:r>
            <w:r>
              <w:rPr>
                <w:rFonts w:ascii="宋体" w:hAnsi="宋体" w:eastAsia="宋体" w:cs="宋体"/>
                <w:spacing w:val="16"/>
              </w:rPr>
              <w:t>3</w:t>
            </w:r>
            <w:r>
              <w:rPr>
                <w:spacing w:val="16"/>
              </w:rPr>
              <w:t>处以下一般事</w:t>
            </w:r>
            <w:r>
              <w:rPr>
                <w:spacing w:val="15"/>
              </w:rPr>
              <w:t>故隐患或</w:t>
            </w:r>
            <w:r>
              <w:rPr>
                <w:rFonts w:ascii="宋体" w:hAnsi="宋体" w:eastAsia="宋体" w:cs="宋体"/>
                <w:spacing w:val="15"/>
              </w:rPr>
              <w:t>1</w:t>
            </w:r>
            <w:r>
              <w:rPr>
                <w:spacing w:val="15"/>
              </w:rPr>
              <w:t>处重大</w:t>
            </w:r>
            <w:r>
              <w:rPr>
                <w:spacing w:val="26"/>
              </w:rPr>
              <w:t>事故隐患排查治理情况未如实记录或者未向从业人员通</w:t>
            </w:r>
            <w:r>
              <w:rPr>
                <w:spacing w:val="1"/>
              </w:rPr>
              <w:t>报的</w:t>
            </w:r>
          </w:p>
        </w:tc>
        <w:tc>
          <w:tcPr>
            <w:tcW w:w="2894" w:type="dxa"/>
            <w:vAlign w:val="top"/>
          </w:tcPr>
          <w:p w14:paraId="3F7316E7">
            <w:pPr>
              <w:spacing w:line="247" w:lineRule="auto"/>
              <w:rPr>
                <w:rFonts w:ascii="Arial"/>
                <w:sz w:val="21"/>
              </w:rPr>
            </w:pPr>
          </w:p>
          <w:p w14:paraId="79396F2E">
            <w:pPr>
              <w:pStyle w:val="6"/>
              <w:spacing w:before="99" w:line="186" w:lineRule="auto"/>
              <w:ind w:left="126" w:right="103"/>
            </w:pPr>
            <w:r>
              <w:rPr>
                <w:spacing w:val="4"/>
              </w:rPr>
              <w:t>责令限期改正，处</w:t>
            </w:r>
            <w:r>
              <w:rPr>
                <w:rFonts w:ascii="宋体" w:hAnsi="宋体" w:eastAsia="宋体" w:cs="宋体"/>
                <w:spacing w:val="4"/>
              </w:rPr>
              <w:t>3</w:t>
            </w:r>
            <w:r>
              <w:rPr>
                <w:spacing w:val="4"/>
              </w:rPr>
              <w:t>万元</w:t>
            </w:r>
            <w:r>
              <w:rPr>
                <w:spacing w:val="8"/>
              </w:rPr>
              <w:t>以下的罚款；逾期未改正</w:t>
            </w:r>
            <w:r>
              <w:rPr>
                <w:spacing w:val="6"/>
              </w:rPr>
              <w:t>的，责令停产停业整顿，</w:t>
            </w:r>
            <w:r>
              <w:rPr>
                <w:spacing w:val="-2"/>
              </w:rPr>
              <w:t>并处</w:t>
            </w:r>
            <w:r>
              <w:rPr>
                <w:rFonts w:ascii="宋体" w:hAnsi="宋体" w:eastAsia="宋体" w:cs="宋体"/>
                <w:spacing w:val="-2"/>
              </w:rPr>
              <w:t>10</w:t>
            </w:r>
            <w:r>
              <w:rPr>
                <w:spacing w:val="-2"/>
              </w:rPr>
              <w:t>万元以上</w:t>
            </w:r>
            <w:r>
              <w:rPr>
                <w:rFonts w:ascii="宋体" w:hAnsi="宋体" w:eastAsia="宋体" w:cs="宋体"/>
                <w:spacing w:val="-2"/>
              </w:rPr>
              <w:t>13</w:t>
            </w:r>
            <w:r>
              <w:rPr>
                <w:spacing w:val="-2"/>
              </w:rPr>
              <w:t>万元</w:t>
            </w:r>
            <w:r>
              <w:rPr>
                <w:spacing w:val="7"/>
              </w:rPr>
              <w:t>以下的罚款，对其直接负</w:t>
            </w:r>
            <w:r>
              <w:rPr>
                <w:spacing w:val="11"/>
              </w:rPr>
              <w:t>责的主管人员和其他直接</w:t>
            </w:r>
            <w:r>
              <w:rPr>
                <w:spacing w:val="9"/>
              </w:rPr>
              <w:t>责任人员处</w:t>
            </w:r>
            <w:r>
              <w:rPr>
                <w:rFonts w:ascii="宋体" w:hAnsi="宋体" w:eastAsia="宋体" w:cs="宋体"/>
                <w:spacing w:val="9"/>
              </w:rPr>
              <w:t>2</w:t>
            </w:r>
            <w:r>
              <w:rPr>
                <w:spacing w:val="9"/>
              </w:rPr>
              <w:t>万元以上</w:t>
            </w:r>
            <w:r>
              <w:rPr>
                <w:rFonts w:ascii="宋体" w:hAnsi="宋体" w:eastAsia="宋体" w:cs="宋体"/>
                <w:spacing w:val="9"/>
              </w:rPr>
              <w:t>3</w:t>
            </w:r>
            <w:r>
              <w:rPr>
                <w:spacing w:val="6"/>
              </w:rPr>
              <w:t>万元以下的罚款</w:t>
            </w:r>
          </w:p>
        </w:tc>
        <w:tc>
          <w:tcPr>
            <w:tcW w:w="811" w:type="dxa"/>
            <w:vAlign w:val="top"/>
          </w:tcPr>
          <w:p w14:paraId="3800F934">
            <w:pPr>
              <w:spacing w:line="272" w:lineRule="auto"/>
              <w:rPr>
                <w:rFonts w:ascii="Arial"/>
                <w:sz w:val="21"/>
              </w:rPr>
            </w:pPr>
          </w:p>
          <w:p w14:paraId="21DF762D">
            <w:pPr>
              <w:spacing w:line="272" w:lineRule="auto"/>
              <w:rPr>
                <w:rFonts w:ascii="Arial"/>
                <w:sz w:val="21"/>
              </w:rPr>
            </w:pPr>
          </w:p>
          <w:p w14:paraId="1E8CF860">
            <w:pPr>
              <w:spacing w:line="273" w:lineRule="auto"/>
              <w:rPr>
                <w:rFonts w:ascii="Arial"/>
                <w:sz w:val="21"/>
              </w:rPr>
            </w:pPr>
          </w:p>
          <w:p w14:paraId="6780E1B3">
            <w:pPr>
              <w:spacing w:line="273" w:lineRule="auto"/>
              <w:rPr>
                <w:rFonts w:ascii="Arial"/>
                <w:sz w:val="21"/>
              </w:rPr>
            </w:pPr>
          </w:p>
          <w:p w14:paraId="1755B3CD">
            <w:pPr>
              <w:spacing w:line="273" w:lineRule="auto"/>
              <w:rPr>
                <w:rFonts w:ascii="Arial"/>
                <w:sz w:val="21"/>
              </w:rPr>
            </w:pPr>
          </w:p>
          <w:p w14:paraId="52055DE1">
            <w:pPr>
              <w:spacing w:before="74" w:line="188" w:lineRule="auto"/>
              <w:ind w:left="295"/>
              <w:rPr>
                <w:rFonts w:ascii="宋体" w:hAnsi="宋体" w:eastAsia="宋体" w:cs="宋体"/>
                <w:sz w:val="23"/>
                <w:szCs w:val="23"/>
              </w:rPr>
            </w:pPr>
            <w:r>
              <w:rPr>
                <w:rFonts w:ascii="宋体" w:hAnsi="宋体" w:eastAsia="宋体" w:cs="宋体"/>
                <w:spacing w:val="-4"/>
                <w:sz w:val="23"/>
                <w:szCs w:val="23"/>
              </w:rPr>
              <w:t>35</w:t>
            </w:r>
          </w:p>
        </w:tc>
      </w:tr>
    </w:tbl>
    <w:p w14:paraId="47CEDD4A">
      <w:pPr>
        <w:pStyle w:val="2"/>
      </w:pPr>
    </w:p>
    <w:p w14:paraId="7BFABDB5">
      <w:pPr>
        <w:sectPr>
          <w:footerReference r:id="rId66" w:type="default"/>
          <w:pgSz w:w="16839" w:h="11906"/>
          <w:pgMar w:top="1012" w:right="821" w:bottom="666" w:left="901" w:header="0" w:footer="388" w:gutter="0"/>
          <w:cols w:space="720" w:num="1"/>
        </w:sectPr>
      </w:pPr>
    </w:p>
    <w:p w14:paraId="32667B45">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F7FD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D890A2E">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37963FAF">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3DD05A2">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423B6B0F">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308B61A">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F4A2818">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7F54CEE">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6ED607A1">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D5B6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9" w:hRule="atLeast"/>
        </w:trPr>
        <w:tc>
          <w:tcPr>
            <w:tcW w:w="818" w:type="dxa"/>
            <w:vMerge w:val="restart"/>
            <w:tcBorders>
              <w:bottom w:val="nil"/>
            </w:tcBorders>
            <w:vAlign w:val="top"/>
          </w:tcPr>
          <w:p w14:paraId="1D925679">
            <w:pPr>
              <w:rPr>
                <w:rFonts w:ascii="Arial"/>
                <w:sz w:val="21"/>
              </w:rPr>
            </w:pPr>
          </w:p>
        </w:tc>
        <w:tc>
          <w:tcPr>
            <w:tcW w:w="1440" w:type="dxa"/>
            <w:vMerge w:val="restart"/>
            <w:tcBorders>
              <w:bottom w:val="nil"/>
            </w:tcBorders>
            <w:vAlign w:val="top"/>
          </w:tcPr>
          <w:p w14:paraId="40F5D0C5">
            <w:pPr>
              <w:rPr>
                <w:rFonts w:ascii="Arial"/>
                <w:sz w:val="21"/>
              </w:rPr>
            </w:pPr>
          </w:p>
        </w:tc>
        <w:tc>
          <w:tcPr>
            <w:tcW w:w="3202" w:type="dxa"/>
            <w:vMerge w:val="restart"/>
            <w:tcBorders>
              <w:bottom w:val="nil"/>
            </w:tcBorders>
            <w:vAlign w:val="top"/>
          </w:tcPr>
          <w:p w14:paraId="1A132A51">
            <w:pPr>
              <w:pStyle w:val="6"/>
              <w:spacing w:before="31" w:line="182" w:lineRule="auto"/>
              <w:ind w:left="121" w:right="40" w:firstLine="2"/>
              <w:jc w:val="both"/>
            </w:pPr>
            <w:r>
              <w:rPr>
                <w:spacing w:val="3"/>
              </w:rPr>
              <w:t>方式向从业人员通报。其中，</w:t>
            </w:r>
            <w:r>
              <w:rPr>
                <w:spacing w:val="17"/>
              </w:rPr>
              <w:t>重大事故隐患排查治理情况应当及时向负有安全生产监督管理职责的部门和职工大</w:t>
            </w:r>
          </w:p>
          <w:p w14:paraId="3F1EF1A1">
            <w:pPr>
              <w:pStyle w:val="6"/>
              <w:spacing w:line="182" w:lineRule="auto"/>
              <w:ind w:left="117"/>
              <w:outlineLvl w:val="0"/>
            </w:pPr>
            <w:r>
              <w:rPr>
                <w:spacing w:val="5"/>
              </w:rPr>
              <w:t>会或者职工代表大会报告。</w:t>
            </w:r>
          </w:p>
          <w:p w14:paraId="1F8A3ED8">
            <w:pPr>
              <w:pStyle w:val="6"/>
              <w:spacing w:before="9" w:line="184" w:lineRule="auto"/>
              <w:ind w:left="116"/>
            </w:pPr>
            <w:r>
              <w:rPr>
                <w:rFonts w:ascii="宋体" w:hAnsi="宋体" w:eastAsia="宋体" w:cs="宋体"/>
                <w:spacing w:val="14"/>
              </w:rPr>
              <w:t>2.</w:t>
            </w:r>
            <w:r>
              <w:rPr>
                <w:spacing w:val="14"/>
              </w:rPr>
              <w:t>【部门规章】《工贸企业</w:t>
            </w:r>
            <w:r>
              <w:rPr>
                <w:spacing w:val="15"/>
              </w:rPr>
              <w:t>粉尘防爆安全规定》第十二</w:t>
            </w:r>
            <w:bookmarkStart w:id="439" w:name="bookmark102"/>
            <w:bookmarkEnd w:id="439"/>
            <w:r>
              <w:rPr>
                <w:spacing w:val="12"/>
              </w:rPr>
              <w:t>条第一款：粉尘涉爆企业应</w:t>
            </w:r>
            <w:r>
              <w:rPr>
                <w:spacing w:val="6"/>
              </w:rPr>
              <w:t>当根据《粉尘防爆安全规程》</w:t>
            </w:r>
            <w:r>
              <w:rPr>
                <w:spacing w:val="15"/>
              </w:rPr>
              <w:t>等有关国家标准或者行业标</w:t>
            </w:r>
            <w:r>
              <w:rPr>
                <w:spacing w:val="12"/>
              </w:rPr>
              <w:t>准，结合粉尘爆炸风险管控措施，建立事故隐患排查清</w:t>
            </w:r>
            <w:r>
              <w:rPr>
                <w:spacing w:val="7"/>
              </w:rPr>
              <w:t>单，明确和细化排查事项、</w:t>
            </w:r>
            <w:r>
              <w:rPr>
                <w:spacing w:val="15"/>
              </w:rPr>
              <w:t>具体内容、排查周期及责任</w:t>
            </w:r>
            <w:r>
              <w:rPr>
                <w:spacing w:val="12"/>
              </w:rPr>
              <w:t>人员，及时组织开展事故隐</w:t>
            </w:r>
            <w:r>
              <w:rPr>
                <w:spacing w:val="11"/>
              </w:rPr>
              <w:t>患排查治理，如实记录隐患排查治理情况，并向从业人</w:t>
            </w:r>
            <w:r>
              <w:rPr>
                <w:spacing w:val="-3"/>
              </w:rPr>
              <w:t>员通报。</w:t>
            </w:r>
          </w:p>
        </w:tc>
        <w:tc>
          <w:tcPr>
            <w:tcW w:w="2859" w:type="dxa"/>
            <w:vMerge w:val="restart"/>
            <w:tcBorders>
              <w:bottom w:val="nil"/>
            </w:tcBorders>
            <w:vAlign w:val="top"/>
          </w:tcPr>
          <w:p w14:paraId="3D2B0997">
            <w:pPr>
              <w:pStyle w:val="6"/>
              <w:spacing w:before="31" w:line="182" w:lineRule="auto"/>
              <w:ind w:left="119" w:right="110"/>
              <w:jc w:val="both"/>
            </w:pPr>
            <w:r>
              <w:rPr>
                <w:spacing w:val="8"/>
              </w:rPr>
              <w:t>人员处二万元以上五万元以下的罚款</w:t>
            </w:r>
            <w:r>
              <w:rPr>
                <w:spacing w:val="10"/>
              </w:rPr>
              <w:t>：（</w:t>
            </w:r>
            <w:r>
              <w:rPr>
                <w:spacing w:val="8"/>
              </w:rPr>
              <w:t>五）未将事故隐患排查治理情况如实记录或者未向从业人员</w:t>
            </w:r>
            <w:r>
              <w:rPr>
                <w:spacing w:val="-4"/>
              </w:rPr>
              <w:t>通报的；</w:t>
            </w:r>
          </w:p>
          <w:p w14:paraId="18310B0B">
            <w:pPr>
              <w:pStyle w:val="6"/>
              <w:spacing w:before="8" w:line="181" w:lineRule="auto"/>
              <w:ind w:left="116" w:right="107"/>
              <w:jc w:val="both"/>
            </w:pPr>
            <w:r>
              <w:rPr>
                <w:rFonts w:ascii="宋体" w:hAnsi="宋体" w:eastAsia="宋体" w:cs="宋体"/>
                <w:spacing w:val="7"/>
              </w:rPr>
              <w:t>2.</w:t>
            </w:r>
            <w:r>
              <w:rPr>
                <w:spacing w:val="7"/>
              </w:rPr>
              <w:t>【部门规章】《工贸企</w:t>
            </w:r>
            <w:r>
              <w:rPr>
                <w:spacing w:val="8"/>
              </w:rPr>
              <w:t>业粉尘防爆安全规定》第二十八条第二项：粉尘涉</w:t>
            </w:r>
            <w:r>
              <w:rPr>
                <w:spacing w:val="27"/>
              </w:rPr>
              <w:t>爆企业有下列行为之一</w:t>
            </w:r>
            <w:r>
              <w:rPr>
                <w:spacing w:val="8"/>
              </w:rPr>
              <w:t>的，由负责粉尘涉爆企业安全监管的部门依照《中</w:t>
            </w:r>
            <w:r>
              <w:rPr>
                <w:spacing w:val="32"/>
              </w:rPr>
              <w:t>华人民共和国安全生产</w:t>
            </w:r>
            <w:r>
              <w:rPr>
                <w:spacing w:val="8"/>
              </w:rPr>
              <w:t>法》有关规定，责令限期</w:t>
            </w:r>
            <w:r>
              <w:rPr>
                <w:spacing w:val="-7"/>
              </w:rPr>
              <w:t>改正，处</w:t>
            </w:r>
            <w:r>
              <w:rPr>
                <w:rFonts w:ascii="宋体" w:hAnsi="宋体" w:eastAsia="宋体" w:cs="宋体"/>
                <w:spacing w:val="-7"/>
              </w:rPr>
              <w:t>10</w:t>
            </w:r>
            <w:r>
              <w:rPr>
                <w:spacing w:val="-7"/>
              </w:rPr>
              <w:t>万元以下的罚</w:t>
            </w:r>
            <w:r>
              <w:rPr>
                <w:spacing w:val="8"/>
              </w:rPr>
              <w:t>款；逾期未改正的，责令</w:t>
            </w:r>
            <w:r>
              <w:rPr>
                <w:spacing w:val="12"/>
              </w:rPr>
              <w:t>停产停业整顿，并处</w:t>
            </w:r>
            <w:r>
              <w:rPr>
                <w:rFonts w:ascii="宋体" w:hAnsi="宋体" w:eastAsia="宋体" w:cs="宋体"/>
                <w:spacing w:val="12"/>
              </w:rPr>
              <w:t>10</w:t>
            </w:r>
            <w:r>
              <w:rPr>
                <w:spacing w:val="11"/>
              </w:rPr>
              <w:t>万元以上</w:t>
            </w:r>
            <w:r>
              <w:rPr>
                <w:rFonts w:ascii="宋体" w:hAnsi="宋体" w:eastAsia="宋体" w:cs="宋体"/>
                <w:spacing w:val="11"/>
              </w:rPr>
              <w:t>20</w:t>
            </w:r>
            <w:r>
              <w:rPr>
                <w:spacing w:val="11"/>
              </w:rPr>
              <w:t>万元以下的</w:t>
            </w:r>
            <w:r>
              <w:rPr>
                <w:spacing w:val="8"/>
              </w:rPr>
              <w:t>罚款，对其直接负责的主管人员和其他直接责任人</w:t>
            </w:r>
            <w:r>
              <w:rPr>
                <w:spacing w:val="1"/>
              </w:rPr>
              <w:t>员处</w:t>
            </w:r>
            <w:r>
              <w:rPr>
                <w:rFonts w:ascii="宋体" w:hAnsi="宋体" w:eastAsia="宋体" w:cs="宋体"/>
                <w:spacing w:val="1"/>
              </w:rPr>
              <w:t>2</w:t>
            </w:r>
            <w:r>
              <w:rPr>
                <w:spacing w:val="1"/>
              </w:rPr>
              <w:t>万元以上</w:t>
            </w:r>
            <w:r>
              <w:rPr>
                <w:rFonts w:ascii="宋体" w:hAnsi="宋体" w:eastAsia="宋体" w:cs="宋体"/>
                <w:spacing w:val="1"/>
              </w:rPr>
              <w:t>5</w:t>
            </w:r>
            <w:r>
              <w:rPr>
                <w:spacing w:val="1"/>
              </w:rPr>
              <w:t>万元以</w:t>
            </w:r>
            <w:r>
              <w:rPr>
                <w:spacing w:val="9"/>
              </w:rPr>
              <w:t>下的罚款</w:t>
            </w:r>
            <w:r>
              <w:rPr>
                <w:spacing w:val="7"/>
              </w:rPr>
              <w:t>：（</w:t>
            </w:r>
            <w:r>
              <w:rPr>
                <w:spacing w:val="9"/>
              </w:rPr>
              <w:t>二）未如实</w:t>
            </w:r>
            <w:r>
              <w:rPr>
                <w:spacing w:val="8"/>
              </w:rPr>
              <w:t>记录粉尘防爆隐患排查治理情况或者未向从业人员</w:t>
            </w:r>
            <w:r>
              <w:rPr>
                <w:spacing w:val="-4"/>
              </w:rPr>
              <w:t>通报的；</w:t>
            </w:r>
          </w:p>
        </w:tc>
        <w:tc>
          <w:tcPr>
            <w:tcW w:w="803" w:type="dxa"/>
            <w:vAlign w:val="top"/>
          </w:tcPr>
          <w:p w14:paraId="3162A8DE">
            <w:pPr>
              <w:spacing w:line="285" w:lineRule="auto"/>
              <w:rPr>
                <w:rFonts w:ascii="Arial"/>
                <w:sz w:val="21"/>
              </w:rPr>
            </w:pPr>
          </w:p>
          <w:p w14:paraId="5242B7A2">
            <w:pPr>
              <w:spacing w:line="286" w:lineRule="auto"/>
              <w:rPr>
                <w:rFonts w:ascii="Arial"/>
                <w:sz w:val="21"/>
              </w:rPr>
            </w:pPr>
          </w:p>
          <w:p w14:paraId="72EBE344">
            <w:pPr>
              <w:spacing w:line="286" w:lineRule="auto"/>
              <w:rPr>
                <w:rFonts w:ascii="Arial"/>
                <w:sz w:val="21"/>
              </w:rPr>
            </w:pPr>
          </w:p>
          <w:p w14:paraId="25D35B74">
            <w:pPr>
              <w:spacing w:line="286" w:lineRule="auto"/>
              <w:rPr>
                <w:rFonts w:ascii="Arial"/>
                <w:sz w:val="21"/>
              </w:rPr>
            </w:pPr>
          </w:p>
          <w:p w14:paraId="6FE9092E">
            <w:pPr>
              <w:spacing w:line="286" w:lineRule="auto"/>
              <w:rPr>
                <w:rFonts w:ascii="Arial"/>
                <w:sz w:val="21"/>
              </w:rPr>
            </w:pPr>
          </w:p>
          <w:p w14:paraId="1D403BBF">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6848E08">
            <w:pPr>
              <w:spacing w:line="305" w:lineRule="auto"/>
              <w:rPr>
                <w:rFonts w:ascii="Arial"/>
                <w:sz w:val="21"/>
              </w:rPr>
            </w:pPr>
          </w:p>
          <w:p w14:paraId="1420A172">
            <w:pPr>
              <w:spacing w:line="306" w:lineRule="auto"/>
              <w:rPr>
                <w:rFonts w:ascii="Arial"/>
                <w:sz w:val="21"/>
              </w:rPr>
            </w:pPr>
          </w:p>
          <w:p w14:paraId="7C54AA30">
            <w:pPr>
              <w:pStyle w:val="6"/>
              <w:spacing w:before="99" w:line="187" w:lineRule="auto"/>
              <w:ind w:left="117" w:right="105" w:firstLine="5"/>
              <w:jc w:val="both"/>
            </w:pPr>
            <w:r>
              <w:t>有</w:t>
            </w:r>
            <w:r>
              <w:rPr>
                <w:rFonts w:ascii="宋体" w:hAnsi="宋体" w:eastAsia="宋体" w:cs="宋体"/>
              </w:rPr>
              <w:t>3</w:t>
            </w:r>
            <w:r>
              <w:t>处以上</w:t>
            </w:r>
            <w:r>
              <w:rPr>
                <w:rFonts w:ascii="宋体" w:hAnsi="宋体" w:eastAsia="宋体" w:cs="宋体"/>
              </w:rPr>
              <w:t>7</w:t>
            </w:r>
            <w:r>
              <w:t>处以下</w:t>
            </w:r>
            <w:r>
              <w:rPr>
                <w:spacing w:val="28"/>
              </w:rPr>
              <w:t>一般事故隐患或</w:t>
            </w:r>
            <w:r>
              <w:rPr>
                <w:rFonts w:ascii="宋体" w:hAnsi="宋体" w:eastAsia="宋体" w:cs="宋体"/>
                <w:spacing w:val="28"/>
              </w:rPr>
              <w:t>2</w:t>
            </w:r>
            <w:r>
              <w:rPr>
                <w:spacing w:val="26"/>
              </w:rPr>
              <w:t>处重大事故隐患排查治理情况未如实记录或者未向从业</w:t>
            </w:r>
            <w:r>
              <w:rPr>
                <w:spacing w:val="6"/>
              </w:rPr>
              <w:t>人员通报的</w:t>
            </w:r>
          </w:p>
        </w:tc>
        <w:tc>
          <w:tcPr>
            <w:tcW w:w="2894" w:type="dxa"/>
            <w:vAlign w:val="top"/>
          </w:tcPr>
          <w:p w14:paraId="482F45DC">
            <w:pPr>
              <w:spacing w:line="313" w:lineRule="auto"/>
              <w:rPr>
                <w:rFonts w:ascii="Arial"/>
                <w:sz w:val="21"/>
              </w:rPr>
            </w:pPr>
          </w:p>
          <w:p w14:paraId="39E605BC">
            <w:pPr>
              <w:pStyle w:val="6"/>
              <w:spacing w:before="98" w:line="186" w:lineRule="auto"/>
              <w:ind w:left="117" w:right="103" w:firstLine="10"/>
            </w:pPr>
            <w:r>
              <w:rPr>
                <w:spacing w:val="4"/>
              </w:rPr>
              <w:t>责令限期改正，处</w:t>
            </w:r>
            <w:r>
              <w:rPr>
                <w:rFonts w:ascii="宋体" w:hAnsi="宋体" w:eastAsia="宋体" w:cs="宋体"/>
                <w:spacing w:val="4"/>
              </w:rPr>
              <w:t>3</w:t>
            </w:r>
            <w:r>
              <w:rPr>
                <w:spacing w:val="4"/>
              </w:rPr>
              <w:t>万元</w:t>
            </w:r>
            <w:r>
              <w:rPr>
                <w:spacing w:val="3"/>
              </w:rPr>
              <w:t>以上</w:t>
            </w:r>
            <w:r>
              <w:rPr>
                <w:rFonts w:ascii="宋体" w:hAnsi="宋体" w:eastAsia="宋体" w:cs="宋体"/>
                <w:spacing w:val="3"/>
              </w:rPr>
              <w:t>7</w:t>
            </w:r>
            <w:r>
              <w:rPr>
                <w:spacing w:val="3"/>
              </w:rPr>
              <w:t>万元以下的罚款；</w:t>
            </w:r>
            <w:r>
              <w:rPr>
                <w:spacing w:val="8"/>
              </w:rPr>
              <w:t>逾期未改正的，责令停产</w:t>
            </w:r>
            <w:r>
              <w:rPr>
                <w:spacing w:val="-4"/>
              </w:rPr>
              <w:t>停业整顿，并处</w:t>
            </w:r>
            <w:r>
              <w:rPr>
                <w:rFonts w:ascii="宋体" w:hAnsi="宋体" w:eastAsia="宋体" w:cs="宋体"/>
                <w:spacing w:val="-4"/>
              </w:rPr>
              <w:t>13</w:t>
            </w:r>
            <w:r>
              <w:rPr>
                <w:spacing w:val="-4"/>
              </w:rPr>
              <w:t>万元以上</w:t>
            </w:r>
            <w:r>
              <w:rPr>
                <w:rFonts w:ascii="宋体" w:hAnsi="宋体" w:eastAsia="宋体" w:cs="宋体"/>
                <w:spacing w:val="-4"/>
              </w:rPr>
              <w:t>17</w:t>
            </w:r>
            <w:r>
              <w:rPr>
                <w:spacing w:val="-4"/>
              </w:rPr>
              <w:t>万元以下的罚款，对</w:t>
            </w:r>
            <w:r>
              <w:rPr>
                <w:spacing w:val="11"/>
              </w:rPr>
              <w:t>其直接负责的主管人员和</w:t>
            </w:r>
            <w:r>
              <w:rPr>
                <w:spacing w:val="8"/>
              </w:rPr>
              <w:t>其他直接责任人员处</w:t>
            </w:r>
            <w:r>
              <w:rPr>
                <w:rFonts w:ascii="宋体" w:hAnsi="宋体" w:eastAsia="宋体" w:cs="宋体"/>
                <w:spacing w:val="8"/>
              </w:rPr>
              <w:t>3</w:t>
            </w:r>
            <w:r>
              <w:rPr>
                <w:spacing w:val="8"/>
              </w:rPr>
              <w:t>万</w:t>
            </w:r>
            <w:r>
              <w:rPr>
                <w:spacing w:val="4"/>
              </w:rPr>
              <w:t>元以上</w:t>
            </w:r>
            <w:r>
              <w:rPr>
                <w:rFonts w:ascii="宋体" w:hAnsi="宋体" w:eastAsia="宋体" w:cs="宋体"/>
                <w:spacing w:val="4"/>
              </w:rPr>
              <w:t>4</w:t>
            </w:r>
            <w:r>
              <w:rPr>
                <w:spacing w:val="4"/>
              </w:rPr>
              <w:t>万元以下的罚款</w:t>
            </w:r>
          </w:p>
        </w:tc>
        <w:tc>
          <w:tcPr>
            <w:tcW w:w="811" w:type="dxa"/>
            <w:vMerge w:val="restart"/>
            <w:tcBorders>
              <w:bottom w:val="nil"/>
            </w:tcBorders>
            <w:vAlign w:val="top"/>
          </w:tcPr>
          <w:p w14:paraId="48F391C5">
            <w:pPr>
              <w:rPr>
                <w:rFonts w:ascii="Arial"/>
                <w:sz w:val="21"/>
              </w:rPr>
            </w:pPr>
          </w:p>
        </w:tc>
      </w:tr>
      <w:tr w14:paraId="41CD0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7" w:hRule="atLeast"/>
        </w:trPr>
        <w:tc>
          <w:tcPr>
            <w:tcW w:w="818" w:type="dxa"/>
            <w:vMerge w:val="continue"/>
            <w:tcBorders>
              <w:top w:val="nil"/>
            </w:tcBorders>
            <w:vAlign w:val="top"/>
          </w:tcPr>
          <w:p w14:paraId="4D535144">
            <w:pPr>
              <w:rPr>
                <w:rFonts w:ascii="Arial"/>
                <w:sz w:val="21"/>
              </w:rPr>
            </w:pPr>
          </w:p>
        </w:tc>
        <w:tc>
          <w:tcPr>
            <w:tcW w:w="1440" w:type="dxa"/>
            <w:vMerge w:val="continue"/>
            <w:tcBorders>
              <w:top w:val="nil"/>
            </w:tcBorders>
            <w:vAlign w:val="top"/>
          </w:tcPr>
          <w:p w14:paraId="0C78BC48">
            <w:pPr>
              <w:rPr>
                <w:rFonts w:ascii="Arial"/>
                <w:sz w:val="21"/>
              </w:rPr>
            </w:pPr>
          </w:p>
        </w:tc>
        <w:tc>
          <w:tcPr>
            <w:tcW w:w="3202" w:type="dxa"/>
            <w:vMerge w:val="continue"/>
            <w:tcBorders>
              <w:top w:val="nil"/>
            </w:tcBorders>
            <w:vAlign w:val="top"/>
          </w:tcPr>
          <w:p w14:paraId="6849C0F9">
            <w:pPr>
              <w:rPr>
                <w:rFonts w:ascii="Arial"/>
                <w:sz w:val="21"/>
              </w:rPr>
            </w:pPr>
          </w:p>
        </w:tc>
        <w:tc>
          <w:tcPr>
            <w:tcW w:w="2859" w:type="dxa"/>
            <w:vMerge w:val="continue"/>
            <w:tcBorders>
              <w:top w:val="nil"/>
            </w:tcBorders>
            <w:vAlign w:val="top"/>
          </w:tcPr>
          <w:p w14:paraId="2A764992">
            <w:pPr>
              <w:rPr>
                <w:rFonts w:ascii="Arial"/>
                <w:sz w:val="21"/>
              </w:rPr>
            </w:pPr>
          </w:p>
        </w:tc>
        <w:tc>
          <w:tcPr>
            <w:tcW w:w="803" w:type="dxa"/>
            <w:vAlign w:val="top"/>
          </w:tcPr>
          <w:p w14:paraId="336EAE67">
            <w:pPr>
              <w:spacing w:line="263" w:lineRule="auto"/>
              <w:rPr>
                <w:rFonts w:ascii="Arial"/>
                <w:sz w:val="21"/>
              </w:rPr>
            </w:pPr>
          </w:p>
          <w:p w14:paraId="466AA4E8">
            <w:pPr>
              <w:spacing w:line="263" w:lineRule="auto"/>
              <w:rPr>
                <w:rFonts w:ascii="Arial"/>
                <w:sz w:val="21"/>
              </w:rPr>
            </w:pPr>
          </w:p>
          <w:p w14:paraId="53B0AD90">
            <w:pPr>
              <w:spacing w:line="264" w:lineRule="auto"/>
              <w:rPr>
                <w:rFonts w:ascii="Arial"/>
                <w:sz w:val="21"/>
              </w:rPr>
            </w:pPr>
          </w:p>
          <w:p w14:paraId="0789927C">
            <w:pPr>
              <w:spacing w:line="264" w:lineRule="auto"/>
              <w:rPr>
                <w:rFonts w:ascii="Arial"/>
                <w:sz w:val="21"/>
              </w:rPr>
            </w:pPr>
          </w:p>
          <w:p w14:paraId="42A2C449">
            <w:pPr>
              <w:spacing w:line="264" w:lineRule="auto"/>
              <w:rPr>
                <w:rFonts w:ascii="Arial"/>
                <w:sz w:val="21"/>
              </w:rPr>
            </w:pPr>
          </w:p>
          <w:p w14:paraId="133E2954">
            <w:pPr>
              <w:spacing w:line="264" w:lineRule="auto"/>
              <w:rPr>
                <w:rFonts w:ascii="Arial"/>
                <w:sz w:val="21"/>
              </w:rPr>
            </w:pPr>
          </w:p>
          <w:p w14:paraId="036A83A8">
            <w:pPr>
              <w:spacing w:line="264" w:lineRule="auto"/>
              <w:rPr>
                <w:rFonts w:ascii="Arial"/>
                <w:sz w:val="21"/>
              </w:rPr>
            </w:pPr>
          </w:p>
          <w:p w14:paraId="1B076573">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D3C5A7E">
            <w:pPr>
              <w:spacing w:line="257" w:lineRule="auto"/>
              <w:rPr>
                <w:rFonts w:ascii="Arial"/>
                <w:sz w:val="21"/>
              </w:rPr>
            </w:pPr>
          </w:p>
          <w:p w14:paraId="17126BAF">
            <w:pPr>
              <w:spacing w:line="257" w:lineRule="auto"/>
              <w:rPr>
                <w:rFonts w:ascii="Arial"/>
                <w:sz w:val="21"/>
              </w:rPr>
            </w:pPr>
          </w:p>
          <w:p w14:paraId="17E8E250">
            <w:pPr>
              <w:spacing w:line="257" w:lineRule="auto"/>
              <w:rPr>
                <w:rFonts w:ascii="Arial"/>
                <w:sz w:val="21"/>
              </w:rPr>
            </w:pPr>
          </w:p>
          <w:p w14:paraId="602E52A0">
            <w:pPr>
              <w:spacing w:line="258" w:lineRule="auto"/>
              <w:rPr>
                <w:rFonts w:ascii="Arial"/>
                <w:sz w:val="21"/>
              </w:rPr>
            </w:pPr>
          </w:p>
          <w:p w14:paraId="72FFA58C">
            <w:pPr>
              <w:pStyle w:val="6"/>
              <w:spacing w:before="99" w:line="187" w:lineRule="auto"/>
              <w:ind w:left="125" w:right="106" w:hanging="2"/>
              <w:jc w:val="both"/>
            </w:pPr>
            <w:r>
              <w:rPr>
                <w:spacing w:val="16"/>
              </w:rPr>
              <w:t>有</w:t>
            </w:r>
            <w:r>
              <w:rPr>
                <w:rFonts w:ascii="宋体" w:hAnsi="宋体" w:eastAsia="宋体" w:cs="宋体"/>
                <w:spacing w:val="16"/>
              </w:rPr>
              <w:t>7</w:t>
            </w:r>
            <w:r>
              <w:rPr>
                <w:spacing w:val="16"/>
              </w:rPr>
              <w:t>处以上一般事</w:t>
            </w:r>
            <w:r>
              <w:rPr>
                <w:spacing w:val="15"/>
              </w:rPr>
              <w:t>故隐患或</w:t>
            </w:r>
            <w:r>
              <w:rPr>
                <w:rFonts w:ascii="宋体" w:hAnsi="宋体" w:eastAsia="宋体" w:cs="宋体"/>
                <w:spacing w:val="15"/>
              </w:rPr>
              <w:t>3</w:t>
            </w:r>
            <w:r>
              <w:rPr>
                <w:spacing w:val="15"/>
              </w:rPr>
              <w:t>处以上</w:t>
            </w:r>
            <w:r>
              <w:rPr>
                <w:spacing w:val="25"/>
              </w:rPr>
              <w:t>重大事故隐患排查治理情况未如实记录或者未向从业人</w:t>
            </w:r>
            <w:r>
              <w:rPr>
                <w:spacing w:val="4"/>
              </w:rPr>
              <w:t>员通报的</w:t>
            </w:r>
          </w:p>
        </w:tc>
        <w:tc>
          <w:tcPr>
            <w:tcW w:w="2894" w:type="dxa"/>
            <w:vAlign w:val="top"/>
          </w:tcPr>
          <w:p w14:paraId="6FFAF2CD">
            <w:pPr>
              <w:spacing w:line="243" w:lineRule="auto"/>
              <w:rPr>
                <w:rFonts w:ascii="Arial"/>
                <w:sz w:val="21"/>
              </w:rPr>
            </w:pPr>
          </w:p>
          <w:p w14:paraId="3CAA7704">
            <w:pPr>
              <w:spacing w:line="244" w:lineRule="auto"/>
              <w:rPr>
                <w:rFonts w:ascii="Arial"/>
                <w:sz w:val="21"/>
              </w:rPr>
            </w:pPr>
          </w:p>
          <w:p w14:paraId="645E80D1">
            <w:pPr>
              <w:spacing w:line="244" w:lineRule="auto"/>
              <w:rPr>
                <w:rFonts w:ascii="Arial"/>
                <w:sz w:val="21"/>
              </w:rPr>
            </w:pPr>
          </w:p>
          <w:p w14:paraId="50E64907">
            <w:pPr>
              <w:pStyle w:val="6"/>
              <w:spacing w:before="98" w:line="186" w:lineRule="auto"/>
              <w:ind w:left="117" w:right="71" w:firstLine="10"/>
              <w:jc w:val="both"/>
            </w:pPr>
            <w:r>
              <w:rPr>
                <w:spacing w:val="4"/>
              </w:rPr>
              <w:t>责令限期改正，处</w:t>
            </w:r>
            <w:r>
              <w:rPr>
                <w:rFonts w:ascii="宋体" w:hAnsi="宋体" w:eastAsia="宋体" w:cs="宋体"/>
                <w:spacing w:val="4"/>
              </w:rPr>
              <w:t>7</w:t>
            </w:r>
            <w:r>
              <w:rPr>
                <w:spacing w:val="4"/>
              </w:rPr>
              <w:t>万元</w:t>
            </w:r>
            <w:r>
              <w:rPr>
                <w:spacing w:val="-1"/>
              </w:rPr>
              <w:t>以上</w:t>
            </w:r>
            <w:r>
              <w:rPr>
                <w:rFonts w:ascii="宋体" w:hAnsi="宋体" w:eastAsia="宋体" w:cs="宋体"/>
                <w:spacing w:val="-1"/>
              </w:rPr>
              <w:t>10</w:t>
            </w:r>
            <w:r>
              <w:rPr>
                <w:spacing w:val="-1"/>
              </w:rPr>
              <w:t>万元以下的罚款；</w:t>
            </w:r>
            <w:r>
              <w:rPr>
                <w:spacing w:val="8"/>
              </w:rPr>
              <w:t>逾期未改正的，责令停产</w:t>
            </w:r>
            <w:r>
              <w:rPr>
                <w:spacing w:val="-4"/>
              </w:rPr>
              <w:t>停业整顿，并处</w:t>
            </w:r>
            <w:r>
              <w:rPr>
                <w:rFonts w:ascii="宋体" w:hAnsi="宋体" w:eastAsia="宋体" w:cs="宋体"/>
                <w:spacing w:val="-4"/>
              </w:rPr>
              <w:t>17</w:t>
            </w:r>
            <w:r>
              <w:rPr>
                <w:spacing w:val="-4"/>
              </w:rPr>
              <w:t>万元以</w:t>
            </w:r>
            <w:r>
              <w:rPr>
                <w:spacing w:val="-2"/>
              </w:rPr>
              <w:t>上</w:t>
            </w:r>
            <w:r>
              <w:rPr>
                <w:rFonts w:ascii="宋体" w:hAnsi="宋体" w:eastAsia="宋体" w:cs="宋体"/>
                <w:spacing w:val="-2"/>
              </w:rPr>
              <w:t>20</w:t>
            </w:r>
            <w:r>
              <w:rPr>
                <w:spacing w:val="-2"/>
              </w:rPr>
              <w:t>万元以下的罚款，对</w:t>
            </w:r>
            <w:r>
              <w:rPr>
                <w:spacing w:val="11"/>
              </w:rPr>
              <w:t>其直接负责的主管人员和</w:t>
            </w:r>
            <w:r>
              <w:rPr>
                <w:spacing w:val="8"/>
              </w:rPr>
              <w:t>其他直接责任人员处</w:t>
            </w:r>
            <w:r>
              <w:rPr>
                <w:rFonts w:ascii="宋体" w:hAnsi="宋体" w:eastAsia="宋体" w:cs="宋体"/>
                <w:spacing w:val="8"/>
              </w:rPr>
              <w:t>4</w:t>
            </w:r>
            <w:r>
              <w:rPr>
                <w:spacing w:val="8"/>
              </w:rPr>
              <w:t>万</w:t>
            </w:r>
            <w:r>
              <w:rPr>
                <w:spacing w:val="4"/>
              </w:rPr>
              <w:t>元以上</w:t>
            </w:r>
            <w:r>
              <w:rPr>
                <w:rFonts w:ascii="宋体" w:hAnsi="宋体" w:eastAsia="宋体" w:cs="宋体"/>
                <w:spacing w:val="4"/>
              </w:rPr>
              <w:t>5</w:t>
            </w:r>
            <w:r>
              <w:rPr>
                <w:spacing w:val="4"/>
              </w:rPr>
              <w:t>万元以下的罚款</w:t>
            </w:r>
          </w:p>
        </w:tc>
        <w:tc>
          <w:tcPr>
            <w:tcW w:w="811" w:type="dxa"/>
            <w:vMerge w:val="continue"/>
            <w:tcBorders>
              <w:top w:val="nil"/>
            </w:tcBorders>
            <w:vAlign w:val="top"/>
          </w:tcPr>
          <w:p w14:paraId="162633B7">
            <w:pPr>
              <w:rPr>
                <w:rFonts w:ascii="Arial"/>
                <w:sz w:val="21"/>
              </w:rPr>
            </w:pPr>
          </w:p>
        </w:tc>
      </w:tr>
      <w:tr w14:paraId="7717F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3" w:hRule="atLeast"/>
        </w:trPr>
        <w:tc>
          <w:tcPr>
            <w:tcW w:w="818" w:type="dxa"/>
            <w:vAlign w:val="top"/>
          </w:tcPr>
          <w:p w14:paraId="26E8EBCB">
            <w:pPr>
              <w:spacing w:line="258" w:lineRule="auto"/>
              <w:rPr>
                <w:rFonts w:ascii="Arial"/>
                <w:sz w:val="21"/>
              </w:rPr>
            </w:pPr>
          </w:p>
          <w:p w14:paraId="719BBB6B">
            <w:pPr>
              <w:spacing w:line="258" w:lineRule="auto"/>
              <w:rPr>
                <w:rFonts w:ascii="Arial"/>
                <w:sz w:val="21"/>
              </w:rPr>
            </w:pPr>
          </w:p>
          <w:p w14:paraId="693EA83C">
            <w:pPr>
              <w:spacing w:line="258" w:lineRule="auto"/>
              <w:rPr>
                <w:rFonts w:ascii="Arial"/>
                <w:sz w:val="21"/>
              </w:rPr>
            </w:pPr>
          </w:p>
          <w:p w14:paraId="70DD1ABC">
            <w:pPr>
              <w:spacing w:before="75" w:line="185" w:lineRule="auto"/>
              <w:ind w:left="234"/>
              <w:rPr>
                <w:rFonts w:ascii="仿宋" w:hAnsi="仿宋" w:eastAsia="仿宋" w:cs="仿宋"/>
                <w:sz w:val="23"/>
                <w:szCs w:val="23"/>
              </w:rPr>
            </w:pPr>
            <w:r>
              <w:rPr>
                <w:rFonts w:ascii="仿宋" w:hAnsi="仿宋" w:eastAsia="仿宋" w:cs="仿宋"/>
                <w:spacing w:val="-1"/>
                <w:sz w:val="23"/>
                <w:szCs w:val="23"/>
              </w:rPr>
              <w:t>48</w:t>
            </w:r>
          </w:p>
        </w:tc>
        <w:tc>
          <w:tcPr>
            <w:tcW w:w="1440" w:type="dxa"/>
            <w:vAlign w:val="top"/>
          </w:tcPr>
          <w:p w14:paraId="4C7CCBFE">
            <w:pPr>
              <w:pStyle w:val="6"/>
              <w:spacing w:before="57" w:line="181" w:lineRule="auto"/>
              <w:ind w:left="115" w:right="111" w:firstLine="13"/>
              <w:jc w:val="both"/>
            </w:pPr>
            <w:r>
              <w:rPr>
                <w:spacing w:val="8"/>
              </w:rPr>
              <w:t>生产经营单</w:t>
            </w:r>
            <w:r>
              <w:rPr>
                <w:spacing w:val="11"/>
              </w:rPr>
              <w:t>位未按规定上报事故隐患排查治理统计分析表</w:t>
            </w:r>
            <w:r>
              <w:t>的</w:t>
            </w:r>
          </w:p>
        </w:tc>
        <w:tc>
          <w:tcPr>
            <w:tcW w:w="3202" w:type="dxa"/>
            <w:vAlign w:val="top"/>
          </w:tcPr>
          <w:p w14:paraId="70AAC80A">
            <w:pPr>
              <w:pStyle w:val="6"/>
              <w:spacing w:before="37" w:line="183" w:lineRule="auto"/>
              <w:ind w:left="117" w:right="97" w:hanging="19"/>
              <w:jc w:val="both"/>
            </w:pPr>
            <w:r>
              <w:rPr>
                <w:spacing w:val="18"/>
              </w:rPr>
              <w:t>【部门规章】《安全生产事故隐患排查治理暂行规定》</w:t>
            </w:r>
            <w:r>
              <w:rPr>
                <w:spacing w:val="12"/>
              </w:rPr>
              <w:t>第十四条第一款：生产经营</w:t>
            </w:r>
            <w:r>
              <w:rPr>
                <w:spacing w:val="17"/>
              </w:rPr>
              <w:t>单位应当每季、每年对本单位事故隐患排查治理情况进</w:t>
            </w:r>
            <w:r>
              <w:rPr>
                <w:spacing w:val="10"/>
              </w:rPr>
              <w:t>行统计分析，并分别于下一</w:t>
            </w:r>
          </w:p>
        </w:tc>
        <w:tc>
          <w:tcPr>
            <w:tcW w:w="2859" w:type="dxa"/>
            <w:vAlign w:val="top"/>
          </w:tcPr>
          <w:p w14:paraId="309D8DD5">
            <w:pPr>
              <w:pStyle w:val="6"/>
              <w:spacing w:before="37" w:line="183" w:lineRule="auto"/>
              <w:ind w:left="116" w:right="110" w:hanging="19"/>
            </w:pPr>
            <w:r>
              <w:rPr>
                <w:spacing w:val="10"/>
              </w:rPr>
              <w:t>【部门规章】《安全生产</w:t>
            </w:r>
            <w:r>
              <w:rPr>
                <w:spacing w:val="8"/>
              </w:rPr>
              <w:t>事故隐患排查治理暂行规</w:t>
            </w:r>
            <w:r>
              <w:rPr>
                <w:spacing w:val="7"/>
              </w:rPr>
              <w:t>定》第二十六条第二项：</w:t>
            </w:r>
            <w:r>
              <w:rPr>
                <w:spacing w:val="32"/>
              </w:rPr>
              <w:t>生产经营单位违反本规</w:t>
            </w:r>
            <w:r>
              <w:rPr>
                <w:spacing w:val="7"/>
              </w:rPr>
              <w:t>定，有下列行为之一的，</w:t>
            </w:r>
            <w:r>
              <w:rPr>
                <w:spacing w:val="8"/>
              </w:rPr>
              <w:t>由安全监管监察部门给予</w:t>
            </w:r>
          </w:p>
        </w:tc>
        <w:tc>
          <w:tcPr>
            <w:tcW w:w="803" w:type="dxa"/>
            <w:vAlign w:val="top"/>
          </w:tcPr>
          <w:p w14:paraId="4945A0B8">
            <w:pPr>
              <w:spacing w:line="256" w:lineRule="auto"/>
              <w:rPr>
                <w:rFonts w:ascii="Arial"/>
                <w:sz w:val="21"/>
              </w:rPr>
            </w:pPr>
          </w:p>
          <w:p w14:paraId="680A919C">
            <w:pPr>
              <w:spacing w:line="256" w:lineRule="auto"/>
              <w:rPr>
                <w:rFonts w:ascii="Arial"/>
                <w:sz w:val="21"/>
              </w:rPr>
            </w:pPr>
          </w:p>
          <w:p w14:paraId="040A5120">
            <w:pPr>
              <w:spacing w:line="256" w:lineRule="auto"/>
              <w:rPr>
                <w:rFonts w:ascii="Arial"/>
                <w:sz w:val="21"/>
              </w:rPr>
            </w:pPr>
          </w:p>
          <w:p w14:paraId="2930B905">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65B5B93F">
            <w:pPr>
              <w:spacing w:line="406" w:lineRule="auto"/>
              <w:rPr>
                <w:rFonts w:ascii="Arial"/>
                <w:sz w:val="21"/>
              </w:rPr>
            </w:pPr>
          </w:p>
          <w:p w14:paraId="7B29BA39">
            <w:pPr>
              <w:pStyle w:val="6"/>
              <w:spacing w:before="99" w:line="191" w:lineRule="auto"/>
              <w:ind w:left="118" w:right="109"/>
              <w:jc w:val="both"/>
            </w:pPr>
            <w:r>
              <w:rPr>
                <w:spacing w:val="26"/>
              </w:rPr>
              <w:t>未按规定上报事故隐患排查治理统计</w:t>
            </w:r>
            <w:r>
              <w:rPr>
                <w:spacing w:val="-2"/>
              </w:rPr>
              <w:t>分析表</w:t>
            </w:r>
            <w:r>
              <w:rPr>
                <w:rFonts w:ascii="宋体" w:hAnsi="宋体" w:eastAsia="宋体" w:cs="宋体"/>
                <w:spacing w:val="-2"/>
              </w:rPr>
              <w:t>1</w:t>
            </w:r>
            <w:r>
              <w:rPr>
                <w:spacing w:val="-2"/>
              </w:rPr>
              <w:t>次的</w:t>
            </w:r>
          </w:p>
        </w:tc>
        <w:tc>
          <w:tcPr>
            <w:tcW w:w="2894" w:type="dxa"/>
            <w:vAlign w:val="top"/>
          </w:tcPr>
          <w:p w14:paraId="794C4E38">
            <w:pPr>
              <w:spacing w:line="276" w:lineRule="auto"/>
              <w:rPr>
                <w:rFonts w:ascii="Arial"/>
                <w:sz w:val="21"/>
              </w:rPr>
            </w:pPr>
          </w:p>
          <w:p w14:paraId="64C08805">
            <w:pPr>
              <w:spacing w:line="277" w:lineRule="auto"/>
              <w:rPr>
                <w:rFonts w:ascii="Arial"/>
                <w:sz w:val="21"/>
              </w:rPr>
            </w:pPr>
          </w:p>
          <w:p w14:paraId="303DD61F">
            <w:pPr>
              <w:pStyle w:val="6"/>
              <w:spacing w:before="98" w:line="196" w:lineRule="auto"/>
              <w:ind w:left="124" w:right="106" w:firstLine="1"/>
            </w:pPr>
            <w:r>
              <w:rPr>
                <w:spacing w:val="1"/>
              </w:rPr>
              <w:t>给予警告，并处</w:t>
            </w:r>
            <w:r>
              <w:rPr>
                <w:rFonts w:ascii="宋体" w:hAnsi="宋体" w:eastAsia="宋体" w:cs="宋体"/>
                <w:spacing w:val="1"/>
              </w:rPr>
              <w:t>1</w:t>
            </w:r>
            <w:r>
              <w:rPr>
                <w:spacing w:val="1"/>
              </w:rPr>
              <w:t>万元以</w:t>
            </w:r>
            <w:r>
              <w:rPr>
                <w:spacing w:val="4"/>
              </w:rPr>
              <w:t>下的罚款</w:t>
            </w:r>
          </w:p>
        </w:tc>
        <w:tc>
          <w:tcPr>
            <w:tcW w:w="811" w:type="dxa"/>
            <w:vAlign w:val="top"/>
          </w:tcPr>
          <w:p w14:paraId="3D777FB7">
            <w:pPr>
              <w:spacing w:line="256" w:lineRule="auto"/>
              <w:rPr>
                <w:rFonts w:ascii="Arial"/>
                <w:sz w:val="21"/>
              </w:rPr>
            </w:pPr>
          </w:p>
          <w:p w14:paraId="1987C5B1">
            <w:pPr>
              <w:spacing w:line="257" w:lineRule="auto"/>
              <w:rPr>
                <w:rFonts w:ascii="Arial"/>
                <w:sz w:val="21"/>
              </w:rPr>
            </w:pPr>
          </w:p>
          <w:p w14:paraId="0F79F137">
            <w:pPr>
              <w:spacing w:line="257" w:lineRule="auto"/>
              <w:rPr>
                <w:rFonts w:ascii="Arial"/>
                <w:sz w:val="21"/>
              </w:rPr>
            </w:pPr>
          </w:p>
          <w:p w14:paraId="056F3A9B">
            <w:pPr>
              <w:spacing w:before="75" w:line="188" w:lineRule="auto"/>
              <w:ind w:left="295"/>
              <w:rPr>
                <w:rFonts w:ascii="宋体" w:hAnsi="宋体" w:eastAsia="宋体" w:cs="宋体"/>
                <w:sz w:val="23"/>
                <w:szCs w:val="23"/>
              </w:rPr>
            </w:pPr>
            <w:r>
              <w:rPr>
                <w:rFonts w:ascii="宋体" w:hAnsi="宋体" w:eastAsia="宋体" w:cs="宋体"/>
                <w:spacing w:val="-4"/>
                <w:sz w:val="23"/>
                <w:szCs w:val="23"/>
              </w:rPr>
              <w:t>36</w:t>
            </w:r>
          </w:p>
        </w:tc>
      </w:tr>
    </w:tbl>
    <w:p w14:paraId="0BC81903">
      <w:pPr>
        <w:pStyle w:val="2"/>
      </w:pPr>
    </w:p>
    <w:p w14:paraId="0935BEB5">
      <w:pPr>
        <w:sectPr>
          <w:footerReference r:id="rId67" w:type="default"/>
          <w:pgSz w:w="16839" w:h="11906"/>
          <w:pgMar w:top="1012" w:right="821" w:bottom="666" w:left="901" w:header="0" w:footer="388" w:gutter="0"/>
          <w:cols w:space="720" w:num="1"/>
        </w:sectPr>
      </w:pPr>
    </w:p>
    <w:p w14:paraId="17E740BA">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45FC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F0CBEFB">
            <w:pPr>
              <w:spacing w:before="222" w:line="241" w:lineRule="auto"/>
              <w:ind w:left="131"/>
              <w:outlineLvl w:val="0"/>
              <w:rPr>
                <w:rFonts w:ascii="黑体" w:hAnsi="黑体" w:eastAsia="黑体" w:cs="黑体"/>
                <w:sz w:val="28"/>
                <w:szCs w:val="28"/>
              </w:rPr>
            </w:pPr>
            <w:bookmarkStart w:id="440" w:name="bookmark104"/>
            <w:bookmarkEnd w:id="440"/>
            <w:r>
              <w:rPr>
                <w:rFonts w:ascii="黑体" w:hAnsi="黑体" w:eastAsia="黑体" w:cs="黑体"/>
                <w:spacing w:val="-2"/>
                <w:sz w:val="28"/>
                <w:szCs w:val="28"/>
              </w:rPr>
              <w:t>序号</w:t>
            </w:r>
          </w:p>
        </w:tc>
        <w:tc>
          <w:tcPr>
            <w:tcW w:w="1440" w:type="dxa"/>
            <w:vAlign w:val="top"/>
          </w:tcPr>
          <w:p w14:paraId="40958B1D">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6F11215">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27501EB">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91A3DD5">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4CA0E7F">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7646D7C">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1F3F8C5">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1381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trPr>
        <w:tc>
          <w:tcPr>
            <w:tcW w:w="818" w:type="dxa"/>
            <w:vMerge w:val="restart"/>
            <w:tcBorders>
              <w:bottom w:val="nil"/>
            </w:tcBorders>
            <w:vAlign w:val="top"/>
          </w:tcPr>
          <w:p w14:paraId="0F7C5F87">
            <w:pPr>
              <w:rPr>
                <w:rFonts w:ascii="Arial"/>
                <w:sz w:val="21"/>
              </w:rPr>
            </w:pPr>
          </w:p>
        </w:tc>
        <w:tc>
          <w:tcPr>
            <w:tcW w:w="1440" w:type="dxa"/>
            <w:vMerge w:val="restart"/>
            <w:tcBorders>
              <w:bottom w:val="nil"/>
            </w:tcBorders>
            <w:vAlign w:val="top"/>
          </w:tcPr>
          <w:p w14:paraId="17857C2C">
            <w:pPr>
              <w:rPr>
                <w:rFonts w:ascii="Arial"/>
                <w:sz w:val="21"/>
              </w:rPr>
            </w:pPr>
          </w:p>
        </w:tc>
        <w:tc>
          <w:tcPr>
            <w:tcW w:w="3202" w:type="dxa"/>
            <w:vMerge w:val="restart"/>
            <w:tcBorders>
              <w:bottom w:val="nil"/>
            </w:tcBorders>
            <w:vAlign w:val="top"/>
          </w:tcPr>
          <w:p w14:paraId="7183DE66">
            <w:pPr>
              <w:pStyle w:val="6"/>
              <w:spacing w:before="31" w:line="182" w:lineRule="auto"/>
              <w:ind w:left="116" w:right="105" w:firstLine="5"/>
              <w:jc w:val="both"/>
            </w:pPr>
            <w:r>
              <w:rPr>
                <w:spacing w:val="-4"/>
              </w:rPr>
              <w:t>季度</w:t>
            </w:r>
            <w:r>
              <w:rPr>
                <w:rFonts w:ascii="宋体" w:hAnsi="宋体" w:eastAsia="宋体" w:cs="宋体"/>
                <w:spacing w:val="-4"/>
              </w:rPr>
              <w:t>15</w:t>
            </w:r>
            <w:r>
              <w:rPr>
                <w:spacing w:val="-4"/>
              </w:rPr>
              <w:t>日前和下一年</w:t>
            </w:r>
            <w:r>
              <w:rPr>
                <w:rFonts w:ascii="宋体" w:hAnsi="宋体" w:eastAsia="宋体" w:cs="宋体"/>
                <w:spacing w:val="-4"/>
              </w:rPr>
              <w:t>1</w:t>
            </w:r>
            <w:r>
              <w:rPr>
                <w:spacing w:val="-4"/>
              </w:rPr>
              <w:t>月</w:t>
            </w:r>
            <w:r>
              <w:rPr>
                <w:rFonts w:ascii="宋体" w:hAnsi="宋体" w:eastAsia="宋体" w:cs="宋体"/>
                <w:spacing w:val="-4"/>
              </w:rPr>
              <w:t>31</w:t>
            </w:r>
            <w:r>
              <w:rPr>
                <w:spacing w:val="17"/>
              </w:rPr>
              <w:t>日前向安全监管监察部门和有关部门报送书面统计分析表。统计分析表应当由生产</w:t>
            </w:r>
          </w:p>
          <w:p w14:paraId="04743B2A">
            <w:pPr>
              <w:pStyle w:val="6"/>
              <w:spacing w:line="208" w:lineRule="auto"/>
              <w:ind w:left="123"/>
              <w:outlineLvl w:val="0"/>
            </w:pPr>
            <w:r>
              <w:rPr>
                <w:spacing w:val="5"/>
              </w:rPr>
              <w:t>经营单位主要负责人签字。</w:t>
            </w:r>
          </w:p>
        </w:tc>
        <w:tc>
          <w:tcPr>
            <w:tcW w:w="2859" w:type="dxa"/>
            <w:vMerge w:val="restart"/>
            <w:tcBorders>
              <w:bottom w:val="nil"/>
            </w:tcBorders>
            <w:vAlign w:val="top"/>
          </w:tcPr>
          <w:p w14:paraId="005B1A00">
            <w:pPr>
              <w:pStyle w:val="6"/>
              <w:spacing w:before="27" w:line="189" w:lineRule="auto"/>
              <w:ind w:left="118" w:right="110"/>
              <w:jc w:val="both"/>
            </w:pPr>
            <w:r>
              <w:rPr>
                <w:spacing w:val="8"/>
              </w:rPr>
              <w:t>警告，并处三万元以下的</w:t>
            </w:r>
            <w:r>
              <w:rPr>
                <w:spacing w:val="12"/>
              </w:rPr>
              <w:t>罚款</w:t>
            </w:r>
            <w:r>
              <w:rPr>
                <w:spacing w:val="-8"/>
              </w:rPr>
              <w:t>：（</w:t>
            </w:r>
            <w:r>
              <w:rPr>
                <w:spacing w:val="12"/>
              </w:rPr>
              <w:t>二）未按规定上</w:t>
            </w:r>
            <w:r>
              <w:rPr>
                <w:spacing w:val="8"/>
              </w:rPr>
              <w:t>报事故隐患排查治理统计</w:t>
            </w:r>
            <w:r>
              <w:rPr>
                <w:spacing w:val="-2"/>
              </w:rPr>
              <w:t>分析表的；</w:t>
            </w:r>
          </w:p>
        </w:tc>
        <w:tc>
          <w:tcPr>
            <w:tcW w:w="803" w:type="dxa"/>
            <w:vAlign w:val="top"/>
          </w:tcPr>
          <w:p w14:paraId="42304C5B">
            <w:pPr>
              <w:spacing w:line="355" w:lineRule="auto"/>
              <w:rPr>
                <w:rFonts w:ascii="Arial"/>
                <w:sz w:val="21"/>
              </w:rPr>
            </w:pPr>
          </w:p>
          <w:p w14:paraId="18D23906">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5A420E0">
            <w:pPr>
              <w:pStyle w:val="6"/>
              <w:spacing w:before="87" w:line="187" w:lineRule="auto"/>
              <w:ind w:left="118" w:right="109"/>
              <w:jc w:val="both"/>
            </w:pPr>
            <w:r>
              <w:rPr>
                <w:spacing w:val="26"/>
              </w:rPr>
              <w:t>未按规定上报事故隐患排查治理统计</w:t>
            </w:r>
            <w:r>
              <w:rPr>
                <w:spacing w:val="1"/>
              </w:rPr>
              <w:t>分析表</w:t>
            </w:r>
            <w:r>
              <w:rPr>
                <w:rFonts w:ascii="宋体" w:hAnsi="宋体" w:eastAsia="宋体" w:cs="宋体"/>
                <w:spacing w:val="1"/>
              </w:rPr>
              <w:t>2</w:t>
            </w:r>
            <w:r>
              <w:rPr>
                <w:spacing w:val="1"/>
              </w:rPr>
              <w:t>次的</w:t>
            </w:r>
          </w:p>
        </w:tc>
        <w:tc>
          <w:tcPr>
            <w:tcW w:w="2894" w:type="dxa"/>
            <w:vAlign w:val="top"/>
          </w:tcPr>
          <w:p w14:paraId="216B4E58">
            <w:pPr>
              <w:pStyle w:val="6"/>
              <w:spacing w:before="235" w:line="196" w:lineRule="auto"/>
              <w:ind w:left="124" w:right="106" w:firstLine="1"/>
            </w:pPr>
            <w:r>
              <w:rPr>
                <w:spacing w:val="1"/>
              </w:rPr>
              <w:t>给予警告，并处</w:t>
            </w:r>
            <w:r>
              <w:rPr>
                <w:rFonts w:ascii="宋体" w:hAnsi="宋体" w:eastAsia="宋体" w:cs="宋体"/>
                <w:spacing w:val="1"/>
              </w:rPr>
              <w:t>1</w:t>
            </w:r>
            <w:r>
              <w:rPr>
                <w:spacing w:val="1"/>
              </w:rPr>
              <w:t>万元以</w:t>
            </w:r>
            <w:r>
              <w:rPr>
                <w:spacing w:val="2"/>
              </w:rPr>
              <w:t>上</w:t>
            </w:r>
            <w:r>
              <w:rPr>
                <w:rFonts w:ascii="宋体" w:hAnsi="宋体" w:eastAsia="宋体" w:cs="宋体"/>
                <w:spacing w:val="2"/>
              </w:rPr>
              <w:t>2</w:t>
            </w:r>
            <w:r>
              <w:rPr>
                <w:spacing w:val="2"/>
              </w:rPr>
              <w:t>万元以下的罚款</w:t>
            </w:r>
          </w:p>
        </w:tc>
        <w:tc>
          <w:tcPr>
            <w:tcW w:w="811" w:type="dxa"/>
            <w:vMerge w:val="restart"/>
            <w:tcBorders>
              <w:bottom w:val="nil"/>
            </w:tcBorders>
            <w:vAlign w:val="top"/>
          </w:tcPr>
          <w:p w14:paraId="3FEEC267">
            <w:pPr>
              <w:rPr>
                <w:rFonts w:ascii="Arial"/>
                <w:sz w:val="21"/>
              </w:rPr>
            </w:pPr>
          </w:p>
        </w:tc>
      </w:tr>
      <w:tr w14:paraId="5ABFC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818" w:type="dxa"/>
            <w:vMerge w:val="continue"/>
            <w:tcBorders>
              <w:top w:val="nil"/>
            </w:tcBorders>
            <w:vAlign w:val="top"/>
          </w:tcPr>
          <w:p w14:paraId="0EC81A3B">
            <w:pPr>
              <w:rPr>
                <w:rFonts w:ascii="Arial"/>
                <w:sz w:val="21"/>
              </w:rPr>
            </w:pPr>
          </w:p>
        </w:tc>
        <w:tc>
          <w:tcPr>
            <w:tcW w:w="1440" w:type="dxa"/>
            <w:vMerge w:val="continue"/>
            <w:tcBorders>
              <w:top w:val="nil"/>
            </w:tcBorders>
            <w:vAlign w:val="top"/>
          </w:tcPr>
          <w:p w14:paraId="25F9B88C">
            <w:pPr>
              <w:rPr>
                <w:rFonts w:ascii="Arial"/>
                <w:sz w:val="21"/>
              </w:rPr>
            </w:pPr>
          </w:p>
        </w:tc>
        <w:tc>
          <w:tcPr>
            <w:tcW w:w="3202" w:type="dxa"/>
            <w:vMerge w:val="continue"/>
            <w:tcBorders>
              <w:top w:val="nil"/>
            </w:tcBorders>
            <w:vAlign w:val="top"/>
          </w:tcPr>
          <w:p w14:paraId="5726BD0C">
            <w:pPr>
              <w:rPr>
                <w:rFonts w:ascii="Arial"/>
                <w:sz w:val="21"/>
              </w:rPr>
            </w:pPr>
          </w:p>
        </w:tc>
        <w:tc>
          <w:tcPr>
            <w:tcW w:w="2859" w:type="dxa"/>
            <w:vMerge w:val="continue"/>
            <w:tcBorders>
              <w:top w:val="nil"/>
            </w:tcBorders>
            <w:vAlign w:val="top"/>
          </w:tcPr>
          <w:p w14:paraId="04E6907A">
            <w:pPr>
              <w:rPr>
                <w:rFonts w:ascii="Arial"/>
                <w:sz w:val="21"/>
              </w:rPr>
            </w:pPr>
          </w:p>
        </w:tc>
        <w:tc>
          <w:tcPr>
            <w:tcW w:w="803" w:type="dxa"/>
            <w:vAlign w:val="top"/>
          </w:tcPr>
          <w:p w14:paraId="0135B50E">
            <w:pPr>
              <w:spacing w:line="297" w:lineRule="auto"/>
              <w:rPr>
                <w:rFonts w:ascii="Arial"/>
                <w:sz w:val="21"/>
              </w:rPr>
            </w:pPr>
          </w:p>
          <w:p w14:paraId="6EF40E7A">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9289011">
            <w:pPr>
              <w:pStyle w:val="6"/>
              <w:spacing w:before="31" w:line="175" w:lineRule="auto"/>
              <w:ind w:left="118" w:right="109"/>
              <w:jc w:val="both"/>
            </w:pPr>
            <w:r>
              <w:rPr>
                <w:spacing w:val="26"/>
              </w:rPr>
              <w:t>未按规定上报事故隐患排查治理统计</w:t>
            </w:r>
            <w:r>
              <w:rPr>
                <w:spacing w:val="3"/>
              </w:rPr>
              <w:t>分析表</w:t>
            </w:r>
            <w:r>
              <w:rPr>
                <w:rFonts w:ascii="宋体" w:hAnsi="宋体" w:eastAsia="宋体" w:cs="宋体"/>
                <w:spacing w:val="3"/>
              </w:rPr>
              <w:t>3</w:t>
            </w:r>
            <w:r>
              <w:rPr>
                <w:spacing w:val="3"/>
              </w:rPr>
              <w:t>次以上的</w:t>
            </w:r>
          </w:p>
        </w:tc>
        <w:tc>
          <w:tcPr>
            <w:tcW w:w="2894" w:type="dxa"/>
            <w:vAlign w:val="top"/>
          </w:tcPr>
          <w:p w14:paraId="4F186873">
            <w:pPr>
              <w:pStyle w:val="6"/>
              <w:spacing w:before="178" w:line="196" w:lineRule="auto"/>
              <w:ind w:left="124" w:right="106" w:firstLine="1"/>
            </w:pPr>
            <w:r>
              <w:rPr>
                <w:spacing w:val="3"/>
              </w:rPr>
              <w:t>给予警告，并处</w:t>
            </w:r>
            <w:r>
              <w:rPr>
                <w:rFonts w:ascii="宋体" w:hAnsi="宋体" w:eastAsia="宋体" w:cs="宋体"/>
                <w:spacing w:val="3"/>
              </w:rPr>
              <w:t>2</w:t>
            </w:r>
            <w:r>
              <w:rPr>
                <w:spacing w:val="3"/>
              </w:rPr>
              <w:t>万元以</w:t>
            </w:r>
            <w:r>
              <w:rPr>
                <w:spacing w:val="2"/>
              </w:rPr>
              <w:t>上</w:t>
            </w:r>
            <w:r>
              <w:rPr>
                <w:rFonts w:ascii="宋体" w:hAnsi="宋体" w:eastAsia="宋体" w:cs="宋体"/>
                <w:spacing w:val="2"/>
              </w:rPr>
              <w:t>3</w:t>
            </w:r>
            <w:r>
              <w:rPr>
                <w:spacing w:val="2"/>
              </w:rPr>
              <w:t>万元以下的罚款</w:t>
            </w:r>
          </w:p>
        </w:tc>
        <w:tc>
          <w:tcPr>
            <w:tcW w:w="811" w:type="dxa"/>
            <w:vMerge w:val="continue"/>
            <w:tcBorders>
              <w:top w:val="nil"/>
            </w:tcBorders>
            <w:vAlign w:val="top"/>
          </w:tcPr>
          <w:p w14:paraId="7EBB40BC">
            <w:pPr>
              <w:rPr>
                <w:rFonts w:ascii="Arial"/>
                <w:sz w:val="21"/>
              </w:rPr>
            </w:pPr>
          </w:p>
        </w:tc>
      </w:tr>
      <w:tr w14:paraId="6B5F3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6" w:hRule="atLeast"/>
        </w:trPr>
        <w:tc>
          <w:tcPr>
            <w:tcW w:w="818" w:type="dxa"/>
            <w:vMerge w:val="restart"/>
            <w:tcBorders>
              <w:bottom w:val="nil"/>
            </w:tcBorders>
            <w:vAlign w:val="top"/>
          </w:tcPr>
          <w:p w14:paraId="5ED6CF00">
            <w:pPr>
              <w:spacing w:line="265" w:lineRule="auto"/>
              <w:rPr>
                <w:rFonts w:ascii="Arial"/>
                <w:sz w:val="21"/>
              </w:rPr>
            </w:pPr>
          </w:p>
          <w:p w14:paraId="46042A37">
            <w:pPr>
              <w:spacing w:line="265" w:lineRule="auto"/>
              <w:rPr>
                <w:rFonts w:ascii="Arial"/>
                <w:sz w:val="21"/>
              </w:rPr>
            </w:pPr>
          </w:p>
          <w:p w14:paraId="3C71BCE5">
            <w:pPr>
              <w:spacing w:line="265" w:lineRule="auto"/>
              <w:rPr>
                <w:rFonts w:ascii="Arial"/>
                <w:sz w:val="21"/>
              </w:rPr>
            </w:pPr>
          </w:p>
          <w:p w14:paraId="57E007CD">
            <w:pPr>
              <w:spacing w:line="265" w:lineRule="auto"/>
              <w:rPr>
                <w:rFonts w:ascii="Arial"/>
                <w:sz w:val="21"/>
              </w:rPr>
            </w:pPr>
          </w:p>
          <w:p w14:paraId="0FE501C8">
            <w:pPr>
              <w:spacing w:line="265" w:lineRule="auto"/>
              <w:rPr>
                <w:rFonts w:ascii="Arial"/>
                <w:sz w:val="21"/>
              </w:rPr>
            </w:pPr>
          </w:p>
          <w:p w14:paraId="4F8E1F9D">
            <w:pPr>
              <w:spacing w:line="265" w:lineRule="auto"/>
              <w:rPr>
                <w:rFonts w:ascii="Arial"/>
                <w:sz w:val="21"/>
              </w:rPr>
            </w:pPr>
          </w:p>
          <w:p w14:paraId="190A18BC">
            <w:pPr>
              <w:spacing w:line="265" w:lineRule="auto"/>
              <w:rPr>
                <w:rFonts w:ascii="Arial"/>
                <w:sz w:val="21"/>
              </w:rPr>
            </w:pPr>
          </w:p>
          <w:p w14:paraId="3946AF5A">
            <w:pPr>
              <w:spacing w:line="266" w:lineRule="auto"/>
              <w:rPr>
                <w:rFonts w:ascii="Arial"/>
                <w:sz w:val="21"/>
              </w:rPr>
            </w:pPr>
          </w:p>
          <w:p w14:paraId="398B4512">
            <w:pPr>
              <w:spacing w:line="266" w:lineRule="auto"/>
              <w:rPr>
                <w:rFonts w:ascii="Arial"/>
                <w:sz w:val="21"/>
              </w:rPr>
            </w:pPr>
          </w:p>
          <w:p w14:paraId="73050E82">
            <w:pPr>
              <w:spacing w:before="75" w:line="185" w:lineRule="auto"/>
              <w:ind w:left="234"/>
              <w:rPr>
                <w:rFonts w:ascii="仿宋" w:hAnsi="仿宋" w:eastAsia="仿宋" w:cs="仿宋"/>
                <w:sz w:val="23"/>
                <w:szCs w:val="23"/>
              </w:rPr>
            </w:pPr>
            <w:r>
              <w:rPr>
                <w:rFonts w:ascii="仿宋" w:hAnsi="仿宋" w:eastAsia="仿宋" w:cs="仿宋"/>
                <w:spacing w:val="-1"/>
                <w:sz w:val="23"/>
                <w:szCs w:val="23"/>
              </w:rPr>
              <w:t>49</w:t>
            </w:r>
          </w:p>
        </w:tc>
        <w:tc>
          <w:tcPr>
            <w:tcW w:w="1440" w:type="dxa"/>
            <w:vMerge w:val="restart"/>
            <w:tcBorders>
              <w:bottom w:val="nil"/>
            </w:tcBorders>
            <w:vAlign w:val="top"/>
          </w:tcPr>
          <w:p w14:paraId="095C8A48">
            <w:pPr>
              <w:spacing w:line="267" w:lineRule="auto"/>
              <w:rPr>
                <w:rFonts w:ascii="Arial"/>
                <w:sz w:val="21"/>
              </w:rPr>
            </w:pPr>
          </w:p>
          <w:p w14:paraId="3B491568">
            <w:pPr>
              <w:spacing w:line="267" w:lineRule="auto"/>
              <w:rPr>
                <w:rFonts w:ascii="Arial"/>
                <w:sz w:val="21"/>
              </w:rPr>
            </w:pPr>
          </w:p>
          <w:p w14:paraId="08AB085D">
            <w:pPr>
              <w:spacing w:line="267" w:lineRule="auto"/>
              <w:rPr>
                <w:rFonts w:ascii="Arial"/>
                <w:sz w:val="21"/>
              </w:rPr>
            </w:pPr>
          </w:p>
          <w:p w14:paraId="46BF3CA5">
            <w:pPr>
              <w:spacing w:line="267" w:lineRule="auto"/>
              <w:rPr>
                <w:rFonts w:ascii="Arial"/>
                <w:sz w:val="21"/>
              </w:rPr>
            </w:pPr>
          </w:p>
          <w:p w14:paraId="29F2D41D">
            <w:pPr>
              <w:spacing w:line="267" w:lineRule="auto"/>
              <w:rPr>
                <w:rFonts w:ascii="Arial"/>
                <w:sz w:val="21"/>
              </w:rPr>
            </w:pPr>
          </w:p>
          <w:p w14:paraId="665625B5">
            <w:pPr>
              <w:spacing w:line="268" w:lineRule="auto"/>
              <w:rPr>
                <w:rFonts w:ascii="Arial"/>
                <w:sz w:val="21"/>
              </w:rPr>
            </w:pPr>
          </w:p>
          <w:p w14:paraId="183CF407">
            <w:pPr>
              <w:spacing w:line="268" w:lineRule="auto"/>
              <w:rPr>
                <w:rFonts w:ascii="Arial"/>
                <w:sz w:val="21"/>
              </w:rPr>
            </w:pPr>
          </w:p>
          <w:p w14:paraId="7E0C971D">
            <w:pPr>
              <w:pStyle w:val="6"/>
              <w:spacing w:before="98" w:line="189" w:lineRule="auto"/>
              <w:ind w:left="115" w:right="108" w:firstLine="13"/>
              <w:jc w:val="both"/>
            </w:pPr>
            <w:r>
              <w:rPr>
                <w:spacing w:val="8"/>
              </w:rPr>
              <w:t>生产经营单</w:t>
            </w:r>
            <w:r>
              <w:rPr>
                <w:spacing w:val="12"/>
              </w:rPr>
              <w:t>位未制定重大事故隐患</w:t>
            </w:r>
            <w:r>
              <w:rPr>
                <w:spacing w:val="6"/>
              </w:rPr>
              <w:t>治理方案的</w:t>
            </w:r>
          </w:p>
        </w:tc>
        <w:tc>
          <w:tcPr>
            <w:tcW w:w="3202" w:type="dxa"/>
            <w:vMerge w:val="restart"/>
            <w:tcBorders>
              <w:bottom w:val="nil"/>
            </w:tcBorders>
            <w:vAlign w:val="top"/>
          </w:tcPr>
          <w:p w14:paraId="7218FBFA">
            <w:pPr>
              <w:pStyle w:val="6"/>
              <w:spacing w:before="34" w:line="182" w:lineRule="auto"/>
              <w:ind w:left="118" w:right="19" w:hanging="20"/>
            </w:pPr>
            <w:r>
              <w:rPr>
                <w:spacing w:val="18"/>
              </w:rPr>
              <w:t>【部门规章】《安全生产事</w:t>
            </w:r>
            <w:bookmarkStart w:id="441" w:name="bookmark106"/>
            <w:bookmarkEnd w:id="441"/>
            <w:r>
              <w:rPr>
                <w:spacing w:val="18"/>
              </w:rPr>
              <w:t>故隐患排查治理暂行规定》</w:t>
            </w:r>
            <w:r>
              <w:rPr>
                <w:spacing w:val="13"/>
              </w:rPr>
              <w:t>第十五条：对于一般事故隐</w:t>
            </w:r>
            <w:r>
              <w:rPr>
                <w:spacing w:val="1"/>
              </w:rPr>
              <w:t>患，由生产经营单位（车间、</w:t>
            </w:r>
            <w:r>
              <w:rPr>
                <w:spacing w:val="12"/>
              </w:rPr>
              <w:t>分厂、区队等）负责人或者</w:t>
            </w:r>
            <w:r>
              <w:rPr>
                <w:spacing w:val="5"/>
              </w:rPr>
              <w:t>有关人员立即组织整改。</w:t>
            </w:r>
          </w:p>
          <w:p w14:paraId="5E1B1D5C">
            <w:pPr>
              <w:pStyle w:val="6"/>
              <w:spacing w:before="6" w:line="182" w:lineRule="auto"/>
              <w:ind w:left="117" w:right="106" w:firstLine="3"/>
            </w:pPr>
            <w:r>
              <w:rPr>
                <w:spacing w:val="10"/>
              </w:rPr>
              <w:t>对于重大事故隐患，由生产</w:t>
            </w:r>
            <w:r>
              <w:rPr>
                <w:spacing w:val="17"/>
              </w:rPr>
              <w:t>经营单位主要负责人组织制</w:t>
            </w:r>
            <w:r>
              <w:rPr>
                <w:spacing w:val="39"/>
              </w:rPr>
              <w:t>定并实施事故隐患治理方</w:t>
            </w:r>
            <w:r>
              <w:rPr>
                <w:spacing w:val="17"/>
              </w:rPr>
              <w:t>案。重大事故隐患治理方案</w:t>
            </w:r>
            <w:r>
              <w:rPr>
                <w:spacing w:val="8"/>
              </w:rPr>
              <w:t>应当包括以下内容</w:t>
            </w:r>
            <w:r>
              <w:rPr>
                <w:spacing w:val="-14"/>
              </w:rPr>
              <w:t>：（</w:t>
            </w:r>
            <w:r>
              <w:rPr>
                <w:spacing w:val="8"/>
              </w:rPr>
              <w:t>一）</w:t>
            </w:r>
            <w:r>
              <w:rPr>
                <w:spacing w:val="24"/>
              </w:rPr>
              <w:t>治理的目标和任务</w:t>
            </w:r>
            <w:r>
              <w:rPr>
                <w:spacing w:val="-14"/>
              </w:rPr>
              <w:t>；（</w:t>
            </w:r>
            <w:r>
              <w:rPr>
                <w:spacing w:val="24"/>
              </w:rPr>
              <w:t>二）采取的方法和措施</w:t>
            </w:r>
            <w:r>
              <w:rPr>
                <w:spacing w:val="-14"/>
              </w:rPr>
              <w:t>；（</w:t>
            </w:r>
            <w:r>
              <w:rPr>
                <w:spacing w:val="24"/>
              </w:rPr>
              <w:t>三）经费和物资的落实</w:t>
            </w:r>
            <w:r>
              <w:rPr>
                <w:spacing w:val="-14"/>
              </w:rPr>
              <w:t>；（</w:t>
            </w:r>
            <w:r>
              <w:rPr>
                <w:spacing w:val="24"/>
              </w:rPr>
              <w:t>四）</w:t>
            </w:r>
            <w:r>
              <w:rPr>
                <w:spacing w:val="35"/>
              </w:rPr>
              <w:t>负责治理的机构和人员；</w:t>
            </w:r>
          </w:p>
          <w:p w14:paraId="7481EFF0">
            <w:pPr>
              <w:pStyle w:val="6"/>
              <w:spacing w:line="165" w:lineRule="auto"/>
              <w:ind w:left="98"/>
            </w:pPr>
            <w:r>
              <w:rPr>
                <w:spacing w:val="12"/>
              </w:rPr>
              <w:t>（五）治理的时限和要求；</w:t>
            </w:r>
          </w:p>
          <w:p w14:paraId="60F590D7">
            <w:pPr>
              <w:pStyle w:val="6"/>
              <w:spacing w:before="1" w:line="176" w:lineRule="auto"/>
              <w:ind w:right="2"/>
              <w:jc w:val="right"/>
            </w:pPr>
            <w:r>
              <w:rPr>
                <w:spacing w:val="8"/>
              </w:rPr>
              <w:t>（六）</w:t>
            </w:r>
            <w:r>
              <w:fldChar w:fldCharType="begin"/>
            </w:r>
            <w:r>
              <w:instrText xml:space="preserve"> HYPERLINK "https://baike.baidu.com/item/%E5%AE%89%E5%85%A8%E6%8E%AA%E6%96%BD/533179?fromModule=lemma_inlink" </w:instrText>
            </w:r>
            <w:r>
              <w:fldChar w:fldCharType="separate"/>
            </w:r>
            <w:r>
              <w:rPr>
                <w:spacing w:val="8"/>
              </w:rPr>
              <w:t>安全措施</w:t>
            </w:r>
            <w:r>
              <w:rPr>
                <w:spacing w:val="8"/>
              </w:rPr>
              <w:fldChar w:fldCharType="end"/>
            </w:r>
            <w:r>
              <w:rPr>
                <w:spacing w:val="8"/>
              </w:rPr>
              <w:t>和</w:t>
            </w:r>
            <w:r>
              <w:fldChar w:fldCharType="begin"/>
            </w:r>
            <w:r>
              <w:instrText xml:space="preserve"> HYPERLINK "https://baike.baidu.com/item/%E5%BA%94%E6%80%A5%E9%A2%84%E6%A1%88/2955453?fromModule=lemma_inlink" </w:instrText>
            </w:r>
            <w:r>
              <w:fldChar w:fldCharType="separate"/>
            </w:r>
            <w:r>
              <w:rPr>
                <w:spacing w:val="8"/>
              </w:rPr>
              <w:t>应急预案</w:t>
            </w:r>
            <w:r>
              <w:rPr>
                <w:spacing w:val="8"/>
              </w:rPr>
              <w:fldChar w:fldCharType="end"/>
            </w:r>
            <w:r>
              <w:rPr>
                <w:spacing w:val="8"/>
              </w:rPr>
              <w:t>。</w:t>
            </w:r>
          </w:p>
        </w:tc>
        <w:tc>
          <w:tcPr>
            <w:tcW w:w="2859" w:type="dxa"/>
            <w:vMerge w:val="restart"/>
            <w:tcBorders>
              <w:bottom w:val="nil"/>
            </w:tcBorders>
            <w:vAlign w:val="top"/>
          </w:tcPr>
          <w:p w14:paraId="2FBD8CC0">
            <w:pPr>
              <w:pStyle w:val="6"/>
              <w:spacing w:before="34" w:line="185" w:lineRule="auto"/>
              <w:ind w:left="116" w:right="110" w:hanging="19"/>
            </w:pPr>
            <w:r>
              <w:rPr>
                <w:spacing w:val="10"/>
              </w:rPr>
              <w:t>【部门规章】《安全生产</w:t>
            </w:r>
            <w:r>
              <w:rPr>
                <w:spacing w:val="8"/>
              </w:rPr>
              <w:t>事故隐患排查治理暂行规</w:t>
            </w:r>
            <w:r>
              <w:rPr>
                <w:spacing w:val="7"/>
              </w:rPr>
              <w:t>定》第二十六条第三项：</w:t>
            </w:r>
            <w:r>
              <w:rPr>
                <w:spacing w:val="32"/>
              </w:rPr>
              <w:t>生产经营单位违反本规</w:t>
            </w:r>
            <w:r>
              <w:rPr>
                <w:spacing w:val="7"/>
              </w:rPr>
              <w:t>定，有下列行为之一的，</w:t>
            </w:r>
            <w:r>
              <w:rPr>
                <w:spacing w:val="8"/>
              </w:rPr>
              <w:t>由安全监管监察部门给予警告，并处三万元以下的</w:t>
            </w:r>
            <w:r>
              <w:rPr>
                <w:spacing w:val="6"/>
              </w:rPr>
              <w:t>罚款</w:t>
            </w:r>
            <w:r>
              <w:rPr>
                <w:spacing w:val="1"/>
              </w:rPr>
              <w:t>：（</w:t>
            </w:r>
            <w:r>
              <w:rPr>
                <w:spacing w:val="6"/>
              </w:rPr>
              <w:t>三）未制定事故</w:t>
            </w:r>
            <w:r>
              <w:rPr>
                <w:spacing w:val="2"/>
              </w:rPr>
              <w:t>隐患治理方案的；</w:t>
            </w:r>
          </w:p>
        </w:tc>
        <w:tc>
          <w:tcPr>
            <w:tcW w:w="803" w:type="dxa"/>
            <w:vAlign w:val="top"/>
          </w:tcPr>
          <w:p w14:paraId="35FD552C">
            <w:pPr>
              <w:spacing w:line="322" w:lineRule="auto"/>
              <w:rPr>
                <w:rFonts w:ascii="Arial"/>
                <w:sz w:val="21"/>
              </w:rPr>
            </w:pPr>
          </w:p>
          <w:p w14:paraId="60D4DDED">
            <w:pPr>
              <w:spacing w:line="323" w:lineRule="auto"/>
              <w:rPr>
                <w:rFonts w:ascii="Arial"/>
                <w:sz w:val="21"/>
              </w:rPr>
            </w:pPr>
          </w:p>
          <w:p w14:paraId="6B17947E">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83789FF">
            <w:pPr>
              <w:spacing w:line="281" w:lineRule="auto"/>
              <w:rPr>
                <w:rFonts w:ascii="Arial"/>
                <w:sz w:val="21"/>
              </w:rPr>
            </w:pPr>
          </w:p>
          <w:p w14:paraId="7079D239">
            <w:pPr>
              <w:pStyle w:val="6"/>
              <w:spacing w:before="98" w:line="192" w:lineRule="auto"/>
              <w:ind w:left="130" w:right="107" w:hanging="7"/>
              <w:jc w:val="both"/>
            </w:pPr>
            <w:r>
              <w:rPr>
                <w:spacing w:val="14"/>
              </w:rPr>
              <w:t>有</w:t>
            </w:r>
            <w:r>
              <w:rPr>
                <w:rFonts w:ascii="宋体" w:hAnsi="宋体" w:eastAsia="宋体" w:cs="宋体"/>
                <w:spacing w:val="14"/>
              </w:rPr>
              <w:t>1</w:t>
            </w:r>
            <w:r>
              <w:rPr>
                <w:spacing w:val="14"/>
              </w:rPr>
              <w:t>处重大事故隐</w:t>
            </w:r>
            <w:r>
              <w:rPr>
                <w:spacing w:val="24"/>
              </w:rPr>
              <w:t>患未制定治理方案</w:t>
            </w:r>
            <w:r>
              <w:t>的</w:t>
            </w:r>
          </w:p>
        </w:tc>
        <w:tc>
          <w:tcPr>
            <w:tcW w:w="2894" w:type="dxa"/>
            <w:vAlign w:val="top"/>
          </w:tcPr>
          <w:p w14:paraId="0B586B62">
            <w:pPr>
              <w:spacing w:line="429" w:lineRule="auto"/>
              <w:rPr>
                <w:rFonts w:ascii="Arial"/>
                <w:sz w:val="21"/>
              </w:rPr>
            </w:pPr>
          </w:p>
          <w:p w14:paraId="0A0367C2">
            <w:pPr>
              <w:pStyle w:val="6"/>
              <w:spacing w:before="99" w:line="196" w:lineRule="auto"/>
              <w:ind w:left="124" w:right="106" w:firstLine="1"/>
            </w:pPr>
            <w:r>
              <w:rPr>
                <w:spacing w:val="1"/>
              </w:rPr>
              <w:t>给予警告，并处</w:t>
            </w:r>
            <w:r>
              <w:rPr>
                <w:rFonts w:ascii="宋体" w:hAnsi="宋体" w:eastAsia="宋体" w:cs="宋体"/>
                <w:spacing w:val="1"/>
              </w:rPr>
              <w:t>1</w:t>
            </w:r>
            <w:r>
              <w:rPr>
                <w:spacing w:val="1"/>
              </w:rPr>
              <w:t>万元以</w:t>
            </w:r>
            <w:r>
              <w:rPr>
                <w:spacing w:val="4"/>
              </w:rPr>
              <w:t>下的罚款</w:t>
            </w:r>
          </w:p>
        </w:tc>
        <w:tc>
          <w:tcPr>
            <w:tcW w:w="811" w:type="dxa"/>
            <w:vMerge w:val="restart"/>
            <w:tcBorders>
              <w:bottom w:val="nil"/>
            </w:tcBorders>
            <w:vAlign w:val="top"/>
          </w:tcPr>
          <w:p w14:paraId="4F2143D7">
            <w:pPr>
              <w:spacing w:line="264" w:lineRule="auto"/>
              <w:rPr>
                <w:rFonts w:ascii="Arial"/>
                <w:sz w:val="21"/>
              </w:rPr>
            </w:pPr>
          </w:p>
          <w:p w14:paraId="61311566">
            <w:pPr>
              <w:spacing w:line="265" w:lineRule="auto"/>
              <w:rPr>
                <w:rFonts w:ascii="Arial"/>
                <w:sz w:val="21"/>
              </w:rPr>
            </w:pPr>
          </w:p>
          <w:p w14:paraId="70FEC376">
            <w:pPr>
              <w:spacing w:line="265" w:lineRule="auto"/>
              <w:rPr>
                <w:rFonts w:ascii="Arial"/>
                <w:sz w:val="21"/>
              </w:rPr>
            </w:pPr>
          </w:p>
          <w:p w14:paraId="272B28FD">
            <w:pPr>
              <w:spacing w:line="265" w:lineRule="auto"/>
              <w:rPr>
                <w:rFonts w:ascii="Arial"/>
                <w:sz w:val="21"/>
              </w:rPr>
            </w:pPr>
          </w:p>
          <w:p w14:paraId="4E9186F6">
            <w:pPr>
              <w:spacing w:line="265" w:lineRule="auto"/>
              <w:rPr>
                <w:rFonts w:ascii="Arial"/>
                <w:sz w:val="21"/>
              </w:rPr>
            </w:pPr>
          </w:p>
          <w:p w14:paraId="2E5FB47C">
            <w:pPr>
              <w:spacing w:line="265" w:lineRule="auto"/>
              <w:rPr>
                <w:rFonts w:ascii="Arial"/>
                <w:sz w:val="21"/>
              </w:rPr>
            </w:pPr>
          </w:p>
          <w:p w14:paraId="1D0F58B8">
            <w:pPr>
              <w:spacing w:line="265" w:lineRule="auto"/>
              <w:rPr>
                <w:rFonts w:ascii="Arial"/>
                <w:sz w:val="21"/>
              </w:rPr>
            </w:pPr>
          </w:p>
          <w:p w14:paraId="70644504">
            <w:pPr>
              <w:spacing w:line="265" w:lineRule="auto"/>
              <w:rPr>
                <w:rFonts w:ascii="Arial"/>
                <w:sz w:val="21"/>
              </w:rPr>
            </w:pPr>
          </w:p>
          <w:p w14:paraId="2ABF9FFC">
            <w:pPr>
              <w:spacing w:line="265" w:lineRule="auto"/>
              <w:rPr>
                <w:rFonts w:ascii="Arial"/>
                <w:sz w:val="21"/>
              </w:rPr>
            </w:pPr>
          </w:p>
          <w:p w14:paraId="506B6EB3">
            <w:pPr>
              <w:spacing w:before="74" w:line="188" w:lineRule="auto"/>
              <w:ind w:left="295"/>
              <w:rPr>
                <w:rFonts w:ascii="宋体" w:hAnsi="宋体" w:eastAsia="宋体" w:cs="宋体"/>
                <w:sz w:val="23"/>
                <w:szCs w:val="23"/>
              </w:rPr>
            </w:pPr>
            <w:r>
              <w:rPr>
                <w:rFonts w:ascii="宋体" w:hAnsi="宋体" w:eastAsia="宋体" w:cs="宋体"/>
                <w:spacing w:val="-4"/>
                <w:sz w:val="23"/>
                <w:szCs w:val="23"/>
              </w:rPr>
              <w:t>36</w:t>
            </w:r>
          </w:p>
        </w:tc>
      </w:tr>
      <w:tr w14:paraId="26276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9" w:hRule="atLeast"/>
        </w:trPr>
        <w:tc>
          <w:tcPr>
            <w:tcW w:w="818" w:type="dxa"/>
            <w:vMerge w:val="continue"/>
            <w:tcBorders>
              <w:top w:val="nil"/>
              <w:bottom w:val="nil"/>
            </w:tcBorders>
            <w:vAlign w:val="top"/>
          </w:tcPr>
          <w:p w14:paraId="1BE3BD4F">
            <w:pPr>
              <w:rPr>
                <w:rFonts w:ascii="Arial"/>
                <w:sz w:val="21"/>
              </w:rPr>
            </w:pPr>
          </w:p>
        </w:tc>
        <w:tc>
          <w:tcPr>
            <w:tcW w:w="1440" w:type="dxa"/>
            <w:vMerge w:val="continue"/>
            <w:tcBorders>
              <w:top w:val="nil"/>
              <w:bottom w:val="nil"/>
            </w:tcBorders>
            <w:vAlign w:val="top"/>
          </w:tcPr>
          <w:p w14:paraId="40877816">
            <w:pPr>
              <w:rPr>
                <w:rFonts w:ascii="Arial"/>
                <w:sz w:val="21"/>
              </w:rPr>
            </w:pPr>
          </w:p>
        </w:tc>
        <w:tc>
          <w:tcPr>
            <w:tcW w:w="3202" w:type="dxa"/>
            <w:vMerge w:val="continue"/>
            <w:tcBorders>
              <w:top w:val="nil"/>
              <w:bottom w:val="nil"/>
            </w:tcBorders>
            <w:vAlign w:val="top"/>
          </w:tcPr>
          <w:p w14:paraId="7EC51D9B">
            <w:pPr>
              <w:rPr>
                <w:rFonts w:ascii="Arial"/>
                <w:sz w:val="21"/>
              </w:rPr>
            </w:pPr>
          </w:p>
        </w:tc>
        <w:tc>
          <w:tcPr>
            <w:tcW w:w="2859" w:type="dxa"/>
            <w:vMerge w:val="continue"/>
            <w:tcBorders>
              <w:top w:val="nil"/>
              <w:bottom w:val="nil"/>
            </w:tcBorders>
            <w:vAlign w:val="top"/>
          </w:tcPr>
          <w:p w14:paraId="293D4F19">
            <w:pPr>
              <w:rPr>
                <w:rFonts w:ascii="Arial"/>
                <w:sz w:val="21"/>
              </w:rPr>
            </w:pPr>
          </w:p>
        </w:tc>
        <w:tc>
          <w:tcPr>
            <w:tcW w:w="803" w:type="dxa"/>
            <w:vAlign w:val="top"/>
          </w:tcPr>
          <w:p w14:paraId="72DB8C3D">
            <w:pPr>
              <w:spacing w:line="347" w:lineRule="auto"/>
              <w:rPr>
                <w:rFonts w:ascii="Arial"/>
                <w:sz w:val="21"/>
              </w:rPr>
            </w:pPr>
          </w:p>
          <w:p w14:paraId="076F7CF0">
            <w:pPr>
              <w:spacing w:line="348" w:lineRule="auto"/>
              <w:rPr>
                <w:rFonts w:ascii="Arial"/>
                <w:sz w:val="21"/>
              </w:rPr>
            </w:pPr>
          </w:p>
          <w:p w14:paraId="7968174C">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5C65048">
            <w:pPr>
              <w:spacing w:line="328" w:lineRule="auto"/>
              <w:rPr>
                <w:rFonts w:ascii="Arial"/>
                <w:sz w:val="21"/>
              </w:rPr>
            </w:pPr>
          </w:p>
          <w:p w14:paraId="16DD027F">
            <w:pPr>
              <w:pStyle w:val="6"/>
              <w:spacing w:before="98" w:line="192" w:lineRule="auto"/>
              <w:ind w:left="130" w:right="107" w:hanging="7"/>
              <w:jc w:val="both"/>
            </w:pPr>
            <w:r>
              <w:rPr>
                <w:spacing w:val="16"/>
              </w:rPr>
              <w:t>有</w:t>
            </w:r>
            <w:r>
              <w:rPr>
                <w:rFonts w:ascii="宋体" w:hAnsi="宋体" w:eastAsia="宋体" w:cs="宋体"/>
                <w:spacing w:val="16"/>
              </w:rPr>
              <w:t>2</w:t>
            </w:r>
            <w:r>
              <w:rPr>
                <w:spacing w:val="16"/>
              </w:rPr>
              <w:t>处重大事故隐</w:t>
            </w:r>
            <w:r>
              <w:rPr>
                <w:spacing w:val="24"/>
              </w:rPr>
              <w:t>患未制定治理方案</w:t>
            </w:r>
            <w:r>
              <w:t>的</w:t>
            </w:r>
          </w:p>
        </w:tc>
        <w:tc>
          <w:tcPr>
            <w:tcW w:w="2894" w:type="dxa"/>
            <w:vAlign w:val="top"/>
          </w:tcPr>
          <w:p w14:paraId="37F8C995">
            <w:pPr>
              <w:spacing w:line="476" w:lineRule="auto"/>
              <w:rPr>
                <w:rFonts w:ascii="Arial"/>
                <w:sz w:val="21"/>
              </w:rPr>
            </w:pPr>
          </w:p>
          <w:p w14:paraId="795CEA2E">
            <w:pPr>
              <w:pStyle w:val="6"/>
              <w:spacing w:before="98" w:line="196" w:lineRule="auto"/>
              <w:ind w:left="124" w:right="106" w:firstLine="1"/>
            </w:pPr>
            <w:r>
              <w:rPr>
                <w:spacing w:val="1"/>
              </w:rPr>
              <w:t>给予警告，并处</w:t>
            </w:r>
            <w:r>
              <w:rPr>
                <w:rFonts w:ascii="宋体" w:hAnsi="宋体" w:eastAsia="宋体" w:cs="宋体"/>
                <w:spacing w:val="1"/>
              </w:rPr>
              <w:t>1</w:t>
            </w:r>
            <w:r>
              <w:rPr>
                <w:spacing w:val="1"/>
              </w:rPr>
              <w:t>万元以</w:t>
            </w:r>
            <w:r>
              <w:rPr>
                <w:spacing w:val="2"/>
              </w:rPr>
              <w:t>上</w:t>
            </w:r>
            <w:r>
              <w:rPr>
                <w:rFonts w:ascii="宋体" w:hAnsi="宋体" w:eastAsia="宋体" w:cs="宋体"/>
                <w:spacing w:val="2"/>
              </w:rPr>
              <w:t>2</w:t>
            </w:r>
            <w:r>
              <w:rPr>
                <w:spacing w:val="2"/>
              </w:rPr>
              <w:t>万元以下的罚款</w:t>
            </w:r>
          </w:p>
        </w:tc>
        <w:tc>
          <w:tcPr>
            <w:tcW w:w="811" w:type="dxa"/>
            <w:vMerge w:val="continue"/>
            <w:tcBorders>
              <w:top w:val="nil"/>
              <w:bottom w:val="nil"/>
            </w:tcBorders>
            <w:vAlign w:val="top"/>
          </w:tcPr>
          <w:p w14:paraId="1B41E977">
            <w:pPr>
              <w:rPr>
                <w:rFonts w:ascii="Arial"/>
                <w:sz w:val="21"/>
              </w:rPr>
            </w:pPr>
          </w:p>
        </w:tc>
      </w:tr>
      <w:tr w14:paraId="5BCE9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7" w:hRule="atLeast"/>
        </w:trPr>
        <w:tc>
          <w:tcPr>
            <w:tcW w:w="818" w:type="dxa"/>
            <w:vMerge w:val="continue"/>
            <w:tcBorders>
              <w:top w:val="nil"/>
            </w:tcBorders>
            <w:vAlign w:val="top"/>
          </w:tcPr>
          <w:p w14:paraId="7E104462">
            <w:pPr>
              <w:rPr>
                <w:rFonts w:ascii="Arial"/>
                <w:sz w:val="21"/>
              </w:rPr>
            </w:pPr>
          </w:p>
        </w:tc>
        <w:tc>
          <w:tcPr>
            <w:tcW w:w="1440" w:type="dxa"/>
            <w:vMerge w:val="continue"/>
            <w:tcBorders>
              <w:top w:val="nil"/>
            </w:tcBorders>
            <w:vAlign w:val="top"/>
          </w:tcPr>
          <w:p w14:paraId="2D4C73C7">
            <w:pPr>
              <w:rPr>
                <w:rFonts w:ascii="Arial"/>
                <w:sz w:val="21"/>
              </w:rPr>
            </w:pPr>
          </w:p>
        </w:tc>
        <w:tc>
          <w:tcPr>
            <w:tcW w:w="3202" w:type="dxa"/>
            <w:vMerge w:val="continue"/>
            <w:tcBorders>
              <w:top w:val="nil"/>
            </w:tcBorders>
            <w:vAlign w:val="top"/>
          </w:tcPr>
          <w:p w14:paraId="501B4FF5">
            <w:pPr>
              <w:rPr>
                <w:rFonts w:ascii="Arial"/>
                <w:sz w:val="21"/>
              </w:rPr>
            </w:pPr>
          </w:p>
        </w:tc>
        <w:tc>
          <w:tcPr>
            <w:tcW w:w="2859" w:type="dxa"/>
            <w:vMerge w:val="continue"/>
            <w:tcBorders>
              <w:top w:val="nil"/>
            </w:tcBorders>
            <w:vAlign w:val="top"/>
          </w:tcPr>
          <w:p w14:paraId="420EFC2E">
            <w:pPr>
              <w:rPr>
                <w:rFonts w:ascii="Arial"/>
                <w:sz w:val="21"/>
              </w:rPr>
            </w:pPr>
          </w:p>
        </w:tc>
        <w:tc>
          <w:tcPr>
            <w:tcW w:w="803" w:type="dxa"/>
            <w:vAlign w:val="top"/>
          </w:tcPr>
          <w:p w14:paraId="27C08A94">
            <w:pPr>
              <w:spacing w:line="245" w:lineRule="auto"/>
              <w:rPr>
                <w:rFonts w:ascii="Arial"/>
                <w:sz w:val="21"/>
              </w:rPr>
            </w:pPr>
          </w:p>
          <w:p w14:paraId="72CE0322">
            <w:pPr>
              <w:spacing w:line="246" w:lineRule="auto"/>
              <w:rPr>
                <w:rFonts w:ascii="Arial"/>
                <w:sz w:val="21"/>
              </w:rPr>
            </w:pPr>
          </w:p>
          <w:p w14:paraId="3B83A680">
            <w:pPr>
              <w:spacing w:line="246" w:lineRule="auto"/>
              <w:rPr>
                <w:rFonts w:ascii="Arial"/>
                <w:sz w:val="21"/>
              </w:rPr>
            </w:pPr>
          </w:p>
          <w:p w14:paraId="2AD15F63">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59DDAC6">
            <w:pPr>
              <w:spacing w:line="373" w:lineRule="auto"/>
              <w:rPr>
                <w:rFonts w:ascii="Arial"/>
                <w:sz w:val="21"/>
              </w:rPr>
            </w:pPr>
          </w:p>
          <w:p w14:paraId="3456C8AD">
            <w:pPr>
              <w:pStyle w:val="6"/>
              <w:spacing w:before="99" w:line="191" w:lineRule="auto"/>
              <w:ind w:left="123" w:right="107"/>
              <w:jc w:val="both"/>
            </w:pPr>
            <w:r>
              <w:rPr>
                <w:spacing w:val="16"/>
              </w:rPr>
              <w:t>有</w:t>
            </w:r>
            <w:r>
              <w:rPr>
                <w:rFonts w:ascii="宋体" w:hAnsi="宋体" w:eastAsia="宋体" w:cs="宋体"/>
                <w:spacing w:val="16"/>
              </w:rPr>
              <w:t>3</w:t>
            </w:r>
            <w:r>
              <w:rPr>
                <w:spacing w:val="16"/>
              </w:rPr>
              <w:t>处以上重大事</w:t>
            </w:r>
            <w:r>
              <w:rPr>
                <w:spacing w:val="25"/>
              </w:rPr>
              <w:t>故隐患未制定治理</w:t>
            </w:r>
            <w:r>
              <w:rPr>
                <w:spacing w:val="2"/>
              </w:rPr>
              <w:t>方案的</w:t>
            </w:r>
          </w:p>
        </w:tc>
        <w:tc>
          <w:tcPr>
            <w:tcW w:w="2894" w:type="dxa"/>
            <w:vAlign w:val="top"/>
          </w:tcPr>
          <w:p w14:paraId="35A74D72">
            <w:pPr>
              <w:spacing w:line="259" w:lineRule="auto"/>
              <w:rPr>
                <w:rFonts w:ascii="Arial"/>
                <w:sz w:val="21"/>
              </w:rPr>
            </w:pPr>
          </w:p>
          <w:p w14:paraId="0E7FA049">
            <w:pPr>
              <w:spacing w:line="260" w:lineRule="auto"/>
              <w:rPr>
                <w:rFonts w:ascii="Arial"/>
                <w:sz w:val="21"/>
              </w:rPr>
            </w:pPr>
          </w:p>
          <w:p w14:paraId="6A2F7B2A">
            <w:pPr>
              <w:pStyle w:val="6"/>
              <w:spacing w:before="98" w:line="196" w:lineRule="auto"/>
              <w:ind w:left="124" w:right="106" w:firstLine="1"/>
            </w:pPr>
            <w:r>
              <w:rPr>
                <w:spacing w:val="3"/>
              </w:rPr>
              <w:t>给予警告，并处</w:t>
            </w:r>
            <w:r>
              <w:rPr>
                <w:rFonts w:ascii="宋体" w:hAnsi="宋体" w:eastAsia="宋体" w:cs="宋体"/>
                <w:spacing w:val="3"/>
              </w:rPr>
              <w:t>2</w:t>
            </w:r>
            <w:r>
              <w:rPr>
                <w:spacing w:val="3"/>
              </w:rPr>
              <w:t>万元以</w:t>
            </w:r>
            <w:r>
              <w:rPr>
                <w:spacing w:val="2"/>
              </w:rPr>
              <w:t>上</w:t>
            </w:r>
            <w:r>
              <w:rPr>
                <w:rFonts w:ascii="宋体" w:hAnsi="宋体" w:eastAsia="宋体" w:cs="宋体"/>
                <w:spacing w:val="2"/>
              </w:rPr>
              <w:t>3</w:t>
            </w:r>
            <w:r>
              <w:rPr>
                <w:spacing w:val="2"/>
              </w:rPr>
              <w:t>万元以下的罚款</w:t>
            </w:r>
          </w:p>
        </w:tc>
        <w:tc>
          <w:tcPr>
            <w:tcW w:w="811" w:type="dxa"/>
            <w:vMerge w:val="continue"/>
            <w:tcBorders>
              <w:top w:val="nil"/>
            </w:tcBorders>
            <w:vAlign w:val="top"/>
          </w:tcPr>
          <w:p w14:paraId="725B89FA">
            <w:pPr>
              <w:rPr>
                <w:rFonts w:ascii="Arial"/>
                <w:sz w:val="21"/>
              </w:rPr>
            </w:pPr>
          </w:p>
        </w:tc>
      </w:tr>
      <w:tr w14:paraId="02AAA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818" w:type="dxa"/>
            <w:vMerge w:val="restart"/>
            <w:tcBorders>
              <w:bottom w:val="nil"/>
            </w:tcBorders>
            <w:vAlign w:val="top"/>
          </w:tcPr>
          <w:p w14:paraId="6337E844">
            <w:pPr>
              <w:spacing w:line="304" w:lineRule="auto"/>
              <w:rPr>
                <w:rFonts w:ascii="Arial"/>
                <w:sz w:val="21"/>
              </w:rPr>
            </w:pPr>
          </w:p>
          <w:p w14:paraId="20009006">
            <w:pPr>
              <w:spacing w:line="304" w:lineRule="auto"/>
              <w:rPr>
                <w:rFonts w:ascii="Arial"/>
                <w:sz w:val="21"/>
              </w:rPr>
            </w:pPr>
          </w:p>
          <w:p w14:paraId="02DE2C54">
            <w:pPr>
              <w:spacing w:line="305" w:lineRule="auto"/>
              <w:rPr>
                <w:rFonts w:ascii="Arial"/>
                <w:sz w:val="21"/>
              </w:rPr>
            </w:pPr>
          </w:p>
          <w:p w14:paraId="6EC3236D">
            <w:pPr>
              <w:spacing w:before="75" w:line="185" w:lineRule="auto"/>
              <w:ind w:left="239"/>
              <w:rPr>
                <w:rFonts w:ascii="仿宋" w:hAnsi="仿宋" w:eastAsia="仿宋" w:cs="仿宋"/>
                <w:sz w:val="23"/>
                <w:szCs w:val="23"/>
              </w:rPr>
            </w:pPr>
            <w:r>
              <w:rPr>
                <w:rFonts w:ascii="仿宋" w:hAnsi="仿宋" w:eastAsia="仿宋" w:cs="仿宋"/>
                <w:spacing w:val="-4"/>
                <w:sz w:val="23"/>
                <w:szCs w:val="23"/>
              </w:rPr>
              <w:t>50</w:t>
            </w:r>
          </w:p>
        </w:tc>
        <w:tc>
          <w:tcPr>
            <w:tcW w:w="1440" w:type="dxa"/>
            <w:vMerge w:val="restart"/>
            <w:tcBorders>
              <w:bottom w:val="nil"/>
            </w:tcBorders>
            <w:vAlign w:val="top"/>
          </w:tcPr>
          <w:p w14:paraId="2961FB54">
            <w:pPr>
              <w:spacing w:line="245" w:lineRule="auto"/>
              <w:rPr>
                <w:rFonts w:ascii="Arial"/>
                <w:sz w:val="21"/>
              </w:rPr>
            </w:pPr>
          </w:p>
          <w:p w14:paraId="2CC302B2">
            <w:pPr>
              <w:pStyle w:val="6"/>
              <w:spacing w:before="98" w:line="188" w:lineRule="auto"/>
              <w:ind w:left="115" w:right="111" w:firstLine="13"/>
              <w:jc w:val="both"/>
            </w:pPr>
            <w:r>
              <w:rPr>
                <w:spacing w:val="8"/>
              </w:rPr>
              <w:t>生产经营单</w:t>
            </w:r>
            <w:r>
              <w:rPr>
                <w:spacing w:val="11"/>
              </w:rPr>
              <w:t>位未对事故隐患进行排查治理擅自</w:t>
            </w:r>
            <w:r>
              <w:rPr>
                <w:spacing w:val="6"/>
              </w:rPr>
              <w:t>生产经营的</w:t>
            </w:r>
          </w:p>
        </w:tc>
        <w:tc>
          <w:tcPr>
            <w:tcW w:w="3202" w:type="dxa"/>
            <w:vMerge w:val="restart"/>
            <w:tcBorders>
              <w:bottom w:val="nil"/>
            </w:tcBorders>
            <w:vAlign w:val="top"/>
          </w:tcPr>
          <w:p w14:paraId="5B8D388D">
            <w:pPr>
              <w:pStyle w:val="6"/>
              <w:spacing w:before="30" w:line="182" w:lineRule="auto"/>
              <w:ind w:left="117" w:right="97" w:hanging="19"/>
              <w:jc w:val="both"/>
            </w:pPr>
            <w:r>
              <w:rPr>
                <w:spacing w:val="18"/>
              </w:rPr>
              <w:t>【部门规章】《安全生产事故隐患排查治理暂行规定》</w:t>
            </w:r>
            <w:r>
              <w:rPr>
                <w:spacing w:val="12"/>
              </w:rPr>
              <w:t>第十条：生产经营单位应当</w:t>
            </w:r>
            <w:r>
              <w:rPr>
                <w:spacing w:val="39"/>
              </w:rPr>
              <w:t>定期组织安全生产管理人</w:t>
            </w:r>
            <w:r>
              <w:rPr>
                <w:spacing w:val="17"/>
              </w:rPr>
              <w:t>员、工程技术人员和其他相关人员排查本单位的事故隐</w:t>
            </w:r>
            <w:r>
              <w:rPr>
                <w:spacing w:val="15"/>
              </w:rPr>
              <w:t>患。对排查出的事故隐患，</w:t>
            </w:r>
          </w:p>
        </w:tc>
        <w:tc>
          <w:tcPr>
            <w:tcW w:w="2859" w:type="dxa"/>
            <w:vMerge w:val="restart"/>
            <w:tcBorders>
              <w:bottom w:val="nil"/>
            </w:tcBorders>
            <w:vAlign w:val="top"/>
          </w:tcPr>
          <w:p w14:paraId="2E870952">
            <w:pPr>
              <w:pStyle w:val="6"/>
              <w:spacing w:before="30" w:line="182" w:lineRule="auto"/>
              <w:ind w:left="116" w:right="110" w:hanging="19"/>
            </w:pPr>
            <w:r>
              <w:rPr>
                <w:spacing w:val="10"/>
              </w:rPr>
              <w:t>【部门规章】《安全生产</w:t>
            </w:r>
            <w:r>
              <w:rPr>
                <w:spacing w:val="8"/>
              </w:rPr>
              <w:t>事故隐患排查治理暂行规</w:t>
            </w:r>
            <w:r>
              <w:rPr>
                <w:spacing w:val="7"/>
              </w:rPr>
              <w:t>定》第二十六条第五项：</w:t>
            </w:r>
            <w:r>
              <w:rPr>
                <w:spacing w:val="32"/>
              </w:rPr>
              <w:t>生产经营单位违反本规</w:t>
            </w:r>
            <w:r>
              <w:rPr>
                <w:spacing w:val="7"/>
              </w:rPr>
              <w:t>定，有下列行为之一的，</w:t>
            </w:r>
            <w:r>
              <w:rPr>
                <w:spacing w:val="8"/>
              </w:rPr>
              <w:t>由安全监管监察部门给予警告，并处三万元以下的</w:t>
            </w:r>
          </w:p>
        </w:tc>
        <w:tc>
          <w:tcPr>
            <w:tcW w:w="803" w:type="dxa"/>
            <w:vAlign w:val="top"/>
          </w:tcPr>
          <w:p w14:paraId="07722848">
            <w:pPr>
              <w:spacing w:line="368" w:lineRule="auto"/>
              <w:rPr>
                <w:rFonts w:ascii="Arial"/>
                <w:sz w:val="21"/>
              </w:rPr>
            </w:pPr>
          </w:p>
          <w:p w14:paraId="18C5A1AA">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477746B">
            <w:pPr>
              <w:pStyle w:val="6"/>
              <w:spacing w:before="101" w:line="189" w:lineRule="auto"/>
              <w:ind w:left="114" w:right="108" w:firstLine="8"/>
              <w:jc w:val="both"/>
            </w:pPr>
            <w:r>
              <w:rPr>
                <w:spacing w:val="14"/>
              </w:rPr>
              <w:t>有</w:t>
            </w:r>
            <w:r>
              <w:rPr>
                <w:rFonts w:ascii="宋体" w:hAnsi="宋体" w:eastAsia="宋体" w:cs="宋体"/>
                <w:spacing w:val="14"/>
              </w:rPr>
              <w:t>1</w:t>
            </w:r>
            <w:r>
              <w:rPr>
                <w:spacing w:val="14"/>
              </w:rPr>
              <w:t>处事故隐患未</w:t>
            </w:r>
            <w:r>
              <w:rPr>
                <w:spacing w:val="26"/>
              </w:rPr>
              <w:t>进行排查治理擅自</w:t>
            </w:r>
            <w:r>
              <w:rPr>
                <w:spacing w:val="7"/>
              </w:rPr>
              <w:t>生产经营的</w:t>
            </w:r>
          </w:p>
        </w:tc>
        <w:tc>
          <w:tcPr>
            <w:tcW w:w="2894" w:type="dxa"/>
            <w:vAlign w:val="top"/>
          </w:tcPr>
          <w:p w14:paraId="4FC941D3">
            <w:pPr>
              <w:pStyle w:val="6"/>
              <w:spacing w:before="252" w:line="196" w:lineRule="auto"/>
              <w:ind w:left="124" w:right="106" w:firstLine="1"/>
            </w:pPr>
            <w:r>
              <w:rPr>
                <w:spacing w:val="1"/>
              </w:rPr>
              <w:t>给予警告，并处</w:t>
            </w:r>
            <w:r>
              <w:rPr>
                <w:rFonts w:ascii="宋体" w:hAnsi="宋体" w:eastAsia="宋体" w:cs="宋体"/>
                <w:spacing w:val="1"/>
              </w:rPr>
              <w:t>1</w:t>
            </w:r>
            <w:r>
              <w:rPr>
                <w:spacing w:val="1"/>
              </w:rPr>
              <w:t>万元以</w:t>
            </w:r>
            <w:r>
              <w:rPr>
                <w:spacing w:val="4"/>
              </w:rPr>
              <w:t>下的罚款</w:t>
            </w:r>
          </w:p>
        </w:tc>
        <w:tc>
          <w:tcPr>
            <w:tcW w:w="811" w:type="dxa"/>
            <w:vMerge w:val="restart"/>
            <w:tcBorders>
              <w:bottom w:val="nil"/>
            </w:tcBorders>
            <w:vAlign w:val="top"/>
          </w:tcPr>
          <w:p w14:paraId="664221A8">
            <w:pPr>
              <w:spacing w:line="303" w:lineRule="auto"/>
              <w:rPr>
                <w:rFonts w:ascii="Arial"/>
                <w:sz w:val="21"/>
              </w:rPr>
            </w:pPr>
          </w:p>
          <w:p w14:paraId="593CE6DF">
            <w:pPr>
              <w:spacing w:line="303" w:lineRule="auto"/>
              <w:rPr>
                <w:rFonts w:ascii="Arial"/>
                <w:sz w:val="21"/>
              </w:rPr>
            </w:pPr>
          </w:p>
          <w:p w14:paraId="70137F85">
            <w:pPr>
              <w:spacing w:line="304" w:lineRule="auto"/>
              <w:rPr>
                <w:rFonts w:ascii="Arial"/>
                <w:sz w:val="21"/>
              </w:rPr>
            </w:pPr>
          </w:p>
          <w:p w14:paraId="4C3B5126">
            <w:pPr>
              <w:spacing w:before="74" w:line="188" w:lineRule="auto"/>
              <w:ind w:left="295"/>
              <w:rPr>
                <w:rFonts w:ascii="宋体" w:hAnsi="宋体" w:eastAsia="宋体" w:cs="宋体"/>
                <w:sz w:val="23"/>
                <w:szCs w:val="23"/>
              </w:rPr>
            </w:pPr>
            <w:r>
              <w:rPr>
                <w:rFonts w:ascii="宋体" w:hAnsi="宋体" w:eastAsia="宋体" w:cs="宋体"/>
                <w:spacing w:val="-4"/>
                <w:sz w:val="23"/>
                <w:szCs w:val="23"/>
              </w:rPr>
              <w:t>36</w:t>
            </w:r>
          </w:p>
        </w:tc>
      </w:tr>
      <w:tr w14:paraId="688CF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818" w:type="dxa"/>
            <w:vMerge w:val="continue"/>
            <w:tcBorders>
              <w:top w:val="nil"/>
            </w:tcBorders>
            <w:vAlign w:val="top"/>
          </w:tcPr>
          <w:p w14:paraId="55F8C4FE">
            <w:pPr>
              <w:rPr>
                <w:rFonts w:ascii="Arial"/>
                <w:sz w:val="21"/>
              </w:rPr>
            </w:pPr>
          </w:p>
        </w:tc>
        <w:tc>
          <w:tcPr>
            <w:tcW w:w="1440" w:type="dxa"/>
            <w:vMerge w:val="continue"/>
            <w:tcBorders>
              <w:top w:val="nil"/>
            </w:tcBorders>
            <w:vAlign w:val="top"/>
          </w:tcPr>
          <w:p w14:paraId="0DD81E14">
            <w:pPr>
              <w:rPr>
                <w:rFonts w:ascii="Arial"/>
                <w:sz w:val="21"/>
              </w:rPr>
            </w:pPr>
          </w:p>
        </w:tc>
        <w:tc>
          <w:tcPr>
            <w:tcW w:w="3202" w:type="dxa"/>
            <w:vMerge w:val="continue"/>
            <w:tcBorders>
              <w:top w:val="nil"/>
            </w:tcBorders>
            <w:vAlign w:val="top"/>
          </w:tcPr>
          <w:p w14:paraId="40A52ED9">
            <w:pPr>
              <w:rPr>
                <w:rFonts w:ascii="Arial"/>
                <w:sz w:val="21"/>
              </w:rPr>
            </w:pPr>
          </w:p>
        </w:tc>
        <w:tc>
          <w:tcPr>
            <w:tcW w:w="2859" w:type="dxa"/>
            <w:vMerge w:val="continue"/>
            <w:tcBorders>
              <w:top w:val="nil"/>
            </w:tcBorders>
            <w:vAlign w:val="top"/>
          </w:tcPr>
          <w:p w14:paraId="254B2A3A">
            <w:pPr>
              <w:rPr>
                <w:rFonts w:ascii="Arial"/>
                <w:sz w:val="21"/>
              </w:rPr>
            </w:pPr>
          </w:p>
        </w:tc>
        <w:tc>
          <w:tcPr>
            <w:tcW w:w="803" w:type="dxa"/>
            <w:vAlign w:val="top"/>
          </w:tcPr>
          <w:p w14:paraId="6196D831">
            <w:pPr>
              <w:spacing w:line="391" w:lineRule="auto"/>
              <w:rPr>
                <w:rFonts w:ascii="Arial"/>
                <w:sz w:val="21"/>
              </w:rPr>
            </w:pPr>
          </w:p>
          <w:p w14:paraId="65019313">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FC80071">
            <w:pPr>
              <w:pStyle w:val="6"/>
              <w:spacing w:before="125" w:line="191" w:lineRule="auto"/>
              <w:ind w:left="114" w:right="108" w:firstLine="8"/>
              <w:jc w:val="both"/>
            </w:pPr>
            <w:r>
              <w:rPr>
                <w:spacing w:val="16"/>
              </w:rPr>
              <w:t>有</w:t>
            </w:r>
            <w:r>
              <w:rPr>
                <w:rFonts w:ascii="宋体" w:hAnsi="宋体" w:eastAsia="宋体" w:cs="宋体"/>
                <w:spacing w:val="16"/>
              </w:rPr>
              <w:t>2</w:t>
            </w:r>
            <w:r>
              <w:rPr>
                <w:spacing w:val="16"/>
              </w:rPr>
              <w:t>处事故隐患未</w:t>
            </w:r>
            <w:r>
              <w:rPr>
                <w:spacing w:val="26"/>
              </w:rPr>
              <w:t>进行排查治理擅自</w:t>
            </w:r>
            <w:r>
              <w:rPr>
                <w:spacing w:val="7"/>
              </w:rPr>
              <w:t>生产经营的</w:t>
            </w:r>
          </w:p>
        </w:tc>
        <w:tc>
          <w:tcPr>
            <w:tcW w:w="2894" w:type="dxa"/>
            <w:vAlign w:val="top"/>
          </w:tcPr>
          <w:p w14:paraId="51148992">
            <w:pPr>
              <w:pStyle w:val="6"/>
              <w:spacing w:before="271" w:line="196" w:lineRule="auto"/>
              <w:ind w:left="124" w:right="106" w:firstLine="1"/>
            </w:pPr>
            <w:r>
              <w:rPr>
                <w:spacing w:val="1"/>
              </w:rPr>
              <w:t>给予警告，并处</w:t>
            </w:r>
            <w:r>
              <w:rPr>
                <w:rFonts w:ascii="宋体" w:hAnsi="宋体" w:eastAsia="宋体" w:cs="宋体"/>
                <w:spacing w:val="1"/>
              </w:rPr>
              <w:t>1</w:t>
            </w:r>
            <w:r>
              <w:rPr>
                <w:spacing w:val="1"/>
              </w:rPr>
              <w:t>万元以</w:t>
            </w:r>
            <w:r>
              <w:rPr>
                <w:spacing w:val="2"/>
              </w:rPr>
              <w:t>上</w:t>
            </w:r>
            <w:r>
              <w:rPr>
                <w:rFonts w:ascii="宋体" w:hAnsi="宋体" w:eastAsia="宋体" w:cs="宋体"/>
                <w:spacing w:val="2"/>
              </w:rPr>
              <w:t>2</w:t>
            </w:r>
            <w:r>
              <w:rPr>
                <w:spacing w:val="2"/>
              </w:rPr>
              <w:t>万元以下的罚款</w:t>
            </w:r>
          </w:p>
        </w:tc>
        <w:tc>
          <w:tcPr>
            <w:tcW w:w="811" w:type="dxa"/>
            <w:vMerge w:val="continue"/>
            <w:tcBorders>
              <w:top w:val="nil"/>
            </w:tcBorders>
            <w:vAlign w:val="top"/>
          </w:tcPr>
          <w:p w14:paraId="69E8A755">
            <w:pPr>
              <w:rPr>
                <w:rFonts w:ascii="Arial"/>
                <w:sz w:val="21"/>
              </w:rPr>
            </w:pPr>
          </w:p>
        </w:tc>
      </w:tr>
    </w:tbl>
    <w:p w14:paraId="2989A429">
      <w:pPr>
        <w:pStyle w:val="2"/>
        <w:spacing w:line="174" w:lineRule="exact"/>
        <w:rPr>
          <w:sz w:val="15"/>
        </w:rPr>
      </w:pPr>
    </w:p>
    <w:p w14:paraId="03E520C2">
      <w:pPr>
        <w:spacing w:line="174" w:lineRule="exact"/>
        <w:rPr>
          <w:sz w:val="15"/>
          <w:szCs w:val="15"/>
        </w:rPr>
        <w:sectPr>
          <w:footerReference r:id="rId68" w:type="default"/>
          <w:pgSz w:w="16839" w:h="11906"/>
          <w:pgMar w:top="1012" w:right="821" w:bottom="666" w:left="901" w:header="0" w:footer="388" w:gutter="0"/>
          <w:cols w:space="720" w:num="1"/>
        </w:sectPr>
      </w:pPr>
    </w:p>
    <w:p w14:paraId="7C6301B1">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5365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0F20DB5">
            <w:pPr>
              <w:spacing w:before="222" w:line="241" w:lineRule="auto"/>
              <w:ind w:left="131"/>
              <w:outlineLvl w:val="0"/>
              <w:rPr>
                <w:rFonts w:ascii="黑体" w:hAnsi="黑体" w:eastAsia="黑体" w:cs="黑体"/>
                <w:sz w:val="28"/>
                <w:szCs w:val="28"/>
              </w:rPr>
            </w:pPr>
            <w:bookmarkStart w:id="442" w:name="bookmark108"/>
            <w:bookmarkEnd w:id="442"/>
            <w:r>
              <w:rPr>
                <w:rFonts w:ascii="黑体" w:hAnsi="黑体" w:eastAsia="黑体" w:cs="黑体"/>
                <w:spacing w:val="-2"/>
                <w:sz w:val="28"/>
                <w:szCs w:val="28"/>
              </w:rPr>
              <w:t>序号</w:t>
            </w:r>
          </w:p>
        </w:tc>
        <w:tc>
          <w:tcPr>
            <w:tcW w:w="1440" w:type="dxa"/>
            <w:vAlign w:val="top"/>
          </w:tcPr>
          <w:p w14:paraId="3B764A93">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19EF923">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AFD25F9">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135C408">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8F05064">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D5CC526">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3359A30">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6437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Align w:val="top"/>
          </w:tcPr>
          <w:p w14:paraId="26A7CA06">
            <w:pPr>
              <w:rPr>
                <w:rFonts w:ascii="Arial"/>
                <w:sz w:val="21"/>
              </w:rPr>
            </w:pPr>
          </w:p>
        </w:tc>
        <w:tc>
          <w:tcPr>
            <w:tcW w:w="1440" w:type="dxa"/>
            <w:vAlign w:val="top"/>
          </w:tcPr>
          <w:p w14:paraId="28C37780">
            <w:pPr>
              <w:rPr>
                <w:rFonts w:ascii="Arial"/>
                <w:sz w:val="21"/>
              </w:rPr>
            </w:pPr>
          </w:p>
        </w:tc>
        <w:tc>
          <w:tcPr>
            <w:tcW w:w="3202" w:type="dxa"/>
            <w:vAlign w:val="top"/>
          </w:tcPr>
          <w:p w14:paraId="38E792EF">
            <w:pPr>
              <w:pStyle w:val="6"/>
              <w:spacing w:before="29" w:line="177" w:lineRule="auto"/>
              <w:ind w:left="116" w:right="111" w:firstLine="7"/>
              <w:jc w:val="both"/>
            </w:pPr>
            <w:r>
              <w:rPr>
                <w:spacing w:val="16"/>
              </w:rPr>
              <w:t>应当按照事故隐患的等级进</w:t>
            </w:r>
            <w:r>
              <w:rPr>
                <w:spacing w:val="13"/>
              </w:rPr>
              <w:t>行登记，建立事故隐患信息档案，并按照职责分工实施</w:t>
            </w:r>
            <w:r>
              <w:t>监控治理。</w:t>
            </w:r>
          </w:p>
        </w:tc>
        <w:tc>
          <w:tcPr>
            <w:tcW w:w="2859" w:type="dxa"/>
            <w:vAlign w:val="top"/>
          </w:tcPr>
          <w:p w14:paraId="69E9D4C2">
            <w:pPr>
              <w:pStyle w:val="6"/>
              <w:spacing w:before="28" w:line="191" w:lineRule="auto"/>
              <w:ind w:left="122" w:right="110" w:firstLine="3"/>
              <w:jc w:val="both"/>
            </w:pPr>
            <w:r>
              <w:rPr>
                <w:spacing w:val="6"/>
              </w:rPr>
              <w:t>罚款</w:t>
            </w:r>
            <w:r>
              <w:t>：（</w:t>
            </w:r>
            <w:r>
              <w:rPr>
                <w:spacing w:val="6"/>
              </w:rPr>
              <w:t>五）未对事故隐</w:t>
            </w:r>
            <w:r>
              <w:rPr>
                <w:spacing w:val="8"/>
              </w:rPr>
              <w:t>患进行排查治理擅自生产</w:t>
            </w:r>
            <w:r>
              <w:rPr>
                <w:spacing w:val="-5"/>
              </w:rPr>
              <w:t>经营的；</w:t>
            </w:r>
          </w:p>
        </w:tc>
        <w:tc>
          <w:tcPr>
            <w:tcW w:w="803" w:type="dxa"/>
            <w:vAlign w:val="top"/>
          </w:tcPr>
          <w:p w14:paraId="2F7341FD">
            <w:pPr>
              <w:spacing w:line="445" w:lineRule="auto"/>
              <w:rPr>
                <w:rFonts w:ascii="Arial"/>
                <w:sz w:val="21"/>
              </w:rPr>
            </w:pPr>
          </w:p>
          <w:p w14:paraId="57AD3914">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03739E4">
            <w:pPr>
              <w:pStyle w:val="6"/>
              <w:spacing w:before="181" w:line="191" w:lineRule="auto"/>
              <w:ind w:left="116" w:right="108" w:firstLine="6"/>
              <w:jc w:val="both"/>
            </w:pPr>
            <w:r>
              <w:rPr>
                <w:spacing w:val="16"/>
              </w:rPr>
              <w:t>有</w:t>
            </w:r>
            <w:r>
              <w:rPr>
                <w:rFonts w:ascii="宋体" w:hAnsi="宋体" w:eastAsia="宋体" w:cs="宋体"/>
                <w:spacing w:val="16"/>
              </w:rPr>
              <w:t>3</w:t>
            </w:r>
            <w:r>
              <w:rPr>
                <w:spacing w:val="16"/>
              </w:rPr>
              <w:t>处以上事故隐</w:t>
            </w:r>
            <w:r>
              <w:rPr>
                <w:spacing w:val="26"/>
              </w:rPr>
              <w:t>患未进行排查治理</w:t>
            </w:r>
            <w:r>
              <w:rPr>
                <w:spacing w:val="7"/>
              </w:rPr>
              <w:t>擅自生产经营的</w:t>
            </w:r>
          </w:p>
        </w:tc>
        <w:tc>
          <w:tcPr>
            <w:tcW w:w="2894" w:type="dxa"/>
            <w:vAlign w:val="top"/>
          </w:tcPr>
          <w:p w14:paraId="587847FC">
            <w:pPr>
              <w:pStyle w:val="6"/>
              <w:spacing w:before="327" w:line="196" w:lineRule="auto"/>
              <w:ind w:left="124" w:right="106" w:firstLine="1"/>
            </w:pPr>
            <w:r>
              <w:rPr>
                <w:spacing w:val="3"/>
              </w:rPr>
              <w:t>给予警告，并处</w:t>
            </w:r>
            <w:r>
              <w:rPr>
                <w:rFonts w:ascii="宋体" w:hAnsi="宋体" w:eastAsia="宋体" w:cs="宋体"/>
                <w:spacing w:val="3"/>
              </w:rPr>
              <w:t>2</w:t>
            </w:r>
            <w:r>
              <w:rPr>
                <w:spacing w:val="3"/>
              </w:rPr>
              <w:t>万元以</w:t>
            </w:r>
            <w:r>
              <w:rPr>
                <w:spacing w:val="2"/>
              </w:rPr>
              <w:t>上</w:t>
            </w:r>
            <w:r>
              <w:rPr>
                <w:rFonts w:ascii="宋体" w:hAnsi="宋体" w:eastAsia="宋体" w:cs="宋体"/>
                <w:spacing w:val="2"/>
              </w:rPr>
              <w:t>3</w:t>
            </w:r>
            <w:r>
              <w:rPr>
                <w:spacing w:val="2"/>
              </w:rPr>
              <w:t>万元以下的罚款</w:t>
            </w:r>
          </w:p>
        </w:tc>
        <w:tc>
          <w:tcPr>
            <w:tcW w:w="811" w:type="dxa"/>
            <w:vAlign w:val="top"/>
          </w:tcPr>
          <w:p w14:paraId="623F1898">
            <w:pPr>
              <w:rPr>
                <w:rFonts w:ascii="Arial"/>
                <w:sz w:val="21"/>
              </w:rPr>
            </w:pPr>
          </w:p>
        </w:tc>
      </w:tr>
      <w:tr w14:paraId="5AF98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8" w:hRule="atLeast"/>
        </w:trPr>
        <w:tc>
          <w:tcPr>
            <w:tcW w:w="818" w:type="dxa"/>
            <w:vMerge w:val="restart"/>
            <w:tcBorders>
              <w:bottom w:val="nil"/>
            </w:tcBorders>
            <w:vAlign w:val="top"/>
          </w:tcPr>
          <w:p w14:paraId="4FD0DF03">
            <w:pPr>
              <w:spacing w:line="245" w:lineRule="auto"/>
              <w:rPr>
                <w:rFonts w:ascii="Arial"/>
                <w:sz w:val="21"/>
              </w:rPr>
            </w:pPr>
          </w:p>
          <w:p w14:paraId="22CDD67E">
            <w:pPr>
              <w:spacing w:line="245" w:lineRule="auto"/>
              <w:rPr>
                <w:rFonts w:ascii="Arial"/>
                <w:sz w:val="21"/>
              </w:rPr>
            </w:pPr>
          </w:p>
          <w:p w14:paraId="75F750AE">
            <w:pPr>
              <w:spacing w:line="245" w:lineRule="auto"/>
              <w:rPr>
                <w:rFonts w:ascii="Arial"/>
                <w:sz w:val="21"/>
              </w:rPr>
            </w:pPr>
          </w:p>
          <w:p w14:paraId="554783AF">
            <w:pPr>
              <w:spacing w:line="245" w:lineRule="auto"/>
              <w:rPr>
                <w:rFonts w:ascii="Arial"/>
                <w:sz w:val="21"/>
              </w:rPr>
            </w:pPr>
          </w:p>
          <w:p w14:paraId="5F87FFE3">
            <w:pPr>
              <w:spacing w:line="245" w:lineRule="auto"/>
              <w:rPr>
                <w:rFonts w:ascii="Arial"/>
                <w:sz w:val="21"/>
              </w:rPr>
            </w:pPr>
          </w:p>
          <w:p w14:paraId="452A8AE5">
            <w:pPr>
              <w:spacing w:line="245" w:lineRule="auto"/>
              <w:rPr>
                <w:rFonts w:ascii="Arial"/>
                <w:sz w:val="21"/>
              </w:rPr>
            </w:pPr>
          </w:p>
          <w:p w14:paraId="21C0A2C9">
            <w:pPr>
              <w:spacing w:line="245" w:lineRule="auto"/>
              <w:rPr>
                <w:rFonts w:ascii="Arial"/>
                <w:sz w:val="21"/>
              </w:rPr>
            </w:pPr>
          </w:p>
          <w:p w14:paraId="2AA7FCD5">
            <w:pPr>
              <w:spacing w:line="245" w:lineRule="auto"/>
              <w:rPr>
                <w:rFonts w:ascii="Arial"/>
                <w:sz w:val="21"/>
              </w:rPr>
            </w:pPr>
          </w:p>
          <w:p w14:paraId="54007409">
            <w:pPr>
              <w:spacing w:line="245" w:lineRule="auto"/>
              <w:rPr>
                <w:rFonts w:ascii="Arial"/>
                <w:sz w:val="21"/>
              </w:rPr>
            </w:pPr>
          </w:p>
          <w:p w14:paraId="458D3149">
            <w:pPr>
              <w:spacing w:line="245" w:lineRule="auto"/>
              <w:rPr>
                <w:rFonts w:ascii="Arial"/>
                <w:sz w:val="21"/>
              </w:rPr>
            </w:pPr>
          </w:p>
          <w:p w14:paraId="207A9AC7">
            <w:pPr>
              <w:spacing w:line="245" w:lineRule="auto"/>
              <w:rPr>
                <w:rFonts w:ascii="Arial"/>
                <w:sz w:val="21"/>
              </w:rPr>
            </w:pPr>
          </w:p>
          <w:p w14:paraId="78F3921B">
            <w:pPr>
              <w:spacing w:line="245" w:lineRule="auto"/>
              <w:rPr>
                <w:rFonts w:ascii="Arial"/>
                <w:sz w:val="21"/>
              </w:rPr>
            </w:pPr>
          </w:p>
          <w:p w14:paraId="423AF8EB">
            <w:pPr>
              <w:spacing w:line="245" w:lineRule="auto"/>
              <w:rPr>
                <w:rFonts w:ascii="Arial"/>
                <w:sz w:val="21"/>
              </w:rPr>
            </w:pPr>
          </w:p>
          <w:p w14:paraId="190929CE">
            <w:pPr>
              <w:spacing w:line="245" w:lineRule="auto"/>
              <w:rPr>
                <w:rFonts w:ascii="Arial"/>
                <w:sz w:val="21"/>
              </w:rPr>
            </w:pPr>
          </w:p>
          <w:p w14:paraId="6576769B">
            <w:pPr>
              <w:spacing w:before="74" w:line="186" w:lineRule="auto"/>
              <w:ind w:left="239"/>
              <w:rPr>
                <w:rFonts w:ascii="仿宋" w:hAnsi="仿宋" w:eastAsia="仿宋" w:cs="仿宋"/>
                <w:sz w:val="23"/>
                <w:szCs w:val="23"/>
              </w:rPr>
            </w:pPr>
            <w:r>
              <w:rPr>
                <w:rFonts w:ascii="仿宋" w:hAnsi="仿宋" w:eastAsia="仿宋" w:cs="仿宋"/>
                <w:spacing w:val="-4"/>
                <w:sz w:val="23"/>
                <w:szCs w:val="23"/>
              </w:rPr>
              <w:t>51</w:t>
            </w:r>
          </w:p>
        </w:tc>
        <w:tc>
          <w:tcPr>
            <w:tcW w:w="1440" w:type="dxa"/>
            <w:vMerge w:val="restart"/>
            <w:tcBorders>
              <w:bottom w:val="nil"/>
            </w:tcBorders>
            <w:vAlign w:val="top"/>
          </w:tcPr>
          <w:p w14:paraId="0D355709">
            <w:pPr>
              <w:spacing w:line="261" w:lineRule="auto"/>
              <w:rPr>
                <w:rFonts w:ascii="Arial"/>
                <w:sz w:val="21"/>
              </w:rPr>
            </w:pPr>
          </w:p>
          <w:p w14:paraId="1CEC8F03">
            <w:pPr>
              <w:spacing w:line="261" w:lineRule="auto"/>
              <w:rPr>
                <w:rFonts w:ascii="Arial"/>
                <w:sz w:val="21"/>
              </w:rPr>
            </w:pPr>
          </w:p>
          <w:p w14:paraId="5967ADBC">
            <w:pPr>
              <w:spacing w:line="261" w:lineRule="auto"/>
              <w:rPr>
                <w:rFonts w:ascii="Arial"/>
                <w:sz w:val="21"/>
              </w:rPr>
            </w:pPr>
          </w:p>
          <w:p w14:paraId="4DD6992D">
            <w:pPr>
              <w:spacing w:line="261" w:lineRule="auto"/>
              <w:rPr>
                <w:rFonts w:ascii="Arial"/>
                <w:sz w:val="21"/>
              </w:rPr>
            </w:pPr>
          </w:p>
          <w:p w14:paraId="42146C83">
            <w:pPr>
              <w:spacing w:line="261" w:lineRule="auto"/>
              <w:rPr>
                <w:rFonts w:ascii="Arial"/>
                <w:sz w:val="21"/>
              </w:rPr>
            </w:pPr>
          </w:p>
          <w:p w14:paraId="1CFB724A">
            <w:pPr>
              <w:spacing w:line="262" w:lineRule="auto"/>
              <w:rPr>
                <w:rFonts w:ascii="Arial"/>
                <w:sz w:val="21"/>
              </w:rPr>
            </w:pPr>
          </w:p>
          <w:p w14:paraId="6D29C351">
            <w:pPr>
              <w:spacing w:line="262" w:lineRule="auto"/>
              <w:rPr>
                <w:rFonts w:ascii="Arial"/>
                <w:sz w:val="21"/>
              </w:rPr>
            </w:pPr>
          </w:p>
          <w:p w14:paraId="37601870">
            <w:pPr>
              <w:spacing w:line="262" w:lineRule="auto"/>
              <w:rPr>
                <w:rFonts w:ascii="Arial"/>
                <w:sz w:val="21"/>
              </w:rPr>
            </w:pPr>
          </w:p>
          <w:p w14:paraId="1AED568B">
            <w:pPr>
              <w:spacing w:line="262" w:lineRule="auto"/>
              <w:rPr>
                <w:rFonts w:ascii="Arial"/>
                <w:sz w:val="21"/>
              </w:rPr>
            </w:pPr>
          </w:p>
          <w:p w14:paraId="5212775F">
            <w:pPr>
              <w:spacing w:line="262" w:lineRule="auto"/>
              <w:rPr>
                <w:rFonts w:ascii="Arial"/>
                <w:sz w:val="21"/>
              </w:rPr>
            </w:pPr>
          </w:p>
          <w:p w14:paraId="6B9958F4">
            <w:pPr>
              <w:pStyle w:val="6"/>
              <w:spacing w:before="99" w:line="187" w:lineRule="auto"/>
              <w:ind w:left="114" w:right="111" w:firstLine="14"/>
              <w:jc w:val="both"/>
            </w:pPr>
            <w:r>
              <w:rPr>
                <w:spacing w:val="8"/>
              </w:rPr>
              <w:t>生产经营单</w:t>
            </w:r>
            <w:r>
              <w:rPr>
                <w:spacing w:val="11"/>
              </w:rPr>
              <w:t>位整改不合格或者未经审查同意擅自恢复生产</w:t>
            </w:r>
            <w:r>
              <w:rPr>
                <w:spacing w:val="5"/>
              </w:rPr>
              <w:t>经营的</w:t>
            </w:r>
          </w:p>
        </w:tc>
        <w:tc>
          <w:tcPr>
            <w:tcW w:w="3202" w:type="dxa"/>
            <w:vMerge w:val="restart"/>
            <w:tcBorders>
              <w:bottom w:val="nil"/>
            </w:tcBorders>
            <w:vAlign w:val="top"/>
          </w:tcPr>
          <w:p w14:paraId="2FD10BD2">
            <w:pPr>
              <w:pStyle w:val="6"/>
              <w:spacing w:before="31" w:line="182" w:lineRule="auto"/>
              <w:ind w:left="98"/>
            </w:pPr>
            <w:r>
              <w:rPr>
                <w:spacing w:val="17"/>
              </w:rPr>
              <w:t>【部门规章】《安全生产事</w:t>
            </w:r>
          </w:p>
          <w:p w14:paraId="327C621B">
            <w:pPr>
              <w:pStyle w:val="6"/>
              <w:spacing w:line="182" w:lineRule="auto"/>
              <w:ind w:left="126"/>
              <w:outlineLvl w:val="0"/>
            </w:pPr>
            <w:r>
              <w:rPr>
                <w:spacing w:val="17"/>
              </w:rPr>
              <w:t>故隐患排查治理暂行规定》</w:t>
            </w:r>
          </w:p>
          <w:p w14:paraId="7865ACEB">
            <w:pPr>
              <w:pStyle w:val="6"/>
              <w:spacing w:before="18" w:line="180" w:lineRule="auto"/>
              <w:ind w:left="116" w:right="40" w:firstLine="11"/>
            </w:pPr>
            <w:r>
              <w:rPr>
                <w:spacing w:val="13"/>
              </w:rPr>
              <w:t>第十八条：地方人民政府或</w:t>
            </w:r>
            <w:r>
              <w:rPr>
                <w:spacing w:val="17"/>
              </w:rPr>
              <w:t>者安全监管监察部门及有关部门</w:t>
            </w:r>
            <w:r>
              <w:fldChar w:fldCharType="begin"/>
            </w:r>
            <w:r>
              <w:instrText xml:space="preserve"> HYPERLINK "https://baike.baidu.com/item/%E6%8C%82%E7%89%8C%E7%9D%A3%E5%8A%9E/6633756?fromModule=lemma_inlink" </w:instrText>
            </w:r>
            <w:r>
              <w:fldChar w:fldCharType="separate"/>
            </w:r>
            <w:r>
              <w:rPr>
                <w:spacing w:val="17"/>
              </w:rPr>
              <w:t>挂牌督办</w:t>
            </w:r>
            <w:r>
              <w:rPr>
                <w:spacing w:val="17"/>
              </w:rPr>
              <w:fldChar w:fldCharType="end"/>
            </w:r>
            <w:r>
              <w:rPr>
                <w:spacing w:val="17"/>
              </w:rPr>
              <w:t>并责令全部或者局部停产停业治理的重大</w:t>
            </w:r>
            <w:r>
              <w:t>事故隐患，治理工作结束后，</w:t>
            </w:r>
            <w:bookmarkStart w:id="443" w:name="bookmark508"/>
            <w:bookmarkEnd w:id="443"/>
            <w:bookmarkStart w:id="444" w:name="bookmark110"/>
            <w:bookmarkEnd w:id="444"/>
            <w:r>
              <w:rPr>
                <w:spacing w:val="17"/>
              </w:rPr>
              <w:t>有条件的生产经营单位应当组织本单位的技术人员和专家对重大事故隐患的治理情</w:t>
            </w:r>
            <w:r>
              <w:rPr>
                <w:spacing w:val="14"/>
              </w:rPr>
              <w:t>况进行评估；其他生产经营</w:t>
            </w:r>
            <w:r>
              <w:rPr>
                <w:spacing w:val="17"/>
              </w:rPr>
              <w:t>单位应当委托具备相应资质的</w:t>
            </w:r>
            <w:r>
              <w:fldChar w:fldCharType="begin"/>
            </w:r>
            <w:r>
              <w:instrText xml:space="preserve"> HYPERLINK "https://baike.baidu.com/item/%E5%AE%89%E5%85%A8%E8%AF%84%E4%BB%B7%E6%9C%BA%E6%9E%84/10301508?fromModule=lemma_inlink" </w:instrText>
            </w:r>
            <w:r>
              <w:fldChar w:fldCharType="separate"/>
            </w:r>
            <w:r>
              <w:rPr>
                <w:spacing w:val="17"/>
              </w:rPr>
              <w:t>安全评价机构</w:t>
            </w:r>
            <w:r>
              <w:rPr>
                <w:spacing w:val="17"/>
              </w:rPr>
              <w:fldChar w:fldCharType="end"/>
            </w:r>
            <w:r>
              <w:rPr>
                <w:spacing w:val="17"/>
              </w:rPr>
              <w:t>对重大事故</w:t>
            </w:r>
            <w:r>
              <w:rPr>
                <w:spacing w:val="5"/>
              </w:rPr>
              <w:t>隐患的治理情况进行评估。</w:t>
            </w:r>
          </w:p>
          <w:p w14:paraId="0EA78223">
            <w:pPr>
              <w:pStyle w:val="6"/>
              <w:spacing w:before="30" w:line="180" w:lineRule="auto"/>
              <w:ind w:left="116" w:right="111" w:firstLine="6"/>
            </w:pPr>
            <w:r>
              <w:rPr>
                <w:spacing w:val="16"/>
              </w:rPr>
              <w:t>经治理后符合安全</w:t>
            </w:r>
            <w:r>
              <w:fldChar w:fldCharType="begin"/>
            </w:r>
            <w:r>
              <w:instrText xml:space="preserve"> HYPERLINK "https://baike.baidu.com/item/%E7%94%9F%E4%BA%A7%E6%9D%A1%E4%BB%B6/22649782?fromModule=lemma_inlink" </w:instrText>
            </w:r>
            <w:r>
              <w:fldChar w:fldCharType="separate"/>
            </w:r>
            <w:r>
              <w:rPr>
                <w:spacing w:val="16"/>
              </w:rPr>
              <w:t>生产条件</w:t>
            </w:r>
            <w:r>
              <w:rPr>
                <w:spacing w:val="16"/>
              </w:rPr>
              <w:fldChar w:fldCharType="end"/>
            </w:r>
            <w:r>
              <w:rPr>
                <w:spacing w:val="12"/>
              </w:rPr>
              <w:t>的，生产经营单位应当向安</w:t>
            </w:r>
            <w:r>
              <w:rPr>
                <w:spacing w:val="17"/>
              </w:rPr>
              <w:t>全监管监察部门和有关部门</w:t>
            </w:r>
            <w:r>
              <w:rPr>
                <w:spacing w:val="13"/>
              </w:rPr>
              <w:t>提出恢复生产的书面申请，</w:t>
            </w:r>
            <w:r>
              <w:rPr>
                <w:spacing w:val="17"/>
              </w:rPr>
              <w:t>经安全监管监察部门和有关</w:t>
            </w:r>
            <w:r>
              <w:rPr>
                <w:spacing w:val="13"/>
              </w:rPr>
              <w:t>部门审查同意后，方可恢复</w:t>
            </w:r>
            <w:r>
              <w:rPr>
                <w:spacing w:val="17"/>
              </w:rPr>
              <w:t>生产经营。申请报告应当包括治理方案的内容、项目和安全评价机构出具的评价报</w:t>
            </w:r>
            <w:r>
              <w:rPr>
                <w:spacing w:val="-4"/>
              </w:rPr>
              <w:t>告等。</w:t>
            </w:r>
          </w:p>
        </w:tc>
        <w:tc>
          <w:tcPr>
            <w:tcW w:w="2859" w:type="dxa"/>
            <w:vMerge w:val="restart"/>
            <w:tcBorders>
              <w:bottom w:val="nil"/>
            </w:tcBorders>
            <w:vAlign w:val="top"/>
          </w:tcPr>
          <w:p w14:paraId="14380C13">
            <w:pPr>
              <w:pStyle w:val="6"/>
              <w:spacing w:before="29" w:line="185" w:lineRule="auto"/>
              <w:ind w:left="116" w:right="110" w:hanging="19"/>
            </w:pPr>
            <w:r>
              <w:rPr>
                <w:spacing w:val="10"/>
              </w:rPr>
              <w:t>【部门规章】《安全生产</w:t>
            </w:r>
            <w:r>
              <w:rPr>
                <w:spacing w:val="8"/>
              </w:rPr>
              <w:t>事故隐患排查治理暂行规</w:t>
            </w:r>
            <w:r>
              <w:rPr>
                <w:spacing w:val="7"/>
              </w:rPr>
              <w:t>定》第二十六条第六项：</w:t>
            </w:r>
            <w:r>
              <w:rPr>
                <w:spacing w:val="32"/>
              </w:rPr>
              <w:t>生产经营单位违反本规</w:t>
            </w:r>
            <w:r>
              <w:rPr>
                <w:spacing w:val="7"/>
              </w:rPr>
              <w:t>定，有下列行为之一的，</w:t>
            </w:r>
            <w:r>
              <w:rPr>
                <w:spacing w:val="8"/>
              </w:rPr>
              <w:t>由安全监管监察部门给予警告，并处三万元以下的</w:t>
            </w:r>
            <w:r>
              <w:rPr>
                <w:spacing w:val="6"/>
              </w:rPr>
              <w:t>罚款</w:t>
            </w:r>
            <w:r>
              <w:t>：（</w:t>
            </w:r>
            <w:r>
              <w:rPr>
                <w:spacing w:val="6"/>
              </w:rPr>
              <w:t>六）整改不合格</w:t>
            </w:r>
            <w:r>
              <w:rPr>
                <w:spacing w:val="8"/>
              </w:rPr>
              <w:t>或者未经安全监管监察部门审查同意擅自恢复生产</w:t>
            </w:r>
            <w:r>
              <w:rPr>
                <w:spacing w:val="-2"/>
              </w:rPr>
              <w:t>经营的。</w:t>
            </w:r>
          </w:p>
        </w:tc>
        <w:tc>
          <w:tcPr>
            <w:tcW w:w="803" w:type="dxa"/>
            <w:vAlign w:val="top"/>
          </w:tcPr>
          <w:p w14:paraId="05492A09">
            <w:pPr>
              <w:spacing w:line="286" w:lineRule="auto"/>
              <w:rPr>
                <w:rFonts w:ascii="Arial"/>
                <w:sz w:val="21"/>
              </w:rPr>
            </w:pPr>
          </w:p>
          <w:p w14:paraId="7AAD6E39">
            <w:pPr>
              <w:spacing w:line="286" w:lineRule="auto"/>
              <w:rPr>
                <w:rFonts w:ascii="Arial"/>
                <w:sz w:val="21"/>
              </w:rPr>
            </w:pPr>
          </w:p>
          <w:p w14:paraId="6277B310">
            <w:pPr>
              <w:spacing w:line="286" w:lineRule="auto"/>
              <w:rPr>
                <w:rFonts w:ascii="Arial"/>
                <w:sz w:val="21"/>
              </w:rPr>
            </w:pPr>
          </w:p>
          <w:p w14:paraId="2D4B2EDB">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E73A16A">
            <w:pPr>
              <w:spacing w:line="346" w:lineRule="auto"/>
              <w:rPr>
                <w:rFonts w:ascii="Arial"/>
                <w:sz w:val="21"/>
              </w:rPr>
            </w:pPr>
          </w:p>
          <w:p w14:paraId="4322BFEE">
            <w:pPr>
              <w:pStyle w:val="6"/>
              <w:spacing w:before="99" w:line="189" w:lineRule="auto"/>
              <w:ind w:left="117" w:right="109" w:firstLine="2"/>
              <w:jc w:val="both"/>
            </w:pPr>
            <w:r>
              <w:rPr>
                <w:spacing w:val="26"/>
              </w:rPr>
              <w:t>整改合格但未经安全监管监察部门审查同意擅自恢复生</w:t>
            </w:r>
            <w:r>
              <w:rPr>
                <w:spacing w:val="6"/>
              </w:rPr>
              <w:t>产经营的</w:t>
            </w:r>
          </w:p>
        </w:tc>
        <w:tc>
          <w:tcPr>
            <w:tcW w:w="2894" w:type="dxa"/>
            <w:vAlign w:val="top"/>
          </w:tcPr>
          <w:p w14:paraId="5C9B0BDD">
            <w:pPr>
              <w:spacing w:line="321" w:lineRule="auto"/>
              <w:rPr>
                <w:rFonts w:ascii="Arial"/>
                <w:sz w:val="21"/>
              </w:rPr>
            </w:pPr>
          </w:p>
          <w:p w14:paraId="0CEFAC87">
            <w:pPr>
              <w:spacing w:line="322" w:lineRule="auto"/>
              <w:rPr>
                <w:rFonts w:ascii="Arial"/>
                <w:sz w:val="21"/>
              </w:rPr>
            </w:pPr>
          </w:p>
          <w:p w14:paraId="300BBF08">
            <w:pPr>
              <w:pStyle w:val="6"/>
              <w:spacing w:before="98" w:line="196" w:lineRule="auto"/>
              <w:ind w:left="124" w:right="106" w:firstLine="1"/>
            </w:pPr>
            <w:r>
              <w:rPr>
                <w:spacing w:val="1"/>
              </w:rPr>
              <w:t>给予警告，并处</w:t>
            </w:r>
            <w:r>
              <w:rPr>
                <w:rFonts w:ascii="宋体" w:hAnsi="宋体" w:eastAsia="宋体" w:cs="宋体"/>
                <w:spacing w:val="1"/>
              </w:rPr>
              <w:t>1</w:t>
            </w:r>
            <w:r>
              <w:rPr>
                <w:spacing w:val="1"/>
              </w:rPr>
              <w:t>万元以</w:t>
            </w:r>
            <w:r>
              <w:rPr>
                <w:spacing w:val="4"/>
              </w:rPr>
              <w:t>下的罚款</w:t>
            </w:r>
          </w:p>
        </w:tc>
        <w:tc>
          <w:tcPr>
            <w:tcW w:w="811" w:type="dxa"/>
            <w:vMerge w:val="restart"/>
            <w:tcBorders>
              <w:bottom w:val="nil"/>
            </w:tcBorders>
            <w:vAlign w:val="top"/>
          </w:tcPr>
          <w:p w14:paraId="38A699A1">
            <w:pPr>
              <w:spacing w:line="244" w:lineRule="auto"/>
              <w:rPr>
                <w:rFonts w:ascii="Arial"/>
                <w:sz w:val="21"/>
              </w:rPr>
            </w:pPr>
          </w:p>
          <w:p w14:paraId="56FF60B5">
            <w:pPr>
              <w:spacing w:line="244" w:lineRule="auto"/>
              <w:rPr>
                <w:rFonts w:ascii="Arial"/>
                <w:sz w:val="21"/>
              </w:rPr>
            </w:pPr>
          </w:p>
          <w:p w14:paraId="795AF6B8">
            <w:pPr>
              <w:spacing w:line="244" w:lineRule="auto"/>
              <w:rPr>
                <w:rFonts w:ascii="Arial"/>
                <w:sz w:val="21"/>
              </w:rPr>
            </w:pPr>
          </w:p>
          <w:p w14:paraId="22AA222D">
            <w:pPr>
              <w:spacing w:line="245" w:lineRule="auto"/>
              <w:rPr>
                <w:rFonts w:ascii="Arial"/>
                <w:sz w:val="21"/>
              </w:rPr>
            </w:pPr>
          </w:p>
          <w:p w14:paraId="50EC90AF">
            <w:pPr>
              <w:spacing w:line="245" w:lineRule="auto"/>
              <w:rPr>
                <w:rFonts w:ascii="Arial"/>
                <w:sz w:val="21"/>
              </w:rPr>
            </w:pPr>
          </w:p>
          <w:p w14:paraId="752A8ED0">
            <w:pPr>
              <w:spacing w:line="245" w:lineRule="auto"/>
              <w:rPr>
                <w:rFonts w:ascii="Arial"/>
                <w:sz w:val="21"/>
              </w:rPr>
            </w:pPr>
          </w:p>
          <w:p w14:paraId="6F0A63A5">
            <w:pPr>
              <w:spacing w:line="245" w:lineRule="auto"/>
              <w:rPr>
                <w:rFonts w:ascii="Arial"/>
                <w:sz w:val="21"/>
              </w:rPr>
            </w:pPr>
          </w:p>
          <w:p w14:paraId="4C3251EA">
            <w:pPr>
              <w:spacing w:line="245" w:lineRule="auto"/>
              <w:rPr>
                <w:rFonts w:ascii="Arial"/>
                <w:sz w:val="21"/>
              </w:rPr>
            </w:pPr>
          </w:p>
          <w:p w14:paraId="2515986F">
            <w:pPr>
              <w:spacing w:line="245" w:lineRule="auto"/>
              <w:rPr>
                <w:rFonts w:ascii="Arial"/>
                <w:sz w:val="21"/>
              </w:rPr>
            </w:pPr>
          </w:p>
          <w:p w14:paraId="693069BD">
            <w:pPr>
              <w:spacing w:line="245" w:lineRule="auto"/>
              <w:rPr>
                <w:rFonts w:ascii="Arial"/>
                <w:sz w:val="21"/>
              </w:rPr>
            </w:pPr>
          </w:p>
          <w:p w14:paraId="3E0C3050">
            <w:pPr>
              <w:spacing w:line="245" w:lineRule="auto"/>
              <w:rPr>
                <w:rFonts w:ascii="Arial"/>
                <w:sz w:val="21"/>
              </w:rPr>
            </w:pPr>
          </w:p>
          <w:p w14:paraId="566F1B27">
            <w:pPr>
              <w:spacing w:line="245" w:lineRule="auto"/>
              <w:rPr>
                <w:rFonts w:ascii="Arial"/>
                <w:sz w:val="21"/>
              </w:rPr>
            </w:pPr>
          </w:p>
          <w:p w14:paraId="23E16C7A">
            <w:pPr>
              <w:spacing w:line="245" w:lineRule="auto"/>
              <w:rPr>
                <w:rFonts w:ascii="Arial"/>
                <w:sz w:val="21"/>
              </w:rPr>
            </w:pPr>
          </w:p>
          <w:p w14:paraId="1D41063F">
            <w:pPr>
              <w:spacing w:line="245" w:lineRule="auto"/>
              <w:rPr>
                <w:rFonts w:ascii="Arial"/>
                <w:sz w:val="21"/>
              </w:rPr>
            </w:pPr>
          </w:p>
          <w:p w14:paraId="01D8B03F">
            <w:pPr>
              <w:spacing w:before="75" w:line="188" w:lineRule="auto"/>
              <w:ind w:left="295"/>
              <w:rPr>
                <w:rFonts w:ascii="宋体" w:hAnsi="宋体" w:eastAsia="宋体" w:cs="宋体"/>
                <w:sz w:val="23"/>
                <w:szCs w:val="23"/>
              </w:rPr>
            </w:pPr>
            <w:r>
              <w:rPr>
                <w:rFonts w:ascii="宋体" w:hAnsi="宋体" w:eastAsia="宋体" w:cs="宋体"/>
                <w:spacing w:val="-4"/>
                <w:sz w:val="23"/>
                <w:szCs w:val="23"/>
              </w:rPr>
              <w:t>36</w:t>
            </w:r>
          </w:p>
        </w:tc>
      </w:tr>
      <w:tr w14:paraId="73670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9" w:hRule="atLeast"/>
        </w:trPr>
        <w:tc>
          <w:tcPr>
            <w:tcW w:w="818" w:type="dxa"/>
            <w:vMerge w:val="continue"/>
            <w:tcBorders>
              <w:top w:val="nil"/>
              <w:bottom w:val="nil"/>
            </w:tcBorders>
            <w:vAlign w:val="top"/>
          </w:tcPr>
          <w:p w14:paraId="10965414">
            <w:pPr>
              <w:rPr>
                <w:rFonts w:ascii="Arial"/>
                <w:sz w:val="21"/>
              </w:rPr>
            </w:pPr>
          </w:p>
        </w:tc>
        <w:tc>
          <w:tcPr>
            <w:tcW w:w="1440" w:type="dxa"/>
            <w:vMerge w:val="continue"/>
            <w:tcBorders>
              <w:top w:val="nil"/>
              <w:bottom w:val="nil"/>
            </w:tcBorders>
            <w:vAlign w:val="top"/>
          </w:tcPr>
          <w:p w14:paraId="712B234C">
            <w:pPr>
              <w:rPr>
                <w:rFonts w:ascii="Arial"/>
                <w:sz w:val="21"/>
              </w:rPr>
            </w:pPr>
          </w:p>
        </w:tc>
        <w:tc>
          <w:tcPr>
            <w:tcW w:w="3202" w:type="dxa"/>
            <w:vMerge w:val="continue"/>
            <w:tcBorders>
              <w:top w:val="nil"/>
              <w:bottom w:val="nil"/>
            </w:tcBorders>
            <w:vAlign w:val="top"/>
          </w:tcPr>
          <w:p w14:paraId="15921DA3">
            <w:pPr>
              <w:rPr>
                <w:rFonts w:ascii="Arial"/>
                <w:sz w:val="21"/>
              </w:rPr>
            </w:pPr>
          </w:p>
        </w:tc>
        <w:tc>
          <w:tcPr>
            <w:tcW w:w="2859" w:type="dxa"/>
            <w:vMerge w:val="continue"/>
            <w:tcBorders>
              <w:top w:val="nil"/>
              <w:bottom w:val="nil"/>
            </w:tcBorders>
            <w:vAlign w:val="top"/>
          </w:tcPr>
          <w:p w14:paraId="0756AC4D">
            <w:pPr>
              <w:rPr>
                <w:rFonts w:ascii="Arial"/>
                <w:sz w:val="21"/>
              </w:rPr>
            </w:pPr>
          </w:p>
        </w:tc>
        <w:tc>
          <w:tcPr>
            <w:tcW w:w="803" w:type="dxa"/>
            <w:vAlign w:val="top"/>
          </w:tcPr>
          <w:p w14:paraId="1012D10B">
            <w:pPr>
              <w:spacing w:line="254" w:lineRule="auto"/>
              <w:rPr>
                <w:rFonts w:ascii="Arial"/>
                <w:sz w:val="21"/>
              </w:rPr>
            </w:pPr>
          </w:p>
          <w:p w14:paraId="7245B817">
            <w:pPr>
              <w:spacing w:line="254" w:lineRule="auto"/>
              <w:rPr>
                <w:rFonts w:ascii="Arial"/>
                <w:sz w:val="21"/>
              </w:rPr>
            </w:pPr>
          </w:p>
          <w:p w14:paraId="2F3BC331">
            <w:pPr>
              <w:spacing w:line="254" w:lineRule="auto"/>
              <w:rPr>
                <w:rFonts w:ascii="Arial"/>
                <w:sz w:val="21"/>
              </w:rPr>
            </w:pPr>
          </w:p>
          <w:p w14:paraId="4FEC9951">
            <w:pPr>
              <w:spacing w:line="254" w:lineRule="auto"/>
              <w:rPr>
                <w:rFonts w:ascii="Arial"/>
                <w:sz w:val="21"/>
              </w:rPr>
            </w:pPr>
          </w:p>
          <w:p w14:paraId="44AB99C6">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0E95600">
            <w:pPr>
              <w:spacing w:line="266" w:lineRule="auto"/>
              <w:rPr>
                <w:rFonts w:ascii="Arial"/>
                <w:sz w:val="21"/>
              </w:rPr>
            </w:pPr>
          </w:p>
          <w:p w14:paraId="18EF5728">
            <w:pPr>
              <w:spacing w:line="266" w:lineRule="auto"/>
              <w:rPr>
                <w:rFonts w:ascii="Arial"/>
                <w:sz w:val="21"/>
              </w:rPr>
            </w:pPr>
          </w:p>
          <w:p w14:paraId="1CAA9719">
            <w:pPr>
              <w:spacing w:line="267" w:lineRule="auto"/>
              <w:rPr>
                <w:rFonts w:ascii="Arial"/>
                <w:sz w:val="21"/>
              </w:rPr>
            </w:pPr>
          </w:p>
          <w:p w14:paraId="485F2B3A">
            <w:pPr>
              <w:pStyle w:val="6"/>
              <w:spacing w:before="99" w:line="196" w:lineRule="auto"/>
              <w:ind w:left="126" w:right="109" w:hanging="6"/>
            </w:pPr>
            <w:r>
              <w:rPr>
                <w:spacing w:val="26"/>
              </w:rPr>
              <w:t>整改不合格擅自恢</w:t>
            </w:r>
            <w:r>
              <w:rPr>
                <w:spacing w:val="5"/>
              </w:rPr>
              <w:t>复生产经营的</w:t>
            </w:r>
          </w:p>
        </w:tc>
        <w:tc>
          <w:tcPr>
            <w:tcW w:w="2894" w:type="dxa"/>
            <w:vAlign w:val="top"/>
          </w:tcPr>
          <w:p w14:paraId="64745FB0">
            <w:pPr>
              <w:spacing w:line="266" w:lineRule="auto"/>
              <w:rPr>
                <w:rFonts w:ascii="Arial"/>
                <w:sz w:val="21"/>
              </w:rPr>
            </w:pPr>
          </w:p>
          <w:p w14:paraId="707F456D">
            <w:pPr>
              <w:spacing w:line="266" w:lineRule="auto"/>
              <w:rPr>
                <w:rFonts w:ascii="Arial"/>
                <w:sz w:val="21"/>
              </w:rPr>
            </w:pPr>
          </w:p>
          <w:p w14:paraId="734DC45B">
            <w:pPr>
              <w:spacing w:line="267" w:lineRule="auto"/>
              <w:rPr>
                <w:rFonts w:ascii="Arial"/>
                <w:sz w:val="21"/>
              </w:rPr>
            </w:pPr>
          </w:p>
          <w:p w14:paraId="2BA2CACF">
            <w:pPr>
              <w:pStyle w:val="6"/>
              <w:spacing w:before="99" w:line="196" w:lineRule="auto"/>
              <w:ind w:left="124" w:right="106" w:firstLine="1"/>
            </w:pPr>
            <w:r>
              <w:rPr>
                <w:spacing w:val="1"/>
              </w:rPr>
              <w:t>给予警告，并处</w:t>
            </w:r>
            <w:r>
              <w:rPr>
                <w:rFonts w:ascii="宋体" w:hAnsi="宋体" w:eastAsia="宋体" w:cs="宋体"/>
                <w:spacing w:val="1"/>
              </w:rPr>
              <w:t>1</w:t>
            </w:r>
            <w:r>
              <w:rPr>
                <w:spacing w:val="1"/>
              </w:rPr>
              <w:t>万元以</w:t>
            </w:r>
            <w:r>
              <w:rPr>
                <w:spacing w:val="2"/>
              </w:rPr>
              <w:t>上</w:t>
            </w:r>
            <w:r>
              <w:rPr>
                <w:rFonts w:ascii="宋体" w:hAnsi="宋体" w:eastAsia="宋体" w:cs="宋体"/>
                <w:spacing w:val="2"/>
              </w:rPr>
              <w:t>2</w:t>
            </w:r>
            <w:r>
              <w:rPr>
                <w:spacing w:val="2"/>
              </w:rPr>
              <w:t>万元以下的罚款</w:t>
            </w:r>
          </w:p>
        </w:tc>
        <w:tc>
          <w:tcPr>
            <w:tcW w:w="811" w:type="dxa"/>
            <w:vMerge w:val="continue"/>
            <w:tcBorders>
              <w:top w:val="nil"/>
              <w:bottom w:val="nil"/>
            </w:tcBorders>
            <w:vAlign w:val="top"/>
          </w:tcPr>
          <w:p w14:paraId="70C787B6">
            <w:pPr>
              <w:rPr>
                <w:rFonts w:ascii="Arial"/>
                <w:sz w:val="21"/>
              </w:rPr>
            </w:pPr>
          </w:p>
        </w:tc>
      </w:tr>
      <w:tr w14:paraId="0CF05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4" w:hRule="atLeast"/>
        </w:trPr>
        <w:tc>
          <w:tcPr>
            <w:tcW w:w="818" w:type="dxa"/>
            <w:vMerge w:val="continue"/>
            <w:tcBorders>
              <w:top w:val="nil"/>
            </w:tcBorders>
            <w:vAlign w:val="top"/>
          </w:tcPr>
          <w:p w14:paraId="54B88E8E">
            <w:pPr>
              <w:rPr>
                <w:rFonts w:ascii="Arial"/>
                <w:sz w:val="21"/>
              </w:rPr>
            </w:pPr>
          </w:p>
        </w:tc>
        <w:tc>
          <w:tcPr>
            <w:tcW w:w="1440" w:type="dxa"/>
            <w:vMerge w:val="continue"/>
            <w:tcBorders>
              <w:top w:val="nil"/>
            </w:tcBorders>
            <w:vAlign w:val="top"/>
          </w:tcPr>
          <w:p w14:paraId="4C6FFEE0">
            <w:pPr>
              <w:rPr>
                <w:rFonts w:ascii="Arial"/>
                <w:sz w:val="21"/>
              </w:rPr>
            </w:pPr>
          </w:p>
        </w:tc>
        <w:tc>
          <w:tcPr>
            <w:tcW w:w="3202" w:type="dxa"/>
            <w:vMerge w:val="continue"/>
            <w:tcBorders>
              <w:top w:val="nil"/>
            </w:tcBorders>
            <w:vAlign w:val="top"/>
          </w:tcPr>
          <w:p w14:paraId="47B4DDA8">
            <w:pPr>
              <w:rPr>
                <w:rFonts w:ascii="Arial"/>
                <w:sz w:val="21"/>
              </w:rPr>
            </w:pPr>
          </w:p>
        </w:tc>
        <w:tc>
          <w:tcPr>
            <w:tcW w:w="2859" w:type="dxa"/>
            <w:vMerge w:val="continue"/>
            <w:tcBorders>
              <w:top w:val="nil"/>
            </w:tcBorders>
            <w:vAlign w:val="top"/>
          </w:tcPr>
          <w:p w14:paraId="23E4317B">
            <w:pPr>
              <w:rPr>
                <w:rFonts w:ascii="Arial"/>
                <w:sz w:val="21"/>
              </w:rPr>
            </w:pPr>
          </w:p>
        </w:tc>
        <w:tc>
          <w:tcPr>
            <w:tcW w:w="803" w:type="dxa"/>
            <w:vAlign w:val="top"/>
          </w:tcPr>
          <w:p w14:paraId="796C66D4">
            <w:pPr>
              <w:spacing w:line="248" w:lineRule="auto"/>
              <w:rPr>
                <w:rFonts w:ascii="Arial"/>
                <w:sz w:val="21"/>
              </w:rPr>
            </w:pPr>
          </w:p>
          <w:p w14:paraId="25FD8B11">
            <w:pPr>
              <w:spacing w:line="249" w:lineRule="auto"/>
              <w:rPr>
                <w:rFonts w:ascii="Arial"/>
                <w:sz w:val="21"/>
              </w:rPr>
            </w:pPr>
          </w:p>
          <w:p w14:paraId="00B33199">
            <w:pPr>
              <w:spacing w:line="249" w:lineRule="auto"/>
              <w:rPr>
                <w:rFonts w:ascii="Arial"/>
                <w:sz w:val="21"/>
              </w:rPr>
            </w:pPr>
          </w:p>
          <w:p w14:paraId="5D2A0FEC">
            <w:pPr>
              <w:spacing w:line="249" w:lineRule="auto"/>
              <w:rPr>
                <w:rFonts w:ascii="Arial"/>
                <w:sz w:val="21"/>
              </w:rPr>
            </w:pPr>
          </w:p>
          <w:p w14:paraId="006266E0">
            <w:pPr>
              <w:spacing w:line="249" w:lineRule="auto"/>
              <w:rPr>
                <w:rFonts w:ascii="Arial"/>
                <w:sz w:val="21"/>
              </w:rPr>
            </w:pPr>
          </w:p>
          <w:p w14:paraId="71AE4069">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C3FECE9">
            <w:pPr>
              <w:spacing w:line="256" w:lineRule="auto"/>
              <w:rPr>
                <w:rFonts w:ascii="Arial"/>
                <w:sz w:val="21"/>
              </w:rPr>
            </w:pPr>
          </w:p>
          <w:p w14:paraId="6053DF5D">
            <w:pPr>
              <w:spacing w:line="257" w:lineRule="auto"/>
              <w:rPr>
                <w:rFonts w:ascii="Arial"/>
                <w:sz w:val="21"/>
              </w:rPr>
            </w:pPr>
          </w:p>
          <w:p w14:paraId="6908C4DA">
            <w:pPr>
              <w:spacing w:line="257" w:lineRule="auto"/>
              <w:rPr>
                <w:rFonts w:ascii="Arial"/>
                <w:sz w:val="21"/>
              </w:rPr>
            </w:pPr>
          </w:p>
          <w:p w14:paraId="1CAEA7E2">
            <w:pPr>
              <w:spacing w:line="257" w:lineRule="auto"/>
              <w:rPr>
                <w:rFonts w:ascii="Arial"/>
                <w:sz w:val="21"/>
              </w:rPr>
            </w:pPr>
          </w:p>
          <w:p w14:paraId="72723842">
            <w:pPr>
              <w:pStyle w:val="6"/>
              <w:spacing w:before="98" w:line="196" w:lineRule="auto"/>
              <w:ind w:left="118" w:right="109"/>
            </w:pPr>
            <w:r>
              <w:rPr>
                <w:spacing w:val="26"/>
              </w:rPr>
              <w:t>未整改擅自恢复生</w:t>
            </w:r>
            <w:r>
              <w:rPr>
                <w:spacing w:val="5"/>
              </w:rPr>
              <w:t>产经营的</w:t>
            </w:r>
          </w:p>
        </w:tc>
        <w:tc>
          <w:tcPr>
            <w:tcW w:w="2894" w:type="dxa"/>
            <w:vAlign w:val="top"/>
          </w:tcPr>
          <w:p w14:paraId="4961B458">
            <w:pPr>
              <w:spacing w:line="256" w:lineRule="auto"/>
              <w:rPr>
                <w:rFonts w:ascii="Arial"/>
                <w:sz w:val="21"/>
              </w:rPr>
            </w:pPr>
          </w:p>
          <w:p w14:paraId="5F39D30F">
            <w:pPr>
              <w:spacing w:line="256" w:lineRule="auto"/>
              <w:rPr>
                <w:rFonts w:ascii="Arial"/>
                <w:sz w:val="21"/>
              </w:rPr>
            </w:pPr>
          </w:p>
          <w:p w14:paraId="6F6F4E16">
            <w:pPr>
              <w:spacing w:line="257" w:lineRule="auto"/>
              <w:rPr>
                <w:rFonts w:ascii="Arial"/>
                <w:sz w:val="21"/>
              </w:rPr>
            </w:pPr>
          </w:p>
          <w:p w14:paraId="5A193250">
            <w:pPr>
              <w:spacing w:line="257" w:lineRule="auto"/>
              <w:rPr>
                <w:rFonts w:ascii="Arial"/>
                <w:sz w:val="21"/>
              </w:rPr>
            </w:pPr>
          </w:p>
          <w:p w14:paraId="0548F77F">
            <w:pPr>
              <w:pStyle w:val="6"/>
              <w:spacing w:before="99" w:line="196" w:lineRule="auto"/>
              <w:ind w:left="124" w:right="106" w:firstLine="1"/>
            </w:pPr>
            <w:r>
              <w:rPr>
                <w:spacing w:val="3"/>
              </w:rPr>
              <w:t>给予警告，并处</w:t>
            </w:r>
            <w:r>
              <w:rPr>
                <w:rFonts w:ascii="宋体" w:hAnsi="宋体" w:eastAsia="宋体" w:cs="宋体"/>
                <w:spacing w:val="3"/>
              </w:rPr>
              <w:t>2</w:t>
            </w:r>
            <w:r>
              <w:rPr>
                <w:spacing w:val="3"/>
              </w:rPr>
              <w:t>万元以</w:t>
            </w:r>
            <w:r>
              <w:rPr>
                <w:spacing w:val="2"/>
              </w:rPr>
              <w:t>上</w:t>
            </w:r>
            <w:r>
              <w:rPr>
                <w:rFonts w:ascii="宋体" w:hAnsi="宋体" w:eastAsia="宋体" w:cs="宋体"/>
                <w:spacing w:val="2"/>
              </w:rPr>
              <w:t>3</w:t>
            </w:r>
            <w:r>
              <w:rPr>
                <w:spacing w:val="2"/>
              </w:rPr>
              <w:t>万元以下的罚款</w:t>
            </w:r>
          </w:p>
        </w:tc>
        <w:tc>
          <w:tcPr>
            <w:tcW w:w="811" w:type="dxa"/>
            <w:vMerge w:val="continue"/>
            <w:tcBorders>
              <w:top w:val="nil"/>
            </w:tcBorders>
            <w:vAlign w:val="top"/>
          </w:tcPr>
          <w:p w14:paraId="182CA336">
            <w:pPr>
              <w:rPr>
                <w:rFonts w:ascii="Arial"/>
                <w:sz w:val="21"/>
              </w:rPr>
            </w:pPr>
          </w:p>
        </w:tc>
      </w:tr>
      <w:tr w14:paraId="2F3FC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18" w:type="dxa"/>
            <w:vAlign w:val="top"/>
          </w:tcPr>
          <w:p w14:paraId="7EC96EFE">
            <w:pPr>
              <w:spacing w:before="233" w:line="185" w:lineRule="auto"/>
              <w:ind w:left="239"/>
              <w:rPr>
                <w:rFonts w:ascii="仿宋" w:hAnsi="仿宋" w:eastAsia="仿宋" w:cs="仿宋"/>
                <w:sz w:val="23"/>
                <w:szCs w:val="23"/>
              </w:rPr>
            </w:pPr>
            <w:r>
              <w:rPr>
                <w:rFonts w:ascii="仿宋" w:hAnsi="仿宋" w:eastAsia="仿宋" w:cs="仿宋"/>
                <w:spacing w:val="-4"/>
                <w:sz w:val="23"/>
                <w:szCs w:val="23"/>
              </w:rPr>
              <w:t>52</w:t>
            </w:r>
          </w:p>
        </w:tc>
        <w:tc>
          <w:tcPr>
            <w:tcW w:w="1440" w:type="dxa"/>
            <w:vAlign w:val="top"/>
          </w:tcPr>
          <w:p w14:paraId="2B3F2278">
            <w:pPr>
              <w:pStyle w:val="6"/>
              <w:spacing w:before="35" w:line="171" w:lineRule="auto"/>
              <w:ind w:left="115" w:right="111" w:firstLine="13"/>
            </w:pPr>
            <w:r>
              <w:rPr>
                <w:spacing w:val="8"/>
              </w:rPr>
              <w:t>生产经营单位的生产、</w:t>
            </w:r>
          </w:p>
        </w:tc>
        <w:tc>
          <w:tcPr>
            <w:tcW w:w="3202" w:type="dxa"/>
            <w:vAlign w:val="top"/>
          </w:tcPr>
          <w:p w14:paraId="1DFA75D8">
            <w:pPr>
              <w:pStyle w:val="6"/>
              <w:spacing w:before="35" w:line="171" w:lineRule="auto"/>
              <w:ind w:left="123" w:right="113" w:hanging="25"/>
            </w:pPr>
            <w:r>
              <w:rPr>
                <w:spacing w:val="18"/>
              </w:rPr>
              <w:t>【法律】《中华人民共和国</w:t>
            </w:r>
            <w:r>
              <w:rPr>
                <w:spacing w:val="16"/>
              </w:rPr>
              <w:t>安全生产法》第四十二条第</w:t>
            </w:r>
          </w:p>
        </w:tc>
        <w:tc>
          <w:tcPr>
            <w:tcW w:w="2859" w:type="dxa"/>
            <w:vAlign w:val="top"/>
          </w:tcPr>
          <w:p w14:paraId="6E48C108">
            <w:pPr>
              <w:pStyle w:val="6"/>
              <w:spacing w:before="35" w:line="171" w:lineRule="auto"/>
              <w:ind w:left="143" w:right="113" w:hanging="46"/>
            </w:pPr>
            <w:r>
              <w:rPr>
                <w:spacing w:val="10"/>
              </w:rPr>
              <w:t>【法律】《中华人民共和</w:t>
            </w:r>
            <w:r>
              <w:rPr>
                <w:spacing w:val="6"/>
              </w:rPr>
              <w:t>国安全生产法》第一百零</w:t>
            </w:r>
          </w:p>
        </w:tc>
        <w:tc>
          <w:tcPr>
            <w:tcW w:w="803" w:type="dxa"/>
            <w:vAlign w:val="top"/>
          </w:tcPr>
          <w:p w14:paraId="67368313">
            <w:pPr>
              <w:spacing w:before="226"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A0ADE4F">
            <w:pPr>
              <w:pStyle w:val="6"/>
              <w:spacing w:before="35" w:line="171" w:lineRule="auto"/>
              <w:ind w:left="112" w:right="46" w:firstLine="18"/>
            </w:pPr>
            <w:r>
              <w:rPr>
                <w:spacing w:val="3"/>
              </w:rPr>
              <w:t>生产、经营、储存、</w:t>
            </w:r>
            <w:r>
              <w:rPr>
                <w:spacing w:val="26"/>
              </w:rPr>
              <w:t>使用危险物品的车</w:t>
            </w:r>
          </w:p>
        </w:tc>
        <w:tc>
          <w:tcPr>
            <w:tcW w:w="2894" w:type="dxa"/>
            <w:vAlign w:val="top"/>
          </w:tcPr>
          <w:p w14:paraId="23B9C5F4">
            <w:pPr>
              <w:pStyle w:val="6"/>
              <w:spacing w:before="35" w:line="171" w:lineRule="auto"/>
              <w:ind w:left="146" w:right="103" w:hanging="19"/>
            </w:pPr>
            <w:r>
              <w:rPr>
                <w:spacing w:val="4"/>
              </w:rPr>
              <w:t>责令限期改正，处</w:t>
            </w:r>
            <w:r>
              <w:rPr>
                <w:rFonts w:ascii="宋体" w:hAnsi="宋体" w:eastAsia="宋体" w:cs="宋体"/>
                <w:spacing w:val="4"/>
              </w:rPr>
              <w:t>2</w:t>
            </w:r>
            <w:r>
              <w:rPr>
                <w:spacing w:val="4"/>
              </w:rPr>
              <w:t>万元</w:t>
            </w:r>
            <w:r>
              <w:rPr>
                <w:spacing w:val="5"/>
              </w:rPr>
              <w:t>以下的罚款，对其直接负</w:t>
            </w:r>
          </w:p>
        </w:tc>
        <w:tc>
          <w:tcPr>
            <w:tcW w:w="811" w:type="dxa"/>
            <w:vAlign w:val="top"/>
          </w:tcPr>
          <w:p w14:paraId="3F08C458">
            <w:pPr>
              <w:spacing w:before="229" w:line="188" w:lineRule="auto"/>
              <w:ind w:left="295"/>
              <w:rPr>
                <w:rFonts w:ascii="宋体" w:hAnsi="宋体" w:eastAsia="宋体" w:cs="宋体"/>
                <w:sz w:val="23"/>
                <w:szCs w:val="23"/>
              </w:rPr>
            </w:pPr>
            <w:r>
              <w:rPr>
                <w:rFonts w:ascii="宋体" w:hAnsi="宋体" w:eastAsia="宋体" w:cs="宋体"/>
                <w:spacing w:val="-4"/>
                <w:sz w:val="23"/>
                <w:szCs w:val="23"/>
              </w:rPr>
              <w:t>37</w:t>
            </w:r>
          </w:p>
        </w:tc>
      </w:tr>
    </w:tbl>
    <w:p w14:paraId="77E4304E">
      <w:pPr>
        <w:pStyle w:val="2"/>
      </w:pPr>
    </w:p>
    <w:p w14:paraId="3EE7378F">
      <w:pPr>
        <w:sectPr>
          <w:footerReference r:id="rId69" w:type="default"/>
          <w:pgSz w:w="16839" w:h="11906"/>
          <w:pgMar w:top="1012" w:right="821" w:bottom="666" w:left="901" w:header="0" w:footer="388" w:gutter="0"/>
          <w:cols w:space="720" w:num="1"/>
        </w:sectPr>
      </w:pPr>
    </w:p>
    <w:p w14:paraId="27544CB1">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78FC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3960D345">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2D856990">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AFAFB0C">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1BDEC5A">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17647EA2">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702F904">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59ED2B30">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7B80B96F">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AF72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restart"/>
            <w:tcBorders>
              <w:bottom w:val="nil"/>
            </w:tcBorders>
            <w:vAlign w:val="top"/>
          </w:tcPr>
          <w:p w14:paraId="1070A00D">
            <w:pPr>
              <w:rPr>
                <w:rFonts w:ascii="Arial"/>
                <w:sz w:val="21"/>
              </w:rPr>
            </w:pPr>
          </w:p>
        </w:tc>
        <w:tc>
          <w:tcPr>
            <w:tcW w:w="1440" w:type="dxa"/>
            <w:vMerge w:val="restart"/>
            <w:tcBorders>
              <w:bottom w:val="nil"/>
            </w:tcBorders>
            <w:vAlign w:val="top"/>
          </w:tcPr>
          <w:p w14:paraId="2E8142EE">
            <w:pPr>
              <w:pStyle w:val="6"/>
              <w:spacing w:before="31" w:line="182" w:lineRule="auto"/>
              <w:ind w:left="110" w:right="17" w:firstLine="10"/>
            </w:pPr>
            <w:r>
              <w:rPr>
                <w:spacing w:val="-13"/>
                <w:w w:val="99"/>
              </w:rPr>
              <w:t>经营、储存、</w:t>
            </w:r>
            <w:r>
              <w:rPr>
                <w:spacing w:val="12"/>
              </w:rPr>
              <w:t>使用危险物</w:t>
            </w:r>
            <w:r>
              <w:rPr>
                <w:spacing w:val="6"/>
              </w:rPr>
              <w:t>品的车间、</w:t>
            </w:r>
            <w:r>
              <w:rPr>
                <w:spacing w:val="12"/>
              </w:rPr>
              <w:t>商店、仓库</w:t>
            </w:r>
          </w:p>
          <w:p w14:paraId="374DD93C">
            <w:pPr>
              <w:pStyle w:val="6"/>
              <w:spacing w:line="182" w:lineRule="auto"/>
              <w:ind w:left="129"/>
              <w:outlineLvl w:val="0"/>
            </w:pPr>
            <w:r>
              <w:rPr>
                <w:spacing w:val="8"/>
              </w:rPr>
              <w:t>与员工宿舍</w:t>
            </w:r>
          </w:p>
          <w:p w14:paraId="4537B724">
            <w:pPr>
              <w:pStyle w:val="6"/>
              <w:spacing w:before="3" w:line="187" w:lineRule="auto"/>
              <w:ind w:left="115" w:right="111"/>
              <w:jc w:val="both"/>
            </w:pPr>
            <w:r>
              <w:rPr>
                <w:spacing w:val="11"/>
              </w:rPr>
              <w:t>在同一座建</w:t>
            </w:r>
            <w:r>
              <w:rPr>
                <w:spacing w:val="3"/>
              </w:rPr>
              <w:t>筑内，或者</w:t>
            </w:r>
            <w:r>
              <w:rPr>
                <w:spacing w:val="11"/>
              </w:rPr>
              <w:t>与员工宿舍</w:t>
            </w:r>
            <w:bookmarkStart w:id="445" w:name="bookmark112"/>
            <w:bookmarkEnd w:id="445"/>
            <w:bookmarkStart w:id="446" w:name="bookmark509"/>
            <w:bookmarkEnd w:id="446"/>
            <w:r>
              <w:rPr>
                <w:spacing w:val="11"/>
              </w:rPr>
              <w:t>的距离不符合安全要求</w:t>
            </w:r>
            <w:r>
              <w:t>的</w:t>
            </w:r>
          </w:p>
        </w:tc>
        <w:tc>
          <w:tcPr>
            <w:tcW w:w="3202" w:type="dxa"/>
            <w:vMerge w:val="restart"/>
            <w:tcBorders>
              <w:bottom w:val="nil"/>
            </w:tcBorders>
            <w:vAlign w:val="top"/>
          </w:tcPr>
          <w:p w14:paraId="4B3939C2">
            <w:pPr>
              <w:pStyle w:val="6"/>
              <w:spacing w:before="25" w:line="188" w:lineRule="auto"/>
              <w:ind w:left="112" w:right="21" w:firstLine="18"/>
            </w:pPr>
            <w:r>
              <w:rPr>
                <w:spacing w:val="9"/>
              </w:rPr>
              <w:t>一款：生产、经营、储存、</w:t>
            </w:r>
            <w:r>
              <w:rPr>
                <w:spacing w:val="5"/>
              </w:rPr>
              <w:t>使用危险物品的车间、商店、</w:t>
            </w:r>
            <w:r>
              <w:rPr>
                <w:spacing w:val="14"/>
              </w:rPr>
              <w:t>仓库不得与员工宿舍在同一</w:t>
            </w:r>
            <w:r>
              <w:rPr>
                <w:spacing w:val="13"/>
              </w:rPr>
              <w:t>座建筑物内，并应当与员工</w:t>
            </w:r>
            <w:r>
              <w:rPr>
                <w:spacing w:val="4"/>
              </w:rPr>
              <w:t>宿舍保持安全距离。</w:t>
            </w:r>
          </w:p>
        </w:tc>
        <w:tc>
          <w:tcPr>
            <w:tcW w:w="2859" w:type="dxa"/>
            <w:vMerge w:val="restart"/>
            <w:tcBorders>
              <w:bottom w:val="nil"/>
            </w:tcBorders>
            <w:vAlign w:val="top"/>
          </w:tcPr>
          <w:p w14:paraId="1D77218D">
            <w:pPr>
              <w:pStyle w:val="6"/>
              <w:spacing w:before="34" w:line="182" w:lineRule="auto"/>
              <w:ind w:left="115" w:right="110" w:firstLine="9"/>
            </w:pPr>
            <w:r>
              <w:rPr>
                <w:spacing w:val="8"/>
              </w:rPr>
              <w:t>五条第一项：生产经营单</w:t>
            </w:r>
            <w:r>
              <w:rPr>
                <w:spacing w:val="4"/>
              </w:rPr>
              <w:t>位有下列行为之一的，责</w:t>
            </w:r>
            <w:r>
              <w:rPr>
                <w:spacing w:val="8"/>
              </w:rPr>
              <w:t>令限期改正，处五万元以下的罚款，对其直接负责的主管人员和其他直接责任人员处一万元以下的罚款；逾期未改正的，责令停产停业整顿；构成犯罪的，依照刑法有关规定追</w:t>
            </w:r>
          </w:p>
          <w:p w14:paraId="044D986B">
            <w:pPr>
              <w:pStyle w:val="6"/>
              <w:spacing w:before="7" w:line="186" w:lineRule="auto"/>
              <w:ind w:left="122" w:right="19" w:firstLine="12"/>
            </w:pPr>
            <w:r>
              <w:rPr>
                <w:spacing w:val="-10"/>
              </w:rPr>
              <w:t>究刑事责任</w:t>
            </w:r>
            <w:r>
              <w:rPr>
                <w:spacing w:val="-39"/>
              </w:rPr>
              <w:t>：（</w:t>
            </w:r>
            <w:r>
              <w:rPr>
                <w:spacing w:val="-10"/>
              </w:rPr>
              <w:t>一）生产、</w:t>
            </w:r>
            <w:r>
              <w:rPr>
                <w:spacing w:val="8"/>
              </w:rPr>
              <w:t>经营、储存、使用危险物品的车间、商店、仓库与</w:t>
            </w:r>
            <w:r>
              <w:rPr>
                <w:spacing w:val="26"/>
              </w:rPr>
              <w:t>员工宿舍在同一座建筑</w:t>
            </w:r>
            <w:r>
              <w:rPr>
                <w:spacing w:val="8"/>
              </w:rPr>
              <w:t>内，或者与员工宿舍的距</w:t>
            </w:r>
            <w:r>
              <w:rPr>
                <w:spacing w:val="3"/>
              </w:rPr>
              <w:t>离不符合安全要求的；</w:t>
            </w:r>
          </w:p>
        </w:tc>
        <w:tc>
          <w:tcPr>
            <w:tcW w:w="803" w:type="dxa"/>
            <w:vAlign w:val="top"/>
          </w:tcPr>
          <w:p w14:paraId="7ABFAF41">
            <w:pPr>
              <w:rPr>
                <w:rFonts w:ascii="Arial"/>
                <w:sz w:val="21"/>
              </w:rPr>
            </w:pPr>
          </w:p>
        </w:tc>
        <w:tc>
          <w:tcPr>
            <w:tcW w:w="2283" w:type="dxa"/>
            <w:vAlign w:val="top"/>
          </w:tcPr>
          <w:p w14:paraId="2CA6C081">
            <w:pPr>
              <w:pStyle w:val="6"/>
              <w:spacing w:before="33" w:line="179" w:lineRule="auto"/>
              <w:ind w:left="117" w:right="105" w:firstLine="26"/>
              <w:jc w:val="both"/>
            </w:pPr>
            <w:r>
              <w:rPr>
                <w:spacing w:val="-5"/>
              </w:rPr>
              <w:t>间、商店、仓库与员</w:t>
            </w:r>
            <w:r>
              <w:rPr>
                <w:spacing w:val="26"/>
              </w:rPr>
              <w:t>工宿舍在同一座建</w:t>
            </w:r>
            <w:r>
              <w:rPr>
                <w:spacing w:val="-3"/>
              </w:rPr>
              <w:t>筑内，或者与员工宿</w:t>
            </w:r>
            <w:r>
              <w:rPr>
                <w:spacing w:val="26"/>
              </w:rPr>
              <w:t>舍的距离不符合安</w:t>
            </w:r>
            <w:r>
              <w:rPr>
                <w:spacing w:val="-3"/>
              </w:rPr>
              <w:t>全要求，其员工宿舍</w:t>
            </w:r>
            <w:r>
              <w:rPr>
                <w:spacing w:val="16"/>
              </w:rPr>
              <w:t>中住宿人员有</w:t>
            </w:r>
            <w:r>
              <w:rPr>
                <w:rFonts w:ascii="宋体" w:hAnsi="宋体" w:eastAsia="宋体" w:cs="宋体"/>
                <w:spacing w:val="16"/>
              </w:rPr>
              <w:t>3</w:t>
            </w:r>
            <w:r>
              <w:rPr>
                <w:spacing w:val="16"/>
              </w:rPr>
              <w:t>人</w:t>
            </w:r>
            <w:r>
              <w:rPr>
                <w:spacing w:val="5"/>
              </w:rPr>
              <w:t>以下的</w:t>
            </w:r>
          </w:p>
        </w:tc>
        <w:tc>
          <w:tcPr>
            <w:tcW w:w="2894" w:type="dxa"/>
            <w:vAlign w:val="top"/>
          </w:tcPr>
          <w:p w14:paraId="64B67580">
            <w:pPr>
              <w:pStyle w:val="6"/>
              <w:spacing w:before="26" w:line="189" w:lineRule="auto"/>
              <w:ind w:left="117" w:right="107" w:firstLine="10"/>
              <w:jc w:val="both"/>
            </w:pPr>
            <w:r>
              <w:rPr>
                <w:spacing w:val="10"/>
              </w:rPr>
              <w:t>责的主管人员和其他直接</w:t>
            </w:r>
            <w:r>
              <w:rPr>
                <w:spacing w:val="5"/>
              </w:rPr>
              <w:t>责任人员处</w:t>
            </w:r>
            <w:r>
              <w:rPr>
                <w:rFonts w:ascii="宋体" w:hAnsi="宋体" w:eastAsia="宋体" w:cs="宋体"/>
                <w:spacing w:val="5"/>
              </w:rPr>
              <w:t>1</w:t>
            </w:r>
            <w:r>
              <w:rPr>
                <w:spacing w:val="5"/>
              </w:rPr>
              <w:t>万元以下的罚款；逾期未改正的，责</w:t>
            </w:r>
            <w:r>
              <w:rPr>
                <w:spacing w:val="7"/>
              </w:rPr>
              <w:t>令停产停业整顿</w:t>
            </w:r>
          </w:p>
        </w:tc>
        <w:tc>
          <w:tcPr>
            <w:tcW w:w="811" w:type="dxa"/>
            <w:vMerge w:val="restart"/>
            <w:tcBorders>
              <w:bottom w:val="nil"/>
            </w:tcBorders>
            <w:vAlign w:val="top"/>
          </w:tcPr>
          <w:p w14:paraId="10A1E83E">
            <w:pPr>
              <w:rPr>
                <w:rFonts w:ascii="Arial"/>
                <w:sz w:val="21"/>
              </w:rPr>
            </w:pPr>
          </w:p>
        </w:tc>
      </w:tr>
      <w:tr w14:paraId="53670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trPr>
        <w:tc>
          <w:tcPr>
            <w:tcW w:w="818" w:type="dxa"/>
            <w:vMerge w:val="continue"/>
            <w:tcBorders>
              <w:top w:val="nil"/>
              <w:bottom w:val="nil"/>
            </w:tcBorders>
            <w:vAlign w:val="top"/>
          </w:tcPr>
          <w:p w14:paraId="303ED37E">
            <w:pPr>
              <w:rPr>
                <w:rFonts w:ascii="Arial"/>
                <w:sz w:val="21"/>
              </w:rPr>
            </w:pPr>
          </w:p>
        </w:tc>
        <w:tc>
          <w:tcPr>
            <w:tcW w:w="1440" w:type="dxa"/>
            <w:vMerge w:val="continue"/>
            <w:tcBorders>
              <w:top w:val="nil"/>
              <w:bottom w:val="nil"/>
            </w:tcBorders>
            <w:vAlign w:val="top"/>
          </w:tcPr>
          <w:p w14:paraId="343BF3D0">
            <w:pPr>
              <w:rPr>
                <w:rFonts w:ascii="Arial"/>
                <w:sz w:val="21"/>
              </w:rPr>
            </w:pPr>
          </w:p>
        </w:tc>
        <w:tc>
          <w:tcPr>
            <w:tcW w:w="3202" w:type="dxa"/>
            <w:vMerge w:val="continue"/>
            <w:tcBorders>
              <w:top w:val="nil"/>
              <w:bottom w:val="nil"/>
            </w:tcBorders>
            <w:vAlign w:val="top"/>
          </w:tcPr>
          <w:p w14:paraId="153AC909">
            <w:pPr>
              <w:rPr>
                <w:rFonts w:ascii="Arial"/>
                <w:sz w:val="21"/>
              </w:rPr>
            </w:pPr>
          </w:p>
        </w:tc>
        <w:tc>
          <w:tcPr>
            <w:tcW w:w="2859" w:type="dxa"/>
            <w:vMerge w:val="continue"/>
            <w:tcBorders>
              <w:top w:val="nil"/>
              <w:bottom w:val="nil"/>
            </w:tcBorders>
            <w:vAlign w:val="top"/>
          </w:tcPr>
          <w:p w14:paraId="2FCBA22B">
            <w:pPr>
              <w:rPr>
                <w:rFonts w:ascii="Arial"/>
                <w:sz w:val="21"/>
              </w:rPr>
            </w:pPr>
          </w:p>
        </w:tc>
        <w:tc>
          <w:tcPr>
            <w:tcW w:w="803" w:type="dxa"/>
            <w:vAlign w:val="top"/>
          </w:tcPr>
          <w:p w14:paraId="29549373">
            <w:pPr>
              <w:spacing w:line="298" w:lineRule="auto"/>
              <w:rPr>
                <w:rFonts w:ascii="Arial"/>
                <w:sz w:val="21"/>
              </w:rPr>
            </w:pPr>
          </w:p>
          <w:p w14:paraId="76E323C9">
            <w:pPr>
              <w:spacing w:line="298" w:lineRule="auto"/>
              <w:rPr>
                <w:rFonts w:ascii="Arial"/>
                <w:sz w:val="21"/>
              </w:rPr>
            </w:pPr>
          </w:p>
          <w:p w14:paraId="4E30C900">
            <w:pPr>
              <w:spacing w:line="298" w:lineRule="auto"/>
              <w:rPr>
                <w:rFonts w:ascii="Arial"/>
                <w:sz w:val="21"/>
              </w:rPr>
            </w:pPr>
          </w:p>
          <w:p w14:paraId="0AFABC60">
            <w:pPr>
              <w:spacing w:line="299" w:lineRule="auto"/>
              <w:rPr>
                <w:rFonts w:ascii="Arial"/>
                <w:sz w:val="21"/>
              </w:rPr>
            </w:pPr>
          </w:p>
          <w:p w14:paraId="60D772D5">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646F639">
            <w:pPr>
              <w:pStyle w:val="6"/>
              <w:spacing w:before="29" w:line="180" w:lineRule="auto"/>
              <w:ind w:left="112" w:right="46" w:firstLine="18"/>
              <w:jc w:val="both"/>
            </w:pPr>
            <w:r>
              <w:rPr>
                <w:spacing w:val="3"/>
              </w:rPr>
              <w:t>生产、经营、储存、</w:t>
            </w:r>
            <w:r>
              <w:rPr>
                <w:spacing w:val="26"/>
              </w:rPr>
              <w:t>使用危险物品的车</w:t>
            </w:r>
            <w:r>
              <w:rPr>
                <w:spacing w:val="-2"/>
              </w:rPr>
              <w:t>间、商店、仓库与员</w:t>
            </w:r>
            <w:r>
              <w:rPr>
                <w:spacing w:val="26"/>
              </w:rPr>
              <w:t>工宿舍在同一座建</w:t>
            </w:r>
            <w:r>
              <w:rPr>
                <w:spacing w:val="-2"/>
              </w:rPr>
              <w:t>筑内，或者与员工宿</w:t>
            </w:r>
            <w:r>
              <w:rPr>
                <w:spacing w:val="26"/>
              </w:rPr>
              <w:t>舍的距离不符合安</w:t>
            </w:r>
            <w:r>
              <w:rPr>
                <w:spacing w:val="-2"/>
              </w:rPr>
              <w:t>全要求，其员工宿舍</w:t>
            </w:r>
            <w:r>
              <w:rPr>
                <w:spacing w:val="17"/>
              </w:rPr>
              <w:t>中住宿人员有</w:t>
            </w:r>
            <w:r>
              <w:rPr>
                <w:rFonts w:ascii="宋体" w:hAnsi="宋体" w:eastAsia="宋体" w:cs="宋体"/>
                <w:spacing w:val="17"/>
              </w:rPr>
              <w:t>3</w:t>
            </w:r>
            <w:r>
              <w:rPr>
                <w:spacing w:val="17"/>
              </w:rPr>
              <w:t>人</w:t>
            </w:r>
            <w:r>
              <w:rPr>
                <w:spacing w:val="1"/>
              </w:rPr>
              <w:t>以上</w:t>
            </w:r>
            <w:r>
              <w:rPr>
                <w:rFonts w:ascii="宋体" w:hAnsi="宋体" w:eastAsia="宋体" w:cs="宋体"/>
                <w:spacing w:val="1"/>
              </w:rPr>
              <w:t>10</w:t>
            </w:r>
            <w:r>
              <w:rPr>
                <w:spacing w:val="1"/>
              </w:rPr>
              <w:t>人以下的</w:t>
            </w:r>
          </w:p>
        </w:tc>
        <w:tc>
          <w:tcPr>
            <w:tcW w:w="2894" w:type="dxa"/>
            <w:vAlign w:val="top"/>
          </w:tcPr>
          <w:p w14:paraId="4915ED17">
            <w:pPr>
              <w:pStyle w:val="6"/>
              <w:spacing w:before="334" w:line="186" w:lineRule="auto"/>
              <w:ind w:left="122" w:right="103" w:firstLine="5"/>
            </w:pPr>
            <w:r>
              <w:rPr>
                <w:spacing w:val="4"/>
              </w:rPr>
              <w:t>责令限期改正，处</w:t>
            </w:r>
            <w:r>
              <w:rPr>
                <w:rFonts w:ascii="宋体" w:hAnsi="宋体" w:eastAsia="宋体" w:cs="宋体"/>
                <w:spacing w:val="4"/>
              </w:rPr>
              <w:t>2</w:t>
            </w:r>
            <w:r>
              <w:rPr>
                <w:spacing w:val="4"/>
              </w:rPr>
              <w:t>万元</w:t>
            </w:r>
            <w:r>
              <w:rPr>
                <w:spacing w:val="6"/>
              </w:rPr>
              <w:t>以上</w:t>
            </w:r>
            <w:r>
              <w:rPr>
                <w:rFonts w:ascii="宋体" w:hAnsi="宋体" w:eastAsia="宋体" w:cs="宋体"/>
                <w:spacing w:val="6"/>
              </w:rPr>
              <w:t>4</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8"/>
              </w:rPr>
              <w:t>万元以下的罚款；逾期未改正的，责令停产停业整</w:t>
            </w:r>
            <w:r>
              <w:t>顿</w:t>
            </w:r>
          </w:p>
        </w:tc>
        <w:tc>
          <w:tcPr>
            <w:tcW w:w="811" w:type="dxa"/>
            <w:vMerge w:val="continue"/>
            <w:tcBorders>
              <w:top w:val="nil"/>
              <w:bottom w:val="nil"/>
            </w:tcBorders>
            <w:vAlign w:val="top"/>
          </w:tcPr>
          <w:p w14:paraId="1EFBCBAA">
            <w:pPr>
              <w:rPr>
                <w:rFonts w:ascii="Arial"/>
                <w:sz w:val="21"/>
              </w:rPr>
            </w:pPr>
          </w:p>
        </w:tc>
      </w:tr>
      <w:tr w14:paraId="282D3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818" w:type="dxa"/>
            <w:vMerge w:val="continue"/>
            <w:tcBorders>
              <w:top w:val="nil"/>
            </w:tcBorders>
            <w:vAlign w:val="top"/>
          </w:tcPr>
          <w:p w14:paraId="69D1408B">
            <w:pPr>
              <w:rPr>
                <w:rFonts w:ascii="Arial"/>
                <w:sz w:val="21"/>
              </w:rPr>
            </w:pPr>
          </w:p>
        </w:tc>
        <w:tc>
          <w:tcPr>
            <w:tcW w:w="1440" w:type="dxa"/>
            <w:vMerge w:val="continue"/>
            <w:tcBorders>
              <w:top w:val="nil"/>
            </w:tcBorders>
            <w:vAlign w:val="top"/>
          </w:tcPr>
          <w:p w14:paraId="4FCDA574">
            <w:pPr>
              <w:rPr>
                <w:rFonts w:ascii="Arial"/>
                <w:sz w:val="21"/>
              </w:rPr>
            </w:pPr>
          </w:p>
        </w:tc>
        <w:tc>
          <w:tcPr>
            <w:tcW w:w="3202" w:type="dxa"/>
            <w:vMerge w:val="continue"/>
            <w:tcBorders>
              <w:top w:val="nil"/>
            </w:tcBorders>
            <w:vAlign w:val="top"/>
          </w:tcPr>
          <w:p w14:paraId="4097AF15">
            <w:pPr>
              <w:rPr>
                <w:rFonts w:ascii="Arial"/>
                <w:sz w:val="21"/>
              </w:rPr>
            </w:pPr>
          </w:p>
        </w:tc>
        <w:tc>
          <w:tcPr>
            <w:tcW w:w="2859" w:type="dxa"/>
            <w:vMerge w:val="continue"/>
            <w:tcBorders>
              <w:top w:val="nil"/>
            </w:tcBorders>
            <w:vAlign w:val="top"/>
          </w:tcPr>
          <w:p w14:paraId="01C90A66">
            <w:pPr>
              <w:rPr>
                <w:rFonts w:ascii="Arial"/>
                <w:sz w:val="21"/>
              </w:rPr>
            </w:pPr>
          </w:p>
        </w:tc>
        <w:tc>
          <w:tcPr>
            <w:tcW w:w="803" w:type="dxa"/>
            <w:vAlign w:val="top"/>
          </w:tcPr>
          <w:p w14:paraId="1C6E350D">
            <w:pPr>
              <w:spacing w:line="298" w:lineRule="auto"/>
              <w:rPr>
                <w:rFonts w:ascii="Arial"/>
                <w:sz w:val="21"/>
              </w:rPr>
            </w:pPr>
          </w:p>
          <w:p w14:paraId="2ECAB900">
            <w:pPr>
              <w:spacing w:line="298" w:lineRule="auto"/>
              <w:rPr>
                <w:rFonts w:ascii="Arial"/>
                <w:sz w:val="21"/>
              </w:rPr>
            </w:pPr>
          </w:p>
          <w:p w14:paraId="531088BD">
            <w:pPr>
              <w:spacing w:line="299" w:lineRule="auto"/>
              <w:rPr>
                <w:rFonts w:ascii="Arial"/>
                <w:sz w:val="21"/>
              </w:rPr>
            </w:pPr>
          </w:p>
          <w:p w14:paraId="4F27F137">
            <w:pPr>
              <w:spacing w:line="299" w:lineRule="auto"/>
              <w:rPr>
                <w:rFonts w:ascii="Arial"/>
                <w:sz w:val="21"/>
              </w:rPr>
            </w:pPr>
          </w:p>
          <w:p w14:paraId="0FD5AC02">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5906BA7">
            <w:pPr>
              <w:pStyle w:val="6"/>
              <w:spacing w:before="30" w:line="180" w:lineRule="auto"/>
              <w:ind w:left="112" w:right="46" w:firstLine="18"/>
              <w:jc w:val="both"/>
            </w:pPr>
            <w:r>
              <w:rPr>
                <w:spacing w:val="3"/>
              </w:rPr>
              <w:t>生产、经营、储存、</w:t>
            </w:r>
            <w:r>
              <w:rPr>
                <w:spacing w:val="26"/>
              </w:rPr>
              <w:t>使用危险物品的车</w:t>
            </w:r>
            <w:r>
              <w:rPr>
                <w:spacing w:val="-2"/>
              </w:rPr>
              <w:t>间、商店、仓库与员</w:t>
            </w:r>
            <w:r>
              <w:rPr>
                <w:spacing w:val="26"/>
              </w:rPr>
              <w:t>工宿舍在同一座建</w:t>
            </w:r>
            <w:r>
              <w:rPr>
                <w:spacing w:val="-2"/>
              </w:rPr>
              <w:t>筑内，或者与员工宿</w:t>
            </w:r>
            <w:r>
              <w:rPr>
                <w:spacing w:val="26"/>
              </w:rPr>
              <w:t>舍的距离不符合安</w:t>
            </w:r>
            <w:r>
              <w:rPr>
                <w:spacing w:val="-2"/>
              </w:rPr>
              <w:t>全要求，其员工宿舍</w:t>
            </w:r>
            <w:r>
              <w:rPr>
                <w:spacing w:val="4"/>
              </w:rPr>
              <w:t>中住宿人员有</w:t>
            </w:r>
            <w:r>
              <w:rPr>
                <w:rFonts w:ascii="宋体" w:hAnsi="宋体" w:eastAsia="宋体" w:cs="宋体"/>
                <w:spacing w:val="4"/>
              </w:rPr>
              <w:t>10</w:t>
            </w:r>
            <w:r>
              <w:rPr>
                <w:spacing w:val="4"/>
              </w:rPr>
              <w:t>人</w:t>
            </w:r>
            <w:r>
              <w:rPr>
                <w:spacing w:val="6"/>
              </w:rPr>
              <w:t>以上的</w:t>
            </w:r>
          </w:p>
        </w:tc>
        <w:tc>
          <w:tcPr>
            <w:tcW w:w="2894" w:type="dxa"/>
            <w:vAlign w:val="top"/>
          </w:tcPr>
          <w:p w14:paraId="781EEDEB">
            <w:pPr>
              <w:pStyle w:val="6"/>
              <w:spacing w:before="336" w:line="186" w:lineRule="auto"/>
              <w:ind w:left="122" w:right="103" w:firstLine="5"/>
            </w:pPr>
            <w:r>
              <w:rPr>
                <w:spacing w:val="4"/>
              </w:rPr>
              <w:t>责令限期改正，处</w:t>
            </w:r>
            <w:r>
              <w:rPr>
                <w:rFonts w:ascii="宋体" w:hAnsi="宋体" w:eastAsia="宋体" w:cs="宋体"/>
                <w:spacing w:val="4"/>
              </w:rPr>
              <w:t>4</w:t>
            </w:r>
            <w:r>
              <w:rPr>
                <w:spacing w:val="4"/>
              </w:rPr>
              <w:t>万元</w:t>
            </w:r>
            <w:r>
              <w:rPr>
                <w:spacing w:val="6"/>
              </w:rPr>
              <w:t>以上</w:t>
            </w:r>
            <w:r>
              <w:rPr>
                <w:rFonts w:ascii="宋体" w:hAnsi="宋体" w:eastAsia="宋体" w:cs="宋体"/>
                <w:spacing w:val="6"/>
              </w:rPr>
              <w:t>5</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8"/>
              </w:rPr>
              <w:t>万元以下的罚款；逾期未改正的，责令停产停业整</w:t>
            </w:r>
            <w:r>
              <w:t>顿</w:t>
            </w:r>
          </w:p>
        </w:tc>
        <w:tc>
          <w:tcPr>
            <w:tcW w:w="811" w:type="dxa"/>
            <w:vMerge w:val="continue"/>
            <w:tcBorders>
              <w:top w:val="nil"/>
            </w:tcBorders>
            <w:vAlign w:val="top"/>
          </w:tcPr>
          <w:p w14:paraId="796FEA17">
            <w:pPr>
              <w:rPr>
                <w:rFonts w:ascii="Arial"/>
                <w:sz w:val="21"/>
              </w:rPr>
            </w:pPr>
          </w:p>
        </w:tc>
      </w:tr>
      <w:tr w14:paraId="35854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818" w:type="dxa"/>
            <w:vAlign w:val="top"/>
          </w:tcPr>
          <w:p w14:paraId="29270004">
            <w:pPr>
              <w:spacing w:line="301" w:lineRule="auto"/>
              <w:rPr>
                <w:rFonts w:ascii="Arial"/>
                <w:sz w:val="21"/>
              </w:rPr>
            </w:pPr>
          </w:p>
          <w:p w14:paraId="36487427">
            <w:pPr>
              <w:spacing w:line="301" w:lineRule="auto"/>
              <w:rPr>
                <w:rFonts w:ascii="Arial"/>
                <w:sz w:val="21"/>
              </w:rPr>
            </w:pPr>
          </w:p>
          <w:p w14:paraId="63294787">
            <w:pPr>
              <w:spacing w:before="74" w:line="185" w:lineRule="auto"/>
              <w:ind w:left="239"/>
              <w:rPr>
                <w:rFonts w:ascii="仿宋" w:hAnsi="仿宋" w:eastAsia="仿宋" w:cs="仿宋"/>
                <w:sz w:val="23"/>
                <w:szCs w:val="23"/>
              </w:rPr>
            </w:pPr>
            <w:r>
              <w:rPr>
                <w:rFonts w:ascii="仿宋" w:hAnsi="仿宋" w:eastAsia="仿宋" w:cs="仿宋"/>
                <w:spacing w:val="-4"/>
                <w:sz w:val="23"/>
                <w:szCs w:val="23"/>
              </w:rPr>
              <w:t>53</w:t>
            </w:r>
          </w:p>
        </w:tc>
        <w:tc>
          <w:tcPr>
            <w:tcW w:w="1440" w:type="dxa"/>
            <w:vAlign w:val="top"/>
          </w:tcPr>
          <w:p w14:paraId="3FE9F22F">
            <w:pPr>
              <w:pStyle w:val="6"/>
              <w:spacing w:before="33" w:line="178" w:lineRule="auto"/>
              <w:ind w:left="115" w:right="111" w:firstLine="13"/>
              <w:jc w:val="both"/>
            </w:pPr>
            <w:r>
              <w:rPr>
                <w:spacing w:val="8"/>
              </w:rPr>
              <w:t>生产经营单</w:t>
            </w:r>
            <w:r>
              <w:rPr>
                <w:spacing w:val="11"/>
              </w:rPr>
              <w:t>位的生产经营场所和员工宿舍未设有符合紧急</w:t>
            </w:r>
          </w:p>
        </w:tc>
        <w:tc>
          <w:tcPr>
            <w:tcW w:w="3202" w:type="dxa"/>
            <w:vAlign w:val="top"/>
          </w:tcPr>
          <w:p w14:paraId="75984D54">
            <w:pPr>
              <w:pStyle w:val="6"/>
              <w:spacing w:before="33" w:line="178" w:lineRule="auto"/>
              <w:ind w:left="123" w:right="111" w:hanging="25"/>
              <w:jc w:val="both"/>
            </w:pPr>
            <w:r>
              <w:rPr>
                <w:spacing w:val="18"/>
              </w:rPr>
              <w:t>【法律】《中华人民共和国</w:t>
            </w:r>
            <w:r>
              <w:rPr>
                <w:spacing w:val="16"/>
              </w:rPr>
              <w:t>安全生产法》第四十二条第</w:t>
            </w:r>
            <w:r>
              <w:rPr>
                <w:spacing w:val="12"/>
              </w:rPr>
              <w:t>二款：生产经营场所和员工</w:t>
            </w:r>
            <w:r>
              <w:rPr>
                <w:spacing w:val="16"/>
              </w:rPr>
              <w:t>宿舍应当设有符合紧急疏散要求、标志明显、保持畅通</w:t>
            </w:r>
          </w:p>
        </w:tc>
        <w:tc>
          <w:tcPr>
            <w:tcW w:w="2859" w:type="dxa"/>
            <w:vAlign w:val="top"/>
          </w:tcPr>
          <w:p w14:paraId="02958055">
            <w:pPr>
              <w:pStyle w:val="6"/>
              <w:spacing w:before="33" w:line="178" w:lineRule="auto"/>
              <w:ind w:left="114" w:right="110" w:hanging="17"/>
              <w:jc w:val="both"/>
            </w:pPr>
            <w:r>
              <w:rPr>
                <w:spacing w:val="10"/>
              </w:rPr>
              <w:t>【法律】《中华人民共和</w:t>
            </w:r>
            <w:r>
              <w:rPr>
                <w:spacing w:val="8"/>
              </w:rPr>
              <w:t>国安全生产法》第一百零五条第二项：生产经营单</w:t>
            </w:r>
            <w:r>
              <w:rPr>
                <w:spacing w:val="4"/>
              </w:rPr>
              <w:t>位有下列行为之一的，责</w:t>
            </w:r>
            <w:r>
              <w:rPr>
                <w:spacing w:val="8"/>
              </w:rPr>
              <w:t>令限期改正，处五万元以</w:t>
            </w:r>
          </w:p>
        </w:tc>
        <w:tc>
          <w:tcPr>
            <w:tcW w:w="803" w:type="dxa"/>
            <w:vAlign w:val="top"/>
          </w:tcPr>
          <w:p w14:paraId="60F9B26A">
            <w:pPr>
              <w:spacing w:line="297" w:lineRule="auto"/>
              <w:rPr>
                <w:rFonts w:ascii="Arial"/>
                <w:sz w:val="21"/>
              </w:rPr>
            </w:pPr>
          </w:p>
          <w:p w14:paraId="334C9C35">
            <w:pPr>
              <w:spacing w:line="298" w:lineRule="auto"/>
              <w:rPr>
                <w:rFonts w:ascii="Arial"/>
                <w:sz w:val="21"/>
              </w:rPr>
            </w:pPr>
          </w:p>
          <w:p w14:paraId="368826A0">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ADD8192">
            <w:pPr>
              <w:pStyle w:val="6"/>
              <w:spacing w:before="33" w:line="178" w:lineRule="auto"/>
              <w:ind w:left="121" w:right="46" w:firstLine="10"/>
              <w:jc w:val="both"/>
            </w:pPr>
            <w:r>
              <w:rPr>
                <w:spacing w:val="24"/>
              </w:rPr>
              <w:t>生产经营场所和员</w:t>
            </w:r>
            <w:r>
              <w:rPr>
                <w:spacing w:val="4"/>
              </w:rPr>
              <w:t>工宿舍设置的出口、</w:t>
            </w:r>
            <w:r>
              <w:rPr>
                <w:spacing w:val="25"/>
              </w:rPr>
              <w:t>疏散通道不符合紧</w:t>
            </w:r>
            <w:r>
              <w:rPr>
                <w:spacing w:val="-3"/>
              </w:rPr>
              <w:t>急疏散需要、没有明</w:t>
            </w:r>
            <w:r>
              <w:rPr>
                <w:spacing w:val="5"/>
              </w:rPr>
              <w:t>显标志的</w:t>
            </w:r>
          </w:p>
        </w:tc>
        <w:tc>
          <w:tcPr>
            <w:tcW w:w="2894" w:type="dxa"/>
            <w:vAlign w:val="top"/>
          </w:tcPr>
          <w:p w14:paraId="025B862B">
            <w:pPr>
              <w:pStyle w:val="6"/>
              <w:spacing w:before="33" w:line="178" w:lineRule="auto"/>
              <w:ind w:left="127" w:right="103"/>
              <w:jc w:val="both"/>
            </w:pPr>
            <w:r>
              <w:rPr>
                <w:spacing w:val="4"/>
              </w:rPr>
              <w:t>责令限期改正，处</w:t>
            </w:r>
            <w:r>
              <w:rPr>
                <w:rFonts w:ascii="宋体" w:hAnsi="宋体" w:eastAsia="宋体" w:cs="宋体"/>
                <w:spacing w:val="4"/>
              </w:rPr>
              <w:t>2</w:t>
            </w:r>
            <w:r>
              <w:rPr>
                <w:spacing w:val="4"/>
              </w:rPr>
              <w:t>万元</w:t>
            </w:r>
            <w:r>
              <w:rPr>
                <w:spacing w:val="7"/>
              </w:rPr>
              <w:t>以下的罚款，对其直接负</w:t>
            </w:r>
            <w:r>
              <w:rPr>
                <w:spacing w:val="10"/>
              </w:rPr>
              <w:t>责的主管人员和其他直接</w:t>
            </w:r>
            <w:r>
              <w:rPr>
                <w:spacing w:val="5"/>
              </w:rPr>
              <w:t>责任人员处</w:t>
            </w:r>
            <w:r>
              <w:rPr>
                <w:rFonts w:ascii="宋体" w:hAnsi="宋体" w:eastAsia="宋体" w:cs="宋体"/>
                <w:spacing w:val="5"/>
              </w:rPr>
              <w:t>1</w:t>
            </w:r>
            <w:r>
              <w:rPr>
                <w:spacing w:val="5"/>
              </w:rPr>
              <w:t>万元以下的</w:t>
            </w:r>
            <w:r>
              <w:rPr>
                <w:spacing w:val="4"/>
              </w:rPr>
              <w:t>罚款；逾期未改正的，责</w:t>
            </w:r>
          </w:p>
        </w:tc>
        <w:tc>
          <w:tcPr>
            <w:tcW w:w="811" w:type="dxa"/>
            <w:vAlign w:val="top"/>
          </w:tcPr>
          <w:p w14:paraId="51093E5D">
            <w:pPr>
              <w:spacing w:line="299" w:lineRule="auto"/>
              <w:rPr>
                <w:rFonts w:ascii="Arial"/>
                <w:sz w:val="21"/>
              </w:rPr>
            </w:pPr>
          </w:p>
          <w:p w14:paraId="40198279">
            <w:pPr>
              <w:spacing w:line="299" w:lineRule="auto"/>
              <w:rPr>
                <w:rFonts w:ascii="Arial"/>
                <w:sz w:val="21"/>
              </w:rPr>
            </w:pPr>
          </w:p>
          <w:p w14:paraId="46838455">
            <w:pPr>
              <w:spacing w:before="75" w:line="188" w:lineRule="auto"/>
              <w:ind w:left="295"/>
              <w:rPr>
                <w:rFonts w:ascii="宋体" w:hAnsi="宋体" w:eastAsia="宋体" w:cs="宋体"/>
                <w:sz w:val="23"/>
                <w:szCs w:val="23"/>
              </w:rPr>
            </w:pPr>
            <w:r>
              <w:rPr>
                <w:rFonts w:ascii="宋体" w:hAnsi="宋体" w:eastAsia="宋体" w:cs="宋体"/>
                <w:spacing w:val="-4"/>
                <w:sz w:val="23"/>
                <w:szCs w:val="23"/>
              </w:rPr>
              <w:t>38</w:t>
            </w:r>
          </w:p>
        </w:tc>
      </w:tr>
    </w:tbl>
    <w:p w14:paraId="11A38D89">
      <w:pPr>
        <w:pStyle w:val="2"/>
      </w:pPr>
    </w:p>
    <w:p w14:paraId="62F59F50">
      <w:pPr>
        <w:sectPr>
          <w:footerReference r:id="rId70" w:type="default"/>
          <w:pgSz w:w="16839" w:h="11906"/>
          <w:pgMar w:top="1012" w:right="821" w:bottom="666" w:left="901" w:header="0" w:footer="388" w:gutter="0"/>
          <w:cols w:space="720" w:num="1"/>
        </w:sectPr>
      </w:pPr>
    </w:p>
    <w:p w14:paraId="7EE2DA5C">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6B60E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B37A47C">
            <w:pPr>
              <w:spacing w:before="222" w:line="241" w:lineRule="auto"/>
              <w:ind w:left="131"/>
              <w:rPr>
                <w:rFonts w:ascii="黑体" w:hAnsi="黑体" w:eastAsia="黑体" w:cs="黑体"/>
                <w:sz w:val="28"/>
                <w:szCs w:val="28"/>
              </w:rPr>
            </w:pPr>
            <w:bookmarkStart w:id="447" w:name="bookmark113"/>
            <w:bookmarkEnd w:id="447"/>
            <w:bookmarkStart w:id="448" w:name="bookmark510"/>
            <w:bookmarkEnd w:id="448"/>
            <w:r>
              <w:rPr>
                <w:rFonts w:ascii="黑体" w:hAnsi="黑体" w:eastAsia="黑体" w:cs="黑体"/>
                <w:spacing w:val="-2"/>
                <w:sz w:val="28"/>
                <w:szCs w:val="28"/>
              </w:rPr>
              <w:t>序号</w:t>
            </w:r>
          </w:p>
        </w:tc>
        <w:tc>
          <w:tcPr>
            <w:tcW w:w="1440" w:type="dxa"/>
            <w:vAlign w:val="top"/>
          </w:tcPr>
          <w:p w14:paraId="2233A1DF">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7A7A739D">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15E125D">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2B3C122">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4F268EF">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76F32AA">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E7DD57A">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A37C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818" w:type="dxa"/>
            <w:vMerge w:val="restart"/>
            <w:tcBorders>
              <w:bottom w:val="nil"/>
            </w:tcBorders>
            <w:vAlign w:val="top"/>
          </w:tcPr>
          <w:p w14:paraId="6C879649">
            <w:pPr>
              <w:rPr>
                <w:rFonts w:ascii="Arial"/>
                <w:sz w:val="21"/>
              </w:rPr>
            </w:pPr>
          </w:p>
        </w:tc>
        <w:tc>
          <w:tcPr>
            <w:tcW w:w="1440" w:type="dxa"/>
            <w:vMerge w:val="restart"/>
            <w:tcBorders>
              <w:bottom w:val="nil"/>
            </w:tcBorders>
            <w:vAlign w:val="top"/>
          </w:tcPr>
          <w:p w14:paraId="51DDBE67">
            <w:pPr>
              <w:pStyle w:val="6"/>
              <w:spacing w:before="28" w:line="182" w:lineRule="auto"/>
              <w:ind w:left="118"/>
            </w:pPr>
            <w:r>
              <w:rPr>
                <w:spacing w:val="8"/>
              </w:rPr>
              <w:t>疏散需要、</w:t>
            </w:r>
          </w:p>
          <w:p w14:paraId="42A23564">
            <w:pPr>
              <w:pStyle w:val="6"/>
              <w:spacing w:line="182" w:lineRule="auto"/>
              <w:ind w:left="112"/>
              <w:outlineLvl w:val="0"/>
            </w:pPr>
            <w:r>
              <w:rPr>
                <w:spacing w:val="9"/>
              </w:rPr>
              <w:t>标志明显、</w:t>
            </w:r>
          </w:p>
          <w:p w14:paraId="0E90C063">
            <w:pPr>
              <w:pStyle w:val="6"/>
              <w:spacing w:before="10" w:line="185" w:lineRule="auto"/>
              <w:ind w:left="114" w:right="17" w:hanging="2"/>
              <w:jc w:val="both"/>
            </w:pPr>
            <w:r>
              <w:rPr>
                <w:spacing w:val="12"/>
              </w:rPr>
              <w:t>保持畅通的</w:t>
            </w:r>
            <w:r>
              <w:rPr>
                <w:spacing w:val="11"/>
              </w:rPr>
              <w:t>出口、疏散</w:t>
            </w:r>
            <w:r>
              <w:rPr>
                <w:spacing w:val="3"/>
              </w:rPr>
              <w:t>通道，或者</w:t>
            </w:r>
            <w:r>
              <w:rPr>
                <w:spacing w:val="-13"/>
              </w:rPr>
              <w:t>占用、锁闭、</w:t>
            </w:r>
            <w:r>
              <w:rPr>
                <w:spacing w:val="11"/>
              </w:rPr>
              <w:t>封堵生产经营场所或者员工宿舍出口、疏散通</w:t>
            </w:r>
            <w:r>
              <w:rPr>
                <w:spacing w:val="2"/>
              </w:rPr>
              <w:t>道的</w:t>
            </w:r>
          </w:p>
        </w:tc>
        <w:tc>
          <w:tcPr>
            <w:tcW w:w="3202" w:type="dxa"/>
            <w:vMerge w:val="restart"/>
            <w:tcBorders>
              <w:bottom w:val="nil"/>
            </w:tcBorders>
            <w:vAlign w:val="top"/>
          </w:tcPr>
          <w:p w14:paraId="6CC57DBE">
            <w:pPr>
              <w:pStyle w:val="6"/>
              <w:spacing w:before="28" w:line="189" w:lineRule="auto"/>
              <w:ind w:left="120" w:right="111" w:firstLine="19"/>
              <w:jc w:val="both"/>
            </w:pPr>
            <w:r>
              <w:rPr>
                <w:spacing w:val="15"/>
              </w:rPr>
              <w:t>的出口、疏散通道。禁止占</w:t>
            </w:r>
            <w:r>
              <w:rPr>
                <w:spacing w:val="17"/>
              </w:rPr>
              <w:t>用、锁闭、封堵生产经营场所或者员工宿舍的出口、疏</w:t>
            </w:r>
            <w:r>
              <w:rPr>
                <w:spacing w:val="-3"/>
              </w:rPr>
              <w:t>散通道。</w:t>
            </w:r>
          </w:p>
        </w:tc>
        <w:tc>
          <w:tcPr>
            <w:tcW w:w="2859" w:type="dxa"/>
            <w:vMerge w:val="restart"/>
            <w:tcBorders>
              <w:bottom w:val="nil"/>
            </w:tcBorders>
            <w:vAlign w:val="top"/>
          </w:tcPr>
          <w:p w14:paraId="22B4CE84">
            <w:pPr>
              <w:pStyle w:val="6"/>
              <w:spacing w:before="17" w:line="185" w:lineRule="auto"/>
              <w:ind w:left="117" w:right="19" w:firstLine="5"/>
              <w:jc w:val="both"/>
            </w:pPr>
            <w:r>
              <w:rPr>
                <w:spacing w:val="8"/>
              </w:rPr>
              <w:t>下的罚款，对其直接负责的主管人员和其他直接责任人员处一万元以下的罚款；逾期未改正的，责令停产停业整顿；构成犯罪的，依照刑法有关规定追究刑事责任</w:t>
            </w:r>
            <w:r>
              <w:rPr>
                <w:spacing w:val="11"/>
              </w:rPr>
              <w:t>：（</w:t>
            </w:r>
            <w:r>
              <w:rPr>
                <w:spacing w:val="8"/>
              </w:rPr>
              <w:t>二）生产经营场所和员工宿舍未设有符合紧急疏散需要、标</w:t>
            </w:r>
            <w:r>
              <w:rPr>
                <w:spacing w:val="-4"/>
              </w:rPr>
              <w:t>志明显、保持畅通的出口、</w:t>
            </w:r>
            <w:r>
              <w:rPr>
                <w:spacing w:val="8"/>
              </w:rPr>
              <w:t>疏散通道，或者占用、锁闭、封堵生产经营场所或者员工宿舍出口、疏散通</w:t>
            </w:r>
            <w:r>
              <w:rPr>
                <w:spacing w:val="-4"/>
              </w:rPr>
              <w:t>道的。</w:t>
            </w:r>
          </w:p>
        </w:tc>
        <w:tc>
          <w:tcPr>
            <w:tcW w:w="803" w:type="dxa"/>
            <w:vAlign w:val="top"/>
          </w:tcPr>
          <w:p w14:paraId="1DF263B1">
            <w:pPr>
              <w:rPr>
                <w:rFonts w:ascii="Arial"/>
                <w:sz w:val="21"/>
              </w:rPr>
            </w:pPr>
          </w:p>
        </w:tc>
        <w:tc>
          <w:tcPr>
            <w:tcW w:w="2283" w:type="dxa"/>
            <w:vAlign w:val="top"/>
          </w:tcPr>
          <w:p w14:paraId="45EE1322">
            <w:pPr>
              <w:rPr>
                <w:rFonts w:ascii="Arial"/>
                <w:sz w:val="21"/>
              </w:rPr>
            </w:pPr>
          </w:p>
        </w:tc>
        <w:tc>
          <w:tcPr>
            <w:tcW w:w="2894" w:type="dxa"/>
            <w:vAlign w:val="top"/>
          </w:tcPr>
          <w:p w14:paraId="7A71CD04">
            <w:pPr>
              <w:pStyle w:val="6"/>
              <w:spacing w:before="28" w:line="162" w:lineRule="auto"/>
              <w:ind w:left="117"/>
            </w:pPr>
            <w:r>
              <w:rPr>
                <w:spacing w:val="7"/>
              </w:rPr>
              <w:t>令停产停业整顿</w:t>
            </w:r>
          </w:p>
        </w:tc>
        <w:tc>
          <w:tcPr>
            <w:tcW w:w="811" w:type="dxa"/>
            <w:vMerge w:val="restart"/>
            <w:tcBorders>
              <w:bottom w:val="nil"/>
            </w:tcBorders>
            <w:vAlign w:val="top"/>
          </w:tcPr>
          <w:p w14:paraId="74B7BD7E">
            <w:pPr>
              <w:rPr>
                <w:rFonts w:ascii="Arial"/>
                <w:sz w:val="21"/>
              </w:rPr>
            </w:pPr>
          </w:p>
        </w:tc>
      </w:tr>
      <w:tr w14:paraId="75C7E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continue"/>
            <w:tcBorders>
              <w:top w:val="nil"/>
              <w:bottom w:val="nil"/>
            </w:tcBorders>
            <w:vAlign w:val="top"/>
          </w:tcPr>
          <w:p w14:paraId="0021F8AF">
            <w:pPr>
              <w:rPr>
                <w:rFonts w:ascii="Arial"/>
                <w:sz w:val="21"/>
              </w:rPr>
            </w:pPr>
          </w:p>
        </w:tc>
        <w:tc>
          <w:tcPr>
            <w:tcW w:w="1440" w:type="dxa"/>
            <w:vMerge w:val="continue"/>
            <w:tcBorders>
              <w:top w:val="nil"/>
              <w:bottom w:val="nil"/>
            </w:tcBorders>
            <w:vAlign w:val="top"/>
          </w:tcPr>
          <w:p w14:paraId="768B99A2">
            <w:pPr>
              <w:rPr>
                <w:rFonts w:ascii="Arial"/>
                <w:sz w:val="21"/>
              </w:rPr>
            </w:pPr>
          </w:p>
        </w:tc>
        <w:tc>
          <w:tcPr>
            <w:tcW w:w="3202" w:type="dxa"/>
            <w:vMerge w:val="continue"/>
            <w:tcBorders>
              <w:top w:val="nil"/>
              <w:bottom w:val="nil"/>
            </w:tcBorders>
            <w:vAlign w:val="top"/>
          </w:tcPr>
          <w:p w14:paraId="31C7EA98">
            <w:pPr>
              <w:rPr>
                <w:rFonts w:ascii="Arial"/>
                <w:sz w:val="21"/>
              </w:rPr>
            </w:pPr>
          </w:p>
        </w:tc>
        <w:tc>
          <w:tcPr>
            <w:tcW w:w="2859" w:type="dxa"/>
            <w:vMerge w:val="continue"/>
            <w:tcBorders>
              <w:top w:val="nil"/>
              <w:bottom w:val="nil"/>
            </w:tcBorders>
            <w:vAlign w:val="top"/>
          </w:tcPr>
          <w:p w14:paraId="1A9EA502">
            <w:pPr>
              <w:rPr>
                <w:rFonts w:ascii="Arial"/>
                <w:sz w:val="21"/>
              </w:rPr>
            </w:pPr>
          </w:p>
        </w:tc>
        <w:tc>
          <w:tcPr>
            <w:tcW w:w="803" w:type="dxa"/>
            <w:vAlign w:val="top"/>
          </w:tcPr>
          <w:p w14:paraId="73063474">
            <w:pPr>
              <w:spacing w:line="298" w:lineRule="auto"/>
              <w:rPr>
                <w:rFonts w:ascii="Arial"/>
                <w:sz w:val="21"/>
              </w:rPr>
            </w:pPr>
          </w:p>
          <w:p w14:paraId="4BB50C73">
            <w:pPr>
              <w:spacing w:line="298" w:lineRule="auto"/>
              <w:rPr>
                <w:rFonts w:ascii="Arial"/>
                <w:sz w:val="21"/>
              </w:rPr>
            </w:pPr>
          </w:p>
          <w:p w14:paraId="33D2B85A">
            <w:pPr>
              <w:spacing w:line="298" w:lineRule="auto"/>
              <w:rPr>
                <w:rFonts w:ascii="Arial"/>
                <w:sz w:val="21"/>
              </w:rPr>
            </w:pPr>
          </w:p>
          <w:p w14:paraId="228FE39A">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5C3018E9">
            <w:pPr>
              <w:spacing w:line="377" w:lineRule="auto"/>
              <w:rPr>
                <w:rFonts w:ascii="Arial"/>
                <w:sz w:val="21"/>
              </w:rPr>
            </w:pPr>
          </w:p>
          <w:p w14:paraId="0EE5307E">
            <w:pPr>
              <w:pStyle w:val="6"/>
              <w:spacing w:before="99" w:line="189" w:lineRule="auto"/>
              <w:ind w:left="119" w:right="109" w:firstLine="11"/>
              <w:jc w:val="both"/>
            </w:pPr>
            <w:r>
              <w:rPr>
                <w:spacing w:val="24"/>
              </w:rPr>
              <w:t>生产经营场所或者</w:t>
            </w:r>
            <w:r>
              <w:rPr>
                <w:spacing w:val="-3"/>
              </w:rPr>
              <w:t>员工宿舍出口、疏散通道被占用、锁闭或封堵，未保持通畅的</w:t>
            </w:r>
          </w:p>
        </w:tc>
        <w:tc>
          <w:tcPr>
            <w:tcW w:w="2894" w:type="dxa"/>
            <w:vAlign w:val="top"/>
          </w:tcPr>
          <w:p w14:paraId="51281C01">
            <w:pPr>
              <w:pStyle w:val="6"/>
              <w:spacing w:before="33" w:line="179" w:lineRule="auto"/>
              <w:ind w:left="122" w:right="103" w:firstLine="5"/>
            </w:pPr>
            <w:r>
              <w:rPr>
                <w:spacing w:val="4"/>
              </w:rPr>
              <w:t>责令限期改正，处</w:t>
            </w:r>
            <w:r>
              <w:rPr>
                <w:rFonts w:ascii="宋体" w:hAnsi="宋体" w:eastAsia="宋体" w:cs="宋体"/>
                <w:spacing w:val="4"/>
              </w:rPr>
              <w:t>2</w:t>
            </w:r>
            <w:r>
              <w:rPr>
                <w:spacing w:val="4"/>
              </w:rPr>
              <w:t>万元</w:t>
            </w:r>
            <w:r>
              <w:rPr>
                <w:spacing w:val="6"/>
              </w:rPr>
              <w:t>以上</w:t>
            </w:r>
            <w:r>
              <w:rPr>
                <w:rFonts w:ascii="宋体" w:hAnsi="宋体" w:eastAsia="宋体" w:cs="宋体"/>
                <w:spacing w:val="6"/>
              </w:rPr>
              <w:t>4</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8"/>
              </w:rPr>
              <w:t>万元以下的罚款；逾期未改正的，责令停产停业整</w:t>
            </w:r>
            <w:r>
              <w:t>顿</w:t>
            </w:r>
          </w:p>
        </w:tc>
        <w:tc>
          <w:tcPr>
            <w:tcW w:w="811" w:type="dxa"/>
            <w:vMerge w:val="continue"/>
            <w:tcBorders>
              <w:top w:val="nil"/>
              <w:bottom w:val="nil"/>
            </w:tcBorders>
            <w:vAlign w:val="top"/>
          </w:tcPr>
          <w:p w14:paraId="1E7DBA09">
            <w:pPr>
              <w:rPr>
                <w:rFonts w:ascii="Arial"/>
                <w:sz w:val="21"/>
              </w:rPr>
            </w:pPr>
          </w:p>
        </w:tc>
      </w:tr>
      <w:tr w14:paraId="2EA1C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continue"/>
            <w:tcBorders>
              <w:top w:val="nil"/>
            </w:tcBorders>
            <w:vAlign w:val="top"/>
          </w:tcPr>
          <w:p w14:paraId="3CC92137">
            <w:pPr>
              <w:rPr>
                <w:rFonts w:ascii="Arial"/>
                <w:sz w:val="21"/>
              </w:rPr>
            </w:pPr>
          </w:p>
        </w:tc>
        <w:tc>
          <w:tcPr>
            <w:tcW w:w="1440" w:type="dxa"/>
            <w:vMerge w:val="continue"/>
            <w:tcBorders>
              <w:top w:val="nil"/>
            </w:tcBorders>
            <w:vAlign w:val="top"/>
          </w:tcPr>
          <w:p w14:paraId="1916A194">
            <w:pPr>
              <w:rPr>
                <w:rFonts w:ascii="Arial"/>
                <w:sz w:val="21"/>
              </w:rPr>
            </w:pPr>
          </w:p>
        </w:tc>
        <w:tc>
          <w:tcPr>
            <w:tcW w:w="3202" w:type="dxa"/>
            <w:vMerge w:val="continue"/>
            <w:tcBorders>
              <w:top w:val="nil"/>
            </w:tcBorders>
            <w:vAlign w:val="top"/>
          </w:tcPr>
          <w:p w14:paraId="1A6F38CE">
            <w:pPr>
              <w:rPr>
                <w:rFonts w:ascii="Arial"/>
                <w:sz w:val="21"/>
              </w:rPr>
            </w:pPr>
          </w:p>
        </w:tc>
        <w:tc>
          <w:tcPr>
            <w:tcW w:w="2859" w:type="dxa"/>
            <w:vMerge w:val="continue"/>
            <w:tcBorders>
              <w:top w:val="nil"/>
            </w:tcBorders>
            <w:vAlign w:val="top"/>
          </w:tcPr>
          <w:p w14:paraId="036D5882">
            <w:pPr>
              <w:rPr>
                <w:rFonts w:ascii="Arial"/>
                <w:sz w:val="21"/>
              </w:rPr>
            </w:pPr>
          </w:p>
        </w:tc>
        <w:tc>
          <w:tcPr>
            <w:tcW w:w="803" w:type="dxa"/>
            <w:vAlign w:val="top"/>
          </w:tcPr>
          <w:p w14:paraId="70948AA5">
            <w:pPr>
              <w:spacing w:line="298" w:lineRule="auto"/>
              <w:rPr>
                <w:rFonts w:ascii="Arial"/>
                <w:sz w:val="21"/>
              </w:rPr>
            </w:pPr>
          </w:p>
          <w:p w14:paraId="7256771D">
            <w:pPr>
              <w:spacing w:line="298" w:lineRule="auto"/>
              <w:rPr>
                <w:rFonts w:ascii="Arial"/>
                <w:sz w:val="21"/>
              </w:rPr>
            </w:pPr>
          </w:p>
          <w:p w14:paraId="3D1E9494">
            <w:pPr>
              <w:spacing w:line="298" w:lineRule="auto"/>
              <w:rPr>
                <w:rFonts w:ascii="Arial"/>
                <w:sz w:val="21"/>
              </w:rPr>
            </w:pPr>
          </w:p>
          <w:p w14:paraId="49D5E347">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6664D9F">
            <w:pPr>
              <w:spacing w:line="378" w:lineRule="auto"/>
              <w:rPr>
                <w:rFonts w:ascii="Arial"/>
                <w:sz w:val="21"/>
              </w:rPr>
            </w:pPr>
          </w:p>
          <w:p w14:paraId="3065C511">
            <w:pPr>
              <w:pStyle w:val="6"/>
              <w:spacing w:before="99" w:line="189" w:lineRule="auto"/>
              <w:ind w:left="116" w:right="46" w:firstLine="14"/>
              <w:jc w:val="both"/>
            </w:pPr>
            <w:r>
              <w:rPr>
                <w:spacing w:val="24"/>
              </w:rPr>
              <w:t>生产经营场所和员</w:t>
            </w:r>
            <w:r>
              <w:rPr>
                <w:spacing w:val="26"/>
              </w:rPr>
              <w:t>工宿舍未按照规定</w:t>
            </w:r>
            <w:r>
              <w:rPr>
                <w:spacing w:val="4"/>
              </w:rPr>
              <w:t>设置紧急疏散出口、</w:t>
            </w:r>
            <w:r>
              <w:rPr>
                <w:spacing w:val="7"/>
              </w:rPr>
              <w:t>疏散通道的</w:t>
            </w:r>
          </w:p>
        </w:tc>
        <w:tc>
          <w:tcPr>
            <w:tcW w:w="2894" w:type="dxa"/>
            <w:vAlign w:val="top"/>
          </w:tcPr>
          <w:p w14:paraId="191052CE">
            <w:pPr>
              <w:pStyle w:val="6"/>
              <w:spacing w:before="33" w:line="179" w:lineRule="auto"/>
              <w:ind w:left="122" w:right="103" w:firstLine="5"/>
            </w:pPr>
            <w:r>
              <w:rPr>
                <w:spacing w:val="4"/>
              </w:rPr>
              <w:t>责令限期改正，处</w:t>
            </w:r>
            <w:r>
              <w:rPr>
                <w:rFonts w:ascii="宋体" w:hAnsi="宋体" w:eastAsia="宋体" w:cs="宋体"/>
                <w:spacing w:val="4"/>
              </w:rPr>
              <w:t>4</w:t>
            </w:r>
            <w:r>
              <w:rPr>
                <w:spacing w:val="4"/>
              </w:rPr>
              <w:t>万元</w:t>
            </w:r>
            <w:r>
              <w:rPr>
                <w:spacing w:val="6"/>
              </w:rPr>
              <w:t>以上</w:t>
            </w:r>
            <w:r>
              <w:rPr>
                <w:rFonts w:ascii="宋体" w:hAnsi="宋体" w:eastAsia="宋体" w:cs="宋体"/>
                <w:spacing w:val="6"/>
              </w:rPr>
              <w:t>5</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8"/>
              </w:rPr>
              <w:t>万元以下的罚款；逾期未改正的，责令停产停业整</w:t>
            </w:r>
            <w:r>
              <w:t>顿</w:t>
            </w:r>
          </w:p>
        </w:tc>
        <w:tc>
          <w:tcPr>
            <w:tcW w:w="811" w:type="dxa"/>
            <w:vMerge w:val="continue"/>
            <w:tcBorders>
              <w:top w:val="nil"/>
            </w:tcBorders>
            <w:vAlign w:val="top"/>
          </w:tcPr>
          <w:p w14:paraId="078BBC91">
            <w:pPr>
              <w:rPr>
                <w:rFonts w:ascii="Arial"/>
                <w:sz w:val="21"/>
              </w:rPr>
            </w:pPr>
          </w:p>
        </w:tc>
      </w:tr>
      <w:tr w14:paraId="1E29B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3" w:hRule="atLeast"/>
        </w:trPr>
        <w:tc>
          <w:tcPr>
            <w:tcW w:w="818" w:type="dxa"/>
            <w:vMerge w:val="restart"/>
            <w:tcBorders>
              <w:bottom w:val="nil"/>
            </w:tcBorders>
            <w:vAlign w:val="top"/>
          </w:tcPr>
          <w:p w14:paraId="694E25E8">
            <w:pPr>
              <w:spacing w:line="261" w:lineRule="auto"/>
              <w:rPr>
                <w:rFonts w:ascii="Arial"/>
                <w:sz w:val="21"/>
              </w:rPr>
            </w:pPr>
          </w:p>
          <w:p w14:paraId="5FCDBDFB">
            <w:pPr>
              <w:spacing w:line="262" w:lineRule="auto"/>
              <w:rPr>
                <w:rFonts w:ascii="Arial"/>
                <w:sz w:val="21"/>
              </w:rPr>
            </w:pPr>
          </w:p>
          <w:p w14:paraId="29A3E737">
            <w:pPr>
              <w:spacing w:line="262" w:lineRule="auto"/>
              <w:rPr>
                <w:rFonts w:ascii="Arial"/>
                <w:sz w:val="21"/>
              </w:rPr>
            </w:pPr>
          </w:p>
          <w:p w14:paraId="3B30CA45">
            <w:pPr>
              <w:spacing w:line="262" w:lineRule="auto"/>
              <w:rPr>
                <w:rFonts w:ascii="Arial"/>
                <w:sz w:val="21"/>
              </w:rPr>
            </w:pPr>
          </w:p>
          <w:p w14:paraId="5B2901A8">
            <w:pPr>
              <w:spacing w:line="262" w:lineRule="auto"/>
              <w:rPr>
                <w:rFonts w:ascii="Arial"/>
                <w:sz w:val="21"/>
              </w:rPr>
            </w:pPr>
          </w:p>
          <w:p w14:paraId="277107F3">
            <w:pPr>
              <w:spacing w:line="262" w:lineRule="auto"/>
              <w:rPr>
                <w:rFonts w:ascii="Arial"/>
                <w:sz w:val="21"/>
              </w:rPr>
            </w:pPr>
          </w:p>
          <w:p w14:paraId="68C26563">
            <w:pPr>
              <w:spacing w:line="262" w:lineRule="auto"/>
              <w:rPr>
                <w:rFonts w:ascii="Arial"/>
                <w:sz w:val="21"/>
              </w:rPr>
            </w:pPr>
          </w:p>
          <w:p w14:paraId="62374E04">
            <w:pPr>
              <w:spacing w:line="262" w:lineRule="auto"/>
              <w:rPr>
                <w:rFonts w:ascii="Arial"/>
                <w:sz w:val="21"/>
              </w:rPr>
            </w:pPr>
          </w:p>
          <w:p w14:paraId="30C40457">
            <w:pPr>
              <w:spacing w:before="75" w:line="185" w:lineRule="auto"/>
              <w:ind w:left="239"/>
              <w:rPr>
                <w:rFonts w:ascii="仿宋" w:hAnsi="仿宋" w:eastAsia="仿宋" w:cs="仿宋"/>
                <w:sz w:val="23"/>
                <w:szCs w:val="23"/>
              </w:rPr>
            </w:pPr>
            <w:r>
              <w:rPr>
                <w:rFonts w:ascii="仿宋" w:hAnsi="仿宋" w:eastAsia="仿宋" w:cs="仿宋"/>
                <w:spacing w:val="-4"/>
                <w:sz w:val="23"/>
                <w:szCs w:val="23"/>
              </w:rPr>
              <w:t>54</w:t>
            </w:r>
          </w:p>
        </w:tc>
        <w:tc>
          <w:tcPr>
            <w:tcW w:w="1440" w:type="dxa"/>
            <w:vMerge w:val="restart"/>
            <w:tcBorders>
              <w:bottom w:val="nil"/>
            </w:tcBorders>
            <w:vAlign w:val="top"/>
          </w:tcPr>
          <w:p w14:paraId="40CF8D0F">
            <w:pPr>
              <w:pStyle w:val="6"/>
              <w:spacing w:before="194" w:line="184" w:lineRule="auto"/>
              <w:ind w:left="112" w:right="111" w:firstLine="16"/>
            </w:pPr>
            <w:r>
              <w:rPr>
                <w:spacing w:val="8"/>
              </w:rPr>
              <w:t>生产经营单</w:t>
            </w:r>
            <w:r>
              <w:rPr>
                <w:spacing w:val="-3"/>
              </w:rPr>
              <w:t>位进行爆</w:t>
            </w:r>
            <w:r>
              <w:rPr>
                <w:spacing w:val="6"/>
              </w:rPr>
              <w:t>破、吊装、</w:t>
            </w:r>
            <w:r>
              <w:rPr>
                <w:spacing w:val="12"/>
              </w:rPr>
              <w:t>动火、临时用电以及国务院应急管理部门会同国务院有关部门规定的其他危险作</w:t>
            </w:r>
            <w:r>
              <w:rPr>
                <w:spacing w:val="5"/>
              </w:rPr>
              <w:t>业，未安排</w:t>
            </w:r>
            <w:r>
              <w:rPr>
                <w:spacing w:val="12"/>
              </w:rPr>
              <w:t>专门人员进行现场安全</w:t>
            </w:r>
            <w:r>
              <w:rPr>
                <w:spacing w:val="6"/>
              </w:rPr>
              <w:t>管理的</w:t>
            </w:r>
          </w:p>
        </w:tc>
        <w:tc>
          <w:tcPr>
            <w:tcW w:w="3202" w:type="dxa"/>
            <w:vMerge w:val="restart"/>
            <w:tcBorders>
              <w:bottom w:val="nil"/>
            </w:tcBorders>
            <w:vAlign w:val="top"/>
          </w:tcPr>
          <w:p w14:paraId="15D7B59E">
            <w:pPr>
              <w:pStyle w:val="6"/>
              <w:spacing w:before="32" w:line="185" w:lineRule="auto"/>
              <w:ind w:left="118" w:right="111" w:hanging="20"/>
            </w:pPr>
            <w:r>
              <w:rPr>
                <w:spacing w:val="18"/>
              </w:rPr>
              <w:t>【法律】《中华人民共和国</w:t>
            </w:r>
            <w:r>
              <w:rPr>
                <w:spacing w:val="13"/>
              </w:rPr>
              <w:t>安全生产法》第四十三条：</w:t>
            </w:r>
            <w:r>
              <w:rPr>
                <w:spacing w:val="17"/>
              </w:rPr>
              <w:t>生产经营单位进行爆破、吊装、动火、临时用电以及国务院应急管理部门会同国务院有关部门规定的其他危险</w:t>
            </w:r>
            <w:r>
              <w:rPr>
                <w:spacing w:val="13"/>
              </w:rPr>
              <w:t>作业，应当安排专门人员进行现场安全管理，确保操作</w:t>
            </w:r>
            <w:r>
              <w:rPr>
                <w:spacing w:val="17"/>
              </w:rPr>
              <w:t>规程的遵守和安全措施的落</w:t>
            </w:r>
            <w:r>
              <w:rPr>
                <w:spacing w:val="-7"/>
              </w:rPr>
              <w:t>实。</w:t>
            </w:r>
          </w:p>
        </w:tc>
        <w:tc>
          <w:tcPr>
            <w:tcW w:w="2859" w:type="dxa"/>
            <w:vMerge w:val="restart"/>
            <w:tcBorders>
              <w:bottom w:val="nil"/>
            </w:tcBorders>
            <w:vAlign w:val="top"/>
          </w:tcPr>
          <w:p w14:paraId="0E044DBD">
            <w:pPr>
              <w:pStyle w:val="6"/>
              <w:spacing w:before="40" w:line="181" w:lineRule="auto"/>
              <w:ind w:left="114" w:right="19" w:hanging="17"/>
              <w:jc w:val="both"/>
            </w:pPr>
            <w:r>
              <w:rPr>
                <w:spacing w:val="10"/>
              </w:rPr>
              <w:t>【法律】《中华人民共和</w:t>
            </w:r>
            <w:r>
              <w:rPr>
                <w:spacing w:val="8"/>
              </w:rPr>
              <w:t>国安全生产法》第一百零一条第三项：生产经营单</w:t>
            </w:r>
            <w:r>
              <w:rPr>
                <w:spacing w:val="4"/>
              </w:rPr>
              <w:t>位有下列行为之一的，责</w:t>
            </w:r>
            <w:r>
              <w:rPr>
                <w:spacing w:val="8"/>
              </w:rPr>
              <w:t>令限期改正，处十万元以</w:t>
            </w:r>
            <w:r>
              <w:rPr>
                <w:spacing w:val="-5"/>
              </w:rPr>
              <w:t>下的罚款；逾期未改正的，</w:t>
            </w:r>
            <w:r>
              <w:rPr>
                <w:spacing w:val="8"/>
              </w:rPr>
              <w:t>责令停产停业整顿，并处十万元以上二十万元以下</w:t>
            </w:r>
            <w:r>
              <w:rPr>
                <w:spacing w:val="4"/>
              </w:rPr>
              <w:t>的罚款，对其直接负责的</w:t>
            </w:r>
            <w:r>
              <w:rPr>
                <w:spacing w:val="8"/>
              </w:rPr>
              <w:t>主管人员和其他直接责任人员处二万元以上五万元</w:t>
            </w:r>
            <w:r>
              <w:rPr>
                <w:spacing w:val="-5"/>
              </w:rPr>
              <w:t>以下的罚款；构成犯罪的，</w:t>
            </w:r>
            <w:r>
              <w:rPr>
                <w:spacing w:val="8"/>
              </w:rPr>
              <w:t>依照刑法有关规定追究刑</w:t>
            </w:r>
            <w:r>
              <w:t>事责任</w:t>
            </w:r>
            <w:r>
              <w:rPr>
                <w:spacing w:val="-21"/>
              </w:rPr>
              <w:t>：（</w:t>
            </w:r>
            <w:r>
              <w:t>三）进行爆破、</w:t>
            </w:r>
            <w:r>
              <w:rPr>
                <w:spacing w:val="8"/>
              </w:rPr>
              <w:t>吊装、动火、临时用电以</w:t>
            </w:r>
          </w:p>
        </w:tc>
        <w:tc>
          <w:tcPr>
            <w:tcW w:w="803" w:type="dxa"/>
            <w:vAlign w:val="top"/>
          </w:tcPr>
          <w:p w14:paraId="1FE17FCC">
            <w:pPr>
              <w:spacing w:line="260" w:lineRule="auto"/>
              <w:rPr>
                <w:rFonts w:ascii="Arial"/>
                <w:sz w:val="21"/>
              </w:rPr>
            </w:pPr>
          </w:p>
          <w:p w14:paraId="3B2F8CAD">
            <w:pPr>
              <w:spacing w:line="260" w:lineRule="auto"/>
              <w:rPr>
                <w:rFonts w:ascii="Arial"/>
                <w:sz w:val="21"/>
              </w:rPr>
            </w:pPr>
          </w:p>
          <w:p w14:paraId="2DBB5EF4">
            <w:pPr>
              <w:spacing w:line="261" w:lineRule="auto"/>
              <w:rPr>
                <w:rFonts w:ascii="Arial"/>
                <w:sz w:val="21"/>
              </w:rPr>
            </w:pPr>
          </w:p>
          <w:p w14:paraId="145D7BBC">
            <w:pPr>
              <w:spacing w:line="261" w:lineRule="auto"/>
              <w:rPr>
                <w:rFonts w:ascii="Arial"/>
                <w:sz w:val="21"/>
              </w:rPr>
            </w:pPr>
          </w:p>
          <w:p w14:paraId="7DCF8FDD">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2BD2C8C">
            <w:pPr>
              <w:spacing w:line="264" w:lineRule="auto"/>
              <w:rPr>
                <w:rFonts w:ascii="Arial"/>
                <w:sz w:val="21"/>
              </w:rPr>
            </w:pPr>
          </w:p>
          <w:p w14:paraId="5AB80A8D">
            <w:pPr>
              <w:spacing w:line="264" w:lineRule="auto"/>
              <w:rPr>
                <w:rFonts w:ascii="Arial"/>
                <w:sz w:val="21"/>
              </w:rPr>
            </w:pPr>
          </w:p>
          <w:p w14:paraId="644D4F7B">
            <w:pPr>
              <w:pStyle w:val="6"/>
              <w:spacing w:before="98" w:line="190" w:lineRule="auto"/>
              <w:ind w:left="114" w:right="108" w:firstLine="8"/>
              <w:jc w:val="both"/>
            </w:pPr>
            <w:r>
              <w:rPr>
                <w:spacing w:val="-8"/>
              </w:rPr>
              <w:t>有</w:t>
            </w:r>
            <w:r>
              <w:rPr>
                <w:rFonts w:ascii="宋体" w:hAnsi="宋体" w:eastAsia="宋体" w:cs="宋体"/>
                <w:spacing w:val="-8"/>
              </w:rPr>
              <w:t>1</w:t>
            </w:r>
            <w:r>
              <w:rPr>
                <w:spacing w:val="-8"/>
              </w:rPr>
              <w:t>处（次）危险作</w:t>
            </w:r>
            <w:r>
              <w:rPr>
                <w:spacing w:val="26"/>
              </w:rPr>
              <w:t>业未安排专门人员进行现场安全管理</w:t>
            </w:r>
            <w:r>
              <w:t>的</w:t>
            </w:r>
          </w:p>
        </w:tc>
        <w:tc>
          <w:tcPr>
            <w:tcW w:w="2894" w:type="dxa"/>
            <w:vAlign w:val="top"/>
          </w:tcPr>
          <w:p w14:paraId="7FBEA2AF">
            <w:pPr>
              <w:pStyle w:val="6"/>
              <w:spacing w:before="25" w:line="180" w:lineRule="auto"/>
              <w:ind w:left="119" w:right="103" w:firstLine="8"/>
            </w:pPr>
            <w:r>
              <w:rPr>
                <w:spacing w:val="4"/>
              </w:rPr>
              <w:t>责令限期改正，处</w:t>
            </w:r>
            <w:r>
              <w:rPr>
                <w:rFonts w:ascii="宋体" w:hAnsi="宋体" w:eastAsia="宋体" w:cs="宋体"/>
                <w:spacing w:val="4"/>
              </w:rPr>
              <w:t>3</w:t>
            </w:r>
            <w:r>
              <w:rPr>
                <w:spacing w:val="4"/>
              </w:rPr>
              <w:t>万元</w:t>
            </w:r>
            <w:r>
              <w:rPr>
                <w:spacing w:val="8"/>
              </w:rPr>
              <w:t>以下的罚款；逾期未改正</w:t>
            </w:r>
            <w:r>
              <w:rPr>
                <w:spacing w:val="7"/>
              </w:rPr>
              <w:t>的，责令停产停业整顿，</w:t>
            </w:r>
            <w:r>
              <w:rPr>
                <w:spacing w:val="-1"/>
              </w:rPr>
              <w:t>处</w:t>
            </w:r>
            <w:r>
              <w:rPr>
                <w:rFonts w:ascii="宋体" w:hAnsi="宋体" w:eastAsia="宋体" w:cs="宋体"/>
                <w:spacing w:val="-1"/>
              </w:rPr>
              <w:t>10</w:t>
            </w:r>
            <w:r>
              <w:rPr>
                <w:spacing w:val="-1"/>
              </w:rPr>
              <w:t>万元以上</w:t>
            </w:r>
            <w:r>
              <w:rPr>
                <w:rFonts w:ascii="宋体" w:hAnsi="宋体" w:eastAsia="宋体" w:cs="宋体"/>
                <w:spacing w:val="-1"/>
              </w:rPr>
              <w:t>13</w:t>
            </w:r>
            <w:r>
              <w:rPr>
                <w:spacing w:val="-1"/>
              </w:rPr>
              <w:t>万元以</w:t>
            </w:r>
            <w:r>
              <w:rPr>
                <w:spacing w:val="8"/>
              </w:rPr>
              <w:t>下的罚款，对其直接负责</w:t>
            </w:r>
            <w:r>
              <w:rPr>
                <w:spacing w:val="11"/>
              </w:rPr>
              <w:t>的主管人员和其他直接责</w:t>
            </w:r>
            <w:r>
              <w:rPr>
                <w:spacing w:val="3"/>
              </w:rPr>
              <w:t>任人员处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w:t>
            </w:r>
            <w:r>
              <w:rPr>
                <w:spacing w:val="7"/>
              </w:rPr>
              <w:t>元以下的罚款</w:t>
            </w:r>
          </w:p>
        </w:tc>
        <w:tc>
          <w:tcPr>
            <w:tcW w:w="811" w:type="dxa"/>
            <w:vMerge w:val="restart"/>
            <w:tcBorders>
              <w:bottom w:val="nil"/>
            </w:tcBorders>
            <w:vAlign w:val="top"/>
          </w:tcPr>
          <w:p w14:paraId="4256A75C">
            <w:pPr>
              <w:spacing w:line="261" w:lineRule="auto"/>
              <w:rPr>
                <w:rFonts w:ascii="Arial"/>
                <w:sz w:val="21"/>
              </w:rPr>
            </w:pPr>
          </w:p>
          <w:p w14:paraId="504B5618">
            <w:pPr>
              <w:spacing w:line="261" w:lineRule="auto"/>
              <w:rPr>
                <w:rFonts w:ascii="Arial"/>
                <w:sz w:val="21"/>
              </w:rPr>
            </w:pPr>
          </w:p>
          <w:p w14:paraId="5F40FFCF">
            <w:pPr>
              <w:spacing w:line="261" w:lineRule="auto"/>
              <w:rPr>
                <w:rFonts w:ascii="Arial"/>
                <w:sz w:val="21"/>
              </w:rPr>
            </w:pPr>
          </w:p>
          <w:p w14:paraId="2714BD7A">
            <w:pPr>
              <w:spacing w:line="261" w:lineRule="auto"/>
              <w:rPr>
                <w:rFonts w:ascii="Arial"/>
                <w:sz w:val="21"/>
              </w:rPr>
            </w:pPr>
          </w:p>
          <w:p w14:paraId="6EDECA9F">
            <w:pPr>
              <w:spacing w:line="262" w:lineRule="auto"/>
              <w:rPr>
                <w:rFonts w:ascii="Arial"/>
                <w:sz w:val="21"/>
              </w:rPr>
            </w:pPr>
          </w:p>
          <w:p w14:paraId="42349F08">
            <w:pPr>
              <w:spacing w:line="262" w:lineRule="auto"/>
              <w:rPr>
                <w:rFonts w:ascii="Arial"/>
                <w:sz w:val="21"/>
              </w:rPr>
            </w:pPr>
          </w:p>
          <w:p w14:paraId="69E3FDC8">
            <w:pPr>
              <w:spacing w:line="262" w:lineRule="auto"/>
              <w:rPr>
                <w:rFonts w:ascii="Arial"/>
                <w:sz w:val="21"/>
              </w:rPr>
            </w:pPr>
          </w:p>
          <w:p w14:paraId="26ED2204">
            <w:pPr>
              <w:spacing w:line="262" w:lineRule="auto"/>
              <w:rPr>
                <w:rFonts w:ascii="Arial"/>
                <w:sz w:val="21"/>
              </w:rPr>
            </w:pPr>
          </w:p>
          <w:p w14:paraId="7596C840">
            <w:pPr>
              <w:spacing w:before="74" w:line="188" w:lineRule="auto"/>
              <w:ind w:left="295"/>
              <w:rPr>
                <w:rFonts w:ascii="宋体" w:hAnsi="宋体" w:eastAsia="宋体" w:cs="宋体"/>
                <w:sz w:val="23"/>
                <w:szCs w:val="23"/>
              </w:rPr>
            </w:pPr>
            <w:r>
              <w:rPr>
                <w:rFonts w:ascii="宋体" w:hAnsi="宋体" w:eastAsia="宋体" w:cs="宋体"/>
                <w:spacing w:val="-4"/>
                <w:sz w:val="23"/>
                <w:szCs w:val="23"/>
              </w:rPr>
              <w:t>39</w:t>
            </w:r>
          </w:p>
        </w:tc>
      </w:tr>
      <w:tr w14:paraId="4D860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7" w:hRule="atLeast"/>
        </w:trPr>
        <w:tc>
          <w:tcPr>
            <w:tcW w:w="818" w:type="dxa"/>
            <w:vMerge w:val="continue"/>
            <w:tcBorders>
              <w:top w:val="nil"/>
            </w:tcBorders>
            <w:vAlign w:val="top"/>
          </w:tcPr>
          <w:p w14:paraId="47DCDEB6">
            <w:pPr>
              <w:rPr>
                <w:rFonts w:ascii="Arial"/>
                <w:sz w:val="21"/>
              </w:rPr>
            </w:pPr>
          </w:p>
        </w:tc>
        <w:tc>
          <w:tcPr>
            <w:tcW w:w="1440" w:type="dxa"/>
            <w:vMerge w:val="continue"/>
            <w:tcBorders>
              <w:top w:val="nil"/>
            </w:tcBorders>
            <w:vAlign w:val="top"/>
          </w:tcPr>
          <w:p w14:paraId="23130771">
            <w:pPr>
              <w:rPr>
                <w:rFonts w:ascii="Arial"/>
                <w:sz w:val="21"/>
              </w:rPr>
            </w:pPr>
          </w:p>
        </w:tc>
        <w:tc>
          <w:tcPr>
            <w:tcW w:w="3202" w:type="dxa"/>
            <w:vMerge w:val="continue"/>
            <w:tcBorders>
              <w:top w:val="nil"/>
            </w:tcBorders>
            <w:vAlign w:val="top"/>
          </w:tcPr>
          <w:p w14:paraId="69EE40E1">
            <w:pPr>
              <w:rPr>
                <w:rFonts w:ascii="Arial"/>
                <w:sz w:val="21"/>
              </w:rPr>
            </w:pPr>
          </w:p>
        </w:tc>
        <w:tc>
          <w:tcPr>
            <w:tcW w:w="2859" w:type="dxa"/>
            <w:vMerge w:val="continue"/>
            <w:tcBorders>
              <w:top w:val="nil"/>
            </w:tcBorders>
            <w:vAlign w:val="top"/>
          </w:tcPr>
          <w:p w14:paraId="21C7FAA5">
            <w:pPr>
              <w:rPr>
                <w:rFonts w:ascii="Arial"/>
                <w:sz w:val="21"/>
              </w:rPr>
            </w:pPr>
          </w:p>
        </w:tc>
        <w:tc>
          <w:tcPr>
            <w:tcW w:w="803" w:type="dxa"/>
            <w:vAlign w:val="top"/>
          </w:tcPr>
          <w:p w14:paraId="6978B0B7">
            <w:pPr>
              <w:spacing w:line="299" w:lineRule="auto"/>
              <w:rPr>
                <w:rFonts w:ascii="Arial"/>
                <w:sz w:val="21"/>
              </w:rPr>
            </w:pPr>
          </w:p>
          <w:p w14:paraId="6FA5A4E3">
            <w:pPr>
              <w:spacing w:line="299" w:lineRule="auto"/>
              <w:rPr>
                <w:rFonts w:ascii="Arial"/>
                <w:sz w:val="21"/>
              </w:rPr>
            </w:pPr>
          </w:p>
          <w:p w14:paraId="5C24179F">
            <w:pPr>
              <w:spacing w:line="299" w:lineRule="auto"/>
              <w:rPr>
                <w:rFonts w:ascii="Arial"/>
                <w:sz w:val="21"/>
              </w:rPr>
            </w:pPr>
          </w:p>
          <w:p w14:paraId="165482AF">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70896C8">
            <w:pPr>
              <w:spacing w:line="381" w:lineRule="auto"/>
              <w:rPr>
                <w:rFonts w:ascii="Arial"/>
                <w:sz w:val="21"/>
              </w:rPr>
            </w:pPr>
          </w:p>
          <w:p w14:paraId="240C0314">
            <w:pPr>
              <w:pStyle w:val="6"/>
              <w:spacing w:before="99" w:line="190" w:lineRule="auto"/>
              <w:ind w:left="114" w:right="108" w:firstLine="8"/>
              <w:jc w:val="both"/>
            </w:pPr>
            <w:r>
              <w:rPr>
                <w:spacing w:val="-5"/>
              </w:rPr>
              <w:t>有</w:t>
            </w:r>
            <w:r>
              <w:rPr>
                <w:rFonts w:ascii="宋体" w:hAnsi="宋体" w:eastAsia="宋体" w:cs="宋体"/>
                <w:spacing w:val="-5"/>
              </w:rPr>
              <w:t>2</w:t>
            </w:r>
            <w:r>
              <w:rPr>
                <w:spacing w:val="-5"/>
              </w:rPr>
              <w:t>处（次）危险作</w:t>
            </w:r>
            <w:r>
              <w:rPr>
                <w:spacing w:val="26"/>
              </w:rPr>
              <w:t>业未安排专门人员进行现场安全管理</w:t>
            </w:r>
            <w:r>
              <w:t>的</w:t>
            </w:r>
          </w:p>
        </w:tc>
        <w:tc>
          <w:tcPr>
            <w:tcW w:w="2894" w:type="dxa"/>
            <w:vAlign w:val="top"/>
          </w:tcPr>
          <w:p w14:paraId="673CA575">
            <w:pPr>
              <w:pStyle w:val="6"/>
              <w:spacing w:before="36" w:line="179" w:lineRule="auto"/>
              <w:ind w:left="117" w:right="103" w:firstLine="10"/>
            </w:pPr>
            <w:r>
              <w:rPr>
                <w:spacing w:val="4"/>
              </w:rPr>
              <w:t>责令限期改正，处</w:t>
            </w:r>
            <w:r>
              <w:rPr>
                <w:rFonts w:ascii="宋体" w:hAnsi="宋体" w:eastAsia="宋体" w:cs="宋体"/>
                <w:spacing w:val="4"/>
              </w:rPr>
              <w:t>3</w:t>
            </w:r>
            <w:r>
              <w:rPr>
                <w:spacing w:val="4"/>
              </w:rPr>
              <w:t>万元</w:t>
            </w:r>
            <w:r>
              <w:rPr>
                <w:spacing w:val="3"/>
              </w:rPr>
              <w:t>以上</w:t>
            </w:r>
            <w:r>
              <w:rPr>
                <w:rFonts w:ascii="宋体" w:hAnsi="宋体" w:eastAsia="宋体" w:cs="宋体"/>
                <w:spacing w:val="3"/>
              </w:rPr>
              <w:t>7</w:t>
            </w:r>
            <w:r>
              <w:rPr>
                <w:spacing w:val="3"/>
              </w:rPr>
              <w:t>万元以下的罚款；</w:t>
            </w:r>
            <w:r>
              <w:rPr>
                <w:spacing w:val="8"/>
              </w:rPr>
              <w:t>逾期未改正的，责令停产</w:t>
            </w:r>
            <w:r>
              <w:rPr>
                <w:spacing w:val="-4"/>
              </w:rPr>
              <w:t>停业整顿，处</w:t>
            </w:r>
            <w:r>
              <w:rPr>
                <w:rFonts w:ascii="宋体" w:hAnsi="宋体" w:eastAsia="宋体" w:cs="宋体"/>
                <w:spacing w:val="-4"/>
              </w:rPr>
              <w:t>13</w:t>
            </w:r>
            <w:r>
              <w:rPr>
                <w:spacing w:val="-4"/>
              </w:rPr>
              <w:t>万元以上</w:t>
            </w:r>
            <w:r>
              <w:rPr>
                <w:rFonts w:ascii="宋体" w:hAnsi="宋体" w:eastAsia="宋体" w:cs="宋体"/>
                <w:spacing w:val="-1"/>
              </w:rPr>
              <w:t>17</w:t>
            </w:r>
            <w:r>
              <w:rPr>
                <w:spacing w:val="-1"/>
              </w:rPr>
              <w:t>万元以下的罚款，对其</w:t>
            </w:r>
            <w:r>
              <w:rPr>
                <w:spacing w:val="11"/>
              </w:rPr>
              <w:t>直接负责的主管人员和其</w:t>
            </w:r>
            <w:r>
              <w:rPr>
                <w:spacing w:val="7"/>
              </w:rPr>
              <w:t>他直接责任人员处</w:t>
            </w:r>
            <w:r>
              <w:rPr>
                <w:rFonts w:ascii="宋体" w:hAnsi="宋体" w:eastAsia="宋体" w:cs="宋体"/>
                <w:spacing w:val="7"/>
              </w:rPr>
              <w:t>3</w:t>
            </w:r>
            <w:r>
              <w:rPr>
                <w:spacing w:val="7"/>
              </w:rPr>
              <w:t>万元</w:t>
            </w:r>
          </w:p>
        </w:tc>
        <w:tc>
          <w:tcPr>
            <w:tcW w:w="811" w:type="dxa"/>
            <w:vMerge w:val="continue"/>
            <w:tcBorders>
              <w:top w:val="nil"/>
            </w:tcBorders>
            <w:vAlign w:val="top"/>
          </w:tcPr>
          <w:p w14:paraId="24D5BFE7">
            <w:pPr>
              <w:rPr>
                <w:rFonts w:ascii="Arial"/>
                <w:sz w:val="21"/>
              </w:rPr>
            </w:pPr>
          </w:p>
        </w:tc>
      </w:tr>
    </w:tbl>
    <w:p w14:paraId="5A962803">
      <w:pPr>
        <w:pStyle w:val="2"/>
      </w:pPr>
    </w:p>
    <w:p w14:paraId="5D8818A1">
      <w:pPr>
        <w:sectPr>
          <w:footerReference r:id="rId71" w:type="default"/>
          <w:pgSz w:w="16839" w:h="11906"/>
          <w:pgMar w:top="1012" w:right="821" w:bottom="666" w:left="901" w:header="0" w:footer="388" w:gutter="0"/>
          <w:cols w:space="720" w:num="1"/>
        </w:sectPr>
      </w:pPr>
    </w:p>
    <w:p w14:paraId="35687B40">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1B35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1609C67">
            <w:pPr>
              <w:spacing w:before="222" w:line="241" w:lineRule="auto"/>
              <w:ind w:left="131"/>
              <w:rPr>
                <w:rFonts w:ascii="黑体" w:hAnsi="黑体" w:eastAsia="黑体" w:cs="黑体"/>
                <w:sz w:val="28"/>
                <w:szCs w:val="28"/>
              </w:rPr>
            </w:pPr>
            <w:bookmarkStart w:id="449" w:name="bookmark115"/>
            <w:bookmarkEnd w:id="449"/>
            <w:r>
              <w:rPr>
                <w:rFonts w:ascii="黑体" w:hAnsi="黑体" w:eastAsia="黑体" w:cs="黑体"/>
                <w:spacing w:val="-2"/>
                <w:sz w:val="28"/>
                <w:szCs w:val="28"/>
              </w:rPr>
              <w:t>序号</w:t>
            </w:r>
          </w:p>
        </w:tc>
        <w:tc>
          <w:tcPr>
            <w:tcW w:w="1440" w:type="dxa"/>
            <w:vAlign w:val="top"/>
          </w:tcPr>
          <w:p w14:paraId="133E0001">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7BE41F4A">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02490EC">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077572E0">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8659CDD">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5FB9972F">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51FEE74">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D64A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818" w:type="dxa"/>
            <w:vMerge w:val="restart"/>
            <w:tcBorders>
              <w:bottom w:val="nil"/>
            </w:tcBorders>
            <w:vAlign w:val="top"/>
          </w:tcPr>
          <w:p w14:paraId="3AF443D0">
            <w:pPr>
              <w:rPr>
                <w:rFonts w:ascii="Arial"/>
                <w:sz w:val="21"/>
              </w:rPr>
            </w:pPr>
          </w:p>
        </w:tc>
        <w:tc>
          <w:tcPr>
            <w:tcW w:w="1440" w:type="dxa"/>
            <w:vMerge w:val="restart"/>
            <w:tcBorders>
              <w:bottom w:val="nil"/>
            </w:tcBorders>
            <w:vAlign w:val="top"/>
          </w:tcPr>
          <w:p w14:paraId="0B0ABB9C">
            <w:pPr>
              <w:rPr>
                <w:rFonts w:ascii="Arial"/>
                <w:sz w:val="21"/>
              </w:rPr>
            </w:pPr>
          </w:p>
        </w:tc>
        <w:tc>
          <w:tcPr>
            <w:tcW w:w="3202" w:type="dxa"/>
            <w:vMerge w:val="restart"/>
            <w:tcBorders>
              <w:bottom w:val="nil"/>
            </w:tcBorders>
            <w:vAlign w:val="top"/>
          </w:tcPr>
          <w:p w14:paraId="7EF24FFA">
            <w:pPr>
              <w:rPr>
                <w:rFonts w:ascii="Arial"/>
                <w:sz w:val="21"/>
              </w:rPr>
            </w:pPr>
          </w:p>
        </w:tc>
        <w:tc>
          <w:tcPr>
            <w:tcW w:w="2859" w:type="dxa"/>
            <w:vMerge w:val="restart"/>
            <w:tcBorders>
              <w:bottom w:val="nil"/>
            </w:tcBorders>
            <w:vAlign w:val="top"/>
          </w:tcPr>
          <w:p w14:paraId="100F2001">
            <w:pPr>
              <w:pStyle w:val="6"/>
              <w:spacing w:before="25" w:line="188" w:lineRule="auto"/>
              <w:ind w:left="115" w:right="110"/>
              <w:jc w:val="both"/>
            </w:pPr>
            <w:r>
              <w:rPr>
                <w:spacing w:val="8"/>
              </w:rPr>
              <w:t>及国务院应急管理部门会同国务院有关部门规定的其他危险作业，未安排专门人员进行现场安全管理</w:t>
            </w:r>
            <w:r>
              <w:rPr>
                <w:spacing w:val="-10"/>
              </w:rPr>
              <w:t>的；</w:t>
            </w:r>
          </w:p>
        </w:tc>
        <w:tc>
          <w:tcPr>
            <w:tcW w:w="803" w:type="dxa"/>
            <w:vAlign w:val="top"/>
          </w:tcPr>
          <w:p w14:paraId="34BE3711">
            <w:pPr>
              <w:rPr>
                <w:rFonts w:ascii="Arial"/>
                <w:sz w:val="21"/>
              </w:rPr>
            </w:pPr>
          </w:p>
        </w:tc>
        <w:tc>
          <w:tcPr>
            <w:tcW w:w="2283" w:type="dxa"/>
            <w:vAlign w:val="top"/>
          </w:tcPr>
          <w:p w14:paraId="5373FE7A">
            <w:pPr>
              <w:rPr>
                <w:rFonts w:ascii="Arial"/>
                <w:sz w:val="21"/>
              </w:rPr>
            </w:pPr>
          </w:p>
        </w:tc>
        <w:tc>
          <w:tcPr>
            <w:tcW w:w="2894" w:type="dxa"/>
            <w:vAlign w:val="top"/>
          </w:tcPr>
          <w:p w14:paraId="42AF2ABE">
            <w:pPr>
              <w:pStyle w:val="6"/>
              <w:spacing w:before="28" w:line="162" w:lineRule="auto"/>
              <w:ind w:left="147"/>
            </w:pPr>
            <w:r>
              <w:rPr>
                <w:spacing w:val="1"/>
              </w:rPr>
              <w:t>以上</w:t>
            </w:r>
            <w:r>
              <w:rPr>
                <w:rFonts w:ascii="宋体" w:hAnsi="宋体" w:eastAsia="宋体" w:cs="宋体"/>
                <w:spacing w:val="1"/>
              </w:rPr>
              <w:t>4</w:t>
            </w:r>
            <w:r>
              <w:rPr>
                <w:spacing w:val="1"/>
              </w:rPr>
              <w:t>万元以下的罚款</w:t>
            </w:r>
          </w:p>
        </w:tc>
        <w:tc>
          <w:tcPr>
            <w:tcW w:w="811" w:type="dxa"/>
            <w:vMerge w:val="restart"/>
            <w:tcBorders>
              <w:bottom w:val="nil"/>
            </w:tcBorders>
            <w:vAlign w:val="top"/>
          </w:tcPr>
          <w:p w14:paraId="18606F35">
            <w:pPr>
              <w:rPr>
                <w:rFonts w:ascii="Arial"/>
                <w:sz w:val="21"/>
              </w:rPr>
            </w:pPr>
          </w:p>
        </w:tc>
      </w:tr>
      <w:tr w14:paraId="510FE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Merge w:val="continue"/>
            <w:tcBorders>
              <w:top w:val="nil"/>
            </w:tcBorders>
            <w:vAlign w:val="top"/>
          </w:tcPr>
          <w:p w14:paraId="3E866ADF">
            <w:pPr>
              <w:rPr>
                <w:rFonts w:ascii="Arial"/>
                <w:sz w:val="21"/>
              </w:rPr>
            </w:pPr>
          </w:p>
        </w:tc>
        <w:tc>
          <w:tcPr>
            <w:tcW w:w="1440" w:type="dxa"/>
            <w:vMerge w:val="continue"/>
            <w:tcBorders>
              <w:top w:val="nil"/>
            </w:tcBorders>
            <w:vAlign w:val="top"/>
          </w:tcPr>
          <w:p w14:paraId="03BDE7C4">
            <w:pPr>
              <w:rPr>
                <w:rFonts w:ascii="Arial"/>
                <w:sz w:val="21"/>
              </w:rPr>
            </w:pPr>
          </w:p>
        </w:tc>
        <w:tc>
          <w:tcPr>
            <w:tcW w:w="3202" w:type="dxa"/>
            <w:vMerge w:val="continue"/>
            <w:tcBorders>
              <w:top w:val="nil"/>
            </w:tcBorders>
            <w:vAlign w:val="top"/>
          </w:tcPr>
          <w:p w14:paraId="445A4C51">
            <w:pPr>
              <w:rPr>
                <w:rFonts w:ascii="Arial"/>
                <w:sz w:val="21"/>
              </w:rPr>
            </w:pPr>
          </w:p>
        </w:tc>
        <w:tc>
          <w:tcPr>
            <w:tcW w:w="2859" w:type="dxa"/>
            <w:vMerge w:val="continue"/>
            <w:tcBorders>
              <w:top w:val="nil"/>
            </w:tcBorders>
            <w:vAlign w:val="top"/>
          </w:tcPr>
          <w:p w14:paraId="4F621B7B">
            <w:pPr>
              <w:rPr>
                <w:rFonts w:ascii="Arial"/>
                <w:sz w:val="21"/>
              </w:rPr>
            </w:pPr>
          </w:p>
        </w:tc>
        <w:tc>
          <w:tcPr>
            <w:tcW w:w="803" w:type="dxa"/>
            <w:vAlign w:val="top"/>
          </w:tcPr>
          <w:p w14:paraId="4AD753C0">
            <w:pPr>
              <w:spacing w:line="260" w:lineRule="auto"/>
              <w:rPr>
                <w:rFonts w:ascii="Arial"/>
                <w:sz w:val="21"/>
              </w:rPr>
            </w:pPr>
          </w:p>
          <w:p w14:paraId="03163C8C">
            <w:pPr>
              <w:spacing w:line="260" w:lineRule="auto"/>
              <w:rPr>
                <w:rFonts w:ascii="Arial"/>
                <w:sz w:val="21"/>
              </w:rPr>
            </w:pPr>
          </w:p>
          <w:p w14:paraId="4795D431">
            <w:pPr>
              <w:spacing w:line="260" w:lineRule="auto"/>
              <w:rPr>
                <w:rFonts w:ascii="Arial"/>
                <w:sz w:val="21"/>
              </w:rPr>
            </w:pPr>
          </w:p>
          <w:p w14:paraId="57830CA6">
            <w:pPr>
              <w:spacing w:line="261" w:lineRule="auto"/>
              <w:rPr>
                <w:rFonts w:ascii="Arial"/>
                <w:sz w:val="21"/>
              </w:rPr>
            </w:pPr>
          </w:p>
          <w:p w14:paraId="789D3F54">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BC9034B">
            <w:pPr>
              <w:spacing w:line="265" w:lineRule="auto"/>
              <w:rPr>
                <w:rFonts w:ascii="Arial"/>
                <w:sz w:val="21"/>
              </w:rPr>
            </w:pPr>
          </w:p>
          <w:p w14:paraId="63563EE8">
            <w:pPr>
              <w:spacing w:line="265" w:lineRule="auto"/>
              <w:rPr>
                <w:rFonts w:ascii="Arial"/>
                <w:sz w:val="21"/>
              </w:rPr>
            </w:pPr>
          </w:p>
          <w:p w14:paraId="10565624">
            <w:pPr>
              <w:pStyle w:val="6"/>
              <w:spacing w:before="98" w:line="189" w:lineRule="auto"/>
              <w:ind w:left="120" w:right="108" w:firstLine="2"/>
              <w:jc w:val="both"/>
            </w:pPr>
            <w:r>
              <w:rPr>
                <w:spacing w:val="-5"/>
              </w:rPr>
              <w:t>有</w:t>
            </w:r>
            <w:r>
              <w:rPr>
                <w:rFonts w:ascii="宋体" w:hAnsi="宋体" w:eastAsia="宋体" w:cs="宋体"/>
                <w:spacing w:val="-5"/>
              </w:rPr>
              <w:t>3</w:t>
            </w:r>
            <w:r>
              <w:rPr>
                <w:spacing w:val="-5"/>
              </w:rPr>
              <w:t>处（次）以上危</w:t>
            </w:r>
            <w:r>
              <w:rPr>
                <w:spacing w:val="26"/>
              </w:rPr>
              <w:t>险作业未安排专门人员进行现场安全</w:t>
            </w:r>
            <w:r>
              <w:rPr>
                <w:spacing w:val="4"/>
              </w:rPr>
              <w:t>管理的</w:t>
            </w:r>
          </w:p>
        </w:tc>
        <w:tc>
          <w:tcPr>
            <w:tcW w:w="2894" w:type="dxa"/>
            <w:vAlign w:val="top"/>
          </w:tcPr>
          <w:p w14:paraId="745A26CB">
            <w:pPr>
              <w:pStyle w:val="6"/>
              <w:spacing w:before="26" w:line="180" w:lineRule="auto"/>
              <w:ind w:left="117" w:right="71" w:firstLine="10"/>
              <w:jc w:val="both"/>
            </w:pPr>
            <w:r>
              <w:rPr>
                <w:spacing w:val="4"/>
              </w:rPr>
              <w:t>责令限期改正，处</w:t>
            </w:r>
            <w:r>
              <w:rPr>
                <w:rFonts w:ascii="宋体" w:hAnsi="宋体" w:eastAsia="宋体" w:cs="宋体"/>
                <w:spacing w:val="4"/>
              </w:rPr>
              <w:t>7</w:t>
            </w:r>
            <w:r>
              <w:rPr>
                <w:spacing w:val="4"/>
              </w:rPr>
              <w:t>万元</w:t>
            </w:r>
            <w:r>
              <w:rPr>
                <w:spacing w:val="-1"/>
              </w:rPr>
              <w:t>以上</w:t>
            </w:r>
            <w:r>
              <w:rPr>
                <w:rFonts w:ascii="宋体" w:hAnsi="宋体" w:eastAsia="宋体" w:cs="宋体"/>
                <w:spacing w:val="-1"/>
              </w:rPr>
              <w:t>10</w:t>
            </w:r>
            <w:r>
              <w:rPr>
                <w:spacing w:val="-1"/>
              </w:rPr>
              <w:t>万元以下的罚款；</w:t>
            </w:r>
            <w:r>
              <w:rPr>
                <w:spacing w:val="8"/>
              </w:rPr>
              <w:t>逾期未改正的，责令停产</w:t>
            </w:r>
            <w:r>
              <w:rPr>
                <w:spacing w:val="-4"/>
              </w:rPr>
              <w:t>停业整顿，处</w:t>
            </w:r>
            <w:r>
              <w:rPr>
                <w:rFonts w:ascii="宋体" w:hAnsi="宋体" w:eastAsia="宋体" w:cs="宋体"/>
                <w:spacing w:val="-4"/>
              </w:rPr>
              <w:t>17</w:t>
            </w:r>
            <w:r>
              <w:rPr>
                <w:spacing w:val="-4"/>
              </w:rPr>
              <w:t>万元以上</w:t>
            </w:r>
            <w:r>
              <w:rPr>
                <w:rFonts w:ascii="宋体" w:hAnsi="宋体" w:eastAsia="宋体" w:cs="宋体"/>
                <w:spacing w:val="-1"/>
              </w:rPr>
              <w:t>20</w:t>
            </w:r>
            <w:r>
              <w:rPr>
                <w:spacing w:val="-1"/>
              </w:rPr>
              <w:t>万元以下的罚款，对其</w:t>
            </w:r>
            <w:r>
              <w:rPr>
                <w:spacing w:val="11"/>
              </w:rPr>
              <w:t>直接负责的主管人员和其</w:t>
            </w:r>
            <w:r>
              <w:rPr>
                <w:spacing w:val="7"/>
              </w:rPr>
              <w:t>他直接责任人员处</w:t>
            </w:r>
            <w:r>
              <w:rPr>
                <w:rFonts w:ascii="宋体" w:hAnsi="宋体" w:eastAsia="宋体" w:cs="宋体"/>
                <w:spacing w:val="7"/>
              </w:rPr>
              <w:t>4</w:t>
            </w:r>
            <w:r>
              <w:rPr>
                <w:spacing w:val="7"/>
              </w:rPr>
              <w:t>万元</w:t>
            </w:r>
            <w:r>
              <w:rPr>
                <w:spacing w:val="4"/>
              </w:rPr>
              <w:t>以上</w:t>
            </w:r>
            <w:r>
              <w:rPr>
                <w:rFonts w:ascii="宋体" w:hAnsi="宋体" w:eastAsia="宋体" w:cs="宋体"/>
                <w:spacing w:val="4"/>
              </w:rPr>
              <w:t>5</w:t>
            </w:r>
            <w:r>
              <w:rPr>
                <w:spacing w:val="4"/>
              </w:rPr>
              <w:t>万元以下的罚款</w:t>
            </w:r>
          </w:p>
        </w:tc>
        <w:tc>
          <w:tcPr>
            <w:tcW w:w="811" w:type="dxa"/>
            <w:vMerge w:val="continue"/>
            <w:tcBorders>
              <w:top w:val="nil"/>
            </w:tcBorders>
            <w:vAlign w:val="top"/>
          </w:tcPr>
          <w:p w14:paraId="51D0E48C">
            <w:pPr>
              <w:rPr>
                <w:rFonts w:ascii="Arial"/>
                <w:sz w:val="21"/>
              </w:rPr>
            </w:pPr>
          </w:p>
        </w:tc>
      </w:tr>
      <w:tr w14:paraId="0AFA0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Merge w:val="restart"/>
            <w:tcBorders>
              <w:bottom w:val="nil"/>
            </w:tcBorders>
            <w:vAlign w:val="top"/>
          </w:tcPr>
          <w:p w14:paraId="0C45E126">
            <w:pPr>
              <w:spacing w:line="249" w:lineRule="auto"/>
              <w:rPr>
                <w:rFonts w:ascii="Arial"/>
                <w:sz w:val="21"/>
              </w:rPr>
            </w:pPr>
          </w:p>
          <w:p w14:paraId="35C32F5E">
            <w:pPr>
              <w:spacing w:line="249" w:lineRule="auto"/>
              <w:rPr>
                <w:rFonts w:ascii="Arial"/>
                <w:sz w:val="21"/>
              </w:rPr>
            </w:pPr>
          </w:p>
          <w:p w14:paraId="1790F98D">
            <w:pPr>
              <w:spacing w:line="249" w:lineRule="auto"/>
              <w:rPr>
                <w:rFonts w:ascii="Arial"/>
                <w:sz w:val="21"/>
              </w:rPr>
            </w:pPr>
          </w:p>
          <w:p w14:paraId="7E343DAC">
            <w:pPr>
              <w:spacing w:line="249" w:lineRule="auto"/>
              <w:rPr>
                <w:rFonts w:ascii="Arial"/>
                <w:sz w:val="21"/>
              </w:rPr>
            </w:pPr>
          </w:p>
          <w:p w14:paraId="6A23C4EB">
            <w:pPr>
              <w:spacing w:line="249" w:lineRule="auto"/>
              <w:rPr>
                <w:rFonts w:ascii="Arial"/>
                <w:sz w:val="21"/>
              </w:rPr>
            </w:pPr>
          </w:p>
          <w:p w14:paraId="2EFC0364">
            <w:pPr>
              <w:spacing w:line="250" w:lineRule="auto"/>
              <w:rPr>
                <w:rFonts w:ascii="Arial"/>
                <w:sz w:val="21"/>
              </w:rPr>
            </w:pPr>
          </w:p>
          <w:p w14:paraId="19C69F9B">
            <w:pPr>
              <w:spacing w:line="250" w:lineRule="auto"/>
              <w:rPr>
                <w:rFonts w:ascii="Arial"/>
                <w:sz w:val="21"/>
              </w:rPr>
            </w:pPr>
          </w:p>
          <w:p w14:paraId="4A4E9CD4">
            <w:pPr>
              <w:spacing w:line="250" w:lineRule="auto"/>
              <w:rPr>
                <w:rFonts w:ascii="Arial"/>
                <w:sz w:val="21"/>
              </w:rPr>
            </w:pPr>
          </w:p>
          <w:p w14:paraId="4FA71A06">
            <w:pPr>
              <w:spacing w:line="250" w:lineRule="auto"/>
              <w:rPr>
                <w:rFonts w:ascii="Arial"/>
                <w:sz w:val="21"/>
              </w:rPr>
            </w:pPr>
          </w:p>
          <w:p w14:paraId="5951B974">
            <w:pPr>
              <w:spacing w:line="250" w:lineRule="auto"/>
              <w:rPr>
                <w:rFonts w:ascii="Arial"/>
                <w:sz w:val="21"/>
              </w:rPr>
            </w:pPr>
          </w:p>
          <w:p w14:paraId="26C129D2">
            <w:pPr>
              <w:spacing w:line="250" w:lineRule="auto"/>
              <w:rPr>
                <w:rFonts w:ascii="Arial"/>
                <w:sz w:val="21"/>
              </w:rPr>
            </w:pPr>
          </w:p>
          <w:p w14:paraId="2BBE97F6">
            <w:pPr>
              <w:spacing w:line="250" w:lineRule="auto"/>
              <w:rPr>
                <w:rFonts w:ascii="Arial"/>
                <w:sz w:val="21"/>
              </w:rPr>
            </w:pPr>
          </w:p>
          <w:p w14:paraId="4F518A40">
            <w:pPr>
              <w:spacing w:before="75" w:line="184" w:lineRule="auto"/>
              <w:ind w:left="239"/>
              <w:rPr>
                <w:rFonts w:ascii="仿宋" w:hAnsi="仿宋" w:eastAsia="仿宋" w:cs="仿宋"/>
                <w:sz w:val="23"/>
                <w:szCs w:val="23"/>
              </w:rPr>
            </w:pPr>
            <w:r>
              <w:rPr>
                <w:rFonts w:ascii="仿宋" w:hAnsi="仿宋" w:eastAsia="仿宋" w:cs="仿宋"/>
                <w:spacing w:val="-4"/>
                <w:sz w:val="23"/>
                <w:szCs w:val="23"/>
              </w:rPr>
              <w:t>55</w:t>
            </w:r>
          </w:p>
        </w:tc>
        <w:tc>
          <w:tcPr>
            <w:tcW w:w="1440" w:type="dxa"/>
            <w:vMerge w:val="restart"/>
            <w:tcBorders>
              <w:bottom w:val="nil"/>
            </w:tcBorders>
            <w:vAlign w:val="top"/>
          </w:tcPr>
          <w:p w14:paraId="01AA61FF">
            <w:pPr>
              <w:spacing w:line="253" w:lineRule="auto"/>
              <w:rPr>
                <w:rFonts w:ascii="Arial"/>
                <w:sz w:val="21"/>
              </w:rPr>
            </w:pPr>
          </w:p>
          <w:p w14:paraId="650DDB5A">
            <w:pPr>
              <w:spacing w:line="253" w:lineRule="auto"/>
              <w:rPr>
                <w:rFonts w:ascii="Arial"/>
                <w:sz w:val="21"/>
              </w:rPr>
            </w:pPr>
          </w:p>
          <w:p w14:paraId="41EF15A4">
            <w:pPr>
              <w:spacing w:line="254" w:lineRule="auto"/>
              <w:rPr>
                <w:rFonts w:ascii="Arial"/>
                <w:sz w:val="21"/>
              </w:rPr>
            </w:pPr>
          </w:p>
          <w:p w14:paraId="3F45F5C6">
            <w:pPr>
              <w:spacing w:line="254" w:lineRule="auto"/>
              <w:rPr>
                <w:rFonts w:ascii="Arial"/>
                <w:sz w:val="21"/>
              </w:rPr>
            </w:pPr>
          </w:p>
          <w:p w14:paraId="127DB54B">
            <w:pPr>
              <w:spacing w:line="254" w:lineRule="auto"/>
              <w:rPr>
                <w:rFonts w:ascii="Arial"/>
                <w:sz w:val="21"/>
              </w:rPr>
            </w:pPr>
          </w:p>
          <w:p w14:paraId="60A1654D">
            <w:pPr>
              <w:spacing w:line="254" w:lineRule="auto"/>
              <w:rPr>
                <w:rFonts w:ascii="Arial"/>
                <w:sz w:val="21"/>
              </w:rPr>
            </w:pPr>
          </w:p>
          <w:p w14:paraId="0AF0110A">
            <w:pPr>
              <w:spacing w:line="254" w:lineRule="auto"/>
              <w:rPr>
                <w:rFonts w:ascii="Arial"/>
                <w:sz w:val="21"/>
              </w:rPr>
            </w:pPr>
          </w:p>
          <w:p w14:paraId="5C034979">
            <w:pPr>
              <w:spacing w:line="254" w:lineRule="auto"/>
              <w:rPr>
                <w:rFonts w:ascii="Arial"/>
                <w:sz w:val="21"/>
              </w:rPr>
            </w:pPr>
          </w:p>
          <w:p w14:paraId="4CB6966A">
            <w:pPr>
              <w:pStyle w:val="6"/>
              <w:spacing w:before="99" w:line="186" w:lineRule="auto"/>
              <w:ind w:left="115" w:right="111" w:firstLine="13"/>
              <w:jc w:val="both"/>
            </w:pPr>
            <w:r>
              <w:rPr>
                <w:spacing w:val="8"/>
              </w:rPr>
              <w:t>生产经营单</w:t>
            </w:r>
            <w:r>
              <w:rPr>
                <w:spacing w:val="11"/>
              </w:rPr>
              <w:t>位未为从业人员提供符合国家标准或者行业标准的劳动防</w:t>
            </w:r>
            <w:r>
              <w:rPr>
                <w:spacing w:val="6"/>
              </w:rPr>
              <w:t>护用品的</w:t>
            </w:r>
          </w:p>
        </w:tc>
        <w:tc>
          <w:tcPr>
            <w:tcW w:w="3202" w:type="dxa"/>
            <w:vMerge w:val="restart"/>
            <w:tcBorders>
              <w:bottom w:val="nil"/>
            </w:tcBorders>
            <w:vAlign w:val="top"/>
          </w:tcPr>
          <w:p w14:paraId="55347DF9">
            <w:pPr>
              <w:pStyle w:val="6"/>
              <w:spacing w:before="32" w:line="182" w:lineRule="auto"/>
              <w:ind w:left="131" w:right="42"/>
              <w:jc w:val="both"/>
            </w:pPr>
            <w:r>
              <w:rPr>
                <w:rFonts w:ascii="宋体" w:hAnsi="宋体" w:eastAsia="宋体" w:cs="宋体"/>
                <w:spacing w:val="14"/>
              </w:rPr>
              <w:t>1.</w:t>
            </w:r>
            <w:r>
              <w:rPr>
                <w:spacing w:val="14"/>
              </w:rPr>
              <w:t>【法律】《中华人民共和</w:t>
            </w:r>
            <w:r>
              <w:rPr>
                <w:spacing w:val="2"/>
              </w:rPr>
              <w:t>国安全生产法》第四十五条：</w:t>
            </w:r>
            <w:r>
              <w:rPr>
                <w:spacing w:val="16"/>
              </w:rPr>
              <w:t>生产经营单位必须为从业人</w:t>
            </w:r>
          </w:p>
          <w:p w14:paraId="00BD9645">
            <w:pPr>
              <w:pStyle w:val="6"/>
              <w:spacing w:line="182" w:lineRule="auto"/>
              <w:ind w:left="138"/>
              <w:outlineLvl w:val="0"/>
            </w:pPr>
            <w:r>
              <w:rPr>
                <w:spacing w:val="15"/>
              </w:rPr>
              <w:t>员提供符合国家标准或者行</w:t>
            </w:r>
          </w:p>
          <w:p w14:paraId="59B3957E">
            <w:pPr>
              <w:pStyle w:val="6"/>
              <w:spacing w:before="2" w:line="182" w:lineRule="auto"/>
              <w:ind w:left="120" w:right="111" w:firstLine="7"/>
              <w:jc w:val="both"/>
            </w:pPr>
            <w:r>
              <w:rPr>
                <w:spacing w:val="12"/>
              </w:rPr>
              <w:t>业标准的劳动防护用品，并</w:t>
            </w:r>
            <w:r>
              <w:rPr>
                <w:spacing w:val="17"/>
              </w:rPr>
              <w:t>监督、教育从业人员按照使</w:t>
            </w:r>
            <w:r>
              <w:rPr>
                <w:spacing w:val="4"/>
              </w:rPr>
              <w:t>用规则佩戴、使用。</w:t>
            </w:r>
          </w:p>
          <w:p w14:paraId="19CBC183">
            <w:pPr>
              <w:pStyle w:val="6"/>
              <w:spacing w:before="5" w:line="182" w:lineRule="auto"/>
              <w:ind w:left="112" w:right="42" w:firstLine="3"/>
            </w:pPr>
            <w:r>
              <w:rPr>
                <w:rFonts w:ascii="宋体" w:hAnsi="宋体" w:eastAsia="宋体" w:cs="宋体"/>
                <w:spacing w:val="15"/>
              </w:rPr>
              <w:t>2.</w:t>
            </w:r>
            <w:r>
              <w:rPr>
                <w:spacing w:val="15"/>
              </w:rPr>
              <w:t>【部门规章】《工贸企业</w:t>
            </w:r>
            <w:r>
              <w:rPr>
                <w:spacing w:val="3"/>
              </w:rPr>
              <w:t>粉尘防爆安全规定》第九条：</w:t>
            </w:r>
            <w:r>
              <w:rPr>
                <w:spacing w:val="17"/>
              </w:rPr>
              <w:t>粉尘涉爆企业应当为粉尘作业岗位从业人员提供符合国家标准或者行业标准的劳动</w:t>
            </w:r>
            <w:r>
              <w:rPr>
                <w:spacing w:val="13"/>
              </w:rPr>
              <w:t>防护用品，并监督、教育从</w:t>
            </w:r>
            <w:r>
              <w:rPr>
                <w:spacing w:val="15"/>
              </w:rPr>
              <w:t>业人员按照使用规则佩戴、</w:t>
            </w:r>
            <w:r>
              <w:rPr>
                <w:spacing w:val="-3"/>
              </w:rPr>
              <w:t>使用。</w:t>
            </w:r>
          </w:p>
          <w:p w14:paraId="324D49D5">
            <w:pPr>
              <w:pStyle w:val="6"/>
              <w:spacing w:before="8" w:line="180" w:lineRule="auto"/>
              <w:ind w:left="114" w:right="111" w:firstLine="3"/>
            </w:pPr>
            <w:r>
              <w:rPr>
                <w:rFonts w:ascii="宋体" w:hAnsi="宋体" w:eastAsia="宋体" w:cs="宋体"/>
                <w:spacing w:val="15"/>
              </w:rPr>
              <w:t>3.</w:t>
            </w:r>
            <w:r>
              <w:rPr>
                <w:spacing w:val="15"/>
              </w:rPr>
              <w:t>【部门规章】《工贸企业</w:t>
            </w:r>
            <w:r>
              <w:rPr>
                <w:spacing w:val="17"/>
              </w:rPr>
              <w:t>有限空间作业安全规定》第</w:t>
            </w:r>
            <w:r>
              <w:rPr>
                <w:spacing w:val="13"/>
              </w:rPr>
              <w:t>十三条：工贸企业应当根据有限空间危险因素的特点，</w:t>
            </w:r>
            <w:r>
              <w:rPr>
                <w:spacing w:val="17"/>
              </w:rPr>
              <w:t>配备符合国家标准或者行业</w:t>
            </w:r>
            <w:r>
              <w:rPr>
                <w:spacing w:val="16"/>
              </w:rPr>
              <w:t>标准的气体检测报警仪器、</w:t>
            </w:r>
          </w:p>
        </w:tc>
        <w:tc>
          <w:tcPr>
            <w:tcW w:w="2859" w:type="dxa"/>
            <w:vMerge w:val="restart"/>
            <w:tcBorders>
              <w:bottom w:val="nil"/>
            </w:tcBorders>
            <w:vAlign w:val="top"/>
          </w:tcPr>
          <w:p w14:paraId="2CEBD4C8">
            <w:pPr>
              <w:pStyle w:val="6"/>
              <w:spacing w:before="43" w:line="182" w:lineRule="auto"/>
              <w:ind w:left="98" w:right="38" w:firstLine="32"/>
            </w:pPr>
            <w:r>
              <w:rPr>
                <w:rFonts w:ascii="宋体" w:hAnsi="宋体" w:eastAsia="宋体" w:cs="宋体"/>
                <w:spacing w:val="6"/>
              </w:rPr>
              <w:t>1.</w:t>
            </w:r>
            <w:r>
              <w:rPr>
                <w:spacing w:val="6"/>
              </w:rPr>
              <w:t>【法律】《中华人民共</w:t>
            </w:r>
            <w:r>
              <w:rPr>
                <w:spacing w:val="10"/>
              </w:rPr>
              <w:t>和国安全生产法》第九十九条第五项：生产经营单</w:t>
            </w:r>
            <w:r>
              <w:rPr>
                <w:spacing w:val="6"/>
              </w:rPr>
              <w:t>位有下列行为之一的，责</w:t>
            </w:r>
            <w:r>
              <w:rPr>
                <w:spacing w:val="10"/>
              </w:rPr>
              <w:t>令限期改正，处五万元以</w:t>
            </w:r>
            <w:r>
              <w:rPr>
                <w:spacing w:val="-4"/>
              </w:rPr>
              <w:t>下的罚款；逾期未改正的，</w:t>
            </w:r>
            <w:r>
              <w:rPr>
                <w:spacing w:val="10"/>
              </w:rPr>
              <w:t>处五万元以上二十万元以下的罚款，对其直接负责的主管人员和其他直接责任人员处一万元以上二万元以下的罚款；情节严重</w:t>
            </w:r>
            <w:r>
              <w:rPr>
                <w:spacing w:val="6"/>
              </w:rPr>
              <w:t>的，责令停产停业整顿；</w:t>
            </w:r>
            <w:r>
              <w:rPr>
                <w:spacing w:val="10"/>
              </w:rPr>
              <w:t>构成犯罪的，依照刑法有</w:t>
            </w:r>
            <w:r>
              <w:rPr>
                <w:spacing w:val="29"/>
              </w:rPr>
              <w:t>关规定追究刑事责任：</w:t>
            </w:r>
            <w:r>
              <w:rPr>
                <w:spacing w:val="10"/>
              </w:rPr>
              <w:t>（五）未为从业人员提供符合国家标准或者行业标</w:t>
            </w:r>
            <w:r>
              <w:rPr>
                <w:spacing w:val="5"/>
              </w:rPr>
              <w:t>准的劳动防护用品的；</w:t>
            </w:r>
          </w:p>
          <w:p w14:paraId="0617A3BF">
            <w:pPr>
              <w:pStyle w:val="6"/>
              <w:spacing w:before="6" w:line="179" w:lineRule="auto"/>
              <w:ind w:left="116" w:right="110"/>
            </w:pPr>
            <w:r>
              <w:rPr>
                <w:rFonts w:ascii="宋体" w:hAnsi="宋体" w:eastAsia="宋体" w:cs="宋体"/>
                <w:spacing w:val="7"/>
              </w:rPr>
              <w:t>2.</w:t>
            </w:r>
            <w:r>
              <w:rPr>
                <w:spacing w:val="7"/>
              </w:rPr>
              <w:t>【部门规章】《工贸企</w:t>
            </w:r>
            <w:r>
              <w:rPr>
                <w:spacing w:val="8"/>
              </w:rPr>
              <w:t>业粉尘防爆安全规定》第二十七条第四项：粉尘涉</w:t>
            </w:r>
            <w:r>
              <w:rPr>
                <w:spacing w:val="27"/>
              </w:rPr>
              <w:t>爆企业有下列行为之一</w:t>
            </w:r>
          </w:p>
        </w:tc>
        <w:tc>
          <w:tcPr>
            <w:tcW w:w="803" w:type="dxa"/>
            <w:vAlign w:val="top"/>
          </w:tcPr>
          <w:p w14:paraId="4C04CCF7">
            <w:pPr>
              <w:spacing w:line="260" w:lineRule="auto"/>
              <w:rPr>
                <w:rFonts w:ascii="Arial"/>
                <w:sz w:val="21"/>
              </w:rPr>
            </w:pPr>
          </w:p>
          <w:p w14:paraId="08A97173">
            <w:pPr>
              <w:spacing w:line="260" w:lineRule="auto"/>
              <w:rPr>
                <w:rFonts w:ascii="Arial"/>
                <w:sz w:val="21"/>
              </w:rPr>
            </w:pPr>
          </w:p>
          <w:p w14:paraId="0DBA9D59">
            <w:pPr>
              <w:spacing w:line="260" w:lineRule="auto"/>
              <w:rPr>
                <w:rFonts w:ascii="Arial"/>
                <w:sz w:val="21"/>
              </w:rPr>
            </w:pPr>
          </w:p>
          <w:p w14:paraId="1FDFA9E3">
            <w:pPr>
              <w:spacing w:line="261" w:lineRule="auto"/>
              <w:rPr>
                <w:rFonts w:ascii="Arial"/>
                <w:sz w:val="21"/>
              </w:rPr>
            </w:pPr>
          </w:p>
          <w:p w14:paraId="35C1859D">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780328E">
            <w:pPr>
              <w:pStyle w:val="6"/>
              <w:spacing w:before="26" w:line="180" w:lineRule="auto"/>
              <w:ind w:left="114" w:right="107" w:firstLine="3"/>
              <w:jc w:val="both"/>
            </w:pPr>
            <w:r>
              <w:rPr>
                <w:spacing w:val="16"/>
              </w:rPr>
              <w:t>未为</w:t>
            </w:r>
            <w:r>
              <w:rPr>
                <w:rFonts w:ascii="宋体" w:hAnsi="宋体" w:eastAsia="宋体" w:cs="宋体"/>
                <w:spacing w:val="16"/>
              </w:rPr>
              <w:t>3</w:t>
            </w:r>
            <w:r>
              <w:rPr>
                <w:spacing w:val="16"/>
              </w:rPr>
              <w:t>名以下从业</w:t>
            </w:r>
            <w:r>
              <w:rPr>
                <w:spacing w:val="26"/>
              </w:rPr>
              <w:t>人员提供符合国家标准或者行业标准</w:t>
            </w:r>
            <w:r>
              <w:rPr>
                <w:spacing w:val="-2"/>
              </w:rPr>
              <w:t>的劳动防护用品，或</w:t>
            </w:r>
            <w:r>
              <w:rPr>
                <w:spacing w:val="26"/>
              </w:rPr>
              <w:t>者提供的劳动防护</w:t>
            </w:r>
            <w:r>
              <w:rPr>
                <w:spacing w:val="16"/>
              </w:rPr>
              <w:t>用品有</w:t>
            </w:r>
            <w:r>
              <w:rPr>
                <w:rFonts w:ascii="宋体" w:hAnsi="宋体" w:eastAsia="宋体" w:cs="宋体"/>
                <w:spacing w:val="16"/>
              </w:rPr>
              <w:t>3</w:t>
            </w:r>
            <w:r>
              <w:rPr>
                <w:spacing w:val="16"/>
              </w:rPr>
              <w:t>种以下不</w:t>
            </w:r>
            <w:r>
              <w:rPr>
                <w:spacing w:val="26"/>
              </w:rPr>
              <w:t>符合国家标准或者</w:t>
            </w:r>
            <w:r>
              <w:rPr>
                <w:spacing w:val="7"/>
              </w:rPr>
              <w:t>行业标准的</w:t>
            </w:r>
          </w:p>
        </w:tc>
        <w:tc>
          <w:tcPr>
            <w:tcW w:w="2894" w:type="dxa"/>
            <w:vAlign w:val="top"/>
          </w:tcPr>
          <w:p w14:paraId="5C8D1DBF">
            <w:pPr>
              <w:pStyle w:val="6"/>
              <w:spacing w:before="26" w:line="180" w:lineRule="auto"/>
              <w:ind w:left="127" w:right="103"/>
              <w:jc w:val="both"/>
            </w:pPr>
            <w:r>
              <w:rPr>
                <w:spacing w:val="4"/>
              </w:rPr>
              <w:t>责令限期改正，处</w:t>
            </w:r>
            <w:r>
              <w:rPr>
                <w:rFonts w:ascii="宋体" w:hAnsi="宋体" w:eastAsia="宋体" w:cs="宋体"/>
                <w:spacing w:val="4"/>
              </w:rPr>
              <w:t>2</w:t>
            </w:r>
            <w:r>
              <w:rPr>
                <w:spacing w:val="4"/>
              </w:rPr>
              <w:t>万元</w:t>
            </w:r>
            <w:r>
              <w:rPr>
                <w:spacing w:val="8"/>
              </w:rPr>
              <w:t>以下的罚款；逾期未改正</w:t>
            </w:r>
            <w:r>
              <w:rPr>
                <w:spacing w:val="-7"/>
              </w:rPr>
              <w:t>的，处</w:t>
            </w:r>
            <w:r>
              <w:rPr>
                <w:rFonts w:ascii="宋体" w:hAnsi="宋体" w:eastAsia="宋体" w:cs="宋体"/>
                <w:spacing w:val="-7"/>
              </w:rPr>
              <w:t>5</w:t>
            </w:r>
            <w:r>
              <w:rPr>
                <w:spacing w:val="-7"/>
              </w:rPr>
              <w:t>万元以上</w:t>
            </w:r>
            <w:r>
              <w:rPr>
                <w:rFonts w:ascii="宋体" w:hAnsi="宋体" w:eastAsia="宋体" w:cs="宋体"/>
                <w:spacing w:val="-7"/>
              </w:rPr>
              <w:t>10</w:t>
            </w:r>
            <w:r>
              <w:rPr>
                <w:spacing w:val="-7"/>
              </w:rPr>
              <w:t>万元</w:t>
            </w:r>
            <w:r>
              <w:rPr>
                <w:spacing w:val="7"/>
              </w:rPr>
              <w:t>以下的罚款，对其直接负</w:t>
            </w:r>
            <w:r>
              <w:rPr>
                <w:spacing w:val="10"/>
              </w:rPr>
              <w:t>责的主管人员和其他直接</w:t>
            </w:r>
            <w:r>
              <w:rPr>
                <w:spacing w:val="7"/>
              </w:rPr>
              <w:t>责任人员处</w:t>
            </w:r>
            <w:r>
              <w:rPr>
                <w:rFonts w:ascii="宋体" w:hAnsi="宋体" w:eastAsia="宋体" w:cs="宋体"/>
                <w:spacing w:val="7"/>
              </w:rPr>
              <w:t>1</w:t>
            </w:r>
            <w:r>
              <w:rPr>
                <w:spacing w:val="7"/>
              </w:rPr>
              <w:t>万元以上</w:t>
            </w:r>
            <w:r>
              <w:rPr>
                <w:rFonts w:ascii="宋体" w:hAnsi="宋体" w:eastAsia="宋体" w:cs="宋体"/>
                <w:spacing w:val="7"/>
              </w:rPr>
              <w:t>2</w:t>
            </w:r>
            <w:r>
              <w:rPr>
                <w:spacing w:val="7"/>
              </w:rPr>
              <w:t>万元以下的罚款；情节严重的，责令停产停业整顿</w:t>
            </w:r>
          </w:p>
        </w:tc>
        <w:tc>
          <w:tcPr>
            <w:tcW w:w="811" w:type="dxa"/>
            <w:vMerge w:val="restart"/>
            <w:tcBorders>
              <w:bottom w:val="nil"/>
            </w:tcBorders>
            <w:vAlign w:val="top"/>
          </w:tcPr>
          <w:p w14:paraId="131E7E55">
            <w:pPr>
              <w:spacing w:line="249" w:lineRule="auto"/>
              <w:rPr>
                <w:rFonts w:ascii="Arial"/>
                <w:sz w:val="21"/>
              </w:rPr>
            </w:pPr>
          </w:p>
          <w:p w14:paraId="475508EF">
            <w:pPr>
              <w:spacing w:line="249" w:lineRule="auto"/>
              <w:rPr>
                <w:rFonts w:ascii="Arial"/>
                <w:sz w:val="21"/>
              </w:rPr>
            </w:pPr>
          </w:p>
          <w:p w14:paraId="2198D3F9">
            <w:pPr>
              <w:spacing w:line="249" w:lineRule="auto"/>
              <w:rPr>
                <w:rFonts w:ascii="Arial"/>
                <w:sz w:val="21"/>
              </w:rPr>
            </w:pPr>
          </w:p>
          <w:p w14:paraId="71A35534">
            <w:pPr>
              <w:spacing w:line="249" w:lineRule="auto"/>
              <w:rPr>
                <w:rFonts w:ascii="Arial"/>
                <w:sz w:val="21"/>
              </w:rPr>
            </w:pPr>
          </w:p>
          <w:p w14:paraId="73BEF3E6">
            <w:pPr>
              <w:spacing w:line="249" w:lineRule="auto"/>
              <w:rPr>
                <w:rFonts w:ascii="Arial"/>
                <w:sz w:val="21"/>
              </w:rPr>
            </w:pPr>
          </w:p>
          <w:p w14:paraId="1E28D0ED">
            <w:pPr>
              <w:spacing w:line="249" w:lineRule="auto"/>
              <w:rPr>
                <w:rFonts w:ascii="Arial"/>
                <w:sz w:val="21"/>
              </w:rPr>
            </w:pPr>
          </w:p>
          <w:p w14:paraId="168600AB">
            <w:pPr>
              <w:spacing w:line="249" w:lineRule="auto"/>
              <w:rPr>
                <w:rFonts w:ascii="Arial"/>
                <w:sz w:val="21"/>
              </w:rPr>
            </w:pPr>
          </w:p>
          <w:p w14:paraId="40E58E68">
            <w:pPr>
              <w:spacing w:line="249" w:lineRule="auto"/>
              <w:rPr>
                <w:rFonts w:ascii="Arial"/>
                <w:sz w:val="21"/>
              </w:rPr>
            </w:pPr>
          </w:p>
          <w:p w14:paraId="55F6032F">
            <w:pPr>
              <w:spacing w:line="249" w:lineRule="auto"/>
              <w:rPr>
                <w:rFonts w:ascii="Arial"/>
                <w:sz w:val="21"/>
              </w:rPr>
            </w:pPr>
          </w:p>
          <w:p w14:paraId="531EB1DF">
            <w:pPr>
              <w:spacing w:line="249" w:lineRule="auto"/>
              <w:rPr>
                <w:rFonts w:ascii="Arial"/>
                <w:sz w:val="21"/>
              </w:rPr>
            </w:pPr>
          </w:p>
          <w:p w14:paraId="67309327">
            <w:pPr>
              <w:spacing w:line="250" w:lineRule="auto"/>
              <w:rPr>
                <w:rFonts w:ascii="Arial"/>
                <w:sz w:val="21"/>
              </w:rPr>
            </w:pPr>
          </w:p>
          <w:p w14:paraId="6C35D4BD">
            <w:pPr>
              <w:spacing w:line="250" w:lineRule="auto"/>
              <w:rPr>
                <w:rFonts w:ascii="Arial"/>
                <w:sz w:val="21"/>
              </w:rPr>
            </w:pPr>
          </w:p>
          <w:p w14:paraId="2F52F242">
            <w:pPr>
              <w:spacing w:before="75" w:line="188" w:lineRule="auto"/>
              <w:ind w:left="290"/>
              <w:rPr>
                <w:rFonts w:ascii="宋体" w:hAnsi="宋体" w:eastAsia="宋体" w:cs="宋体"/>
                <w:sz w:val="23"/>
                <w:szCs w:val="23"/>
              </w:rPr>
            </w:pPr>
            <w:r>
              <w:rPr>
                <w:rFonts w:ascii="宋体" w:hAnsi="宋体" w:eastAsia="宋体" w:cs="宋体"/>
                <w:spacing w:val="-1"/>
                <w:sz w:val="23"/>
                <w:szCs w:val="23"/>
              </w:rPr>
              <w:t>40</w:t>
            </w:r>
          </w:p>
        </w:tc>
      </w:tr>
      <w:tr w14:paraId="6AA22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trPr>
        <w:tc>
          <w:tcPr>
            <w:tcW w:w="818" w:type="dxa"/>
            <w:vMerge w:val="continue"/>
            <w:tcBorders>
              <w:top w:val="nil"/>
              <w:bottom w:val="nil"/>
            </w:tcBorders>
            <w:vAlign w:val="top"/>
          </w:tcPr>
          <w:p w14:paraId="0BD135D0">
            <w:pPr>
              <w:rPr>
                <w:rFonts w:ascii="Arial"/>
                <w:sz w:val="21"/>
              </w:rPr>
            </w:pPr>
          </w:p>
        </w:tc>
        <w:tc>
          <w:tcPr>
            <w:tcW w:w="1440" w:type="dxa"/>
            <w:vMerge w:val="continue"/>
            <w:tcBorders>
              <w:top w:val="nil"/>
              <w:bottom w:val="nil"/>
            </w:tcBorders>
            <w:vAlign w:val="top"/>
          </w:tcPr>
          <w:p w14:paraId="4296557D">
            <w:pPr>
              <w:rPr>
                <w:rFonts w:ascii="Arial"/>
                <w:sz w:val="21"/>
              </w:rPr>
            </w:pPr>
          </w:p>
        </w:tc>
        <w:tc>
          <w:tcPr>
            <w:tcW w:w="3202" w:type="dxa"/>
            <w:vMerge w:val="continue"/>
            <w:tcBorders>
              <w:top w:val="nil"/>
              <w:bottom w:val="nil"/>
            </w:tcBorders>
            <w:vAlign w:val="top"/>
          </w:tcPr>
          <w:p w14:paraId="46E1CF46">
            <w:pPr>
              <w:rPr>
                <w:rFonts w:ascii="Arial"/>
                <w:sz w:val="21"/>
              </w:rPr>
            </w:pPr>
          </w:p>
        </w:tc>
        <w:tc>
          <w:tcPr>
            <w:tcW w:w="2859" w:type="dxa"/>
            <w:vMerge w:val="continue"/>
            <w:tcBorders>
              <w:top w:val="nil"/>
              <w:bottom w:val="nil"/>
            </w:tcBorders>
            <w:vAlign w:val="top"/>
          </w:tcPr>
          <w:p w14:paraId="3BDB4F12">
            <w:pPr>
              <w:rPr>
                <w:rFonts w:ascii="Arial"/>
                <w:sz w:val="21"/>
              </w:rPr>
            </w:pPr>
          </w:p>
        </w:tc>
        <w:tc>
          <w:tcPr>
            <w:tcW w:w="803" w:type="dxa"/>
            <w:vAlign w:val="top"/>
          </w:tcPr>
          <w:p w14:paraId="6310C017">
            <w:pPr>
              <w:spacing w:line="298" w:lineRule="auto"/>
              <w:rPr>
                <w:rFonts w:ascii="Arial"/>
                <w:sz w:val="21"/>
              </w:rPr>
            </w:pPr>
          </w:p>
          <w:p w14:paraId="52B05733">
            <w:pPr>
              <w:spacing w:line="298" w:lineRule="auto"/>
              <w:rPr>
                <w:rFonts w:ascii="Arial"/>
                <w:sz w:val="21"/>
              </w:rPr>
            </w:pPr>
          </w:p>
          <w:p w14:paraId="6E547901">
            <w:pPr>
              <w:spacing w:line="298" w:lineRule="auto"/>
              <w:rPr>
                <w:rFonts w:ascii="Arial"/>
                <w:sz w:val="21"/>
              </w:rPr>
            </w:pPr>
          </w:p>
          <w:p w14:paraId="65D4CFBB">
            <w:pPr>
              <w:spacing w:line="299" w:lineRule="auto"/>
              <w:rPr>
                <w:rFonts w:ascii="Arial"/>
                <w:sz w:val="21"/>
              </w:rPr>
            </w:pPr>
          </w:p>
          <w:p w14:paraId="1AE33A87">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517637F1">
            <w:pPr>
              <w:pStyle w:val="6"/>
              <w:spacing w:before="29" w:line="180" w:lineRule="auto"/>
              <w:ind w:left="118" w:right="105"/>
              <w:jc w:val="both"/>
            </w:pPr>
            <w:r>
              <w:t>未为</w:t>
            </w:r>
            <w:r>
              <w:rPr>
                <w:rFonts w:ascii="宋体" w:hAnsi="宋体" w:eastAsia="宋体" w:cs="宋体"/>
              </w:rPr>
              <w:t>3</w:t>
            </w:r>
            <w:r>
              <w:t>名以上</w:t>
            </w:r>
            <w:r>
              <w:rPr>
                <w:rFonts w:ascii="宋体" w:hAnsi="宋体" w:eastAsia="宋体" w:cs="宋体"/>
              </w:rPr>
              <w:t>10</w:t>
            </w:r>
            <w:r>
              <w:t>名</w:t>
            </w:r>
            <w:r>
              <w:rPr>
                <w:spacing w:val="26"/>
              </w:rPr>
              <w:t>以下从业人员提供符合国家标准或者行业标准的劳动防</w:t>
            </w:r>
            <w:r>
              <w:rPr>
                <w:spacing w:val="-3"/>
              </w:rPr>
              <w:t>护用品，或者提供的</w:t>
            </w:r>
            <w:r>
              <w:rPr>
                <w:spacing w:val="27"/>
              </w:rPr>
              <w:t>劳动防护用品有</w:t>
            </w:r>
            <w:r>
              <w:rPr>
                <w:rFonts w:ascii="宋体" w:hAnsi="宋体" w:eastAsia="宋体" w:cs="宋体"/>
                <w:spacing w:val="27"/>
              </w:rPr>
              <w:t>3</w:t>
            </w:r>
            <w:r>
              <w:rPr>
                <w:spacing w:val="16"/>
              </w:rPr>
              <w:t>种以上</w:t>
            </w:r>
            <w:r>
              <w:rPr>
                <w:rFonts w:ascii="宋体" w:hAnsi="宋体" w:eastAsia="宋体" w:cs="宋体"/>
                <w:spacing w:val="16"/>
              </w:rPr>
              <w:t>7</w:t>
            </w:r>
            <w:r>
              <w:rPr>
                <w:spacing w:val="16"/>
              </w:rPr>
              <w:t>种以下不</w:t>
            </w:r>
            <w:r>
              <w:rPr>
                <w:spacing w:val="26"/>
              </w:rPr>
              <w:t>符合国家标准或者</w:t>
            </w:r>
            <w:r>
              <w:rPr>
                <w:spacing w:val="6"/>
              </w:rPr>
              <w:t>行业标准的</w:t>
            </w:r>
          </w:p>
        </w:tc>
        <w:tc>
          <w:tcPr>
            <w:tcW w:w="2894" w:type="dxa"/>
            <w:vAlign w:val="top"/>
          </w:tcPr>
          <w:p w14:paraId="695F9203">
            <w:pPr>
              <w:pStyle w:val="6"/>
              <w:spacing w:before="29" w:line="180" w:lineRule="auto"/>
              <w:ind w:left="117" w:right="73" w:firstLine="10"/>
            </w:pPr>
            <w:r>
              <w:rPr>
                <w:spacing w:val="4"/>
              </w:rPr>
              <w:t>责令限期改正，处</w:t>
            </w:r>
            <w:r>
              <w:rPr>
                <w:rFonts w:ascii="宋体" w:hAnsi="宋体" w:eastAsia="宋体" w:cs="宋体"/>
                <w:spacing w:val="4"/>
              </w:rPr>
              <w:t>2</w:t>
            </w:r>
            <w:r>
              <w:rPr>
                <w:spacing w:val="4"/>
              </w:rPr>
              <w:t>万元</w:t>
            </w:r>
            <w:r>
              <w:rPr>
                <w:spacing w:val="3"/>
              </w:rPr>
              <w:t>以上</w:t>
            </w:r>
            <w:r>
              <w:rPr>
                <w:rFonts w:ascii="宋体" w:hAnsi="宋体" w:eastAsia="宋体" w:cs="宋体"/>
                <w:spacing w:val="3"/>
              </w:rPr>
              <w:t>4</w:t>
            </w:r>
            <w:r>
              <w:rPr>
                <w:spacing w:val="3"/>
              </w:rPr>
              <w:t>万元以下的罚款；</w:t>
            </w:r>
            <w:r>
              <w:rPr>
                <w:spacing w:val="-4"/>
              </w:rPr>
              <w:t>逾期未改正的，处</w:t>
            </w:r>
            <w:r>
              <w:rPr>
                <w:rFonts w:ascii="宋体" w:hAnsi="宋体" w:eastAsia="宋体" w:cs="宋体"/>
                <w:spacing w:val="-4"/>
              </w:rPr>
              <w:t>10</w:t>
            </w:r>
            <w:r>
              <w:rPr>
                <w:spacing w:val="-4"/>
              </w:rPr>
              <w:t>万元</w:t>
            </w:r>
            <w:r>
              <w:rPr>
                <w:spacing w:val="-1"/>
              </w:rPr>
              <w:t>以上</w:t>
            </w:r>
            <w:r>
              <w:rPr>
                <w:rFonts w:ascii="宋体" w:hAnsi="宋体" w:eastAsia="宋体" w:cs="宋体"/>
                <w:spacing w:val="-1"/>
              </w:rPr>
              <w:t>15</w:t>
            </w:r>
            <w:r>
              <w:rPr>
                <w:spacing w:val="-1"/>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万元以上</w:t>
            </w:r>
            <w:r>
              <w:rPr>
                <w:rFonts w:ascii="宋体" w:hAnsi="宋体" w:eastAsia="宋体" w:cs="宋体"/>
                <w:spacing w:val="7"/>
              </w:rPr>
              <w:t>2</w:t>
            </w:r>
            <w:r>
              <w:rPr>
                <w:spacing w:val="7"/>
              </w:rPr>
              <w:t>万元以下的罚</w:t>
            </w:r>
            <w:r>
              <w:rPr>
                <w:spacing w:val="4"/>
              </w:rPr>
              <w:t>款；情节严重的，责令停</w:t>
            </w:r>
            <w:r>
              <w:rPr>
                <w:spacing w:val="7"/>
              </w:rPr>
              <w:t>产停业整顿</w:t>
            </w:r>
          </w:p>
        </w:tc>
        <w:tc>
          <w:tcPr>
            <w:tcW w:w="811" w:type="dxa"/>
            <w:vMerge w:val="continue"/>
            <w:tcBorders>
              <w:top w:val="nil"/>
              <w:bottom w:val="nil"/>
            </w:tcBorders>
            <w:vAlign w:val="top"/>
          </w:tcPr>
          <w:p w14:paraId="1A4A9E59">
            <w:pPr>
              <w:rPr>
                <w:rFonts w:ascii="Arial"/>
                <w:sz w:val="21"/>
              </w:rPr>
            </w:pPr>
          </w:p>
        </w:tc>
      </w:tr>
      <w:tr w14:paraId="11B54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818" w:type="dxa"/>
            <w:vMerge w:val="continue"/>
            <w:tcBorders>
              <w:top w:val="nil"/>
            </w:tcBorders>
            <w:vAlign w:val="top"/>
          </w:tcPr>
          <w:p w14:paraId="10B2B599">
            <w:pPr>
              <w:rPr>
                <w:rFonts w:ascii="Arial"/>
                <w:sz w:val="21"/>
              </w:rPr>
            </w:pPr>
          </w:p>
        </w:tc>
        <w:tc>
          <w:tcPr>
            <w:tcW w:w="1440" w:type="dxa"/>
            <w:vMerge w:val="continue"/>
            <w:tcBorders>
              <w:top w:val="nil"/>
            </w:tcBorders>
            <w:vAlign w:val="top"/>
          </w:tcPr>
          <w:p w14:paraId="760EF0F5">
            <w:pPr>
              <w:rPr>
                <w:rFonts w:ascii="Arial"/>
                <w:sz w:val="21"/>
              </w:rPr>
            </w:pPr>
          </w:p>
        </w:tc>
        <w:tc>
          <w:tcPr>
            <w:tcW w:w="3202" w:type="dxa"/>
            <w:vMerge w:val="continue"/>
            <w:tcBorders>
              <w:top w:val="nil"/>
            </w:tcBorders>
            <w:vAlign w:val="top"/>
          </w:tcPr>
          <w:p w14:paraId="4694F7E2">
            <w:pPr>
              <w:rPr>
                <w:rFonts w:ascii="Arial"/>
                <w:sz w:val="21"/>
              </w:rPr>
            </w:pPr>
          </w:p>
        </w:tc>
        <w:tc>
          <w:tcPr>
            <w:tcW w:w="2859" w:type="dxa"/>
            <w:vMerge w:val="continue"/>
            <w:tcBorders>
              <w:top w:val="nil"/>
            </w:tcBorders>
            <w:vAlign w:val="top"/>
          </w:tcPr>
          <w:p w14:paraId="662CE4F1">
            <w:pPr>
              <w:rPr>
                <w:rFonts w:ascii="Arial"/>
                <w:sz w:val="21"/>
              </w:rPr>
            </w:pPr>
          </w:p>
        </w:tc>
        <w:tc>
          <w:tcPr>
            <w:tcW w:w="803" w:type="dxa"/>
            <w:vAlign w:val="top"/>
          </w:tcPr>
          <w:p w14:paraId="67C337D2">
            <w:pPr>
              <w:spacing w:line="450" w:lineRule="auto"/>
              <w:rPr>
                <w:rFonts w:ascii="Arial"/>
                <w:sz w:val="21"/>
              </w:rPr>
            </w:pPr>
          </w:p>
          <w:p w14:paraId="02EA02D5">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F4BD4E0">
            <w:pPr>
              <w:pStyle w:val="6"/>
              <w:spacing w:before="32" w:line="177" w:lineRule="auto"/>
              <w:ind w:left="114" w:right="107" w:firstLine="3"/>
              <w:jc w:val="both"/>
            </w:pPr>
            <w:r>
              <w:rPr>
                <w:spacing w:val="4"/>
              </w:rPr>
              <w:t>未为</w:t>
            </w:r>
            <w:r>
              <w:rPr>
                <w:rFonts w:ascii="宋体" w:hAnsi="宋体" w:eastAsia="宋体" w:cs="宋体"/>
                <w:spacing w:val="4"/>
              </w:rPr>
              <w:t>10</w:t>
            </w:r>
            <w:r>
              <w:rPr>
                <w:spacing w:val="4"/>
              </w:rPr>
              <w:t>名以上从业</w:t>
            </w:r>
            <w:r>
              <w:rPr>
                <w:spacing w:val="26"/>
              </w:rPr>
              <w:t>人员提供符合国家标准或者行业标准</w:t>
            </w:r>
            <w:r>
              <w:rPr>
                <w:spacing w:val="-2"/>
              </w:rPr>
              <w:t>的劳动防护用品，或</w:t>
            </w:r>
          </w:p>
        </w:tc>
        <w:tc>
          <w:tcPr>
            <w:tcW w:w="2894" w:type="dxa"/>
            <w:vAlign w:val="top"/>
          </w:tcPr>
          <w:p w14:paraId="17477FF8">
            <w:pPr>
              <w:pStyle w:val="6"/>
              <w:spacing w:before="32" w:line="177" w:lineRule="auto"/>
              <w:ind w:left="117" w:right="73" w:firstLine="10"/>
            </w:pPr>
            <w:r>
              <w:rPr>
                <w:spacing w:val="4"/>
              </w:rPr>
              <w:t>责令限期改正，处</w:t>
            </w:r>
            <w:r>
              <w:rPr>
                <w:rFonts w:ascii="宋体" w:hAnsi="宋体" w:eastAsia="宋体" w:cs="宋体"/>
                <w:spacing w:val="4"/>
              </w:rPr>
              <w:t>4</w:t>
            </w:r>
            <w:r>
              <w:rPr>
                <w:spacing w:val="4"/>
              </w:rPr>
              <w:t>万元</w:t>
            </w:r>
            <w:r>
              <w:rPr>
                <w:spacing w:val="3"/>
              </w:rPr>
              <w:t>以上</w:t>
            </w:r>
            <w:r>
              <w:rPr>
                <w:rFonts w:ascii="宋体" w:hAnsi="宋体" w:eastAsia="宋体" w:cs="宋体"/>
                <w:spacing w:val="3"/>
              </w:rPr>
              <w:t>5</w:t>
            </w:r>
            <w:r>
              <w:rPr>
                <w:spacing w:val="3"/>
              </w:rPr>
              <w:t>万元以下的罚款；</w:t>
            </w:r>
            <w:r>
              <w:rPr>
                <w:spacing w:val="-4"/>
              </w:rPr>
              <w:t>逾期未改正的，处</w:t>
            </w:r>
            <w:r>
              <w:rPr>
                <w:rFonts w:ascii="宋体" w:hAnsi="宋体" w:eastAsia="宋体" w:cs="宋体"/>
                <w:spacing w:val="-4"/>
              </w:rPr>
              <w:t>15</w:t>
            </w:r>
            <w:r>
              <w:rPr>
                <w:spacing w:val="-4"/>
              </w:rPr>
              <w:t>万元</w:t>
            </w:r>
            <w:r>
              <w:t>以上</w:t>
            </w:r>
            <w:r>
              <w:rPr>
                <w:rFonts w:ascii="宋体" w:hAnsi="宋体" w:eastAsia="宋体" w:cs="宋体"/>
              </w:rPr>
              <w:t>20</w:t>
            </w:r>
            <w:r>
              <w:t>万元以下的罚款，</w:t>
            </w:r>
          </w:p>
        </w:tc>
        <w:tc>
          <w:tcPr>
            <w:tcW w:w="811" w:type="dxa"/>
            <w:vMerge w:val="continue"/>
            <w:tcBorders>
              <w:top w:val="nil"/>
            </w:tcBorders>
            <w:vAlign w:val="top"/>
          </w:tcPr>
          <w:p w14:paraId="412882C3">
            <w:pPr>
              <w:rPr>
                <w:rFonts w:ascii="Arial"/>
                <w:sz w:val="21"/>
              </w:rPr>
            </w:pPr>
          </w:p>
        </w:tc>
      </w:tr>
    </w:tbl>
    <w:p w14:paraId="2129C33D">
      <w:pPr>
        <w:pStyle w:val="2"/>
      </w:pPr>
    </w:p>
    <w:p w14:paraId="253A6701">
      <w:pPr>
        <w:sectPr>
          <w:footerReference r:id="rId72" w:type="default"/>
          <w:pgSz w:w="16839" w:h="11906"/>
          <w:pgMar w:top="1012" w:right="821" w:bottom="667" w:left="901" w:header="0" w:footer="388" w:gutter="0"/>
          <w:cols w:space="720" w:num="1"/>
        </w:sectPr>
      </w:pPr>
    </w:p>
    <w:p w14:paraId="31673E95">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68BC4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7949A91">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39D8E4C0">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ADC3888">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3A32C4C">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BAC6D8B">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69BBEE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618BE0F">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A62601F">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6034D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2" w:hRule="atLeast"/>
        </w:trPr>
        <w:tc>
          <w:tcPr>
            <w:tcW w:w="818" w:type="dxa"/>
            <w:vAlign w:val="top"/>
          </w:tcPr>
          <w:p w14:paraId="091FFECE">
            <w:pPr>
              <w:rPr>
                <w:rFonts w:ascii="Arial"/>
                <w:sz w:val="21"/>
              </w:rPr>
            </w:pPr>
          </w:p>
        </w:tc>
        <w:tc>
          <w:tcPr>
            <w:tcW w:w="1440" w:type="dxa"/>
            <w:vAlign w:val="top"/>
          </w:tcPr>
          <w:p w14:paraId="1B558C08">
            <w:pPr>
              <w:rPr>
                <w:rFonts w:ascii="Arial"/>
                <w:sz w:val="21"/>
              </w:rPr>
            </w:pPr>
          </w:p>
        </w:tc>
        <w:tc>
          <w:tcPr>
            <w:tcW w:w="3202" w:type="dxa"/>
            <w:vAlign w:val="top"/>
          </w:tcPr>
          <w:p w14:paraId="6152ADEB">
            <w:pPr>
              <w:pStyle w:val="6"/>
              <w:spacing w:before="25" w:line="187" w:lineRule="auto"/>
              <w:ind w:left="124" w:right="111" w:hanging="8"/>
              <w:jc w:val="both"/>
            </w:pPr>
            <w:r>
              <w:rPr>
                <w:spacing w:val="17"/>
              </w:rPr>
              <w:t>机械通风设备、呼吸防护用</w:t>
            </w:r>
            <w:r>
              <w:rPr>
                <w:spacing w:val="16"/>
              </w:rPr>
              <w:t>品、全身式安全带等防护用</w:t>
            </w:r>
            <w:r>
              <w:rPr>
                <w:spacing w:val="12"/>
              </w:rPr>
              <w:t>品和应急救援装备，并对相</w:t>
            </w:r>
            <w:r>
              <w:rPr>
                <w:spacing w:val="16"/>
              </w:rPr>
              <w:t>关用品、装备进行经常性维</w:t>
            </w:r>
            <w:r>
              <w:rPr>
                <w:spacing w:val="12"/>
              </w:rPr>
              <w:t>护、保养和定期检测，确保</w:t>
            </w:r>
            <w:r>
              <w:rPr>
                <w:spacing w:val="1"/>
              </w:rPr>
              <w:t>能够正常使用。</w:t>
            </w:r>
          </w:p>
        </w:tc>
        <w:tc>
          <w:tcPr>
            <w:tcW w:w="2859" w:type="dxa"/>
            <w:vAlign w:val="top"/>
          </w:tcPr>
          <w:p w14:paraId="2DEB20E1">
            <w:pPr>
              <w:pStyle w:val="6"/>
              <w:spacing w:before="41" w:line="182" w:lineRule="auto"/>
              <w:ind w:left="117" w:right="105" w:firstLine="22"/>
            </w:pPr>
            <w:r>
              <w:rPr>
                <w:spacing w:val="6"/>
              </w:rPr>
              <w:t>的，由负责粉尘涉爆企业</w:t>
            </w:r>
            <w:r>
              <w:rPr>
                <w:spacing w:val="8"/>
              </w:rPr>
              <w:t>安全监管的部门依照《中</w:t>
            </w:r>
            <w:r>
              <w:rPr>
                <w:spacing w:val="32"/>
              </w:rPr>
              <w:t>华人民共和国安全生产</w:t>
            </w:r>
            <w:r>
              <w:rPr>
                <w:spacing w:val="8"/>
              </w:rPr>
              <w:t>法》有关规定，责令限期</w:t>
            </w:r>
            <w:r>
              <w:rPr>
                <w:spacing w:val="5"/>
              </w:rPr>
              <w:t>改正，处</w:t>
            </w:r>
            <w:r>
              <w:rPr>
                <w:rFonts w:ascii="宋体" w:hAnsi="宋体" w:eastAsia="宋体" w:cs="宋体"/>
                <w:spacing w:val="5"/>
              </w:rPr>
              <w:t>5</w:t>
            </w:r>
            <w:r>
              <w:rPr>
                <w:spacing w:val="5"/>
              </w:rPr>
              <w:t>万元以下的罚</w:t>
            </w:r>
            <w:r>
              <w:rPr>
                <w:spacing w:val="6"/>
              </w:rPr>
              <w:t>款；逾期未改正的，处</w:t>
            </w:r>
            <w:r>
              <w:rPr>
                <w:rFonts w:ascii="宋体" w:hAnsi="宋体" w:eastAsia="宋体" w:cs="宋体"/>
                <w:spacing w:val="6"/>
              </w:rPr>
              <w:t>5</w:t>
            </w:r>
            <w:r>
              <w:rPr>
                <w:spacing w:val="11"/>
              </w:rPr>
              <w:t>万元以上</w:t>
            </w:r>
            <w:r>
              <w:rPr>
                <w:rFonts w:ascii="宋体" w:hAnsi="宋体" w:eastAsia="宋体" w:cs="宋体"/>
                <w:spacing w:val="11"/>
              </w:rPr>
              <w:t>20</w:t>
            </w:r>
            <w:r>
              <w:rPr>
                <w:spacing w:val="11"/>
              </w:rPr>
              <w:t>万元以下的</w:t>
            </w:r>
            <w:r>
              <w:rPr>
                <w:spacing w:val="8"/>
              </w:rPr>
              <w:t>罚款，对其直接负责的主管人员和其他直接责任人</w:t>
            </w:r>
            <w:r>
              <w:rPr>
                <w:spacing w:val="-1"/>
              </w:rPr>
              <w:t>员处</w:t>
            </w:r>
            <w:r>
              <w:rPr>
                <w:rFonts w:ascii="宋体" w:hAnsi="宋体" w:eastAsia="宋体" w:cs="宋体"/>
                <w:spacing w:val="-1"/>
              </w:rPr>
              <w:t>1</w:t>
            </w:r>
            <w:r>
              <w:rPr>
                <w:spacing w:val="-1"/>
              </w:rPr>
              <w:t>万元以上</w:t>
            </w:r>
            <w:r>
              <w:rPr>
                <w:rFonts w:ascii="宋体" w:hAnsi="宋体" w:eastAsia="宋体" w:cs="宋体"/>
                <w:spacing w:val="-1"/>
              </w:rPr>
              <w:t>2</w:t>
            </w:r>
            <w:r>
              <w:rPr>
                <w:spacing w:val="-1"/>
              </w:rPr>
              <w:t>万元以</w:t>
            </w:r>
            <w:r>
              <w:rPr>
                <w:spacing w:val="4"/>
              </w:rPr>
              <w:t>下的罚款；情节严重的，</w:t>
            </w:r>
            <w:r>
              <w:rPr>
                <w:spacing w:val="8"/>
              </w:rPr>
              <w:t>责令停产停业整顿；构成</w:t>
            </w:r>
            <w:r>
              <w:rPr>
                <w:spacing w:val="4"/>
              </w:rPr>
              <w:t>犯罪的，依照刑法有关规</w:t>
            </w:r>
            <w:r>
              <w:rPr>
                <w:spacing w:val="8"/>
              </w:rPr>
              <w:t>定追究刑事责任</w:t>
            </w:r>
            <w:r>
              <w:rPr>
                <w:spacing w:val="12"/>
              </w:rPr>
              <w:t>：（</w:t>
            </w:r>
            <w:r>
              <w:rPr>
                <w:spacing w:val="8"/>
              </w:rPr>
              <w:t>四）未为粉尘作业岗位相关从业人员提供符合国家标准或者行业标准的劳动防护</w:t>
            </w:r>
            <w:r>
              <w:rPr>
                <w:spacing w:val="-4"/>
              </w:rPr>
              <w:t>用品的；</w:t>
            </w:r>
          </w:p>
          <w:p w14:paraId="4F8A3409">
            <w:pPr>
              <w:pStyle w:val="6"/>
              <w:spacing w:before="12" w:line="180" w:lineRule="auto"/>
              <w:ind w:left="117" w:right="105"/>
              <w:jc w:val="both"/>
            </w:pPr>
            <w:r>
              <w:rPr>
                <w:rFonts w:ascii="宋体" w:hAnsi="宋体" w:eastAsia="宋体" w:cs="宋体"/>
                <w:spacing w:val="7"/>
              </w:rPr>
              <w:t>3.</w:t>
            </w:r>
            <w:r>
              <w:rPr>
                <w:spacing w:val="7"/>
              </w:rPr>
              <w:t>【部门规章】《工贸企</w:t>
            </w:r>
            <w:r>
              <w:rPr>
                <w:spacing w:val="32"/>
              </w:rPr>
              <w:t>业有限空间作业安全规</w:t>
            </w:r>
            <w:r>
              <w:rPr>
                <w:spacing w:val="8"/>
              </w:rPr>
              <w:t>定》第十九条第二项：工</w:t>
            </w:r>
            <w:r>
              <w:rPr>
                <w:spacing w:val="26"/>
              </w:rPr>
              <w:t>贸企业有下列行为之一</w:t>
            </w:r>
            <w:r>
              <w:rPr>
                <w:spacing w:val="5"/>
              </w:rPr>
              <w:t>的，责令限期改正，处</w:t>
            </w:r>
            <w:r>
              <w:rPr>
                <w:rFonts w:ascii="宋体" w:hAnsi="宋体" w:eastAsia="宋体" w:cs="宋体"/>
                <w:spacing w:val="5"/>
              </w:rPr>
              <w:t>5</w:t>
            </w:r>
            <w:r>
              <w:rPr>
                <w:spacing w:val="8"/>
              </w:rPr>
              <w:t>万元以下的罚款；逾期未</w:t>
            </w:r>
            <w:r>
              <w:rPr>
                <w:spacing w:val="-1"/>
              </w:rPr>
              <w:t>改正的，处</w:t>
            </w:r>
            <w:r>
              <w:rPr>
                <w:rFonts w:ascii="宋体" w:hAnsi="宋体" w:eastAsia="宋体" w:cs="宋体"/>
                <w:spacing w:val="-1"/>
              </w:rPr>
              <w:t>5</w:t>
            </w:r>
            <w:r>
              <w:rPr>
                <w:spacing w:val="-1"/>
              </w:rPr>
              <w:t>万元以上</w:t>
            </w:r>
            <w:r>
              <w:rPr>
                <w:rFonts w:ascii="宋体" w:hAnsi="宋体" w:eastAsia="宋体" w:cs="宋体"/>
                <w:spacing w:val="-1"/>
              </w:rPr>
              <w:t>20</w:t>
            </w:r>
            <w:r>
              <w:rPr>
                <w:spacing w:val="8"/>
              </w:rPr>
              <w:t>万元以下的罚款，对其直接负责的主管人员和其他</w:t>
            </w:r>
            <w:r>
              <w:rPr>
                <w:spacing w:val="3"/>
              </w:rPr>
              <w:t>直接责任人员处</w:t>
            </w:r>
            <w:r>
              <w:rPr>
                <w:rFonts w:ascii="宋体" w:hAnsi="宋体" w:eastAsia="宋体" w:cs="宋体"/>
                <w:spacing w:val="3"/>
              </w:rPr>
              <w:t>1</w:t>
            </w:r>
            <w:r>
              <w:rPr>
                <w:spacing w:val="3"/>
              </w:rPr>
              <w:t>万元以</w:t>
            </w:r>
            <w:r>
              <w:rPr>
                <w:spacing w:val="4"/>
              </w:rPr>
              <w:t>上</w:t>
            </w:r>
            <w:r>
              <w:rPr>
                <w:rFonts w:ascii="宋体" w:hAnsi="宋体" w:eastAsia="宋体" w:cs="宋体"/>
                <w:spacing w:val="4"/>
              </w:rPr>
              <w:t>2</w:t>
            </w:r>
            <w:r>
              <w:rPr>
                <w:spacing w:val="4"/>
              </w:rPr>
              <w:t>万元以下的罚款；情</w:t>
            </w:r>
            <w:r>
              <w:rPr>
                <w:spacing w:val="8"/>
              </w:rPr>
              <w:t>节严重的，责令停产停业</w:t>
            </w:r>
          </w:p>
        </w:tc>
        <w:tc>
          <w:tcPr>
            <w:tcW w:w="803" w:type="dxa"/>
            <w:vAlign w:val="top"/>
          </w:tcPr>
          <w:p w14:paraId="098AF27F">
            <w:pPr>
              <w:rPr>
                <w:rFonts w:ascii="Arial"/>
                <w:sz w:val="21"/>
              </w:rPr>
            </w:pPr>
          </w:p>
        </w:tc>
        <w:tc>
          <w:tcPr>
            <w:tcW w:w="2283" w:type="dxa"/>
            <w:vAlign w:val="top"/>
          </w:tcPr>
          <w:p w14:paraId="5090FBBB">
            <w:pPr>
              <w:pStyle w:val="6"/>
              <w:spacing w:before="29" w:line="189" w:lineRule="auto"/>
              <w:ind w:left="118" w:right="106" w:firstLine="1"/>
              <w:jc w:val="both"/>
            </w:pPr>
            <w:r>
              <w:rPr>
                <w:spacing w:val="26"/>
              </w:rPr>
              <w:t>者提供的劳动防护</w:t>
            </w:r>
            <w:r>
              <w:rPr>
                <w:spacing w:val="16"/>
              </w:rPr>
              <w:t>用品有</w:t>
            </w:r>
            <w:r>
              <w:rPr>
                <w:rFonts w:ascii="宋体" w:hAnsi="宋体" w:eastAsia="宋体" w:cs="宋体"/>
                <w:spacing w:val="16"/>
              </w:rPr>
              <w:t>7</w:t>
            </w:r>
            <w:r>
              <w:rPr>
                <w:spacing w:val="16"/>
              </w:rPr>
              <w:t>种以上不</w:t>
            </w:r>
            <w:r>
              <w:rPr>
                <w:spacing w:val="26"/>
              </w:rPr>
              <w:t>符合国家标准或者</w:t>
            </w:r>
            <w:r>
              <w:rPr>
                <w:spacing w:val="6"/>
              </w:rPr>
              <w:t>行业标准的</w:t>
            </w:r>
          </w:p>
        </w:tc>
        <w:tc>
          <w:tcPr>
            <w:tcW w:w="2894" w:type="dxa"/>
            <w:vAlign w:val="top"/>
          </w:tcPr>
          <w:p w14:paraId="0317D614">
            <w:pPr>
              <w:pStyle w:val="6"/>
              <w:spacing w:before="26" w:line="188" w:lineRule="auto"/>
              <w:ind w:left="121" w:right="104" w:firstLine="1"/>
              <w:jc w:val="both"/>
            </w:pPr>
            <w:r>
              <w:rPr>
                <w:spacing w:val="11"/>
              </w:rPr>
              <w:t>对其直接负责的主管人员</w:t>
            </w:r>
            <w:r>
              <w:rPr>
                <w:spacing w:val="13"/>
              </w:rPr>
              <w:t>和其他直接责任人员处</w:t>
            </w:r>
            <w:r>
              <w:rPr>
                <w:rFonts w:ascii="宋体" w:hAnsi="宋体" w:eastAsia="宋体" w:cs="宋体"/>
                <w:spacing w:val="13"/>
              </w:rPr>
              <w:t>1</w:t>
            </w:r>
            <w:r>
              <w:rPr>
                <w:spacing w:val="7"/>
              </w:rPr>
              <w:t>万元以上</w:t>
            </w:r>
            <w:r>
              <w:rPr>
                <w:rFonts w:ascii="宋体" w:hAnsi="宋体" w:eastAsia="宋体" w:cs="宋体"/>
                <w:spacing w:val="7"/>
              </w:rPr>
              <w:t>2</w:t>
            </w:r>
            <w:r>
              <w:rPr>
                <w:spacing w:val="7"/>
              </w:rPr>
              <w:t>万元以下的罚</w:t>
            </w:r>
            <w:r>
              <w:rPr>
                <w:spacing w:val="4"/>
              </w:rPr>
              <w:t>款；情节严重的，责令停</w:t>
            </w:r>
            <w:r>
              <w:rPr>
                <w:spacing w:val="6"/>
              </w:rPr>
              <w:t>产停业整顿</w:t>
            </w:r>
          </w:p>
        </w:tc>
        <w:tc>
          <w:tcPr>
            <w:tcW w:w="811" w:type="dxa"/>
            <w:vAlign w:val="top"/>
          </w:tcPr>
          <w:p w14:paraId="1FB65F35">
            <w:pPr>
              <w:rPr>
                <w:rFonts w:ascii="Arial"/>
                <w:sz w:val="21"/>
              </w:rPr>
            </w:pPr>
          </w:p>
        </w:tc>
      </w:tr>
    </w:tbl>
    <w:p w14:paraId="21700A39">
      <w:pPr>
        <w:pStyle w:val="2"/>
      </w:pPr>
    </w:p>
    <w:p w14:paraId="0759064F">
      <w:pPr>
        <w:sectPr>
          <w:footerReference r:id="rId73" w:type="default"/>
          <w:pgSz w:w="16839" w:h="11906"/>
          <w:pgMar w:top="1012" w:right="821" w:bottom="666" w:left="901" w:header="0" w:footer="388" w:gutter="0"/>
          <w:cols w:space="720" w:num="1"/>
        </w:sectPr>
      </w:pPr>
    </w:p>
    <w:p w14:paraId="3236FAFF">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4FE3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F3F06CE">
            <w:pPr>
              <w:spacing w:before="222" w:line="241" w:lineRule="auto"/>
              <w:ind w:left="131"/>
              <w:outlineLvl w:val="0"/>
              <w:rPr>
                <w:rFonts w:ascii="黑体" w:hAnsi="黑体" w:eastAsia="黑体" w:cs="黑体"/>
                <w:sz w:val="28"/>
                <w:szCs w:val="28"/>
              </w:rPr>
            </w:pPr>
            <w:bookmarkStart w:id="450" w:name="bookmark117"/>
            <w:bookmarkEnd w:id="450"/>
            <w:bookmarkStart w:id="451" w:name="bookmark511"/>
            <w:bookmarkEnd w:id="451"/>
            <w:r>
              <w:rPr>
                <w:rFonts w:ascii="黑体" w:hAnsi="黑体" w:eastAsia="黑体" w:cs="黑体"/>
                <w:spacing w:val="-2"/>
                <w:sz w:val="28"/>
                <w:szCs w:val="28"/>
              </w:rPr>
              <w:t>序号</w:t>
            </w:r>
          </w:p>
        </w:tc>
        <w:tc>
          <w:tcPr>
            <w:tcW w:w="1440" w:type="dxa"/>
            <w:vAlign w:val="top"/>
          </w:tcPr>
          <w:p w14:paraId="2B8BB30D">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3D8A432">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4C0CE018">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B5E257C">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07DC014">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5775888">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73B23AD6">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25CD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818" w:type="dxa"/>
            <w:vAlign w:val="top"/>
          </w:tcPr>
          <w:p w14:paraId="321E2B52">
            <w:pPr>
              <w:rPr>
                <w:rFonts w:ascii="Arial"/>
                <w:sz w:val="21"/>
              </w:rPr>
            </w:pPr>
          </w:p>
        </w:tc>
        <w:tc>
          <w:tcPr>
            <w:tcW w:w="1440" w:type="dxa"/>
            <w:vAlign w:val="top"/>
          </w:tcPr>
          <w:p w14:paraId="7DC0BD8E">
            <w:pPr>
              <w:rPr>
                <w:rFonts w:ascii="Arial"/>
                <w:sz w:val="21"/>
              </w:rPr>
            </w:pPr>
          </w:p>
        </w:tc>
        <w:tc>
          <w:tcPr>
            <w:tcW w:w="3202" w:type="dxa"/>
            <w:vAlign w:val="top"/>
          </w:tcPr>
          <w:p w14:paraId="7E0718EA">
            <w:pPr>
              <w:rPr>
                <w:rFonts w:ascii="Arial"/>
                <w:sz w:val="21"/>
              </w:rPr>
            </w:pPr>
          </w:p>
        </w:tc>
        <w:tc>
          <w:tcPr>
            <w:tcW w:w="2859" w:type="dxa"/>
            <w:vAlign w:val="top"/>
          </w:tcPr>
          <w:p w14:paraId="4A172412">
            <w:pPr>
              <w:pStyle w:val="6"/>
              <w:spacing w:before="30" w:line="180" w:lineRule="auto"/>
              <w:ind w:left="116" w:right="110" w:firstLine="3"/>
              <w:jc w:val="both"/>
            </w:pPr>
            <w:r>
              <w:rPr>
                <w:spacing w:val="8"/>
              </w:rPr>
              <w:t>整顿；构成犯罪的，依照刑法有关规定追究刑事责任</w:t>
            </w:r>
            <w:r>
              <w:rPr>
                <w:spacing w:val="10"/>
              </w:rPr>
              <w:t>：（</w:t>
            </w:r>
            <w:r>
              <w:rPr>
                <w:spacing w:val="8"/>
              </w:rPr>
              <w:t>二）未按照规定配备、使用符合国家标准或者行业标准的有限空间作业安全仪器、设备、装备和器材的，或者未对其进行经常性维护、保养和定</w:t>
            </w:r>
            <w:r>
              <w:t>期检测的。</w:t>
            </w:r>
          </w:p>
        </w:tc>
        <w:tc>
          <w:tcPr>
            <w:tcW w:w="803" w:type="dxa"/>
            <w:vAlign w:val="top"/>
          </w:tcPr>
          <w:p w14:paraId="112DBF01">
            <w:pPr>
              <w:rPr>
                <w:rFonts w:ascii="Arial"/>
                <w:sz w:val="21"/>
              </w:rPr>
            </w:pPr>
          </w:p>
        </w:tc>
        <w:tc>
          <w:tcPr>
            <w:tcW w:w="2283" w:type="dxa"/>
            <w:vAlign w:val="top"/>
          </w:tcPr>
          <w:p w14:paraId="4B1B9792">
            <w:pPr>
              <w:rPr>
                <w:rFonts w:ascii="Arial"/>
                <w:sz w:val="21"/>
              </w:rPr>
            </w:pPr>
          </w:p>
        </w:tc>
        <w:tc>
          <w:tcPr>
            <w:tcW w:w="2894" w:type="dxa"/>
            <w:vAlign w:val="top"/>
          </w:tcPr>
          <w:p w14:paraId="4DA43173">
            <w:pPr>
              <w:rPr>
                <w:rFonts w:ascii="Arial"/>
                <w:sz w:val="21"/>
              </w:rPr>
            </w:pPr>
          </w:p>
        </w:tc>
        <w:tc>
          <w:tcPr>
            <w:tcW w:w="811" w:type="dxa"/>
            <w:vAlign w:val="top"/>
          </w:tcPr>
          <w:p w14:paraId="0FEE2385">
            <w:pPr>
              <w:rPr>
                <w:rFonts w:ascii="Arial"/>
                <w:sz w:val="21"/>
              </w:rPr>
            </w:pPr>
          </w:p>
        </w:tc>
      </w:tr>
      <w:tr w14:paraId="23DB2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trPr>
        <w:tc>
          <w:tcPr>
            <w:tcW w:w="818" w:type="dxa"/>
            <w:vMerge w:val="restart"/>
            <w:tcBorders>
              <w:bottom w:val="nil"/>
            </w:tcBorders>
            <w:vAlign w:val="top"/>
          </w:tcPr>
          <w:p w14:paraId="1EBA7041">
            <w:pPr>
              <w:spacing w:line="249" w:lineRule="auto"/>
              <w:rPr>
                <w:rFonts w:ascii="Arial"/>
                <w:sz w:val="21"/>
              </w:rPr>
            </w:pPr>
          </w:p>
          <w:p w14:paraId="61F2DD65">
            <w:pPr>
              <w:spacing w:line="249" w:lineRule="auto"/>
              <w:rPr>
                <w:rFonts w:ascii="Arial"/>
                <w:sz w:val="21"/>
              </w:rPr>
            </w:pPr>
          </w:p>
          <w:p w14:paraId="7095B19C">
            <w:pPr>
              <w:spacing w:line="249" w:lineRule="auto"/>
              <w:rPr>
                <w:rFonts w:ascii="Arial"/>
                <w:sz w:val="21"/>
              </w:rPr>
            </w:pPr>
          </w:p>
          <w:p w14:paraId="3005A6EF">
            <w:pPr>
              <w:spacing w:line="249" w:lineRule="auto"/>
              <w:rPr>
                <w:rFonts w:ascii="Arial"/>
                <w:sz w:val="21"/>
              </w:rPr>
            </w:pPr>
          </w:p>
          <w:p w14:paraId="299AD7D2">
            <w:pPr>
              <w:spacing w:line="249" w:lineRule="auto"/>
              <w:rPr>
                <w:rFonts w:ascii="Arial"/>
                <w:sz w:val="21"/>
              </w:rPr>
            </w:pPr>
          </w:p>
          <w:p w14:paraId="5643105B">
            <w:pPr>
              <w:spacing w:line="249" w:lineRule="auto"/>
              <w:rPr>
                <w:rFonts w:ascii="Arial"/>
                <w:sz w:val="21"/>
              </w:rPr>
            </w:pPr>
          </w:p>
          <w:p w14:paraId="6FF5E54D">
            <w:pPr>
              <w:spacing w:line="250" w:lineRule="auto"/>
              <w:rPr>
                <w:rFonts w:ascii="Arial"/>
                <w:sz w:val="21"/>
              </w:rPr>
            </w:pPr>
          </w:p>
          <w:p w14:paraId="159AB7F6">
            <w:pPr>
              <w:spacing w:line="250" w:lineRule="auto"/>
              <w:rPr>
                <w:rFonts w:ascii="Arial"/>
                <w:sz w:val="21"/>
              </w:rPr>
            </w:pPr>
          </w:p>
          <w:p w14:paraId="1EC3E965">
            <w:pPr>
              <w:spacing w:line="250" w:lineRule="auto"/>
              <w:rPr>
                <w:rFonts w:ascii="Arial"/>
                <w:sz w:val="21"/>
              </w:rPr>
            </w:pPr>
          </w:p>
          <w:p w14:paraId="084F4787">
            <w:pPr>
              <w:spacing w:line="250" w:lineRule="auto"/>
              <w:rPr>
                <w:rFonts w:ascii="Arial"/>
                <w:sz w:val="21"/>
              </w:rPr>
            </w:pPr>
          </w:p>
          <w:p w14:paraId="65D07CC0">
            <w:pPr>
              <w:spacing w:line="250" w:lineRule="auto"/>
              <w:rPr>
                <w:rFonts w:ascii="Arial"/>
                <w:sz w:val="21"/>
              </w:rPr>
            </w:pPr>
          </w:p>
          <w:p w14:paraId="1293C03A">
            <w:pPr>
              <w:spacing w:line="250" w:lineRule="auto"/>
              <w:rPr>
                <w:rFonts w:ascii="Arial"/>
                <w:sz w:val="21"/>
              </w:rPr>
            </w:pPr>
          </w:p>
          <w:p w14:paraId="58A117F9">
            <w:pPr>
              <w:spacing w:before="75" w:line="185" w:lineRule="auto"/>
              <w:ind w:left="239"/>
              <w:rPr>
                <w:rFonts w:ascii="仿宋" w:hAnsi="仿宋" w:eastAsia="仿宋" w:cs="仿宋"/>
                <w:sz w:val="23"/>
                <w:szCs w:val="23"/>
              </w:rPr>
            </w:pPr>
            <w:r>
              <w:rPr>
                <w:rFonts w:ascii="仿宋" w:hAnsi="仿宋" w:eastAsia="仿宋" w:cs="仿宋"/>
                <w:spacing w:val="-4"/>
                <w:sz w:val="23"/>
                <w:szCs w:val="23"/>
              </w:rPr>
              <w:t>56</w:t>
            </w:r>
          </w:p>
        </w:tc>
        <w:tc>
          <w:tcPr>
            <w:tcW w:w="1440" w:type="dxa"/>
            <w:vMerge w:val="restart"/>
            <w:tcBorders>
              <w:bottom w:val="nil"/>
            </w:tcBorders>
            <w:vAlign w:val="top"/>
          </w:tcPr>
          <w:p w14:paraId="1436C775">
            <w:pPr>
              <w:spacing w:line="279" w:lineRule="auto"/>
              <w:rPr>
                <w:rFonts w:ascii="Arial"/>
                <w:sz w:val="21"/>
              </w:rPr>
            </w:pPr>
          </w:p>
          <w:p w14:paraId="00B0468E">
            <w:pPr>
              <w:spacing w:line="279" w:lineRule="auto"/>
              <w:rPr>
                <w:rFonts w:ascii="Arial"/>
                <w:sz w:val="21"/>
              </w:rPr>
            </w:pPr>
          </w:p>
          <w:p w14:paraId="3E58DA09">
            <w:pPr>
              <w:spacing w:line="279" w:lineRule="auto"/>
              <w:rPr>
                <w:rFonts w:ascii="Arial"/>
                <w:sz w:val="21"/>
              </w:rPr>
            </w:pPr>
          </w:p>
          <w:p w14:paraId="09162F7E">
            <w:pPr>
              <w:pStyle w:val="6"/>
              <w:spacing w:before="99" w:line="182" w:lineRule="auto"/>
              <w:ind w:left="128"/>
            </w:pPr>
            <w:r>
              <w:rPr>
                <w:spacing w:val="9"/>
              </w:rPr>
              <w:t>两个以上生</w:t>
            </w:r>
          </w:p>
          <w:p w14:paraId="178689D8">
            <w:pPr>
              <w:pStyle w:val="6"/>
              <w:spacing w:line="182" w:lineRule="auto"/>
              <w:ind w:left="117"/>
              <w:outlineLvl w:val="0"/>
            </w:pPr>
            <w:bookmarkStart w:id="452" w:name="bookmark97"/>
            <w:bookmarkEnd w:id="452"/>
            <w:r>
              <w:rPr>
                <w:spacing w:val="11"/>
              </w:rPr>
              <w:t>产经营单位</w:t>
            </w:r>
          </w:p>
          <w:p w14:paraId="2C489850">
            <w:pPr>
              <w:pStyle w:val="6"/>
              <w:spacing w:before="11" w:line="184" w:lineRule="auto"/>
              <w:ind w:left="115" w:right="111"/>
              <w:jc w:val="both"/>
            </w:pPr>
            <w:r>
              <w:rPr>
                <w:spacing w:val="11"/>
              </w:rPr>
              <w:t>在同一作业区域内进行可能危及对方安全生产的生产经营</w:t>
            </w:r>
            <w:r>
              <w:rPr>
                <w:spacing w:val="4"/>
              </w:rPr>
              <w:t>活动，未签</w:t>
            </w:r>
            <w:r>
              <w:rPr>
                <w:spacing w:val="11"/>
              </w:rPr>
              <w:t>订安全生产管理协议或者未指定专职安全生产管理人员进行安全检查</w:t>
            </w:r>
            <w:r>
              <w:rPr>
                <w:spacing w:val="6"/>
              </w:rPr>
              <w:t>与协调的</w:t>
            </w:r>
          </w:p>
        </w:tc>
        <w:tc>
          <w:tcPr>
            <w:tcW w:w="3202" w:type="dxa"/>
            <w:vMerge w:val="restart"/>
            <w:tcBorders>
              <w:bottom w:val="nil"/>
            </w:tcBorders>
            <w:vAlign w:val="top"/>
          </w:tcPr>
          <w:p w14:paraId="0332121F">
            <w:pPr>
              <w:pStyle w:val="6"/>
              <w:spacing w:before="29" w:line="185" w:lineRule="auto"/>
              <w:ind w:left="116" w:right="111" w:hanging="18"/>
            </w:pPr>
            <w:r>
              <w:rPr>
                <w:spacing w:val="18"/>
              </w:rPr>
              <w:t>【法律】《中华人民共和国</w:t>
            </w:r>
            <w:r>
              <w:rPr>
                <w:spacing w:val="13"/>
              </w:rPr>
              <w:t>安全生产法》第四十八条：</w:t>
            </w:r>
            <w:r>
              <w:rPr>
                <w:spacing w:val="17"/>
              </w:rPr>
              <w:t>两个以上生产经营单位在同一作业区域内进行生产经营</w:t>
            </w:r>
            <w:r>
              <w:rPr>
                <w:spacing w:val="13"/>
              </w:rPr>
              <w:t>活动，可能危及对方生产安全的，应当签订安全生产管</w:t>
            </w:r>
            <w:r>
              <w:rPr>
                <w:spacing w:val="10"/>
              </w:rPr>
              <w:t>理协议，明确各自的安全生</w:t>
            </w:r>
            <w:r>
              <w:rPr>
                <w:spacing w:val="17"/>
              </w:rPr>
              <w:t>产管理职责和应当采取的安</w:t>
            </w:r>
            <w:r>
              <w:rPr>
                <w:spacing w:val="13"/>
              </w:rPr>
              <w:t>全措施，并指定专职安全生</w:t>
            </w:r>
            <w:r>
              <w:rPr>
                <w:spacing w:val="17"/>
              </w:rPr>
              <w:t>产管理人员进行安全检查与</w:t>
            </w:r>
            <w:r>
              <w:rPr>
                <w:spacing w:val="-4"/>
              </w:rPr>
              <w:t>协调。</w:t>
            </w:r>
          </w:p>
        </w:tc>
        <w:tc>
          <w:tcPr>
            <w:tcW w:w="2859" w:type="dxa"/>
            <w:vMerge w:val="restart"/>
            <w:tcBorders>
              <w:bottom w:val="nil"/>
            </w:tcBorders>
            <w:vAlign w:val="top"/>
          </w:tcPr>
          <w:p w14:paraId="659DF972">
            <w:pPr>
              <w:pStyle w:val="6"/>
              <w:spacing w:before="34" w:line="184" w:lineRule="auto"/>
              <w:ind w:left="117" w:right="38" w:hanging="20"/>
              <w:jc w:val="both"/>
            </w:pPr>
            <w:r>
              <w:rPr>
                <w:spacing w:val="10"/>
              </w:rPr>
              <w:t>【法律】《中华人民共和</w:t>
            </w:r>
            <w:r>
              <w:rPr>
                <w:spacing w:val="8"/>
              </w:rPr>
              <w:t>国安全生产法》第一百零</w:t>
            </w:r>
            <w:r>
              <w:rPr>
                <w:spacing w:val="4"/>
              </w:rPr>
              <w:t>四条：两个以上生产经营</w:t>
            </w:r>
            <w:r>
              <w:rPr>
                <w:spacing w:val="8"/>
              </w:rPr>
              <w:t>单位在同一作业区域内进行可能危及对方安全生产的生产经营活动，未签订安全生产管理协议或者未指定专职安全生产管理人</w:t>
            </w:r>
            <w:r>
              <w:rPr>
                <w:spacing w:val="32"/>
              </w:rPr>
              <w:t>员进行安全检查与协调</w:t>
            </w:r>
            <w:r>
              <w:rPr>
                <w:spacing w:val="8"/>
              </w:rPr>
              <w:t>的，责令限期改正，处五万元以下的罚款，对其直接负责的主管人员和其他直接责任人员处一万元以</w:t>
            </w:r>
            <w:r>
              <w:rPr>
                <w:spacing w:val="-6"/>
              </w:rPr>
              <w:t>下的罚款；逾期未改正的，</w:t>
            </w:r>
            <w:r>
              <w:rPr>
                <w:spacing w:val="2"/>
              </w:rPr>
              <w:t>责令停产停业。</w:t>
            </w:r>
          </w:p>
        </w:tc>
        <w:tc>
          <w:tcPr>
            <w:tcW w:w="803" w:type="dxa"/>
            <w:vAlign w:val="top"/>
          </w:tcPr>
          <w:p w14:paraId="2368C1BF">
            <w:pPr>
              <w:spacing w:line="297" w:lineRule="auto"/>
              <w:rPr>
                <w:rFonts w:ascii="Arial"/>
                <w:sz w:val="21"/>
              </w:rPr>
            </w:pPr>
          </w:p>
          <w:p w14:paraId="13035476">
            <w:pPr>
              <w:spacing w:line="297" w:lineRule="auto"/>
              <w:rPr>
                <w:rFonts w:ascii="Arial"/>
                <w:sz w:val="21"/>
              </w:rPr>
            </w:pPr>
          </w:p>
          <w:p w14:paraId="1C76CA82">
            <w:pPr>
              <w:spacing w:line="298" w:lineRule="auto"/>
              <w:rPr>
                <w:rFonts w:ascii="Arial"/>
                <w:sz w:val="21"/>
              </w:rPr>
            </w:pPr>
          </w:p>
          <w:p w14:paraId="7A4A523F">
            <w:pPr>
              <w:spacing w:line="298" w:lineRule="auto"/>
              <w:rPr>
                <w:rFonts w:ascii="Arial"/>
                <w:sz w:val="21"/>
              </w:rPr>
            </w:pPr>
          </w:p>
          <w:p w14:paraId="4DD8D1C3">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55673FB">
            <w:pPr>
              <w:pStyle w:val="6"/>
              <w:spacing w:before="29" w:line="180" w:lineRule="auto"/>
              <w:ind w:left="114" w:right="65" w:firstLine="15"/>
              <w:jc w:val="both"/>
            </w:pPr>
            <w:r>
              <w:rPr>
                <w:spacing w:val="24"/>
              </w:rPr>
              <w:t>两个以上生产经营</w:t>
            </w:r>
            <w:r>
              <w:rPr>
                <w:spacing w:val="26"/>
              </w:rPr>
              <w:t>单位在同一作业区域内进行可能危及对方安全生产的生</w:t>
            </w:r>
            <w:r>
              <w:rPr>
                <w:spacing w:val="-2"/>
              </w:rPr>
              <w:t>产经营活动，未签订</w:t>
            </w:r>
            <w:r>
              <w:rPr>
                <w:spacing w:val="3"/>
              </w:rPr>
              <w:t>安全生产管理协议，</w:t>
            </w:r>
            <w:r>
              <w:rPr>
                <w:spacing w:val="26"/>
              </w:rPr>
              <w:t>但指定了专职安全生产管理人员进行</w:t>
            </w:r>
            <w:r>
              <w:rPr>
                <w:spacing w:val="8"/>
              </w:rPr>
              <w:t>安全检查与协调的</w:t>
            </w:r>
          </w:p>
        </w:tc>
        <w:tc>
          <w:tcPr>
            <w:tcW w:w="2894" w:type="dxa"/>
            <w:vAlign w:val="top"/>
          </w:tcPr>
          <w:p w14:paraId="74FD327F">
            <w:pPr>
              <w:spacing w:line="375" w:lineRule="auto"/>
              <w:rPr>
                <w:rFonts w:ascii="Arial"/>
                <w:sz w:val="21"/>
              </w:rPr>
            </w:pPr>
          </w:p>
          <w:p w14:paraId="0F2D1420">
            <w:pPr>
              <w:pStyle w:val="6"/>
              <w:spacing w:before="99" w:line="187" w:lineRule="auto"/>
              <w:ind w:left="117" w:right="103" w:firstLine="10"/>
              <w:jc w:val="both"/>
            </w:pPr>
            <w:r>
              <w:rPr>
                <w:spacing w:val="4"/>
              </w:rPr>
              <w:t>责令限期改正，处</w:t>
            </w:r>
            <w:r>
              <w:rPr>
                <w:rFonts w:ascii="宋体" w:hAnsi="宋体" w:eastAsia="宋体" w:cs="宋体"/>
                <w:spacing w:val="4"/>
              </w:rPr>
              <w:t>2</w:t>
            </w:r>
            <w:r>
              <w:rPr>
                <w:spacing w:val="4"/>
              </w:rPr>
              <w:t>万元</w:t>
            </w:r>
            <w:r>
              <w:rPr>
                <w:spacing w:val="8"/>
              </w:rPr>
              <w:t>以下的罚款，对其直接负</w:t>
            </w:r>
            <w:r>
              <w:rPr>
                <w:spacing w:val="11"/>
              </w:rPr>
              <w:t>责的主管人员和其他直接</w:t>
            </w:r>
            <w:r>
              <w:rPr>
                <w:spacing w:val="5"/>
              </w:rPr>
              <w:t>责任人员处</w:t>
            </w:r>
            <w:r>
              <w:rPr>
                <w:rFonts w:ascii="宋体" w:hAnsi="宋体" w:eastAsia="宋体" w:cs="宋体"/>
                <w:spacing w:val="5"/>
              </w:rPr>
              <w:t>1</w:t>
            </w:r>
            <w:r>
              <w:rPr>
                <w:spacing w:val="5"/>
              </w:rPr>
              <w:t>万元以下的罚款；逾期未改正的，责</w:t>
            </w:r>
            <w:r>
              <w:rPr>
                <w:spacing w:val="7"/>
              </w:rPr>
              <w:t>令停产停业</w:t>
            </w:r>
          </w:p>
        </w:tc>
        <w:tc>
          <w:tcPr>
            <w:tcW w:w="811" w:type="dxa"/>
            <w:vMerge w:val="restart"/>
            <w:tcBorders>
              <w:bottom w:val="nil"/>
            </w:tcBorders>
            <w:vAlign w:val="top"/>
          </w:tcPr>
          <w:p w14:paraId="2716D60D">
            <w:pPr>
              <w:spacing w:line="249" w:lineRule="auto"/>
              <w:rPr>
                <w:rFonts w:ascii="Arial"/>
                <w:sz w:val="21"/>
              </w:rPr>
            </w:pPr>
          </w:p>
          <w:p w14:paraId="1B686888">
            <w:pPr>
              <w:spacing w:line="249" w:lineRule="auto"/>
              <w:rPr>
                <w:rFonts w:ascii="Arial"/>
                <w:sz w:val="21"/>
              </w:rPr>
            </w:pPr>
          </w:p>
          <w:p w14:paraId="394A7DD0">
            <w:pPr>
              <w:spacing w:line="249" w:lineRule="auto"/>
              <w:rPr>
                <w:rFonts w:ascii="Arial"/>
                <w:sz w:val="21"/>
              </w:rPr>
            </w:pPr>
          </w:p>
          <w:p w14:paraId="2622BC38">
            <w:pPr>
              <w:spacing w:line="249" w:lineRule="auto"/>
              <w:rPr>
                <w:rFonts w:ascii="Arial"/>
                <w:sz w:val="21"/>
              </w:rPr>
            </w:pPr>
          </w:p>
          <w:p w14:paraId="5E22748A">
            <w:pPr>
              <w:spacing w:line="249" w:lineRule="auto"/>
              <w:rPr>
                <w:rFonts w:ascii="Arial"/>
                <w:sz w:val="21"/>
              </w:rPr>
            </w:pPr>
          </w:p>
          <w:p w14:paraId="37C3551B">
            <w:pPr>
              <w:spacing w:line="249" w:lineRule="auto"/>
              <w:rPr>
                <w:rFonts w:ascii="Arial"/>
                <w:sz w:val="21"/>
              </w:rPr>
            </w:pPr>
          </w:p>
          <w:p w14:paraId="111E44B5">
            <w:pPr>
              <w:spacing w:line="249" w:lineRule="auto"/>
              <w:rPr>
                <w:rFonts w:ascii="Arial"/>
                <w:sz w:val="21"/>
              </w:rPr>
            </w:pPr>
          </w:p>
          <w:p w14:paraId="1A1A5E1D">
            <w:pPr>
              <w:spacing w:line="249" w:lineRule="auto"/>
              <w:rPr>
                <w:rFonts w:ascii="Arial"/>
                <w:sz w:val="21"/>
              </w:rPr>
            </w:pPr>
          </w:p>
          <w:p w14:paraId="59C160DA">
            <w:pPr>
              <w:spacing w:line="249" w:lineRule="auto"/>
              <w:rPr>
                <w:rFonts w:ascii="Arial"/>
                <w:sz w:val="21"/>
              </w:rPr>
            </w:pPr>
          </w:p>
          <w:p w14:paraId="488588F5">
            <w:pPr>
              <w:spacing w:line="249" w:lineRule="auto"/>
              <w:rPr>
                <w:rFonts w:ascii="Arial"/>
                <w:sz w:val="21"/>
              </w:rPr>
            </w:pPr>
          </w:p>
          <w:p w14:paraId="73CB7DF8">
            <w:pPr>
              <w:spacing w:line="249" w:lineRule="auto"/>
              <w:rPr>
                <w:rFonts w:ascii="Arial"/>
                <w:sz w:val="21"/>
              </w:rPr>
            </w:pPr>
          </w:p>
          <w:p w14:paraId="725AA285">
            <w:pPr>
              <w:spacing w:line="250" w:lineRule="auto"/>
              <w:rPr>
                <w:rFonts w:ascii="Arial"/>
                <w:sz w:val="21"/>
              </w:rPr>
            </w:pPr>
          </w:p>
          <w:p w14:paraId="071EC4EC">
            <w:pPr>
              <w:spacing w:before="75" w:line="189" w:lineRule="auto"/>
              <w:ind w:left="290"/>
              <w:rPr>
                <w:rFonts w:ascii="宋体" w:hAnsi="宋体" w:eastAsia="宋体" w:cs="宋体"/>
                <w:sz w:val="23"/>
                <w:szCs w:val="23"/>
              </w:rPr>
            </w:pPr>
            <w:r>
              <w:rPr>
                <w:rFonts w:ascii="宋体" w:hAnsi="宋体" w:eastAsia="宋体" w:cs="宋体"/>
                <w:spacing w:val="-1"/>
                <w:sz w:val="23"/>
                <w:szCs w:val="23"/>
              </w:rPr>
              <w:t>41</w:t>
            </w:r>
          </w:p>
        </w:tc>
      </w:tr>
      <w:tr w14:paraId="0DDD9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818" w:type="dxa"/>
            <w:vMerge w:val="continue"/>
            <w:tcBorders>
              <w:top w:val="nil"/>
              <w:bottom w:val="nil"/>
            </w:tcBorders>
            <w:vAlign w:val="top"/>
          </w:tcPr>
          <w:p w14:paraId="34E9910F">
            <w:pPr>
              <w:rPr>
                <w:rFonts w:ascii="Arial"/>
                <w:sz w:val="21"/>
              </w:rPr>
            </w:pPr>
          </w:p>
        </w:tc>
        <w:tc>
          <w:tcPr>
            <w:tcW w:w="1440" w:type="dxa"/>
            <w:vMerge w:val="continue"/>
            <w:tcBorders>
              <w:top w:val="nil"/>
              <w:bottom w:val="nil"/>
            </w:tcBorders>
            <w:vAlign w:val="top"/>
          </w:tcPr>
          <w:p w14:paraId="06024CF3">
            <w:pPr>
              <w:rPr>
                <w:rFonts w:ascii="Arial"/>
                <w:sz w:val="21"/>
              </w:rPr>
            </w:pPr>
          </w:p>
        </w:tc>
        <w:tc>
          <w:tcPr>
            <w:tcW w:w="3202" w:type="dxa"/>
            <w:vMerge w:val="continue"/>
            <w:tcBorders>
              <w:top w:val="nil"/>
              <w:bottom w:val="nil"/>
            </w:tcBorders>
            <w:vAlign w:val="top"/>
          </w:tcPr>
          <w:p w14:paraId="6EDC84FE">
            <w:pPr>
              <w:rPr>
                <w:rFonts w:ascii="Arial"/>
                <w:sz w:val="21"/>
              </w:rPr>
            </w:pPr>
          </w:p>
        </w:tc>
        <w:tc>
          <w:tcPr>
            <w:tcW w:w="2859" w:type="dxa"/>
            <w:vMerge w:val="continue"/>
            <w:tcBorders>
              <w:top w:val="nil"/>
              <w:bottom w:val="nil"/>
            </w:tcBorders>
            <w:vAlign w:val="top"/>
          </w:tcPr>
          <w:p w14:paraId="32B48B41">
            <w:pPr>
              <w:rPr>
                <w:rFonts w:ascii="Arial"/>
                <w:sz w:val="21"/>
              </w:rPr>
            </w:pPr>
          </w:p>
        </w:tc>
        <w:tc>
          <w:tcPr>
            <w:tcW w:w="803" w:type="dxa"/>
            <w:vAlign w:val="top"/>
          </w:tcPr>
          <w:p w14:paraId="0EBEC6CA">
            <w:pPr>
              <w:spacing w:line="298" w:lineRule="auto"/>
              <w:rPr>
                <w:rFonts w:ascii="Arial"/>
                <w:sz w:val="21"/>
              </w:rPr>
            </w:pPr>
          </w:p>
          <w:p w14:paraId="0B1CDAC6">
            <w:pPr>
              <w:spacing w:line="299" w:lineRule="auto"/>
              <w:rPr>
                <w:rFonts w:ascii="Arial"/>
                <w:sz w:val="21"/>
              </w:rPr>
            </w:pPr>
          </w:p>
          <w:p w14:paraId="32164BBF">
            <w:pPr>
              <w:spacing w:line="299" w:lineRule="auto"/>
              <w:rPr>
                <w:rFonts w:ascii="Arial"/>
                <w:sz w:val="21"/>
              </w:rPr>
            </w:pPr>
          </w:p>
          <w:p w14:paraId="1F8D2F40">
            <w:pPr>
              <w:spacing w:line="299" w:lineRule="auto"/>
              <w:rPr>
                <w:rFonts w:ascii="Arial"/>
                <w:sz w:val="21"/>
              </w:rPr>
            </w:pPr>
          </w:p>
          <w:p w14:paraId="293E466D">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5074794">
            <w:pPr>
              <w:pStyle w:val="6"/>
              <w:spacing w:before="30" w:line="180" w:lineRule="auto"/>
              <w:ind w:left="114" w:right="65" w:firstLine="15"/>
              <w:jc w:val="both"/>
            </w:pPr>
            <w:r>
              <w:rPr>
                <w:spacing w:val="24"/>
              </w:rPr>
              <w:t>两个以上生产经营</w:t>
            </w:r>
            <w:r>
              <w:rPr>
                <w:spacing w:val="26"/>
              </w:rPr>
              <w:t>单位在同一作业区域内进行可能危及对方安全生产的生</w:t>
            </w:r>
            <w:r>
              <w:rPr>
                <w:spacing w:val="-2"/>
              </w:rPr>
              <w:t>产经营活动，签订了</w:t>
            </w:r>
            <w:r>
              <w:rPr>
                <w:spacing w:val="3"/>
              </w:rPr>
              <w:t>安全生产管理协议，</w:t>
            </w:r>
            <w:r>
              <w:rPr>
                <w:spacing w:val="26"/>
              </w:rPr>
              <w:t>但未指定专职安全生产管理人员进行</w:t>
            </w:r>
            <w:r>
              <w:rPr>
                <w:spacing w:val="8"/>
              </w:rPr>
              <w:t>安全检查与协调的</w:t>
            </w:r>
          </w:p>
        </w:tc>
        <w:tc>
          <w:tcPr>
            <w:tcW w:w="2894" w:type="dxa"/>
            <w:vAlign w:val="top"/>
          </w:tcPr>
          <w:p w14:paraId="306D4826">
            <w:pPr>
              <w:spacing w:line="377" w:lineRule="auto"/>
              <w:rPr>
                <w:rFonts w:ascii="Arial"/>
                <w:sz w:val="21"/>
              </w:rPr>
            </w:pPr>
          </w:p>
          <w:p w14:paraId="34ADEE15">
            <w:pPr>
              <w:pStyle w:val="6"/>
              <w:spacing w:before="99" w:line="187" w:lineRule="auto"/>
              <w:ind w:left="122" w:right="103" w:firstLine="5"/>
            </w:pPr>
            <w:r>
              <w:rPr>
                <w:spacing w:val="4"/>
              </w:rPr>
              <w:t>责令限期改正，处</w:t>
            </w:r>
            <w:r>
              <w:rPr>
                <w:rFonts w:ascii="宋体" w:hAnsi="宋体" w:eastAsia="宋体" w:cs="宋体"/>
                <w:spacing w:val="4"/>
              </w:rPr>
              <w:t>2</w:t>
            </w:r>
            <w:r>
              <w:rPr>
                <w:spacing w:val="4"/>
              </w:rPr>
              <w:t>万元</w:t>
            </w:r>
            <w:r>
              <w:rPr>
                <w:spacing w:val="6"/>
              </w:rPr>
              <w:t>以上</w:t>
            </w:r>
            <w:r>
              <w:rPr>
                <w:rFonts w:ascii="宋体" w:hAnsi="宋体" w:eastAsia="宋体" w:cs="宋体"/>
                <w:spacing w:val="6"/>
              </w:rPr>
              <w:t>4</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8"/>
              </w:rPr>
              <w:t>万元以下的罚款；逾期未</w:t>
            </w:r>
            <w:r>
              <w:rPr>
                <w:spacing w:val="7"/>
              </w:rPr>
              <w:t>改正的，责令停产停业</w:t>
            </w:r>
          </w:p>
        </w:tc>
        <w:tc>
          <w:tcPr>
            <w:tcW w:w="811" w:type="dxa"/>
            <w:vMerge w:val="continue"/>
            <w:tcBorders>
              <w:top w:val="nil"/>
              <w:bottom w:val="nil"/>
            </w:tcBorders>
            <w:vAlign w:val="top"/>
          </w:tcPr>
          <w:p w14:paraId="19568431">
            <w:pPr>
              <w:rPr>
                <w:rFonts w:ascii="Arial"/>
                <w:sz w:val="21"/>
              </w:rPr>
            </w:pPr>
          </w:p>
        </w:tc>
      </w:tr>
      <w:tr w14:paraId="756C3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818" w:type="dxa"/>
            <w:vMerge w:val="continue"/>
            <w:tcBorders>
              <w:top w:val="nil"/>
            </w:tcBorders>
            <w:vAlign w:val="top"/>
          </w:tcPr>
          <w:p w14:paraId="59497132">
            <w:pPr>
              <w:rPr>
                <w:rFonts w:ascii="Arial"/>
                <w:sz w:val="21"/>
              </w:rPr>
            </w:pPr>
          </w:p>
        </w:tc>
        <w:tc>
          <w:tcPr>
            <w:tcW w:w="1440" w:type="dxa"/>
            <w:vMerge w:val="continue"/>
            <w:tcBorders>
              <w:top w:val="nil"/>
            </w:tcBorders>
            <w:vAlign w:val="top"/>
          </w:tcPr>
          <w:p w14:paraId="5334CF60">
            <w:pPr>
              <w:rPr>
                <w:rFonts w:ascii="Arial"/>
                <w:sz w:val="21"/>
              </w:rPr>
            </w:pPr>
          </w:p>
        </w:tc>
        <w:tc>
          <w:tcPr>
            <w:tcW w:w="3202" w:type="dxa"/>
            <w:vMerge w:val="continue"/>
            <w:tcBorders>
              <w:top w:val="nil"/>
            </w:tcBorders>
            <w:vAlign w:val="top"/>
          </w:tcPr>
          <w:p w14:paraId="281AACDE">
            <w:pPr>
              <w:rPr>
                <w:rFonts w:ascii="Arial"/>
                <w:sz w:val="21"/>
              </w:rPr>
            </w:pPr>
          </w:p>
        </w:tc>
        <w:tc>
          <w:tcPr>
            <w:tcW w:w="2859" w:type="dxa"/>
            <w:vMerge w:val="continue"/>
            <w:tcBorders>
              <w:top w:val="nil"/>
            </w:tcBorders>
            <w:vAlign w:val="top"/>
          </w:tcPr>
          <w:p w14:paraId="101583E2">
            <w:pPr>
              <w:rPr>
                <w:rFonts w:ascii="Arial"/>
                <w:sz w:val="21"/>
              </w:rPr>
            </w:pPr>
          </w:p>
        </w:tc>
        <w:tc>
          <w:tcPr>
            <w:tcW w:w="803" w:type="dxa"/>
            <w:vAlign w:val="top"/>
          </w:tcPr>
          <w:p w14:paraId="154787CC">
            <w:pPr>
              <w:spacing w:line="300" w:lineRule="auto"/>
              <w:rPr>
                <w:rFonts w:ascii="Arial"/>
                <w:sz w:val="21"/>
              </w:rPr>
            </w:pPr>
          </w:p>
          <w:p w14:paraId="2CB19F9B">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C46B674">
            <w:pPr>
              <w:pStyle w:val="6"/>
              <w:spacing w:before="33" w:line="175" w:lineRule="auto"/>
              <w:ind w:left="114" w:right="109" w:firstLine="15"/>
              <w:jc w:val="both"/>
            </w:pPr>
            <w:r>
              <w:rPr>
                <w:spacing w:val="24"/>
              </w:rPr>
              <w:t>两个以上生产经营</w:t>
            </w:r>
            <w:r>
              <w:rPr>
                <w:spacing w:val="26"/>
              </w:rPr>
              <w:t>单位在同一作业区域内进行可能危及</w:t>
            </w:r>
          </w:p>
        </w:tc>
        <w:tc>
          <w:tcPr>
            <w:tcW w:w="2894" w:type="dxa"/>
            <w:vAlign w:val="top"/>
          </w:tcPr>
          <w:p w14:paraId="4FE1CB93">
            <w:pPr>
              <w:pStyle w:val="6"/>
              <w:spacing w:before="33" w:line="175" w:lineRule="auto"/>
              <w:ind w:left="122" w:right="103" w:firstLine="4"/>
            </w:pPr>
            <w:r>
              <w:rPr>
                <w:spacing w:val="4"/>
              </w:rPr>
              <w:t>责令限期改正，处</w:t>
            </w:r>
            <w:r>
              <w:rPr>
                <w:rFonts w:ascii="宋体" w:hAnsi="宋体" w:eastAsia="宋体" w:cs="宋体"/>
                <w:spacing w:val="4"/>
              </w:rPr>
              <w:t>4</w:t>
            </w:r>
            <w:r>
              <w:rPr>
                <w:spacing w:val="4"/>
              </w:rPr>
              <w:t>万元</w:t>
            </w:r>
            <w:r>
              <w:rPr>
                <w:spacing w:val="6"/>
              </w:rPr>
              <w:t>以上</w:t>
            </w:r>
            <w:r>
              <w:rPr>
                <w:rFonts w:ascii="宋体" w:hAnsi="宋体" w:eastAsia="宋体" w:cs="宋体"/>
                <w:spacing w:val="6"/>
              </w:rPr>
              <w:t>5</w:t>
            </w:r>
            <w:r>
              <w:rPr>
                <w:spacing w:val="6"/>
              </w:rPr>
              <w:t>万元以下的罚款，</w:t>
            </w:r>
            <w:r>
              <w:rPr>
                <w:spacing w:val="11"/>
              </w:rPr>
              <w:t>对其直接负责的主管人员</w:t>
            </w:r>
          </w:p>
        </w:tc>
        <w:tc>
          <w:tcPr>
            <w:tcW w:w="811" w:type="dxa"/>
            <w:vMerge w:val="continue"/>
            <w:tcBorders>
              <w:top w:val="nil"/>
            </w:tcBorders>
            <w:vAlign w:val="top"/>
          </w:tcPr>
          <w:p w14:paraId="7712B427">
            <w:pPr>
              <w:rPr>
                <w:rFonts w:ascii="Arial"/>
                <w:sz w:val="21"/>
              </w:rPr>
            </w:pPr>
          </w:p>
        </w:tc>
      </w:tr>
    </w:tbl>
    <w:p w14:paraId="47E097A1">
      <w:pPr>
        <w:pStyle w:val="2"/>
      </w:pPr>
    </w:p>
    <w:p w14:paraId="6A9CBF5A">
      <w:pPr>
        <w:sectPr>
          <w:footerReference r:id="rId74" w:type="default"/>
          <w:pgSz w:w="16839" w:h="11906"/>
          <w:pgMar w:top="1012" w:right="821" w:bottom="666" w:left="901" w:header="0" w:footer="388" w:gutter="0"/>
          <w:cols w:space="720" w:num="1"/>
        </w:sectPr>
      </w:pPr>
    </w:p>
    <w:p w14:paraId="09BC4A6D">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6C3C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4CAFBC8">
            <w:pPr>
              <w:spacing w:before="222" w:line="241" w:lineRule="auto"/>
              <w:ind w:left="131"/>
              <w:outlineLvl w:val="0"/>
              <w:rPr>
                <w:rFonts w:ascii="黑体" w:hAnsi="黑体" w:eastAsia="黑体" w:cs="黑体"/>
                <w:sz w:val="28"/>
                <w:szCs w:val="28"/>
              </w:rPr>
            </w:pPr>
            <w:bookmarkStart w:id="453" w:name="bookmark512"/>
            <w:bookmarkEnd w:id="453"/>
            <w:bookmarkStart w:id="454" w:name="bookmark119"/>
            <w:bookmarkEnd w:id="454"/>
            <w:r>
              <w:rPr>
                <w:rFonts w:ascii="黑体" w:hAnsi="黑体" w:eastAsia="黑体" w:cs="黑体"/>
                <w:spacing w:val="-2"/>
                <w:sz w:val="28"/>
                <w:szCs w:val="28"/>
              </w:rPr>
              <w:t>序号</w:t>
            </w:r>
          </w:p>
        </w:tc>
        <w:tc>
          <w:tcPr>
            <w:tcW w:w="1440" w:type="dxa"/>
            <w:vAlign w:val="top"/>
          </w:tcPr>
          <w:p w14:paraId="5FF62BD9">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EB64A35">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41CC3A64">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3B0289D">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3EEF8A4">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0C4CE13">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9B96D21">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B383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Align w:val="top"/>
          </w:tcPr>
          <w:p w14:paraId="27FBA645">
            <w:pPr>
              <w:rPr>
                <w:rFonts w:ascii="Arial"/>
                <w:sz w:val="21"/>
              </w:rPr>
            </w:pPr>
          </w:p>
        </w:tc>
        <w:tc>
          <w:tcPr>
            <w:tcW w:w="1440" w:type="dxa"/>
            <w:vAlign w:val="top"/>
          </w:tcPr>
          <w:p w14:paraId="21F849BA">
            <w:pPr>
              <w:rPr>
                <w:rFonts w:ascii="Arial"/>
                <w:sz w:val="21"/>
              </w:rPr>
            </w:pPr>
          </w:p>
        </w:tc>
        <w:tc>
          <w:tcPr>
            <w:tcW w:w="3202" w:type="dxa"/>
            <w:vAlign w:val="top"/>
          </w:tcPr>
          <w:p w14:paraId="2A3363AA">
            <w:pPr>
              <w:rPr>
                <w:rFonts w:ascii="Arial"/>
                <w:sz w:val="21"/>
              </w:rPr>
            </w:pPr>
          </w:p>
        </w:tc>
        <w:tc>
          <w:tcPr>
            <w:tcW w:w="2859" w:type="dxa"/>
            <w:vAlign w:val="top"/>
          </w:tcPr>
          <w:p w14:paraId="49CB88C7">
            <w:pPr>
              <w:rPr>
                <w:rFonts w:ascii="Arial"/>
                <w:sz w:val="21"/>
              </w:rPr>
            </w:pPr>
          </w:p>
        </w:tc>
        <w:tc>
          <w:tcPr>
            <w:tcW w:w="803" w:type="dxa"/>
            <w:vAlign w:val="top"/>
          </w:tcPr>
          <w:p w14:paraId="5D253843">
            <w:pPr>
              <w:rPr>
                <w:rFonts w:ascii="Arial"/>
                <w:sz w:val="21"/>
              </w:rPr>
            </w:pPr>
          </w:p>
        </w:tc>
        <w:tc>
          <w:tcPr>
            <w:tcW w:w="2283" w:type="dxa"/>
            <w:vAlign w:val="top"/>
          </w:tcPr>
          <w:p w14:paraId="5FB0006A">
            <w:pPr>
              <w:pStyle w:val="6"/>
              <w:spacing w:before="28" w:line="179" w:lineRule="auto"/>
              <w:ind w:left="116" w:right="65" w:firstLine="4"/>
              <w:jc w:val="both"/>
            </w:pPr>
            <w:r>
              <w:rPr>
                <w:spacing w:val="25"/>
              </w:rPr>
              <w:t>对方安全生产的生</w:t>
            </w:r>
            <w:r>
              <w:rPr>
                <w:spacing w:val="-2"/>
              </w:rPr>
              <w:t>产经营活动，未签订</w:t>
            </w:r>
            <w:r>
              <w:rPr>
                <w:spacing w:val="2"/>
              </w:rPr>
              <w:t>安全生产管理协议，</w:t>
            </w:r>
            <w:r>
              <w:rPr>
                <w:spacing w:val="26"/>
              </w:rPr>
              <w:t>且未指定专职安全生产管理人员进行</w:t>
            </w:r>
            <w:r>
              <w:rPr>
                <w:spacing w:val="7"/>
              </w:rPr>
              <w:t>安全检查与协调的</w:t>
            </w:r>
          </w:p>
        </w:tc>
        <w:tc>
          <w:tcPr>
            <w:tcW w:w="2894" w:type="dxa"/>
            <w:vAlign w:val="top"/>
          </w:tcPr>
          <w:p w14:paraId="0047E750">
            <w:pPr>
              <w:pStyle w:val="6"/>
              <w:spacing w:before="27" w:line="191" w:lineRule="auto"/>
              <w:ind w:left="130" w:right="104" w:hanging="8"/>
              <w:jc w:val="both"/>
            </w:pPr>
            <w:r>
              <w:rPr>
                <w:spacing w:val="13"/>
              </w:rPr>
              <w:t>和其他直接责任人员处</w:t>
            </w:r>
            <w:r>
              <w:rPr>
                <w:rFonts w:ascii="宋体" w:hAnsi="宋体" w:eastAsia="宋体" w:cs="宋体"/>
                <w:spacing w:val="13"/>
              </w:rPr>
              <w:t>1</w:t>
            </w:r>
            <w:r>
              <w:rPr>
                <w:spacing w:val="8"/>
              </w:rPr>
              <w:t>万元以下的罚款；逾期未</w:t>
            </w:r>
            <w:r>
              <w:rPr>
                <w:spacing w:val="7"/>
              </w:rPr>
              <w:t>改正的，责令停产停业</w:t>
            </w:r>
          </w:p>
        </w:tc>
        <w:tc>
          <w:tcPr>
            <w:tcW w:w="811" w:type="dxa"/>
            <w:vAlign w:val="top"/>
          </w:tcPr>
          <w:p w14:paraId="54ECEC41">
            <w:pPr>
              <w:rPr>
                <w:rFonts w:ascii="Arial"/>
                <w:sz w:val="21"/>
              </w:rPr>
            </w:pPr>
          </w:p>
        </w:tc>
      </w:tr>
      <w:tr w14:paraId="13C96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restart"/>
            <w:tcBorders>
              <w:bottom w:val="nil"/>
            </w:tcBorders>
            <w:vAlign w:val="top"/>
          </w:tcPr>
          <w:p w14:paraId="2C8AFBEF">
            <w:pPr>
              <w:spacing w:line="248" w:lineRule="auto"/>
              <w:rPr>
                <w:rFonts w:ascii="Arial"/>
                <w:sz w:val="21"/>
              </w:rPr>
            </w:pPr>
          </w:p>
          <w:p w14:paraId="485E1816">
            <w:pPr>
              <w:spacing w:line="248" w:lineRule="auto"/>
              <w:rPr>
                <w:rFonts w:ascii="Arial"/>
                <w:sz w:val="21"/>
              </w:rPr>
            </w:pPr>
          </w:p>
          <w:p w14:paraId="61B0BB64">
            <w:pPr>
              <w:spacing w:line="249" w:lineRule="auto"/>
              <w:rPr>
                <w:rFonts w:ascii="Arial"/>
                <w:sz w:val="21"/>
              </w:rPr>
            </w:pPr>
          </w:p>
          <w:p w14:paraId="1F484789">
            <w:pPr>
              <w:spacing w:line="249" w:lineRule="auto"/>
              <w:rPr>
                <w:rFonts w:ascii="Arial"/>
                <w:sz w:val="21"/>
              </w:rPr>
            </w:pPr>
          </w:p>
          <w:p w14:paraId="33F18C98">
            <w:pPr>
              <w:spacing w:line="249" w:lineRule="auto"/>
              <w:rPr>
                <w:rFonts w:ascii="Arial"/>
                <w:sz w:val="21"/>
              </w:rPr>
            </w:pPr>
          </w:p>
          <w:p w14:paraId="509067B5">
            <w:pPr>
              <w:spacing w:line="249" w:lineRule="auto"/>
              <w:rPr>
                <w:rFonts w:ascii="Arial"/>
                <w:sz w:val="21"/>
              </w:rPr>
            </w:pPr>
          </w:p>
          <w:p w14:paraId="254C300E">
            <w:pPr>
              <w:spacing w:line="249" w:lineRule="auto"/>
              <w:rPr>
                <w:rFonts w:ascii="Arial"/>
                <w:sz w:val="21"/>
              </w:rPr>
            </w:pPr>
          </w:p>
          <w:p w14:paraId="3A378561">
            <w:pPr>
              <w:spacing w:line="249" w:lineRule="auto"/>
              <w:rPr>
                <w:rFonts w:ascii="Arial"/>
                <w:sz w:val="21"/>
              </w:rPr>
            </w:pPr>
          </w:p>
          <w:p w14:paraId="6A33E759">
            <w:pPr>
              <w:spacing w:line="249" w:lineRule="auto"/>
              <w:rPr>
                <w:rFonts w:ascii="Arial"/>
                <w:sz w:val="21"/>
              </w:rPr>
            </w:pPr>
          </w:p>
          <w:p w14:paraId="555961BC">
            <w:pPr>
              <w:spacing w:line="249" w:lineRule="auto"/>
              <w:rPr>
                <w:rFonts w:ascii="Arial"/>
                <w:sz w:val="21"/>
              </w:rPr>
            </w:pPr>
          </w:p>
          <w:p w14:paraId="633117C6">
            <w:pPr>
              <w:spacing w:line="249" w:lineRule="auto"/>
              <w:rPr>
                <w:rFonts w:ascii="Arial"/>
                <w:sz w:val="21"/>
              </w:rPr>
            </w:pPr>
          </w:p>
          <w:p w14:paraId="413974DD">
            <w:pPr>
              <w:spacing w:line="249" w:lineRule="auto"/>
              <w:rPr>
                <w:rFonts w:ascii="Arial"/>
                <w:sz w:val="21"/>
              </w:rPr>
            </w:pPr>
          </w:p>
          <w:p w14:paraId="6BC12031">
            <w:pPr>
              <w:spacing w:before="75" w:line="184" w:lineRule="auto"/>
              <w:ind w:left="239"/>
              <w:rPr>
                <w:rFonts w:ascii="仿宋" w:hAnsi="仿宋" w:eastAsia="仿宋" w:cs="仿宋"/>
                <w:sz w:val="23"/>
                <w:szCs w:val="23"/>
              </w:rPr>
            </w:pPr>
            <w:r>
              <w:rPr>
                <w:rFonts w:ascii="仿宋" w:hAnsi="仿宋" w:eastAsia="仿宋" w:cs="仿宋"/>
                <w:spacing w:val="-4"/>
                <w:sz w:val="23"/>
                <w:szCs w:val="23"/>
              </w:rPr>
              <w:t>57</w:t>
            </w:r>
          </w:p>
        </w:tc>
        <w:tc>
          <w:tcPr>
            <w:tcW w:w="1440" w:type="dxa"/>
            <w:vMerge w:val="restart"/>
            <w:tcBorders>
              <w:bottom w:val="nil"/>
            </w:tcBorders>
            <w:vAlign w:val="top"/>
          </w:tcPr>
          <w:p w14:paraId="35DD4563">
            <w:pPr>
              <w:spacing w:line="262" w:lineRule="auto"/>
              <w:rPr>
                <w:rFonts w:ascii="Arial"/>
                <w:sz w:val="21"/>
              </w:rPr>
            </w:pPr>
          </w:p>
          <w:p w14:paraId="6C940FF1">
            <w:pPr>
              <w:spacing w:line="262" w:lineRule="auto"/>
              <w:rPr>
                <w:rFonts w:ascii="Arial"/>
                <w:sz w:val="21"/>
              </w:rPr>
            </w:pPr>
          </w:p>
          <w:p w14:paraId="1F8FD8CA">
            <w:pPr>
              <w:spacing w:line="262" w:lineRule="auto"/>
              <w:rPr>
                <w:rFonts w:ascii="Arial"/>
                <w:sz w:val="21"/>
              </w:rPr>
            </w:pPr>
          </w:p>
          <w:p w14:paraId="42EB48EB">
            <w:pPr>
              <w:spacing w:line="262" w:lineRule="auto"/>
              <w:rPr>
                <w:rFonts w:ascii="Arial"/>
                <w:sz w:val="21"/>
              </w:rPr>
            </w:pPr>
          </w:p>
          <w:p w14:paraId="5D8D9277">
            <w:pPr>
              <w:spacing w:line="263" w:lineRule="auto"/>
              <w:rPr>
                <w:rFonts w:ascii="Arial"/>
                <w:sz w:val="21"/>
              </w:rPr>
            </w:pPr>
          </w:p>
          <w:p w14:paraId="45DA88FC">
            <w:pPr>
              <w:spacing w:line="263" w:lineRule="auto"/>
              <w:rPr>
                <w:rFonts w:ascii="Arial"/>
                <w:sz w:val="21"/>
              </w:rPr>
            </w:pPr>
          </w:p>
          <w:p w14:paraId="58F64D93">
            <w:pPr>
              <w:pStyle w:val="6"/>
              <w:spacing w:before="98" w:line="185" w:lineRule="auto"/>
              <w:ind w:left="112" w:right="111" w:firstLine="16"/>
              <w:jc w:val="both"/>
            </w:pPr>
            <w:r>
              <w:rPr>
                <w:spacing w:val="8"/>
              </w:rPr>
              <w:t>生产经营单</w:t>
            </w:r>
            <w:r>
              <w:rPr>
                <w:spacing w:val="12"/>
              </w:rPr>
              <w:t>位将生产经营项目、场所、设备发包或者出租给不具备安全生产条件或者相应资质的单位或</w:t>
            </w:r>
            <w:r>
              <w:rPr>
                <w:spacing w:val="6"/>
              </w:rPr>
              <w:t>者个人的</w:t>
            </w:r>
          </w:p>
        </w:tc>
        <w:tc>
          <w:tcPr>
            <w:tcW w:w="3202" w:type="dxa"/>
            <w:vMerge w:val="restart"/>
            <w:tcBorders>
              <w:bottom w:val="nil"/>
            </w:tcBorders>
            <w:vAlign w:val="top"/>
          </w:tcPr>
          <w:p w14:paraId="66643484">
            <w:pPr>
              <w:pStyle w:val="6"/>
              <w:spacing w:before="31" w:line="182" w:lineRule="auto"/>
              <w:ind w:left="98"/>
              <w:outlineLvl w:val="0"/>
            </w:pPr>
            <w:r>
              <w:rPr>
                <w:spacing w:val="17"/>
              </w:rPr>
              <w:t>【法律】《中华人民共和国</w:t>
            </w:r>
          </w:p>
          <w:p w14:paraId="47F49D18">
            <w:pPr>
              <w:pStyle w:val="6"/>
              <w:spacing w:before="9" w:line="186" w:lineRule="auto"/>
              <w:ind w:left="117" w:right="111" w:firstLine="5"/>
              <w:jc w:val="both"/>
            </w:pPr>
            <w:r>
              <w:rPr>
                <w:spacing w:val="16"/>
              </w:rPr>
              <w:t>安全生产法》第四十九条第</w:t>
            </w:r>
            <w:r>
              <w:rPr>
                <w:spacing w:val="12"/>
              </w:rPr>
              <w:t>一款：生产经营单位不得将</w:t>
            </w:r>
            <w:r>
              <w:rPr>
                <w:spacing w:val="17"/>
              </w:rPr>
              <w:t>生产经营项目、场所、设备</w:t>
            </w:r>
            <w:bookmarkStart w:id="455" w:name="bookmark513"/>
            <w:bookmarkEnd w:id="455"/>
            <w:bookmarkStart w:id="456" w:name="bookmark121"/>
            <w:bookmarkEnd w:id="456"/>
            <w:r>
              <w:rPr>
                <w:spacing w:val="17"/>
              </w:rPr>
              <w:t>发包或者出租给不具备安全生产条件或者相应资质的单</w:t>
            </w:r>
            <w:r>
              <w:rPr>
                <w:spacing w:val="1"/>
              </w:rPr>
              <w:t>位或者个人。</w:t>
            </w:r>
          </w:p>
        </w:tc>
        <w:tc>
          <w:tcPr>
            <w:tcW w:w="2859" w:type="dxa"/>
            <w:vMerge w:val="restart"/>
            <w:tcBorders>
              <w:bottom w:val="nil"/>
            </w:tcBorders>
            <w:vAlign w:val="top"/>
          </w:tcPr>
          <w:p w14:paraId="0FBC84B6">
            <w:pPr>
              <w:pStyle w:val="6"/>
              <w:spacing w:before="42" w:line="181" w:lineRule="auto"/>
              <w:ind w:left="115" w:right="19" w:hanging="18"/>
            </w:pPr>
            <w:r>
              <w:rPr>
                <w:spacing w:val="10"/>
              </w:rPr>
              <w:t>【法律】《中华人民共和</w:t>
            </w:r>
            <w:r>
              <w:rPr>
                <w:spacing w:val="8"/>
              </w:rPr>
              <w:t>国安全生产法》第一百零三条第一款：生产经营单</w:t>
            </w:r>
            <w:r>
              <w:rPr>
                <w:spacing w:val="-4"/>
              </w:rPr>
              <w:t>位将生产经营项目、场所、</w:t>
            </w:r>
            <w:r>
              <w:rPr>
                <w:spacing w:val="8"/>
              </w:rPr>
              <w:t>设备发包或者出租给不具备安全生产条件或者相应</w:t>
            </w:r>
            <w:r>
              <w:rPr>
                <w:spacing w:val="7"/>
              </w:rPr>
              <w:t>资质的单位或者个人的，</w:t>
            </w:r>
            <w:r>
              <w:rPr>
                <w:spacing w:val="8"/>
              </w:rPr>
              <w:t>责令限期改正，没收违法所得；违法所得十万元以上的，并处违法所得二倍</w:t>
            </w:r>
            <w:r>
              <w:rPr>
                <w:spacing w:val="2"/>
              </w:rPr>
              <w:t>以上五倍以下的罚款；没</w:t>
            </w:r>
            <w:r>
              <w:rPr>
                <w:spacing w:val="8"/>
              </w:rPr>
              <w:t>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w:t>
            </w:r>
            <w:r>
              <w:rPr>
                <w:spacing w:val="5"/>
              </w:rPr>
              <w:t>租方承担连带赔偿责任。</w:t>
            </w:r>
          </w:p>
        </w:tc>
        <w:tc>
          <w:tcPr>
            <w:tcW w:w="803" w:type="dxa"/>
            <w:vAlign w:val="top"/>
          </w:tcPr>
          <w:p w14:paraId="6D2CB3CC">
            <w:pPr>
              <w:spacing w:line="247" w:lineRule="auto"/>
              <w:rPr>
                <w:rFonts w:ascii="Arial"/>
                <w:sz w:val="21"/>
              </w:rPr>
            </w:pPr>
          </w:p>
          <w:p w14:paraId="7B5E3D2F">
            <w:pPr>
              <w:spacing w:line="247" w:lineRule="auto"/>
              <w:rPr>
                <w:rFonts w:ascii="Arial"/>
                <w:sz w:val="21"/>
              </w:rPr>
            </w:pPr>
          </w:p>
          <w:p w14:paraId="554EBFC0">
            <w:pPr>
              <w:spacing w:line="247" w:lineRule="auto"/>
              <w:rPr>
                <w:rFonts w:ascii="Arial"/>
                <w:sz w:val="21"/>
              </w:rPr>
            </w:pPr>
          </w:p>
          <w:p w14:paraId="74DC258F">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661FFF7">
            <w:pPr>
              <w:spacing w:line="338" w:lineRule="auto"/>
              <w:rPr>
                <w:rFonts w:ascii="Arial"/>
                <w:sz w:val="21"/>
              </w:rPr>
            </w:pPr>
          </w:p>
          <w:p w14:paraId="1D59E33D">
            <w:pPr>
              <w:spacing w:line="338" w:lineRule="auto"/>
              <w:rPr>
                <w:rFonts w:ascii="Arial"/>
                <w:sz w:val="21"/>
              </w:rPr>
            </w:pPr>
          </w:p>
          <w:p w14:paraId="4D0AAA58">
            <w:pPr>
              <w:pStyle w:val="6"/>
              <w:spacing w:before="99" w:line="209" w:lineRule="auto"/>
              <w:ind w:left="127"/>
            </w:pPr>
            <w:r>
              <w:rPr>
                <w:spacing w:val="6"/>
              </w:rPr>
              <w:t>没有违法所得的</w:t>
            </w:r>
          </w:p>
        </w:tc>
        <w:tc>
          <w:tcPr>
            <w:tcW w:w="2894" w:type="dxa"/>
            <w:vAlign w:val="top"/>
          </w:tcPr>
          <w:p w14:paraId="7FF66D39">
            <w:pPr>
              <w:pStyle w:val="6"/>
              <w:spacing w:before="28" w:line="179" w:lineRule="auto"/>
              <w:ind w:left="122" w:right="71" w:firstLine="5"/>
              <w:jc w:val="both"/>
            </w:pPr>
            <w:r>
              <w:rPr>
                <w:spacing w:val="-5"/>
              </w:rPr>
              <w:t>责令限期改正，处</w:t>
            </w:r>
            <w:r>
              <w:rPr>
                <w:rFonts w:ascii="宋体" w:hAnsi="宋体" w:eastAsia="宋体" w:cs="宋体"/>
                <w:spacing w:val="-5"/>
              </w:rPr>
              <w:t>10</w:t>
            </w:r>
            <w:r>
              <w:rPr>
                <w:spacing w:val="-5"/>
              </w:rPr>
              <w:t>万元</w:t>
            </w:r>
            <w:r>
              <w:rPr>
                <w:spacing w:val="-1"/>
              </w:rPr>
              <w:t>以上</w:t>
            </w:r>
            <w:r>
              <w:rPr>
                <w:rFonts w:ascii="宋体" w:hAnsi="宋体" w:eastAsia="宋体" w:cs="宋体"/>
                <w:spacing w:val="-1"/>
              </w:rPr>
              <w:t>15</w:t>
            </w:r>
            <w:r>
              <w:rPr>
                <w:spacing w:val="-1"/>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万元以上</w:t>
            </w:r>
            <w:r>
              <w:rPr>
                <w:rFonts w:ascii="宋体" w:hAnsi="宋体" w:eastAsia="宋体" w:cs="宋体"/>
                <w:spacing w:val="7"/>
              </w:rPr>
              <w:t>2</w:t>
            </w:r>
            <w:r>
              <w:rPr>
                <w:spacing w:val="7"/>
              </w:rPr>
              <w:t>万元以下的罚</w:t>
            </w:r>
            <w:r>
              <w:t>款</w:t>
            </w:r>
          </w:p>
        </w:tc>
        <w:tc>
          <w:tcPr>
            <w:tcW w:w="811" w:type="dxa"/>
            <w:vMerge w:val="restart"/>
            <w:tcBorders>
              <w:bottom w:val="nil"/>
            </w:tcBorders>
            <w:vAlign w:val="top"/>
          </w:tcPr>
          <w:p w14:paraId="385E681A">
            <w:pPr>
              <w:spacing w:line="248" w:lineRule="auto"/>
              <w:rPr>
                <w:rFonts w:ascii="Arial"/>
                <w:sz w:val="21"/>
              </w:rPr>
            </w:pPr>
          </w:p>
          <w:p w14:paraId="6C7808D7">
            <w:pPr>
              <w:spacing w:line="248" w:lineRule="auto"/>
              <w:rPr>
                <w:rFonts w:ascii="Arial"/>
                <w:sz w:val="21"/>
              </w:rPr>
            </w:pPr>
          </w:p>
          <w:p w14:paraId="5EDBFA99">
            <w:pPr>
              <w:spacing w:line="248" w:lineRule="auto"/>
              <w:rPr>
                <w:rFonts w:ascii="Arial"/>
                <w:sz w:val="21"/>
              </w:rPr>
            </w:pPr>
          </w:p>
          <w:p w14:paraId="04CD86F2">
            <w:pPr>
              <w:spacing w:line="248" w:lineRule="auto"/>
              <w:rPr>
                <w:rFonts w:ascii="Arial"/>
                <w:sz w:val="21"/>
              </w:rPr>
            </w:pPr>
          </w:p>
          <w:p w14:paraId="5475674C">
            <w:pPr>
              <w:spacing w:line="248" w:lineRule="auto"/>
              <w:rPr>
                <w:rFonts w:ascii="Arial"/>
                <w:sz w:val="21"/>
              </w:rPr>
            </w:pPr>
          </w:p>
          <w:p w14:paraId="483409EA">
            <w:pPr>
              <w:spacing w:line="248" w:lineRule="auto"/>
              <w:rPr>
                <w:rFonts w:ascii="Arial"/>
                <w:sz w:val="21"/>
              </w:rPr>
            </w:pPr>
          </w:p>
          <w:p w14:paraId="284B6779">
            <w:pPr>
              <w:spacing w:line="248" w:lineRule="auto"/>
              <w:rPr>
                <w:rFonts w:ascii="Arial"/>
                <w:sz w:val="21"/>
              </w:rPr>
            </w:pPr>
          </w:p>
          <w:p w14:paraId="69791C04">
            <w:pPr>
              <w:spacing w:line="249" w:lineRule="auto"/>
              <w:rPr>
                <w:rFonts w:ascii="Arial"/>
                <w:sz w:val="21"/>
              </w:rPr>
            </w:pPr>
          </w:p>
          <w:p w14:paraId="4D59F618">
            <w:pPr>
              <w:spacing w:line="249" w:lineRule="auto"/>
              <w:rPr>
                <w:rFonts w:ascii="Arial"/>
                <w:sz w:val="21"/>
              </w:rPr>
            </w:pPr>
          </w:p>
          <w:p w14:paraId="69051778">
            <w:pPr>
              <w:spacing w:line="249" w:lineRule="auto"/>
              <w:rPr>
                <w:rFonts w:ascii="Arial"/>
                <w:sz w:val="21"/>
              </w:rPr>
            </w:pPr>
          </w:p>
          <w:p w14:paraId="6E796BE7">
            <w:pPr>
              <w:spacing w:line="249" w:lineRule="auto"/>
              <w:rPr>
                <w:rFonts w:ascii="Arial"/>
                <w:sz w:val="21"/>
              </w:rPr>
            </w:pPr>
          </w:p>
          <w:p w14:paraId="60BDA6D6">
            <w:pPr>
              <w:spacing w:line="249" w:lineRule="auto"/>
              <w:rPr>
                <w:rFonts w:ascii="Arial"/>
                <w:sz w:val="21"/>
              </w:rPr>
            </w:pPr>
          </w:p>
          <w:p w14:paraId="0DB19ECC">
            <w:pPr>
              <w:spacing w:before="75" w:line="188" w:lineRule="auto"/>
              <w:ind w:left="290"/>
              <w:rPr>
                <w:rFonts w:ascii="宋体" w:hAnsi="宋体" w:eastAsia="宋体" w:cs="宋体"/>
                <w:sz w:val="23"/>
                <w:szCs w:val="23"/>
              </w:rPr>
            </w:pPr>
            <w:r>
              <w:rPr>
                <w:rFonts w:ascii="宋体" w:hAnsi="宋体" w:eastAsia="宋体" w:cs="宋体"/>
                <w:spacing w:val="-1"/>
                <w:sz w:val="23"/>
                <w:szCs w:val="23"/>
              </w:rPr>
              <w:t>42</w:t>
            </w:r>
          </w:p>
        </w:tc>
      </w:tr>
      <w:tr w14:paraId="179B0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9" w:hRule="atLeast"/>
        </w:trPr>
        <w:tc>
          <w:tcPr>
            <w:tcW w:w="818" w:type="dxa"/>
            <w:vMerge w:val="continue"/>
            <w:tcBorders>
              <w:top w:val="nil"/>
              <w:bottom w:val="nil"/>
            </w:tcBorders>
            <w:vAlign w:val="top"/>
          </w:tcPr>
          <w:p w14:paraId="474F478F">
            <w:pPr>
              <w:rPr>
                <w:rFonts w:ascii="Arial"/>
                <w:sz w:val="21"/>
              </w:rPr>
            </w:pPr>
          </w:p>
        </w:tc>
        <w:tc>
          <w:tcPr>
            <w:tcW w:w="1440" w:type="dxa"/>
            <w:vMerge w:val="continue"/>
            <w:tcBorders>
              <w:top w:val="nil"/>
              <w:bottom w:val="nil"/>
            </w:tcBorders>
            <w:vAlign w:val="top"/>
          </w:tcPr>
          <w:p w14:paraId="4A514F91">
            <w:pPr>
              <w:rPr>
                <w:rFonts w:ascii="Arial"/>
                <w:sz w:val="21"/>
              </w:rPr>
            </w:pPr>
          </w:p>
        </w:tc>
        <w:tc>
          <w:tcPr>
            <w:tcW w:w="3202" w:type="dxa"/>
            <w:vMerge w:val="continue"/>
            <w:tcBorders>
              <w:top w:val="nil"/>
              <w:bottom w:val="nil"/>
            </w:tcBorders>
            <w:vAlign w:val="top"/>
          </w:tcPr>
          <w:p w14:paraId="1E23F163">
            <w:pPr>
              <w:rPr>
                <w:rFonts w:ascii="Arial"/>
                <w:sz w:val="21"/>
              </w:rPr>
            </w:pPr>
          </w:p>
        </w:tc>
        <w:tc>
          <w:tcPr>
            <w:tcW w:w="2859" w:type="dxa"/>
            <w:vMerge w:val="continue"/>
            <w:tcBorders>
              <w:top w:val="nil"/>
              <w:bottom w:val="nil"/>
            </w:tcBorders>
            <w:vAlign w:val="top"/>
          </w:tcPr>
          <w:p w14:paraId="6412309C">
            <w:pPr>
              <w:rPr>
                <w:rFonts w:ascii="Arial"/>
                <w:sz w:val="21"/>
              </w:rPr>
            </w:pPr>
          </w:p>
        </w:tc>
        <w:tc>
          <w:tcPr>
            <w:tcW w:w="803" w:type="dxa"/>
            <w:vAlign w:val="top"/>
          </w:tcPr>
          <w:p w14:paraId="6AC73353">
            <w:pPr>
              <w:spacing w:line="309" w:lineRule="auto"/>
              <w:rPr>
                <w:rFonts w:ascii="Arial"/>
                <w:sz w:val="21"/>
              </w:rPr>
            </w:pPr>
          </w:p>
          <w:p w14:paraId="154C6B71">
            <w:pPr>
              <w:spacing w:line="309" w:lineRule="auto"/>
              <w:rPr>
                <w:rFonts w:ascii="Arial"/>
                <w:sz w:val="21"/>
              </w:rPr>
            </w:pPr>
          </w:p>
          <w:p w14:paraId="593475C8">
            <w:pPr>
              <w:spacing w:line="309" w:lineRule="auto"/>
              <w:rPr>
                <w:rFonts w:ascii="Arial"/>
                <w:sz w:val="21"/>
              </w:rPr>
            </w:pPr>
          </w:p>
          <w:p w14:paraId="54F770AF">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8956CE4">
            <w:pPr>
              <w:spacing w:line="354" w:lineRule="auto"/>
              <w:rPr>
                <w:rFonts w:ascii="Arial"/>
                <w:sz w:val="21"/>
              </w:rPr>
            </w:pPr>
          </w:p>
          <w:p w14:paraId="626A1AB4">
            <w:pPr>
              <w:spacing w:line="355" w:lineRule="auto"/>
              <w:rPr>
                <w:rFonts w:ascii="Arial"/>
                <w:sz w:val="21"/>
              </w:rPr>
            </w:pPr>
          </w:p>
          <w:p w14:paraId="01168A67">
            <w:pPr>
              <w:pStyle w:val="6"/>
              <w:spacing w:before="99" w:line="197" w:lineRule="auto"/>
              <w:ind w:left="122" w:right="106" w:hanging="5"/>
            </w:pPr>
            <w:r>
              <w:rPr>
                <w:spacing w:val="3"/>
              </w:rPr>
              <w:t>违法所得</w:t>
            </w:r>
            <w:r>
              <w:rPr>
                <w:rFonts w:ascii="宋体" w:hAnsi="宋体" w:eastAsia="宋体" w:cs="宋体"/>
                <w:spacing w:val="3"/>
              </w:rPr>
              <w:t>10</w:t>
            </w:r>
            <w:r>
              <w:rPr>
                <w:spacing w:val="3"/>
              </w:rPr>
              <w:t>万元以</w:t>
            </w:r>
            <w:r>
              <w:t>下的</w:t>
            </w:r>
          </w:p>
        </w:tc>
        <w:tc>
          <w:tcPr>
            <w:tcW w:w="2894" w:type="dxa"/>
            <w:vAlign w:val="top"/>
          </w:tcPr>
          <w:p w14:paraId="607B5758">
            <w:pPr>
              <w:pStyle w:val="6"/>
              <w:spacing w:before="212" w:line="187" w:lineRule="auto"/>
              <w:ind w:left="118" w:right="103" w:firstLine="9"/>
              <w:jc w:val="both"/>
            </w:pPr>
            <w:r>
              <w:rPr>
                <w:spacing w:val="7"/>
              </w:rPr>
              <w:t>责令限期改正，没收违法</w:t>
            </w:r>
            <w:r>
              <w:rPr>
                <w:spacing w:val="5"/>
              </w:rPr>
              <w:t>所得，并处</w:t>
            </w:r>
            <w:r>
              <w:rPr>
                <w:rFonts w:ascii="宋体" w:hAnsi="宋体" w:eastAsia="宋体" w:cs="宋体"/>
                <w:spacing w:val="5"/>
              </w:rPr>
              <w:t>15</w:t>
            </w:r>
            <w:r>
              <w:rPr>
                <w:spacing w:val="5"/>
              </w:rPr>
              <w:t>万元以上</w:t>
            </w:r>
            <w:r>
              <w:rPr>
                <w:rFonts w:ascii="宋体" w:hAnsi="宋体" w:eastAsia="宋体" w:cs="宋体"/>
                <w:spacing w:val="-1"/>
              </w:rPr>
              <w:t>20</w:t>
            </w:r>
            <w:r>
              <w:rPr>
                <w:spacing w:val="-1"/>
              </w:rPr>
              <w:t>万元以下的罚款；对其</w:t>
            </w:r>
            <w:r>
              <w:rPr>
                <w:spacing w:val="11"/>
              </w:rPr>
              <w:t>直接负责的主管人员和其</w:t>
            </w:r>
            <w:r>
              <w:rPr>
                <w:spacing w:val="6"/>
              </w:rPr>
              <w:t>他直接责任人员处</w:t>
            </w:r>
            <w:r>
              <w:rPr>
                <w:rFonts w:ascii="宋体" w:hAnsi="宋体" w:eastAsia="宋体" w:cs="宋体"/>
                <w:spacing w:val="6"/>
              </w:rPr>
              <w:t>1</w:t>
            </w:r>
            <w:r>
              <w:rPr>
                <w:spacing w:val="6"/>
              </w:rPr>
              <w:t>万元</w:t>
            </w:r>
            <w:r>
              <w:rPr>
                <w:spacing w:val="4"/>
              </w:rPr>
              <w:t>以上</w:t>
            </w:r>
            <w:r>
              <w:rPr>
                <w:rFonts w:ascii="宋体" w:hAnsi="宋体" w:eastAsia="宋体" w:cs="宋体"/>
                <w:spacing w:val="4"/>
              </w:rPr>
              <w:t>2</w:t>
            </w:r>
            <w:r>
              <w:rPr>
                <w:spacing w:val="4"/>
              </w:rPr>
              <w:t>万元以下的罚款</w:t>
            </w:r>
          </w:p>
        </w:tc>
        <w:tc>
          <w:tcPr>
            <w:tcW w:w="811" w:type="dxa"/>
            <w:vMerge w:val="continue"/>
            <w:tcBorders>
              <w:top w:val="nil"/>
              <w:bottom w:val="nil"/>
            </w:tcBorders>
            <w:vAlign w:val="top"/>
          </w:tcPr>
          <w:p w14:paraId="59E35B9D">
            <w:pPr>
              <w:rPr>
                <w:rFonts w:ascii="Arial"/>
                <w:sz w:val="21"/>
              </w:rPr>
            </w:pPr>
          </w:p>
        </w:tc>
      </w:tr>
      <w:tr w14:paraId="485D1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9" w:hRule="atLeast"/>
        </w:trPr>
        <w:tc>
          <w:tcPr>
            <w:tcW w:w="818" w:type="dxa"/>
            <w:vMerge w:val="continue"/>
            <w:tcBorders>
              <w:top w:val="nil"/>
            </w:tcBorders>
            <w:vAlign w:val="top"/>
          </w:tcPr>
          <w:p w14:paraId="42E71C33">
            <w:pPr>
              <w:rPr>
                <w:rFonts w:ascii="Arial"/>
                <w:sz w:val="21"/>
              </w:rPr>
            </w:pPr>
          </w:p>
        </w:tc>
        <w:tc>
          <w:tcPr>
            <w:tcW w:w="1440" w:type="dxa"/>
            <w:vMerge w:val="continue"/>
            <w:tcBorders>
              <w:top w:val="nil"/>
            </w:tcBorders>
            <w:vAlign w:val="top"/>
          </w:tcPr>
          <w:p w14:paraId="76557E90">
            <w:pPr>
              <w:rPr>
                <w:rFonts w:ascii="Arial"/>
                <w:sz w:val="21"/>
              </w:rPr>
            </w:pPr>
          </w:p>
        </w:tc>
        <w:tc>
          <w:tcPr>
            <w:tcW w:w="3202" w:type="dxa"/>
            <w:vMerge w:val="continue"/>
            <w:tcBorders>
              <w:top w:val="nil"/>
            </w:tcBorders>
            <w:vAlign w:val="top"/>
          </w:tcPr>
          <w:p w14:paraId="2488E0FC">
            <w:pPr>
              <w:rPr>
                <w:rFonts w:ascii="Arial"/>
                <w:sz w:val="21"/>
              </w:rPr>
            </w:pPr>
          </w:p>
        </w:tc>
        <w:tc>
          <w:tcPr>
            <w:tcW w:w="2859" w:type="dxa"/>
            <w:vMerge w:val="continue"/>
            <w:tcBorders>
              <w:top w:val="nil"/>
            </w:tcBorders>
            <w:vAlign w:val="top"/>
          </w:tcPr>
          <w:p w14:paraId="77EEC966">
            <w:pPr>
              <w:rPr>
                <w:rFonts w:ascii="Arial"/>
                <w:sz w:val="21"/>
              </w:rPr>
            </w:pPr>
          </w:p>
        </w:tc>
        <w:tc>
          <w:tcPr>
            <w:tcW w:w="803" w:type="dxa"/>
            <w:vAlign w:val="top"/>
          </w:tcPr>
          <w:p w14:paraId="0919CE6B">
            <w:pPr>
              <w:spacing w:line="250" w:lineRule="auto"/>
              <w:rPr>
                <w:rFonts w:ascii="Arial"/>
                <w:sz w:val="21"/>
              </w:rPr>
            </w:pPr>
          </w:p>
          <w:p w14:paraId="5766ED55">
            <w:pPr>
              <w:spacing w:line="250" w:lineRule="auto"/>
              <w:rPr>
                <w:rFonts w:ascii="Arial"/>
                <w:sz w:val="21"/>
              </w:rPr>
            </w:pPr>
          </w:p>
          <w:p w14:paraId="719DA2FE">
            <w:pPr>
              <w:spacing w:line="251" w:lineRule="auto"/>
              <w:rPr>
                <w:rFonts w:ascii="Arial"/>
                <w:sz w:val="21"/>
              </w:rPr>
            </w:pPr>
          </w:p>
          <w:p w14:paraId="297925F1">
            <w:pPr>
              <w:spacing w:line="251" w:lineRule="auto"/>
              <w:rPr>
                <w:rFonts w:ascii="Arial"/>
                <w:sz w:val="21"/>
              </w:rPr>
            </w:pPr>
          </w:p>
          <w:p w14:paraId="6620E73C">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214FA506">
            <w:pPr>
              <w:spacing w:line="261" w:lineRule="auto"/>
              <w:rPr>
                <w:rFonts w:ascii="Arial"/>
                <w:sz w:val="21"/>
              </w:rPr>
            </w:pPr>
          </w:p>
          <w:p w14:paraId="605C21B5">
            <w:pPr>
              <w:spacing w:line="262" w:lineRule="auto"/>
              <w:rPr>
                <w:rFonts w:ascii="Arial"/>
                <w:sz w:val="21"/>
              </w:rPr>
            </w:pPr>
          </w:p>
          <w:p w14:paraId="4EF59EFA">
            <w:pPr>
              <w:spacing w:line="262" w:lineRule="auto"/>
              <w:rPr>
                <w:rFonts w:ascii="Arial"/>
                <w:sz w:val="21"/>
              </w:rPr>
            </w:pPr>
          </w:p>
          <w:p w14:paraId="33CB05B5">
            <w:pPr>
              <w:pStyle w:val="6"/>
              <w:spacing w:before="99" w:line="197" w:lineRule="auto"/>
              <w:ind w:left="122" w:right="106" w:hanging="5"/>
            </w:pPr>
            <w:r>
              <w:rPr>
                <w:spacing w:val="3"/>
              </w:rPr>
              <w:t>违法所得</w:t>
            </w:r>
            <w:r>
              <w:rPr>
                <w:rFonts w:ascii="宋体" w:hAnsi="宋体" w:eastAsia="宋体" w:cs="宋体"/>
                <w:spacing w:val="3"/>
              </w:rPr>
              <w:t>10</w:t>
            </w:r>
            <w:r>
              <w:rPr>
                <w:spacing w:val="3"/>
              </w:rPr>
              <w:t>万元以</w:t>
            </w:r>
            <w:r>
              <w:t>上的</w:t>
            </w:r>
          </w:p>
        </w:tc>
        <w:tc>
          <w:tcPr>
            <w:tcW w:w="2894" w:type="dxa"/>
            <w:vAlign w:val="top"/>
          </w:tcPr>
          <w:p w14:paraId="33B2DCD4">
            <w:pPr>
              <w:pStyle w:val="6"/>
              <w:spacing w:before="287" w:line="187" w:lineRule="auto"/>
              <w:ind w:left="117" w:right="104" w:firstLine="10"/>
              <w:jc w:val="both"/>
            </w:pPr>
            <w:r>
              <w:rPr>
                <w:spacing w:val="7"/>
              </w:rPr>
              <w:t>责令限期改正，没收违法</w:t>
            </w:r>
            <w:r>
              <w:rPr>
                <w:spacing w:val="6"/>
              </w:rPr>
              <w:t>所得，并处违法所得</w:t>
            </w:r>
            <w:r>
              <w:rPr>
                <w:rFonts w:ascii="宋体" w:hAnsi="宋体" w:eastAsia="宋体" w:cs="宋体"/>
                <w:spacing w:val="6"/>
              </w:rPr>
              <w:t>2</w:t>
            </w:r>
            <w:r>
              <w:rPr>
                <w:spacing w:val="6"/>
              </w:rPr>
              <w:t>倍</w:t>
            </w:r>
            <w:r>
              <w:rPr>
                <w:spacing w:val="5"/>
              </w:rPr>
              <w:t>以上</w:t>
            </w:r>
            <w:r>
              <w:rPr>
                <w:rFonts w:ascii="宋体" w:hAnsi="宋体" w:eastAsia="宋体" w:cs="宋体"/>
                <w:spacing w:val="5"/>
              </w:rPr>
              <w:t>5</w:t>
            </w:r>
            <w:r>
              <w:rPr>
                <w:spacing w:val="5"/>
              </w:rPr>
              <w:t>倍以下的罚款；对</w:t>
            </w:r>
            <w:r>
              <w:rPr>
                <w:spacing w:val="11"/>
              </w:rPr>
              <w:t>其直接负责的主管人员和</w:t>
            </w:r>
            <w:r>
              <w:rPr>
                <w:spacing w:val="6"/>
              </w:rPr>
              <w:t>其他直接责任人员处</w:t>
            </w:r>
            <w:r>
              <w:rPr>
                <w:rFonts w:ascii="宋体" w:hAnsi="宋体" w:eastAsia="宋体" w:cs="宋体"/>
                <w:spacing w:val="6"/>
              </w:rPr>
              <w:t>1</w:t>
            </w:r>
            <w:r>
              <w:rPr>
                <w:spacing w:val="6"/>
              </w:rPr>
              <w:t>万</w:t>
            </w:r>
            <w:r>
              <w:rPr>
                <w:spacing w:val="4"/>
              </w:rPr>
              <w:t>元以上</w:t>
            </w:r>
            <w:r>
              <w:rPr>
                <w:rFonts w:ascii="宋体" w:hAnsi="宋体" w:eastAsia="宋体" w:cs="宋体"/>
                <w:spacing w:val="4"/>
              </w:rPr>
              <w:t>2</w:t>
            </w:r>
            <w:r>
              <w:rPr>
                <w:spacing w:val="4"/>
              </w:rPr>
              <w:t>万元以下的罚款</w:t>
            </w:r>
          </w:p>
        </w:tc>
        <w:tc>
          <w:tcPr>
            <w:tcW w:w="811" w:type="dxa"/>
            <w:vMerge w:val="continue"/>
            <w:tcBorders>
              <w:top w:val="nil"/>
            </w:tcBorders>
            <w:vAlign w:val="top"/>
          </w:tcPr>
          <w:p w14:paraId="06CD41D2">
            <w:pPr>
              <w:rPr>
                <w:rFonts w:ascii="Arial"/>
                <w:sz w:val="21"/>
              </w:rPr>
            </w:pPr>
          </w:p>
        </w:tc>
      </w:tr>
      <w:tr w14:paraId="13AF2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818" w:type="dxa"/>
            <w:vAlign w:val="top"/>
          </w:tcPr>
          <w:p w14:paraId="5EB1F87E">
            <w:pPr>
              <w:spacing w:line="304" w:lineRule="auto"/>
              <w:rPr>
                <w:rFonts w:ascii="Arial"/>
                <w:sz w:val="21"/>
              </w:rPr>
            </w:pPr>
          </w:p>
          <w:p w14:paraId="25703C03">
            <w:pPr>
              <w:spacing w:before="75" w:line="185" w:lineRule="auto"/>
              <w:ind w:left="239"/>
              <w:rPr>
                <w:rFonts w:ascii="仿宋" w:hAnsi="仿宋" w:eastAsia="仿宋" w:cs="仿宋"/>
                <w:sz w:val="23"/>
                <w:szCs w:val="23"/>
              </w:rPr>
            </w:pPr>
            <w:r>
              <w:rPr>
                <w:rFonts w:ascii="仿宋" w:hAnsi="仿宋" w:eastAsia="仿宋" w:cs="仿宋"/>
                <w:spacing w:val="-4"/>
                <w:sz w:val="23"/>
                <w:szCs w:val="23"/>
              </w:rPr>
              <w:t>58</w:t>
            </w:r>
          </w:p>
        </w:tc>
        <w:tc>
          <w:tcPr>
            <w:tcW w:w="1440" w:type="dxa"/>
            <w:vAlign w:val="top"/>
          </w:tcPr>
          <w:p w14:paraId="32D14F28">
            <w:pPr>
              <w:pStyle w:val="6"/>
              <w:spacing w:before="33" w:line="175" w:lineRule="auto"/>
              <w:ind w:left="115" w:right="111" w:firstLine="13"/>
              <w:jc w:val="both"/>
            </w:pPr>
            <w:r>
              <w:rPr>
                <w:spacing w:val="8"/>
              </w:rPr>
              <w:t>生产经营单</w:t>
            </w:r>
            <w:r>
              <w:rPr>
                <w:spacing w:val="11"/>
              </w:rPr>
              <w:t>位未与承包单位、承租</w:t>
            </w:r>
          </w:p>
        </w:tc>
        <w:tc>
          <w:tcPr>
            <w:tcW w:w="3202" w:type="dxa"/>
            <w:vAlign w:val="top"/>
          </w:tcPr>
          <w:p w14:paraId="6069CEDB">
            <w:pPr>
              <w:pStyle w:val="6"/>
              <w:spacing w:before="33" w:line="175" w:lineRule="auto"/>
              <w:ind w:left="123" w:right="111" w:hanging="25"/>
              <w:jc w:val="both"/>
            </w:pPr>
            <w:r>
              <w:rPr>
                <w:spacing w:val="18"/>
              </w:rPr>
              <w:t>【法律】《中华人民共和国</w:t>
            </w:r>
            <w:r>
              <w:rPr>
                <w:spacing w:val="16"/>
              </w:rPr>
              <w:t>安全生产法》第四十九条第</w:t>
            </w:r>
            <w:r>
              <w:rPr>
                <w:spacing w:val="12"/>
              </w:rPr>
              <w:t>二款：生产经营项目、场所</w:t>
            </w:r>
          </w:p>
        </w:tc>
        <w:tc>
          <w:tcPr>
            <w:tcW w:w="2859" w:type="dxa"/>
            <w:vAlign w:val="top"/>
          </w:tcPr>
          <w:p w14:paraId="5FBA02A2">
            <w:pPr>
              <w:pStyle w:val="6"/>
              <w:spacing w:before="33" w:line="175" w:lineRule="auto"/>
              <w:ind w:left="130" w:right="110" w:hanging="33"/>
              <w:jc w:val="both"/>
            </w:pPr>
            <w:r>
              <w:rPr>
                <w:spacing w:val="10"/>
              </w:rPr>
              <w:t>【法律】《中华人民共和</w:t>
            </w:r>
            <w:r>
              <w:rPr>
                <w:spacing w:val="7"/>
              </w:rPr>
              <w:t>国安全生产法》第一百零三条第二款：生产经营单</w:t>
            </w:r>
          </w:p>
        </w:tc>
        <w:tc>
          <w:tcPr>
            <w:tcW w:w="803" w:type="dxa"/>
            <w:vAlign w:val="top"/>
          </w:tcPr>
          <w:p w14:paraId="09FFC8B5">
            <w:pPr>
              <w:spacing w:line="298" w:lineRule="auto"/>
              <w:rPr>
                <w:rFonts w:ascii="Arial"/>
                <w:sz w:val="21"/>
              </w:rPr>
            </w:pPr>
          </w:p>
          <w:p w14:paraId="7ED20C52">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D1ADFC1">
            <w:pPr>
              <w:pStyle w:val="6"/>
              <w:spacing w:before="33" w:line="175" w:lineRule="auto"/>
              <w:ind w:left="120" w:right="109" w:firstLine="11"/>
              <w:jc w:val="both"/>
            </w:pPr>
            <w:r>
              <w:rPr>
                <w:spacing w:val="24"/>
              </w:rPr>
              <w:t>生产经营单位未与</w:t>
            </w:r>
            <w:r>
              <w:rPr>
                <w:spacing w:val="-3"/>
              </w:rPr>
              <w:t>承包单位、承租单位</w:t>
            </w:r>
            <w:r>
              <w:rPr>
                <w:spacing w:val="26"/>
              </w:rPr>
              <w:t>签订专门的安全生</w:t>
            </w:r>
          </w:p>
        </w:tc>
        <w:tc>
          <w:tcPr>
            <w:tcW w:w="2894" w:type="dxa"/>
            <w:vAlign w:val="top"/>
          </w:tcPr>
          <w:p w14:paraId="28CCA829">
            <w:pPr>
              <w:pStyle w:val="6"/>
              <w:spacing w:before="33" w:line="175" w:lineRule="auto"/>
              <w:ind w:left="127" w:right="103"/>
              <w:jc w:val="both"/>
            </w:pPr>
            <w:r>
              <w:rPr>
                <w:spacing w:val="4"/>
              </w:rPr>
              <w:t>责令限期改正，处</w:t>
            </w:r>
            <w:r>
              <w:rPr>
                <w:rFonts w:ascii="宋体" w:hAnsi="宋体" w:eastAsia="宋体" w:cs="宋体"/>
                <w:spacing w:val="4"/>
              </w:rPr>
              <w:t>2</w:t>
            </w:r>
            <w:r>
              <w:rPr>
                <w:spacing w:val="4"/>
              </w:rPr>
              <w:t>万元</w:t>
            </w:r>
            <w:r>
              <w:rPr>
                <w:spacing w:val="7"/>
              </w:rPr>
              <w:t>以下的罚款，对其直接负</w:t>
            </w:r>
            <w:r>
              <w:rPr>
                <w:spacing w:val="10"/>
              </w:rPr>
              <w:t>责的主管人员和其他直接</w:t>
            </w:r>
          </w:p>
        </w:tc>
        <w:tc>
          <w:tcPr>
            <w:tcW w:w="811" w:type="dxa"/>
            <w:vAlign w:val="top"/>
          </w:tcPr>
          <w:p w14:paraId="0C810394">
            <w:pPr>
              <w:spacing w:line="300" w:lineRule="auto"/>
              <w:rPr>
                <w:rFonts w:ascii="Arial"/>
                <w:sz w:val="21"/>
              </w:rPr>
            </w:pPr>
          </w:p>
          <w:p w14:paraId="791E81F3">
            <w:pPr>
              <w:spacing w:before="75" w:line="188" w:lineRule="auto"/>
              <w:ind w:left="290"/>
              <w:rPr>
                <w:rFonts w:ascii="宋体" w:hAnsi="宋体" w:eastAsia="宋体" w:cs="宋体"/>
                <w:sz w:val="23"/>
                <w:szCs w:val="23"/>
              </w:rPr>
            </w:pPr>
            <w:r>
              <w:rPr>
                <w:rFonts w:ascii="宋体" w:hAnsi="宋体" w:eastAsia="宋体" w:cs="宋体"/>
                <w:spacing w:val="-1"/>
                <w:sz w:val="23"/>
                <w:szCs w:val="23"/>
              </w:rPr>
              <w:t>43</w:t>
            </w:r>
          </w:p>
        </w:tc>
      </w:tr>
    </w:tbl>
    <w:p w14:paraId="02477522">
      <w:pPr>
        <w:pStyle w:val="2"/>
      </w:pPr>
    </w:p>
    <w:p w14:paraId="766A2FD4">
      <w:pPr>
        <w:sectPr>
          <w:footerReference r:id="rId75" w:type="default"/>
          <w:pgSz w:w="16839" w:h="11906"/>
          <w:pgMar w:top="1012" w:right="821" w:bottom="666" w:left="901" w:header="0" w:footer="388" w:gutter="0"/>
          <w:cols w:space="720" w:num="1"/>
        </w:sectPr>
      </w:pPr>
    </w:p>
    <w:p w14:paraId="42086BA4">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1A37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ED7704B">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3D6BB285">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762EFB42">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D6E4AF3">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BA7D92A">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0F7E218">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1763DF4">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603D051">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5340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restart"/>
            <w:tcBorders>
              <w:bottom w:val="nil"/>
            </w:tcBorders>
            <w:vAlign w:val="top"/>
          </w:tcPr>
          <w:p w14:paraId="5DEBFCAA">
            <w:pPr>
              <w:rPr>
                <w:rFonts w:ascii="Arial"/>
                <w:sz w:val="21"/>
              </w:rPr>
            </w:pPr>
          </w:p>
        </w:tc>
        <w:tc>
          <w:tcPr>
            <w:tcW w:w="1440" w:type="dxa"/>
            <w:vMerge w:val="restart"/>
            <w:tcBorders>
              <w:bottom w:val="nil"/>
            </w:tcBorders>
            <w:vAlign w:val="top"/>
          </w:tcPr>
          <w:p w14:paraId="0CEB03F5">
            <w:pPr>
              <w:pStyle w:val="6"/>
              <w:spacing w:before="30" w:line="182" w:lineRule="auto"/>
              <w:ind w:left="117" w:right="111" w:firstLine="3"/>
              <w:jc w:val="both"/>
            </w:pPr>
            <w:r>
              <w:rPr>
                <w:spacing w:val="10"/>
              </w:rPr>
              <w:t>单位签订专</w:t>
            </w:r>
            <w:r>
              <w:rPr>
                <w:spacing w:val="11"/>
              </w:rPr>
              <w:t>门的安全生产管理协议</w:t>
            </w:r>
          </w:p>
          <w:p w14:paraId="5C2AE43F">
            <w:pPr>
              <w:pStyle w:val="6"/>
              <w:spacing w:line="182" w:lineRule="auto"/>
              <w:ind w:left="118"/>
              <w:outlineLvl w:val="0"/>
            </w:pPr>
            <w:r>
              <w:rPr>
                <w:spacing w:val="10"/>
              </w:rPr>
              <w:t>或者未在承</w:t>
            </w:r>
          </w:p>
          <w:p w14:paraId="4094B2EF">
            <w:pPr>
              <w:pStyle w:val="6"/>
              <w:spacing w:before="2" w:line="185" w:lineRule="auto"/>
              <w:ind w:left="113" w:right="111" w:hanging="1"/>
              <w:jc w:val="both"/>
            </w:pPr>
            <w:r>
              <w:rPr>
                <w:spacing w:val="12"/>
              </w:rPr>
              <w:t>包合同、租</w:t>
            </w:r>
            <w:bookmarkStart w:id="457" w:name="bookmark123"/>
            <w:bookmarkEnd w:id="457"/>
            <w:r>
              <w:rPr>
                <w:spacing w:val="11"/>
              </w:rPr>
              <w:t>赁合同中明确各自的安全生产管理</w:t>
            </w:r>
            <w:r>
              <w:rPr>
                <w:spacing w:val="4"/>
              </w:rPr>
              <w:t>职责，或者</w:t>
            </w:r>
            <w:r>
              <w:rPr>
                <w:spacing w:val="11"/>
              </w:rPr>
              <w:t>未对承包单位、承租单位的安全生</w:t>
            </w:r>
            <w:r>
              <w:rPr>
                <w:spacing w:val="-5"/>
                <w:w w:val="97"/>
              </w:rPr>
              <w:t>产统一协</w:t>
            </w:r>
            <w:r>
              <w:rPr>
                <w:spacing w:val="7"/>
              </w:rPr>
              <w:t>调、管理的</w:t>
            </w:r>
          </w:p>
        </w:tc>
        <w:tc>
          <w:tcPr>
            <w:tcW w:w="3202" w:type="dxa"/>
            <w:vMerge w:val="restart"/>
            <w:tcBorders>
              <w:bottom w:val="nil"/>
            </w:tcBorders>
            <w:vAlign w:val="top"/>
          </w:tcPr>
          <w:p w14:paraId="379FDA96">
            <w:pPr>
              <w:pStyle w:val="6"/>
              <w:spacing w:before="24" w:line="185" w:lineRule="auto"/>
              <w:ind w:left="114" w:right="110" w:firstLine="4"/>
              <w:jc w:val="both"/>
            </w:pPr>
            <w:r>
              <w:rPr>
                <w:spacing w:val="39"/>
              </w:rPr>
              <w:t>发包或者出租给其他单位</w:t>
            </w:r>
            <w:r>
              <w:rPr>
                <w:spacing w:val="12"/>
              </w:rPr>
              <w:t>的，生产经营单位应当与承</w:t>
            </w:r>
            <w:r>
              <w:rPr>
                <w:spacing w:val="17"/>
              </w:rPr>
              <w:t>包单位、承租单位签订专门</w:t>
            </w:r>
            <w:r>
              <w:rPr>
                <w:spacing w:val="13"/>
              </w:rPr>
              <w:t>的安全生产管理协议，或者</w:t>
            </w:r>
            <w:r>
              <w:rPr>
                <w:spacing w:val="17"/>
              </w:rPr>
              <w:t>在承包合同、租赁合同中约</w:t>
            </w:r>
            <w:r>
              <w:rPr>
                <w:spacing w:val="40"/>
              </w:rPr>
              <w:t>定各自的安全生产管理职</w:t>
            </w:r>
            <w:r>
              <w:rPr>
                <w:spacing w:val="12"/>
              </w:rPr>
              <w:t>责；生产经营单位对承包单</w:t>
            </w:r>
            <w:r>
              <w:rPr>
                <w:spacing w:val="17"/>
              </w:rPr>
              <w:t>位、承租单位的安全生产工</w:t>
            </w:r>
            <w:r>
              <w:rPr>
                <w:spacing w:val="14"/>
              </w:rPr>
              <w:t>作统一协调、管理，定期进</w:t>
            </w:r>
            <w:r>
              <w:rPr>
                <w:spacing w:val="13"/>
              </w:rPr>
              <w:t>行安全检查，发现安全问题</w:t>
            </w:r>
            <w:r>
              <w:rPr>
                <w:spacing w:val="5"/>
              </w:rPr>
              <w:t>的，应当及时督促整改。</w:t>
            </w:r>
          </w:p>
        </w:tc>
        <w:tc>
          <w:tcPr>
            <w:tcW w:w="2859" w:type="dxa"/>
            <w:vMerge w:val="restart"/>
            <w:tcBorders>
              <w:bottom w:val="nil"/>
            </w:tcBorders>
            <w:vAlign w:val="top"/>
          </w:tcPr>
          <w:p w14:paraId="4D5DAA7C">
            <w:pPr>
              <w:pStyle w:val="6"/>
              <w:spacing w:before="36" w:line="184" w:lineRule="auto"/>
              <w:ind w:left="115" w:right="23" w:firstLine="1"/>
            </w:pPr>
            <w:r>
              <w:rPr>
                <w:spacing w:val="8"/>
              </w:rPr>
              <w:t>位未与承包单位、承租单位签订专门的安全生产管</w:t>
            </w:r>
            <w:r>
              <w:rPr>
                <w:spacing w:val="32"/>
              </w:rPr>
              <w:t>理协议或者未在承包合</w:t>
            </w:r>
            <w:r>
              <w:rPr>
                <w:spacing w:val="8"/>
              </w:rPr>
              <w:t>同、租赁合同中明确各自</w:t>
            </w:r>
            <w:r>
              <w:rPr>
                <w:spacing w:val="2"/>
              </w:rPr>
              <w:t>的安全生产管理职责，或</w:t>
            </w:r>
            <w:r>
              <w:rPr>
                <w:spacing w:val="8"/>
              </w:rPr>
              <w:t>者未对承包单位、承租单</w:t>
            </w:r>
            <w:r>
              <w:rPr>
                <w:spacing w:val="6"/>
              </w:rPr>
              <w:t>位的安全生产统一协调、</w:t>
            </w:r>
            <w:r>
              <w:t>管理的，责令限期改正，</w:t>
            </w:r>
            <w:r>
              <w:rPr>
                <w:spacing w:val="2"/>
              </w:rPr>
              <w:t>处五万元以下的罚款，对</w:t>
            </w:r>
            <w:r>
              <w:rPr>
                <w:spacing w:val="8"/>
              </w:rPr>
              <w:t>其直接负责的主管人员和其他直接责任人员处一万元以下的罚款；逾期未改</w:t>
            </w:r>
            <w:r>
              <w:rPr>
                <w:spacing w:val="-4"/>
              </w:rPr>
              <w:t>正的，责令停产停业整顿。</w:t>
            </w:r>
          </w:p>
        </w:tc>
        <w:tc>
          <w:tcPr>
            <w:tcW w:w="803" w:type="dxa"/>
            <w:vAlign w:val="top"/>
          </w:tcPr>
          <w:p w14:paraId="31725F29">
            <w:pPr>
              <w:rPr>
                <w:rFonts w:ascii="Arial"/>
                <w:sz w:val="21"/>
              </w:rPr>
            </w:pPr>
          </w:p>
        </w:tc>
        <w:tc>
          <w:tcPr>
            <w:tcW w:w="2283" w:type="dxa"/>
            <w:vAlign w:val="top"/>
          </w:tcPr>
          <w:p w14:paraId="69D9545C">
            <w:pPr>
              <w:pStyle w:val="6"/>
              <w:spacing w:before="29" w:line="177" w:lineRule="auto"/>
              <w:ind w:left="117" w:right="109" w:firstLine="1"/>
              <w:jc w:val="both"/>
            </w:pPr>
            <w:r>
              <w:rPr>
                <w:spacing w:val="26"/>
              </w:rPr>
              <w:t>产管理协议或者未</w:t>
            </w:r>
            <w:r>
              <w:rPr>
                <w:spacing w:val="-3"/>
              </w:rPr>
              <w:t>在承包合同、租赁合</w:t>
            </w:r>
            <w:r>
              <w:rPr>
                <w:spacing w:val="26"/>
              </w:rPr>
              <w:t>同中明确各自的安</w:t>
            </w:r>
            <w:r>
              <w:rPr>
                <w:spacing w:val="7"/>
              </w:rPr>
              <w:t>全生产管理职责的</w:t>
            </w:r>
          </w:p>
        </w:tc>
        <w:tc>
          <w:tcPr>
            <w:tcW w:w="2894" w:type="dxa"/>
            <w:vAlign w:val="top"/>
          </w:tcPr>
          <w:p w14:paraId="3EE892B6">
            <w:pPr>
              <w:pStyle w:val="6"/>
              <w:spacing w:before="27" w:line="191" w:lineRule="auto"/>
              <w:ind w:left="117" w:right="107" w:firstLine="10"/>
              <w:jc w:val="both"/>
            </w:pPr>
            <w:r>
              <w:rPr>
                <w:spacing w:val="5"/>
              </w:rPr>
              <w:t>责任人员处</w:t>
            </w:r>
            <w:r>
              <w:rPr>
                <w:rFonts w:ascii="宋体" w:hAnsi="宋体" w:eastAsia="宋体" w:cs="宋体"/>
                <w:spacing w:val="5"/>
              </w:rPr>
              <w:t>1</w:t>
            </w:r>
            <w:r>
              <w:rPr>
                <w:spacing w:val="5"/>
              </w:rPr>
              <w:t>万元以下的罚款；逾期未改正的，责</w:t>
            </w:r>
            <w:r>
              <w:rPr>
                <w:spacing w:val="7"/>
              </w:rPr>
              <w:t>令停产停业整顿</w:t>
            </w:r>
          </w:p>
        </w:tc>
        <w:tc>
          <w:tcPr>
            <w:tcW w:w="811" w:type="dxa"/>
            <w:vMerge w:val="restart"/>
            <w:tcBorders>
              <w:bottom w:val="nil"/>
            </w:tcBorders>
            <w:vAlign w:val="top"/>
          </w:tcPr>
          <w:p w14:paraId="3703C5B6">
            <w:pPr>
              <w:rPr>
                <w:rFonts w:ascii="Arial"/>
                <w:sz w:val="21"/>
              </w:rPr>
            </w:pPr>
          </w:p>
        </w:tc>
      </w:tr>
      <w:tr w14:paraId="42A6F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continue"/>
            <w:tcBorders>
              <w:top w:val="nil"/>
              <w:bottom w:val="nil"/>
            </w:tcBorders>
            <w:vAlign w:val="top"/>
          </w:tcPr>
          <w:p w14:paraId="11258D74">
            <w:pPr>
              <w:rPr>
                <w:rFonts w:ascii="Arial"/>
                <w:sz w:val="21"/>
              </w:rPr>
            </w:pPr>
          </w:p>
        </w:tc>
        <w:tc>
          <w:tcPr>
            <w:tcW w:w="1440" w:type="dxa"/>
            <w:vMerge w:val="continue"/>
            <w:tcBorders>
              <w:top w:val="nil"/>
              <w:bottom w:val="nil"/>
            </w:tcBorders>
            <w:vAlign w:val="top"/>
          </w:tcPr>
          <w:p w14:paraId="4B2E6DBA">
            <w:pPr>
              <w:rPr>
                <w:rFonts w:ascii="Arial"/>
                <w:sz w:val="21"/>
              </w:rPr>
            </w:pPr>
          </w:p>
        </w:tc>
        <w:tc>
          <w:tcPr>
            <w:tcW w:w="3202" w:type="dxa"/>
            <w:vMerge w:val="continue"/>
            <w:tcBorders>
              <w:top w:val="nil"/>
              <w:bottom w:val="nil"/>
            </w:tcBorders>
            <w:vAlign w:val="top"/>
          </w:tcPr>
          <w:p w14:paraId="59B3C8C1">
            <w:pPr>
              <w:rPr>
                <w:rFonts w:ascii="Arial"/>
                <w:sz w:val="21"/>
              </w:rPr>
            </w:pPr>
          </w:p>
        </w:tc>
        <w:tc>
          <w:tcPr>
            <w:tcW w:w="2859" w:type="dxa"/>
            <w:vMerge w:val="continue"/>
            <w:tcBorders>
              <w:top w:val="nil"/>
              <w:bottom w:val="nil"/>
            </w:tcBorders>
            <w:vAlign w:val="top"/>
          </w:tcPr>
          <w:p w14:paraId="4E7A72C6">
            <w:pPr>
              <w:rPr>
                <w:rFonts w:ascii="Arial"/>
                <w:sz w:val="21"/>
              </w:rPr>
            </w:pPr>
          </w:p>
        </w:tc>
        <w:tc>
          <w:tcPr>
            <w:tcW w:w="803" w:type="dxa"/>
            <w:vAlign w:val="top"/>
          </w:tcPr>
          <w:p w14:paraId="72EE0A5B">
            <w:pPr>
              <w:spacing w:line="298" w:lineRule="auto"/>
              <w:rPr>
                <w:rFonts w:ascii="Arial"/>
                <w:sz w:val="21"/>
              </w:rPr>
            </w:pPr>
          </w:p>
          <w:p w14:paraId="7D3FAB5A">
            <w:pPr>
              <w:spacing w:line="298" w:lineRule="auto"/>
              <w:rPr>
                <w:rFonts w:ascii="Arial"/>
                <w:sz w:val="21"/>
              </w:rPr>
            </w:pPr>
          </w:p>
          <w:p w14:paraId="613F5DAE">
            <w:pPr>
              <w:spacing w:line="299" w:lineRule="auto"/>
              <w:rPr>
                <w:rFonts w:ascii="Arial"/>
                <w:sz w:val="21"/>
              </w:rPr>
            </w:pPr>
          </w:p>
          <w:p w14:paraId="363C60DB">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4AB277D">
            <w:pPr>
              <w:spacing w:line="380" w:lineRule="auto"/>
              <w:rPr>
                <w:rFonts w:ascii="Arial"/>
                <w:sz w:val="21"/>
              </w:rPr>
            </w:pPr>
          </w:p>
          <w:p w14:paraId="65D9B7F1">
            <w:pPr>
              <w:pStyle w:val="6"/>
              <w:spacing w:before="99" w:line="189" w:lineRule="auto"/>
              <w:ind w:left="116" w:right="109" w:firstLine="14"/>
              <w:jc w:val="both"/>
            </w:pPr>
            <w:r>
              <w:rPr>
                <w:spacing w:val="24"/>
              </w:rPr>
              <w:t>生产经营单位未对</w:t>
            </w:r>
            <w:r>
              <w:rPr>
                <w:spacing w:val="-2"/>
              </w:rPr>
              <w:t>承包单位、承租单位</w:t>
            </w:r>
            <w:r>
              <w:rPr>
                <w:spacing w:val="26"/>
              </w:rPr>
              <w:t>的安全生产统一协</w:t>
            </w:r>
            <w:r>
              <w:rPr>
                <w:spacing w:val="7"/>
              </w:rPr>
              <w:t>调、管理的</w:t>
            </w:r>
          </w:p>
        </w:tc>
        <w:tc>
          <w:tcPr>
            <w:tcW w:w="2894" w:type="dxa"/>
            <w:vAlign w:val="top"/>
          </w:tcPr>
          <w:p w14:paraId="105045C7">
            <w:pPr>
              <w:pStyle w:val="6"/>
              <w:spacing w:before="33" w:line="179" w:lineRule="auto"/>
              <w:ind w:left="122" w:right="103" w:firstLine="5"/>
            </w:pPr>
            <w:r>
              <w:rPr>
                <w:spacing w:val="4"/>
              </w:rPr>
              <w:t>责令限期改正，处</w:t>
            </w:r>
            <w:r>
              <w:rPr>
                <w:rFonts w:ascii="宋体" w:hAnsi="宋体" w:eastAsia="宋体" w:cs="宋体"/>
                <w:spacing w:val="4"/>
              </w:rPr>
              <w:t>2</w:t>
            </w:r>
            <w:r>
              <w:rPr>
                <w:spacing w:val="4"/>
              </w:rPr>
              <w:t>万元</w:t>
            </w:r>
            <w:r>
              <w:rPr>
                <w:spacing w:val="6"/>
              </w:rPr>
              <w:t>以上</w:t>
            </w:r>
            <w:r>
              <w:rPr>
                <w:rFonts w:ascii="宋体" w:hAnsi="宋体" w:eastAsia="宋体" w:cs="宋体"/>
                <w:spacing w:val="6"/>
              </w:rPr>
              <w:t>4</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8"/>
              </w:rPr>
              <w:t>万元以下的罚款；逾期未改正的，责令停产停业整</w:t>
            </w:r>
            <w:r>
              <w:t>顿</w:t>
            </w:r>
          </w:p>
        </w:tc>
        <w:tc>
          <w:tcPr>
            <w:tcW w:w="811" w:type="dxa"/>
            <w:vMerge w:val="continue"/>
            <w:tcBorders>
              <w:top w:val="nil"/>
              <w:bottom w:val="nil"/>
            </w:tcBorders>
            <w:vAlign w:val="top"/>
          </w:tcPr>
          <w:p w14:paraId="2C96024B">
            <w:pPr>
              <w:rPr>
                <w:rFonts w:ascii="Arial"/>
                <w:sz w:val="21"/>
              </w:rPr>
            </w:pPr>
          </w:p>
        </w:tc>
      </w:tr>
      <w:tr w14:paraId="4E9C3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3" w:hRule="atLeast"/>
        </w:trPr>
        <w:tc>
          <w:tcPr>
            <w:tcW w:w="818" w:type="dxa"/>
            <w:vMerge w:val="continue"/>
            <w:tcBorders>
              <w:top w:val="nil"/>
            </w:tcBorders>
            <w:vAlign w:val="top"/>
          </w:tcPr>
          <w:p w14:paraId="797B7336">
            <w:pPr>
              <w:rPr>
                <w:rFonts w:ascii="Arial"/>
                <w:sz w:val="21"/>
              </w:rPr>
            </w:pPr>
          </w:p>
        </w:tc>
        <w:tc>
          <w:tcPr>
            <w:tcW w:w="1440" w:type="dxa"/>
            <w:vMerge w:val="continue"/>
            <w:tcBorders>
              <w:top w:val="nil"/>
            </w:tcBorders>
            <w:vAlign w:val="top"/>
          </w:tcPr>
          <w:p w14:paraId="3D70EDE2">
            <w:pPr>
              <w:rPr>
                <w:rFonts w:ascii="Arial"/>
                <w:sz w:val="21"/>
              </w:rPr>
            </w:pPr>
          </w:p>
        </w:tc>
        <w:tc>
          <w:tcPr>
            <w:tcW w:w="3202" w:type="dxa"/>
            <w:vMerge w:val="continue"/>
            <w:tcBorders>
              <w:top w:val="nil"/>
            </w:tcBorders>
            <w:vAlign w:val="top"/>
          </w:tcPr>
          <w:p w14:paraId="3E2A3EBA">
            <w:pPr>
              <w:rPr>
                <w:rFonts w:ascii="Arial"/>
                <w:sz w:val="21"/>
              </w:rPr>
            </w:pPr>
          </w:p>
        </w:tc>
        <w:tc>
          <w:tcPr>
            <w:tcW w:w="2859" w:type="dxa"/>
            <w:vMerge w:val="continue"/>
            <w:tcBorders>
              <w:top w:val="nil"/>
            </w:tcBorders>
            <w:vAlign w:val="top"/>
          </w:tcPr>
          <w:p w14:paraId="7A71926D">
            <w:pPr>
              <w:rPr>
                <w:rFonts w:ascii="Arial"/>
                <w:sz w:val="21"/>
              </w:rPr>
            </w:pPr>
          </w:p>
        </w:tc>
        <w:tc>
          <w:tcPr>
            <w:tcW w:w="803" w:type="dxa"/>
            <w:vAlign w:val="top"/>
          </w:tcPr>
          <w:p w14:paraId="61F19B3A">
            <w:pPr>
              <w:spacing w:line="268" w:lineRule="auto"/>
              <w:rPr>
                <w:rFonts w:ascii="Arial"/>
                <w:sz w:val="21"/>
              </w:rPr>
            </w:pPr>
          </w:p>
          <w:p w14:paraId="269321F1">
            <w:pPr>
              <w:spacing w:line="268" w:lineRule="auto"/>
              <w:rPr>
                <w:rFonts w:ascii="Arial"/>
                <w:sz w:val="21"/>
              </w:rPr>
            </w:pPr>
          </w:p>
          <w:p w14:paraId="2A6A23CD">
            <w:pPr>
              <w:spacing w:line="269" w:lineRule="auto"/>
              <w:rPr>
                <w:rFonts w:ascii="Arial"/>
                <w:sz w:val="21"/>
              </w:rPr>
            </w:pPr>
          </w:p>
          <w:p w14:paraId="74989585">
            <w:pPr>
              <w:spacing w:line="269" w:lineRule="auto"/>
              <w:rPr>
                <w:rFonts w:ascii="Arial"/>
                <w:sz w:val="21"/>
              </w:rPr>
            </w:pPr>
          </w:p>
          <w:p w14:paraId="0C91E084">
            <w:pPr>
              <w:spacing w:line="269" w:lineRule="auto"/>
              <w:rPr>
                <w:rFonts w:ascii="Arial"/>
                <w:sz w:val="21"/>
              </w:rPr>
            </w:pPr>
          </w:p>
          <w:p w14:paraId="36FB4042">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F09A651">
            <w:pPr>
              <w:pStyle w:val="6"/>
              <w:spacing w:before="33" w:line="180" w:lineRule="auto"/>
              <w:ind w:left="117" w:right="109" w:firstLine="13"/>
              <w:jc w:val="both"/>
            </w:pPr>
            <w:r>
              <w:rPr>
                <w:spacing w:val="24"/>
              </w:rPr>
              <w:t>生产经营单位未与</w:t>
            </w:r>
            <w:r>
              <w:rPr>
                <w:spacing w:val="-3"/>
              </w:rPr>
              <w:t>承包单位、承租单位</w:t>
            </w:r>
            <w:r>
              <w:rPr>
                <w:spacing w:val="26"/>
              </w:rPr>
              <w:t>签订专门的安全生产管理协议或者未</w:t>
            </w:r>
            <w:r>
              <w:rPr>
                <w:spacing w:val="-3"/>
              </w:rPr>
              <w:t>在承包合同、租赁合</w:t>
            </w:r>
            <w:r>
              <w:rPr>
                <w:spacing w:val="26"/>
              </w:rPr>
              <w:t>同中明确各自的安</w:t>
            </w:r>
            <w:r>
              <w:rPr>
                <w:spacing w:val="-3"/>
              </w:rPr>
              <w:t>全生产管理职责，且未对承包单位、承租</w:t>
            </w:r>
            <w:r>
              <w:rPr>
                <w:spacing w:val="26"/>
              </w:rPr>
              <w:t>单位的安全生产统</w:t>
            </w:r>
            <w:r>
              <w:rPr>
                <w:spacing w:val="7"/>
              </w:rPr>
              <w:t>一协调、管理的</w:t>
            </w:r>
          </w:p>
        </w:tc>
        <w:tc>
          <w:tcPr>
            <w:tcW w:w="2894" w:type="dxa"/>
            <w:vAlign w:val="top"/>
          </w:tcPr>
          <w:p w14:paraId="3083F388">
            <w:pPr>
              <w:spacing w:line="382" w:lineRule="auto"/>
              <w:rPr>
                <w:rFonts w:ascii="Arial"/>
                <w:sz w:val="21"/>
              </w:rPr>
            </w:pPr>
          </w:p>
          <w:p w14:paraId="082708BA">
            <w:pPr>
              <w:pStyle w:val="6"/>
              <w:spacing w:before="99" w:line="186" w:lineRule="auto"/>
              <w:ind w:left="122" w:right="103" w:firstLine="5"/>
            </w:pPr>
            <w:r>
              <w:rPr>
                <w:spacing w:val="4"/>
              </w:rPr>
              <w:t>责令限期改正，处</w:t>
            </w:r>
            <w:r>
              <w:rPr>
                <w:rFonts w:ascii="宋体" w:hAnsi="宋体" w:eastAsia="宋体" w:cs="宋体"/>
                <w:spacing w:val="4"/>
              </w:rPr>
              <w:t>4</w:t>
            </w:r>
            <w:r>
              <w:rPr>
                <w:spacing w:val="4"/>
              </w:rPr>
              <w:t>万元</w:t>
            </w:r>
            <w:r>
              <w:rPr>
                <w:spacing w:val="6"/>
              </w:rPr>
              <w:t>以上</w:t>
            </w:r>
            <w:r>
              <w:rPr>
                <w:rFonts w:ascii="宋体" w:hAnsi="宋体" w:eastAsia="宋体" w:cs="宋体"/>
                <w:spacing w:val="6"/>
              </w:rPr>
              <w:t>5</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8"/>
              </w:rPr>
              <w:t>万元以下的罚款；逾期未改正的，责令停产停业整</w:t>
            </w:r>
            <w:r>
              <w:t>顿</w:t>
            </w:r>
          </w:p>
        </w:tc>
        <w:tc>
          <w:tcPr>
            <w:tcW w:w="811" w:type="dxa"/>
            <w:vMerge w:val="continue"/>
            <w:tcBorders>
              <w:top w:val="nil"/>
            </w:tcBorders>
            <w:vAlign w:val="top"/>
          </w:tcPr>
          <w:p w14:paraId="28E7AC82">
            <w:pPr>
              <w:rPr>
                <w:rFonts w:ascii="Arial"/>
                <w:sz w:val="21"/>
              </w:rPr>
            </w:pPr>
          </w:p>
        </w:tc>
      </w:tr>
      <w:tr w14:paraId="6F98F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restart"/>
            <w:tcBorders>
              <w:bottom w:val="nil"/>
            </w:tcBorders>
            <w:vAlign w:val="top"/>
          </w:tcPr>
          <w:p w14:paraId="462BDD17">
            <w:pPr>
              <w:rPr>
                <w:rFonts w:ascii="Arial"/>
                <w:sz w:val="21"/>
              </w:rPr>
            </w:pPr>
          </w:p>
          <w:p w14:paraId="01CC8768">
            <w:pPr>
              <w:rPr>
                <w:rFonts w:ascii="Arial"/>
                <w:sz w:val="21"/>
              </w:rPr>
            </w:pPr>
          </w:p>
          <w:p w14:paraId="26F385A3">
            <w:pPr>
              <w:spacing w:line="241" w:lineRule="auto"/>
              <w:rPr>
                <w:rFonts w:ascii="Arial"/>
                <w:sz w:val="21"/>
              </w:rPr>
            </w:pPr>
          </w:p>
          <w:p w14:paraId="725BE60E">
            <w:pPr>
              <w:spacing w:line="241" w:lineRule="auto"/>
              <w:rPr>
                <w:rFonts w:ascii="Arial"/>
                <w:sz w:val="21"/>
              </w:rPr>
            </w:pPr>
          </w:p>
          <w:p w14:paraId="0CD93053">
            <w:pPr>
              <w:spacing w:line="241" w:lineRule="auto"/>
              <w:rPr>
                <w:rFonts w:ascii="Arial"/>
                <w:sz w:val="21"/>
              </w:rPr>
            </w:pPr>
          </w:p>
          <w:p w14:paraId="580B378E">
            <w:pPr>
              <w:spacing w:before="74" w:line="185" w:lineRule="auto"/>
              <w:ind w:left="239"/>
              <w:rPr>
                <w:rFonts w:ascii="仿宋" w:hAnsi="仿宋" w:eastAsia="仿宋" w:cs="仿宋"/>
                <w:sz w:val="23"/>
                <w:szCs w:val="23"/>
              </w:rPr>
            </w:pPr>
            <w:r>
              <w:rPr>
                <w:rFonts w:ascii="仿宋" w:hAnsi="仿宋" w:eastAsia="仿宋" w:cs="仿宋"/>
                <w:spacing w:val="-4"/>
                <w:sz w:val="23"/>
                <w:szCs w:val="23"/>
              </w:rPr>
              <w:t>59</w:t>
            </w:r>
          </w:p>
        </w:tc>
        <w:tc>
          <w:tcPr>
            <w:tcW w:w="1440" w:type="dxa"/>
            <w:vMerge w:val="restart"/>
            <w:tcBorders>
              <w:bottom w:val="nil"/>
            </w:tcBorders>
            <w:vAlign w:val="top"/>
          </w:tcPr>
          <w:p w14:paraId="07C6DDF4">
            <w:pPr>
              <w:spacing w:line="242" w:lineRule="auto"/>
              <w:rPr>
                <w:rFonts w:ascii="Arial"/>
                <w:sz w:val="21"/>
              </w:rPr>
            </w:pPr>
          </w:p>
          <w:p w14:paraId="4F125B37">
            <w:pPr>
              <w:pStyle w:val="6"/>
              <w:spacing w:before="98" w:line="186" w:lineRule="auto"/>
              <w:ind w:left="112" w:right="111" w:firstLine="10"/>
            </w:pPr>
            <w:r>
              <w:rPr>
                <w:spacing w:val="4"/>
              </w:rPr>
              <w:t>高危行业、</w:t>
            </w:r>
            <w:r>
              <w:rPr>
                <w:spacing w:val="12"/>
              </w:rPr>
              <w:t>领域的生产经营单位未按照国家规定投保安全生产责任保</w:t>
            </w:r>
            <w:r>
              <w:rPr>
                <w:spacing w:val="4"/>
              </w:rPr>
              <w:t>险的</w:t>
            </w:r>
          </w:p>
        </w:tc>
        <w:tc>
          <w:tcPr>
            <w:tcW w:w="3202" w:type="dxa"/>
            <w:vMerge w:val="restart"/>
            <w:tcBorders>
              <w:bottom w:val="nil"/>
            </w:tcBorders>
            <w:vAlign w:val="top"/>
          </w:tcPr>
          <w:p w14:paraId="1088E5A3">
            <w:pPr>
              <w:pStyle w:val="6"/>
              <w:spacing w:before="28" w:line="181" w:lineRule="auto"/>
              <w:ind w:left="114" w:right="111" w:hanging="16"/>
            </w:pPr>
            <w:r>
              <w:rPr>
                <w:spacing w:val="18"/>
              </w:rPr>
              <w:t>【法律】《中华人民共和国</w:t>
            </w:r>
            <w:r>
              <w:rPr>
                <w:spacing w:val="17"/>
              </w:rPr>
              <w:t>安全生产法》第五十一条第</w:t>
            </w:r>
            <w:r>
              <w:rPr>
                <w:spacing w:val="11"/>
              </w:rPr>
              <w:t>二款：国家鼓励生产经营单</w:t>
            </w:r>
            <w:r>
              <w:rPr>
                <w:spacing w:val="13"/>
              </w:rPr>
              <w:t>位投保安全生产责任保险；</w:t>
            </w:r>
            <w:r>
              <w:rPr>
                <w:spacing w:val="15"/>
              </w:rPr>
              <w:t>属于国家规定的高危行业、</w:t>
            </w:r>
            <w:r>
              <w:rPr>
                <w:spacing w:val="13"/>
              </w:rPr>
              <w:t>领域的生产经营单位，应当</w:t>
            </w:r>
            <w:r>
              <w:rPr>
                <w:spacing w:val="17"/>
              </w:rPr>
              <w:t>投保安全生产责任保险。具体范围和实施办法由国务院应急管理部门会同国务院财</w:t>
            </w:r>
          </w:p>
        </w:tc>
        <w:tc>
          <w:tcPr>
            <w:tcW w:w="2859" w:type="dxa"/>
            <w:vMerge w:val="restart"/>
            <w:tcBorders>
              <w:bottom w:val="nil"/>
            </w:tcBorders>
            <w:vAlign w:val="top"/>
          </w:tcPr>
          <w:p w14:paraId="21E8602B">
            <w:pPr>
              <w:pStyle w:val="6"/>
              <w:spacing w:before="28" w:line="181" w:lineRule="auto"/>
              <w:ind w:left="121" w:right="110" w:hanging="24"/>
              <w:jc w:val="both"/>
            </w:pPr>
            <w:r>
              <w:rPr>
                <w:spacing w:val="10"/>
              </w:rPr>
              <w:t>【法律】《中华人民共和</w:t>
            </w:r>
            <w:r>
              <w:rPr>
                <w:spacing w:val="8"/>
              </w:rPr>
              <w:t>国安全生产法》第一百零九条：高危行业、领域的生产经营单位未按照国家规定投保安全生产责任保</w:t>
            </w:r>
            <w:r>
              <w:rPr>
                <w:spacing w:val="5"/>
              </w:rPr>
              <w:t>险的，责令限期改正，处</w:t>
            </w:r>
            <w:r>
              <w:rPr>
                <w:spacing w:val="8"/>
              </w:rPr>
              <w:t>五万元以上十万元以下的</w:t>
            </w:r>
            <w:r>
              <w:rPr>
                <w:spacing w:val="6"/>
              </w:rPr>
              <w:t>罚款；逾期未改正的，处</w:t>
            </w:r>
            <w:r>
              <w:rPr>
                <w:spacing w:val="8"/>
              </w:rPr>
              <w:t>十万元以上二十万元以下</w:t>
            </w:r>
          </w:p>
        </w:tc>
        <w:tc>
          <w:tcPr>
            <w:tcW w:w="803" w:type="dxa"/>
            <w:vAlign w:val="top"/>
          </w:tcPr>
          <w:p w14:paraId="7F887AFC">
            <w:pPr>
              <w:spacing w:line="297" w:lineRule="auto"/>
              <w:rPr>
                <w:rFonts w:ascii="Arial"/>
                <w:sz w:val="21"/>
              </w:rPr>
            </w:pPr>
          </w:p>
          <w:p w14:paraId="48AF17DB">
            <w:pPr>
              <w:spacing w:line="298" w:lineRule="auto"/>
              <w:rPr>
                <w:rFonts w:ascii="Arial"/>
                <w:sz w:val="21"/>
              </w:rPr>
            </w:pPr>
          </w:p>
          <w:p w14:paraId="2277C6D2">
            <w:pPr>
              <w:spacing w:line="298" w:lineRule="auto"/>
              <w:rPr>
                <w:rFonts w:ascii="Arial"/>
                <w:sz w:val="21"/>
              </w:rPr>
            </w:pPr>
          </w:p>
          <w:p w14:paraId="4E0E848D">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A1ACE9B">
            <w:pPr>
              <w:pStyle w:val="6"/>
              <w:spacing w:before="33" w:line="179" w:lineRule="auto"/>
              <w:ind w:left="114" w:right="109" w:firstLine="10"/>
              <w:jc w:val="both"/>
            </w:pPr>
            <w:r>
              <w:rPr>
                <w:spacing w:val="-3"/>
              </w:rPr>
              <w:t>高危行业、领域的生</w:t>
            </w:r>
            <w:r>
              <w:rPr>
                <w:spacing w:val="26"/>
              </w:rPr>
              <w:t>产经营单位未按照国家规定投保安全</w:t>
            </w:r>
            <w:r>
              <w:rPr>
                <w:spacing w:val="-2"/>
              </w:rPr>
              <w:t>生产责任保险，未投</w:t>
            </w:r>
            <w:r>
              <w:rPr>
                <w:spacing w:val="17"/>
              </w:rPr>
              <w:t>保人数</w:t>
            </w:r>
            <w:r>
              <w:rPr>
                <w:rFonts w:ascii="宋体" w:hAnsi="宋体" w:eastAsia="宋体" w:cs="宋体"/>
                <w:spacing w:val="17"/>
              </w:rPr>
              <w:t>3</w:t>
            </w:r>
            <w:r>
              <w:rPr>
                <w:spacing w:val="17"/>
              </w:rPr>
              <w:t>人以下或</w:t>
            </w:r>
            <w:r>
              <w:rPr>
                <w:spacing w:val="26"/>
              </w:rPr>
              <w:t>占应投保总人数比</w:t>
            </w:r>
            <w:r>
              <w:rPr>
                <w:spacing w:val="5"/>
              </w:rPr>
              <w:t>例在</w:t>
            </w:r>
            <w:r>
              <w:rPr>
                <w:rFonts w:ascii="宋体" w:hAnsi="宋体" w:eastAsia="宋体" w:cs="宋体"/>
                <w:spacing w:val="5"/>
              </w:rPr>
              <w:t>20%</w:t>
            </w:r>
            <w:r>
              <w:rPr>
                <w:spacing w:val="5"/>
              </w:rPr>
              <w:t>以下的</w:t>
            </w:r>
          </w:p>
        </w:tc>
        <w:tc>
          <w:tcPr>
            <w:tcW w:w="2894" w:type="dxa"/>
            <w:vAlign w:val="top"/>
          </w:tcPr>
          <w:p w14:paraId="076FB37A">
            <w:pPr>
              <w:spacing w:line="381" w:lineRule="auto"/>
              <w:rPr>
                <w:rFonts w:ascii="Arial"/>
                <w:sz w:val="21"/>
              </w:rPr>
            </w:pPr>
          </w:p>
          <w:p w14:paraId="42948FF1">
            <w:pPr>
              <w:pStyle w:val="6"/>
              <w:spacing w:before="99" w:line="189" w:lineRule="auto"/>
              <w:ind w:left="117" w:right="103" w:firstLine="10"/>
            </w:pPr>
            <w:r>
              <w:rPr>
                <w:spacing w:val="4"/>
              </w:rPr>
              <w:t>责令限期改正，处</w:t>
            </w:r>
            <w:r>
              <w:rPr>
                <w:rFonts w:ascii="宋体" w:hAnsi="宋体" w:eastAsia="宋体" w:cs="宋体"/>
                <w:spacing w:val="4"/>
              </w:rPr>
              <w:t>5</w:t>
            </w:r>
            <w:r>
              <w:rPr>
                <w:spacing w:val="4"/>
              </w:rPr>
              <w:t>万元</w:t>
            </w:r>
            <w:r>
              <w:rPr>
                <w:spacing w:val="3"/>
              </w:rPr>
              <w:t>以上</w:t>
            </w:r>
            <w:r>
              <w:rPr>
                <w:rFonts w:ascii="宋体" w:hAnsi="宋体" w:eastAsia="宋体" w:cs="宋体"/>
                <w:spacing w:val="3"/>
              </w:rPr>
              <w:t>7</w:t>
            </w:r>
            <w:r>
              <w:rPr>
                <w:spacing w:val="3"/>
              </w:rPr>
              <w:t>万元以下的罚款；</w:t>
            </w:r>
            <w:r>
              <w:rPr>
                <w:spacing w:val="-4"/>
              </w:rPr>
              <w:t>逾期未改正的，处</w:t>
            </w:r>
            <w:r>
              <w:rPr>
                <w:rFonts w:ascii="宋体" w:hAnsi="宋体" w:eastAsia="宋体" w:cs="宋体"/>
                <w:spacing w:val="-4"/>
              </w:rPr>
              <w:t>10</w:t>
            </w:r>
            <w:r>
              <w:rPr>
                <w:spacing w:val="-4"/>
              </w:rPr>
              <w:t>万元</w:t>
            </w:r>
            <w:r>
              <w:rPr>
                <w:spacing w:val="2"/>
              </w:rPr>
              <w:t>以上</w:t>
            </w:r>
            <w:r>
              <w:rPr>
                <w:rFonts w:ascii="宋体" w:hAnsi="宋体" w:eastAsia="宋体" w:cs="宋体"/>
                <w:spacing w:val="2"/>
              </w:rPr>
              <w:t>13</w:t>
            </w:r>
            <w:r>
              <w:rPr>
                <w:spacing w:val="2"/>
              </w:rPr>
              <w:t>万元以下的罚款</w:t>
            </w:r>
          </w:p>
        </w:tc>
        <w:tc>
          <w:tcPr>
            <w:tcW w:w="811" w:type="dxa"/>
            <w:vMerge w:val="restart"/>
            <w:tcBorders>
              <w:bottom w:val="nil"/>
            </w:tcBorders>
            <w:vAlign w:val="top"/>
          </w:tcPr>
          <w:p w14:paraId="418FB70B">
            <w:pPr>
              <w:spacing w:line="299" w:lineRule="auto"/>
              <w:rPr>
                <w:rFonts w:ascii="Arial"/>
                <w:sz w:val="21"/>
              </w:rPr>
            </w:pPr>
          </w:p>
          <w:p w14:paraId="38F7E166">
            <w:pPr>
              <w:spacing w:line="300" w:lineRule="auto"/>
              <w:rPr>
                <w:rFonts w:ascii="Arial"/>
                <w:sz w:val="21"/>
              </w:rPr>
            </w:pPr>
          </w:p>
          <w:p w14:paraId="5D188DE3">
            <w:pPr>
              <w:spacing w:line="300" w:lineRule="auto"/>
              <w:rPr>
                <w:rFonts w:ascii="Arial"/>
                <w:sz w:val="21"/>
              </w:rPr>
            </w:pPr>
          </w:p>
          <w:p w14:paraId="3622113E">
            <w:pPr>
              <w:spacing w:line="300" w:lineRule="auto"/>
              <w:rPr>
                <w:rFonts w:ascii="Arial"/>
                <w:sz w:val="21"/>
              </w:rPr>
            </w:pPr>
          </w:p>
          <w:p w14:paraId="781ED54A">
            <w:pPr>
              <w:spacing w:before="75" w:line="188" w:lineRule="auto"/>
              <w:ind w:left="290"/>
              <w:rPr>
                <w:rFonts w:ascii="宋体" w:hAnsi="宋体" w:eastAsia="宋体" w:cs="宋体"/>
                <w:sz w:val="23"/>
                <w:szCs w:val="23"/>
              </w:rPr>
            </w:pPr>
            <w:r>
              <w:rPr>
                <w:rFonts w:ascii="宋体" w:hAnsi="宋体" w:eastAsia="宋体" w:cs="宋体"/>
                <w:spacing w:val="-1"/>
                <w:sz w:val="23"/>
                <w:szCs w:val="23"/>
              </w:rPr>
              <w:t>45</w:t>
            </w:r>
          </w:p>
        </w:tc>
      </w:tr>
      <w:tr w14:paraId="5E670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18" w:type="dxa"/>
            <w:vMerge w:val="continue"/>
            <w:tcBorders>
              <w:top w:val="nil"/>
            </w:tcBorders>
            <w:vAlign w:val="top"/>
          </w:tcPr>
          <w:p w14:paraId="510849A9">
            <w:pPr>
              <w:rPr>
                <w:rFonts w:ascii="Arial"/>
                <w:sz w:val="21"/>
              </w:rPr>
            </w:pPr>
          </w:p>
        </w:tc>
        <w:tc>
          <w:tcPr>
            <w:tcW w:w="1440" w:type="dxa"/>
            <w:vMerge w:val="continue"/>
            <w:tcBorders>
              <w:top w:val="nil"/>
            </w:tcBorders>
            <w:vAlign w:val="top"/>
          </w:tcPr>
          <w:p w14:paraId="7BECA7E4">
            <w:pPr>
              <w:rPr>
                <w:rFonts w:ascii="Arial"/>
                <w:sz w:val="21"/>
              </w:rPr>
            </w:pPr>
          </w:p>
        </w:tc>
        <w:tc>
          <w:tcPr>
            <w:tcW w:w="3202" w:type="dxa"/>
            <w:vMerge w:val="continue"/>
            <w:tcBorders>
              <w:top w:val="nil"/>
            </w:tcBorders>
            <w:vAlign w:val="top"/>
          </w:tcPr>
          <w:p w14:paraId="08D9F3BE">
            <w:pPr>
              <w:rPr>
                <w:rFonts w:ascii="Arial"/>
                <w:sz w:val="21"/>
              </w:rPr>
            </w:pPr>
          </w:p>
        </w:tc>
        <w:tc>
          <w:tcPr>
            <w:tcW w:w="2859" w:type="dxa"/>
            <w:vMerge w:val="continue"/>
            <w:tcBorders>
              <w:top w:val="nil"/>
            </w:tcBorders>
            <w:vAlign w:val="top"/>
          </w:tcPr>
          <w:p w14:paraId="59060A78">
            <w:pPr>
              <w:rPr>
                <w:rFonts w:ascii="Arial"/>
                <w:sz w:val="21"/>
              </w:rPr>
            </w:pPr>
          </w:p>
        </w:tc>
        <w:tc>
          <w:tcPr>
            <w:tcW w:w="803" w:type="dxa"/>
            <w:vAlign w:val="top"/>
          </w:tcPr>
          <w:p w14:paraId="71D7CC2B">
            <w:pPr>
              <w:spacing w:before="229"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4641DE5">
            <w:pPr>
              <w:pStyle w:val="6"/>
              <w:spacing w:before="32" w:line="172" w:lineRule="auto"/>
              <w:ind w:left="119" w:right="109" w:firstLine="5"/>
            </w:pPr>
            <w:r>
              <w:rPr>
                <w:spacing w:val="-3"/>
              </w:rPr>
              <w:t>高危行业、领域的生</w:t>
            </w:r>
            <w:r>
              <w:rPr>
                <w:spacing w:val="26"/>
              </w:rPr>
              <w:t>产经营单位未按照</w:t>
            </w:r>
          </w:p>
        </w:tc>
        <w:tc>
          <w:tcPr>
            <w:tcW w:w="2894" w:type="dxa"/>
            <w:vAlign w:val="top"/>
          </w:tcPr>
          <w:p w14:paraId="7F4A35EF">
            <w:pPr>
              <w:pStyle w:val="6"/>
              <w:spacing w:before="32" w:line="172" w:lineRule="auto"/>
              <w:ind w:left="146" w:right="103" w:hanging="19"/>
            </w:pPr>
            <w:r>
              <w:rPr>
                <w:spacing w:val="4"/>
              </w:rPr>
              <w:t>责令限期改正，处</w:t>
            </w:r>
            <w:r>
              <w:rPr>
                <w:rFonts w:ascii="宋体" w:hAnsi="宋体" w:eastAsia="宋体" w:cs="宋体"/>
                <w:spacing w:val="4"/>
              </w:rPr>
              <w:t>7</w:t>
            </w:r>
            <w:r>
              <w:rPr>
                <w:spacing w:val="4"/>
              </w:rPr>
              <w:t>万元以上</w:t>
            </w:r>
            <w:r>
              <w:rPr>
                <w:rFonts w:ascii="宋体" w:hAnsi="宋体" w:eastAsia="宋体" w:cs="宋体"/>
                <w:spacing w:val="4"/>
              </w:rPr>
              <w:t>9</w:t>
            </w:r>
            <w:r>
              <w:rPr>
                <w:spacing w:val="4"/>
              </w:rPr>
              <w:t>万元以下的罚款；</w:t>
            </w:r>
          </w:p>
        </w:tc>
        <w:tc>
          <w:tcPr>
            <w:tcW w:w="811" w:type="dxa"/>
            <w:vMerge w:val="continue"/>
            <w:tcBorders>
              <w:top w:val="nil"/>
            </w:tcBorders>
            <w:vAlign w:val="top"/>
          </w:tcPr>
          <w:p w14:paraId="208C6DB9">
            <w:pPr>
              <w:rPr>
                <w:rFonts w:ascii="Arial"/>
                <w:sz w:val="21"/>
              </w:rPr>
            </w:pPr>
          </w:p>
        </w:tc>
      </w:tr>
    </w:tbl>
    <w:p w14:paraId="2BC11C1D">
      <w:pPr>
        <w:pStyle w:val="2"/>
      </w:pPr>
    </w:p>
    <w:p w14:paraId="7DAE4CA3">
      <w:pPr>
        <w:sectPr>
          <w:footerReference r:id="rId76" w:type="default"/>
          <w:pgSz w:w="16839" w:h="11906"/>
          <w:pgMar w:top="1012" w:right="821" w:bottom="664" w:left="901" w:header="0" w:footer="388" w:gutter="0"/>
          <w:cols w:space="720" w:num="1"/>
        </w:sectPr>
      </w:pPr>
    </w:p>
    <w:p w14:paraId="49F163F1">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D1D1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86689C5">
            <w:pPr>
              <w:spacing w:before="222" w:line="241" w:lineRule="auto"/>
              <w:ind w:left="131"/>
              <w:outlineLvl w:val="0"/>
              <w:rPr>
                <w:rFonts w:ascii="黑体" w:hAnsi="黑体" w:eastAsia="黑体" w:cs="黑体"/>
                <w:sz w:val="28"/>
                <w:szCs w:val="28"/>
              </w:rPr>
            </w:pPr>
            <w:bookmarkStart w:id="458" w:name="bookmark514"/>
            <w:bookmarkEnd w:id="458"/>
            <w:bookmarkStart w:id="459" w:name="bookmark125"/>
            <w:bookmarkEnd w:id="459"/>
            <w:r>
              <w:rPr>
                <w:rFonts w:ascii="黑体" w:hAnsi="黑体" w:eastAsia="黑体" w:cs="黑体"/>
                <w:spacing w:val="-2"/>
                <w:sz w:val="28"/>
                <w:szCs w:val="28"/>
              </w:rPr>
              <w:t>序号</w:t>
            </w:r>
          </w:p>
        </w:tc>
        <w:tc>
          <w:tcPr>
            <w:tcW w:w="1440" w:type="dxa"/>
            <w:vAlign w:val="top"/>
          </w:tcPr>
          <w:p w14:paraId="27727402">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1B9E3E2">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48F02442">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4393DAF">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211B9F2">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1EBE6C4">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0CBC048">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63A7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restart"/>
            <w:tcBorders>
              <w:bottom w:val="nil"/>
            </w:tcBorders>
            <w:vAlign w:val="top"/>
          </w:tcPr>
          <w:p w14:paraId="3D7E379B">
            <w:pPr>
              <w:rPr>
                <w:rFonts w:ascii="Arial"/>
                <w:sz w:val="21"/>
              </w:rPr>
            </w:pPr>
          </w:p>
        </w:tc>
        <w:tc>
          <w:tcPr>
            <w:tcW w:w="1440" w:type="dxa"/>
            <w:vMerge w:val="restart"/>
            <w:tcBorders>
              <w:bottom w:val="nil"/>
            </w:tcBorders>
            <w:vAlign w:val="top"/>
          </w:tcPr>
          <w:p w14:paraId="1FF74CD1">
            <w:pPr>
              <w:rPr>
                <w:rFonts w:ascii="Arial"/>
                <w:sz w:val="21"/>
              </w:rPr>
            </w:pPr>
          </w:p>
        </w:tc>
        <w:tc>
          <w:tcPr>
            <w:tcW w:w="3202" w:type="dxa"/>
            <w:vMerge w:val="restart"/>
            <w:tcBorders>
              <w:bottom w:val="nil"/>
            </w:tcBorders>
            <w:vAlign w:val="top"/>
          </w:tcPr>
          <w:p w14:paraId="63789A3F">
            <w:pPr>
              <w:pStyle w:val="6"/>
              <w:spacing w:before="29" w:line="191" w:lineRule="auto"/>
              <w:ind w:left="116" w:right="111" w:firstLine="1"/>
              <w:jc w:val="both"/>
            </w:pPr>
            <w:r>
              <w:rPr>
                <w:spacing w:val="17"/>
              </w:rPr>
              <w:t>政部门、国务院保险监督管理机构和相关行业主管部门</w:t>
            </w:r>
            <w:r>
              <w:rPr>
                <w:spacing w:val="-4"/>
              </w:rPr>
              <w:t>制定。</w:t>
            </w:r>
          </w:p>
        </w:tc>
        <w:tc>
          <w:tcPr>
            <w:tcW w:w="2859" w:type="dxa"/>
            <w:vMerge w:val="restart"/>
            <w:tcBorders>
              <w:bottom w:val="nil"/>
            </w:tcBorders>
            <w:vAlign w:val="top"/>
          </w:tcPr>
          <w:p w14:paraId="064F872C">
            <w:pPr>
              <w:pStyle w:val="6"/>
              <w:spacing w:before="28" w:line="209" w:lineRule="auto"/>
              <w:ind w:left="139"/>
            </w:pPr>
            <w:r>
              <w:rPr>
                <w:spacing w:val="-6"/>
              </w:rPr>
              <w:t>的罚款。</w:t>
            </w:r>
          </w:p>
        </w:tc>
        <w:tc>
          <w:tcPr>
            <w:tcW w:w="803" w:type="dxa"/>
            <w:vAlign w:val="top"/>
          </w:tcPr>
          <w:p w14:paraId="539DA938">
            <w:pPr>
              <w:rPr>
                <w:rFonts w:ascii="Arial"/>
                <w:sz w:val="21"/>
              </w:rPr>
            </w:pPr>
          </w:p>
        </w:tc>
        <w:tc>
          <w:tcPr>
            <w:tcW w:w="2283" w:type="dxa"/>
            <w:vAlign w:val="top"/>
          </w:tcPr>
          <w:p w14:paraId="251A284C">
            <w:pPr>
              <w:pStyle w:val="6"/>
              <w:spacing w:before="28" w:line="179" w:lineRule="auto"/>
              <w:ind w:left="114" w:right="105" w:firstLine="29"/>
              <w:jc w:val="both"/>
            </w:pPr>
            <w:r>
              <w:rPr>
                <w:spacing w:val="22"/>
              </w:rPr>
              <w:t>国家规定投保安全</w:t>
            </w:r>
            <w:r>
              <w:rPr>
                <w:spacing w:val="-2"/>
              </w:rPr>
              <w:t>生产责任保险，未投</w:t>
            </w:r>
            <w:r>
              <w:rPr>
                <w:spacing w:val="5"/>
              </w:rPr>
              <w:t>保人数</w:t>
            </w:r>
            <w:r>
              <w:rPr>
                <w:rFonts w:ascii="宋体" w:hAnsi="宋体" w:eastAsia="宋体" w:cs="宋体"/>
                <w:spacing w:val="5"/>
              </w:rPr>
              <w:t>3</w:t>
            </w:r>
            <w:r>
              <w:rPr>
                <w:spacing w:val="5"/>
              </w:rPr>
              <w:t>人以上</w:t>
            </w:r>
            <w:r>
              <w:rPr>
                <w:rFonts w:ascii="宋体" w:hAnsi="宋体" w:eastAsia="宋体" w:cs="宋体"/>
                <w:spacing w:val="5"/>
              </w:rPr>
              <w:t>10</w:t>
            </w:r>
            <w:r>
              <w:rPr>
                <w:spacing w:val="26"/>
              </w:rPr>
              <w:t>人以下或占应投保</w:t>
            </w:r>
            <w:r>
              <w:rPr>
                <w:spacing w:val="24"/>
              </w:rPr>
              <w:t>总人数比例在</w:t>
            </w:r>
            <w:r>
              <w:rPr>
                <w:rFonts w:ascii="宋体" w:hAnsi="宋体" w:eastAsia="宋体" w:cs="宋体"/>
                <w:spacing w:val="24"/>
              </w:rPr>
              <w:t>20%</w:t>
            </w:r>
            <w:r>
              <w:rPr>
                <w:spacing w:val="5"/>
              </w:rPr>
              <w:t>以上</w:t>
            </w:r>
            <w:r>
              <w:rPr>
                <w:rFonts w:ascii="宋体" w:hAnsi="宋体" w:eastAsia="宋体" w:cs="宋体"/>
                <w:spacing w:val="5"/>
              </w:rPr>
              <w:t>50%</w:t>
            </w:r>
            <w:r>
              <w:rPr>
                <w:spacing w:val="5"/>
              </w:rPr>
              <w:t>以下的</w:t>
            </w:r>
          </w:p>
        </w:tc>
        <w:tc>
          <w:tcPr>
            <w:tcW w:w="2894" w:type="dxa"/>
            <w:vAlign w:val="top"/>
          </w:tcPr>
          <w:p w14:paraId="420106BF">
            <w:pPr>
              <w:pStyle w:val="6"/>
              <w:spacing w:before="27" w:line="196" w:lineRule="auto"/>
              <w:ind w:left="146" w:right="105" w:hanging="29"/>
            </w:pPr>
            <w:r>
              <w:rPr>
                <w:spacing w:val="-4"/>
              </w:rPr>
              <w:t>逾期未改正的，处</w:t>
            </w:r>
            <w:r>
              <w:rPr>
                <w:rFonts w:ascii="宋体" w:hAnsi="宋体" w:eastAsia="宋体" w:cs="宋体"/>
                <w:spacing w:val="-4"/>
              </w:rPr>
              <w:t>13</w:t>
            </w:r>
            <w:r>
              <w:rPr>
                <w:spacing w:val="-4"/>
              </w:rPr>
              <w:t>万元</w:t>
            </w:r>
            <w:r>
              <w:rPr>
                <w:spacing w:val="-1"/>
              </w:rPr>
              <w:t>以上</w:t>
            </w:r>
            <w:r>
              <w:rPr>
                <w:rFonts w:ascii="宋体" w:hAnsi="宋体" w:eastAsia="宋体" w:cs="宋体"/>
                <w:spacing w:val="-1"/>
              </w:rPr>
              <w:t>17</w:t>
            </w:r>
            <w:r>
              <w:rPr>
                <w:spacing w:val="-1"/>
              </w:rPr>
              <w:t>万元以下的罚款</w:t>
            </w:r>
          </w:p>
        </w:tc>
        <w:tc>
          <w:tcPr>
            <w:tcW w:w="811" w:type="dxa"/>
            <w:vMerge w:val="restart"/>
            <w:tcBorders>
              <w:bottom w:val="nil"/>
            </w:tcBorders>
            <w:vAlign w:val="top"/>
          </w:tcPr>
          <w:p w14:paraId="1E57A862">
            <w:pPr>
              <w:rPr>
                <w:rFonts w:ascii="Arial"/>
                <w:sz w:val="21"/>
              </w:rPr>
            </w:pPr>
          </w:p>
        </w:tc>
      </w:tr>
      <w:tr w14:paraId="7E0C9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continue"/>
            <w:tcBorders>
              <w:top w:val="nil"/>
            </w:tcBorders>
            <w:vAlign w:val="top"/>
          </w:tcPr>
          <w:p w14:paraId="6F59DFFE">
            <w:pPr>
              <w:rPr>
                <w:rFonts w:ascii="Arial"/>
                <w:sz w:val="21"/>
              </w:rPr>
            </w:pPr>
          </w:p>
        </w:tc>
        <w:tc>
          <w:tcPr>
            <w:tcW w:w="1440" w:type="dxa"/>
            <w:vMerge w:val="continue"/>
            <w:tcBorders>
              <w:top w:val="nil"/>
            </w:tcBorders>
            <w:vAlign w:val="top"/>
          </w:tcPr>
          <w:p w14:paraId="2384353A">
            <w:pPr>
              <w:rPr>
                <w:rFonts w:ascii="Arial"/>
                <w:sz w:val="21"/>
              </w:rPr>
            </w:pPr>
          </w:p>
        </w:tc>
        <w:tc>
          <w:tcPr>
            <w:tcW w:w="3202" w:type="dxa"/>
            <w:vMerge w:val="continue"/>
            <w:tcBorders>
              <w:top w:val="nil"/>
            </w:tcBorders>
            <w:vAlign w:val="top"/>
          </w:tcPr>
          <w:p w14:paraId="28FFE8C9">
            <w:pPr>
              <w:rPr>
                <w:rFonts w:ascii="Arial"/>
                <w:sz w:val="21"/>
              </w:rPr>
            </w:pPr>
          </w:p>
        </w:tc>
        <w:tc>
          <w:tcPr>
            <w:tcW w:w="2859" w:type="dxa"/>
            <w:vMerge w:val="continue"/>
            <w:tcBorders>
              <w:top w:val="nil"/>
            </w:tcBorders>
            <w:vAlign w:val="top"/>
          </w:tcPr>
          <w:p w14:paraId="4C01E990">
            <w:pPr>
              <w:rPr>
                <w:rFonts w:ascii="Arial"/>
                <w:sz w:val="21"/>
              </w:rPr>
            </w:pPr>
          </w:p>
        </w:tc>
        <w:tc>
          <w:tcPr>
            <w:tcW w:w="803" w:type="dxa"/>
            <w:vAlign w:val="top"/>
          </w:tcPr>
          <w:p w14:paraId="4231C9D3">
            <w:pPr>
              <w:spacing w:line="298" w:lineRule="auto"/>
              <w:rPr>
                <w:rFonts w:ascii="Arial"/>
                <w:sz w:val="21"/>
              </w:rPr>
            </w:pPr>
          </w:p>
          <w:p w14:paraId="17E63B9F">
            <w:pPr>
              <w:spacing w:line="298" w:lineRule="auto"/>
              <w:rPr>
                <w:rFonts w:ascii="Arial"/>
                <w:sz w:val="21"/>
              </w:rPr>
            </w:pPr>
          </w:p>
          <w:p w14:paraId="42049C1C">
            <w:pPr>
              <w:spacing w:line="298" w:lineRule="auto"/>
              <w:rPr>
                <w:rFonts w:ascii="Arial"/>
                <w:sz w:val="21"/>
              </w:rPr>
            </w:pPr>
          </w:p>
          <w:p w14:paraId="49990D2F">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AB0A255">
            <w:pPr>
              <w:pStyle w:val="6"/>
              <w:spacing w:before="33" w:line="179" w:lineRule="auto"/>
              <w:ind w:left="114" w:right="106" w:firstLine="10"/>
              <w:jc w:val="both"/>
            </w:pPr>
            <w:r>
              <w:rPr>
                <w:spacing w:val="-3"/>
              </w:rPr>
              <w:t>高危行业、领域的生</w:t>
            </w:r>
            <w:r>
              <w:rPr>
                <w:spacing w:val="26"/>
              </w:rPr>
              <w:t>产经营单位未按照国家规定投保安全</w:t>
            </w:r>
            <w:r>
              <w:rPr>
                <w:spacing w:val="-2"/>
              </w:rPr>
              <w:t>生产责任保险，未投</w:t>
            </w:r>
            <w:r>
              <w:rPr>
                <w:spacing w:val="4"/>
              </w:rPr>
              <w:t>保人数</w:t>
            </w:r>
            <w:r>
              <w:rPr>
                <w:rFonts w:ascii="宋体" w:hAnsi="宋体" w:eastAsia="宋体" w:cs="宋体"/>
                <w:spacing w:val="4"/>
              </w:rPr>
              <w:t>10</w:t>
            </w:r>
            <w:r>
              <w:rPr>
                <w:spacing w:val="4"/>
              </w:rPr>
              <w:t>人以上或</w:t>
            </w:r>
            <w:r>
              <w:rPr>
                <w:spacing w:val="26"/>
              </w:rPr>
              <w:t>占应投保总人数比</w:t>
            </w:r>
            <w:r>
              <w:rPr>
                <w:spacing w:val="5"/>
              </w:rPr>
              <w:t>例在</w:t>
            </w:r>
            <w:r>
              <w:rPr>
                <w:rFonts w:ascii="宋体" w:hAnsi="宋体" w:eastAsia="宋体" w:cs="宋体"/>
                <w:spacing w:val="5"/>
              </w:rPr>
              <w:t>50%</w:t>
            </w:r>
            <w:r>
              <w:rPr>
                <w:spacing w:val="5"/>
              </w:rPr>
              <w:t>以上的</w:t>
            </w:r>
          </w:p>
        </w:tc>
        <w:tc>
          <w:tcPr>
            <w:tcW w:w="2894" w:type="dxa"/>
            <w:vAlign w:val="top"/>
          </w:tcPr>
          <w:p w14:paraId="1AF2E1A3">
            <w:pPr>
              <w:spacing w:line="379" w:lineRule="auto"/>
              <w:rPr>
                <w:rFonts w:ascii="Arial"/>
                <w:sz w:val="21"/>
              </w:rPr>
            </w:pPr>
          </w:p>
          <w:p w14:paraId="6ADE56F8">
            <w:pPr>
              <w:pStyle w:val="6"/>
              <w:spacing w:before="98" w:line="189" w:lineRule="auto"/>
              <w:ind w:left="117" w:right="71" w:firstLine="10"/>
              <w:jc w:val="both"/>
            </w:pPr>
            <w:r>
              <w:rPr>
                <w:spacing w:val="4"/>
              </w:rPr>
              <w:t>责令限期改正，处</w:t>
            </w:r>
            <w:r>
              <w:rPr>
                <w:rFonts w:ascii="宋体" w:hAnsi="宋体" w:eastAsia="宋体" w:cs="宋体"/>
                <w:spacing w:val="4"/>
              </w:rPr>
              <w:t>9</w:t>
            </w:r>
            <w:r>
              <w:rPr>
                <w:spacing w:val="4"/>
              </w:rPr>
              <w:t>万元</w:t>
            </w:r>
            <w:r>
              <w:rPr>
                <w:spacing w:val="-1"/>
              </w:rPr>
              <w:t>以上</w:t>
            </w:r>
            <w:r>
              <w:rPr>
                <w:rFonts w:ascii="宋体" w:hAnsi="宋体" w:eastAsia="宋体" w:cs="宋体"/>
                <w:spacing w:val="-1"/>
              </w:rPr>
              <w:t>10</w:t>
            </w:r>
            <w:r>
              <w:rPr>
                <w:spacing w:val="-1"/>
              </w:rPr>
              <w:t>万元以下的罚款；</w:t>
            </w:r>
            <w:r>
              <w:rPr>
                <w:spacing w:val="-4"/>
              </w:rPr>
              <w:t>逾期未改正的，处</w:t>
            </w:r>
            <w:r>
              <w:rPr>
                <w:rFonts w:ascii="宋体" w:hAnsi="宋体" w:eastAsia="宋体" w:cs="宋体"/>
                <w:spacing w:val="-4"/>
              </w:rPr>
              <w:t>17</w:t>
            </w:r>
            <w:r>
              <w:rPr>
                <w:spacing w:val="-4"/>
              </w:rPr>
              <w:t>万元</w:t>
            </w:r>
            <w:r>
              <w:rPr>
                <w:spacing w:val="4"/>
              </w:rPr>
              <w:t>以上</w:t>
            </w:r>
            <w:r>
              <w:rPr>
                <w:rFonts w:ascii="宋体" w:hAnsi="宋体" w:eastAsia="宋体" w:cs="宋体"/>
                <w:spacing w:val="4"/>
              </w:rPr>
              <w:t>20</w:t>
            </w:r>
            <w:r>
              <w:rPr>
                <w:spacing w:val="4"/>
              </w:rPr>
              <w:t>万元以下的罚款</w:t>
            </w:r>
          </w:p>
        </w:tc>
        <w:tc>
          <w:tcPr>
            <w:tcW w:w="811" w:type="dxa"/>
            <w:vMerge w:val="continue"/>
            <w:tcBorders>
              <w:top w:val="nil"/>
            </w:tcBorders>
            <w:vAlign w:val="top"/>
          </w:tcPr>
          <w:p w14:paraId="395C9D50">
            <w:pPr>
              <w:rPr>
                <w:rFonts w:ascii="Arial"/>
                <w:sz w:val="21"/>
              </w:rPr>
            </w:pPr>
          </w:p>
        </w:tc>
      </w:tr>
      <w:tr w14:paraId="2B94C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restart"/>
            <w:tcBorders>
              <w:bottom w:val="nil"/>
            </w:tcBorders>
            <w:vAlign w:val="top"/>
          </w:tcPr>
          <w:p w14:paraId="72F4D1CE">
            <w:pPr>
              <w:spacing w:line="266" w:lineRule="auto"/>
              <w:rPr>
                <w:rFonts w:ascii="Arial"/>
                <w:sz w:val="21"/>
              </w:rPr>
            </w:pPr>
          </w:p>
          <w:p w14:paraId="73F12767">
            <w:pPr>
              <w:spacing w:line="266" w:lineRule="auto"/>
              <w:rPr>
                <w:rFonts w:ascii="Arial"/>
                <w:sz w:val="21"/>
              </w:rPr>
            </w:pPr>
          </w:p>
          <w:p w14:paraId="48185F9C">
            <w:pPr>
              <w:spacing w:line="266" w:lineRule="auto"/>
              <w:rPr>
                <w:rFonts w:ascii="Arial"/>
                <w:sz w:val="21"/>
              </w:rPr>
            </w:pPr>
          </w:p>
          <w:p w14:paraId="27304FAC">
            <w:pPr>
              <w:spacing w:line="266" w:lineRule="auto"/>
              <w:rPr>
                <w:rFonts w:ascii="Arial"/>
                <w:sz w:val="21"/>
              </w:rPr>
            </w:pPr>
          </w:p>
          <w:p w14:paraId="47CE9763">
            <w:pPr>
              <w:spacing w:line="267" w:lineRule="auto"/>
              <w:rPr>
                <w:rFonts w:ascii="Arial"/>
                <w:sz w:val="21"/>
              </w:rPr>
            </w:pPr>
          </w:p>
          <w:p w14:paraId="045BFF84">
            <w:pPr>
              <w:spacing w:line="267" w:lineRule="auto"/>
              <w:rPr>
                <w:rFonts w:ascii="Arial"/>
                <w:sz w:val="21"/>
              </w:rPr>
            </w:pPr>
          </w:p>
          <w:p w14:paraId="5887C21B">
            <w:pPr>
              <w:spacing w:line="267" w:lineRule="auto"/>
              <w:rPr>
                <w:rFonts w:ascii="Arial"/>
                <w:sz w:val="21"/>
              </w:rPr>
            </w:pPr>
          </w:p>
          <w:p w14:paraId="345322FA">
            <w:pPr>
              <w:spacing w:line="267" w:lineRule="auto"/>
              <w:rPr>
                <w:rFonts w:ascii="Arial"/>
                <w:sz w:val="21"/>
              </w:rPr>
            </w:pPr>
          </w:p>
          <w:p w14:paraId="4A254A91">
            <w:pPr>
              <w:spacing w:line="267" w:lineRule="auto"/>
              <w:rPr>
                <w:rFonts w:ascii="Arial"/>
                <w:sz w:val="21"/>
              </w:rPr>
            </w:pPr>
          </w:p>
          <w:p w14:paraId="3BD8BE81">
            <w:pPr>
              <w:spacing w:before="74" w:line="185" w:lineRule="auto"/>
              <w:ind w:left="236"/>
              <w:rPr>
                <w:rFonts w:ascii="仿宋" w:hAnsi="仿宋" w:eastAsia="仿宋" w:cs="仿宋"/>
                <w:sz w:val="23"/>
                <w:szCs w:val="23"/>
              </w:rPr>
            </w:pPr>
            <w:r>
              <w:rPr>
                <w:rFonts w:ascii="仿宋" w:hAnsi="仿宋" w:eastAsia="仿宋" w:cs="仿宋"/>
                <w:spacing w:val="-2"/>
                <w:sz w:val="23"/>
                <w:szCs w:val="23"/>
              </w:rPr>
              <w:t>60</w:t>
            </w:r>
          </w:p>
        </w:tc>
        <w:tc>
          <w:tcPr>
            <w:tcW w:w="1440" w:type="dxa"/>
            <w:vMerge w:val="restart"/>
            <w:tcBorders>
              <w:bottom w:val="nil"/>
            </w:tcBorders>
            <w:vAlign w:val="top"/>
          </w:tcPr>
          <w:p w14:paraId="69CF1696">
            <w:pPr>
              <w:spacing w:line="246" w:lineRule="auto"/>
              <w:rPr>
                <w:rFonts w:ascii="Arial"/>
                <w:sz w:val="21"/>
              </w:rPr>
            </w:pPr>
          </w:p>
          <w:p w14:paraId="32DF70B3">
            <w:pPr>
              <w:spacing w:line="247" w:lineRule="auto"/>
              <w:rPr>
                <w:rFonts w:ascii="Arial"/>
                <w:sz w:val="21"/>
              </w:rPr>
            </w:pPr>
          </w:p>
          <w:p w14:paraId="7F7ABE14">
            <w:pPr>
              <w:spacing w:line="247" w:lineRule="auto"/>
              <w:rPr>
                <w:rFonts w:ascii="Arial"/>
                <w:sz w:val="21"/>
              </w:rPr>
            </w:pPr>
          </w:p>
          <w:p w14:paraId="09336BDC">
            <w:pPr>
              <w:spacing w:line="247" w:lineRule="auto"/>
              <w:rPr>
                <w:rFonts w:ascii="Arial"/>
                <w:sz w:val="21"/>
              </w:rPr>
            </w:pPr>
          </w:p>
          <w:p w14:paraId="59D61148">
            <w:pPr>
              <w:pStyle w:val="6"/>
              <w:spacing w:before="99" w:line="185" w:lineRule="auto"/>
              <w:ind w:left="114" w:right="111" w:firstLine="14"/>
              <w:jc w:val="both"/>
            </w:pPr>
            <w:r>
              <w:rPr>
                <w:spacing w:val="8"/>
              </w:rPr>
              <w:t>生产经营单</w:t>
            </w:r>
            <w:r>
              <w:rPr>
                <w:spacing w:val="11"/>
              </w:rPr>
              <w:t>位与从业人</w:t>
            </w:r>
            <w:r>
              <w:rPr>
                <w:spacing w:val="-7"/>
              </w:rPr>
              <w:t>员订立协</w:t>
            </w:r>
            <w:r>
              <w:rPr>
                <w:spacing w:val="2"/>
              </w:rPr>
              <w:t>议，免除或</w:t>
            </w:r>
            <w:r>
              <w:rPr>
                <w:spacing w:val="11"/>
              </w:rPr>
              <w:t>者减轻其对从业人员因生产安全事故伤亡依法应承担的责</w:t>
            </w:r>
            <w:r>
              <w:rPr>
                <w:spacing w:val="3"/>
              </w:rPr>
              <w:t>任的</w:t>
            </w:r>
          </w:p>
        </w:tc>
        <w:tc>
          <w:tcPr>
            <w:tcW w:w="3202" w:type="dxa"/>
            <w:vMerge w:val="restart"/>
            <w:tcBorders>
              <w:bottom w:val="nil"/>
            </w:tcBorders>
            <w:vAlign w:val="top"/>
          </w:tcPr>
          <w:p w14:paraId="147D2330">
            <w:pPr>
              <w:pStyle w:val="6"/>
              <w:spacing w:before="34" w:line="186" w:lineRule="auto"/>
              <w:ind w:left="116" w:right="111" w:hanging="18"/>
              <w:jc w:val="both"/>
            </w:pPr>
            <w:r>
              <w:rPr>
                <w:spacing w:val="18"/>
              </w:rPr>
              <w:t>【法律】《中华人民共和国</w:t>
            </w:r>
            <w:r>
              <w:rPr>
                <w:spacing w:val="17"/>
              </w:rPr>
              <w:t>安全生产法》第五十二条第</w:t>
            </w:r>
            <w:r>
              <w:rPr>
                <w:spacing w:val="12"/>
              </w:rPr>
              <w:t>二款：生产经营单位不得以</w:t>
            </w:r>
            <w:r>
              <w:rPr>
                <w:spacing w:val="17"/>
              </w:rPr>
              <w:t>任何形式与从业人员订立协</w:t>
            </w:r>
            <w:r>
              <w:rPr>
                <w:spacing w:val="12"/>
              </w:rPr>
              <w:t>议，免除或者减轻其对从业</w:t>
            </w:r>
            <w:r>
              <w:rPr>
                <w:spacing w:val="17"/>
              </w:rPr>
              <w:t>人员因生产安全事故伤亡依</w:t>
            </w:r>
            <w:r>
              <w:rPr>
                <w:spacing w:val="3"/>
              </w:rPr>
              <w:t>法应承担的责任。</w:t>
            </w:r>
          </w:p>
        </w:tc>
        <w:tc>
          <w:tcPr>
            <w:tcW w:w="2859" w:type="dxa"/>
            <w:vMerge w:val="restart"/>
            <w:tcBorders>
              <w:bottom w:val="nil"/>
            </w:tcBorders>
            <w:vAlign w:val="top"/>
          </w:tcPr>
          <w:p w14:paraId="7AA6F04B">
            <w:pPr>
              <w:pStyle w:val="6"/>
              <w:spacing w:before="39" w:line="182" w:lineRule="auto"/>
              <w:ind w:left="117" w:right="110" w:firstLine="13"/>
              <w:jc w:val="both"/>
            </w:pPr>
            <w:r>
              <w:rPr>
                <w:rFonts w:ascii="宋体" w:hAnsi="宋体" w:eastAsia="宋体" w:cs="宋体"/>
                <w:spacing w:val="6"/>
              </w:rPr>
              <w:t>1.</w:t>
            </w:r>
            <w:r>
              <w:rPr>
                <w:spacing w:val="6"/>
              </w:rPr>
              <w:t>【法律】《中华人民共</w:t>
            </w:r>
            <w:r>
              <w:rPr>
                <w:spacing w:val="8"/>
              </w:rPr>
              <w:t>和国安全生产法》第一百</w:t>
            </w:r>
            <w:r>
              <w:rPr>
                <w:spacing w:val="3"/>
              </w:rPr>
              <w:t>零六条：生产经营单位与</w:t>
            </w:r>
            <w:r>
              <w:rPr>
                <w:spacing w:val="8"/>
              </w:rPr>
              <w:t>从业人员订立协议，免除或者减轻其对从业人员因生产安全事故伤亡依法应承担的责任的，该协议无效；对生产经营单位的主要负责人、个人经营的投资人处二万元以上十万元</w:t>
            </w:r>
            <w:r>
              <w:rPr>
                <w:spacing w:val="1"/>
              </w:rPr>
              <w:t>以下的罚款。</w:t>
            </w:r>
          </w:p>
          <w:p w14:paraId="17E89369">
            <w:pPr>
              <w:pStyle w:val="6"/>
              <w:spacing w:before="7" w:line="180" w:lineRule="auto"/>
              <w:ind w:left="116" w:right="110"/>
              <w:jc w:val="both"/>
            </w:pPr>
            <w:r>
              <w:rPr>
                <w:rFonts w:ascii="宋体" w:hAnsi="宋体" w:eastAsia="宋体" w:cs="宋体"/>
                <w:spacing w:val="7"/>
              </w:rPr>
              <w:t>2.</w:t>
            </w:r>
            <w:r>
              <w:rPr>
                <w:spacing w:val="7"/>
              </w:rPr>
              <w:t>【部门规章】《安全生</w:t>
            </w:r>
            <w:r>
              <w:rPr>
                <w:spacing w:val="32"/>
              </w:rPr>
              <w:t>产违法行为行政处罚办</w:t>
            </w:r>
            <w:r>
              <w:rPr>
                <w:spacing w:val="8"/>
              </w:rPr>
              <w:t>法》第四十七条：生产经营单位与从业人员订立协议，免除或者减轻其对从业人员因生产安全事故伤</w:t>
            </w:r>
          </w:p>
        </w:tc>
        <w:tc>
          <w:tcPr>
            <w:tcW w:w="803" w:type="dxa"/>
            <w:vAlign w:val="top"/>
          </w:tcPr>
          <w:p w14:paraId="7BEBF725">
            <w:pPr>
              <w:spacing w:line="297" w:lineRule="auto"/>
              <w:rPr>
                <w:rFonts w:ascii="Arial"/>
                <w:sz w:val="21"/>
              </w:rPr>
            </w:pPr>
          </w:p>
          <w:p w14:paraId="086A0B34">
            <w:pPr>
              <w:spacing w:line="297" w:lineRule="auto"/>
              <w:rPr>
                <w:rFonts w:ascii="Arial"/>
                <w:sz w:val="21"/>
              </w:rPr>
            </w:pPr>
          </w:p>
          <w:p w14:paraId="2A5496D9">
            <w:pPr>
              <w:spacing w:line="298" w:lineRule="auto"/>
              <w:rPr>
                <w:rFonts w:ascii="Arial"/>
                <w:sz w:val="21"/>
              </w:rPr>
            </w:pPr>
          </w:p>
          <w:p w14:paraId="2D390E9B">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E49FBFD">
            <w:pPr>
              <w:pStyle w:val="6"/>
              <w:spacing w:before="33" w:line="179" w:lineRule="auto"/>
              <w:ind w:left="118" w:right="105" w:firstLine="12"/>
              <w:jc w:val="both"/>
            </w:pPr>
            <w:r>
              <w:rPr>
                <w:spacing w:val="25"/>
              </w:rPr>
              <w:t>生产经营单位与</w:t>
            </w:r>
            <w:r>
              <w:rPr>
                <w:rFonts w:ascii="宋体" w:hAnsi="宋体" w:eastAsia="宋体" w:cs="宋体"/>
                <w:spacing w:val="25"/>
              </w:rPr>
              <w:t>3</w:t>
            </w:r>
            <w:r>
              <w:rPr>
                <w:spacing w:val="26"/>
              </w:rPr>
              <w:t>名以下从业人员订</w:t>
            </w:r>
            <w:r>
              <w:rPr>
                <w:spacing w:val="-3"/>
              </w:rPr>
              <w:t>立协议，免除或者减</w:t>
            </w:r>
            <w:r>
              <w:rPr>
                <w:spacing w:val="26"/>
              </w:rPr>
              <w:t>轻其对从业人员因生产安全事故伤亡依法应承担的责任</w:t>
            </w:r>
            <w:r>
              <w:t>的</w:t>
            </w:r>
          </w:p>
        </w:tc>
        <w:tc>
          <w:tcPr>
            <w:tcW w:w="2894" w:type="dxa"/>
            <w:vAlign w:val="top"/>
          </w:tcPr>
          <w:p w14:paraId="1E3198C0">
            <w:pPr>
              <w:spacing w:line="338" w:lineRule="auto"/>
              <w:rPr>
                <w:rFonts w:ascii="Arial"/>
                <w:sz w:val="21"/>
              </w:rPr>
            </w:pPr>
          </w:p>
          <w:p w14:paraId="24FE9A18">
            <w:pPr>
              <w:spacing w:line="339" w:lineRule="auto"/>
              <w:rPr>
                <w:rFonts w:ascii="Arial"/>
                <w:sz w:val="21"/>
              </w:rPr>
            </w:pPr>
          </w:p>
          <w:p w14:paraId="730EEE2A">
            <w:pPr>
              <w:pStyle w:val="6"/>
              <w:spacing w:before="98" w:line="196" w:lineRule="auto"/>
              <w:ind w:left="141" w:right="106" w:hanging="22"/>
            </w:pPr>
            <w:r>
              <w:rPr>
                <w:spacing w:val="3"/>
              </w:rPr>
              <w:t>处</w:t>
            </w:r>
            <w:r>
              <w:rPr>
                <w:rFonts w:ascii="宋体" w:hAnsi="宋体" w:eastAsia="宋体" w:cs="宋体"/>
                <w:spacing w:val="3"/>
              </w:rPr>
              <w:t>2</w:t>
            </w:r>
            <w:r>
              <w:rPr>
                <w:spacing w:val="3"/>
              </w:rPr>
              <w:t>万元以上</w:t>
            </w:r>
            <w:r>
              <w:rPr>
                <w:rFonts w:ascii="宋体" w:hAnsi="宋体" w:eastAsia="宋体" w:cs="宋体"/>
                <w:spacing w:val="3"/>
              </w:rPr>
              <w:t>5</w:t>
            </w:r>
            <w:r>
              <w:rPr>
                <w:spacing w:val="3"/>
              </w:rPr>
              <w:t>万元以下</w:t>
            </w:r>
            <w:r>
              <w:rPr>
                <w:spacing w:val="-2"/>
              </w:rPr>
              <w:t>的罚款</w:t>
            </w:r>
          </w:p>
        </w:tc>
        <w:tc>
          <w:tcPr>
            <w:tcW w:w="811" w:type="dxa"/>
            <w:vMerge w:val="restart"/>
            <w:tcBorders>
              <w:bottom w:val="nil"/>
            </w:tcBorders>
            <w:vAlign w:val="top"/>
          </w:tcPr>
          <w:p w14:paraId="35885B87">
            <w:pPr>
              <w:spacing w:line="266" w:lineRule="auto"/>
              <w:rPr>
                <w:rFonts w:ascii="Arial"/>
                <w:sz w:val="21"/>
              </w:rPr>
            </w:pPr>
          </w:p>
          <w:p w14:paraId="333DDE08">
            <w:pPr>
              <w:spacing w:line="266" w:lineRule="auto"/>
              <w:rPr>
                <w:rFonts w:ascii="Arial"/>
                <w:sz w:val="21"/>
              </w:rPr>
            </w:pPr>
          </w:p>
          <w:p w14:paraId="2505AA40">
            <w:pPr>
              <w:spacing w:line="266" w:lineRule="auto"/>
              <w:rPr>
                <w:rFonts w:ascii="Arial"/>
                <w:sz w:val="21"/>
              </w:rPr>
            </w:pPr>
          </w:p>
          <w:p w14:paraId="44D66B51">
            <w:pPr>
              <w:spacing w:line="266" w:lineRule="auto"/>
              <w:rPr>
                <w:rFonts w:ascii="Arial"/>
                <w:sz w:val="21"/>
              </w:rPr>
            </w:pPr>
          </w:p>
          <w:p w14:paraId="1452E64C">
            <w:pPr>
              <w:spacing w:line="266" w:lineRule="auto"/>
              <w:rPr>
                <w:rFonts w:ascii="Arial"/>
                <w:sz w:val="21"/>
              </w:rPr>
            </w:pPr>
          </w:p>
          <w:p w14:paraId="3F92B9CF">
            <w:pPr>
              <w:spacing w:line="266" w:lineRule="auto"/>
              <w:rPr>
                <w:rFonts w:ascii="Arial"/>
                <w:sz w:val="21"/>
              </w:rPr>
            </w:pPr>
          </w:p>
          <w:p w14:paraId="1B61232E">
            <w:pPr>
              <w:spacing w:line="266" w:lineRule="auto"/>
              <w:rPr>
                <w:rFonts w:ascii="Arial"/>
                <w:sz w:val="21"/>
              </w:rPr>
            </w:pPr>
          </w:p>
          <w:p w14:paraId="51473E34">
            <w:pPr>
              <w:spacing w:line="266" w:lineRule="auto"/>
              <w:rPr>
                <w:rFonts w:ascii="Arial"/>
                <w:sz w:val="21"/>
              </w:rPr>
            </w:pPr>
          </w:p>
          <w:p w14:paraId="113F991D">
            <w:pPr>
              <w:spacing w:line="267" w:lineRule="auto"/>
              <w:rPr>
                <w:rFonts w:ascii="Arial"/>
                <w:sz w:val="21"/>
              </w:rPr>
            </w:pPr>
          </w:p>
          <w:p w14:paraId="44C2714D">
            <w:pPr>
              <w:spacing w:before="75" w:line="188" w:lineRule="auto"/>
              <w:ind w:left="290"/>
              <w:rPr>
                <w:rFonts w:ascii="宋体" w:hAnsi="宋体" w:eastAsia="宋体" w:cs="宋体"/>
                <w:sz w:val="23"/>
                <w:szCs w:val="23"/>
              </w:rPr>
            </w:pPr>
            <w:r>
              <w:rPr>
                <w:rFonts w:ascii="宋体" w:hAnsi="宋体" w:eastAsia="宋体" w:cs="宋体"/>
                <w:spacing w:val="-1"/>
                <w:sz w:val="23"/>
                <w:szCs w:val="23"/>
              </w:rPr>
              <w:t>46</w:t>
            </w:r>
          </w:p>
        </w:tc>
      </w:tr>
      <w:tr w14:paraId="6CECF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continue"/>
            <w:tcBorders>
              <w:top w:val="nil"/>
              <w:bottom w:val="nil"/>
            </w:tcBorders>
            <w:vAlign w:val="top"/>
          </w:tcPr>
          <w:p w14:paraId="45522B1B">
            <w:pPr>
              <w:rPr>
                <w:rFonts w:ascii="Arial"/>
                <w:sz w:val="21"/>
              </w:rPr>
            </w:pPr>
          </w:p>
        </w:tc>
        <w:tc>
          <w:tcPr>
            <w:tcW w:w="1440" w:type="dxa"/>
            <w:vMerge w:val="continue"/>
            <w:tcBorders>
              <w:top w:val="nil"/>
              <w:bottom w:val="nil"/>
            </w:tcBorders>
            <w:vAlign w:val="top"/>
          </w:tcPr>
          <w:p w14:paraId="2A3AA361">
            <w:pPr>
              <w:rPr>
                <w:rFonts w:ascii="Arial"/>
                <w:sz w:val="21"/>
              </w:rPr>
            </w:pPr>
          </w:p>
        </w:tc>
        <w:tc>
          <w:tcPr>
            <w:tcW w:w="3202" w:type="dxa"/>
            <w:vMerge w:val="continue"/>
            <w:tcBorders>
              <w:top w:val="nil"/>
              <w:bottom w:val="nil"/>
            </w:tcBorders>
            <w:vAlign w:val="top"/>
          </w:tcPr>
          <w:p w14:paraId="2C54FE4A">
            <w:pPr>
              <w:rPr>
                <w:rFonts w:ascii="Arial"/>
                <w:sz w:val="21"/>
              </w:rPr>
            </w:pPr>
          </w:p>
        </w:tc>
        <w:tc>
          <w:tcPr>
            <w:tcW w:w="2859" w:type="dxa"/>
            <w:vMerge w:val="continue"/>
            <w:tcBorders>
              <w:top w:val="nil"/>
              <w:bottom w:val="nil"/>
            </w:tcBorders>
            <w:vAlign w:val="top"/>
          </w:tcPr>
          <w:p w14:paraId="632D9201">
            <w:pPr>
              <w:rPr>
                <w:rFonts w:ascii="Arial"/>
                <w:sz w:val="21"/>
              </w:rPr>
            </w:pPr>
          </w:p>
        </w:tc>
        <w:tc>
          <w:tcPr>
            <w:tcW w:w="803" w:type="dxa"/>
            <w:vAlign w:val="top"/>
          </w:tcPr>
          <w:p w14:paraId="26A9FD3C">
            <w:pPr>
              <w:spacing w:line="298" w:lineRule="auto"/>
              <w:rPr>
                <w:rFonts w:ascii="Arial"/>
                <w:sz w:val="21"/>
              </w:rPr>
            </w:pPr>
          </w:p>
          <w:p w14:paraId="3B8702FA">
            <w:pPr>
              <w:spacing w:line="299" w:lineRule="auto"/>
              <w:rPr>
                <w:rFonts w:ascii="Arial"/>
                <w:sz w:val="21"/>
              </w:rPr>
            </w:pPr>
          </w:p>
          <w:p w14:paraId="024AF89F">
            <w:pPr>
              <w:spacing w:line="299" w:lineRule="auto"/>
              <w:rPr>
                <w:rFonts w:ascii="Arial"/>
                <w:sz w:val="21"/>
              </w:rPr>
            </w:pPr>
          </w:p>
          <w:p w14:paraId="11F5BCA4">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1E054C2">
            <w:pPr>
              <w:pStyle w:val="6"/>
              <w:spacing w:before="33" w:line="179" w:lineRule="auto"/>
              <w:ind w:left="118" w:right="105" w:firstLine="12"/>
              <w:jc w:val="both"/>
            </w:pPr>
            <w:r>
              <w:rPr>
                <w:spacing w:val="25"/>
              </w:rPr>
              <w:t>生产经营单位与</w:t>
            </w:r>
            <w:r>
              <w:rPr>
                <w:rFonts w:ascii="宋体" w:hAnsi="宋体" w:eastAsia="宋体" w:cs="宋体"/>
                <w:spacing w:val="25"/>
              </w:rPr>
              <w:t>3</w:t>
            </w:r>
            <w:r>
              <w:rPr>
                <w:spacing w:val="3"/>
              </w:rPr>
              <w:t>名以上</w:t>
            </w:r>
            <w:r>
              <w:rPr>
                <w:rFonts w:ascii="宋体" w:hAnsi="宋体" w:eastAsia="宋体" w:cs="宋体"/>
                <w:spacing w:val="3"/>
              </w:rPr>
              <w:t>10</w:t>
            </w:r>
            <w:r>
              <w:rPr>
                <w:spacing w:val="3"/>
              </w:rPr>
              <w:t>名以下从</w:t>
            </w:r>
            <w:r>
              <w:rPr>
                <w:spacing w:val="-3"/>
              </w:rPr>
              <w:t>业人员订立协议，免</w:t>
            </w:r>
            <w:r>
              <w:rPr>
                <w:spacing w:val="26"/>
              </w:rPr>
              <w:t>除或者减轻其对从业人员因生产安全事故伤亡依法应承</w:t>
            </w:r>
            <w:r>
              <w:rPr>
                <w:spacing w:val="6"/>
              </w:rPr>
              <w:t>担的责任的</w:t>
            </w:r>
          </w:p>
        </w:tc>
        <w:tc>
          <w:tcPr>
            <w:tcW w:w="2894" w:type="dxa"/>
            <w:vAlign w:val="top"/>
          </w:tcPr>
          <w:p w14:paraId="0940D226">
            <w:pPr>
              <w:spacing w:line="338" w:lineRule="auto"/>
              <w:rPr>
                <w:rFonts w:ascii="Arial"/>
                <w:sz w:val="21"/>
              </w:rPr>
            </w:pPr>
          </w:p>
          <w:p w14:paraId="37F3FB74">
            <w:pPr>
              <w:spacing w:line="339" w:lineRule="auto"/>
              <w:rPr>
                <w:rFonts w:ascii="Arial"/>
                <w:sz w:val="21"/>
              </w:rPr>
            </w:pPr>
          </w:p>
          <w:p w14:paraId="29009D96">
            <w:pPr>
              <w:pStyle w:val="6"/>
              <w:spacing w:before="99" w:line="196" w:lineRule="auto"/>
              <w:ind w:left="141" w:right="106" w:hanging="22"/>
            </w:pPr>
            <w:r>
              <w:rPr>
                <w:spacing w:val="3"/>
              </w:rPr>
              <w:t>处</w:t>
            </w:r>
            <w:r>
              <w:rPr>
                <w:rFonts w:ascii="宋体" w:hAnsi="宋体" w:eastAsia="宋体" w:cs="宋体"/>
                <w:spacing w:val="3"/>
              </w:rPr>
              <w:t>5</w:t>
            </w:r>
            <w:r>
              <w:rPr>
                <w:spacing w:val="3"/>
              </w:rPr>
              <w:t>万元以上</w:t>
            </w:r>
            <w:r>
              <w:rPr>
                <w:rFonts w:ascii="宋体" w:hAnsi="宋体" w:eastAsia="宋体" w:cs="宋体"/>
                <w:spacing w:val="3"/>
              </w:rPr>
              <w:t>8</w:t>
            </w:r>
            <w:r>
              <w:rPr>
                <w:spacing w:val="3"/>
              </w:rPr>
              <w:t>万元以下</w:t>
            </w:r>
            <w:r>
              <w:rPr>
                <w:spacing w:val="-2"/>
              </w:rPr>
              <w:t>的罚款</w:t>
            </w:r>
          </w:p>
        </w:tc>
        <w:tc>
          <w:tcPr>
            <w:tcW w:w="811" w:type="dxa"/>
            <w:vMerge w:val="continue"/>
            <w:tcBorders>
              <w:top w:val="nil"/>
              <w:bottom w:val="nil"/>
            </w:tcBorders>
            <w:vAlign w:val="top"/>
          </w:tcPr>
          <w:p w14:paraId="2297B42A">
            <w:pPr>
              <w:rPr>
                <w:rFonts w:ascii="Arial"/>
                <w:sz w:val="21"/>
              </w:rPr>
            </w:pPr>
          </w:p>
        </w:tc>
      </w:tr>
      <w:tr w14:paraId="4D30B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818" w:type="dxa"/>
            <w:vMerge w:val="continue"/>
            <w:tcBorders>
              <w:top w:val="nil"/>
            </w:tcBorders>
            <w:vAlign w:val="top"/>
          </w:tcPr>
          <w:p w14:paraId="2D9B7891">
            <w:pPr>
              <w:rPr>
                <w:rFonts w:ascii="Arial"/>
                <w:sz w:val="21"/>
              </w:rPr>
            </w:pPr>
          </w:p>
        </w:tc>
        <w:tc>
          <w:tcPr>
            <w:tcW w:w="1440" w:type="dxa"/>
            <w:vMerge w:val="continue"/>
            <w:tcBorders>
              <w:top w:val="nil"/>
            </w:tcBorders>
            <w:vAlign w:val="top"/>
          </w:tcPr>
          <w:p w14:paraId="490F567F">
            <w:pPr>
              <w:rPr>
                <w:rFonts w:ascii="Arial"/>
                <w:sz w:val="21"/>
              </w:rPr>
            </w:pPr>
          </w:p>
        </w:tc>
        <w:tc>
          <w:tcPr>
            <w:tcW w:w="3202" w:type="dxa"/>
            <w:vMerge w:val="continue"/>
            <w:tcBorders>
              <w:top w:val="nil"/>
            </w:tcBorders>
            <w:vAlign w:val="top"/>
          </w:tcPr>
          <w:p w14:paraId="53A44F7C">
            <w:pPr>
              <w:rPr>
                <w:rFonts w:ascii="Arial"/>
                <w:sz w:val="21"/>
              </w:rPr>
            </w:pPr>
          </w:p>
        </w:tc>
        <w:tc>
          <w:tcPr>
            <w:tcW w:w="2859" w:type="dxa"/>
            <w:vMerge w:val="continue"/>
            <w:tcBorders>
              <w:top w:val="nil"/>
            </w:tcBorders>
            <w:vAlign w:val="top"/>
          </w:tcPr>
          <w:p w14:paraId="66396A7F">
            <w:pPr>
              <w:rPr>
                <w:rFonts w:ascii="Arial"/>
                <w:sz w:val="21"/>
              </w:rPr>
            </w:pPr>
          </w:p>
        </w:tc>
        <w:tc>
          <w:tcPr>
            <w:tcW w:w="803" w:type="dxa"/>
            <w:vAlign w:val="top"/>
          </w:tcPr>
          <w:p w14:paraId="3C92C3A1">
            <w:pPr>
              <w:spacing w:line="299" w:lineRule="auto"/>
              <w:rPr>
                <w:rFonts w:ascii="Arial"/>
                <w:sz w:val="21"/>
              </w:rPr>
            </w:pPr>
          </w:p>
          <w:p w14:paraId="59E42FC4">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67A9864">
            <w:pPr>
              <w:pStyle w:val="6"/>
              <w:spacing w:before="33" w:line="175" w:lineRule="auto"/>
              <w:ind w:left="121" w:right="105" w:firstLine="10"/>
              <w:jc w:val="both"/>
            </w:pPr>
            <w:r>
              <w:rPr>
                <w:spacing w:val="10"/>
              </w:rPr>
              <w:t>生产经营单位与</w:t>
            </w:r>
            <w:r>
              <w:rPr>
                <w:rFonts w:ascii="宋体" w:hAnsi="宋体" w:eastAsia="宋体" w:cs="宋体"/>
                <w:spacing w:val="10"/>
              </w:rPr>
              <w:t>10</w:t>
            </w:r>
            <w:r>
              <w:rPr>
                <w:spacing w:val="25"/>
              </w:rPr>
              <w:t>名以上从业人员订</w:t>
            </w:r>
            <w:r>
              <w:rPr>
                <w:spacing w:val="-3"/>
              </w:rPr>
              <w:t>立协议，免除或者减</w:t>
            </w:r>
          </w:p>
        </w:tc>
        <w:tc>
          <w:tcPr>
            <w:tcW w:w="2894" w:type="dxa"/>
            <w:vAlign w:val="top"/>
          </w:tcPr>
          <w:p w14:paraId="0DB7C073">
            <w:pPr>
              <w:pStyle w:val="6"/>
              <w:spacing w:before="183" w:line="196" w:lineRule="auto"/>
              <w:ind w:left="141" w:right="104" w:hanging="22"/>
            </w:pPr>
            <w:r>
              <w:rPr>
                <w:spacing w:val="5"/>
              </w:rPr>
              <w:t>处</w:t>
            </w:r>
            <w:r>
              <w:rPr>
                <w:rFonts w:ascii="宋体" w:hAnsi="宋体" w:eastAsia="宋体" w:cs="宋体"/>
                <w:spacing w:val="5"/>
              </w:rPr>
              <w:t>8</w:t>
            </w:r>
            <w:r>
              <w:rPr>
                <w:spacing w:val="5"/>
              </w:rPr>
              <w:t>万元以上</w:t>
            </w:r>
            <w:r>
              <w:rPr>
                <w:rFonts w:ascii="宋体" w:hAnsi="宋体" w:eastAsia="宋体" w:cs="宋体"/>
                <w:spacing w:val="5"/>
              </w:rPr>
              <w:t>10</w:t>
            </w:r>
            <w:r>
              <w:rPr>
                <w:spacing w:val="5"/>
              </w:rPr>
              <w:t>万元以下</w:t>
            </w:r>
            <w:r>
              <w:rPr>
                <w:spacing w:val="-2"/>
              </w:rPr>
              <w:t>的罚款</w:t>
            </w:r>
          </w:p>
        </w:tc>
        <w:tc>
          <w:tcPr>
            <w:tcW w:w="811" w:type="dxa"/>
            <w:vMerge w:val="continue"/>
            <w:tcBorders>
              <w:top w:val="nil"/>
            </w:tcBorders>
            <w:vAlign w:val="top"/>
          </w:tcPr>
          <w:p w14:paraId="71066CE2">
            <w:pPr>
              <w:rPr>
                <w:rFonts w:ascii="Arial"/>
                <w:sz w:val="21"/>
              </w:rPr>
            </w:pPr>
          </w:p>
        </w:tc>
      </w:tr>
    </w:tbl>
    <w:p w14:paraId="710B9474">
      <w:pPr>
        <w:pStyle w:val="2"/>
      </w:pPr>
    </w:p>
    <w:p w14:paraId="7FE3F436">
      <w:pPr>
        <w:sectPr>
          <w:footerReference r:id="rId77" w:type="default"/>
          <w:pgSz w:w="16839" w:h="11906"/>
          <w:pgMar w:top="1012" w:right="821" w:bottom="666" w:left="901" w:header="0" w:footer="388" w:gutter="0"/>
          <w:cols w:space="720" w:num="1"/>
        </w:sectPr>
      </w:pPr>
    </w:p>
    <w:p w14:paraId="626D14A5">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8B95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AF93277">
            <w:pPr>
              <w:spacing w:before="222" w:line="241" w:lineRule="auto"/>
              <w:ind w:left="131"/>
              <w:outlineLvl w:val="0"/>
              <w:rPr>
                <w:rFonts w:ascii="黑体" w:hAnsi="黑体" w:eastAsia="黑体" w:cs="黑体"/>
                <w:sz w:val="28"/>
                <w:szCs w:val="28"/>
              </w:rPr>
            </w:pPr>
            <w:bookmarkStart w:id="460" w:name="bookmark127"/>
            <w:bookmarkEnd w:id="460"/>
            <w:r>
              <w:rPr>
                <w:rFonts w:ascii="黑体" w:hAnsi="黑体" w:eastAsia="黑体" w:cs="黑体"/>
                <w:spacing w:val="-2"/>
                <w:sz w:val="28"/>
                <w:szCs w:val="28"/>
              </w:rPr>
              <w:t>序号</w:t>
            </w:r>
          </w:p>
        </w:tc>
        <w:tc>
          <w:tcPr>
            <w:tcW w:w="1440" w:type="dxa"/>
            <w:vAlign w:val="top"/>
          </w:tcPr>
          <w:p w14:paraId="0B4E0157">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1D4ED84">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3606764">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C01DB96">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B1B681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EF32EF9">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2DC8C07">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FAFC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3" w:hRule="atLeast"/>
        </w:trPr>
        <w:tc>
          <w:tcPr>
            <w:tcW w:w="818" w:type="dxa"/>
            <w:vAlign w:val="top"/>
          </w:tcPr>
          <w:p w14:paraId="4F4D6301">
            <w:pPr>
              <w:rPr>
                <w:rFonts w:ascii="Arial"/>
                <w:sz w:val="21"/>
              </w:rPr>
            </w:pPr>
          </w:p>
        </w:tc>
        <w:tc>
          <w:tcPr>
            <w:tcW w:w="1440" w:type="dxa"/>
            <w:vAlign w:val="top"/>
          </w:tcPr>
          <w:p w14:paraId="4D30A136">
            <w:pPr>
              <w:rPr>
                <w:rFonts w:ascii="Arial"/>
                <w:sz w:val="21"/>
              </w:rPr>
            </w:pPr>
          </w:p>
        </w:tc>
        <w:tc>
          <w:tcPr>
            <w:tcW w:w="3202" w:type="dxa"/>
            <w:vAlign w:val="top"/>
          </w:tcPr>
          <w:p w14:paraId="60232003">
            <w:pPr>
              <w:rPr>
                <w:rFonts w:ascii="Arial"/>
                <w:sz w:val="21"/>
              </w:rPr>
            </w:pPr>
          </w:p>
        </w:tc>
        <w:tc>
          <w:tcPr>
            <w:tcW w:w="2859" w:type="dxa"/>
            <w:vAlign w:val="top"/>
          </w:tcPr>
          <w:p w14:paraId="2CE477AD">
            <w:pPr>
              <w:pStyle w:val="6"/>
              <w:spacing w:before="31" w:line="182" w:lineRule="auto"/>
              <w:ind w:left="112" w:right="110" w:firstLine="5"/>
            </w:pPr>
            <w:r>
              <w:rPr>
                <w:spacing w:val="7"/>
              </w:rPr>
              <w:t>亡依法应承担的责任的，</w:t>
            </w:r>
            <w:r>
              <w:rPr>
                <w:spacing w:val="9"/>
              </w:rPr>
              <w:t>该协议无效；对生产经营单位的主要负责人、个人经营的投资人按照下列规</w:t>
            </w:r>
          </w:p>
          <w:p w14:paraId="1D142FDB">
            <w:pPr>
              <w:pStyle w:val="6"/>
              <w:spacing w:line="182" w:lineRule="auto"/>
              <w:ind w:left="117"/>
              <w:outlineLvl w:val="0"/>
            </w:pPr>
            <w:r>
              <w:rPr>
                <w:spacing w:val="-4"/>
              </w:rPr>
              <w:t>定处以罚款</w:t>
            </w:r>
            <w:r>
              <w:rPr>
                <w:spacing w:val="-2"/>
              </w:rPr>
              <w:t>：（</w:t>
            </w:r>
            <w:r>
              <w:rPr>
                <w:spacing w:val="-4"/>
              </w:rPr>
              <w:t>一）在协</w:t>
            </w:r>
          </w:p>
          <w:p w14:paraId="1683E0E2">
            <w:pPr>
              <w:pStyle w:val="6"/>
              <w:spacing w:before="1" w:line="180" w:lineRule="auto"/>
              <w:ind w:left="98" w:right="107" w:firstLine="17"/>
            </w:pPr>
            <w:r>
              <w:rPr>
                <w:spacing w:val="8"/>
              </w:rPr>
              <w:t>议中减轻因生产安全事故</w:t>
            </w:r>
            <w:r>
              <w:rPr>
                <w:spacing w:val="10"/>
              </w:rPr>
              <w:t>伤亡对从业人员依法应承</w:t>
            </w:r>
            <w:r>
              <w:rPr>
                <w:spacing w:val="6"/>
              </w:rPr>
              <w:t>担的责任的，处</w:t>
            </w:r>
            <w:r>
              <w:rPr>
                <w:rFonts w:ascii="宋体" w:hAnsi="宋体" w:eastAsia="宋体" w:cs="宋体"/>
                <w:spacing w:val="6"/>
              </w:rPr>
              <w:t>2</w:t>
            </w:r>
            <w:r>
              <w:rPr>
                <w:spacing w:val="6"/>
              </w:rPr>
              <w:t>万元以</w:t>
            </w:r>
            <w:bookmarkStart w:id="461" w:name="bookmark129"/>
            <w:bookmarkEnd w:id="461"/>
            <w:r>
              <w:rPr>
                <w:spacing w:val="18"/>
              </w:rPr>
              <w:t>上</w:t>
            </w:r>
            <w:r>
              <w:rPr>
                <w:rFonts w:ascii="宋体" w:hAnsi="宋体" w:eastAsia="宋体" w:cs="宋体"/>
                <w:spacing w:val="18"/>
              </w:rPr>
              <w:t>5</w:t>
            </w:r>
            <w:r>
              <w:rPr>
                <w:spacing w:val="18"/>
              </w:rPr>
              <w:t>万元以下的罚款；</w:t>
            </w:r>
            <w:r>
              <w:rPr>
                <w:spacing w:val="10"/>
              </w:rPr>
              <w:t>（二）在协议中免除因生产安全事故伤亡对从业人</w:t>
            </w:r>
            <w:r>
              <w:rPr>
                <w:spacing w:val="9"/>
              </w:rPr>
              <w:t>员依法应承担的责任的，</w:t>
            </w:r>
            <w:r>
              <w:rPr>
                <w:spacing w:val="15"/>
              </w:rPr>
              <w:t>处</w:t>
            </w:r>
            <w:r>
              <w:rPr>
                <w:rFonts w:ascii="宋体" w:hAnsi="宋体" w:eastAsia="宋体" w:cs="宋体"/>
                <w:spacing w:val="15"/>
              </w:rPr>
              <w:t>5</w:t>
            </w:r>
            <w:r>
              <w:rPr>
                <w:spacing w:val="15"/>
              </w:rPr>
              <w:t>万元以上</w:t>
            </w:r>
            <w:r>
              <w:rPr>
                <w:rFonts w:ascii="宋体" w:hAnsi="宋体" w:eastAsia="宋体" w:cs="宋体"/>
                <w:spacing w:val="15"/>
              </w:rPr>
              <w:t>10</w:t>
            </w:r>
            <w:r>
              <w:rPr>
                <w:spacing w:val="15"/>
              </w:rPr>
              <w:t>万元以下</w:t>
            </w:r>
            <w:r>
              <w:rPr>
                <w:spacing w:val="2"/>
              </w:rPr>
              <w:t>的罚款。</w:t>
            </w:r>
          </w:p>
        </w:tc>
        <w:tc>
          <w:tcPr>
            <w:tcW w:w="803" w:type="dxa"/>
            <w:vAlign w:val="top"/>
          </w:tcPr>
          <w:p w14:paraId="2B5FE341">
            <w:pPr>
              <w:rPr>
                <w:rFonts w:ascii="Arial"/>
                <w:sz w:val="21"/>
              </w:rPr>
            </w:pPr>
          </w:p>
        </w:tc>
        <w:tc>
          <w:tcPr>
            <w:tcW w:w="2283" w:type="dxa"/>
            <w:vAlign w:val="top"/>
          </w:tcPr>
          <w:p w14:paraId="1365903C">
            <w:pPr>
              <w:pStyle w:val="6"/>
              <w:spacing w:before="26" w:line="190" w:lineRule="auto"/>
              <w:ind w:left="118" w:right="109" w:firstLine="5"/>
              <w:jc w:val="both"/>
            </w:pPr>
            <w:r>
              <w:rPr>
                <w:spacing w:val="25"/>
              </w:rPr>
              <w:t>轻其对从业人员因</w:t>
            </w:r>
            <w:r>
              <w:rPr>
                <w:spacing w:val="26"/>
              </w:rPr>
              <w:t>生产安全事故伤亡依法应承担的责任</w:t>
            </w:r>
            <w:r>
              <w:t>的</w:t>
            </w:r>
          </w:p>
        </w:tc>
        <w:tc>
          <w:tcPr>
            <w:tcW w:w="2894" w:type="dxa"/>
            <w:vAlign w:val="top"/>
          </w:tcPr>
          <w:p w14:paraId="583BE2A4">
            <w:pPr>
              <w:rPr>
                <w:rFonts w:ascii="Arial"/>
                <w:sz w:val="21"/>
              </w:rPr>
            </w:pPr>
          </w:p>
        </w:tc>
        <w:tc>
          <w:tcPr>
            <w:tcW w:w="811" w:type="dxa"/>
            <w:vAlign w:val="top"/>
          </w:tcPr>
          <w:p w14:paraId="7A0F0255">
            <w:pPr>
              <w:rPr>
                <w:rFonts w:ascii="Arial"/>
                <w:sz w:val="21"/>
              </w:rPr>
            </w:pPr>
          </w:p>
        </w:tc>
      </w:tr>
      <w:tr w14:paraId="4CD31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818" w:type="dxa"/>
            <w:vMerge w:val="restart"/>
            <w:tcBorders>
              <w:bottom w:val="nil"/>
            </w:tcBorders>
            <w:vAlign w:val="top"/>
          </w:tcPr>
          <w:p w14:paraId="7C919331">
            <w:pPr>
              <w:spacing w:line="249" w:lineRule="auto"/>
              <w:rPr>
                <w:rFonts w:ascii="Arial"/>
                <w:sz w:val="21"/>
              </w:rPr>
            </w:pPr>
          </w:p>
          <w:p w14:paraId="09FC2B8B">
            <w:pPr>
              <w:spacing w:line="249" w:lineRule="auto"/>
              <w:rPr>
                <w:rFonts w:ascii="Arial"/>
                <w:sz w:val="21"/>
              </w:rPr>
            </w:pPr>
          </w:p>
          <w:p w14:paraId="3FC8DD0D">
            <w:pPr>
              <w:spacing w:line="249" w:lineRule="auto"/>
              <w:rPr>
                <w:rFonts w:ascii="Arial"/>
                <w:sz w:val="21"/>
              </w:rPr>
            </w:pPr>
          </w:p>
          <w:p w14:paraId="05BF1F7B">
            <w:pPr>
              <w:spacing w:line="249" w:lineRule="auto"/>
              <w:rPr>
                <w:rFonts w:ascii="Arial"/>
                <w:sz w:val="21"/>
              </w:rPr>
            </w:pPr>
          </w:p>
          <w:p w14:paraId="0FA7A40C">
            <w:pPr>
              <w:spacing w:line="249" w:lineRule="auto"/>
              <w:rPr>
                <w:rFonts w:ascii="Arial"/>
                <w:sz w:val="21"/>
              </w:rPr>
            </w:pPr>
          </w:p>
          <w:p w14:paraId="109CEDE0">
            <w:pPr>
              <w:spacing w:line="249" w:lineRule="auto"/>
              <w:rPr>
                <w:rFonts w:ascii="Arial"/>
                <w:sz w:val="21"/>
              </w:rPr>
            </w:pPr>
          </w:p>
          <w:p w14:paraId="67BB9C95">
            <w:pPr>
              <w:spacing w:before="74" w:line="186" w:lineRule="auto"/>
              <w:ind w:left="236"/>
              <w:rPr>
                <w:rFonts w:ascii="仿宋" w:hAnsi="仿宋" w:eastAsia="仿宋" w:cs="仿宋"/>
                <w:sz w:val="23"/>
                <w:szCs w:val="23"/>
              </w:rPr>
            </w:pPr>
            <w:r>
              <w:rPr>
                <w:rFonts w:ascii="仿宋" w:hAnsi="仿宋" w:eastAsia="仿宋" w:cs="仿宋"/>
                <w:spacing w:val="-2"/>
                <w:sz w:val="23"/>
                <w:szCs w:val="23"/>
              </w:rPr>
              <w:t>61</w:t>
            </w:r>
          </w:p>
        </w:tc>
        <w:tc>
          <w:tcPr>
            <w:tcW w:w="1440" w:type="dxa"/>
            <w:vMerge w:val="restart"/>
            <w:tcBorders>
              <w:bottom w:val="nil"/>
            </w:tcBorders>
            <w:vAlign w:val="top"/>
          </w:tcPr>
          <w:p w14:paraId="7B4EADB7">
            <w:pPr>
              <w:spacing w:line="244" w:lineRule="auto"/>
              <w:rPr>
                <w:rFonts w:ascii="Arial"/>
                <w:sz w:val="21"/>
              </w:rPr>
            </w:pPr>
          </w:p>
          <w:p w14:paraId="7AAB5E39">
            <w:pPr>
              <w:spacing w:line="244" w:lineRule="auto"/>
              <w:rPr>
                <w:rFonts w:ascii="Arial"/>
                <w:sz w:val="21"/>
              </w:rPr>
            </w:pPr>
          </w:p>
          <w:p w14:paraId="241F1EE8">
            <w:pPr>
              <w:spacing w:line="244" w:lineRule="auto"/>
              <w:rPr>
                <w:rFonts w:ascii="Arial"/>
                <w:sz w:val="21"/>
              </w:rPr>
            </w:pPr>
          </w:p>
          <w:p w14:paraId="11FF01F8">
            <w:pPr>
              <w:spacing w:line="245" w:lineRule="auto"/>
              <w:rPr>
                <w:rFonts w:ascii="Arial"/>
                <w:sz w:val="21"/>
              </w:rPr>
            </w:pPr>
          </w:p>
          <w:p w14:paraId="129275DA">
            <w:pPr>
              <w:pStyle w:val="6"/>
              <w:spacing w:before="99" w:line="189" w:lineRule="auto"/>
              <w:ind w:left="115" w:right="111"/>
              <w:jc w:val="both"/>
            </w:pPr>
            <w:r>
              <w:rPr>
                <w:spacing w:val="11"/>
              </w:rPr>
              <w:t>未经注册擅自以注册安全工程师名</w:t>
            </w:r>
            <w:r>
              <w:rPr>
                <w:spacing w:val="6"/>
              </w:rPr>
              <w:t>义执业的</w:t>
            </w:r>
          </w:p>
        </w:tc>
        <w:tc>
          <w:tcPr>
            <w:tcW w:w="3202" w:type="dxa"/>
            <w:vMerge w:val="restart"/>
            <w:tcBorders>
              <w:bottom w:val="nil"/>
            </w:tcBorders>
            <w:vAlign w:val="top"/>
          </w:tcPr>
          <w:p w14:paraId="17DB562B">
            <w:pPr>
              <w:pStyle w:val="6"/>
              <w:spacing w:before="31" w:line="187" w:lineRule="auto"/>
              <w:ind w:left="116" w:right="111" w:hanging="18"/>
              <w:jc w:val="both"/>
            </w:pPr>
            <w:r>
              <w:rPr>
                <w:spacing w:val="18"/>
              </w:rPr>
              <w:t>【部门规章】《注册安全工</w:t>
            </w:r>
            <w:r>
              <w:rPr>
                <w:spacing w:val="13"/>
              </w:rPr>
              <w:t>程师管理规定》第七条：取得资格证书的人员，经注册</w:t>
            </w:r>
            <w:r>
              <w:rPr>
                <w:spacing w:val="17"/>
              </w:rPr>
              <w:t>取得执业证和执业印章后方可以注册安全工程师的名义</w:t>
            </w:r>
            <w:r>
              <w:rPr>
                <w:spacing w:val="-4"/>
              </w:rPr>
              <w:t>执业。</w:t>
            </w:r>
          </w:p>
        </w:tc>
        <w:tc>
          <w:tcPr>
            <w:tcW w:w="2859" w:type="dxa"/>
            <w:vMerge w:val="restart"/>
            <w:tcBorders>
              <w:bottom w:val="nil"/>
            </w:tcBorders>
            <w:vAlign w:val="top"/>
          </w:tcPr>
          <w:p w14:paraId="634B83A6">
            <w:pPr>
              <w:pStyle w:val="6"/>
              <w:spacing w:before="37" w:line="180" w:lineRule="auto"/>
              <w:ind w:left="114" w:right="110" w:hanging="17"/>
            </w:pPr>
            <w:r>
              <w:rPr>
                <w:spacing w:val="10"/>
              </w:rPr>
              <w:t>【部门规章】《注册安全</w:t>
            </w:r>
            <w:r>
              <w:rPr>
                <w:spacing w:val="8"/>
              </w:rPr>
              <w:t>工程师管理规定》第三十条：未经注册擅自以注册</w:t>
            </w:r>
            <w:r>
              <w:rPr>
                <w:spacing w:val="7"/>
              </w:rPr>
              <w:t>安全工程师名义执业的，</w:t>
            </w:r>
            <w:r>
              <w:rPr>
                <w:spacing w:val="8"/>
              </w:rPr>
              <w:t>由县级以上安全生产监督管理部门、有关主管部门或者煤矿安全监察机构责令其停止违法活动，没收违法所得，并处三万元以</w:t>
            </w:r>
            <w:r>
              <w:rPr>
                <w:spacing w:val="4"/>
              </w:rPr>
              <w:t>下的罚款；造成损失的，依法承担赔偿责任。</w:t>
            </w:r>
          </w:p>
        </w:tc>
        <w:tc>
          <w:tcPr>
            <w:tcW w:w="803" w:type="dxa"/>
            <w:vAlign w:val="top"/>
          </w:tcPr>
          <w:p w14:paraId="60BEF8A8">
            <w:pPr>
              <w:spacing w:line="315" w:lineRule="auto"/>
              <w:rPr>
                <w:rFonts w:ascii="Arial"/>
                <w:sz w:val="21"/>
              </w:rPr>
            </w:pPr>
          </w:p>
          <w:p w14:paraId="58190FCC">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E3468FB">
            <w:pPr>
              <w:spacing w:line="250" w:lineRule="auto"/>
              <w:rPr>
                <w:rFonts w:ascii="Arial"/>
                <w:sz w:val="21"/>
              </w:rPr>
            </w:pPr>
          </w:p>
          <w:p w14:paraId="6DEABCAD">
            <w:pPr>
              <w:pStyle w:val="6"/>
              <w:spacing w:before="99" w:line="209" w:lineRule="auto"/>
              <w:ind w:left="127"/>
            </w:pPr>
            <w:r>
              <w:rPr>
                <w:spacing w:val="6"/>
              </w:rPr>
              <w:t>没有违法所得的</w:t>
            </w:r>
          </w:p>
        </w:tc>
        <w:tc>
          <w:tcPr>
            <w:tcW w:w="2894" w:type="dxa"/>
            <w:vAlign w:val="top"/>
          </w:tcPr>
          <w:p w14:paraId="07C133F0">
            <w:pPr>
              <w:pStyle w:val="6"/>
              <w:spacing w:before="198" w:line="196" w:lineRule="auto"/>
              <w:ind w:left="129" w:right="104" w:hanging="2"/>
            </w:pPr>
            <w:r>
              <w:rPr>
                <w:spacing w:val="8"/>
              </w:rPr>
              <w:t>责令停止违法活动，处</w:t>
            </w:r>
            <w:r>
              <w:rPr>
                <w:rFonts w:ascii="宋体" w:hAnsi="宋体" w:eastAsia="宋体" w:cs="宋体"/>
                <w:spacing w:val="8"/>
              </w:rPr>
              <w:t>1</w:t>
            </w:r>
            <w:r>
              <w:rPr>
                <w:spacing w:val="5"/>
              </w:rPr>
              <w:t>万元以下的罚款</w:t>
            </w:r>
          </w:p>
        </w:tc>
        <w:tc>
          <w:tcPr>
            <w:tcW w:w="811" w:type="dxa"/>
            <w:vMerge w:val="restart"/>
            <w:tcBorders>
              <w:bottom w:val="nil"/>
            </w:tcBorders>
            <w:vAlign w:val="top"/>
          </w:tcPr>
          <w:p w14:paraId="1AE22F0E">
            <w:pPr>
              <w:spacing w:line="248" w:lineRule="auto"/>
              <w:rPr>
                <w:rFonts w:ascii="Arial"/>
                <w:sz w:val="21"/>
              </w:rPr>
            </w:pPr>
          </w:p>
          <w:p w14:paraId="2B6CFD40">
            <w:pPr>
              <w:spacing w:line="248" w:lineRule="auto"/>
              <w:rPr>
                <w:rFonts w:ascii="Arial"/>
                <w:sz w:val="21"/>
              </w:rPr>
            </w:pPr>
          </w:p>
          <w:p w14:paraId="08455DDC">
            <w:pPr>
              <w:spacing w:line="248" w:lineRule="auto"/>
              <w:rPr>
                <w:rFonts w:ascii="Arial"/>
                <w:sz w:val="21"/>
              </w:rPr>
            </w:pPr>
          </w:p>
          <w:p w14:paraId="16D455A2">
            <w:pPr>
              <w:spacing w:line="249" w:lineRule="auto"/>
              <w:rPr>
                <w:rFonts w:ascii="Arial"/>
                <w:sz w:val="21"/>
              </w:rPr>
            </w:pPr>
          </w:p>
          <w:p w14:paraId="27D9736F">
            <w:pPr>
              <w:spacing w:line="249" w:lineRule="auto"/>
              <w:rPr>
                <w:rFonts w:ascii="Arial"/>
                <w:sz w:val="21"/>
              </w:rPr>
            </w:pPr>
          </w:p>
          <w:p w14:paraId="66BEB0E9">
            <w:pPr>
              <w:spacing w:line="249" w:lineRule="auto"/>
              <w:rPr>
                <w:rFonts w:ascii="Arial"/>
                <w:sz w:val="21"/>
              </w:rPr>
            </w:pPr>
          </w:p>
          <w:p w14:paraId="5DD998DA">
            <w:pPr>
              <w:spacing w:before="75" w:line="188" w:lineRule="auto"/>
              <w:ind w:left="290"/>
              <w:rPr>
                <w:rFonts w:ascii="宋体" w:hAnsi="宋体" w:eastAsia="宋体" w:cs="宋体"/>
                <w:sz w:val="23"/>
                <w:szCs w:val="23"/>
              </w:rPr>
            </w:pPr>
            <w:r>
              <w:rPr>
                <w:rFonts w:ascii="宋体" w:hAnsi="宋体" w:eastAsia="宋体" w:cs="宋体"/>
                <w:spacing w:val="-1"/>
                <w:sz w:val="23"/>
                <w:szCs w:val="23"/>
              </w:rPr>
              <w:t>48</w:t>
            </w:r>
          </w:p>
        </w:tc>
      </w:tr>
      <w:tr w14:paraId="1C7E6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9" w:hRule="atLeast"/>
        </w:trPr>
        <w:tc>
          <w:tcPr>
            <w:tcW w:w="818" w:type="dxa"/>
            <w:vMerge w:val="continue"/>
            <w:tcBorders>
              <w:top w:val="nil"/>
              <w:bottom w:val="nil"/>
            </w:tcBorders>
            <w:vAlign w:val="top"/>
          </w:tcPr>
          <w:p w14:paraId="6C4369B2">
            <w:pPr>
              <w:rPr>
                <w:rFonts w:ascii="Arial"/>
                <w:sz w:val="21"/>
              </w:rPr>
            </w:pPr>
          </w:p>
        </w:tc>
        <w:tc>
          <w:tcPr>
            <w:tcW w:w="1440" w:type="dxa"/>
            <w:vMerge w:val="continue"/>
            <w:tcBorders>
              <w:top w:val="nil"/>
              <w:bottom w:val="nil"/>
            </w:tcBorders>
            <w:vAlign w:val="top"/>
          </w:tcPr>
          <w:p w14:paraId="36ED3ED4">
            <w:pPr>
              <w:rPr>
                <w:rFonts w:ascii="Arial"/>
                <w:sz w:val="21"/>
              </w:rPr>
            </w:pPr>
          </w:p>
        </w:tc>
        <w:tc>
          <w:tcPr>
            <w:tcW w:w="3202" w:type="dxa"/>
            <w:vMerge w:val="continue"/>
            <w:tcBorders>
              <w:top w:val="nil"/>
              <w:bottom w:val="nil"/>
            </w:tcBorders>
            <w:vAlign w:val="top"/>
          </w:tcPr>
          <w:p w14:paraId="5AD5D783">
            <w:pPr>
              <w:rPr>
                <w:rFonts w:ascii="Arial"/>
                <w:sz w:val="21"/>
              </w:rPr>
            </w:pPr>
          </w:p>
        </w:tc>
        <w:tc>
          <w:tcPr>
            <w:tcW w:w="2859" w:type="dxa"/>
            <w:vMerge w:val="continue"/>
            <w:tcBorders>
              <w:top w:val="nil"/>
              <w:bottom w:val="nil"/>
            </w:tcBorders>
            <w:vAlign w:val="top"/>
          </w:tcPr>
          <w:p w14:paraId="3F3F7E30">
            <w:pPr>
              <w:rPr>
                <w:rFonts w:ascii="Arial"/>
                <w:sz w:val="21"/>
              </w:rPr>
            </w:pPr>
          </w:p>
        </w:tc>
        <w:tc>
          <w:tcPr>
            <w:tcW w:w="803" w:type="dxa"/>
            <w:vAlign w:val="top"/>
          </w:tcPr>
          <w:p w14:paraId="54CA47F0">
            <w:pPr>
              <w:spacing w:line="416" w:lineRule="auto"/>
              <w:rPr>
                <w:rFonts w:ascii="Arial"/>
                <w:sz w:val="21"/>
              </w:rPr>
            </w:pPr>
          </w:p>
          <w:p w14:paraId="5AD0D791">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5EE34D4">
            <w:pPr>
              <w:pStyle w:val="6"/>
              <w:spacing w:before="296" w:line="197" w:lineRule="auto"/>
              <w:ind w:left="122" w:right="106" w:hanging="5"/>
            </w:pPr>
            <w:r>
              <w:rPr>
                <w:spacing w:val="11"/>
              </w:rPr>
              <w:t>违法所得</w:t>
            </w:r>
            <w:r>
              <w:rPr>
                <w:rFonts w:ascii="宋体" w:hAnsi="宋体" w:eastAsia="宋体" w:cs="宋体"/>
                <w:spacing w:val="11"/>
              </w:rPr>
              <w:t>1</w:t>
            </w:r>
            <w:r>
              <w:rPr>
                <w:spacing w:val="11"/>
              </w:rPr>
              <w:t>万元以</w:t>
            </w:r>
            <w:r>
              <w:t>下的</w:t>
            </w:r>
          </w:p>
        </w:tc>
        <w:tc>
          <w:tcPr>
            <w:tcW w:w="2894" w:type="dxa"/>
            <w:vAlign w:val="top"/>
          </w:tcPr>
          <w:p w14:paraId="17F81A19">
            <w:pPr>
              <w:pStyle w:val="6"/>
              <w:spacing w:before="150" w:line="191" w:lineRule="auto"/>
              <w:ind w:left="119" w:right="106" w:firstLine="8"/>
              <w:jc w:val="both"/>
            </w:pPr>
            <w:r>
              <w:rPr>
                <w:spacing w:val="7"/>
              </w:rPr>
              <w:t>责令停止违法活动，没收</w:t>
            </w:r>
            <w:r>
              <w:rPr>
                <w:spacing w:val="2"/>
              </w:rPr>
              <w:t>违法所得，并处</w:t>
            </w:r>
            <w:r>
              <w:rPr>
                <w:rFonts w:ascii="宋体" w:hAnsi="宋体" w:eastAsia="宋体" w:cs="宋体"/>
                <w:spacing w:val="2"/>
              </w:rPr>
              <w:t>1</w:t>
            </w:r>
            <w:r>
              <w:rPr>
                <w:spacing w:val="2"/>
              </w:rPr>
              <w:t>万元以</w:t>
            </w:r>
            <w:r>
              <w:rPr>
                <w:spacing w:val="3"/>
              </w:rPr>
              <w:t>上</w:t>
            </w:r>
            <w:r>
              <w:rPr>
                <w:rFonts w:ascii="宋体" w:hAnsi="宋体" w:eastAsia="宋体" w:cs="宋体"/>
                <w:spacing w:val="3"/>
              </w:rPr>
              <w:t>2</w:t>
            </w:r>
            <w:r>
              <w:rPr>
                <w:spacing w:val="3"/>
              </w:rPr>
              <w:t>万元以下的罚款</w:t>
            </w:r>
          </w:p>
        </w:tc>
        <w:tc>
          <w:tcPr>
            <w:tcW w:w="811" w:type="dxa"/>
            <w:vMerge w:val="continue"/>
            <w:tcBorders>
              <w:top w:val="nil"/>
              <w:bottom w:val="nil"/>
            </w:tcBorders>
            <w:vAlign w:val="top"/>
          </w:tcPr>
          <w:p w14:paraId="58A85D9E">
            <w:pPr>
              <w:rPr>
                <w:rFonts w:ascii="Arial"/>
                <w:sz w:val="21"/>
              </w:rPr>
            </w:pPr>
          </w:p>
        </w:tc>
      </w:tr>
      <w:tr w14:paraId="6E4C6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818" w:type="dxa"/>
            <w:vMerge w:val="continue"/>
            <w:tcBorders>
              <w:top w:val="nil"/>
            </w:tcBorders>
            <w:vAlign w:val="top"/>
          </w:tcPr>
          <w:p w14:paraId="3036FB0C">
            <w:pPr>
              <w:rPr>
                <w:rFonts w:ascii="Arial"/>
                <w:sz w:val="21"/>
              </w:rPr>
            </w:pPr>
          </w:p>
        </w:tc>
        <w:tc>
          <w:tcPr>
            <w:tcW w:w="1440" w:type="dxa"/>
            <w:vMerge w:val="continue"/>
            <w:tcBorders>
              <w:top w:val="nil"/>
            </w:tcBorders>
            <w:vAlign w:val="top"/>
          </w:tcPr>
          <w:p w14:paraId="6E9A242D">
            <w:pPr>
              <w:rPr>
                <w:rFonts w:ascii="Arial"/>
                <w:sz w:val="21"/>
              </w:rPr>
            </w:pPr>
          </w:p>
        </w:tc>
        <w:tc>
          <w:tcPr>
            <w:tcW w:w="3202" w:type="dxa"/>
            <w:vMerge w:val="continue"/>
            <w:tcBorders>
              <w:top w:val="nil"/>
            </w:tcBorders>
            <w:vAlign w:val="top"/>
          </w:tcPr>
          <w:p w14:paraId="7FE2F365">
            <w:pPr>
              <w:rPr>
                <w:rFonts w:ascii="Arial"/>
                <w:sz w:val="21"/>
              </w:rPr>
            </w:pPr>
          </w:p>
        </w:tc>
        <w:tc>
          <w:tcPr>
            <w:tcW w:w="2859" w:type="dxa"/>
            <w:vMerge w:val="continue"/>
            <w:tcBorders>
              <w:top w:val="nil"/>
            </w:tcBorders>
            <w:vAlign w:val="top"/>
          </w:tcPr>
          <w:p w14:paraId="0C833472">
            <w:pPr>
              <w:rPr>
                <w:rFonts w:ascii="Arial"/>
                <w:sz w:val="21"/>
              </w:rPr>
            </w:pPr>
          </w:p>
        </w:tc>
        <w:tc>
          <w:tcPr>
            <w:tcW w:w="803" w:type="dxa"/>
            <w:vAlign w:val="top"/>
          </w:tcPr>
          <w:p w14:paraId="431502A6">
            <w:pPr>
              <w:spacing w:line="451" w:lineRule="auto"/>
              <w:rPr>
                <w:rFonts w:ascii="Arial"/>
                <w:sz w:val="21"/>
              </w:rPr>
            </w:pPr>
          </w:p>
          <w:p w14:paraId="30499418">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F490F0D">
            <w:pPr>
              <w:pStyle w:val="6"/>
              <w:spacing w:before="335" w:line="197" w:lineRule="auto"/>
              <w:ind w:left="122" w:right="106" w:hanging="5"/>
            </w:pPr>
            <w:r>
              <w:rPr>
                <w:spacing w:val="11"/>
              </w:rPr>
              <w:t>违法所得</w:t>
            </w:r>
            <w:r>
              <w:rPr>
                <w:rFonts w:ascii="宋体" w:hAnsi="宋体" w:eastAsia="宋体" w:cs="宋体"/>
                <w:spacing w:val="11"/>
              </w:rPr>
              <w:t>1</w:t>
            </w:r>
            <w:r>
              <w:rPr>
                <w:spacing w:val="11"/>
              </w:rPr>
              <w:t>万元以</w:t>
            </w:r>
            <w:r>
              <w:t>上的</w:t>
            </w:r>
          </w:p>
        </w:tc>
        <w:tc>
          <w:tcPr>
            <w:tcW w:w="2894" w:type="dxa"/>
            <w:vAlign w:val="top"/>
          </w:tcPr>
          <w:p w14:paraId="59FDA370">
            <w:pPr>
              <w:pStyle w:val="6"/>
              <w:spacing w:before="184" w:line="191" w:lineRule="auto"/>
              <w:ind w:left="119" w:right="106" w:firstLine="8"/>
              <w:jc w:val="both"/>
            </w:pPr>
            <w:r>
              <w:rPr>
                <w:spacing w:val="7"/>
              </w:rPr>
              <w:t>责令停止违法活动，没收</w:t>
            </w:r>
            <w:r>
              <w:rPr>
                <w:spacing w:val="4"/>
              </w:rPr>
              <w:t>违法所得，并处</w:t>
            </w:r>
            <w:r>
              <w:rPr>
                <w:rFonts w:ascii="宋体" w:hAnsi="宋体" w:eastAsia="宋体" w:cs="宋体"/>
                <w:spacing w:val="4"/>
              </w:rPr>
              <w:t>2</w:t>
            </w:r>
            <w:r>
              <w:rPr>
                <w:spacing w:val="4"/>
              </w:rPr>
              <w:t>万元以</w:t>
            </w:r>
            <w:r>
              <w:rPr>
                <w:spacing w:val="3"/>
              </w:rPr>
              <w:t>上</w:t>
            </w:r>
            <w:r>
              <w:rPr>
                <w:rFonts w:ascii="宋体" w:hAnsi="宋体" w:eastAsia="宋体" w:cs="宋体"/>
                <w:spacing w:val="3"/>
              </w:rPr>
              <w:t>3</w:t>
            </w:r>
            <w:r>
              <w:rPr>
                <w:spacing w:val="3"/>
              </w:rPr>
              <w:t>万元以下的罚款</w:t>
            </w:r>
          </w:p>
        </w:tc>
        <w:tc>
          <w:tcPr>
            <w:tcW w:w="811" w:type="dxa"/>
            <w:vMerge w:val="continue"/>
            <w:tcBorders>
              <w:top w:val="nil"/>
            </w:tcBorders>
            <w:vAlign w:val="top"/>
          </w:tcPr>
          <w:p w14:paraId="19C646A7">
            <w:pPr>
              <w:rPr>
                <w:rFonts w:ascii="Arial"/>
                <w:sz w:val="21"/>
              </w:rPr>
            </w:pPr>
          </w:p>
        </w:tc>
      </w:tr>
      <w:tr w14:paraId="5EB54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8" w:hRule="atLeast"/>
        </w:trPr>
        <w:tc>
          <w:tcPr>
            <w:tcW w:w="818" w:type="dxa"/>
            <w:vAlign w:val="top"/>
          </w:tcPr>
          <w:p w14:paraId="4D2987A1">
            <w:pPr>
              <w:spacing w:line="351" w:lineRule="auto"/>
              <w:rPr>
                <w:rFonts w:ascii="Arial"/>
                <w:sz w:val="21"/>
              </w:rPr>
            </w:pPr>
          </w:p>
          <w:p w14:paraId="5E7DEFA9">
            <w:pPr>
              <w:spacing w:line="351" w:lineRule="auto"/>
              <w:rPr>
                <w:rFonts w:ascii="Arial"/>
                <w:sz w:val="21"/>
              </w:rPr>
            </w:pPr>
          </w:p>
          <w:p w14:paraId="13B8F04A">
            <w:pPr>
              <w:spacing w:before="75" w:line="185" w:lineRule="auto"/>
              <w:ind w:left="236"/>
              <w:rPr>
                <w:rFonts w:ascii="仿宋" w:hAnsi="仿宋" w:eastAsia="仿宋" w:cs="仿宋"/>
                <w:sz w:val="23"/>
                <w:szCs w:val="23"/>
              </w:rPr>
            </w:pPr>
            <w:r>
              <w:rPr>
                <w:rFonts w:ascii="仿宋" w:hAnsi="仿宋" w:eastAsia="仿宋" w:cs="仿宋"/>
                <w:spacing w:val="-2"/>
                <w:sz w:val="23"/>
                <w:szCs w:val="23"/>
              </w:rPr>
              <w:t>62</w:t>
            </w:r>
          </w:p>
        </w:tc>
        <w:tc>
          <w:tcPr>
            <w:tcW w:w="1440" w:type="dxa"/>
            <w:vAlign w:val="top"/>
          </w:tcPr>
          <w:p w14:paraId="13E5E03D">
            <w:pPr>
              <w:pStyle w:val="6"/>
              <w:spacing w:before="130" w:line="188" w:lineRule="auto"/>
              <w:ind w:left="114" w:right="111" w:firstLine="4"/>
              <w:jc w:val="both"/>
            </w:pPr>
            <w:r>
              <w:rPr>
                <w:spacing w:val="10"/>
              </w:rPr>
              <w:t>注册安全工</w:t>
            </w:r>
            <w:r>
              <w:rPr>
                <w:spacing w:val="-11"/>
              </w:rPr>
              <w:t>程师以欺</w:t>
            </w:r>
            <w:r>
              <w:rPr>
                <w:spacing w:val="11"/>
              </w:rPr>
              <w:t>骗、贿赂等不正当手段取得执业证</w:t>
            </w:r>
          </w:p>
        </w:tc>
        <w:tc>
          <w:tcPr>
            <w:tcW w:w="3202" w:type="dxa"/>
            <w:vAlign w:val="top"/>
          </w:tcPr>
          <w:p w14:paraId="0AC271F8">
            <w:pPr>
              <w:pStyle w:val="6"/>
              <w:spacing w:before="31" w:line="188" w:lineRule="auto"/>
              <w:ind w:left="121" w:right="111" w:hanging="23"/>
            </w:pPr>
            <w:r>
              <w:rPr>
                <w:spacing w:val="18"/>
              </w:rPr>
              <w:t>【部门规章】《注册安全工</w:t>
            </w:r>
            <w:r>
              <w:rPr>
                <w:spacing w:val="13"/>
              </w:rPr>
              <w:t>程师管理规定》第四条：注</w:t>
            </w:r>
            <w:r>
              <w:rPr>
                <w:spacing w:val="17"/>
              </w:rPr>
              <w:t>册安全工程师应当严格执行</w:t>
            </w:r>
            <w:r>
              <w:rPr>
                <w:spacing w:val="12"/>
              </w:rPr>
              <w:t>国家法律、法规和本规定，</w:t>
            </w:r>
            <w:r>
              <w:rPr>
                <w:spacing w:val="5"/>
              </w:rPr>
              <w:t>恪守职业道德和执业准则。</w:t>
            </w:r>
          </w:p>
        </w:tc>
        <w:tc>
          <w:tcPr>
            <w:tcW w:w="2859" w:type="dxa"/>
            <w:vAlign w:val="top"/>
          </w:tcPr>
          <w:p w14:paraId="5E0622C0">
            <w:pPr>
              <w:pStyle w:val="6"/>
              <w:spacing w:before="30" w:line="188" w:lineRule="auto"/>
              <w:ind w:left="115" w:right="110" w:hanging="18"/>
              <w:jc w:val="both"/>
            </w:pPr>
            <w:r>
              <w:rPr>
                <w:spacing w:val="10"/>
              </w:rPr>
              <w:t>【部门规章】《注册安全</w:t>
            </w:r>
            <w:r>
              <w:rPr>
                <w:spacing w:val="8"/>
              </w:rPr>
              <w:t>工程师管理规定》第三十一条：注册安全工程师以欺骗、贿赂等不正当手段取得执业证的，由县级以</w:t>
            </w:r>
          </w:p>
        </w:tc>
        <w:tc>
          <w:tcPr>
            <w:tcW w:w="803" w:type="dxa"/>
            <w:vAlign w:val="top"/>
          </w:tcPr>
          <w:p w14:paraId="2C5A9492">
            <w:pPr>
              <w:spacing w:line="348" w:lineRule="auto"/>
              <w:rPr>
                <w:rFonts w:ascii="Arial"/>
                <w:sz w:val="21"/>
              </w:rPr>
            </w:pPr>
          </w:p>
          <w:p w14:paraId="0CFBB17A">
            <w:pPr>
              <w:spacing w:line="348" w:lineRule="auto"/>
              <w:rPr>
                <w:rFonts w:ascii="Arial"/>
                <w:sz w:val="21"/>
              </w:rPr>
            </w:pPr>
          </w:p>
          <w:p w14:paraId="74C96AC1">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F63DEC4">
            <w:pPr>
              <w:spacing w:line="315" w:lineRule="auto"/>
              <w:rPr>
                <w:rFonts w:ascii="Arial"/>
                <w:sz w:val="21"/>
              </w:rPr>
            </w:pPr>
          </w:p>
          <w:p w14:paraId="48A61491">
            <w:pPr>
              <w:spacing w:line="315" w:lineRule="auto"/>
              <w:rPr>
                <w:rFonts w:ascii="Arial"/>
                <w:sz w:val="21"/>
              </w:rPr>
            </w:pPr>
          </w:p>
          <w:p w14:paraId="497C0E87">
            <w:pPr>
              <w:pStyle w:val="6"/>
              <w:spacing w:before="98" w:line="209" w:lineRule="auto"/>
              <w:ind w:left="146"/>
            </w:pPr>
            <w:r>
              <w:rPr>
                <w:spacing w:val="1"/>
              </w:rPr>
              <w:t>尚未执业的</w:t>
            </w:r>
          </w:p>
        </w:tc>
        <w:tc>
          <w:tcPr>
            <w:tcW w:w="2894" w:type="dxa"/>
            <w:vAlign w:val="top"/>
          </w:tcPr>
          <w:p w14:paraId="761712B0">
            <w:pPr>
              <w:pStyle w:val="6"/>
              <w:spacing w:before="283" w:line="189" w:lineRule="auto"/>
              <w:ind w:left="119" w:right="108"/>
              <w:jc w:val="both"/>
            </w:pPr>
            <w:r>
              <w:rPr>
                <w:spacing w:val="-1"/>
              </w:rPr>
              <w:t>处</w:t>
            </w:r>
            <w:r>
              <w:rPr>
                <w:rFonts w:ascii="宋体" w:hAnsi="宋体" w:eastAsia="宋体" w:cs="宋体"/>
                <w:spacing w:val="-1"/>
              </w:rPr>
              <w:t>1</w:t>
            </w:r>
            <w:r>
              <w:rPr>
                <w:spacing w:val="-1"/>
              </w:rPr>
              <w:t>万元以下的罚款，由</w:t>
            </w:r>
            <w:r>
              <w:rPr>
                <w:spacing w:val="11"/>
              </w:rPr>
              <w:t>执业证颁发机关撤销其注</w:t>
            </w:r>
            <w:r>
              <w:rPr>
                <w:spacing w:val="5"/>
              </w:rPr>
              <w:t>册，当事人三年内不得再</w:t>
            </w:r>
            <w:r>
              <w:rPr>
                <w:spacing w:val="6"/>
              </w:rPr>
              <w:t>次申请注册</w:t>
            </w:r>
          </w:p>
        </w:tc>
        <w:tc>
          <w:tcPr>
            <w:tcW w:w="811" w:type="dxa"/>
            <w:vAlign w:val="top"/>
          </w:tcPr>
          <w:p w14:paraId="0350E3FB">
            <w:pPr>
              <w:spacing w:line="349" w:lineRule="auto"/>
              <w:rPr>
                <w:rFonts w:ascii="Arial"/>
                <w:sz w:val="21"/>
              </w:rPr>
            </w:pPr>
          </w:p>
          <w:p w14:paraId="45DA4DE8">
            <w:pPr>
              <w:spacing w:line="349" w:lineRule="auto"/>
              <w:rPr>
                <w:rFonts w:ascii="Arial"/>
                <w:sz w:val="21"/>
              </w:rPr>
            </w:pPr>
          </w:p>
          <w:p w14:paraId="70486944">
            <w:pPr>
              <w:spacing w:before="75" w:line="188" w:lineRule="auto"/>
              <w:ind w:left="290"/>
              <w:rPr>
                <w:rFonts w:ascii="宋体" w:hAnsi="宋体" w:eastAsia="宋体" w:cs="宋体"/>
                <w:sz w:val="23"/>
                <w:szCs w:val="23"/>
              </w:rPr>
            </w:pPr>
            <w:r>
              <w:rPr>
                <w:rFonts w:ascii="宋体" w:hAnsi="宋体" w:eastAsia="宋体" w:cs="宋体"/>
                <w:spacing w:val="-1"/>
                <w:sz w:val="23"/>
                <w:szCs w:val="23"/>
              </w:rPr>
              <w:t>49</w:t>
            </w:r>
          </w:p>
        </w:tc>
      </w:tr>
    </w:tbl>
    <w:p w14:paraId="793C734D">
      <w:pPr>
        <w:spacing w:before="138" w:line="168" w:lineRule="auto"/>
        <w:ind w:left="13683"/>
        <w:rPr>
          <w:rFonts w:ascii="宋体" w:hAnsi="宋体" w:eastAsia="宋体" w:cs="宋体"/>
          <w:sz w:val="28"/>
          <w:szCs w:val="28"/>
        </w:rPr>
      </w:pPr>
      <w:r>
        <w:rPr>
          <w:rFonts w:ascii="宋体" w:hAnsi="宋体" w:eastAsia="宋体" w:cs="宋体"/>
          <w:spacing w:val="-4"/>
          <w:sz w:val="28"/>
          <w:szCs w:val="28"/>
        </w:rPr>
        <w:t>—77—</w:t>
      </w:r>
    </w:p>
    <w:p w14:paraId="63DB9A25">
      <w:pPr>
        <w:spacing w:line="168" w:lineRule="auto"/>
        <w:rPr>
          <w:rFonts w:ascii="宋体" w:hAnsi="宋体" w:eastAsia="宋体" w:cs="宋体"/>
          <w:sz w:val="28"/>
          <w:szCs w:val="28"/>
        </w:rPr>
        <w:sectPr>
          <w:footerReference r:id="rId78" w:type="default"/>
          <w:pgSz w:w="16839" w:h="11906"/>
          <w:pgMar w:top="1012" w:right="821" w:bottom="400" w:left="901" w:header="0" w:footer="0" w:gutter="0"/>
          <w:cols w:space="720" w:num="1"/>
        </w:sectPr>
      </w:pPr>
    </w:p>
    <w:p w14:paraId="1BA7375C">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C940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1A6155F">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2C3E1136">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D85BD84">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35FEE6D">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8E2FDA4">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EC943CD">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88FF419">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CB73F95">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C0FA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3" w:hRule="atLeast"/>
        </w:trPr>
        <w:tc>
          <w:tcPr>
            <w:tcW w:w="818" w:type="dxa"/>
            <w:vMerge w:val="restart"/>
            <w:tcBorders>
              <w:bottom w:val="nil"/>
            </w:tcBorders>
            <w:vAlign w:val="top"/>
          </w:tcPr>
          <w:p w14:paraId="439D2E20">
            <w:pPr>
              <w:rPr>
                <w:rFonts w:ascii="Arial"/>
                <w:sz w:val="21"/>
              </w:rPr>
            </w:pPr>
          </w:p>
        </w:tc>
        <w:tc>
          <w:tcPr>
            <w:tcW w:w="1440" w:type="dxa"/>
            <w:vMerge w:val="restart"/>
            <w:tcBorders>
              <w:bottom w:val="nil"/>
            </w:tcBorders>
            <w:vAlign w:val="top"/>
          </w:tcPr>
          <w:p w14:paraId="318B2C87">
            <w:pPr>
              <w:pStyle w:val="6"/>
              <w:spacing w:before="27" w:line="212" w:lineRule="auto"/>
              <w:ind w:left="137"/>
            </w:pPr>
            <w:r>
              <w:t>的</w:t>
            </w:r>
          </w:p>
        </w:tc>
        <w:tc>
          <w:tcPr>
            <w:tcW w:w="3202" w:type="dxa"/>
            <w:vMerge w:val="restart"/>
            <w:tcBorders>
              <w:bottom w:val="nil"/>
            </w:tcBorders>
            <w:vAlign w:val="top"/>
          </w:tcPr>
          <w:p w14:paraId="2527FAA0">
            <w:pPr>
              <w:pStyle w:val="6"/>
              <w:spacing w:before="29" w:line="182" w:lineRule="auto"/>
              <w:ind w:left="129" w:right="111" w:hanging="1"/>
            </w:pPr>
            <w:r>
              <w:rPr>
                <w:spacing w:val="12"/>
              </w:rPr>
              <w:t>第十条第一项：取得资格证书的人员申请注册，按照下</w:t>
            </w:r>
          </w:p>
          <w:p w14:paraId="298E75F9">
            <w:pPr>
              <w:pStyle w:val="6"/>
              <w:spacing w:line="182" w:lineRule="auto"/>
              <w:ind w:left="127"/>
              <w:outlineLvl w:val="0"/>
            </w:pPr>
            <w:bookmarkStart w:id="462" w:name="bookmark131"/>
            <w:bookmarkEnd w:id="462"/>
            <w:r>
              <w:rPr>
                <w:spacing w:val="1"/>
              </w:rPr>
              <w:t>列程序办理</w:t>
            </w:r>
            <w:r>
              <w:rPr>
                <w:spacing w:val="-10"/>
              </w:rPr>
              <w:t>：（</w:t>
            </w:r>
            <w:r>
              <w:rPr>
                <w:spacing w:val="1"/>
              </w:rPr>
              <w:t>一）申请人</w:t>
            </w:r>
          </w:p>
          <w:p w14:paraId="49E0104E">
            <w:pPr>
              <w:pStyle w:val="6"/>
              <w:spacing w:before="9" w:line="180" w:lineRule="auto"/>
              <w:ind w:left="116" w:right="40" w:firstLine="34"/>
            </w:pPr>
            <w:r>
              <w:rPr>
                <w:spacing w:val="10"/>
              </w:rPr>
              <w:t>向聘用单位提出申请，聘用</w:t>
            </w:r>
            <w:r>
              <w:rPr>
                <w:spacing w:val="13"/>
              </w:rPr>
              <w:t>单位同意后，将申请人按本</w:t>
            </w:r>
            <w:r>
              <w:rPr>
                <w:spacing w:val="15"/>
              </w:rPr>
              <w:t>规定第十一条、第十三条、</w:t>
            </w:r>
            <w:r>
              <w:rPr>
                <w:spacing w:val="17"/>
              </w:rPr>
              <w:t>第十四条规定的申请材料报</w:t>
            </w:r>
            <w:r>
              <w:rPr>
                <w:spacing w:val="10"/>
              </w:rPr>
              <w:t>送部门、省级注册机构；中</w:t>
            </w:r>
            <w:r>
              <w:rPr>
                <w:spacing w:val="17"/>
              </w:rPr>
              <w:t>央企业总公司（总厂、集团</w:t>
            </w:r>
            <w:r>
              <w:rPr>
                <w:spacing w:val="3"/>
              </w:rPr>
              <w:t>公司）经安全监管总局认可，</w:t>
            </w:r>
            <w:r>
              <w:rPr>
                <w:spacing w:val="17"/>
              </w:rPr>
              <w:t>可以将本企业申请人的申请</w:t>
            </w:r>
            <w:r>
              <w:rPr>
                <w:spacing w:val="39"/>
              </w:rPr>
              <w:t>材料直接报送安全监管总</w:t>
            </w:r>
            <w:r>
              <w:rPr>
                <w:spacing w:val="10"/>
              </w:rPr>
              <w:t>局；申请人和聘用单位应当</w:t>
            </w:r>
            <w:r>
              <w:rPr>
                <w:spacing w:val="4"/>
              </w:rPr>
              <w:t>对申请材料的真实性负责；</w:t>
            </w:r>
          </w:p>
        </w:tc>
        <w:tc>
          <w:tcPr>
            <w:tcW w:w="2859" w:type="dxa"/>
            <w:vMerge w:val="restart"/>
            <w:tcBorders>
              <w:bottom w:val="nil"/>
            </w:tcBorders>
            <w:vAlign w:val="top"/>
          </w:tcPr>
          <w:p w14:paraId="0526D3C6">
            <w:pPr>
              <w:pStyle w:val="6"/>
              <w:spacing w:before="31" w:line="186" w:lineRule="auto"/>
              <w:ind w:left="118" w:right="110" w:firstLine="4"/>
              <w:jc w:val="both"/>
            </w:pPr>
            <w:r>
              <w:rPr>
                <w:spacing w:val="32"/>
              </w:rPr>
              <w:t>上安全生产监督管理部</w:t>
            </w:r>
            <w:r>
              <w:rPr>
                <w:spacing w:val="8"/>
              </w:rPr>
              <w:t>门、有关主管部门或者煤矿安全监察机构处三万元以下的罚款；由执业证颁发机关撤销其注册，当事人三年内不得再次申请注</w:t>
            </w:r>
            <w:r>
              <w:rPr>
                <w:spacing w:val="-7"/>
              </w:rPr>
              <w:t>册。</w:t>
            </w:r>
          </w:p>
        </w:tc>
        <w:tc>
          <w:tcPr>
            <w:tcW w:w="803" w:type="dxa"/>
            <w:vAlign w:val="top"/>
          </w:tcPr>
          <w:p w14:paraId="6E93A3F4">
            <w:pPr>
              <w:spacing w:line="276" w:lineRule="auto"/>
              <w:rPr>
                <w:rFonts w:ascii="Arial"/>
                <w:sz w:val="21"/>
              </w:rPr>
            </w:pPr>
          </w:p>
          <w:p w14:paraId="1CECDAB1">
            <w:pPr>
              <w:spacing w:line="276" w:lineRule="auto"/>
              <w:rPr>
                <w:rFonts w:ascii="Arial"/>
                <w:sz w:val="21"/>
              </w:rPr>
            </w:pPr>
          </w:p>
          <w:p w14:paraId="1982293A">
            <w:pPr>
              <w:spacing w:line="276" w:lineRule="auto"/>
              <w:rPr>
                <w:rFonts w:ascii="Arial"/>
                <w:sz w:val="21"/>
              </w:rPr>
            </w:pPr>
          </w:p>
          <w:p w14:paraId="1A4A0F5E">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436D7D6">
            <w:pPr>
              <w:spacing w:line="253" w:lineRule="auto"/>
              <w:rPr>
                <w:rFonts w:ascii="Arial"/>
                <w:sz w:val="21"/>
              </w:rPr>
            </w:pPr>
          </w:p>
          <w:p w14:paraId="7F706DCB">
            <w:pPr>
              <w:spacing w:line="253" w:lineRule="auto"/>
              <w:rPr>
                <w:rFonts w:ascii="Arial"/>
                <w:sz w:val="21"/>
              </w:rPr>
            </w:pPr>
          </w:p>
          <w:p w14:paraId="47A6EE8C">
            <w:pPr>
              <w:spacing w:line="254" w:lineRule="auto"/>
              <w:rPr>
                <w:rFonts w:ascii="Arial"/>
                <w:sz w:val="21"/>
              </w:rPr>
            </w:pPr>
          </w:p>
          <w:p w14:paraId="17A9FEDF">
            <w:pPr>
              <w:pStyle w:val="6"/>
              <w:spacing w:before="98" w:line="209" w:lineRule="auto"/>
              <w:ind w:left="118"/>
            </w:pPr>
            <w:r>
              <w:rPr>
                <w:spacing w:val="-4"/>
              </w:rPr>
              <w:t>执业</w:t>
            </w:r>
            <w:r>
              <w:rPr>
                <w:rFonts w:ascii="宋体" w:hAnsi="宋体" w:eastAsia="宋体" w:cs="宋体"/>
                <w:spacing w:val="-4"/>
              </w:rPr>
              <w:t>1</w:t>
            </w:r>
            <w:r>
              <w:rPr>
                <w:spacing w:val="-4"/>
              </w:rPr>
              <w:t>次的</w:t>
            </w:r>
          </w:p>
        </w:tc>
        <w:tc>
          <w:tcPr>
            <w:tcW w:w="2894" w:type="dxa"/>
            <w:vAlign w:val="top"/>
          </w:tcPr>
          <w:p w14:paraId="6F53D701">
            <w:pPr>
              <w:spacing w:line="312" w:lineRule="auto"/>
              <w:rPr>
                <w:rFonts w:ascii="Arial"/>
                <w:sz w:val="21"/>
              </w:rPr>
            </w:pPr>
          </w:p>
          <w:p w14:paraId="1F49EB12">
            <w:pPr>
              <w:pStyle w:val="6"/>
              <w:spacing w:before="98" w:line="189" w:lineRule="auto"/>
              <w:ind w:left="119" w:right="106"/>
              <w:jc w:val="both"/>
            </w:pPr>
            <w:r>
              <w:rPr>
                <w:spacing w:val="2"/>
              </w:rPr>
              <w:t>处</w:t>
            </w:r>
            <w:r>
              <w:rPr>
                <w:rFonts w:ascii="宋体" w:hAnsi="宋体" w:eastAsia="宋体" w:cs="宋体"/>
                <w:spacing w:val="2"/>
              </w:rPr>
              <w:t>1</w:t>
            </w:r>
            <w:r>
              <w:rPr>
                <w:spacing w:val="2"/>
              </w:rPr>
              <w:t>万元以上</w:t>
            </w:r>
            <w:r>
              <w:rPr>
                <w:rFonts w:ascii="宋体" w:hAnsi="宋体" w:eastAsia="宋体" w:cs="宋体"/>
                <w:spacing w:val="2"/>
              </w:rPr>
              <w:t>2</w:t>
            </w:r>
            <w:r>
              <w:rPr>
                <w:spacing w:val="2"/>
              </w:rPr>
              <w:t>万元以下</w:t>
            </w:r>
            <w:r>
              <w:rPr>
                <w:spacing w:val="5"/>
              </w:rPr>
              <w:t>的罚款，由执业证颁发机关撤销其注册，当事人三</w:t>
            </w:r>
            <w:r>
              <w:rPr>
                <w:spacing w:val="8"/>
              </w:rPr>
              <w:t>年内不得再次申请注册</w:t>
            </w:r>
          </w:p>
        </w:tc>
        <w:tc>
          <w:tcPr>
            <w:tcW w:w="811" w:type="dxa"/>
            <w:vMerge w:val="restart"/>
            <w:tcBorders>
              <w:bottom w:val="nil"/>
            </w:tcBorders>
            <w:vAlign w:val="top"/>
          </w:tcPr>
          <w:p w14:paraId="1A728587">
            <w:pPr>
              <w:rPr>
                <w:rFonts w:ascii="Arial"/>
                <w:sz w:val="21"/>
              </w:rPr>
            </w:pPr>
          </w:p>
        </w:tc>
      </w:tr>
      <w:tr w14:paraId="607D3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5" w:hRule="atLeast"/>
        </w:trPr>
        <w:tc>
          <w:tcPr>
            <w:tcW w:w="818" w:type="dxa"/>
            <w:vMerge w:val="continue"/>
            <w:tcBorders>
              <w:top w:val="nil"/>
            </w:tcBorders>
            <w:vAlign w:val="top"/>
          </w:tcPr>
          <w:p w14:paraId="7E05E5F9">
            <w:pPr>
              <w:rPr>
                <w:rFonts w:ascii="Arial"/>
                <w:sz w:val="21"/>
              </w:rPr>
            </w:pPr>
          </w:p>
        </w:tc>
        <w:tc>
          <w:tcPr>
            <w:tcW w:w="1440" w:type="dxa"/>
            <w:vMerge w:val="continue"/>
            <w:tcBorders>
              <w:top w:val="nil"/>
            </w:tcBorders>
            <w:vAlign w:val="top"/>
          </w:tcPr>
          <w:p w14:paraId="40BA48E2">
            <w:pPr>
              <w:rPr>
                <w:rFonts w:ascii="Arial"/>
                <w:sz w:val="21"/>
              </w:rPr>
            </w:pPr>
          </w:p>
        </w:tc>
        <w:tc>
          <w:tcPr>
            <w:tcW w:w="3202" w:type="dxa"/>
            <w:vMerge w:val="continue"/>
            <w:tcBorders>
              <w:top w:val="nil"/>
            </w:tcBorders>
            <w:vAlign w:val="top"/>
          </w:tcPr>
          <w:p w14:paraId="0CEB304C">
            <w:pPr>
              <w:rPr>
                <w:rFonts w:ascii="Arial"/>
                <w:sz w:val="21"/>
              </w:rPr>
            </w:pPr>
          </w:p>
        </w:tc>
        <w:tc>
          <w:tcPr>
            <w:tcW w:w="2859" w:type="dxa"/>
            <w:vMerge w:val="continue"/>
            <w:tcBorders>
              <w:top w:val="nil"/>
            </w:tcBorders>
            <w:vAlign w:val="top"/>
          </w:tcPr>
          <w:p w14:paraId="1B9824D8">
            <w:pPr>
              <w:rPr>
                <w:rFonts w:ascii="Arial"/>
                <w:sz w:val="21"/>
              </w:rPr>
            </w:pPr>
          </w:p>
        </w:tc>
        <w:tc>
          <w:tcPr>
            <w:tcW w:w="803" w:type="dxa"/>
            <w:vAlign w:val="top"/>
          </w:tcPr>
          <w:p w14:paraId="35D9B69D">
            <w:pPr>
              <w:spacing w:line="317" w:lineRule="auto"/>
              <w:rPr>
                <w:rFonts w:ascii="Arial"/>
                <w:sz w:val="21"/>
              </w:rPr>
            </w:pPr>
          </w:p>
          <w:p w14:paraId="54DC08DD">
            <w:pPr>
              <w:spacing w:line="318" w:lineRule="auto"/>
              <w:rPr>
                <w:rFonts w:ascii="Arial"/>
                <w:sz w:val="21"/>
              </w:rPr>
            </w:pPr>
          </w:p>
          <w:p w14:paraId="39CF5D0B">
            <w:pPr>
              <w:spacing w:line="318" w:lineRule="auto"/>
              <w:rPr>
                <w:rFonts w:ascii="Arial"/>
                <w:sz w:val="21"/>
              </w:rPr>
            </w:pPr>
          </w:p>
          <w:p w14:paraId="1F7BDF64">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21BCFDCC">
            <w:pPr>
              <w:spacing w:line="295" w:lineRule="auto"/>
              <w:rPr>
                <w:rFonts w:ascii="Arial"/>
                <w:sz w:val="21"/>
              </w:rPr>
            </w:pPr>
          </w:p>
          <w:p w14:paraId="04ECC6AA">
            <w:pPr>
              <w:spacing w:line="295" w:lineRule="auto"/>
              <w:rPr>
                <w:rFonts w:ascii="Arial"/>
                <w:sz w:val="21"/>
              </w:rPr>
            </w:pPr>
          </w:p>
          <w:p w14:paraId="51ECDABC">
            <w:pPr>
              <w:spacing w:line="295" w:lineRule="auto"/>
              <w:rPr>
                <w:rFonts w:ascii="Arial"/>
                <w:sz w:val="21"/>
              </w:rPr>
            </w:pPr>
          </w:p>
          <w:p w14:paraId="1DC40255">
            <w:pPr>
              <w:pStyle w:val="6"/>
              <w:spacing w:before="99" w:line="209" w:lineRule="auto"/>
              <w:ind w:left="118"/>
            </w:pPr>
            <w:r>
              <w:rPr>
                <w:spacing w:val="2"/>
              </w:rPr>
              <w:t>执业</w:t>
            </w:r>
            <w:r>
              <w:rPr>
                <w:rFonts w:ascii="宋体" w:hAnsi="宋体" w:eastAsia="宋体" w:cs="宋体"/>
                <w:spacing w:val="2"/>
              </w:rPr>
              <w:t>2</w:t>
            </w:r>
            <w:r>
              <w:rPr>
                <w:spacing w:val="2"/>
              </w:rPr>
              <w:t>次以上的</w:t>
            </w:r>
          </w:p>
        </w:tc>
        <w:tc>
          <w:tcPr>
            <w:tcW w:w="2894" w:type="dxa"/>
            <w:vAlign w:val="top"/>
          </w:tcPr>
          <w:p w14:paraId="6CB53EEA">
            <w:pPr>
              <w:spacing w:line="438" w:lineRule="auto"/>
              <w:rPr>
                <w:rFonts w:ascii="Arial"/>
                <w:sz w:val="21"/>
              </w:rPr>
            </w:pPr>
          </w:p>
          <w:p w14:paraId="10456F03">
            <w:pPr>
              <w:pStyle w:val="6"/>
              <w:spacing w:before="98" w:line="189" w:lineRule="auto"/>
              <w:ind w:left="119" w:right="106"/>
              <w:jc w:val="both"/>
            </w:pPr>
            <w:r>
              <w:rPr>
                <w:spacing w:val="3"/>
              </w:rPr>
              <w:t>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万元以下</w:t>
            </w:r>
            <w:r>
              <w:rPr>
                <w:spacing w:val="5"/>
              </w:rPr>
              <w:t>的罚款，由执业证颁发机关撤销其注册，当事人三</w:t>
            </w:r>
            <w:r>
              <w:rPr>
                <w:spacing w:val="8"/>
              </w:rPr>
              <w:t>年内不得再次申请注册</w:t>
            </w:r>
          </w:p>
        </w:tc>
        <w:tc>
          <w:tcPr>
            <w:tcW w:w="811" w:type="dxa"/>
            <w:vMerge w:val="continue"/>
            <w:tcBorders>
              <w:top w:val="nil"/>
            </w:tcBorders>
            <w:vAlign w:val="top"/>
          </w:tcPr>
          <w:p w14:paraId="271A944A">
            <w:pPr>
              <w:rPr>
                <w:rFonts w:ascii="Arial"/>
                <w:sz w:val="21"/>
              </w:rPr>
            </w:pPr>
          </w:p>
        </w:tc>
      </w:tr>
      <w:tr w14:paraId="4242B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0" w:hRule="atLeast"/>
        </w:trPr>
        <w:tc>
          <w:tcPr>
            <w:tcW w:w="818" w:type="dxa"/>
            <w:vMerge w:val="restart"/>
            <w:tcBorders>
              <w:bottom w:val="nil"/>
            </w:tcBorders>
            <w:vAlign w:val="top"/>
          </w:tcPr>
          <w:p w14:paraId="1EF1DF6F">
            <w:pPr>
              <w:spacing w:line="261" w:lineRule="auto"/>
              <w:rPr>
                <w:rFonts w:ascii="Arial"/>
                <w:sz w:val="21"/>
              </w:rPr>
            </w:pPr>
          </w:p>
          <w:p w14:paraId="34BF04DE">
            <w:pPr>
              <w:spacing w:line="261" w:lineRule="auto"/>
              <w:rPr>
                <w:rFonts w:ascii="Arial"/>
                <w:sz w:val="21"/>
              </w:rPr>
            </w:pPr>
          </w:p>
          <w:p w14:paraId="3E03316D">
            <w:pPr>
              <w:spacing w:line="261" w:lineRule="auto"/>
              <w:rPr>
                <w:rFonts w:ascii="Arial"/>
                <w:sz w:val="21"/>
              </w:rPr>
            </w:pPr>
          </w:p>
          <w:p w14:paraId="0A018610">
            <w:pPr>
              <w:spacing w:line="261" w:lineRule="auto"/>
              <w:rPr>
                <w:rFonts w:ascii="Arial"/>
                <w:sz w:val="21"/>
              </w:rPr>
            </w:pPr>
          </w:p>
          <w:p w14:paraId="349D4945">
            <w:pPr>
              <w:spacing w:line="261" w:lineRule="auto"/>
              <w:rPr>
                <w:rFonts w:ascii="Arial"/>
                <w:sz w:val="21"/>
              </w:rPr>
            </w:pPr>
          </w:p>
          <w:p w14:paraId="15531C33">
            <w:pPr>
              <w:spacing w:line="262" w:lineRule="auto"/>
              <w:rPr>
                <w:rFonts w:ascii="Arial"/>
                <w:sz w:val="21"/>
              </w:rPr>
            </w:pPr>
          </w:p>
          <w:p w14:paraId="64778F1D">
            <w:pPr>
              <w:spacing w:line="262" w:lineRule="auto"/>
              <w:rPr>
                <w:rFonts w:ascii="Arial"/>
                <w:sz w:val="21"/>
              </w:rPr>
            </w:pPr>
          </w:p>
          <w:p w14:paraId="0F334A24">
            <w:pPr>
              <w:spacing w:line="262" w:lineRule="auto"/>
              <w:rPr>
                <w:rFonts w:ascii="Arial"/>
                <w:sz w:val="21"/>
              </w:rPr>
            </w:pPr>
          </w:p>
          <w:p w14:paraId="408E1C1C">
            <w:pPr>
              <w:spacing w:before="75" w:line="185" w:lineRule="auto"/>
              <w:ind w:left="236"/>
              <w:rPr>
                <w:rFonts w:ascii="仿宋" w:hAnsi="仿宋" w:eastAsia="仿宋" w:cs="仿宋"/>
                <w:sz w:val="23"/>
                <w:szCs w:val="23"/>
              </w:rPr>
            </w:pPr>
            <w:r>
              <w:rPr>
                <w:rFonts w:ascii="仿宋" w:hAnsi="仿宋" w:eastAsia="仿宋" w:cs="仿宋"/>
                <w:spacing w:val="-2"/>
                <w:sz w:val="23"/>
                <w:szCs w:val="23"/>
              </w:rPr>
              <w:t>63</w:t>
            </w:r>
          </w:p>
        </w:tc>
        <w:tc>
          <w:tcPr>
            <w:tcW w:w="1440" w:type="dxa"/>
            <w:vMerge w:val="restart"/>
            <w:tcBorders>
              <w:bottom w:val="nil"/>
            </w:tcBorders>
            <w:vAlign w:val="top"/>
          </w:tcPr>
          <w:p w14:paraId="78474A96">
            <w:pPr>
              <w:spacing w:line="284" w:lineRule="auto"/>
              <w:rPr>
                <w:rFonts w:ascii="Arial"/>
                <w:sz w:val="21"/>
              </w:rPr>
            </w:pPr>
          </w:p>
          <w:p w14:paraId="7B4132F4">
            <w:pPr>
              <w:spacing w:line="284" w:lineRule="auto"/>
              <w:rPr>
                <w:rFonts w:ascii="Arial"/>
                <w:sz w:val="21"/>
              </w:rPr>
            </w:pPr>
          </w:p>
          <w:p w14:paraId="3403B98D">
            <w:pPr>
              <w:spacing w:line="284" w:lineRule="auto"/>
              <w:rPr>
                <w:rFonts w:ascii="Arial"/>
                <w:sz w:val="21"/>
              </w:rPr>
            </w:pPr>
          </w:p>
          <w:p w14:paraId="635E869E">
            <w:pPr>
              <w:spacing w:line="284" w:lineRule="auto"/>
              <w:rPr>
                <w:rFonts w:ascii="Arial"/>
                <w:sz w:val="21"/>
              </w:rPr>
            </w:pPr>
          </w:p>
          <w:p w14:paraId="4EE2B3E8">
            <w:pPr>
              <w:spacing w:line="285" w:lineRule="auto"/>
              <w:rPr>
                <w:rFonts w:ascii="Arial"/>
                <w:sz w:val="21"/>
              </w:rPr>
            </w:pPr>
          </w:p>
          <w:p w14:paraId="42839987">
            <w:pPr>
              <w:pStyle w:val="6"/>
              <w:spacing w:before="98" w:line="188" w:lineRule="auto"/>
              <w:ind w:left="117" w:right="111"/>
              <w:jc w:val="both"/>
            </w:pPr>
            <w:r>
              <w:rPr>
                <w:spacing w:val="10"/>
              </w:rPr>
              <w:t>注册安全工</w:t>
            </w:r>
            <w:r>
              <w:rPr>
                <w:spacing w:val="11"/>
              </w:rPr>
              <w:t>程师以个人名义承接业务、收取费</w:t>
            </w:r>
            <w:r>
              <w:rPr>
                <w:spacing w:val="1"/>
              </w:rPr>
              <w:t>用的</w:t>
            </w:r>
          </w:p>
        </w:tc>
        <w:tc>
          <w:tcPr>
            <w:tcW w:w="3202" w:type="dxa"/>
            <w:vMerge w:val="restart"/>
            <w:tcBorders>
              <w:bottom w:val="nil"/>
            </w:tcBorders>
            <w:vAlign w:val="top"/>
          </w:tcPr>
          <w:p w14:paraId="3CD333A9">
            <w:pPr>
              <w:pStyle w:val="6"/>
              <w:spacing w:before="34" w:line="186" w:lineRule="auto"/>
              <w:ind w:left="117" w:right="111" w:hanging="19"/>
            </w:pPr>
            <w:r>
              <w:rPr>
                <w:spacing w:val="18"/>
              </w:rPr>
              <w:t>【部门规章】《注册安全工</w:t>
            </w:r>
            <w:r>
              <w:rPr>
                <w:spacing w:val="13"/>
              </w:rPr>
              <w:t>程师管理规定》第十八条：</w:t>
            </w:r>
            <w:r>
              <w:rPr>
                <w:spacing w:val="17"/>
              </w:rPr>
              <w:t>注册安全工程师应当由聘用</w:t>
            </w:r>
            <w:r>
              <w:rPr>
                <w:spacing w:val="13"/>
              </w:rPr>
              <w:t>单位委派，并按照注册类别在规定的执业范围内执业，</w:t>
            </w:r>
            <w:r>
              <w:rPr>
                <w:spacing w:val="17"/>
              </w:rPr>
              <w:t>同时在出具的各种文件、报</w:t>
            </w:r>
            <w:r>
              <w:rPr>
                <w:spacing w:val="5"/>
              </w:rPr>
              <w:t>告上签字和加盖执业印章。</w:t>
            </w:r>
          </w:p>
        </w:tc>
        <w:tc>
          <w:tcPr>
            <w:tcW w:w="2859" w:type="dxa"/>
            <w:vMerge w:val="restart"/>
            <w:tcBorders>
              <w:bottom w:val="nil"/>
            </w:tcBorders>
            <w:vAlign w:val="top"/>
          </w:tcPr>
          <w:p w14:paraId="54454590">
            <w:pPr>
              <w:pStyle w:val="6"/>
              <w:spacing w:before="30" w:line="181" w:lineRule="auto"/>
              <w:ind w:left="117" w:right="38" w:hanging="20"/>
            </w:pPr>
            <w:r>
              <w:rPr>
                <w:spacing w:val="10"/>
              </w:rPr>
              <w:t>【部门规章】《注册安全</w:t>
            </w:r>
            <w:r>
              <w:rPr>
                <w:spacing w:val="8"/>
              </w:rPr>
              <w:t>工程师管理规定》第三十二条第二项：注册安全工</w:t>
            </w:r>
            <w:r>
              <w:rPr>
                <w:spacing w:val="7"/>
              </w:rPr>
              <w:t>程师有下列行为之一的，</w:t>
            </w:r>
            <w:r>
              <w:rPr>
                <w:spacing w:val="8"/>
              </w:rPr>
              <w:t>由县级以上安全生产监督管理部门、有关主管部门或者煤矿安全监察机构处三万元以下的罚款；由执业证颁发机关吊销其执业证，当事人五年内不得再</w:t>
            </w:r>
            <w:r>
              <w:rPr>
                <w:spacing w:val="-6"/>
              </w:rPr>
              <w:t>次申请注册；造成损失的，</w:t>
            </w:r>
            <w:r>
              <w:rPr>
                <w:spacing w:val="8"/>
              </w:rPr>
              <w:t>依法承担赔偿责任；构成</w:t>
            </w:r>
            <w:r>
              <w:rPr>
                <w:spacing w:val="4"/>
              </w:rPr>
              <w:t>犯罪的，依法追究刑事责</w:t>
            </w:r>
            <w:r>
              <w:rPr>
                <w:spacing w:val="9"/>
              </w:rPr>
              <w:t>任</w:t>
            </w:r>
            <w:r>
              <w:rPr>
                <w:spacing w:val="6"/>
              </w:rPr>
              <w:t>：（</w:t>
            </w:r>
            <w:r>
              <w:rPr>
                <w:spacing w:val="9"/>
              </w:rPr>
              <w:t>二）以个人名义承</w:t>
            </w:r>
            <w:r>
              <w:rPr>
                <w:spacing w:val="3"/>
              </w:rPr>
              <w:t>接业务、收取费用的；</w:t>
            </w:r>
          </w:p>
        </w:tc>
        <w:tc>
          <w:tcPr>
            <w:tcW w:w="803" w:type="dxa"/>
            <w:vAlign w:val="top"/>
          </w:tcPr>
          <w:p w14:paraId="356AAB9A">
            <w:pPr>
              <w:spacing w:line="271" w:lineRule="auto"/>
              <w:rPr>
                <w:rFonts w:ascii="Arial"/>
                <w:sz w:val="21"/>
              </w:rPr>
            </w:pPr>
          </w:p>
          <w:p w14:paraId="1EF75154">
            <w:pPr>
              <w:spacing w:line="271" w:lineRule="auto"/>
              <w:rPr>
                <w:rFonts w:ascii="Arial"/>
                <w:sz w:val="21"/>
              </w:rPr>
            </w:pPr>
          </w:p>
          <w:p w14:paraId="78122415">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71BFB6E">
            <w:pPr>
              <w:pStyle w:val="6"/>
              <w:spacing w:before="279" w:line="191" w:lineRule="auto"/>
              <w:ind w:left="117" w:right="46" w:firstLine="3"/>
              <w:jc w:val="both"/>
            </w:pPr>
            <w:r>
              <w:rPr>
                <w:spacing w:val="25"/>
              </w:rPr>
              <w:t>注册安全工程师以</w:t>
            </w:r>
            <w:r>
              <w:rPr>
                <w:spacing w:val="4"/>
              </w:rPr>
              <w:t>个人名义承接业务、</w:t>
            </w:r>
            <w:r>
              <w:t>收取费用</w:t>
            </w:r>
            <w:r>
              <w:rPr>
                <w:rFonts w:ascii="宋体" w:hAnsi="宋体" w:eastAsia="宋体" w:cs="宋体"/>
              </w:rPr>
              <w:t>1</w:t>
            </w:r>
            <w:r>
              <w:t>次的</w:t>
            </w:r>
          </w:p>
        </w:tc>
        <w:tc>
          <w:tcPr>
            <w:tcW w:w="2894" w:type="dxa"/>
            <w:vAlign w:val="top"/>
          </w:tcPr>
          <w:p w14:paraId="33938DED">
            <w:pPr>
              <w:pStyle w:val="6"/>
              <w:spacing w:before="128" w:line="189" w:lineRule="auto"/>
              <w:ind w:left="118" w:right="108"/>
              <w:jc w:val="both"/>
            </w:pPr>
            <w:r>
              <w:rPr>
                <w:spacing w:val="-1"/>
              </w:rPr>
              <w:t>处</w:t>
            </w:r>
            <w:r>
              <w:rPr>
                <w:rFonts w:ascii="宋体" w:hAnsi="宋体" w:eastAsia="宋体" w:cs="宋体"/>
                <w:spacing w:val="-1"/>
              </w:rPr>
              <w:t>1</w:t>
            </w:r>
            <w:r>
              <w:rPr>
                <w:spacing w:val="-1"/>
              </w:rPr>
              <w:t>万元以下的罚款，由</w:t>
            </w:r>
            <w:r>
              <w:rPr>
                <w:spacing w:val="11"/>
              </w:rPr>
              <w:t>执业证颁发机关吊销其执</w:t>
            </w:r>
            <w:r>
              <w:rPr>
                <w:spacing w:val="5"/>
              </w:rPr>
              <w:t>业证，当事人五年内不得</w:t>
            </w:r>
            <w:r>
              <w:rPr>
                <w:spacing w:val="7"/>
              </w:rPr>
              <w:t>再次申请注册</w:t>
            </w:r>
          </w:p>
        </w:tc>
        <w:tc>
          <w:tcPr>
            <w:tcW w:w="811" w:type="dxa"/>
            <w:vMerge w:val="restart"/>
            <w:tcBorders>
              <w:bottom w:val="nil"/>
            </w:tcBorders>
            <w:vAlign w:val="top"/>
          </w:tcPr>
          <w:p w14:paraId="496DAFD9">
            <w:pPr>
              <w:rPr>
                <w:rFonts w:ascii="Arial"/>
                <w:sz w:val="21"/>
              </w:rPr>
            </w:pPr>
          </w:p>
        </w:tc>
      </w:tr>
      <w:tr w14:paraId="16D87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8" w:hRule="atLeast"/>
        </w:trPr>
        <w:tc>
          <w:tcPr>
            <w:tcW w:w="818" w:type="dxa"/>
            <w:vMerge w:val="continue"/>
            <w:tcBorders>
              <w:top w:val="nil"/>
              <w:bottom w:val="nil"/>
            </w:tcBorders>
            <w:vAlign w:val="top"/>
          </w:tcPr>
          <w:p w14:paraId="1D644CB0">
            <w:pPr>
              <w:rPr>
                <w:rFonts w:ascii="Arial"/>
                <w:sz w:val="21"/>
              </w:rPr>
            </w:pPr>
          </w:p>
        </w:tc>
        <w:tc>
          <w:tcPr>
            <w:tcW w:w="1440" w:type="dxa"/>
            <w:vMerge w:val="continue"/>
            <w:tcBorders>
              <w:top w:val="nil"/>
              <w:bottom w:val="nil"/>
            </w:tcBorders>
            <w:vAlign w:val="top"/>
          </w:tcPr>
          <w:p w14:paraId="5FB3E90B">
            <w:pPr>
              <w:rPr>
                <w:rFonts w:ascii="Arial"/>
                <w:sz w:val="21"/>
              </w:rPr>
            </w:pPr>
          </w:p>
        </w:tc>
        <w:tc>
          <w:tcPr>
            <w:tcW w:w="3202" w:type="dxa"/>
            <w:vMerge w:val="continue"/>
            <w:tcBorders>
              <w:top w:val="nil"/>
              <w:bottom w:val="nil"/>
            </w:tcBorders>
            <w:vAlign w:val="top"/>
          </w:tcPr>
          <w:p w14:paraId="1012E7B1">
            <w:pPr>
              <w:rPr>
                <w:rFonts w:ascii="Arial"/>
                <w:sz w:val="21"/>
              </w:rPr>
            </w:pPr>
          </w:p>
        </w:tc>
        <w:tc>
          <w:tcPr>
            <w:tcW w:w="2859" w:type="dxa"/>
            <w:vMerge w:val="continue"/>
            <w:tcBorders>
              <w:top w:val="nil"/>
              <w:bottom w:val="nil"/>
            </w:tcBorders>
            <w:vAlign w:val="top"/>
          </w:tcPr>
          <w:p w14:paraId="5362FC9F">
            <w:pPr>
              <w:rPr>
                <w:rFonts w:ascii="Arial"/>
                <w:sz w:val="21"/>
              </w:rPr>
            </w:pPr>
          </w:p>
        </w:tc>
        <w:tc>
          <w:tcPr>
            <w:tcW w:w="803" w:type="dxa"/>
            <w:vAlign w:val="top"/>
          </w:tcPr>
          <w:p w14:paraId="5E448B75">
            <w:pPr>
              <w:spacing w:line="290" w:lineRule="auto"/>
              <w:rPr>
                <w:rFonts w:ascii="Arial"/>
                <w:sz w:val="21"/>
              </w:rPr>
            </w:pPr>
          </w:p>
          <w:p w14:paraId="29147C3F">
            <w:pPr>
              <w:spacing w:line="290" w:lineRule="auto"/>
              <w:rPr>
                <w:rFonts w:ascii="Arial"/>
                <w:sz w:val="21"/>
              </w:rPr>
            </w:pPr>
          </w:p>
          <w:p w14:paraId="7ABBDC87">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31A6F55">
            <w:pPr>
              <w:pStyle w:val="6"/>
              <w:spacing w:before="314" w:line="191" w:lineRule="auto"/>
              <w:ind w:left="117" w:right="46" w:firstLine="3"/>
              <w:jc w:val="both"/>
            </w:pPr>
            <w:r>
              <w:rPr>
                <w:spacing w:val="25"/>
              </w:rPr>
              <w:t>注册安全工程师以</w:t>
            </w:r>
            <w:r>
              <w:rPr>
                <w:spacing w:val="4"/>
              </w:rPr>
              <w:t>个人名义承接业务、</w:t>
            </w:r>
            <w:r>
              <w:rPr>
                <w:spacing w:val="2"/>
              </w:rPr>
              <w:t>收取费用</w:t>
            </w:r>
            <w:r>
              <w:rPr>
                <w:rFonts w:ascii="宋体" w:hAnsi="宋体" w:eastAsia="宋体" w:cs="宋体"/>
                <w:spacing w:val="2"/>
              </w:rPr>
              <w:t>2</w:t>
            </w:r>
            <w:r>
              <w:rPr>
                <w:spacing w:val="2"/>
              </w:rPr>
              <w:t>次的</w:t>
            </w:r>
          </w:p>
        </w:tc>
        <w:tc>
          <w:tcPr>
            <w:tcW w:w="2894" w:type="dxa"/>
            <w:vAlign w:val="top"/>
          </w:tcPr>
          <w:p w14:paraId="7BDAA69F">
            <w:pPr>
              <w:pStyle w:val="6"/>
              <w:spacing w:before="163" w:line="189" w:lineRule="auto"/>
              <w:ind w:left="126" w:right="106" w:hanging="7"/>
              <w:jc w:val="both"/>
            </w:pPr>
            <w:r>
              <w:rPr>
                <w:spacing w:val="2"/>
              </w:rPr>
              <w:t>处</w:t>
            </w:r>
            <w:r>
              <w:rPr>
                <w:rFonts w:ascii="宋体" w:hAnsi="宋体" w:eastAsia="宋体" w:cs="宋体"/>
                <w:spacing w:val="2"/>
              </w:rPr>
              <w:t>1</w:t>
            </w:r>
            <w:r>
              <w:rPr>
                <w:spacing w:val="2"/>
              </w:rPr>
              <w:t>万元以上</w:t>
            </w:r>
            <w:r>
              <w:rPr>
                <w:rFonts w:ascii="宋体" w:hAnsi="宋体" w:eastAsia="宋体" w:cs="宋体"/>
                <w:spacing w:val="2"/>
              </w:rPr>
              <w:t>2</w:t>
            </w:r>
            <w:r>
              <w:rPr>
                <w:spacing w:val="2"/>
              </w:rPr>
              <w:t>万元以下</w:t>
            </w:r>
            <w:r>
              <w:rPr>
                <w:spacing w:val="4"/>
              </w:rPr>
              <w:t>的罚款，由执业证颁发机关吊销其执业证，当事人</w:t>
            </w:r>
            <w:r>
              <w:rPr>
                <w:spacing w:val="7"/>
              </w:rPr>
              <w:t>五年内不得再次申请注册</w:t>
            </w:r>
          </w:p>
        </w:tc>
        <w:tc>
          <w:tcPr>
            <w:tcW w:w="811" w:type="dxa"/>
            <w:vMerge w:val="continue"/>
            <w:tcBorders>
              <w:top w:val="nil"/>
              <w:bottom w:val="nil"/>
            </w:tcBorders>
            <w:vAlign w:val="top"/>
          </w:tcPr>
          <w:p w14:paraId="186709C5">
            <w:pPr>
              <w:rPr>
                <w:rFonts w:ascii="Arial"/>
                <w:sz w:val="21"/>
              </w:rPr>
            </w:pPr>
          </w:p>
        </w:tc>
      </w:tr>
      <w:tr w14:paraId="3FF8F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7" w:hRule="atLeast"/>
        </w:trPr>
        <w:tc>
          <w:tcPr>
            <w:tcW w:w="818" w:type="dxa"/>
            <w:vMerge w:val="continue"/>
            <w:tcBorders>
              <w:top w:val="nil"/>
            </w:tcBorders>
            <w:vAlign w:val="top"/>
          </w:tcPr>
          <w:p w14:paraId="0DB5FD63">
            <w:pPr>
              <w:rPr>
                <w:rFonts w:ascii="Arial"/>
                <w:sz w:val="21"/>
              </w:rPr>
            </w:pPr>
          </w:p>
        </w:tc>
        <w:tc>
          <w:tcPr>
            <w:tcW w:w="1440" w:type="dxa"/>
            <w:vMerge w:val="continue"/>
            <w:tcBorders>
              <w:top w:val="nil"/>
            </w:tcBorders>
            <w:vAlign w:val="top"/>
          </w:tcPr>
          <w:p w14:paraId="1551EF57">
            <w:pPr>
              <w:rPr>
                <w:rFonts w:ascii="Arial"/>
                <w:sz w:val="21"/>
              </w:rPr>
            </w:pPr>
          </w:p>
        </w:tc>
        <w:tc>
          <w:tcPr>
            <w:tcW w:w="3202" w:type="dxa"/>
            <w:vMerge w:val="continue"/>
            <w:tcBorders>
              <w:top w:val="nil"/>
            </w:tcBorders>
            <w:vAlign w:val="top"/>
          </w:tcPr>
          <w:p w14:paraId="2488DF40">
            <w:pPr>
              <w:rPr>
                <w:rFonts w:ascii="Arial"/>
                <w:sz w:val="21"/>
              </w:rPr>
            </w:pPr>
          </w:p>
        </w:tc>
        <w:tc>
          <w:tcPr>
            <w:tcW w:w="2859" w:type="dxa"/>
            <w:vMerge w:val="continue"/>
            <w:tcBorders>
              <w:top w:val="nil"/>
            </w:tcBorders>
            <w:vAlign w:val="top"/>
          </w:tcPr>
          <w:p w14:paraId="7EAC22C4">
            <w:pPr>
              <w:rPr>
                <w:rFonts w:ascii="Arial"/>
                <w:sz w:val="21"/>
              </w:rPr>
            </w:pPr>
          </w:p>
        </w:tc>
        <w:tc>
          <w:tcPr>
            <w:tcW w:w="803" w:type="dxa"/>
            <w:vAlign w:val="top"/>
          </w:tcPr>
          <w:p w14:paraId="4D9E8492">
            <w:pPr>
              <w:spacing w:line="329" w:lineRule="auto"/>
              <w:rPr>
                <w:rFonts w:ascii="Arial"/>
                <w:sz w:val="21"/>
              </w:rPr>
            </w:pPr>
          </w:p>
          <w:p w14:paraId="6C7108ED">
            <w:pPr>
              <w:spacing w:line="329" w:lineRule="auto"/>
              <w:rPr>
                <w:rFonts w:ascii="Arial"/>
                <w:sz w:val="21"/>
              </w:rPr>
            </w:pPr>
          </w:p>
          <w:p w14:paraId="400455B8">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9D90AB3">
            <w:pPr>
              <w:pStyle w:val="6"/>
              <w:spacing w:before="241" w:line="190" w:lineRule="auto"/>
              <w:ind w:left="117" w:right="46" w:firstLine="3"/>
              <w:jc w:val="both"/>
            </w:pPr>
            <w:r>
              <w:rPr>
                <w:spacing w:val="25"/>
              </w:rPr>
              <w:t>注册安全工程师以</w:t>
            </w:r>
            <w:r>
              <w:rPr>
                <w:spacing w:val="4"/>
              </w:rPr>
              <w:t>个人名义承接业务、</w:t>
            </w:r>
            <w:r>
              <w:rPr>
                <w:spacing w:val="16"/>
              </w:rPr>
              <w:t>收取费用</w:t>
            </w:r>
            <w:r>
              <w:rPr>
                <w:rFonts w:ascii="宋体" w:hAnsi="宋体" w:eastAsia="宋体" w:cs="宋体"/>
                <w:spacing w:val="16"/>
              </w:rPr>
              <w:t>3</w:t>
            </w:r>
            <w:r>
              <w:rPr>
                <w:spacing w:val="16"/>
              </w:rPr>
              <w:t>次以上</w:t>
            </w:r>
            <w:r>
              <w:t>的</w:t>
            </w:r>
          </w:p>
        </w:tc>
        <w:tc>
          <w:tcPr>
            <w:tcW w:w="2894" w:type="dxa"/>
            <w:vAlign w:val="top"/>
          </w:tcPr>
          <w:p w14:paraId="06E800A9">
            <w:pPr>
              <w:pStyle w:val="6"/>
              <w:spacing w:before="243" w:line="189" w:lineRule="auto"/>
              <w:ind w:left="126" w:right="106" w:hanging="7"/>
              <w:jc w:val="both"/>
            </w:pPr>
            <w:r>
              <w:rPr>
                <w:spacing w:val="3"/>
              </w:rPr>
              <w:t>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万元以下</w:t>
            </w:r>
            <w:r>
              <w:rPr>
                <w:spacing w:val="4"/>
              </w:rPr>
              <w:t>的罚款，由执业证颁发机关吊销其执业证，当事人</w:t>
            </w:r>
            <w:r>
              <w:rPr>
                <w:spacing w:val="7"/>
              </w:rPr>
              <w:t>五年内不得再次申请注册</w:t>
            </w:r>
          </w:p>
        </w:tc>
        <w:tc>
          <w:tcPr>
            <w:tcW w:w="811" w:type="dxa"/>
            <w:vMerge w:val="continue"/>
            <w:tcBorders>
              <w:top w:val="nil"/>
            </w:tcBorders>
            <w:vAlign w:val="top"/>
          </w:tcPr>
          <w:p w14:paraId="32A5D903">
            <w:pPr>
              <w:rPr>
                <w:rFonts w:ascii="Arial"/>
                <w:sz w:val="21"/>
              </w:rPr>
            </w:pPr>
          </w:p>
        </w:tc>
      </w:tr>
    </w:tbl>
    <w:p w14:paraId="667BA0B2">
      <w:pPr>
        <w:pStyle w:val="2"/>
      </w:pPr>
    </w:p>
    <w:p w14:paraId="49EFE0A7">
      <w:pPr>
        <w:sectPr>
          <w:footerReference r:id="rId79" w:type="default"/>
          <w:pgSz w:w="16839" w:h="11906"/>
          <w:pgMar w:top="1012" w:right="821" w:bottom="666" w:left="901" w:header="0" w:footer="388" w:gutter="0"/>
          <w:cols w:space="720" w:num="1"/>
        </w:sectPr>
      </w:pPr>
    </w:p>
    <w:p w14:paraId="141568DF">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DBA9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C3B2DDF">
            <w:pPr>
              <w:spacing w:before="222" w:line="241" w:lineRule="auto"/>
              <w:ind w:left="131"/>
              <w:rPr>
                <w:rFonts w:ascii="黑体" w:hAnsi="黑体" w:eastAsia="黑体" w:cs="黑体"/>
                <w:sz w:val="28"/>
                <w:szCs w:val="28"/>
              </w:rPr>
            </w:pPr>
            <w:bookmarkStart w:id="463" w:name="bookmark133"/>
            <w:bookmarkEnd w:id="463"/>
            <w:r>
              <w:rPr>
                <w:rFonts w:ascii="黑体" w:hAnsi="黑体" w:eastAsia="黑体" w:cs="黑体"/>
                <w:spacing w:val="-2"/>
                <w:sz w:val="28"/>
                <w:szCs w:val="28"/>
              </w:rPr>
              <w:t>序号</w:t>
            </w:r>
          </w:p>
        </w:tc>
        <w:tc>
          <w:tcPr>
            <w:tcW w:w="1440" w:type="dxa"/>
            <w:vAlign w:val="top"/>
          </w:tcPr>
          <w:p w14:paraId="7A3A0F1C">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123FD9A">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C0FFF8D">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E6E3764">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DC1BB28">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1C069D85">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6866C476">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2402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6" w:hRule="atLeast"/>
        </w:trPr>
        <w:tc>
          <w:tcPr>
            <w:tcW w:w="818" w:type="dxa"/>
            <w:vMerge w:val="restart"/>
            <w:tcBorders>
              <w:bottom w:val="nil"/>
            </w:tcBorders>
            <w:vAlign w:val="top"/>
          </w:tcPr>
          <w:p w14:paraId="00304C7E">
            <w:pPr>
              <w:spacing w:line="248" w:lineRule="auto"/>
              <w:rPr>
                <w:rFonts w:ascii="Arial"/>
                <w:sz w:val="21"/>
              </w:rPr>
            </w:pPr>
          </w:p>
          <w:p w14:paraId="6E3E614D">
            <w:pPr>
              <w:spacing w:line="248" w:lineRule="auto"/>
              <w:rPr>
                <w:rFonts w:ascii="Arial"/>
                <w:sz w:val="21"/>
              </w:rPr>
            </w:pPr>
          </w:p>
          <w:p w14:paraId="49A13620">
            <w:pPr>
              <w:spacing w:line="248" w:lineRule="auto"/>
              <w:rPr>
                <w:rFonts w:ascii="Arial"/>
                <w:sz w:val="21"/>
              </w:rPr>
            </w:pPr>
          </w:p>
          <w:p w14:paraId="05EC0437">
            <w:pPr>
              <w:spacing w:line="249" w:lineRule="auto"/>
              <w:rPr>
                <w:rFonts w:ascii="Arial"/>
                <w:sz w:val="21"/>
              </w:rPr>
            </w:pPr>
          </w:p>
          <w:p w14:paraId="52D29D29">
            <w:pPr>
              <w:spacing w:line="249" w:lineRule="auto"/>
              <w:rPr>
                <w:rFonts w:ascii="Arial"/>
                <w:sz w:val="21"/>
              </w:rPr>
            </w:pPr>
          </w:p>
          <w:p w14:paraId="1B6AE007">
            <w:pPr>
              <w:spacing w:line="249" w:lineRule="auto"/>
              <w:rPr>
                <w:rFonts w:ascii="Arial"/>
                <w:sz w:val="21"/>
              </w:rPr>
            </w:pPr>
          </w:p>
          <w:p w14:paraId="09AF04A7">
            <w:pPr>
              <w:spacing w:line="249" w:lineRule="auto"/>
              <w:rPr>
                <w:rFonts w:ascii="Arial"/>
                <w:sz w:val="21"/>
              </w:rPr>
            </w:pPr>
          </w:p>
          <w:p w14:paraId="3996C866">
            <w:pPr>
              <w:spacing w:line="249" w:lineRule="auto"/>
              <w:rPr>
                <w:rFonts w:ascii="Arial"/>
                <w:sz w:val="21"/>
              </w:rPr>
            </w:pPr>
          </w:p>
          <w:p w14:paraId="7548F732">
            <w:pPr>
              <w:spacing w:line="249" w:lineRule="auto"/>
              <w:rPr>
                <w:rFonts w:ascii="Arial"/>
                <w:sz w:val="21"/>
              </w:rPr>
            </w:pPr>
          </w:p>
          <w:p w14:paraId="20D54F4E">
            <w:pPr>
              <w:spacing w:before="74" w:line="185" w:lineRule="auto"/>
              <w:ind w:left="236"/>
              <w:rPr>
                <w:rFonts w:ascii="仿宋" w:hAnsi="仿宋" w:eastAsia="仿宋" w:cs="仿宋"/>
                <w:sz w:val="23"/>
                <w:szCs w:val="23"/>
              </w:rPr>
            </w:pPr>
            <w:r>
              <w:rPr>
                <w:rFonts w:ascii="仿宋" w:hAnsi="仿宋" w:eastAsia="仿宋" w:cs="仿宋"/>
                <w:spacing w:val="-2"/>
                <w:sz w:val="23"/>
                <w:szCs w:val="23"/>
              </w:rPr>
              <w:t>64</w:t>
            </w:r>
          </w:p>
        </w:tc>
        <w:tc>
          <w:tcPr>
            <w:tcW w:w="1440" w:type="dxa"/>
            <w:vMerge w:val="restart"/>
            <w:tcBorders>
              <w:bottom w:val="nil"/>
            </w:tcBorders>
            <w:vAlign w:val="top"/>
          </w:tcPr>
          <w:p w14:paraId="630F2405">
            <w:pPr>
              <w:spacing w:line="284" w:lineRule="auto"/>
              <w:rPr>
                <w:rFonts w:ascii="Arial"/>
                <w:sz w:val="21"/>
              </w:rPr>
            </w:pPr>
          </w:p>
          <w:p w14:paraId="71432FBC">
            <w:pPr>
              <w:spacing w:line="284" w:lineRule="auto"/>
              <w:rPr>
                <w:rFonts w:ascii="Arial"/>
                <w:sz w:val="21"/>
              </w:rPr>
            </w:pPr>
          </w:p>
          <w:p w14:paraId="2F4D1940">
            <w:pPr>
              <w:spacing w:line="284" w:lineRule="auto"/>
              <w:rPr>
                <w:rFonts w:ascii="Arial"/>
                <w:sz w:val="21"/>
              </w:rPr>
            </w:pPr>
          </w:p>
          <w:p w14:paraId="118D4D19">
            <w:pPr>
              <w:spacing w:line="284" w:lineRule="auto"/>
              <w:rPr>
                <w:rFonts w:ascii="Arial"/>
                <w:sz w:val="21"/>
              </w:rPr>
            </w:pPr>
          </w:p>
          <w:p w14:paraId="6A0983E2">
            <w:pPr>
              <w:spacing w:line="285" w:lineRule="auto"/>
              <w:rPr>
                <w:rFonts w:ascii="Arial"/>
                <w:sz w:val="21"/>
              </w:rPr>
            </w:pPr>
          </w:p>
          <w:p w14:paraId="727DF596">
            <w:pPr>
              <w:pStyle w:val="6"/>
              <w:spacing w:before="99" w:line="182" w:lineRule="auto"/>
              <w:ind w:left="118"/>
              <w:outlineLvl w:val="0"/>
            </w:pPr>
            <w:r>
              <w:rPr>
                <w:spacing w:val="10"/>
              </w:rPr>
              <w:t>注册安全工</w:t>
            </w:r>
          </w:p>
          <w:p w14:paraId="2DFA4E9B">
            <w:pPr>
              <w:pStyle w:val="6"/>
              <w:spacing w:before="2" w:line="188" w:lineRule="auto"/>
              <w:ind w:left="117" w:right="17"/>
            </w:pPr>
            <w:r>
              <w:rPr>
                <w:spacing w:val="5"/>
              </w:rPr>
              <w:t>程师出租、</w:t>
            </w:r>
            <w:r>
              <w:rPr>
                <w:spacing w:val="-14"/>
              </w:rPr>
              <w:t>出借、涂改、</w:t>
            </w:r>
            <w:r>
              <w:rPr>
                <w:spacing w:val="11"/>
              </w:rPr>
              <w:t>变造执业证和执业印章</w:t>
            </w:r>
            <w:r>
              <w:t>的</w:t>
            </w:r>
          </w:p>
        </w:tc>
        <w:tc>
          <w:tcPr>
            <w:tcW w:w="3202" w:type="dxa"/>
            <w:vMerge w:val="restart"/>
            <w:tcBorders>
              <w:bottom w:val="nil"/>
            </w:tcBorders>
            <w:vAlign w:val="top"/>
          </w:tcPr>
          <w:p w14:paraId="7655A50D">
            <w:pPr>
              <w:pStyle w:val="6"/>
              <w:spacing w:before="26" w:line="187" w:lineRule="auto"/>
              <w:ind w:left="118" w:right="111" w:hanging="20"/>
              <w:jc w:val="both"/>
            </w:pPr>
            <w:r>
              <w:rPr>
                <w:spacing w:val="18"/>
              </w:rPr>
              <w:t>【部门规章】《注册安全工</w:t>
            </w:r>
            <w:r>
              <w:rPr>
                <w:spacing w:val="17"/>
              </w:rPr>
              <w:t>程师管理规定》第二十二条</w:t>
            </w:r>
            <w:r>
              <w:rPr>
                <w:spacing w:val="13"/>
              </w:rPr>
              <w:t>第六项：注册安全工程师应</w:t>
            </w:r>
            <w:bookmarkStart w:id="464" w:name="bookmark135"/>
            <w:bookmarkEnd w:id="464"/>
            <w:r>
              <w:rPr>
                <w:spacing w:val="18"/>
              </w:rPr>
              <w:t>当履行下列义务</w:t>
            </w:r>
            <w:r>
              <w:rPr>
                <w:spacing w:val="-13"/>
              </w:rPr>
              <w:t>：（</w:t>
            </w:r>
            <w:r>
              <w:rPr>
                <w:spacing w:val="18"/>
              </w:rPr>
              <w:t>六）不</w:t>
            </w:r>
            <w:r>
              <w:rPr>
                <w:spacing w:val="17"/>
              </w:rPr>
              <w:t>得出租、出借、涂改、变造</w:t>
            </w:r>
            <w:r>
              <w:rPr>
                <w:spacing w:val="3"/>
              </w:rPr>
              <w:t>执业证和执业印章；</w:t>
            </w:r>
          </w:p>
        </w:tc>
        <w:tc>
          <w:tcPr>
            <w:tcW w:w="2859" w:type="dxa"/>
            <w:vMerge w:val="restart"/>
            <w:tcBorders>
              <w:bottom w:val="nil"/>
            </w:tcBorders>
            <w:vAlign w:val="top"/>
          </w:tcPr>
          <w:p w14:paraId="307EA75A">
            <w:pPr>
              <w:pStyle w:val="6"/>
              <w:spacing w:before="30" w:line="181" w:lineRule="auto"/>
              <w:ind w:left="117" w:right="38" w:hanging="20"/>
            </w:pPr>
            <w:r>
              <w:rPr>
                <w:spacing w:val="10"/>
              </w:rPr>
              <w:t>【部门规章】《注册安全</w:t>
            </w:r>
            <w:r>
              <w:rPr>
                <w:spacing w:val="8"/>
              </w:rPr>
              <w:t>工程师管理规定》第三十二条第三项：注册安全工</w:t>
            </w:r>
            <w:r>
              <w:rPr>
                <w:spacing w:val="7"/>
              </w:rPr>
              <w:t>程师有下列行为之一的，</w:t>
            </w:r>
            <w:r>
              <w:rPr>
                <w:spacing w:val="8"/>
              </w:rPr>
              <w:t>由县级以上安全生产监督管理部门、有关主管部门或者煤矿安全监察机构处三万元以下的罚款；由执业证颁发机关吊销其执业证，当事人五年内不得再</w:t>
            </w:r>
            <w:r>
              <w:rPr>
                <w:spacing w:val="-6"/>
              </w:rPr>
              <w:t>次申请注册；造成损失的，</w:t>
            </w:r>
            <w:r>
              <w:rPr>
                <w:spacing w:val="8"/>
              </w:rPr>
              <w:t>依法承担赔偿责任；构成</w:t>
            </w:r>
            <w:r>
              <w:rPr>
                <w:spacing w:val="4"/>
              </w:rPr>
              <w:t>犯罪的，依法追究刑事责</w:t>
            </w:r>
            <w:r>
              <w:rPr>
                <w:spacing w:val="6"/>
              </w:rPr>
              <w:t>任</w:t>
            </w:r>
            <w:r>
              <w:rPr>
                <w:spacing w:val="5"/>
              </w:rPr>
              <w:t>：（</w:t>
            </w:r>
            <w:r>
              <w:rPr>
                <w:spacing w:val="6"/>
              </w:rPr>
              <w:t>三）出租、出借、</w:t>
            </w:r>
            <w:r>
              <w:rPr>
                <w:spacing w:val="8"/>
              </w:rPr>
              <w:t>涂改、变造执业证和执业</w:t>
            </w:r>
            <w:r>
              <w:rPr>
                <w:spacing w:val="-4"/>
              </w:rPr>
              <w:t>印章的；</w:t>
            </w:r>
          </w:p>
        </w:tc>
        <w:tc>
          <w:tcPr>
            <w:tcW w:w="803" w:type="dxa"/>
            <w:vAlign w:val="top"/>
          </w:tcPr>
          <w:p w14:paraId="40A4AA1D">
            <w:pPr>
              <w:spacing w:line="289" w:lineRule="auto"/>
              <w:rPr>
                <w:rFonts w:ascii="Arial"/>
                <w:sz w:val="21"/>
              </w:rPr>
            </w:pPr>
          </w:p>
          <w:p w14:paraId="7556ED6D">
            <w:pPr>
              <w:spacing w:line="289" w:lineRule="auto"/>
              <w:rPr>
                <w:rFonts w:ascii="Arial"/>
                <w:sz w:val="21"/>
              </w:rPr>
            </w:pPr>
          </w:p>
          <w:p w14:paraId="15318C4B">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0286B49">
            <w:pPr>
              <w:pStyle w:val="6"/>
              <w:spacing w:before="316" w:line="182" w:lineRule="auto"/>
              <w:ind w:left="148"/>
              <w:outlineLvl w:val="0"/>
            </w:pPr>
            <w:r>
              <w:rPr>
                <w:spacing w:val="1"/>
              </w:rPr>
              <w:t>出租、出借、涂改、</w:t>
            </w:r>
          </w:p>
          <w:p w14:paraId="75163E18">
            <w:pPr>
              <w:pStyle w:val="6"/>
              <w:spacing w:before="2" w:line="195" w:lineRule="auto"/>
              <w:ind w:left="143" w:right="109" w:hanging="13"/>
            </w:pPr>
            <w:r>
              <w:rPr>
                <w:spacing w:val="24"/>
              </w:rPr>
              <w:t>变造执业证和执业</w:t>
            </w:r>
            <w:r>
              <w:rPr>
                <w:spacing w:val="-9"/>
              </w:rPr>
              <w:t>印章</w:t>
            </w:r>
            <w:r>
              <w:rPr>
                <w:rFonts w:ascii="宋体" w:hAnsi="宋体" w:eastAsia="宋体" w:cs="宋体"/>
                <w:spacing w:val="-9"/>
              </w:rPr>
              <w:t>1</w:t>
            </w:r>
            <w:r>
              <w:rPr>
                <w:spacing w:val="-9"/>
              </w:rPr>
              <w:t>次的</w:t>
            </w:r>
          </w:p>
        </w:tc>
        <w:tc>
          <w:tcPr>
            <w:tcW w:w="2894" w:type="dxa"/>
            <w:vAlign w:val="top"/>
          </w:tcPr>
          <w:p w14:paraId="08AB1E29">
            <w:pPr>
              <w:pStyle w:val="6"/>
              <w:spacing w:before="165" w:line="189" w:lineRule="auto"/>
              <w:ind w:left="118" w:right="108"/>
              <w:jc w:val="both"/>
            </w:pPr>
            <w:r>
              <w:rPr>
                <w:spacing w:val="-1"/>
              </w:rPr>
              <w:t>处</w:t>
            </w:r>
            <w:r>
              <w:rPr>
                <w:rFonts w:ascii="宋体" w:hAnsi="宋体" w:eastAsia="宋体" w:cs="宋体"/>
                <w:spacing w:val="-1"/>
              </w:rPr>
              <w:t>1</w:t>
            </w:r>
            <w:r>
              <w:rPr>
                <w:spacing w:val="-1"/>
              </w:rPr>
              <w:t>万元以下的罚款，由</w:t>
            </w:r>
            <w:r>
              <w:rPr>
                <w:spacing w:val="11"/>
              </w:rPr>
              <w:t>执业证颁发机关吊销其执</w:t>
            </w:r>
            <w:r>
              <w:rPr>
                <w:spacing w:val="5"/>
              </w:rPr>
              <w:t>业证，当事人五年内不得</w:t>
            </w:r>
            <w:r>
              <w:rPr>
                <w:spacing w:val="7"/>
              </w:rPr>
              <w:t>再次申请注册</w:t>
            </w:r>
          </w:p>
        </w:tc>
        <w:tc>
          <w:tcPr>
            <w:tcW w:w="811" w:type="dxa"/>
            <w:vMerge w:val="restart"/>
            <w:tcBorders>
              <w:bottom w:val="nil"/>
            </w:tcBorders>
            <w:vAlign w:val="top"/>
          </w:tcPr>
          <w:p w14:paraId="24601E94">
            <w:pPr>
              <w:rPr>
                <w:rFonts w:ascii="Arial"/>
                <w:sz w:val="21"/>
              </w:rPr>
            </w:pPr>
          </w:p>
        </w:tc>
      </w:tr>
      <w:tr w14:paraId="0CDEB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3" w:hRule="atLeast"/>
        </w:trPr>
        <w:tc>
          <w:tcPr>
            <w:tcW w:w="818" w:type="dxa"/>
            <w:vMerge w:val="continue"/>
            <w:tcBorders>
              <w:top w:val="nil"/>
              <w:bottom w:val="nil"/>
            </w:tcBorders>
            <w:vAlign w:val="top"/>
          </w:tcPr>
          <w:p w14:paraId="70943AB3">
            <w:pPr>
              <w:rPr>
                <w:rFonts w:ascii="Arial"/>
                <w:sz w:val="21"/>
              </w:rPr>
            </w:pPr>
          </w:p>
        </w:tc>
        <w:tc>
          <w:tcPr>
            <w:tcW w:w="1440" w:type="dxa"/>
            <w:vMerge w:val="continue"/>
            <w:tcBorders>
              <w:top w:val="nil"/>
              <w:bottom w:val="nil"/>
            </w:tcBorders>
            <w:vAlign w:val="top"/>
          </w:tcPr>
          <w:p w14:paraId="47DB5015">
            <w:pPr>
              <w:rPr>
                <w:rFonts w:ascii="Arial"/>
                <w:sz w:val="21"/>
              </w:rPr>
            </w:pPr>
          </w:p>
        </w:tc>
        <w:tc>
          <w:tcPr>
            <w:tcW w:w="3202" w:type="dxa"/>
            <w:vMerge w:val="continue"/>
            <w:tcBorders>
              <w:top w:val="nil"/>
              <w:bottom w:val="nil"/>
            </w:tcBorders>
            <w:vAlign w:val="top"/>
          </w:tcPr>
          <w:p w14:paraId="4C42CEB0">
            <w:pPr>
              <w:rPr>
                <w:rFonts w:ascii="Arial"/>
                <w:sz w:val="21"/>
              </w:rPr>
            </w:pPr>
          </w:p>
        </w:tc>
        <w:tc>
          <w:tcPr>
            <w:tcW w:w="2859" w:type="dxa"/>
            <w:vMerge w:val="continue"/>
            <w:tcBorders>
              <w:top w:val="nil"/>
              <w:bottom w:val="nil"/>
            </w:tcBorders>
            <w:vAlign w:val="top"/>
          </w:tcPr>
          <w:p w14:paraId="395E0C86">
            <w:pPr>
              <w:rPr>
                <w:rFonts w:ascii="Arial"/>
                <w:sz w:val="21"/>
              </w:rPr>
            </w:pPr>
          </w:p>
        </w:tc>
        <w:tc>
          <w:tcPr>
            <w:tcW w:w="803" w:type="dxa"/>
            <w:vAlign w:val="top"/>
          </w:tcPr>
          <w:p w14:paraId="2310D188">
            <w:pPr>
              <w:spacing w:line="337" w:lineRule="auto"/>
              <w:rPr>
                <w:rFonts w:ascii="Arial"/>
                <w:sz w:val="21"/>
              </w:rPr>
            </w:pPr>
          </w:p>
          <w:p w14:paraId="2E8A40F0">
            <w:pPr>
              <w:spacing w:line="338" w:lineRule="auto"/>
              <w:rPr>
                <w:rFonts w:ascii="Arial"/>
                <w:sz w:val="21"/>
              </w:rPr>
            </w:pPr>
          </w:p>
          <w:p w14:paraId="2D6C35B9">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513891EE">
            <w:pPr>
              <w:spacing w:line="310" w:lineRule="auto"/>
              <w:rPr>
                <w:rFonts w:ascii="Arial"/>
                <w:sz w:val="21"/>
              </w:rPr>
            </w:pPr>
          </w:p>
          <w:p w14:paraId="34BEE321">
            <w:pPr>
              <w:pStyle w:val="6"/>
              <w:spacing w:before="99" w:line="191" w:lineRule="auto"/>
              <w:ind w:left="130" w:right="46" w:firstLine="17"/>
              <w:jc w:val="both"/>
            </w:pPr>
            <w:r>
              <w:rPr>
                <w:spacing w:val="1"/>
              </w:rPr>
              <w:t>出租、出借、涂改、</w:t>
            </w:r>
            <w:r>
              <w:rPr>
                <w:spacing w:val="24"/>
              </w:rPr>
              <w:t>变造执业证和执业</w:t>
            </w:r>
            <w:r>
              <w:rPr>
                <w:spacing w:val="-2"/>
              </w:rPr>
              <w:t>印章</w:t>
            </w:r>
            <w:r>
              <w:rPr>
                <w:rFonts w:ascii="宋体" w:hAnsi="宋体" w:eastAsia="宋体" w:cs="宋体"/>
                <w:spacing w:val="-2"/>
              </w:rPr>
              <w:t>2</w:t>
            </w:r>
            <w:r>
              <w:rPr>
                <w:spacing w:val="-2"/>
              </w:rPr>
              <w:t>次的</w:t>
            </w:r>
          </w:p>
        </w:tc>
        <w:tc>
          <w:tcPr>
            <w:tcW w:w="2894" w:type="dxa"/>
            <w:vAlign w:val="top"/>
          </w:tcPr>
          <w:p w14:paraId="6735896F">
            <w:pPr>
              <w:pStyle w:val="6"/>
              <w:spacing w:before="258" w:line="189" w:lineRule="auto"/>
              <w:ind w:left="126" w:right="106" w:hanging="7"/>
              <w:jc w:val="both"/>
            </w:pPr>
            <w:r>
              <w:rPr>
                <w:spacing w:val="2"/>
              </w:rPr>
              <w:t>处</w:t>
            </w:r>
            <w:r>
              <w:rPr>
                <w:rFonts w:ascii="宋体" w:hAnsi="宋体" w:eastAsia="宋体" w:cs="宋体"/>
                <w:spacing w:val="2"/>
              </w:rPr>
              <w:t>1</w:t>
            </w:r>
            <w:r>
              <w:rPr>
                <w:spacing w:val="2"/>
              </w:rPr>
              <w:t>万元以上</w:t>
            </w:r>
            <w:r>
              <w:rPr>
                <w:rFonts w:ascii="宋体" w:hAnsi="宋体" w:eastAsia="宋体" w:cs="宋体"/>
                <w:spacing w:val="2"/>
              </w:rPr>
              <w:t>2</w:t>
            </w:r>
            <w:r>
              <w:rPr>
                <w:spacing w:val="2"/>
              </w:rPr>
              <w:t>万元以下</w:t>
            </w:r>
            <w:r>
              <w:rPr>
                <w:spacing w:val="4"/>
              </w:rPr>
              <w:t>的罚款，由执业证颁发机关吊销其执业证，当事人</w:t>
            </w:r>
            <w:r>
              <w:rPr>
                <w:spacing w:val="7"/>
              </w:rPr>
              <w:t>五年内不得再次申请注册</w:t>
            </w:r>
          </w:p>
        </w:tc>
        <w:tc>
          <w:tcPr>
            <w:tcW w:w="811" w:type="dxa"/>
            <w:vMerge w:val="continue"/>
            <w:tcBorders>
              <w:top w:val="nil"/>
              <w:bottom w:val="nil"/>
            </w:tcBorders>
            <w:vAlign w:val="top"/>
          </w:tcPr>
          <w:p w14:paraId="2DDFBCAB">
            <w:pPr>
              <w:rPr>
                <w:rFonts w:ascii="Arial"/>
                <w:sz w:val="21"/>
              </w:rPr>
            </w:pPr>
          </w:p>
        </w:tc>
      </w:tr>
      <w:tr w14:paraId="14D85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3" w:hRule="atLeast"/>
        </w:trPr>
        <w:tc>
          <w:tcPr>
            <w:tcW w:w="818" w:type="dxa"/>
            <w:vMerge w:val="continue"/>
            <w:tcBorders>
              <w:top w:val="nil"/>
            </w:tcBorders>
            <w:vAlign w:val="top"/>
          </w:tcPr>
          <w:p w14:paraId="5DA14E1F">
            <w:pPr>
              <w:rPr>
                <w:rFonts w:ascii="Arial"/>
                <w:sz w:val="21"/>
              </w:rPr>
            </w:pPr>
          </w:p>
        </w:tc>
        <w:tc>
          <w:tcPr>
            <w:tcW w:w="1440" w:type="dxa"/>
            <w:vMerge w:val="continue"/>
            <w:tcBorders>
              <w:top w:val="nil"/>
            </w:tcBorders>
            <w:vAlign w:val="top"/>
          </w:tcPr>
          <w:p w14:paraId="0BF1D078">
            <w:pPr>
              <w:rPr>
                <w:rFonts w:ascii="Arial"/>
                <w:sz w:val="21"/>
              </w:rPr>
            </w:pPr>
          </w:p>
        </w:tc>
        <w:tc>
          <w:tcPr>
            <w:tcW w:w="3202" w:type="dxa"/>
            <w:vMerge w:val="continue"/>
            <w:tcBorders>
              <w:top w:val="nil"/>
            </w:tcBorders>
            <w:vAlign w:val="top"/>
          </w:tcPr>
          <w:p w14:paraId="4956C218">
            <w:pPr>
              <w:rPr>
                <w:rFonts w:ascii="Arial"/>
                <w:sz w:val="21"/>
              </w:rPr>
            </w:pPr>
          </w:p>
        </w:tc>
        <w:tc>
          <w:tcPr>
            <w:tcW w:w="2859" w:type="dxa"/>
            <w:vMerge w:val="continue"/>
            <w:tcBorders>
              <w:top w:val="nil"/>
            </w:tcBorders>
            <w:vAlign w:val="top"/>
          </w:tcPr>
          <w:p w14:paraId="016F850D">
            <w:pPr>
              <w:rPr>
                <w:rFonts w:ascii="Arial"/>
                <w:sz w:val="21"/>
              </w:rPr>
            </w:pPr>
          </w:p>
        </w:tc>
        <w:tc>
          <w:tcPr>
            <w:tcW w:w="803" w:type="dxa"/>
            <w:vAlign w:val="top"/>
          </w:tcPr>
          <w:p w14:paraId="64A91453">
            <w:pPr>
              <w:spacing w:line="335" w:lineRule="auto"/>
              <w:rPr>
                <w:rFonts w:ascii="Arial"/>
                <w:sz w:val="21"/>
              </w:rPr>
            </w:pPr>
          </w:p>
          <w:p w14:paraId="05B1E885">
            <w:pPr>
              <w:spacing w:line="336" w:lineRule="auto"/>
              <w:rPr>
                <w:rFonts w:ascii="Arial"/>
                <w:sz w:val="21"/>
              </w:rPr>
            </w:pPr>
          </w:p>
          <w:p w14:paraId="239D0B79">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3106DBF">
            <w:pPr>
              <w:spacing w:line="305" w:lineRule="auto"/>
              <w:rPr>
                <w:rFonts w:ascii="Arial"/>
                <w:sz w:val="21"/>
              </w:rPr>
            </w:pPr>
          </w:p>
          <w:p w14:paraId="152EDFFE">
            <w:pPr>
              <w:pStyle w:val="6"/>
              <w:spacing w:before="99" w:line="191" w:lineRule="auto"/>
              <w:ind w:left="130" w:right="46" w:firstLine="17"/>
              <w:jc w:val="both"/>
            </w:pPr>
            <w:r>
              <w:rPr>
                <w:spacing w:val="1"/>
              </w:rPr>
              <w:t>出租、出借、涂改、</w:t>
            </w:r>
            <w:r>
              <w:rPr>
                <w:spacing w:val="24"/>
              </w:rPr>
              <w:t>变造执业证和执业</w:t>
            </w:r>
            <w:r>
              <w:t>印章</w:t>
            </w:r>
            <w:r>
              <w:rPr>
                <w:rFonts w:ascii="宋体" w:hAnsi="宋体" w:eastAsia="宋体" w:cs="宋体"/>
              </w:rPr>
              <w:t>3</w:t>
            </w:r>
            <w:r>
              <w:t>次以上的</w:t>
            </w:r>
          </w:p>
        </w:tc>
        <w:tc>
          <w:tcPr>
            <w:tcW w:w="2894" w:type="dxa"/>
            <w:vAlign w:val="top"/>
          </w:tcPr>
          <w:p w14:paraId="29C1A0F4">
            <w:pPr>
              <w:pStyle w:val="6"/>
              <w:spacing w:before="256" w:line="189" w:lineRule="auto"/>
              <w:ind w:left="126" w:right="106" w:hanging="7"/>
              <w:jc w:val="both"/>
            </w:pPr>
            <w:r>
              <w:rPr>
                <w:spacing w:val="3"/>
              </w:rPr>
              <w:t>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万元以下</w:t>
            </w:r>
            <w:r>
              <w:rPr>
                <w:spacing w:val="4"/>
              </w:rPr>
              <w:t>的罚款，由执业证颁发机关吊销其执业证，当事人</w:t>
            </w:r>
            <w:r>
              <w:rPr>
                <w:spacing w:val="7"/>
              </w:rPr>
              <w:t>五年内不得再次申请注册</w:t>
            </w:r>
          </w:p>
        </w:tc>
        <w:tc>
          <w:tcPr>
            <w:tcW w:w="811" w:type="dxa"/>
            <w:vMerge w:val="continue"/>
            <w:tcBorders>
              <w:top w:val="nil"/>
            </w:tcBorders>
            <w:vAlign w:val="top"/>
          </w:tcPr>
          <w:p w14:paraId="4DBE1BB2">
            <w:pPr>
              <w:rPr>
                <w:rFonts w:ascii="Arial"/>
                <w:sz w:val="21"/>
              </w:rPr>
            </w:pPr>
          </w:p>
        </w:tc>
      </w:tr>
      <w:tr w14:paraId="0F9BF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9" w:hRule="atLeast"/>
        </w:trPr>
        <w:tc>
          <w:tcPr>
            <w:tcW w:w="818" w:type="dxa"/>
            <w:vMerge w:val="restart"/>
            <w:tcBorders>
              <w:bottom w:val="nil"/>
            </w:tcBorders>
            <w:vAlign w:val="top"/>
          </w:tcPr>
          <w:p w14:paraId="7701D8BE">
            <w:pPr>
              <w:spacing w:line="242" w:lineRule="auto"/>
              <w:rPr>
                <w:rFonts w:ascii="Arial"/>
                <w:sz w:val="21"/>
              </w:rPr>
            </w:pPr>
          </w:p>
          <w:p w14:paraId="57992B7D">
            <w:pPr>
              <w:spacing w:line="242" w:lineRule="auto"/>
              <w:rPr>
                <w:rFonts w:ascii="Arial"/>
                <w:sz w:val="21"/>
              </w:rPr>
            </w:pPr>
          </w:p>
          <w:p w14:paraId="7916D798">
            <w:pPr>
              <w:spacing w:line="243" w:lineRule="auto"/>
              <w:rPr>
                <w:rFonts w:ascii="Arial"/>
                <w:sz w:val="21"/>
              </w:rPr>
            </w:pPr>
          </w:p>
          <w:p w14:paraId="2D4A371D">
            <w:pPr>
              <w:spacing w:line="243" w:lineRule="auto"/>
              <w:rPr>
                <w:rFonts w:ascii="Arial"/>
                <w:sz w:val="21"/>
              </w:rPr>
            </w:pPr>
          </w:p>
          <w:p w14:paraId="6E54B3CD">
            <w:pPr>
              <w:spacing w:line="243" w:lineRule="auto"/>
              <w:rPr>
                <w:rFonts w:ascii="Arial"/>
                <w:sz w:val="21"/>
              </w:rPr>
            </w:pPr>
          </w:p>
          <w:p w14:paraId="5D92FD9C">
            <w:pPr>
              <w:spacing w:line="243" w:lineRule="auto"/>
              <w:rPr>
                <w:rFonts w:ascii="Arial"/>
                <w:sz w:val="21"/>
              </w:rPr>
            </w:pPr>
          </w:p>
          <w:p w14:paraId="7FE3AAE7">
            <w:pPr>
              <w:spacing w:line="243" w:lineRule="auto"/>
              <w:rPr>
                <w:rFonts w:ascii="Arial"/>
                <w:sz w:val="21"/>
              </w:rPr>
            </w:pPr>
          </w:p>
          <w:p w14:paraId="4E51BB57">
            <w:pPr>
              <w:spacing w:line="243" w:lineRule="auto"/>
              <w:rPr>
                <w:rFonts w:ascii="Arial"/>
                <w:sz w:val="21"/>
              </w:rPr>
            </w:pPr>
          </w:p>
          <w:p w14:paraId="181CE8FF">
            <w:pPr>
              <w:spacing w:before="75" w:line="185" w:lineRule="auto"/>
              <w:ind w:left="236"/>
              <w:rPr>
                <w:rFonts w:ascii="仿宋" w:hAnsi="仿宋" w:eastAsia="仿宋" w:cs="仿宋"/>
                <w:sz w:val="23"/>
                <w:szCs w:val="23"/>
              </w:rPr>
            </w:pPr>
            <w:r>
              <w:rPr>
                <w:rFonts w:ascii="仿宋" w:hAnsi="仿宋" w:eastAsia="仿宋" w:cs="仿宋"/>
                <w:spacing w:val="-2"/>
                <w:sz w:val="23"/>
                <w:szCs w:val="23"/>
              </w:rPr>
              <w:t>65</w:t>
            </w:r>
          </w:p>
        </w:tc>
        <w:tc>
          <w:tcPr>
            <w:tcW w:w="1440" w:type="dxa"/>
            <w:vMerge w:val="restart"/>
            <w:tcBorders>
              <w:bottom w:val="nil"/>
            </w:tcBorders>
            <w:vAlign w:val="top"/>
          </w:tcPr>
          <w:p w14:paraId="62E809F8">
            <w:pPr>
              <w:spacing w:line="281" w:lineRule="auto"/>
              <w:rPr>
                <w:rFonts w:ascii="Arial"/>
                <w:sz w:val="21"/>
              </w:rPr>
            </w:pPr>
          </w:p>
          <w:p w14:paraId="0C60958C">
            <w:pPr>
              <w:spacing w:line="281" w:lineRule="auto"/>
              <w:rPr>
                <w:rFonts w:ascii="Arial"/>
                <w:sz w:val="21"/>
              </w:rPr>
            </w:pPr>
          </w:p>
          <w:p w14:paraId="19A40D82">
            <w:pPr>
              <w:spacing w:line="282" w:lineRule="auto"/>
              <w:rPr>
                <w:rFonts w:ascii="Arial"/>
                <w:sz w:val="21"/>
              </w:rPr>
            </w:pPr>
          </w:p>
          <w:p w14:paraId="29572E27">
            <w:pPr>
              <w:spacing w:line="282" w:lineRule="auto"/>
              <w:rPr>
                <w:rFonts w:ascii="Arial"/>
                <w:sz w:val="21"/>
              </w:rPr>
            </w:pPr>
          </w:p>
          <w:p w14:paraId="11C94E7E">
            <w:pPr>
              <w:pStyle w:val="6"/>
              <w:spacing w:before="99" w:line="187" w:lineRule="auto"/>
              <w:ind w:left="118" w:right="111"/>
              <w:jc w:val="both"/>
            </w:pPr>
            <w:r>
              <w:rPr>
                <w:spacing w:val="10"/>
              </w:rPr>
              <w:t>注册安全工程师泄漏执业过程中应当保守的秘密并造成严</w:t>
            </w:r>
            <w:r>
              <w:rPr>
                <w:spacing w:val="5"/>
              </w:rPr>
              <w:t>重后果的</w:t>
            </w:r>
          </w:p>
        </w:tc>
        <w:tc>
          <w:tcPr>
            <w:tcW w:w="3202" w:type="dxa"/>
            <w:vMerge w:val="restart"/>
            <w:tcBorders>
              <w:bottom w:val="nil"/>
            </w:tcBorders>
            <w:vAlign w:val="top"/>
          </w:tcPr>
          <w:p w14:paraId="23DA11A0">
            <w:pPr>
              <w:pStyle w:val="6"/>
              <w:spacing w:before="30" w:line="188" w:lineRule="auto"/>
              <w:ind w:left="121" w:right="111" w:hanging="23"/>
              <w:jc w:val="both"/>
            </w:pPr>
            <w:r>
              <w:rPr>
                <w:spacing w:val="18"/>
              </w:rPr>
              <w:t>【部门规章】《注册安全工</w:t>
            </w:r>
            <w:r>
              <w:rPr>
                <w:spacing w:val="17"/>
              </w:rPr>
              <w:t>程师管理规定》第二十二条</w:t>
            </w:r>
            <w:r>
              <w:rPr>
                <w:spacing w:val="13"/>
              </w:rPr>
              <w:t>第五项：注册安全工程师应</w:t>
            </w:r>
            <w:r>
              <w:rPr>
                <w:spacing w:val="19"/>
              </w:rPr>
              <w:t>当履行下列义务</w:t>
            </w:r>
            <w:r>
              <w:rPr>
                <w:spacing w:val="-14"/>
              </w:rPr>
              <w:t>：（</w:t>
            </w:r>
            <w:r>
              <w:rPr>
                <w:spacing w:val="19"/>
              </w:rPr>
              <w:t>五）保</w:t>
            </w:r>
            <w:r>
              <w:rPr>
                <w:spacing w:val="3"/>
              </w:rPr>
              <w:t>守执业活动中的秘密；</w:t>
            </w:r>
          </w:p>
        </w:tc>
        <w:tc>
          <w:tcPr>
            <w:tcW w:w="2859" w:type="dxa"/>
            <w:vMerge w:val="restart"/>
            <w:tcBorders>
              <w:bottom w:val="nil"/>
            </w:tcBorders>
            <w:vAlign w:val="top"/>
          </w:tcPr>
          <w:p w14:paraId="7847053C">
            <w:pPr>
              <w:pStyle w:val="6"/>
              <w:spacing w:before="29" w:line="181" w:lineRule="auto"/>
              <w:ind w:left="117" w:right="38" w:hanging="20"/>
            </w:pPr>
            <w:r>
              <w:rPr>
                <w:spacing w:val="10"/>
              </w:rPr>
              <w:t>【部门规章】《注册安全</w:t>
            </w:r>
            <w:r>
              <w:rPr>
                <w:spacing w:val="8"/>
              </w:rPr>
              <w:t>工程师管理规定》第三十二条第四项：注册安全工</w:t>
            </w:r>
            <w:r>
              <w:rPr>
                <w:spacing w:val="7"/>
              </w:rPr>
              <w:t>程师有下列行为之一的，</w:t>
            </w:r>
            <w:r>
              <w:rPr>
                <w:spacing w:val="8"/>
              </w:rPr>
              <w:t>由县级以上安全生产监督管理部门、有关主管部门或者煤矿安全监察机构处三万元以下的罚款；由执业证颁发机关吊销其执业证，当事人五年内不得再</w:t>
            </w:r>
            <w:r>
              <w:rPr>
                <w:spacing w:val="-6"/>
              </w:rPr>
              <w:t>次申请注册；造成损失的，</w:t>
            </w:r>
            <w:r>
              <w:rPr>
                <w:spacing w:val="8"/>
              </w:rPr>
              <w:t>依法承担赔偿责任；构成</w:t>
            </w:r>
            <w:r>
              <w:rPr>
                <w:spacing w:val="4"/>
              </w:rPr>
              <w:t>犯罪的，依法追究刑事责</w:t>
            </w:r>
            <w:r>
              <w:rPr>
                <w:spacing w:val="9"/>
              </w:rPr>
              <w:t>任</w:t>
            </w:r>
            <w:r>
              <w:rPr>
                <w:spacing w:val="6"/>
              </w:rPr>
              <w:t>：（</w:t>
            </w:r>
            <w:r>
              <w:rPr>
                <w:spacing w:val="9"/>
              </w:rPr>
              <w:t>四）泄漏执业过程</w:t>
            </w:r>
          </w:p>
        </w:tc>
        <w:tc>
          <w:tcPr>
            <w:tcW w:w="803" w:type="dxa"/>
            <w:vAlign w:val="top"/>
          </w:tcPr>
          <w:p w14:paraId="01136908">
            <w:pPr>
              <w:spacing w:line="291" w:lineRule="auto"/>
              <w:rPr>
                <w:rFonts w:ascii="Arial"/>
                <w:sz w:val="21"/>
              </w:rPr>
            </w:pPr>
          </w:p>
          <w:p w14:paraId="79672599">
            <w:pPr>
              <w:spacing w:line="292" w:lineRule="auto"/>
              <w:rPr>
                <w:rFonts w:ascii="Arial"/>
                <w:sz w:val="21"/>
              </w:rPr>
            </w:pPr>
          </w:p>
          <w:p w14:paraId="03917B71">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CE59810">
            <w:pPr>
              <w:pStyle w:val="6"/>
              <w:spacing w:before="168" w:line="190" w:lineRule="auto"/>
              <w:ind w:left="123" w:right="108" w:firstLine="2"/>
              <w:jc w:val="both"/>
            </w:pPr>
            <w:r>
              <w:rPr>
                <w:spacing w:val="25"/>
              </w:rPr>
              <w:t>泄漏执业过程中应当保守的秘密并造</w:t>
            </w:r>
            <w:r>
              <w:rPr>
                <w:spacing w:val="14"/>
              </w:rPr>
              <w:t>成</w:t>
            </w:r>
            <w:r>
              <w:rPr>
                <w:rFonts w:ascii="宋体" w:hAnsi="宋体" w:eastAsia="宋体" w:cs="宋体"/>
                <w:spacing w:val="14"/>
              </w:rPr>
              <w:t>5</w:t>
            </w:r>
            <w:r>
              <w:rPr>
                <w:spacing w:val="14"/>
              </w:rPr>
              <w:t>万元以下损失</w:t>
            </w:r>
            <w:r>
              <w:t>的</w:t>
            </w:r>
          </w:p>
        </w:tc>
        <w:tc>
          <w:tcPr>
            <w:tcW w:w="2894" w:type="dxa"/>
            <w:vAlign w:val="top"/>
          </w:tcPr>
          <w:p w14:paraId="1552F851">
            <w:pPr>
              <w:pStyle w:val="6"/>
              <w:spacing w:before="170" w:line="189" w:lineRule="auto"/>
              <w:ind w:left="118" w:right="108"/>
              <w:jc w:val="both"/>
            </w:pPr>
            <w:r>
              <w:rPr>
                <w:spacing w:val="-1"/>
              </w:rPr>
              <w:t>处</w:t>
            </w:r>
            <w:r>
              <w:rPr>
                <w:rFonts w:ascii="宋体" w:hAnsi="宋体" w:eastAsia="宋体" w:cs="宋体"/>
                <w:spacing w:val="-1"/>
              </w:rPr>
              <w:t>1</w:t>
            </w:r>
            <w:r>
              <w:rPr>
                <w:spacing w:val="-1"/>
              </w:rPr>
              <w:t>万元以下的罚款，由</w:t>
            </w:r>
            <w:r>
              <w:rPr>
                <w:spacing w:val="11"/>
              </w:rPr>
              <w:t>执业证颁发机关吊销其执</w:t>
            </w:r>
            <w:r>
              <w:rPr>
                <w:spacing w:val="5"/>
              </w:rPr>
              <w:t>业证，当事人五年内不得</w:t>
            </w:r>
            <w:r>
              <w:rPr>
                <w:spacing w:val="7"/>
              </w:rPr>
              <w:t>再次申请注册</w:t>
            </w:r>
          </w:p>
        </w:tc>
        <w:tc>
          <w:tcPr>
            <w:tcW w:w="811" w:type="dxa"/>
            <w:vMerge w:val="restart"/>
            <w:tcBorders>
              <w:bottom w:val="nil"/>
            </w:tcBorders>
            <w:vAlign w:val="top"/>
          </w:tcPr>
          <w:p w14:paraId="67341CFB">
            <w:pPr>
              <w:rPr>
                <w:rFonts w:ascii="Arial"/>
                <w:sz w:val="21"/>
              </w:rPr>
            </w:pPr>
          </w:p>
        </w:tc>
      </w:tr>
      <w:tr w14:paraId="47964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6" w:hRule="atLeast"/>
        </w:trPr>
        <w:tc>
          <w:tcPr>
            <w:tcW w:w="818" w:type="dxa"/>
            <w:vMerge w:val="continue"/>
            <w:tcBorders>
              <w:top w:val="nil"/>
              <w:bottom w:val="nil"/>
            </w:tcBorders>
            <w:vAlign w:val="top"/>
          </w:tcPr>
          <w:p w14:paraId="310C2B7A">
            <w:pPr>
              <w:rPr>
                <w:rFonts w:ascii="Arial"/>
                <w:sz w:val="21"/>
              </w:rPr>
            </w:pPr>
          </w:p>
        </w:tc>
        <w:tc>
          <w:tcPr>
            <w:tcW w:w="1440" w:type="dxa"/>
            <w:vMerge w:val="continue"/>
            <w:tcBorders>
              <w:top w:val="nil"/>
              <w:bottom w:val="nil"/>
            </w:tcBorders>
            <w:vAlign w:val="top"/>
          </w:tcPr>
          <w:p w14:paraId="186B030F">
            <w:pPr>
              <w:rPr>
                <w:rFonts w:ascii="Arial"/>
                <w:sz w:val="21"/>
              </w:rPr>
            </w:pPr>
          </w:p>
        </w:tc>
        <w:tc>
          <w:tcPr>
            <w:tcW w:w="3202" w:type="dxa"/>
            <w:vMerge w:val="continue"/>
            <w:tcBorders>
              <w:top w:val="nil"/>
              <w:bottom w:val="nil"/>
            </w:tcBorders>
            <w:vAlign w:val="top"/>
          </w:tcPr>
          <w:p w14:paraId="70C21D00">
            <w:pPr>
              <w:rPr>
                <w:rFonts w:ascii="Arial"/>
                <w:sz w:val="21"/>
              </w:rPr>
            </w:pPr>
          </w:p>
        </w:tc>
        <w:tc>
          <w:tcPr>
            <w:tcW w:w="2859" w:type="dxa"/>
            <w:vMerge w:val="continue"/>
            <w:tcBorders>
              <w:top w:val="nil"/>
              <w:bottom w:val="nil"/>
            </w:tcBorders>
            <w:vAlign w:val="top"/>
          </w:tcPr>
          <w:p w14:paraId="53076EFA">
            <w:pPr>
              <w:rPr>
                <w:rFonts w:ascii="Arial"/>
                <w:sz w:val="21"/>
              </w:rPr>
            </w:pPr>
          </w:p>
        </w:tc>
        <w:tc>
          <w:tcPr>
            <w:tcW w:w="803" w:type="dxa"/>
            <w:vAlign w:val="top"/>
          </w:tcPr>
          <w:p w14:paraId="3D559809">
            <w:pPr>
              <w:spacing w:line="293" w:lineRule="auto"/>
              <w:rPr>
                <w:rFonts w:ascii="Arial"/>
                <w:sz w:val="21"/>
              </w:rPr>
            </w:pPr>
          </w:p>
          <w:p w14:paraId="58F10298">
            <w:pPr>
              <w:spacing w:line="293" w:lineRule="auto"/>
              <w:rPr>
                <w:rFonts w:ascii="Arial"/>
                <w:sz w:val="21"/>
              </w:rPr>
            </w:pPr>
          </w:p>
          <w:p w14:paraId="164BC01F">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9D7C5BE">
            <w:pPr>
              <w:pStyle w:val="6"/>
              <w:spacing w:before="169" w:line="189" w:lineRule="auto"/>
              <w:ind w:left="123" w:right="105" w:firstLine="2"/>
              <w:jc w:val="both"/>
            </w:pPr>
            <w:r>
              <w:rPr>
                <w:spacing w:val="25"/>
              </w:rPr>
              <w:t>泄漏执业过程中应当保守的秘密并造</w:t>
            </w:r>
            <w:r>
              <w:rPr>
                <w:spacing w:val="-2"/>
              </w:rPr>
              <w:t>成</w:t>
            </w:r>
            <w:r>
              <w:rPr>
                <w:rFonts w:ascii="宋体" w:hAnsi="宋体" w:eastAsia="宋体" w:cs="宋体"/>
                <w:spacing w:val="-2"/>
              </w:rPr>
              <w:t>5</w:t>
            </w:r>
            <w:r>
              <w:rPr>
                <w:spacing w:val="-2"/>
              </w:rPr>
              <w:t>万元以上</w:t>
            </w:r>
            <w:r>
              <w:rPr>
                <w:rFonts w:ascii="宋体" w:hAnsi="宋体" w:eastAsia="宋体" w:cs="宋体"/>
                <w:spacing w:val="-2"/>
              </w:rPr>
              <w:t>10</w:t>
            </w:r>
            <w:r>
              <w:rPr>
                <w:spacing w:val="-2"/>
              </w:rPr>
              <w:t>万</w:t>
            </w:r>
            <w:r>
              <w:rPr>
                <w:spacing w:val="6"/>
              </w:rPr>
              <w:t>元以下损失的</w:t>
            </w:r>
          </w:p>
        </w:tc>
        <w:tc>
          <w:tcPr>
            <w:tcW w:w="2894" w:type="dxa"/>
            <w:vAlign w:val="top"/>
          </w:tcPr>
          <w:p w14:paraId="0D578CD2">
            <w:pPr>
              <w:pStyle w:val="6"/>
              <w:spacing w:before="169" w:line="189" w:lineRule="auto"/>
              <w:ind w:left="126" w:right="106" w:hanging="7"/>
              <w:jc w:val="both"/>
            </w:pPr>
            <w:r>
              <w:rPr>
                <w:spacing w:val="2"/>
              </w:rPr>
              <w:t>处</w:t>
            </w:r>
            <w:r>
              <w:rPr>
                <w:rFonts w:ascii="宋体" w:hAnsi="宋体" w:eastAsia="宋体" w:cs="宋体"/>
                <w:spacing w:val="2"/>
              </w:rPr>
              <w:t>1</w:t>
            </w:r>
            <w:r>
              <w:rPr>
                <w:spacing w:val="2"/>
              </w:rPr>
              <w:t>万元以上</w:t>
            </w:r>
            <w:r>
              <w:rPr>
                <w:rFonts w:ascii="宋体" w:hAnsi="宋体" w:eastAsia="宋体" w:cs="宋体"/>
                <w:spacing w:val="2"/>
              </w:rPr>
              <w:t>2</w:t>
            </w:r>
            <w:r>
              <w:rPr>
                <w:spacing w:val="2"/>
              </w:rPr>
              <w:t>万元以下</w:t>
            </w:r>
            <w:r>
              <w:rPr>
                <w:spacing w:val="4"/>
              </w:rPr>
              <w:t>的罚款，由执业证颁发机关吊销其执业证，当事人</w:t>
            </w:r>
            <w:r>
              <w:rPr>
                <w:spacing w:val="7"/>
              </w:rPr>
              <w:t>五年内不得再次申请注册</w:t>
            </w:r>
          </w:p>
        </w:tc>
        <w:tc>
          <w:tcPr>
            <w:tcW w:w="811" w:type="dxa"/>
            <w:vMerge w:val="continue"/>
            <w:tcBorders>
              <w:top w:val="nil"/>
              <w:bottom w:val="nil"/>
            </w:tcBorders>
            <w:vAlign w:val="top"/>
          </w:tcPr>
          <w:p w14:paraId="14E877D0">
            <w:pPr>
              <w:rPr>
                <w:rFonts w:ascii="Arial"/>
                <w:sz w:val="21"/>
              </w:rPr>
            </w:pPr>
          </w:p>
        </w:tc>
      </w:tr>
      <w:tr w14:paraId="43F5B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1" w:hRule="atLeast"/>
        </w:trPr>
        <w:tc>
          <w:tcPr>
            <w:tcW w:w="818" w:type="dxa"/>
            <w:vMerge w:val="continue"/>
            <w:tcBorders>
              <w:top w:val="nil"/>
            </w:tcBorders>
            <w:vAlign w:val="top"/>
          </w:tcPr>
          <w:p w14:paraId="685C48FA">
            <w:pPr>
              <w:rPr>
                <w:rFonts w:ascii="Arial"/>
                <w:sz w:val="21"/>
              </w:rPr>
            </w:pPr>
          </w:p>
        </w:tc>
        <w:tc>
          <w:tcPr>
            <w:tcW w:w="1440" w:type="dxa"/>
            <w:vMerge w:val="continue"/>
            <w:tcBorders>
              <w:top w:val="nil"/>
            </w:tcBorders>
            <w:vAlign w:val="top"/>
          </w:tcPr>
          <w:p w14:paraId="3458A0D1">
            <w:pPr>
              <w:rPr>
                <w:rFonts w:ascii="Arial"/>
                <w:sz w:val="21"/>
              </w:rPr>
            </w:pPr>
          </w:p>
        </w:tc>
        <w:tc>
          <w:tcPr>
            <w:tcW w:w="3202" w:type="dxa"/>
            <w:vMerge w:val="continue"/>
            <w:tcBorders>
              <w:top w:val="nil"/>
            </w:tcBorders>
            <w:vAlign w:val="top"/>
          </w:tcPr>
          <w:p w14:paraId="44696FDF">
            <w:pPr>
              <w:rPr>
                <w:rFonts w:ascii="Arial"/>
                <w:sz w:val="21"/>
              </w:rPr>
            </w:pPr>
          </w:p>
        </w:tc>
        <w:tc>
          <w:tcPr>
            <w:tcW w:w="2859" w:type="dxa"/>
            <w:vMerge w:val="continue"/>
            <w:tcBorders>
              <w:top w:val="nil"/>
            </w:tcBorders>
            <w:vAlign w:val="top"/>
          </w:tcPr>
          <w:p w14:paraId="61D5533A">
            <w:pPr>
              <w:rPr>
                <w:rFonts w:ascii="Arial"/>
                <w:sz w:val="21"/>
              </w:rPr>
            </w:pPr>
          </w:p>
        </w:tc>
        <w:tc>
          <w:tcPr>
            <w:tcW w:w="803" w:type="dxa"/>
            <w:vAlign w:val="top"/>
          </w:tcPr>
          <w:p w14:paraId="5C801FFF">
            <w:pPr>
              <w:spacing w:line="466" w:lineRule="auto"/>
              <w:rPr>
                <w:rFonts w:ascii="Arial"/>
                <w:sz w:val="21"/>
              </w:rPr>
            </w:pPr>
          </w:p>
          <w:p w14:paraId="327CDDCD">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CC54C4F">
            <w:pPr>
              <w:pStyle w:val="6"/>
              <w:spacing w:before="47" w:line="180" w:lineRule="auto"/>
              <w:ind w:left="123" w:right="108" w:firstLine="2"/>
              <w:jc w:val="both"/>
            </w:pPr>
            <w:r>
              <w:rPr>
                <w:spacing w:val="25"/>
              </w:rPr>
              <w:t>泄漏执业过程中应当保守的秘密并造</w:t>
            </w:r>
            <w:r>
              <w:rPr>
                <w:spacing w:val="2"/>
              </w:rPr>
              <w:t>成</w:t>
            </w:r>
            <w:r>
              <w:rPr>
                <w:rFonts w:ascii="宋体" w:hAnsi="宋体" w:eastAsia="宋体" w:cs="宋体"/>
                <w:spacing w:val="2"/>
              </w:rPr>
              <w:t>10</w:t>
            </w:r>
            <w:r>
              <w:rPr>
                <w:spacing w:val="2"/>
              </w:rPr>
              <w:t>万元以上损失</w:t>
            </w:r>
            <w:r>
              <w:t>的</w:t>
            </w:r>
          </w:p>
        </w:tc>
        <w:tc>
          <w:tcPr>
            <w:tcW w:w="2894" w:type="dxa"/>
            <w:vAlign w:val="top"/>
          </w:tcPr>
          <w:p w14:paraId="5E05A6CD">
            <w:pPr>
              <w:pStyle w:val="6"/>
              <w:spacing w:before="47" w:line="180" w:lineRule="auto"/>
              <w:ind w:left="126" w:right="106" w:hanging="7"/>
              <w:jc w:val="both"/>
            </w:pPr>
            <w:r>
              <w:rPr>
                <w:spacing w:val="3"/>
              </w:rPr>
              <w:t>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万元以下</w:t>
            </w:r>
            <w:r>
              <w:rPr>
                <w:spacing w:val="4"/>
              </w:rPr>
              <w:t>的罚款，由执业证颁发机关吊销其执业证，当事人</w:t>
            </w:r>
            <w:r>
              <w:rPr>
                <w:spacing w:val="7"/>
              </w:rPr>
              <w:t>五年内不得再次申请注册</w:t>
            </w:r>
          </w:p>
        </w:tc>
        <w:tc>
          <w:tcPr>
            <w:tcW w:w="811" w:type="dxa"/>
            <w:vMerge w:val="continue"/>
            <w:tcBorders>
              <w:top w:val="nil"/>
            </w:tcBorders>
            <w:vAlign w:val="top"/>
          </w:tcPr>
          <w:p w14:paraId="4E58FDC6">
            <w:pPr>
              <w:rPr>
                <w:rFonts w:ascii="Arial"/>
                <w:sz w:val="21"/>
              </w:rPr>
            </w:pPr>
          </w:p>
        </w:tc>
      </w:tr>
    </w:tbl>
    <w:p w14:paraId="6D94B988">
      <w:pPr>
        <w:pStyle w:val="2"/>
      </w:pPr>
    </w:p>
    <w:p w14:paraId="59BCAFBD">
      <w:pPr>
        <w:sectPr>
          <w:footerReference r:id="rId80" w:type="default"/>
          <w:pgSz w:w="16839" w:h="11906"/>
          <w:pgMar w:top="1012" w:right="821" w:bottom="666" w:left="901" w:header="0" w:footer="388" w:gutter="0"/>
          <w:cols w:space="720" w:num="1"/>
        </w:sectPr>
      </w:pPr>
    </w:p>
    <w:p w14:paraId="204135FE">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1146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C3041D6">
            <w:pPr>
              <w:spacing w:before="222" w:line="241" w:lineRule="auto"/>
              <w:ind w:left="131"/>
              <w:rPr>
                <w:rFonts w:ascii="黑体" w:hAnsi="黑体" w:eastAsia="黑体" w:cs="黑体"/>
                <w:sz w:val="28"/>
                <w:szCs w:val="28"/>
              </w:rPr>
            </w:pPr>
            <w:bookmarkStart w:id="465" w:name="bookmark137"/>
            <w:bookmarkEnd w:id="465"/>
            <w:r>
              <w:rPr>
                <w:rFonts w:ascii="黑体" w:hAnsi="黑体" w:eastAsia="黑体" w:cs="黑体"/>
                <w:spacing w:val="-2"/>
                <w:sz w:val="28"/>
                <w:szCs w:val="28"/>
              </w:rPr>
              <w:t>序号</w:t>
            </w:r>
          </w:p>
        </w:tc>
        <w:tc>
          <w:tcPr>
            <w:tcW w:w="1440" w:type="dxa"/>
            <w:vAlign w:val="top"/>
          </w:tcPr>
          <w:p w14:paraId="1F0655F0">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17D0C9A">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B7E7331">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FAEED28">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EF48ED9">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31F08CD1">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60CF187">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9EEF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18" w:type="dxa"/>
            <w:vAlign w:val="top"/>
          </w:tcPr>
          <w:p w14:paraId="72E97C86">
            <w:pPr>
              <w:rPr>
                <w:rFonts w:ascii="Arial"/>
                <w:sz w:val="21"/>
              </w:rPr>
            </w:pPr>
          </w:p>
        </w:tc>
        <w:tc>
          <w:tcPr>
            <w:tcW w:w="1440" w:type="dxa"/>
            <w:vAlign w:val="top"/>
          </w:tcPr>
          <w:p w14:paraId="5F9F5E01">
            <w:pPr>
              <w:rPr>
                <w:rFonts w:ascii="Arial"/>
                <w:sz w:val="21"/>
              </w:rPr>
            </w:pPr>
          </w:p>
        </w:tc>
        <w:tc>
          <w:tcPr>
            <w:tcW w:w="3202" w:type="dxa"/>
            <w:vAlign w:val="top"/>
          </w:tcPr>
          <w:p w14:paraId="10A775BD">
            <w:pPr>
              <w:rPr>
                <w:rFonts w:ascii="Arial"/>
                <w:sz w:val="21"/>
              </w:rPr>
            </w:pPr>
          </w:p>
        </w:tc>
        <w:tc>
          <w:tcPr>
            <w:tcW w:w="2859" w:type="dxa"/>
            <w:vAlign w:val="top"/>
          </w:tcPr>
          <w:p w14:paraId="50270345">
            <w:pPr>
              <w:pStyle w:val="6"/>
              <w:spacing w:before="29" w:line="172" w:lineRule="auto"/>
              <w:ind w:left="119" w:right="110" w:firstLine="30"/>
            </w:pPr>
            <w:r>
              <w:rPr>
                <w:spacing w:val="5"/>
              </w:rPr>
              <w:t>中应当保守的秘密并造成</w:t>
            </w:r>
            <w:r>
              <w:rPr>
                <w:spacing w:val="-1"/>
              </w:rPr>
              <w:t>严重后果的；</w:t>
            </w:r>
          </w:p>
        </w:tc>
        <w:tc>
          <w:tcPr>
            <w:tcW w:w="803" w:type="dxa"/>
            <w:vAlign w:val="top"/>
          </w:tcPr>
          <w:p w14:paraId="275A755E">
            <w:pPr>
              <w:rPr>
                <w:rFonts w:ascii="Arial"/>
                <w:sz w:val="21"/>
              </w:rPr>
            </w:pPr>
          </w:p>
        </w:tc>
        <w:tc>
          <w:tcPr>
            <w:tcW w:w="2283" w:type="dxa"/>
            <w:vAlign w:val="top"/>
          </w:tcPr>
          <w:p w14:paraId="252ACEAE">
            <w:pPr>
              <w:rPr>
                <w:rFonts w:ascii="Arial"/>
                <w:sz w:val="21"/>
              </w:rPr>
            </w:pPr>
          </w:p>
        </w:tc>
        <w:tc>
          <w:tcPr>
            <w:tcW w:w="2894" w:type="dxa"/>
            <w:vAlign w:val="top"/>
          </w:tcPr>
          <w:p w14:paraId="593F1257">
            <w:pPr>
              <w:rPr>
                <w:rFonts w:ascii="Arial"/>
                <w:sz w:val="21"/>
              </w:rPr>
            </w:pPr>
          </w:p>
        </w:tc>
        <w:tc>
          <w:tcPr>
            <w:tcW w:w="811" w:type="dxa"/>
            <w:vAlign w:val="top"/>
          </w:tcPr>
          <w:p w14:paraId="75191478">
            <w:pPr>
              <w:rPr>
                <w:rFonts w:ascii="Arial"/>
                <w:sz w:val="21"/>
              </w:rPr>
            </w:pPr>
          </w:p>
        </w:tc>
      </w:tr>
      <w:tr w14:paraId="79F05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4" w:hRule="atLeast"/>
        </w:trPr>
        <w:tc>
          <w:tcPr>
            <w:tcW w:w="818" w:type="dxa"/>
            <w:vMerge w:val="restart"/>
            <w:tcBorders>
              <w:bottom w:val="nil"/>
            </w:tcBorders>
            <w:vAlign w:val="top"/>
          </w:tcPr>
          <w:p w14:paraId="02EF9467">
            <w:pPr>
              <w:spacing w:line="243" w:lineRule="auto"/>
              <w:rPr>
                <w:rFonts w:ascii="Arial"/>
                <w:sz w:val="21"/>
              </w:rPr>
            </w:pPr>
          </w:p>
          <w:p w14:paraId="5F6302F6">
            <w:pPr>
              <w:spacing w:line="243" w:lineRule="auto"/>
              <w:rPr>
                <w:rFonts w:ascii="Arial"/>
                <w:sz w:val="21"/>
              </w:rPr>
            </w:pPr>
          </w:p>
          <w:p w14:paraId="3FAB4555">
            <w:pPr>
              <w:spacing w:line="243" w:lineRule="auto"/>
              <w:rPr>
                <w:rFonts w:ascii="Arial"/>
                <w:sz w:val="21"/>
              </w:rPr>
            </w:pPr>
          </w:p>
          <w:p w14:paraId="011EE2A3">
            <w:pPr>
              <w:spacing w:line="243" w:lineRule="auto"/>
              <w:rPr>
                <w:rFonts w:ascii="Arial"/>
                <w:sz w:val="21"/>
              </w:rPr>
            </w:pPr>
          </w:p>
          <w:p w14:paraId="4A1AC974">
            <w:pPr>
              <w:spacing w:line="243" w:lineRule="auto"/>
              <w:rPr>
                <w:rFonts w:ascii="Arial"/>
                <w:sz w:val="21"/>
              </w:rPr>
            </w:pPr>
          </w:p>
          <w:p w14:paraId="74E74087">
            <w:pPr>
              <w:spacing w:line="244" w:lineRule="auto"/>
              <w:rPr>
                <w:rFonts w:ascii="Arial"/>
                <w:sz w:val="21"/>
              </w:rPr>
            </w:pPr>
          </w:p>
          <w:p w14:paraId="1FB1F340">
            <w:pPr>
              <w:spacing w:line="244" w:lineRule="auto"/>
              <w:rPr>
                <w:rFonts w:ascii="Arial"/>
                <w:sz w:val="21"/>
              </w:rPr>
            </w:pPr>
          </w:p>
          <w:p w14:paraId="38F239E9">
            <w:pPr>
              <w:spacing w:line="244" w:lineRule="auto"/>
              <w:rPr>
                <w:rFonts w:ascii="Arial"/>
                <w:sz w:val="21"/>
              </w:rPr>
            </w:pPr>
          </w:p>
          <w:p w14:paraId="7FC85729">
            <w:pPr>
              <w:spacing w:line="244" w:lineRule="auto"/>
              <w:rPr>
                <w:rFonts w:ascii="Arial"/>
                <w:sz w:val="21"/>
              </w:rPr>
            </w:pPr>
          </w:p>
          <w:p w14:paraId="22C98A66">
            <w:pPr>
              <w:spacing w:line="244" w:lineRule="auto"/>
              <w:rPr>
                <w:rFonts w:ascii="Arial"/>
                <w:sz w:val="21"/>
              </w:rPr>
            </w:pPr>
          </w:p>
          <w:p w14:paraId="50501299">
            <w:pPr>
              <w:spacing w:before="75" w:line="185" w:lineRule="auto"/>
              <w:ind w:left="236"/>
              <w:rPr>
                <w:rFonts w:ascii="仿宋" w:hAnsi="仿宋" w:eastAsia="仿宋" w:cs="仿宋"/>
                <w:sz w:val="23"/>
                <w:szCs w:val="23"/>
              </w:rPr>
            </w:pPr>
            <w:r>
              <w:rPr>
                <w:rFonts w:ascii="仿宋" w:hAnsi="仿宋" w:eastAsia="仿宋" w:cs="仿宋"/>
                <w:spacing w:val="-2"/>
                <w:sz w:val="23"/>
                <w:szCs w:val="23"/>
              </w:rPr>
              <w:t>66</w:t>
            </w:r>
          </w:p>
        </w:tc>
        <w:tc>
          <w:tcPr>
            <w:tcW w:w="1440" w:type="dxa"/>
            <w:vMerge w:val="restart"/>
            <w:tcBorders>
              <w:bottom w:val="nil"/>
            </w:tcBorders>
            <w:vAlign w:val="top"/>
          </w:tcPr>
          <w:p w14:paraId="1C7F0C70">
            <w:pPr>
              <w:spacing w:line="245" w:lineRule="auto"/>
              <w:rPr>
                <w:rFonts w:ascii="Arial"/>
                <w:sz w:val="21"/>
              </w:rPr>
            </w:pPr>
          </w:p>
          <w:p w14:paraId="0DEF2DFA">
            <w:pPr>
              <w:spacing w:line="245" w:lineRule="auto"/>
              <w:rPr>
                <w:rFonts w:ascii="Arial"/>
                <w:sz w:val="21"/>
              </w:rPr>
            </w:pPr>
          </w:p>
          <w:p w14:paraId="77C632FB">
            <w:pPr>
              <w:spacing w:line="245" w:lineRule="auto"/>
              <w:rPr>
                <w:rFonts w:ascii="Arial"/>
                <w:sz w:val="21"/>
              </w:rPr>
            </w:pPr>
          </w:p>
          <w:p w14:paraId="5B103D59">
            <w:pPr>
              <w:spacing w:line="245" w:lineRule="auto"/>
              <w:rPr>
                <w:rFonts w:ascii="Arial"/>
                <w:sz w:val="21"/>
              </w:rPr>
            </w:pPr>
          </w:p>
          <w:p w14:paraId="7A01F261">
            <w:pPr>
              <w:spacing w:line="245" w:lineRule="auto"/>
              <w:rPr>
                <w:rFonts w:ascii="Arial"/>
                <w:sz w:val="21"/>
              </w:rPr>
            </w:pPr>
          </w:p>
          <w:p w14:paraId="299F652D">
            <w:pPr>
              <w:spacing w:line="246" w:lineRule="auto"/>
              <w:rPr>
                <w:rFonts w:ascii="Arial"/>
                <w:sz w:val="21"/>
              </w:rPr>
            </w:pPr>
          </w:p>
          <w:p w14:paraId="6B71FA57">
            <w:pPr>
              <w:pStyle w:val="6"/>
              <w:spacing w:before="98" w:line="182" w:lineRule="auto"/>
              <w:ind w:left="118"/>
              <w:outlineLvl w:val="0"/>
            </w:pPr>
            <w:r>
              <w:rPr>
                <w:spacing w:val="10"/>
              </w:rPr>
              <w:t>注册安全工</w:t>
            </w:r>
          </w:p>
          <w:p w14:paraId="0FD8F843">
            <w:pPr>
              <w:pStyle w:val="6"/>
              <w:spacing w:before="3" w:line="187" w:lineRule="auto"/>
              <w:ind w:left="114" w:right="111" w:firstLine="4"/>
            </w:pPr>
            <w:r>
              <w:rPr>
                <w:spacing w:val="10"/>
              </w:rPr>
              <w:t>程师利用执</w:t>
            </w:r>
            <w:r>
              <w:rPr>
                <w:spacing w:val="4"/>
              </w:rPr>
              <w:t>业之便，贪</w:t>
            </w:r>
            <w:r>
              <w:rPr>
                <w:spacing w:val="6"/>
              </w:rPr>
              <w:t>污、索贿、</w:t>
            </w:r>
            <w:r>
              <w:rPr>
                <w:spacing w:val="11"/>
              </w:rPr>
              <w:t>受贿或者谋取不正当利</w:t>
            </w:r>
            <w:r>
              <w:rPr>
                <w:spacing w:val="3"/>
              </w:rPr>
              <w:t>益的</w:t>
            </w:r>
          </w:p>
        </w:tc>
        <w:tc>
          <w:tcPr>
            <w:tcW w:w="3202" w:type="dxa"/>
            <w:vMerge w:val="restart"/>
            <w:tcBorders>
              <w:bottom w:val="nil"/>
            </w:tcBorders>
            <w:vAlign w:val="top"/>
          </w:tcPr>
          <w:p w14:paraId="3437847A">
            <w:pPr>
              <w:pStyle w:val="6"/>
              <w:spacing w:before="27" w:line="188" w:lineRule="auto"/>
              <w:ind w:left="121" w:right="111" w:hanging="23"/>
            </w:pPr>
            <w:r>
              <w:rPr>
                <w:spacing w:val="18"/>
              </w:rPr>
              <w:t>【部门规章】《注册安全工</w:t>
            </w:r>
            <w:r>
              <w:rPr>
                <w:spacing w:val="13"/>
              </w:rPr>
              <w:t>程师管理规定》第四条：注</w:t>
            </w:r>
            <w:r>
              <w:rPr>
                <w:spacing w:val="17"/>
              </w:rPr>
              <w:t>册安全工程师应当严格执行</w:t>
            </w:r>
            <w:bookmarkStart w:id="466" w:name="bookmark139"/>
            <w:bookmarkEnd w:id="466"/>
            <w:r>
              <w:rPr>
                <w:spacing w:val="12"/>
              </w:rPr>
              <w:t>国家法律、法规和本规定，</w:t>
            </w:r>
            <w:r>
              <w:rPr>
                <w:spacing w:val="5"/>
              </w:rPr>
              <w:t>恪守职业道德和执业准则。</w:t>
            </w:r>
          </w:p>
        </w:tc>
        <w:tc>
          <w:tcPr>
            <w:tcW w:w="2859" w:type="dxa"/>
            <w:vMerge w:val="restart"/>
            <w:tcBorders>
              <w:bottom w:val="nil"/>
            </w:tcBorders>
            <w:vAlign w:val="top"/>
          </w:tcPr>
          <w:p w14:paraId="7634C51A">
            <w:pPr>
              <w:pStyle w:val="6"/>
              <w:spacing w:before="32" w:line="184" w:lineRule="auto"/>
              <w:ind w:left="115" w:right="37" w:hanging="18"/>
            </w:pPr>
            <w:r>
              <w:rPr>
                <w:spacing w:val="10"/>
              </w:rPr>
              <w:t>【部门规章】《注册安全</w:t>
            </w:r>
            <w:r>
              <w:rPr>
                <w:spacing w:val="8"/>
              </w:rPr>
              <w:t>工程师管理规定》第三十二条第五项：注册安全工</w:t>
            </w:r>
            <w:r>
              <w:rPr>
                <w:spacing w:val="7"/>
              </w:rPr>
              <w:t>程师有下列行为之一的，</w:t>
            </w:r>
            <w:r>
              <w:rPr>
                <w:spacing w:val="8"/>
              </w:rPr>
              <w:t>由县级以上安全生产监督管理部门、有关主管部门或者煤矿安全监察机构处三万元以下的罚款；由执业证颁发机关吊销其执业证，当事人五年内不得再</w:t>
            </w:r>
            <w:r>
              <w:rPr>
                <w:spacing w:val="-6"/>
              </w:rPr>
              <w:t>次申请注册；造成损失的，</w:t>
            </w:r>
            <w:r>
              <w:rPr>
                <w:spacing w:val="8"/>
              </w:rPr>
              <w:t>依法承担赔偿责任；构成</w:t>
            </w:r>
            <w:r>
              <w:rPr>
                <w:spacing w:val="4"/>
              </w:rPr>
              <w:t>犯罪的，依法追究刑事责</w:t>
            </w:r>
            <w:r>
              <w:rPr>
                <w:spacing w:val="-1"/>
              </w:rPr>
              <w:t>任</w:t>
            </w:r>
            <w:r>
              <w:rPr>
                <w:spacing w:val="-26"/>
              </w:rPr>
              <w:t>：（</w:t>
            </w:r>
            <w:r>
              <w:rPr>
                <w:spacing w:val="-1"/>
              </w:rPr>
              <w:t>五）利用执业之便，</w:t>
            </w:r>
            <w:r>
              <w:rPr>
                <w:spacing w:val="8"/>
              </w:rPr>
              <w:t>贪污、索贿、受贿或者谋</w:t>
            </w:r>
            <w:r>
              <w:rPr>
                <w:spacing w:val="2"/>
              </w:rPr>
              <w:t>取不正当利益的；</w:t>
            </w:r>
          </w:p>
        </w:tc>
        <w:tc>
          <w:tcPr>
            <w:tcW w:w="803" w:type="dxa"/>
            <w:vAlign w:val="top"/>
          </w:tcPr>
          <w:p w14:paraId="482DF82C">
            <w:pPr>
              <w:spacing w:line="333" w:lineRule="auto"/>
              <w:rPr>
                <w:rFonts w:ascii="Arial"/>
                <w:sz w:val="21"/>
              </w:rPr>
            </w:pPr>
          </w:p>
          <w:p w14:paraId="0549D5E5">
            <w:pPr>
              <w:spacing w:line="333" w:lineRule="auto"/>
              <w:rPr>
                <w:rFonts w:ascii="Arial"/>
                <w:sz w:val="21"/>
              </w:rPr>
            </w:pPr>
          </w:p>
          <w:p w14:paraId="5695F136">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B9C76DD">
            <w:pPr>
              <w:pStyle w:val="6"/>
              <w:spacing w:before="253" w:line="182" w:lineRule="auto"/>
              <w:ind w:left="119"/>
              <w:outlineLvl w:val="0"/>
            </w:pPr>
            <w:r>
              <w:rPr>
                <w:spacing w:val="16"/>
              </w:rPr>
              <w:t>利用执业之便，贪</w:t>
            </w:r>
          </w:p>
          <w:p w14:paraId="6B518CE4">
            <w:pPr>
              <w:pStyle w:val="6"/>
              <w:spacing w:before="1" w:line="191" w:lineRule="auto"/>
              <w:ind w:left="115" w:right="105" w:firstLine="8"/>
              <w:jc w:val="both"/>
            </w:pPr>
            <w:r>
              <w:rPr>
                <w:spacing w:val="-3"/>
              </w:rPr>
              <w:t>污、索贿、受贿或者</w:t>
            </w:r>
            <w:r>
              <w:rPr>
                <w:spacing w:val="26"/>
              </w:rPr>
              <w:t>谋取不正当利益</w:t>
            </w:r>
            <w:r>
              <w:rPr>
                <w:rFonts w:ascii="宋体" w:hAnsi="宋体" w:eastAsia="宋体" w:cs="宋体"/>
                <w:spacing w:val="26"/>
              </w:rPr>
              <w:t>1</w:t>
            </w:r>
            <w:r>
              <w:rPr>
                <w:spacing w:val="7"/>
              </w:rPr>
              <w:t>万元以下的</w:t>
            </w:r>
          </w:p>
        </w:tc>
        <w:tc>
          <w:tcPr>
            <w:tcW w:w="2894" w:type="dxa"/>
            <w:vAlign w:val="top"/>
          </w:tcPr>
          <w:p w14:paraId="4624B42D">
            <w:pPr>
              <w:pStyle w:val="6"/>
              <w:spacing w:before="253" w:line="189" w:lineRule="auto"/>
              <w:ind w:left="118" w:right="108"/>
              <w:jc w:val="both"/>
            </w:pPr>
            <w:r>
              <w:rPr>
                <w:spacing w:val="-1"/>
              </w:rPr>
              <w:t>处</w:t>
            </w:r>
            <w:r>
              <w:rPr>
                <w:rFonts w:ascii="宋体" w:hAnsi="宋体" w:eastAsia="宋体" w:cs="宋体"/>
                <w:spacing w:val="-1"/>
              </w:rPr>
              <w:t>1</w:t>
            </w:r>
            <w:r>
              <w:rPr>
                <w:spacing w:val="-1"/>
              </w:rPr>
              <w:t>万元以下的罚款，由</w:t>
            </w:r>
            <w:r>
              <w:rPr>
                <w:spacing w:val="11"/>
              </w:rPr>
              <w:t>执业证颁发机关吊销其执</w:t>
            </w:r>
            <w:r>
              <w:rPr>
                <w:spacing w:val="5"/>
              </w:rPr>
              <w:t>业证，当事人五年内不得</w:t>
            </w:r>
            <w:r>
              <w:rPr>
                <w:spacing w:val="7"/>
              </w:rPr>
              <w:t>再次申请注册</w:t>
            </w:r>
          </w:p>
        </w:tc>
        <w:tc>
          <w:tcPr>
            <w:tcW w:w="811" w:type="dxa"/>
            <w:vMerge w:val="restart"/>
            <w:tcBorders>
              <w:bottom w:val="nil"/>
            </w:tcBorders>
            <w:vAlign w:val="top"/>
          </w:tcPr>
          <w:p w14:paraId="284C851E">
            <w:pPr>
              <w:rPr>
                <w:rFonts w:ascii="Arial"/>
                <w:sz w:val="21"/>
              </w:rPr>
            </w:pPr>
          </w:p>
        </w:tc>
      </w:tr>
      <w:tr w14:paraId="10F85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3" w:hRule="atLeast"/>
        </w:trPr>
        <w:tc>
          <w:tcPr>
            <w:tcW w:w="818" w:type="dxa"/>
            <w:vMerge w:val="continue"/>
            <w:tcBorders>
              <w:top w:val="nil"/>
              <w:bottom w:val="nil"/>
            </w:tcBorders>
            <w:vAlign w:val="top"/>
          </w:tcPr>
          <w:p w14:paraId="5657C34E">
            <w:pPr>
              <w:rPr>
                <w:rFonts w:ascii="Arial"/>
                <w:sz w:val="21"/>
              </w:rPr>
            </w:pPr>
          </w:p>
        </w:tc>
        <w:tc>
          <w:tcPr>
            <w:tcW w:w="1440" w:type="dxa"/>
            <w:vMerge w:val="continue"/>
            <w:tcBorders>
              <w:top w:val="nil"/>
              <w:bottom w:val="nil"/>
            </w:tcBorders>
            <w:vAlign w:val="top"/>
          </w:tcPr>
          <w:p w14:paraId="1197D98E">
            <w:pPr>
              <w:rPr>
                <w:rFonts w:ascii="Arial"/>
                <w:sz w:val="21"/>
              </w:rPr>
            </w:pPr>
          </w:p>
        </w:tc>
        <w:tc>
          <w:tcPr>
            <w:tcW w:w="3202" w:type="dxa"/>
            <w:vMerge w:val="continue"/>
            <w:tcBorders>
              <w:top w:val="nil"/>
              <w:bottom w:val="nil"/>
            </w:tcBorders>
            <w:vAlign w:val="top"/>
          </w:tcPr>
          <w:p w14:paraId="55DCECAE">
            <w:pPr>
              <w:rPr>
                <w:rFonts w:ascii="Arial"/>
                <w:sz w:val="21"/>
              </w:rPr>
            </w:pPr>
          </w:p>
        </w:tc>
        <w:tc>
          <w:tcPr>
            <w:tcW w:w="2859" w:type="dxa"/>
            <w:vMerge w:val="continue"/>
            <w:tcBorders>
              <w:top w:val="nil"/>
              <w:bottom w:val="nil"/>
            </w:tcBorders>
            <w:vAlign w:val="top"/>
          </w:tcPr>
          <w:p w14:paraId="68B28711">
            <w:pPr>
              <w:rPr>
                <w:rFonts w:ascii="Arial"/>
                <w:sz w:val="21"/>
              </w:rPr>
            </w:pPr>
          </w:p>
        </w:tc>
        <w:tc>
          <w:tcPr>
            <w:tcW w:w="803" w:type="dxa"/>
            <w:vAlign w:val="top"/>
          </w:tcPr>
          <w:p w14:paraId="780D3BE6">
            <w:pPr>
              <w:spacing w:line="357" w:lineRule="auto"/>
              <w:rPr>
                <w:rFonts w:ascii="Arial"/>
                <w:sz w:val="21"/>
              </w:rPr>
            </w:pPr>
          </w:p>
          <w:p w14:paraId="1CCE91F9">
            <w:pPr>
              <w:spacing w:line="358" w:lineRule="auto"/>
              <w:rPr>
                <w:rFonts w:ascii="Arial"/>
                <w:sz w:val="21"/>
              </w:rPr>
            </w:pPr>
          </w:p>
          <w:p w14:paraId="45D08F76">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502CAEB">
            <w:pPr>
              <w:pStyle w:val="6"/>
              <w:spacing w:before="150" w:line="188" w:lineRule="auto"/>
              <w:ind w:left="115" w:right="105" w:firstLine="3"/>
              <w:jc w:val="both"/>
            </w:pPr>
            <w:r>
              <w:rPr>
                <w:spacing w:val="15"/>
              </w:rPr>
              <w:t>利用执业之便，贪</w:t>
            </w:r>
            <w:r>
              <w:rPr>
                <w:spacing w:val="-2"/>
              </w:rPr>
              <w:t>污、索贿、受贿或者</w:t>
            </w:r>
            <w:r>
              <w:rPr>
                <w:spacing w:val="26"/>
              </w:rPr>
              <w:t>谋取不正当利益</w:t>
            </w:r>
            <w:r>
              <w:rPr>
                <w:rFonts w:ascii="宋体" w:hAnsi="宋体" w:eastAsia="宋体" w:cs="宋体"/>
                <w:spacing w:val="26"/>
              </w:rPr>
              <w:t>1</w:t>
            </w:r>
            <w:r>
              <w:rPr>
                <w:spacing w:val="16"/>
              </w:rPr>
              <w:t>万元以上</w:t>
            </w:r>
            <w:r>
              <w:rPr>
                <w:rFonts w:ascii="宋体" w:hAnsi="宋体" w:eastAsia="宋体" w:cs="宋体"/>
                <w:spacing w:val="16"/>
              </w:rPr>
              <w:t>2</w:t>
            </w:r>
            <w:r>
              <w:rPr>
                <w:spacing w:val="16"/>
              </w:rPr>
              <w:t>万元以</w:t>
            </w:r>
            <w:r>
              <w:rPr>
                <w:spacing w:val="3"/>
              </w:rPr>
              <w:t>下的</w:t>
            </w:r>
          </w:p>
        </w:tc>
        <w:tc>
          <w:tcPr>
            <w:tcW w:w="2894" w:type="dxa"/>
            <w:vAlign w:val="top"/>
          </w:tcPr>
          <w:p w14:paraId="3443820F">
            <w:pPr>
              <w:pStyle w:val="6"/>
              <w:spacing w:before="298" w:line="189" w:lineRule="auto"/>
              <w:ind w:left="126" w:right="106" w:hanging="7"/>
              <w:jc w:val="both"/>
            </w:pPr>
            <w:r>
              <w:rPr>
                <w:spacing w:val="2"/>
              </w:rPr>
              <w:t>处</w:t>
            </w:r>
            <w:r>
              <w:rPr>
                <w:rFonts w:ascii="宋体" w:hAnsi="宋体" w:eastAsia="宋体" w:cs="宋体"/>
                <w:spacing w:val="2"/>
              </w:rPr>
              <w:t>1</w:t>
            </w:r>
            <w:r>
              <w:rPr>
                <w:spacing w:val="2"/>
              </w:rPr>
              <w:t>万元以上</w:t>
            </w:r>
            <w:r>
              <w:rPr>
                <w:rFonts w:ascii="宋体" w:hAnsi="宋体" w:eastAsia="宋体" w:cs="宋体"/>
                <w:spacing w:val="2"/>
              </w:rPr>
              <w:t>2</w:t>
            </w:r>
            <w:r>
              <w:rPr>
                <w:spacing w:val="2"/>
              </w:rPr>
              <w:t>万元以下</w:t>
            </w:r>
            <w:r>
              <w:rPr>
                <w:spacing w:val="4"/>
              </w:rPr>
              <w:t>的罚款，由执业证颁发机关吊销其执业证，当事人</w:t>
            </w:r>
            <w:r>
              <w:rPr>
                <w:spacing w:val="7"/>
              </w:rPr>
              <w:t>五年内不得再次申请注册</w:t>
            </w:r>
          </w:p>
        </w:tc>
        <w:tc>
          <w:tcPr>
            <w:tcW w:w="811" w:type="dxa"/>
            <w:vMerge w:val="continue"/>
            <w:tcBorders>
              <w:top w:val="nil"/>
              <w:bottom w:val="nil"/>
            </w:tcBorders>
            <w:vAlign w:val="top"/>
          </w:tcPr>
          <w:p w14:paraId="4FF165F5">
            <w:pPr>
              <w:rPr>
                <w:rFonts w:ascii="Arial"/>
                <w:sz w:val="21"/>
              </w:rPr>
            </w:pPr>
          </w:p>
        </w:tc>
      </w:tr>
      <w:tr w14:paraId="35645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1" w:hRule="atLeast"/>
        </w:trPr>
        <w:tc>
          <w:tcPr>
            <w:tcW w:w="818" w:type="dxa"/>
            <w:vMerge w:val="continue"/>
            <w:tcBorders>
              <w:top w:val="nil"/>
            </w:tcBorders>
            <w:vAlign w:val="top"/>
          </w:tcPr>
          <w:p w14:paraId="43943FF4">
            <w:pPr>
              <w:rPr>
                <w:rFonts w:ascii="Arial"/>
                <w:sz w:val="21"/>
              </w:rPr>
            </w:pPr>
          </w:p>
        </w:tc>
        <w:tc>
          <w:tcPr>
            <w:tcW w:w="1440" w:type="dxa"/>
            <w:vMerge w:val="continue"/>
            <w:tcBorders>
              <w:top w:val="nil"/>
            </w:tcBorders>
            <w:vAlign w:val="top"/>
          </w:tcPr>
          <w:p w14:paraId="410ABA1F">
            <w:pPr>
              <w:rPr>
                <w:rFonts w:ascii="Arial"/>
                <w:sz w:val="21"/>
              </w:rPr>
            </w:pPr>
          </w:p>
        </w:tc>
        <w:tc>
          <w:tcPr>
            <w:tcW w:w="3202" w:type="dxa"/>
            <w:vMerge w:val="continue"/>
            <w:tcBorders>
              <w:top w:val="nil"/>
            </w:tcBorders>
            <w:vAlign w:val="top"/>
          </w:tcPr>
          <w:p w14:paraId="294CA885">
            <w:pPr>
              <w:rPr>
                <w:rFonts w:ascii="Arial"/>
                <w:sz w:val="21"/>
              </w:rPr>
            </w:pPr>
          </w:p>
        </w:tc>
        <w:tc>
          <w:tcPr>
            <w:tcW w:w="2859" w:type="dxa"/>
            <w:vMerge w:val="continue"/>
            <w:tcBorders>
              <w:top w:val="nil"/>
            </w:tcBorders>
            <w:vAlign w:val="top"/>
          </w:tcPr>
          <w:p w14:paraId="42DA932B">
            <w:pPr>
              <w:rPr>
                <w:rFonts w:ascii="Arial"/>
                <w:sz w:val="21"/>
              </w:rPr>
            </w:pPr>
          </w:p>
        </w:tc>
        <w:tc>
          <w:tcPr>
            <w:tcW w:w="803" w:type="dxa"/>
            <w:vAlign w:val="top"/>
          </w:tcPr>
          <w:p w14:paraId="3F905D7F">
            <w:pPr>
              <w:spacing w:line="246" w:lineRule="auto"/>
              <w:rPr>
                <w:rFonts w:ascii="Arial"/>
                <w:sz w:val="21"/>
              </w:rPr>
            </w:pPr>
          </w:p>
          <w:p w14:paraId="1AB7015C">
            <w:pPr>
              <w:spacing w:line="246" w:lineRule="auto"/>
              <w:rPr>
                <w:rFonts w:ascii="Arial"/>
                <w:sz w:val="21"/>
              </w:rPr>
            </w:pPr>
          </w:p>
          <w:p w14:paraId="64A0D5A8">
            <w:pPr>
              <w:spacing w:line="247" w:lineRule="auto"/>
              <w:rPr>
                <w:rFonts w:ascii="Arial"/>
                <w:sz w:val="21"/>
              </w:rPr>
            </w:pPr>
          </w:p>
          <w:p w14:paraId="36A1C7AE">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2FFAF43">
            <w:pPr>
              <w:pStyle w:val="6"/>
              <w:spacing w:before="324" w:line="189" w:lineRule="auto"/>
              <w:ind w:left="115" w:right="105" w:firstLine="3"/>
              <w:jc w:val="both"/>
            </w:pPr>
            <w:r>
              <w:rPr>
                <w:spacing w:val="15"/>
              </w:rPr>
              <w:t>利用执业之便，贪</w:t>
            </w:r>
            <w:r>
              <w:rPr>
                <w:spacing w:val="-2"/>
              </w:rPr>
              <w:t>污、索贿、受贿或者</w:t>
            </w:r>
            <w:r>
              <w:rPr>
                <w:spacing w:val="28"/>
              </w:rPr>
              <w:t>谋取不正当利益</w:t>
            </w:r>
            <w:r>
              <w:rPr>
                <w:rFonts w:ascii="宋体" w:hAnsi="宋体" w:eastAsia="宋体" w:cs="宋体"/>
                <w:spacing w:val="28"/>
              </w:rPr>
              <w:t>2</w:t>
            </w:r>
            <w:r>
              <w:rPr>
                <w:spacing w:val="7"/>
              </w:rPr>
              <w:t>万元以上的</w:t>
            </w:r>
          </w:p>
        </w:tc>
        <w:tc>
          <w:tcPr>
            <w:tcW w:w="2894" w:type="dxa"/>
            <w:vAlign w:val="top"/>
          </w:tcPr>
          <w:p w14:paraId="4843D048">
            <w:pPr>
              <w:pStyle w:val="6"/>
              <w:spacing w:before="324" w:line="189" w:lineRule="auto"/>
              <w:ind w:left="126" w:right="106" w:hanging="7"/>
              <w:jc w:val="both"/>
            </w:pPr>
            <w:r>
              <w:rPr>
                <w:spacing w:val="3"/>
              </w:rPr>
              <w:t>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万元以下</w:t>
            </w:r>
            <w:r>
              <w:rPr>
                <w:spacing w:val="4"/>
              </w:rPr>
              <w:t>的罚款，由执业证颁发机关吊销其执业证，当事人</w:t>
            </w:r>
            <w:r>
              <w:rPr>
                <w:spacing w:val="7"/>
              </w:rPr>
              <w:t>五年内不得再次申请注册</w:t>
            </w:r>
          </w:p>
        </w:tc>
        <w:tc>
          <w:tcPr>
            <w:tcW w:w="811" w:type="dxa"/>
            <w:vMerge w:val="continue"/>
            <w:tcBorders>
              <w:top w:val="nil"/>
            </w:tcBorders>
            <w:vAlign w:val="top"/>
          </w:tcPr>
          <w:p w14:paraId="48F3DB77">
            <w:pPr>
              <w:rPr>
                <w:rFonts w:ascii="Arial"/>
                <w:sz w:val="21"/>
              </w:rPr>
            </w:pPr>
          </w:p>
        </w:tc>
      </w:tr>
      <w:tr w14:paraId="0519B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5" w:hRule="atLeast"/>
        </w:trPr>
        <w:tc>
          <w:tcPr>
            <w:tcW w:w="818" w:type="dxa"/>
            <w:vMerge w:val="restart"/>
            <w:tcBorders>
              <w:bottom w:val="nil"/>
            </w:tcBorders>
            <w:vAlign w:val="top"/>
          </w:tcPr>
          <w:p w14:paraId="713A6F99">
            <w:pPr>
              <w:spacing w:line="266" w:lineRule="auto"/>
              <w:rPr>
                <w:rFonts w:ascii="Arial"/>
                <w:sz w:val="21"/>
              </w:rPr>
            </w:pPr>
          </w:p>
          <w:p w14:paraId="718A8D0F">
            <w:pPr>
              <w:spacing w:line="266" w:lineRule="auto"/>
              <w:rPr>
                <w:rFonts w:ascii="Arial"/>
                <w:sz w:val="21"/>
              </w:rPr>
            </w:pPr>
          </w:p>
          <w:p w14:paraId="20B87DC2">
            <w:pPr>
              <w:spacing w:line="266" w:lineRule="auto"/>
              <w:rPr>
                <w:rFonts w:ascii="Arial"/>
                <w:sz w:val="21"/>
              </w:rPr>
            </w:pPr>
          </w:p>
          <w:p w14:paraId="533EED33">
            <w:pPr>
              <w:spacing w:line="266" w:lineRule="auto"/>
              <w:rPr>
                <w:rFonts w:ascii="Arial"/>
                <w:sz w:val="21"/>
              </w:rPr>
            </w:pPr>
          </w:p>
          <w:p w14:paraId="4BB7A9D5">
            <w:pPr>
              <w:spacing w:line="267" w:lineRule="auto"/>
              <w:rPr>
                <w:rFonts w:ascii="Arial"/>
                <w:sz w:val="21"/>
              </w:rPr>
            </w:pPr>
          </w:p>
          <w:p w14:paraId="7C518522">
            <w:pPr>
              <w:spacing w:before="75" w:line="185" w:lineRule="auto"/>
              <w:ind w:left="236"/>
              <w:rPr>
                <w:rFonts w:ascii="仿宋" w:hAnsi="仿宋" w:eastAsia="仿宋" w:cs="仿宋"/>
                <w:sz w:val="23"/>
                <w:szCs w:val="23"/>
              </w:rPr>
            </w:pPr>
            <w:r>
              <w:rPr>
                <w:rFonts w:ascii="仿宋" w:hAnsi="仿宋" w:eastAsia="仿宋" w:cs="仿宋"/>
                <w:spacing w:val="-2"/>
                <w:sz w:val="23"/>
                <w:szCs w:val="23"/>
              </w:rPr>
              <w:t>67</w:t>
            </w:r>
          </w:p>
        </w:tc>
        <w:tc>
          <w:tcPr>
            <w:tcW w:w="1440" w:type="dxa"/>
            <w:vMerge w:val="restart"/>
            <w:tcBorders>
              <w:bottom w:val="nil"/>
            </w:tcBorders>
            <w:vAlign w:val="top"/>
          </w:tcPr>
          <w:p w14:paraId="58A6E4A2">
            <w:pPr>
              <w:spacing w:line="270" w:lineRule="auto"/>
              <w:rPr>
                <w:rFonts w:ascii="Arial"/>
                <w:sz w:val="21"/>
              </w:rPr>
            </w:pPr>
          </w:p>
          <w:p w14:paraId="3682BFA7">
            <w:pPr>
              <w:spacing w:line="271" w:lineRule="auto"/>
              <w:rPr>
                <w:rFonts w:ascii="Arial"/>
                <w:sz w:val="21"/>
              </w:rPr>
            </w:pPr>
          </w:p>
          <w:p w14:paraId="6E6B9B37">
            <w:pPr>
              <w:spacing w:line="271" w:lineRule="auto"/>
              <w:rPr>
                <w:rFonts w:ascii="Arial"/>
                <w:sz w:val="21"/>
              </w:rPr>
            </w:pPr>
          </w:p>
          <w:p w14:paraId="697F58E0">
            <w:pPr>
              <w:pStyle w:val="6"/>
              <w:spacing w:before="99" w:line="189" w:lineRule="auto"/>
              <w:ind w:left="110" w:right="111" w:firstLine="8"/>
              <w:jc w:val="both"/>
            </w:pPr>
            <w:r>
              <w:rPr>
                <w:spacing w:val="10"/>
              </w:rPr>
              <w:t>注册安全工</w:t>
            </w:r>
            <w:r>
              <w:rPr>
                <w:spacing w:val="12"/>
              </w:rPr>
              <w:t>程师提供虚假执业活动</w:t>
            </w:r>
            <w:r>
              <w:rPr>
                <w:spacing w:val="6"/>
              </w:rPr>
              <w:t>成果的</w:t>
            </w:r>
          </w:p>
        </w:tc>
        <w:tc>
          <w:tcPr>
            <w:tcW w:w="3202" w:type="dxa"/>
            <w:vMerge w:val="restart"/>
            <w:tcBorders>
              <w:bottom w:val="nil"/>
            </w:tcBorders>
            <w:vAlign w:val="top"/>
          </w:tcPr>
          <w:p w14:paraId="378698D1">
            <w:pPr>
              <w:pStyle w:val="6"/>
              <w:spacing w:before="30" w:line="187" w:lineRule="auto"/>
              <w:ind w:left="119" w:right="111" w:hanging="21"/>
              <w:jc w:val="both"/>
            </w:pPr>
            <w:r>
              <w:rPr>
                <w:spacing w:val="18"/>
              </w:rPr>
              <w:t>【部门规章】《注册安全工</w:t>
            </w:r>
            <w:r>
              <w:rPr>
                <w:spacing w:val="17"/>
              </w:rPr>
              <w:t>程师管理规定》第二十二条</w:t>
            </w:r>
            <w:r>
              <w:rPr>
                <w:spacing w:val="13"/>
              </w:rPr>
              <w:t>第一项：注册安全工程师应</w:t>
            </w:r>
            <w:r>
              <w:rPr>
                <w:spacing w:val="7"/>
              </w:rPr>
              <w:t>当履行下列义务</w:t>
            </w:r>
            <w:r>
              <w:rPr>
                <w:spacing w:val="-12"/>
              </w:rPr>
              <w:t>：（</w:t>
            </w:r>
            <w:r>
              <w:rPr>
                <w:spacing w:val="7"/>
              </w:rPr>
              <w:t>一）保</w:t>
            </w:r>
            <w:r>
              <w:rPr>
                <w:spacing w:val="13"/>
              </w:rPr>
              <w:t>证执业活动的质量，承担相</w:t>
            </w:r>
            <w:r>
              <w:rPr>
                <w:spacing w:val="-2"/>
              </w:rPr>
              <w:t>应的责任；</w:t>
            </w:r>
          </w:p>
        </w:tc>
        <w:tc>
          <w:tcPr>
            <w:tcW w:w="2859" w:type="dxa"/>
            <w:vMerge w:val="restart"/>
            <w:tcBorders>
              <w:bottom w:val="nil"/>
            </w:tcBorders>
            <w:vAlign w:val="top"/>
          </w:tcPr>
          <w:p w14:paraId="2A701484">
            <w:pPr>
              <w:pStyle w:val="6"/>
              <w:spacing w:before="38" w:line="185" w:lineRule="auto"/>
              <w:ind w:left="120" w:right="110" w:hanging="23"/>
            </w:pPr>
            <w:r>
              <w:rPr>
                <w:spacing w:val="10"/>
              </w:rPr>
              <w:t>【部门规章】《注册安全</w:t>
            </w:r>
            <w:r>
              <w:rPr>
                <w:spacing w:val="8"/>
              </w:rPr>
              <w:t>工程师管理规定》第三十二条第六项：注册安全工</w:t>
            </w:r>
            <w:r>
              <w:rPr>
                <w:spacing w:val="7"/>
              </w:rPr>
              <w:t>程师有下列行为之一的，</w:t>
            </w:r>
            <w:r>
              <w:rPr>
                <w:spacing w:val="8"/>
              </w:rPr>
              <w:t>由县级以上安全生产监督管理部门、有关主管部门或者煤矿安全监察机构处三万元以下的罚款；由执业证颁发机关吊销其执业</w:t>
            </w:r>
          </w:p>
        </w:tc>
        <w:tc>
          <w:tcPr>
            <w:tcW w:w="803" w:type="dxa"/>
            <w:vAlign w:val="top"/>
          </w:tcPr>
          <w:p w14:paraId="43D269AC">
            <w:pPr>
              <w:spacing w:line="290" w:lineRule="auto"/>
              <w:rPr>
                <w:rFonts w:ascii="Arial"/>
                <w:sz w:val="21"/>
              </w:rPr>
            </w:pPr>
          </w:p>
          <w:p w14:paraId="2BA9676C">
            <w:pPr>
              <w:spacing w:line="290" w:lineRule="auto"/>
              <w:rPr>
                <w:rFonts w:ascii="Arial"/>
                <w:sz w:val="21"/>
              </w:rPr>
            </w:pPr>
          </w:p>
          <w:p w14:paraId="6D9F5A42">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0CA8D2E">
            <w:pPr>
              <w:spacing w:line="365" w:lineRule="auto"/>
              <w:rPr>
                <w:rFonts w:ascii="Arial"/>
                <w:sz w:val="21"/>
              </w:rPr>
            </w:pPr>
          </w:p>
          <w:p w14:paraId="5F710D2D">
            <w:pPr>
              <w:pStyle w:val="6"/>
              <w:spacing w:before="98" w:line="196" w:lineRule="auto"/>
              <w:ind w:left="122" w:right="109" w:hanging="6"/>
            </w:pPr>
            <w:r>
              <w:rPr>
                <w:spacing w:val="26"/>
              </w:rPr>
              <w:t>提供虚假执业活动</w:t>
            </w:r>
            <w:r>
              <w:rPr>
                <w:spacing w:val="-5"/>
              </w:rPr>
              <w:t>成果</w:t>
            </w:r>
            <w:r>
              <w:rPr>
                <w:rFonts w:ascii="宋体" w:hAnsi="宋体" w:eastAsia="宋体" w:cs="宋体"/>
                <w:spacing w:val="-5"/>
              </w:rPr>
              <w:t>1</w:t>
            </w:r>
            <w:r>
              <w:rPr>
                <w:spacing w:val="-5"/>
              </w:rPr>
              <w:t>次的</w:t>
            </w:r>
          </w:p>
        </w:tc>
        <w:tc>
          <w:tcPr>
            <w:tcW w:w="2894" w:type="dxa"/>
            <w:vAlign w:val="top"/>
          </w:tcPr>
          <w:p w14:paraId="24E11F6F">
            <w:pPr>
              <w:pStyle w:val="6"/>
              <w:spacing w:before="167" w:line="189" w:lineRule="auto"/>
              <w:ind w:left="118" w:right="108"/>
              <w:jc w:val="both"/>
            </w:pPr>
            <w:r>
              <w:rPr>
                <w:spacing w:val="-1"/>
              </w:rPr>
              <w:t>处</w:t>
            </w:r>
            <w:r>
              <w:rPr>
                <w:rFonts w:ascii="宋体" w:hAnsi="宋体" w:eastAsia="宋体" w:cs="宋体"/>
                <w:spacing w:val="-1"/>
              </w:rPr>
              <w:t>1</w:t>
            </w:r>
            <w:r>
              <w:rPr>
                <w:spacing w:val="-1"/>
              </w:rPr>
              <w:t>万元以下的罚款，由</w:t>
            </w:r>
            <w:r>
              <w:rPr>
                <w:spacing w:val="11"/>
              </w:rPr>
              <w:t>执业证颁发机关吊销其执</w:t>
            </w:r>
            <w:r>
              <w:rPr>
                <w:spacing w:val="5"/>
              </w:rPr>
              <w:t>业证，当事人五年内不得</w:t>
            </w:r>
            <w:r>
              <w:rPr>
                <w:spacing w:val="7"/>
              </w:rPr>
              <w:t>再次申请注册</w:t>
            </w:r>
          </w:p>
        </w:tc>
        <w:tc>
          <w:tcPr>
            <w:tcW w:w="811" w:type="dxa"/>
            <w:vMerge w:val="restart"/>
            <w:tcBorders>
              <w:bottom w:val="nil"/>
            </w:tcBorders>
            <w:vAlign w:val="top"/>
          </w:tcPr>
          <w:p w14:paraId="74FCC1E9">
            <w:pPr>
              <w:rPr>
                <w:rFonts w:ascii="Arial"/>
                <w:sz w:val="21"/>
              </w:rPr>
            </w:pPr>
          </w:p>
        </w:tc>
      </w:tr>
      <w:tr w14:paraId="671BA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18" w:type="dxa"/>
            <w:vMerge w:val="continue"/>
            <w:tcBorders>
              <w:top w:val="nil"/>
            </w:tcBorders>
            <w:vAlign w:val="top"/>
          </w:tcPr>
          <w:p w14:paraId="40303371">
            <w:pPr>
              <w:rPr>
                <w:rFonts w:ascii="Arial"/>
                <w:sz w:val="21"/>
              </w:rPr>
            </w:pPr>
          </w:p>
        </w:tc>
        <w:tc>
          <w:tcPr>
            <w:tcW w:w="1440" w:type="dxa"/>
            <w:vMerge w:val="continue"/>
            <w:tcBorders>
              <w:top w:val="nil"/>
            </w:tcBorders>
            <w:vAlign w:val="top"/>
          </w:tcPr>
          <w:p w14:paraId="32939478">
            <w:pPr>
              <w:rPr>
                <w:rFonts w:ascii="Arial"/>
                <w:sz w:val="21"/>
              </w:rPr>
            </w:pPr>
          </w:p>
        </w:tc>
        <w:tc>
          <w:tcPr>
            <w:tcW w:w="3202" w:type="dxa"/>
            <w:vMerge w:val="continue"/>
            <w:tcBorders>
              <w:top w:val="nil"/>
            </w:tcBorders>
            <w:vAlign w:val="top"/>
          </w:tcPr>
          <w:p w14:paraId="1E015A6E">
            <w:pPr>
              <w:rPr>
                <w:rFonts w:ascii="Arial"/>
                <w:sz w:val="21"/>
              </w:rPr>
            </w:pPr>
          </w:p>
        </w:tc>
        <w:tc>
          <w:tcPr>
            <w:tcW w:w="2859" w:type="dxa"/>
            <w:vMerge w:val="continue"/>
            <w:tcBorders>
              <w:top w:val="nil"/>
            </w:tcBorders>
            <w:vAlign w:val="top"/>
          </w:tcPr>
          <w:p w14:paraId="2BBB2C9C">
            <w:pPr>
              <w:rPr>
                <w:rFonts w:ascii="Arial"/>
                <w:sz w:val="21"/>
              </w:rPr>
            </w:pPr>
          </w:p>
        </w:tc>
        <w:tc>
          <w:tcPr>
            <w:tcW w:w="803" w:type="dxa"/>
            <w:vAlign w:val="top"/>
          </w:tcPr>
          <w:p w14:paraId="0680905E">
            <w:pPr>
              <w:spacing w:line="297" w:lineRule="auto"/>
              <w:rPr>
                <w:rFonts w:ascii="Arial"/>
                <w:sz w:val="21"/>
              </w:rPr>
            </w:pPr>
          </w:p>
          <w:p w14:paraId="537099E8">
            <w:pPr>
              <w:spacing w:line="297" w:lineRule="auto"/>
              <w:rPr>
                <w:rFonts w:ascii="Arial"/>
                <w:sz w:val="21"/>
              </w:rPr>
            </w:pPr>
          </w:p>
          <w:p w14:paraId="1972C48F">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E125E6F">
            <w:pPr>
              <w:spacing w:line="375" w:lineRule="auto"/>
              <w:rPr>
                <w:rFonts w:ascii="Arial"/>
                <w:sz w:val="21"/>
              </w:rPr>
            </w:pPr>
          </w:p>
          <w:p w14:paraId="4333EBB3">
            <w:pPr>
              <w:pStyle w:val="6"/>
              <w:spacing w:before="99" w:line="196" w:lineRule="auto"/>
              <w:ind w:left="122" w:right="109" w:hanging="6"/>
            </w:pPr>
            <w:r>
              <w:rPr>
                <w:spacing w:val="26"/>
              </w:rPr>
              <w:t>提供虚假执业活动</w:t>
            </w:r>
            <w:r>
              <w:rPr>
                <w:spacing w:val="-1"/>
              </w:rPr>
              <w:t>成果</w:t>
            </w:r>
            <w:r>
              <w:rPr>
                <w:rFonts w:ascii="宋体" w:hAnsi="宋体" w:eastAsia="宋体" w:cs="宋体"/>
                <w:spacing w:val="-1"/>
              </w:rPr>
              <w:t>2</w:t>
            </w:r>
            <w:r>
              <w:rPr>
                <w:spacing w:val="-1"/>
              </w:rPr>
              <w:t>次的</w:t>
            </w:r>
          </w:p>
        </w:tc>
        <w:tc>
          <w:tcPr>
            <w:tcW w:w="2894" w:type="dxa"/>
            <w:vAlign w:val="top"/>
          </w:tcPr>
          <w:p w14:paraId="23C3F329">
            <w:pPr>
              <w:pStyle w:val="6"/>
              <w:spacing w:before="178" w:line="189" w:lineRule="auto"/>
              <w:ind w:left="126" w:right="106" w:hanging="7"/>
              <w:jc w:val="both"/>
            </w:pPr>
            <w:r>
              <w:rPr>
                <w:spacing w:val="2"/>
              </w:rPr>
              <w:t>处</w:t>
            </w:r>
            <w:r>
              <w:rPr>
                <w:rFonts w:ascii="宋体" w:hAnsi="宋体" w:eastAsia="宋体" w:cs="宋体"/>
                <w:spacing w:val="2"/>
              </w:rPr>
              <w:t>1</w:t>
            </w:r>
            <w:r>
              <w:rPr>
                <w:spacing w:val="2"/>
              </w:rPr>
              <w:t>万元以上</w:t>
            </w:r>
            <w:r>
              <w:rPr>
                <w:rFonts w:ascii="宋体" w:hAnsi="宋体" w:eastAsia="宋体" w:cs="宋体"/>
                <w:spacing w:val="2"/>
              </w:rPr>
              <w:t>2</w:t>
            </w:r>
            <w:r>
              <w:rPr>
                <w:spacing w:val="2"/>
              </w:rPr>
              <w:t>万元以下</w:t>
            </w:r>
            <w:r>
              <w:rPr>
                <w:spacing w:val="4"/>
              </w:rPr>
              <w:t>的罚款，由执业证颁发机关吊销其执业证，当事人</w:t>
            </w:r>
            <w:r>
              <w:rPr>
                <w:spacing w:val="7"/>
              </w:rPr>
              <w:t>五年内不得再次申请注册</w:t>
            </w:r>
          </w:p>
        </w:tc>
        <w:tc>
          <w:tcPr>
            <w:tcW w:w="811" w:type="dxa"/>
            <w:vMerge w:val="continue"/>
            <w:tcBorders>
              <w:top w:val="nil"/>
            </w:tcBorders>
            <w:vAlign w:val="top"/>
          </w:tcPr>
          <w:p w14:paraId="2F0778B2">
            <w:pPr>
              <w:rPr>
                <w:rFonts w:ascii="Arial"/>
                <w:sz w:val="21"/>
              </w:rPr>
            </w:pPr>
          </w:p>
        </w:tc>
      </w:tr>
    </w:tbl>
    <w:p w14:paraId="417BD2EF">
      <w:pPr>
        <w:pStyle w:val="2"/>
      </w:pPr>
    </w:p>
    <w:p w14:paraId="2A5517A8">
      <w:pPr>
        <w:sectPr>
          <w:footerReference r:id="rId81" w:type="default"/>
          <w:pgSz w:w="16839" w:h="11906"/>
          <w:pgMar w:top="1012" w:right="821" w:bottom="666" w:left="901" w:header="0" w:footer="388" w:gutter="0"/>
          <w:cols w:space="720" w:num="1"/>
        </w:sectPr>
      </w:pPr>
    </w:p>
    <w:p w14:paraId="10A6DCD5">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51C3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9603D7B">
            <w:pPr>
              <w:spacing w:before="222" w:line="241" w:lineRule="auto"/>
              <w:ind w:left="131"/>
              <w:outlineLvl w:val="0"/>
              <w:rPr>
                <w:rFonts w:ascii="黑体" w:hAnsi="黑体" w:eastAsia="黑体" w:cs="黑体"/>
                <w:sz w:val="28"/>
                <w:szCs w:val="28"/>
              </w:rPr>
            </w:pPr>
            <w:bookmarkStart w:id="467" w:name="bookmark141"/>
            <w:bookmarkEnd w:id="467"/>
            <w:r>
              <w:rPr>
                <w:rFonts w:ascii="黑体" w:hAnsi="黑体" w:eastAsia="黑体" w:cs="黑体"/>
                <w:spacing w:val="-2"/>
                <w:sz w:val="28"/>
                <w:szCs w:val="28"/>
              </w:rPr>
              <w:t>序号</w:t>
            </w:r>
          </w:p>
        </w:tc>
        <w:tc>
          <w:tcPr>
            <w:tcW w:w="1440" w:type="dxa"/>
            <w:vAlign w:val="top"/>
          </w:tcPr>
          <w:p w14:paraId="14762869">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407BE4E">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496C6D0C">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13B76D0A">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CCBE44F">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521713E9">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7F0188C">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D189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Align w:val="top"/>
          </w:tcPr>
          <w:p w14:paraId="455102A9">
            <w:pPr>
              <w:rPr>
                <w:rFonts w:ascii="Arial"/>
                <w:sz w:val="21"/>
              </w:rPr>
            </w:pPr>
          </w:p>
        </w:tc>
        <w:tc>
          <w:tcPr>
            <w:tcW w:w="1440" w:type="dxa"/>
            <w:vAlign w:val="top"/>
          </w:tcPr>
          <w:p w14:paraId="22DCCA58">
            <w:pPr>
              <w:rPr>
                <w:rFonts w:ascii="Arial"/>
                <w:sz w:val="21"/>
              </w:rPr>
            </w:pPr>
          </w:p>
        </w:tc>
        <w:tc>
          <w:tcPr>
            <w:tcW w:w="3202" w:type="dxa"/>
            <w:vAlign w:val="top"/>
          </w:tcPr>
          <w:p w14:paraId="457931E8">
            <w:pPr>
              <w:rPr>
                <w:rFonts w:ascii="Arial"/>
                <w:sz w:val="21"/>
              </w:rPr>
            </w:pPr>
          </w:p>
        </w:tc>
        <w:tc>
          <w:tcPr>
            <w:tcW w:w="2859" w:type="dxa"/>
            <w:vAlign w:val="top"/>
          </w:tcPr>
          <w:p w14:paraId="16D91884">
            <w:pPr>
              <w:pStyle w:val="6"/>
              <w:spacing w:before="31" w:line="182" w:lineRule="auto"/>
              <w:ind w:left="118" w:right="38"/>
              <w:jc w:val="both"/>
            </w:pPr>
            <w:r>
              <w:rPr>
                <w:spacing w:val="8"/>
              </w:rPr>
              <w:t>证，当事人五年内不得再</w:t>
            </w:r>
            <w:r>
              <w:rPr>
                <w:spacing w:val="-6"/>
              </w:rPr>
              <w:t>次申请注册；造成损失的，</w:t>
            </w:r>
            <w:r>
              <w:rPr>
                <w:spacing w:val="8"/>
              </w:rPr>
              <w:t>依法承担赔偿责任；构成</w:t>
            </w:r>
            <w:r>
              <w:rPr>
                <w:spacing w:val="4"/>
              </w:rPr>
              <w:t>犯罪的，依法追究刑事责</w:t>
            </w:r>
          </w:p>
          <w:p w14:paraId="6ADF52C6">
            <w:pPr>
              <w:pStyle w:val="6"/>
              <w:spacing w:line="182" w:lineRule="auto"/>
              <w:ind w:left="119"/>
              <w:outlineLvl w:val="0"/>
            </w:pPr>
            <w:r>
              <w:rPr>
                <w:spacing w:val="9"/>
              </w:rPr>
              <w:t>任</w:t>
            </w:r>
            <w:r>
              <w:rPr>
                <w:spacing w:val="5"/>
              </w:rPr>
              <w:t>：（</w:t>
            </w:r>
            <w:r>
              <w:rPr>
                <w:spacing w:val="9"/>
              </w:rPr>
              <w:t>六）提供虚假执业</w:t>
            </w:r>
          </w:p>
          <w:p w14:paraId="55F25909">
            <w:pPr>
              <w:pStyle w:val="6"/>
              <w:spacing w:before="1" w:line="161" w:lineRule="auto"/>
              <w:ind w:left="129"/>
            </w:pPr>
            <w:r>
              <w:rPr>
                <w:spacing w:val="-2"/>
              </w:rPr>
              <w:t>活动成果的；</w:t>
            </w:r>
          </w:p>
        </w:tc>
        <w:tc>
          <w:tcPr>
            <w:tcW w:w="803" w:type="dxa"/>
            <w:vAlign w:val="top"/>
          </w:tcPr>
          <w:p w14:paraId="40CBE058">
            <w:pPr>
              <w:spacing w:line="247" w:lineRule="auto"/>
              <w:rPr>
                <w:rFonts w:ascii="Arial"/>
                <w:sz w:val="21"/>
              </w:rPr>
            </w:pPr>
          </w:p>
          <w:p w14:paraId="78C0CAB9">
            <w:pPr>
              <w:spacing w:line="248" w:lineRule="auto"/>
              <w:rPr>
                <w:rFonts w:ascii="Arial"/>
                <w:sz w:val="21"/>
              </w:rPr>
            </w:pPr>
          </w:p>
          <w:p w14:paraId="29B3CE38">
            <w:pPr>
              <w:spacing w:line="248" w:lineRule="auto"/>
              <w:rPr>
                <w:rFonts w:ascii="Arial"/>
                <w:sz w:val="21"/>
              </w:rPr>
            </w:pPr>
          </w:p>
          <w:p w14:paraId="2262B7DA">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3A5E8B2">
            <w:pPr>
              <w:spacing w:line="262" w:lineRule="auto"/>
              <w:rPr>
                <w:rFonts w:ascii="Arial"/>
                <w:sz w:val="21"/>
              </w:rPr>
            </w:pPr>
          </w:p>
          <w:p w14:paraId="6A4D9DFF">
            <w:pPr>
              <w:spacing w:line="263" w:lineRule="auto"/>
              <w:rPr>
                <w:rFonts w:ascii="Arial"/>
                <w:sz w:val="21"/>
              </w:rPr>
            </w:pPr>
          </w:p>
          <w:p w14:paraId="785B5212">
            <w:pPr>
              <w:pStyle w:val="6"/>
              <w:spacing w:before="98" w:line="196" w:lineRule="auto"/>
              <w:ind w:left="122" w:right="109" w:hanging="6"/>
            </w:pPr>
            <w:r>
              <w:rPr>
                <w:spacing w:val="26"/>
              </w:rPr>
              <w:t>提供虚假执业活动</w:t>
            </w:r>
            <w:r>
              <w:rPr>
                <w:spacing w:val="1"/>
              </w:rPr>
              <w:t>成果</w:t>
            </w:r>
            <w:r>
              <w:rPr>
                <w:rFonts w:ascii="宋体" w:hAnsi="宋体" w:eastAsia="宋体" w:cs="宋体"/>
                <w:spacing w:val="1"/>
              </w:rPr>
              <w:t>3</w:t>
            </w:r>
            <w:r>
              <w:rPr>
                <w:spacing w:val="1"/>
              </w:rPr>
              <w:t>次以上的</w:t>
            </w:r>
          </w:p>
        </w:tc>
        <w:tc>
          <w:tcPr>
            <w:tcW w:w="2894" w:type="dxa"/>
            <w:vAlign w:val="top"/>
          </w:tcPr>
          <w:p w14:paraId="5844D5BA">
            <w:pPr>
              <w:pStyle w:val="6"/>
              <w:spacing w:before="328" w:line="189" w:lineRule="auto"/>
              <w:ind w:left="126" w:right="106" w:hanging="7"/>
              <w:jc w:val="both"/>
            </w:pPr>
            <w:r>
              <w:rPr>
                <w:spacing w:val="3"/>
              </w:rPr>
              <w:t>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万元以下</w:t>
            </w:r>
            <w:r>
              <w:rPr>
                <w:spacing w:val="4"/>
              </w:rPr>
              <w:t>的罚款，由执业证颁发机关吊销其执业证，当事人</w:t>
            </w:r>
            <w:r>
              <w:rPr>
                <w:spacing w:val="7"/>
              </w:rPr>
              <w:t>五年内不得再次申请注册</w:t>
            </w:r>
          </w:p>
        </w:tc>
        <w:tc>
          <w:tcPr>
            <w:tcW w:w="811" w:type="dxa"/>
            <w:vAlign w:val="top"/>
          </w:tcPr>
          <w:p w14:paraId="51A97F3B">
            <w:pPr>
              <w:rPr>
                <w:rFonts w:ascii="Arial"/>
                <w:sz w:val="21"/>
              </w:rPr>
            </w:pPr>
          </w:p>
        </w:tc>
      </w:tr>
      <w:tr w14:paraId="0F11A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4" w:hRule="atLeast"/>
        </w:trPr>
        <w:tc>
          <w:tcPr>
            <w:tcW w:w="818" w:type="dxa"/>
            <w:vMerge w:val="restart"/>
            <w:tcBorders>
              <w:bottom w:val="nil"/>
            </w:tcBorders>
            <w:vAlign w:val="top"/>
          </w:tcPr>
          <w:p w14:paraId="7D00092A">
            <w:pPr>
              <w:spacing w:line="248" w:lineRule="auto"/>
              <w:rPr>
                <w:rFonts w:ascii="Arial"/>
                <w:sz w:val="21"/>
              </w:rPr>
            </w:pPr>
          </w:p>
          <w:p w14:paraId="7B8E917B">
            <w:pPr>
              <w:spacing w:line="248" w:lineRule="auto"/>
              <w:rPr>
                <w:rFonts w:ascii="Arial"/>
                <w:sz w:val="21"/>
              </w:rPr>
            </w:pPr>
          </w:p>
          <w:p w14:paraId="7B03534C">
            <w:pPr>
              <w:spacing w:line="248" w:lineRule="auto"/>
              <w:rPr>
                <w:rFonts w:ascii="Arial"/>
                <w:sz w:val="21"/>
              </w:rPr>
            </w:pPr>
          </w:p>
          <w:p w14:paraId="7FD3132D">
            <w:pPr>
              <w:spacing w:line="249" w:lineRule="auto"/>
              <w:rPr>
                <w:rFonts w:ascii="Arial"/>
                <w:sz w:val="21"/>
              </w:rPr>
            </w:pPr>
          </w:p>
          <w:p w14:paraId="5451258D">
            <w:pPr>
              <w:spacing w:line="249" w:lineRule="auto"/>
              <w:rPr>
                <w:rFonts w:ascii="Arial"/>
                <w:sz w:val="21"/>
              </w:rPr>
            </w:pPr>
          </w:p>
          <w:p w14:paraId="2AAA7391">
            <w:pPr>
              <w:spacing w:line="249" w:lineRule="auto"/>
              <w:rPr>
                <w:rFonts w:ascii="Arial"/>
                <w:sz w:val="21"/>
              </w:rPr>
            </w:pPr>
          </w:p>
          <w:p w14:paraId="567D5977">
            <w:pPr>
              <w:spacing w:line="249" w:lineRule="auto"/>
              <w:rPr>
                <w:rFonts w:ascii="Arial"/>
                <w:sz w:val="21"/>
              </w:rPr>
            </w:pPr>
          </w:p>
          <w:p w14:paraId="0FDB0E83">
            <w:pPr>
              <w:spacing w:line="249" w:lineRule="auto"/>
              <w:rPr>
                <w:rFonts w:ascii="Arial"/>
                <w:sz w:val="21"/>
              </w:rPr>
            </w:pPr>
          </w:p>
          <w:p w14:paraId="09F2F3ED">
            <w:pPr>
              <w:spacing w:line="249" w:lineRule="auto"/>
              <w:rPr>
                <w:rFonts w:ascii="Arial"/>
                <w:sz w:val="21"/>
              </w:rPr>
            </w:pPr>
          </w:p>
          <w:p w14:paraId="2CBE4EE8">
            <w:pPr>
              <w:spacing w:before="75" w:line="185" w:lineRule="auto"/>
              <w:ind w:left="236"/>
              <w:rPr>
                <w:rFonts w:ascii="仿宋" w:hAnsi="仿宋" w:eastAsia="仿宋" w:cs="仿宋"/>
                <w:sz w:val="23"/>
                <w:szCs w:val="23"/>
              </w:rPr>
            </w:pPr>
            <w:r>
              <w:rPr>
                <w:rFonts w:ascii="仿宋" w:hAnsi="仿宋" w:eastAsia="仿宋" w:cs="仿宋"/>
                <w:spacing w:val="-2"/>
                <w:sz w:val="23"/>
                <w:szCs w:val="23"/>
              </w:rPr>
              <w:t>68</w:t>
            </w:r>
          </w:p>
        </w:tc>
        <w:tc>
          <w:tcPr>
            <w:tcW w:w="1440" w:type="dxa"/>
            <w:vMerge w:val="restart"/>
            <w:tcBorders>
              <w:bottom w:val="nil"/>
            </w:tcBorders>
            <w:vAlign w:val="top"/>
          </w:tcPr>
          <w:p w14:paraId="2259D7D0">
            <w:pPr>
              <w:spacing w:line="284" w:lineRule="auto"/>
              <w:rPr>
                <w:rFonts w:ascii="Arial"/>
                <w:sz w:val="21"/>
              </w:rPr>
            </w:pPr>
          </w:p>
          <w:p w14:paraId="36E8AA6F">
            <w:pPr>
              <w:spacing w:line="284" w:lineRule="auto"/>
              <w:rPr>
                <w:rFonts w:ascii="Arial"/>
                <w:sz w:val="21"/>
              </w:rPr>
            </w:pPr>
          </w:p>
          <w:p w14:paraId="0938A2E8">
            <w:pPr>
              <w:spacing w:line="284" w:lineRule="auto"/>
              <w:rPr>
                <w:rFonts w:ascii="Arial"/>
                <w:sz w:val="21"/>
              </w:rPr>
            </w:pPr>
          </w:p>
          <w:p w14:paraId="642D0CC7">
            <w:pPr>
              <w:spacing w:line="285" w:lineRule="auto"/>
              <w:rPr>
                <w:rFonts w:ascii="Arial"/>
                <w:sz w:val="21"/>
              </w:rPr>
            </w:pPr>
          </w:p>
          <w:p w14:paraId="506F0A93">
            <w:pPr>
              <w:spacing w:line="285" w:lineRule="auto"/>
              <w:rPr>
                <w:rFonts w:ascii="Arial"/>
                <w:sz w:val="21"/>
              </w:rPr>
            </w:pPr>
          </w:p>
          <w:p w14:paraId="4171ED2B">
            <w:pPr>
              <w:pStyle w:val="6"/>
              <w:spacing w:before="98" w:line="187" w:lineRule="auto"/>
              <w:ind w:left="116" w:right="111" w:firstLine="2"/>
              <w:jc w:val="both"/>
            </w:pPr>
            <w:r>
              <w:rPr>
                <w:spacing w:val="10"/>
              </w:rPr>
              <w:t>注册安全工</w:t>
            </w:r>
            <w:r>
              <w:rPr>
                <w:spacing w:val="11"/>
              </w:rPr>
              <w:t>程师超出执业范围或者聘用单位业务范围从事</w:t>
            </w:r>
            <w:r>
              <w:rPr>
                <w:spacing w:val="6"/>
              </w:rPr>
              <w:t>执业活动的</w:t>
            </w:r>
          </w:p>
        </w:tc>
        <w:tc>
          <w:tcPr>
            <w:tcW w:w="3202" w:type="dxa"/>
            <w:vMerge w:val="restart"/>
            <w:tcBorders>
              <w:bottom w:val="nil"/>
            </w:tcBorders>
            <w:vAlign w:val="top"/>
          </w:tcPr>
          <w:p w14:paraId="6E7F0F19">
            <w:pPr>
              <w:pStyle w:val="6"/>
              <w:spacing w:before="33" w:line="186" w:lineRule="auto"/>
              <w:ind w:left="117" w:right="111" w:hanging="19"/>
            </w:pPr>
            <w:bookmarkStart w:id="468" w:name="bookmark143"/>
            <w:bookmarkEnd w:id="468"/>
            <w:r>
              <w:rPr>
                <w:spacing w:val="18"/>
              </w:rPr>
              <w:t>【部门规章】《注册安全工</w:t>
            </w:r>
            <w:r>
              <w:rPr>
                <w:spacing w:val="13"/>
              </w:rPr>
              <w:t>程师管理规定》第十八条：</w:t>
            </w:r>
            <w:r>
              <w:rPr>
                <w:spacing w:val="17"/>
              </w:rPr>
              <w:t>注册安全工程师应当由聘用</w:t>
            </w:r>
            <w:r>
              <w:rPr>
                <w:spacing w:val="13"/>
              </w:rPr>
              <w:t>单位委派，并按照注册类别在规定的执业范围内执业，</w:t>
            </w:r>
            <w:r>
              <w:rPr>
                <w:spacing w:val="17"/>
              </w:rPr>
              <w:t>同时在出具的各种文件、报</w:t>
            </w:r>
            <w:r>
              <w:rPr>
                <w:spacing w:val="5"/>
              </w:rPr>
              <w:t>告上签字和加盖执业印章。</w:t>
            </w:r>
          </w:p>
        </w:tc>
        <w:tc>
          <w:tcPr>
            <w:tcW w:w="2859" w:type="dxa"/>
            <w:vMerge w:val="restart"/>
            <w:tcBorders>
              <w:bottom w:val="nil"/>
            </w:tcBorders>
            <w:vAlign w:val="top"/>
          </w:tcPr>
          <w:p w14:paraId="7681CCE2">
            <w:pPr>
              <w:pStyle w:val="6"/>
              <w:spacing w:before="30" w:line="181" w:lineRule="auto"/>
              <w:ind w:left="117" w:right="38" w:hanging="20"/>
            </w:pPr>
            <w:r>
              <w:rPr>
                <w:spacing w:val="10"/>
              </w:rPr>
              <w:t>【部门规章】《注册安全</w:t>
            </w:r>
            <w:r>
              <w:rPr>
                <w:spacing w:val="8"/>
              </w:rPr>
              <w:t>工程师管理规定》第三十二条第七项：注册安全工</w:t>
            </w:r>
            <w:r>
              <w:rPr>
                <w:spacing w:val="7"/>
              </w:rPr>
              <w:t>程师有下列行为之一的，</w:t>
            </w:r>
            <w:r>
              <w:rPr>
                <w:spacing w:val="8"/>
              </w:rPr>
              <w:t>由县级以上安全生产监督管理部门、有关主管部门或者煤矿安全监察机构处三万元以下的罚款；由执业证颁发机关吊销其执业证，当事人五年内不得再</w:t>
            </w:r>
            <w:r>
              <w:rPr>
                <w:spacing w:val="-6"/>
              </w:rPr>
              <w:t>次申请注册；造成损失的，</w:t>
            </w:r>
            <w:r>
              <w:rPr>
                <w:spacing w:val="8"/>
              </w:rPr>
              <w:t>依法承担赔偿责任；构成</w:t>
            </w:r>
            <w:r>
              <w:rPr>
                <w:spacing w:val="4"/>
              </w:rPr>
              <w:t>犯罪的，依法追究刑事责</w:t>
            </w:r>
            <w:r>
              <w:rPr>
                <w:spacing w:val="9"/>
              </w:rPr>
              <w:t>任</w:t>
            </w:r>
            <w:r>
              <w:rPr>
                <w:spacing w:val="6"/>
              </w:rPr>
              <w:t>：（</w:t>
            </w:r>
            <w:r>
              <w:rPr>
                <w:spacing w:val="9"/>
              </w:rPr>
              <w:t>七）超出执业范围</w:t>
            </w:r>
            <w:r>
              <w:rPr>
                <w:spacing w:val="8"/>
              </w:rPr>
              <w:t>或者聘用单位业务范围从</w:t>
            </w:r>
            <w:r>
              <w:rPr>
                <w:spacing w:val="1"/>
              </w:rPr>
              <w:t>事执业活动的；</w:t>
            </w:r>
          </w:p>
        </w:tc>
        <w:tc>
          <w:tcPr>
            <w:tcW w:w="803" w:type="dxa"/>
            <w:vAlign w:val="top"/>
          </w:tcPr>
          <w:p w14:paraId="7DA7D557">
            <w:pPr>
              <w:spacing w:line="257" w:lineRule="auto"/>
              <w:rPr>
                <w:rFonts w:ascii="Arial"/>
                <w:sz w:val="21"/>
              </w:rPr>
            </w:pPr>
          </w:p>
          <w:p w14:paraId="012D2C17">
            <w:pPr>
              <w:spacing w:line="258" w:lineRule="auto"/>
              <w:rPr>
                <w:rFonts w:ascii="Arial"/>
                <w:sz w:val="21"/>
              </w:rPr>
            </w:pPr>
          </w:p>
          <w:p w14:paraId="41BCBE1C">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60043383">
            <w:pPr>
              <w:pStyle w:val="6"/>
              <w:spacing w:before="97" w:line="188" w:lineRule="auto"/>
              <w:ind w:left="119" w:right="105" w:hanging="2"/>
              <w:jc w:val="both"/>
            </w:pPr>
            <w:r>
              <w:rPr>
                <w:spacing w:val="26"/>
              </w:rPr>
              <w:t>超出执业范围或者聘用单位业务范围</w:t>
            </w:r>
            <w:r>
              <w:rPr>
                <w:spacing w:val="14"/>
              </w:rPr>
              <w:t>从事执业活动</w:t>
            </w:r>
            <w:r>
              <w:rPr>
                <w:rFonts w:ascii="宋体" w:hAnsi="宋体" w:eastAsia="宋体" w:cs="宋体"/>
                <w:spacing w:val="14"/>
              </w:rPr>
              <w:t>1</w:t>
            </w:r>
            <w:r>
              <w:rPr>
                <w:spacing w:val="14"/>
              </w:rPr>
              <w:t>次</w:t>
            </w:r>
            <w:r>
              <w:t>的</w:t>
            </w:r>
          </w:p>
        </w:tc>
        <w:tc>
          <w:tcPr>
            <w:tcW w:w="2894" w:type="dxa"/>
            <w:vAlign w:val="top"/>
          </w:tcPr>
          <w:p w14:paraId="043EC9BC">
            <w:pPr>
              <w:pStyle w:val="6"/>
              <w:spacing w:before="97" w:line="188" w:lineRule="auto"/>
              <w:ind w:left="118" w:right="108"/>
              <w:jc w:val="both"/>
            </w:pPr>
            <w:r>
              <w:rPr>
                <w:spacing w:val="-1"/>
              </w:rPr>
              <w:t>处</w:t>
            </w:r>
            <w:r>
              <w:rPr>
                <w:rFonts w:ascii="宋体" w:hAnsi="宋体" w:eastAsia="宋体" w:cs="宋体"/>
                <w:spacing w:val="-1"/>
              </w:rPr>
              <w:t>1</w:t>
            </w:r>
            <w:r>
              <w:rPr>
                <w:spacing w:val="-1"/>
              </w:rPr>
              <w:t>万元以下的罚款，由</w:t>
            </w:r>
            <w:r>
              <w:rPr>
                <w:spacing w:val="11"/>
              </w:rPr>
              <w:t>执业证颁发机关吊销其执</w:t>
            </w:r>
            <w:r>
              <w:rPr>
                <w:spacing w:val="5"/>
              </w:rPr>
              <w:t>业证，当事人五年内不得</w:t>
            </w:r>
            <w:r>
              <w:rPr>
                <w:spacing w:val="7"/>
              </w:rPr>
              <w:t>再次申请注册</w:t>
            </w:r>
          </w:p>
        </w:tc>
        <w:tc>
          <w:tcPr>
            <w:tcW w:w="811" w:type="dxa"/>
            <w:vMerge w:val="restart"/>
            <w:tcBorders>
              <w:bottom w:val="nil"/>
            </w:tcBorders>
            <w:vAlign w:val="top"/>
          </w:tcPr>
          <w:p w14:paraId="6FABC35D">
            <w:pPr>
              <w:rPr>
                <w:rFonts w:ascii="Arial"/>
                <w:sz w:val="21"/>
              </w:rPr>
            </w:pPr>
          </w:p>
        </w:tc>
      </w:tr>
      <w:tr w14:paraId="7DCD2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6" w:hRule="atLeast"/>
        </w:trPr>
        <w:tc>
          <w:tcPr>
            <w:tcW w:w="818" w:type="dxa"/>
            <w:vMerge w:val="continue"/>
            <w:tcBorders>
              <w:top w:val="nil"/>
              <w:bottom w:val="nil"/>
            </w:tcBorders>
            <w:vAlign w:val="top"/>
          </w:tcPr>
          <w:p w14:paraId="15A81D40">
            <w:pPr>
              <w:rPr>
                <w:rFonts w:ascii="Arial"/>
                <w:sz w:val="21"/>
              </w:rPr>
            </w:pPr>
          </w:p>
        </w:tc>
        <w:tc>
          <w:tcPr>
            <w:tcW w:w="1440" w:type="dxa"/>
            <w:vMerge w:val="continue"/>
            <w:tcBorders>
              <w:top w:val="nil"/>
              <w:bottom w:val="nil"/>
            </w:tcBorders>
            <w:vAlign w:val="top"/>
          </w:tcPr>
          <w:p w14:paraId="4718D6F6">
            <w:pPr>
              <w:rPr>
                <w:rFonts w:ascii="Arial"/>
                <w:sz w:val="21"/>
              </w:rPr>
            </w:pPr>
          </w:p>
        </w:tc>
        <w:tc>
          <w:tcPr>
            <w:tcW w:w="3202" w:type="dxa"/>
            <w:vMerge w:val="continue"/>
            <w:tcBorders>
              <w:top w:val="nil"/>
              <w:bottom w:val="nil"/>
            </w:tcBorders>
            <w:vAlign w:val="top"/>
          </w:tcPr>
          <w:p w14:paraId="6D927997">
            <w:pPr>
              <w:rPr>
                <w:rFonts w:ascii="Arial"/>
                <w:sz w:val="21"/>
              </w:rPr>
            </w:pPr>
          </w:p>
        </w:tc>
        <w:tc>
          <w:tcPr>
            <w:tcW w:w="2859" w:type="dxa"/>
            <w:vMerge w:val="continue"/>
            <w:tcBorders>
              <w:top w:val="nil"/>
              <w:bottom w:val="nil"/>
            </w:tcBorders>
            <w:vAlign w:val="top"/>
          </w:tcPr>
          <w:p w14:paraId="68436851">
            <w:pPr>
              <w:rPr>
                <w:rFonts w:ascii="Arial"/>
                <w:sz w:val="21"/>
              </w:rPr>
            </w:pPr>
          </w:p>
        </w:tc>
        <w:tc>
          <w:tcPr>
            <w:tcW w:w="803" w:type="dxa"/>
            <w:vAlign w:val="top"/>
          </w:tcPr>
          <w:p w14:paraId="76018F41">
            <w:pPr>
              <w:spacing w:line="242" w:lineRule="auto"/>
              <w:rPr>
                <w:rFonts w:ascii="Arial"/>
                <w:sz w:val="21"/>
              </w:rPr>
            </w:pPr>
          </w:p>
          <w:p w14:paraId="3EB4F0E9">
            <w:pPr>
              <w:spacing w:line="243" w:lineRule="auto"/>
              <w:rPr>
                <w:rFonts w:ascii="Arial"/>
                <w:sz w:val="21"/>
              </w:rPr>
            </w:pPr>
          </w:p>
          <w:p w14:paraId="30E0AD02">
            <w:pPr>
              <w:spacing w:line="243" w:lineRule="auto"/>
              <w:rPr>
                <w:rFonts w:ascii="Arial"/>
                <w:sz w:val="21"/>
              </w:rPr>
            </w:pPr>
          </w:p>
          <w:p w14:paraId="38C5FC8B">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B6EAF37">
            <w:pPr>
              <w:pStyle w:val="6"/>
              <w:spacing w:before="310" w:line="190" w:lineRule="auto"/>
              <w:ind w:left="119" w:right="105" w:hanging="2"/>
              <w:jc w:val="both"/>
            </w:pPr>
            <w:r>
              <w:rPr>
                <w:spacing w:val="26"/>
              </w:rPr>
              <w:t>超出执业范围或者聘用单位业务范围</w:t>
            </w:r>
            <w:r>
              <w:rPr>
                <w:spacing w:val="15"/>
              </w:rPr>
              <w:t>从事执业活动</w:t>
            </w:r>
            <w:r>
              <w:rPr>
                <w:rFonts w:ascii="宋体" w:hAnsi="宋体" w:eastAsia="宋体" w:cs="宋体"/>
                <w:spacing w:val="15"/>
              </w:rPr>
              <w:t>2</w:t>
            </w:r>
            <w:r>
              <w:rPr>
                <w:spacing w:val="15"/>
              </w:rPr>
              <w:t>次</w:t>
            </w:r>
            <w:r>
              <w:t>的</w:t>
            </w:r>
          </w:p>
        </w:tc>
        <w:tc>
          <w:tcPr>
            <w:tcW w:w="2894" w:type="dxa"/>
            <w:vAlign w:val="top"/>
          </w:tcPr>
          <w:p w14:paraId="1FCECE84">
            <w:pPr>
              <w:pStyle w:val="6"/>
              <w:spacing w:before="312" w:line="189" w:lineRule="auto"/>
              <w:ind w:left="126" w:right="106" w:hanging="7"/>
              <w:jc w:val="both"/>
            </w:pPr>
            <w:r>
              <w:rPr>
                <w:spacing w:val="2"/>
              </w:rPr>
              <w:t>处</w:t>
            </w:r>
            <w:r>
              <w:rPr>
                <w:rFonts w:ascii="宋体" w:hAnsi="宋体" w:eastAsia="宋体" w:cs="宋体"/>
                <w:spacing w:val="2"/>
              </w:rPr>
              <w:t>1</w:t>
            </w:r>
            <w:r>
              <w:rPr>
                <w:spacing w:val="2"/>
              </w:rPr>
              <w:t>万元以上</w:t>
            </w:r>
            <w:r>
              <w:rPr>
                <w:rFonts w:ascii="宋体" w:hAnsi="宋体" w:eastAsia="宋体" w:cs="宋体"/>
                <w:spacing w:val="2"/>
              </w:rPr>
              <w:t>2</w:t>
            </w:r>
            <w:r>
              <w:rPr>
                <w:spacing w:val="2"/>
              </w:rPr>
              <w:t>万元以下</w:t>
            </w:r>
            <w:r>
              <w:rPr>
                <w:spacing w:val="4"/>
              </w:rPr>
              <w:t>的罚款，由执业证颁发机关吊销其执业证，当事人</w:t>
            </w:r>
            <w:r>
              <w:rPr>
                <w:spacing w:val="7"/>
              </w:rPr>
              <w:t>五年内不得再次申请注册</w:t>
            </w:r>
          </w:p>
        </w:tc>
        <w:tc>
          <w:tcPr>
            <w:tcW w:w="811" w:type="dxa"/>
            <w:vMerge w:val="continue"/>
            <w:tcBorders>
              <w:top w:val="nil"/>
              <w:bottom w:val="nil"/>
            </w:tcBorders>
            <w:vAlign w:val="top"/>
          </w:tcPr>
          <w:p w14:paraId="2B849901">
            <w:pPr>
              <w:rPr>
                <w:rFonts w:ascii="Arial"/>
                <w:sz w:val="21"/>
              </w:rPr>
            </w:pPr>
          </w:p>
        </w:tc>
      </w:tr>
      <w:tr w14:paraId="1B787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2" w:hRule="atLeast"/>
        </w:trPr>
        <w:tc>
          <w:tcPr>
            <w:tcW w:w="818" w:type="dxa"/>
            <w:vMerge w:val="continue"/>
            <w:tcBorders>
              <w:top w:val="nil"/>
            </w:tcBorders>
            <w:vAlign w:val="top"/>
          </w:tcPr>
          <w:p w14:paraId="3ADD53E6">
            <w:pPr>
              <w:rPr>
                <w:rFonts w:ascii="Arial"/>
                <w:sz w:val="21"/>
              </w:rPr>
            </w:pPr>
          </w:p>
        </w:tc>
        <w:tc>
          <w:tcPr>
            <w:tcW w:w="1440" w:type="dxa"/>
            <w:vMerge w:val="continue"/>
            <w:tcBorders>
              <w:top w:val="nil"/>
            </w:tcBorders>
            <w:vAlign w:val="top"/>
          </w:tcPr>
          <w:p w14:paraId="302F9CA1">
            <w:pPr>
              <w:rPr>
                <w:rFonts w:ascii="Arial"/>
                <w:sz w:val="21"/>
              </w:rPr>
            </w:pPr>
          </w:p>
        </w:tc>
        <w:tc>
          <w:tcPr>
            <w:tcW w:w="3202" w:type="dxa"/>
            <w:vMerge w:val="continue"/>
            <w:tcBorders>
              <w:top w:val="nil"/>
            </w:tcBorders>
            <w:vAlign w:val="top"/>
          </w:tcPr>
          <w:p w14:paraId="293120EF">
            <w:pPr>
              <w:rPr>
                <w:rFonts w:ascii="Arial"/>
                <w:sz w:val="21"/>
              </w:rPr>
            </w:pPr>
          </w:p>
        </w:tc>
        <w:tc>
          <w:tcPr>
            <w:tcW w:w="2859" w:type="dxa"/>
            <w:vMerge w:val="continue"/>
            <w:tcBorders>
              <w:top w:val="nil"/>
            </w:tcBorders>
            <w:vAlign w:val="top"/>
          </w:tcPr>
          <w:p w14:paraId="34D7AEDA">
            <w:pPr>
              <w:rPr>
                <w:rFonts w:ascii="Arial"/>
                <w:sz w:val="21"/>
              </w:rPr>
            </w:pPr>
          </w:p>
        </w:tc>
        <w:tc>
          <w:tcPr>
            <w:tcW w:w="803" w:type="dxa"/>
            <w:vAlign w:val="top"/>
          </w:tcPr>
          <w:p w14:paraId="144BD983">
            <w:pPr>
              <w:spacing w:line="343" w:lineRule="auto"/>
              <w:rPr>
                <w:rFonts w:ascii="Arial"/>
                <w:sz w:val="21"/>
              </w:rPr>
            </w:pPr>
          </w:p>
          <w:p w14:paraId="04868360">
            <w:pPr>
              <w:spacing w:line="343" w:lineRule="auto"/>
              <w:rPr>
                <w:rFonts w:ascii="Arial"/>
                <w:sz w:val="21"/>
              </w:rPr>
            </w:pPr>
          </w:p>
          <w:p w14:paraId="659E4B16">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81D2F9F">
            <w:pPr>
              <w:pStyle w:val="6"/>
              <w:spacing w:before="271" w:line="189" w:lineRule="auto"/>
              <w:ind w:left="119" w:right="105" w:hanging="2"/>
              <w:jc w:val="both"/>
            </w:pPr>
            <w:r>
              <w:rPr>
                <w:spacing w:val="26"/>
              </w:rPr>
              <w:t>超出执业范围或者聘用单位业务范围</w:t>
            </w:r>
            <w:r>
              <w:rPr>
                <w:spacing w:val="15"/>
              </w:rPr>
              <w:t>从事执业活动</w:t>
            </w:r>
            <w:r>
              <w:rPr>
                <w:rFonts w:ascii="宋体" w:hAnsi="宋体" w:eastAsia="宋体" w:cs="宋体"/>
                <w:spacing w:val="15"/>
              </w:rPr>
              <w:t>3</w:t>
            </w:r>
            <w:r>
              <w:rPr>
                <w:spacing w:val="15"/>
              </w:rPr>
              <w:t>次</w:t>
            </w:r>
            <w:r>
              <w:rPr>
                <w:spacing w:val="4"/>
              </w:rPr>
              <w:t>以上的</w:t>
            </w:r>
          </w:p>
        </w:tc>
        <w:tc>
          <w:tcPr>
            <w:tcW w:w="2894" w:type="dxa"/>
            <w:vAlign w:val="top"/>
          </w:tcPr>
          <w:p w14:paraId="7C5A8E64">
            <w:pPr>
              <w:pStyle w:val="6"/>
              <w:spacing w:before="271" w:line="189" w:lineRule="auto"/>
              <w:ind w:left="126" w:right="106" w:hanging="7"/>
              <w:jc w:val="both"/>
            </w:pPr>
            <w:r>
              <w:rPr>
                <w:spacing w:val="3"/>
              </w:rPr>
              <w:t>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万元以下</w:t>
            </w:r>
            <w:r>
              <w:rPr>
                <w:spacing w:val="4"/>
              </w:rPr>
              <w:t>的罚款，由执业证颁发机关吊销其执业证，当事人</w:t>
            </w:r>
            <w:r>
              <w:rPr>
                <w:spacing w:val="7"/>
              </w:rPr>
              <w:t>五年内不得再次申请注册</w:t>
            </w:r>
          </w:p>
        </w:tc>
        <w:tc>
          <w:tcPr>
            <w:tcW w:w="811" w:type="dxa"/>
            <w:vMerge w:val="continue"/>
            <w:tcBorders>
              <w:top w:val="nil"/>
            </w:tcBorders>
            <w:vAlign w:val="top"/>
          </w:tcPr>
          <w:p w14:paraId="352A676B">
            <w:pPr>
              <w:rPr>
                <w:rFonts w:ascii="Arial"/>
                <w:sz w:val="21"/>
              </w:rPr>
            </w:pPr>
          </w:p>
        </w:tc>
      </w:tr>
      <w:tr w14:paraId="4540D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7" w:hRule="atLeast"/>
        </w:trPr>
        <w:tc>
          <w:tcPr>
            <w:tcW w:w="818" w:type="dxa"/>
            <w:vAlign w:val="top"/>
          </w:tcPr>
          <w:p w14:paraId="11461489">
            <w:pPr>
              <w:spacing w:line="274" w:lineRule="auto"/>
              <w:rPr>
                <w:rFonts w:ascii="Arial"/>
                <w:sz w:val="21"/>
              </w:rPr>
            </w:pPr>
          </w:p>
          <w:p w14:paraId="270E2961">
            <w:pPr>
              <w:spacing w:line="274" w:lineRule="auto"/>
              <w:rPr>
                <w:rFonts w:ascii="Arial"/>
                <w:sz w:val="21"/>
              </w:rPr>
            </w:pPr>
          </w:p>
          <w:p w14:paraId="0DF45EA0">
            <w:pPr>
              <w:spacing w:line="275" w:lineRule="auto"/>
              <w:rPr>
                <w:rFonts w:ascii="Arial"/>
                <w:sz w:val="21"/>
              </w:rPr>
            </w:pPr>
          </w:p>
          <w:p w14:paraId="0B7DE0D0">
            <w:pPr>
              <w:spacing w:line="275" w:lineRule="auto"/>
              <w:rPr>
                <w:rFonts w:ascii="Arial"/>
                <w:sz w:val="21"/>
              </w:rPr>
            </w:pPr>
          </w:p>
          <w:p w14:paraId="16F71C5D">
            <w:pPr>
              <w:spacing w:before="75" w:line="185" w:lineRule="auto"/>
              <w:ind w:left="236"/>
              <w:rPr>
                <w:rFonts w:ascii="仿宋" w:hAnsi="仿宋" w:eastAsia="仿宋" w:cs="仿宋"/>
                <w:sz w:val="23"/>
                <w:szCs w:val="23"/>
              </w:rPr>
            </w:pPr>
            <w:r>
              <w:rPr>
                <w:rFonts w:ascii="仿宋" w:hAnsi="仿宋" w:eastAsia="仿宋" w:cs="仿宋"/>
                <w:spacing w:val="-2"/>
                <w:sz w:val="23"/>
                <w:szCs w:val="23"/>
              </w:rPr>
              <w:t>69</w:t>
            </w:r>
          </w:p>
        </w:tc>
        <w:tc>
          <w:tcPr>
            <w:tcW w:w="1440" w:type="dxa"/>
            <w:vAlign w:val="top"/>
          </w:tcPr>
          <w:p w14:paraId="4E07C550">
            <w:pPr>
              <w:spacing w:line="287" w:lineRule="auto"/>
              <w:rPr>
                <w:rFonts w:ascii="Arial"/>
                <w:sz w:val="21"/>
              </w:rPr>
            </w:pPr>
          </w:p>
          <w:p w14:paraId="3EB4F429">
            <w:pPr>
              <w:pStyle w:val="6"/>
              <w:spacing w:before="98" w:line="187" w:lineRule="auto"/>
              <w:ind w:left="115" w:right="111" w:firstLine="13"/>
              <w:jc w:val="both"/>
            </w:pPr>
            <w:r>
              <w:rPr>
                <w:spacing w:val="8"/>
              </w:rPr>
              <w:t>生产经营单</w:t>
            </w:r>
            <w:r>
              <w:rPr>
                <w:spacing w:val="11"/>
              </w:rPr>
              <w:t>位未按照规定制定生产安全事故应急救援预案</w:t>
            </w:r>
            <w:r>
              <w:t>的</w:t>
            </w:r>
          </w:p>
        </w:tc>
        <w:tc>
          <w:tcPr>
            <w:tcW w:w="3202" w:type="dxa"/>
            <w:vAlign w:val="top"/>
          </w:tcPr>
          <w:p w14:paraId="476BED0C">
            <w:pPr>
              <w:pStyle w:val="6"/>
              <w:spacing w:before="29" w:line="186" w:lineRule="auto"/>
              <w:ind w:left="117" w:right="42" w:firstLine="13"/>
              <w:jc w:val="both"/>
            </w:pPr>
            <w:r>
              <w:rPr>
                <w:rFonts w:ascii="宋体" w:hAnsi="宋体" w:eastAsia="宋体" w:cs="宋体"/>
                <w:spacing w:val="14"/>
              </w:rPr>
              <w:t>1.</w:t>
            </w:r>
            <w:r>
              <w:rPr>
                <w:spacing w:val="14"/>
              </w:rPr>
              <w:t>【法律】《中华人民共和</w:t>
            </w:r>
            <w:r>
              <w:rPr>
                <w:spacing w:val="3"/>
              </w:rPr>
              <w:t>国安全生产法》第八十一条：</w:t>
            </w:r>
            <w:r>
              <w:rPr>
                <w:spacing w:val="17"/>
              </w:rPr>
              <w:t>生产经营单位应当制定本单位生产安全事故应急救援预</w:t>
            </w:r>
            <w:r>
              <w:rPr>
                <w:spacing w:val="12"/>
              </w:rPr>
              <w:t>案，与所在地县级以上地方</w:t>
            </w:r>
            <w:r>
              <w:rPr>
                <w:spacing w:val="17"/>
              </w:rPr>
              <w:t>人民政府组织制定的生产安</w:t>
            </w:r>
            <w:r>
              <w:rPr>
                <w:spacing w:val="39"/>
              </w:rPr>
              <w:t>全事故应急救援预案相衔</w:t>
            </w:r>
            <w:r>
              <w:rPr>
                <w:spacing w:val="4"/>
              </w:rPr>
              <w:t>接，并定期组织演练。</w:t>
            </w:r>
          </w:p>
        </w:tc>
        <w:tc>
          <w:tcPr>
            <w:tcW w:w="2859" w:type="dxa"/>
            <w:vAlign w:val="top"/>
          </w:tcPr>
          <w:p w14:paraId="181D07F5">
            <w:pPr>
              <w:pStyle w:val="6"/>
              <w:spacing w:before="30" w:line="186" w:lineRule="auto"/>
              <w:ind w:left="115" w:right="38" w:firstLine="15"/>
              <w:jc w:val="both"/>
            </w:pPr>
            <w:r>
              <w:rPr>
                <w:rFonts w:ascii="宋体" w:hAnsi="宋体" w:eastAsia="宋体" w:cs="宋体"/>
                <w:spacing w:val="6"/>
              </w:rPr>
              <w:t>1.</w:t>
            </w:r>
            <w:r>
              <w:rPr>
                <w:spacing w:val="6"/>
              </w:rPr>
              <w:t>【法律】《中华人民共</w:t>
            </w:r>
            <w:r>
              <w:rPr>
                <w:spacing w:val="8"/>
              </w:rPr>
              <w:t>和国安全生产法》第九十七条第六项：生产经营单</w:t>
            </w:r>
            <w:r>
              <w:rPr>
                <w:spacing w:val="4"/>
              </w:rPr>
              <w:t>位有下列行为之一的，责</w:t>
            </w:r>
            <w:r>
              <w:rPr>
                <w:spacing w:val="8"/>
              </w:rPr>
              <w:t>令限期改正，处十万元以</w:t>
            </w:r>
            <w:r>
              <w:rPr>
                <w:spacing w:val="-5"/>
              </w:rPr>
              <w:t>下的罚款；逾期未改正的，</w:t>
            </w:r>
            <w:r>
              <w:rPr>
                <w:spacing w:val="8"/>
              </w:rPr>
              <w:t>责令停产停业整顿，并处十万元以上二十万元以下</w:t>
            </w:r>
          </w:p>
        </w:tc>
        <w:tc>
          <w:tcPr>
            <w:tcW w:w="803" w:type="dxa"/>
            <w:vAlign w:val="top"/>
          </w:tcPr>
          <w:p w14:paraId="78695652">
            <w:pPr>
              <w:spacing w:line="273" w:lineRule="auto"/>
              <w:rPr>
                <w:rFonts w:ascii="Arial"/>
                <w:sz w:val="21"/>
              </w:rPr>
            </w:pPr>
          </w:p>
          <w:p w14:paraId="7B31A87B">
            <w:pPr>
              <w:spacing w:line="273" w:lineRule="auto"/>
              <w:rPr>
                <w:rFonts w:ascii="Arial"/>
                <w:sz w:val="21"/>
              </w:rPr>
            </w:pPr>
          </w:p>
          <w:p w14:paraId="27B55B37">
            <w:pPr>
              <w:spacing w:line="273" w:lineRule="auto"/>
              <w:rPr>
                <w:rFonts w:ascii="Arial"/>
                <w:sz w:val="21"/>
              </w:rPr>
            </w:pPr>
          </w:p>
          <w:p w14:paraId="32264E9D">
            <w:pPr>
              <w:spacing w:line="273" w:lineRule="auto"/>
              <w:rPr>
                <w:rFonts w:ascii="Arial"/>
                <w:sz w:val="21"/>
              </w:rPr>
            </w:pPr>
          </w:p>
          <w:p w14:paraId="45925CA0">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3A48DB4">
            <w:pPr>
              <w:spacing w:line="291" w:lineRule="auto"/>
              <w:rPr>
                <w:rFonts w:ascii="Arial"/>
                <w:sz w:val="21"/>
              </w:rPr>
            </w:pPr>
          </w:p>
          <w:p w14:paraId="29FA3497">
            <w:pPr>
              <w:spacing w:line="291" w:lineRule="auto"/>
              <w:rPr>
                <w:rFonts w:ascii="Arial"/>
                <w:sz w:val="21"/>
              </w:rPr>
            </w:pPr>
          </w:p>
          <w:p w14:paraId="64B279A1">
            <w:pPr>
              <w:pStyle w:val="6"/>
              <w:spacing w:before="98" w:line="189" w:lineRule="auto"/>
              <w:ind w:left="116" w:right="105" w:hanging="2"/>
              <w:jc w:val="both"/>
            </w:pPr>
            <w:r>
              <w:rPr>
                <w:spacing w:val="15"/>
              </w:rPr>
              <w:t>缺少</w:t>
            </w:r>
            <w:r>
              <w:rPr>
                <w:rFonts w:ascii="宋体" w:hAnsi="宋体" w:eastAsia="宋体" w:cs="宋体"/>
                <w:spacing w:val="15"/>
              </w:rPr>
              <w:t>1</w:t>
            </w:r>
            <w:r>
              <w:rPr>
                <w:spacing w:val="15"/>
              </w:rPr>
              <w:t>个应急救援</w:t>
            </w:r>
            <w:r>
              <w:rPr>
                <w:spacing w:val="-8"/>
              </w:rPr>
              <w:t>预案，或者有</w:t>
            </w:r>
            <w:r>
              <w:rPr>
                <w:rFonts w:ascii="宋体" w:hAnsi="宋体" w:eastAsia="宋体" w:cs="宋体"/>
                <w:spacing w:val="-8"/>
              </w:rPr>
              <w:t>1</w:t>
            </w:r>
            <w:r>
              <w:rPr>
                <w:spacing w:val="-8"/>
              </w:rPr>
              <w:t>个应</w:t>
            </w:r>
            <w:r>
              <w:rPr>
                <w:spacing w:val="26"/>
              </w:rPr>
              <w:t>急救援预案不符合</w:t>
            </w:r>
            <w:r>
              <w:rPr>
                <w:spacing w:val="7"/>
              </w:rPr>
              <w:t>编制基本要求的</w:t>
            </w:r>
          </w:p>
        </w:tc>
        <w:tc>
          <w:tcPr>
            <w:tcW w:w="2894" w:type="dxa"/>
            <w:vAlign w:val="top"/>
          </w:tcPr>
          <w:p w14:paraId="553F4D6D">
            <w:pPr>
              <w:pStyle w:val="6"/>
              <w:spacing w:before="89" w:line="183" w:lineRule="auto"/>
              <w:ind w:left="126" w:right="103"/>
            </w:pPr>
            <w:r>
              <w:rPr>
                <w:spacing w:val="4"/>
              </w:rPr>
              <w:t>责令限期改正，处</w:t>
            </w:r>
            <w:r>
              <w:rPr>
                <w:rFonts w:ascii="宋体" w:hAnsi="宋体" w:eastAsia="宋体" w:cs="宋体"/>
                <w:spacing w:val="4"/>
              </w:rPr>
              <w:t>3</w:t>
            </w:r>
            <w:r>
              <w:rPr>
                <w:spacing w:val="4"/>
              </w:rPr>
              <w:t>万元</w:t>
            </w:r>
            <w:r>
              <w:rPr>
                <w:spacing w:val="8"/>
              </w:rPr>
              <w:t>以下的罚款；逾期未改正</w:t>
            </w:r>
            <w:r>
              <w:rPr>
                <w:spacing w:val="6"/>
              </w:rPr>
              <w:t>的，责令停产停业整顿，</w:t>
            </w:r>
            <w:r>
              <w:rPr>
                <w:spacing w:val="-2"/>
              </w:rPr>
              <w:t>并处</w:t>
            </w:r>
            <w:r>
              <w:rPr>
                <w:rFonts w:ascii="宋体" w:hAnsi="宋体" w:eastAsia="宋体" w:cs="宋体"/>
                <w:spacing w:val="-2"/>
              </w:rPr>
              <w:t>10</w:t>
            </w:r>
            <w:r>
              <w:rPr>
                <w:spacing w:val="-2"/>
              </w:rPr>
              <w:t>万元以上</w:t>
            </w:r>
            <w:r>
              <w:rPr>
                <w:rFonts w:ascii="宋体" w:hAnsi="宋体" w:eastAsia="宋体" w:cs="宋体"/>
                <w:spacing w:val="-2"/>
              </w:rPr>
              <w:t>13</w:t>
            </w:r>
            <w:r>
              <w:rPr>
                <w:spacing w:val="-2"/>
              </w:rPr>
              <w:t>万元</w:t>
            </w:r>
            <w:r>
              <w:rPr>
                <w:spacing w:val="7"/>
              </w:rPr>
              <w:t>以下的罚款，对其直接负</w:t>
            </w:r>
            <w:r>
              <w:rPr>
                <w:spacing w:val="11"/>
              </w:rPr>
              <w:t>责的主管人员和其他直接</w:t>
            </w:r>
            <w:r>
              <w:rPr>
                <w:spacing w:val="9"/>
              </w:rPr>
              <w:t>责任人员处</w:t>
            </w:r>
            <w:r>
              <w:rPr>
                <w:rFonts w:ascii="宋体" w:hAnsi="宋体" w:eastAsia="宋体" w:cs="宋体"/>
                <w:spacing w:val="9"/>
              </w:rPr>
              <w:t>2</w:t>
            </w:r>
            <w:r>
              <w:rPr>
                <w:spacing w:val="9"/>
              </w:rPr>
              <w:t>万元以上</w:t>
            </w:r>
            <w:r>
              <w:rPr>
                <w:rFonts w:ascii="宋体" w:hAnsi="宋体" w:eastAsia="宋体" w:cs="宋体"/>
                <w:spacing w:val="9"/>
              </w:rPr>
              <w:t>3</w:t>
            </w:r>
            <w:r>
              <w:rPr>
                <w:spacing w:val="6"/>
              </w:rPr>
              <w:t>万元以下的罚款</w:t>
            </w:r>
          </w:p>
        </w:tc>
        <w:tc>
          <w:tcPr>
            <w:tcW w:w="811" w:type="dxa"/>
            <w:vAlign w:val="top"/>
          </w:tcPr>
          <w:p w14:paraId="34DBCD76">
            <w:pPr>
              <w:spacing w:line="273" w:lineRule="auto"/>
              <w:rPr>
                <w:rFonts w:ascii="Arial"/>
                <w:sz w:val="21"/>
              </w:rPr>
            </w:pPr>
          </w:p>
          <w:p w14:paraId="4364090B">
            <w:pPr>
              <w:spacing w:line="273" w:lineRule="auto"/>
              <w:rPr>
                <w:rFonts w:ascii="Arial"/>
                <w:sz w:val="21"/>
              </w:rPr>
            </w:pPr>
          </w:p>
          <w:p w14:paraId="56FD3D84">
            <w:pPr>
              <w:spacing w:line="274" w:lineRule="auto"/>
              <w:rPr>
                <w:rFonts w:ascii="Arial"/>
                <w:sz w:val="21"/>
              </w:rPr>
            </w:pPr>
          </w:p>
          <w:p w14:paraId="57DE2649">
            <w:pPr>
              <w:spacing w:line="274" w:lineRule="auto"/>
              <w:rPr>
                <w:rFonts w:ascii="Arial"/>
                <w:sz w:val="21"/>
              </w:rPr>
            </w:pPr>
          </w:p>
          <w:p w14:paraId="091FBB66">
            <w:pPr>
              <w:spacing w:before="75" w:line="188" w:lineRule="auto"/>
              <w:ind w:left="295"/>
              <w:rPr>
                <w:rFonts w:ascii="宋体" w:hAnsi="宋体" w:eastAsia="宋体" w:cs="宋体"/>
                <w:sz w:val="23"/>
                <w:szCs w:val="23"/>
              </w:rPr>
            </w:pPr>
            <w:r>
              <w:rPr>
                <w:rFonts w:ascii="宋体" w:hAnsi="宋体" w:eastAsia="宋体" w:cs="宋体"/>
                <w:spacing w:val="-4"/>
                <w:sz w:val="23"/>
                <w:szCs w:val="23"/>
              </w:rPr>
              <w:t>50</w:t>
            </w:r>
          </w:p>
        </w:tc>
      </w:tr>
    </w:tbl>
    <w:p w14:paraId="17FCF1F4">
      <w:pPr>
        <w:pStyle w:val="2"/>
        <w:spacing w:line="227" w:lineRule="exact"/>
        <w:rPr>
          <w:sz w:val="19"/>
        </w:rPr>
      </w:pPr>
    </w:p>
    <w:p w14:paraId="1E7BA46B">
      <w:pPr>
        <w:spacing w:line="227" w:lineRule="exact"/>
        <w:rPr>
          <w:sz w:val="19"/>
          <w:szCs w:val="19"/>
        </w:rPr>
        <w:sectPr>
          <w:footerReference r:id="rId82" w:type="default"/>
          <w:pgSz w:w="16839" w:h="11906"/>
          <w:pgMar w:top="1012" w:right="821" w:bottom="667" w:left="901" w:header="0" w:footer="388" w:gutter="0"/>
          <w:cols w:space="720" w:num="1"/>
        </w:sectPr>
      </w:pPr>
    </w:p>
    <w:p w14:paraId="0B0B731D">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95FD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989D552">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6DF23DB7">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7F1BBC62">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0CEE4EB">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C757C3A">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DFDE07A">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886A92C">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7A3E18B8">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8357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1" w:hRule="atLeast"/>
        </w:trPr>
        <w:tc>
          <w:tcPr>
            <w:tcW w:w="818" w:type="dxa"/>
            <w:vMerge w:val="restart"/>
            <w:tcBorders>
              <w:bottom w:val="nil"/>
            </w:tcBorders>
            <w:vAlign w:val="top"/>
          </w:tcPr>
          <w:p w14:paraId="1E6BD7AE">
            <w:pPr>
              <w:rPr>
                <w:rFonts w:ascii="Arial"/>
                <w:sz w:val="21"/>
              </w:rPr>
            </w:pPr>
          </w:p>
        </w:tc>
        <w:tc>
          <w:tcPr>
            <w:tcW w:w="1440" w:type="dxa"/>
            <w:vMerge w:val="restart"/>
            <w:tcBorders>
              <w:bottom w:val="nil"/>
            </w:tcBorders>
            <w:vAlign w:val="top"/>
          </w:tcPr>
          <w:p w14:paraId="14A5C6E3">
            <w:pPr>
              <w:rPr>
                <w:rFonts w:ascii="Arial"/>
                <w:sz w:val="21"/>
              </w:rPr>
            </w:pPr>
          </w:p>
        </w:tc>
        <w:tc>
          <w:tcPr>
            <w:tcW w:w="3202" w:type="dxa"/>
            <w:vMerge w:val="restart"/>
            <w:tcBorders>
              <w:bottom w:val="nil"/>
            </w:tcBorders>
            <w:vAlign w:val="top"/>
          </w:tcPr>
          <w:p w14:paraId="56C78990">
            <w:pPr>
              <w:pStyle w:val="6"/>
              <w:spacing w:before="34" w:line="182" w:lineRule="auto"/>
              <w:ind w:left="116" w:right="110"/>
              <w:jc w:val="both"/>
            </w:pPr>
            <w:r>
              <w:rPr>
                <w:rFonts w:ascii="宋体" w:hAnsi="宋体" w:eastAsia="宋体" w:cs="宋体"/>
                <w:spacing w:val="15"/>
              </w:rPr>
              <w:t>2.</w:t>
            </w:r>
            <w:r>
              <w:rPr>
                <w:spacing w:val="15"/>
              </w:rPr>
              <w:t>【行政法规】《生产安全</w:t>
            </w:r>
            <w:r>
              <w:rPr>
                <w:spacing w:val="17"/>
              </w:rPr>
              <w:t>事故应急条例》第五条第二</w:t>
            </w:r>
            <w:r>
              <w:rPr>
                <w:spacing w:val="12"/>
              </w:rPr>
              <w:t>款：生产经营单位应当针对</w:t>
            </w:r>
            <w:r>
              <w:rPr>
                <w:spacing w:val="17"/>
              </w:rPr>
              <w:t>本单位可能发生的生产安全</w:t>
            </w:r>
            <w:r>
              <w:rPr>
                <w:spacing w:val="14"/>
              </w:rPr>
              <w:t>事故的特点和危害，进行风</w:t>
            </w:r>
            <w:r>
              <w:rPr>
                <w:spacing w:val="13"/>
              </w:rPr>
              <w:t>险辨识和评估，制定相应的</w:t>
            </w:r>
            <w:r>
              <w:rPr>
                <w:spacing w:val="39"/>
              </w:rPr>
              <w:t>生产安全事故应急救援预</w:t>
            </w:r>
            <w:r>
              <w:rPr>
                <w:spacing w:val="13"/>
              </w:rPr>
              <w:t>案，并向本单位从业人员公</w:t>
            </w:r>
            <w:r>
              <w:rPr>
                <w:spacing w:val="-7"/>
              </w:rPr>
              <w:t>布。</w:t>
            </w:r>
          </w:p>
          <w:p w14:paraId="5EF7CC66">
            <w:pPr>
              <w:pStyle w:val="6"/>
              <w:spacing w:before="8" w:line="182" w:lineRule="auto"/>
              <w:ind w:left="116" w:right="42" w:firstLine="1"/>
            </w:pPr>
            <w:r>
              <w:rPr>
                <w:rFonts w:ascii="宋体" w:hAnsi="宋体" w:eastAsia="宋体" w:cs="宋体"/>
                <w:spacing w:val="15"/>
              </w:rPr>
              <w:t>3.</w:t>
            </w:r>
            <w:r>
              <w:rPr>
                <w:spacing w:val="15"/>
              </w:rPr>
              <w:t>【部门规章】《工贸企业</w:t>
            </w:r>
            <w:r>
              <w:rPr>
                <w:spacing w:val="3"/>
              </w:rPr>
              <w:t>粉尘防爆安全规定》第十条：</w:t>
            </w:r>
            <w:r>
              <w:rPr>
                <w:spacing w:val="17"/>
              </w:rPr>
              <w:t>粉尘涉爆企业应当制定有关</w:t>
            </w:r>
            <w:r>
              <w:rPr>
                <w:spacing w:val="39"/>
              </w:rPr>
              <w:t>粉尘爆炸事故应急救援预</w:t>
            </w:r>
            <w:r>
              <w:rPr>
                <w:spacing w:val="10"/>
              </w:rPr>
              <w:t>案，并依法定期组织演练。</w:t>
            </w:r>
            <w:r>
              <w:rPr>
                <w:spacing w:val="17"/>
              </w:rPr>
              <w:t>发生火灾或者粉尘爆炸事故</w:t>
            </w:r>
            <w:r>
              <w:rPr>
                <w:spacing w:val="13"/>
              </w:rPr>
              <w:t>后，粉尘涉爆企业应当立即</w:t>
            </w:r>
            <w:r>
              <w:rPr>
                <w:spacing w:val="17"/>
              </w:rPr>
              <w:t>启动应急响应并撤离疏散全</w:t>
            </w:r>
            <w:r>
              <w:rPr>
                <w:spacing w:val="13"/>
              </w:rPr>
              <w:t>部作业人员至安全场所，不</w:t>
            </w:r>
            <w:r>
              <w:rPr>
                <w:spacing w:val="17"/>
              </w:rPr>
              <w:t>得采用可能引起扬尘的应急</w:t>
            </w:r>
            <w:r>
              <w:t>处置措施。</w:t>
            </w:r>
          </w:p>
          <w:p w14:paraId="3E9E7D4F">
            <w:pPr>
              <w:pStyle w:val="6"/>
              <w:spacing w:before="7" w:line="186" w:lineRule="auto"/>
              <w:ind w:left="115" w:right="111" w:hanging="3"/>
            </w:pPr>
            <w:r>
              <w:rPr>
                <w:rFonts w:ascii="宋体" w:hAnsi="宋体" w:eastAsia="宋体" w:cs="宋体"/>
                <w:spacing w:val="16"/>
              </w:rPr>
              <w:t>4.</w:t>
            </w:r>
            <w:r>
              <w:rPr>
                <w:spacing w:val="16"/>
              </w:rPr>
              <w:t>【部门规章】《工贸企业</w:t>
            </w:r>
            <w:r>
              <w:rPr>
                <w:spacing w:val="17"/>
              </w:rPr>
              <w:t>有限空间作业安全规定》第</w:t>
            </w:r>
            <w:r>
              <w:rPr>
                <w:spacing w:val="13"/>
              </w:rPr>
              <w:t>十条：工贸企业应当制定有限空间作业现场处置方案，按规定组织演练，并进行演</w:t>
            </w:r>
            <w:r>
              <w:rPr>
                <w:spacing w:val="1"/>
              </w:rPr>
              <w:t>练效果评估。</w:t>
            </w:r>
          </w:p>
        </w:tc>
        <w:tc>
          <w:tcPr>
            <w:tcW w:w="2859" w:type="dxa"/>
            <w:vMerge w:val="restart"/>
            <w:tcBorders>
              <w:bottom w:val="nil"/>
            </w:tcBorders>
            <w:vAlign w:val="top"/>
          </w:tcPr>
          <w:p w14:paraId="0BAD61FB">
            <w:pPr>
              <w:pStyle w:val="6"/>
              <w:spacing w:before="33" w:line="182" w:lineRule="auto"/>
              <w:ind w:left="119" w:right="110" w:firstLine="19"/>
              <w:jc w:val="both"/>
            </w:pPr>
            <w:r>
              <w:rPr>
                <w:spacing w:val="4"/>
              </w:rPr>
              <w:t>的罚款，对其直接负责的</w:t>
            </w:r>
            <w:r>
              <w:rPr>
                <w:spacing w:val="8"/>
              </w:rPr>
              <w:t>主管人员和其他直接责任人员处二万元以上五万元以下的罚款</w:t>
            </w:r>
            <w:r>
              <w:rPr>
                <w:spacing w:val="10"/>
              </w:rPr>
              <w:t>：（</w:t>
            </w:r>
            <w:r>
              <w:rPr>
                <w:spacing w:val="8"/>
              </w:rPr>
              <w:t>六）未按照规定制定生产安全事故应急救援预案或者未定期</w:t>
            </w:r>
            <w:r>
              <w:rPr>
                <w:spacing w:val="-1"/>
              </w:rPr>
              <w:t>组织演练的；</w:t>
            </w:r>
          </w:p>
          <w:p w14:paraId="7EF8FC59">
            <w:pPr>
              <w:pStyle w:val="6"/>
              <w:spacing w:before="11" w:line="182" w:lineRule="auto"/>
              <w:ind w:left="114" w:right="110" w:firstLine="1"/>
            </w:pPr>
            <w:r>
              <w:rPr>
                <w:rFonts w:ascii="宋体" w:hAnsi="宋体" w:eastAsia="宋体" w:cs="宋体"/>
                <w:spacing w:val="7"/>
              </w:rPr>
              <w:t>2.</w:t>
            </w:r>
            <w:r>
              <w:rPr>
                <w:spacing w:val="7"/>
              </w:rPr>
              <w:t>【行政法规】《生产安</w:t>
            </w:r>
            <w:r>
              <w:rPr>
                <w:spacing w:val="8"/>
              </w:rPr>
              <w:t>全事故应急条例》第三十条：生产经营单位未制定生产安全事故应急救援预案、未定期组织应急救援预案演练、未对从业人员</w:t>
            </w:r>
            <w:r>
              <w:t>进行应急教育和培训，生</w:t>
            </w:r>
            <w:r>
              <w:rPr>
                <w:spacing w:val="8"/>
              </w:rPr>
              <w:t>产经营单位的主要负责人在本单位发生生产安全事</w:t>
            </w:r>
            <w:r>
              <w:rPr>
                <w:spacing w:val="7"/>
              </w:rPr>
              <w:t>故时不立即组织抢救的，</w:t>
            </w:r>
            <w:r>
              <w:rPr>
                <w:spacing w:val="8"/>
              </w:rPr>
              <w:t>由县级以上人民政府负有安全生产监督管理职责的部门依照《中华人民共和国安全生产法》有关规定</w:t>
            </w:r>
            <w:r>
              <w:rPr>
                <w:spacing w:val="3"/>
              </w:rPr>
              <w:t>追究法律责任。</w:t>
            </w:r>
          </w:p>
          <w:p w14:paraId="76E86D26">
            <w:pPr>
              <w:pStyle w:val="6"/>
              <w:spacing w:before="10" w:line="179" w:lineRule="auto"/>
              <w:ind w:left="116" w:right="110" w:firstLine="1"/>
              <w:jc w:val="both"/>
            </w:pPr>
            <w:r>
              <w:rPr>
                <w:rFonts w:ascii="宋体" w:hAnsi="宋体" w:eastAsia="宋体" w:cs="宋体"/>
                <w:spacing w:val="7"/>
              </w:rPr>
              <w:t>3.</w:t>
            </w:r>
            <w:r>
              <w:rPr>
                <w:spacing w:val="7"/>
              </w:rPr>
              <w:t>【部门规章】《工贸企</w:t>
            </w:r>
            <w:r>
              <w:rPr>
                <w:spacing w:val="8"/>
              </w:rPr>
              <w:t>业粉尘防爆安全规定》第二十八条第三项：粉尘涉</w:t>
            </w:r>
            <w:r>
              <w:rPr>
                <w:spacing w:val="27"/>
              </w:rPr>
              <w:t>爆企业有下列行为之一</w:t>
            </w:r>
            <w:r>
              <w:rPr>
                <w:spacing w:val="8"/>
              </w:rPr>
              <w:t>的，由负责粉尘涉爆企业安全监管的部门依照《中</w:t>
            </w:r>
            <w:r>
              <w:rPr>
                <w:spacing w:val="32"/>
              </w:rPr>
              <w:t>华人民共和国安全生产</w:t>
            </w:r>
            <w:r>
              <w:rPr>
                <w:spacing w:val="8"/>
              </w:rPr>
              <w:t>法》有关规定，责令限期</w:t>
            </w:r>
          </w:p>
        </w:tc>
        <w:tc>
          <w:tcPr>
            <w:tcW w:w="803" w:type="dxa"/>
            <w:vAlign w:val="top"/>
          </w:tcPr>
          <w:p w14:paraId="4CD03537">
            <w:pPr>
              <w:spacing w:line="264" w:lineRule="auto"/>
              <w:rPr>
                <w:rFonts w:ascii="Arial"/>
                <w:sz w:val="21"/>
              </w:rPr>
            </w:pPr>
          </w:p>
          <w:p w14:paraId="42269CFC">
            <w:pPr>
              <w:spacing w:line="264" w:lineRule="auto"/>
              <w:rPr>
                <w:rFonts w:ascii="Arial"/>
                <w:sz w:val="21"/>
              </w:rPr>
            </w:pPr>
          </w:p>
          <w:p w14:paraId="37BA512C">
            <w:pPr>
              <w:spacing w:line="264" w:lineRule="auto"/>
              <w:rPr>
                <w:rFonts w:ascii="Arial"/>
                <w:sz w:val="21"/>
              </w:rPr>
            </w:pPr>
          </w:p>
          <w:p w14:paraId="37847E63">
            <w:pPr>
              <w:spacing w:line="264" w:lineRule="auto"/>
              <w:rPr>
                <w:rFonts w:ascii="Arial"/>
                <w:sz w:val="21"/>
              </w:rPr>
            </w:pPr>
          </w:p>
          <w:p w14:paraId="1AD50289">
            <w:pPr>
              <w:spacing w:line="265" w:lineRule="auto"/>
              <w:rPr>
                <w:rFonts w:ascii="Arial"/>
                <w:sz w:val="21"/>
              </w:rPr>
            </w:pPr>
          </w:p>
          <w:p w14:paraId="275DFCC8">
            <w:pPr>
              <w:spacing w:line="265" w:lineRule="auto"/>
              <w:rPr>
                <w:rFonts w:ascii="Arial"/>
                <w:sz w:val="21"/>
              </w:rPr>
            </w:pPr>
          </w:p>
          <w:p w14:paraId="697C36C5">
            <w:pPr>
              <w:spacing w:line="265" w:lineRule="auto"/>
              <w:rPr>
                <w:rFonts w:ascii="Arial"/>
                <w:sz w:val="21"/>
              </w:rPr>
            </w:pPr>
          </w:p>
          <w:p w14:paraId="0A879D9D">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8F4EBE9">
            <w:pPr>
              <w:spacing w:line="267" w:lineRule="auto"/>
              <w:rPr>
                <w:rFonts w:ascii="Arial"/>
                <w:sz w:val="21"/>
              </w:rPr>
            </w:pPr>
          </w:p>
          <w:p w14:paraId="42F68A34">
            <w:pPr>
              <w:spacing w:line="267" w:lineRule="auto"/>
              <w:rPr>
                <w:rFonts w:ascii="Arial"/>
                <w:sz w:val="21"/>
              </w:rPr>
            </w:pPr>
          </w:p>
          <w:p w14:paraId="597A23A8">
            <w:pPr>
              <w:spacing w:line="267" w:lineRule="auto"/>
              <w:rPr>
                <w:rFonts w:ascii="Arial"/>
                <w:sz w:val="21"/>
              </w:rPr>
            </w:pPr>
          </w:p>
          <w:p w14:paraId="60B9F5B5">
            <w:pPr>
              <w:spacing w:line="268" w:lineRule="auto"/>
              <w:rPr>
                <w:rFonts w:ascii="Arial"/>
                <w:sz w:val="21"/>
              </w:rPr>
            </w:pPr>
          </w:p>
          <w:p w14:paraId="254ACEE6">
            <w:pPr>
              <w:spacing w:line="268" w:lineRule="auto"/>
              <w:rPr>
                <w:rFonts w:ascii="Arial"/>
                <w:sz w:val="21"/>
              </w:rPr>
            </w:pPr>
          </w:p>
          <w:p w14:paraId="38C346EE">
            <w:pPr>
              <w:pStyle w:val="6"/>
              <w:spacing w:before="99" w:line="189" w:lineRule="auto"/>
              <w:ind w:left="116" w:right="105" w:hanging="2"/>
              <w:jc w:val="both"/>
            </w:pPr>
            <w:r>
              <w:rPr>
                <w:spacing w:val="17"/>
              </w:rPr>
              <w:t>缺少</w:t>
            </w:r>
            <w:r>
              <w:rPr>
                <w:rFonts w:ascii="宋体" w:hAnsi="宋体" w:eastAsia="宋体" w:cs="宋体"/>
                <w:spacing w:val="17"/>
              </w:rPr>
              <w:t>2</w:t>
            </w:r>
            <w:r>
              <w:rPr>
                <w:spacing w:val="17"/>
              </w:rPr>
              <w:t>个应急救援</w:t>
            </w:r>
            <w:r>
              <w:rPr>
                <w:spacing w:val="-5"/>
              </w:rPr>
              <w:t>预案，或者有</w:t>
            </w:r>
            <w:r>
              <w:rPr>
                <w:rFonts w:ascii="宋体" w:hAnsi="宋体" w:eastAsia="宋体" w:cs="宋体"/>
                <w:spacing w:val="-5"/>
              </w:rPr>
              <w:t>2</w:t>
            </w:r>
            <w:r>
              <w:rPr>
                <w:spacing w:val="-5"/>
              </w:rPr>
              <w:t>个应</w:t>
            </w:r>
            <w:r>
              <w:rPr>
                <w:spacing w:val="26"/>
              </w:rPr>
              <w:t>急救援预案不符合</w:t>
            </w:r>
            <w:r>
              <w:rPr>
                <w:spacing w:val="7"/>
              </w:rPr>
              <w:t>编制基本要求的</w:t>
            </w:r>
          </w:p>
        </w:tc>
        <w:tc>
          <w:tcPr>
            <w:tcW w:w="2894" w:type="dxa"/>
            <w:vAlign w:val="top"/>
          </w:tcPr>
          <w:p w14:paraId="01F28FCE">
            <w:pPr>
              <w:spacing w:line="245" w:lineRule="auto"/>
              <w:rPr>
                <w:rFonts w:ascii="Arial"/>
                <w:sz w:val="21"/>
              </w:rPr>
            </w:pPr>
          </w:p>
          <w:p w14:paraId="31D98D25">
            <w:pPr>
              <w:spacing w:line="246" w:lineRule="auto"/>
              <w:rPr>
                <w:rFonts w:ascii="Arial"/>
                <w:sz w:val="21"/>
              </w:rPr>
            </w:pPr>
          </w:p>
          <w:p w14:paraId="7A59B0BC">
            <w:pPr>
              <w:spacing w:line="246" w:lineRule="auto"/>
              <w:rPr>
                <w:rFonts w:ascii="Arial"/>
                <w:sz w:val="21"/>
              </w:rPr>
            </w:pPr>
          </w:p>
          <w:p w14:paraId="4C8A1BBC">
            <w:pPr>
              <w:pStyle w:val="6"/>
              <w:spacing w:before="99" w:line="186" w:lineRule="auto"/>
              <w:ind w:left="117" w:right="103" w:firstLine="10"/>
            </w:pPr>
            <w:r>
              <w:rPr>
                <w:spacing w:val="4"/>
              </w:rPr>
              <w:t>责令限期改正，处</w:t>
            </w:r>
            <w:r>
              <w:rPr>
                <w:rFonts w:ascii="宋体" w:hAnsi="宋体" w:eastAsia="宋体" w:cs="宋体"/>
                <w:spacing w:val="4"/>
              </w:rPr>
              <w:t>3</w:t>
            </w:r>
            <w:r>
              <w:rPr>
                <w:spacing w:val="4"/>
              </w:rPr>
              <w:t>万元</w:t>
            </w:r>
            <w:r>
              <w:rPr>
                <w:spacing w:val="3"/>
              </w:rPr>
              <w:t>以上</w:t>
            </w:r>
            <w:r>
              <w:rPr>
                <w:rFonts w:ascii="宋体" w:hAnsi="宋体" w:eastAsia="宋体" w:cs="宋体"/>
                <w:spacing w:val="3"/>
              </w:rPr>
              <w:t>7</w:t>
            </w:r>
            <w:r>
              <w:rPr>
                <w:spacing w:val="3"/>
              </w:rPr>
              <w:t>万元以下的罚款；</w:t>
            </w:r>
            <w:r>
              <w:rPr>
                <w:spacing w:val="8"/>
              </w:rPr>
              <w:t>逾期未改正的，责令停产</w:t>
            </w:r>
            <w:r>
              <w:rPr>
                <w:spacing w:val="-4"/>
              </w:rPr>
              <w:t>停业整顿，并处</w:t>
            </w:r>
            <w:r>
              <w:rPr>
                <w:rFonts w:ascii="宋体" w:hAnsi="宋体" w:eastAsia="宋体" w:cs="宋体"/>
                <w:spacing w:val="-4"/>
              </w:rPr>
              <w:t>13</w:t>
            </w:r>
            <w:r>
              <w:rPr>
                <w:spacing w:val="-4"/>
              </w:rPr>
              <w:t>万元以上</w:t>
            </w:r>
            <w:r>
              <w:rPr>
                <w:rFonts w:ascii="宋体" w:hAnsi="宋体" w:eastAsia="宋体" w:cs="宋体"/>
                <w:spacing w:val="-4"/>
              </w:rPr>
              <w:t>17</w:t>
            </w:r>
            <w:r>
              <w:rPr>
                <w:spacing w:val="-4"/>
              </w:rPr>
              <w:t>万元以下的罚款，对</w:t>
            </w:r>
            <w:r>
              <w:rPr>
                <w:spacing w:val="11"/>
              </w:rPr>
              <w:t>其直接负责的主管人员和</w:t>
            </w:r>
            <w:r>
              <w:rPr>
                <w:spacing w:val="8"/>
              </w:rPr>
              <w:t>其他直接责任人员处</w:t>
            </w:r>
            <w:r>
              <w:rPr>
                <w:rFonts w:ascii="宋体" w:hAnsi="宋体" w:eastAsia="宋体" w:cs="宋体"/>
                <w:spacing w:val="8"/>
              </w:rPr>
              <w:t>3</w:t>
            </w:r>
            <w:r>
              <w:rPr>
                <w:spacing w:val="8"/>
              </w:rPr>
              <w:t>万</w:t>
            </w:r>
            <w:r>
              <w:rPr>
                <w:spacing w:val="4"/>
              </w:rPr>
              <w:t>元以上</w:t>
            </w:r>
            <w:r>
              <w:rPr>
                <w:rFonts w:ascii="宋体" w:hAnsi="宋体" w:eastAsia="宋体" w:cs="宋体"/>
                <w:spacing w:val="4"/>
              </w:rPr>
              <w:t>4</w:t>
            </w:r>
            <w:r>
              <w:rPr>
                <w:spacing w:val="4"/>
              </w:rPr>
              <w:t>万元以下的罚款</w:t>
            </w:r>
          </w:p>
        </w:tc>
        <w:tc>
          <w:tcPr>
            <w:tcW w:w="811" w:type="dxa"/>
            <w:vMerge w:val="restart"/>
            <w:tcBorders>
              <w:bottom w:val="nil"/>
            </w:tcBorders>
            <w:vAlign w:val="top"/>
          </w:tcPr>
          <w:p w14:paraId="2A3BC4FC">
            <w:pPr>
              <w:rPr>
                <w:rFonts w:ascii="Arial"/>
                <w:sz w:val="21"/>
              </w:rPr>
            </w:pPr>
          </w:p>
        </w:tc>
      </w:tr>
      <w:tr w14:paraId="39AD2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7" w:hRule="atLeast"/>
        </w:trPr>
        <w:tc>
          <w:tcPr>
            <w:tcW w:w="818" w:type="dxa"/>
            <w:vMerge w:val="continue"/>
            <w:tcBorders>
              <w:top w:val="nil"/>
            </w:tcBorders>
            <w:vAlign w:val="top"/>
          </w:tcPr>
          <w:p w14:paraId="68CCD796">
            <w:pPr>
              <w:rPr>
                <w:rFonts w:ascii="Arial"/>
                <w:sz w:val="21"/>
              </w:rPr>
            </w:pPr>
          </w:p>
        </w:tc>
        <w:tc>
          <w:tcPr>
            <w:tcW w:w="1440" w:type="dxa"/>
            <w:vMerge w:val="continue"/>
            <w:tcBorders>
              <w:top w:val="nil"/>
            </w:tcBorders>
            <w:vAlign w:val="top"/>
          </w:tcPr>
          <w:p w14:paraId="0D6AEE2F">
            <w:pPr>
              <w:rPr>
                <w:rFonts w:ascii="Arial"/>
                <w:sz w:val="21"/>
              </w:rPr>
            </w:pPr>
          </w:p>
        </w:tc>
        <w:tc>
          <w:tcPr>
            <w:tcW w:w="3202" w:type="dxa"/>
            <w:vMerge w:val="continue"/>
            <w:tcBorders>
              <w:top w:val="nil"/>
            </w:tcBorders>
            <w:vAlign w:val="top"/>
          </w:tcPr>
          <w:p w14:paraId="43A82D85">
            <w:pPr>
              <w:rPr>
                <w:rFonts w:ascii="Arial"/>
                <w:sz w:val="21"/>
              </w:rPr>
            </w:pPr>
          </w:p>
        </w:tc>
        <w:tc>
          <w:tcPr>
            <w:tcW w:w="2859" w:type="dxa"/>
            <w:vMerge w:val="continue"/>
            <w:tcBorders>
              <w:top w:val="nil"/>
            </w:tcBorders>
            <w:vAlign w:val="top"/>
          </w:tcPr>
          <w:p w14:paraId="75287BFB">
            <w:pPr>
              <w:rPr>
                <w:rFonts w:ascii="Arial"/>
                <w:sz w:val="21"/>
              </w:rPr>
            </w:pPr>
          </w:p>
        </w:tc>
        <w:tc>
          <w:tcPr>
            <w:tcW w:w="803" w:type="dxa"/>
            <w:vAlign w:val="top"/>
          </w:tcPr>
          <w:p w14:paraId="760AAE20">
            <w:pPr>
              <w:spacing w:line="257" w:lineRule="auto"/>
              <w:rPr>
                <w:rFonts w:ascii="Arial"/>
                <w:sz w:val="21"/>
              </w:rPr>
            </w:pPr>
          </w:p>
          <w:p w14:paraId="0E96DABA">
            <w:pPr>
              <w:spacing w:line="257" w:lineRule="auto"/>
              <w:rPr>
                <w:rFonts w:ascii="Arial"/>
                <w:sz w:val="21"/>
              </w:rPr>
            </w:pPr>
          </w:p>
          <w:p w14:paraId="017E6F6D">
            <w:pPr>
              <w:spacing w:line="257" w:lineRule="auto"/>
              <w:rPr>
                <w:rFonts w:ascii="Arial"/>
                <w:sz w:val="21"/>
              </w:rPr>
            </w:pPr>
          </w:p>
          <w:p w14:paraId="7DA02347">
            <w:pPr>
              <w:spacing w:line="257" w:lineRule="auto"/>
              <w:rPr>
                <w:rFonts w:ascii="Arial"/>
                <w:sz w:val="21"/>
              </w:rPr>
            </w:pPr>
          </w:p>
          <w:p w14:paraId="23DEEC23">
            <w:pPr>
              <w:spacing w:line="258" w:lineRule="auto"/>
              <w:rPr>
                <w:rFonts w:ascii="Arial"/>
                <w:sz w:val="21"/>
              </w:rPr>
            </w:pPr>
          </w:p>
          <w:p w14:paraId="2BBBD2B4">
            <w:pPr>
              <w:spacing w:line="258" w:lineRule="auto"/>
              <w:rPr>
                <w:rFonts w:ascii="Arial"/>
                <w:sz w:val="21"/>
              </w:rPr>
            </w:pPr>
          </w:p>
          <w:p w14:paraId="1C33C22E">
            <w:pPr>
              <w:spacing w:line="258" w:lineRule="auto"/>
              <w:rPr>
                <w:rFonts w:ascii="Arial"/>
                <w:sz w:val="21"/>
              </w:rPr>
            </w:pPr>
          </w:p>
          <w:p w14:paraId="5948C55A">
            <w:pPr>
              <w:spacing w:line="258" w:lineRule="auto"/>
              <w:rPr>
                <w:rFonts w:ascii="Arial"/>
                <w:sz w:val="21"/>
              </w:rPr>
            </w:pPr>
          </w:p>
          <w:p w14:paraId="78294385">
            <w:pPr>
              <w:spacing w:line="258" w:lineRule="auto"/>
              <w:rPr>
                <w:rFonts w:ascii="Arial"/>
                <w:sz w:val="21"/>
              </w:rPr>
            </w:pPr>
          </w:p>
          <w:p w14:paraId="28A0D55B">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8C61B16">
            <w:pPr>
              <w:spacing w:line="275" w:lineRule="auto"/>
              <w:rPr>
                <w:rFonts w:ascii="Arial"/>
                <w:sz w:val="21"/>
              </w:rPr>
            </w:pPr>
          </w:p>
          <w:p w14:paraId="6B3A95F1">
            <w:pPr>
              <w:spacing w:line="275" w:lineRule="auto"/>
              <w:rPr>
                <w:rFonts w:ascii="Arial"/>
                <w:sz w:val="21"/>
              </w:rPr>
            </w:pPr>
          </w:p>
          <w:p w14:paraId="71CFA7A7">
            <w:pPr>
              <w:spacing w:line="275" w:lineRule="auto"/>
              <w:rPr>
                <w:rFonts w:ascii="Arial"/>
                <w:sz w:val="21"/>
              </w:rPr>
            </w:pPr>
          </w:p>
          <w:p w14:paraId="5FE572C8">
            <w:pPr>
              <w:spacing w:line="275" w:lineRule="auto"/>
              <w:rPr>
                <w:rFonts w:ascii="Arial"/>
                <w:sz w:val="21"/>
              </w:rPr>
            </w:pPr>
          </w:p>
          <w:p w14:paraId="503BA376">
            <w:pPr>
              <w:spacing w:line="275" w:lineRule="auto"/>
              <w:rPr>
                <w:rFonts w:ascii="Arial"/>
                <w:sz w:val="21"/>
              </w:rPr>
            </w:pPr>
          </w:p>
          <w:p w14:paraId="6AFD4DE7">
            <w:pPr>
              <w:spacing w:line="275" w:lineRule="auto"/>
              <w:rPr>
                <w:rFonts w:ascii="Arial"/>
                <w:sz w:val="21"/>
              </w:rPr>
            </w:pPr>
          </w:p>
          <w:p w14:paraId="4B4DA46C">
            <w:pPr>
              <w:pStyle w:val="6"/>
              <w:spacing w:before="99" w:line="188" w:lineRule="auto"/>
              <w:ind w:left="116" w:right="105" w:hanging="2"/>
              <w:jc w:val="both"/>
            </w:pPr>
            <w:r>
              <w:rPr>
                <w:spacing w:val="17"/>
              </w:rPr>
              <w:t>缺少</w:t>
            </w:r>
            <w:r>
              <w:rPr>
                <w:rFonts w:ascii="宋体" w:hAnsi="宋体" w:eastAsia="宋体" w:cs="宋体"/>
                <w:spacing w:val="17"/>
              </w:rPr>
              <w:t>3</w:t>
            </w:r>
            <w:r>
              <w:rPr>
                <w:spacing w:val="17"/>
              </w:rPr>
              <w:t>个以上应急</w:t>
            </w:r>
            <w:r>
              <w:rPr>
                <w:spacing w:val="1"/>
              </w:rPr>
              <w:t>救援预案，或者有</w:t>
            </w:r>
            <w:r>
              <w:rPr>
                <w:rFonts w:ascii="宋体" w:hAnsi="宋体" w:eastAsia="宋体" w:cs="宋体"/>
                <w:spacing w:val="1"/>
              </w:rPr>
              <w:t>3</w:t>
            </w:r>
            <w:r>
              <w:rPr>
                <w:spacing w:val="26"/>
              </w:rPr>
              <w:t>个以上应急救援预案不符合编制基本</w:t>
            </w:r>
            <w:r>
              <w:rPr>
                <w:spacing w:val="5"/>
              </w:rPr>
              <w:t>要求的</w:t>
            </w:r>
          </w:p>
        </w:tc>
        <w:tc>
          <w:tcPr>
            <w:tcW w:w="2894" w:type="dxa"/>
            <w:vAlign w:val="top"/>
          </w:tcPr>
          <w:p w14:paraId="1E4F1B30">
            <w:pPr>
              <w:rPr>
                <w:rFonts w:ascii="Arial"/>
                <w:sz w:val="21"/>
              </w:rPr>
            </w:pPr>
          </w:p>
          <w:p w14:paraId="6AB01E5F">
            <w:pPr>
              <w:rPr>
                <w:rFonts w:ascii="Arial"/>
                <w:sz w:val="21"/>
              </w:rPr>
            </w:pPr>
          </w:p>
          <w:p w14:paraId="2DB19F44">
            <w:pPr>
              <w:spacing w:line="241" w:lineRule="auto"/>
              <w:rPr>
                <w:rFonts w:ascii="Arial"/>
                <w:sz w:val="21"/>
              </w:rPr>
            </w:pPr>
          </w:p>
          <w:p w14:paraId="059FB944">
            <w:pPr>
              <w:spacing w:line="241" w:lineRule="auto"/>
              <w:rPr>
                <w:rFonts w:ascii="Arial"/>
                <w:sz w:val="21"/>
              </w:rPr>
            </w:pPr>
          </w:p>
          <w:p w14:paraId="04A90AD7">
            <w:pPr>
              <w:spacing w:line="241" w:lineRule="auto"/>
              <w:rPr>
                <w:rFonts w:ascii="Arial"/>
                <w:sz w:val="21"/>
              </w:rPr>
            </w:pPr>
          </w:p>
          <w:p w14:paraId="69794C50">
            <w:pPr>
              <w:pStyle w:val="6"/>
              <w:spacing w:before="99" w:line="186" w:lineRule="auto"/>
              <w:ind w:left="117" w:right="71" w:firstLine="10"/>
              <w:jc w:val="both"/>
            </w:pPr>
            <w:r>
              <w:rPr>
                <w:spacing w:val="4"/>
              </w:rPr>
              <w:t>责令限期改正，处</w:t>
            </w:r>
            <w:r>
              <w:rPr>
                <w:rFonts w:ascii="宋体" w:hAnsi="宋体" w:eastAsia="宋体" w:cs="宋体"/>
                <w:spacing w:val="4"/>
              </w:rPr>
              <w:t>7</w:t>
            </w:r>
            <w:r>
              <w:rPr>
                <w:spacing w:val="4"/>
              </w:rPr>
              <w:t>万元</w:t>
            </w:r>
            <w:r>
              <w:rPr>
                <w:spacing w:val="-1"/>
              </w:rPr>
              <w:t>以上</w:t>
            </w:r>
            <w:r>
              <w:rPr>
                <w:rFonts w:ascii="宋体" w:hAnsi="宋体" w:eastAsia="宋体" w:cs="宋体"/>
                <w:spacing w:val="-1"/>
              </w:rPr>
              <w:t>10</w:t>
            </w:r>
            <w:r>
              <w:rPr>
                <w:spacing w:val="-1"/>
              </w:rPr>
              <w:t>万元以下的罚款；</w:t>
            </w:r>
            <w:r>
              <w:rPr>
                <w:spacing w:val="8"/>
              </w:rPr>
              <w:t>逾期未改正的，责令停产</w:t>
            </w:r>
            <w:r>
              <w:rPr>
                <w:spacing w:val="-4"/>
              </w:rPr>
              <w:t>停业整顿，并处</w:t>
            </w:r>
            <w:r>
              <w:rPr>
                <w:rFonts w:ascii="宋体" w:hAnsi="宋体" w:eastAsia="宋体" w:cs="宋体"/>
                <w:spacing w:val="-4"/>
              </w:rPr>
              <w:t>17</w:t>
            </w:r>
            <w:r>
              <w:rPr>
                <w:spacing w:val="-4"/>
              </w:rPr>
              <w:t>万元以</w:t>
            </w:r>
            <w:r>
              <w:rPr>
                <w:spacing w:val="-2"/>
              </w:rPr>
              <w:t>上</w:t>
            </w:r>
            <w:r>
              <w:rPr>
                <w:rFonts w:ascii="宋体" w:hAnsi="宋体" w:eastAsia="宋体" w:cs="宋体"/>
                <w:spacing w:val="-2"/>
              </w:rPr>
              <w:t>20</w:t>
            </w:r>
            <w:r>
              <w:rPr>
                <w:spacing w:val="-2"/>
              </w:rPr>
              <w:t>万元以下的罚款，对</w:t>
            </w:r>
            <w:r>
              <w:rPr>
                <w:spacing w:val="11"/>
              </w:rPr>
              <w:t>其直接负责的主管人员和</w:t>
            </w:r>
            <w:r>
              <w:rPr>
                <w:spacing w:val="8"/>
              </w:rPr>
              <w:t>其他直接责任人员处</w:t>
            </w:r>
            <w:r>
              <w:rPr>
                <w:rFonts w:ascii="宋体" w:hAnsi="宋体" w:eastAsia="宋体" w:cs="宋体"/>
                <w:spacing w:val="8"/>
              </w:rPr>
              <w:t>4</w:t>
            </w:r>
            <w:r>
              <w:rPr>
                <w:spacing w:val="8"/>
              </w:rPr>
              <w:t>万</w:t>
            </w:r>
            <w:r>
              <w:rPr>
                <w:spacing w:val="4"/>
              </w:rPr>
              <w:t>元以上</w:t>
            </w:r>
            <w:r>
              <w:rPr>
                <w:rFonts w:ascii="宋体" w:hAnsi="宋体" w:eastAsia="宋体" w:cs="宋体"/>
                <w:spacing w:val="4"/>
              </w:rPr>
              <w:t>5</w:t>
            </w:r>
            <w:r>
              <w:rPr>
                <w:spacing w:val="4"/>
              </w:rPr>
              <w:t>万元以下的罚款</w:t>
            </w:r>
          </w:p>
        </w:tc>
        <w:tc>
          <w:tcPr>
            <w:tcW w:w="811" w:type="dxa"/>
            <w:vMerge w:val="continue"/>
            <w:tcBorders>
              <w:top w:val="nil"/>
            </w:tcBorders>
            <w:vAlign w:val="top"/>
          </w:tcPr>
          <w:p w14:paraId="39AE1293">
            <w:pPr>
              <w:rPr>
                <w:rFonts w:ascii="Arial"/>
                <w:sz w:val="21"/>
              </w:rPr>
            </w:pPr>
          </w:p>
        </w:tc>
      </w:tr>
    </w:tbl>
    <w:p w14:paraId="7DE97566">
      <w:pPr>
        <w:pStyle w:val="2"/>
      </w:pPr>
    </w:p>
    <w:p w14:paraId="73CA0391">
      <w:pPr>
        <w:sectPr>
          <w:footerReference r:id="rId83" w:type="default"/>
          <w:pgSz w:w="16839" w:h="11906"/>
          <w:pgMar w:top="1012" w:right="821" w:bottom="666" w:left="901" w:header="0" w:footer="388" w:gutter="0"/>
          <w:cols w:space="720" w:num="1"/>
        </w:sectPr>
      </w:pPr>
    </w:p>
    <w:p w14:paraId="4662E40A">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6FE7C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525157A">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0F12C00B">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03992D0">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AB8949E">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10DA4CE4">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C434FD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188139E">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A634861">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6874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0" w:hRule="atLeast"/>
        </w:trPr>
        <w:tc>
          <w:tcPr>
            <w:tcW w:w="818" w:type="dxa"/>
            <w:vAlign w:val="top"/>
          </w:tcPr>
          <w:p w14:paraId="4EF74AA7">
            <w:pPr>
              <w:rPr>
                <w:rFonts w:ascii="Arial"/>
                <w:sz w:val="21"/>
              </w:rPr>
            </w:pPr>
          </w:p>
        </w:tc>
        <w:tc>
          <w:tcPr>
            <w:tcW w:w="1440" w:type="dxa"/>
            <w:vAlign w:val="top"/>
          </w:tcPr>
          <w:p w14:paraId="7C1C8DF8">
            <w:pPr>
              <w:rPr>
                <w:rFonts w:ascii="Arial"/>
                <w:sz w:val="21"/>
              </w:rPr>
            </w:pPr>
          </w:p>
        </w:tc>
        <w:tc>
          <w:tcPr>
            <w:tcW w:w="3202" w:type="dxa"/>
            <w:vAlign w:val="top"/>
          </w:tcPr>
          <w:p w14:paraId="5F5FBA16">
            <w:pPr>
              <w:rPr>
                <w:rFonts w:ascii="Arial"/>
                <w:sz w:val="21"/>
              </w:rPr>
            </w:pPr>
          </w:p>
        </w:tc>
        <w:tc>
          <w:tcPr>
            <w:tcW w:w="2859" w:type="dxa"/>
            <w:vAlign w:val="top"/>
          </w:tcPr>
          <w:p w14:paraId="6F1245EF">
            <w:pPr>
              <w:pStyle w:val="6"/>
              <w:spacing w:before="31" w:line="182" w:lineRule="auto"/>
              <w:ind w:left="118" w:right="107" w:firstLine="18"/>
              <w:jc w:val="both"/>
            </w:pPr>
            <w:r>
              <w:rPr>
                <w:spacing w:val="-9"/>
              </w:rPr>
              <w:t>改正，处</w:t>
            </w:r>
            <w:r>
              <w:rPr>
                <w:rFonts w:ascii="宋体" w:hAnsi="宋体" w:eastAsia="宋体" w:cs="宋体"/>
                <w:spacing w:val="-9"/>
              </w:rPr>
              <w:t>10</w:t>
            </w:r>
            <w:r>
              <w:rPr>
                <w:spacing w:val="-9"/>
              </w:rPr>
              <w:t>万元以下的罚</w:t>
            </w:r>
            <w:r>
              <w:rPr>
                <w:spacing w:val="8"/>
              </w:rPr>
              <w:t>款；逾期未改正的，责令</w:t>
            </w:r>
            <w:r>
              <w:rPr>
                <w:spacing w:val="12"/>
              </w:rPr>
              <w:t>停产停业整顿，并处</w:t>
            </w:r>
            <w:r>
              <w:rPr>
                <w:rFonts w:ascii="宋体" w:hAnsi="宋体" w:eastAsia="宋体" w:cs="宋体"/>
                <w:spacing w:val="12"/>
              </w:rPr>
              <w:t>10</w:t>
            </w:r>
            <w:r>
              <w:rPr>
                <w:spacing w:val="11"/>
              </w:rPr>
              <w:t>万元以上</w:t>
            </w:r>
            <w:r>
              <w:rPr>
                <w:rFonts w:ascii="宋体" w:hAnsi="宋体" w:eastAsia="宋体" w:cs="宋体"/>
                <w:spacing w:val="11"/>
              </w:rPr>
              <w:t>20</w:t>
            </w:r>
            <w:r>
              <w:rPr>
                <w:spacing w:val="11"/>
              </w:rPr>
              <w:t>万元以下的</w:t>
            </w:r>
            <w:r>
              <w:rPr>
                <w:spacing w:val="8"/>
              </w:rPr>
              <w:t>罚款，对其直接负责的主</w:t>
            </w:r>
          </w:p>
          <w:p w14:paraId="5D60A5BD">
            <w:pPr>
              <w:pStyle w:val="6"/>
              <w:spacing w:line="182" w:lineRule="auto"/>
              <w:ind w:left="126"/>
              <w:outlineLvl w:val="0"/>
            </w:pPr>
            <w:r>
              <w:rPr>
                <w:spacing w:val="7"/>
              </w:rPr>
              <w:t>管人员和其他直接责任人</w:t>
            </w:r>
          </w:p>
          <w:p w14:paraId="27292CAE">
            <w:pPr>
              <w:pStyle w:val="6"/>
              <w:spacing w:before="3" w:line="182" w:lineRule="auto"/>
              <w:ind w:left="116" w:right="109" w:firstLine="21"/>
              <w:jc w:val="both"/>
            </w:pPr>
            <w:r>
              <w:rPr>
                <w:spacing w:val="-1"/>
              </w:rPr>
              <w:t>员处</w:t>
            </w:r>
            <w:r>
              <w:rPr>
                <w:rFonts w:ascii="宋体" w:hAnsi="宋体" w:eastAsia="宋体" w:cs="宋体"/>
                <w:spacing w:val="-1"/>
              </w:rPr>
              <w:t>2</w:t>
            </w:r>
            <w:r>
              <w:rPr>
                <w:spacing w:val="-1"/>
              </w:rPr>
              <w:t>万元以上</w:t>
            </w:r>
            <w:r>
              <w:rPr>
                <w:rFonts w:ascii="宋体" w:hAnsi="宋体" w:eastAsia="宋体" w:cs="宋体"/>
                <w:spacing w:val="-1"/>
              </w:rPr>
              <w:t>5</w:t>
            </w:r>
            <w:r>
              <w:rPr>
                <w:spacing w:val="-1"/>
              </w:rPr>
              <w:t>万元以</w:t>
            </w:r>
            <w:r>
              <w:rPr>
                <w:spacing w:val="6"/>
              </w:rPr>
              <w:t>下的罚款</w:t>
            </w:r>
            <w:r>
              <w:rPr>
                <w:spacing w:val="10"/>
              </w:rPr>
              <w:t>：（</w:t>
            </w:r>
            <w:r>
              <w:rPr>
                <w:spacing w:val="6"/>
              </w:rPr>
              <w:t>三）未制定</w:t>
            </w:r>
            <w:r>
              <w:rPr>
                <w:spacing w:val="8"/>
              </w:rPr>
              <w:t>有关粉尘爆炸事故应急救援预案或者未定期组织演</w:t>
            </w:r>
            <w:bookmarkStart w:id="469" w:name="bookmark145"/>
            <w:bookmarkEnd w:id="469"/>
            <w:r>
              <w:rPr>
                <w:spacing w:val="-4"/>
              </w:rPr>
              <w:t>练的。</w:t>
            </w:r>
          </w:p>
          <w:p w14:paraId="2A450DE6">
            <w:pPr>
              <w:pStyle w:val="6"/>
              <w:spacing w:line="181" w:lineRule="auto"/>
              <w:ind w:left="98" w:right="105" w:firstLine="13"/>
            </w:pPr>
            <w:r>
              <w:rPr>
                <w:rFonts w:ascii="宋体" w:hAnsi="宋体" w:eastAsia="宋体" w:cs="宋体"/>
                <w:spacing w:val="8"/>
              </w:rPr>
              <w:t>4.</w:t>
            </w:r>
            <w:r>
              <w:rPr>
                <w:spacing w:val="8"/>
              </w:rPr>
              <w:t>【部门规章】《工贸企</w:t>
            </w:r>
            <w:r>
              <w:rPr>
                <w:spacing w:val="34"/>
              </w:rPr>
              <w:t>业有限空间作业安全规</w:t>
            </w:r>
            <w:r>
              <w:rPr>
                <w:spacing w:val="3"/>
              </w:rPr>
              <w:t>定》第二十条第二项：工</w:t>
            </w:r>
            <w:r>
              <w:rPr>
                <w:spacing w:val="28"/>
              </w:rPr>
              <w:t>贸企业有下列行为之一</w:t>
            </w:r>
            <w:r>
              <w:rPr>
                <w:spacing w:val="-1"/>
              </w:rPr>
              <w:t>的，责令限期改正，处</w:t>
            </w:r>
            <w:r>
              <w:rPr>
                <w:rFonts w:ascii="宋体" w:hAnsi="宋体" w:eastAsia="宋体" w:cs="宋体"/>
                <w:spacing w:val="-1"/>
              </w:rPr>
              <w:t>10</w:t>
            </w:r>
            <w:r>
              <w:rPr>
                <w:spacing w:val="10"/>
              </w:rPr>
              <w:t>万元以下的罚款；逾期未</w:t>
            </w:r>
            <w:r>
              <w:rPr>
                <w:spacing w:val="3"/>
              </w:rPr>
              <w:t>改正的，责令停产停业整顿，并处</w:t>
            </w:r>
            <w:r>
              <w:rPr>
                <w:rFonts w:ascii="宋体" w:hAnsi="宋体" w:eastAsia="宋体" w:cs="宋体"/>
                <w:spacing w:val="3"/>
              </w:rPr>
              <w:t>10</w:t>
            </w:r>
            <w:r>
              <w:rPr>
                <w:spacing w:val="3"/>
              </w:rPr>
              <w:t>万元以上</w:t>
            </w:r>
            <w:r>
              <w:rPr>
                <w:rFonts w:ascii="宋体" w:hAnsi="宋体" w:eastAsia="宋体" w:cs="宋体"/>
                <w:spacing w:val="3"/>
              </w:rPr>
              <w:t>20</w:t>
            </w:r>
            <w:r>
              <w:rPr>
                <w:spacing w:val="10"/>
              </w:rPr>
              <w:t>万元以下的罚款，对其直接负责的主管人员和其他</w:t>
            </w:r>
            <w:r>
              <w:rPr>
                <w:spacing w:val="6"/>
              </w:rPr>
              <w:t>直接责任人员处</w:t>
            </w:r>
            <w:r>
              <w:rPr>
                <w:rFonts w:ascii="宋体" w:hAnsi="宋体" w:eastAsia="宋体" w:cs="宋体"/>
                <w:spacing w:val="6"/>
              </w:rPr>
              <w:t>2</w:t>
            </w:r>
            <w:r>
              <w:rPr>
                <w:spacing w:val="6"/>
              </w:rPr>
              <w:t>万元以</w:t>
            </w:r>
            <w:r>
              <w:rPr>
                <w:spacing w:val="17"/>
              </w:rPr>
              <w:t>上</w:t>
            </w:r>
            <w:r>
              <w:rPr>
                <w:rFonts w:ascii="宋体" w:hAnsi="宋体" w:eastAsia="宋体" w:cs="宋体"/>
                <w:spacing w:val="17"/>
              </w:rPr>
              <w:t>5</w:t>
            </w:r>
            <w:r>
              <w:rPr>
                <w:spacing w:val="17"/>
              </w:rPr>
              <w:t>万元以下的罚款：</w:t>
            </w:r>
            <w:r>
              <w:rPr>
                <w:spacing w:val="10"/>
              </w:rPr>
              <w:t>（二）未按照规定制定有限空间作业现场处置方案或者未按照规定组织演练</w:t>
            </w:r>
            <w:r>
              <w:rPr>
                <w:spacing w:val="-3"/>
              </w:rPr>
              <w:t>的。</w:t>
            </w:r>
          </w:p>
        </w:tc>
        <w:tc>
          <w:tcPr>
            <w:tcW w:w="803" w:type="dxa"/>
            <w:vAlign w:val="top"/>
          </w:tcPr>
          <w:p w14:paraId="19E5EFD0">
            <w:pPr>
              <w:rPr>
                <w:rFonts w:ascii="Arial"/>
                <w:sz w:val="21"/>
              </w:rPr>
            </w:pPr>
          </w:p>
        </w:tc>
        <w:tc>
          <w:tcPr>
            <w:tcW w:w="2283" w:type="dxa"/>
            <w:vAlign w:val="top"/>
          </w:tcPr>
          <w:p w14:paraId="11898853">
            <w:pPr>
              <w:rPr>
                <w:rFonts w:ascii="Arial"/>
                <w:sz w:val="21"/>
              </w:rPr>
            </w:pPr>
          </w:p>
        </w:tc>
        <w:tc>
          <w:tcPr>
            <w:tcW w:w="2894" w:type="dxa"/>
            <w:vAlign w:val="top"/>
          </w:tcPr>
          <w:p w14:paraId="6FECD4A9">
            <w:pPr>
              <w:rPr>
                <w:rFonts w:ascii="Arial"/>
                <w:sz w:val="21"/>
              </w:rPr>
            </w:pPr>
          </w:p>
        </w:tc>
        <w:tc>
          <w:tcPr>
            <w:tcW w:w="811" w:type="dxa"/>
            <w:vAlign w:val="top"/>
          </w:tcPr>
          <w:p w14:paraId="2CA2A16C">
            <w:pPr>
              <w:rPr>
                <w:rFonts w:ascii="Arial"/>
                <w:sz w:val="21"/>
              </w:rPr>
            </w:pPr>
          </w:p>
        </w:tc>
      </w:tr>
      <w:tr w14:paraId="72D40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818" w:type="dxa"/>
            <w:vAlign w:val="top"/>
          </w:tcPr>
          <w:p w14:paraId="7B715CC7">
            <w:pPr>
              <w:spacing w:line="305" w:lineRule="auto"/>
              <w:rPr>
                <w:rFonts w:ascii="Arial"/>
                <w:sz w:val="21"/>
              </w:rPr>
            </w:pPr>
          </w:p>
          <w:p w14:paraId="1FC983D8">
            <w:pPr>
              <w:spacing w:before="75" w:line="185" w:lineRule="auto"/>
              <w:ind w:left="240"/>
              <w:rPr>
                <w:rFonts w:ascii="仿宋" w:hAnsi="仿宋" w:eastAsia="仿宋" w:cs="仿宋"/>
                <w:sz w:val="23"/>
                <w:szCs w:val="23"/>
              </w:rPr>
            </w:pPr>
            <w:r>
              <w:rPr>
                <w:rFonts w:ascii="仿宋" w:hAnsi="仿宋" w:eastAsia="仿宋" w:cs="仿宋"/>
                <w:spacing w:val="-4"/>
                <w:sz w:val="23"/>
                <w:szCs w:val="23"/>
              </w:rPr>
              <w:t>70</w:t>
            </w:r>
          </w:p>
        </w:tc>
        <w:tc>
          <w:tcPr>
            <w:tcW w:w="1440" w:type="dxa"/>
            <w:vAlign w:val="top"/>
          </w:tcPr>
          <w:p w14:paraId="5BE278FE">
            <w:pPr>
              <w:pStyle w:val="6"/>
              <w:spacing w:before="33" w:line="175" w:lineRule="auto"/>
              <w:ind w:left="115" w:right="111" w:firstLine="13"/>
              <w:jc w:val="both"/>
            </w:pPr>
            <w:r>
              <w:rPr>
                <w:spacing w:val="8"/>
              </w:rPr>
              <w:t>生产经营单</w:t>
            </w:r>
            <w:r>
              <w:rPr>
                <w:spacing w:val="11"/>
              </w:rPr>
              <w:t>位未定期组织应急预案</w:t>
            </w:r>
          </w:p>
        </w:tc>
        <w:tc>
          <w:tcPr>
            <w:tcW w:w="3202" w:type="dxa"/>
            <w:vAlign w:val="top"/>
          </w:tcPr>
          <w:p w14:paraId="4318F86B">
            <w:pPr>
              <w:pStyle w:val="6"/>
              <w:spacing w:before="33" w:line="175" w:lineRule="auto"/>
              <w:ind w:left="131" w:right="42"/>
              <w:jc w:val="both"/>
            </w:pPr>
            <w:r>
              <w:rPr>
                <w:rFonts w:ascii="宋体" w:hAnsi="宋体" w:eastAsia="宋体" w:cs="宋体"/>
                <w:spacing w:val="14"/>
              </w:rPr>
              <w:t>1.</w:t>
            </w:r>
            <w:r>
              <w:rPr>
                <w:spacing w:val="14"/>
              </w:rPr>
              <w:t>【法律】《中华人民共和</w:t>
            </w:r>
            <w:r>
              <w:rPr>
                <w:spacing w:val="2"/>
              </w:rPr>
              <w:t>国安全生产法》第八十一条：</w:t>
            </w:r>
            <w:r>
              <w:rPr>
                <w:spacing w:val="16"/>
              </w:rPr>
              <w:t>生产经营单位应当制定本单</w:t>
            </w:r>
          </w:p>
        </w:tc>
        <w:tc>
          <w:tcPr>
            <w:tcW w:w="2859" w:type="dxa"/>
            <w:vAlign w:val="top"/>
          </w:tcPr>
          <w:p w14:paraId="3EE01424">
            <w:pPr>
              <w:pStyle w:val="6"/>
              <w:spacing w:before="33" w:line="175" w:lineRule="auto"/>
              <w:ind w:left="119" w:right="110" w:firstLine="11"/>
              <w:jc w:val="both"/>
            </w:pPr>
            <w:r>
              <w:rPr>
                <w:rFonts w:ascii="宋体" w:hAnsi="宋体" w:eastAsia="宋体" w:cs="宋体"/>
                <w:spacing w:val="6"/>
              </w:rPr>
              <w:t>1.</w:t>
            </w:r>
            <w:r>
              <w:rPr>
                <w:spacing w:val="6"/>
              </w:rPr>
              <w:t>【法律】《中华人民共</w:t>
            </w:r>
            <w:r>
              <w:rPr>
                <w:spacing w:val="8"/>
              </w:rPr>
              <w:t>和国安全生产法》第九十七条第六项：生产经营单</w:t>
            </w:r>
          </w:p>
        </w:tc>
        <w:tc>
          <w:tcPr>
            <w:tcW w:w="803" w:type="dxa"/>
            <w:vAlign w:val="top"/>
          </w:tcPr>
          <w:p w14:paraId="7ACFB98E">
            <w:pPr>
              <w:spacing w:line="299" w:lineRule="auto"/>
              <w:rPr>
                <w:rFonts w:ascii="Arial"/>
                <w:sz w:val="21"/>
              </w:rPr>
            </w:pPr>
          </w:p>
          <w:p w14:paraId="4EB57D31">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5722844">
            <w:pPr>
              <w:pStyle w:val="6"/>
              <w:spacing w:before="182" w:line="196" w:lineRule="auto"/>
              <w:ind w:left="124" w:right="109" w:hanging="4"/>
            </w:pPr>
            <w:r>
              <w:rPr>
                <w:spacing w:val="26"/>
              </w:rPr>
              <w:t>现场处置方案演练</w:t>
            </w:r>
            <w:r>
              <w:rPr>
                <w:spacing w:val="6"/>
              </w:rPr>
              <w:t>不符合规定的</w:t>
            </w:r>
          </w:p>
        </w:tc>
        <w:tc>
          <w:tcPr>
            <w:tcW w:w="2894" w:type="dxa"/>
            <w:vAlign w:val="top"/>
          </w:tcPr>
          <w:p w14:paraId="080E2074">
            <w:pPr>
              <w:pStyle w:val="6"/>
              <w:spacing w:before="33" w:line="175" w:lineRule="auto"/>
              <w:ind w:left="140" w:right="103" w:hanging="13"/>
              <w:jc w:val="both"/>
            </w:pPr>
            <w:r>
              <w:rPr>
                <w:spacing w:val="4"/>
              </w:rPr>
              <w:t>责令限期改正，处</w:t>
            </w:r>
            <w:r>
              <w:rPr>
                <w:rFonts w:ascii="宋体" w:hAnsi="宋体" w:eastAsia="宋体" w:cs="宋体"/>
                <w:spacing w:val="4"/>
              </w:rPr>
              <w:t>3</w:t>
            </w:r>
            <w:r>
              <w:rPr>
                <w:spacing w:val="4"/>
              </w:rPr>
              <w:t>万元</w:t>
            </w:r>
            <w:r>
              <w:rPr>
                <w:spacing w:val="6"/>
              </w:rPr>
              <w:t>以下的罚款；逾期未改正</w:t>
            </w:r>
            <w:r>
              <w:rPr>
                <w:spacing w:val="5"/>
              </w:rPr>
              <w:t>的，责令停产停业整顿，</w:t>
            </w:r>
          </w:p>
        </w:tc>
        <w:tc>
          <w:tcPr>
            <w:tcW w:w="811" w:type="dxa"/>
            <w:vAlign w:val="top"/>
          </w:tcPr>
          <w:p w14:paraId="62190DF0">
            <w:pPr>
              <w:rPr>
                <w:rFonts w:ascii="Arial"/>
                <w:sz w:val="21"/>
              </w:rPr>
            </w:pPr>
          </w:p>
        </w:tc>
      </w:tr>
    </w:tbl>
    <w:p w14:paraId="59B943AC">
      <w:pPr>
        <w:pStyle w:val="2"/>
      </w:pPr>
    </w:p>
    <w:p w14:paraId="49DA04A9">
      <w:pPr>
        <w:sectPr>
          <w:footerReference r:id="rId84" w:type="default"/>
          <w:pgSz w:w="16839" w:h="11906"/>
          <w:pgMar w:top="1012" w:right="821" w:bottom="666" w:left="901" w:header="0" w:footer="388" w:gutter="0"/>
          <w:cols w:space="720" w:num="1"/>
        </w:sectPr>
      </w:pPr>
    </w:p>
    <w:p w14:paraId="75EB0ABE">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8AD0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09CADBF">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515D4852">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AF4AC7B">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C9B934C">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F1A2368">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30D2908">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51DC12DF">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275C624">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A8A8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restart"/>
            <w:tcBorders>
              <w:bottom w:val="nil"/>
            </w:tcBorders>
            <w:vAlign w:val="top"/>
          </w:tcPr>
          <w:p w14:paraId="035C4C5F">
            <w:pPr>
              <w:rPr>
                <w:rFonts w:ascii="Arial"/>
                <w:sz w:val="21"/>
              </w:rPr>
            </w:pPr>
          </w:p>
        </w:tc>
        <w:tc>
          <w:tcPr>
            <w:tcW w:w="1440" w:type="dxa"/>
            <w:vMerge w:val="restart"/>
            <w:tcBorders>
              <w:bottom w:val="nil"/>
            </w:tcBorders>
            <w:vAlign w:val="top"/>
          </w:tcPr>
          <w:p w14:paraId="4D1BA87C">
            <w:pPr>
              <w:pStyle w:val="6"/>
              <w:spacing w:before="28" w:line="209" w:lineRule="auto"/>
              <w:ind w:left="124"/>
            </w:pPr>
            <w:r>
              <w:rPr>
                <w:spacing w:val="1"/>
              </w:rPr>
              <w:t>演练的</w:t>
            </w:r>
          </w:p>
        </w:tc>
        <w:tc>
          <w:tcPr>
            <w:tcW w:w="3202" w:type="dxa"/>
            <w:vMerge w:val="restart"/>
            <w:tcBorders>
              <w:bottom w:val="nil"/>
            </w:tcBorders>
            <w:vAlign w:val="top"/>
          </w:tcPr>
          <w:p w14:paraId="01AE0DAB">
            <w:pPr>
              <w:pStyle w:val="6"/>
              <w:spacing w:before="31" w:line="182" w:lineRule="auto"/>
              <w:ind w:left="117" w:right="110"/>
              <w:jc w:val="both"/>
            </w:pPr>
            <w:r>
              <w:rPr>
                <w:spacing w:val="17"/>
              </w:rPr>
              <w:t>位生产安全事故应急救援预</w:t>
            </w:r>
            <w:r>
              <w:rPr>
                <w:spacing w:val="12"/>
              </w:rPr>
              <w:t>案，与所在地县级以上地方</w:t>
            </w:r>
            <w:r>
              <w:rPr>
                <w:spacing w:val="17"/>
              </w:rPr>
              <w:t>人民政府组织制定的生产安</w:t>
            </w:r>
            <w:r>
              <w:rPr>
                <w:spacing w:val="39"/>
              </w:rPr>
              <w:t>全事故应急救援预案相衔</w:t>
            </w:r>
            <w:r>
              <w:rPr>
                <w:spacing w:val="4"/>
              </w:rPr>
              <w:t>接，并定期组织演练。</w:t>
            </w:r>
          </w:p>
          <w:p w14:paraId="2F6A82E2">
            <w:pPr>
              <w:pStyle w:val="6"/>
              <w:spacing w:before="11" w:line="182" w:lineRule="auto"/>
              <w:ind w:left="116" w:right="19"/>
              <w:jc w:val="both"/>
            </w:pPr>
            <w:r>
              <w:rPr>
                <w:rFonts w:ascii="宋体" w:hAnsi="宋体" w:eastAsia="宋体" w:cs="宋体"/>
                <w:spacing w:val="15"/>
              </w:rPr>
              <w:t>2.</w:t>
            </w:r>
            <w:r>
              <w:rPr>
                <w:spacing w:val="15"/>
              </w:rPr>
              <w:t>【行政法规】《生产安全</w:t>
            </w:r>
            <w:r>
              <w:rPr>
                <w:spacing w:val="17"/>
              </w:rPr>
              <w:t>事故应急条例》第八条第二</w:t>
            </w:r>
            <w:r>
              <w:rPr>
                <w:spacing w:val="12"/>
              </w:rPr>
              <w:t>款：易燃易爆物品、危险化</w:t>
            </w:r>
            <w:r>
              <w:rPr>
                <w:spacing w:val="17"/>
              </w:rPr>
              <w:t>学品等危险物品的生产、经</w:t>
            </w:r>
            <w:r>
              <w:rPr>
                <w:spacing w:val="-8"/>
              </w:rPr>
              <w:t>营、储存、运输单位，矿山、</w:t>
            </w:r>
            <w:r>
              <w:rPr>
                <w:spacing w:val="17"/>
              </w:rPr>
              <w:t>金属冶炼、城市轨道交通运</w:t>
            </w:r>
            <w:r>
              <w:rPr>
                <w:spacing w:val="10"/>
              </w:rPr>
              <w:t>营、建筑施工单位，以及宾</w:t>
            </w:r>
            <w:r>
              <w:rPr>
                <w:spacing w:val="17"/>
              </w:rPr>
              <w:t>馆、商场、娱乐场所、旅游景区等人员密集场所经营单</w:t>
            </w:r>
            <w:r>
              <w:rPr>
                <w:spacing w:val="11"/>
              </w:rPr>
              <w:t>位，应当至少每半年组织</w:t>
            </w:r>
            <w:r>
              <w:rPr>
                <w:rFonts w:ascii="宋体" w:hAnsi="宋体" w:eastAsia="宋体" w:cs="宋体"/>
                <w:spacing w:val="11"/>
              </w:rPr>
              <w:t>1</w:t>
            </w:r>
            <w:r>
              <w:rPr>
                <w:spacing w:val="17"/>
              </w:rPr>
              <w:t>次生产安全事故应急救援预</w:t>
            </w:r>
            <w:r>
              <w:rPr>
                <w:spacing w:val="13"/>
              </w:rPr>
              <w:t>案演练，并将演练情况报送</w:t>
            </w:r>
            <w:r>
              <w:rPr>
                <w:spacing w:val="17"/>
              </w:rPr>
              <w:t>所在地县级以上地方人民政府负有安全生产监督管理职</w:t>
            </w:r>
            <w:r>
              <w:t>责的部门。</w:t>
            </w:r>
          </w:p>
          <w:p w14:paraId="00CAA7B5">
            <w:pPr>
              <w:pStyle w:val="6"/>
              <w:spacing w:before="5" w:line="180" w:lineRule="auto"/>
              <w:ind w:left="113" w:right="111" w:firstLine="4"/>
            </w:pPr>
            <w:r>
              <w:rPr>
                <w:rFonts w:ascii="宋体" w:hAnsi="宋体" w:eastAsia="宋体" w:cs="宋体"/>
                <w:spacing w:val="15"/>
              </w:rPr>
              <w:t>3.</w:t>
            </w:r>
            <w:r>
              <w:rPr>
                <w:spacing w:val="15"/>
              </w:rPr>
              <w:t>【部门规章】《生产安全</w:t>
            </w:r>
            <w:r>
              <w:rPr>
                <w:spacing w:val="17"/>
              </w:rPr>
              <w:t>事故应急预案管理办法》第</w:t>
            </w:r>
            <w:r>
              <w:rPr>
                <w:spacing w:val="13"/>
              </w:rPr>
              <w:t>三十三条第一款、第二款：</w:t>
            </w:r>
            <w:r>
              <w:rPr>
                <w:spacing w:val="17"/>
              </w:rPr>
              <w:t>生产经营单位应当制定本单</w:t>
            </w:r>
            <w:r>
              <w:rPr>
                <w:spacing w:val="13"/>
              </w:rPr>
              <w:t>位的应急预案演练计划，根据本单位的事故风险特点，</w:t>
            </w:r>
            <w:r>
              <w:rPr>
                <w:spacing w:val="17"/>
              </w:rPr>
              <w:t>每年至少组织一次综合应急预案演练或者专项应急预案</w:t>
            </w:r>
            <w:r>
              <w:rPr>
                <w:spacing w:val="14"/>
              </w:rPr>
              <w:t>演练，每半年至少组织一次</w:t>
            </w:r>
            <w:r>
              <w:rPr>
                <w:spacing w:val="4"/>
              </w:rPr>
              <w:t>现场处置方案演练。</w:t>
            </w:r>
          </w:p>
        </w:tc>
        <w:tc>
          <w:tcPr>
            <w:tcW w:w="2859" w:type="dxa"/>
            <w:vMerge w:val="restart"/>
            <w:tcBorders>
              <w:bottom w:val="nil"/>
            </w:tcBorders>
            <w:vAlign w:val="top"/>
          </w:tcPr>
          <w:p w14:paraId="0DEC62A7">
            <w:pPr>
              <w:pStyle w:val="6"/>
              <w:spacing w:before="36" w:line="182" w:lineRule="auto"/>
              <w:ind w:left="115" w:right="38" w:firstLine="1"/>
              <w:jc w:val="both"/>
            </w:pPr>
            <w:r>
              <w:rPr>
                <w:spacing w:val="4"/>
              </w:rPr>
              <w:t>位有下列行为之一的，责</w:t>
            </w:r>
            <w:r>
              <w:rPr>
                <w:spacing w:val="8"/>
              </w:rPr>
              <w:t>令限期改正，处十万元以</w:t>
            </w:r>
            <w:r>
              <w:rPr>
                <w:spacing w:val="-5"/>
              </w:rPr>
              <w:t>下的罚款；逾期未改正的，</w:t>
            </w:r>
            <w:r>
              <w:rPr>
                <w:spacing w:val="8"/>
              </w:rPr>
              <w:t>责令停产停业整顿，并处十万元以上二十万元以下</w:t>
            </w:r>
            <w:r>
              <w:rPr>
                <w:spacing w:val="4"/>
              </w:rPr>
              <w:t>的罚款，对其直接负责的</w:t>
            </w:r>
            <w:r>
              <w:rPr>
                <w:spacing w:val="8"/>
              </w:rPr>
              <w:t>主管人员和其他直接责任人员处二万元以上五万元以下的罚款</w:t>
            </w:r>
            <w:r>
              <w:rPr>
                <w:spacing w:val="12"/>
              </w:rPr>
              <w:t>：（</w:t>
            </w:r>
            <w:r>
              <w:rPr>
                <w:spacing w:val="8"/>
              </w:rPr>
              <w:t>六）未按照规定制定生产安全事故应急救援预案或者未定期</w:t>
            </w:r>
            <w:r>
              <w:t>组织演练的；</w:t>
            </w:r>
          </w:p>
          <w:p w14:paraId="2836E69E">
            <w:pPr>
              <w:pStyle w:val="6"/>
              <w:spacing w:before="11" w:line="182" w:lineRule="auto"/>
              <w:ind w:left="114" w:right="110" w:firstLine="1"/>
            </w:pPr>
            <w:r>
              <w:rPr>
                <w:rFonts w:ascii="宋体" w:hAnsi="宋体" w:eastAsia="宋体" w:cs="宋体"/>
                <w:spacing w:val="7"/>
              </w:rPr>
              <w:t>2.</w:t>
            </w:r>
            <w:r>
              <w:rPr>
                <w:spacing w:val="7"/>
              </w:rPr>
              <w:t>【行政法规】《生产安</w:t>
            </w:r>
            <w:r>
              <w:rPr>
                <w:spacing w:val="8"/>
              </w:rPr>
              <w:t>全事故应急条例》第三十条：生产经营单位未制定生产安全事故应急救援预案、未定期组织应急救援预案演练、未对从业人员</w:t>
            </w:r>
            <w:r>
              <w:t>进行应急教育和培训，生</w:t>
            </w:r>
            <w:r>
              <w:rPr>
                <w:spacing w:val="8"/>
              </w:rPr>
              <w:t>产经营单位的主要负责人在本单位发生生产安全事</w:t>
            </w:r>
            <w:r>
              <w:rPr>
                <w:spacing w:val="7"/>
              </w:rPr>
              <w:t>故时不立即组织抢救的，</w:t>
            </w:r>
            <w:r>
              <w:rPr>
                <w:spacing w:val="8"/>
              </w:rPr>
              <w:t>由县级以上人民政府负有安全生产监督管理职责的部门依照《中华人民共和国安全生产法》有关规定</w:t>
            </w:r>
            <w:r>
              <w:rPr>
                <w:spacing w:val="3"/>
              </w:rPr>
              <w:t>追究法律责任。</w:t>
            </w:r>
          </w:p>
          <w:p w14:paraId="5D4CF044">
            <w:pPr>
              <w:pStyle w:val="6"/>
              <w:spacing w:before="1" w:line="175" w:lineRule="auto"/>
              <w:ind w:left="117" w:right="110"/>
              <w:jc w:val="both"/>
            </w:pPr>
            <w:r>
              <w:rPr>
                <w:rFonts w:ascii="宋体" w:hAnsi="宋体" w:eastAsia="宋体" w:cs="宋体"/>
                <w:spacing w:val="7"/>
              </w:rPr>
              <w:t>3.</w:t>
            </w:r>
            <w:r>
              <w:rPr>
                <w:spacing w:val="7"/>
              </w:rPr>
              <w:t>【部门规章】《生产安</w:t>
            </w:r>
            <w:r>
              <w:rPr>
                <w:spacing w:val="32"/>
              </w:rPr>
              <w:t>全事故应急预案管理办</w:t>
            </w:r>
            <w:r>
              <w:rPr>
                <w:spacing w:val="4"/>
              </w:rPr>
              <w:t>法》第四十四条第二项：</w:t>
            </w:r>
          </w:p>
        </w:tc>
        <w:tc>
          <w:tcPr>
            <w:tcW w:w="803" w:type="dxa"/>
            <w:vAlign w:val="top"/>
          </w:tcPr>
          <w:p w14:paraId="6324AECE">
            <w:pPr>
              <w:rPr>
                <w:rFonts w:ascii="Arial"/>
                <w:sz w:val="21"/>
              </w:rPr>
            </w:pPr>
          </w:p>
        </w:tc>
        <w:tc>
          <w:tcPr>
            <w:tcW w:w="2283" w:type="dxa"/>
            <w:vAlign w:val="top"/>
          </w:tcPr>
          <w:p w14:paraId="1D448AF1">
            <w:pPr>
              <w:rPr>
                <w:rFonts w:ascii="Arial"/>
                <w:sz w:val="21"/>
              </w:rPr>
            </w:pPr>
          </w:p>
        </w:tc>
        <w:tc>
          <w:tcPr>
            <w:tcW w:w="2894" w:type="dxa"/>
            <w:vAlign w:val="top"/>
          </w:tcPr>
          <w:p w14:paraId="3B3B310C">
            <w:pPr>
              <w:pStyle w:val="6"/>
              <w:spacing w:before="30" w:line="178" w:lineRule="auto"/>
              <w:ind w:left="126" w:right="104"/>
              <w:jc w:val="both"/>
            </w:pPr>
            <w:r>
              <w:rPr>
                <w:spacing w:val="-2"/>
              </w:rPr>
              <w:t>并处</w:t>
            </w:r>
            <w:r>
              <w:rPr>
                <w:rFonts w:ascii="宋体" w:hAnsi="宋体" w:eastAsia="宋体" w:cs="宋体"/>
                <w:spacing w:val="-2"/>
              </w:rPr>
              <w:t>10</w:t>
            </w:r>
            <w:r>
              <w:rPr>
                <w:spacing w:val="-2"/>
              </w:rPr>
              <w:t>万元以上</w:t>
            </w:r>
            <w:r>
              <w:rPr>
                <w:rFonts w:ascii="宋体" w:hAnsi="宋体" w:eastAsia="宋体" w:cs="宋体"/>
                <w:spacing w:val="-2"/>
              </w:rPr>
              <w:t>13</w:t>
            </w:r>
            <w:r>
              <w:rPr>
                <w:spacing w:val="-2"/>
              </w:rPr>
              <w:t>万元</w:t>
            </w:r>
            <w:r>
              <w:rPr>
                <w:spacing w:val="7"/>
              </w:rPr>
              <w:t>以下的罚款，对其直接负</w:t>
            </w:r>
            <w:r>
              <w:rPr>
                <w:spacing w:val="10"/>
              </w:rPr>
              <w:t>责的主管人员和其他直接</w:t>
            </w:r>
            <w:r>
              <w:rPr>
                <w:spacing w:val="9"/>
              </w:rPr>
              <w:t>责任人员处</w:t>
            </w:r>
            <w:r>
              <w:rPr>
                <w:rFonts w:ascii="宋体" w:hAnsi="宋体" w:eastAsia="宋体" w:cs="宋体"/>
                <w:spacing w:val="9"/>
              </w:rPr>
              <w:t>2</w:t>
            </w:r>
            <w:r>
              <w:rPr>
                <w:spacing w:val="9"/>
              </w:rPr>
              <w:t>万元以上</w:t>
            </w:r>
            <w:r>
              <w:rPr>
                <w:rFonts w:ascii="宋体" w:hAnsi="宋体" w:eastAsia="宋体" w:cs="宋体"/>
                <w:spacing w:val="9"/>
              </w:rPr>
              <w:t>3</w:t>
            </w:r>
            <w:r>
              <w:rPr>
                <w:spacing w:val="6"/>
              </w:rPr>
              <w:t>万元以下的罚款</w:t>
            </w:r>
          </w:p>
        </w:tc>
        <w:tc>
          <w:tcPr>
            <w:tcW w:w="811" w:type="dxa"/>
            <w:vMerge w:val="restart"/>
            <w:tcBorders>
              <w:bottom w:val="nil"/>
            </w:tcBorders>
            <w:vAlign w:val="top"/>
          </w:tcPr>
          <w:p w14:paraId="0037D7FC">
            <w:pPr>
              <w:rPr>
                <w:rFonts w:ascii="Arial"/>
                <w:sz w:val="21"/>
              </w:rPr>
            </w:pPr>
          </w:p>
        </w:tc>
      </w:tr>
      <w:tr w14:paraId="2ADF6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5" w:hRule="atLeast"/>
        </w:trPr>
        <w:tc>
          <w:tcPr>
            <w:tcW w:w="818" w:type="dxa"/>
            <w:vMerge w:val="continue"/>
            <w:tcBorders>
              <w:top w:val="nil"/>
              <w:bottom w:val="nil"/>
            </w:tcBorders>
            <w:vAlign w:val="top"/>
          </w:tcPr>
          <w:p w14:paraId="6A50067D">
            <w:pPr>
              <w:rPr>
                <w:rFonts w:ascii="Arial"/>
                <w:sz w:val="21"/>
              </w:rPr>
            </w:pPr>
          </w:p>
        </w:tc>
        <w:tc>
          <w:tcPr>
            <w:tcW w:w="1440" w:type="dxa"/>
            <w:vMerge w:val="continue"/>
            <w:tcBorders>
              <w:top w:val="nil"/>
              <w:bottom w:val="nil"/>
            </w:tcBorders>
            <w:vAlign w:val="top"/>
          </w:tcPr>
          <w:p w14:paraId="5E04079D">
            <w:pPr>
              <w:rPr>
                <w:rFonts w:ascii="Arial"/>
                <w:sz w:val="21"/>
              </w:rPr>
            </w:pPr>
          </w:p>
        </w:tc>
        <w:tc>
          <w:tcPr>
            <w:tcW w:w="3202" w:type="dxa"/>
            <w:vMerge w:val="continue"/>
            <w:tcBorders>
              <w:top w:val="nil"/>
              <w:bottom w:val="nil"/>
            </w:tcBorders>
            <w:vAlign w:val="top"/>
          </w:tcPr>
          <w:p w14:paraId="57492482">
            <w:pPr>
              <w:rPr>
                <w:rFonts w:ascii="Arial"/>
                <w:sz w:val="21"/>
              </w:rPr>
            </w:pPr>
          </w:p>
        </w:tc>
        <w:tc>
          <w:tcPr>
            <w:tcW w:w="2859" w:type="dxa"/>
            <w:vMerge w:val="continue"/>
            <w:tcBorders>
              <w:top w:val="nil"/>
              <w:bottom w:val="nil"/>
            </w:tcBorders>
            <w:vAlign w:val="top"/>
          </w:tcPr>
          <w:p w14:paraId="5A26A99D">
            <w:pPr>
              <w:rPr>
                <w:rFonts w:ascii="Arial"/>
                <w:sz w:val="21"/>
              </w:rPr>
            </w:pPr>
          </w:p>
        </w:tc>
        <w:tc>
          <w:tcPr>
            <w:tcW w:w="803" w:type="dxa"/>
            <w:vAlign w:val="top"/>
          </w:tcPr>
          <w:p w14:paraId="4F86993C">
            <w:pPr>
              <w:spacing w:line="261" w:lineRule="auto"/>
              <w:rPr>
                <w:rFonts w:ascii="Arial"/>
                <w:sz w:val="21"/>
              </w:rPr>
            </w:pPr>
          </w:p>
          <w:p w14:paraId="7B832005">
            <w:pPr>
              <w:spacing w:line="261" w:lineRule="auto"/>
              <w:rPr>
                <w:rFonts w:ascii="Arial"/>
                <w:sz w:val="21"/>
              </w:rPr>
            </w:pPr>
          </w:p>
          <w:p w14:paraId="796575CF">
            <w:pPr>
              <w:spacing w:line="261" w:lineRule="auto"/>
              <w:rPr>
                <w:rFonts w:ascii="Arial"/>
                <w:sz w:val="21"/>
              </w:rPr>
            </w:pPr>
          </w:p>
          <w:p w14:paraId="3C77735A">
            <w:pPr>
              <w:spacing w:line="261" w:lineRule="auto"/>
              <w:rPr>
                <w:rFonts w:ascii="Arial"/>
                <w:sz w:val="21"/>
              </w:rPr>
            </w:pPr>
          </w:p>
          <w:p w14:paraId="12847D72">
            <w:pPr>
              <w:spacing w:line="262" w:lineRule="auto"/>
              <w:rPr>
                <w:rFonts w:ascii="Arial"/>
                <w:sz w:val="21"/>
              </w:rPr>
            </w:pPr>
          </w:p>
          <w:p w14:paraId="0704ADD0">
            <w:pPr>
              <w:spacing w:line="262" w:lineRule="auto"/>
              <w:rPr>
                <w:rFonts w:ascii="Arial"/>
                <w:sz w:val="21"/>
              </w:rPr>
            </w:pPr>
          </w:p>
          <w:p w14:paraId="1096A388">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058906F">
            <w:pPr>
              <w:rPr>
                <w:rFonts w:ascii="Arial"/>
                <w:sz w:val="21"/>
              </w:rPr>
            </w:pPr>
          </w:p>
          <w:p w14:paraId="4FF9D99B">
            <w:pPr>
              <w:rPr>
                <w:rFonts w:ascii="Arial"/>
                <w:sz w:val="21"/>
              </w:rPr>
            </w:pPr>
          </w:p>
          <w:p w14:paraId="655E4D3E">
            <w:pPr>
              <w:rPr>
                <w:rFonts w:ascii="Arial"/>
                <w:sz w:val="21"/>
              </w:rPr>
            </w:pPr>
          </w:p>
          <w:p w14:paraId="0ADC1065">
            <w:pPr>
              <w:rPr>
                <w:rFonts w:ascii="Arial"/>
                <w:sz w:val="21"/>
              </w:rPr>
            </w:pPr>
          </w:p>
          <w:p w14:paraId="78898214">
            <w:pPr>
              <w:rPr>
                <w:rFonts w:ascii="Arial"/>
                <w:sz w:val="21"/>
              </w:rPr>
            </w:pPr>
          </w:p>
          <w:p w14:paraId="222E92DA">
            <w:pPr>
              <w:pStyle w:val="6"/>
              <w:spacing w:before="99" w:line="191" w:lineRule="auto"/>
              <w:ind w:left="119" w:right="109" w:firstLine="6"/>
              <w:jc w:val="both"/>
            </w:pPr>
            <w:r>
              <w:rPr>
                <w:spacing w:val="25"/>
              </w:rPr>
              <w:t>综合应急预案或专</w:t>
            </w:r>
            <w:r>
              <w:rPr>
                <w:spacing w:val="26"/>
              </w:rPr>
              <w:t>项应急预案演练不</w:t>
            </w:r>
            <w:r>
              <w:rPr>
                <w:spacing w:val="6"/>
              </w:rPr>
              <w:t>符合规定的</w:t>
            </w:r>
          </w:p>
        </w:tc>
        <w:tc>
          <w:tcPr>
            <w:tcW w:w="2894" w:type="dxa"/>
            <w:vAlign w:val="top"/>
          </w:tcPr>
          <w:p w14:paraId="0C627622">
            <w:pPr>
              <w:spacing w:line="452" w:lineRule="auto"/>
              <w:rPr>
                <w:rFonts w:ascii="Arial"/>
                <w:sz w:val="21"/>
              </w:rPr>
            </w:pPr>
          </w:p>
          <w:p w14:paraId="5DA30AD2">
            <w:pPr>
              <w:pStyle w:val="6"/>
              <w:spacing w:before="98" w:line="186" w:lineRule="auto"/>
              <w:ind w:left="117" w:right="103" w:firstLine="10"/>
            </w:pPr>
            <w:r>
              <w:rPr>
                <w:spacing w:val="4"/>
              </w:rPr>
              <w:t>责令限期改正，处</w:t>
            </w:r>
            <w:r>
              <w:rPr>
                <w:rFonts w:ascii="宋体" w:hAnsi="宋体" w:eastAsia="宋体" w:cs="宋体"/>
                <w:spacing w:val="4"/>
              </w:rPr>
              <w:t>3</w:t>
            </w:r>
            <w:r>
              <w:rPr>
                <w:spacing w:val="4"/>
              </w:rPr>
              <w:t>万元</w:t>
            </w:r>
            <w:r>
              <w:rPr>
                <w:spacing w:val="3"/>
              </w:rPr>
              <w:t>以上</w:t>
            </w:r>
            <w:r>
              <w:rPr>
                <w:rFonts w:ascii="宋体" w:hAnsi="宋体" w:eastAsia="宋体" w:cs="宋体"/>
                <w:spacing w:val="3"/>
              </w:rPr>
              <w:t>7</w:t>
            </w:r>
            <w:r>
              <w:rPr>
                <w:spacing w:val="3"/>
              </w:rPr>
              <w:t>万元以下的罚款；</w:t>
            </w:r>
            <w:r>
              <w:rPr>
                <w:spacing w:val="8"/>
              </w:rPr>
              <w:t>逾期未改正的，责令停产</w:t>
            </w:r>
            <w:r>
              <w:rPr>
                <w:spacing w:val="-4"/>
              </w:rPr>
              <w:t>停业整顿，并处</w:t>
            </w:r>
            <w:r>
              <w:rPr>
                <w:rFonts w:ascii="宋体" w:hAnsi="宋体" w:eastAsia="宋体" w:cs="宋体"/>
                <w:spacing w:val="-4"/>
              </w:rPr>
              <w:t>13</w:t>
            </w:r>
            <w:r>
              <w:rPr>
                <w:spacing w:val="-4"/>
              </w:rPr>
              <w:t>万元以上</w:t>
            </w:r>
            <w:r>
              <w:rPr>
                <w:rFonts w:ascii="宋体" w:hAnsi="宋体" w:eastAsia="宋体" w:cs="宋体"/>
                <w:spacing w:val="-4"/>
              </w:rPr>
              <w:t>17</w:t>
            </w:r>
            <w:r>
              <w:rPr>
                <w:spacing w:val="-4"/>
              </w:rPr>
              <w:t>万元以下的罚款，对</w:t>
            </w:r>
            <w:r>
              <w:rPr>
                <w:spacing w:val="11"/>
              </w:rPr>
              <w:t>其直接负责的主管人员和</w:t>
            </w:r>
            <w:r>
              <w:rPr>
                <w:spacing w:val="8"/>
              </w:rPr>
              <w:t>其他直接责任人员处</w:t>
            </w:r>
            <w:r>
              <w:rPr>
                <w:rFonts w:ascii="宋体" w:hAnsi="宋体" w:eastAsia="宋体" w:cs="宋体"/>
                <w:spacing w:val="8"/>
              </w:rPr>
              <w:t>3</w:t>
            </w:r>
            <w:r>
              <w:rPr>
                <w:spacing w:val="8"/>
              </w:rPr>
              <w:t>万</w:t>
            </w:r>
            <w:r>
              <w:rPr>
                <w:spacing w:val="4"/>
              </w:rPr>
              <w:t>元以上</w:t>
            </w:r>
            <w:r>
              <w:rPr>
                <w:rFonts w:ascii="宋体" w:hAnsi="宋体" w:eastAsia="宋体" w:cs="宋体"/>
                <w:spacing w:val="4"/>
              </w:rPr>
              <w:t>4</w:t>
            </w:r>
            <w:r>
              <w:rPr>
                <w:spacing w:val="4"/>
              </w:rPr>
              <w:t>万元以下的罚款</w:t>
            </w:r>
          </w:p>
        </w:tc>
        <w:tc>
          <w:tcPr>
            <w:tcW w:w="811" w:type="dxa"/>
            <w:vMerge w:val="continue"/>
            <w:tcBorders>
              <w:top w:val="nil"/>
              <w:bottom w:val="nil"/>
            </w:tcBorders>
            <w:vAlign w:val="top"/>
          </w:tcPr>
          <w:p w14:paraId="1BAA2524">
            <w:pPr>
              <w:rPr>
                <w:rFonts w:ascii="Arial"/>
                <w:sz w:val="21"/>
              </w:rPr>
            </w:pPr>
          </w:p>
        </w:tc>
      </w:tr>
      <w:tr w14:paraId="1C7F7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4" w:hRule="atLeast"/>
        </w:trPr>
        <w:tc>
          <w:tcPr>
            <w:tcW w:w="818" w:type="dxa"/>
            <w:vMerge w:val="continue"/>
            <w:tcBorders>
              <w:top w:val="nil"/>
            </w:tcBorders>
            <w:vAlign w:val="top"/>
          </w:tcPr>
          <w:p w14:paraId="009347C3">
            <w:pPr>
              <w:rPr>
                <w:rFonts w:ascii="Arial"/>
                <w:sz w:val="21"/>
              </w:rPr>
            </w:pPr>
          </w:p>
        </w:tc>
        <w:tc>
          <w:tcPr>
            <w:tcW w:w="1440" w:type="dxa"/>
            <w:vMerge w:val="continue"/>
            <w:tcBorders>
              <w:top w:val="nil"/>
            </w:tcBorders>
            <w:vAlign w:val="top"/>
          </w:tcPr>
          <w:p w14:paraId="5B290626">
            <w:pPr>
              <w:rPr>
                <w:rFonts w:ascii="Arial"/>
                <w:sz w:val="21"/>
              </w:rPr>
            </w:pPr>
          </w:p>
        </w:tc>
        <w:tc>
          <w:tcPr>
            <w:tcW w:w="3202" w:type="dxa"/>
            <w:vMerge w:val="continue"/>
            <w:tcBorders>
              <w:top w:val="nil"/>
            </w:tcBorders>
            <w:vAlign w:val="top"/>
          </w:tcPr>
          <w:p w14:paraId="6825B8A1">
            <w:pPr>
              <w:rPr>
                <w:rFonts w:ascii="Arial"/>
                <w:sz w:val="21"/>
              </w:rPr>
            </w:pPr>
          </w:p>
        </w:tc>
        <w:tc>
          <w:tcPr>
            <w:tcW w:w="2859" w:type="dxa"/>
            <w:vMerge w:val="continue"/>
            <w:tcBorders>
              <w:top w:val="nil"/>
            </w:tcBorders>
            <w:vAlign w:val="top"/>
          </w:tcPr>
          <w:p w14:paraId="01A1818D">
            <w:pPr>
              <w:rPr>
                <w:rFonts w:ascii="Arial"/>
                <w:sz w:val="21"/>
              </w:rPr>
            </w:pPr>
          </w:p>
        </w:tc>
        <w:tc>
          <w:tcPr>
            <w:tcW w:w="803" w:type="dxa"/>
            <w:vAlign w:val="top"/>
          </w:tcPr>
          <w:p w14:paraId="265AB567">
            <w:pPr>
              <w:spacing w:line="264" w:lineRule="auto"/>
              <w:rPr>
                <w:rFonts w:ascii="Arial"/>
                <w:sz w:val="21"/>
              </w:rPr>
            </w:pPr>
          </w:p>
          <w:p w14:paraId="1FE29E20">
            <w:pPr>
              <w:spacing w:line="265" w:lineRule="auto"/>
              <w:rPr>
                <w:rFonts w:ascii="Arial"/>
                <w:sz w:val="21"/>
              </w:rPr>
            </w:pPr>
          </w:p>
          <w:p w14:paraId="161E1BD6">
            <w:pPr>
              <w:spacing w:line="265" w:lineRule="auto"/>
              <w:rPr>
                <w:rFonts w:ascii="Arial"/>
                <w:sz w:val="21"/>
              </w:rPr>
            </w:pPr>
          </w:p>
          <w:p w14:paraId="32C02415">
            <w:pPr>
              <w:spacing w:line="265" w:lineRule="auto"/>
              <w:rPr>
                <w:rFonts w:ascii="Arial"/>
                <w:sz w:val="21"/>
              </w:rPr>
            </w:pPr>
          </w:p>
          <w:p w14:paraId="3C8569F8">
            <w:pPr>
              <w:spacing w:line="265" w:lineRule="auto"/>
              <w:rPr>
                <w:rFonts w:ascii="Arial"/>
                <w:sz w:val="21"/>
              </w:rPr>
            </w:pPr>
          </w:p>
          <w:p w14:paraId="0A64661A">
            <w:pPr>
              <w:spacing w:line="265" w:lineRule="auto"/>
              <w:rPr>
                <w:rFonts w:ascii="Arial"/>
                <w:sz w:val="21"/>
              </w:rPr>
            </w:pPr>
          </w:p>
          <w:p w14:paraId="57C5F1F4">
            <w:pPr>
              <w:spacing w:line="265" w:lineRule="auto"/>
              <w:rPr>
                <w:rFonts w:ascii="Arial"/>
                <w:sz w:val="21"/>
              </w:rPr>
            </w:pPr>
          </w:p>
          <w:p w14:paraId="030B09E7">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C568704">
            <w:pPr>
              <w:spacing w:line="267" w:lineRule="auto"/>
              <w:rPr>
                <w:rFonts w:ascii="Arial"/>
                <w:sz w:val="21"/>
              </w:rPr>
            </w:pPr>
          </w:p>
          <w:p w14:paraId="797C30F8">
            <w:pPr>
              <w:spacing w:line="267" w:lineRule="auto"/>
              <w:rPr>
                <w:rFonts w:ascii="Arial"/>
                <w:sz w:val="21"/>
              </w:rPr>
            </w:pPr>
          </w:p>
          <w:p w14:paraId="0A6EB11F">
            <w:pPr>
              <w:spacing w:line="267" w:lineRule="auto"/>
              <w:rPr>
                <w:rFonts w:ascii="Arial"/>
                <w:sz w:val="21"/>
              </w:rPr>
            </w:pPr>
          </w:p>
          <w:p w14:paraId="672B64A7">
            <w:pPr>
              <w:spacing w:line="268" w:lineRule="auto"/>
              <w:rPr>
                <w:rFonts w:ascii="Arial"/>
                <w:sz w:val="21"/>
              </w:rPr>
            </w:pPr>
          </w:p>
          <w:p w14:paraId="2B8FC1E0">
            <w:pPr>
              <w:spacing w:line="268" w:lineRule="auto"/>
              <w:rPr>
                <w:rFonts w:ascii="Arial"/>
                <w:sz w:val="21"/>
              </w:rPr>
            </w:pPr>
          </w:p>
          <w:p w14:paraId="58E78B42">
            <w:pPr>
              <w:pStyle w:val="6"/>
              <w:spacing w:before="98" w:line="190" w:lineRule="auto"/>
              <w:ind w:left="120" w:right="109" w:firstLine="5"/>
              <w:jc w:val="both"/>
            </w:pPr>
            <w:r>
              <w:rPr>
                <w:spacing w:val="-4"/>
              </w:rPr>
              <w:t>综合应急预案、专项</w:t>
            </w:r>
            <w:r>
              <w:rPr>
                <w:spacing w:val="26"/>
              </w:rPr>
              <w:t>应急预案或现场处置方案未组织演练</w:t>
            </w:r>
            <w:r>
              <w:t>的</w:t>
            </w:r>
          </w:p>
        </w:tc>
        <w:tc>
          <w:tcPr>
            <w:tcW w:w="2894" w:type="dxa"/>
            <w:vAlign w:val="top"/>
          </w:tcPr>
          <w:p w14:paraId="63EB0EC0">
            <w:pPr>
              <w:spacing w:line="246" w:lineRule="auto"/>
              <w:rPr>
                <w:rFonts w:ascii="Arial"/>
                <w:sz w:val="21"/>
              </w:rPr>
            </w:pPr>
          </w:p>
          <w:p w14:paraId="650A3875">
            <w:pPr>
              <w:spacing w:line="246" w:lineRule="auto"/>
              <w:rPr>
                <w:rFonts w:ascii="Arial"/>
                <w:sz w:val="21"/>
              </w:rPr>
            </w:pPr>
          </w:p>
          <w:p w14:paraId="5B810A8C">
            <w:pPr>
              <w:spacing w:line="246" w:lineRule="auto"/>
              <w:rPr>
                <w:rFonts w:ascii="Arial"/>
                <w:sz w:val="21"/>
              </w:rPr>
            </w:pPr>
          </w:p>
          <w:p w14:paraId="748DF849">
            <w:pPr>
              <w:pStyle w:val="6"/>
              <w:spacing w:before="99" w:line="186" w:lineRule="auto"/>
              <w:ind w:left="117" w:right="71" w:firstLine="10"/>
              <w:jc w:val="both"/>
            </w:pPr>
            <w:r>
              <w:rPr>
                <w:spacing w:val="4"/>
              </w:rPr>
              <w:t>责令限期改正，处</w:t>
            </w:r>
            <w:r>
              <w:rPr>
                <w:rFonts w:ascii="宋体" w:hAnsi="宋体" w:eastAsia="宋体" w:cs="宋体"/>
                <w:spacing w:val="4"/>
              </w:rPr>
              <w:t>7</w:t>
            </w:r>
            <w:r>
              <w:rPr>
                <w:spacing w:val="4"/>
              </w:rPr>
              <w:t>万元</w:t>
            </w:r>
            <w:r>
              <w:rPr>
                <w:spacing w:val="-1"/>
              </w:rPr>
              <w:t>以上</w:t>
            </w:r>
            <w:r>
              <w:rPr>
                <w:rFonts w:ascii="宋体" w:hAnsi="宋体" w:eastAsia="宋体" w:cs="宋体"/>
                <w:spacing w:val="-1"/>
              </w:rPr>
              <w:t>10</w:t>
            </w:r>
            <w:r>
              <w:rPr>
                <w:spacing w:val="-1"/>
              </w:rPr>
              <w:t>万元以下的罚款；</w:t>
            </w:r>
            <w:r>
              <w:rPr>
                <w:spacing w:val="8"/>
              </w:rPr>
              <w:t>逾期未改正的，责令停产</w:t>
            </w:r>
            <w:r>
              <w:rPr>
                <w:spacing w:val="-4"/>
              </w:rPr>
              <w:t>停业整顿，并处</w:t>
            </w:r>
            <w:r>
              <w:rPr>
                <w:rFonts w:ascii="宋体" w:hAnsi="宋体" w:eastAsia="宋体" w:cs="宋体"/>
                <w:spacing w:val="-4"/>
              </w:rPr>
              <w:t>17</w:t>
            </w:r>
            <w:r>
              <w:rPr>
                <w:spacing w:val="-4"/>
              </w:rPr>
              <w:t>万元以</w:t>
            </w:r>
            <w:r>
              <w:rPr>
                <w:spacing w:val="-2"/>
              </w:rPr>
              <w:t>上</w:t>
            </w:r>
            <w:r>
              <w:rPr>
                <w:rFonts w:ascii="宋体" w:hAnsi="宋体" w:eastAsia="宋体" w:cs="宋体"/>
                <w:spacing w:val="-2"/>
              </w:rPr>
              <w:t>20</w:t>
            </w:r>
            <w:r>
              <w:rPr>
                <w:spacing w:val="-2"/>
              </w:rPr>
              <w:t>万元以下的罚款，对</w:t>
            </w:r>
            <w:r>
              <w:rPr>
                <w:spacing w:val="11"/>
              </w:rPr>
              <w:t>其直接负责的主管人员和</w:t>
            </w:r>
            <w:r>
              <w:rPr>
                <w:spacing w:val="8"/>
              </w:rPr>
              <w:t>其他直接责任人员处</w:t>
            </w:r>
            <w:r>
              <w:rPr>
                <w:rFonts w:ascii="宋体" w:hAnsi="宋体" w:eastAsia="宋体" w:cs="宋体"/>
                <w:spacing w:val="8"/>
              </w:rPr>
              <w:t>4</w:t>
            </w:r>
            <w:r>
              <w:rPr>
                <w:spacing w:val="8"/>
              </w:rPr>
              <w:t>万</w:t>
            </w:r>
            <w:r>
              <w:rPr>
                <w:spacing w:val="4"/>
              </w:rPr>
              <w:t>元以上</w:t>
            </w:r>
            <w:r>
              <w:rPr>
                <w:rFonts w:ascii="宋体" w:hAnsi="宋体" w:eastAsia="宋体" w:cs="宋体"/>
                <w:spacing w:val="4"/>
              </w:rPr>
              <w:t>5</w:t>
            </w:r>
            <w:r>
              <w:rPr>
                <w:spacing w:val="4"/>
              </w:rPr>
              <w:t>万元以下的罚款</w:t>
            </w:r>
          </w:p>
        </w:tc>
        <w:tc>
          <w:tcPr>
            <w:tcW w:w="811" w:type="dxa"/>
            <w:vMerge w:val="continue"/>
            <w:tcBorders>
              <w:top w:val="nil"/>
            </w:tcBorders>
            <w:vAlign w:val="top"/>
          </w:tcPr>
          <w:p w14:paraId="2FC7FE83">
            <w:pPr>
              <w:rPr>
                <w:rFonts w:ascii="Arial"/>
                <w:sz w:val="21"/>
              </w:rPr>
            </w:pPr>
          </w:p>
        </w:tc>
      </w:tr>
    </w:tbl>
    <w:p w14:paraId="1C3C560B">
      <w:pPr>
        <w:pStyle w:val="2"/>
      </w:pPr>
    </w:p>
    <w:p w14:paraId="08BE15FC">
      <w:pPr>
        <w:sectPr>
          <w:footerReference r:id="rId85" w:type="default"/>
          <w:pgSz w:w="16839" w:h="11906"/>
          <w:pgMar w:top="1012" w:right="821" w:bottom="666" w:left="901" w:header="0" w:footer="388" w:gutter="0"/>
          <w:cols w:space="720" w:num="1"/>
        </w:sectPr>
      </w:pPr>
    </w:p>
    <w:p w14:paraId="7B1C8835">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C978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0" w:hRule="atLeast"/>
        </w:trPr>
        <w:tc>
          <w:tcPr>
            <w:tcW w:w="818" w:type="dxa"/>
            <w:vAlign w:val="top"/>
          </w:tcPr>
          <w:p w14:paraId="0CCBA8E5">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520FB52B">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657C7DC">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56D8F7D">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4BB18624">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84D8533">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2FB2C58">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704B69F">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A92C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2" w:hRule="atLeast"/>
        </w:trPr>
        <w:tc>
          <w:tcPr>
            <w:tcW w:w="818" w:type="dxa"/>
            <w:vAlign w:val="top"/>
          </w:tcPr>
          <w:p w14:paraId="0B8FE530">
            <w:pPr>
              <w:rPr>
                <w:rFonts w:ascii="Arial"/>
                <w:sz w:val="21"/>
              </w:rPr>
            </w:pPr>
          </w:p>
        </w:tc>
        <w:tc>
          <w:tcPr>
            <w:tcW w:w="1440" w:type="dxa"/>
            <w:vAlign w:val="top"/>
          </w:tcPr>
          <w:p w14:paraId="52ADBDDB">
            <w:pPr>
              <w:rPr>
                <w:rFonts w:ascii="Arial"/>
                <w:sz w:val="21"/>
              </w:rPr>
            </w:pPr>
          </w:p>
        </w:tc>
        <w:tc>
          <w:tcPr>
            <w:tcW w:w="3202" w:type="dxa"/>
            <w:vAlign w:val="top"/>
          </w:tcPr>
          <w:p w14:paraId="09916DD3">
            <w:pPr>
              <w:pStyle w:val="6"/>
              <w:spacing w:before="37" w:line="182" w:lineRule="auto"/>
              <w:ind w:left="116" w:right="21" w:firstLine="14"/>
            </w:pPr>
            <w:r>
              <w:rPr>
                <w:spacing w:val="16"/>
              </w:rPr>
              <w:t>易燃易爆物品、危险化学品</w:t>
            </w:r>
            <w:r>
              <w:rPr>
                <w:spacing w:val="15"/>
              </w:rPr>
              <w:t>等危险物品的生产、经营、</w:t>
            </w:r>
            <w:r>
              <w:rPr>
                <w:spacing w:val="13"/>
              </w:rPr>
              <w:t>储存、运输单位，矿山、金</w:t>
            </w:r>
            <w:r>
              <w:rPr>
                <w:spacing w:val="5"/>
              </w:rPr>
              <w:t>属冶炼、城市轨道交通运营、</w:t>
            </w:r>
            <w:r>
              <w:rPr>
                <w:spacing w:val="8"/>
              </w:rPr>
              <w:t>建筑施工单位，以及宾馆、</w:t>
            </w:r>
            <w:r>
              <w:rPr>
                <w:spacing w:val="17"/>
              </w:rPr>
              <w:t>商场、娱乐场所、旅游景区</w:t>
            </w:r>
            <w:r>
              <w:rPr>
                <w:spacing w:val="13"/>
              </w:rPr>
              <w:t>等人员密集场所经营单位，</w:t>
            </w:r>
            <w:r>
              <w:rPr>
                <w:spacing w:val="17"/>
              </w:rPr>
              <w:t>应当至少每半年组织一次生</w:t>
            </w:r>
            <w:r>
              <w:rPr>
                <w:spacing w:val="13"/>
              </w:rPr>
              <w:t>产安全事故应急预案演练，</w:t>
            </w:r>
            <w:r>
              <w:rPr>
                <w:spacing w:val="17"/>
              </w:rPr>
              <w:t>并将演练情况报送所在地县级以上地方人民政府负有安</w:t>
            </w:r>
            <w:r>
              <w:rPr>
                <w:spacing w:val="39"/>
              </w:rPr>
              <w:t>全生产监督管理职责的部</w:t>
            </w:r>
            <w:r>
              <w:rPr>
                <w:spacing w:val="-7"/>
              </w:rPr>
              <w:t>门。</w:t>
            </w:r>
          </w:p>
          <w:p w14:paraId="0C4EBBF6">
            <w:pPr>
              <w:pStyle w:val="6"/>
              <w:spacing w:before="8" w:line="182" w:lineRule="auto"/>
              <w:ind w:left="115" w:right="42" w:hanging="3"/>
            </w:pPr>
            <w:r>
              <w:rPr>
                <w:rFonts w:ascii="宋体" w:hAnsi="宋体" w:eastAsia="宋体" w:cs="宋体"/>
                <w:spacing w:val="16"/>
              </w:rPr>
              <w:t>4.</w:t>
            </w:r>
            <w:r>
              <w:rPr>
                <w:spacing w:val="16"/>
              </w:rPr>
              <w:t>【部门规章】《工贸企业</w:t>
            </w:r>
            <w:r>
              <w:rPr>
                <w:spacing w:val="3"/>
              </w:rPr>
              <w:t>粉尘防爆安全规定》第十条：</w:t>
            </w:r>
            <w:r>
              <w:rPr>
                <w:spacing w:val="17"/>
              </w:rPr>
              <w:t>粉尘涉爆企业应当制定有关</w:t>
            </w:r>
            <w:r>
              <w:rPr>
                <w:spacing w:val="39"/>
              </w:rPr>
              <w:t>粉尘爆炸事故应急救援预</w:t>
            </w:r>
            <w:r>
              <w:rPr>
                <w:spacing w:val="10"/>
              </w:rPr>
              <w:t>案，并依法定期组织演练。</w:t>
            </w:r>
            <w:r>
              <w:rPr>
                <w:spacing w:val="17"/>
              </w:rPr>
              <w:t>发生火灾或者粉尘爆炸事故</w:t>
            </w:r>
            <w:r>
              <w:rPr>
                <w:spacing w:val="13"/>
              </w:rPr>
              <w:t>后，粉尘涉爆企业应当立即</w:t>
            </w:r>
            <w:r>
              <w:rPr>
                <w:spacing w:val="17"/>
              </w:rPr>
              <w:t>启动应急响应并撤离疏散全</w:t>
            </w:r>
            <w:r>
              <w:rPr>
                <w:spacing w:val="13"/>
              </w:rPr>
              <w:t>部作业人员至安全场所，不</w:t>
            </w:r>
            <w:r>
              <w:rPr>
                <w:spacing w:val="17"/>
              </w:rPr>
              <w:t>得采用可能引起扬尘的应急</w:t>
            </w:r>
            <w:r>
              <w:t>处置措施。</w:t>
            </w:r>
          </w:p>
          <w:p w14:paraId="7D2D0800">
            <w:pPr>
              <w:pStyle w:val="6"/>
              <w:spacing w:before="7" w:line="178" w:lineRule="auto"/>
              <w:ind w:left="116" w:right="111" w:firstLine="1"/>
            </w:pPr>
            <w:r>
              <w:rPr>
                <w:rFonts w:ascii="宋体" w:hAnsi="宋体" w:eastAsia="宋体" w:cs="宋体"/>
                <w:spacing w:val="15"/>
              </w:rPr>
              <w:t>5.</w:t>
            </w:r>
            <w:r>
              <w:rPr>
                <w:spacing w:val="15"/>
              </w:rPr>
              <w:t>【部门规章】《工贸企业</w:t>
            </w:r>
            <w:r>
              <w:rPr>
                <w:spacing w:val="17"/>
              </w:rPr>
              <w:t>有限空间作业安全规定》第</w:t>
            </w:r>
            <w:r>
              <w:rPr>
                <w:spacing w:val="13"/>
              </w:rPr>
              <w:t>十条：工贸企业应当制定有限空间作业现场处置方案，按规定组织演练，并进行演</w:t>
            </w:r>
            <w:r>
              <w:rPr>
                <w:spacing w:val="1"/>
              </w:rPr>
              <w:t>练效果评估。</w:t>
            </w:r>
          </w:p>
        </w:tc>
        <w:tc>
          <w:tcPr>
            <w:tcW w:w="2859" w:type="dxa"/>
            <w:vAlign w:val="top"/>
          </w:tcPr>
          <w:p w14:paraId="13CAD4CA">
            <w:pPr>
              <w:pStyle w:val="6"/>
              <w:spacing w:before="39" w:line="182" w:lineRule="auto"/>
              <w:ind w:left="90" w:right="38" w:firstLine="41"/>
              <w:jc w:val="both"/>
            </w:pPr>
            <w:r>
              <w:rPr>
                <w:spacing w:val="7"/>
              </w:rPr>
              <w:t>生产经营单位有下列情形</w:t>
            </w:r>
            <w:r>
              <w:rPr>
                <w:spacing w:val="4"/>
              </w:rPr>
              <w:t>之一的，由县级以上人民</w:t>
            </w:r>
            <w:r>
              <w:rPr>
                <w:spacing w:val="11"/>
              </w:rPr>
              <w:t>政府应急管理等部门依照《中华人民共和国安全生</w:t>
            </w:r>
            <w:r>
              <w:rPr>
                <w:spacing w:val="-3"/>
              </w:rPr>
              <w:t>产法》第九十四条的规定，</w:t>
            </w:r>
            <w:r>
              <w:rPr>
                <w:spacing w:val="10"/>
              </w:rPr>
              <w:t>责令限期改正，可以处</w:t>
            </w:r>
            <w:r>
              <w:rPr>
                <w:rFonts w:ascii="宋体" w:hAnsi="宋体" w:eastAsia="宋体" w:cs="宋体"/>
                <w:spacing w:val="10"/>
              </w:rPr>
              <w:t>5</w:t>
            </w:r>
            <w:r>
              <w:rPr>
                <w:spacing w:val="11"/>
              </w:rPr>
              <w:t>万元以下罚款；逾期未改</w:t>
            </w:r>
            <w:r>
              <w:rPr>
                <w:spacing w:val="-3"/>
              </w:rPr>
              <w:t>正的，责令停产停业整顿，</w:t>
            </w:r>
            <w:r>
              <w:rPr>
                <w:spacing w:val="16"/>
              </w:rPr>
              <w:t>并处</w:t>
            </w:r>
            <w:r>
              <w:rPr>
                <w:rFonts w:ascii="宋体" w:hAnsi="宋体" w:eastAsia="宋体" w:cs="宋体"/>
                <w:spacing w:val="16"/>
              </w:rPr>
              <w:t>5</w:t>
            </w:r>
            <w:r>
              <w:rPr>
                <w:spacing w:val="16"/>
              </w:rPr>
              <w:t>万元以上</w:t>
            </w:r>
            <w:r>
              <w:rPr>
                <w:rFonts w:ascii="宋体" w:hAnsi="宋体" w:eastAsia="宋体" w:cs="宋体"/>
                <w:spacing w:val="16"/>
              </w:rPr>
              <w:t>10</w:t>
            </w:r>
            <w:r>
              <w:rPr>
                <w:spacing w:val="16"/>
              </w:rPr>
              <w:t>万元以</w:t>
            </w:r>
            <w:r>
              <w:rPr>
                <w:spacing w:val="11"/>
              </w:rPr>
              <w:t>下的罚款，对直接负责的主管人员和其他直接责任</w:t>
            </w:r>
            <w:r>
              <w:rPr>
                <w:spacing w:val="2"/>
              </w:rPr>
              <w:t>人员处</w:t>
            </w:r>
            <w:r>
              <w:rPr>
                <w:rFonts w:ascii="宋体" w:hAnsi="宋体" w:eastAsia="宋体" w:cs="宋体"/>
                <w:spacing w:val="2"/>
              </w:rPr>
              <w:t>1</w:t>
            </w:r>
            <w:r>
              <w:rPr>
                <w:spacing w:val="2"/>
              </w:rPr>
              <w:t>万元以上</w:t>
            </w:r>
            <w:r>
              <w:rPr>
                <w:rFonts w:ascii="宋体" w:hAnsi="宋体" w:eastAsia="宋体" w:cs="宋体"/>
                <w:spacing w:val="2"/>
              </w:rPr>
              <w:t>2</w:t>
            </w:r>
            <w:r>
              <w:rPr>
                <w:spacing w:val="2"/>
              </w:rPr>
              <w:t>万元</w:t>
            </w:r>
            <w:r>
              <w:rPr>
                <w:spacing w:val="11"/>
              </w:rPr>
              <w:t>以下的罚款：（二）未按照规定定期组织应急预案</w:t>
            </w:r>
            <w:r>
              <w:rPr>
                <w:spacing w:val="4"/>
              </w:rPr>
              <w:t>演练的。</w:t>
            </w:r>
          </w:p>
          <w:p w14:paraId="042323F7">
            <w:pPr>
              <w:pStyle w:val="6"/>
              <w:spacing w:before="24" w:line="180" w:lineRule="auto"/>
              <w:ind w:left="115" w:right="107" w:hanging="3"/>
              <w:jc w:val="both"/>
            </w:pPr>
            <w:r>
              <w:rPr>
                <w:rFonts w:ascii="宋体" w:hAnsi="宋体" w:eastAsia="宋体" w:cs="宋体"/>
                <w:spacing w:val="8"/>
              </w:rPr>
              <w:t>4.</w:t>
            </w:r>
            <w:r>
              <w:rPr>
                <w:spacing w:val="8"/>
              </w:rPr>
              <w:t>【部门规章】《工贸企业粉尘防爆安全规定》第二十八条第三项：粉尘涉</w:t>
            </w:r>
            <w:r>
              <w:rPr>
                <w:spacing w:val="27"/>
              </w:rPr>
              <w:t>爆企业有下列行为之一</w:t>
            </w:r>
            <w:r>
              <w:rPr>
                <w:spacing w:val="8"/>
              </w:rPr>
              <w:t>的，由负责粉尘涉爆企业安全监管的部门依照《中</w:t>
            </w:r>
            <w:r>
              <w:rPr>
                <w:spacing w:val="32"/>
              </w:rPr>
              <w:t>华人民共和国安全生产</w:t>
            </w:r>
            <w:r>
              <w:rPr>
                <w:spacing w:val="8"/>
              </w:rPr>
              <w:t>法》有关规定，责令限期</w:t>
            </w:r>
            <w:r>
              <w:rPr>
                <w:spacing w:val="-7"/>
              </w:rPr>
              <w:t>改正，处</w:t>
            </w:r>
            <w:r>
              <w:rPr>
                <w:rFonts w:ascii="宋体" w:hAnsi="宋体" w:eastAsia="宋体" w:cs="宋体"/>
                <w:spacing w:val="-7"/>
              </w:rPr>
              <w:t>10</w:t>
            </w:r>
            <w:r>
              <w:rPr>
                <w:spacing w:val="-7"/>
              </w:rPr>
              <w:t>万元以下的罚</w:t>
            </w:r>
            <w:r>
              <w:rPr>
                <w:spacing w:val="8"/>
              </w:rPr>
              <w:t>款；逾期未改正的，责令</w:t>
            </w:r>
            <w:r>
              <w:rPr>
                <w:spacing w:val="12"/>
              </w:rPr>
              <w:t>停产停业整顿，并处</w:t>
            </w:r>
            <w:r>
              <w:rPr>
                <w:rFonts w:ascii="宋体" w:hAnsi="宋体" w:eastAsia="宋体" w:cs="宋体"/>
                <w:spacing w:val="12"/>
              </w:rPr>
              <w:t>10</w:t>
            </w:r>
            <w:r>
              <w:rPr>
                <w:spacing w:val="11"/>
              </w:rPr>
              <w:t>万元以上</w:t>
            </w:r>
            <w:r>
              <w:rPr>
                <w:rFonts w:ascii="宋体" w:hAnsi="宋体" w:eastAsia="宋体" w:cs="宋体"/>
                <w:spacing w:val="11"/>
              </w:rPr>
              <w:t>20</w:t>
            </w:r>
            <w:r>
              <w:rPr>
                <w:spacing w:val="11"/>
              </w:rPr>
              <w:t>万元以下的</w:t>
            </w:r>
            <w:r>
              <w:rPr>
                <w:spacing w:val="8"/>
              </w:rPr>
              <w:t>罚款，对其直接负责的主管人员和其他直接责任人</w:t>
            </w:r>
            <w:r>
              <w:rPr>
                <w:spacing w:val="1"/>
              </w:rPr>
              <w:t>员处</w:t>
            </w:r>
            <w:r>
              <w:rPr>
                <w:rFonts w:ascii="宋体" w:hAnsi="宋体" w:eastAsia="宋体" w:cs="宋体"/>
                <w:spacing w:val="1"/>
              </w:rPr>
              <w:t>2</w:t>
            </w:r>
            <w:r>
              <w:rPr>
                <w:spacing w:val="1"/>
              </w:rPr>
              <w:t>万元以上</w:t>
            </w:r>
            <w:r>
              <w:rPr>
                <w:rFonts w:ascii="宋体" w:hAnsi="宋体" w:eastAsia="宋体" w:cs="宋体"/>
                <w:spacing w:val="1"/>
              </w:rPr>
              <w:t>5</w:t>
            </w:r>
            <w:r>
              <w:rPr>
                <w:spacing w:val="1"/>
              </w:rPr>
              <w:t>万元以</w:t>
            </w:r>
          </w:p>
        </w:tc>
        <w:tc>
          <w:tcPr>
            <w:tcW w:w="803" w:type="dxa"/>
            <w:vAlign w:val="top"/>
          </w:tcPr>
          <w:p w14:paraId="71350A3F">
            <w:pPr>
              <w:rPr>
                <w:rFonts w:ascii="Arial"/>
                <w:sz w:val="21"/>
              </w:rPr>
            </w:pPr>
          </w:p>
        </w:tc>
        <w:tc>
          <w:tcPr>
            <w:tcW w:w="2283" w:type="dxa"/>
            <w:vAlign w:val="top"/>
          </w:tcPr>
          <w:p w14:paraId="60C7630B">
            <w:pPr>
              <w:rPr>
                <w:rFonts w:ascii="Arial"/>
                <w:sz w:val="21"/>
              </w:rPr>
            </w:pPr>
          </w:p>
        </w:tc>
        <w:tc>
          <w:tcPr>
            <w:tcW w:w="2894" w:type="dxa"/>
            <w:vAlign w:val="top"/>
          </w:tcPr>
          <w:p w14:paraId="20FBB0FF">
            <w:pPr>
              <w:rPr>
                <w:rFonts w:ascii="Arial"/>
                <w:sz w:val="21"/>
              </w:rPr>
            </w:pPr>
          </w:p>
        </w:tc>
        <w:tc>
          <w:tcPr>
            <w:tcW w:w="811" w:type="dxa"/>
            <w:vAlign w:val="top"/>
          </w:tcPr>
          <w:p w14:paraId="6563D861">
            <w:pPr>
              <w:rPr>
                <w:rFonts w:ascii="Arial"/>
                <w:sz w:val="21"/>
              </w:rPr>
            </w:pPr>
          </w:p>
        </w:tc>
      </w:tr>
    </w:tbl>
    <w:p w14:paraId="529ED751">
      <w:pPr>
        <w:pStyle w:val="2"/>
      </w:pPr>
    </w:p>
    <w:p w14:paraId="04FFB898">
      <w:pPr>
        <w:sectPr>
          <w:footerReference r:id="rId86" w:type="default"/>
          <w:pgSz w:w="16839" w:h="11906"/>
          <w:pgMar w:top="1012" w:right="821" w:bottom="666" w:left="901" w:header="0" w:footer="388" w:gutter="0"/>
          <w:cols w:space="720" w:num="1"/>
        </w:sectPr>
      </w:pPr>
    </w:p>
    <w:p w14:paraId="2F99EC3E">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5CBC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CFC4169">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13D4CB96">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06AD304">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E9F1580">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605A5FC">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514AFB8">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361A109">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6A563C83">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2A77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2" w:hRule="atLeast"/>
        </w:trPr>
        <w:tc>
          <w:tcPr>
            <w:tcW w:w="818" w:type="dxa"/>
            <w:vAlign w:val="top"/>
          </w:tcPr>
          <w:p w14:paraId="450FF143">
            <w:pPr>
              <w:rPr>
                <w:rFonts w:ascii="Arial"/>
                <w:sz w:val="21"/>
              </w:rPr>
            </w:pPr>
          </w:p>
        </w:tc>
        <w:tc>
          <w:tcPr>
            <w:tcW w:w="1440" w:type="dxa"/>
            <w:vAlign w:val="top"/>
          </w:tcPr>
          <w:p w14:paraId="79DE8BB5">
            <w:pPr>
              <w:rPr>
                <w:rFonts w:ascii="Arial"/>
                <w:sz w:val="21"/>
              </w:rPr>
            </w:pPr>
          </w:p>
        </w:tc>
        <w:tc>
          <w:tcPr>
            <w:tcW w:w="3202" w:type="dxa"/>
            <w:vAlign w:val="top"/>
          </w:tcPr>
          <w:p w14:paraId="37C5922D">
            <w:pPr>
              <w:pStyle w:val="6"/>
              <w:spacing w:before="24" w:line="185" w:lineRule="auto"/>
              <w:ind w:left="116" w:hanging="1"/>
            </w:pPr>
            <w:r>
              <w:rPr>
                <w:rFonts w:ascii="宋体" w:hAnsi="宋体" w:eastAsia="宋体" w:cs="宋体"/>
                <w:spacing w:val="15"/>
              </w:rPr>
              <w:t>6.</w:t>
            </w:r>
            <w:r>
              <w:rPr>
                <w:spacing w:val="15"/>
              </w:rPr>
              <w:t>【部门规章】《危险化学</w:t>
            </w:r>
            <w:r>
              <w:rPr>
                <w:spacing w:val="16"/>
              </w:rPr>
              <w:t>品重大危险源监督管理暂行</w:t>
            </w:r>
            <w:r>
              <w:rPr>
                <w:spacing w:val="12"/>
              </w:rPr>
              <w:t>规定》第二十一条第一款：</w:t>
            </w:r>
            <w:r>
              <w:rPr>
                <w:spacing w:val="16"/>
              </w:rPr>
              <w:t>危险化学品单位应当制定</w:t>
            </w:r>
            <w:r>
              <w:fldChar w:fldCharType="begin"/>
            </w:r>
            <w:r>
              <w:instrText xml:space="preserve"> HYPERLINK "https://baike.baidu.com/item/%E9%87%8D%E5%A4%A7%E5%8D%B1%E9%99%A9%E6%BA%90/10983922?fromModule=lemma_inlink" </w:instrText>
            </w:r>
            <w:r>
              <w:fldChar w:fldCharType="separate"/>
            </w:r>
            <w:r>
              <w:rPr>
                <w:spacing w:val="16"/>
              </w:rPr>
              <w:t>重</w:t>
            </w:r>
            <w:r>
              <w:rPr>
                <w:spacing w:val="16"/>
              </w:rPr>
              <w:fldChar w:fldCharType="end"/>
            </w:r>
            <w:r>
              <w:rPr>
                <w:spacing w:val="15"/>
              </w:rPr>
              <w:t>大危险源事故应急预案演练</w:t>
            </w:r>
            <w:r>
              <w:rPr>
                <w:spacing w:val="12"/>
              </w:rPr>
              <w:t>计划，并按照下列要求进行</w:t>
            </w:r>
            <w:r>
              <w:rPr>
                <w:spacing w:val="9"/>
              </w:rPr>
              <w:t>事故</w:t>
            </w:r>
            <w:r>
              <w:fldChar w:fldCharType="begin"/>
            </w:r>
            <w:r>
              <w:instrText xml:space="preserve"> HYPERLINK "https://baike.baidu.com/item/%E5%BA%94%E6%80%A5%E9%A2%84%E6%A1%88/2955453?fromModule=lemma_inlink" </w:instrText>
            </w:r>
            <w:r>
              <w:fldChar w:fldCharType="separate"/>
            </w:r>
            <w:r>
              <w:rPr>
                <w:spacing w:val="9"/>
              </w:rPr>
              <w:t>应急预案</w:t>
            </w:r>
            <w:r>
              <w:rPr>
                <w:spacing w:val="9"/>
              </w:rPr>
              <w:fldChar w:fldCharType="end"/>
            </w:r>
            <w:r>
              <w:rPr>
                <w:spacing w:val="9"/>
              </w:rPr>
              <w:t>演练</w:t>
            </w:r>
            <w:r>
              <w:rPr>
                <w:spacing w:val="-10"/>
              </w:rPr>
              <w:t>：（</w:t>
            </w:r>
            <w:r>
              <w:rPr>
                <w:spacing w:val="9"/>
              </w:rPr>
              <w:t>一）</w:t>
            </w:r>
            <w:r>
              <w:rPr>
                <w:spacing w:val="35"/>
              </w:rPr>
              <w:t>对重大危险源</w:t>
            </w:r>
            <w:r>
              <w:fldChar w:fldCharType="begin"/>
            </w:r>
            <w:r>
              <w:instrText xml:space="preserve"> HYPERLINK "https://baike.baidu.com/item/%E4%B8%93%E9%A1%B9%E5%BA%94%E6%80%A5%E9%A2%84%E6%A1%88?fromModule=lemma_inlink" </w:instrText>
            </w:r>
            <w:r>
              <w:fldChar w:fldCharType="separate"/>
            </w:r>
            <w:r>
              <w:rPr>
                <w:spacing w:val="35"/>
              </w:rPr>
              <w:t>专项应急预</w:t>
            </w:r>
            <w:r>
              <w:rPr>
                <w:spacing w:val="35"/>
              </w:rPr>
              <w:fldChar w:fldCharType="end"/>
            </w:r>
            <w:r>
              <w:rPr>
                <w:spacing w:val="-1"/>
              </w:rPr>
              <w:t>案，每年至少进行一次</w:t>
            </w:r>
            <w:r>
              <w:rPr>
                <w:spacing w:val="-51"/>
                <w:w w:val="93"/>
              </w:rPr>
              <w:t>；（</w:t>
            </w:r>
            <w:r>
              <w:rPr>
                <w:spacing w:val="-1"/>
              </w:rPr>
              <w:t>二）</w:t>
            </w:r>
            <w:r>
              <w:rPr>
                <w:spacing w:val="35"/>
              </w:rPr>
              <w:t>对重大危险源</w:t>
            </w:r>
            <w:r>
              <w:fldChar w:fldCharType="begin"/>
            </w:r>
            <w:r>
              <w:instrText xml:space="preserve"> HYPERLINK "https://baike.baidu.com/item/%E7%8E%B0%E5%9C%BA%E5%A4%84%E7%BD%AE%E6%96%B9%E6%A1%88?fromModule=lemma_inlink" </w:instrText>
            </w:r>
            <w:r>
              <w:fldChar w:fldCharType="separate"/>
            </w:r>
            <w:r>
              <w:rPr>
                <w:spacing w:val="35"/>
              </w:rPr>
              <w:t>现场处置方</w:t>
            </w:r>
            <w:r>
              <w:rPr>
                <w:spacing w:val="35"/>
              </w:rPr>
              <w:fldChar w:fldCharType="end"/>
            </w:r>
            <w:r>
              <w:rPr>
                <w:spacing w:val="5"/>
              </w:rPr>
              <w:t>案，每半年至少进行一次。</w:t>
            </w:r>
          </w:p>
        </w:tc>
        <w:tc>
          <w:tcPr>
            <w:tcW w:w="2859" w:type="dxa"/>
            <w:vAlign w:val="top"/>
          </w:tcPr>
          <w:p w14:paraId="01F149D2">
            <w:pPr>
              <w:pStyle w:val="6"/>
              <w:spacing w:before="31" w:line="182" w:lineRule="auto"/>
              <w:ind w:left="116" w:right="110" w:firstLine="6"/>
            </w:pPr>
            <w:r>
              <w:rPr>
                <w:spacing w:val="6"/>
              </w:rPr>
              <w:t>下的罚款</w:t>
            </w:r>
            <w:r>
              <w:rPr>
                <w:spacing w:val="7"/>
              </w:rPr>
              <w:t>：（</w:t>
            </w:r>
            <w:r>
              <w:rPr>
                <w:spacing w:val="6"/>
              </w:rPr>
              <w:t>三）未制定</w:t>
            </w:r>
            <w:r>
              <w:rPr>
                <w:spacing w:val="8"/>
              </w:rPr>
              <w:t>有关粉尘爆炸事故应急救援预案或者未定期组织演</w:t>
            </w:r>
            <w:r>
              <w:rPr>
                <w:spacing w:val="-4"/>
              </w:rPr>
              <w:t>练的。</w:t>
            </w:r>
          </w:p>
          <w:p w14:paraId="39EF06DE">
            <w:pPr>
              <w:pStyle w:val="6"/>
              <w:spacing w:before="11" w:line="182" w:lineRule="auto"/>
              <w:ind w:left="98" w:right="105" w:firstLine="19"/>
            </w:pPr>
            <w:r>
              <w:rPr>
                <w:rFonts w:ascii="宋体" w:hAnsi="宋体" w:eastAsia="宋体" w:cs="宋体"/>
                <w:spacing w:val="7"/>
              </w:rPr>
              <w:t>5.</w:t>
            </w:r>
            <w:r>
              <w:rPr>
                <w:spacing w:val="7"/>
              </w:rPr>
              <w:t>【部门规章】《工贸企</w:t>
            </w:r>
            <w:r>
              <w:rPr>
                <w:spacing w:val="34"/>
              </w:rPr>
              <w:t>业有限空间作业安全规</w:t>
            </w:r>
            <w:r>
              <w:rPr>
                <w:spacing w:val="3"/>
              </w:rPr>
              <w:t>定》第二十条第二项：工</w:t>
            </w:r>
            <w:r>
              <w:rPr>
                <w:spacing w:val="28"/>
              </w:rPr>
              <w:t>贸企业有下列行为之一</w:t>
            </w:r>
            <w:r>
              <w:rPr>
                <w:spacing w:val="-1"/>
              </w:rPr>
              <w:t>的，责令限期改正，处</w:t>
            </w:r>
            <w:r>
              <w:rPr>
                <w:rFonts w:ascii="宋体" w:hAnsi="宋体" w:eastAsia="宋体" w:cs="宋体"/>
                <w:spacing w:val="-1"/>
              </w:rPr>
              <w:t>10</w:t>
            </w:r>
            <w:r>
              <w:rPr>
                <w:spacing w:val="10"/>
              </w:rPr>
              <w:t>万元以下的罚款；逾期未</w:t>
            </w:r>
            <w:r>
              <w:rPr>
                <w:spacing w:val="3"/>
              </w:rPr>
              <w:t>改正的，责令停产停业整顿，并处</w:t>
            </w:r>
            <w:r>
              <w:rPr>
                <w:rFonts w:ascii="宋体" w:hAnsi="宋体" w:eastAsia="宋体" w:cs="宋体"/>
                <w:spacing w:val="3"/>
              </w:rPr>
              <w:t>10</w:t>
            </w:r>
            <w:r>
              <w:rPr>
                <w:spacing w:val="3"/>
              </w:rPr>
              <w:t>万元以上</w:t>
            </w:r>
            <w:r>
              <w:rPr>
                <w:rFonts w:ascii="宋体" w:hAnsi="宋体" w:eastAsia="宋体" w:cs="宋体"/>
                <w:spacing w:val="3"/>
              </w:rPr>
              <w:t>20</w:t>
            </w:r>
            <w:r>
              <w:rPr>
                <w:spacing w:val="10"/>
              </w:rPr>
              <w:t>万元以下的罚款，对其直接负责的主管人员和其他</w:t>
            </w:r>
            <w:r>
              <w:rPr>
                <w:spacing w:val="6"/>
              </w:rPr>
              <w:t>直接责任人员处</w:t>
            </w:r>
            <w:r>
              <w:rPr>
                <w:rFonts w:ascii="宋体" w:hAnsi="宋体" w:eastAsia="宋体" w:cs="宋体"/>
                <w:spacing w:val="6"/>
              </w:rPr>
              <w:t>2</w:t>
            </w:r>
            <w:r>
              <w:rPr>
                <w:spacing w:val="6"/>
              </w:rPr>
              <w:t>万元以</w:t>
            </w:r>
            <w:r>
              <w:rPr>
                <w:spacing w:val="17"/>
              </w:rPr>
              <w:t>上</w:t>
            </w:r>
            <w:r>
              <w:rPr>
                <w:rFonts w:ascii="宋体" w:hAnsi="宋体" w:eastAsia="宋体" w:cs="宋体"/>
                <w:spacing w:val="17"/>
              </w:rPr>
              <w:t>5</w:t>
            </w:r>
            <w:r>
              <w:rPr>
                <w:spacing w:val="17"/>
              </w:rPr>
              <w:t>万元以下的罚款：</w:t>
            </w:r>
            <w:r>
              <w:rPr>
                <w:spacing w:val="10"/>
              </w:rPr>
              <w:t>（二）未按照规定制定有限空间作业现场处置方案或者未按照规定组织演练</w:t>
            </w:r>
            <w:r>
              <w:rPr>
                <w:spacing w:val="-3"/>
              </w:rPr>
              <w:t>的。</w:t>
            </w:r>
          </w:p>
          <w:p w14:paraId="40755CB7">
            <w:pPr>
              <w:pStyle w:val="6"/>
              <w:spacing w:before="2" w:line="182" w:lineRule="auto"/>
              <w:ind w:left="126" w:right="110" w:hanging="11"/>
            </w:pPr>
            <w:r>
              <w:rPr>
                <w:rFonts w:ascii="宋体" w:hAnsi="宋体" w:eastAsia="宋体" w:cs="宋体"/>
                <w:spacing w:val="7"/>
              </w:rPr>
              <w:t>6.</w:t>
            </w:r>
            <w:r>
              <w:rPr>
                <w:spacing w:val="7"/>
              </w:rPr>
              <w:t>【部门规章】《危险化学品重大危险源监督管理暂行规定》第三十四条第</w:t>
            </w:r>
          </w:p>
          <w:p w14:paraId="033C9152">
            <w:pPr>
              <w:pStyle w:val="6"/>
              <w:spacing w:before="3" w:line="182" w:lineRule="auto"/>
              <w:ind w:left="120" w:right="106" w:firstLine="9"/>
            </w:pPr>
            <w:r>
              <w:rPr>
                <w:spacing w:val="7"/>
              </w:rPr>
              <w:t>六项：危险化学品单位有</w:t>
            </w:r>
            <w:r>
              <w:rPr>
                <w:spacing w:val="8"/>
              </w:rPr>
              <w:t>下列情形之一的，由县级以上人民政府安全生产监</w:t>
            </w:r>
            <w:r>
              <w:rPr>
                <w:spacing w:val="2"/>
              </w:rPr>
              <w:t>督管理部门给予警告，可</w:t>
            </w:r>
            <w:r>
              <w:rPr>
                <w:spacing w:val="12"/>
              </w:rPr>
              <w:t>以并处</w:t>
            </w:r>
            <w:r>
              <w:rPr>
                <w:rFonts w:ascii="宋体" w:hAnsi="宋体" w:eastAsia="宋体" w:cs="宋体"/>
                <w:spacing w:val="12"/>
              </w:rPr>
              <w:t>5000</w:t>
            </w:r>
            <w:r>
              <w:rPr>
                <w:spacing w:val="12"/>
              </w:rPr>
              <w:t>元以上</w:t>
            </w:r>
            <w:r>
              <w:rPr>
                <w:rFonts w:ascii="宋体" w:hAnsi="宋体" w:eastAsia="宋体" w:cs="宋体"/>
                <w:spacing w:val="12"/>
              </w:rPr>
              <w:t>3</w:t>
            </w:r>
            <w:r>
              <w:rPr>
                <w:spacing w:val="12"/>
              </w:rPr>
              <w:t>万元</w:t>
            </w:r>
          </w:p>
          <w:p w14:paraId="3BC72C63">
            <w:pPr>
              <w:pStyle w:val="6"/>
              <w:spacing w:before="1" w:line="171" w:lineRule="auto"/>
              <w:ind w:left="134" w:right="110" w:firstLine="11"/>
            </w:pPr>
            <w:r>
              <w:rPr>
                <w:spacing w:val="5"/>
              </w:rPr>
              <w:t>以下的罚款</w:t>
            </w:r>
            <w:r>
              <w:rPr>
                <w:spacing w:val="10"/>
              </w:rPr>
              <w:t>：（</w:t>
            </w:r>
            <w:r>
              <w:rPr>
                <w:spacing w:val="5"/>
              </w:rPr>
              <w:t>六）未按</w:t>
            </w:r>
            <w:r>
              <w:rPr>
                <w:spacing w:val="7"/>
              </w:rPr>
              <w:t>照本规定要求开展重大危</w:t>
            </w:r>
          </w:p>
        </w:tc>
        <w:tc>
          <w:tcPr>
            <w:tcW w:w="803" w:type="dxa"/>
            <w:vAlign w:val="top"/>
          </w:tcPr>
          <w:p w14:paraId="4CF87ABA">
            <w:pPr>
              <w:rPr>
                <w:rFonts w:ascii="Arial"/>
                <w:sz w:val="21"/>
              </w:rPr>
            </w:pPr>
          </w:p>
        </w:tc>
        <w:tc>
          <w:tcPr>
            <w:tcW w:w="2283" w:type="dxa"/>
            <w:vAlign w:val="top"/>
          </w:tcPr>
          <w:p w14:paraId="64C2AE74">
            <w:pPr>
              <w:rPr>
                <w:rFonts w:ascii="Arial"/>
                <w:sz w:val="21"/>
              </w:rPr>
            </w:pPr>
          </w:p>
        </w:tc>
        <w:tc>
          <w:tcPr>
            <w:tcW w:w="2894" w:type="dxa"/>
            <w:vAlign w:val="top"/>
          </w:tcPr>
          <w:p w14:paraId="31683C98">
            <w:pPr>
              <w:rPr>
                <w:rFonts w:ascii="Arial"/>
                <w:sz w:val="21"/>
              </w:rPr>
            </w:pPr>
          </w:p>
        </w:tc>
        <w:tc>
          <w:tcPr>
            <w:tcW w:w="811" w:type="dxa"/>
            <w:vAlign w:val="top"/>
          </w:tcPr>
          <w:p w14:paraId="08DD346F">
            <w:pPr>
              <w:rPr>
                <w:rFonts w:ascii="Arial"/>
                <w:sz w:val="21"/>
              </w:rPr>
            </w:pPr>
          </w:p>
        </w:tc>
      </w:tr>
    </w:tbl>
    <w:p w14:paraId="400DCF5E">
      <w:pPr>
        <w:pStyle w:val="2"/>
      </w:pPr>
    </w:p>
    <w:p w14:paraId="28248E2F">
      <w:pPr>
        <w:sectPr>
          <w:footerReference r:id="rId87" w:type="default"/>
          <w:pgSz w:w="16839" w:h="11906"/>
          <w:pgMar w:top="1012" w:right="821" w:bottom="666" w:left="901" w:header="0" w:footer="388" w:gutter="0"/>
          <w:cols w:space="720" w:num="1"/>
        </w:sectPr>
      </w:pPr>
    </w:p>
    <w:p w14:paraId="200DA25A">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36BE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B20BC2F">
            <w:pPr>
              <w:spacing w:before="222" w:line="241" w:lineRule="auto"/>
              <w:ind w:left="131"/>
              <w:rPr>
                <w:rFonts w:ascii="黑体" w:hAnsi="黑体" w:eastAsia="黑体" w:cs="黑体"/>
                <w:sz w:val="28"/>
                <w:szCs w:val="28"/>
              </w:rPr>
            </w:pPr>
            <w:bookmarkStart w:id="470" w:name="bookmark147"/>
            <w:bookmarkEnd w:id="470"/>
            <w:r>
              <w:rPr>
                <w:rFonts w:ascii="黑体" w:hAnsi="黑体" w:eastAsia="黑体" w:cs="黑体"/>
                <w:spacing w:val="-2"/>
                <w:sz w:val="28"/>
                <w:szCs w:val="28"/>
              </w:rPr>
              <w:t>序号</w:t>
            </w:r>
          </w:p>
        </w:tc>
        <w:tc>
          <w:tcPr>
            <w:tcW w:w="1440" w:type="dxa"/>
            <w:vAlign w:val="top"/>
          </w:tcPr>
          <w:p w14:paraId="018781CD">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02E9522">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4EF8530">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A4D6F94">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499A637">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A44BB24">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70A11FE3">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008F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818" w:type="dxa"/>
            <w:vAlign w:val="top"/>
          </w:tcPr>
          <w:p w14:paraId="44CBA33A">
            <w:pPr>
              <w:rPr>
                <w:rFonts w:ascii="Arial"/>
                <w:sz w:val="21"/>
              </w:rPr>
            </w:pPr>
          </w:p>
        </w:tc>
        <w:tc>
          <w:tcPr>
            <w:tcW w:w="1440" w:type="dxa"/>
            <w:vAlign w:val="top"/>
          </w:tcPr>
          <w:p w14:paraId="1354BB57">
            <w:pPr>
              <w:rPr>
                <w:rFonts w:ascii="Arial"/>
                <w:sz w:val="21"/>
              </w:rPr>
            </w:pPr>
          </w:p>
        </w:tc>
        <w:tc>
          <w:tcPr>
            <w:tcW w:w="3202" w:type="dxa"/>
            <w:vAlign w:val="top"/>
          </w:tcPr>
          <w:p w14:paraId="3CC9CC1D">
            <w:pPr>
              <w:rPr>
                <w:rFonts w:ascii="Arial"/>
                <w:sz w:val="21"/>
              </w:rPr>
            </w:pPr>
          </w:p>
        </w:tc>
        <w:tc>
          <w:tcPr>
            <w:tcW w:w="2859" w:type="dxa"/>
            <w:vAlign w:val="top"/>
          </w:tcPr>
          <w:p w14:paraId="79D0989B">
            <w:pPr>
              <w:pStyle w:val="6"/>
              <w:spacing w:before="26" w:line="195" w:lineRule="auto"/>
              <w:ind w:left="138" w:right="110" w:hanging="1"/>
            </w:pPr>
            <w:r>
              <w:rPr>
                <w:spacing w:val="30"/>
              </w:rPr>
              <w:t>险源事故应急预案演练</w:t>
            </w:r>
            <w:r>
              <w:rPr>
                <w:spacing w:val="-13"/>
              </w:rPr>
              <w:t>的。</w:t>
            </w:r>
          </w:p>
        </w:tc>
        <w:tc>
          <w:tcPr>
            <w:tcW w:w="803" w:type="dxa"/>
            <w:vAlign w:val="top"/>
          </w:tcPr>
          <w:p w14:paraId="74D32432">
            <w:pPr>
              <w:rPr>
                <w:rFonts w:ascii="Arial"/>
                <w:sz w:val="21"/>
              </w:rPr>
            </w:pPr>
          </w:p>
        </w:tc>
        <w:tc>
          <w:tcPr>
            <w:tcW w:w="2283" w:type="dxa"/>
            <w:vAlign w:val="top"/>
          </w:tcPr>
          <w:p w14:paraId="2B0AD872">
            <w:pPr>
              <w:rPr>
                <w:rFonts w:ascii="Arial"/>
                <w:sz w:val="21"/>
              </w:rPr>
            </w:pPr>
          </w:p>
        </w:tc>
        <w:tc>
          <w:tcPr>
            <w:tcW w:w="2894" w:type="dxa"/>
            <w:vAlign w:val="top"/>
          </w:tcPr>
          <w:p w14:paraId="1487F46D">
            <w:pPr>
              <w:rPr>
                <w:rFonts w:ascii="Arial"/>
                <w:sz w:val="21"/>
              </w:rPr>
            </w:pPr>
          </w:p>
        </w:tc>
        <w:tc>
          <w:tcPr>
            <w:tcW w:w="811" w:type="dxa"/>
            <w:vAlign w:val="top"/>
          </w:tcPr>
          <w:p w14:paraId="053313E8">
            <w:pPr>
              <w:rPr>
                <w:rFonts w:ascii="Arial"/>
                <w:sz w:val="21"/>
              </w:rPr>
            </w:pPr>
          </w:p>
        </w:tc>
      </w:tr>
      <w:tr w14:paraId="4BD78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4" w:hRule="atLeast"/>
        </w:trPr>
        <w:tc>
          <w:tcPr>
            <w:tcW w:w="818" w:type="dxa"/>
            <w:vMerge w:val="restart"/>
            <w:tcBorders>
              <w:bottom w:val="nil"/>
            </w:tcBorders>
            <w:vAlign w:val="top"/>
          </w:tcPr>
          <w:p w14:paraId="3702C982">
            <w:pPr>
              <w:spacing w:line="251" w:lineRule="auto"/>
              <w:rPr>
                <w:rFonts w:ascii="Arial"/>
                <w:sz w:val="21"/>
              </w:rPr>
            </w:pPr>
          </w:p>
          <w:p w14:paraId="4A249410">
            <w:pPr>
              <w:spacing w:line="251" w:lineRule="auto"/>
              <w:rPr>
                <w:rFonts w:ascii="Arial"/>
                <w:sz w:val="21"/>
              </w:rPr>
            </w:pPr>
          </w:p>
          <w:p w14:paraId="68004283">
            <w:pPr>
              <w:spacing w:line="251" w:lineRule="auto"/>
              <w:rPr>
                <w:rFonts w:ascii="Arial"/>
                <w:sz w:val="21"/>
              </w:rPr>
            </w:pPr>
          </w:p>
          <w:p w14:paraId="79D4FB9B">
            <w:pPr>
              <w:spacing w:line="251" w:lineRule="auto"/>
              <w:rPr>
                <w:rFonts w:ascii="Arial"/>
                <w:sz w:val="21"/>
              </w:rPr>
            </w:pPr>
          </w:p>
          <w:p w14:paraId="40DC4AC5">
            <w:pPr>
              <w:spacing w:line="251" w:lineRule="auto"/>
              <w:rPr>
                <w:rFonts w:ascii="Arial"/>
                <w:sz w:val="21"/>
              </w:rPr>
            </w:pPr>
          </w:p>
          <w:p w14:paraId="707B5C14">
            <w:pPr>
              <w:spacing w:line="251" w:lineRule="auto"/>
              <w:rPr>
                <w:rFonts w:ascii="Arial"/>
                <w:sz w:val="21"/>
              </w:rPr>
            </w:pPr>
          </w:p>
          <w:p w14:paraId="4F20491F">
            <w:pPr>
              <w:spacing w:line="252" w:lineRule="auto"/>
              <w:rPr>
                <w:rFonts w:ascii="Arial"/>
                <w:sz w:val="21"/>
              </w:rPr>
            </w:pPr>
          </w:p>
          <w:p w14:paraId="6722C478">
            <w:pPr>
              <w:spacing w:line="252" w:lineRule="auto"/>
              <w:rPr>
                <w:rFonts w:ascii="Arial"/>
                <w:sz w:val="21"/>
              </w:rPr>
            </w:pPr>
          </w:p>
          <w:p w14:paraId="5348EE14">
            <w:pPr>
              <w:spacing w:line="252" w:lineRule="auto"/>
              <w:rPr>
                <w:rFonts w:ascii="Arial"/>
                <w:sz w:val="21"/>
              </w:rPr>
            </w:pPr>
          </w:p>
          <w:p w14:paraId="240E757A">
            <w:pPr>
              <w:spacing w:line="252" w:lineRule="auto"/>
              <w:rPr>
                <w:rFonts w:ascii="Arial"/>
                <w:sz w:val="21"/>
              </w:rPr>
            </w:pPr>
          </w:p>
          <w:p w14:paraId="0210CA8A">
            <w:pPr>
              <w:spacing w:line="252" w:lineRule="auto"/>
              <w:rPr>
                <w:rFonts w:ascii="Arial"/>
                <w:sz w:val="21"/>
              </w:rPr>
            </w:pPr>
          </w:p>
          <w:p w14:paraId="138C3FDD">
            <w:pPr>
              <w:spacing w:line="252" w:lineRule="auto"/>
              <w:rPr>
                <w:rFonts w:ascii="Arial"/>
                <w:sz w:val="21"/>
              </w:rPr>
            </w:pPr>
          </w:p>
          <w:p w14:paraId="73188C35">
            <w:pPr>
              <w:spacing w:line="252" w:lineRule="auto"/>
              <w:rPr>
                <w:rFonts w:ascii="Arial"/>
                <w:sz w:val="21"/>
              </w:rPr>
            </w:pPr>
          </w:p>
          <w:p w14:paraId="41F4A29D">
            <w:pPr>
              <w:spacing w:line="252" w:lineRule="auto"/>
              <w:rPr>
                <w:rFonts w:ascii="Arial"/>
                <w:sz w:val="21"/>
              </w:rPr>
            </w:pPr>
          </w:p>
          <w:p w14:paraId="7C2AC589">
            <w:pPr>
              <w:spacing w:line="252" w:lineRule="auto"/>
              <w:rPr>
                <w:rFonts w:ascii="Arial"/>
                <w:sz w:val="21"/>
              </w:rPr>
            </w:pPr>
          </w:p>
          <w:p w14:paraId="01563243">
            <w:pPr>
              <w:spacing w:line="252" w:lineRule="auto"/>
              <w:rPr>
                <w:rFonts w:ascii="Arial"/>
                <w:sz w:val="21"/>
              </w:rPr>
            </w:pPr>
          </w:p>
          <w:p w14:paraId="3B5A0F72">
            <w:pPr>
              <w:spacing w:before="75" w:line="186" w:lineRule="auto"/>
              <w:ind w:left="240"/>
              <w:rPr>
                <w:rFonts w:ascii="仿宋" w:hAnsi="仿宋" w:eastAsia="仿宋" w:cs="仿宋"/>
                <w:sz w:val="23"/>
                <w:szCs w:val="23"/>
              </w:rPr>
            </w:pPr>
            <w:r>
              <w:rPr>
                <w:rFonts w:ascii="仿宋" w:hAnsi="仿宋" w:eastAsia="仿宋" w:cs="仿宋"/>
                <w:spacing w:val="-4"/>
                <w:sz w:val="23"/>
                <w:szCs w:val="23"/>
              </w:rPr>
              <w:t>71</w:t>
            </w:r>
          </w:p>
        </w:tc>
        <w:tc>
          <w:tcPr>
            <w:tcW w:w="1440" w:type="dxa"/>
            <w:vMerge w:val="restart"/>
            <w:tcBorders>
              <w:bottom w:val="nil"/>
            </w:tcBorders>
            <w:vAlign w:val="top"/>
          </w:tcPr>
          <w:p w14:paraId="591FB08B">
            <w:pPr>
              <w:spacing w:line="258" w:lineRule="auto"/>
              <w:rPr>
                <w:rFonts w:ascii="Arial"/>
                <w:sz w:val="21"/>
              </w:rPr>
            </w:pPr>
          </w:p>
          <w:p w14:paraId="304A0423">
            <w:pPr>
              <w:spacing w:line="258" w:lineRule="auto"/>
              <w:rPr>
                <w:rFonts w:ascii="Arial"/>
                <w:sz w:val="21"/>
              </w:rPr>
            </w:pPr>
          </w:p>
          <w:p w14:paraId="4971C5B3">
            <w:pPr>
              <w:spacing w:line="258" w:lineRule="auto"/>
              <w:rPr>
                <w:rFonts w:ascii="Arial"/>
                <w:sz w:val="21"/>
              </w:rPr>
            </w:pPr>
          </w:p>
          <w:p w14:paraId="492AD667">
            <w:pPr>
              <w:spacing w:line="258" w:lineRule="auto"/>
              <w:rPr>
                <w:rFonts w:ascii="Arial"/>
                <w:sz w:val="21"/>
              </w:rPr>
            </w:pPr>
          </w:p>
          <w:p w14:paraId="6C333D20">
            <w:pPr>
              <w:spacing w:line="258" w:lineRule="auto"/>
              <w:rPr>
                <w:rFonts w:ascii="Arial"/>
                <w:sz w:val="21"/>
              </w:rPr>
            </w:pPr>
          </w:p>
          <w:p w14:paraId="4AB7EFDC">
            <w:pPr>
              <w:spacing w:line="258" w:lineRule="auto"/>
              <w:rPr>
                <w:rFonts w:ascii="Arial"/>
                <w:sz w:val="21"/>
              </w:rPr>
            </w:pPr>
          </w:p>
          <w:p w14:paraId="32BF651E">
            <w:pPr>
              <w:spacing w:line="258" w:lineRule="auto"/>
              <w:rPr>
                <w:rFonts w:ascii="Arial"/>
                <w:sz w:val="21"/>
              </w:rPr>
            </w:pPr>
          </w:p>
          <w:p w14:paraId="01AA5149">
            <w:pPr>
              <w:spacing w:line="258" w:lineRule="auto"/>
              <w:rPr>
                <w:rFonts w:ascii="Arial"/>
                <w:sz w:val="21"/>
              </w:rPr>
            </w:pPr>
          </w:p>
          <w:p w14:paraId="08CD5FEF">
            <w:pPr>
              <w:spacing w:line="258" w:lineRule="auto"/>
              <w:rPr>
                <w:rFonts w:ascii="Arial"/>
                <w:sz w:val="21"/>
              </w:rPr>
            </w:pPr>
          </w:p>
          <w:p w14:paraId="3B5B9917">
            <w:pPr>
              <w:spacing w:line="258" w:lineRule="auto"/>
              <w:rPr>
                <w:rFonts w:ascii="Arial"/>
                <w:sz w:val="21"/>
              </w:rPr>
            </w:pPr>
          </w:p>
          <w:p w14:paraId="03B2D25E">
            <w:pPr>
              <w:spacing w:line="258" w:lineRule="auto"/>
              <w:rPr>
                <w:rFonts w:ascii="Arial"/>
                <w:sz w:val="21"/>
              </w:rPr>
            </w:pPr>
          </w:p>
          <w:p w14:paraId="5B5B41EA">
            <w:pPr>
              <w:spacing w:line="259" w:lineRule="auto"/>
              <w:rPr>
                <w:rFonts w:ascii="Arial"/>
                <w:sz w:val="21"/>
              </w:rPr>
            </w:pPr>
          </w:p>
          <w:p w14:paraId="2DBE6129">
            <w:pPr>
              <w:spacing w:line="259" w:lineRule="auto"/>
              <w:rPr>
                <w:rFonts w:ascii="Arial"/>
                <w:sz w:val="21"/>
              </w:rPr>
            </w:pPr>
          </w:p>
          <w:p w14:paraId="35ADE55D">
            <w:pPr>
              <w:pStyle w:val="6"/>
              <w:spacing w:before="99" w:line="188" w:lineRule="auto"/>
              <w:ind w:left="115" w:right="111" w:firstLine="13"/>
              <w:jc w:val="both"/>
            </w:pPr>
            <w:r>
              <w:rPr>
                <w:spacing w:val="8"/>
              </w:rPr>
              <w:t>生产经营单</w:t>
            </w:r>
            <w:r>
              <w:rPr>
                <w:spacing w:val="11"/>
              </w:rPr>
              <w:t>位未将生产安全事故应急救援预案</w:t>
            </w:r>
            <w:r>
              <w:rPr>
                <w:spacing w:val="6"/>
              </w:rPr>
              <w:t>报送备案的</w:t>
            </w:r>
          </w:p>
        </w:tc>
        <w:tc>
          <w:tcPr>
            <w:tcW w:w="3202" w:type="dxa"/>
            <w:vMerge w:val="restart"/>
            <w:tcBorders>
              <w:bottom w:val="nil"/>
            </w:tcBorders>
            <w:vAlign w:val="top"/>
          </w:tcPr>
          <w:p w14:paraId="52279786">
            <w:pPr>
              <w:pStyle w:val="6"/>
              <w:spacing w:before="43" w:line="182" w:lineRule="auto"/>
              <w:ind w:left="117" w:right="19" w:firstLine="13"/>
            </w:pPr>
            <w:r>
              <w:rPr>
                <w:rFonts w:ascii="宋体" w:hAnsi="宋体" w:eastAsia="宋体" w:cs="宋体"/>
                <w:spacing w:val="14"/>
              </w:rPr>
              <w:t>1.</w:t>
            </w:r>
            <w:r>
              <w:rPr>
                <w:spacing w:val="14"/>
              </w:rPr>
              <w:t>【行政法规】《生产安全</w:t>
            </w:r>
            <w:r>
              <w:rPr>
                <w:spacing w:val="13"/>
              </w:rPr>
              <w:t>事故应急条例》第七条：县</w:t>
            </w:r>
            <w:r>
              <w:rPr>
                <w:spacing w:val="17"/>
              </w:rPr>
              <w:t>级以上人民政府负有安全生产监督管理职责的部门应当将其制定的生产安全事故应急救援预案报送本级人民政</w:t>
            </w:r>
            <w:r>
              <w:rPr>
                <w:spacing w:val="12"/>
              </w:rPr>
              <w:t>府备案；易燃易爆物品、危</w:t>
            </w:r>
            <w:r>
              <w:rPr>
                <w:spacing w:val="39"/>
              </w:rPr>
              <w:t>险化学品等危险物品的生</w:t>
            </w:r>
            <w:r>
              <w:rPr>
                <w:spacing w:val="3"/>
              </w:rPr>
              <w:t>产、经营、储存、运输单位，</w:t>
            </w:r>
            <w:r>
              <w:rPr>
                <w:spacing w:val="17"/>
              </w:rPr>
              <w:t>矿山、金属冶炼、城市轨道</w:t>
            </w:r>
            <w:r>
              <w:rPr>
                <w:spacing w:val="13"/>
              </w:rPr>
              <w:t>交通运营、建筑施工单位，</w:t>
            </w:r>
            <w:r>
              <w:rPr>
                <w:spacing w:val="5"/>
              </w:rPr>
              <w:t>以及宾馆、商场、娱乐场所、</w:t>
            </w:r>
            <w:r>
              <w:rPr>
                <w:spacing w:val="17"/>
              </w:rPr>
              <w:t>旅游景区等人员密集场所经</w:t>
            </w:r>
            <w:r>
              <w:rPr>
                <w:spacing w:val="13"/>
              </w:rPr>
              <w:t>营单位，应当将其制定的生</w:t>
            </w:r>
            <w:r>
              <w:rPr>
                <w:spacing w:val="17"/>
              </w:rPr>
              <w:t>产安全事故应急救援预案按照国家有关规定报送县级以上人民政府负有安全生产监</w:t>
            </w:r>
            <w:r>
              <w:rPr>
                <w:spacing w:val="13"/>
              </w:rPr>
              <w:t>督管理职责的部门备案，并</w:t>
            </w:r>
            <w:r>
              <w:rPr>
                <w:spacing w:val="3"/>
              </w:rPr>
              <w:t>依法向社会公布。</w:t>
            </w:r>
          </w:p>
          <w:p w14:paraId="533F2510">
            <w:pPr>
              <w:pStyle w:val="6"/>
              <w:spacing w:line="180" w:lineRule="auto"/>
              <w:ind w:left="116" w:right="19"/>
            </w:pPr>
            <w:r>
              <w:rPr>
                <w:rFonts w:ascii="宋体" w:hAnsi="宋体" w:eastAsia="宋体" w:cs="宋体"/>
                <w:spacing w:val="15"/>
              </w:rPr>
              <w:t>2.</w:t>
            </w:r>
            <w:r>
              <w:rPr>
                <w:spacing w:val="15"/>
              </w:rPr>
              <w:t>【部门规章】《生产安全</w:t>
            </w:r>
            <w:r>
              <w:rPr>
                <w:spacing w:val="17"/>
              </w:rPr>
              <w:t>事故应急预案管理办法》第</w:t>
            </w:r>
            <w:r>
              <w:rPr>
                <w:spacing w:val="10"/>
              </w:rPr>
              <w:t>二十六条：易燃易爆物品、</w:t>
            </w:r>
            <w:r>
              <w:rPr>
                <w:spacing w:val="17"/>
              </w:rPr>
              <w:t>危险化学品等危险物品的生</w:t>
            </w:r>
            <w:r>
              <w:rPr>
                <w:spacing w:val="3"/>
              </w:rPr>
              <w:t>产、经营、储存、运输单位，</w:t>
            </w:r>
            <w:r>
              <w:rPr>
                <w:spacing w:val="17"/>
              </w:rPr>
              <w:t>矿山、金属冶炼、城市轨道</w:t>
            </w:r>
            <w:r>
              <w:rPr>
                <w:spacing w:val="13"/>
              </w:rPr>
              <w:t>交通运营、建筑施工单位，</w:t>
            </w:r>
            <w:r>
              <w:rPr>
                <w:spacing w:val="5"/>
              </w:rPr>
              <w:t>以及宾馆、商场、娱乐场所、</w:t>
            </w:r>
            <w:r>
              <w:rPr>
                <w:spacing w:val="17"/>
              </w:rPr>
              <w:t>旅游景区等人员密集场所经</w:t>
            </w:r>
          </w:p>
        </w:tc>
        <w:tc>
          <w:tcPr>
            <w:tcW w:w="2859" w:type="dxa"/>
            <w:vMerge w:val="restart"/>
            <w:tcBorders>
              <w:bottom w:val="nil"/>
            </w:tcBorders>
            <w:vAlign w:val="top"/>
          </w:tcPr>
          <w:p w14:paraId="7C79FDB9">
            <w:pPr>
              <w:pStyle w:val="6"/>
              <w:spacing w:before="31" w:line="182" w:lineRule="auto"/>
              <w:ind w:left="117" w:right="110" w:firstLine="13"/>
              <w:jc w:val="both"/>
            </w:pPr>
            <w:r>
              <w:rPr>
                <w:rFonts w:ascii="宋体" w:hAnsi="宋体" w:eastAsia="宋体" w:cs="宋体"/>
                <w:spacing w:val="6"/>
              </w:rPr>
              <w:t>1.</w:t>
            </w:r>
            <w:r>
              <w:rPr>
                <w:spacing w:val="6"/>
              </w:rPr>
              <w:t>【行政法规】《生产安</w:t>
            </w:r>
            <w:r>
              <w:rPr>
                <w:spacing w:val="8"/>
              </w:rPr>
              <w:t>全事故应急条例》第三十</w:t>
            </w:r>
            <w:r>
              <w:rPr>
                <w:spacing w:val="4"/>
              </w:rPr>
              <w:t>二条：生产经营单位未将</w:t>
            </w:r>
          </w:p>
          <w:p w14:paraId="16721BE4">
            <w:pPr>
              <w:pStyle w:val="6"/>
              <w:spacing w:line="182" w:lineRule="auto"/>
              <w:ind w:left="131"/>
              <w:outlineLvl w:val="0"/>
            </w:pPr>
            <w:r>
              <w:rPr>
                <w:spacing w:val="7"/>
              </w:rPr>
              <w:t>生产安全事故应急救援预</w:t>
            </w:r>
          </w:p>
          <w:p w14:paraId="60D6ED6D">
            <w:pPr>
              <w:pStyle w:val="6"/>
              <w:spacing w:before="8" w:line="182" w:lineRule="auto"/>
              <w:ind w:left="116" w:right="107" w:firstLine="7"/>
              <w:jc w:val="both"/>
            </w:pPr>
            <w:r>
              <w:rPr>
                <w:spacing w:val="8"/>
              </w:rPr>
              <w:t>案报送备案、未建立应急值班制度或者配备应急值班人员的，由县级以上人民政府负有安全生产监督管理职责的部门责令限期改正；逾期未改正的，处</w:t>
            </w:r>
            <w:r>
              <w:rPr>
                <w:rFonts w:ascii="宋体" w:hAnsi="宋体" w:eastAsia="宋体" w:cs="宋体"/>
                <w:spacing w:val="6"/>
              </w:rPr>
              <w:t>3</w:t>
            </w:r>
            <w:r>
              <w:rPr>
                <w:spacing w:val="6"/>
              </w:rPr>
              <w:t>万元以上</w:t>
            </w:r>
            <w:r>
              <w:rPr>
                <w:rFonts w:ascii="宋体" w:hAnsi="宋体" w:eastAsia="宋体" w:cs="宋体"/>
                <w:spacing w:val="6"/>
              </w:rPr>
              <w:t>5</w:t>
            </w:r>
            <w:r>
              <w:rPr>
                <w:spacing w:val="6"/>
              </w:rPr>
              <w:t>万元以下的</w:t>
            </w:r>
            <w:r>
              <w:rPr>
                <w:spacing w:val="8"/>
              </w:rPr>
              <w:t>罚款，对直接负责的主管人员和其他直接责任人员</w:t>
            </w:r>
            <w:r>
              <w:t>处</w:t>
            </w:r>
            <w:r>
              <w:rPr>
                <w:rFonts w:ascii="宋体" w:hAnsi="宋体" w:eastAsia="宋体" w:cs="宋体"/>
              </w:rPr>
              <w:t>1</w:t>
            </w:r>
            <w:r>
              <w:t>万元以上</w:t>
            </w:r>
            <w:r>
              <w:rPr>
                <w:rFonts w:ascii="宋体" w:hAnsi="宋体" w:eastAsia="宋体" w:cs="宋体"/>
              </w:rPr>
              <w:t>2</w:t>
            </w:r>
            <w:r>
              <w:t>万元以下</w:t>
            </w:r>
            <w:r>
              <w:rPr>
                <w:spacing w:val="-2"/>
              </w:rPr>
              <w:t>的罚款。</w:t>
            </w:r>
          </w:p>
          <w:p w14:paraId="75A892D1">
            <w:pPr>
              <w:pStyle w:val="6"/>
              <w:spacing w:before="16" w:line="180" w:lineRule="auto"/>
              <w:ind w:left="114" w:right="109" w:firstLine="1"/>
            </w:pPr>
            <w:r>
              <w:rPr>
                <w:rFonts w:ascii="宋体" w:hAnsi="宋体" w:eastAsia="宋体" w:cs="宋体"/>
                <w:spacing w:val="7"/>
              </w:rPr>
              <w:t>2.</w:t>
            </w:r>
            <w:r>
              <w:rPr>
                <w:spacing w:val="7"/>
              </w:rPr>
              <w:t>【部门规章】《生产安</w:t>
            </w:r>
            <w:r>
              <w:rPr>
                <w:spacing w:val="32"/>
              </w:rPr>
              <w:t>全事故应急预案管理办</w:t>
            </w:r>
            <w:r>
              <w:rPr>
                <w:spacing w:val="7"/>
              </w:rPr>
              <w:t>法》第四十五条第二款：</w:t>
            </w:r>
            <w:r>
              <w:rPr>
                <w:spacing w:val="8"/>
              </w:rPr>
              <w:t>生产经营单位未按照规定</w:t>
            </w:r>
            <w:r>
              <w:rPr>
                <w:spacing w:val="-1"/>
              </w:rPr>
              <w:t>进行应急预案备案的，由</w:t>
            </w:r>
            <w:r>
              <w:rPr>
                <w:spacing w:val="8"/>
              </w:rPr>
              <w:t>县级以上人民政府应急管理等部门依照职责责令限</w:t>
            </w:r>
            <w:r>
              <w:t>期改正；逾期未改正的，</w:t>
            </w:r>
            <w:r>
              <w:rPr>
                <w:spacing w:val="1"/>
              </w:rPr>
              <w:t>处</w:t>
            </w:r>
            <w:r>
              <w:rPr>
                <w:rFonts w:ascii="宋体" w:hAnsi="宋体" w:eastAsia="宋体" w:cs="宋体"/>
                <w:spacing w:val="1"/>
              </w:rPr>
              <w:t>3</w:t>
            </w:r>
            <w:r>
              <w:rPr>
                <w:spacing w:val="1"/>
              </w:rPr>
              <w:t>万元以上</w:t>
            </w:r>
            <w:r>
              <w:rPr>
                <w:rFonts w:ascii="宋体" w:hAnsi="宋体" w:eastAsia="宋体" w:cs="宋体"/>
                <w:spacing w:val="1"/>
              </w:rPr>
              <w:t>5</w:t>
            </w:r>
            <w:r>
              <w:rPr>
                <w:spacing w:val="1"/>
              </w:rPr>
              <w:t>万元以下</w:t>
            </w:r>
            <w:r>
              <w:rPr>
                <w:spacing w:val="4"/>
              </w:rPr>
              <w:t>的罚款，对直接负责的主</w:t>
            </w:r>
            <w:r>
              <w:rPr>
                <w:spacing w:val="8"/>
              </w:rPr>
              <w:t>管人员和其他直接责任人</w:t>
            </w:r>
            <w:r>
              <w:t>员处</w:t>
            </w:r>
            <w:r>
              <w:rPr>
                <w:rFonts w:ascii="宋体" w:hAnsi="宋体" w:eastAsia="宋体" w:cs="宋体"/>
              </w:rPr>
              <w:t>1</w:t>
            </w:r>
            <w:r>
              <w:t>万元以上</w:t>
            </w:r>
            <w:r>
              <w:rPr>
                <w:rFonts w:ascii="宋体" w:hAnsi="宋体" w:eastAsia="宋体" w:cs="宋体"/>
              </w:rPr>
              <w:t>2</w:t>
            </w:r>
            <w:r>
              <w:t>万元以下的罚款。</w:t>
            </w:r>
          </w:p>
        </w:tc>
        <w:tc>
          <w:tcPr>
            <w:tcW w:w="803" w:type="dxa"/>
            <w:vAlign w:val="top"/>
          </w:tcPr>
          <w:p w14:paraId="1C694FCF">
            <w:pPr>
              <w:spacing w:line="318" w:lineRule="auto"/>
              <w:rPr>
                <w:rFonts w:ascii="Arial"/>
                <w:sz w:val="21"/>
              </w:rPr>
            </w:pPr>
          </w:p>
          <w:p w14:paraId="52263AE7">
            <w:pPr>
              <w:spacing w:line="318" w:lineRule="auto"/>
              <w:rPr>
                <w:rFonts w:ascii="Arial"/>
                <w:sz w:val="21"/>
              </w:rPr>
            </w:pPr>
          </w:p>
          <w:p w14:paraId="0C632B4F">
            <w:pPr>
              <w:spacing w:line="318" w:lineRule="auto"/>
              <w:rPr>
                <w:rFonts w:ascii="Arial"/>
                <w:sz w:val="21"/>
              </w:rPr>
            </w:pPr>
          </w:p>
          <w:p w14:paraId="246F2D51">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BF20C40">
            <w:pPr>
              <w:spacing w:line="246" w:lineRule="auto"/>
              <w:rPr>
                <w:rFonts w:ascii="Arial"/>
                <w:sz w:val="21"/>
              </w:rPr>
            </w:pPr>
          </w:p>
          <w:p w14:paraId="5E72E9C2">
            <w:pPr>
              <w:spacing w:line="247" w:lineRule="auto"/>
              <w:rPr>
                <w:rFonts w:ascii="Arial"/>
                <w:sz w:val="21"/>
              </w:rPr>
            </w:pPr>
          </w:p>
          <w:p w14:paraId="5496C1AE">
            <w:pPr>
              <w:spacing w:line="247" w:lineRule="auto"/>
              <w:rPr>
                <w:rFonts w:ascii="Arial"/>
                <w:sz w:val="21"/>
              </w:rPr>
            </w:pPr>
          </w:p>
          <w:p w14:paraId="03CA77CB">
            <w:pPr>
              <w:pStyle w:val="6"/>
              <w:spacing w:before="99" w:line="196" w:lineRule="auto"/>
              <w:ind w:left="145" w:right="105" w:hanging="28"/>
            </w:pPr>
            <w:r>
              <w:rPr>
                <w:spacing w:val="-2"/>
              </w:rPr>
              <w:t>超出规定时限</w:t>
            </w:r>
            <w:r>
              <w:rPr>
                <w:rFonts w:ascii="宋体" w:hAnsi="宋体" w:eastAsia="宋体" w:cs="宋体"/>
                <w:spacing w:val="-2"/>
              </w:rPr>
              <w:t>10</w:t>
            </w:r>
            <w:r>
              <w:rPr>
                <w:spacing w:val="-2"/>
              </w:rPr>
              <w:t>日</w:t>
            </w:r>
            <w:r>
              <w:rPr>
                <w:spacing w:val="2"/>
              </w:rPr>
              <w:t>以内未备案的</w:t>
            </w:r>
          </w:p>
        </w:tc>
        <w:tc>
          <w:tcPr>
            <w:tcW w:w="2894" w:type="dxa"/>
            <w:vAlign w:val="top"/>
          </w:tcPr>
          <w:p w14:paraId="31E2712D">
            <w:pPr>
              <w:pStyle w:val="6"/>
              <w:spacing w:before="243" w:line="187" w:lineRule="auto"/>
              <w:ind w:left="118" w:right="104" w:firstLine="9"/>
              <w:jc w:val="both"/>
            </w:pPr>
            <w:r>
              <w:rPr>
                <w:spacing w:val="8"/>
              </w:rPr>
              <w:t>责令限期改正；逾期未改</w:t>
            </w:r>
            <w:r>
              <w:rPr>
                <w:spacing w:val="5"/>
              </w:rPr>
              <w:t>正的，处</w:t>
            </w:r>
            <w:r>
              <w:rPr>
                <w:rFonts w:ascii="宋体" w:hAnsi="宋体" w:eastAsia="宋体" w:cs="宋体"/>
                <w:spacing w:val="5"/>
              </w:rPr>
              <w:t>3</w:t>
            </w:r>
            <w:r>
              <w:rPr>
                <w:spacing w:val="5"/>
              </w:rPr>
              <w:t>万元以上</w:t>
            </w:r>
            <w:r>
              <w:rPr>
                <w:rFonts w:ascii="宋体" w:hAnsi="宋体" w:eastAsia="宋体" w:cs="宋体"/>
                <w:spacing w:val="5"/>
              </w:rPr>
              <w:t>3.5</w:t>
            </w:r>
            <w:r>
              <w:rPr>
                <w:spacing w:val="8"/>
              </w:rPr>
              <w:t>万元以下的罚款，对直接</w:t>
            </w:r>
            <w:r>
              <w:rPr>
                <w:spacing w:val="11"/>
              </w:rPr>
              <w:t>负责的主管人员和其他直</w:t>
            </w:r>
            <w:r>
              <w:rPr>
                <w:spacing w:val="3"/>
              </w:rPr>
              <w:t>接责任人员处</w:t>
            </w:r>
            <w:r>
              <w:rPr>
                <w:rFonts w:ascii="宋体" w:hAnsi="宋体" w:eastAsia="宋体" w:cs="宋体"/>
                <w:spacing w:val="3"/>
              </w:rPr>
              <w:t>1</w:t>
            </w:r>
            <w:r>
              <w:rPr>
                <w:spacing w:val="3"/>
              </w:rPr>
              <w:t>万元以上</w:t>
            </w:r>
            <w:r>
              <w:rPr>
                <w:rFonts w:ascii="宋体" w:hAnsi="宋体" w:eastAsia="宋体" w:cs="宋体"/>
                <w:spacing w:val="4"/>
              </w:rPr>
              <w:t>2</w:t>
            </w:r>
            <w:r>
              <w:rPr>
                <w:spacing w:val="4"/>
              </w:rPr>
              <w:t>万元以下的罚款</w:t>
            </w:r>
          </w:p>
        </w:tc>
        <w:tc>
          <w:tcPr>
            <w:tcW w:w="811" w:type="dxa"/>
            <w:vMerge w:val="restart"/>
            <w:tcBorders>
              <w:bottom w:val="nil"/>
            </w:tcBorders>
            <w:vAlign w:val="top"/>
          </w:tcPr>
          <w:p w14:paraId="2E39D23F">
            <w:pPr>
              <w:spacing w:line="251" w:lineRule="auto"/>
              <w:rPr>
                <w:rFonts w:ascii="Arial"/>
                <w:sz w:val="21"/>
              </w:rPr>
            </w:pPr>
          </w:p>
          <w:p w14:paraId="14EA1DB3">
            <w:pPr>
              <w:spacing w:line="251" w:lineRule="auto"/>
              <w:rPr>
                <w:rFonts w:ascii="Arial"/>
                <w:sz w:val="21"/>
              </w:rPr>
            </w:pPr>
          </w:p>
          <w:p w14:paraId="191FF6D6">
            <w:pPr>
              <w:spacing w:line="251" w:lineRule="auto"/>
              <w:rPr>
                <w:rFonts w:ascii="Arial"/>
                <w:sz w:val="21"/>
              </w:rPr>
            </w:pPr>
          </w:p>
          <w:p w14:paraId="6F00E410">
            <w:pPr>
              <w:spacing w:line="251" w:lineRule="auto"/>
              <w:rPr>
                <w:rFonts w:ascii="Arial"/>
                <w:sz w:val="21"/>
              </w:rPr>
            </w:pPr>
          </w:p>
          <w:p w14:paraId="52E37A97">
            <w:pPr>
              <w:spacing w:line="251" w:lineRule="auto"/>
              <w:rPr>
                <w:rFonts w:ascii="Arial"/>
                <w:sz w:val="21"/>
              </w:rPr>
            </w:pPr>
          </w:p>
          <w:p w14:paraId="27B4162D">
            <w:pPr>
              <w:spacing w:line="251" w:lineRule="auto"/>
              <w:rPr>
                <w:rFonts w:ascii="Arial"/>
                <w:sz w:val="21"/>
              </w:rPr>
            </w:pPr>
          </w:p>
          <w:p w14:paraId="493CF6FC">
            <w:pPr>
              <w:spacing w:line="251" w:lineRule="auto"/>
              <w:rPr>
                <w:rFonts w:ascii="Arial"/>
                <w:sz w:val="21"/>
              </w:rPr>
            </w:pPr>
          </w:p>
          <w:p w14:paraId="7B250A50">
            <w:pPr>
              <w:spacing w:line="251" w:lineRule="auto"/>
              <w:rPr>
                <w:rFonts w:ascii="Arial"/>
                <w:sz w:val="21"/>
              </w:rPr>
            </w:pPr>
          </w:p>
          <w:p w14:paraId="0373E84A">
            <w:pPr>
              <w:spacing w:line="251" w:lineRule="auto"/>
              <w:rPr>
                <w:rFonts w:ascii="Arial"/>
                <w:sz w:val="21"/>
              </w:rPr>
            </w:pPr>
          </w:p>
          <w:p w14:paraId="71AE12EC">
            <w:pPr>
              <w:spacing w:line="252" w:lineRule="auto"/>
              <w:rPr>
                <w:rFonts w:ascii="Arial"/>
                <w:sz w:val="21"/>
              </w:rPr>
            </w:pPr>
          </w:p>
          <w:p w14:paraId="1FC526F0">
            <w:pPr>
              <w:spacing w:line="252" w:lineRule="auto"/>
              <w:rPr>
                <w:rFonts w:ascii="Arial"/>
                <w:sz w:val="21"/>
              </w:rPr>
            </w:pPr>
          </w:p>
          <w:p w14:paraId="217D580E">
            <w:pPr>
              <w:spacing w:line="252" w:lineRule="auto"/>
              <w:rPr>
                <w:rFonts w:ascii="Arial"/>
                <w:sz w:val="21"/>
              </w:rPr>
            </w:pPr>
          </w:p>
          <w:p w14:paraId="58E4DE45">
            <w:pPr>
              <w:spacing w:line="252" w:lineRule="auto"/>
              <w:rPr>
                <w:rFonts w:ascii="Arial"/>
                <w:sz w:val="21"/>
              </w:rPr>
            </w:pPr>
          </w:p>
          <w:p w14:paraId="14B846A0">
            <w:pPr>
              <w:spacing w:line="252" w:lineRule="auto"/>
              <w:rPr>
                <w:rFonts w:ascii="Arial"/>
                <w:sz w:val="21"/>
              </w:rPr>
            </w:pPr>
          </w:p>
          <w:p w14:paraId="57EA69FB">
            <w:pPr>
              <w:spacing w:line="252" w:lineRule="auto"/>
              <w:rPr>
                <w:rFonts w:ascii="Arial"/>
                <w:sz w:val="21"/>
              </w:rPr>
            </w:pPr>
          </w:p>
          <w:p w14:paraId="18062707">
            <w:pPr>
              <w:spacing w:line="252" w:lineRule="auto"/>
              <w:rPr>
                <w:rFonts w:ascii="Arial"/>
                <w:sz w:val="21"/>
              </w:rPr>
            </w:pPr>
          </w:p>
          <w:p w14:paraId="303FF97F">
            <w:pPr>
              <w:spacing w:before="74" w:line="189" w:lineRule="auto"/>
              <w:ind w:left="295"/>
              <w:rPr>
                <w:rFonts w:ascii="宋体" w:hAnsi="宋体" w:eastAsia="宋体" w:cs="宋体"/>
                <w:sz w:val="23"/>
                <w:szCs w:val="23"/>
              </w:rPr>
            </w:pPr>
            <w:r>
              <w:rPr>
                <w:rFonts w:ascii="宋体" w:hAnsi="宋体" w:eastAsia="宋体" w:cs="宋体"/>
                <w:spacing w:val="-4"/>
                <w:sz w:val="23"/>
                <w:szCs w:val="23"/>
              </w:rPr>
              <w:t>51</w:t>
            </w:r>
          </w:p>
        </w:tc>
      </w:tr>
      <w:tr w14:paraId="1CD84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5" w:hRule="atLeast"/>
        </w:trPr>
        <w:tc>
          <w:tcPr>
            <w:tcW w:w="818" w:type="dxa"/>
            <w:vMerge w:val="continue"/>
            <w:tcBorders>
              <w:top w:val="nil"/>
              <w:bottom w:val="nil"/>
            </w:tcBorders>
            <w:vAlign w:val="top"/>
          </w:tcPr>
          <w:p w14:paraId="7651F068">
            <w:pPr>
              <w:rPr>
                <w:rFonts w:ascii="Arial"/>
                <w:sz w:val="21"/>
              </w:rPr>
            </w:pPr>
          </w:p>
        </w:tc>
        <w:tc>
          <w:tcPr>
            <w:tcW w:w="1440" w:type="dxa"/>
            <w:vMerge w:val="continue"/>
            <w:tcBorders>
              <w:top w:val="nil"/>
              <w:bottom w:val="nil"/>
            </w:tcBorders>
            <w:vAlign w:val="top"/>
          </w:tcPr>
          <w:p w14:paraId="52505593">
            <w:pPr>
              <w:rPr>
                <w:rFonts w:ascii="Arial"/>
                <w:sz w:val="21"/>
              </w:rPr>
            </w:pPr>
          </w:p>
        </w:tc>
        <w:tc>
          <w:tcPr>
            <w:tcW w:w="3202" w:type="dxa"/>
            <w:vMerge w:val="continue"/>
            <w:tcBorders>
              <w:top w:val="nil"/>
              <w:bottom w:val="nil"/>
            </w:tcBorders>
            <w:vAlign w:val="top"/>
          </w:tcPr>
          <w:p w14:paraId="40761933">
            <w:pPr>
              <w:rPr>
                <w:rFonts w:ascii="Arial"/>
                <w:sz w:val="21"/>
              </w:rPr>
            </w:pPr>
          </w:p>
        </w:tc>
        <w:tc>
          <w:tcPr>
            <w:tcW w:w="2859" w:type="dxa"/>
            <w:vMerge w:val="continue"/>
            <w:tcBorders>
              <w:top w:val="nil"/>
              <w:bottom w:val="nil"/>
            </w:tcBorders>
            <w:vAlign w:val="top"/>
          </w:tcPr>
          <w:p w14:paraId="5BB80321">
            <w:pPr>
              <w:rPr>
                <w:rFonts w:ascii="Arial"/>
                <w:sz w:val="21"/>
              </w:rPr>
            </w:pPr>
          </w:p>
        </w:tc>
        <w:tc>
          <w:tcPr>
            <w:tcW w:w="803" w:type="dxa"/>
            <w:vAlign w:val="top"/>
          </w:tcPr>
          <w:p w14:paraId="15014C34">
            <w:pPr>
              <w:spacing w:line="249" w:lineRule="auto"/>
              <w:rPr>
                <w:rFonts w:ascii="Arial"/>
                <w:sz w:val="21"/>
              </w:rPr>
            </w:pPr>
          </w:p>
          <w:p w14:paraId="60F29584">
            <w:pPr>
              <w:spacing w:line="250" w:lineRule="auto"/>
              <w:rPr>
                <w:rFonts w:ascii="Arial"/>
                <w:sz w:val="21"/>
              </w:rPr>
            </w:pPr>
          </w:p>
          <w:p w14:paraId="2B1817CF">
            <w:pPr>
              <w:spacing w:line="250" w:lineRule="auto"/>
              <w:rPr>
                <w:rFonts w:ascii="Arial"/>
                <w:sz w:val="21"/>
              </w:rPr>
            </w:pPr>
          </w:p>
          <w:p w14:paraId="71D539AA">
            <w:pPr>
              <w:spacing w:line="250" w:lineRule="auto"/>
              <w:rPr>
                <w:rFonts w:ascii="Arial"/>
                <w:sz w:val="21"/>
              </w:rPr>
            </w:pPr>
          </w:p>
          <w:p w14:paraId="0132FC55">
            <w:pPr>
              <w:spacing w:line="250" w:lineRule="auto"/>
              <w:rPr>
                <w:rFonts w:ascii="Arial"/>
                <w:sz w:val="21"/>
              </w:rPr>
            </w:pPr>
          </w:p>
          <w:p w14:paraId="15A40A0C">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2F19F92">
            <w:pPr>
              <w:spacing w:line="294" w:lineRule="auto"/>
              <w:rPr>
                <w:rFonts w:ascii="Arial"/>
                <w:sz w:val="21"/>
              </w:rPr>
            </w:pPr>
          </w:p>
          <w:p w14:paraId="34BA4881">
            <w:pPr>
              <w:spacing w:line="295" w:lineRule="auto"/>
              <w:rPr>
                <w:rFonts w:ascii="Arial"/>
                <w:sz w:val="21"/>
              </w:rPr>
            </w:pPr>
          </w:p>
          <w:p w14:paraId="1F231BC2">
            <w:pPr>
              <w:spacing w:line="295" w:lineRule="auto"/>
              <w:rPr>
                <w:rFonts w:ascii="Arial"/>
                <w:sz w:val="21"/>
              </w:rPr>
            </w:pPr>
          </w:p>
          <w:p w14:paraId="0DA3A9FD">
            <w:pPr>
              <w:pStyle w:val="6"/>
              <w:spacing w:before="98" w:line="191" w:lineRule="auto"/>
              <w:ind w:left="123" w:right="105" w:hanging="6"/>
              <w:jc w:val="both"/>
            </w:pPr>
            <w:r>
              <w:rPr>
                <w:spacing w:val="-2"/>
              </w:rPr>
              <w:t>超出规定时限</w:t>
            </w:r>
            <w:r>
              <w:rPr>
                <w:rFonts w:ascii="宋体" w:hAnsi="宋体" w:eastAsia="宋体" w:cs="宋体"/>
                <w:spacing w:val="-2"/>
              </w:rPr>
              <w:t>10</w:t>
            </w:r>
            <w:r>
              <w:rPr>
                <w:spacing w:val="-2"/>
              </w:rPr>
              <w:t>日</w:t>
            </w:r>
            <w:r>
              <w:t>以上</w:t>
            </w:r>
            <w:r>
              <w:rPr>
                <w:rFonts w:ascii="宋体" w:hAnsi="宋体" w:eastAsia="宋体" w:cs="宋体"/>
              </w:rPr>
              <w:t>20</w:t>
            </w:r>
            <w:r>
              <w:t>日以内未备</w:t>
            </w:r>
            <w:r>
              <w:rPr>
                <w:spacing w:val="-1"/>
              </w:rPr>
              <w:t>案的</w:t>
            </w:r>
          </w:p>
        </w:tc>
        <w:tc>
          <w:tcPr>
            <w:tcW w:w="2894" w:type="dxa"/>
            <w:vAlign w:val="top"/>
          </w:tcPr>
          <w:p w14:paraId="08018EB0">
            <w:pPr>
              <w:spacing w:line="432" w:lineRule="auto"/>
              <w:rPr>
                <w:rFonts w:ascii="Arial"/>
                <w:sz w:val="21"/>
              </w:rPr>
            </w:pPr>
          </w:p>
          <w:p w14:paraId="352B9FBB">
            <w:pPr>
              <w:pStyle w:val="6"/>
              <w:spacing w:before="99" w:line="187" w:lineRule="auto"/>
              <w:ind w:left="118" w:right="104" w:firstLine="9"/>
              <w:jc w:val="both"/>
            </w:pPr>
            <w:r>
              <w:rPr>
                <w:spacing w:val="8"/>
              </w:rPr>
              <w:t>责令限期改正；逾期未改</w:t>
            </w:r>
            <w:r>
              <w:rPr>
                <w:spacing w:val="5"/>
              </w:rPr>
              <w:t>正的，处</w:t>
            </w:r>
            <w:r>
              <w:rPr>
                <w:rFonts w:ascii="宋体" w:hAnsi="宋体" w:eastAsia="宋体" w:cs="宋体"/>
                <w:spacing w:val="5"/>
              </w:rPr>
              <w:t>3.5</w:t>
            </w:r>
            <w:r>
              <w:rPr>
                <w:spacing w:val="5"/>
              </w:rPr>
              <w:t>万元以上</w:t>
            </w:r>
            <w:r>
              <w:rPr>
                <w:rFonts w:ascii="宋体" w:hAnsi="宋体" w:eastAsia="宋体" w:cs="宋体"/>
                <w:spacing w:val="5"/>
              </w:rPr>
              <w:t>4</w:t>
            </w:r>
            <w:r>
              <w:rPr>
                <w:spacing w:val="8"/>
              </w:rPr>
              <w:t>万元以下的罚款，对直接</w:t>
            </w:r>
            <w:r>
              <w:rPr>
                <w:spacing w:val="11"/>
              </w:rPr>
              <w:t>负责的主管人员和其他直</w:t>
            </w:r>
            <w:r>
              <w:rPr>
                <w:spacing w:val="3"/>
              </w:rPr>
              <w:t>接责任人员处</w:t>
            </w:r>
            <w:r>
              <w:rPr>
                <w:rFonts w:ascii="宋体" w:hAnsi="宋体" w:eastAsia="宋体" w:cs="宋体"/>
                <w:spacing w:val="3"/>
              </w:rPr>
              <w:t>1</w:t>
            </w:r>
            <w:r>
              <w:rPr>
                <w:spacing w:val="3"/>
              </w:rPr>
              <w:t>万元以上</w:t>
            </w:r>
            <w:r>
              <w:rPr>
                <w:rFonts w:ascii="宋体" w:hAnsi="宋体" w:eastAsia="宋体" w:cs="宋体"/>
                <w:spacing w:val="4"/>
              </w:rPr>
              <w:t>2</w:t>
            </w:r>
            <w:r>
              <w:rPr>
                <w:spacing w:val="4"/>
              </w:rPr>
              <w:t>万元以下的罚款</w:t>
            </w:r>
          </w:p>
        </w:tc>
        <w:tc>
          <w:tcPr>
            <w:tcW w:w="811" w:type="dxa"/>
            <w:vMerge w:val="continue"/>
            <w:tcBorders>
              <w:top w:val="nil"/>
              <w:bottom w:val="nil"/>
            </w:tcBorders>
            <w:vAlign w:val="top"/>
          </w:tcPr>
          <w:p w14:paraId="3F8CF9FE">
            <w:pPr>
              <w:rPr>
                <w:rFonts w:ascii="Arial"/>
                <w:sz w:val="21"/>
              </w:rPr>
            </w:pPr>
          </w:p>
        </w:tc>
      </w:tr>
      <w:tr w14:paraId="3E6FB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4" w:hRule="atLeast"/>
        </w:trPr>
        <w:tc>
          <w:tcPr>
            <w:tcW w:w="818" w:type="dxa"/>
            <w:vMerge w:val="continue"/>
            <w:tcBorders>
              <w:top w:val="nil"/>
            </w:tcBorders>
            <w:vAlign w:val="top"/>
          </w:tcPr>
          <w:p w14:paraId="046EF7B4">
            <w:pPr>
              <w:rPr>
                <w:rFonts w:ascii="Arial"/>
                <w:sz w:val="21"/>
              </w:rPr>
            </w:pPr>
          </w:p>
        </w:tc>
        <w:tc>
          <w:tcPr>
            <w:tcW w:w="1440" w:type="dxa"/>
            <w:vMerge w:val="continue"/>
            <w:tcBorders>
              <w:top w:val="nil"/>
            </w:tcBorders>
            <w:vAlign w:val="top"/>
          </w:tcPr>
          <w:p w14:paraId="24C64511">
            <w:pPr>
              <w:rPr>
                <w:rFonts w:ascii="Arial"/>
                <w:sz w:val="21"/>
              </w:rPr>
            </w:pPr>
          </w:p>
        </w:tc>
        <w:tc>
          <w:tcPr>
            <w:tcW w:w="3202" w:type="dxa"/>
            <w:vMerge w:val="continue"/>
            <w:tcBorders>
              <w:top w:val="nil"/>
            </w:tcBorders>
            <w:vAlign w:val="top"/>
          </w:tcPr>
          <w:p w14:paraId="2F964B9A">
            <w:pPr>
              <w:rPr>
                <w:rFonts w:ascii="Arial"/>
                <w:sz w:val="21"/>
              </w:rPr>
            </w:pPr>
          </w:p>
        </w:tc>
        <w:tc>
          <w:tcPr>
            <w:tcW w:w="2859" w:type="dxa"/>
            <w:vMerge w:val="continue"/>
            <w:tcBorders>
              <w:top w:val="nil"/>
            </w:tcBorders>
            <w:vAlign w:val="top"/>
          </w:tcPr>
          <w:p w14:paraId="31888DC8">
            <w:pPr>
              <w:rPr>
                <w:rFonts w:ascii="Arial"/>
                <w:sz w:val="21"/>
              </w:rPr>
            </w:pPr>
          </w:p>
        </w:tc>
        <w:tc>
          <w:tcPr>
            <w:tcW w:w="803" w:type="dxa"/>
            <w:vAlign w:val="top"/>
          </w:tcPr>
          <w:p w14:paraId="1A012E10">
            <w:pPr>
              <w:spacing w:line="251" w:lineRule="auto"/>
              <w:rPr>
                <w:rFonts w:ascii="Arial"/>
                <w:sz w:val="21"/>
              </w:rPr>
            </w:pPr>
          </w:p>
          <w:p w14:paraId="6151BF11">
            <w:pPr>
              <w:spacing w:line="251" w:lineRule="auto"/>
              <w:rPr>
                <w:rFonts w:ascii="Arial"/>
                <w:sz w:val="21"/>
              </w:rPr>
            </w:pPr>
          </w:p>
          <w:p w14:paraId="553477D0">
            <w:pPr>
              <w:spacing w:line="252" w:lineRule="auto"/>
              <w:rPr>
                <w:rFonts w:ascii="Arial"/>
                <w:sz w:val="21"/>
              </w:rPr>
            </w:pPr>
          </w:p>
          <w:p w14:paraId="42D13AB9">
            <w:pPr>
              <w:spacing w:line="252" w:lineRule="auto"/>
              <w:rPr>
                <w:rFonts w:ascii="Arial"/>
                <w:sz w:val="21"/>
              </w:rPr>
            </w:pPr>
          </w:p>
          <w:p w14:paraId="0EA417C3">
            <w:pPr>
              <w:spacing w:line="252" w:lineRule="auto"/>
              <w:rPr>
                <w:rFonts w:ascii="Arial"/>
                <w:sz w:val="21"/>
              </w:rPr>
            </w:pPr>
          </w:p>
          <w:p w14:paraId="1AE248AF">
            <w:pPr>
              <w:spacing w:line="252" w:lineRule="auto"/>
              <w:rPr>
                <w:rFonts w:ascii="Arial"/>
                <w:sz w:val="21"/>
              </w:rPr>
            </w:pPr>
          </w:p>
          <w:p w14:paraId="7D1ABAC4">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0389E2A">
            <w:pPr>
              <w:spacing w:line="258" w:lineRule="auto"/>
              <w:rPr>
                <w:rFonts w:ascii="Arial"/>
                <w:sz w:val="21"/>
              </w:rPr>
            </w:pPr>
          </w:p>
          <w:p w14:paraId="3C686A4D">
            <w:pPr>
              <w:spacing w:line="259" w:lineRule="auto"/>
              <w:rPr>
                <w:rFonts w:ascii="Arial"/>
                <w:sz w:val="21"/>
              </w:rPr>
            </w:pPr>
          </w:p>
          <w:p w14:paraId="587D1C51">
            <w:pPr>
              <w:spacing w:line="259" w:lineRule="auto"/>
              <w:rPr>
                <w:rFonts w:ascii="Arial"/>
                <w:sz w:val="21"/>
              </w:rPr>
            </w:pPr>
          </w:p>
          <w:p w14:paraId="62901FBC">
            <w:pPr>
              <w:spacing w:line="259" w:lineRule="auto"/>
              <w:rPr>
                <w:rFonts w:ascii="Arial"/>
                <w:sz w:val="21"/>
              </w:rPr>
            </w:pPr>
          </w:p>
          <w:p w14:paraId="74627A12">
            <w:pPr>
              <w:spacing w:line="259" w:lineRule="auto"/>
              <w:rPr>
                <w:rFonts w:ascii="Arial"/>
                <w:sz w:val="21"/>
              </w:rPr>
            </w:pPr>
          </w:p>
          <w:p w14:paraId="7F89E9FC">
            <w:pPr>
              <w:pStyle w:val="6"/>
              <w:spacing w:before="98" w:line="196" w:lineRule="auto"/>
              <w:ind w:left="145" w:right="105" w:hanging="28"/>
            </w:pPr>
            <w:r>
              <w:rPr>
                <w:spacing w:val="1"/>
              </w:rPr>
              <w:t>超出规定时限</w:t>
            </w:r>
            <w:r>
              <w:rPr>
                <w:rFonts w:ascii="宋体" w:hAnsi="宋体" w:eastAsia="宋体" w:cs="宋体"/>
                <w:spacing w:val="1"/>
              </w:rPr>
              <w:t>20</w:t>
            </w:r>
            <w:r>
              <w:rPr>
                <w:spacing w:val="1"/>
              </w:rPr>
              <w:t>日</w:t>
            </w:r>
            <w:r>
              <w:rPr>
                <w:spacing w:val="2"/>
              </w:rPr>
              <w:t>以上未备案的</w:t>
            </w:r>
          </w:p>
        </w:tc>
        <w:tc>
          <w:tcPr>
            <w:tcW w:w="2894" w:type="dxa"/>
            <w:vAlign w:val="top"/>
          </w:tcPr>
          <w:p w14:paraId="683603AD">
            <w:pPr>
              <w:spacing w:line="348" w:lineRule="auto"/>
              <w:rPr>
                <w:rFonts w:ascii="Arial"/>
                <w:sz w:val="21"/>
              </w:rPr>
            </w:pPr>
          </w:p>
          <w:p w14:paraId="7F462F28">
            <w:pPr>
              <w:spacing w:line="349" w:lineRule="auto"/>
              <w:rPr>
                <w:rFonts w:ascii="Arial"/>
                <w:sz w:val="21"/>
              </w:rPr>
            </w:pPr>
          </w:p>
          <w:p w14:paraId="06F01791">
            <w:pPr>
              <w:pStyle w:val="6"/>
              <w:spacing w:before="99" w:line="187" w:lineRule="auto"/>
              <w:ind w:left="124" w:right="104" w:firstLine="2"/>
              <w:jc w:val="both"/>
            </w:pPr>
            <w:r>
              <w:rPr>
                <w:spacing w:val="8"/>
              </w:rPr>
              <w:t>责令限期改正；逾期未改</w:t>
            </w:r>
            <w:r>
              <w:rPr>
                <w:spacing w:val="1"/>
              </w:rPr>
              <w:t>正的，处</w:t>
            </w:r>
            <w:r>
              <w:rPr>
                <w:rFonts w:ascii="宋体" w:hAnsi="宋体" w:eastAsia="宋体" w:cs="宋体"/>
                <w:spacing w:val="1"/>
              </w:rPr>
              <w:t>4</w:t>
            </w:r>
            <w:r>
              <w:rPr>
                <w:spacing w:val="1"/>
              </w:rPr>
              <w:t>万元以上</w:t>
            </w:r>
            <w:r>
              <w:rPr>
                <w:rFonts w:ascii="宋体" w:hAnsi="宋体" w:eastAsia="宋体" w:cs="宋体"/>
                <w:spacing w:val="1"/>
              </w:rPr>
              <w:t>5</w:t>
            </w:r>
            <w:r>
              <w:rPr>
                <w:spacing w:val="1"/>
              </w:rPr>
              <w:t>万</w:t>
            </w:r>
            <w:r>
              <w:rPr>
                <w:spacing w:val="8"/>
              </w:rPr>
              <w:t>元以下的罚款，对直接负</w:t>
            </w:r>
            <w:r>
              <w:rPr>
                <w:spacing w:val="11"/>
              </w:rPr>
              <w:t>责的主管人员和其他直接</w:t>
            </w:r>
            <w:r>
              <w:rPr>
                <w:spacing w:val="7"/>
              </w:rPr>
              <w:t>责任人员处</w:t>
            </w:r>
            <w:r>
              <w:rPr>
                <w:rFonts w:ascii="宋体" w:hAnsi="宋体" w:eastAsia="宋体" w:cs="宋体"/>
                <w:spacing w:val="7"/>
              </w:rPr>
              <w:t>1</w:t>
            </w:r>
            <w:r>
              <w:rPr>
                <w:spacing w:val="7"/>
              </w:rPr>
              <w:t>万元以上</w:t>
            </w:r>
            <w:r>
              <w:rPr>
                <w:rFonts w:ascii="宋体" w:hAnsi="宋体" w:eastAsia="宋体" w:cs="宋体"/>
                <w:spacing w:val="7"/>
              </w:rPr>
              <w:t>2</w:t>
            </w:r>
            <w:r>
              <w:rPr>
                <w:spacing w:val="6"/>
              </w:rPr>
              <w:t>万元以下的罚款</w:t>
            </w:r>
          </w:p>
        </w:tc>
        <w:tc>
          <w:tcPr>
            <w:tcW w:w="811" w:type="dxa"/>
            <w:vMerge w:val="continue"/>
            <w:tcBorders>
              <w:top w:val="nil"/>
            </w:tcBorders>
            <w:vAlign w:val="top"/>
          </w:tcPr>
          <w:p w14:paraId="023373DE">
            <w:pPr>
              <w:rPr>
                <w:rFonts w:ascii="Arial"/>
                <w:sz w:val="21"/>
              </w:rPr>
            </w:pPr>
          </w:p>
        </w:tc>
      </w:tr>
    </w:tbl>
    <w:p w14:paraId="5FB1CAFD">
      <w:pPr>
        <w:pStyle w:val="2"/>
      </w:pPr>
    </w:p>
    <w:p w14:paraId="265A6F87">
      <w:pPr>
        <w:sectPr>
          <w:footerReference r:id="rId88" w:type="default"/>
          <w:pgSz w:w="16839" w:h="11906"/>
          <w:pgMar w:top="1012" w:right="821" w:bottom="666" w:left="901" w:header="0" w:footer="388" w:gutter="0"/>
          <w:cols w:space="720" w:num="1"/>
        </w:sectPr>
      </w:pPr>
    </w:p>
    <w:p w14:paraId="23CBA182">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62D90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A1EE033">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241576CF">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265D59E">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A70D21A">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45C0776">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1EA2287">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1A25D70F">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71A70809">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4F7C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2" w:hRule="atLeast"/>
        </w:trPr>
        <w:tc>
          <w:tcPr>
            <w:tcW w:w="818" w:type="dxa"/>
            <w:vAlign w:val="top"/>
          </w:tcPr>
          <w:p w14:paraId="17CE7CCB">
            <w:pPr>
              <w:rPr>
                <w:rFonts w:ascii="Arial"/>
                <w:sz w:val="21"/>
              </w:rPr>
            </w:pPr>
          </w:p>
        </w:tc>
        <w:tc>
          <w:tcPr>
            <w:tcW w:w="1440" w:type="dxa"/>
            <w:vAlign w:val="top"/>
          </w:tcPr>
          <w:p w14:paraId="56212A9C">
            <w:pPr>
              <w:rPr>
                <w:rFonts w:ascii="Arial"/>
                <w:sz w:val="21"/>
              </w:rPr>
            </w:pPr>
          </w:p>
        </w:tc>
        <w:tc>
          <w:tcPr>
            <w:tcW w:w="3202" w:type="dxa"/>
            <w:vAlign w:val="top"/>
          </w:tcPr>
          <w:p w14:paraId="5D77DE2F">
            <w:pPr>
              <w:pStyle w:val="6"/>
              <w:spacing w:before="33" w:line="182" w:lineRule="auto"/>
              <w:ind w:left="115" w:right="110" w:firstLine="15"/>
              <w:jc w:val="both"/>
            </w:pPr>
            <w:r>
              <w:rPr>
                <w:spacing w:val="11"/>
              </w:rPr>
              <w:t>营单位，应当在应急预案公</w:t>
            </w:r>
            <w:r>
              <w:rPr>
                <w:spacing w:val="1"/>
              </w:rPr>
              <w:t>布之日起</w:t>
            </w:r>
            <w:r>
              <w:rPr>
                <w:rFonts w:ascii="宋体" w:hAnsi="宋体" w:eastAsia="宋体" w:cs="宋体"/>
                <w:spacing w:val="1"/>
              </w:rPr>
              <w:t>20</w:t>
            </w:r>
            <w:r>
              <w:rPr>
                <w:spacing w:val="1"/>
              </w:rPr>
              <w:t>个工作日内，按</w:t>
            </w:r>
            <w:r>
              <w:rPr>
                <w:spacing w:val="10"/>
              </w:rPr>
              <w:t>照分级属地原则，向县级以</w:t>
            </w:r>
            <w:r>
              <w:rPr>
                <w:spacing w:val="17"/>
              </w:rPr>
              <w:t>上人民政府应急管理部门和其他负有安全生产监督管理</w:t>
            </w:r>
            <w:r>
              <w:rPr>
                <w:spacing w:val="13"/>
              </w:rPr>
              <w:t>职责的部门进行备案，并依</w:t>
            </w:r>
            <w:r>
              <w:rPr>
                <w:spacing w:val="3"/>
              </w:rPr>
              <w:t>法向社会公布。</w:t>
            </w:r>
          </w:p>
          <w:p w14:paraId="5B3B415D">
            <w:pPr>
              <w:pStyle w:val="6"/>
              <w:spacing w:before="8" w:line="182" w:lineRule="auto"/>
              <w:ind w:left="116" w:right="111" w:firstLine="4"/>
            </w:pPr>
            <w:r>
              <w:rPr>
                <w:spacing w:val="17"/>
              </w:rPr>
              <w:t>前款所列单位属于中央企业</w:t>
            </w:r>
            <w:r>
              <w:rPr>
                <w:spacing w:val="7"/>
              </w:rPr>
              <w:t>的，其总部（上市公司）的</w:t>
            </w:r>
            <w:r>
              <w:rPr>
                <w:spacing w:val="13"/>
              </w:rPr>
              <w:t>应急预案，报国务院主管的</w:t>
            </w:r>
            <w:r>
              <w:rPr>
                <w:spacing w:val="17"/>
              </w:rPr>
              <w:t>负有安全生产监督管理职责</w:t>
            </w:r>
            <w:r>
              <w:rPr>
                <w:spacing w:val="13"/>
              </w:rPr>
              <w:t>的部门备案，并抄送应急管</w:t>
            </w:r>
            <w:r>
              <w:rPr>
                <w:spacing w:val="14"/>
              </w:rPr>
              <w:t>理部；其所属单位的应急预</w:t>
            </w:r>
            <w:r>
              <w:rPr>
                <w:spacing w:val="15"/>
              </w:rPr>
              <w:t>案报所在地的省、自治区、</w:t>
            </w:r>
            <w:r>
              <w:rPr>
                <w:spacing w:val="17"/>
              </w:rPr>
              <w:t>直辖市或者设区的市级人民政府主管的负有安全生产监</w:t>
            </w:r>
            <w:r>
              <w:rPr>
                <w:spacing w:val="13"/>
              </w:rPr>
              <w:t>督管理职责的部门备案，并</w:t>
            </w:r>
            <w:r>
              <w:rPr>
                <w:spacing w:val="17"/>
              </w:rPr>
              <w:t>抄送同级人民政府应急管理</w:t>
            </w:r>
            <w:r>
              <w:rPr>
                <w:spacing w:val="-4"/>
              </w:rPr>
              <w:t>部门。</w:t>
            </w:r>
          </w:p>
          <w:p w14:paraId="4F529737">
            <w:pPr>
              <w:pStyle w:val="6"/>
              <w:spacing w:before="8" w:line="180" w:lineRule="auto"/>
              <w:ind w:left="117" w:right="21"/>
              <w:jc w:val="both"/>
            </w:pPr>
            <w:r>
              <w:rPr>
                <w:spacing w:val="17"/>
              </w:rPr>
              <w:t>本条第一款所列单位不属于</w:t>
            </w:r>
            <w:r>
              <w:rPr>
                <w:spacing w:val="2"/>
              </w:rPr>
              <w:t>中央企业的，其中非煤矿山、</w:t>
            </w:r>
            <w:r>
              <w:rPr>
                <w:spacing w:val="39"/>
              </w:rPr>
              <w:t>金属冶炼和危险化学品生</w:t>
            </w:r>
            <w:r>
              <w:rPr>
                <w:spacing w:val="3"/>
              </w:rPr>
              <w:t>产、经营、储存、运输企业，</w:t>
            </w:r>
            <w:r>
              <w:rPr>
                <w:spacing w:val="17"/>
              </w:rPr>
              <w:t>以及使用危险化学品达到国家规定数量的化工企业、烟花爆竹生产、批发经营企业</w:t>
            </w:r>
            <w:r>
              <w:rPr>
                <w:spacing w:val="13"/>
              </w:rPr>
              <w:t>的应急预案，按照隶属关系</w:t>
            </w:r>
            <w:r>
              <w:rPr>
                <w:spacing w:val="17"/>
              </w:rPr>
              <w:t>报所在地县级以上地方人民</w:t>
            </w:r>
            <w:r>
              <w:rPr>
                <w:spacing w:val="13"/>
              </w:rPr>
              <w:t>政府应急管理部门备案；本</w:t>
            </w:r>
            <w:r>
              <w:rPr>
                <w:spacing w:val="17"/>
              </w:rPr>
              <w:t>款前述单位以外的其他生产</w:t>
            </w:r>
          </w:p>
        </w:tc>
        <w:tc>
          <w:tcPr>
            <w:tcW w:w="2859" w:type="dxa"/>
            <w:vAlign w:val="top"/>
          </w:tcPr>
          <w:p w14:paraId="0FB5A9F0">
            <w:pPr>
              <w:rPr>
                <w:rFonts w:ascii="Arial"/>
                <w:sz w:val="21"/>
              </w:rPr>
            </w:pPr>
          </w:p>
        </w:tc>
        <w:tc>
          <w:tcPr>
            <w:tcW w:w="803" w:type="dxa"/>
            <w:vAlign w:val="top"/>
          </w:tcPr>
          <w:p w14:paraId="67374902">
            <w:pPr>
              <w:rPr>
                <w:rFonts w:ascii="Arial"/>
                <w:sz w:val="21"/>
              </w:rPr>
            </w:pPr>
          </w:p>
        </w:tc>
        <w:tc>
          <w:tcPr>
            <w:tcW w:w="2283" w:type="dxa"/>
            <w:vAlign w:val="top"/>
          </w:tcPr>
          <w:p w14:paraId="2527F9F1">
            <w:pPr>
              <w:rPr>
                <w:rFonts w:ascii="Arial"/>
                <w:sz w:val="21"/>
              </w:rPr>
            </w:pPr>
          </w:p>
        </w:tc>
        <w:tc>
          <w:tcPr>
            <w:tcW w:w="2894" w:type="dxa"/>
            <w:vAlign w:val="top"/>
          </w:tcPr>
          <w:p w14:paraId="28C9300E">
            <w:pPr>
              <w:rPr>
                <w:rFonts w:ascii="Arial"/>
                <w:sz w:val="21"/>
              </w:rPr>
            </w:pPr>
          </w:p>
        </w:tc>
        <w:tc>
          <w:tcPr>
            <w:tcW w:w="811" w:type="dxa"/>
            <w:vAlign w:val="top"/>
          </w:tcPr>
          <w:p w14:paraId="6E0E6FAD">
            <w:pPr>
              <w:rPr>
                <w:rFonts w:ascii="Arial"/>
                <w:sz w:val="21"/>
              </w:rPr>
            </w:pPr>
          </w:p>
        </w:tc>
      </w:tr>
    </w:tbl>
    <w:p w14:paraId="01FFF51B">
      <w:pPr>
        <w:pStyle w:val="2"/>
      </w:pPr>
    </w:p>
    <w:p w14:paraId="60AB6998">
      <w:pPr>
        <w:sectPr>
          <w:footerReference r:id="rId89" w:type="default"/>
          <w:pgSz w:w="16839" w:h="11906"/>
          <w:pgMar w:top="1012" w:right="821" w:bottom="666" w:left="901" w:header="0" w:footer="388" w:gutter="0"/>
          <w:cols w:space="720" w:num="1"/>
        </w:sectPr>
      </w:pPr>
    </w:p>
    <w:p w14:paraId="4EB7CDA2">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FBB9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547068C">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7679B7BA">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512B498">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91B31F6">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B55D7F0">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C39E879">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701D133">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8CC04E5">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6B2AB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0" w:hRule="atLeast"/>
        </w:trPr>
        <w:tc>
          <w:tcPr>
            <w:tcW w:w="818" w:type="dxa"/>
            <w:vAlign w:val="top"/>
          </w:tcPr>
          <w:p w14:paraId="738B45E7">
            <w:pPr>
              <w:rPr>
                <w:rFonts w:ascii="Arial"/>
                <w:sz w:val="21"/>
              </w:rPr>
            </w:pPr>
          </w:p>
        </w:tc>
        <w:tc>
          <w:tcPr>
            <w:tcW w:w="1440" w:type="dxa"/>
            <w:vAlign w:val="top"/>
          </w:tcPr>
          <w:p w14:paraId="2C760E1B">
            <w:pPr>
              <w:rPr>
                <w:rFonts w:ascii="Arial"/>
                <w:sz w:val="21"/>
              </w:rPr>
            </w:pPr>
          </w:p>
        </w:tc>
        <w:tc>
          <w:tcPr>
            <w:tcW w:w="3202" w:type="dxa"/>
            <w:vAlign w:val="top"/>
          </w:tcPr>
          <w:p w14:paraId="6E2D903F">
            <w:pPr>
              <w:pStyle w:val="6"/>
              <w:spacing w:before="31" w:line="182" w:lineRule="auto"/>
              <w:ind w:left="118" w:right="111" w:firstLine="4"/>
            </w:pPr>
            <w:r>
              <w:rPr>
                <w:spacing w:val="12"/>
              </w:rPr>
              <w:t>经营单位应急预案的备案，</w:t>
            </w:r>
            <w:r>
              <w:rPr>
                <w:spacing w:val="17"/>
              </w:rPr>
              <w:t>由省、自治区、直辖市人民政府负有安全生产监督管理</w:t>
            </w:r>
            <w:r>
              <w:rPr>
                <w:spacing w:val="3"/>
              </w:rPr>
              <w:t>职责的部门确定。</w:t>
            </w:r>
          </w:p>
          <w:p w14:paraId="3DD05A65">
            <w:pPr>
              <w:pStyle w:val="6"/>
              <w:spacing w:line="182" w:lineRule="auto"/>
              <w:ind w:left="128"/>
            </w:pPr>
            <w:r>
              <w:rPr>
                <w:spacing w:val="16"/>
              </w:rPr>
              <w:t>油气输送管道运营单位的应</w:t>
            </w:r>
          </w:p>
          <w:p w14:paraId="59134445">
            <w:pPr>
              <w:pStyle w:val="6"/>
              <w:spacing w:line="182" w:lineRule="auto"/>
              <w:ind w:right="17"/>
              <w:jc w:val="right"/>
              <w:outlineLvl w:val="0"/>
            </w:pPr>
            <w:r>
              <w:rPr>
                <w:spacing w:val="2"/>
              </w:rPr>
              <w:t>急预案，除按照本条第一款、</w:t>
            </w:r>
          </w:p>
          <w:p w14:paraId="5A5EB4DB">
            <w:pPr>
              <w:pStyle w:val="6"/>
              <w:spacing w:before="2" w:line="182" w:lineRule="auto"/>
              <w:ind w:left="120" w:right="111" w:firstLine="7"/>
            </w:pPr>
            <w:r>
              <w:rPr>
                <w:spacing w:val="12"/>
              </w:rPr>
              <w:t>第二款的规定备案外，还应</w:t>
            </w:r>
            <w:r>
              <w:rPr>
                <w:spacing w:val="17"/>
              </w:rPr>
              <w:t>当抄送所经行政区域的县级</w:t>
            </w:r>
            <w:r>
              <w:rPr>
                <w:spacing w:val="5"/>
              </w:rPr>
              <w:t>人民政府应急管理部门。</w:t>
            </w:r>
          </w:p>
          <w:p w14:paraId="5EC19E0A">
            <w:pPr>
              <w:pStyle w:val="6"/>
              <w:spacing w:before="4" w:line="182" w:lineRule="auto"/>
              <w:ind w:left="119" w:right="111" w:firstLine="6"/>
            </w:pPr>
            <w:r>
              <w:rPr>
                <w:spacing w:val="16"/>
              </w:rPr>
              <w:t>海洋石油开采企业的应急预</w:t>
            </w:r>
            <w:bookmarkStart w:id="471" w:name="bookmark149"/>
            <w:bookmarkEnd w:id="471"/>
            <w:r>
              <w:rPr>
                <w:spacing w:val="10"/>
              </w:rPr>
              <w:t>案，除按照本条第一款、第</w:t>
            </w:r>
            <w:r>
              <w:rPr>
                <w:spacing w:val="13"/>
              </w:rPr>
              <w:t>二款的规定备案外，还应当</w:t>
            </w:r>
            <w:r>
              <w:rPr>
                <w:spacing w:val="17"/>
              </w:rPr>
              <w:t>抄送所经行政区域的县级人民政府应急管理部门和海洋</w:t>
            </w:r>
            <w:r>
              <w:rPr>
                <w:spacing w:val="4"/>
              </w:rPr>
              <w:t>石油安全监管机构。</w:t>
            </w:r>
          </w:p>
          <w:p w14:paraId="6EE860D7">
            <w:pPr>
              <w:pStyle w:val="6"/>
              <w:spacing w:before="3" w:line="182" w:lineRule="auto"/>
              <w:ind w:left="115" w:right="111"/>
              <w:jc w:val="both"/>
            </w:pPr>
            <w:r>
              <w:rPr>
                <w:spacing w:val="17"/>
              </w:rPr>
              <w:t>煤矿企业的应急预案除按照本条第一款、第二款的规定</w:t>
            </w:r>
            <w:r>
              <w:rPr>
                <w:spacing w:val="13"/>
              </w:rPr>
              <w:t>备案外，还应当抄送所在地</w:t>
            </w:r>
            <w:r>
              <w:rPr>
                <w:spacing w:val="4"/>
              </w:rPr>
              <w:t>的煤矿安全监察机构。</w:t>
            </w:r>
          </w:p>
          <w:p w14:paraId="31B3B9D5">
            <w:pPr>
              <w:pStyle w:val="6"/>
              <w:spacing w:before="7" w:line="179" w:lineRule="auto"/>
              <w:ind w:left="121" w:right="111" w:firstLine="6"/>
            </w:pPr>
            <w:r>
              <w:rPr>
                <w:spacing w:val="12"/>
              </w:rPr>
              <w:t>第三十七条：应急预案修订</w:t>
            </w:r>
            <w:r>
              <w:rPr>
                <w:spacing w:val="14"/>
              </w:rPr>
              <w:t>涉及组织指挥体系与职责、</w:t>
            </w:r>
            <w:r>
              <w:rPr>
                <w:spacing w:val="17"/>
              </w:rPr>
              <w:t>应急处置程序、主要处置措施、应急响应分级等内容变</w:t>
            </w:r>
            <w:r>
              <w:rPr>
                <w:spacing w:val="13"/>
              </w:rPr>
              <w:t>更的，修订工作应当参照本</w:t>
            </w:r>
            <w:r>
              <w:rPr>
                <w:spacing w:val="17"/>
              </w:rPr>
              <w:t>办法规定的应急预案编制程</w:t>
            </w:r>
            <w:r>
              <w:rPr>
                <w:spacing w:val="12"/>
              </w:rPr>
              <w:t>序进行，并按照有关应急预</w:t>
            </w:r>
            <w:r>
              <w:rPr>
                <w:spacing w:val="4"/>
              </w:rPr>
              <w:t>案报备程序重新备案。</w:t>
            </w:r>
          </w:p>
        </w:tc>
        <w:tc>
          <w:tcPr>
            <w:tcW w:w="2859" w:type="dxa"/>
            <w:vAlign w:val="top"/>
          </w:tcPr>
          <w:p w14:paraId="7DE4CB83">
            <w:pPr>
              <w:rPr>
                <w:rFonts w:ascii="Arial"/>
                <w:sz w:val="21"/>
              </w:rPr>
            </w:pPr>
          </w:p>
        </w:tc>
        <w:tc>
          <w:tcPr>
            <w:tcW w:w="803" w:type="dxa"/>
            <w:vAlign w:val="top"/>
          </w:tcPr>
          <w:p w14:paraId="1AAB37D3">
            <w:pPr>
              <w:rPr>
                <w:rFonts w:ascii="Arial"/>
                <w:sz w:val="21"/>
              </w:rPr>
            </w:pPr>
          </w:p>
        </w:tc>
        <w:tc>
          <w:tcPr>
            <w:tcW w:w="2283" w:type="dxa"/>
            <w:vAlign w:val="top"/>
          </w:tcPr>
          <w:p w14:paraId="3C6B179F">
            <w:pPr>
              <w:rPr>
                <w:rFonts w:ascii="Arial"/>
                <w:sz w:val="21"/>
              </w:rPr>
            </w:pPr>
          </w:p>
        </w:tc>
        <w:tc>
          <w:tcPr>
            <w:tcW w:w="2894" w:type="dxa"/>
            <w:vAlign w:val="top"/>
          </w:tcPr>
          <w:p w14:paraId="6AFBCBC5">
            <w:pPr>
              <w:rPr>
                <w:rFonts w:ascii="Arial"/>
                <w:sz w:val="21"/>
              </w:rPr>
            </w:pPr>
          </w:p>
        </w:tc>
        <w:tc>
          <w:tcPr>
            <w:tcW w:w="811" w:type="dxa"/>
            <w:vAlign w:val="top"/>
          </w:tcPr>
          <w:p w14:paraId="005FE367">
            <w:pPr>
              <w:rPr>
                <w:rFonts w:ascii="Arial"/>
                <w:sz w:val="21"/>
              </w:rPr>
            </w:pPr>
          </w:p>
        </w:tc>
      </w:tr>
      <w:tr w14:paraId="48235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1" w:hRule="atLeast"/>
        </w:trPr>
        <w:tc>
          <w:tcPr>
            <w:tcW w:w="818" w:type="dxa"/>
            <w:vAlign w:val="top"/>
          </w:tcPr>
          <w:p w14:paraId="736D9758">
            <w:pPr>
              <w:spacing w:line="353" w:lineRule="auto"/>
              <w:rPr>
                <w:rFonts w:ascii="Arial"/>
                <w:sz w:val="21"/>
              </w:rPr>
            </w:pPr>
          </w:p>
          <w:p w14:paraId="6A5A3146">
            <w:pPr>
              <w:spacing w:before="75" w:line="185" w:lineRule="auto"/>
              <w:ind w:left="240"/>
              <w:rPr>
                <w:rFonts w:ascii="仿宋" w:hAnsi="仿宋" w:eastAsia="仿宋" w:cs="仿宋"/>
                <w:sz w:val="23"/>
                <w:szCs w:val="23"/>
              </w:rPr>
            </w:pPr>
            <w:r>
              <w:rPr>
                <w:rFonts w:ascii="仿宋" w:hAnsi="仿宋" w:eastAsia="仿宋" w:cs="仿宋"/>
                <w:spacing w:val="-4"/>
                <w:sz w:val="23"/>
                <w:szCs w:val="23"/>
              </w:rPr>
              <w:t>72</w:t>
            </w:r>
          </w:p>
        </w:tc>
        <w:tc>
          <w:tcPr>
            <w:tcW w:w="1440" w:type="dxa"/>
            <w:vAlign w:val="top"/>
          </w:tcPr>
          <w:p w14:paraId="52373063">
            <w:pPr>
              <w:pStyle w:val="6"/>
              <w:spacing w:before="78" w:line="185" w:lineRule="auto"/>
              <w:ind w:left="115" w:right="111" w:firstLine="13"/>
              <w:jc w:val="both"/>
            </w:pPr>
            <w:r>
              <w:rPr>
                <w:spacing w:val="8"/>
              </w:rPr>
              <w:t>生产经营单</w:t>
            </w:r>
            <w:r>
              <w:rPr>
                <w:spacing w:val="11"/>
              </w:rPr>
              <w:t>位在应急预案编制前未</w:t>
            </w:r>
          </w:p>
        </w:tc>
        <w:tc>
          <w:tcPr>
            <w:tcW w:w="3202" w:type="dxa"/>
            <w:vAlign w:val="top"/>
          </w:tcPr>
          <w:p w14:paraId="77A80E91">
            <w:pPr>
              <w:pStyle w:val="6"/>
              <w:spacing w:before="35" w:line="191" w:lineRule="auto"/>
              <w:ind w:left="118" w:right="40" w:hanging="20"/>
              <w:jc w:val="both"/>
            </w:pPr>
            <w:r>
              <w:rPr>
                <w:spacing w:val="18"/>
              </w:rPr>
              <w:t>【部门规章】《生产安全事</w:t>
            </w:r>
            <w:r>
              <w:rPr>
                <w:spacing w:val="17"/>
              </w:rPr>
              <w:t>故应急预案管理办法》第十</w:t>
            </w:r>
            <w:r>
              <w:rPr>
                <w:spacing w:val="3"/>
              </w:rPr>
              <w:t>条第一款：编制应急预案前，</w:t>
            </w:r>
          </w:p>
        </w:tc>
        <w:tc>
          <w:tcPr>
            <w:tcW w:w="2859" w:type="dxa"/>
            <w:vAlign w:val="top"/>
          </w:tcPr>
          <w:p w14:paraId="1D23DF83">
            <w:pPr>
              <w:pStyle w:val="6"/>
              <w:spacing w:before="36" w:line="191" w:lineRule="auto"/>
              <w:ind w:left="122" w:right="97" w:hanging="25"/>
              <w:jc w:val="both"/>
            </w:pPr>
            <w:r>
              <w:rPr>
                <w:spacing w:val="10"/>
              </w:rPr>
              <w:t>【部门规章】《生产安全</w:t>
            </w:r>
            <w:r>
              <w:rPr>
                <w:spacing w:val="9"/>
              </w:rPr>
              <w:t>事故应急预案管理办法》</w:t>
            </w:r>
            <w:r>
              <w:rPr>
                <w:spacing w:val="26"/>
              </w:rPr>
              <w:t>第四十五条第一款第一</w:t>
            </w:r>
          </w:p>
        </w:tc>
        <w:tc>
          <w:tcPr>
            <w:tcW w:w="803" w:type="dxa"/>
            <w:vAlign w:val="top"/>
          </w:tcPr>
          <w:p w14:paraId="39FDA08D">
            <w:pPr>
              <w:spacing w:line="347" w:lineRule="auto"/>
              <w:rPr>
                <w:rFonts w:ascii="Arial"/>
                <w:sz w:val="21"/>
              </w:rPr>
            </w:pPr>
          </w:p>
          <w:p w14:paraId="49BAA7E7">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FBBCE24">
            <w:pPr>
              <w:pStyle w:val="6"/>
              <w:spacing w:before="78" w:line="185" w:lineRule="auto"/>
              <w:ind w:left="117" w:right="109"/>
              <w:jc w:val="both"/>
            </w:pPr>
            <w:r>
              <w:rPr>
                <w:spacing w:val="26"/>
              </w:rPr>
              <w:t>在应急预案编制前未按照规定开展应</w:t>
            </w:r>
            <w:r>
              <w:rPr>
                <w:spacing w:val="7"/>
              </w:rPr>
              <w:t>急资源调查的</w:t>
            </w:r>
          </w:p>
        </w:tc>
        <w:tc>
          <w:tcPr>
            <w:tcW w:w="2894" w:type="dxa"/>
            <w:vAlign w:val="top"/>
          </w:tcPr>
          <w:p w14:paraId="3FE82AD0">
            <w:pPr>
              <w:pStyle w:val="6"/>
              <w:spacing w:before="78" w:line="185" w:lineRule="auto"/>
              <w:ind w:left="127" w:right="104"/>
              <w:jc w:val="both"/>
            </w:pPr>
            <w:r>
              <w:rPr>
                <w:spacing w:val="8"/>
              </w:rPr>
              <w:t>责令限期改正，可以处</w:t>
            </w:r>
            <w:r>
              <w:rPr>
                <w:rFonts w:ascii="宋体" w:hAnsi="宋体" w:eastAsia="宋体" w:cs="宋体"/>
                <w:spacing w:val="8"/>
              </w:rPr>
              <w:t>1</w:t>
            </w:r>
            <w:r>
              <w:rPr>
                <w:spacing w:val="4"/>
              </w:rPr>
              <w:t>万元以上</w:t>
            </w:r>
            <w:r>
              <w:rPr>
                <w:rFonts w:ascii="宋体" w:hAnsi="宋体" w:eastAsia="宋体" w:cs="宋体"/>
                <w:spacing w:val="4"/>
              </w:rPr>
              <w:t>1.5</w:t>
            </w:r>
            <w:r>
              <w:rPr>
                <w:spacing w:val="4"/>
              </w:rPr>
              <w:t>万元以下的</w:t>
            </w:r>
            <w:r>
              <w:rPr>
                <w:spacing w:val="-1"/>
              </w:rPr>
              <w:t>罚款</w:t>
            </w:r>
          </w:p>
        </w:tc>
        <w:tc>
          <w:tcPr>
            <w:tcW w:w="811" w:type="dxa"/>
            <w:vAlign w:val="top"/>
          </w:tcPr>
          <w:p w14:paraId="188C4489">
            <w:pPr>
              <w:spacing w:line="349" w:lineRule="auto"/>
              <w:rPr>
                <w:rFonts w:ascii="Arial"/>
                <w:sz w:val="21"/>
              </w:rPr>
            </w:pPr>
          </w:p>
          <w:p w14:paraId="472FEFA2">
            <w:pPr>
              <w:spacing w:before="75" w:line="188" w:lineRule="auto"/>
              <w:ind w:left="295"/>
              <w:rPr>
                <w:rFonts w:ascii="宋体" w:hAnsi="宋体" w:eastAsia="宋体" w:cs="宋体"/>
                <w:sz w:val="23"/>
                <w:szCs w:val="23"/>
              </w:rPr>
            </w:pPr>
            <w:r>
              <w:rPr>
                <w:rFonts w:ascii="宋体" w:hAnsi="宋体" w:eastAsia="宋体" w:cs="宋体"/>
                <w:spacing w:val="-4"/>
                <w:sz w:val="23"/>
                <w:szCs w:val="23"/>
              </w:rPr>
              <w:t>52</w:t>
            </w:r>
          </w:p>
        </w:tc>
      </w:tr>
    </w:tbl>
    <w:p w14:paraId="107C1E12">
      <w:pPr>
        <w:pStyle w:val="2"/>
      </w:pPr>
    </w:p>
    <w:p w14:paraId="50A80F64">
      <w:pPr>
        <w:sectPr>
          <w:footerReference r:id="rId90" w:type="default"/>
          <w:pgSz w:w="16839" w:h="11906"/>
          <w:pgMar w:top="1012" w:right="821" w:bottom="666" w:left="901" w:header="0" w:footer="388" w:gutter="0"/>
          <w:cols w:space="720" w:num="1"/>
        </w:sectPr>
      </w:pPr>
    </w:p>
    <w:p w14:paraId="17ED6C59">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F887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D5DD749">
            <w:pPr>
              <w:spacing w:before="222" w:line="241" w:lineRule="auto"/>
              <w:ind w:left="131"/>
              <w:outlineLvl w:val="0"/>
              <w:rPr>
                <w:rFonts w:ascii="黑体" w:hAnsi="黑体" w:eastAsia="黑体" w:cs="黑体"/>
                <w:sz w:val="28"/>
                <w:szCs w:val="28"/>
              </w:rPr>
            </w:pPr>
            <w:bookmarkStart w:id="472" w:name="bookmark151"/>
            <w:bookmarkEnd w:id="472"/>
            <w:bookmarkStart w:id="473" w:name="bookmark153"/>
            <w:bookmarkEnd w:id="473"/>
            <w:r>
              <w:rPr>
                <w:rFonts w:ascii="黑体" w:hAnsi="黑体" w:eastAsia="黑体" w:cs="黑体"/>
                <w:spacing w:val="-2"/>
                <w:sz w:val="28"/>
                <w:szCs w:val="28"/>
              </w:rPr>
              <w:t>序号</w:t>
            </w:r>
          </w:p>
        </w:tc>
        <w:tc>
          <w:tcPr>
            <w:tcW w:w="1440" w:type="dxa"/>
            <w:vAlign w:val="top"/>
          </w:tcPr>
          <w:p w14:paraId="0631958C">
            <w:pPr>
              <w:spacing w:before="221"/>
              <w:ind w:left="163"/>
              <w:outlineLvl w:val="1"/>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A623D4D">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000F55E">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08FB1BAF">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7A0CFF5">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816CC81">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D377840">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03EC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818" w:type="dxa"/>
            <w:vMerge w:val="restart"/>
            <w:tcBorders>
              <w:bottom w:val="nil"/>
            </w:tcBorders>
            <w:vAlign w:val="top"/>
          </w:tcPr>
          <w:p w14:paraId="139183FA">
            <w:pPr>
              <w:rPr>
                <w:rFonts w:ascii="Arial"/>
                <w:sz w:val="21"/>
              </w:rPr>
            </w:pPr>
          </w:p>
        </w:tc>
        <w:tc>
          <w:tcPr>
            <w:tcW w:w="1440" w:type="dxa"/>
            <w:vMerge w:val="restart"/>
            <w:tcBorders>
              <w:bottom w:val="nil"/>
            </w:tcBorders>
            <w:vAlign w:val="top"/>
          </w:tcPr>
          <w:p w14:paraId="163535A5">
            <w:pPr>
              <w:pStyle w:val="6"/>
              <w:spacing w:before="30" w:line="188" w:lineRule="auto"/>
              <w:ind w:left="115" w:right="111" w:hanging="1"/>
              <w:jc w:val="both"/>
            </w:pPr>
            <w:r>
              <w:rPr>
                <w:spacing w:val="11"/>
              </w:rPr>
              <w:t>按照规定开</w:t>
            </w:r>
            <w:r>
              <w:rPr>
                <w:spacing w:val="-5"/>
                <w:w w:val="97"/>
              </w:rPr>
              <w:t>展风险辨</w:t>
            </w:r>
            <w:r>
              <w:rPr>
                <w:spacing w:val="11"/>
              </w:rPr>
              <w:t>识、评估和应急资源调</w:t>
            </w:r>
            <w:r>
              <w:rPr>
                <w:spacing w:val="2"/>
              </w:rPr>
              <w:t>查的</w:t>
            </w:r>
          </w:p>
        </w:tc>
        <w:tc>
          <w:tcPr>
            <w:tcW w:w="3202" w:type="dxa"/>
            <w:vMerge w:val="restart"/>
            <w:tcBorders>
              <w:bottom w:val="nil"/>
            </w:tcBorders>
            <w:vAlign w:val="top"/>
          </w:tcPr>
          <w:p w14:paraId="2BDBD834">
            <w:pPr>
              <w:pStyle w:val="6"/>
              <w:spacing w:before="26" w:line="196" w:lineRule="auto"/>
              <w:ind w:left="123" w:right="26" w:hanging="6"/>
            </w:pPr>
            <w:r>
              <w:rPr>
                <w:spacing w:val="17"/>
              </w:rPr>
              <w:t>编制单位应当进行事故风险</w:t>
            </w:r>
            <w:r>
              <w:rPr>
                <w:spacing w:val="4"/>
              </w:rPr>
              <w:t>辨识、评估和应急资源调查。</w:t>
            </w:r>
          </w:p>
        </w:tc>
        <w:tc>
          <w:tcPr>
            <w:tcW w:w="2859" w:type="dxa"/>
            <w:vMerge w:val="restart"/>
            <w:tcBorders>
              <w:bottom w:val="nil"/>
            </w:tcBorders>
            <w:vAlign w:val="top"/>
          </w:tcPr>
          <w:p w14:paraId="55A4AE38">
            <w:pPr>
              <w:pStyle w:val="6"/>
              <w:spacing w:before="31" w:line="182" w:lineRule="auto"/>
              <w:ind w:left="115" w:right="105" w:firstLine="3"/>
            </w:pPr>
            <w:r>
              <w:rPr>
                <w:spacing w:val="8"/>
              </w:rPr>
              <w:t>项：生产经营单位有下列情形之一的，由县级以上人民政府应急管理部门责</w:t>
            </w:r>
            <w:r>
              <w:rPr>
                <w:spacing w:val="3"/>
              </w:rPr>
              <w:t>令限期改正，可以处</w:t>
            </w:r>
            <w:r>
              <w:rPr>
                <w:rFonts w:ascii="宋体" w:hAnsi="宋体" w:eastAsia="宋体" w:cs="宋体"/>
                <w:spacing w:val="3"/>
              </w:rPr>
              <w:t>1</w:t>
            </w:r>
            <w:r>
              <w:rPr>
                <w:spacing w:val="3"/>
              </w:rPr>
              <w:t>万</w:t>
            </w:r>
            <w:r>
              <w:rPr>
                <w:spacing w:val="20"/>
              </w:rPr>
              <w:t>元以上</w:t>
            </w:r>
            <w:r>
              <w:rPr>
                <w:rFonts w:ascii="宋体" w:hAnsi="宋体" w:eastAsia="宋体" w:cs="宋体"/>
                <w:spacing w:val="20"/>
              </w:rPr>
              <w:t>3</w:t>
            </w:r>
            <w:r>
              <w:rPr>
                <w:spacing w:val="20"/>
              </w:rPr>
              <w:t>万元以下的罚</w:t>
            </w:r>
          </w:p>
          <w:p w14:paraId="04B499F8">
            <w:pPr>
              <w:pStyle w:val="6"/>
              <w:spacing w:line="177" w:lineRule="auto"/>
              <w:ind w:left="118" w:right="110" w:firstLine="2"/>
            </w:pPr>
            <w:r>
              <w:rPr>
                <w:spacing w:val="4"/>
              </w:rPr>
              <w:t>款</w:t>
            </w:r>
            <w:r>
              <w:rPr>
                <w:spacing w:val="-10"/>
              </w:rPr>
              <w:t>：（</w:t>
            </w:r>
            <w:r>
              <w:rPr>
                <w:spacing w:val="4"/>
              </w:rPr>
              <w:t>一）在应急预案编</w:t>
            </w:r>
            <w:r>
              <w:rPr>
                <w:spacing w:val="8"/>
              </w:rPr>
              <w:t>制前未按照规定开展风险辨识、评估和应急资源调</w:t>
            </w:r>
            <w:r>
              <w:rPr>
                <w:spacing w:val="-7"/>
              </w:rPr>
              <w:t>查的；</w:t>
            </w:r>
          </w:p>
        </w:tc>
        <w:tc>
          <w:tcPr>
            <w:tcW w:w="803" w:type="dxa"/>
            <w:vAlign w:val="top"/>
          </w:tcPr>
          <w:p w14:paraId="6A348459">
            <w:pPr>
              <w:spacing w:line="470" w:lineRule="auto"/>
              <w:rPr>
                <w:rFonts w:ascii="Arial"/>
                <w:sz w:val="21"/>
              </w:rPr>
            </w:pPr>
          </w:p>
          <w:p w14:paraId="6ADC9AD0">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C699D5F">
            <w:pPr>
              <w:pStyle w:val="6"/>
              <w:spacing w:before="205" w:line="191" w:lineRule="auto"/>
              <w:ind w:left="117" w:right="109"/>
              <w:jc w:val="both"/>
            </w:pPr>
            <w:r>
              <w:rPr>
                <w:spacing w:val="26"/>
              </w:rPr>
              <w:t>在应急预案编制前未按照规定开展风</w:t>
            </w:r>
            <w:r>
              <w:rPr>
                <w:spacing w:val="7"/>
              </w:rPr>
              <w:t>险辨识、评估的</w:t>
            </w:r>
          </w:p>
        </w:tc>
        <w:tc>
          <w:tcPr>
            <w:tcW w:w="2894" w:type="dxa"/>
            <w:vAlign w:val="top"/>
          </w:tcPr>
          <w:p w14:paraId="4B365639">
            <w:pPr>
              <w:pStyle w:val="6"/>
              <w:spacing w:before="205" w:line="191" w:lineRule="auto"/>
              <w:ind w:left="122" w:right="104" w:firstLine="4"/>
              <w:jc w:val="both"/>
            </w:pPr>
            <w:r>
              <w:rPr>
                <w:spacing w:val="-5"/>
              </w:rPr>
              <w:t>责令限期改正，可以处</w:t>
            </w:r>
            <w:r>
              <w:rPr>
                <w:rFonts w:ascii="宋体" w:hAnsi="宋体" w:eastAsia="宋体" w:cs="宋体"/>
                <w:spacing w:val="-5"/>
              </w:rPr>
              <w:t>1.5</w:t>
            </w:r>
            <w:r>
              <w:rPr>
                <w:spacing w:val="7"/>
              </w:rPr>
              <w:t>万元以上</w:t>
            </w:r>
            <w:r>
              <w:rPr>
                <w:rFonts w:ascii="宋体" w:hAnsi="宋体" w:eastAsia="宋体" w:cs="宋体"/>
                <w:spacing w:val="7"/>
              </w:rPr>
              <w:t>2</w:t>
            </w:r>
            <w:r>
              <w:rPr>
                <w:spacing w:val="7"/>
              </w:rPr>
              <w:t>万元以下的罚</w:t>
            </w:r>
            <w:r>
              <w:t>款</w:t>
            </w:r>
          </w:p>
        </w:tc>
        <w:tc>
          <w:tcPr>
            <w:tcW w:w="811" w:type="dxa"/>
            <w:vMerge w:val="restart"/>
            <w:tcBorders>
              <w:bottom w:val="nil"/>
            </w:tcBorders>
            <w:vAlign w:val="top"/>
          </w:tcPr>
          <w:p w14:paraId="6B167AE1">
            <w:pPr>
              <w:rPr>
                <w:rFonts w:ascii="Arial"/>
                <w:sz w:val="21"/>
              </w:rPr>
            </w:pPr>
          </w:p>
        </w:tc>
      </w:tr>
      <w:tr w14:paraId="3E115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5" w:hRule="atLeast"/>
        </w:trPr>
        <w:tc>
          <w:tcPr>
            <w:tcW w:w="818" w:type="dxa"/>
            <w:vMerge w:val="continue"/>
            <w:tcBorders>
              <w:top w:val="nil"/>
            </w:tcBorders>
            <w:vAlign w:val="top"/>
          </w:tcPr>
          <w:p w14:paraId="57DA2C04">
            <w:pPr>
              <w:rPr>
                <w:rFonts w:ascii="Arial"/>
                <w:sz w:val="21"/>
              </w:rPr>
            </w:pPr>
          </w:p>
        </w:tc>
        <w:tc>
          <w:tcPr>
            <w:tcW w:w="1440" w:type="dxa"/>
            <w:vMerge w:val="continue"/>
            <w:tcBorders>
              <w:top w:val="nil"/>
            </w:tcBorders>
            <w:vAlign w:val="top"/>
          </w:tcPr>
          <w:p w14:paraId="71B1D0C6">
            <w:pPr>
              <w:rPr>
                <w:rFonts w:ascii="Arial"/>
                <w:sz w:val="21"/>
              </w:rPr>
            </w:pPr>
          </w:p>
        </w:tc>
        <w:tc>
          <w:tcPr>
            <w:tcW w:w="3202" w:type="dxa"/>
            <w:vMerge w:val="continue"/>
            <w:tcBorders>
              <w:top w:val="nil"/>
            </w:tcBorders>
            <w:vAlign w:val="top"/>
          </w:tcPr>
          <w:p w14:paraId="48D24EE2">
            <w:pPr>
              <w:rPr>
                <w:rFonts w:ascii="Arial"/>
                <w:sz w:val="21"/>
              </w:rPr>
            </w:pPr>
          </w:p>
        </w:tc>
        <w:tc>
          <w:tcPr>
            <w:tcW w:w="2859" w:type="dxa"/>
            <w:vMerge w:val="continue"/>
            <w:tcBorders>
              <w:top w:val="nil"/>
            </w:tcBorders>
            <w:vAlign w:val="top"/>
          </w:tcPr>
          <w:p w14:paraId="58FA22E1">
            <w:pPr>
              <w:rPr>
                <w:rFonts w:ascii="Arial"/>
                <w:sz w:val="21"/>
              </w:rPr>
            </w:pPr>
          </w:p>
        </w:tc>
        <w:tc>
          <w:tcPr>
            <w:tcW w:w="803" w:type="dxa"/>
            <w:vAlign w:val="top"/>
          </w:tcPr>
          <w:p w14:paraId="0970FCE0">
            <w:pPr>
              <w:spacing w:line="283" w:lineRule="auto"/>
              <w:rPr>
                <w:rFonts w:ascii="Arial"/>
                <w:sz w:val="21"/>
              </w:rPr>
            </w:pPr>
          </w:p>
          <w:p w14:paraId="44BA2BD2">
            <w:pPr>
              <w:spacing w:line="283" w:lineRule="auto"/>
              <w:rPr>
                <w:rFonts w:ascii="Arial"/>
                <w:sz w:val="21"/>
              </w:rPr>
            </w:pPr>
          </w:p>
          <w:p w14:paraId="140F192A">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D5CEF86">
            <w:pPr>
              <w:pStyle w:val="6"/>
              <w:spacing w:before="150" w:line="189" w:lineRule="auto"/>
              <w:ind w:left="117" w:right="109"/>
              <w:jc w:val="both"/>
            </w:pPr>
            <w:r>
              <w:rPr>
                <w:spacing w:val="26"/>
              </w:rPr>
              <w:t>在应急预案编制前未按照规定开展风</w:t>
            </w:r>
            <w:r>
              <w:rPr>
                <w:spacing w:val="-3"/>
              </w:rPr>
              <w:t>险辨识、评估和应急</w:t>
            </w:r>
            <w:r>
              <w:rPr>
                <w:spacing w:val="6"/>
              </w:rPr>
              <w:t>资源调查的</w:t>
            </w:r>
          </w:p>
        </w:tc>
        <w:tc>
          <w:tcPr>
            <w:tcW w:w="2894" w:type="dxa"/>
            <w:vAlign w:val="top"/>
          </w:tcPr>
          <w:p w14:paraId="16D47F7F">
            <w:pPr>
              <w:pStyle w:val="6"/>
              <w:spacing w:before="300" w:line="191" w:lineRule="auto"/>
              <w:ind w:left="122" w:right="104" w:firstLine="4"/>
              <w:jc w:val="both"/>
            </w:pPr>
            <w:r>
              <w:rPr>
                <w:spacing w:val="10"/>
              </w:rPr>
              <w:t>责令限期改正，可以处</w:t>
            </w:r>
            <w:r>
              <w:rPr>
                <w:rFonts w:ascii="宋体" w:hAnsi="宋体" w:eastAsia="宋体" w:cs="宋体"/>
                <w:spacing w:val="10"/>
              </w:rPr>
              <w:t>2</w:t>
            </w:r>
            <w:r>
              <w:rPr>
                <w:spacing w:val="7"/>
              </w:rPr>
              <w:t>万元以上</w:t>
            </w:r>
            <w:r>
              <w:rPr>
                <w:rFonts w:ascii="宋体" w:hAnsi="宋体" w:eastAsia="宋体" w:cs="宋体"/>
                <w:spacing w:val="7"/>
              </w:rPr>
              <w:t>3</w:t>
            </w:r>
            <w:r>
              <w:rPr>
                <w:spacing w:val="7"/>
              </w:rPr>
              <w:t>万元以下的罚</w:t>
            </w:r>
            <w:r>
              <w:t>款</w:t>
            </w:r>
          </w:p>
        </w:tc>
        <w:tc>
          <w:tcPr>
            <w:tcW w:w="811" w:type="dxa"/>
            <w:vMerge w:val="continue"/>
            <w:tcBorders>
              <w:top w:val="nil"/>
            </w:tcBorders>
            <w:vAlign w:val="top"/>
          </w:tcPr>
          <w:p w14:paraId="450C8BEB">
            <w:pPr>
              <w:rPr>
                <w:rFonts w:ascii="Arial"/>
                <w:sz w:val="21"/>
              </w:rPr>
            </w:pPr>
          </w:p>
        </w:tc>
      </w:tr>
      <w:tr w14:paraId="453E0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0" w:hRule="atLeast"/>
        </w:trPr>
        <w:tc>
          <w:tcPr>
            <w:tcW w:w="818" w:type="dxa"/>
            <w:vMerge w:val="restart"/>
            <w:tcBorders>
              <w:bottom w:val="nil"/>
            </w:tcBorders>
            <w:vAlign w:val="top"/>
          </w:tcPr>
          <w:p w14:paraId="25CF514E">
            <w:pPr>
              <w:spacing w:line="248" w:lineRule="auto"/>
              <w:rPr>
                <w:rFonts w:ascii="Arial"/>
                <w:sz w:val="21"/>
              </w:rPr>
            </w:pPr>
          </w:p>
          <w:p w14:paraId="63D4E6DE">
            <w:pPr>
              <w:spacing w:line="248" w:lineRule="auto"/>
              <w:rPr>
                <w:rFonts w:ascii="Arial"/>
                <w:sz w:val="21"/>
              </w:rPr>
            </w:pPr>
          </w:p>
          <w:p w14:paraId="712F71FD">
            <w:pPr>
              <w:spacing w:line="249" w:lineRule="auto"/>
              <w:rPr>
                <w:rFonts w:ascii="Arial"/>
                <w:sz w:val="21"/>
              </w:rPr>
            </w:pPr>
          </w:p>
          <w:p w14:paraId="4A6D7A14">
            <w:pPr>
              <w:spacing w:line="249" w:lineRule="auto"/>
              <w:rPr>
                <w:rFonts w:ascii="Arial"/>
                <w:sz w:val="21"/>
              </w:rPr>
            </w:pPr>
          </w:p>
          <w:p w14:paraId="1B3F62F2">
            <w:pPr>
              <w:spacing w:line="249" w:lineRule="auto"/>
              <w:rPr>
                <w:rFonts w:ascii="Arial"/>
                <w:sz w:val="21"/>
              </w:rPr>
            </w:pPr>
          </w:p>
          <w:p w14:paraId="15098D9A">
            <w:pPr>
              <w:spacing w:line="249" w:lineRule="auto"/>
              <w:rPr>
                <w:rFonts w:ascii="Arial"/>
                <w:sz w:val="21"/>
              </w:rPr>
            </w:pPr>
          </w:p>
          <w:p w14:paraId="7E5768B1">
            <w:pPr>
              <w:spacing w:line="249" w:lineRule="auto"/>
              <w:rPr>
                <w:rFonts w:ascii="Arial"/>
                <w:sz w:val="21"/>
              </w:rPr>
            </w:pPr>
          </w:p>
          <w:p w14:paraId="7883B636">
            <w:pPr>
              <w:spacing w:line="249" w:lineRule="auto"/>
              <w:rPr>
                <w:rFonts w:ascii="Arial"/>
                <w:sz w:val="21"/>
              </w:rPr>
            </w:pPr>
          </w:p>
          <w:p w14:paraId="58FF4DB6">
            <w:pPr>
              <w:spacing w:line="249" w:lineRule="auto"/>
              <w:rPr>
                <w:rFonts w:ascii="Arial"/>
                <w:sz w:val="21"/>
              </w:rPr>
            </w:pPr>
          </w:p>
          <w:p w14:paraId="67D4A376">
            <w:pPr>
              <w:spacing w:line="249" w:lineRule="auto"/>
              <w:rPr>
                <w:rFonts w:ascii="Arial"/>
                <w:sz w:val="21"/>
              </w:rPr>
            </w:pPr>
          </w:p>
          <w:p w14:paraId="1788DAF8">
            <w:pPr>
              <w:spacing w:line="249" w:lineRule="auto"/>
              <w:rPr>
                <w:rFonts w:ascii="Arial"/>
                <w:sz w:val="21"/>
              </w:rPr>
            </w:pPr>
          </w:p>
          <w:p w14:paraId="0C34201D">
            <w:pPr>
              <w:spacing w:line="249" w:lineRule="auto"/>
              <w:rPr>
                <w:rFonts w:ascii="Arial"/>
                <w:sz w:val="21"/>
              </w:rPr>
            </w:pPr>
          </w:p>
          <w:p w14:paraId="416A1D2E">
            <w:pPr>
              <w:spacing w:before="75" w:line="185" w:lineRule="auto"/>
              <w:ind w:left="240"/>
              <w:rPr>
                <w:rFonts w:ascii="仿宋" w:hAnsi="仿宋" w:eastAsia="仿宋" w:cs="仿宋"/>
                <w:sz w:val="23"/>
                <w:szCs w:val="23"/>
              </w:rPr>
            </w:pPr>
            <w:r>
              <w:rPr>
                <w:rFonts w:ascii="仿宋" w:hAnsi="仿宋" w:eastAsia="仿宋" w:cs="仿宋"/>
                <w:spacing w:val="-4"/>
                <w:sz w:val="23"/>
                <w:szCs w:val="23"/>
              </w:rPr>
              <w:t>73</w:t>
            </w:r>
          </w:p>
        </w:tc>
        <w:tc>
          <w:tcPr>
            <w:tcW w:w="1440" w:type="dxa"/>
            <w:vMerge w:val="restart"/>
            <w:tcBorders>
              <w:bottom w:val="nil"/>
            </w:tcBorders>
            <w:vAlign w:val="top"/>
          </w:tcPr>
          <w:p w14:paraId="7B2B747D">
            <w:pPr>
              <w:pStyle w:val="6"/>
              <w:spacing w:before="45" w:line="181" w:lineRule="auto"/>
              <w:ind w:left="111" w:right="17" w:firstLine="4"/>
            </w:pPr>
            <w:r>
              <w:rPr>
                <w:spacing w:val="11"/>
              </w:rPr>
              <w:t>矿山、金属</w:t>
            </w:r>
            <w:r>
              <w:rPr>
                <w:spacing w:val="12"/>
              </w:rPr>
              <w:t>冶炼企业和易燃易爆物品、危险化</w:t>
            </w:r>
            <w:r>
              <w:rPr>
                <w:spacing w:val="-12"/>
              </w:rPr>
              <w:t>学品的生</w:t>
            </w:r>
            <w:r>
              <w:rPr>
                <w:spacing w:val="-14"/>
                <w:w w:val="92"/>
              </w:rPr>
              <w:t>产、经营（带</w:t>
            </w:r>
            <w:r>
              <w:rPr>
                <w:spacing w:val="-4"/>
              </w:rPr>
              <w:t>储存设施</w:t>
            </w:r>
            <w:r>
              <w:rPr>
                <w:spacing w:val="-13"/>
              </w:rPr>
              <w:t>的）、储存、</w:t>
            </w:r>
            <w:r>
              <w:rPr>
                <w:spacing w:val="3"/>
              </w:rPr>
              <w:t>运输企业，</w:t>
            </w:r>
            <w:r>
              <w:rPr>
                <w:spacing w:val="12"/>
              </w:rPr>
              <w:t>以及使用危险化学品达到国家规定数量的化工企业、烟花</w:t>
            </w:r>
            <w:r>
              <w:rPr>
                <w:spacing w:val="6"/>
              </w:rPr>
              <w:t>爆竹生产、</w:t>
            </w:r>
            <w:r>
              <w:rPr>
                <w:spacing w:val="12"/>
              </w:rPr>
              <w:t>批发经营企业和中型规模以上的其他生产经营</w:t>
            </w:r>
            <w:r>
              <w:rPr>
                <w:spacing w:val="5"/>
              </w:rPr>
              <w:t>单位，未按</w:t>
            </w:r>
            <w:r>
              <w:rPr>
                <w:spacing w:val="12"/>
              </w:rPr>
              <w:t>照规定开展</w:t>
            </w:r>
          </w:p>
        </w:tc>
        <w:tc>
          <w:tcPr>
            <w:tcW w:w="3202" w:type="dxa"/>
            <w:vMerge w:val="restart"/>
            <w:tcBorders>
              <w:bottom w:val="nil"/>
            </w:tcBorders>
            <w:vAlign w:val="top"/>
          </w:tcPr>
          <w:p w14:paraId="69475F33">
            <w:pPr>
              <w:pStyle w:val="6"/>
              <w:spacing w:before="34" w:line="184" w:lineRule="auto"/>
              <w:ind w:left="115" w:right="26" w:hanging="17"/>
            </w:pPr>
            <w:r>
              <w:rPr>
                <w:spacing w:val="18"/>
              </w:rPr>
              <w:t>【部门规章】《生产安全事</w:t>
            </w:r>
            <w:r>
              <w:rPr>
                <w:spacing w:val="17"/>
              </w:rPr>
              <w:t>故应急预案管理办法》第二</w:t>
            </w:r>
            <w:r>
              <w:rPr>
                <w:spacing w:val="13"/>
              </w:rPr>
              <w:t>十一条：矿山、金属冶炼企</w:t>
            </w:r>
            <w:r>
              <w:rPr>
                <w:spacing w:val="17"/>
              </w:rPr>
              <w:t>业和易燃易爆物品、危险化学品的生产、经营（带储存</w:t>
            </w:r>
            <w:r>
              <w:rPr>
                <w:spacing w:val="10"/>
              </w:rPr>
              <w:t>设施的，下同）、储存、运输企业，以及使用危险化学</w:t>
            </w:r>
            <w:r>
              <w:rPr>
                <w:spacing w:val="17"/>
              </w:rPr>
              <w:t>品达到国家规定数量的化工企业、烟花爆竹生产、批发经营企业和中型规模以上的</w:t>
            </w:r>
            <w:r>
              <w:rPr>
                <w:spacing w:val="13"/>
              </w:rPr>
              <w:t>其他生产经营单位，应当对</w:t>
            </w:r>
            <w:r>
              <w:rPr>
                <w:spacing w:val="17"/>
              </w:rPr>
              <w:t>本单位编制的应急预案进行</w:t>
            </w:r>
            <w:r>
              <w:rPr>
                <w:spacing w:val="3"/>
              </w:rPr>
              <w:t>评审，并形成书面评审纪要。</w:t>
            </w:r>
            <w:r>
              <w:rPr>
                <w:spacing w:val="17"/>
              </w:rPr>
              <w:t>前款规定以外的其他生产经</w:t>
            </w:r>
            <w:r>
              <w:rPr>
                <w:spacing w:val="13"/>
              </w:rPr>
              <w:t>营单位可以根据自身需要，</w:t>
            </w:r>
            <w:r>
              <w:rPr>
                <w:spacing w:val="17"/>
              </w:rPr>
              <w:t>对本单位编制的应急预案进</w:t>
            </w:r>
            <w:r>
              <w:rPr>
                <w:spacing w:val="-2"/>
              </w:rPr>
              <w:t>行论证。</w:t>
            </w:r>
          </w:p>
        </w:tc>
        <w:tc>
          <w:tcPr>
            <w:tcW w:w="2859" w:type="dxa"/>
            <w:vMerge w:val="restart"/>
            <w:tcBorders>
              <w:bottom w:val="nil"/>
            </w:tcBorders>
            <w:vAlign w:val="top"/>
          </w:tcPr>
          <w:p w14:paraId="3298A3D4">
            <w:pPr>
              <w:pStyle w:val="6"/>
              <w:spacing w:before="32" w:line="185" w:lineRule="auto"/>
              <w:ind w:left="114" w:right="97" w:hanging="17"/>
              <w:jc w:val="both"/>
            </w:pPr>
            <w:r>
              <w:rPr>
                <w:spacing w:val="10"/>
              </w:rPr>
              <w:t>【部门规章】《生产安全事故应急预案管理办法》</w:t>
            </w:r>
            <w:r>
              <w:rPr>
                <w:spacing w:val="32"/>
              </w:rPr>
              <w:t>第四十五条第一款第二</w:t>
            </w:r>
            <w:r>
              <w:rPr>
                <w:spacing w:val="8"/>
              </w:rPr>
              <w:t>项：生产经营单位有下列情形之一的，由县级以上人民政府应急管理部门责</w:t>
            </w:r>
            <w:r>
              <w:rPr>
                <w:spacing w:val="3"/>
              </w:rPr>
              <w:t>令限期改正，可以处</w:t>
            </w:r>
            <w:r>
              <w:rPr>
                <w:rFonts w:ascii="宋体" w:hAnsi="宋体" w:eastAsia="宋体" w:cs="宋体"/>
                <w:spacing w:val="3"/>
              </w:rPr>
              <w:t>1</w:t>
            </w:r>
            <w:r>
              <w:rPr>
                <w:spacing w:val="3"/>
              </w:rPr>
              <w:t>万</w:t>
            </w:r>
            <w:r>
              <w:rPr>
                <w:spacing w:val="20"/>
              </w:rPr>
              <w:t>元以上</w:t>
            </w:r>
            <w:r>
              <w:rPr>
                <w:rFonts w:ascii="宋体" w:hAnsi="宋体" w:eastAsia="宋体" w:cs="宋体"/>
                <w:spacing w:val="20"/>
              </w:rPr>
              <w:t>3</w:t>
            </w:r>
            <w:r>
              <w:rPr>
                <w:spacing w:val="20"/>
              </w:rPr>
              <w:t>万元以下的罚</w:t>
            </w:r>
            <w:r>
              <w:rPr>
                <w:spacing w:val="8"/>
              </w:rPr>
              <w:t>款</w:t>
            </w:r>
            <w:r>
              <w:rPr>
                <w:spacing w:val="11"/>
              </w:rPr>
              <w:t>：（</w:t>
            </w:r>
            <w:r>
              <w:rPr>
                <w:spacing w:val="8"/>
              </w:rPr>
              <w:t>二）未按照规定开</w:t>
            </w:r>
            <w:r>
              <w:rPr>
                <w:spacing w:val="3"/>
              </w:rPr>
              <w:t>展应急预案评审的；</w:t>
            </w:r>
          </w:p>
        </w:tc>
        <w:tc>
          <w:tcPr>
            <w:tcW w:w="803" w:type="dxa"/>
            <w:vAlign w:val="top"/>
          </w:tcPr>
          <w:p w14:paraId="346D06C0">
            <w:pPr>
              <w:spacing w:line="257" w:lineRule="auto"/>
              <w:rPr>
                <w:rFonts w:ascii="Arial"/>
                <w:sz w:val="21"/>
              </w:rPr>
            </w:pPr>
          </w:p>
          <w:p w14:paraId="6CE716C2">
            <w:pPr>
              <w:spacing w:line="257" w:lineRule="auto"/>
              <w:rPr>
                <w:rFonts w:ascii="Arial"/>
                <w:sz w:val="21"/>
              </w:rPr>
            </w:pPr>
          </w:p>
          <w:p w14:paraId="4E903EAC">
            <w:pPr>
              <w:spacing w:line="257" w:lineRule="auto"/>
              <w:rPr>
                <w:rFonts w:ascii="Arial"/>
                <w:sz w:val="21"/>
              </w:rPr>
            </w:pPr>
          </w:p>
          <w:p w14:paraId="6927B21D">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DB1DB84">
            <w:pPr>
              <w:spacing w:line="277" w:lineRule="auto"/>
              <w:rPr>
                <w:rFonts w:ascii="Arial"/>
                <w:sz w:val="21"/>
              </w:rPr>
            </w:pPr>
          </w:p>
          <w:p w14:paraId="66E9CA29">
            <w:pPr>
              <w:spacing w:line="278" w:lineRule="auto"/>
              <w:rPr>
                <w:rFonts w:ascii="Arial"/>
                <w:sz w:val="21"/>
              </w:rPr>
            </w:pPr>
          </w:p>
          <w:p w14:paraId="455690CC">
            <w:pPr>
              <w:pStyle w:val="6"/>
              <w:spacing w:before="98" w:line="196" w:lineRule="auto"/>
              <w:ind w:left="124" w:right="109" w:hanging="6"/>
            </w:pPr>
            <w:r>
              <w:rPr>
                <w:spacing w:val="26"/>
              </w:rPr>
              <w:t>未形成书面评审纪</w:t>
            </w:r>
            <w:r>
              <w:rPr>
                <w:spacing w:val="-1"/>
              </w:rPr>
              <w:t>要的</w:t>
            </w:r>
          </w:p>
        </w:tc>
        <w:tc>
          <w:tcPr>
            <w:tcW w:w="2894" w:type="dxa"/>
            <w:vAlign w:val="top"/>
          </w:tcPr>
          <w:p w14:paraId="75D872B1">
            <w:pPr>
              <w:spacing w:line="410" w:lineRule="auto"/>
              <w:rPr>
                <w:rFonts w:ascii="Arial"/>
                <w:sz w:val="21"/>
              </w:rPr>
            </w:pPr>
          </w:p>
          <w:p w14:paraId="37532CCE">
            <w:pPr>
              <w:pStyle w:val="6"/>
              <w:spacing w:before="99" w:line="191" w:lineRule="auto"/>
              <w:ind w:left="127" w:right="104"/>
              <w:jc w:val="both"/>
            </w:pPr>
            <w:r>
              <w:rPr>
                <w:spacing w:val="8"/>
              </w:rPr>
              <w:t>责令限期改正，可以处</w:t>
            </w:r>
            <w:r>
              <w:rPr>
                <w:rFonts w:ascii="宋体" w:hAnsi="宋体" w:eastAsia="宋体" w:cs="宋体"/>
                <w:spacing w:val="8"/>
              </w:rPr>
              <w:t>1</w:t>
            </w:r>
            <w:r>
              <w:rPr>
                <w:spacing w:val="4"/>
              </w:rPr>
              <w:t>万元以上</w:t>
            </w:r>
            <w:r>
              <w:rPr>
                <w:rFonts w:ascii="宋体" w:hAnsi="宋体" w:eastAsia="宋体" w:cs="宋体"/>
                <w:spacing w:val="4"/>
              </w:rPr>
              <w:t>1.5</w:t>
            </w:r>
            <w:r>
              <w:rPr>
                <w:spacing w:val="4"/>
              </w:rPr>
              <w:t>万元以下的</w:t>
            </w:r>
            <w:r>
              <w:rPr>
                <w:spacing w:val="-1"/>
              </w:rPr>
              <w:t>罚款</w:t>
            </w:r>
          </w:p>
        </w:tc>
        <w:tc>
          <w:tcPr>
            <w:tcW w:w="811" w:type="dxa"/>
            <w:vMerge w:val="restart"/>
            <w:tcBorders>
              <w:bottom w:val="nil"/>
            </w:tcBorders>
            <w:vAlign w:val="top"/>
          </w:tcPr>
          <w:p w14:paraId="4D6E7E2D">
            <w:pPr>
              <w:spacing w:line="248" w:lineRule="auto"/>
              <w:rPr>
                <w:rFonts w:ascii="Arial"/>
                <w:sz w:val="21"/>
              </w:rPr>
            </w:pPr>
          </w:p>
          <w:p w14:paraId="7981AF69">
            <w:pPr>
              <w:spacing w:line="248" w:lineRule="auto"/>
              <w:rPr>
                <w:rFonts w:ascii="Arial"/>
                <w:sz w:val="21"/>
              </w:rPr>
            </w:pPr>
          </w:p>
          <w:p w14:paraId="51CDC3DC">
            <w:pPr>
              <w:spacing w:line="248" w:lineRule="auto"/>
              <w:rPr>
                <w:rFonts w:ascii="Arial"/>
                <w:sz w:val="21"/>
              </w:rPr>
            </w:pPr>
          </w:p>
          <w:p w14:paraId="117A3913">
            <w:pPr>
              <w:spacing w:line="248" w:lineRule="auto"/>
              <w:rPr>
                <w:rFonts w:ascii="Arial"/>
                <w:sz w:val="21"/>
              </w:rPr>
            </w:pPr>
          </w:p>
          <w:p w14:paraId="100B1654">
            <w:pPr>
              <w:spacing w:line="248" w:lineRule="auto"/>
              <w:rPr>
                <w:rFonts w:ascii="Arial"/>
                <w:sz w:val="21"/>
              </w:rPr>
            </w:pPr>
          </w:p>
          <w:p w14:paraId="61B07407">
            <w:pPr>
              <w:spacing w:line="248" w:lineRule="auto"/>
              <w:rPr>
                <w:rFonts w:ascii="Arial"/>
                <w:sz w:val="21"/>
              </w:rPr>
            </w:pPr>
          </w:p>
          <w:p w14:paraId="50286A59">
            <w:pPr>
              <w:spacing w:line="249" w:lineRule="auto"/>
              <w:rPr>
                <w:rFonts w:ascii="Arial"/>
                <w:sz w:val="21"/>
              </w:rPr>
            </w:pPr>
          </w:p>
          <w:p w14:paraId="6B856A2B">
            <w:pPr>
              <w:spacing w:line="249" w:lineRule="auto"/>
              <w:rPr>
                <w:rFonts w:ascii="Arial"/>
                <w:sz w:val="21"/>
              </w:rPr>
            </w:pPr>
          </w:p>
          <w:p w14:paraId="1685C6DA">
            <w:pPr>
              <w:spacing w:line="249" w:lineRule="auto"/>
              <w:rPr>
                <w:rFonts w:ascii="Arial"/>
                <w:sz w:val="21"/>
              </w:rPr>
            </w:pPr>
          </w:p>
          <w:p w14:paraId="0EE56CEB">
            <w:pPr>
              <w:spacing w:line="249" w:lineRule="auto"/>
              <w:rPr>
                <w:rFonts w:ascii="Arial"/>
                <w:sz w:val="21"/>
              </w:rPr>
            </w:pPr>
          </w:p>
          <w:p w14:paraId="461603D5">
            <w:pPr>
              <w:spacing w:line="249" w:lineRule="auto"/>
              <w:rPr>
                <w:rFonts w:ascii="Arial"/>
                <w:sz w:val="21"/>
              </w:rPr>
            </w:pPr>
          </w:p>
          <w:p w14:paraId="48F58FDA">
            <w:pPr>
              <w:spacing w:line="249" w:lineRule="auto"/>
              <w:rPr>
                <w:rFonts w:ascii="Arial"/>
                <w:sz w:val="21"/>
              </w:rPr>
            </w:pPr>
          </w:p>
          <w:p w14:paraId="75A9EBDD">
            <w:pPr>
              <w:spacing w:before="75" w:line="188" w:lineRule="auto"/>
              <w:ind w:left="295"/>
              <w:rPr>
                <w:rFonts w:ascii="宋体" w:hAnsi="宋体" w:eastAsia="宋体" w:cs="宋体"/>
                <w:sz w:val="23"/>
                <w:szCs w:val="23"/>
              </w:rPr>
            </w:pPr>
            <w:r>
              <w:rPr>
                <w:rFonts w:ascii="宋体" w:hAnsi="宋体" w:eastAsia="宋体" w:cs="宋体"/>
                <w:spacing w:val="-4"/>
                <w:sz w:val="23"/>
                <w:szCs w:val="23"/>
              </w:rPr>
              <w:t>52</w:t>
            </w:r>
          </w:p>
        </w:tc>
      </w:tr>
      <w:tr w14:paraId="252B2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5" w:hRule="atLeast"/>
        </w:trPr>
        <w:tc>
          <w:tcPr>
            <w:tcW w:w="818" w:type="dxa"/>
            <w:vMerge w:val="continue"/>
            <w:tcBorders>
              <w:top w:val="nil"/>
              <w:bottom w:val="nil"/>
            </w:tcBorders>
            <w:vAlign w:val="top"/>
          </w:tcPr>
          <w:p w14:paraId="215D1022">
            <w:pPr>
              <w:rPr>
                <w:rFonts w:ascii="Arial"/>
                <w:sz w:val="21"/>
              </w:rPr>
            </w:pPr>
          </w:p>
        </w:tc>
        <w:tc>
          <w:tcPr>
            <w:tcW w:w="1440" w:type="dxa"/>
            <w:vMerge w:val="continue"/>
            <w:tcBorders>
              <w:top w:val="nil"/>
              <w:bottom w:val="nil"/>
            </w:tcBorders>
            <w:vAlign w:val="top"/>
          </w:tcPr>
          <w:p w14:paraId="39C3E5FD">
            <w:pPr>
              <w:rPr>
                <w:rFonts w:ascii="Arial"/>
                <w:sz w:val="21"/>
              </w:rPr>
            </w:pPr>
          </w:p>
        </w:tc>
        <w:tc>
          <w:tcPr>
            <w:tcW w:w="3202" w:type="dxa"/>
            <w:vMerge w:val="continue"/>
            <w:tcBorders>
              <w:top w:val="nil"/>
              <w:bottom w:val="nil"/>
            </w:tcBorders>
            <w:vAlign w:val="top"/>
          </w:tcPr>
          <w:p w14:paraId="624C4B8A">
            <w:pPr>
              <w:rPr>
                <w:rFonts w:ascii="Arial"/>
                <w:sz w:val="21"/>
              </w:rPr>
            </w:pPr>
          </w:p>
        </w:tc>
        <w:tc>
          <w:tcPr>
            <w:tcW w:w="2859" w:type="dxa"/>
            <w:vMerge w:val="continue"/>
            <w:tcBorders>
              <w:top w:val="nil"/>
              <w:bottom w:val="nil"/>
            </w:tcBorders>
            <w:vAlign w:val="top"/>
          </w:tcPr>
          <w:p w14:paraId="2EE9141C">
            <w:pPr>
              <w:rPr>
                <w:rFonts w:ascii="Arial"/>
                <w:sz w:val="21"/>
              </w:rPr>
            </w:pPr>
          </w:p>
        </w:tc>
        <w:tc>
          <w:tcPr>
            <w:tcW w:w="803" w:type="dxa"/>
            <w:vAlign w:val="top"/>
          </w:tcPr>
          <w:p w14:paraId="57F8042B">
            <w:pPr>
              <w:spacing w:line="282" w:lineRule="auto"/>
              <w:rPr>
                <w:rFonts w:ascii="Arial"/>
                <w:sz w:val="21"/>
              </w:rPr>
            </w:pPr>
          </w:p>
          <w:p w14:paraId="2720F852">
            <w:pPr>
              <w:spacing w:line="283" w:lineRule="auto"/>
              <w:rPr>
                <w:rFonts w:ascii="Arial"/>
                <w:sz w:val="21"/>
              </w:rPr>
            </w:pPr>
          </w:p>
          <w:p w14:paraId="3ACE705B">
            <w:pPr>
              <w:spacing w:line="283" w:lineRule="auto"/>
              <w:rPr>
                <w:rFonts w:ascii="Arial"/>
                <w:sz w:val="21"/>
              </w:rPr>
            </w:pPr>
          </w:p>
          <w:p w14:paraId="09CFBDAD">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AE49CF0">
            <w:pPr>
              <w:spacing w:line="314" w:lineRule="auto"/>
              <w:rPr>
                <w:rFonts w:ascii="Arial"/>
                <w:sz w:val="21"/>
              </w:rPr>
            </w:pPr>
          </w:p>
          <w:p w14:paraId="4BEF8348">
            <w:pPr>
              <w:spacing w:line="314" w:lineRule="auto"/>
              <w:rPr>
                <w:rFonts w:ascii="Arial"/>
                <w:sz w:val="21"/>
              </w:rPr>
            </w:pPr>
          </w:p>
          <w:p w14:paraId="5A205DAE">
            <w:pPr>
              <w:pStyle w:val="6"/>
              <w:spacing w:before="99" w:line="196" w:lineRule="auto"/>
              <w:ind w:left="126" w:right="109" w:hanging="9"/>
            </w:pPr>
            <w:r>
              <w:rPr>
                <w:spacing w:val="-3"/>
              </w:rPr>
              <w:t>评审人员、评审内容</w:t>
            </w:r>
            <w:r>
              <w:rPr>
                <w:spacing w:val="6"/>
              </w:rPr>
              <w:t>等不符合要求的</w:t>
            </w:r>
          </w:p>
        </w:tc>
        <w:tc>
          <w:tcPr>
            <w:tcW w:w="2894" w:type="dxa"/>
            <w:vAlign w:val="top"/>
          </w:tcPr>
          <w:p w14:paraId="3E7F6775">
            <w:pPr>
              <w:rPr>
                <w:rFonts w:ascii="Arial"/>
                <w:sz w:val="21"/>
              </w:rPr>
            </w:pPr>
          </w:p>
          <w:p w14:paraId="434D8D53">
            <w:pPr>
              <w:spacing w:line="241" w:lineRule="auto"/>
              <w:rPr>
                <w:rFonts w:ascii="Arial"/>
                <w:sz w:val="21"/>
              </w:rPr>
            </w:pPr>
          </w:p>
          <w:p w14:paraId="422F427A">
            <w:pPr>
              <w:pStyle w:val="6"/>
              <w:spacing w:before="99" w:line="191" w:lineRule="auto"/>
              <w:ind w:left="122" w:right="104" w:firstLine="4"/>
              <w:jc w:val="both"/>
            </w:pPr>
            <w:r>
              <w:rPr>
                <w:spacing w:val="-5"/>
              </w:rPr>
              <w:t>责令限期改正，可以处</w:t>
            </w:r>
            <w:r>
              <w:rPr>
                <w:rFonts w:ascii="宋体" w:hAnsi="宋体" w:eastAsia="宋体" w:cs="宋体"/>
                <w:spacing w:val="-5"/>
              </w:rPr>
              <w:t>1.5</w:t>
            </w:r>
            <w:r>
              <w:rPr>
                <w:spacing w:val="7"/>
              </w:rPr>
              <w:t>万元以上</w:t>
            </w:r>
            <w:r>
              <w:rPr>
                <w:rFonts w:ascii="宋体" w:hAnsi="宋体" w:eastAsia="宋体" w:cs="宋体"/>
                <w:spacing w:val="7"/>
              </w:rPr>
              <w:t>2</w:t>
            </w:r>
            <w:r>
              <w:rPr>
                <w:spacing w:val="7"/>
              </w:rPr>
              <w:t>万元以下的罚</w:t>
            </w:r>
            <w:r>
              <w:t>款</w:t>
            </w:r>
          </w:p>
        </w:tc>
        <w:tc>
          <w:tcPr>
            <w:tcW w:w="811" w:type="dxa"/>
            <w:vMerge w:val="continue"/>
            <w:tcBorders>
              <w:top w:val="nil"/>
              <w:bottom w:val="nil"/>
            </w:tcBorders>
            <w:vAlign w:val="top"/>
          </w:tcPr>
          <w:p w14:paraId="44399831">
            <w:pPr>
              <w:rPr>
                <w:rFonts w:ascii="Arial"/>
                <w:sz w:val="21"/>
              </w:rPr>
            </w:pPr>
          </w:p>
        </w:tc>
      </w:tr>
      <w:tr w14:paraId="51E44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0" w:hRule="atLeast"/>
        </w:trPr>
        <w:tc>
          <w:tcPr>
            <w:tcW w:w="818" w:type="dxa"/>
            <w:vMerge w:val="continue"/>
            <w:tcBorders>
              <w:top w:val="nil"/>
            </w:tcBorders>
            <w:vAlign w:val="top"/>
          </w:tcPr>
          <w:p w14:paraId="24F07730">
            <w:pPr>
              <w:rPr>
                <w:rFonts w:ascii="Arial"/>
                <w:sz w:val="21"/>
              </w:rPr>
            </w:pPr>
          </w:p>
        </w:tc>
        <w:tc>
          <w:tcPr>
            <w:tcW w:w="1440" w:type="dxa"/>
            <w:vMerge w:val="continue"/>
            <w:tcBorders>
              <w:top w:val="nil"/>
            </w:tcBorders>
            <w:vAlign w:val="top"/>
          </w:tcPr>
          <w:p w14:paraId="0FA22BD4">
            <w:pPr>
              <w:rPr>
                <w:rFonts w:ascii="Arial"/>
                <w:sz w:val="21"/>
              </w:rPr>
            </w:pPr>
          </w:p>
        </w:tc>
        <w:tc>
          <w:tcPr>
            <w:tcW w:w="3202" w:type="dxa"/>
            <w:vMerge w:val="continue"/>
            <w:tcBorders>
              <w:top w:val="nil"/>
            </w:tcBorders>
            <w:vAlign w:val="top"/>
          </w:tcPr>
          <w:p w14:paraId="7002D78A">
            <w:pPr>
              <w:rPr>
                <w:rFonts w:ascii="Arial"/>
                <w:sz w:val="21"/>
              </w:rPr>
            </w:pPr>
          </w:p>
        </w:tc>
        <w:tc>
          <w:tcPr>
            <w:tcW w:w="2859" w:type="dxa"/>
            <w:vMerge w:val="continue"/>
            <w:tcBorders>
              <w:top w:val="nil"/>
            </w:tcBorders>
            <w:vAlign w:val="top"/>
          </w:tcPr>
          <w:p w14:paraId="6D5D0BD5">
            <w:pPr>
              <w:rPr>
                <w:rFonts w:ascii="Arial"/>
                <w:sz w:val="21"/>
              </w:rPr>
            </w:pPr>
          </w:p>
        </w:tc>
        <w:tc>
          <w:tcPr>
            <w:tcW w:w="803" w:type="dxa"/>
            <w:vAlign w:val="top"/>
          </w:tcPr>
          <w:p w14:paraId="22521367">
            <w:pPr>
              <w:spacing w:line="264" w:lineRule="auto"/>
              <w:rPr>
                <w:rFonts w:ascii="Arial"/>
                <w:sz w:val="21"/>
              </w:rPr>
            </w:pPr>
          </w:p>
          <w:p w14:paraId="30F8DD20">
            <w:pPr>
              <w:spacing w:line="264" w:lineRule="auto"/>
              <w:rPr>
                <w:rFonts w:ascii="Arial"/>
                <w:sz w:val="21"/>
              </w:rPr>
            </w:pPr>
          </w:p>
          <w:p w14:paraId="0D864C17">
            <w:pPr>
              <w:spacing w:line="264" w:lineRule="auto"/>
              <w:rPr>
                <w:rFonts w:ascii="Arial"/>
                <w:sz w:val="21"/>
              </w:rPr>
            </w:pPr>
          </w:p>
          <w:p w14:paraId="70AA2D8B">
            <w:pPr>
              <w:spacing w:line="264" w:lineRule="auto"/>
              <w:rPr>
                <w:rFonts w:ascii="Arial"/>
                <w:sz w:val="21"/>
              </w:rPr>
            </w:pPr>
          </w:p>
          <w:p w14:paraId="1BA48AEB">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008F1F2">
            <w:pPr>
              <w:spacing w:line="280" w:lineRule="auto"/>
              <w:rPr>
                <w:rFonts w:ascii="Arial"/>
                <w:sz w:val="21"/>
              </w:rPr>
            </w:pPr>
          </w:p>
          <w:p w14:paraId="155B0C9E">
            <w:pPr>
              <w:spacing w:line="280" w:lineRule="auto"/>
              <w:rPr>
                <w:rFonts w:ascii="Arial"/>
                <w:sz w:val="21"/>
              </w:rPr>
            </w:pPr>
          </w:p>
          <w:p w14:paraId="3CA4159A">
            <w:pPr>
              <w:spacing w:line="281" w:lineRule="auto"/>
              <w:rPr>
                <w:rFonts w:ascii="Arial"/>
                <w:sz w:val="21"/>
              </w:rPr>
            </w:pPr>
          </w:p>
          <w:p w14:paraId="737FA627">
            <w:pPr>
              <w:pStyle w:val="6"/>
              <w:spacing w:before="99" w:line="196" w:lineRule="auto"/>
              <w:ind w:left="134" w:right="109" w:hanging="16"/>
            </w:pPr>
            <w:r>
              <w:rPr>
                <w:spacing w:val="26"/>
              </w:rPr>
              <w:t>未开展应急预案评</w:t>
            </w:r>
            <w:r>
              <w:rPr>
                <w:spacing w:val="-3"/>
              </w:rPr>
              <w:t>审的</w:t>
            </w:r>
          </w:p>
        </w:tc>
        <w:tc>
          <w:tcPr>
            <w:tcW w:w="2894" w:type="dxa"/>
            <w:vAlign w:val="top"/>
          </w:tcPr>
          <w:p w14:paraId="37F769F6">
            <w:pPr>
              <w:spacing w:line="346" w:lineRule="auto"/>
              <w:rPr>
                <w:rFonts w:ascii="Arial"/>
                <w:sz w:val="21"/>
              </w:rPr>
            </w:pPr>
          </w:p>
          <w:p w14:paraId="2B8DB62F">
            <w:pPr>
              <w:spacing w:line="346" w:lineRule="auto"/>
              <w:rPr>
                <w:rFonts w:ascii="Arial"/>
                <w:sz w:val="21"/>
              </w:rPr>
            </w:pPr>
          </w:p>
          <w:p w14:paraId="62A62F0F">
            <w:pPr>
              <w:pStyle w:val="6"/>
              <w:spacing w:before="99" w:line="191" w:lineRule="auto"/>
              <w:ind w:left="122" w:right="104" w:firstLine="4"/>
              <w:jc w:val="both"/>
            </w:pPr>
            <w:r>
              <w:rPr>
                <w:spacing w:val="10"/>
              </w:rPr>
              <w:t>责令限期改正，可以处</w:t>
            </w:r>
            <w:r>
              <w:rPr>
                <w:rFonts w:ascii="宋体" w:hAnsi="宋体" w:eastAsia="宋体" w:cs="宋体"/>
                <w:spacing w:val="10"/>
              </w:rPr>
              <w:t>2</w:t>
            </w:r>
            <w:r>
              <w:rPr>
                <w:spacing w:val="7"/>
              </w:rPr>
              <w:t>万元以上</w:t>
            </w:r>
            <w:r>
              <w:rPr>
                <w:rFonts w:ascii="宋体" w:hAnsi="宋体" w:eastAsia="宋体" w:cs="宋体"/>
                <w:spacing w:val="7"/>
              </w:rPr>
              <w:t>3</w:t>
            </w:r>
            <w:r>
              <w:rPr>
                <w:spacing w:val="7"/>
              </w:rPr>
              <w:t>万元以下的罚</w:t>
            </w:r>
            <w:r>
              <w:t>款</w:t>
            </w:r>
          </w:p>
        </w:tc>
        <w:tc>
          <w:tcPr>
            <w:tcW w:w="811" w:type="dxa"/>
            <w:vMerge w:val="continue"/>
            <w:tcBorders>
              <w:top w:val="nil"/>
            </w:tcBorders>
            <w:vAlign w:val="top"/>
          </w:tcPr>
          <w:p w14:paraId="01EE5357">
            <w:pPr>
              <w:rPr>
                <w:rFonts w:ascii="Arial"/>
                <w:sz w:val="21"/>
              </w:rPr>
            </w:pPr>
          </w:p>
        </w:tc>
      </w:tr>
    </w:tbl>
    <w:p w14:paraId="0E7686CB">
      <w:pPr>
        <w:pStyle w:val="2"/>
      </w:pPr>
    </w:p>
    <w:p w14:paraId="0868FFAC">
      <w:pPr>
        <w:sectPr>
          <w:footerReference r:id="rId91" w:type="default"/>
          <w:pgSz w:w="16839" w:h="11906"/>
          <w:pgMar w:top="1012" w:right="821" w:bottom="666" w:left="901" w:header="0" w:footer="388" w:gutter="0"/>
          <w:cols w:space="720" w:num="1"/>
        </w:sectPr>
      </w:pPr>
    </w:p>
    <w:p w14:paraId="076CA966">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B788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F06BD03">
            <w:pPr>
              <w:spacing w:before="222" w:line="241" w:lineRule="auto"/>
              <w:ind w:left="131"/>
              <w:outlineLvl w:val="0"/>
              <w:rPr>
                <w:rFonts w:ascii="黑体" w:hAnsi="黑体" w:eastAsia="黑体" w:cs="黑体"/>
                <w:sz w:val="28"/>
                <w:szCs w:val="28"/>
              </w:rPr>
            </w:pPr>
            <w:bookmarkStart w:id="474" w:name="bookmark515"/>
            <w:bookmarkEnd w:id="474"/>
            <w:bookmarkStart w:id="475" w:name="bookmark156"/>
            <w:bookmarkEnd w:id="475"/>
            <w:r>
              <w:rPr>
                <w:rFonts w:ascii="黑体" w:hAnsi="黑体" w:eastAsia="黑体" w:cs="黑体"/>
                <w:spacing w:val="-2"/>
                <w:sz w:val="28"/>
                <w:szCs w:val="28"/>
              </w:rPr>
              <w:t>序号</w:t>
            </w:r>
          </w:p>
        </w:tc>
        <w:tc>
          <w:tcPr>
            <w:tcW w:w="1440" w:type="dxa"/>
            <w:vAlign w:val="top"/>
          </w:tcPr>
          <w:p w14:paraId="2CB6CCD3">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7A235BA">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66B371D">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4D0ACDF9">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22BF716">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1E8BC6D">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74ABB35E">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7D02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18" w:type="dxa"/>
            <w:vAlign w:val="top"/>
          </w:tcPr>
          <w:p w14:paraId="54783B4C">
            <w:pPr>
              <w:rPr>
                <w:rFonts w:ascii="Arial"/>
                <w:sz w:val="21"/>
              </w:rPr>
            </w:pPr>
          </w:p>
        </w:tc>
        <w:tc>
          <w:tcPr>
            <w:tcW w:w="1440" w:type="dxa"/>
            <w:vAlign w:val="top"/>
          </w:tcPr>
          <w:p w14:paraId="5D37D86F">
            <w:pPr>
              <w:pStyle w:val="6"/>
              <w:spacing w:before="29" w:line="172" w:lineRule="auto"/>
              <w:ind w:left="132" w:right="111" w:hanging="11"/>
            </w:pPr>
            <w:r>
              <w:rPr>
                <w:spacing w:val="10"/>
              </w:rPr>
              <w:t>应急预案评</w:t>
            </w:r>
            <w:r>
              <w:rPr>
                <w:spacing w:val="-3"/>
              </w:rPr>
              <w:t>审的</w:t>
            </w:r>
          </w:p>
        </w:tc>
        <w:tc>
          <w:tcPr>
            <w:tcW w:w="3202" w:type="dxa"/>
            <w:vAlign w:val="top"/>
          </w:tcPr>
          <w:p w14:paraId="4D221FD2">
            <w:pPr>
              <w:rPr>
                <w:rFonts w:ascii="Arial"/>
                <w:sz w:val="21"/>
              </w:rPr>
            </w:pPr>
          </w:p>
        </w:tc>
        <w:tc>
          <w:tcPr>
            <w:tcW w:w="2859" w:type="dxa"/>
            <w:vAlign w:val="top"/>
          </w:tcPr>
          <w:p w14:paraId="4C9E175A">
            <w:pPr>
              <w:rPr>
                <w:rFonts w:ascii="Arial"/>
                <w:sz w:val="21"/>
              </w:rPr>
            </w:pPr>
          </w:p>
        </w:tc>
        <w:tc>
          <w:tcPr>
            <w:tcW w:w="803" w:type="dxa"/>
            <w:vAlign w:val="top"/>
          </w:tcPr>
          <w:p w14:paraId="419BA6C8">
            <w:pPr>
              <w:rPr>
                <w:rFonts w:ascii="Arial"/>
                <w:sz w:val="21"/>
              </w:rPr>
            </w:pPr>
          </w:p>
        </w:tc>
        <w:tc>
          <w:tcPr>
            <w:tcW w:w="2283" w:type="dxa"/>
            <w:vAlign w:val="top"/>
          </w:tcPr>
          <w:p w14:paraId="0E6452C3">
            <w:pPr>
              <w:rPr>
                <w:rFonts w:ascii="Arial"/>
                <w:sz w:val="21"/>
              </w:rPr>
            </w:pPr>
          </w:p>
        </w:tc>
        <w:tc>
          <w:tcPr>
            <w:tcW w:w="2894" w:type="dxa"/>
            <w:vAlign w:val="top"/>
          </w:tcPr>
          <w:p w14:paraId="03FC1495">
            <w:pPr>
              <w:rPr>
                <w:rFonts w:ascii="Arial"/>
                <w:sz w:val="21"/>
              </w:rPr>
            </w:pPr>
          </w:p>
        </w:tc>
        <w:tc>
          <w:tcPr>
            <w:tcW w:w="811" w:type="dxa"/>
            <w:vAlign w:val="top"/>
          </w:tcPr>
          <w:p w14:paraId="6CC7E3EE">
            <w:pPr>
              <w:rPr>
                <w:rFonts w:ascii="Arial"/>
                <w:sz w:val="21"/>
              </w:rPr>
            </w:pPr>
          </w:p>
        </w:tc>
      </w:tr>
      <w:tr w14:paraId="67474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818" w:type="dxa"/>
            <w:vMerge w:val="restart"/>
            <w:tcBorders>
              <w:bottom w:val="nil"/>
            </w:tcBorders>
            <w:vAlign w:val="top"/>
          </w:tcPr>
          <w:p w14:paraId="5E86851F">
            <w:pPr>
              <w:spacing w:line="252" w:lineRule="auto"/>
              <w:rPr>
                <w:rFonts w:ascii="Arial"/>
                <w:sz w:val="21"/>
              </w:rPr>
            </w:pPr>
          </w:p>
          <w:p w14:paraId="25E69660">
            <w:pPr>
              <w:spacing w:line="252" w:lineRule="auto"/>
              <w:rPr>
                <w:rFonts w:ascii="Arial"/>
                <w:sz w:val="21"/>
              </w:rPr>
            </w:pPr>
          </w:p>
          <w:p w14:paraId="6C913321">
            <w:pPr>
              <w:spacing w:line="252" w:lineRule="auto"/>
              <w:rPr>
                <w:rFonts w:ascii="Arial"/>
                <w:sz w:val="21"/>
              </w:rPr>
            </w:pPr>
          </w:p>
          <w:p w14:paraId="322FE3E1">
            <w:pPr>
              <w:spacing w:line="252" w:lineRule="auto"/>
              <w:rPr>
                <w:rFonts w:ascii="Arial"/>
                <w:sz w:val="21"/>
              </w:rPr>
            </w:pPr>
          </w:p>
          <w:p w14:paraId="435BC8BF">
            <w:pPr>
              <w:spacing w:line="252" w:lineRule="auto"/>
              <w:rPr>
                <w:rFonts w:ascii="Arial"/>
                <w:sz w:val="21"/>
              </w:rPr>
            </w:pPr>
          </w:p>
          <w:p w14:paraId="2416AE6E">
            <w:pPr>
              <w:spacing w:line="252" w:lineRule="auto"/>
              <w:rPr>
                <w:rFonts w:ascii="Arial"/>
                <w:sz w:val="21"/>
              </w:rPr>
            </w:pPr>
          </w:p>
          <w:p w14:paraId="0F54D6DA">
            <w:pPr>
              <w:spacing w:line="252" w:lineRule="auto"/>
              <w:rPr>
                <w:rFonts w:ascii="Arial"/>
                <w:sz w:val="21"/>
              </w:rPr>
            </w:pPr>
          </w:p>
          <w:p w14:paraId="084D3FE4">
            <w:pPr>
              <w:spacing w:line="252" w:lineRule="auto"/>
              <w:rPr>
                <w:rFonts w:ascii="Arial"/>
                <w:sz w:val="21"/>
              </w:rPr>
            </w:pPr>
          </w:p>
          <w:p w14:paraId="5E9D9FE2">
            <w:pPr>
              <w:spacing w:line="252" w:lineRule="auto"/>
              <w:rPr>
                <w:rFonts w:ascii="Arial"/>
                <w:sz w:val="21"/>
              </w:rPr>
            </w:pPr>
          </w:p>
          <w:p w14:paraId="7FBFEDC6">
            <w:pPr>
              <w:spacing w:line="252" w:lineRule="auto"/>
              <w:rPr>
                <w:rFonts w:ascii="Arial"/>
                <w:sz w:val="21"/>
              </w:rPr>
            </w:pPr>
          </w:p>
          <w:p w14:paraId="7568C1C9">
            <w:pPr>
              <w:spacing w:line="253" w:lineRule="auto"/>
              <w:rPr>
                <w:rFonts w:ascii="Arial"/>
                <w:sz w:val="21"/>
              </w:rPr>
            </w:pPr>
          </w:p>
          <w:p w14:paraId="0C92AE1A">
            <w:pPr>
              <w:spacing w:line="253" w:lineRule="auto"/>
              <w:rPr>
                <w:rFonts w:ascii="Arial"/>
                <w:sz w:val="21"/>
              </w:rPr>
            </w:pPr>
          </w:p>
          <w:p w14:paraId="48E7F488">
            <w:pPr>
              <w:spacing w:line="253" w:lineRule="auto"/>
              <w:rPr>
                <w:rFonts w:ascii="Arial"/>
                <w:sz w:val="21"/>
              </w:rPr>
            </w:pPr>
          </w:p>
          <w:p w14:paraId="47C9CC4A">
            <w:pPr>
              <w:spacing w:line="253" w:lineRule="auto"/>
              <w:rPr>
                <w:rFonts w:ascii="Arial"/>
                <w:sz w:val="21"/>
              </w:rPr>
            </w:pPr>
          </w:p>
          <w:p w14:paraId="669CEA27">
            <w:pPr>
              <w:spacing w:line="253" w:lineRule="auto"/>
              <w:rPr>
                <w:rFonts w:ascii="Arial"/>
                <w:sz w:val="21"/>
              </w:rPr>
            </w:pPr>
          </w:p>
          <w:p w14:paraId="5BD7BA66">
            <w:pPr>
              <w:spacing w:line="253" w:lineRule="auto"/>
              <w:rPr>
                <w:rFonts w:ascii="Arial"/>
                <w:sz w:val="21"/>
              </w:rPr>
            </w:pPr>
          </w:p>
          <w:p w14:paraId="01116F9E">
            <w:pPr>
              <w:spacing w:before="75" w:line="185" w:lineRule="auto"/>
              <w:ind w:left="240"/>
              <w:rPr>
                <w:rFonts w:ascii="仿宋" w:hAnsi="仿宋" w:eastAsia="仿宋" w:cs="仿宋"/>
                <w:sz w:val="23"/>
                <w:szCs w:val="23"/>
              </w:rPr>
            </w:pPr>
            <w:r>
              <w:rPr>
                <w:rFonts w:ascii="仿宋" w:hAnsi="仿宋" w:eastAsia="仿宋" w:cs="仿宋"/>
                <w:spacing w:val="-4"/>
                <w:sz w:val="23"/>
                <w:szCs w:val="23"/>
              </w:rPr>
              <w:t>74</w:t>
            </w:r>
          </w:p>
        </w:tc>
        <w:tc>
          <w:tcPr>
            <w:tcW w:w="1440" w:type="dxa"/>
            <w:vMerge w:val="restart"/>
            <w:tcBorders>
              <w:bottom w:val="nil"/>
            </w:tcBorders>
            <w:vAlign w:val="top"/>
          </w:tcPr>
          <w:p w14:paraId="6695ED1B">
            <w:pPr>
              <w:spacing w:line="247" w:lineRule="auto"/>
              <w:rPr>
                <w:rFonts w:ascii="Arial"/>
                <w:sz w:val="21"/>
              </w:rPr>
            </w:pPr>
          </w:p>
          <w:p w14:paraId="07C7C265">
            <w:pPr>
              <w:spacing w:line="247" w:lineRule="auto"/>
              <w:rPr>
                <w:rFonts w:ascii="Arial"/>
                <w:sz w:val="21"/>
              </w:rPr>
            </w:pPr>
          </w:p>
          <w:p w14:paraId="49DE4044">
            <w:pPr>
              <w:spacing w:line="247" w:lineRule="auto"/>
              <w:rPr>
                <w:rFonts w:ascii="Arial"/>
                <w:sz w:val="21"/>
              </w:rPr>
            </w:pPr>
          </w:p>
          <w:p w14:paraId="4B0702CC">
            <w:pPr>
              <w:spacing w:line="247" w:lineRule="auto"/>
              <w:rPr>
                <w:rFonts w:ascii="Arial"/>
                <w:sz w:val="21"/>
              </w:rPr>
            </w:pPr>
          </w:p>
          <w:p w14:paraId="737B2884">
            <w:pPr>
              <w:spacing w:line="247" w:lineRule="auto"/>
              <w:rPr>
                <w:rFonts w:ascii="Arial"/>
                <w:sz w:val="21"/>
              </w:rPr>
            </w:pPr>
          </w:p>
          <w:p w14:paraId="215B3C1B">
            <w:pPr>
              <w:spacing w:line="247" w:lineRule="auto"/>
              <w:rPr>
                <w:rFonts w:ascii="Arial"/>
                <w:sz w:val="21"/>
              </w:rPr>
            </w:pPr>
          </w:p>
          <w:p w14:paraId="6A509BE9">
            <w:pPr>
              <w:spacing w:line="247" w:lineRule="auto"/>
              <w:rPr>
                <w:rFonts w:ascii="Arial"/>
                <w:sz w:val="21"/>
              </w:rPr>
            </w:pPr>
          </w:p>
          <w:p w14:paraId="04998DC1">
            <w:pPr>
              <w:spacing w:line="247" w:lineRule="auto"/>
              <w:rPr>
                <w:rFonts w:ascii="Arial"/>
                <w:sz w:val="21"/>
              </w:rPr>
            </w:pPr>
          </w:p>
          <w:p w14:paraId="75FB7FF2">
            <w:pPr>
              <w:spacing w:line="247" w:lineRule="auto"/>
              <w:rPr>
                <w:rFonts w:ascii="Arial"/>
                <w:sz w:val="21"/>
              </w:rPr>
            </w:pPr>
          </w:p>
          <w:p w14:paraId="25BEB1A8">
            <w:pPr>
              <w:spacing w:line="247" w:lineRule="auto"/>
              <w:rPr>
                <w:rFonts w:ascii="Arial"/>
                <w:sz w:val="21"/>
              </w:rPr>
            </w:pPr>
          </w:p>
          <w:p w14:paraId="57DCCAA4">
            <w:pPr>
              <w:pStyle w:val="6"/>
              <w:spacing w:before="99" w:line="185" w:lineRule="auto"/>
              <w:ind w:left="117" w:right="111" w:firstLine="2"/>
              <w:jc w:val="both"/>
            </w:pPr>
            <w:r>
              <w:rPr>
                <w:spacing w:val="10"/>
              </w:rPr>
              <w:t>事故风险可</w:t>
            </w:r>
            <w:r>
              <w:rPr>
                <w:spacing w:val="11"/>
              </w:rPr>
              <w:t>能影响周边单位、人员</w:t>
            </w:r>
            <w:r>
              <w:rPr>
                <w:spacing w:val="1"/>
              </w:rPr>
              <w:t>的，生产经</w:t>
            </w:r>
            <w:r>
              <w:rPr>
                <w:spacing w:val="11"/>
              </w:rPr>
              <w:t>营单位未将事故风险的性质、影响范围和应急防范措施告知周边单位</w:t>
            </w:r>
            <w:r>
              <w:rPr>
                <w:spacing w:val="5"/>
              </w:rPr>
              <w:t>和人员的</w:t>
            </w:r>
          </w:p>
        </w:tc>
        <w:tc>
          <w:tcPr>
            <w:tcW w:w="3202" w:type="dxa"/>
            <w:vMerge w:val="restart"/>
            <w:tcBorders>
              <w:bottom w:val="nil"/>
            </w:tcBorders>
            <w:vAlign w:val="top"/>
          </w:tcPr>
          <w:p w14:paraId="79BA65C9">
            <w:pPr>
              <w:pStyle w:val="6"/>
              <w:spacing w:before="25" w:line="186" w:lineRule="auto"/>
              <w:ind w:left="125" w:right="111" w:hanging="27"/>
              <w:jc w:val="both"/>
            </w:pPr>
            <w:r>
              <w:rPr>
                <w:spacing w:val="18"/>
              </w:rPr>
              <w:t>【部门规章】《生产安全事</w:t>
            </w:r>
            <w:r>
              <w:rPr>
                <w:spacing w:val="16"/>
              </w:rPr>
              <w:t>故应急预案管理办法》第二</w:t>
            </w:r>
            <w:r>
              <w:rPr>
                <w:spacing w:val="12"/>
              </w:rPr>
              <w:t>十四条第二款：事故风险可</w:t>
            </w:r>
            <w:r>
              <w:rPr>
                <w:spacing w:val="16"/>
              </w:rPr>
              <w:t>能影响周边其他单位、人员</w:t>
            </w:r>
            <w:r>
              <w:rPr>
                <w:spacing w:val="12"/>
              </w:rPr>
              <w:t>的，生产经营单位应当将有</w:t>
            </w:r>
            <w:r>
              <w:rPr>
                <w:spacing w:val="16"/>
              </w:rPr>
              <w:t>关事故风险的性质、影响范围和应急防范措施告知周边</w:t>
            </w:r>
            <w:r>
              <w:rPr>
                <w:spacing w:val="3"/>
              </w:rPr>
              <w:t>的其他单位和人员。</w:t>
            </w:r>
          </w:p>
        </w:tc>
        <w:tc>
          <w:tcPr>
            <w:tcW w:w="2859" w:type="dxa"/>
            <w:vMerge w:val="restart"/>
            <w:tcBorders>
              <w:bottom w:val="nil"/>
            </w:tcBorders>
            <w:vAlign w:val="top"/>
          </w:tcPr>
          <w:p w14:paraId="3C161C4B">
            <w:pPr>
              <w:pStyle w:val="6"/>
              <w:spacing w:before="39" w:line="184" w:lineRule="auto"/>
              <w:ind w:left="114" w:right="97" w:hanging="17"/>
            </w:pPr>
            <w:r>
              <w:rPr>
                <w:spacing w:val="10"/>
              </w:rPr>
              <w:t>【部门规章】《生产安全事故应急预案管理办法》</w:t>
            </w:r>
            <w:r>
              <w:rPr>
                <w:spacing w:val="32"/>
              </w:rPr>
              <w:t>第四十五条第一款第三</w:t>
            </w:r>
            <w:r>
              <w:rPr>
                <w:spacing w:val="8"/>
              </w:rPr>
              <w:t>项：生产经营单位有下列情形之一的，由县级以上人民政府应急管理部门责</w:t>
            </w:r>
            <w:r>
              <w:rPr>
                <w:spacing w:val="3"/>
              </w:rPr>
              <w:t>令限期改正，可以处</w:t>
            </w:r>
            <w:r>
              <w:rPr>
                <w:rFonts w:ascii="宋体" w:hAnsi="宋体" w:eastAsia="宋体" w:cs="宋体"/>
                <w:spacing w:val="3"/>
              </w:rPr>
              <w:t>1</w:t>
            </w:r>
            <w:r>
              <w:rPr>
                <w:spacing w:val="3"/>
              </w:rPr>
              <w:t>万</w:t>
            </w:r>
            <w:r>
              <w:rPr>
                <w:spacing w:val="20"/>
              </w:rPr>
              <w:t>元以上</w:t>
            </w:r>
            <w:r>
              <w:rPr>
                <w:rFonts w:ascii="宋体" w:hAnsi="宋体" w:eastAsia="宋体" w:cs="宋体"/>
                <w:spacing w:val="20"/>
              </w:rPr>
              <w:t>3</w:t>
            </w:r>
            <w:r>
              <w:rPr>
                <w:spacing w:val="20"/>
              </w:rPr>
              <w:t>万元以下的罚</w:t>
            </w:r>
            <w:r>
              <w:rPr>
                <w:spacing w:val="14"/>
              </w:rPr>
              <w:t>款</w:t>
            </w:r>
            <w:r>
              <w:rPr>
                <w:spacing w:val="-15"/>
              </w:rPr>
              <w:t>：（</w:t>
            </w:r>
            <w:r>
              <w:rPr>
                <w:spacing w:val="14"/>
              </w:rPr>
              <w:t>三）事故风险可能</w:t>
            </w:r>
            <w:r>
              <w:rPr>
                <w:spacing w:val="7"/>
              </w:rPr>
              <w:t>影响周边单位、人员的，</w:t>
            </w:r>
            <w:r>
              <w:rPr>
                <w:spacing w:val="8"/>
              </w:rPr>
              <w:t>未将事故风险的性质、影响范围和应急防范措施告</w:t>
            </w:r>
            <w:r>
              <w:rPr>
                <w:spacing w:val="3"/>
              </w:rPr>
              <w:t>知周边单位和人员的；</w:t>
            </w:r>
          </w:p>
        </w:tc>
        <w:tc>
          <w:tcPr>
            <w:tcW w:w="803" w:type="dxa"/>
            <w:vAlign w:val="top"/>
          </w:tcPr>
          <w:p w14:paraId="38F4E1A1">
            <w:pPr>
              <w:spacing w:line="247" w:lineRule="auto"/>
              <w:rPr>
                <w:rFonts w:ascii="Arial"/>
                <w:sz w:val="21"/>
              </w:rPr>
            </w:pPr>
          </w:p>
          <w:p w14:paraId="57213F7C">
            <w:pPr>
              <w:spacing w:line="248" w:lineRule="auto"/>
              <w:rPr>
                <w:rFonts w:ascii="Arial"/>
                <w:sz w:val="21"/>
              </w:rPr>
            </w:pPr>
          </w:p>
          <w:p w14:paraId="7B0406F1">
            <w:pPr>
              <w:spacing w:line="248" w:lineRule="auto"/>
              <w:rPr>
                <w:rFonts w:ascii="Arial"/>
                <w:sz w:val="21"/>
              </w:rPr>
            </w:pPr>
          </w:p>
          <w:p w14:paraId="197EC724">
            <w:pPr>
              <w:spacing w:line="248" w:lineRule="auto"/>
              <w:rPr>
                <w:rFonts w:ascii="Arial"/>
                <w:sz w:val="21"/>
              </w:rPr>
            </w:pPr>
          </w:p>
          <w:p w14:paraId="465A7076">
            <w:pPr>
              <w:spacing w:line="248" w:lineRule="auto"/>
              <w:rPr>
                <w:rFonts w:ascii="Arial"/>
                <w:sz w:val="21"/>
              </w:rPr>
            </w:pPr>
          </w:p>
          <w:p w14:paraId="3E7A3F84">
            <w:pPr>
              <w:spacing w:line="248" w:lineRule="auto"/>
              <w:rPr>
                <w:rFonts w:ascii="Arial"/>
                <w:sz w:val="21"/>
              </w:rPr>
            </w:pPr>
          </w:p>
          <w:p w14:paraId="7C456B93">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366AC2E">
            <w:pPr>
              <w:pStyle w:val="6"/>
              <w:spacing w:before="37" w:line="180" w:lineRule="auto"/>
              <w:ind w:left="117" w:right="105"/>
              <w:jc w:val="both"/>
            </w:pPr>
            <w:r>
              <w:rPr>
                <w:spacing w:val="-3"/>
              </w:rPr>
              <w:t>危险物品的生产、经营、储存、装卸单位以及金属冶炼、建筑施工、运输单位以外</w:t>
            </w:r>
            <w:r>
              <w:rPr>
                <w:spacing w:val="26"/>
              </w:rPr>
              <w:t>的其他生产经营单</w:t>
            </w:r>
            <w:r>
              <w:rPr>
                <w:spacing w:val="22"/>
              </w:rPr>
              <w:t>位从业人员在</w:t>
            </w:r>
            <w:r>
              <w:rPr>
                <w:rFonts w:ascii="宋体" w:hAnsi="宋体" w:eastAsia="宋体" w:cs="宋体"/>
                <w:spacing w:val="22"/>
              </w:rPr>
              <w:t>100</w:t>
            </w:r>
            <w:r>
              <w:rPr>
                <w:spacing w:val="-3"/>
              </w:rPr>
              <w:t>人以下，未将事故风险的性质、影响范围</w:t>
            </w:r>
            <w:r>
              <w:rPr>
                <w:spacing w:val="26"/>
              </w:rPr>
              <w:t>和应急防范措施告知周边单位和人员</w:t>
            </w:r>
            <w:r>
              <w:t>的</w:t>
            </w:r>
          </w:p>
        </w:tc>
        <w:tc>
          <w:tcPr>
            <w:tcW w:w="2894" w:type="dxa"/>
            <w:vAlign w:val="top"/>
          </w:tcPr>
          <w:p w14:paraId="4B0097A9">
            <w:pPr>
              <w:spacing w:line="281" w:lineRule="auto"/>
              <w:rPr>
                <w:rFonts w:ascii="Arial"/>
                <w:sz w:val="21"/>
              </w:rPr>
            </w:pPr>
          </w:p>
          <w:p w14:paraId="0E585EFA">
            <w:pPr>
              <w:spacing w:line="281" w:lineRule="auto"/>
              <w:rPr>
                <w:rFonts w:ascii="Arial"/>
                <w:sz w:val="21"/>
              </w:rPr>
            </w:pPr>
          </w:p>
          <w:p w14:paraId="33517157">
            <w:pPr>
              <w:spacing w:line="282" w:lineRule="auto"/>
              <w:rPr>
                <w:rFonts w:ascii="Arial"/>
                <w:sz w:val="21"/>
              </w:rPr>
            </w:pPr>
          </w:p>
          <w:p w14:paraId="341189AB">
            <w:pPr>
              <w:spacing w:line="282" w:lineRule="auto"/>
              <w:rPr>
                <w:rFonts w:ascii="Arial"/>
                <w:sz w:val="21"/>
              </w:rPr>
            </w:pPr>
          </w:p>
          <w:p w14:paraId="433DA8EB">
            <w:pPr>
              <w:pStyle w:val="6"/>
              <w:spacing w:before="99" w:line="191" w:lineRule="auto"/>
              <w:ind w:left="127" w:right="104"/>
              <w:jc w:val="both"/>
            </w:pPr>
            <w:r>
              <w:rPr>
                <w:spacing w:val="8"/>
              </w:rPr>
              <w:t>责令限期改正，可以处</w:t>
            </w:r>
            <w:r>
              <w:rPr>
                <w:rFonts w:ascii="宋体" w:hAnsi="宋体" w:eastAsia="宋体" w:cs="宋体"/>
                <w:spacing w:val="8"/>
              </w:rPr>
              <w:t>1</w:t>
            </w:r>
            <w:r>
              <w:rPr>
                <w:spacing w:val="4"/>
              </w:rPr>
              <w:t>万元以上</w:t>
            </w:r>
            <w:r>
              <w:rPr>
                <w:rFonts w:ascii="宋体" w:hAnsi="宋体" w:eastAsia="宋体" w:cs="宋体"/>
                <w:spacing w:val="4"/>
              </w:rPr>
              <w:t>1.5</w:t>
            </w:r>
            <w:r>
              <w:rPr>
                <w:spacing w:val="4"/>
              </w:rPr>
              <w:t>万元以下的</w:t>
            </w:r>
            <w:r>
              <w:rPr>
                <w:spacing w:val="-1"/>
              </w:rPr>
              <w:t>罚款</w:t>
            </w:r>
          </w:p>
        </w:tc>
        <w:tc>
          <w:tcPr>
            <w:tcW w:w="811" w:type="dxa"/>
            <w:vMerge w:val="restart"/>
            <w:tcBorders>
              <w:bottom w:val="nil"/>
            </w:tcBorders>
            <w:vAlign w:val="top"/>
          </w:tcPr>
          <w:p w14:paraId="7749E2C2">
            <w:pPr>
              <w:spacing w:line="252" w:lineRule="auto"/>
              <w:rPr>
                <w:rFonts w:ascii="Arial"/>
                <w:sz w:val="21"/>
              </w:rPr>
            </w:pPr>
          </w:p>
          <w:p w14:paraId="4F03E1C4">
            <w:pPr>
              <w:spacing w:line="252" w:lineRule="auto"/>
              <w:rPr>
                <w:rFonts w:ascii="Arial"/>
                <w:sz w:val="21"/>
              </w:rPr>
            </w:pPr>
          </w:p>
          <w:p w14:paraId="543A1E9C">
            <w:pPr>
              <w:spacing w:line="252" w:lineRule="auto"/>
              <w:rPr>
                <w:rFonts w:ascii="Arial"/>
                <w:sz w:val="21"/>
              </w:rPr>
            </w:pPr>
          </w:p>
          <w:p w14:paraId="362007D4">
            <w:pPr>
              <w:spacing w:line="252" w:lineRule="auto"/>
              <w:rPr>
                <w:rFonts w:ascii="Arial"/>
                <w:sz w:val="21"/>
              </w:rPr>
            </w:pPr>
          </w:p>
          <w:p w14:paraId="4A107DC0">
            <w:pPr>
              <w:spacing w:line="252" w:lineRule="auto"/>
              <w:rPr>
                <w:rFonts w:ascii="Arial"/>
                <w:sz w:val="21"/>
              </w:rPr>
            </w:pPr>
          </w:p>
          <w:p w14:paraId="79D64FAB">
            <w:pPr>
              <w:spacing w:line="252" w:lineRule="auto"/>
              <w:rPr>
                <w:rFonts w:ascii="Arial"/>
                <w:sz w:val="21"/>
              </w:rPr>
            </w:pPr>
          </w:p>
          <w:p w14:paraId="1BDD9D39">
            <w:pPr>
              <w:spacing w:line="252" w:lineRule="auto"/>
              <w:rPr>
                <w:rFonts w:ascii="Arial"/>
                <w:sz w:val="21"/>
              </w:rPr>
            </w:pPr>
          </w:p>
          <w:p w14:paraId="31EBD3CA">
            <w:pPr>
              <w:spacing w:line="252" w:lineRule="auto"/>
              <w:rPr>
                <w:rFonts w:ascii="Arial"/>
                <w:sz w:val="21"/>
              </w:rPr>
            </w:pPr>
          </w:p>
          <w:p w14:paraId="26325FAF">
            <w:pPr>
              <w:spacing w:line="252" w:lineRule="auto"/>
              <w:rPr>
                <w:rFonts w:ascii="Arial"/>
                <w:sz w:val="21"/>
              </w:rPr>
            </w:pPr>
          </w:p>
          <w:p w14:paraId="53861E4F">
            <w:pPr>
              <w:spacing w:line="252" w:lineRule="auto"/>
              <w:rPr>
                <w:rFonts w:ascii="Arial"/>
                <w:sz w:val="21"/>
              </w:rPr>
            </w:pPr>
          </w:p>
          <w:p w14:paraId="2ACE2BAD">
            <w:pPr>
              <w:spacing w:line="252" w:lineRule="auto"/>
              <w:rPr>
                <w:rFonts w:ascii="Arial"/>
                <w:sz w:val="21"/>
              </w:rPr>
            </w:pPr>
          </w:p>
          <w:p w14:paraId="4AE0AD54">
            <w:pPr>
              <w:spacing w:line="252" w:lineRule="auto"/>
              <w:rPr>
                <w:rFonts w:ascii="Arial"/>
                <w:sz w:val="21"/>
              </w:rPr>
            </w:pPr>
          </w:p>
          <w:p w14:paraId="3B787EE2">
            <w:pPr>
              <w:spacing w:line="252" w:lineRule="auto"/>
              <w:rPr>
                <w:rFonts w:ascii="Arial"/>
                <w:sz w:val="21"/>
              </w:rPr>
            </w:pPr>
          </w:p>
          <w:p w14:paraId="1722A4BA">
            <w:pPr>
              <w:spacing w:line="252" w:lineRule="auto"/>
              <w:rPr>
                <w:rFonts w:ascii="Arial"/>
                <w:sz w:val="21"/>
              </w:rPr>
            </w:pPr>
          </w:p>
          <w:p w14:paraId="33B63A62">
            <w:pPr>
              <w:spacing w:line="253" w:lineRule="auto"/>
              <w:rPr>
                <w:rFonts w:ascii="Arial"/>
                <w:sz w:val="21"/>
              </w:rPr>
            </w:pPr>
          </w:p>
          <w:p w14:paraId="78D3EAF4">
            <w:pPr>
              <w:spacing w:line="253" w:lineRule="auto"/>
              <w:rPr>
                <w:rFonts w:ascii="Arial"/>
                <w:sz w:val="21"/>
              </w:rPr>
            </w:pPr>
          </w:p>
          <w:p w14:paraId="4623B854">
            <w:pPr>
              <w:spacing w:before="75" w:line="188" w:lineRule="auto"/>
              <w:ind w:left="295"/>
              <w:rPr>
                <w:rFonts w:ascii="宋体" w:hAnsi="宋体" w:eastAsia="宋体" w:cs="宋体"/>
                <w:sz w:val="23"/>
                <w:szCs w:val="23"/>
              </w:rPr>
            </w:pPr>
            <w:r>
              <w:rPr>
                <w:rFonts w:ascii="宋体" w:hAnsi="宋体" w:eastAsia="宋体" w:cs="宋体"/>
                <w:spacing w:val="-4"/>
                <w:sz w:val="23"/>
                <w:szCs w:val="23"/>
              </w:rPr>
              <w:t>52</w:t>
            </w:r>
          </w:p>
        </w:tc>
      </w:tr>
      <w:tr w14:paraId="1BEFA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818" w:type="dxa"/>
            <w:vMerge w:val="continue"/>
            <w:tcBorders>
              <w:top w:val="nil"/>
              <w:bottom w:val="nil"/>
            </w:tcBorders>
            <w:vAlign w:val="top"/>
          </w:tcPr>
          <w:p w14:paraId="7D913A3E">
            <w:pPr>
              <w:rPr>
                <w:rFonts w:ascii="Arial"/>
                <w:sz w:val="21"/>
              </w:rPr>
            </w:pPr>
          </w:p>
        </w:tc>
        <w:tc>
          <w:tcPr>
            <w:tcW w:w="1440" w:type="dxa"/>
            <w:vMerge w:val="continue"/>
            <w:tcBorders>
              <w:top w:val="nil"/>
              <w:bottom w:val="nil"/>
            </w:tcBorders>
            <w:vAlign w:val="top"/>
          </w:tcPr>
          <w:p w14:paraId="73245DC8">
            <w:pPr>
              <w:rPr>
                <w:rFonts w:ascii="Arial"/>
                <w:sz w:val="21"/>
              </w:rPr>
            </w:pPr>
          </w:p>
        </w:tc>
        <w:tc>
          <w:tcPr>
            <w:tcW w:w="3202" w:type="dxa"/>
            <w:vMerge w:val="continue"/>
            <w:tcBorders>
              <w:top w:val="nil"/>
              <w:bottom w:val="nil"/>
            </w:tcBorders>
            <w:vAlign w:val="top"/>
          </w:tcPr>
          <w:p w14:paraId="1A410951">
            <w:pPr>
              <w:rPr>
                <w:rFonts w:ascii="Arial"/>
                <w:sz w:val="21"/>
              </w:rPr>
            </w:pPr>
          </w:p>
        </w:tc>
        <w:tc>
          <w:tcPr>
            <w:tcW w:w="2859" w:type="dxa"/>
            <w:vMerge w:val="continue"/>
            <w:tcBorders>
              <w:top w:val="nil"/>
              <w:bottom w:val="nil"/>
            </w:tcBorders>
            <w:vAlign w:val="top"/>
          </w:tcPr>
          <w:p w14:paraId="521EE79F">
            <w:pPr>
              <w:rPr>
                <w:rFonts w:ascii="Arial"/>
                <w:sz w:val="21"/>
              </w:rPr>
            </w:pPr>
          </w:p>
        </w:tc>
        <w:tc>
          <w:tcPr>
            <w:tcW w:w="803" w:type="dxa"/>
            <w:vAlign w:val="top"/>
          </w:tcPr>
          <w:p w14:paraId="44501EDC">
            <w:pPr>
              <w:spacing w:line="248" w:lineRule="auto"/>
              <w:rPr>
                <w:rFonts w:ascii="Arial"/>
                <w:sz w:val="21"/>
              </w:rPr>
            </w:pPr>
          </w:p>
          <w:p w14:paraId="6E0D84D0">
            <w:pPr>
              <w:spacing w:line="248" w:lineRule="auto"/>
              <w:rPr>
                <w:rFonts w:ascii="Arial"/>
                <w:sz w:val="21"/>
              </w:rPr>
            </w:pPr>
          </w:p>
          <w:p w14:paraId="729D7702">
            <w:pPr>
              <w:spacing w:line="249" w:lineRule="auto"/>
              <w:rPr>
                <w:rFonts w:ascii="Arial"/>
                <w:sz w:val="21"/>
              </w:rPr>
            </w:pPr>
          </w:p>
          <w:p w14:paraId="46657D5A">
            <w:pPr>
              <w:spacing w:line="249" w:lineRule="auto"/>
              <w:rPr>
                <w:rFonts w:ascii="Arial"/>
                <w:sz w:val="21"/>
              </w:rPr>
            </w:pPr>
          </w:p>
          <w:p w14:paraId="7CAD3632">
            <w:pPr>
              <w:spacing w:line="249" w:lineRule="auto"/>
              <w:rPr>
                <w:rFonts w:ascii="Arial"/>
                <w:sz w:val="21"/>
              </w:rPr>
            </w:pPr>
          </w:p>
          <w:p w14:paraId="2B1FF21A">
            <w:pPr>
              <w:spacing w:line="249" w:lineRule="auto"/>
              <w:rPr>
                <w:rFonts w:ascii="Arial"/>
                <w:sz w:val="21"/>
              </w:rPr>
            </w:pPr>
          </w:p>
          <w:p w14:paraId="35C67645">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05ACAB3">
            <w:pPr>
              <w:pStyle w:val="6"/>
              <w:spacing w:before="37" w:line="180" w:lineRule="auto"/>
              <w:ind w:left="117" w:right="105"/>
              <w:jc w:val="both"/>
            </w:pPr>
            <w:r>
              <w:rPr>
                <w:spacing w:val="-3"/>
              </w:rPr>
              <w:t>危险物品的生产、经营、储存、装卸单位以及金属冶炼、建筑施工、运输单位以外</w:t>
            </w:r>
            <w:r>
              <w:rPr>
                <w:spacing w:val="26"/>
              </w:rPr>
              <w:t>的其他生产经营单</w:t>
            </w:r>
            <w:r>
              <w:rPr>
                <w:spacing w:val="22"/>
              </w:rPr>
              <w:t>位从业人员在</w:t>
            </w:r>
            <w:r>
              <w:rPr>
                <w:rFonts w:ascii="宋体" w:hAnsi="宋体" w:eastAsia="宋体" w:cs="宋体"/>
                <w:spacing w:val="22"/>
              </w:rPr>
              <w:t>100</w:t>
            </w:r>
            <w:r>
              <w:rPr>
                <w:spacing w:val="-3"/>
              </w:rPr>
              <w:t>人以上，未将事故风险的性质、影响范围</w:t>
            </w:r>
            <w:r>
              <w:rPr>
                <w:spacing w:val="26"/>
              </w:rPr>
              <w:t>和应急防范措施告知周边单位和人员</w:t>
            </w:r>
            <w:r>
              <w:t>的</w:t>
            </w:r>
          </w:p>
        </w:tc>
        <w:tc>
          <w:tcPr>
            <w:tcW w:w="2894" w:type="dxa"/>
            <w:vAlign w:val="top"/>
          </w:tcPr>
          <w:p w14:paraId="0AFC2B85">
            <w:pPr>
              <w:spacing w:line="282" w:lineRule="auto"/>
              <w:rPr>
                <w:rFonts w:ascii="Arial"/>
                <w:sz w:val="21"/>
              </w:rPr>
            </w:pPr>
          </w:p>
          <w:p w14:paraId="310C15A8">
            <w:pPr>
              <w:spacing w:line="282" w:lineRule="auto"/>
              <w:rPr>
                <w:rFonts w:ascii="Arial"/>
                <w:sz w:val="21"/>
              </w:rPr>
            </w:pPr>
          </w:p>
          <w:p w14:paraId="2C36E609">
            <w:pPr>
              <w:spacing w:line="282" w:lineRule="auto"/>
              <w:rPr>
                <w:rFonts w:ascii="Arial"/>
                <w:sz w:val="21"/>
              </w:rPr>
            </w:pPr>
          </w:p>
          <w:p w14:paraId="03888F64">
            <w:pPr>
              <w:spacing w:line="282" w:lineRule="auto"/>
              <w:rPr>
                <w:rFonts w:ascii="Arial"/>
                <w:sz w:val="21"/>
              </w:rPr>
            </w:pPr>
          </w:p>
          <w:p w14:paraId="008B17DA">
            <w:pPr>
              <w:pStyle w:val="6"/>
              <w:spacing w:before="98" w:line="191" w:lineRule="auto"/>
              <w:ind w:left="122" w:right="104" w:firstLine="4"/>
              <w:jc w:val="both"/>
            </w:pPr>
            <w:r>
              <w:rPr>
                <w:spacing w:val="-5"/>
              </w:rPr>
              <w:t>责令限期改正，可以处</w:t>
            </w:r>
            <w:r>
              <w:rPr>
                <w:rFonts w:ascii="宋体" w:hAnsi="宋体" w:eastAsia="宋体" w:cs="宋体"/>
                <w:spacing w:val="-5"/>
              </w:rPr>
              <w:t>1.5</w:t>
            </w:r>
            <w:r>
              <w:rPr>
                <w:spacing w:val="7"/>
              </w:rPr>
              <w:t>万元以上</w:t>
            </w:r>
            <w:r>
              <w:rPr>
                <w:rFonts w:ascii="宋体" w:hAnsi="宋体" w:eastAsia="宋体" w:cs="宋体"/>
                <w:spacing w:val="7"/>
              </w:rPr>
              <w:t>2</w:t>
            </w:r>
            <w:r>
              <w:rPr>
                <w:spacing w:val="7"/>
              </w:rPr>
              <w:t>万元以下的罚</w:t>
            </w:r>
            <w:r>
              <w:t>款</w:t>
            </w:r>
          </w:p>
        </w:tc>
        <w:tc>
          <w:tcPr>
            <w:tcW w:w="811" w:type="dxa"/>
            <w:vMerge w:val="continue"/>
            <w:tcBorders>
              <w:top w:val="nil"/>
              <w:bottom w:val="nil"/>
            </w:tcBorders>
            <w:vAlign w:val="top"/>
          </w:tcPr>
          <w:p w14:paraId="3CADEC5E">
            <w:pPr>
              <w:rPr>
                <w:rFonts w:ascii="Arial"/>
                <w:sz w:val="21"/>
              </w:rPr>
            </w:pPr>
          </w:p>
        </w:tc>
      </w:tr>
      <w:tr w14:paraId="5E8E0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818" w:type="dxa"/>
            <w:vMerge w:val="continue"/>
            <w:tcBorders>
              <w:top w:val="nil"/>
            </w:tcBorders>
            <w:vAlign w:val="top"/>
          </w:tcPr>
          <w:p w14:paraId="46E43284">
            <w:pPr>
              <w:rPr>
                <w:rFonts w:ascii="Arial"/>
                <w:sz w:val="21"/>
              </w:rPr>
            </w:pPr>
          </w:p>
        </w:tc>
        <w:tc>
          <w:tcPr>
            <w:tcW w:w="1440" w:type="dxa"/>
            <w:vMerge w:val="continue"/>
            <w:tcBorders>
              <w:top w:val="nil"/>
            </w:tcBorders>
            <w:vAlign w:val="top"/>
          </w:tcPr>
          <w:p w14:paraId="735B0348">
            <w:pPr>
              <w:rPr>
                <w:rFonts w:ascii="Arial"/>
                <w:sz w:val="21"/>
              </w:rPr>
            </w:pPr>
          </w:p>
        </w:tc>
        <w:tc>
          <w:tcPr>
            <w:tcW w:w="3202" w:type="dxa"/>
            <w:vMerge w:val="continue"/>
            <w:tcBorders>
              <w:top w:val="nil"/>
            </w:tcBorders>
            <w:vAlign w:val="top"/>
          </w:tcPr>
          <w:p w14:paraId="4F7D2E1D">
            <w:pPr>
              <w:rPr>
                <w:rFonts w:ascii="Arial"/>
                <w:sz w:val="21"/>
              </w:rPr>
            </w:pPr>
          </w:p>
        </w:tc>
        <w:tc>
          <w:tcPr>
            <w:tcW w:w="2859" w:type="dxa"/>
            <w:vMerge w:val="continue"/>
            <w:tcBorders>
              <w:top w:val="nil"/>
            </w:tcBorders>
            <w:vAlign w:val="top"/>
          </w:tcPr>
          <w:p w14:paraId="1B8DA6BF">
            <w:pPr>
              <w:rPr>
                <w:rFonts w:ascii="Arial"/>
                <w:sz w:val="21"/>
              </w:rPr>
            </w:pPr>
          </w:p>
        </w:tc>
        <w:tc>
          <w:tcPr>
            <w:tcW w:w="803" w:type="dxa"/>
            <w:vAlign w:val="top"/>
          </w:tcPr>
          <w:p w14:paraId="3B46CC86">
            <w:pPr>
              <w:spacing w:line="249" w:lineRule="auto"/>
              <w:rPr>
                <w:rFonts w:ascii="Arial"/>
                <w:sz w:val="21"/>
              </w:rPr>
            </w:pPr>
          </w:p>
          <w:p w14:paraId="293D1E0C">
            <w:pPr>
              <w:spacing w:line="249" w:lineRule="auto"/>
              <w:rPr>
                <w:rFonts w:ascii="Arial"/>
                <w:sz w:val="21"/>
              </w:rPr>
            </w:pPr>
          </w:p>
          <w:p w14:paraId="3428BB67">
            <w:pPr>
              <w:spacing w:line="250" w:lineRule="auto"/>
              <w:rPr>
                <w:rFonts w:ascii="Arial"/>
                <w:sz w:val="21"/>
              </w:rPr>
            </w:pPr>
          </w:p>
          <w:p w14:paraId="699F0209">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A1A3CE9">
            <w:pPr>
              <w:pStyle w:val="6"/>
              <w:spacing w:before="31" w:line="179" w:lineRule="auto"/>
              <w:ind w:left="117" w:right="46"/>
              <w:jc w:val="both"/>
            </w:pPr>
            <w:r>
              <w:rPr>
                <w:spacing w:val="-3"/>
              </w:rPr>
              <w:t>危险物品的生产、经营、储存、装卸单位以及金属冶炼、建筑</w:t>
            </w:r>
            <w:r>
              <w:rPr>
                <w:spacing w:val="-15"/>
              </w:rPr>
              <w:t>施工、运输单位，未</w:t>
            </w:r>
            <w:r>
              <w:rPr>
                <w:spacing w:val="4"/>
              </w:rPr>
              <w:t>将事故风险的性质、</w:t>
            </w:r>
            <w:r>
              <w:rPr>
                <w:spacing w:val="26"/>
              </w:rPr>
              <w:t>影响范围和应急防</w:t>
            </w:r>
          </w:p>
        </w:tc>
        <w:tc>
          <w:tcPr>
            <w:tcW w:w="2894" w:type="dxa"/>
            <w:vAlign w:val="top"/>
          </w:tcPr>
          <w:p w14:paraId="7AB72D85">
            <w:pPr>
              <w:spacing w:line="382" w:lineRule="auto"/>
              <w:rPr>
                <w:rFonts w:ascii="Arial"/>
                <w:sz w:val="21"/>
              </w:rPr>
            </w:pPr>
          </w:p>
          <w:p w14:paraId="45AC4932">
            <w:pPr>
              <w:pStyle w:val="6"/>
              <w:spacing w:before="99" w:line="191" w:lineRule="auto"/>
              <w:ind w:left="122" w:right="104" w:firstLine="4"/>
              <w:jc w:val="both"/>
            </w:pPr>
            <w:r>
              <w:rPr>
                <w:spacing w:val="10"/>
              </w:rPr>
              <w:t>责令限期改正，可以处</w:t>
            </w:r>
            <w:r>
              <w:rPr>
                <w:rFonts w:ascii="宋体" w:hAnsi="宋体" w:eastAsia="宋体" w:cs="宋体"/>
                <w:spacing w:val="10"/>
              </w:rPr>
              <w:t>2</w:t>
            </w:r>
            <w:r>
              <w:rPr>
                <w:spacing w:val="7"/>
              </w:rPr>
              <w:t>万元以上</w:t>
            </w:r>
            <w:r>
              <w:rPr>
                <w:rFonts w:ascii="宋体" w:hAnsi="宋体" w:eastAsia="宋体" w:cs="宋体"/>
                <w:spacing w:val="7"/>
              </w:rPr>
              <w:t>3</w:t>
            </w:r>
            <w:r>
              <w:rPr>
                <w:spacing w:val="7"/>
              </w:rPr>
              <w:t>万元以下的罚</w:t>
            </w:r>
            <w:r>
              <w:t>款</w:t>
            </w:r>
          </w:p>
        </w:tc>
        <w:tc>
          <w:tcPr>
            <w:tcW w:w="811" w:type="dxa"/>
            <w:vMerge w:val="continue"/>
            <w:tcBorders>
              <w:top w:val="nil"/>
            </w:tcBorders>
            <w:vAlign w:val="top"/>
          </w:tcPr>
          <w:p w14:paraId="4F666E8D">
            <w:pPr>
              <w:rPr>
                <w:rFonts w:ascii="Arial"/>
                <w:sz w:val="21"/>
              </w:rPr>
            </w:pPr>
          </w:p>
        </w:tc>
      </w:tr>
    </w:tbl>
    <w:p w14:paraId="715CB3DA">
      <w:pPr>
        <w:pStyle w:val="2"/>
      </w:pPr>
    </w:p>
    <w:p w14:paraId="37FE8AC9">
      <w:pPr>
        <w:sectPr>
          <w:footerReference r:id="rId92" w:type="default"/>
          <w:pgSz w:w="16839" w:h="11906"/>
          <w:pgMar w:top="1012" w:right="821" w:bottom="667" w:left="901" w:header="0" w:footer="388" w:gutter="0"/>
          <w:cols w:space="720" w:num="1"/>
        </w:sectPr>
      </w:pPr>
    </w:p>
    <w:p w14:paraId="591CF47D">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8F24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FFCEF31">
            <w:pPr>
              <w:spacing w:before="222" w:line="241" w:lineRule="auto"/>
              <w:ind w:left="131"/>
              <w:outlineLvl w:val="0"/>
              <w:rPr>
                <w:rFonts w:ascii="黑体" w:hAnsi="黑体" w:eastAsia="黑体" w:cs="黑体"/>
                <w:sz w:val="28"/>
                <w:szCs w:val="28"/>
              </w:rPr>
            </w:pPr>
            <w:bookmarkStart w:id="476" w:name="bookmark158"/>
            <w:bookmarkEnd w:id="476"/>
            <w:r>
              <w:rPr>
                <w:rFonts w:ascii="黑体" w:hAnsi="黑体" w:eastAsia="黑体" w:cs="黑体"/>
                <w:spacing w:val="-2"/>
                <w:sz w:val="28"/>
                <w:szCs w:val="28"/>
              </w:rPr>
              <w:t>序号</w:t>
            </w:r>
          </w:p>
        </w:tc>
        <w:tc>
          <w:tcPr>
            <w:tcW w:w="1440" w:type="dxa"/>
            <w:vAlign w:val="top"/>
          </w:tcPr>
          <w:p w14:paraId="398F1181">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3C0572A">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4870AFB9">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C131F18">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A5B63F3">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0FEFD6E">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3ED344B">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94AA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18" w:type="dxa"/>
            <w:vAlign w:val="top"/>
          </w:tcPr>
          <w:p w14:paraId="573BEF97">
            <w:pPr>
              <w:rPr>
                <w:rFonts w:ascii="Arial"/>
                <w:sz w:val="21"/>
              </w:rPr>
            </w:pPr>
          </w:p>
        </w:tc>
        <w:tc>
          <w:tcPr>
            <w:tcW w:w="1440" w:type="dxa"/>
            <w:vAlign w:val="top"/>
          </w:tcPr>
          <w:p w14:paraId="65E83F37">
            <w:pPr>
              <w:rPr>
                <w:rFonts w:ascii="Arial"/>
                <w:sz w:val="21"/>
              </w:rPr>
            </w:pPr>
          </w:p>
        </w:tc>
        <w:tc>
          <w:tcPr>
            <w:tcW w:w="3202" w:type="dxa"/>
            <w:vAlign w:val="top"/>
          </w:tcPr>
          <w:p w14:paraId="45ECF8ED">
            <w:pPr>
              <w:rPr>
                <w:rFonts w:ascii="Arial"/>
                <w:sz w:val="21"/>
              </w:rPr>
            </w:pPr>
          </w:p>
        </w:tc>
        <w:tc>
          <w:tcPr>
            <w:tcW w:w="2859" w:type="dxa"/>
            <w:vAlign w:val="top"/>
          </w:tcPr>
          <w:p w14:paraId="7A1352DA">
            <w:pPr>
              <w:rPr>
                <w:rFonts w:ascii="Arial"/>
                <w:sz w:val="21"/>
              </w:rPr>
            </w:pPr>
          </w:p>
        </w:tc>
        <w:tc>
          <w:tcPr>
            <w:tcW w:w="803" w:type="dxa"/>
            <w:vAlign w:val="top"/>
          </w:tcPr>
          <w:p w14:paraId="1BAE4E0A">
            <w:pPr>
              <w:rPr>
                <w:rFonts w:ascii="Arial"/>
                <w:sz w:val="21"/>
              </w:rPr>
            </w:pPr>
          </w:p>
        </w:tc>
        <w:tc>
          <w:tcPr>
            <w:tcW w:w="2283" w:type="dxa"/>
            <w:vAlign w:val="top"/>
          </w:tcPr>
          <w:p w14:paraId="261D7C5D">
            <w:pPr>
              <w:pStyle w:val="6"/>
              <w:spacing w:before="29" w:line="172" w:lineRule="auto"/>
              <w:ind w:left="117" w:right="109" w:firstLine="18"/>
            </w:pPr>
            <w:r>
              <w:rPr>
                <w:spacing w:val="24"/>
              </w:rPr>
              <w:t>范措施告知周边单</w:t>
            </w:r>
            <w:r>
              <w:rPr>
                <w:spacing w:val="6"/>
              </w:rPr>
              <w:t>位和人员的</w:t>
            </w:r>
          </w:p>
        </w:tc>
        <w:tc>
          <w:tcPr>
            <w:tcW w:w="2894" w:type="dxa"/>
            <w:vAlign w:val="top"/>
          </w:tcPr>
          <w:p w14:paraId="0551FBF1">
            <w:pPr>
              <w:rPr>
                <w:rFonts w:ascii="Arial"/>
                <w:sz w:val="21"/>
              </w:rPr>
            </w:pPr>
          </w:p>
        </w:tc>
        <w:tc>
          <w:tcPr>
            <w:tcW w:w="811" w:type="dxa"/>
            <w:vAlign w:val="top"/>
          </w:tcPr>
          <w:p w14:paraId="68CA7AC3">
            <w:pPr>
              <w:rPr>
                <w:rFonts w:ascii="Arial"/>
                <w:sz w:val="21"/>
              </w:rPr>
            </w:pPr>
          </w:p>
        </w:tc>
      </w:tr>
      <w:tr w14:paraId="51EDE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2" w:hRule="atLeast"/>
        </w:trPr>
        <w:tc>
          <w:tcPr>
            <w:tcW w:w="818" w:type="dxa"/>
            <w:vMerge w:val="restart"/>
            <w:tcBorders>
              <w:bottom w:val="nil"/>
            </w:tcBorders>
            <w:vAlign w:val="top"/>
          </w:tcPr>
          <w:p w14:paraId="0F269E48">
            <w:pPr>
              <w:spacing w:line="252" w:lineRule="auto"/>
              <w:rPr>
                <w:rFonts w:ascii="Arial"/>
                <w:sz w:val="21"/>
              </w:rPr>
            </w:pPr>
          </w:p>
          <w:p w14:paraId="10A04005">
            <w:pPr>
              <w:spacing w:line="252" w:lineRule="auto"/>
              <w:rPr>
                <w:rFonts w:ascii="Arial"/>
                <w:sz w:val="21"/>
              </w:rPr>
            </w:pPr>
          </w:p>
          <w:p w14:paraId="4359C140">
            <w:pPr>
              <w:spacing w:line="252" w:lineRule="auto"/>
              <w:rPr>
                <w:rFonts w:ascii="Arial"/>
                <w:sz w:val="21"/>
              </w:rPr>
            </w:pPr>
          </w:p>
          <w:p w14:paraId="395960D4">
            <w:pPr>
              <w:spacing w:line="252" w:lineRule="auto"/>
              <w:rPr>
                <w:rFonts w:ascii="Arial"/>
                <w:sz w:val="21"/>
              </w:rPr>
            </w:pPr>
          </w:p>
          <w:p w14:paraId="6E4EC925">
            <w:pPr>
              <w:spacing w:line="252" w:lineRule="auto"/>
              <w:rPr>
                <w:rFonts w:ascii="Arial"/>
                <w:sz w:val="21"/>
              </w:rPr>
            </w:pPr>
          </w:p>
          <w:p w14:paraId="3DBD7449">
            <w:pPr>
              <w:spacing w:line="252" w:lineRule="auto"/>
              <w:rPr>
                <w:rFonts w:ascii="Arial"/>
                <w:sz w:val="21"/>
              </w:rPr>
            </w:pPr>
          </w:p>
          <w:p w14:paraId="1943158E">
            <w:pPr>
              <w:spacing w:line="252" w:lineRule="auto"/>
              <w:rPr>
                <w:rFonts w:ascii="Arial"/>
                <w:sz w:val="21"/>
              </w:rPr>
            </w:pPr>
          </w:p>
          <w:p w14:paraId="0AB1624A">
            <w:pPr>
              <w:spacing w:line="252" w:lineRule="auto"/>
              <w:rPr>
                <w:rFonts w:ascii="Arial"/>
                <w:sz w:val="21"/>
              </w:rPr>
            </w:pPr>
          </w:p>
          <w:p w14:paraId="28C4D2DA">
            <w:pPr>
              <w:spacing w:line="252" w:lineRule="auto"/>
              <w:rPr>
                <w:rFonts w:ascii="Arial"/>
                <w:sz w:val="21"/>
              </w:rPr>
            </w:pPr>
          </w:p>
          <w:p w14:paraId="67E0C6AE">
            <w:pPr>
              <w:spacing w:line="252" w:lineRule="auto"/>
              <w:rPr>
                <w:rFonts w:ascii="Arial"/>
                <w:sz w:val="21"/>
              </w:rPr>
            </w:pPr>
          </w:p>
          <w:p w14:paraId="2143AC1C">
            <w:pPr>
              <w:spacing w:line="252" w:lineRule="auto"/>
              <w:rPr>
                <w:rFonts w:ascii="Arial"/>
                <w:sz w:val="21"/>
              </w:rPr>
            </w:pPr>
          </w:p>
          <w:p w14:paraId="338FACF9">
            <w:pPr>
              <w:spacing w:line="252" w:lineRule="auto"/>
              <w:rPr>
                <w:rFonts w:ascii="Arial"/>
                <w:sz w:val="21"/>
              </w:rPr>
            </w:pPr>
          </w:p>
          <w:p w14:paraId="2A993E4C">
            <w:pPr>
              <w:spacing w:line="252" w:lineRule="auto"/>
              <w:rPr>
                <w:rFonts w:ascii="Arial"/>
                <w:sz w:val="21"/>
              </w:rPr>
            </w:pPr>
          </w:p>
          <w:p w14:paraId="71CBAC37">
            <w:pPr>
              <w:spacing w:line="253" w:lineRule="auto"/>
              <w:rPr>
                <w:rFonts w:ascii="Arial"/>
                <w:sz w:val="21"/>
              </w:rPr>
            </w:pPr>
          </w:p>
          <w:p w14:paraId="6570D875">
            <w:pPr>
              <w:spacing w:line="253" w:lineRule="auto"/>
              <w:rPr>
                <w:rFonts w:ascii="Arial"/>
                <w:sz w:val="21"/>
              </w:rPr>
            </w:pPr>
          </w:p>
          <w:p w14:paraId="7748BB6B">
            <w:pPr>
              <w:spacing w:line="253" w:lineRule="auto"/>
              <w:rPr>
                <w:rFonts w:ascii="Arial"/>
                <w:sz w:val="21"/>
              </w:rPr>
            </w:pPr>
          </w:p>
          <w:p w14:paraId="0497991E">
            <w:pPr>
              <w:spacing w:before="74" w:line="184" w:lineRule="auto"/>
              <w:ind w:left="240"/>
              <w:rPr>
                <w:rFonts w:ascii="仿宋" w:hAnsi="仿宋" w:eastAsia="仿宋" w:cs="仿宋"/>
                <w:sz w:val="23"/>
                <w:szCs w:val="23"/>
              </w:rPr>
            </w:pPr>
            <w:r>
              <w:rPr>
                <w:rFonts w:ascii="仿宋" w:hAnsi="仿宋" w:eastAsia="仿宋" w:cs="仿宋"/>
                <w:spacing w:val="-4"/>
                <w:sz w:val="23"/>
                <w:szCs w:val="23"/>
              </w:rPr>
              <w:t>75</w:t>
            </w:r>
          </w:p>
        </w:tc>
        <w:tc>
          <w:tcPr>
            <w:tcW w:w="1440" w:type="dxa"/>
            <w:vMerge w:val="restart"/>
            <w:tcBorders>
              <w:bottom w:val="nil"/>
            </w:tcBorders>
            <w:vAlign w:val="top"/>
          </w:tcPr>
          <w:p w14:paraId="086050F2">
            <w:pPr>
              <w:spacing w:line="251" w:lineRule="auto"/>
              <w:rPr>
                <w:rFonts w:ascii="Arial"/>
                <w:sz w:val="21"/>
              </w:rPr>
            </w:pPr>
          </w:p>
          <w:p w14:paraId="708678D3">
            <w:pPr>
              <w:spacing w:line="251" w:lineRule="auto"/>
              <w:rPr>
                <w:rFonts w:ascii="Arial"/>
                <w:sz w:val="21"/>
              </w:rPr>
            </w:pPr>
          </w:p>
          <w:p w14:paraId="0E081778">
            <w:pPr>
              <w:spacing w:line="251" w:lineRule="auto"/>
              <w:rPr>
                <w:rFonts w:ascii="Arial"/>
                <w:sz w:val="21"/>
              </w:rPr>
            </w:pPr>
          </w:p>
          <w:p w14:paraId="3BF390BB">
            <w:pPr>
              <w:spacing w:line="251" w:lineRule="auto"/>
              <w:rPr>
                <w:rFonts w:ascii="Arial"/>
                <w:sz w:val="21"/>
              </w:rPr>
            </w:pPr>
          </w:p>
          <w:p w14:paraId="6DEF1289">
            <w:pPr>
              <w:spacing w:line="251" w:lineRule="auto"/>
              <w:rPr>
                <w:rFonts w:ascii="Arial"/>
                <w:sz w:val="21"/>
              </w:rPr>
            </w:pPr>
          </w:p>
          <w:p w14:paraId="6DCD26E7">
            <w:pPr>
              <w:spacing w:line="251" w:lineRule="auto"/>
              <w:rPr>
                <w:rFonts w:ascii="Arial"/>
                <w:sz w:val="21"/>
              </w:rPr>
            </w:pPr>
          </w:p>
          <w:p w14:paraId="17FE963D">
            <w:pPr>
              <w:spacing w:line="251" w:lineRule="auto"/>
              <w:rPr>
                <w:rFonts w:ascii="Arial"/>
                <w:sz w:val="21"/>
              </w:rPr>
            </w:pPr>
          </w:p>
          <w:p w14:paraId="1E8AB6EF">
            <w:pPr>
              <w:spacing w:line="251" w:lineRule="auto"/>
              <w:rPr>
                <w:rFonts w:ascii="Arial"/>
                <w:sz w:val="21"/>
              </w:rPr>
            </w:pPr>
          </w:p>
          <w:p w14:paraId="130BF8DB">
            <w:pPr>
              <w:spacing w:line="251" w:lineRule="auto"/>
              <w:rPr>
                <w:rFonts w:ascii="Arial"/>
                <w:sz w:val="21"/>
              </w:rPr>
            </w:pPr>
          </w:p>
          <w:p w14:paraId="56DEB20B">
            <w:pPr>
              <w:spacing w:line="251" w:lineRule="auto"/>
              <w:rPr>
                <w:rFonts w:ascii="Arial"/>
                <w:sz w:val="21"/>
              </w:rPr>
            </w:pPr>
          </w:p>
          <w:p w14:paraId="6120D2AE">
            <w:pPr>
              <w:spacing w:line="251" w:lineRule="auto"/>
              <w:rPr>
                <w:rFonts w:ascii="Arial"/>
                <w:sz w:val="21"/>
              </w:rPr>
            </w:pPr>
          </w:p>
          <w:p w14:paraId="2FCFFC77">
            <w:pPr>
              <w:spacing w:line="251" w:lineRule="auto"/>
              <w:rPr>
                <w:rFonts w:ascii="Arial"/>
                <w:sz w:val="21"/>
              </w:rPr>
            </w:pPr>
          </w:p>
          <w:p w14:paraId="4D0B1262">
            <w:pPr>
              <w:spacing w:line="251" w:lineRule="auto"/>
              <w:rPr>
                <w:rFonts w:ascii="Arial"/>
                <w:sz w:val="21"/>
              </w:rPr>
            </w:pPr>
          </w:p>
          <w:p w14:paraId="6E964E3E">
            <w:pPr>
              <w:spacing w:line="252" w:lineRule="auto"/>
              <w:rPr>
                <w:rFonts w:ascii="Arial"/>
                <w:sz w:val="21"/>
              </w:rPr>
            </w:pPr>
          </w:p>
          <w:p w14:paraId="3F92283F">
            <w:pPr>
              <w:pStyle w:val="6"/>
              <w:spacing w:before="98" w:line="182" w:lineRule="auto"/>
              <w:ind w:left="129"/>
              <w:outlineLvl w:val="0"/>
            </w:pPr>
            <w:bookmarkStart w:id="477" w:name="bookmark144"/>
            <w:bookmarkEnd w:id="477"/>
            <w:r>
              <w:rPr>
                <w:spacing w:val="8"/>
              </w:rPr>
              <w:t>生产经营单</w:t>
            </w:r>
          </w:p>
          <w:p w14:paraId="41D9AC9F">
            <w:pPr>
              <w:pStyle w:val="6"/>
              <w:spacing w:line="191" w:lineRule="auto"/>
              <w:ind w:left="115" w:right="109"/>
              <w:jc w:val="both"/>
            </w:pPr>
            <w:r>
              <w:rPr>
                <w:spacing w:val="12"/>
              </w:rPr>
              <w:t>位未按照规</w:t>
            </w:r>
            <w:r>
              <w:rPr>
                <w:spacing w:val="11"/>
              </w:rPr>
              <w:t>定开展应急</w:t>
            </w:r>
            <w:r>
              <w:rPr>
                <w:spacing w:val="6"/>
              </w:rPr>
              <w:t>预案评估的</w:t>
            </w:r>
          </w:p>
        </w:tc>
        <w:tc>
          <w:tcPr>
            <w:tcW w:w="3202" w:type="dxa"/>
            <w:vMerge w:val="restart"/>
            <w:tcBorders>
              <w:bottom w:val="nil"/>
            </w:tcBorders>
            <w:vAlign w:val="top"/>
          </w:tcPr>
          <w:p w14:paraId="0C119181">
            <w:pPr>
              <w:pStyle w:val="6"/>
              <w:spacing w:before="35" w:line="182" w:lineRule="auto"/>
              <w:ind w:left="114" w:right="111" w:hanging="16"/>
              <w:jc w:val="both"/>
            </w:pPr>
            <w:r>
              <w:rPr>
                <w:spacing w:val="18"/>
              </w:rPr>
              <w:t>【部门规章】《生产安全事</w:t>
            </w:r>
            <w:r>
              <w:rPr>
                <w:spacing w:val="17"/>
              </w:rPr>
              <w:t>故应急预案管理办法》第三</w:t>
            </w:r>
            <w:r>
              <w:rPr>
                <w:spacing w:val="13"/>
              </w:rPr>
              <w:t>十五条：应急预案编制单位</w:t>
            </w:r>
            <w:r>
              <w:rPr>
                <w:spacing w:val="17"/>
              </w:rPr>
              <w:t>应当建立应急预案定期评估</w:t>
            </w:r>
            <w:r>
              <w:rPr>
                <w:spacing w:val="13"/>
              </w:rPr>
              <w:t>制度，对预案内容的针对性和实用性进行分析，并对应</w:t>
            </w:r>
            <w:r>
              <w:rPr>
                <w:spacing w:val="17"/>
              </w:rPr>
              <w:t>急预案是否需要修订作出结</w:t>
            </w:r>
            <w:r>
              <w:rPr>
                <w:spacing w:val="-7"/>
              </w:rPr>
              <w:t>论。</w:t>
            </w:r>
          </w:p>
          <w:p w14:paraId="14AC8A38">
            <w:pPr>
              <w:pStyle w:val="6"/>
              <w:spacing w:before="7" w:line="182" w:lineRule="auto"/>
              <w:ind w:left="117" w:right="111"/>
            </w:pPr>
            <w:r>
              <w:rPr>
                <w:spacing w:val="17"/>
              </w:rPr>
              <w:t>矿山、金属冶炼、建筑施工企业和易燃易爆物品、危险</w:t>
            </w:r>
            <w:r>
              <w:rPr>
                <w:spacing w:val="14"/>
              </w:rPr>
              <w:t>化学品等危险物品的生产、</w:t>
            </w:r>
            <w:r>
              <w:rPr>
                <w:spacing w:val="17"/>
              </w:rPr>
              <w:t>经营、储存、运输企业、使用危险化学品达到国家规定数量的化工企业、烟花爆竹生产、批发经营企业和中型规模以上的其他生产经营单</w:t>
            </w:r>
            <w:r>
              <w:rPr>
                <w:spacing w:val="13"/>
              </w:rPr>
              <w:t>位，应当每三年进行一次应</w:t>
            </w:r>
            <w:r>
              <w:rPr>
                <w:spacing w:val="1"/>
              </w:rPr>
              <w:t>急预案评估。</w:t>
            </w:r>
          </w:p>
          <w:p w14:paraId="413F0E79">
            <w:pPr>
              <w:pStyle w:val="6"/>
              <w:spacing w:before="5" w:line="187" w:lineRule="auto"/>
              <w:ind w:left="117" w:right="111" w:firstLine="6"/>
              <w:jc w:val="both"/>
            </w:pPr>
            <w:r>
              <w:rPr>
                <w:spacing w:val="16"/>
              </w:rPr>
              <w:t>应急预案评估可以邀请相关</w:t>
            </w:r>
            <w:r>
              <w:rPr>
                <w:spacing w:val="17"/>
              </w:rPr>
              <w:t>专业机构或者有关专家、有实际应急救援工作经验的人</w:t>
            </w:r>
            <w:r>
              <w:rPr>
                <w:spacing w:val="12"/>
              </w:rPr>
              <w:t>员参加，必要时可以委托安</w:t>
            </w:r>
            <w:r>
              <w:rPr>
                <w:spacing w:val="5"/>
              </w:rPr>
              <w:t>全生产技术服务机构实施。</w:t>
            </w:r>
          </w:p>
        </w:tc>
        <w:tc>
          <w:tcPr>
            <w:tcW w:w="2859" w:type="dxa"/>
            <w:vMerge w:val="restart"/>
            <w:tcBorders>
              <w:bottom w:val="nil"/>
            </w:tcBorders>
            <w:vAlign w:val="top"/>
          </w:tcPr>
          <w:p w14:paraId="29B5CCB9">
            <w:pPr>
              <w:pStyle w:val="6"/>
              <w:spacing w:before="30" w:line="185" w:lineRule="auto"/>
              <w:ind w:left="114" w:right="97" w:hanging="17"/>
              <w:jc w:val="both"/>
            </w:pPr>
            <w:r>
              <w:rPr>
                <w:spacing w:val="10"/>
              </w:rPr>
              <w:t>【部门规章】《生产安全事故应急预案管理办法》</w:t>
            </w:r>
            <w:r>
              <w:rPr>
                <w:spacing w:val="32"/>
              </w:rPr>
              <w:t>第四十五条第一款第四</w:t>
            </w:r>
            <w:r>
              <w:rPr>
                <w:spacing w:val="8"/>
              </w:rPr>
              <w:t>项：生产经营单位有下列情形之一的，由县级以上人民政府应急管理部门责</w:t>
            </w:r>
            <w:r>
              <w:rPr>
                <w:spacing w:val="3"/>
              </w:rPr>
              <w:t>令限期改正，可以处</w:t>
            </w:r>
            <w:r>
              <w:rPr>
                <w:rFonts w:ascii="宋体" w:hAnsi="宋体" w:eastAsia="宋体" w:cs="宋体"/>
                <w:spacing w:val="3"/>
              </w:rPr>
              <w:t>1</w:t>
            </w:r>
            <w:r>
              <w:rPr>
                <w:spacing w:val="3"/>
              </w:rPr>
              <w:t>万</w:t>
            </w:r>
            <w:r>
              <w:rPr>
                <w:spacing w:val="20"/>
              </w:rPr>
              <w:t>元以上</w:t>
            </w:r>
            <w:r>
              <w:rPr>
                <w:rFonts w:ascii="宋体" w:hAnsi="宋体" w:eastAsia="宋体" w:cs="宋体"/>
                <w:spacing w:val="20"/>
              </w:rPr>
              <w:t>3</w:t>
            </w:r>
            <w:r>
              <w:rPr>
                <w:spacing w:val="20"/>
              </w:rPr>
              <w:t>万元以下的罚</w:t>
            </w:r>
            <w:r>
              <w:rPr>
                <w:spacing w:val="8"/>
              </w:rPr>
              <w:t>款</w:t>
            </w:r>
            <w:r>
              <w:rPr>
                <w:spacing w:val="11"/>
              </w:rPr>
              <w:t>：（</w:t>
            </w:r>
            <w:r>
              <w:rPr>
                <w:spacing w:val="8"/>
              </w:rPr>
              <w:t>四）未按照规定开</w:t>
            </w:r>
            <w:r>
              <w:rPr>
                <w:spacing w:val="3"/>
              </w:rPr>
              <w:t>展应急预案评估的；</w:t>
            </w:r>
          </w:p>
        </w:tc>
        <w:tc>
          <w:tcPr>
            <w:tcW w:w="803" w:type="dxa"/>
            <w:vAlign w:val="top"/>
          </w:tcPr>
          <w:p w14:paraId="0F559543">
            <w:pPr>
              <w:spacing w:line="260" w:lineRule="auto"/>
              <w:rPr>
                <w:rFonts w:ascii="Arial"/>
                <w:sz w:val="21"/>
              </w:rPr>
            </w:pPr>
          </w:p>
          <w:p w14:paraId="4C4890A1">
            <w:pPr>
              <w:spacing w:line="260" w:lineRule="auto"/>
              <w:rPr>
                <w:rFonts w:ascii="Arial"/>
                <w:sz w:val="21"/>
              </w:rPr>
            </w:pPr>
          </w:p>
          <w:p w14:paraId="59F0A4EA">
            <w:pPr>
              <w:spacing w:line="260" w:lineRule="auto"/>
              <w:rPr>
                <w:rFonts w:ascii="Arial"/>
                <w:sz w:val="21"/>
              </w:rPr>
            </w:pPr>
          </w:p>
          <w:p w14:paraId="17BBC9BE">
            <w:pPr>
              <w:spacing w:line="260" w:lineRule="auto"/>
              <w:rPr>
                <w:rFonts w:ascii="Arial"/>
                <w:sz w:val="21"/>
              </w:rPr>
            </w:pPr>
          </w:p>
          <w:p w14:paraId="41AF95A5">
            <w:pPr>
              <w:spacing w:line="260" w:lineRule="auto"/>
              <w:rPr>
                <w:rFonts w:ascii="Arial"/>
                <w:sz w:val="21"/>
              </w:rPr>
            </w:pPr>
          </w:p>
          <w:p w14:paraId="1A648C3B">
            <w:pPr>
              <w:spacing w:line="261" w:lineRule="auto"/>
              <w:rPr>
                <w:rFonts w:ascii="Arial"/>
                <w:sz w:val="21"/>
              </w:rPr>
            </w:pPr>
          </w:p>
          <w:p w14:paraId="663F0926">
            <w:pPr>
              <w:spacing w:line="261" w:lineRule="auto"/>
              <w:rPr>
                <w:rFonts w:ascii="Arial"/>
                <w:sz w:val="21"/>
              </w:rPr>
            </w:pPr>
          </w:p>
          <w:p w14:paraId="4D4F7224">
            <w:pPr>
              <w:spacing w:line="261" w:lineRule="auto"/>
              <w:rPr>
                <w:rFonts w:ascii="Arial"/>
                <w:sz w:val="21"/>
              </w:rPr>
            </w:pPr>
          </w:p>
          <w:p w14:paraId="3F5986CB">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6860C3E">
            <w:pPr>
              <w:pStyle w:val="6"/>
              <w:spacing w:before="27" w:line="181" w:lineRule="auto"/>
              <w:ind w:left="118" w:right="108"/>
              <w:jc w:val="both"/>
            </w:pPr>
            <w:r>
              <w:rPr>
                <w:spacing w:val="-3"/>
              </w:rPr>
              <w:t>矿山、金属冶炼、建</w:t>
            </w:r>
            <w:r>
              <w:rPr>
                <w:spacing w:val="26"/>
              </w:rPr>
              <w:t>筑施工企业和易燃</w:t>
            </w:r>
            <w:r>
              <w:rPr>
                <w:spacing w:val="-3"/>
              </w:rPr>
              <w:t>易爆物品、危险化学</w:t>
            </w:r>
            <w:r>
              <w:rPr>
                <w:spacing w:val="26"/>
              </w:rPr>
              <w:t>品等危险物品的生</w:t>
            </w:r>
            <w:r>
              <w:rPr>
                <w:spacing w:val="-3"/>
              </w:rPr>
              <w:t>产、经营、储存、运输企业、使用危险化</w:t>
            </w:r>
            <w:r>
              <w:rPr>
                <w:spacing w:val="26"/>
              </w:rPr>
              <w:t>学品达到国家规定</w:t>
            </w:r>
            <w:r>
              <w:rPr>
                <w:spacing w:val="-3"/>
              </w:rPr>
              <w:t>数量的化工企业、烟花爆竹生产、批发经</w:t>
            </w:r>
            <w:r>
              <w:rPr>
                <w:spacing w:val="26"/>
              </w:rPr>
              <w:t>营企业和中型规模以上的其他生产经</w:t>
            </w:r>
            <w:r>
              <w:rPr>
                <w:spacing w:val="-3"/>
              </w:rPr>
              <w:t>营单位，上述单位以</w:t>
            </w:r>
            <w:r>
              <w:rPr>
                <w:spacing w:val="26"/>
              </w:rPr>
              <w:t>外的其他生产经营</w:t>
            </w:r>
            <w:r>
              <w:rPr>
                <w:spacing w:val="-3"/>
              </w:rPr>
              <w:t>单位，未开展应急预</w:t>
            </w:r>
            <w:r>
              <w:rPr>
                <w:spacing w:val="5"/>
              </w:rPr>
              <w:t>案评估的</w:t>
            </w:r>
          </w:p>
        </w:tc>
        <w:tc>
          <w:tcPr>
            <w:tcW w:w="2894" w:type="dxa"/>
            <w:vAlign w:val="top"/>
          </w:tcPr>
          <w:p w14:paraId="0E01EED3">
            <w:pPr>
              <w:spacing w:line="246" w:lineRule="auto"/>
              <w:rPr>
                <w:rFonts w:ascii="Arial"/>
                <w:sz w:val="21"/>
              </w:rPr>
            </w:pPr>
          </w:p>
          <w:p w14:paraId="607C42D5">
            <w:pPr>
              <w:spacing w:line="246" w:lineRule="auto"/>
              <w:rPr>
                <w:rFonts w:ascii="Arial"/>
                <w:sz w:val="21"/>
              </w:rPr>
            </w:pPr>
          </w:p>
          <w:p w14:paraId="269C3A99">
            <w:pPr>
              <w:spacing w:line="246" w:lineRule="auto"/>
              <w:rPr>
                <w:rFonts w:ascii="Arial"/>
                <w:sz w:val="21"/>
              </w:rPr>
            </w:pPr>
          </w:p>
          <w:p w14:paraId="34010D80">
            <w:pPr>
              <w:spacing w:line="246" w:lineRule="auto"/>
              <w:rPr>
                <w:rFonts w:ascii="Arial"/>
                <w:sz w:val="21"/>
              </w:rPr>
            </w:pPr>
          </w:p>
          <w:p w14:paraId="3FE8277F">
            <w:pPr>
              <w:spacing w:line="246" w:lineRule="auto"/>
              <w:rPr>
                <w:rFonts w:ascii="Arial"/>
                <w:sz w:val="21"/>
              </w:rPr>
            </w:pPr>
          </w:p>
          <w:p w14:paraId="6ADC7FF9">
            <w:pPr>
              <w:spacing w:line="246" w:lineRule="auto"/>
              <w:rPr>
                <w:rFonts w:ascii="Arial"/>
                <w:sz w:val="21"/>
              </w:rPr>
            </w:pPr>
          </w:p>
          <w:p w14:paraId="36E65CBE">
            <w:pPr>
              <w:spacing w:line="246" w:lineRule="auto"/>
              <w:rPr>
                <w:rFonts w:ascii="Arial"/>
                <w:sz w:val="21"/>
              </w:rPr>
            </w:pPr>
          </w:p>
          <w:p w14:paraId="4DC01F19">
            <w:pPr>
              <w:pStyle w:val="6"/>
              <w:spacing w:before="99" w:line="191" w:lineRule="auto"/>
              <w:ind w:left="127" w:right="104"/>
              <w:jc w:val="both"/>
            </w:pPr>
            <w:r>
              <w:rPr>
                <w:spacing w:val="8"/>
              </w:rPr>
              <w:t>责令限期改正，可以处</w:t>
            </w:r>
            <w:r>
              <w:rPr>
                <w:rFonts w:ascii="宋体" w:hAnsi="宋体" w:eastAsia="宋体" w:cs="宋体"/>
                <w:spacing w:val="8"/>
              </w:rPr>
              <w:t>1</w:t>
            </w:r>
            <w:r>
              <w:rPr>
                <w:spacing w:val="4"/>
              </w:rPr>
              <w:t>万元以上</w:t>
            </w:r>
            <w:r>
              <w:rPr>
                <w:rFonts w:ascii="宋体" w:hAnsi="宋体" w:eastAsia="宋体" w:cs="宋体"/>
                <w:spacing w:val="4"/>
              </w:rPr>
              <w:t>1.5</w:t>
            </w:r>
            <w:r>
              <w:rPr>
                <w:spacing w:val="4"/>
              </w:rPr>
              <w:t>万元以下的</w:t>
            </w:r>
            <w:r>
              <w:rPr>
                <w:spacing w:val="-1"/>
              </w:rPr>
              <w:t>罚款</w:t>
            </w:r>
          </w:p>
        </w:tc>
        <w:tc>
          <w:tcPr>
            <w:tcW w:w="811" w:type="dxa"/>
            <w:vMerge w:val="restart"/>
            <w:tcBorders>
              <w:bottom w:val="nil"/>
            </w:tcBorders>
            <w:vAlign w:val="top"/>
          </w:tcPr>
          <w:p w14:paraId="7D50C7F1">
            <w:pPr>
              <w:spacing w:line="251" w:lineRule="auto"/>
              <w:rPr>
                <w:rFonts w:ascii="Arial"/>
                <w:sz w:val="21"/>
              </w:rPr>
            </w:pPr>
          </w:p>
          <w:p w14:paraId="4F7893A0">
            <w:pPr>
              <w:spacing w:line="251" w:lineRule="auto"/>
              <w:rPr>
                <w:rFonts w:ascii="Arial"/>
                <w:sz w:val="21"/>
              </w:rPr>
            </w:pPr>
          </w:p>
          <w:p w14:paraId="0440AF1C">
            <w:pPr>
              <w:spacing w:line="252" w:lineRule="auto"/>
              <w:rPr>
                <w:rFonts w:ascii="Arial"/>
                <w:sz w:val="21"/>
              </w:rPr>
            </w:pPr>
          </w:p>
          <w:p w14:paraId="6C92A26D">
            <w:pPr>
              <w:spacing w:line="252" w:lineRule="auto"/>
              <w:rPr>
                <w:rFonts w:ascii="Arial"/>
                <w:sz w:val="21"/>
              </w:rPr>
            </w:pPr>
          </w:p>
          <w:p w14:paraId="3072A8F9">
            <w:pPr>
              <w:spacing w:line="252" w:lineRule="auto"/>
              <w:rPr>
                <w:rFonts w:ascii="Arial"/>
                <w:sz w:val="21"/>
              </w:rPr>
            </w:pPr>
          </w:p>
          <w:p w14:paraId="2C5E8B33">
            <w:pPr>
              <w:spacing w:line="252" w:lineRule="auto"/>
              <w:rPr>
                <w:rFonts w:ascii="Arial"/>
                <w:sz w:val="21"/>
              </w:rPr>
            </w:pPr>
          </w:p>
          <w:p w14:paraId="6B265354">
            <w:pPr>
              <w:spacing w:line="252" w:lineRule="auto"/>
              <w:rPr>
                <w:rFonts w:ascii="Arial"/>
                <w:sz w:val="21"/>
              </w:rPr>
            </w:pPr>
          </w:p>
          <w:p w14:paraId="77435756">
            <w:pPr>
              <w:spacing w:line="252" w:lineRule="auto"/>
              <w:rPr>
                <w:rFonts w:ascii="Arial"/>
                <w:sz w:val="21"/>
              </w:rPr>
            </w:pPr>
          </w:p>
          <w:p w14:paraId="30D4A81D">
            <w:pPr>
              <w:spacing w:line="252" w:lineRule="auto"/>
              <w:rPr>
                <w:rFonts w:ascii="Arial"/>
                <w:sz w:val="21"/>
              </w:rPr>
            </w:pPr>
          </w:p>
          <w:p w14:paraId="0C1D62BA">
            <w:pPr>
              <w:spacing w:line="252" w:lineRule="auto"/>
              <w:rPr>
                <w:rFonts w:ascii="Arial"/>
                <w:sz w:val="21"/>
              </w:rPr>
            </w:pPr>
          </w:p>
          <w:p w14:paraId="23550686">
            <w:pPr>
              <w:spacing w:line="252" w:lineRule="auto"/>
              <w:rPr>
                <w:rFonts w:ascii="Arial"/>
                <w:sz w:val="21"/>
              </w:rPr>
            </w:pPr>
          </w:p>
          <w:p w14:paraId="29F0F337">
            <w:pPr>
              <w:spacing w:line="252" w:lineRule="auto"/>
              <w:rPr>
                <w:rFonts w:ascii="Arial"/>
                <w:sz w:val="21"/>
              </w:rPr>
            </w:pPr>
          </w:p>
          <w:p w14:paraId="32D22F73">
            <w:pPr>
              <w:spacing w:line="252" w:lineRule="auto"/>
              <w:rPr>
                <w:rFonts w:ascii="Arial"/>
                <w:sz w:val="21"/>
              </w:rPr>
            </w:pPr>
          </w:p>
          <w:p w14:paraId="7559C562">
            <w:pPr>
              <w:spacing w:line="252" w:lineRule="auto"/>
              <w:rPr>
                <w:rFonts w:ascii="Arial"/>
                <w:sz w:val="21"/>
              </w:rPr>
            </w:pPr>
          </w:p>
          <w:p w14:paraId="0B07DF4C">
            <w:pPr>
              <w:spacing w:line="252" w:lineRule="auto"/>
              <w:rPr>
                <w:rFonts w:ascii="Arial"/>
                <w:sz w:val="21"/>
              </w:rPr>
            </w:pPr>
          </w:p>
          <w:p w14:paraId="01977C45">
            <w:pPr>
              <w:spacing w:line="252" w:lineRule="auto"/>
              <w:rPr>
                <w:rFonts w:ascii="Arial"/>
                <w:sz w:val="21"/>
              </w:rPr>
            </w:pPr>
          </w:p>
          <w:p w14:paraId="6E1C4C31">
            <w:pPr>
              <w:spacing w:before="74" w:line="188" w:lineRule="auto"/>
              <w:ind w:left="295"/>
              <w:rPr>
                <w:rFonts w:ascii="宋体" w:hAnsi="宋体" w:eastAsia="宋体" w:cs="宋体"/>
                <w:sz w:val="23"/>
                <w:szCs w:val="23"/>
              </w:rPr>
            </w:pPr>
            <w:r>
              <w:rPr>
                <w:rFonts w:ascii="宋体" w:hAnsi="宋体" w:eastAsia="宋体" w:cs="宋体"/>
                <w:spacing w:val="-4"/>
                <w:sz w:val="23"/>
                <w:szCs w:val="23"/>
              </w:rPr>
              <w:t>52</w:t>
            </w:r>
          </w:p>
        </w:tc>
      </w:tr>
      <w:tr w14:paraId="5C3DF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6" w:hRule="atLeast"/>
        </w:trPr>
        <w:tc>
          <w:tcPr>
            <w:tcW w:w="818" w:type="dxa"/>
            <w:vMerge w:val="continue"/>
            <w:tcBorders>
              <w:top w:val="nil"/>
            </w:tcBorders>
            <w:vAlign w:val="top"/>
          </w:tcPr>
          <w:p w14:paraId="38211B2E">
            <w:pPr>
              <w:rPr>
                <w:rFonts w:ascii="Arial"/>
                <w:sz w:val="21"/>
              </w:rPr>
            </w:pPr>
          </w:p>
        </w:tc>
        <w:tc>
          <w:tcPr>
            <w:tcW w:w="1440" w:type="dxa"/>
            <w:vMerge w:val="continue"/>
            <w:tcBorders>
              <w:top w:val="nil"/>
            </w:tcBorders>
            <w:vAlign w:val="top"/>
          </w:tcPr>
          <w:p w14:paraId="4E13D5E0">
            <w:pPr>
              <w:rPr>
                <w:rFonts w:ascii="Arial"/>
                <w:sz w:val="21"/>
              </w:rPr>
            </w:pPr>
          </w:p>
        </w:tc>
        <w:tc>
          <w:tcPr>
            <w:tcW w:w="3202" w:type="dxa"/>
            <w:vMerge w:val="continue"/>
            <w:tcBorders>
              <w:top w:val="nil"/>
            </w:tcBorders>
            <w:vAlign w:val="top"/>
          </w:tcPr>
          <w:p w14:paraId="1C77F8D5">
            <w:pPr>
              <w:rPr>
                <w:rFonts w:ascii="Arial"/>
                <w:sz w:val="21"/>
              </w:rPr>
            </w:pPr>
          </w:p>
        </w:tc>
        <w:tc>
          <w:tcPr>
            <w:tcW w:w="2859" w:type="dxa"/>
            <w:vMerge w:val="continue"/>
            <w:tcBorders>
              <w:top w:val="nil"/>
            </w:tcBorders>
            <w:vAlign w:val="top"/>
          </w:tcPr>
          <w:p w14:paraId="3F7D9FC2">
            <w:pPr>
              <w:rPr>
                <w:rFonts w:ascii="Arial"/>
                <w:sz w:val="21"/>
              </w:rPr>
            </w:pPr>
          </w:p>
        </w:tc>
        <w:tc>
          <w:tcPr>
            <w:tcW w:w="803" w:type="dxa"/>
            <w:vAlign w:val="top"/>
          </w:tcPr>
          <w:p w14:paraId="3E4EC593">
            <w:pPr>
              <w:spacing w:line="255" w:lineRule="auto"/>
              <w:rPr>
                <w:rFonts w:ascii="Arial"/>
                <w:sz w:val="21"/>
              </w:rPr>
            </w:pPr>
          </w:p>
          <w:p w14:paraId="7C02DA3A">
            <w:pPr>
              <w:spacing w:line="256" w:lineRule="auto"/>
              <w:rPr>
                <w:rFonts w:ascii="Arial"/>
                <w:sz w:val="21"/>
              </w:rPr>
            </w:pPr>
          </w:p>
          <w:p w14:paraId="142A372E">
            <w:pPr>
              <w:spacing w:line="256" w:lineRule="auto"/>
              <w:rPr>
                <w:rFonts w:ascii="Arial"/>
                <w:sz w:val="21"/>
              </w:rPr>
            </w:pPr>
          </w:p>
          <w:p w14:paraId="1EACB057">
            <w:pPr>
              <w:spacing w:line="256" w:lineRule="auto"/>
              <w:rPr>
                <w:rFonts w:ascii="Arial"/>
                <w:sz w:val="21"/>
              </w:rPr>
            </w:pPr>
          </w:p>
          <w:p w14:paraId="5B774DDF">
            <w:pPr>
              <w:spacing w:line="256" w:lineRule="auto"/>
              <w:rPr>
                <w:rFonts w:ascii="Arial"/>
                <w:sz w:val="21"/>
              </w:rPr>
            </w:pPr>
          </w:p>
          <w:p w14:paraId="5A66B6CC">
            <w:pPr>
              <w:spacing w:line="256" w:lineRule="auto"/>
              <w:rPr>
                <w:rFonts w:ascii="Arial"/>
                <w:sz w:val="21"/>
              </w:rPr>
            </w:pPr>
          </w:p>
          <w:p w14:paraId="6D07F2E7">
            <w:pPr>
              <w:spacing w:line="256" w:lineRule="auto"/>
              <w:rPr>
                <w:rFonts w:ascii="Arial"/>
                <w:sz w:val="21"/>
              </w:rPr>
            </w:pPr>
          </w:p>
          <w:p w14:paraId="34293A04">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504DAD46">
            <w:pPr>
              <w:pStyle w:val="6"/>
              <w:spacing w:before="27" w:line="181" w:lineRule="auto"/>
              <w:ind w:left="117" w:right="108"/>
              <w:jc w:val="both"/>
            </w:pPr>
            <w:r>
              <w:rPr>
                <w:spacing w:val="-3"/>
              </w:rPr>
              <w:t>矿山、金属冶炼、建</w:t>
            </w:r>
            <w:r>
              <w:rPr>
                <w:spacing w:val="26"/>
              </w:rPr>
              <w:t>筑施工企业和易燃</w:t>
            </w:r>
            <w:r>
              <w:rPr>
                <w:spacing w:val="-3"/>
              </w:rPr>
              <w:t>易爆物品、危险化学</w:t>
            </w:r>
            <w:r>
              <w:rPr>
                <w:spacing w:val="26"/>
              </w:rPr>
              <w:t>品等危险物品的生</w:t>
            </w:r>
            <w:r>
              <w:rPr>
                <w:spacing w:val="-3"/>
              </w:rPr>
              <w:t>产、经营、储存、运输企业、使用危险化</w:t>
            </w:r>
            <w:r>
              <w:rPr>
                <w:spacing w:val="26"/>
              </w:rPr>
              <w:t>学品达到国家规定</w:t>
            </w:r>
            <w:r>
              <w:rPr>
                <w:spacing w:val="-3"/>
              </w:rPr>
              <w:t>数量的化工企业、烟花爆竹生产、批发经</w:t>
            </w:r>
            <w:r>
              <w:rPr>
                <w:spacing w:val="26"/>
              </w:rPr>
              <w:t>营企业和中型规模以上的其他生产经</w:t>
            </w:r>
            <w:r>
              <w:rPr>
                <w:spacing w:val="-3"/>
              </w:rPr>
              <w:t>营单位，应急预案评</w:t>
            </w:r>
            <w:r>
              <w:rPr>
                <w:spacing w:val="26"/>
              </w:rPr>
              <w:t>估期限不符合规定</w:t>
            </w:r>
          </w:p>
        </w:tc>
        <w:tc>
          <w:tcPr>
            <w:tcW w:w="2894" w:type="dxa"/>
            <w:vAlign w:val="top"/>
          </w:tcPr>
          <w:p w14:paraId="1438CC9D">
            <w:pPr>
              <w:spacing w:line="285" w:lineRule="auto"/>
              <w:rPr>
                <w:rFonts w:ascii="Arial"/>
                <w:sz w:val="21"/>
              </w:rPr>
            </w:pPr>
          </w:p>
          <w:p w14:paraId="516752D9">
            <w:pPr>
              <w:spacing w:line="285" w:lineRule="auto"/>
              <w:rPr>
                <w:rFonts w:ascii="Arial"/>
                <w:sz w:val="21"/>
              </w:rPr>
            </w:pPr>
          </w:p>
          <w:p w14:paraId="1C120DC7">
            <w:pPr>
              <w:spacing w:line="285" w:lineRule="auto"/>
              <w:rPr>
                <w:rFonts w:ascii="Arial"/>
                <w:sz w:val="21"/>
              </w:rPr>
            </w:pPr>
          </w:p>
          <w:p w14:paraId="593358DA">
            <w:pPr>
              <w:spacing w:line="286" w:lineRule="auto"/>
              <w:rPr>
                <w:rFonts w:ascii="Arial"/>
                <w:sz w:val="21"/>
              </w:rPr>
            </w:pPr>
          </w:p>
          <w:p w14:paraId="24211054">
            <w:pPr>
              <w:spacing w:line="286" w:lineRule="auto"/>
              <w:rPr>
                <w:rFonts w:ascii="Arial"/>
                <w:sz w:val="21"/>
              </w:rPr>
            </w:pPr>
          </w:p>
          <w:p w14:paraId="0862BB24">
            <w:pPr>
              <w:pStyle w:val="6"/>
              <w:spacing w:before="98" w:line="191" w:lineRule="auto"/>
              <w:ind w:left="122" w:right="104" w:firstLine="4"/>
              <w:jc w:val="both"/>
            </w:pPr>
            <w:r>
              <w:rPr>
                <w:spacing w:val="-5"/>
              </w:rPr>
              <w:t>责令限期改正，可以处</w:t>
            </w:r>
            <w:r>
              <w:rPr>
                <w:rFonts w:ascii="宋体" w:hAnsi="宋体" w:eastAsia="宋体" w:cs="宋体"/>
                <w:spacing w:val="-5"/>
              </w:rPr>
              <w:t>1.5</w:t>
            </w:r>
            <w:r>
              <w:rPr>
                <w:spacing w:val="7"/>
              </w:rPr>
              <w:t>万元以上</w:t>
            </w:r>
            <w:r>
              <w:rPr>
                <w:rFonts w:ascii="宋体" w:hAnsi="宋体" w:eastAsia="宋体" w:cs="宋体"/>
                <w:spacing w:val="7"/>
              </w:rPr>
              <w:t>2</w:t>
            </w:r>
            <w:r>
              <w:rPr>
                <w:spacing w:val="7"/>
              </w:rPr>
              <w:t>万元以下的罚</w:t>
            </w:r>
            <w:r>
              <w:t>款</w:t>
            </w:r>
          </w:p>
        </w:tc>
        <w:tc>
          <w:tcPr>
            <w:tcW w:w="811" w:type="dxa"/>
            <w:vMerge w:val="continue"/>
            <w:tcBorders>
              <w:top w:val="nil"/>
            </w:tcBorders>
            <w:vAlign w:val="top"/>
          </w:tcPr>
          <w:p w14:paraId="31FF3A42">
            <w:pPr>
              <w:rPr>
                <w:rFonts w:ascii="Arial"/>
                <w:sz w:val="21"/>
              </w:rPr>
            </w:pPr>
          </w:p>
        </w:tc>
      </w:tr>
    </w:tbl>
    <w:p w14:paraId="7C26A688">
      <w:pPr>
        <w:pStyle w:val="2"/>
      </w:pPr>
    </w:p>
    <w:p w14:paraId="582DA141">
      <w:pPr>
        <w:sectPr>
          <w:footerReference r:id="rId93" w:type="default"/>
          <w:pgSz w:w="16839" w:h="11906"/>
          <w:pgMar w:top="1012" w:right="821" w:bottom="666" w:left="901" w:header="0" w:footer="388" w:gutter="0"/>
          <w:cols w:space="720" w:num="1"/>
        </w:sectPr>
      </w:pPr>
    </w:p>
    <w:p w14:paraId="4CD216DC">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0F5E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26232FE">
            <w:pPr>
              <w:spacing w:before="222" w:line="241" w:lineRule="auto"/>
              <w:ind w:left="131"/>
              <w:outlineLvl w:val="0"/>
              <w:rPr>
                <w:rFonts w:ascii="黑体" w:hAnsi="黑体" w:eastAsia="黑体" w:cs="黑体"/>
                <w:sz w:val="28"/>
                <w:szCs w:val="28"/>
              </w:rPr>
            </w:pPr>
            <w:bookmarkStart w:id="478" w:name="bookmark160"/>
            <w:bookmarkEnd w:id="478"/>
            <w:r>
              <w:rPr>
                <w:rFonts w:ascii="黑体" w:hAnsi="黑体" w:eastAsia="黑体" w:cs="黑体"/>
                <w:spacing w:val="-2"/>
                <w:sz w:val="28"/>
                <w:szCs w:val="28"/>
              </w:rPr>
              <w:t>序号</w:t>
            </w:r>
          </w:p>
        </w:tc>
        <w:tc>
          <w:tcPr>
            <w:tcW w:w="1440" w:type="dxa"/>
            <w:vAlign w:val="top"/>
          </w:tcPr>
          <w:p w14:paraId="7B932C9B">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755B777">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7516D9A">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0EE6519">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D4CF3E0">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9779C97">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6F33A150">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CB0B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818" w:type="dxa"/>
            <w:vMerge w:val="restart"/>
            <w:tcBorders>
              <w:bottom w:val="nil"/>
            </w:tcBorders>
            <w:vAlign w:val="top"/>
          </w:tcPr>
          <w:p w14:paraId="44A7B1D5">
            <w:pPr>
              <w:rPr>
                <w:rFonts w:ascii="Arial"/>
                <w:sz w:val="21"/>
              </w:rPr>
            </w:pPr>
          </w:p>
        </w:tc>
        <w:tc>
          <w:tcPr>
            <w:tcW w:w="1440" w:type="dxa"/>
            <w:vMerge w:val="restart"/>
            <w:tcBorders>
              <w:bottom w:val="nil"/>
            </w:tcBorders>
            <w:vAlign w:val="top"/>
          </w:tcPr>
          <w:p w14:paraId="678CCAAA">
            <w:pPr>
              <w:rPr>
                <w:rFonts w:ascii="Arial"/>
                <w:sz w:val="21"/>
              </w:rPr>
            </w:pPr>
          </w:p>
        </w:tc>
        <w:tc>
          <w:tcPr>
            <w:tcW w:w="3202" w:type="dxa"/>
            <w:vMerge w:val="restart"/>
            <w:tcBorders>
              <w:bottom w:val="nil"/>
            </w:tcBorders>
            <w:vAlign w:val="top"/>
          </w:tcPr>
          <w:p w14:paraId="39B07104">
            <w:pPr>
              <w:rPr>
                <w:rFonts w:ascii="Arial"/>
                <w:sz w:val="21"/>
              </w:rPr>
            </w:pPr>
          </w:p>
        </w:tc>
        <w:tc>
          <w:tcPr>
            <w:tcW w:w="2859" w:type="dxa"/>
            <w:vMerge w:val="restart"/>
            <w:tcBorders>
              <w:bottom w:val="nil"/>
            </w:tcBorders>
            <w:vAlign w:val="top"/>
          </w:tcPr>
          <w:p w14:paraId="606353DF">
            <w:pPr>
              <w:rPr>
                <w:rFonts w:ascii="Arial"/>
                <w:sz w:val="21"/>
              </w:rPr>
            </w:pPr>
          </w:p>
        </w:tc>
        <w:tc>
          <w:tcPr>
            <w:tcW w:w="803" w:type="dxa"/>
            <w:vAlign w:val="top"/>
          </w:tcPr>
          <w:p w14:paraId="05B0A748">
            <w:pPr>
              <w:rPr>
                <w:rFonts w:ascii="Arial"/>
                <w:sz w:val="21"/>
              </w:rPr>
            </w:pPr>
          </w:p>
        </w:tc>
        <w:tc>
          <w:tcPr>
            <w:tcW w:w="2283" w:type="dxa"/>
            <w:vAlign w:val="top"/>
          </w:tcPr>
          <w:p w14:paraId="0308B5A6">
            <w:pPr>
              <w:pStyle w:val="6"/>
              <w:spacing w:before="28" w:line="162" w:lineRule="auto"/>
              <w:ind w:left="139"/>
            </w:pPr>
            <w:r>
              <w:t>的</w:t>
            </w:r>
          </w:p>
        </w:tc>
        <w:tc>
          <w:tcPr>
            <w:tcW w:w="2894" w:type="dxa"/>
            <w:vAlign w:val="top"/>
          </w:tcPr>
          <w:p w14:paraId="391D57C9">
            <w:pPr>
              <w:rPr>
                <w:rFonts w:ascii="Arial"/>
                <w:sz w:val="21"/>
              </w:rPr>
            </w:pPr>
          </w:p>
        </w:tc>
        <w:tc>
          <w:tcPr>
            <w:tcW w:w="811" w:type="dxa"/>
            <w:vMerge w:val="restart"/>
            <w:tcBorders>
              <w:bottom w:val="nil"/>
            </w:tcBorders>
            <w:vAlign w:val="top"/>
          </w:tcPr>
          <w:p w14:paraId="40F51E25">
            <w:pPr>
              <w:rPr>
                <w:rFonts w:ascii="Arial"/>
                <w:sz w:val="21"/>
              </w:rPr>
            </w:pPr>
          </w:p>
        </w:tc>
      </w:tr>
      <w:tr w14:paraId="11575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3" w:hRule="atLeast"/>
        </w:trPr>
        <w:tc>
          <w:tcPr>
            <w:tcW w:w="818" w:type="dxa"/>
            <w:vMerge w:val="continue"/>
            <w:tcBorders>
              <w:top w:val="nil"/>
            </w:tcBorders>
            <w:vAlign w:val="top"/>
          </w:tcPr>
          <w:p w14:paraId="70BD4478">
            <w:pPr>
              <w:rPr>
                <w:rFonts w:ascii="Arial"/>
                <w:sz w:val="21"/>
              </w:rPr>
            </w:pPr>
          </w:p>
        </w:tc>
        <w:tc>
          <w:tcPr>
            <w:tcW w:w="1440" w:type="dxa"/>
            <w:vMerge w:val="continue"/>
            <w:tcBorders>
              <w:top w:val="nil"/>
            </w:tcBorders>
            <w:vAlign w:val="top"/>
          </w:tcPr>
          <w:p w14:paraId="166B57B0">
            <w:pPr>
              <w:rPr>
                <w:rFonts w:ascii="Arial"/>
                <w:sz w:val="21"/>
              </w:rPr>
            </w:pPr>
          </w:p>
        </w:tc>
        <w:tc>
          <w:tcPr>
            <w:tcW w:w="3202" w:type="dxa"/>
            <w:vMerge w:val="continue"/>
            <w:tcBorders>
              <w:top w:val="nil"/>
            </w:tcBorders>
            <w:vAlign w:val="top"/>
          </w:tcPr>
          <w:p w14:paraId="6CCAA61C">
            <w:pPr>
              <w:rPr>
                <w:rFonts w:ascii="Arial"/>
                <w:sz w:val="21"/>
              </w:rPr>
            </w:pPr>
          </w:p>
        </w:tc>
        <w:tc>
          <w:tcPr>
            <w:tcW w:w="2859" w:type="dxa"/>
            <w:vMerge w:val="continue"/>
            <w:tcBorders>
              <w:top w:val="nil"/>
            </w:tcBorders>
            <w:vAlign w:val="top"/>
          </w:tcPr>
          <w:p w14:paraId="6F8D3890">
            <w:pPr>
              <w:rPr>
                <w:rFonts w:ascii="Arial"/>
                <w:sz w:val="21"/>
              </w:rPr>
            </w:pPr>
          </w:p>
        </w:tc>
        <w:tc>
          <w:tcPr>
            <w:tcW w:w="803" w:type="dxa"/>
            <w:vAlign w:val="top"/>
          </w:tcPr>
          <w:p w14:paraId="18A0AD3E">
            <w:pPr>
              <w:spacing w:line="255" w:lineRule="auto"/>
              <w:rPr>
                <w:rFonts w:ascii="Arial"/>
                <w:sz w:val="21"/>
              </w:rPr>
            </w:pPr>
          </w:p>
          <w:p w14:paraId="186AC74A">
            <w:pPr>
              <w:spacing w:line="255" w:lineRule="auto"/>
              <w:rPr>
                <w:rFonts w:ascii="Arial"/>
                <w:sz w:val="21"/>
              </w:rPr>
            </w:pPr>
          </w:p>
          <w:p w14:paraId="10FFBE8E">
            <w:pPr>
              <w:spacing w:line="255" w:lineRule="auto"/>
              <w:rPr>
                <w:rFonts w:ascii="Arial"/>
                <w:sz w:val="21"/>
              </w:rPr>
            </w:pPr>
          </w:p>
          <w:p w14:paraId="1A0AEFDF">
            <w:pPr>
              <w:spacing w:line="255" w:lineRule="auto"/>
              <w:rPr>
                <w:rFonts w:ascii="Arial"/>
                <w:sz w:val="21"/>
              </w:rPr>
            </w:pPr>
          </w:p>
          <w:p w14:paraId="4E54FFD6">
            <w:pPr>
              <w:spacing w:line="255" w:lineRule="auto"/>
              <w:rPr>
                <w:rFonts w:ascii="Arial"/>
                <w:sz w:val="21"/>
              </w:rPr>
            </w:pPr>
          </w:p>
          <w:p w14:paraId="11914901">
            <w:pPr>
              <w:spacing w:line="256" w:lineRule="auto"/>
              <w:rPr>
                <w:rFonts w:ascii="Arial"/>
                <w:sz w:val="21"/>
              </w:rPr>
            </w:pPr>
          </w:p>
          <w:p w14:paraId="313B11C8">
            <w:pPr>
              <w:spacing w:line="256" w:lineRule="auto"/>
              <w:rPr>
                <w:rFonts w:ascii="Arial"/>
                <w:sz w:val="21"/>
              </w:rPr>
            </w:pPr>
          </w:p>
          <w:p w14:paraId="3ADD2C38">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9343DE0">
            <w:pPr>
              <w:pStyle w:val="6"/>
              <w:spacing w:before="32" w:line="182" w:lineRule="auto"/>
              <w:ind w:left="124" w:right="109" w:hanging="6"/>
              <w:jc w:val="both"/>
            </w:pPr>
            <w:r>
              <w:rPr>
                <w:spacing w:val="-3"/>
              </w:rPr>
              <w:t>矿山、金属冶炼、建</w:t>
            </w:r>
            <w:r>
              <w:rPr>
                <w:spacing w:val="25"/>
              </w:rPr>
              <w:t>筑施工企业和易燃</w:t>
            </w:r>
            <w:r>
              <w:rPr>
                <w:spacing w:val="-3"/>
              </w:rPr>
              <w:t>易爆物品、危险化学</w:t>
            </w:r>
            <w:r>
              <w:rPr>
                <w:spacing w:val="25"/>
              </w:rPr>
              <w:t>品等危险物品的生</w:t>
            </w:r>
          </w:p>
          <w:p w14:paraId="42746AC8">
            <w:pPr>
              <w:pStyle w:val="6"/>
              <w:spacing w:line="182" w:lineRule="auto"/>
              <w:ind w:left="119"/>
              <w:outlineLvl w:val="1"/>
            </w:pPr>
            <w:r>
              <w:rPr>
                <w:spacing w:val="-3"/>
              </w:rPr>
              <w:t>产、经营、储存、运</w:t>
            </w:r>
          </w:p>
          <w:p w14:paraId="36379B20">
            <w:pPr>
              <w:pStyle w:val="6"/>
              <w:spacing w:before="8" w:line="179" w:lineRule="auto"/>
              <w:ind w:left="118" w:right="109" w:firstLine="3"/>
              <w:jc w:val="both"/>
            </w:pPr>
            <w:r>
              <w:rPr>
                <w:spacing w:val="-3"/>
              </w:rPr>
              <w:t>输企业、使用危险化</w:t>
            </w:r>
            <w:r>
              <w:rPr>
                <w:spacing w:val="26"/>
              </w:rPr>
              <w:t>学品达到国家规定</w:t>
            </w:r>
            <w:r>
              <w:rPr>
                <w:spacing w:val="-3"/>
              </w:rPr>
              <w:t>数量的化工企业、烟花爆竹生产、批发经</w:t>
            </w:r>
            <w:r>
              <w:rPr>
                <w:spacing w:val="26"/>
              </w:rPr>
              <w:t>营企业和中型规模以上的其他生产经</w:t>
            </w:r>
            <w:r>
              <w:rPr>
                <w:spacing w:val="-3"/>
              </w:rPr>
              <w:t>营单位，未开展应急</w:t>
            </w:r>
            <w:r>
              <w:rPr>
                <w:spacing w:val="6"/>
              </w:rPr>
              <w:t>预案评估的</w:t>
            </w:r>
          </w:p>
        </w:tc>
        <w:tc>
          <w:tcPr>
            <w:tcW w:w="2894" w:type="dxa"/>
            <w:vAlign w:val="top"/>
          </w:tcPr>
          <w:p w14:paraId="6B355EA8">
            <w:pPr>
              <w:spacing w:line="284" w:lineRule="auto"/>
              <w:rPr>
                <w:rFonts w:ascii="Arial"/>
                <w:sz w:val="21"/>
              </w:rPr>
            </w:pPr>
          </w:p>
          <w:p w14:paraId="07D85EFA">
            <w:pPr>
              <w:spacing w:line="285" w:lineRule="auto"/>
              <w:rPr>
                <w:rFonts w:ascii="Arial"/>
                <w:sz w:val="21"/>
              </w:rPr>
            </w:pPr>
          </w:p>
          <w:p w14:paraId="7B7DE1BA">
            <w:pPr>
              <w:spacing w:line="285" w:lineRule="auto"/>
              <w:rPr>
                <w:rFonts w:ascii="Arial"/>
                <w:sz w:val="21"/>
              </w:rPr>
            </w:pPr>
          </w:p>
          <w:p w14:paraId="5E297890">
            <w:pPr>
              <w:spacing w:line="285" w:lineRule="auto"/>
              <w:rPr>
                <w:rFonts w:ascii="Arial"/>
                <w:sz w:val="21"/>
              </w:rPr>
            </w:pPr>
          </w:p>
          <w:p w14:paraId="7BF21154">
            <w:pPr>
              <w:spacing w:line="285" w:lineRule="auto"/>
              <w:rPr>
                <w:rFonts w:ascii="Arial"/>
                <w:sz w:val="21"/>
              </w:rPr>
            </w:pPr>
          </w:p>
          <w:p w14:paraId="47AAFDA1">
            <w:pPr>
              <w:pStyle w:val="6"/>
              <w:spacing w:before="99" w:line="191" w:lineRule="auto"/>
              <w:ind w:left="122" w:right="104" w:firstLine="4"/>
              <w:jc w:val="both"/>
            </w:pPr>
            <w:r>
              <w:rPr>
                <w:spacing w:val="10"/>
              </w:rPr>
              <w:t>责令限期改正，可以处</w:t>
            </w:r>
            <w:r>
              <w:rPr>
                <w:rFonts w:ascii="宋体" w:hAnsi="宋体" w:eastAsia="宋体" w:cs="宋体"/>
                <w:spacing w:val="10"/>
              </w:rPr>
              <w:t>2</w:t>
            </w:r>
            <w:r>
              <w:rPr>
                <w:spacing w:val="7"/>
              </w:rPr>
              <w:t>万元以上</w:t>
            </w:r>
            <w:r>
              <w:rPr>
                <w:rFonts w:ascii="宋体" w:hAnsi="宋体" w:eastAsia="宋体" w:cs="宋体"/>
                <w:spacing w:val="7"/>
              </w:rPr>
              <w:t>3</w:t>
            </w:r>
            <w:r>
              <w:rPr>
                <w:spacing w:val="7"/>
              </w:rPr>
              <w:t>万元以下的罚</w:t>
            </w:r>
            <w:r>
              <w:t>款</w:t>
            </w:r>
          </w:p>
        </w:tc>
        <w:tc>
          <w:tcPr>
            <w:tcW w:w="811" w:type="dxa"/>
            <w:vMerge w:val="continue"/>
            <w:tcBorders>
              <w:top w:val="nil"/>
            </w:tcBorders>
            <w:vAlign w:val="top"/>
          </w:tcPr>
          <w:p w14:paraId="06832EBA">
            <w:pPr>
              <w:rPr>
                <w:rFonts w:ascii="Arial"/>
                <w:sz w:val="21"/>
              </w:rPr>
            </w:pPr>
          </w:p>
        </w:tc>
      </w:tr>
      <w:tr w14:paraId="45CBA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trPr>
        <w:tc>
          <w:tcPr>
            <w:tcW w:w="818" w:type="dxa"/>
            <w:vMerge w:val="restart"/>
            <w:tcBorders>
              <w:bottom w:val="nil"/>
            </w:tcBorders>
            <w:vAlign w:val="top"/>
          </w:tcPr>
          <w:p w14:paraId="2820C5CF">
            <w:pPr>
              <w:spacing w:line="249" w:lineRule="auto"/>
              <w:rPr>
                <w:rFonts w:ascii="Arial"/>
                <w:sz w:val="21"/>
              </w:rPr>
            </w:pPr>
          </w:p>
          <w:p w14:paraId="18975DB0">
            <w:pPr>
              <w:spacing w:line="249" w:lineRule="auto"/>
              <w:rPr>
                <w:rFonts w:ascii="Arial"/>
                <w:sz w:val="21"/>
              </w:rPr>
            </w:pPr>
          </w:p>
          <w:p w14:paraId="7D240B79">
            <w:pPr>
              <w:spacing w:line="249" w:lineRule="auto"/>
              <w:rPr>
                <w:rFonts w:ascii="Arial"/>
                <w:sz w:val="21"/>
              </w:rPr>
            </w:pPr>
          </w:p>
          <w:p w14:paraId="1ABBD2F1">
            <w:pPr>
              <w:spacing w:line="249" w:lineRule="auto"/>
              <w:rPr>
                <w:rFonts w:ascii="Arial"/>
                <w:sz w:val="21"/>
              </w:rPr>
            </w:pPr>
          </w:p>
          <w:p w14:paraId="3E9B2D56">
            <w:pPr>
              <w:spacing w:line="250" w:lineRule="auto"/>
              <w:rPr>
                <w:rFonts w:ascii="Arial"/>
                <w:sz w:val="21"/>
              </w:rPr>
            </w:pPr>
          </w:p>
          <w:p w14:paraId="63C9C80B">
            <w:pPr>
              <w:spacing w:line="250" w:lineRule="auto"/>
              <w:rPr>
                <w:rFonts w:ascii="Arial"/>
                <w:sz w:val="21"/>
              </w:rPr>
            </w:pPr>
          </w:p>
          <w:p w14:paraId="69E11FF4">
            <w:pPr>
              <w:spacing w:line="250" w:lineRule="auto"/>
              <w:rPr>
                <w:rFonts w:ascii="Arial"/>
                <w:sz w:val="21"/>
              </w:rPr>
            </w:pPr>
          </w:p>
          <w:p w14:paraId="500B82F2">
            <w:pPr>
              <w:spacing w:line="250" w:lineRule="auto"/>
              <w:rPr>
                <w:rFonts w:ascii="Arial"/>
                <w:sz w:val="21"/>
              </w:rPr>
            </w:pPr>
          </w:p>
          <w:p w14:paraId="39B29973">
            <w:pPr>
              <w:spacing w:line="250" w:lineRule="auto"/>
              <w:rPr>
                <w:rFonts w:ascii="Arial"/>
                <w:sz w:val="21"/>
              </w:rPr>
            </w:pPr>
          </w:p>
          <w:p w14:paraId="412CFB89">
            <w:pPr>
              <w:spacing w:before="75" w:line="185" w:lineRule="auto"/>
              <w:ind w:left="240"/>
              <w:rPr>
                <w:rFonts w:ascii="仿宋" w:hAnsi="仿宋" w:eastAsia="仿宋" w:cs="仿宋"/>
                <w:sz w:val="23"/>
                <w:szCs w:val="23"/>
              </w:rPr>
            </w:pPr>
            <w:r>
              <w:rPr>
                <w:rFonts w:ascii="仿宋" w:hAnsi="仿宋" w:eastAsia="仿宋" w:cs="仿宋"/>
                <w:spacing w:val="-4"/>
                <w:sz w:val="23"/>
                <w:szCs w:val="23"/>
              </w:rPr>
              <w:t>76</w:t>
            </w:r>
          </w:p>
        </w:tc>
        <w:tc>
          <w:tcPr>
            <w:tcW w:w="1440" w:type="dxa"/>
            <w:vMerge w:val="restart"/>
            <w:tcBorders>
              <w:bottom w:val="nil"/>
            </w:tcBorders>
            <w:vAlign w:val="top"/>
          </w:tcPr>
          <w:p w14:paraId="55B9037C">
            <w:pPr>
              <w:spacing w:line="246" w:lineRule="auto"/>
              <w:rPr>
                <w:rFonts w:ascii="Arial"/>
                <w:sz w:val="21"/>
              </w:rPr>
            </w:pPr>
          </w:p>
          <w:p w14:paraId="65240151">
            <w:pPr>
              <w:spacing w:line="246" w:lineRule="auto"/>
              <w:rPr>
                <w:rFonts w:ascii="Arial"/>
                <w:sz w:val="21"/>
              </w:rPr>
            </w:pPr>
          </w:p>
          <w:p w14:paraId="1D251032">
            <w:pPr>
              <w:spacing w:line="246" w:lineRule="auto"/>
              <w:rPr>
                <w:rFonts w:ascii="Arial"/>
                <w:sz w:val="21"/>
              </w:rPr>
            </w:pPr>
          </w:p>
          <w:p w14:paraId="7534B83A">
            <w:pPr>
              <w:spacing w:line="247" w:lineRule="auto"/>
              <w:rPr>
                <w:rFonts w:ascii="Arial"/>
                <w:sz w:val="21"/>
              </w:rPr>
            </w:pPr>
          </w:p>
          <w:p w14:paraId="10DFA4F2">
            <w:pPr>
              <w:spacing w:line="247" w:lineRule="auto"/>
              <w:rPr>
                <w:rFonts w:ascii="Arial"/>
                <w:sz w:val="21"/>
              </w:rPr>
            </w:pPr>
          </w:p>
          <w:p w14:paraId="5AEC7954">
            <w:pPr>
              <w:spacing w:line="247" w:lineRule="auto"/>
              <w:rPr>
                <w:rFonts w:ascii="Arial"/>
                <w:sz w:val="21"/>
              </w:rPr>
            </w:pPr>
          </w:p>
          <w:p w14:paraId="625C3A55">
            <w:pPr>
              <w:spacing w:line="247" w:lineRule="auto"/>
              <w:rPr>
                <w:rFonts w:ascii="Arial"/>
                <w:sz w:val="21"/>
              </w:rPr>
            </w:pPr>
          </w:p>
          <w:p w14:paraId="12440BE1">
            <w:pPr>
              <w:pStyle w:val="6"/>
              <w:spacing w:before="99" w:line="189" w:lineRule="auto"/>
              <w:ind w:left="115" w:right="111" w:firstLine="13"/>
              <w:jc w:val="both"/>
            </w:pPr>
            <w:r>
              <w:rPr>
                <w:spacing w:val="8"/>
              </w:rPr>
              <w:t>生产经营单</w:t>
            </w:r>
            <w:r>
              <w:rPr>
                <w:spacing w:val="11"/>
              </w:rPr>
              <w:t>位未按照规定进行应急</w:t>
            </w:r>
            <w:r>
              <w:rPr>
                <w:spacing w:val="6"/>
              </w:rPr>
              <w:t>预案修订的</w:t>
            </w:r>
          </w:p>
        </w:tc>
        <w:tc>
          <w:tcPr>
            <w:tcW w:w="3202" w:type="dxa"/>
            <w:vMerge w:val="restart"/>
            <w:tcBorders>
              <w:bottom w:val="nil"/>
            </w:tcBorders>
            <w:vAlign w:val="top"/>
          </w:tcPr>
          <w:p w14:paraId="59EF3BEF">
            <w:pPr>
              <w:pStyle w:val="6"/>
              <w:spacing w:before="43" w:line="181" w:lineRule="auto"/>
              <w:ind w:left="115" w:hanging="17"/>
              <w:jc w:val="both"/>
            </w:pPr>
            <w:r>
              <w:rPr>
                <w:spacing w:val="17"/>
              </w:rPr>
              <w:t>【部门规章】《生产安全事</w:t>
            </w:r>
            <w:r>
              <w:rPr>
                <w:spacing w:val="16"/>
              </w:rPr>
              <w:t>故应急预案管理办法》第三</w:t>
            </w:r>
            <w:r>
              <w:t>十六条：有下列情形之一的，</w:t>
            </w:r>
            <w:r>
              <w:rPr>
                <w:spacing w:val="16"/>
              </w:rPr>
              <w:t>应急预案应当及时修订并归</w:t>
            </w:r>
            <w:r>
              <w:rPr>
                <w:spacing w:val="4"/>
              </w:rPr>
              <w:t>档</w:t>
            </w:r>
            <w:r>
              <w:rPr>
                <w:spacing w:val="-10"/>
              </w:rPr>
              <w:t>：（</w:t>
            </w:r>
            <w:r>
              <w:rPr>
                <w:spacing w:val="4"/>
              </w:rPr>
              <w:t>一）依据的法律、法</w:t>
            </w:r>
            <w:r>
              <w:rPr>
                <w:spacing w:val="16"/>
              </w:rPr>
              <w:t>规、规章、标准及上位预案中的有关规定发生重大变化</w:t>
            </w:r>
            <w:r>
              <w:rPr>
                <w:spacing w:val="17"/>
              </w:rPr>
              <w:t>的</w:t>
            </w:r>
            <w:r>
              <w:rPr>
                <w:spacing w:val="-11"/>
              </w:rPr>
              <w:t>；（</w:t>
            </w:r>
            <w:r>
              <w:rPr>
                <w:spacing w:val="17"/>
              </w:rPr>
              <w:t>二）应急指挥机构及</w:t>
            </w:r>
            <w:r>
              <w:rPr>
                <w:spacing w:val="23"/>
              </w:rPr>
              <w:t>其职责发生调整的</w:t>
            </w:r>
            <w:r>
              <w:rPr>
                <w:spacing w:val="-15"/>
              </w:rPr>
              <w:t>；（</w:t>
            </w:r>
            <w:r>
              <w:rPr>
                <w:spacing w:val="23"/>
              </w:rPr>
              <w:t>三）</w:t>
            </w:r>
            <w:r>
              <w:rPr>
                <w:spacing w:val="16"/>
              </w:rPr>
              <w:t>安全生产面临的风险发生重</w:t>
            </w:r>
            <w:r>
              <w:rPr>
                <w:spacing w:val="17"/>
              </w:rPr>
              <w:t>大变化的</w:t>
            </w:r>
            <w:r>
              <w:rPr>
                <w:spacing w:val="-12"/>
              </w:rPr>
              <w:t>；（</w:t>
            </w:r>
            <w:r>
              <w:rPr>
                <w:spacing w:val="17"/>
              </w:rPr>
              <w:t>四）重要应急</w:t>
            </w:r>
            <w:r>
              <w:rPr>
                <w:spacing w:val="7"/>
              </w:rPr>
              <w:t>资源发生重大变化的</w:t>
            </w:r>
            <w:r>
              <w:rPr>
                <w:spacing w:val="6"/>
              </w:rPr>
              <w:t>；（</w:t>
            </w:r>
            <w:r>
              <w:rPr>
                <w:spacing w:val="7"/>
              </w:rPr>
              <w:t>五）</w:t>
            </w:r>
            <w:r>
              <w:rPr>
                <w:spacing w:val="16"/>
              </w:rPr>
              <w:t>在应急演练和事故应急救援中发现需要修订预案的重大</w:t>
            </w:r>
            <w:r>
              <w:rPr>
                <w:spacing w:val="18"/>
              </w:rPr>
              <w:t>问题的</w:t>
            </w:r>
            <w:r>
              <w:rPr>
                <w:spacing w:val="-13"/>
              </w:rPr>
              <w:t>；（</w:t>
            </w:r>
            <w:r>
              <w:rPr>
                <w:spacing w:val="18"/>
              </w:rPr>
              <w:t>六）编制单位认</w:t>
            </w:r>
            <w:r>
              <w:rPr>
                <w:spacing w:val="4"/>
              </w:rPr>
              <w:t>为应当修订的其他情况。</w:t>
            </w:r>
          </w:p>
        </w:tc>
        <w:tc>
          <w:tcPr>
            <w:tcW w:w="2859" w:type="dxa"/>
            <w:vMerge w:val="restart"/>
            <w:tcBorders>
              <w:bottom w:val="nil"/>
            </w:tcBorders>
            <w:vAlign w:val="top"/>
          </w:tcPr>
          <w:p w14:paraId="7DBB6E48">
            <w:pPr>
              <w:pStyle w:val="6"/>
              <w:spacing w:before="32" w:line="185" w:lineRule="auto"/>
              <w:ind w:left="114" w:right="97" w:hanging="17"/>
              <w:jc w:val="both"/>
            </w:pPr>
            <w:r>
              <w:rPr>
                <w:spacing w:val="10"/>
              </w:rPr>
              <w:t>【部门规章】《生产安全事故应急预案管理办法》</w:t>
            </w:r>
            <w:r>
              <w:rPr>
                <w:spacing w:val="32"/>
              </w:rPr>
              <w:t>第四十五条第一款第五</w:t>
            </w:r>
            <w:r>
              <w:rPr>
                <w:spacing w:val="8"/>
              </w:rPr>
              <w:t>项：生产经营单位有下列情形之一的，由县级以上人民政府应急管理部门责</w:t>
            </w:r>
            <w:r>
              <w:rPr>
                <w:spacing w:val="3"/>
              </w:rPr>
              <w:t>令限期改正，可以处</w:t>
            </w:r>
            <w:r>
              <w:rPr>
                <w:rFonts w:ascii="宋体" w:hAnsi="宋体" w:eastAsia="宋体" w:cs="宋体"/>
                <w:spacing w:val="3"/>
              </w:rPr>
              <w:t>1</w:t>
            </w:r>
            <w:r>
              <w:rPr>
                <w:spacing w:val="3"/>
              </w:rPr>
              <w:t>万</w:t>
            </w:r>
            <w:r>
              <w:rPr>
                <w:spacing w:val="20"/>
              </w:rPr>
              <w:t>元以上</w:t>
            </w:r>
            <w:r>
              <w:rPr>
                <w:rFonts w:ascii="宋体" w:hAnsi="宋体" w:eastAsia="宋体" w:cs="宋体"/>
                <w:spacing w:val="20"/>
              </w:rPr>
              <w:t>3</w:t>
            </w:r>
            <w:r>
              <w:rPr>
                <w:spacing w:val="20"/>
              </w:rPr>
              <w:t>万元以下的罚</w:t>
            </w:r>
            <w:r>
              <w:rPr>
                <w:spacing w:val="8"/>
              </w:rPr>
              <w:t>款</w:t>
            </w:r>
            <w:r>
              <w:rPr>
                <w:spacing w:val="11"/>
              </w:rPr>
              <w:t>：（</w:t>
            </w:r>
            <w:r>
              <w:rPr>
                <w:spacing w:val="8"/>
              </w:rPr>
              <w:t>五）未按照规定进</w:t>
            </w:r>
            <w:r>
              <w:rPr>
                <w:spacing w:val="3"/>
              </w:rPr>
              <w:t>行应急预案修订的；</w:t>
            </w:r>
          </w:p>
        </w:tc>
        <w:tc>
          <w:tcPr>
            <w:tcW w:w="803" w:type="dxa"/>
            <w:vAlign w:val="top"/>
          </w:tcPr>
          <w:p w14:paraId="60721BA3">
            <w:pPr>
              <w:spacing w:line="297" w:lineRule="auto"/>
              <w:rPr>
                <w:rFonts w:ascii="Arial"/>
                <w:sz w:val="21"/>
              </w:rPr>
            </w:pPr>
          </w:p>
          <w:p w14:paraId="20F7E41F">
            <w:pPr>
              <w:spacing w:line="297" w:lineRule="auto"/>
              <w:rPr>
                <w:rFonts w:ascii="Arial"/>
                <w:sz w:val="21"/>
              </w:rPr>
            </w:pPr>
          </w:p>
          <w:p w14:paraId="7753C1DC">
            <w:pPr>
              <w:spacing w:line="298" w:lineRule="auto"/>
              <w:rPr>
                <w:rFonts w:ascii="Arial"/>
                <w:sz w:val="21"/>
              </w:rPr>
            </w:pPr>
          </w:p>
          <w:p w14:paraId="47F02CB5">
            <w:pPr>
              <w:spacing w:line="298" w:lineRule="auto"/>
              <w:rPr>
                <w:rFonts w:ascii="Arial"/>
                <w:sz w:val="21"/>
              </w:rPr>
            </w:pPr>
          </w:p>
          <w:p w14:paraId="073F0D55">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A5708E5">
            <w:pPr>
              <w:pStyle w:val="6"/>
              <w:spacing w:before="29" w:line="180" w:lineRule="auto"/>
              <w:ind w:left="114" w:right="105" w:firstLine="2"/>
              <w:jc w:val="both"/>
            </w:pPr>
            <w:r>
              <w:rPr>
                <w:spacing w:val="-3"/>
              </w:rPr>
              <w:t>危险物品的生产、经</w:t>
            </w:r>
            <w:r>
              <w:rPr>
                <w:spacing w:val="-2"/>
              </w:rPr>
              <w:t>营、储存、装卸单位以及金属冶炼、建筑施工、运输单位以外</w:t>
            </w:r>
            <w:r>
              <w:rPr>
                <w:spacing w:val="26"/>
              </w:rPr>
              <w:t>的其他生产经营单</w:t>
            </w:r>
            <w:r>
              <w:rPr>
                <w:spacing w:val="22"/>
              </w:rPr>
              <w:t>位从业人员在</w:t>
            </w:r>
            <w:r>
              <w:rPr>
                <w:rFonts w:ascii="宋体" w:hAnsi="宋体" w:eastAsia="宋体" w:cs="宋体"/>
                <w:spacing w:val="22"/>
              </w:rPr>
              <w:t>100</w:t>
            </w:r>
            <w:r>
              <w:rPr>
                <w:spacing w:val="-2"/>
              </w:rPr>
              <w:t>人以下，未按照规定</w:t>
            </w:r>
            <w:r>
              <w:rPr>
                <w:spacing w:val="26"/>
              </w:rPr>
              <w:t>进行应急预案修订</w:t>
            </w:r>
            <w:r>
              <w:t>的</w:t>
            </w:r>
          </w:p>
        </w:tc>
        <w:tc>
          <w:tcPr>
            <w:tcW w:w="2894" w:type="dxa"/>
            <w:vAlign w:val="top"/>
          </w:tcPr>
          <w:p w14:paraId="624BA5C6">
            <w:pPr>
              <w:spacing w:line="276" w:lineRule="auto"/>
              <w:rPr>
                <w:rFonts w:ascii="Arial"/>
                <w:sz w:val="21"/>
              </w:rPr>
            </w:pPr>
          </w:p>
          <w:p w14:paraId="31B7A012">
            <w:pPr>
              <w:spacing w:line="276" w:lineRule="auto"/>
              <w:rPr>
                <w:rFonts w:ascii="Arial"/>
                <w:sz w:val="21"/>
              </w:rPr>
            </w:pPr>
          </w:p>
          <w:p w14:paraId="3B42EF08">
            <w:pPr>
              <w:spacing w:line="277" w:lineRule="auto"/>
              <w:rPr>
                <w:rFonts w:ascii="Arial"/>
                <w:sz w:val="21"/>
              </w:rPr>
            </w:pPr>
          </w:p>
          <w:p w14:paraId="486A41AB">
            <w:pPr>
              <w:pStyle w:val="6"/>
              <w:spacing w:before="99" w:line="191" w:lineRule="auto"/>
              <w:ind w:left="127" w:right="104"/>
              <w:jc w:val="both"/>
            </w:pPr>
            <w:r>
              <w:rPr>
                <w:spacing w:val="8"/>
              </w:rPr>
              <w:t>责令限期改正，可以处</w:t>
            </w:r>
            <w:r>
              <w:rPr>
                <w:rFonts w:ascii="宋体" w:hAnsi="宋体" w:eastAsia="宋体" w:cs="宋体"/>
                <w:spacing w:val="8"/>
              </w:rPr>
              <w:t>1</w:t>
            </w:r>
            <w:r>
              <w:rPr>
                <w:spacing w:val="4"/>
              </w:rPr>
              <w:t>万元以上</w:t>
            </w:r>
            <w:r>
              <w:rPr>
                <w:rFonts w:ascii="宋体" w:hAnsi="宋体" w:eastAsia="宋体" w:cs="宋体"/>
                <w:spacing w:val="4"/>
              </w:rPr>
              <w:t>1.5</w:t>
            </w:r>
            <w:r>
              <w:rPr>
                <w:spacing w:val="4"/>
              </w:rPr>
              <w:t>万元以下的</w:t>
            </w:r>
            <w:r>
              <w:rPr>
                <w:spacing w:val="-1"/>
              </w:rPr>
              <w:t>罚款</w:t>
            </w:r>
          </w:p>
        </w:tc>
        <w:tc>
          <w:tcPr>
            <w:tcW w:w="811" w:type="dxa"/>
            <w:vMerge w:val="restart"/>
            <w:tcBorders>
              <w:bottom w:val="nil"/>
            </w:tcBorders>
            <w:vAlign w:val="top"/>
          </w:tcPr>
          <w:p w14:paraId="020E8955">
            <w:pPr>
              <w:spacing w:line="249" w:lineRule="auto"/>
              <w:rPr>
                <w:rFonts w:ascii="Arial"/>
                <w:sz w:val="21"/>
              </w:rPr>
            </w:pPr>
          </w:p>
          <w:p w14:paraId="5237A2E2">
            <w:pPr>
              <w:spacing w:line="249" w:lineRule="auto"/>
              <w:rPr>
                <w:rFonts w:ascii="Arial"/>
                <w:sz w:val="21"/>
              </w:rPr>
            </w:pPr>
          </w:p>
          <w:p w14:paraId="000DAB28">
            <w:pPr>
              <w:spacing w:line="249" w:lineRule="auto"/>
              <w:rPr>
                <w:rFonts w:ascii="Arial"/>
                <w:sz w:val="21"/>
              </w:rPr>
            </w:pPr>
          </w:p>
          <w:p w14:paraId="1D821BB0">
            <w:pPr>
              <w:spacing w:line="249" w:lineRule="auto"/>
              <w:rPr>
                <w:rFonts w:ascii="Arial"/>
                <w:sz w:val="21"/>
              </w:rPr>
            </w:pPr>
          </w:p>
          <w:p w14:paraId="3ACAA7D0">
            <w:pPr>
              <w:spacing w:line="249" w:lineRule="auto"/>
              <w:rPr>
                <w:rFonts w:ascii="Arial"/>
                <w:sz w:val="21"/>
              </w:rPr>
            </w:pPr>
          </w:p>
          <w:p w14:paraId="1ADF876C">
            <w:pPr>
              <w:spacing w:line="249" w:lineRule="auto"/>
              <w:rPr>
                <w:rFonts w:ascii="Arial"/>
                <w:sz w:val="21"/>
              </w:rPr>
            </w:pPr>
          </w:p>
          <w:p w14:paraId="56AC6BC9">
            <w:pPr>
              <w:spacing w:line="249" w:lineRule="auto"/>
              <w:rPr>
                <w:rFonts w:ascii="Arial"/>
                <w:sz w:val="21"/>
              </w:rPr>
            </w:pPr>
          </w:p>
          <w:p w14:paraId="174B2DD9">
            <w:pPr>
              <w:spacing w:line="249" w:lineRule="auto"/>
              <w:rPr>
                <w:rFonts w:ascii="Arial"/>
                <w:sz w:val="21"/>
              </w:rPr>
            </w:pPr>
          </w:p>
          <w:p w14:paraId="68FB90ED">
            <w:pPr>
              <w:spacing w:line="250" w:lineRule="auto"/>
              <w:rPr>
                <w:rFonts w:ascii="Arial"/>
                <w:sz w:val="21"/>
              </w:rPr>
            </w:pPr>
          </w:p>
          <w:p w14:paraId="6DCE5D44">
            <w:pPr>
              <w:spacing w:before="75" w:line="188" w:lineRule="auto"/>
              <w:ind w:left="295"/>
              <w:rPr>
                <w:rFonts w:ascii="宋体" w:hAnsi="宋体" w:eastAsia="宋体" w:cs="宋体"/>
                <w:sz w:val="23"/>
                <w:szCs w:val="23"/>
              </w:rPr>
            </w:pPr>
            <w:r>
              <w:rPr>
                <w:rFonts w:ascii="宋体" w:hAnsi="宋体" w:eastAsia="宋体" w:cs="宋体"/>
                <w:spacing w:val="-4"/>
                <w:sz w:val="23"/>
                <w:szCs w:val="23"/>
              </w:rPr>
              <w:t>52</w:t>
            </w:r>
          </w:p>
        </w:tc>
      </w:tr>
      <w:tr w14:paraId="1869B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7" w:hRule="atLeast"/>
        </w:trPr>
        <w:tc>
          <w:tcPr>
            <w:tcW w:w="818" w:type="dxa"/>
            <w:vMerge w:val="continue"/>
            <w:tcBorders>
              <w:top w:val="nil"/>
            </w:tcBorders>
            <w:vAlign w:val="top"/>
          </w:tcPr>
          <w:p w14:paraId="2DBC362B">
            <w:pPr>
              <w:rPr>
                <w:rFonts w:ascii="Arial"/>
                <w:sz w:val="21"/>
              </w:rPr>
            </w:pPr>
          </w:p>
        </w:tc>
        <w:tc>
          <w:tcPr>
            <w:tcW w:w="1440" w:type="dxa"/>
            <w:vMerge w:val="continue"/>
            <w:tcBorders>
              <w:top w:val="nil"/>
            </w:tcBorders>
            <w:vAlign w:val="top"/>
          </w:tcPr>
          <w:p w14:paraId="5E5C63F9">
            <w:pPr>
              <w:rPr>
                <w:rFonts w:ascii="Arial"/>
                <w:sz w:val="21"/>
              </w:rPr>
            </w:pPr>
          </w:p>
        </w:tc>
        <w:tc>
          <w:tcPr>
            <w:tcW w:w="3202" w:type="dxa"/>
            <w:vMerge w:val="continue"/>
            <w:tcBorders>
              <w:top w:val="nil"/>
            </w:tcBorders>
            <w:vAlign w:val="top"/>
          </w:tcPr>
          <w:p w14:paraId="59A09107">
            <w:pPr>
              <w:rPr>
                <w:rFonts w:ascii="Arial"/>
                <w:sz w:val="21"/>
              </w:rPr>
            </w:pPr>
          </w:p>
        </w:tc>
        <w:tc>
          <w:tcPr>
            <w:tcW w:w="2859" w:type="dxa"/>
            <w:vMerge w:val="continue"/>
            <w:tcBorders>
              <w:top w:val="nil"/>
            </w:tcBorders>
            <w:vAlign w:val="top"/>
          </w:tcPr>
          <w:p w14:paraId="4F677D4E">
            <w:pPr>
              <w:rPr>
                <w:rFonts w:ascii="Arial"/>
                <w:sz w:val="21"/>
              </w:rPr>
            </w:pPr>
          </w:p>
        </w:tc>
        <w:tc>
          <w:tcPr>
            <w:tcW w:w="803" w:type="dxa"/>
            <w:vAlign w:val="top"/>
          </w:tcPr>
          <w:p w14:paraId="2E19649C">
            <w:pPr>
              <w:spacing w:line="299" w:lineRule="auto"/>
              <w:rPr>
                <w:rFonts w:ascii="Arial"/>
                <w:sz w:val="21"/>
              </w:rPr>
            </w:pPr>
          </w:p>
          <w:p w14:paraId="4F3CD29F">
            <w:pPr>
              <w:spacing w:line="299" w:lineRule="auto"/>
              <w:rPr>
                <w:rFonts w:ascii="Arial"/>
                <w:sz w:val="21"/>
              </w:rPr>
            </w:pPr>
          </w:p>
          <w:p w14:paraId="2D59D8AF">
            <w:pPr>
              <w:spacing w:line="299" w:lineRule="auto"/>
              <w:rPr>
                <w:rFonts w:ascii="Arial"/>
                <w:sz w:val="21"/>
              </w:rPr>
            </w:pPr>
          </w:p>
          <w:p w14:paraId="08D65524">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CE08070">
            <w:pPr>
              <w:pStyle w:val="6"/>
              <w:spacing w:before="36" w:line="179" w:lineRule="auto"/>
              <w:ind w:left="117" w:right="105"/>
              <w:jc w:val="both"/>
            </w:pPr>
            <w:r>
              <w:rPr>
                <w:spacing w:val="-3"/>
              </w:rPr>
              <w:t>危险物品的生产、经营、储存、装卸单位以及金属冶炼、建筑施工、运输单位以外</w:t>
            </w:r>
            <w:r>
              <w:rPr>
                <w:spacing w:val="26"/>
              </w:rPr>
              <w:t>的其他生产经营单</w:t>
            </w:r>
            <w:r>
              <w:rPr>
                <w:spacing w:val="22"/>
              </w:rPr>
              <w:t>位从业人员在</w:t>
            </w:r>
            <w:r>
              <w:rPr>
                <w:rFonts w:ascii="宋体" w:hAnsi="宋体" w:eastAsia="宋体" w:cs="宋体"/>
                <w:spacing w:val="22"/>
              </w:rPr>
              <w:t>100</w:t>
            </w:r>
            <w:r>
              <w:rPr>
                <w:spacing w:val="-3"/>
              </w:rPr>
              <w:t>人以上，未按照规定</w:t>
            </w:r>
          </w:p>
        </w:tc>
        <w:tc>
          <w:tcPr>
            <w:tcW w:w="2894" w:type="dxa"/>
            <w:vAlign w:val="top"/>
          </w:tcPr>
          <w:p w14:paraId="44F11505">
            <w:pPr>
              <w:spacing w:line="266" w:lineRule="auto"/>
              <w:rPr>
                <w:rFonts w:ascii="Arial"/>
                <w:sz w:val="21"/>
              </w:rPr>
            </w:pPr>
          </w:p>
          <w:p w14:paraId="77AAC52D">
            <w:pPr>
              <w:spacing w:line="267" w:lineRule="auto"/>
              <w:rPr>
                <w:rFonts w:ascii="Arial"/>
                <w:sz w:val="21"/>
              </w:rPr>
            </w:pPr>
          </w:p>
          <w:p w14:paraId="5807A9B7">
            <w:pPr>
              <w:pStyle w:val="6"/>
              <w:spacing w:before="98" w:line="191" w:lineRule="auto"/>
              <w:ind w:left="122" w:right="104" w:firstLine="4"/>
              <w:jc w:val="both"/>
            </w:pPr>
            <w:r>
              <w:rPr>
                <w:spacing w:val="-5"/>
              </w:rPr>
              <w:t>责令限期改正，可以处</w:t>
            </w:r>
            <w:r>
              <w:rPr>
                <w:rFonts w:ascii="宋体" w:hAnsi="宋体" w:eastAsia="宋体" w:cs="宋体"/>
                <w:spacing w:val="-5"/>
              </w:rPr>
              <w:t>1.5</w:t>
            </w:r>
            <w:r>
              <w:rPr>
                <w:spacing w:val="7"/>
              </w:rPr>
              <w:t>万元以上</w:t>
            </w:r>
            <w:r>
              <w:rPr>
                <w:rFonts w:ascii="宋体" w:hAnsi="宋体" w:eastAsia="宋体" w:cs="宋体"/>
                <w:spacing w:val="7"/>
              </w:rPr>
              <w:t>2</w:t>
            </w:r>
            <w:r>
              <w:rPr>
                <w:spacing w:val="7"/>
              </w:rPr>
              <w:t>万元以下的罚</w:t>
            </w:r>
            <w:r>
              <w:t>款</w:t>
            </w:r>
          </w:p>
        </w:tc>
        <w:tc>
          <w:tcPr>
            <w:tcW w:w="811" w:type="dxa"/>
            <w:vMerge w:val="continue"/>
            <w:tcBorders>
              <w:top w:val="nil"/>
            </w:tcBorders>
            <w:vAlign w:val="top"/>
          </w:tcPr>
          <w:p w14:paraId="70991D27">
            <w:pPr>
              <w:rPr>
                <w:rFonts w:ascii="Arial"/>
                <w:sz w:val="21"/>
              </w:rPr>
            </w:pPr>
          </w:p>
        </w:tc>
      </w:tr>
    </w:tbl>
    <w:p w14:paraId="3C9E13A0">
      <w:pPr>
        <w:pStyle w:val="2"/>
      </w:pPr>
    </w:p>
    <w:p w14:paraId="5ED1736A">
      <w:pPr>
        <w:sectPr>
          <w:footerReference r:id="rId94" w:type="default"/>
          <w:pgSz w:w="16839" w:h="11906"/>
          <w:pgMar w:top="1012" w:right="821" w:bottom="666" w:left="901" w:header="0" w:footer="388" w:gutter="0"/>
          <w:cols w:space="720" w:num="1"/>
        </w:sectPr>
      </w:pPr>
    </w:p>
    <w:p w14:paraId="74A2FA5B">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24E8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3B2A91E">
            <w:pPr>
              <w:spacing w:before="222" w:line="241" w:lineRule="auto"/>
              <w:ind w:left="131"/>
              <w:outlineLvl w:val="0"/>
              <w:rPr>
                <w:rFonts w:ascii="黑体" w:hAnsi="黑体" w:eastAsia="黑体" w:cs="黑体"/>
                <w:sz w:val="28"/>
                <w:szCs w:val="28"/>
              </w:rPr>
            </w:pPr>
            <w:bookmarkStart w:id="479" w:name="bookmark162"/>
            <w:bookmarkEnd w:id="479"/>
            <w:r>
              <w:rPr>
                <w:rFonts w:ascii="黑体" w:hAnsi="黑体" w:eastAsia="黑体" w:cs="黑体"/>
                <w:spacing w:val="-2"/>
                <w:sz w:val="28"/>
                <w:szCs w:val="28"/>
              </w:rPr>
              <w:t>序号</w:t>
            </w:r>
          </w:p>
        </w:tc>
        <w:tc>
          <w:tcPr>
            <w:tcW w:w="1440" w:type="dxa"/>
            <w:vAlign w:val="top"/>
          </w:tcPr>
          <w:p w14:paraId="2332E22B">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989B54E">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E827562">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204BDAB">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85E62E6">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1AA17E1E">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5A1CD49">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BD52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18" w:type="dxa"/>
            <w:vMerge w:val="restart"/>
            <w:tcBorders>
              <w:bottom w:val="nil"/>
            </w:tcBorders>
            <w:vAlign w:val="top"/>
          </w:tcPr>
          <w:p w14:paraId="33A04692">
            <w:pPr>
              <w:rPr>
                <w:rFonts w:ascii="Arial"/>
                <w:sz w:val="21"/>
              </w:rPr>
            </w:pPr>
          </w:p>
        </w:tc>
        <w:tc>
          <w:tcPr>
            <w:tcW w:w="1440" w:type="dxa"/>
            <w:vMerge w:val="restart"/>
            <w:tcBorders>
              <w:bottom w:val="nil"/>
            </w:tcBorders>
            <w:vAlign w:val="top"/>
          </w:tcPr>
          <w:p w14:paraId="351BBDDE">
            <w:pPr>
              <w:rPr>
                <w:rFonts w:ascii="Arial"/>
                <w:sz w:val="21"/>
              </w:rPr>
            </w:pPr>
          </w:p>
        </w:tc>
        <w:tc>
          <w:tcPr>
            <w:tcW w:w="3202" w:type="dxa"/>
            <w:vMerge w:val="restart"/>
            <w:tcBorders>
              <w:bottom w:val="nil"/>
            </w:tcBorders>
            <w:vAlign w:val="top"/>
          </w:tcPr>
          <w:p w14:paraId="1824E86B">
            <w:pPr>
              <w:rPr>
                <w:rFonts w:ascii="Arial"/>
                <w:sz w:val="21"/>
              </w:rPr>
            </w:pPr>
          </w:p>
        </w:tc>
        <w:tc>
          <w:tcPr>
            <w:tcW w:w="2859" w:type="dxa"/>
            <w:vMerge w:val="restart"/>
            <w:tcBorders>
              <w:bottom w:val="nil"/>
            </w:tcBorders>
            <w:vAlign w:val="top"/>
          </w:tcPr>
          <w:p w14:paraId="5DC84C80">
            <w:pPr>
              <w:rPr>
                <w:rFonts w:ascii="Arial"/>
                <w:sz w:val="21"/>
              </w:rPr>
            </w:pPr>
          </w:p>
        </w:tc>
        <w:tc>
          <w:tcPr>
            <w:tcW w:w="803" w:type="dxa"/>
            <w:vAlign w:val="top"/>
          </w:tcPr>
          <w:p w14:paraId="231A0756">
            <w:pPr>
              <w:rPr>
                <w:rFonts w:ascii="Arial"/>
                <w:sz w:val="21"/>
              </w:rPr>
            </w:pPr>
          </w:p>
        </w:tc>
        <w:tc>
          <w:tcPr>
            <w:tcW w:w="2283" w:type="dxa"/>
            <w:vAlign w:val="top"/>
          </w:tcPr>
          <w:p w14:paraId="0B996589">
            <w:pPr>
              <w:pStyle w:val="6"/>
              <w:spacing w:before="29" w:line="172" w:lineRule="auto"/>
              <w:ind w:left="139" w:right="109" w:hanging="25"/>
            </w:pPr>
            <w:r>
              <w:rPr>
                <w:spacing w:val="26"/>
              </w:rPr>
              <w:t>进行应急预案修订</w:t>
            </w:r>
            <w:r>
              <w:t>的</w:t>
            </w:r>
          </w:p>
        </w:tc>
        <w:tc>
          <w:tcPr>
            <w:tcW w:w="2894" w:type="dxa"/>
            <w:vAlign w:val="top"/>
          </w:tcPr>
          <w:p w14:paraId="3EB76E5B">
            <w:pPr>
              <w:rPr>
                <w:rFonts w:ascii="Arial"/>
                <w:sz w:val="21"/>
              </w:rPr>
            </w:pPr>
          </w:p>
        </w:tc>
        <w:tc>
          <w:tcPr>
            <w:tcW w:w="811" w:type="dxa"/>
            <w:vMerge w:val="restart"/>
            <w:tcBorders>
              <w:bottom w:val="nil"/>
            </w:tcBorders>
            <w:vAlign w:val="top"/>
          </w:tcPr>
          <w:p w14:paraId="0C693E83">
            <w:pPr>
              <w:rPr>
                <w:rFonts w:ascii="Arial"/>
                <w:sz w:val="21"/>
              </w:rPr>
            </w:pPr>
          </w:p>
        </w:tc>
      </w:tr>
      <w:tr w14:paraId="26B09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tcBorders>
            <w:vAlign w:val="top"/>
          </w:tcPr>
          <w:p w14:paraId="63A1EA23">
            <w:pPr>
              <w:rPr>
                <w:rFonts w:ascii="Arial"/>
                <w:sz w:val="21"/>
              </w:rPr>
            </w:pPr>
          </w:p>
        </w:tc>
        <w:tc>
          <w:tcPr>
            <w:tcW w:w="1440" w:type="dxa"/>
            <w:vMerge w:val="continue"/>
            <w:tcBorders>
              <w:top w:val="nil"/>
            </w:tcBorders>
            <w:vAlign w:val="top"/>
          </w:tcPr>
          <w:p w14:paraId="61C55986">
            <w:pPr>
              <w:rPr>
                <w:rFonts w:ascii="Arial"/>
                <w:sz w:val="21"/>
              </w:rPr>
            </w:pPr>
          </w:p>
        </w:tc>
        <w:tc>
          <w:tcPr>
            <w:tcW w:w="3202" w:type="dxa"/>
            <w:vMerge w:val="continue"/>
            <w:tcBorders>
              <w:top w:val="nil"/>
            </w:tcBorders>
            <w:vAlign w:val="top"/>
          </w:tcPr>
          <w:p w14:paraId="7C721A7B">
            <w:pPr>
              <w:rPr>
                <w:rFonts w:ascii="Arial"/>
                <w:sz w:val="21"/>
              </w:rPr>
            </w:pPr>
          </w:p>
        </w:tc>
        <w:tc>
          <w:tcPr>
            <w:tcW w:w="2859" w:type="dxa"/>
            <w:vMerge w:val="continue"/>
            <w:tcBorders>
              <w:top w:val="nil"/>
            </w:tcBorders>
            <w:vAlign w:val="top"/>
          </w:tcPr>
          <w:p w14:paraId="4D35FC93">
            <w:pPr>
              <w:rPr>
                <w:rFonts w:ascii="Arial"/>
                <w:sz w:val="21"/>
              </w:rPr>
            </w:pPr>
          </w:p>
        </w:tc>
        <w:tc>
          <w:tcPr>
            <w:tcW w:w="803" w:type="dxa"/>
            <w:vAlign w:val="top"/>
          </w:tcPr>
          <w:p w14:paraId="6A4DF024">
            <w:pPr>
              <w:spacing w:line="247" w:lineRule="auto"/>
              <w:rPr>
                <w:rFonts w:ascii="Arial"/>
                <w:sz w:val="21"/>
              </w:rPr>
            </w:pPr>
          </w:p>
          <w:p w14:paraId="3DD44B66">
            <w:pPr>
              <w:spacing w:line="248" w:lineRule="auto"/>
              <w:rPr>
                <w:rFonts w:ascii="Arial"/>
                <w:sz w:val="21"/>
              </w:rPr>
            </w:pPr>
          </w:p>
          <w:p w14:paraId="1D7C0C49">
            <w:pPr>
              <w:spacing w:line="248" w:lineRule="auto"/>
              <w:rPr>
                <w:rFonts w:ascii="Arial"/>
                <w:sz w:val="21"/>
              </w:rPr>
            </w:pPr>
          </w:p>
          <w:p w14:paraId="062B42B6">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6DAE6B2">
            <w:pPr>
              <w:pStyle w:val="6"/>
              <w:spacing w:before="30" w:line="182" w:lineRule="auto"/>
              <w:ind w:left="117"/>
            </w:pPr>
            <w:r>
              <w:rPr>
                <w:spacing w:val="-3"/>
              </w:rPr>
              <w:t>危险物品的生产、经</w:t>
            </w:r>
          </w:p>
          <w:p w14:paraId="3C3DA778">
            <w:pPr>
              <w:pStyle w:val="6"/>
              <w:spacing w:line="182" w:lineRule="auto"/>
              <w:ind w:left="131"/>
              <w:outlineLvl w:val="1"/>
            </w:pPr>
            <w:r>
              <w:rPr>
                <w:spacing w:val="-4"/>
              </w:rPr>
              <w:t>营、储存、装卸单位</w:t>
            </w:r>
          </w:p>
          <w:p w14:paraId="7B6FBAFC">
            <w:pPr>
              <w:pStyle w:val="6"/>
              <w:spacing w:before="6" w:line="176" w:lineRule="auto"/>
              <w:ind w:left="116" w:right="109" w:firstLine="28"/>
              <w:jc w:val="both"/>
            </w:pPr>
            <w:r>
              <w:rPr>
                <w:spacing w:val="-6"/>
              </w:rPr>
              <w:t>以及金属冶炼、建筑</w:t>
            </w:r>
            <w:r>
              <w:rPr>
                <w:spacing w:val="-14"/>
              </w:rPr>
              <w:t>施工、运输单位，未</w:t>
            </w:r>
            <w:r>
              <w:rPr>
                <w:spacing w:val="26"/>
              </w:rPr>
              <w:t>按照规定进行应急</w:t>
            </w:r>
            <w:r>
              <w:rPr>
                <w:spacing w:val="7"/>
              </w:rPr>
              <w:t>预案修订的</w:t>
            </w:r>
          </w:p>
        </w:tc>
        <w:tc>
          <w:tcPr>
            <w:tcW w:w="2894" w:type="dxa"/>
            <w:vAlign w:val="top"/>
          </w:tcPr>
          <w:p w14:paraId="7ACE653C">
            <w:pPr>
              <w:spacing w:line="379" w:lineRule="auto"/>
              <w:rPr>
                <w:rFonts w:ascii="Arial"/>
                <w:sz w:val="21"/>
              </w:rPr>
            </w:pPr>
          </w:p>
          <w:p w14:paraId="7BF2859F">
            <w:pPr>
              <w:pStyle w:val="6"/>
              <w:spacing w:before="99" w:line="191" w:lineRule="auto"/>
              <w:ind w:left="122" w:right="104" w:firstLine="4"/>
              <w:jc w:val="both"/>
            </w:pPr>
            <w:r>
              <w:rPr>
                <w:spacing w:val="10"/>
              </w:rPr>
              <w:t>责令限期改正，可以处</w:t>
            </w:r>
            <w:r>
              <w:rPr>
                <w:rFonts w:ascii="宋体" w:hAnsi="宋体" w:eastAsia="宋体" w:cs="宋体"/>
                <w:spacing w:val="10"/>
              </w:rPr>
              <w:t>2</w:t>
            </w:r>
            <w:r>
              <w:rPr>
                <w:spacing w:val="7"/>
              </w:rPr>
              <w:t>万元以上</w:t>
            </w:r>
            <w:r>
              <w:rPr>
                <w:rFonts w:ascii="宋体" w:hAnsi="宋体" w:eastAsia="宋体" w:cs="宋体"/>
                <w:spacing w:val="7"/>
              </w:rPr>
              <w:t>3</w:t>
            </w:r>
            <w:r>
              <w:rPr>
                <w:spacing w:val="7"/>
              </w:rPr>
              <w:t>万元以下的罚</w:t>
            </w:r>
            <w:r>
              <w:t>款</w:t>
            </w:r>
          </w:p>
        </w:tc>
        <w:tc>
          <w:tcPr>
            <w:tcW w:w="811" w:type="dxa"/>
            <w:vMerge w:val="continue"/>
            <w:tcBorders>
              <w:top w:val="nil"/>
            </w:tcBorders>
            <w:vAlign w:val="top"/>
          </w:tcPr>
          <w:p w14:paraId="7905AF70">
            <w:pPr>
              <w:rPr>
                <w:rFonts w:ascii="Arial"/>
                <w:sz w:val="21"/>
              </w:rPr>
            </w:pPr>
          </w:p>
        </w:tc>
      </w:tr>
      <w:tr w14:paraId="27E73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9" w:hRule="atLeast"/>
        </w:trPr>
        <w:tc>
          <w:tcPr>
            <w:tcW w:w="818" w:type="dxa"/>
            <w:vMerge w:val="restart"/>
            <w:tcBorders>
              <w:bottom w:val="nil"/>
            </w:tcBorders>
            <w:vAlign w:val="top"/>
          </w:tcPr>
          <w:p w14:paraId="76A84C5A">
            <w:pPr>
              <w:spacing w:line="248" w:lineRule="auto"/>
              <w:rPr>
                <w:rFonts w:ascii="Arial"/>
                <w:sz w:val="21"/>
              </w:rPr>
            </w:pPr>
          </w:p>
          <w:p w14:paraId="1FA00845">
            <w:pPr>
              <w:spacing w:line="248" w:lineRule="auto"/>
              <w:rPr>
                <w:rFonts w:ascii="Arial"/>
                <w:sz w:val="21"/>
              </w:rPr>
            </w:pPr>
          </w:p>
          <w:p w14:paraId="3F00DDBB">
            <w:pPr>
              <w:spacing w:line="248" w:lineRule="auto"/>
              <w:rPr>
                <w:rFonts w:ascii="Arial"/>
                <w:sz w:val="21"/>
              </w:rPr>
            </w:pPr>
          </w:p>
          <w:p w14:paraId="534AD28F">
            <w:pPr>
              <w:spacing w:line="248" w:lineRule="auto"/>
              <w:rPr>
                <w:rFonts w:ascii="Arial"/>
                <w:sz w:val="21"/>
              </w:rPr>
            </w:pPr>
          </w:p>
          <w:p w14:paraId="08B5F512">
            <w:pPr>
              <w:spacing w:line="248" w:lineRule="auto"/>
              <w:rPr>
                <w:rFonts w:ascii="Arial"/>
                <w:sz w:val="21"/>
              </w:rPr>
            </w:pPr>
          </w:p>
          <w:p w14:paraId="650158F2">
            <w:pPr>
              <w:spacing w:line="248" w:lineRule="auto"/>
              <w:rPr>
                <w:rFonts w:ascii="Arial"/>
                <w:sz w:val="21"/>
              </w:rPr>
            </w:pPr>
          </w:p>
          <w:p w14:paraId="020B8B47">
            <w:pPr>
              <w:spacing w:line="248" w:lineRule="auto"/>
              <w:rPr>
                <w:rFonts w:ascii="Arial"/>
                <w:sz w:val="21"/>
              </w:rPr>
            </w:pPr>
          </w:p>
          <w:p w14:paraId="453D5BAA">
            <w:pPr>
              <w:spacing w:line="248" w:lineRule="auto"/>
              <w:rPr>
                <w:rFonts w:ascii="Arial"/>
                <w:sz w:val="21"/>
              </w:rPr>
            </w:pPr>
          </w:p>
          <w:p w14:paraId="51B45B16">
            <w:pPr>
              <w:spacing w:line="248" w:lineRule="auto"/>
              <w:rPr>
                <w:rFonts w:ascii="Arial"/>
                <w:sz w:val="21"/>
              </w:rPr>
            </w:pPr>
          </w:p>
          <w:p w14:paraId="0578DBB4">
            <w:pPr>
              <w:spacing w:line="248" w:lineRule="auto"/>
              <w:rPr>
                <w:rFonts w:ascii="Arial"/>
                <w:sz w:val="21"/>
              </w:rPr>
            </w:pPr>
          </w:p>
          <w:p w14:paraId="3CABDCAD">
            <w:pPr>
              <w:spacing w:line="249" w:lineRule="auto"/>
              <w:rPr>
                <w:rFonts w:ascii="Arial"/>
                <w:sz w:val="21"/>
              </w:rPr>
            </w:pPr>
          </w:p>
          <w:p w14:paraId="33CD3DD3">
            <w:pPr>
              <w:spacing w:line="249" w:lineRule="auto"/>
              <w:rPr>
                <w:rFonts w:ascii="Arial"/>
                <w:sz w:val="21"/>
              </w:rPr>
            </w:pPr>
          </w:p>
          <w:p w14:paraId="2FBC4B50">
            <w:pPr>
              <w:spacing w:line="249" w:lineRule="auto"/>
              <w:rPr>
                <w:rFonts w:ascii="Arial"/>
                <w:sz w:val="21"/>
              </w:rPr>
            </w:pPr>
          </w:p>
          <w:p w14:paraId="456F060B">
            <w:pPr>
              <w:spacing w:before="74" w:line="184" w:lineRule="auto"/>
              <w:ind w:left="240"/>
              <w:rPr>
                <w:rFonts w:ascii="仿宋" w:hAnsi="仿宋" w:eastAsia="仿宋" w:cs="仿宋"/>
                <w:sz w:val="23"/>
                <w:szCs w:val="23"/>
              </w:rPr>
            </w:pPr>
            <w:r>
              <w:rPr>
                <w:rFonts w:ascii="仿宋" w:hAnsi="仿宋" w:eastAsia="仿宋" w:cs="仿宋"/>
                <w:spacing w:val="-4"/>
                <w:sz w:val="23"/>
                <w:szCs w:val="23"/>
              </w:rPr>
              <w:t>77</w:t>
            </w:r>
          </w:p>
        </w:tc>
        <w:tc>
          <w:tcPr>
            <w:tcW w:w="1440" w:type="dxa"/>
            <w:vMerge w:val="restart"/>
            <w:tcBorders>
              <w:bottom w:val="nil"/>
            </w:tcBorders>
            <w:vAlign w:val="top"/>
          </w:tcPr>
          <w:p w14:paraId="5ED61D14">
            <w:pPr>
              <w:spacing w:line="255" w:lineRule="auto"/>
              <w:rPr>
                <w:rFonts w:ascii="Arial"/>
                <w:sz w:val="21"/>
              </w:rPr>
            </w:pPr>
          </w:p>
          <w:p w14:paraId="54DAD801">
            <w:pPr>
              <w:spacing w:line="255" w:lineRule="auto"/>
              <w:rPr>
                <w:rFonts w:ascii="Arial"/>
                <w:sz w:val="21"/>
              </w:rPr>
            </w:pPr>
          </w:p>
          <w:p w14:paraId="59C4CE20">
            <w:pPr>
              <w:spacing w:line="255" w:lineRule="auto"/>
              <w:rPr>
                <w:rFonts w:ascii="Arial"/>
                <w:sz w:val="21"/>
              </w:rPr>
            </w:pPr>
          </w:p>
          <w:p w14:paraId="7A5B885F">
            <w:pPr>
              <w:spacing w:line="255" w:lineRule="auto"/>
              <w:rPr>
                <w:rFonts w:ascii="Arial"/>
                <w:sz w:val="21"/>
              </w:rPr>
            </w:pPr>
          </w:p>
          <w:p w14:paraId="29766340">
            <w:pPr>
              <w:spacing w:line="256" w:lineRule="auto"/>
              <w:rPr>
                <w:rFonts w:ascii="Arial"/>
                <w:sz w:val="21"/>
              </w:rPr>
            </w:pPr>
          </w:p>
          <w:p w14:paraId="3ECA0344">
            <w:pPr>
              <w:spacing w:line="256" w:lineRule="auto"/>
              <w:rPr>
                <w:rFonts w:ascii="Arial"/>
                <w:sz w:val="21"/>
              </w:rPr>
            </w:pPr>
          </w:p>
          <w:p w14:paraId="35D9C9B5">
            <w:pPr>
              <w:spacing w:line="256" w:lineRule="auto"/>
              <w:rPr>
                <w:rFonts w:ascii="Arial"/>
                <w:sz w:val="21"/>
              </w:rPr>
            </w:pPr>
          </w:p>
          <w:p w14:paraId="79D57FF7">
            <w:pPr>
              <w:spacing w:line="256" w:lineRule="auto"/>
              <w:rPr>
                <w:rFonts w:ascii="Arial"/>
                <w:sz w:val="21"/>
              </w:rPr>
            </w:pPr>
          </w:p>
          <w:p w14:paraId="22E2D0F0">
            <w:pPr>
              <w:spacing w:line="256" w:lineRule="auto"/>
              <w:rPr>
                <w:rFonts w:ascii="Arial"/>
                <w:sz w:val="21"/>
              </w:rPr>
            </w:pPr>
          </w:p>
          <w:p w14:paraId="3DB59671">
            <w:pPr>
              <w:spacing w:line="256" w:lineRule="auto"/>
              <w:rPr>
                <w:rFonts w:ascii="Arial"/>
                <w:sz w:val="21"/>
              </w:rPr>
            </w:pPr>
          </w:p>
          <w:p w14:paraId="07E959A0">
            <w:pPr>
              <w:pStyle w:val="6"/>
              <w:spacing w:before="99" w:line="188" w:lineRule="auto"/>
              <w:ind w:left="113" w:right="111" w:firstLine="15"/>
              <w:jc w:val="both"/>
            </w:pPr>
            <w:r>
              <w:rPr>
                <w:spacing w:val="8"/>
              </w:rPr>
              <w:t>生产经营单</w:t>
            </w:r>
            <w:r>
              <w:rPr>
                <w:spacing w:val="12"/>
              </w:rPr>
              <w:t>位未落实应急预案规定的应急物资</w:t>
            </w:r>
            <w:r>
              <w:rPr>
                <w:spacing w:val="6"/>
              </w:rPr>
              <w:t>及装备的</w:t>
            </w:r>
          </w:p>
        </w:tc>
        <w:tc>
          <w:tcPr>
            <w:tcW w:w="3202" w:type="dxa"/>
            <w:vMerge w:val="restart"/>
            <w:tcBorders>
              <w:bottom w:val="nil"/>
            </w:tcBorders>
            <w:vAlign w:val="top"/>
          </w:tcPr>
          <w:p w14:paraId="1E25D63C">
            <w:pPr>
              <w:pStyle w:val="6"/>
              <w:spacing w:before="31" w:line="185" w:lineRule="auto"/>
              <w:ind w:left="115" w:right="111" w:hanging="17"/>
              <w:jc w:val="both"/>
            </w:pPr>
            <w:r>
              <w:rPr>
                <w:spacing w:val="18"/>
              </w:rPr>
              <w:t>【部门规章】《生产安全事</w:t>
            </w:r>
            <w:r>
              <w:rPr>
                <w:spacing w:val="17"/>
              </w:rPr>
              <w:t>故应急预案管理办法》第三</w:t>
            </w:r>
            <w:r>
              <w:rPr>
                <w:spacing w:val="12"/>
              </w:rPr>
              <w:t>十八条：生产经营单位应当</w:t>
            </w:r>
            <w:r>
              <w:rPr>
                <w:spacing w:val="10"/>
              </w:rPr>
              <w:t>按照应急预案的规定，落实</w:t>
            </w:r>
            <w:r>
              <w:rPr>
                <w:spacing w:val="17"/>
              </w:rPr>
              <w:t>应急指挥体系、应急救援队</w:t>
            </w:r>
            <w:r>
              <w:rPr>
                <w:spacing w:val="13"/>
              </w:rPr>
              <w:t>伍、应急物资及装备，建立</w:t>
            </w:r>
            <w:r>
              <w:rPr>
                <w:spacing w:val="17"/>
              </w:rPr>
              <w:t>应急物资、装备配备及其使</w:t>
            </w:r>
            <w:r>
              <w:rPr>
                <w:spacing w:val="13"/>
              </w:rPr>
              <w:t>用档案，并对应急物资、装</w:t>
            </w:r>
            <w:r>
              <w:rPr>
                <w:spacing w:val="14"/>
              </w:rPr>
              <w:t>备进行定期检测和维护，使</w:t>
            </w:r>
            <w:r>
              <w:rPr>
                <w:spacing w:val="3"/>
              </w:rPr>
              <w:t>其处于适用状态。</w:t>
            </w:r>
          </w:p>
        </w:tc>
        <w:tc>
          <w:tcPr>
            <w:tcW w:w="2859" w:type="dxa"/>
            <w:vMerge w:val="restart"/>
            <w:tcBorders>
              <w:bottom w:val="nil"/>
            </w:tcBorders>
            <w:vAlign w:val="top"/>
          </w:tcPr>
          <w:p w14:paraId="73898E0B">
            <w:pPr>
              <w:pStyle w:val="6"/>
              <w:spacing w:before="32" w:line="185" w:lineRule="auto"/>
              <w:ind w:left="114" w:right="97" w:hanging="17"/>
              <w:jc w:val="both"/>
            </w:pPr>
            <w:r>
              <w:rPr>
                <w:spacing w:val="10"/>
              </w:rPr>
              <w:t>【部门规章】《生产安全事故应急预案管理办法》</w:t>
            </w:r>
            <w:r>
              <w:rPr>
                <w:spacing w:val="32"/>
              </w:rPr>
              <w:t>第四十五条第一款第六</w:t>
            </w:r>
            <w:r>
              <w:rPr>
                <w:spacing w:val="8"/>
              </w:rPr>
              <w:t>项：生产经营单位有下列情形之一的，由县级以上人民政府应急管理部门责</w:t>
            </w:r>
            <w:r>
              <w:rPr>
                <w:spacing w:val="3"/>
              </w:rPr>
              <w:t>令限期改正，可以处</w:t>
            </w:r>
            <w:r>
              <w:rPr>
                <w:rFonts w:ascii="宋体" w:hAnsi="宋体" w:eastAsia="宋体" w:cs="宋体"/>
                <w:spacing w:val="3"/>
              </w:rPr>
              <w:t>1</w:t>
            </w:r>
            <w:r>
              <w:rPr>
                <w:spacing w:val="3"/>
              </w:rPr>
              <w:t>万</w:t>
            </w:r>
            <w:r>
              <w:rPr>
                <w:spacing w:val="20"/>
              </w:rPr>
              <w:t>元以上</w:t>
            </w:r>
            <w:r>
              <w:rPr>
                <w:rFonts w:ascii="宋体" w:hAnsi="宋体" w:eastAsia="宋体" w:cs="宋体"/>
                <w:spacing w:val="20"/>
              </w:rPr>
              <w:t>3</w:t>
            </w:r>
            <w:r>
              <w:rPr>
                <w:spacing w:val="20"/>
              </w:rPr>
              <w:t>万元以下的罚</w:t>
            </w:r>
            <w:r>
              <w:rPr>
                <w:spacing w:val="8"/>
              </w:rPr>
              <w:t>款</w:t>
            </w:r>
            <w:r>
              <w:rPr>
                <w:spacing w:val="11"/>
              </w:rPr>
              <w:t>：（</w:t>
            </w:r>
            <w:r>
              <w:rPr>
                <w:spacing w:val="8"/>
              </w:rPr>
              <w:t>六）未落实应急预案规定的应急物资及装备</w:t>
            </w:r>
            <w:r>
              <w:rPr>
                <w:spacing w:val="-7"/>
              </w:rPr>
              <w:t>的。</w:t>
            </w:r>
          </w:p>
        </w:tc>
        <w:tc>
          <w:tcPr>
            <w:tcW w:w="803" w:type="dxa"/>
            <w:vAlign w:val="top"/>
          </w:tcPr>
          <w:p w14:paraId="1D3897F9">
            <w:pPr>
              <w:spacing w:line="257" w:lineRule="auto"/>
              <w:rPr>
                <w:rFonts w:ascii="Arial"/>
                <w:sz w:val="21"/>
              </w:rPr>
            </w:pPr>
          </w:p>
          <w:p w14:paraId="5653339E">
            <w:pPr>
              <w:spacing w:line="257" w:lineRule="auto"/>
              <w:rPr>
                <w:rFonts w:ascii="Arial"/>
                <w:sz w:val="21"/>
              </w:rPr>
            </w:pPr>
          </w:p>
          <w:p w14:paraId="7FF1C4AA">
            <w:pPr>
              <w:spacing w:line="257" w:lineRule="auto"/>
              <w:rPr>
                <w:rFonts w:ascii="Arial"/>
                <w:sz w:val="21"/>
              </w:rPr>
            </w:pPr>
          </w:p>
          <w:p w14:paraId="227814B8">
            <w:pPr>
              <w:spacing w:line="258" w:lineRule="auto"/>
              <w:rPr>
                <w:rFonts w:ascii="Arial"/>
                <w:sz w:val="21"/>
              </w:rPr>
            </w:pPr>
          </w:p>
          <w:p w14:paraId="2CF37B3E">
            <w:pPr>
              <w:spacing w:line="258" w:lineRule="auto"/>
              <w:rPr>
                <w:rFonts w:ascii="Arial"/>
                <w:sz w:val="21"/>
              </w:rPr>
            </w:pPr>
          </w:p>
          <w:p w14:paraId="7BEC7177">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673A264">
            <w:pPr>
              <w:pStyle w:val="6"/>
              <w:spacing w:before="134" w:line="185" w:lineRule="auto"/>
              <w:ind w:left="117" w:right="105"/>
              <w:jc w:val="both"/>
            </w:pPr>
            <w:r>
              <w:rPr>
                <w:spacing w:val="-3"/>
              </w:rPr>
              <w:t>危险物品的生产、经营、储存、装卸单位以及金属冶炼、建筑施工、运输单位以外</w:t>
            </w:r>
            <w:r>
              <w:rPr>
                <w:spacing w:val="26"/>
              </w:rPr>
              <w:t>的其他生产经营单</w:t>
            </w:r>
            <w:r>
              <w:rPr>
                <w:spacing w:val="22"/>
              </w:rPr>
              <w:t>位从业人员在</w:t>
            </w:r>
            <w:r>
              <w:rPr>
                <w:rFonts w:ascii="宋体" w:hAnsi="宋体" w:eastAsia="宋体" w:cs="宋体"/>
                <w:spacing w:val="22"/>
              </w:rPr>
              <w:t>100</w:t>
            </w:r>
            <w:r>
              <w:rPr>
                <w:spacing w:val="-3"/>
              </w:rPr>
              <w:t>人以下，未落实应急</w:t>
            </w:r>
            <w:r>
              <w:rPr>
                <w:spacing w:val="26"/>
              </w:rPr>
              <w:t>预案规定的应急物</w:t>
            </w:r>
            <w:r>
              <w:rPr>
                <w:spacing w:val="6"/>
              </w:rPr>
              <w:t>资及装备的</w:t>
            </w:r>
          </w:p>
        </w:tc>
        <w:tc>
          <w:tcPr>
            <w:tcW w:w="2894" w:type="dxa"/>
            <w:vAlign w:val="top"/>
          </w:tcPr>
          <w:p w14:paraId="15C84578">
            <w:pPr>
              <w:spacing w:line="308" w:lineRule="auto"/>
              <w:rPr>
                <w:rFonts w:ascii="Arial"/>
                <w:sz w:val="21"/>
              </w:rPr>
            </w:pPr>
          </w:p>
          <w:p w14:paraId="600BB3A8">
            <w:pPr>
              <w:spacing w:line="309" w:lineRule="auto"/>
              <w:rPr>
                <w:rFonts w:ascii="Arial"/>
                <w:sz w:val="21"/>
              </w:rPr>
            </w:pPr>
          </w:p>
          <w:p w14:paraId="516FFDFA">
            <w:pPr>
              <w:spacing w:line="309" w:lineRule="auto"/>
              <w:rPr>
                <w:rFonts w:ascii="Arial"/>
                <w:sz w:val="21"/>
              </w:rPr>
            </w:pPr>
          </w:p>
          <w:p w14:paraId="62822128">
            <w:pPr>
              <w:pStyle w:val="6"/>
              <w:spacing w:before="99" w:line="191" w:lineRule="auto"/>
              <w:ind w:left="127" w:right="104"/>
              <w:jc w:val="both"/>
            </w:pPr>
            <w:r>
              <w:rPr>
                <w:spacing w:val="8"/>
              </w:rPr>
              <w:t>责令限期改正，可以处</w:t>
            </w:r>
            <w:r>
              <w:rPr>
                <w:rFonts w:ascii="宋体" w:hAnsi="宋体" w:eastAsia="宋体" w:cs="宋体"/>
                <w:spacing w:val="8"/>
              </w:rPr>
              <w:t>1</w:t>
            </w:r>
            <w:r>
              <w:rPr>
                <w:spacing w:val="4"/>
              </w:rPr>
              <w:t>万元以上</w:t>
            </w:r>
            <w:r>
              <w:rPr>
                <w:rFonts w:ascii="宋体" w:hAnsi="宋体" w:eastAsia="宋体" w:cs="宋体"/>
                <w:spacing w:val="4"/>
              </w:rPr>
              <w:t>1.5</w:t>
            </w:r>
            <w:r>
              <w:rPr>
                <w:spacing w:val="4"/>
              </w:rPr>
              <w:t>万元以下的</w:t>
            </w:r>
            <w:r>
              <w:rPr>
                <w:spacing w:val="-1"/>
              </w:rPr>
              <w:t>罚款</w:t>
            </w:r>
          </w:p>
        </w:tc>
        <w:tc>
          <w:tcPr>
            <w:tcW w:w="811" w:type="dxa"/>
            <w:vMerge w:val="restart"/>
            <w:tcBorders>
              <w:bottom w:val="nil"/>
            </w:tcBorders>
            <w:vAlign w:val="top"/>
          </w:tcPr>
          <w:p w14:paraId="3325ADCD">
            <w:pPr>
              <w:spacing w:line="247" w:lineRule="auto"/>
              <w:rPr>
                <w:rFonts w:ascii="Arial"/>
                <w:sz w:val="21"/>
              </w:rPr>
            </w:pPr>
          </w:p>
          <w:p w14:paraId="26EEAB13">
            <w:pPr>
              <w:spacing w:line="247" w:lineRule="auto"/>
              <w:rPr>
                <w:rFonts w:ascii="Arial"/>
                <w:sz w:val="21"/>
              </w:rPr>
            </w:pPr>
          </w:p>
          <w:p w14:paraId="6F31C70B">
            <w:pPr>
              <w:spacing w:line="248" w:lineRule="auto"/>
              <w:rPr>
                <w:rFonts w:ascii="Arial"/>
                <w:sz w:val="21"/>
              </w:rPr>
            </w:pPr>
          </w:p>
          <w:p w14:paraId="3FDE4BA6">
            <w:pPr>
              <w:spacing w:line="248" w:lineRule="auto"/>
              <w:rPr>
                <w:rFonts w:ascii="Arial"/>
                <w:sz w:val="21"/>
              </w:rPr>
            </w:pPr>
          </w:p>
          <w:p w14:paraId="68F86AF1">
            <w:pPr>
              <w:spacing w:line="248" w:lineRule="auto"/>
              <w:rPr>
                <w:rFonts w:ascii="Arial"/>
                <w:sz w:val="21"/>
              </w:rPr>
            </w:pPr>
          </w:p>
          <w:p w14:paraId="7EDCA7DE">
            <w:pPr>
              <w:spacing w:line="248" w:lineRule="auto"/>
              <w:rPr>
                <w:rFonts w:ascii="Arial"/>
                <w:sz w:val="21"/>
              </w:rPr>
            </w:pPr>
          </w:p>
          <w:p w14:paraId="42278EE5">
            <w:pPr>
              <w:spacing w:line="248" w:lineRule="auto"/>
              <w:rPr>
                <w:rFonts w:ascii="Arial"/>
                <w:sz w:val="21"/>
              </w:rPr>
            </w:pPr>
          </w:p>
          <w:p w14:paraId="1627E3F5">
            <w:pPr>
              <w:spacing w:line="248" w:lineRule="auto"/>
              <w:rPr>
                <w:rFonts w:ascii="Arial"/>
                <w:sz w:val="21"/>
              </w:rPr>
            </w:pPr>
          </w:p>
          <w:p w14:paraId="1C9A0575">
            <w:pPr>
              <w:spacing w:line="248" w:lineRule="auto"/>
              <w:rPr>
                <w:rFonts w:ascii="Arial"/>
                <w:sz w:val="21"/>
              </w:rPr>
            </w:pPr>
          </w:p>
          <w:p w14:paraId="426AC023">
            <w:pPr>
              <w:spacing w:line="248" w:lineRule="auto"/>
              <w:rPr>
                <w:rFonts w:ascii="Arial"/>
                <w:sz w:val="21"/>
              </w:rPr>
            </w:pPr>
          </w:p>
          <w:p w14:paraId="55B222FF">
            <w:pPr>
              <w:spacing w:line="248" w:lineRule="auto"/>
              <w:rPr>
                <w:rFonts w:ascii="Arial"/>
                <w:sz w:val="21"/>
              </w:rPr>
            </w:pPr>
          </w:p>
          <w:p w14:paraId="57D38460">
            <w:pPr>
              <w:spacing w:line="248" w:lineRule="auto"/>
              <w:rPr>
                <w:rFonts w:ascii="Arial"/>
                <w:sz w:val="21"/>
              </w:rPr>
            </w:pPr>
          </w:p>
          <w:p w14:paraId="6B48742C">
            <w:pPr>
              <w:spacing w:line="248" w:lineRule="auto"/>
              <w:rPr>
                <w:rFonts w:ascii="Arial"/>
                <w:sz w:val="21"/>
              </w:rPr>
            </w:pPr>
          </w:p>
          <w:p w14:paraId="2A0158E1">
            <w:pPr>
              <w:spacing w:before="74" w:line="188" w:lineRule="auto"/>
              <w:ind w:left="295"/>
              <w:rPr>
                <w:rFonts w:ascii="宋体" w:hAnsi="宋体" w:eastAsia="宋体" w:cs="宋体"/>
                <w:sz w:val="23"/>
                <w:szCs w:val="23"/>
              </w:rPr>
            </w:pPr>
            <w:r>
              <w:rPr>
                <w:rFonts w:ascii="宋体" w:hAnsi="宋体" w:eastAsia="宋体" w:cs="宋体"/>
                <w:spacing w:val="-4"/>
                <w:sz w:val="23"/>
                <w:szCs w:val="23"/>
              </w:rPr>
              <w:t>52</w:t>
            </w:r>
          </w:p>
        </w:tc>
      </w:tr>
      <w:tr w14:paraId="5E2E4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4" w:hRule="atLeast"/>
        </w:trPr>
        <w:tc>
          <w:tcPr>
            <w:tcW w:w="818" w:type="dxa"/>
            <w:vMerge w:val="continue"/>
            <w:tcBorders>
              <w:top w:val="nil"/>
              <w:bottom w:val="nil"/>
            </w:tcBorders>
            <w:vAlign w:val="top"/>
          </w:tcPr>
          <w:p w14:paraId="7D61BFAA">
            <w:pPr>
              <w:rPr>
                <w:rFonts w:ascii="Arial"/>
                <w:sz w:val="21"/>
              </w:rPr>
            </w:pPr>
          </w:p>
        </w:tc>
        <w:tc>
          <w:tcPr>
            <w:tcW w:w="1440" w:type="dxa"/>
            <w:vMerge w:val="continue"/>
            <w:tcBorders>
              <w:top w:val="nil"/>
              <w:bottom w:val="nil"/>
            </w:tcBorders>
            <w:vAlign w:val="top"/>
          </w:tcPr>
          <w:p w14:paraId="2A44A1D8">
            <w:pPr>
              <w:rPr>
                <w:rFonts w:ascii="Arial"/>
                <w:sz w:val="21"/>
              </w:rPr>
            </w:pPr>
          </w:p>
        </w:tc>
        <w:tc>
          <w:tcPr>
            <w:tcW w:w="3202" w:type="dxa"/>
            <w:vMerge w:val="continue"/>
            <w:tcBorders>
              <w:top w:val="nil"/>
              <w:bottom w:val="nil"/>
            </w:tcBorders>
            <w:vAlign w:val="top"/>
          </w:tcPr>
          <w:p w14:paraId="1A828286">
            <w:pPr>
              <w:rPr>
                <w:rFonts w:ascii="Arial"/>
                <w:sz w:val="21"/>
              </w:rPr>
            </w:pPr>
          </w:p>
        </w:tc>
        <w:tc>
          <w:tcPr>
            <w:tcW w:w="2859" w:type="dxa"/>
            <w:vMerge w:val="continue"/>
            <w:tcBorders>
              <w:top w:val="nil"/>
              <w:bottom w:val="nil"/>
            </w:tcBorders>
            <w:vAlign w:val="top"/>
          </w:tcPr>
          <w:p w14:paraId="18438BDC">
            <w:pPr>
              <w:rPr>
                <w:rFonts w:ascii="Arial"/>
                <w:sz w:val="21"/>
              </w:rPr>
            </w:pPr>
          </w:p>
        </w:tc>
        <w:tc>
          <w:tcPr>
            <w:tcW w:w="803" w:type="dxa"/>
            <w:vAlign w:val="top"/>
          </w:tcPr>
          <w:p w14:paraId="7EA92A1D">
            <w:pPr>
              <w:spacing w:line="265" w:lineRule="auto"/>
              <w:rPr>
                <w:rFonts w:ascii="Arial"/>
                <w:sz w:val="21"/>
              </w:rPr>
            </w:pPr>
          </w:p>
          <w:p w14:paraId="75A4E048">
            <w:pPr>
              <w:spacing w:line="266" w:lineRule="auto"/>
              <w:rPr>
                <w:rFonts w:ascii="Arial"/>
                <w:sz w:val="21"/>
              </w:rPr>
            </w:pPr>
          </w:p>
          <w:p w14:paraId="25D1B49C">
            <w:pPr>
              <w:spacing w:line="266" w:lineRule="auto"/>
              <w:rPr>
                <w:rFonts w:ascii="Arial"/>
                <w:sz w:val="21"/>
              </w:rPr>
            </w:pPr>
          </w:p>
          <w:p w14:paraId="0CA28C0A">
            <w:pPr>
              <w:spacing w:line="266" w:lineRule="auto"/>
              <w:rPr>
                <w:rFonts w:ascii="Arial"/>
                <w:sz w:val="21"/>
              </w:rPr>
            </w:pPr>
          </w:p>
          <w:p w14:paraId="163D6FF4">
            <w:pPr>
              <w:spacing w:line="266" w:lineRule="auto"/>
              <w:rPr>
                <w:rFonts w:ascii="Arial"/>
                <w:sz w:val="21"/>
              </w:rPr>
            </w:pPr>
          </w:p>
          <w:p w14:paraId="74697DDA">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42F4BC9">
            <w:pPr>
              <w:pStyle w:val="6"/>
              <w:spacing w:before="172" w:line="185" w:lineRule="auto"/>
              <w:ind w:left="117" w:right="105"/>
              <w:jc w:val="both"/>
            </w:pPr>
            <w:r>
              <w:rPr>
                <w:spacing w:val="-3"/>
              </w:rPr>
              <w:t>危险物品的生产、经营、储存、装卸单位以及金属冶炼、建筑施工、运输单位以外</w:t>
            </w:r>
            <w:r>
              <w:rPr>
                <w:spacing w:val="26"/>
              </w:rPr>
              <w:t>的其他生产经营单</w:t>
            </w:r>
            <w:r>
              <w:rPr>
                <w:spacing w:val="22"/>
              </w:rPr>
              <w:t>位从业人员在</w:t>
            </w:r>
            <w:r>
              <w:rPr>
                <w:rFonts w:ascii="宋体" w:hAnsi="宋体" w:eastAsia="宋体" w:cs="宋体"/>
                <w:spacing w:val="22"/>
              </w:rPr>
              <w:t>100</w:t>
            </w:r>
            <w:r>
              <w:rPr>
                <w:spacing w:val="-3"/>
              </w:rPr>
              <w:t>人以上，未落实应急</w:t>
            </w:r>
            <w:r>
              <w:rPr>
                <w:spacing w:val="26"/>
              </w:rPr>
              <w:t>预案规定的应急物</w:t>
            </w:r>
            <w:r>
              <w:rPr>
                <w:spacing w:val="6"/>
              </w:rPr>
              <w:t>资及装备的</w:t>
            </w:r>
          </w:p>
        </w:tc>
        <w:tc>
          <w:tcPr>
            <w:tcW w:w="2894" w:type="dxa"/>
            <w:vAlign w:val="top"/>
          </w:tcPr>
          <w:p w14:paraId="3EFDFB52">
            <w:pPr>
              <w:spacing w:line="241" w:lineRule="auto"/>
              <w:rPr>
                <w:rFonts w:ascii="Arial"/>
                <w:sz w:val="21"/>
              </w:rPr>
            </w:pPr>
          </w:p>
          <w:p w14:paraId="5F4D756D">
            <w:pPr>
              <w:spacing w:line="241" w:lineRule="auto"/>
              <w:rPr>
                <w:rFonts w:ascii="Arial"/>
                <w:sz w:val="21"/>
              </w:rPr>
            </w:pPr>
          </w:p>
          <w:p w14:paraId="62AD1AEB">
            <w:pPr>
              <w:spacing w:line="241" w:lineRule="auto"/>
              <w:rPr>
                <w:rFonts w:ascii="Arial"/>
                <w:sz w:val="21"/>
              </w:rPr>
            </w:pPr>
          </w:p>
          <w:p w14:paraId="05C27DF1">
            <w:pPr>
              <w:spacing w:line="241" w:lineRule="auto"/>
              <w:rPr>
                <w:rFonts w:ascii="Arial"/>
                <w:sz w:val="21"/>
              </w:rPr>
            </w:pPr>
          </w:p>
          <w:p w14:paraId="7C6610D9">
            <w:pPr>
              <w:pStyle w:val="6"/>
              <w:spacing w:before="99" w:line="191" w:lineRule="auto"/>
              <w:ind w:left="122" w:right="104" w:firstLine="4"/>
              <w:jc w:val="both"/>
            </w:pPr>
            <w:r>
              <w:rPr>
                <w:spacing w:val="-5"/>
              </w:rPr>
              <w:t>责令限期改正，可以处</w:t>
            </w:r>
            <w:r>
              <w:rPr>
                <w:rFonts w:ascii="宋体" w:hAnsi="宋体" w:eastAsia="宋体" w:cs="宋体"/>
                <w:spacing w:val="-5"/>
              </w:rPr>
              <w:t>1.5</w:t>
            </w:r>
            <w:r>
              <w:rPr>
                <w:spacing w:val="7"/>
              </w:rPr>
              <w:t>万元以上</w:t>
            </w:r>
            <w:r>
              <w:rPr>
                <w:rFonts w:ascii="宋体" w:hAnsi="宋体" w:eastAsia="宋体" w:cs="宋体"/>
                <w:spacing w:val="7"/>
              </w:rPr>
              <w:t>2</w:t>
            </w:r>
            <w:r>
              <w:rPr>
                <w:spacing w:val="7"/>
              </w:rPr>
              <w:t>万元以下的罚</w:t>
            </w:r>
            <w:r>
              <w:t>款</w:t>
            </w:r>
          </w:p>
        </w:tc>
        <w:tc>
          <w:tcPr>
            <w:tcW w:w="811" w:type="dxa"/>
            <w:vMerge w:val="continue"/>
            <w:tcBorders>
              <w:top w:val="nil"/>
              <w:bottom w:val="nil"/>
            </w:tcBorders>
            <w:vAlign w:val="top"/>
          </w:tcPr>
          <w:p w14:paraId="11742A9C">
            <w:pPr>
              <w:rPr>
                <w:rFonts w:ascii="Arial"/>
                <w:sz w:val="21"/>
              </w:rPr>
            </w:pPr>
          </w:p>
        </w:tc>
      </w:tr>
      <w:tr w14:paraId="694F3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818" w:type="dxa"/>
            <w:vMerge w:val="continue"/>
            <w:tcBorders>
              <w:top w:val="nil"/>
            </w:tcBorders>
            <w:vAlign w:val="top"/>
          </w:tcPr>
          <w:p w14:paraId="2F5BB4FC">
            <w:pPr>
              <w:rPr>
                <w:rFonts w:ascii="Arial"/>
                <w:sz w:val="21"/>
              </w:rPr>
            </w:pPr>
          </w:p>
        </w:tc>
        <w:tc>
          <w:tcPr>
            <w:tcW w:w="1440" w:type="dxa"/>
            <w:vMerge w:val="continue"/>
            <w:tcBorders>
              <w:top w:val="nil"/>
            </w:tcBorders>
            <w:vAlign w:val="top"/>
          </w:tcPr>
          <w:p w14:paraId="53ECB754">
            <w:pPr>
              <w:rPr>
                <w:rFonts w:ascii="Arial"/>
                <w:sz w:val="21"/>
              </w:rPr>
            </w:pPr>
          </w:p>
        </w:tc>
        <w:tc>
          <w:tcPr>
            <w:tcW w:w="3202" w:type="dxa"/>
            <w:vMerge w:val="continue"/>
            <w:tcBorders>
              <w:top w:val="nil"/>
            </w:tcBorders>
            <w:vAlign w:val="top"/>
          </w:tcPr>
          <w:p w14:paraId="44F9418D">
            <w:pPr>
              <w:rPr>
                <w:rFonts w:ascii="Arial"/>
                <w:sz w:val="21"/>
              </w:rPr>
            </w:pPr>
          </w:p>
        </w:tc>
        <w:tc>
          <w:tcPr>
            <w:tcW w:w="2859" w:type="dxa"/>
            <w:vMerge w:val="continue"/>
            <w:tcBorders>
              <w:top w:val="nil"/>
            </w:tcBorders>
            <w:vAlign w:val="top"/>
          </w:tcPr>
          <w:p w14:paraId="462D957A">
            <w:pPr>
              <w:rPr>
                <w:rFonts w:ascii="Arial"/>
                <w:sz w:val="21"/>
              </w:rPr>
            </w:pPr>
          </w:p>
        </w:tc>
        <w:tc>
          <w:tcPr>
            <w:tcW w:w="803" w:type="dxa"/>
            <w:vAlign w:val="top"/>
          </w:tcPr>
          <w:p w14:paraId="03A6AB2D">
            <w:pPr>
              <w:spacing w:line="301" w:lineRule="auto"/>
              <w:rPr>
                <w:rFonts w:ascii="Arial"/>
                <w:sz w:val="21"/>
              </w:rPr>
            </w:pPr>
          </w:p>
          <w:p w14:paraId="661E302B">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58D25A3">
            <w:pPr>
              <w:pStyle w:val="6"/>
              <w:spacing w:before="34" w:line="175" w:lineRule="auto"/>
              <w:ind w:left="130" w:right="109" w:hanging="13"/>
              <w:jc w:val="both"/>
            </w:pPr>
            <w:r>
              <w:rPr>
                <w:spacing w:val="-3"/>
              </w:rPr>
              <w:t>危险物品的生产、经</w:t>
            </w:r>
            <w:r>
              <w:rPr>
                <w:spacing w:val="-4"/>
              </w:rPr>
              <w:t>营、储存、装卸单位以及金属冶炼、建筑</w:t>
            </w:r>
          </w:p>
        </w:tc>
        <w:tc>
          <w:tcPr>
            <w:tcW w:w="2894" w:type="dxa"/>
            <w:vAlign w:val="top"/>
          </w:tcPr>
          <w:p w14:paraId="22D63A76">
            <w:pPr>
              <w:pStyle w:val="6"/>
              <w:spacing w:before="34" w:line="175" w:lineRule="auto"/>
              <w:ind w:left="122" w:right="104" w:firstLine="4"/>
              <w:jc w:val="both"/>
            </w:pPr>
            <w:r>
              <w:rPr>
                <w:spacing w:val="10"/>
              </w:rPr>
              <w:t>责令限期改正，可以处</w:t>
            </w:r>
            <w:r>
              <w:rPr>
                <w:rFonts w:ascii="宋体" w:hAnsi="宋体" w:eastAsia="宋体" w:cs="宋体"/>
                <w:spacing w:val="10"/>
              </w:rPr>
              <w:t>2</w:t>
            </w:r>
            <w:r>
              <w:rPr>
                <w:spacing w:val="7"/>
              </w:rPr>
              <w:t>万元以上</w:t>
            </w:r>
            <w:r>
              <w:rPr>
                <w:rFonts w:ascii="宋体" w:hAnsi="宋体" w:eastAsia="宋体" w:cs="宋体"/>
                <w:spacing w:val="7"/>
              </w:rPr>
              <w:t>3</w:t>
            </w:r>
            <w:r>
              <w:rPr>
                <w:spacing w:val="7"/>
              </w:rPr>
              <w:t>万元以下的罚</w:t>
            </w:r>
            <w:r>
              <w:t>款</w:t>
            </w:r>
          </w:p>
        </w:tc>
        <w:tc>
          <w:tcPr>
            <w:tcW w:w="811" w:type="dxa"/>
            <w:vMerge w:val="continue"/>
            <w:tcBorders>
              <w:top w:val="nil"/>
            </w:tcBorders>
            <w:vAlign w:val="top"/>
          </w:tcPr>
          <w:p w14:paraId="7234ACE2">
            <w:pPr>
              <w:rPr>
                <w:rFonts w:ascii="Arial"/>
                <w:sz w:val="21"/>
              </w:rPr>
            </w:pPr>
          </w:p>
        </w:tc>
      </w:tr>
    </w:tbl>
    <w:p w14:paraId="62E4A392">
      <w:pPr>
        <w:spacing w:before="151" w:line="169" w:lineRule="auto"/>
        <w:ind w:left="231"/>
        <w:rPr>
          <w:rFonts w:ascii="宋体" w:hAnsi="宋体" w:eastAsia="宋体" w:cs="宋体"/>
          <w:sz w:val="28"/>
          <w:szCs w:val="28"/>
        </w:rPr>
      </w:pPr>
      <w:r>
        <w:rPr>
          <w:rFonts w:ascii="宋体" w:hAnsi="宋体" w:eastAsia="宋体" w:cs="宋体"/>
          <w:spacing w:val="-3"/>
          <w:sz w:val="28"/>
          <w:szCs w:val="28"/>
        </w:rPr>
        <w:t>—94—</w:t>
      </w:r>
    </w:p>
    <w:p w14:paraId="0A543E4D">
      <w:pPr>
        <w:spacing w:line="169" w:lineRule="auto"/>
        <w:rPr>
          <w:rFonts w:ascii="宋体" w:hAnsi="宋体" w:eastAsia="宋体" w:cs="宋体"/>
          <w:sz w:val="28"/>
          <w:szCs w:val="28"/>
        </w:rPr>
        <w:sectPr>
          <w:footerReference r:id="rId95" w:type="default"/>
          <w:pgSz w:w="16839" w:h="11906"/>
          <w:pgMar w:top="1012" w:right="821" w:bottom="400" w:left="901" w:header="0" w:footer="0" w:gutter="0"/>
          <w:cols w:space="720" w:num="1"/>
        </w:sectPr>
      </w:pPr>
    </w:p>
    <w:p w14:paraId="0C466CC0">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B1F6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01284E0">
            <w:pPr>
              <w:spacing w:before="222" w:line="241" w:lineRule="auto"/>
              <w:ind w:left="131"/>
              <w:outlineLvl w:val="0"/>
              <w:rPr>
                <w:rFonts w:ascii="黑体" w:hAnsi="黑体" w:eastAsia="黑体" w:cs="黑体"/>
                <w:sz w:val="28"/>
                <w:szCs w:val="28"/>
              </w:rPr>
            </w:pPr>
            <w:bookmarkStart w:id="480" w:name="bookmark164"/>
            <w:bookmarkEnd w:id="480"/>
            <w:bookmarkStart w:id="481" w:name="bookmark516"/>
            <w:bookmarkEnd w:id="481"/>
            <w:bookmarkStart w:id="482" w:name="bookmark166"/>
            <w:bookmarkEnd w:id="482"/>
            <w:r>
              <w:rPr>
                <w:rFonts w:ascii="黑体" w:hAnsi="黑体" w:eastAsia="黑体" w:cs="黑体"/>
                <w:spacing w:val="-2"/>
                <w:sz w:val="28"/>
                <w:szCs w:val="28"/>
              </w:rPr>
              <w:t>序号</w:t>
            </w:r>
          </w:p>
        </w:tc>
        <w:tc>
          <w:tcPr>
            <w:tcW w:w="1440" w:type="dxa"/>
            <w:vAlign w:val="top"/>
          </w:tcPr>
          <w:p w14:paraId="480D9016">
            <w:pPr>
              <w:spacing w:before="221"/>
              <w:ind w:left="163"/>
              <w:outlineLvl w:val="1"/>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753C3AA6">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5E6A596">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FEA6EB0">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13B15E6">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1F203F7">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40E221F">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DF6B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Align w:val="top"/>
          </w:tcPr>
          <w:p w14:paraId="49E108B8">
            <w:pPr>
              <w:rPr>
                <w:rFonts w:ascii="Arial"/>
                <w:sz w:val="21"/>
              </w:rPr>
            </w:pPr>
          </w:p>
        </w:tc>
        <w:tc>
          <w:tcPr>
            <w:tcW w:w="1440" w:type="dxa"/>
            <w:vAlign w:val="top"/>
          </w:tcPr>
          <w:p w14:paraId="4B73736A">
            <w:pPr>
              <w:rPr>
                <w:rFonts w:ascii="Arial"/>
                <w:sz w:val="21"/>
              </w:rPr>
            </w:pPr>
          </w:p>
        </w:tc>
        <w:tc>
          <w:tcPr>
            <w:tcW w:w="3202" w:type="dxa"/>
            <w:vAlign w:val="top"/>
          </w:tcPr>
          <w:p w14:paraId="7BA0C348">
            <w:pPr>
              <w:rPr>
                <w:rFonts w:ascii="Arial"/>
                <w:sz w:val="21"/>
              </w:rPr>
            </w:pPr>
          </w:p>
        </w:tc>
        <w:tc>
          <w:tcPr>
            <w:tcW w:w="2859" w:type="dxa"/>
            <w:vAlign w:val="top"/>
          </w:tcPr>
          <w:p w14:paraId="124515A4">
            <w:pPr>
              <w:rPr>
                <w:rFonts w:ascii="Arial"/>
                <w:sz w:val="21"/>
              </w:rPr>
            </w:pPr>
          </w:p>
        </w:tc>
        <w:tc>
          <w:tcPr>
            <w:tcW w:w="803" w:type="dxa"/>
            <w:vAlign w:val="top"/>
          </w:tcPr>
          <w:p w14:paraId="15BAD58F">
            <w:pPr>
              <w:rPr>
                <w:rFonts w:ascii="Arial"/>
                <w:sz w:val="21"/>
              </w:rPr>
            </w:pPr>
          </w:p>
        </w:tc>
        <w:tc>
          <w:tcPr>
            <w:tcW w:w="2283" w:type="dxa"/>
            <w:vAlign w:val="top"/>
          </w:tcPr>
          <w:p w14:paraId="362D0C19">
            <w:pPr>
              <w:pStyle w:val="6"/>
              <w:spacing w:before="29" w:line="177" w:lineRule="auto"/>
              <w:ind w:left="133" w:right="109" w:hanging="11"/>
              <w:jc w:val="both"/>
            </w:pPr>
            <w:r>
              <w:rPr>
                <w:spacing w:val="-15"/>
              </w:rPr>
              <w:t>施工、运输单位，未</w:t>
            </w:r>
            <w:r>
              <w:rPr>
                <w:spacing w:val="24"/>
              </w:rPr>
              <w:t>落实应急预案规定的应急物资及装备</w:t>
            </w:r>
            <w:r>
              <w:t>的</w:t>
            </w:r>
          </w:p>
        </w:tc>
        <w:tc>
          <w:tcPr>
            <w:tcW w:w="2894" w:type="dxa"/>
            <w:vAlign w:val="top"/>
          </w:tcPr>
          <w:p w14:paraId="5B7D516B">
            <w:pPr>
              <w:rPr>
                <w:rFonts w:ascii="Arial"/>
                <w:sz w:val="21"/>
              </w:rPr>
            </w:pPr>
          </w:p>
        </w:tc>
        <w:tc>
          <w:tcPr>
            <w:tcW w:w="811" w:type="dxa"/>
            <w:vAlign w:val="top"/>
          </w:tcPr>
          <w:p w14:paraId="5FDA2401">
            <w:pPr>
              <w:rPr>
                <w:rFonts w:ascii="Arial"/>
                <w:sz w:val="21"/>
              </w:rPr>
            </w:pPr>
          </w:p>
        </w:tc>
      </w:tr>
      <w:tr w14:paraId="07607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restart"/>
            <w:tcBorders>
              <w:bottom w:val="nil"/>
            </w:tcBorders>
            <w:vAlign w:val="top"/>
          </w:tcPr>
          <w:p w14:paraId="4DC821DE">
            <w:pPr>
              <w:spacing w:line="247" w:lineRule="auto"/>
              <w:rPr>
                <w:rFonts w:ascii="Arial"/>
                <w:sz w:val="21"/>
              </w:rPr>
            </w:pPr>
          </w:p>
          <w:p w14:paraId="6DCE2019">
            <w:pPr>
              <w:spacing w:line="248" w:lineRule="auto"/>
              <w:rPr>
                <w:rFonts w:ascii="Arial"/>
                <w:sz w:val="21"/>
              </w:rPr>
            </w:pPr>
          </w:p>
          <w:p w14:paraId="2575F4CD">
            <w:pPr>
              <w:spacing w:line="248" w:lineRule="auto"/>
              <w:rPr>
                <w:rFonts w:ascii="Arial"/>
                <w:sz w:val="21"/>
              </w:rPr>
            </w:pPr>
          </w:p>
          <w:p w14:paraId="67D5B41D">
            <w:pPr>
              <w:spacing w:line="248" w:lineRule="auto"/>
              <w:rPr>
                <w:rFonts w:ascii="Arial"/>
                <w:sz w:val="21"/>
              </w:rPr>
            </w:pPr>
          </w:p>
          <w:p w14:paraId="7A2A942F">
            <w:pPr>
              <w:spacing w:line="248" w:lineRule="auto"/>
              <w:rPr>
                <w:rFonts w:ascii="Arial"/>
                <w:sz w:val="21"/>
              </w:rPr>
            </w:pPr>
          </w:p>
          <w:p w14:paraId="362D3744">
            <w:pPr>
              <w:spacing w:line="248" w:lineRule="auto"/>
              <w:rPr>
                <w:rFonts w:ascii="Arial"/>
                <w:sz w:val="21"/>
              </w:rPr>
            </w:pPr>
          </w:p>
          <w:p w14:paraId="6279B770">
            <w:pPr>
              <w:spacing w:line="248" w:lineRule="auto"/>
              <w:rPr>
                <w:rFonts w:ascii="Arial"/>
                <w:sz w:val="21"/>
              </w:rPr>
            </w:pPr>
          </w:p>
          <w:p w14:paraId="36727B7F">
            <w:pPr>
              <w:spacing w:line="248" w:lineRule="auto"/>
              <w:rPr>
                <w:rFonts w:ascii="Arial"/>
                <w:sz w:val="21"/>
              </w:rPr>
            </w:pPr>
          </w:p>
          <w:p w14:paraId="5D122D44">
            <w:pPr>
              <w:spacing w:before="75" w:line="185" w:lineRule="auto"/>
              <w:ind w:left="240"/>
              <w:rPr>
                <w:rFonts w:ascii="仿宋" w:hAnsi="仿宋" w:eastAsia="仿宋" w:cs="仿宋"/>
                <w:sz w:val="23"/>
                <w:szCs w:val="23"/>
              </w:rPr>
            </w:pPr>
            <w:r>
              <w:rPr>
                <w:rFonts w:ascii="仿宋" w:hAnsi="仿宋" w:eastAsia="仿宋" w:cs="仿宋"/>
                <w:spacing w:val="-4"/>
                <w:sz w:val="23"/>
                <w:szCs w:val="23"/>
              </w:rPr>
              <w:t>78</w:t>
            </w:r>
          </w:p>
        </w:tc>
        <w:tc>
          <w:tcPr>
            <w:tcW w:w="1440" w:type="dxa"/>
            <w:vMerge w:val="restart"/>
            <w:tcBorders>
              <w:bottom w:val="nil"/>
            </w:tcBorders>
            <w:vAlign w:val="top"/>
          </w:tcPr>
          <w:p w14:paraId="1AC4450D">
            <w:pPr>
              <w:spacing w:line="422" w:lineRule="auto"/>
              <w:rPr>
                <w:rFonts w:ascii="Arial"/>
                <w:sz w:val="21"/>
              </w:rPr>
            </w:pPr>
          </w:p>
          <w:p w14:paraId="1AE4F927">
            <w:pPr>
              <w:pStyle w:val="6"/>
              <w:spacing w:before="99" w:line="182" w:lineRule="auto"/>
              <w:ind w:left="115"/>
              <w:outlineLvl w:val="0"/>
            </w:pPr>
            <w:r>
              <w:rPr>
                <w:spacing w:val="11"/>
              </w:rPr>
              <w:t>危险物品的</w:t>
            </w:r>
          </w:p>
          <w:p w14:paraId="6F7DB750">
            <w:pPr>
              <w:pStyle w:val="6"/>
              <w:spacing w:line="185" w:lineRule="auto"/>
              <w:ind w:left="113" w:right="17" w:firstLine="15"/>
              <w:jc w:val="both"/>
            </w:pPr>
            <w:r>
              <w:rPr>
                <w:spacing w:val="-13"/>
                <w:w w:val="99"/>
              </w:rPr>
              <w:t>生产、经营、</w:t>
            </w:r>
            <w:r>
              <w:rPr>
                <w:spacing w:val="12"/>
              </w:rPr>
              <w:t>储存单位以及金属冶炼单位未建立应急救援组织或者生产经营规模较小、未指定兼职应急救</w:t>
            </w:r>
            <w:r>
              <w:rPr>
                <w:spacing w:val="6"/>
              </w:rPr>
              <w:t>援人员的</w:t>
            </w:r>
          </w:p>
        </w:tc>
        <w:tc>
          <w:tcPr>
            <w:tcW w:w="3202" w:type="dxa"/>
            <w:vMerge w:val="restart"/>
            <w:tcBorders>
              <w:bottom w:val="nil"/>
            </w:tcBorders>
            <w:vAlign w:val="top"/>
          </w:tcPr>
          <w:p w14:paraId="1B913ACD">
            <w:pPr>
              <w:rPr>
                <w:rFonts w:ascii="Arial"/>
                <w:sz w:val="21"/>
              </w:rPr>
            </w:pPr>
          </w:p>
        </w:tc>
        <w:tc>
          <w:tcPr>
            <w:tcW w:w="2859" w:type="dxa"/>
            <w:vMerge w:val="restart"/>
            <w:tcBorders>
              <w:bottom w:val="nil"/>
            </w:tcBorders>
            <w:vAlign w:val="top"/>
          </w:tcPr>
          <w:p w14:paraId="35FD8511">
            <w:pPr>
              <w:pStyle w:val="6"/>
              <w:spacing w:before="22" w:line="185" w:lineRule="auto"/>
              <w:ind w:left="115" w:right="97" w:hanging="18"/>
            </w:pPr>
            <w:r>
              <w:rPr>
                <w:spacing w:val="10"/>
              </w:rPr>
              <w:t>【部门规章】《安全生产违法行为行政处罚办法》</w:t>
            </w:r>
            <w:r>
              <w:rPr>
                <w:spacing w:val="8"/>
              </w:rPr>
              <w:t>第四十六条第一项：危险物品的生产、经营、储存单位以及矿山、金属冶炼</w:t>
            </w:r>
            <w:r>
              <w:rPr>
                <w:spacing w:val="7"/>
              </w:rPr>
              <w:t>单位有下列行为之一的，</w:t>
            </w:r>
            <w:r>
              <w:rPr>
                <w:spacing w:val="1"/>
              </w:rPr>
              <w:t>责令改正，并可以处</w:t>
            </w:r>
            <w:r>
              <w:rPr>
                <w:rFonts w:ascii="宋体" w:hAnsi="宋体" w:eastAsia="宋体" w:cs="宋体"/>
                <w:spacing w:val="1"/>
              </w:rPr>
              <w:t>1</w:t>
            </w:r>
            <w:r>
              <w:rPr>
                <w:spacing w:val="1"/>
              </w:rPr>
              <w:t>万</w:t>
            </w:r>
            <w:r>
              <w:rPr>
                <w:spacing w:val="20"/>
              </w:rPr>
              <w:t>元以上</w:t>
            </w:r>
            <w:r>
              <w:rPr>
                <w:rFonts w:ascii="宋体" w:hAnsi="宋体" w:eastAsia="宋体" w:cs="宋体"/>
                <w:spacing w:val="20"/>
              </w:rPr>
              <w:t>3</w:t>
            </w:r>
            <w:r>
              <w:rPr>
                <w:spacing w:val="20"/>
              </w:rPr>
              <w:t>万元以下的罚</w:t>
            </w:r>
            <w:r>
              <w:rPr>
                <w:spacing w:val="-1"/>
              </w:rPr>
              <w:t>款</w:t>
            </w:r>
            <w:r>
              <w:rPr>
                <w:spacing w:val="-8"/>
              </w:rPr>
              <w:t>：（</w:t>
            </w:r>
            <w:r>
              <w:rPr>
                <w:spacing w:val="-1"/>
              </w:rPr>
              <w:t>一）未建立应急救</w:t>
            </w:r>
            <w:r>
              <w:rPr>
                <w:spacing w:val="8"/>
              </w:rPr>
              <w:t>援组织或者生产经营规模较小、未指定兼职应急救</w:t>
            </w:r>
            <w:r>
              <w:rPr>
                <w:spacing w:val="-2"/>
              </w:rPr>
              <w:t>援人员的；</w:t>
            </w:r>
          </w:p>
        </w:tc>
        <w:tc>
          <w:tcPr>
            <w:tcW w:w="803" w:type="dxa"/>
            <w:vAlign w:val="top"/>
          </w:tcPr>
          <w:p w14:paraId="12DD8648">
            <w:pPr>
              <w:spacing w:line="296" w:lineRule="auto"/>
              <w:rPr>
                <w:rFonts w:ascii="Arial"/>
                <w:sz w:val="21"/>
              </w:rPr>
            </w:pPr>
          </w:p>
          <w:p w14:paraId="654BEDD5">
            <w:pPr>
              <w:spacing w:line="297" w:lineRule="auto"/>
              <w:rPr>
                <w:rFonts w:ascii="Arial"/>
                <w:sz w:val="21"/>
              </w:rPr>
            </w:pPr>
          </w:p>
          <w:p w14:paraId="348D7CF9">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B50F315">
            <w:pPr>
              <w:pStyle w:val="6"/>
              <w:spacing w:before="30" w:line="178" w:lineRule="auto"/>
              <w:ind w:left="116" w:right="46" w:firstLine="14"/>
              <w:jc w:val="both"/>
            </w:pPr>
            <w:r>
              <w:rPr>
                <w:spacing w:val="3"/>
              </w:rPr>
              <w:t>生产经营规模较小、</w:t>
            </w:r>
            <w:r>
              <w:rPr>
                <w:spacing w:val="26"/>
              </w:rPr>
              <w:t>未指定兼职应急救</w:t>
            </w:r>
            <w:r>
              <w:rPr>
                <w:spacing w:val="-2"/>
              </w:rPr>
              <w:t>援人员的，但与邻近</w:t>
            </w:r>
            <w:r>
              <w:rPr>
                <w:spacing w:val="26"/>
              </w:rPr>
              <w:t>的应急救援队伍签</w:t>
            </w:r>
            <w:r>
              <w:rPr>
                <w:spacing w:val="7"/>
              </w:rPr>
              <w:t>订应急救援协议的</w:t>
            </w:r>
          </w:p>
        </w:tc>
        <w:tc>
          <w:tcPr>
            <w:tcW w:w="2894" w:type="dxa"/>
            <w:vAlign w:val="top"/>
          </w:tcPr>
          <w:p w14:paraId="11677EDB">
            <w:pPr>
              <w:spacing w:line="377" w:lineRule="auto"/>
              <w:rPr>
                <w:rFonts w:ascii="Arial"/>
                <w:sz w:val="21"/>
              </w:rPr>
            </w:pPr>
          </w:p>
          <w:p w14:paraId="498BDB43">
            <w:pPr>
              <w:pStyle w:val="6"/>
              <w:spacing w:before="99" w:line="196" w:lineRule="auto"/>
              <w:ind w:left="146" w:right="103" w:hanging="19"/>
            </w:pPr>
            <w:r>
              <w:rPr>
                <w:spacing w:val="1"/>
              </w:rPr>
              <w:t>责令改正，可以处</w:t>
            </w:r>
            <w:r>
              <w:rPr>
                <w:rFonts w:ascii="宋体" w:hAnsi="宋体" w:eastAsia="宋体" w:cs="宋体"/>
                <w:spacing w:val="1"/>
              </w:rPr>
              <w:t>1</w:t>
            </w:r>
            <w:r>
              <w:rPr>
                <w:spacing w:val="1"/>
              </w:rPr>
              <w:t>万元</w:t>
            </w:r>
            <w:r>
              <w:t>以上</w:t>
            </w:r>
            <w:r>
              <w:rPr>
                <w:rFonts w:ascii="宋体" w:hAnsi="宋体" w:eastAsia="宋体" w:cs="宋体"/>
              </w:rPr>
              <w:t>1.5</w:t>
            </w:r>
            <w:r>
              <w:t>万元以下的罚款</w:t>
            </w:r>
          </w:p>
        </w:tc>
        <w:tc>
          <w:tcPr>
            <w:tcW w:w="811" w:type="dxa"/>
            <w:vMerge w:val="restart"/>
            <w:tcBorders>
              <w:bottom w:val="nil"/>
            </w:tcBorders>
            <w:vAlign w:val="top"/>
          </w:tcPr>
          <w:p w14:paraId="3F894F1E">
            <w:pPr>
              <w:spacing w:line="247" w:lineRule="auto"/>
              <w:rPr>
                <w:rFonts w:ascii="Arial"/>
                <w:sz w:val="21"/>
              </w:rPr>
            </w:pPr>
          </w:p>
          <w:p w14:paraId="1BFCB718">
            <w:pPr>
              <w:spacing w:line="247" w:lineRule="auto"/>
              <w:rPr>
                <w:rFonts w:ascii="Arial"/>
                <w:sz w:val="21"/>
              </w:rPr>
            </w:pPr>
          </w:p>
          <w:p w14:paraId="15D6BE17">
            <w:pPr>
              <w:spacing w:line="247" w:lineRule="auto"/>
              <w:rPr>
                <w:rFonts w:ascii="Arial"/>
                <w:sz w:val="21"/>
              </w:rPr>
            </w:pPr>
          </w:p>
          <w:p w14:paraId="71178B9C">
            <w:pPr>
              <w:spacing w:line="247" w:lineRule="auto"/>
              <w:rPr>
                <w:rFonts w:ascii="Arial"/>
                <w:sz w:val="21"/>
              </w:rPr>
            </w:pPr>
          </w:p>
          <w:p w14:paraId="50D09329">
            <w:pPr>
              <w:spacing w:line="247" w:lineRule="auto"/>
              <w:rPr>
                <w:rFonts w:ascii="Arial"/>
                <w:sz w:val="21"/>
              </w:rPr>
            </w:pPr>
          </w:p>
          <w:p w14:paraId="77059044">
            <w:pPr>
              <w:spacing w:line="248" w:lineRule="auto"/>
              <w:rPr>
                <w:rFonts w:ascii="Arial"/>
                <w:sz w:val="21"/>
              </w:rPr>
            </w:pPr>
          </w:p>
          <w:p w14:paraId="4C8A1F51">
            <w:pPr>
              <w:spacing w:line="248" w:lineRule="auto"/>
              <w:rPr>
                <w:rFonts w:ascii="Arial"/>
                <w:sz w:val="21"/>
              </w:rPr>
            </w:pPr>
          </w:p>
          <w:p w14:paraId="09F3E54B">
            <w:pPr>
              <w:spacing w:line="248" w:lineRule="auto"/>
              <w:rPr>
                <w:rFonts w:ascii="Arial"/>
                <w:sz w:val="21"/>
              </w:rPr>
            </w:pPr>
          </w:p>
          <w:p w14:paraId="174FC3A9">
            <w:pPr>
              <w:spacing w:before="75" w:line="188" w:lineRule="auto"/>
              <w:ind w:left="295"/>
              <w:rPr>
                <w:rFonts w:ascii="宋体" w:hAnsi="宋体" w:eastAsia="宋体" w:cs="宋体"/>
                <w:sz w:val="23"/>
                <w:szCs w:val="23"/>
              </w:rPr>
            </w:pPr>
            <w:r>
              <w:rPr>
                <w:rFonts w:ascii="宋体" w:hAnsi="宋体" w:eastAsia="宋体" w:cs="宋体"/>
                <w:spacing w:val="-4"/>
                <w:sz w:val="23"/>
                <w:szCs w:val="23"/>
              </w:rPr>
              <w:t>53</w:t>
            </w:r>
          </w:p>
        </w:tc>
      </w:tr>
      <w:tr w14:paraId="3E6E5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bottom w:val="nil"/>
            </w:tcBorders>
            <w:vAlign w:val="top"/>
          </w:tcPr>
          <w:p w14:paraId="7D4E263F">
            <w:pPr>
              <w:rPr>
                <w:rFonts w:ascii="Arial"/>
                <w:sz w:val="21"/>
              </w:rPr>
            </w:pPr>
          </w:p>
        </w:tc>
        <w:tc>
          <w:tcPr>
            <w:tcW w:w="1440" w:type="dxa"/>
            <w:vMerge w:val="continue"/>
            <w:tcBorders>
              <w:top w:val="nil"/>
              <w:bottom w:val="nil"/>
            </w:tcBorders>
            <w:vAlign w:val="top"/>
          </w:tcPr>
          <w:p w14:paraId="012850AF">
            <w:pPr>
              <w:rPr>
                <w:rFonts w:ascii="Arial"/>
                <w:sz w:val="21"/>
              </w:rPr>
            </w:pPr>
          </w:p>
        </w:tc>
        <w:tc>
          <w:tcPr>
            <w:tcW w:w="3202" w:type="dxa"/>
            <w:vMerge w:val="continue"/>
            <w:tcBorders>
              <w:top w:val="nil"/>
              <w:bottom w:val="nil"/>
            </w:tcBorders>
            <w:vAlign w:val="top"/>
          </w:tcPr>
          <w:p w14:paraId="22EB1C16">
            <w:pPr>
              <w:rPr>
                <w:rFonts w:ascii="Arial"/>
                <w:sz w:val="21"/>
              </w:rPr>
            </w:pPr>
          </w:p>
        </w:tc>
        <w:tc>
          <w:tcPr>
            <w:tcW w:w="2859" w:type="dxa"/>
            <w:vMerge w:val="continue"/>
            <w:tcBorders>
              <w:top w:val="nil"/>
              <w:bottom w:val="nil"/>
            </w:tcBorders>
            <w:vAlign w:val="top"/>
          </w:tcPr>
          <w:p w14:paraId="27EC61CC">
            <w:pPr>
              <w:rPr>
                <w:rFonts w:ascii="Arial"/>
                <w:sz w:val="21"/>
              </w:rPr>
            </w:pPr>
          </w:p>
        </w:tc>
        <w:tc>
          <w:tcPr>
            <w:tcW w:w="803" w:type="dxa"/>
            <w:vAlign w:val="top"/>
          </w:tcPr>
          <w:p w14:paraId="4E8A8CEB">
            <w:pPr>
              <w:spacing w:line="249" w:lineRule="auto"/>
              <w:rPr>
                <w:rFonts w:ascii="Arial"/>
                <w:sz w:val="21"/>
              </w:rPr>
            </w:pPr>
          </w:p>
          <w:p w14:paraId="6C7CFE98">
            <w:pPr>
              <w:spacing w:line="249" w:lineRule="auto"/>
              <w:rPr>
                <w:rFonts w:ascii="Arial"/>
                <w:sz w:val="21"/>
              </w:rPr>
            </w:pPr>
          </w:p>
          <w:p w14:paraId="08401591">
            <w:pPr>
              <w:spacing w:line="250" w:lineRule="auto"/>
              <w:rPr>
                <w:rFonts w:ascii="Arial"/>
                <w:sz w:val="21"/>
              </w:rPr>
            </w:pPr>
          </w:p>
          <w:p w14:paraId="760AAED5">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9454ABD">
            <w:pPr>
              <w:pStyle w:val="6"/>
              <w:spacing w:before="28" w:line="179" w:lineRule="auto"/>
              <w:ind w:left="116" w:right="46" w:firstLine="14"/>
              <w:jc w:val="both"/>
            </w:pPr>
            <w:r>
              <w:rPr>
                <w:spacing w:val="3"/>
              </w:rPr>
              <w:t>生产经营规模较小、</w:t>
            </w:r>
            <w:r>
              <w:rPr>
                <w:spacing w:val="26"/>
              </w:rPr>
              <w:t>未指定兼职应急救</w:t>
            </w:r>
            <w:r>
              <w:rPr>
                <w:spacing w:val="-2"/>
              </w:rPr>
              <w:t>援人员的，且未与邻</w:t>
            </w:r>
            <w:r>
              <w:rPr>
                <w:spacing w:val="26"/>
              </w:rPr>
              <w:t>近的应急救援队伍签订应急救援协议</w:t>
            </w:r>
            <w:r>
              <w:t>的</w:t>
            </w:r>
          </w:p>
        </w:tc>
        <w:tc>
          <w:tcPr>
            <w:tcW w:w="2894" w:type="dxa"/>
            <w:vAlign w:val="top"/>
          </w:tcPr>
          <w:p w14:paraId="59EAE426">
            <w:pPr>
              <w:spacing w:line="264" w:lineRule="auto"/>
              <w:rPr>
                <w:rFonts w:ascii="Arial"/>
                <w:sz w:val="21"/>
              </w:rPr>
            </w:pPr>
          </w:p>
          <w:p w14:paraId="1C2C50A8">
            <w:pPr>
              <w:spacing w:line="264" w:lineRule="auto"/>
              <w:rPr>
                <w:rFonts w:ascii="Arial"/>
                <w:sz w:val="21"/>
              </w:rPr>
            </w:pPr>
          </w:p>
          <w:p w14:paraId="5A558AD8">
            <w:pPr>
              <w:pStyle w:val="6"/>
              <w:spacing w:before="99" w:line="196" w:lineRule="auto"/>
              <w:ind w:left="124" w:right="104" w:firstLine="2"/>
            </w:pPr>
            <w:r>
              <w:rPr>
                <w:spacing w:val="1"/>
              </w:rPr>
              <w:t>责令改正，可以处</w:t>
            </w:r>
            <w:r>
              <w:rPr>
                <w:rFonts w:ascii="宋体" w:hAnsi="宋体" w:eastAsia="宋体" w:cs="宋体"/>
                <w:spacing w:val="1"/>
              </w:rPr>
              <w:t>1.5</w:t>
            </w:r>
            <w:r>
              <w:rPr>
                <w:spacing w:val="1"/>
              </w:rPr>
              <w:t>万</w:t>
            </w:r>
            <w:r>
              <w:rPr>
                <w:spacing w:val="4"/>
              </w:rPr>
              <w:t>元以上</w:t>
            </w:r>
            <w:r>
              <w:rPr>
                <w:rFonts w:ascii="宋体" w:hAnsi="宋体" w:eastAsia="宋体" w:cs="宋体"/>
                <w:spacing w:val="4"/>
              </w:rPr>
              <w:t>2</w:t>
            </w:r>
            <w:r>
              <w:rPr>
                <w:spacing w:val="4"/>
              </w:rPr>
              <w:t>万元以下的罚款</w:t>
            </w:r>
          </w:p>
        </w:tc>
        <w:tc>
          <w:tcPr>
            <w:tcW w:w="811" w:type="dxa"/>
            <w:vMerge w:val="continue"/>
            <w:tcBorders>
              <w:top w:val="nil"/>
              <w:bottom w:val="nil"/>
            </w:tcBorders>
            <w:vAlign w:val="top"/>
          </w:tcPr>
          <w:p w14:paraId="16C9057E">
            <w:pPr>
              <w:rPr>
                <w:rFonts w:ascii="Arial"/>
                <w:sz w:val="21"/>
              </w:rPr>
            </w:pPr>
          </w:p>
        </w:tc>
      </w:tr>
      <w:tr w14:paraId="306D8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818" w:type="dxa"/>
            <w:vMerge w:val="continue"/>
            <w:tcBorders>
              <w:top w:val="nil"/>
            </w:tcBorders>
            <w:vAlign w:val="top"/>
          </w:tcPr>
          <w:p w14:paraId="7DBE1007">
            <w:pPr>
              <w:rPr>
                <w:rFonts w:ascii="Arial"/>
                <w:sz w:val="21"/>
              </w:rPr>
            </w:pPr>
          </w:p>
        </w:tc>
        <w:tc>
          <w:tcPr>
            <w:tcW w:w="1440" w:type="dxa"/>
            <w:vMerge w:val="continue"/>
            <w:tcBorders>
              <w:top w:val="nil"/>
            </w:tcBorders>
            <w:vAlign w:val="top"/>
          </w:tcPr>
          <w:p w14:paraId="1ECCE785">
            <w:pPr>
              <w:rPr>
                <w:rFonts w:ascii="Arial"/>
                <w:sz w:val="21"/>
              </w:rPr>
            </w:pPr>
          </w:p>
        </w:tc>
        <w:tc>
          <w:tcPr>
            <w:tcW w:w="3202" w:type="dxa"/>
            <w:vMerge w:val="continue"/>
            <w:tcBorders>
              <w:top w:val="nil"/>
            </w:tcBorders>
            <w:vAlign w:val="top"/>
          </w:tcPr>
          <w:p w14:paraId="2212103B">
            <w:pPr>
              <w:rPr>
                <w:rFonts w:ascii="Arial"/>
                <w:sz w:val="21"/>
              </w:rPr>
            </w:pPr>
          </w:p>
        </w:tc>
        <w:tc>
          <w:tcPr>
            <w:tcW w:w="2859" w:type="dxa"/>
            <w:vMerge w:val="continue"/>
            <w:tcBorders>
              <w:top w:val="nil"/>
            </w:tcBorders>
            <w:vAlign w:val="top"/>
          </w:tcPr>
          <w:p w14:paraId="4810ED35">
            <w:pPr>
              <w:rPr>
                <w:rFonts w:ascii="Arial"/>
                <w:sz w:val="21"/>
              </w:rPr>
            </w:pPr>
          </w:p>
        </w:tc>
        <w:tc>
          <w:tcPr>
            <w:tcW w:w="803" w:type="dxa"/>
            <w:vAlign w:val="top"/>
          </w:tcPr>
          <w:p w14:paraId="60601548">
            <w:pPr>
              <w:spacing w:line="332" w:lineRule="auto"/>
              <w:rPr>
                <w:rFonts w:ascii="Arial"/>
                <w:sz w:val="21"/>
              </w:rPr>
            </w:pPr>
          </w:p>
          <w:p w14:paraId="4A4A5AFB">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15BC887">
            <w:pPr>
              <w:pStyle w:val="6"/>
              <w:spacing w:before="214" w:line="196" w:lineRule="auto"/>
              <w:ind w:left="128" w:right="109" w:hanging="10"/>
            </w:pPr>
            <w:r>
              <w:rPr>
                <w:spacing w:val="26"/>
              </w:rPr>
              <w:t>未建立应急救援组</w:t>
            </w:r>
            <w:r>
              <w:rPr>
                <w:spacing w:val="-2"/>
              </w:rPr>
              <w:t>织的</w:t>
            </w:r>
          </w:p>
        </w:tc>
        <w:tc>
          <w:tcPr>
            <w:tcW w:w="2894" w:type="dxa"/>
            <w:vAlign w:val="top"/>
          </w:tcPr>
          <w:p w14:paraId="08A879DC">
            <w:pPr>
              <w:pStyle w:val="6"/>
              <w:spacing w:before="213" w:line="196" w:lineRule="auto"/>
              <w:ind w:left="146" w:right="103" w:hanging="19"/>
            </w:pPr>
            <w:r>
              <w:rPr>
                <w:spacing w:val="3"/>
              </w:rPr>
              <w:t>责令改正，可以处</w:t>
            </w:r>
            <w:r>
              <w:rPr>
                <w:rFonts w:ascii="宋体" w:hAnsi="宋体" w:eastAsia="宋体" w:cs="宋体"/>
                <w:spacing w:val="3"/>
              </w:rPr>
              <w:t>2</w:t>
            </w:r>
            <w:r>
              <w:rPr>
                <w:spacing w:val="3"/>
              </w:rPr>
              <w:t>万元</w:t>
            </w:r>
            <w:r>
              <w:rPr>
                <w:spacing w:val="1"/>
              </w:rPr>
              <w:t>以上</w:t>
            </w:r>
            <w:r>
              <w:rPr>
                <w:rFonts w:ascii="宋体" w:hAnsi="宋体" w:eastAsia="宋体" w:cs="宋体"/>
                <w:spacing w:val="1"/>
              </w:rPr>
              <w:t>3</w:t>
            </w:r>
            <w:r>
              <w:rPr>
                <w:spacing w:val="1"/>
              </w:rPr>
              <w:t>万元以下的罚款</w:t>
            </w:r>
          </w:p>
        </w:tc>
        <w:tc>
          <w:tcPr>
            <w:tcW w:w="811" w:type="dxa"/>
            <w:vMerge w:val="continue"/>
            <w:tcBorders>
              <w:top w:val="nil"/>
            </w:tcBorders>
            <w:vAlign w:val="top"/>
          </w:tcPr>
          <w:p w14:paraId="1AD54B76">
            <w:pPr>
              <w:rPr>
                <w:rFonts w:ascii="Arial"/>
                <w:sz w:val="21"/>
              </w:rPr>
            </w:pPr>
          </w:p>
        </w:tc>
      </w:tr>
      <w:tr w14:paraId="44840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restart"/>
            <w:tcBorders>
              <w:bottom w:val="nil"/>
            </w:tcBorders>
            <w:vAlign w:val="top"/>
          </w:tcPr>
          <w:p w14:paraId="3D97E9B7">
            <w:pPr>
              <w:spacing w:line="275" w:lineRule="auto"/>
              <w:rPr>
                <w:rFonts w:ascii="Arial"/>
                <w:sz w:val="21"/>
              </w:rPr>
            </w:pPr>
          </w:p>
          <w:p w14:paraId="2E78AD22">
            <w:pPr>
              <w:spacing w:line="275" w:lineRule="auto"/>
              <w:rPr>
                <w:rFonts w:ascii="Arial"/>
                <w:sz w:val="21"/>
              </w:rPr>
            </w:pPr>
          </w:p>
          <w:p w14:paraId="0DD368B6">
            <w:pPr>
              <w:spacing w:line="275" w:lineRule="auto"/>
              <w:rPr>
                <w:rFonts w:ascii="Arial"/>
                <w:sz w:val="21"/>
              </w:rPr>
            </w:pPr>
          </w:p>
          <w:p w14:paraId="1187011C">
            <w:pPr>
              <w:spacing w:line="275" w:lineRule="auto"/>
              <w:rPr>
                <w:rFonts w:ascii="Arial"/>
                <w:sz w:val="21"/>
              </w:rPr>
            </w:pPr>
          </w:p>
          <w:p w14:paraId="2DCE12CF">
            <w:pPr>
              <w:spacing w:line="275" w:lineRule="auto"/>
              <w:rPr>
                <w:rFonts w:ascii="Arial"/>
                <w:sz w:val="21"/>
              </w:rPr>
            </w:pPr>
          </w:p>
          <w:p w14:paraId="2F2C311D">
            <w:pPr>
              <w:spacing w:line="275" w:lineRule="auto"/>
              <w:rPr>
                <w:rFonts w:ascii="Arial"/>
                <w:sz w:val="21"/>
              </w:rPr>
            </w:pPr>
          </w:p>
          <w:p w14:paraId="5A89BFB4">
            <w:pPr>
              <w:spacing w:before="74" w:line="185" w:lineRule="auto"/>
              <w:ind w:left="240"/>
              <w:rPr>
                <w:rFonts w:ascii="仿宋" w:hAnsi="仿宋" w:eastAsia="仿宋" w:cs="仿宋"/>
                <w:sz w:val="23"/>
                <w:szCs w:val="23"/>
              </w:rPr>
            </w:pPr>
            <w:r>
              <w:rPr>
                <w:rFonts w:ascii="仿宋" w:hAnsi="仿宋" w:eastAsia="仿宋" w:cs="仿宋"/>
                <w:spacing w:val="-4"/>
                <w:sz w:val="23"/>
                <w:szCs w:val="23"/>
              </w:rPr>
              <w:t>79</w:t>
            </w:r>
          </w:p>
        </w:tc>
        <w:tc>
          <w:tcPr>
            <w:tcW w:w="1440" w:type="dxa"/>
            <w:vMerge w:val="restart"/>
            <w:tcBorders>
              <w:bottom w:val="nil"/>
            </w:tcBorders>
            <w:vAlign w:val="top"/>
          </w:tcPr>
          <w:p w14:paraId="1F6069EE">
            <w:pPr>
              <w:pStyle w:val="6"/>
              <w:spacing w:before="34" w:line="181" w:lineRule="auto"/>
              <w:ind w:left="112" w:right="17" w:firstLine="2"/>
            </w:pPr>
            <w:r>
              <w:rPr>
                <w:spacing w:val="11"/>
              </w:rPr>
              <w:t>危险物品的</w:t>
            </w:r>
            <w:r>
              <w:rPr>
                <w:spacing w:val="-13"/>
              </w:rPr>
              <w:t>生产、经营、</w:t>
            </w:r>
            <w:r>
              <w:rPr>
                <w:spacing w:val="12"/>
              </w:rPr>
              <w:t>储存单位以及金属冶炼单位未配备必要的应急</w:t>
            </w:r>
            <w:r>
              <w:rPr>
                <w:spacing w:val="6"/>
              </w:rPr>
              <w:t>救援器材、</w:t>
            </w:r>
            <w:r>
              <w:rPr>
                <w:spacing w:val="-2"/>
                <w:w w:val="98"/>
              </w:rPr>
              <w:t>设备和物</w:t>
            </w:r>
            <w:r>
              <w:rPr>
                <w:spacing w:val="3"/>
              </w:rPr>
              <w:t>资，并进行</w:t>
            </w:r>
            <w:r>
              <w:rPr>
                <w:spacing w:val="-10"/>
                <w:w w:val="99"/>
              </w:rPr>
              <w:t>经常性维</w:t>
            </w:r>
            <w:r>
              <w:rPr>
                <w:spacing w:val="2"/>
              </w:rPr>
              <w:t>护、保养，</w:t>
            </w:r>
            <w:r>
              <w:rPr>
                <w:spacing w:val="12"/>
              </w:rPr>
              <w:t>保证正常运</w:t>
            </w:r>
          </w:p>
        </w:tc>
        <w:tc>
          <w:tcPr>
            <w:tcW w:w="3202" w:type="dxa"/>
            <w:vMerge w:val="restart"/>
            <w:tcBorders>
              <w:bottom w:val="nil"/>
            </w:tcBorders>
            <w:vAlign w:val="top"/>
          </w:tcPr>
          <w:p w14:paraId="6EC1556B">
            <w:pPr>
              <w:rPr>
                <w:rFonts w:ascii="Arial"/>
                <w:sz w:val="21"/>
              </w:rPr>
            </w:pPr>
          </w:p>
        </w:tc>
        <w:tc>
          <w:tcPr>
            <w:tcW w:w="2859" w:type="dxa"/>
            <w:vMerge w:val="restart"/>
            <w:tcBorders>
              <w:bottom w:val="nil"/>
            </w:tcBorders>
            <w:vAlign w:val="top"/>
          </w:tcPr>
          <w:p w14:paraId="70AFF705">
            <w:pPr>
              <w:pStyle w:val="6"/>
              <w:spacing w:before="34" w:line="181" w:lineRule="auto"/>
              <w:ind w:left="113" w:right="97" w:hanging="16"/>
            </w:pPr>
            <w:r>
              <w:rPr>
                <w:spacing w:val="10"/>
              </w:rPr>
              <w:t>【部门规章】《安全生产违法行为行政处罚办法》</w:t>
            </w:r>
            <w:r>
              <w:rPr>
                <w:spacing w:val="8"/>
              </w:rPr>
              <w:t>第四十六条第二项：危险物品的生产、经营、储存单位以及矿山、金属冶炼</w:t>
            </w:r>
            <w:r>
              <w:rPr>
                <w:spacing w:val="7"/>
              </w:rPr>
              <w:t>单位有下列行为之一的，</w:t>
            </w:r>
            <w:r>
              <w:rPr>
                <w:spacing w:val="1"/>
              </w:rPr>
              <w:t>责令改正，并可以处</w:t>
            </w:r>
            <w:r>
              <w:rPr>
                <w:rFonts w:ascii="宋体" w:hAnsi="宋体" w:eastAsia="宋体" w:cs="宋体"/>
                <w:spacing w:val="1"/>
              </w:rPr>
              <w:t>1</w:t>
            </w:r>
            <w:r>
              <w:rPr>
                <w:spacing w:val="1"/>
              </w:rPr>
              <w:t>万</w:t>
            </w:r>
            <w:r>
              <w:rPr>
                <w:spacing w:val="20"/>
              </w:rPr>
              <w:t>元以上</w:t>
            </w:r>
            <w:r>
              <w:rPr>
                <w:rFonts w:ascii="宋体" w:hAnsi="宋体" w:eastAsia="宋体" w:cs="宋体"/>
                <w:spacing w:val="20"/>
              </w:rPr>
              <w:t>3</w:t>
            </w:r>
            <w:r>
              <w:rPr>
                <w:spacing w:val="20"/>
              </w:rPr>
              <w:t>万元以下的罚</w:t>
            </w:r>
            <w:r>
              <w:rPr>
                <w:spacing w:val="8"/>
              </w:rPr>
              <w:t>款</w:t>
            </w:r>
            <w:r>
              <w:rPr>
                <w:spacing w:val="11"/>
              </w:rPr>
              <w:t>：（</w:t>
            </w:r>
            <w:r>
              <w:rPr>
                <w:spacing w:val="8"/>
              </w:rPr>
              <w:t>二）未配备必要的应急救援器材、设备和物</w:t>
            </w:r>
            <w:r>
              <w:rPr>
                <w:spacing w:val="6"/>
              </w:rPr>
              <w:t>资，并进行经常性维护、</w:t>
            </w:r>
            <w:r>
              <w:rPr>
                <w:spacing w:val="5"/>
              </w:rPr>
              <w:t>保养，保证正常运转的。</w:t>
            </w:r>
          </w:p>
        </w:tc>
        <w:tc>
          <w:tcPr>
            <w:tcW w:w="803" w:type="dxa"/>
            <w:vAlign w:val="top"/>
          </w:tcPr>
          <w:p w14:paraId="6D056579">
            <w:pPr>
              <w:spacing w:line="248" w:lineRule="auto"/>
              <w:rPr>
                <w:rFonts w:ascii="Arial"/>
                <w:sz w:val="21"/>
              </w:rPr>
            </w:pPr>
          </w:p>
          <w:p w14:paraId="3DE3FB0E">
            <w:pPr>
              <w:spacing w:line="248" w:lineRule="auto"/>
              <w:rPr>
                <w:rFonts w:ascii="Arial"/>
                <w:sz w:val="21"/>
              </w:rPr>
            </w:pPr>
          </w:p>
          <w:p w14:paraId="3AC890B1">
            <w:pPr>
              <w:spacing w:line="248" w:lineRule="auto"/>
              <w:rPr>
                <w:rFonts w:ascii="Arial"/>
                <w:sz w:val="21"/>
              </w:rPr>
            </w:pPr>
          </w:p>
          <w:p w14:paraId="23A607B5">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A04E748">
            <w:pPr>
              <w:pStyle w:val="6"/>
              <w:spacing w:before="28" w:line="179" w:lineRule="auto"/>
              <w:ind w:left="119" w:right="105" w:hanging="1"/>
              <w:jc w:val="both"/>
            </w:pPr>
            <w:r>
              <w:rPr>
                <w:spacing w:val="26"/>
              </w:rPr>
              <w:t>未配备必要的应急</w:t>
            </w:r>
            <w:r>
              <w:rPr>
                <w:spacing w:val="-3"/>
              </w:rPr>
              <w:t>救援器材、设备和物资，未进行经常性维</w:t>
            </w:r>
            <w:r>
              <w:rPr>
                <w:spacing w:val="-13"/>
              </w:rPr>
              <w:t>护、保养，未保证正</w:t>
            </w:r>
            <w:r>
              <w:rPr>
                <w:spacing w:val="15"/>
              </w:rPr>
              <w:t>常运转，有上述</w:t>
            </w:r>
            <w:r>
              <w:rPr>
                <w:rFonts w:ascii="宋体" w:hAnsi="宋体" w:eastAsia="宋体" w:cs="宋体"/>
                <w:spacing w:val="15"/>
              </w:rPr>
              <w:t>1</w:t>
            </w:r>
            <w:r>
              <w:rPr>
                <w:spacing w:val="5"/>
              </w:rPr>
              <w:t>种情形的</w:t>
            </w:r>
          </w:p>
        </w:tc>
        <w:tc>
          <w:tcPr>
            <w:tcW w:w="2894" w:type="dxa"/>
            <w:vAlign w:val="top"/>
          </w:tcPr>
          <w:p w14:paraId="565675B3">
            <w:pPr>
              <w:spacing w:line="264" w:lineRule="auto"/>
              <w:rPr>
                <w:rFonts w:ascii="Arial"/>
                <w:sz w:val="21"/>
              </w:rPr>
            </w:pPr>
          </w:p>
          <w:p w14:paraId="27D061AD">
            <w:pPr>
              <w:spacing w:line="264" w:lineRule="auto"/>
              <w:rPr>
                <w:rFonts w:ascii="Arial"/>
                <w:sz w:val="21"/>
              </w:rPr>
            </w:pPr>
          </w:p>
          <w:p w14:paraId="4FEB0E41">
            <w:pPr>
              <w:pStyle w:val="6"/>
              <w:spacing w:before="99" w:line="196" w:lineRule="auto"/>
              <w:ind w:left="146" w:right="103" w:hanging="19"/>
            </w:pPr>
            <w:r>
              <w:rPr>
                <w:spacing w:val="1"/>
              </w:rPr>
              <w:t>责令改正，可以处</w:t>
            </w:r>
            <w:r>
              <w:rPr>
                <w:rFonts w:ascii="宋体" w:hAnsi="宋体" w:eastAsia="宋体" w:cs="宋体"/>
                <w:spacing w:val="1"/>
              </w:rPr>
              <w:t>1</w:t>
            </w:r>
            <w:r>
              <w:rPr>
                <w:spacing w:val="1"/>
              </w:rPr>
              <w:t>万元</w:t>
            </w:r>
            <w:r>
              <w:t>以上</w:t>
            </w:r>
            <w:r>
              <w:rPr>
                <w:rFonts w:ascii="宋体" w:hAnsi="宋体" w:eastAsia="宋体" w:cs="宋体"/>
              </w:rPr>
              <w:t>1.5</w:t>
            </w:r>
            <w:r>
              <w:t>万元以下的罚款</w:t>
            </w:r>
          </w:p>
        </w:tc>
        <w:tc>
          <w:tcPr>
            <w:tcW w:w="811" w:type="dxa"/>
            <w:vMerge w:val="restart"/>
            <w:tcBorders>
              <w:bottom w:val="nil"/>
            </w:tcBorders>
            <w:vAlign w:val="top"/>
          </w:tcPr>
          <w:p w14:paraId="206C905F">
            <w:pPr>
              <w:spacing w:line="274" w:lineRule="auto"/>
              <w:rPr>
                <w:rFonts w:ascii="Arial"/>
                <w:sz w:val="21"/>
              </w:rPr>
            </w:pPr>
          </w:p>
          <w:p w14:paraId="67E72310">
            <w:pPr>
              <w:spacing w:line="274" w:lineRule="auto"/>
              <w:rPr>
                <w:rFonts w:ascii="Arial"/>
                <w:sz w:val="21"/>
              </w:rPr>
            </w:pPr>
          </w:p>
          <w:p w14:paraId="083359AB">
            <w:pPr>
              <w:spacing w:line="274" w:lineRule="auto"/>
              <w:rPr>
                <w:rFonts w:ascii="Arial"/>
                <w:sz w:val="21"/>
              </w:rPr>
            </w:pPr>
          </w:p>
          <w:p w14:paraId="0B020022">
            <w:pPr>
              <w:spacing w:line="274" w:lineRule="auto"/>
              <w:rPr>
                <w:rFonts w:ascii="Arial"/>
                <w:sz w:val="21"/>
              </w:rPr>
            </w:pPr>
          </w:p>
          <w:p w14:paraId="7EE43264">
            <w:pPr>
              <w:spacing w:line="275" w:lineRule="auto"/>
              <w:rPr>
                <w:rFonts w:ascii="Arial"/>
                <w:sz w:val="21"/>
              </w:rPr>
            </w:pPr>
          </w:p>
          <w:p w14:paraId="08DA5299">
            <w:pPr>
              <w:spacing w:line="275" w:lineRule="auto"/>
              <w:rPr>
                <w:rFonts w:ascii="Arial"/>
                <w:sz w:val="21"/>
              </w:rPr>
            </w:pPr>
          </w:p>
          <w:p w14:paraId="47D52CF6">
            <w:pPr>
              <w:spacing w:before="75" w:line="188" w:lineRule="auto"/>
              <w:ind w:left="295"/>
              <w:rPr>
                <w:rFonts w:ascii="宋体" w:hAnsi="宋体" w:eastAsia="宋体" w:cs="宋体"/>
                <w:sz w:val="23"/>
                <w:szCs w:val="23"/>
              </w:rPr>
            </w:pPr>
            <w:r>
              <w:rPr>
                <w:rFonts w:ascii="宋体" w:hAnsi="宋体" w:eastAsia="宋体" w:cs="宋体"/>
                <w:spacing w:val="-4"/>
                <w:sz w:val="23"/>
                <w:szCs w:val="23"/>
              </w:rPr>
              <w:t>53</w:t>
            </w:r>
          </w:p>
        </w:tc>
      </w:tr>
      <w:tr w14:paraId="68996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818" w:type="dxa"/>
            <w:vMerge w:val="continue"/>
            <w:tcBorders>
              <w:top w:val="nil"/>
            </w:tcBorders>
            <w:vAlign w:val="top"/>
          </w:tcPr>
          <w:p w14:paraId="7F5FA1B5">
            <w:pPr>
              <w:rPr>
                <w:rFonts w:ascii="Arial"/>
                <w:sz w:val="21"/>
              </w:rPr>
            </w:pPr>
          </w:p>
        </w:tc>
        <w:tc>
          <w:tcPr>
            <w:tcW w:w="1440" w:type="dxa"/>
            <w:vMerge w:val="continue"/>
            <w:tcBorders>
              <w:top w:val="nil"/>
            </w:tcBorders>
            <w:vAlign w:val="top"/>
          </w:tcPr>
          <w:p w14:paraId="28EF5522">
            <w:pPr>
              <w:rPr>
                <w:rFonts w:ascii="Arial"/>
                <w:sz w:val="21"/>
              </w:rPr>
            </w:pPr>
          </w:p>
        </w:tc>
        <w:tc>
          <w:tcPr>
            <w:tcW w:w="3202" w:type="dxa"/>
            <w:vMerge w:val="continue"/>
            <w:tcBorders>
              <w:top w:val="nil"/>
            </w:tcBorders>
            <w:vAlign w:val="top"/>
          </w:tcPr>
          <w:p w14:paraId="5DD283C9">
            <w:pPr>
              <w:rPr>
                <w:rFonts w:ascii="Arial"/>
                <w:sz w:val="21"/>
              </w:rPr>
            </w:pPr>
          </w:p>
        </w:tc>
        <w:tc>
          <w:tcPr>
            <w:tcW w:w="2859" w:type="dxa"/>
            <w:vMerge w:val="continue"/>
            <w:tcBorders>
              <w:top w:val="nil"/>
            </w:tcBorders>
            <w:vAlign w:val="top"/>
          </w:tcPr>
          <w:p w14:paraId="7389BDF6">
            <w:pPr>
              <w:rPr>
                <w:rFonts w:ascii="Arial"/>
                <w:sz w:val="21"/>
              </w:rPr>
            </w:pPr>
          </w:p>
        </w:tc>
        <w:tc>
          <w:tcPr>
            <w:tcW w:w="803" w:type="dxa"/>
            <w:vAlign w:val="top"/>
          </w:tcPr>
          <w:p w14:paraId="548321DC">
            <w:pPr>
              <w:spacing w:line="249" w:lineRule="auto"/>
              <w:rPr>
                <w:rFonts w:ascii="Arial"/>
                <w:sz w:val="21"/>
              </w:rPr>
            </w:pPr>
          </w:p>
          <w:p w14:paraId="3C2990E4">
            <w:pPr>
              <w:spacing w:line="249" w:lineRule="auto"/>
              <w:rPr>
                <w:rFonts w:ascii="Arial"/>
                <w:sz w:val="21"/>
              </w:rPr>
            </w:pPr>
          </w:p>
          <w:p w14:paraId="35ED22BE">
            <w:pPr>
              <w:spacing w:line="250" w:lineRule="auto"/>
              <w:rPr>
                <w:rFonts w:ascii="Arial"/>
                <w:sz w:val="21"/>
              </w:rPr>
            </w:pPr>
          </w:p>
          <w:p w14:paraId="0E7F1B48">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A3999BB">
            <w:pPr>
              <w:pStyle w:val="6"/>
              <w:spacing w:before="31" w:line="179" w:lineRule="auto"/>
              <w:ind w:left="119" w:right="105" w:hanging="1"/>
              <w:jc w:val="both"/>
            </w:pPr>
            <w:r>
              <w:rPr>
                <w:spacing w:val="26"/>
              </w:rPr>
              <w:t>未配备必要的应急</w:t>
            </w:r>
            <w:r>
              <w:rPr>
                <w:spacing w:val="-3"/>
              </w:rPr>
              <w:t>救援器材、设备和物资，未进行经常性维</w:t>
            </w:r>
            <w:r>
              <w:rPr>
                <w:spacing w:val="-13"/>
              </w:rPr>
              <w:t>护、保养，未保证正</w:t>
            </w:r>
            <w:r>
              <w:rPr>
                <w:spacing w:val="17"/>
              </w:rPr>
              <w:t>常运转，有上述</w:t>
            </w:r>
            <w:r>
              <w:rPr>
                <w:rFonts w:ascii="宋体" w:hAnsi="宋体" w:eastAsia="宋体" w:cs="宋体"/>
                <w:spacing w:val="17"/>
              </w:rPr>
              <w:t>2</w:t>
            </w:r>
            <w:r>
              <w:rPr>
                <w:spacing w:val="5"/>
              </w:rPr>
              <w:t>种情形的</w:t>
            </w:r>
          </w:p>
        </w:tc>
        <w:tc>
          <w:tcPr>
            <w:tcW w:w="2894" w:type="dxa"/>
            <w:vAlign w:val="top"/>
          </w:tcPr>
          <w:p w14:paraId="50E691CC">
            <w:pPr>
              <w:spacing w:line="264" w:lineRule="auto"/>
              <w:rPr>
                <w:rFonts w:ascii="Arial"/>
                <w:sz w:val="21"/>
              </w:rPr>
            </w:pPr>
          </w:p>
          <w:p w14:paraId="1895A7EF">
            <w:pPr>
              <w:spacing w:line="265" w:lineRule="auto"/>
              <w:rPr>
                <w:rFonts w:ascii="Arial"/>
                <w:sz w:val="21"/>
              </w:rPr>
            </w:pPr>
          </w:p>
          <w:p w14:paraId="43E020C0">
            <w:pPr>
              <w:pStyle w:val="6"/>
              <w:spacing w:before="98" w:line="196" w:lineRule="auto"/>
              <w:ind w:left="124" w:right="104" w:firstLine="2"/>
            </w:pPr>
            <w:r>
              <w:rPr>
                <w:spacing w:val="1"/>
              </w:rPr>
              <w:t>责令改正，可以处</w:t>
            </w:r>
            <w:r>
              <w:rPr>
                <w:rFonts w:ascii="宋体" w:hAnsi="宋体" w:eastAsia="宋体" w:cs="宋体"/>
                <w:spacing w:val="1"/>
              </w:rPr>
              <w:t>1.5</w:t>
            </w:r>
            <w:r>
              <w:rPr>
                <w:spacing w:val="1"/>
              </w:rPr>
              <w:t>万</w:t>
            </w:r>
            <w:r>
              <w:rPr>
                <w:spacing w:val="4"/>
              </w:rPr>
              <w:t>元以上</w:t>
            </w:r>
            <w:r>
              <w:rPr>
                <w:rFonts w:ascii="宋体" w:hAnsi="宋体" w:eastAsia="宋体" w:cs="宋体"/>
                <w:spacing w:val="4"/>
              </w:rPr>
              <w:t>2</w:t>
            </w:r>
            <w:r>
              <w:rPr>
                <w:spacing w:val="4"/>
              </w:rPr>
              <w:t>万元以下的罚款</w:t>
            </w:r>
          </w:p>
        </w:tc>
        <w:tc>
          <w:tcPr>
            <w:tcW w:w="811" w:type="dxa"/>
            <w:vMerge w:val="continue"/>
            <w:tcBorders>
              <w:top w:val="nil"/>
            </w:tcBorders>
            <w:vAlign w:val="top"/>
          </w:tcPr>
          <w:p w14:paraId="0EEBC869">
            <w:pPr>
              <w:rPr>
                <w:rFonts w:ascii="Arial"/>
                <w:sz w:val="21"/>
              </w:rPr>
            </w:pPr>
          </w:p>
        </w:tc>
      </w:tr>
    </w:tbl>
    <w:p w14:paraId="3883AA69">
      <w:pPr>
        <w:pStyle w:val="2"/>
        <w:spacing w:line="233" w:lineRule="exact"/>
        <w:rPr>
          <w:sz w:val="20"/>
        </w:rPr>
      </w:pPr>
    </w:p>
    <w:p w14:paraId="60C87525">
      <w:pPr>
        <w:spacing w:line="233" w:lineRule="exact"/>
        <w:rPr>
          <w:sz w:val="20"/>
          <w:szCs w:val="20"/>
        </w:rPr>
        <w:sectPr>
          <w:footerReference r:id="rId96" w:type="default"/>
          <w:pgSz w:w="16839" w:h="11906"/>
          <w:pgMar w:top="1012" w:right="821" w:bottom="666" w:left="901" w:header="0" w:footer="388" w:gutter="0"/>
          <w:cols w:space="720" w:num="1"/>
        </w:sectPr>
      </w:pPr>
    </w:p>
    <w:p w14:paraId="011F469C">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709D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E1CF997">
            <w:pPr>
              <w:spacing w:before="222" w:line="241" w:lineRule="auto"/>
              <w:ind w:left="131"/>
              <w:outlineLvl w:val="0"/>
              <w:rPr>
                <w:rFonts w:ascii="黑体" w:hAnsi="黑体" w:eastAsia="黑体" w:cs="黑体"/>
                <w:sz w:val="28"/>
                <w:szCs w:val="28"/>
              </w:rPr>
            </w:pPr>
            <w:bookmarkStart w:id="483" w:name="bookmark517"/>
            <w:bookmarkEnd w:id="483"/>
            <w:bookmarkStart w:id="484" w:name="bookmark168"/>
            <w:bookmarkEnd w:id="484"/>
            <w:r>
              <w:rPr>
                <w:rFonts w:ascii="黑体" w:hAnsi="黑体" w:eastAsia="黑体" w:cs="黑体"/>
                <w:spacing w:val="-2"/>
                <w:sz w:val="28"/>
                <w:szCs w:val="28"/>
              </w:rPr>
              <w:t>序号</w:t>
            </w:r>
          </w:p>
        </w:tc>
        <w:tc>
          <w:tcPr>
            <w:tcW w:w="1440" w:type="dxa"/>
            <w:vAlign w:val="top"/>
          </w:tcPr>
          <w:p w14:paraId="53992481">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0FBFBD8">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A7B034C">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DB78A5A">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0D2B5D0">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31A3C683">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35B2FEB">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5E91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Align w:val="top"/>
          </w:tcPr>
          <w:p w14:paraId="7FF75F25">
            <w:pPr>
              <w:rPr>
                <w:rFonts w:ascii="Arial"/>
                <w:sz w:val="21"/>
              </w:rPr>
            </w:pPr>
          </w:p>
        </w:tc>
        <w:tc>
          <w:tcPr>
            <w:tcW w:w="1440" w:type="dxa"/>
            <w:vAlign w:val="top"/>
          </w:tcPr>
          <w:p w14:paraId="0B7D4CE5">
            <w:pPr>
              <w:pStyle w:val="6"/>
              <w:spacing w:before="28" w:line="209" w:lineRule="auto"/>
              <w:ind w:left="126"/>
            </w:pPr>
            <w:r>
              <w:rPr>
                <w:spacing w:val="-2"/>
              </w:rPr>
              <w:t>转的</w:t>
            </w:r>
          </w:p>
        </w:tc>
        <w:tc>
          <w:tcPr>
            <w:tcW w:w="3202" w:type="dxa"/>
            <w:vAlign w:val="top"/>
          </w:tcPr>
          <w:p w14:paraId="20C0694B">
            <w:pPr>
              <w:rPr>
                <w:rFonts w:ascii="Arial"/>
                <w:sz w:val="21"/>
              </w:rPr>
            </w:pPr>
          </w:p>
        </w:tc>
        <w:tc>
          <w:tcPr>
            <w:tcW w:w="2859" w:type="dxa"/>
            <w:vAlign w:val="top"/>
          </w:tcPr>
          <w:p w14:paraId="4BD7C75B">
            <w:pPr>
              <w:rPr>
                <w:rFonts w:ascii="Arial"/>
                <w:sz w:val="21"/>
              </w:rPr>
            </w:pPr>
          </w:p>
        </w:tc>
        <w:tc>
          <w:tcPr>
            <w:tcW w:w="803" w:type="dxa"/>
            <w:vAlign w:val="top"/>
          </w:tcPr>
          <w:p w14:paraId="4800343E">
            <w:pPr>
              <w:spacing w:line="247" w:lineRule="auto"/>
              <w:rPr>
                <w:rFonts w:ascii="Arial"/>
                <w:sz w:val="21"/>
              </w:rPr>
            </w:pPr>
          </w:p>
          <w:p w14:paraId="4E206875">
            <w:pPr>
              <w:spacing w:line="248" w:lineRule="auto"/>
              <w:rPr>
                <w:rFonts w:ascii="Arial"/>
                <w:sz w:val="21"/>
              </w:rPr>
            </w:pPr>
          </w:p>
          <w:p w14:paraId="00F65D07">
            <w:pPr>
              <w:spacing w:line="248" w:lineRule="auto"/>
              <w:rPr>
                <w:rFonts w:ascii="Arial"/>
                <w:sz w:val="21"/>
              </w:rPr>
            </w:pPr>
          </w:p>
          <w:p w14:paraId="4BE40516">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17BF049">
            <w:pPr>
              <w:pStyle w:val="6"/>
              <w:spacing w:before="28" w:line="179" w:lineRule="auto"/>
              <w:ind w:left="119" w:right="105" w:hanging="1"/>
              <w:jc w:val="both"/>
            </w:pPr>
            <w:r>
              <w:rPr>
                <w:spacing w:val="26"/>
              </w:rPr>
              <w:t>未配备必要的应急</w:t>
            </w:r>
            <w:r>
              <w:rPr>
                <w:spacing w:val="-3"/>
              </w:rPr>
              <w:t>救援器材、设备和物资，未进行经常性维</w:t>
            </w:r>
            <w:r>
              <w:rPr>
                <w:spacing w:val="-13"/>
              </w:rPr>
              <w:t>护、保养，未保证正</w:t>
            </w:r>
            <w:r>
              <w:rPr>
                <w:spacing w:val="16"/>
              </w:rPr>
              <w:t>常运转，有上述</w:t>
            </w:r>
            <w:r>
              <w:rPr>
                <w:rFonts w:ascii="宋体" w:hAnsi="宋体" w:eastAsia="宋体" w:cs="宋体"/>
                <w:spacing w:val="16"/>
              </w:rPr>
              <w:t>3</w:t>
            </w:r>
            <w:r>
              <w:rPr>
                <w:spacing w:val="5"/>
              </w:rPr>
              <w:t>种情形的</w:t>
            </w:r>
          </w:p>
        </w:tc>
        <w:tc>
          <w:tcPr>
            <w:tcW w:w="2894" w:type="dxa"/>
            <w:vAlign w:val="top"/>
          </w:tcPr>
          <w:p w14:paraId="485833E3">
            <w:pPr>
              <w:spacing w:line="262" w:lineRule="auto"/>
              <w:rPr>
                <w:rFonts w:ascii="Arial"/>
                <w:sz w:val="21"/>
              </w:rPr>
            </w:pPr>
          </w:p>
          <w:p w14:paraId="4C7AB640">
            <w:pPr>
              <w:spacing w:line="263" w:lineRule="auto"/>
              <w:rPr>
                <w:rFonts w:ascii="Arial"/>
                <w:sz w:val="21"/>
              </w:rPr>
            </w:pPr>
          </w:p>
          <w:p w14:paraId="7640A2FA">
            <w:pPr>
              <w:pStyle w:val="6"/>
              <w:spacing w:before="98" w:line="196" w:lineRule="auto"/>
              <w:ind w:left="146" w:right="103" w:hanging="19"/>
            </w:pPr>
            <w:r>
              <w:rPr>
                <w:spacing w:val="3"/>
              </w:rPr>
              <w:t>责令改正，可以处</w:t>
            </w:r>
            <w:r>
              <w:rPr>
                <w:rFonts w:ascii="宋体" w:hAnsi="宋体" w:eastAsia="宋体" w:cs="宋体"/>
                <w:spacing w:val="3"/>
              </w:rPr>
              <w:t>2</w:t>
            </w:r>
            <w:r>
              <w:rPr>
                <w:spacing w:val="3"/>
              </w:rPr>
              <w:t>万元</w:t>
            </w:r>
            <w:r>
              <w:rPr>
                <w:spacing w:val="1"/>
              </w:rPr>
              <w:t>以上</w:t>
            </w:r>
            <w:r>
              <w:rPr>
                <w:rFonts w:ascii="宋体" w:hAnsi="宋体" w:eastAsia="宋体" w:cs="宋体"/>
                <w:spacing w:val="1"/>
              </w:rPr>
              <w:t>3</w:t>
            </w:r>
            <w:r>
              <w:rPr>
                <w:spacing w:val="1"/>
              </w:rPr>
              <w:t>万元以下的罚款</w:t>
            </w:r>
          </w:p>
        </w:tc>
        <w:tc>
          <w:tcPr>
            <w:tcW w:w="811" w:type="dxa"/>
            <w:vAlign w:val="top"/>
          </w:tcPr>
          <w:p w14:paraId="3DF32C78">
            <w:pPr>
              <w:rPr>
                <w:rFonts w:ascii="Arial"/>
                <w:sz w:val="21"/>
              </w:rPr>
            </w:pPr>
          </w:p>
        </w:tc>
      </w:tr>
      <w:tr w14:paraId="7DD94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5" w:hRule="atLeast"/>
        </w:trPr>
        <w:tc>
          <w:tcPr>
            <w:tcW w:w="818" w:type="dxa"/>
            <w:vMerge w:val="restart"/>
            <w:tcBorders>
              <w:bottom w:val="nil"/>
            </w:tcBorders>
            <w:vAlign w:val="top"/>
          </w:tcPr>
          <w:p w14:paraId="0BF6C454">
            <w:pPr>
              <w:spacing w:line="245" w:lineRule="auto"/>
              <w:rPr>
                <w:rFonts w:ascii="Arial"/>
                <w:sz w:val="21"/>
              </w:rPr>
            </w:pPr>
          </w:p>
          <w:p w14:paraId="1FFFDD90">
            <w:pPr>
              <w:spacing w:line="245" w:lineRule="auto"/>
              <w:rPr>
                <w:rFonts w:ascii="Arial"/>
                <w:sz w:val="21"/>
              </w:rPr>
            </w:pPr>
          </w:p>
          <w:p w14:paraId="6D0A5769">
            <w:pPr>
              <w:spacing w:line="245" w:lineRule="auto"/>
              <w:rPr>
                <w:rFonts w:ascii="Arial"/>
                <w:sz w:val="21"/>
              </w:rPr>
            </w:pPr>
          </w:p>
          <w:p w14:paraId="3F09E500">
            <w:pPr>
              <w:spacing w:line="245" w:lineRule="auto"/>
              <w:rPr>
                <w:rFonts w:ascii="Arial"/>
                <w:sz w:val="21"/>
              </w:rPr>
            </w:pPr>
          </w:p>
          <w:p w14:paraId="4AACBF68">
            <w:pPr>
              <w:spacing w:line="245" w:lineRule="auto"/>
              <w:rPr>
                <w:rFonts w:ascii="Arial"/>
                <w:sz w:val="21"/>
              </w:rPr>
            </w:pPr>
          </w:p>
          <w:p w14:paraId="09C9F30A">
            <w:pPr>
              <w:spacing w:line="245" w:lineRule="auto"/>
              <w:rPr>
                <w:rFonts w:ascii="Arial"/>
                <w:sz w:val="21"/>
              </w:rPr>
            </w:pPr>
          </w:p>
          <w:p w14:paraId="1E15295A">
            <w:pPr>
              <w:spacing w:line="245" w:lineRule="auto"/>
              <w:rPr>
                <w:rFonts w:ascii="Arial"/>
                <w:sz w:val="21"/>
              </w:rPr>
            </w:pPr>
          </w:p>
          <w:p w14:paraId="09DCBE5E">
            <w:pPr>
              <w:spacing w:line="245" w:lineRule="auto"/>
              <w:rPr>
                <w:rFonts w:ascii="Arial"/>
                <w:sz w:val="21"/>
              </w:rPr>
            </w:pPr>
          </w:p>
          <w:p w14:paraId="243DFBFF">
            <w:pPr>
              <w:spacing w:line="245" w:lineRule="auto"/>
              <w:rPr>
                <w:rFonts w:ascii="Arial"/>
                <w:sz w:val="21"/>
              </w:rPr>
            </w:pPr>
          </w:p>
          <w:p w14:paraId="57774880">
            <w:pPr>
              <w:spacing w:line="245" w:lineRule="auto"/>
              <w:rPr>
                <w:rFonts w:ascii="Arial"/>
                <w:sz w:val="21"/>
              </w:rPr>
            </w:pPr>
          </w:p>
          <w:p w14:paraId="5AD81045">
            <w:pPr>
              <w:spacing w:line="245" w:lineRule="auto"/>
              <w:rPr>
                <w:rFonts w:ascii="Arial"/>
                <w:sz w:val="21"/>
              </w:rPr>
            </w:pPr>
          </w:p>
          <w:p w14:paraId="2A297FD8">
            <w:pPr>
              <w:spacing w:line="245" w:lineRule="auto"/>
              <w:rPr>
                <w:rFonts w:ascii="Arial"/>
                <w:sz w:val="21"/>
              </w:rPr>
            </w:pPr>
          </w:p>
          <w:p w14:paraId="760C427E">
            <w:pPr>
              <w:spacing w:line="245" w:lineRule="auto"/>
              <w:rPr>
                <w:rFonts w:ascii="Arial"/>
                <w:sz w:val="21"/>
              </w:rPr>
            </w:pPr>
          </w:p>
          <w:p w14:paraId="3182794D">
            <w:pPr>
              <w:spacing w:line="246" w:lineRule="auto"/>
              <w:rPr>
                <w:rFonts w:ascii="Arial"/>
                <w:sz w:val="21"/>
              </w:rPr>
            </w:pPr>
          </w:p>
          <w:p w14:paraId="4808DA5A">
            <w:pPr>
              <w:spacing w:before="75" w:line="185" w:lineRule="auto"/>
              <w:ind w:left="235"/>
              <w:rPr>
                <w:rFonts w:ascii="仿宋" w:hAnsi="仿宋" w:eastAsia="仿宋" w:cs="仿宋"/>
                <w:sz w:val="23"/>
                <w:szCs w:val="23"/>
              </w:rPr>
            </w:pPr>
            <w:r>
              <w:rPr>
                <w:rFonts w:ascii="仿宋" w:hAnsi="仿宋" w:eastAsia="仿宋" w:cs="仿宋"/>
                <w:spacing w:val="-2"/>
                <w:sz w:val="23"/>
                <w:szCs w:val="23"/>
              </w:rPr>
              <w:t>80</w:t>
            </w:r>
          </w:p>
        </w:tc>
        <w:tc>
          <w:tcPr>
            <w:tcW w:w="1440" w:type="dxa"/>
            <w:vMerge w:val="restart"/>
            <w:tcBorders>
              <w:bottom w:val="nil"/>
            </w:tcBorders>
            <w:vAlign w:val="top"/>
          </w:tcPr>
          <w:p w14:paraId="6BEEFAEC">
            <w:pPr>
              <w:spacing w:line="257" w:lineRule="auto"/>
              <w:rPr>
                <w:rFonts w:ascii="Arial"/>
                <w:sz w:val="21"/>
              </w:rPr>
            </w:pPr>
          </w:p>
          <w:p w14:paraId="255A0E9D">
            <w:pPr>
              <w:spacing w:line="257" w:lineRule="auto"/>
              <w:rPr>
                <w:rFonts w:ascii="Arial"/>
                <w:sz w:val="21"/>
              </w:rPr>
            </w:pPr>
          </w:p>
          <w:p w14:paraId="2866217A">
            <w:pPr>
              <w:spacing w:line="257" w:lineRule="auto"/>
              <w:rPr>
                <w:rFonts w:ascii="Arial"/>
                <w:sz w:val="21"/>
              </w:rPr>
            </w:pPr>
          </w:p>
          <w:p w14:paraId="2FD06D50">
            <w:pPr>
              <w:spacing w:line="257" w:lineRule="auto"/>
              <w:rPr>
                <w:rFonts w:ascii="Arial"/>
                <w:sz w:val="21"/>
              </w:rPr>
            </w:pPr>
          </w:p>
          <w:p w14:paraId="4611CF27">
            <w:pPr>
              <w:spacing w:line="257" w:lineRule="auto"/>
              <w:rPr>
                <w:rFonts w:ascii="Arial"/>
                <w:sz w:val="21"/>
              </w:rPr>
            </w:pPr>
          </w:p>
          <w:p w14:paraId="2BAC3121">
            <w:pPr>
              <w:spacing w:line="257" w:lineRule="auto"/>
              <w:rPr>
                <w:rFonts w:ascii="Arial"/>
                <w:sz w:val="21"/>
              </w:rPr>
            </w:pPr>
          </w:p>
          <w:p w14:paraId="6D6CE386">
            <w:pPr>
              <w:spacing w:line="257" w:lineRule="auto"/>
              <w:rPr>
                <w:rFonts w:ascii="Arial"/>
                <w:sz w:val="21"/>
              </w:rPr>
            </w:pPr>
          </w:p>
          <w:p w14:paraId="22F80D8D">
            <w:pPr>
              <w:spacing w:line="258" w:lineRule="auto"/>
              <w:rPr>
                <w:rFonts w:ascii="Arial"/>
                <w:sz w:val="21"/>
              </w:rPr>
            </w:pPr>
          </w:p>
          <w:p w14:paraId="3CB9919C">
            <w:pPr>
              <w:spacing w:line="258" w:lineRule="auto"/>
              <w:rPr>
                <w:rFonts w:ascii="Arial"/>
                <w:sz w:val="21"/>
              </w:rPr>
            </w:pPr>
          </w:p>
          <w:p w14:paraId="461B332E">
            <w:pPr>
              <w:pStyle w:val="6"/>
              <w:spacing w:before="99" w:line="186" w:lineRule="auto"/>
              <w:ind w:left="112" w:right="111" w:firstLine="2"/>
              <w:jc w:val="both"/>
            </w:pPr>
            <w:r>
              <w:rPr>
                <w:spacing w:val="-6"/>
                <w:w w:val="96"/>
              </w:rPr>
              <w:t>危险化学</w:t>
            </w:r>
            <w:r>
              <w:rPr>
                <w:spacing w:val="12"/>
              </w:rPr>
              <w:t>品、烟花爆竹生产企业和石油天然气企业未取得安全生产许可证擅自</w:t>
            </w:r>
            <w:r>
              <w:rPr>
                <w:spacing w:val="7"/>
              </w:rPr>
              <w:t>进行生产的</w:t>
            </w:r>
          </w:p>
        </w:tc>
        <w:tc>
          <w:tcPr>
            <w:tcW w:w="3202" w:type="dxa"/>
            <w:vMerge w:val="restart"/>
            <w:tcBorders>
              <w:bottom w:val="nil"/>
            </w:tcBorders>
            <w:vAlign w:val="top"/>
          </w:tcPr>
          <w:p w14:paraId="55DCD072">
            <w:pPr>
              <w:pStyle w:val="6"/>
              <w:spacing w:before="36" w:line="182" w:lineRule="auto"/>
              <w:ind w:left="120" w:right="111" w:firstLine="11"/>
            </w:pPr>
            <w:r>
              <w:rPr>
                <w:rFonts w:ascii="宋体" w:hAnsi="宋体" w:eastAsia="宋体" w:cs="宋体"/>
                <w:spacing w:val="14"/>
              </w:rPr>
              <w:t>1.</w:t>
            </w:r>
            <w:r>
              <w:rPr>
                <w:spacing w:val="14"/>
              </w:rPr>
              <w:t>【行政法规】《安全生产</w:t>
            </w:r>
            <w:r>
              <w:rPr>
                <w:spacing w:val="10"/>
              </w:rPr>
              <w:t>许可证条例》第二条：国家</w:t>
            </w:r>
            <w:r>
              <w:rPr>
                <w:spacing w:val="17"/>
              </w:rPr>
              <w:t>对矿山企业、建筑施工企业</w:t>
            </w:r>
            <w:r>
              <w:rPr>
                <w:spacing w:val="14"/>
              </w:rPr>
              <w:t>和危险化学品、烟花爆竹、</w:t>
            </w:r>
            <w:r>
              <w:rPr>
                <w:spacing w:val="17"/>
              </w:rPr>
              <w:t>民用爆炸物品生产企业（以</w:t>
            </w:r>
            <w:r>
              <w:rPr>
                <w:spacing w:val="12"/>
              </w:rPr>
              <w:t>下统称企业）实行安全生产</w:t>
            </w:r>
            <w:r>
              <w:rPr>
                <w:spacing w:val="-1"/>
              </w:rPr>
              <w:t>许可制度。</w:t>
            </w:r>
          </w:p>
          <w:p w14:paraId="766971F8">
            <w:pPr>
              <w:pStyle w:val="6"/>
              <w:spacing w:before="1" w:line="182" w:lineRule="auto"/>
              <w:ind w:left="139" w:right="111" w:hanging="19"/>
            </w:pPr>
            <w:r>
              <w:rPr>
                <w:spacing w:val="17"/>
              </w:rPr>
              <w:t>企业未取得安全生产许可证</w:t>
            </w:r>
            <w:r>
              <w:rPr>
                <w:spacing w:val="3"/>
              </w:rPr>
              <w:t>的，不得从事生产活动。</w:t>
            </w:r>
          </w:p>
          <w:p w14:paraId="5D7186D0">
            <w:pPr>
              <w:pStyle w:val="6"/>
              <w:spacing w:before="6" w:line="182" w:lineRule="auto"/>
              <w:ind w:left="98" w:right="110" w:firstLine="17"/>
            </w:pPr>
            <w:r>
              <w:rPr>
                <w:rFonts w:ascii="宋体" w:hAnsi="宋体" w:eastAsia="宋体" w:cs="宋体"/>
                <w:spacing w:val="15"/>
              </w:rPr>
              <w:t>2.</w:t>
            </w:r>
            <w:r>
              <w:rPr>
                <w:spacing w:val="15"/>
              </w:rPr>
              <w:t>【部门规章】《危险化学</w:t>
            </w:r>
            <w:r>
              <w:rPr>
                <w:spacing w:val="18"/>
              </w:rPr>
              <w:t>品生产企业安全生产许可证</w:t>
            </w:r>
            <w:r>
              <w:rPr>
                <w:spacing w:val="15"/>
              </w:rPr>
              <w:t>实施办法》第三条：企业应</w:t>
            </w:r>
            <w:r>
              <w:rPr>
                <w:spacing w:val="18"/>
              </w:rPr>
              <w:t>当依照本办法的规定取得危</w:t>
            </w:r>
            <w:r>
              <w:rPr>
                <w:spacing w:val="41"/>
              </w:rPr>
              <w:t>险化学品安全生产许可证（以下简称安全生产许可</w:t>
            </w:r>
            <w:r>
              <w:rPr>
                <w:spacing w:val="15"/>
              </w:rPr>
              <w:t>证）。未取得安全生产许可</w:t>
            </w:r>
            <w:r>
              <w:rPr>
                <w:spacing w:val="14"/>
              </w:rPr>
              <w:t>证的企业，不得从事危险化</w:t>
            </w:r>
            <w:r>
              <w:rPr>
                <w:spacing w:val="6"/>
              </w:rPr>
              <w:t>学品的生产活动。</w:t>
            </w:r>
          </w:p>
          <w:p w14:paraId="1243D9F7">
            <w:pPr>
              <w:pStyle w:val="6"/>
              <w:spacing w:before="6" w:line="178" w:lineRule="auto"/>
              <w:ind w:left="116" w:right="111" w:firstLine="1"/>
              <w:jc w:val="both"/>
            </w:pPr>
            <w:r>
              <w:rPr>
                <w:rFonts w:ascii="宋体" w:hAnsi="宋体" w:eastAsia="宋体" w:cs="宋体"/>
                <w:spacing w:val="15"/>
              </w:rPr>
              <w:t>3.</w:t>
            </w:r>
            <w:r>
              <w:rPr>
                <w:spacing w:val="15"/>
              </w:rPr>
              <w:t>【部门规章】《烟花爆竹</w:t>
            </w:r>
            <w:r>
              <w:rPr>
                <w:spacing w:val="17"/>
              </w:rPr>
              <w:t>生产企业安全生产许可证实</w:t>
            </w:r>
            <w:r>
              <w:rPr>
                <w:spacing w:val="13"/>
              </w:rPr>
              <w:t>施办法》第三条：企业应当</w:t>
            </w:r>
            <w:r>
              <w:rPr>
                <w:spacing w:val="17"/>
              </w:rPr>
              <w:t>依照本办法的规定取得烟花爆竹安全生产许可证（以下</w:t>
            </w:r>
            <w:r>
              <w:rPr>
                <w:spacing w:val="5"/>
              </w:rPr>
              <w:t>简称安全生产许可证）。</w:t>
            </w:r>
          </w:p>
        </w:tc>
        <w:tc>
          <w:tcPr>
            <w:tcW w:w="2859" w:type="dxa"/>
            <w:vMerge w:val="restart"/>
            <w:tcBorders>
              <w:bottom w:val="nil"/>
            </w:tcBorders>
            <w:vAlign w:val="top"/>
          </w:tcPr>
          <w:p w14:paraId="65A87DE4">
            <w:pPr>
              <w:pStyle w:val="6"/>
              <w:spacing w:before="47" w:line="182" w:lineRule="auto"/>
              <w:ind w:left="98" w:right="40" w:firstLine="32"/>
            </w:pPr>
            <w:r>
              <w:rPr>
                <w:rFonts w:ascii="宋体" w:hAnsi="宋体" w:eastAsia="宋体" w:cs="宋体"/>
                <w:spacing w:val="6"/>
              </w:rPr>
              <w:t>1.</w:t>
            </w:r>
            <w:r>
              <w:rPr>
                <w:spacing w:val="6"/>
              </w:rPr>
              <w:t>【行政法规】《安全生</w:t>
            </w:r>
            <w:r>
              <w:rPr>
                <w:spacing w:val="-4"/>
              </w:rPr>
              <w:t>产许可证条例》第十九条：</w:t>
            </w:r>
            <w:r>
              <w:rPr>
                <w:spacing w:val="10"/>
              </w:rPr>
              <w:t>违反本条例规定，未取得安全生产许可证擅自进行</w:t>
            </w:r>
            <w:r>
              <w:rPr>
                <w:spacing w:val="2"/>
              </w:rPr>
              <w:t>生产的，责令停止生产，</w:t>
            </w:r>
            <w:r>
              <w:rPr>
                <w:spacing w:val="13"/>
              </w:rPr>
              <w:t>没收违法所得，并处</w:t>
            </w:r>
            <w:r>
              <w:rPr>
                <w:rFonts w:ascii="宋体" w:hAnsi="宋体" w:eastAsia="宋体" w:cs="宋体"/>
                <w:spacing w:val="13"/>
              </w:rPr>
              <w:t>10</w:t>
            </w:r>
            <w:r>
              <w:rPr>
                <w:spacing w:val="14"/>
              </w:rPr>
              <w:t>万元以上</w:t>
            </w:r>
            <w:r>
              <w:rPr>
                <w:rFonts w:ascii="宋体" w:hAnsi="宋体" w:eastAsia="宋体" w:cs="宋体"/>
                <w:spacing w:val="14"/>
              </w:rPr>
              <w:t>50</w:t>
            </w:r>
            <w:r>
              <w:rPr>
                <w:spacing w:val="14"/>
              </w:rPr>
              <w:t>万元以下的</w:t>
            </w:r>
            <w:r>
              <w:rPr>
                <w:spacing w:val="10"/>
              </w:rPr>
              <w:t>罚款；造成重大事故或者其他严重后果，构成犯罪</w:t>
            </w:r>
            <w:r>
              <w:rPr>
                <w:spacing w:val="6"/>
              </w:rPr>
              <w:t>的，依法追究刑事责任。</w:t>
            </w:r>
            <w:r>
              <w:rPr>
                <w:rFonts w:ascii="宋体" w:hAnsi="宋体" w:eastAsia="宋体" w:cs="宋体"/>
                <w:spacing w:val="9"/>
              </w:rPr>
              <w:t>2.</w:t>
            </w:r>
            <w:r>
              <w:rPr>
                <w:spacing w:val="9"/>
              </w:rPr>
              <w:t>【部门规章】《危险化</w:t>
            </w:r>
            <w:r>
              <w:rPr>
                <w:spacing w:val="10"/>
              </w:rPr>
              <w:t>学品生产企业安全生产许可证实施办法》第四十五条第一项：企业有下列情形之一的，责令停止生产危险化学品，没收违法所</w:t>
            </w:r>
            <w:r>
              <w:rPr>
                <w:spacing w:val="3"/>
              </w:rPr>
              <w:t>得，并处</w:t>
            </w:r>
            <w:r>
              <w:rPr>
                <w:rFonts w:ascii="宋体" w:hAnsi="宋体" w:eastAsia="宋体" w:cs="宋体"/>
                <w:spacing w:val="3"/>
              </w:rPr>
              <w:t>10</w:t>
            </w:r>
            <w:r>
              <w:rPr>
                <w:spacing w:val="3"/>
              </w:rPr>
              <w:t>万元以上</w:t>
            </w:r>
            <w:r>
              <w:rPr>
                <w:rFonts w:ascii="宋体" w:hAnsi="宋体" w:eastAsia="宋体" w:cs="宋体"/>
                <w:spacing w:val="3"/>
              </w:rPr>
              <w:t>50</w:t>
            </w:r>
            <w:r>
              <w:rPr>
                <w:spacing w:val="10"/>
              </w:rPr>
              <w:t>万元以下的罚款；构成犯</w:t>
            </w:r>
            <w:r>
              <w:rPr>
                <w:spacing w:val="-4"/>
              </w:rPr>
              <w:t>罪的，依法追究刑事责任：</w:t>
            </w:r>
            <w:r>
              <w:t>（一）未取得安全生产许</w:t>
            </w:r>
            <w:r>
              <w:rPr>
                <w:spacing w:val="10"/>
              </w:rPr>
              <w:t>可证，擅自进行危险化学</w:t>
            </w:r>
            <w:r>
              <w:rPr>
                <w:spacing w:val="1"/>
              </w:rPr>
              <w:t>品生产的；</w:t>
            </w:r>
          </w:p>
          <w:p w14:paraId="6A5E1304">
            <w:pPr>
              <w:pStyle w:val="6"/>
              <w:spacing w:line="171" w:lineRule="auto"/>
              <w:ind w:left="118" w:right="110"/>
            </w:pPr>
            <w:r>
              <w:rPr>
                <w:rFonts w:ascii="宋体" w:hAnsi="宋体" w:eastAsia="宋体" w:cs="宋体"/>
                <w:spacing w:val="7"/>
              </w:rPr>
              <w:t>3.</w:t>
            </w:r>
            <w:r>
              <w:rPr>
                <w:spacing w:val="7"/>
              </w:rPr>
              <w:t>【部门规章】《烟花爆</w:t>
            </w:r>
            <w:r>
              <w:rPr>
                <w:spacing w:val="8"/>
              </w:rPr>
              <w:t>竹生产企业安全生产许可</w:t>
            </w:r>
          </w:p>
        </w:tc>
        <w:tc>
          <w:tcPr>
            <w:tcW w:w="803" w:type="dxa"/>
            <w:vAlign w:val="top"/>
          </w:tcPr>
          <w:p w14:paraId="7D6BAF8E">
            <w:pPr>
              <w:rPr>
                <w:rFonts w:ascii="Arial"/>
                <w:sz w:val="21"/>
              </w:rPr>
            </w:pPr>
          </w:p>
          <w:p w14:paraId="111F943D">
            <w:pPr>
              <w:rPr>
                <w:rFonts w:ascii="Arial"/>
                <w:sz w:val="21"/>
              </w:rPr>
            </w:pPr>
          </w:p>
          <w:p w14:paraId="4D316CBA">
            <w:pPr>
              <w:rPr>
                <w:rFonts w:ascii="Arial"/>
                <w:sz w:val="21"/>
              </w:rPr>
            </w:pPr>
          </w:p>
          <w:p w14:paraId="12890001">
            <w:pPr>
              <w:spacing w:line="241" w:lineRule="auto"/>
              <w:rPr>
                <w:rFonts w:ascii="Arial"/>
                <w:sz w:val="21"/>
              </w:rPr>
            </w:pPr>
          </w:p>
          <w:p w14:paraId="0B3664CF">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ACE9C76">
            <w:pPr>
              <w:spacing w:line="299" w:lineRule="auto"/>
              <w:rPr>
                <w:rFonts w:ascii="Arial"/>
                <w:sz w:val="21"/>
              </w:rPr>
            </w:pPr>
          </w:p>
          <w:p w14:paraId="0879FA3B">
            <w:pPr>
              <w:spacing w:line="300" w:lineRule="auto"/>
              <w:rPr>
                <w:rFonts w:ascii="Arial"/>
                <w:sz w:val="21"/>
              </w:rPr>
            </w:pPr>
          </w:p>
          <w:p w14:paraId="07B28712">
            <w:pPr>
              <w:pStyle w:val="6"/>
              <w:spacing w:before="99" w:line="192" w:lineRule="auto"/>
              <w:ind w:left="128" w:right="106" w:hanging="1"/>
              <w:jc w:val="both"/>
            </w:pPr>
            <w:r>
              <w:rPr>
                <w:spacing w:val="25"/>
              </w:rPr>
              <w:t>没有违法所得或违</w:t>
            </w:r>
            <w:r>
              <w:rPr>
                <w:spacing w:val="1"/>
              </w:rPr>
              <w:t>法所得</w:t>
            </w:r>
            <w:r>
              <w:rPr>
                <w:rFonts w:ascii="宋体" w:hAnsi="宋体" w:eastAsia="宋体" w:cs="宋体"/>
                <w:spacing w:val="1"/>
              </w:rPr>
              <w:t>10</w:t>
            </w:r>
            <w:r>
              <w:rPr>
                <w:spacing w:val="1"/>
              </w:rPr>
              <w:t>万元以下</w:t>
            </w:r>
            <w:r>
              <w:t>的</w:t>
            </w:r>
          </w:p>
        </w:tc>
        <w:tc>
          <w:tcPr>
            <w:tcW w:w="2894" w:type="dxa"/>
            <w:vAlign w:val="top"/>
          </w:tcPr>
          <w:p w14:paraId="3469124A">
            <w:pPr>
              <w:spacing w:line="299" w:lineRule="auto"/>
              <w:rPr>
                <w:rFonts w:ascii="Arial"/>
                <w:sz w:val="21"/>
              </w:rPr>
            </w:pPr>
          </w:p>
          <w:p w14:paraId="185F6CA8">
            <w:pPr>
              <w:spacing w:line="300" w:lineRule="auto"/>
              <w:rPr>
                <w:rFonts w:ascii="Arial"/>
                <w:sz w:val="21"/>
              </w:rPr>
            </w:pPr>
          </w:p>
          <w:p w14:paraId="14E64FEA">
            <w:pPr>
              <w:pStyle w:val="6"/>
              <w:spacing w:before="99" w:line="191" w:lineRule="auto"/>
              <w:ind w:left="120" w:right="106" w:firstLine="7"/>
              <w:jc w:val="both"/>
            </w:pPr>
            <w:r>
              <w:rPr>
                <w:spacing w:val="7"/>
              </w:rPr>
              <w:t>责令停止生产，没收违法</w:t>
            </w:r>
            <w:r>
              <w:rPr>
                <w:spacing w:val="5"/>
              </w:rPr>
              <w:t>所得，并处</w:t>
            </w:r>
            <w:r>
              <w:rPr>
                <w:rFonts w:ascii="宋体" w:hAnsi="宋体" w:eastAsia="宋体" w:cs="宋体"/>
                <w:spacing w:val="5"/>
              </w:rPr>
              <w:t>10</w:t>
            </w:r>
            <w:r>
              <w:rPr>
                <w:spacing w:val="5"/>
              </w:rPr>
              <w:t>万元以上</w:t>
            </w:r>
            <w:r>
              <w:rPr>
                <w:rFonts w:ascii="宋体" w:hAnsi="宋体" w:eastAsia="宋体" w:cs="宋体"/>
                <w:spacing w:val="3"/>
              </w:rPr>
              <w:t>30</w:t>
            </w:r>
            <w:r>
              <w:rPr>
                <w:spacing w:val="3"/>
              </w:rPr>
              <w:t>万元以下的罚款</w:t>
            </w:r>
          </w:p>
        </w:tc>
        <w:tc>
          <w:tcPr>
            <w:tcW w:w="811" w:type="dxa"/>
            <w:vMerge w:val="restart"/>
            <w:tcBorders>
              <w:bottom w:val="nil"/>
            </w:tcBorders>
            <w:vAlign w:val="top"/>
          </w:tcPr>
          <w:p w14:paraId="036EA7C7">
            <w:pPr>
              <w:spacing w:line="244" w:lineRule="auto"/>
              <w:rPr>
                <w:rFonts w:ascii="Arial"/>
                <w:sz w:val="21"/>
              </w:rPr>
            </w:pPr>
          </w:p>
          <w:p w14:paraId="4D85AA29">
            <w:pPr>
              <w:spacing w:line="244" w:lineRule="auto"/>
              <w:rPr>
                <w:rFonts w:ascii="Arial"/>
                <w:sz w:val="21"/>
              </w:rPr>
            </w:pPr>
          </w:p>
          <w:p w14:paraId="2E70A58B">
            <w:pPr>
              <w:spacing w:line="244" w:lineRule="auto"/>
              <w:rPr>
                <w:rFonts w:ascii="Arial"/>
                <w:sz w:val="21"/>
              </w:rPr>
            </w:pPr>
          </w:p>
          <w:p w14:paraId="3DE3BC93">
            <w:pPr>
              <w:spacing w:line="245" w:lineRule="auto"/>
              <w:rPr>
                <w:rFonts w:ascii="Arial"/>
                <w:sz w:val="21"/>
              </w:rPr>
            </w:pPr>
          </w:p>
          <w:p w14:paraId="128D305F">
            <w:pPr>
              <w:spacing w:line="245" w:lineRule="auto"/>
              <w:rPr>
                <w:rFonts w:ascii="Arial"/>
                <w:sz w:val="21"/>
              </w:rPr>
            </w:pPr>
          </w:p>
          <w:p w14:paraId="7388CA16">
            <w:pPr>
              <w:spacing w:line="245" w:lineRule="auto"/>
              <w:rPr>
                <w:rFonts w:ascii="Arial"/>
                <w:sz w:val="21"/>
              </w:rPr>
            </w:pPr>
          </w:p>
          <w:p w14:paraId="3C4E283E">
            <w:pPr>
              <w:spacing w:line="245" w:lineRule="auto"/>
              <w:rPr>
                <w:rFonts w:ascii="Arial"/>
                <w:sz w:val="21"/>
              </w:rPr>
            </w:pPr>
          </w:p>
          <w:p w14:paraId="447F6D35">
            <w:pPr>
              <w:spacing w:line="245" w:lineRule="auto"/>
              <w:rPr>
                <w:rFonts w:ascii="Arial"/>
                <w:sz w:val="21"/>
              </w:rPr>
            </w:pPr>
          </w:p>
          <w:p w14:paraId="0E94EEF7">
            <w:pPr>
              <w:spacing w:line="245" w:lineRule="auto"/>
              <w:rPr>
                <w:rFonts w:ascii="Arial"/>
                <w:sz w:val="21"/>
              </w:rPr>
            </w:pPr>
          </w:p>
          <w:p w14:paraId="3614D776">
            <w:pPr>
              <w:spacing w:line="245" w:lineRule="auto"/>
              <w:rPr>
                <w:rFonts w:ascii="Arial"/>
                <w:sz w:val="21"/>
              </w:rPr>
            </w:pPr>
          </w:p>
          <w:p w14:paraId="393170A9">
            <w:pPr>
              <w:spacing w:line="245" w:lineRule="auto"/>
              <w:rPr>
                <w:rFonts w:ascii="Arial"/>
                <w:sz w:val="21"/>
              </w:rPr>
            </w:pPr>
          </w:p>
          <w:p w14:paraId="056D6C52">
            <w:pPr>
              <w:spacing w:line="245" w:lineRule="auto"/>
              <w:rPr>
                <w:rFonts w:ascii="Arial"/>
                <w:sz w:val="21"/>
              </w:rPr>
            </w:pPr>
          </w:p>
          <w:p w14:paraId="2FD09A01">
            <w:pPr>
              <w:spacing w:line="245" w:lineRule="auto"/>
              <w:rPr>
                <w:rFonts w:ascii="Arial"/>
                <w:sz w:val="21"/>
              </w:rPr>
            </w:pPr>
          </w:p>
          <w:p w14:paraId="4CB0F8BB">
            <w:pPr>
              <w:spacing w:line="245" w:lineRule="auto"/>
              <w:rPr>
                <w:rFonts w:ascii="Arial"/>
                <w:sz w:val="21"/>
              </w:rPr>
            </w:pPr>
          </w:p>
          <w:p w14:paraId="6DFC4885">
            <w:pPr>
              <w:spacing w:before="75" w:line="188" w:lineRule="auto"/>
              <w:ind w:left="295"/>
              <w:rPr>
                <w:rFonts w:ascii="宋体" w:hAnsi="宋体" w:eastAsia="宋体" w:cs="宋体"/>
                <w:sz w:val="23"/>
                <w:szCs w:val="23"/>
              </w:rPr>
            </w:pPr>
            <w:r>
              <w:rPr>
                <w:rFonts w:ascii="宋体" w:hAnsi="宋体" w:eastAsia="宋体" w:cs="宋体"/>
                <w:spacing w:val="-4"/>
                <w:sz w:val="23"/>
                <w:szCs w:val="23"/>
              </w:rPr>
              <w:t>54</w:t>
            </w:r>
          </w:p>
        </w:tc>
      </w:tr>
      <w:tr w14:paraId="4B192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7" w:hRule="atLeast"/>
        </w:trPr>
        <w:tc>
          <w:tcPr>
            <w:tcW w:w="818" w:type="dxa"/>
            <w:vMerge w:val="continue"/>
            <w:tcBorders>
              <w:top w:val="nil"/>
              <w:bottom w:val="nil"/>
            </w:tcBorders>
            <w:vAlign w:val="top"/>
          </w:tcPr>
          <w:p w14:paraId="28196EE4">
            <w:pPr>
              <w:rPr>
                <w:rFonts w:ascii="Arial"/>
                <w:sz w:val="21"/>
              </w:rPr>
            </w:pPr>
          </w:p>
        </w:tc>
        <w:tc>
          <w:tcPr>
            <w:tcW w:w="1440" w:type="dxa"/>
            <w:vMerge w:val="continue"/>
            <w:tcBorders>
              <w:top w:val="nil"/>
              <w:bottom w:val="nil"/>
            </w:tcBorders>
            <w:vAlign w:val="top"/>
          </w:tcPr>
          <w:p w14:paraId="4E83FC50">
            <w:pPr>
              <w:rPr>
                <w:rFonts w:ascii="Arial"/>
                <w:sz w:val="21"/>
              </w:rPr>
            </w:pPr>
          </w:p>
        </w:tc>
        <w:tc>
          <w:tcPr>
            <w:tcW w:w="3202" w:type="dxa"/>
            <w:vMerge w:val="continue"/>
            <w:tcBorders>
              <w:top w:val="nil"/>
              <w:bottom w:val="nil"/>
            </w:tcBorders>
            <w:vAlign w:val="top"/>
          </w:tcPr>
          <w:p w14:paraId="5038BA05">
            <w:pPr>
              <w:rPr>
                <w:rFonts w:ascii="Arial"/>
                <w:sz w:val="21"/>
              </w:rPr>
            </w:pPr>
          </w:p>
        </w:tc>
        <w:tc>
          <w:tcPr>
            <w:tcW w:w="2859" w:type="dxa"/>
            <w:vMerge w:val="continue"/>
            <w:tcBorders>
              <w:top w:val="nil"/>
              <w:bottom w:val="nil"/>
            </w:tcBorders>
            <w:vAlign w:val="top"/>
          </w:tcPr>
          <w:p w14:paraId="3300809A">
            <w:pPr>
              <w:rPr>
                <w:rFonts w:ascii="Arial"/>
                <w:sz w:val="21"/>
              </w:rPr>
            </w:pPr>
          </w:p>
        </w:tc>
        <w:tc>
          <w:tcPr>
            <w:tcW w:w="803" w:type="dxa"/>
            <w:vAlign w:val="top"/>
          </w:tcPr>
          <w:p w14:paraId="5CFF6273">
            <w:pPr>
              <w:spacing w:line="258" w:lineRule="auto"/>
              <w:rPr>
                <w:rFonts w:ascii="Arial"/>
                <w:sz w:val="21"/>
              </w:rPr>
            </w:pPr>
          </w:p>
          <w:p w14:paraId="1B884C98">
            <w:pPr>
              <w:spacing w:line="258" w:lineRule="auto"/>
              <w:rPr>
                <w:rFonts w:ascii="Arial"/>
                <w:sz w:val="21"/>
              </w:rPr>
            </w:pPr>
          </w:p>
          <w:p w14:paraId="08C20E4B">
            <w:pPr>
              <w:spacing w:line="258" w:lineRule="auto"/>
              <w:rPr>
                <w:rFonts w:ascii="Arial"/>
                <w:sz w:val="21"/>
              </w:rPr>
            </w:pPr>
          </w:p>
          <w:p w14:paraId="1520B9CB">
            <w:pPr>
              <w:spacing w:line="258" w:lineRule="auto"/>
              <w:rPr>
                <w:rFonts w:ascii="Arial"/>
                <w:sz w:val="21"/>
              </w:rPr>
            </w:pPr>
          </w:p>
          <w:p w14:paraId="61F8AE2D">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122B6E8">
            <w:pPr>
              <w:spacing w:line="271" w:lineRule="auto"/>
              <w:rPr>
                <w:rFonts w:ascii="Arial"/>
                <w:sz w:val="21"/>
              </w:rPr>
            </w:pPr>
          </w:p>
          <w:p w14:paraId="34491833">
            <w:pPr>
              <w:spacing w:line="271" w:lineRule="auto"/>
              <w:rPr>
                <w:rFonts w:ascii="Arial"/>
                <w:sz w:val="21"/>
              </w:rPr>
            </w:pPr>
          </w:p>
          <w:p w14:paraId="1155FBD8">
            <w:pPr>
              <w:spacing w:line="271" w:lineRule="auto"/>
              <w:rPr>
                <w:rFonts w:ascii="Arial"/>
                <w:sz w:val="21"/>
              </w:rPr>
            </w:pPr>
          </w:p>
          <w:p w14:paraId="0F2882C1">
            <w:pPr>
              <w:pStyle w:val="6"/>
              <w:spacing w:before="98" w:line="196" w:lineRule="auto"/>
              <w:ind w:left="122" w:right="106" w:hanging="5"/>
            </w:pPr>
            <w:r>
              <w:rPr>
                <w:spacing w:val="3"/>
              </w:rPr>
              <w:t>违法所得</w:t>
            </w:r>
            <w:r>
              <w:rPr>
                <w:rFonts w:ascii="宋体" w:hAnsi="宋体" w:eastAsia="宋体" w:cs="宋体"/>
                <w:spacing w:val="3"/>
              </w:rPr>
              <w:t>10</w:t>
            </w:r>
            <w:r>
              <w:rPr>
                <w:spacing w:val="3"/>
              </w:rPr>
              <w:t>万元以</w:t>
            </w:r>
            <w:r>
              <w:rPr>
                <w:spacing w:val="1"/>
              </w:rPr>
              <w:t>上</w:t>
            </w:r>
            <w:r>
              <w:rPr>
                <w:rFonts w:ascii="宋体" w:hAnsi="宋体" w:eastAsia="宋体" w:cs="宋体"/>
                <w:spacing w:val="1"/>
              </w:rPr>
              <w:t>30</w:t>
            </w:r>
            <w:r>
              <w:rPr>
                <w:spacing w:val="1"/>
              </w:rPr>
              <w:t>万元以下的</w:t>
            </w:r>
          </w:p>
        </w:tc>
        <w:tc>
          <w:tcPr>
            <w:tcW w:w="2894" w:type="dxa"/>
            <w:vAlign w:val="top"/>
          </w:tcPr>
          <w:p w14:paraId="461F3D45">
            <w:pPr>
              <w:spacing w:line="332" w:lineRule="auto"/>
              <w:rPr>
                <w:rFonts w:ascii="Arial"/>
                <w:sz w:val="21"/>
              </w:rPr>
            </w:pPr>
          </w:p>
          <w:p w14:paraId="14B1C33D">
            <w:pPr>
              <w:spacing w:line="333" w:lineRule="auto"/>
              <w:rPr>
                <w:rFonts w:ascii="Arial"/>
                <w:sz w:val="21"/>
              </w:rPr>
            </w:pPr>
          </w:p>
          <w:p w14:paraId="620EDBA3">
            <w:pPr>
              <w:pStyle w:val="6"/>
              <w:spacing w:before="98" w:line="191" w:lineRule="auto"/>
              <w:ind w:left="114" w:right="106" w:firstLine="13"/>
              <w:jc w:val="both"/>
            </w:pPr>
            <w:r>
              <w:rPr>
                <w:spacing w:val="7"/>
              </w:rPr>
              <w:t>责令停止生产，没收违法</w:t>
            </w:r>
            <w:r>
              <w:rPr>
                <w:spacing w:val="6"/>
              </w:rPr>
              <w:t>所得，并处</w:t>
            </w:r>
            <w:r>
              <w:rPr>
                <w:rFonts w:ascii="宋体" w:hAnsi="宋体" w:eastAsia="宋体" w:cs="宋体"/>
                <w:spacing w:val="6"/>
              </w:rPr>
              <w:t>30</w:t>
            </w:r>
            <w:r>
              <w:rPr>
                <w:spacing w:val="6"/>
              </w:rPr>
              <w:t>万元以上</w:t>
            </w:r>
            <w:r>
              <w:rPr>
                <w:rFonts w:ascii="宋体" w:hAnsi="宋体" w:eastAsia="宋体" w:cs="宋体"/>
                <w:spacing w:val="4"/>
              </w:rPr>
              <w:t>40</w:t>
            </w:r>
            <w:r>
              <w:rPr>
                <w:spacing w:val="4"/>
              </w:rPr>
              <w:t>万元以下的罚款</w:t>
            </w:r>
          </w:p>
        </w:tc>
        <w:tc>
          <w:tcPr>
            <w:tcW w:w="811" w:type="dxa"/>
            <w:vMerge w:val="continue"/>
            <w:tcBorders>
              <w:top w:val="nil"/>
              <w:bottom w:val="nil"/>
            </w:tcBorders>
            <w:vAlign w:val="top"/>
          </w:tcPr>
          <w:p w14:paraId="677D0379">
            <w:pPr>
              <w:rPr>
                <w:rFonts w:ascii="Arial"/>
                <w:sz w:val="21"/>
              </w:rPr>
            </w:pPr>
          </w:p>
        </w:tc>
      </w:tr>
      <w:tr w14:paraId="0C07A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2" w:hRule="atLeast"/>
        </w:trPr>
        <w:tc>
          <w:tcPr>
            <w:tcW w:w="818" w:type="dxa"/>
            <w:vMerge w:val="continue"/>
            <w:tcBorders>
              <w:top w:val="nil"/>
            </w:tcBorders>
            <w:vAlign w:val="top"/>
          </w:tcPr>
          <w:p w14:paraId="115A25A4">
            <w:pPr>
              <w:rPr>
                <w:rFonts w:ascii="Arial"/>
                <w:sz w:val="21"/>
              </w:rPr>
            </w:pPr>
          </w:p>
        </w:tc>
        <w:tc>
          <w:tcPr>
            <w:tcW w:w="1440" w:type="dxa"/>
            <w:vMerge w:val="continue"/>
            <w:tcBorders>
              <w:top w:val="nil"/>
            </w:tcBorders>
            <w:vAlign w:val="top"/>
          </w:tcPr>
          <w:p w14:paraId="697A6AAA">
            <w:pPr>
              <w:rPr>
                <w:rFonts w:ascii="Arial"/>
                <w:sz w:val="21"/>
              </w:rPr>
            </w:pPr>
          </w:p>
        </w:tc>
        <w:tc>
          <w:tcPr>
            <w:tcW w:w="3202" w:type="dxa"/>
            <w:vMerge w:val="continue"/>
            <w:tcBorders>
              <w:top w:val="nil"/>
            </w:tcBorders>
            <w:vAlign w:val="top"/>
          </w:tcPr>
          <w:p w14:paraId="432AF3BC">
            <w:pPr>
              <w:rPr>
                <w:rFonts w:ascii="Arial"/>
                <w:sz w:val="21"/>
              </w:rPr>
            </w:pPr>
          </w:p>
        </w:tc>
        <w:tc>
          <w:tcPr>
            <w:tcW w:w="2859" w:type="dxa"/>
            <w:vMerge w:val="continue"/>
            <w:tcBorders>
              <w:top w:val="nil"/>
            </w:tcBorders>
            <w:vAlign w:val="top"/>
          </w:tcPr>
          <w:p w14:paraId="52C51A20">
            <w:pPr>
              <w:rPr>
                <w:rFonts w:ascii="Arial"/>
                <w:sz w:val="21"/>
              </w:rPr>
            </w:pPr>
          </w:p>
        </w:tc>
        <w:tc>
          <w:tcPr>
            <w:tcW w:w="803" w:type="dxa"/>
            <w:vAlign w:val="top"/>
          </w:tcPr>
          <w:p w14:paraId="7AC62E80">
            <w:pPr>
              <w:spacing w:line="282" w:lineRule="auto"/>
              <w:rPr>
                <w:rFonts w:ascii="Arial"/>
                <w:sz w:val="21"/>
              </w:rPr>
            </w:pPr>
          </w:p>
          <w:p w14:paraId="67EA8899">
            <w:pPr>
              <w:spacing w:line="282" w:lineRule="auto"/>
              <w:rPr>
                <w:rFonts w:ascii="Arial"/>
                <w:sz w:val="21"/>
              </w:rPr>
            </w:pPr>
          </w:p>
          <w:p w14:paraId="0B74116A">
            <w:pPr>
              <w:spacing w:line="282" w:lineRule="auto"/>
              <w:rPr>
                <w:rFonts w:ascii="Arial"/>
                <w:sz w:val="21"/>
              </w:rPr>
            </w:pPr>
          </w:p>
          <w:p w14:paraId="76147A59">
            <w:pPr>
              <w:spacing w:line="282" w:lineRule="auto"/>
              <w:rPr>
                <w:rFonts w:ascii="Arial"/>
                <w:sz w:val="21"/>
              </w:rPr>
            </w:pPr>
          </w:p>
          <w:p w14:paraId="0DED797B">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F00F003">
            <w:pPr>
              <w:spacing w:line="303" w:lineRule="auto"/>
              <w:rPr>
                <w:rFonts w:ascii="Arial"/>
                <w:sz w:val="21"/>
              </w:rPr>
            </w:pPr>
          </w:p>
          <w:p w14:paraId="2D5806DF">
            <w:pPr>
              <w:spacing w:line="304" w:lineRule="auto"/>
              <w:rPr>
                <w:rFonts w:ascii="Arial"/>
                <w:sz w:val="21"/>
              </w:rPr>
            </w:pPr>
          </w:p>
          <w:p w14:paraId="5C840A87">
            <w:pPr>
              <w:spacing w:line="304" w:lineRule="auto"/>
              <w:rPr>
                <w:rFonts w:ascii="Arial"/>
                <w:sz w:val="21"/>
              </w:rPr>
            </w:pPr>
          </w:p>
          <w:p w14:paraId="25DDCEE5">
            <w:pPr>
              <w:pStyle w:val="6"/>
              <w:spacing w:before="98" w:line="197" w:lineRule="auto"/>
              <w:ind w:left="122" w:right="106" w:hanging="5"/>
            </w:pPr>
            <w:r>
              <w:rPr>
                <w:spacing w:val="5"/>
              </w:rPr>
              <w:t>违法所得</w:t>
            </w:r>
            <w:r>
              <w:rPr>
                <w:rFonts w:ascii="宋体" w:hAnsi="宋体" w:eastAsia="宋体" w:cs="宋体"/>
                <w:spacing w:val="5"/>
              </w:rPr>
              <w:t>30</w:t>
            </w:r>
            <w:r>
              <w:rPr>
                <w:spacing w:val="5"/>
              </w:rPr>
              <w:t>万元以</w:t>
            </w:r>
            <w:r>
              <w:t>上的</w:t>
            </w:r>
          </w:p>
        </w:tc>
        <w:tc>
          <w:tcPr>
            <w:tcW w:w="2894" w:type="dxa"/>
            <w:vAlign w:val="top"/>
          </w:tcPr>
          <w:p w14:paraId="6ABAD529">
            <w:pPr>
              <w:spacing w:line="253" w:lineRule="auto"/>
              <w:rPr>
                <w:rFonts w:ascii="Arial"/>
                <w:sz w:val="21"/>
              </w:rPr>
            </w:pPr>
          </w:p>
          <w:p w14:paraId="1871488B">
            <w:pPr>
              <w:spacing w:line="254" w:lineRule="auto"/>
              <w:rPr>
                <w:rFonts w:ascii="Arial"/>
                <w:sz w:val="21"/>
              </w:rPr>
            </w:pPr>
          </w:p>
          <w:p w14:paraId="6DF9FBD9">
            <w:pPr>
              <w:spacing w:line="254" w:lineRule="auto"/>
              <w:rPr>
                <w:rFonts w:ascii="Arial"/>
                <w:sz w:val="21"/>
              </w:rPr>
            </w:pPr>
          </w:p>
          <w:p w14:paraId="31650F67">
            <w:pPr>
              <w:pStyle w:val="6"/>
              <w:spacing w:before="99" w:line="191" w:lineRule="auto"/>
              <w:ind w:left="120" w:right="106" w:firstLine="7"/>
              <w:jc w:val="both"/>
            </w:pPr>
            <w:r>
              <w:rPr>
                <w:spacing w:val="7"/>
              </w:rPr>
              <w:t>责令停止生产，没收违法</w:t>
            </w:r>
            <w:r>
              <w:rPr>
                <w:spacing w:val="6"/>
              </w:rPr>
              <w:t>所得，并处</w:t>
            </w:r>
            <w:r>
              <w:rPr>
                <w:rFonts w:ascii="宋体" w:hAnsi="宋体" w:eastAsia="宋体" w:cs="宋体"/>
                <w:spacing w:val="6"/>
              </w:rPr>
              <w:t>40</w:t>
            </w:r>
            <w:r>
              <w:rPr>
                <w:spacing w:val="6"/>
              </w:rPr>
              <w:t>万元以上</w:t>
            </w:r>
            <w:r>
              <w:rPr>
                <w:rFonts w:ascii="宋体" w:hAnsi="宋体" w:eastAsia="宋体" w:cs="宋体"/>
                <w:spacing w:val="3"/>
              </w:rPr>
              <w:t>50</w:t>
            </w:r>
            <w:r>
              <w:rPr>
                <w:spacing w:val="3"/>
              </w:rPr>
              <w:t>万元以下的罚款</w:t>
            </w:r>
          </w:p>
        </w:tc>
        <w:tc>
          <w:tcPr>
            <w:tcW w:w="811" w:type="dxa"/>
            <w:vMerge w:val="continue"/>
            <w:tcBorders>
              <w:top w:val="nil"/>
            </w:tcBorders>
            <w:vAlign w:val="top"/>
          </w:tcPr>
          <w:p w14:paraId="46B68A50">
            <w:pPr>
              <w:rPr>
                <w:rFonts w:ascii="Arial"/>
                <w:sz w:val="21"/>
              </w:rPr>
            </w:pPr>
          </w:p>
        </w:tc>
      </w:tr>
    </w:tbl>
    <w:p w14:paraId="444B7B67">
      <w:pPr>
        <w:pStyle w:val="2"/>
      </w:pPr>
    </w:p>
    <w:p w14:paraId="40B3215E">
      <w:pPr>
        <w:sectPr>
          <w:footerReference r:id="rId97" w:type="default"/>
          <w:pgSz w:w="16839" w:h="11906"/>
          <w:pgMar w:top="1012" w:right="821" w:bottom="666" w:left="901" w:header="0" w:footer="388" w:gutter="0"/>
          <w:cols w:space="720" w:num="1"/>
        </w:sectPr>
      </w:pPr>
    </w:p>
    <w:p w14:paraId="5D91A763">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62D7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C255928">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3FA6DA2E">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1FF4B43">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C49343F">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D2F5E48">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7123502">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1C6D79D">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2F277F8">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E8AC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2" w:hRule="atLeast"/>
        </w:trPr>
        <w:tc>
          <w:tcPr>
            <w:tcW w:w="818" w:type="dxa"/>
            <w:vAlign w:val="top"/>
          </w:tcPr>
          <w:p w14:paraId="3F007CA6">
            <w:pPr>
              <w:rPr>
                <w:rFonts w:ascii="Arial"/>
                <w:sz w:val="21"/>
              </w:rPr>
            </w:pPr>
          </w:p>
        </w:tc>
        <w:tc>
          <w:tcPr>
            <w:tcW w:w="1440" w:type="dxa"/>
            <w:vAlign w:val="top"/>
          </w:tcPr>
          <w:p w14:paraId="10BFD844">
            <w:pPr>
              <w:rPr>
                <w:rFonts w:ascii="Arial"/>
                <w:sz w:val="21"/>
              </w:rPr>
            </w:pPr>
          </w:p>
        </w:tc>
        <w:tc>
          <w:tcPr>
            <w:tcW w:w="3202" w:type="dxa"/>
            <w:vAlign w:val="top"/>
          </w:tcPr>
          <w:p w14:paraId="72077066">
            <w:pPr>
              <w:pStyle w:val="6"/>
              <w:spacing w:before="29" w:line="182" w:lineRule="auto"/>
              <w:ind w:left="124" w:right="110" w:hanging="6"/>
            </w:pPr>
            <w:r>
              <w:rPr>
                <w:spacing w:val="13"/>
              </w:rPr>
              <w:t>未取得安全生产许可证的，</w:t>
            </w:r>
            <w:r>
              <w:rPr>
                <w:spacing w:val="39"/>
              </w:rPr>
              <w:t>不得从事烟花爆竹生产活</w:t>
            </w:r>
          </w:p>
          <w:p w14:paraId="37197775">
            <w:pPr>
              <w:pStyle w:val="6"/>
              <w:spacing w:line="182" w:lineRule="auto"/>
              <w:ind w:left="128"/>
              <w:outlineLvl w:val="0"/>
            </w:pPr>
            <w:r>
              <w:rPr>
                <w:spacing w:val="-10"/>
              </w:rPr>
              <w:t>动。</w:t>
            </w:r>
          </w:p>
          <w:p w14:paraId="445B8761">
            <w:pPr>
              <w:pStyle w:val="6"/>
              <w:spacing w:before="2" w:line="186" w:lineRule="auto"/>
              <w:ind w:left="117" w:right="111" w:hanging="5"/>
            </w:pPr>
            <w:bookmarkStart w:id="485" w:name="bookmark170"/>
            <w:bookmarkEnd w:id="485"/>
            <w:r>
              <w:rPr>
                <w:rFonts w:ascii="宋体" w:hAnsi="宋体" w:eastAsia="宋体" w:cs="宋体"/>
                <w:spacing w:val="16"/>
              </w:rPr>
              <w:t>4.</w:t>
            </w:r>
            <w:r>
              <w:rPr>
                <w:spacing w:val="16"/>
              </w:rPr>
              <w:t>【部门规章】《非煤矿矿</w:t>
            </w:r>
            <w:r>
              <w:rPr>
                <w:spacing w:val="17"/>
              </w:rPr>
              <w:t>山企业安全生产许可证实施</w:t>
            </w:r>
            <w:r>
              <w:rPr>
                <w:spacing w:val="13"/>
              </w:rPr>
              <w:t>办法》第二条：非煤矿矿山</w:t>
            </w:r>
            <w:r>
              <w:rPr>
                <w:spacing w:val="17"/>
              </w:rPr>
              <w:t>企业必须依照本实施办法的</w:t>
            </w:r>
            <w:r>
              <w:rPr>
                <w:spacing w:val="14"/>
              </w:rPr>
              <w:t>规定取得安全生产许可证。</w:t>
            </w:r>
            <w:r>
              <w:rPr>
                <w:spacing w:val="13"/>
              </w:rPr>
              <w:t>未取得安全生产许可证的，</w:t>
            </w:r>
            <w:r>
              <w:rPr>
                <w:spacing w:val="4"/>
              </w:rPr>
              <w:t>不得从事生产活动。</w:t>
            </w:r>
          </w:p>
        </w:tc>
        <w:tc>
          <w:tcPr>
            <w:tcW w:w="2859" w:type="dxa"/>
            <w:vAlign w:val="top"/>
          </w:tcPr>
          <w:p w14:paraId="38C9FE1E">
            <w:pPr>
              <w:pStyle w:val="6"/>
              <w:spacing w:before="33" w:line="182" w:lineRule="auto"/>
              <w:ind w:left="116" w:right="107" w:firstLine="2"/>
            </w:pPr>
            <w:r>
              <w:rPr>
                <w:spacing w:val="8"/>
              </w:rPr>
              <w:t>证实施办法》第四十六条第一项：企业有下列行为</w:t>
            </w:r>
            <w:r>
              <w:rPr>
                <w:spacing w:val="3"/>
              </w:rPr>
              <w:t>之一的，责令停止生产，</w:t>
            </w:r>
            <w:r>
              <w:rPr>
                <w:spacing w:val="12"/>
              </w:rPr>
              <w:t>没收违法所得，并处</w:t>
            </w:r>
            <w:r>
              <w:rPr>
                <w:rFonts w:ascii="宋体" w:hAnsi="宋体" w:eastAsia="宋体" w:cs="宋体"/>
                <w:spacing w:val="12"/>
              </w:rPr>
              <w:t>10</w:t>
            </w:r>
            <w:r>
              <w:rPr>
                <w:spacing w:val="11"/>
              </w:rPr>
              <w:t>万元以上</w:t>
            </w:r>
            <w:r>
              <w:rPr>
                <w:rFonts w:ascii="宋体" w:hAnsi="宋体" w:eastAsia="宋体" w:cs="宋体"/>
                <w:spacing w:val="11"/>
              </w:rPr>
              <w:t>50</w:t>
            </w:r>
            <w:r>
              <w:rPr>
                <w:spacing w:val="11"/>
              </w:rPr>
              <w:t>万元以下的</w:t>
            </w:r>
            <w:r>
              <w:rPr>
                <w:spacing w:val="-2"/>
              </w:rPr>
              <w:t>罚款</w:t>
            </w:r>
            <w:r>
              <w:rPr>
                <w:spacing w:val="-3"/>
              </w:rPr>
              <w:t>：（</w:t>
            </w:r>
            <w:r>
              <w:rPr>
                <w:spacing w:val="-2"/>
              </w:rPr>
              <w:t>一）未取得安全</w:t>
            </w:r>
            <w:r>
              <w:rPr>
                <w:spacing w:val="8"/>
              </w:rPr>
              <w:t>生产许可证擅自进行烟花</w:t>
            </w:r>
            <w:r>
              <w:t>爆竹生产的；</w:t>
            </w:r>
          </w:p>
          <w:p w14:paraId="7D35EA77">
            <w:pPr>
              <w:pStyle w:val="6"/>
              <w:spacing w:before="4" w:line="180" w:lineRule="auto"/>
              <w:ind w:left="113" w:right="108" w:hanging="1"/>
            </w:pPr>
            <w:r>
              <w:rPr>
                <w:rFonts w:ascii="宋体" w:hAnsi="宋体" w:eastAsia="宋体" w:cs="宋体"/>
                <w:spacing w:val="8"/>
              </w:rPr>
              <w:t>4.</w:t>
            </w:r>
            <w:r>
              <w:rPr>
                <w:spacing w:val="8"/>
              </w:rPr>
              <w:t>【部门规章】《非煤矿矿山企业安全生产许可证实施办法》第四十二条第一项：非煤矿矿山企业有下列行为之一的，责令停</w:t>
            </w:r>
            <w:r>
              <w:rPr>
                <w:spacing w:val="3"/>
              </w:rPr>
              <w:t>止生产，没收违法所得，</w:t>
            </w:r>
            <w:r>
              <w:rPr>
                <w:spacing w:val="-1"/>
              </w:rPr>
              <w:t>并处</w:t>
            </w:r>
            <w:r>
              <w:rPr>
                <w:rFonts w:ascii="宋体" w:hAnsi="宋体" w:eastAsia="宋体" w:cs="宋体"/>
                <w:spacing w:val="-1"/>
              </w:rPr>
              <w:t>10</w:t>
            </w:r>
            <w:r>
              <w:rPr>
                <w:spacing w:val="-1"/>
              </w:rPr>
              <w:t>万元以上</w:t>
            </w:r>
            <w:r>
              <w:rPr>
                <w:rFonts w:ascii="宋体" w:hAnsi="宋体" w:eastAsia="宋体" w:cs="宋体"/>
                <w:spacing w:val="-1"/>
              </w:rPr>
              <w:t>50</w:t>
            </w:r>
            <w:r>
              <w:rPr>
                <w:spacing w:val="-1"/>
              </w:rPr>
              <w:t>万元以下的罚款</w:t>
            </w:r>
            <w:r>
              <w:rPr>
                <w:spacing w:val="-5"/>
              </w:rPr>
              <w:t>：（</w:t>
            </w:r>
            <w:r>
              <w:rPr>
                <w:spacing w:val="-1"/>
              </w:rPr>
              <w:t>一）未取</w:t>
            </w:r>
            <w:r>
              <w:rPr>
                <w:spacing w:val="8"/>
              </w:rPr>
              <w:t>得安全生产许可证，擅自</w:t>
            </w:r>
            <w:r>
              <w:t>进行生产的；</w:t>
            </w:r>
          </w:p>
        </w:tc>
        <w:tc>
          <w:tcPr>
            <w:tcW w:w="803" w:type="dxa"/>
            <w:vAlign w:val="top"/>
          </w:tcPr>
          <w:p w14:paraId="27B7B9EF">
            <w:pPr>
              <w:rPr>
                <w:rFonts w:ascii="Arial"/>
                <w:sz w:val="21"/>
              </w:rPr>
            </w:pPr>
          </w:p>
        </w:tc>
        <w:tc>
          <w:tcPr>
            <w:tcW w:w="2283" w:type="dxa"/>
            <w:vAlign w:val="top"/>
          </w:tcPr>
          <w:p w14:paraId="6BDE617C">
            <w:pPr>
              <w:rPr>
                <w:rFonts w:ascii="Arial"/>
                <w:sz w:val="21"/>
              </w:rPr>
            </w:pPr>
          </w:p>
        </w:tc>
        <w:tc>
          <w:tcPr>
            <w:tcW w:w="2894" w:type="dxa"/>
            <w:vAlign w:val="top"/>
          </w:tcPr>
          <w:p w14:paraId="4F0641FF">
            <w:pPr>
              <w:rPr>
                <w:rFonts w:ascii="Arial"/>
                <w:sz w:val="21"/>
              </w:rPr>
            </w:pPr>
          </w:p>
        </w:tc>
        <w:tc>
          <w:tcPr>
            <w:tcW w:w="811" w:type="dxa"/>
            <w:vAlign w:val="top"/>
          </w:tcPr>
          <w:p w14:paraId="12DD2A06">
            <w:pPr>
              <w:rPr>
                <w:rFonts w:ascii="Arial"/>
                <w:sz w:val="21"/>
              </w:rPr>
            </w:pPr>
          </w:p>
        </w:tc>
      </w:tr>
      <w:tr w14:paraId="44E59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restart"/>
            <w:tcBorders>
              <w:bottom w:val="nil"/>
            </w:tcBorders>
            <w:vAlign w:val="top"/>
          </w:tcPr>
          <w:p w14:paraId="3C54FDAF">
            <w:pPr>
              <w:spacing w:line="275" w:lineRule="auto"/>
              <w:rPr>
                <w:rFonts w:ascii="Arial"/>
                <w:sz w:val="21"/>
              </w:rPr>
            </w:pPr>
          </w:p>
          <w:p w14:paraId="21DA5FAC">
            <w:pPr>
              <w:spacing w:line="275" w:lineRule="auto"/>
              <w:rPr>
                <w:rFonts w:ascii="Arial"/>
                <w:sz w:val="21"/>
              </w:rPr>
            </w:pPr>
          </w:p>
          <w:p w14:paraId="105F9BFA">
            <w:pPr>
              <w:spacing w:line="275" w:lineRule="auto"/>
              <w:rPr>
                <w:rFonts w:ascii="Arial"/>
                <w:sz w:val="21"/>
              </w:rPr>
            </w:pPr>
          </w:p>
          <w:p w14:paraId="50C025FE">
            <w:pPr>
              <w:spacing w:line="275" w:lineRule="auto"/>
              <w:rPr>
                <w:rFonts w:ascii="Arial"/>
                <w:sz w:val="21"/>
              </w:rPr>
            </w:pPr>
          </w:p>
          <w:p w14:paraId="283F992A">
            <w:pPr>
              <w:spacing w:line="275" w:lineRule="auto"/>
              <w:rPr>
                <w:rFonts w:ascii="Arial"/>
                <w:sz w:val="21"/>
              </w:rPr>
            </w:pPr>
          </w:p>
          <w:p w14:paraId="5FBAF282">
            <w:pPr>
              <w:spacing w:line="275" w:lineRule="auto"/>
              <w:rPr>
                <w:rFonts w:ascii="Arial"/>
                <w:sz w:val="21"/>
              </w:rPr>
            </w:pPr>
          </w:p>
          <w:p w14:paraId="1B844E3B">
            <w:pPr>
              <w:spacing w:before="74" w:line="186" w:lineRule="auto"/>
              <w:ind w:left="235"/>
              <w:rPr>
                <w:rFonts w:ascii="仿宋" w:hAnsi="仿宋" w:eastAsia="仿宋" w:cs="仿宋"/>
                <w:sz w:val="23"/>
                <w:szCs w:val="23"/>
              </w:rPr>
            </w:pPr>
            <w:r>
              <w:rPr>
                <w:rFonts w:ascii="仿宋" w:hAnsi="仿宋" w:eastAsia="仿宋" w:cs="仿宋"/>
                <w:spacing w:val="-2"/>
                <w:sz w:val="23"/>
                <w:szCs w:val="23"/>
              </w:rPr>
              <w:t>81</w:t>
            </w:r>
          </w:p>
        </w:tc>
        <w:tc>
          <w:tcPr>
            <w:tcW w:w="1440" w:type="dxa"/>
            <w:vMerge w:val="restart"/>
            <w:tcBorders>
              <w:bottom w:val="nil"/>
            </w:tcBorders>
            <w:vAlign w:val="top"/>
          </w:tcPr>
          <w:p w14:paraId="41C060F0">
            <w:pPr>
              <w:spacing w:line="265" w:lineRule="auto"/>
              <w:rPr>
                <w:rFonts w:ascii="Arial"/>
                <w:sz w:val="21"/>
              </w:rPr>
            </w:pPr>
          </w:p>
          <w:p w14:paraId="196528CF">
            <w:pPr>
              <w:spacing w:line="266" w:lineRule="auto"/>
              <w:rPr>
                <w:rFonts w:ascii="Arial"/>
                <w:sz w:val="21"/>
              </w:rPr>
            </w:pPr>
          </w:p>
          <w:p w14:paraId="5154B43B">
            <w:pPr>
              <w:pStyle w:val="6"/>
              <w:spacing w:before="99" w:line="186" w:lineRule="auto"/>
              <w:ind w:left="115" w:right="111"/>
              <w:jc w:val="both"/>
            </w:pPr>
            <w:r>
              <w:rPr>
                <w:spacing w:val="-6"/>
                <w:w w:val="96"/>
              </w:rPr>
              <w:t>危险化学</w:t>
            </w:r>
            <w:r>
              <w:rPr>
                <w:spacing w:val="11"/>
              </w:rPr>
              <w:t>品、烟花爆竹生产企业和石油天然气企业未按规定办理安全生产许可</w:t>
            </w:r>
            <w:r>
              <w:rPr>
                <w:spacing w:val="6"/>
              </w:rPr>
              <w:t>证延期的</w:t>
            </w:r>
          </w:p>
        </w:tc>
        <w:tc>
          <w:tcPr>
            <w:tcW w:w="3202" w:type="dxa"/>
            <w:vMerge w:val="restart"/>
            <w:tcBorders>
              <w:bottom w:val="nil"/>
            </w:tcBorders>
            <w:vAlign w:val="top"/>
          </w:tcPr>
          <w:p w14:paraId="27DAD0F1">
            <w:pPr>
              <w:pStyle w:val="6"/>
              <w:spacing w:before="38" w:line="182" w:lineRule="auto"/>
              <w:ind w:left="118" w:right="42" w:firstLine="12"/>
              <w:jc w:val="both"/>
            </w:pPr>
            <w:r>
              <w:rPr>
                <w:rFonts w:ascii="宋体" w:hAnsi="宋体" w:eastAsia="宋体" w:cs="宋体"/>
                <w:spacing w:val="14"/>
              </w:rPr>
              <w:t>1.</w:t>
            </w:r>
            <w:r>
              <w:rPr>
                <w:spacing w:val="14"/>
              </w:rPr>
              <w:t>【行政法规】《安全生产</w:t>
            </w:r>
            <w:r>
              <w:rPr>
                <w:spacing w:val="3"/>
              </w:rPr>
              <w:t>许可证条例》第九条第一款：</w:t>
            </w:r>
            <w:r>
              <w:rPr>
                <w:spacing w:val="17"/>
              </w:rPr>
              <w:t>安全生产许可证的有效期为</w:t>
            </w:r>
            <w:r>
              <w:rPr>
                <w:rFonts w:ascii="宋体" w:hAnsi="宋体" w:eastAsia="宋体" w:cs="宋体"/>
                <w:spacing w:val="1"/>
              </w:rPr>
              <w:t>3</w:t>
            </w:r>
            <w:r>
              <w:rPr>
                <w:spacing w:val="1"/>
              </w:rPr>
              <w:t>年。安全生产许可证有效期</w:t>
            </w:r>
            <w:r>
              <w:rPr>
                <w:spacing w:val="13"/>
              </w:rPr>
              <w:t>满需要延期的，企业应当于期满前</w:t>
            </w:r>
            <w:r>
              <w:rPr>
                <w:rFonts w:ascii="宋体" w:hAnsi="宋体" w:eastAsia="宋体" w:cs="宋体"/>
                <w:spacing w:val="13"/>
              </w:rPr>
              <w:t>3</w:t>
            </w:r>
            <w:r>
              <w:rPr>
                <w:spacing w:val="13"/>
              </w:rPr>
              <w:t>个月向原安全生产</w:t>
            </w:r>
            <w:r>
              <w:rPr>
                <w:spacing w:val="17"/>
              </w:rPr>
              <w:t>许可证颁发管理机关办理延</w:t>
            </w:r>
            <w:r>
              <w:rPr>
                <w:spacing w:val="-2"/>
              </w:rPr>
              <w:t>期手续。</w:t>
            </w:r>
          </w:p>
          <w:p w14:paraId="6602F2CD">
            <w:pPr>
              <w:pStyle w:val="6"/>
              <w:spacing w:before="2" w:line="178" w:lineRule="auto"/>
              <w:ind w:left="120" w:right="111" w:hanging="4"/>
              <w:jc w:val="both"/>
            </w:pPr>
            <w:r>
              <w:rPr>
                <w:rFonts w:ascii="宋体" w:hAnsi="宋体" w:eastAsia="宋体" w:cs="宋体"/>
                <w:spacing w:val="15"/>
              </w:rPr>
              <w:t>2.</w:t>
            </w:r>
            <w:r>
              <w:rPr>
                <w:spacing w:val="15"/>
              </w:rPr>
              <w:t>【部门规章】《危险化学</w:t>
            </w:r>
            <w:r>
              <w:rPr>
                <w:spacing w:val="17"/>
              </w:rPr>
              <w:t>品生产企业安全生产许可证</w:t>
            </w:r>
            <w:r>
              <w:rPr>
                <w:spacing w:val="13"/>
              </w:rPr>
              <w:t>实施办法》第三十三条第一款：安全生产许可证有效期</w:t>
            </w:r>
          </w:p>
        </w:tc>
        <w:tc>
          <w:tcPr>
            <w:tcW w:w="2859" w:type="dxa"/>
            <w:vMerge w:val="restart"/>
            <w:tcBorders>
              <w:bottom w:val="nil"/>
            </w:tcBorders>
            <w:vAlign w:val="top"/>
          </w:tcPr>
          <w:p w14:paraId="48350DB2">
            <w:pPr>
              <w:pStyle w:val="6"/>
              <w:spacing w:before="34" w:line="181" w:lineRule="auto"/>
              <w:ind w:left="117" w:right="40" w:firstLine="13"/>
              <w:jc w:val="both"/>
            </w:pPr>
            <w:r>
              <w:rPr>
                <w:rFonts w:ascii="宋体" w:hAnsi="宋体" w:eastAsia="宋体" w:cs="宋体"/>
                <w:spacing w:val="6"/>
              </w:rPr>
              <w:t>1.</w:t>
            </w:r>
            <w:r>
              <w:rPr>
                <w:spacing w:val="6"/>
              </w:rPr>
              <w:t>【行政法规】《安全生</w:t>
            </w:r>
            <w:r>
              <w:rPr>
                <w:spacing w:val="-6"/>
              </w:rPr>
              <w:t>产许可证条例》第二十条：</w:t>
            </w:r>
            <w:r>
              <w:rPr>
                <w:spacing w:val="8"/>
              </w:rPr>
              <w:t>违反本条例规定，安全生产许可证有效期满未办理延期手续，继续进行生产的，责令停止生产，限期补办延期手续，没收违法</w:t>
            </w:r>
            <w:r>
              <w:rPr>
                <w:spacing w:val="-2"/>
              </w:rPr>
              <w:t>所得，并处</w:t>
            </w:r>
            <w:r>
              <w:rPr>
                <w:rFonts w:ascii="宋体" w:hAnsi="宋体" w:eastAsia="宋体" w:cs="宋体"/>
                <w:spacing w:val="-2"/>
              </w:rPr>
              <w:t>5</w:t>
            </w:r>
            <w:r>
              <w:rPr>
                <w:spacing w:val="-2"/>
              </w:rPr>
              <w:t>万元以上</w:t>
            </w:r>
            <w:r>
              <w:rPr>
                <w:rFonts w:ascii="宋体" w:hAnsi="宋体" w:eastAsia="宋体" w:cs="宋体"/>
                <w:spacing w:val="-2"/>
              </w:rPr>
              <w:t>10</w:t>
            </w:r>
            <w:r>
              <w:rPr>
                <w:spacing w:val="8"/>
              </w:rPr>
              <w:t>万元以下的罚款；逾期仍不办理延期手续，继续进行生产的，依照本条例第</w:t>
            </w:r>
            <w:r>
              <w:rPr>
                <w:spacing w:val="4"/>
              </w:rPr>
              <w:t>十九条的规定处罚。</w:t>
            </w:r>
          </w:p>
        </w:tc>
        <w:tc>
          <w:tcPr>
            <w:tcW w:w="803" w:type="dxa"/>
            <w:vAlign w:val="top"/>
          </w:tcPr>
          <w:p w14:paraId="4B278E5F">
            <w:pPr>
              <w:spacing w:line="297" w:lineRule="auto"/>
              <w:rPr>
                <w:rFonts w:ascii="Arial"/>
                <w:sz w:val="21"/>
              </w:rPr>
            </w:pPr>
          </w:p>
          <w:p w14:paraId="26ED0052">
            <w:pPr>
              <w:spacing w:line="298" w:lineRule="auto"/>
              <w:rPr>
                <w:rFonts w:ascii="Arial"/>
                <w:sz w:val="21"/>
              </w:rPr>
            </w:pPr>
          </w:p>
          <w:p w14:paraId="5E9281EE">
            <w:pPr>
              <w:spacing w:line="298" w:lineRule="auto"/>
              <w:rPr>
                <w:rFonts w:ascii="Arial"/>
                <w:sz w:val="21"/>
              </w:rPr>
            </w:pPr>
          </w:p>
          <w:p w14:paraId="1E21C44E">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440939C">
            <w:pPr>
              <w:spacing w:line="266" w:lineRule="auto"/>
              <w:rPr>
                <w:rFonts w:ascii="Arial"/>
                <w:sz w:val="21"/>
              </w:rPr>
            </w:pPr>
          </w:p>
          <w:p w14:paraId="3CE7871B">
            <w:pPr>
              <w:spacing w:line="266" w:lineRule="auto"/>
              <w:rPr>
                <w:rFonts w:ascii="Arial"/>
                <w:sz w:val="21"/>
              </w:rPr>
            </w:pPr>
          </w:p>
          <w:p w14:paraId="748BE5C0">
            <w:pPr>
              <w:pStyle w:val="6"/>
              <w:spacing w:before="99" w:line="192" w:lineRule="auto"/>
              <w:ind w:left="128" w:right="109" w:hanging="1"/>
              <w:jc w:val="both"/>
            </w:pPr>
            <w:r>
              <w:rPr>
                <w:spacing w:val="25"/>
              </w:rPr>
              <w:t>没有违法所得或违</w:t>
            </w:r>
            <w:r>
              <w:rPr>
                <w:spacing w:val="14"/>
              </w:rPr>
              <w:t>法所得</w:t>
            </w:r>
            <w:r>
              <w:rPr>
                <w:rFonts w:ascii="宋体" w:hAnsi="宋体" w:eastAsia="宋体" w:cs="宋体"/>
                <w:spacing w:val="14"/>
              </w:rPr>
              <w:t>5</w:t>
            </w:r>
            <w:r>
              <w:rPr>
                <w:spacing w:val="14"/>
              </w:rPr>
              <w:t>万元以下</w:t>
            </w:r>
            <w:r>
              <w:t>的</w:t>
            </w:r>
          </w:p>
        </w:tc>
        <w:tc>
          <w:tcPr>
            <w:tcW w:w="2894" w:type="dxa"/>
            <w:vAlign w:val="top"/>
          </w:tcPr>
          <w:p w14:paraId="17BEE738">
            <w:pPr>
              <w:pStyle w:val="6"/>
              <w:spacing w:before="33" w:line="179" w:lineRule="auto"/>
              <w:ind w:left="122" w:right="37" w:firstLine="4"/>
              <w:jc w:val="both"/>
            </w:pPr>
            <w:r>
              <w:rPr>
                <w:spacing w:val="6"/>
              </w:rPr>
              <w:t>责令停止生产，限期补办</w:t>
            </w:r>
            <w:r>
              <w:rPr>
                <w:spacing w:val="-3"/>
              </w:rPr>
              <w:t>延期手续，没收违法所得，</w:t>
            </w:r>
            <w:r>
              <w:rPr>
                <w:spacing w:val="3"/>
              </w:rPr>
              <w:t>并处</w:t>
            </w:r>
            <w:r>
              <w:rPr>
                <w:rFonts w:ascii="宋体" w:hAnsi="宋体" w:eastAsia="宋体" w:cs="宋体"/>
                <w:spacing w:val="3"/>
              </w:rPr>
              <w:t>5</w:t>
            </w:r>
            <w:r>
              <w:rPr>
                <w:spacing w:val="3"/>
              </w:rPr>
              <w:t>万元以上</w:t>
            </w:r>
            <w:r>
              <w:rPr>
                <w:rFonts w:ascii="宋体" w:hAnsi="宋体" w:eastAsia="宋体" w:cs="宋体"/>
                <w:spacing w:val="3"/>
              </w:rPr>
              <w:t>7</w:t>
            </w:r>
            <w:r>
              <w:rPr>
                <w:spacing w:val="3"/>
              </w:rPr>
              <w:t>万元以</w:t>
            </w:r>
            <w:r>
              <w:rPr>
                <w:spacing w:val="8"/>
              </w:rPr>
              <w:t>下的罚款；逾期仍不办理延期手续，继续进行生产</w:t>
            </w:r>
            <w:r>
              <w:rPr>
                <w:spacing w:val="-2"/>
              </w:rPr>
              <w:t>的，适用本基准第</w:t>
            </w:r>
            <w:r>
              <w:rPr>
                <w:rFonts w:ascii="宋体" w:hAnsi="宋体" w:eastAsia="宋体" w:cs="宋体"/>
                <w:spacing w:val="-2"/>
              </w:rPr>
              <w:t>80</w:t>
            </w:r>
            <w:r>
              <w:rPr>
                <w:spacing w:val="-2"/>
              </w:rPr>
              <w:t>项实</w:t>
            </w:r>
            <w:r>
              <w:rPr>
                <w:spacing w:val="3"/>
              </w:rPr>
              <w:t>施处罚</w:t>
            </w:r>
          </w:p>
        </w:tc>
        <w:tc>
          <w:tcPr>
            <w:tcW w:w="811" w:type="dxa"/>
            <w:vMerge w:val="restart"/>
            <w:tcBorders>
              <w:bottom w:val="nil"/>
            </w:tcBorders>
            <w:vAlign w:val="top"/>
          </w:tcPr>
          <w:p w14:paraId="6C5C6677">
            <w:pPr>
              <w:spacing w:line="274" w:lineRule="auto"/>
              <w:rPr>
                <w:rFonts w:ascii="Arial"/>
                <w:sz w:val="21"/>
              </w:rPr>
            </w:pPr>
          </w:p>
          <w:p w14:paraId="7D052989">
            <w:pPr>
              <w:spacing w:line="275" w:lineRule="auto"/>
              <w:rPr>
                <w:rFonts w:ascii="Arial"/>
                <w:sz w:val="21"/>
              </w:rPr>
            </w:pPr>
          </w:p>
          <w:p w14:paraId="4C4F6251">
            <w:pPr>
              <w:spacing w:line="275" w:lineRule="auto"/>
              <w:rPr>
                <w:rFonts w:ascii="Arial"/>
                <w:sz w:val="21"/>
              </w:rPr>
            </w:pPr>
          </w:p>
          <w:p w14:paraId="47EDD89A">
            <w:pPr>
              <w:spacing w:line="275" w:lineRule="auto"/>
              <w:rPr>
                <w:rFonts w:ascii="Arial"/>
                <w:sz w:val="21"/>
              </w:rPr>
            </w:pPr>
          </w:p>
          <w:p w14:paraId="6C46ED1E">
            <w:pPr>
              <w:spacing w:line="275" w:lineRule="auto"/>
              <w:rPr>
                <w:rFonts w:ascii="Arial"/>
                <w:sz w:val="21"/>
              </w:rPr>
            </w:pPr>
          </w:p>
          <w:p w14:paraId="49E66694">
            <w:pPr>
              <w:spacing w:line="275" w:lineRule="auto"/>
              <w:rPr>
                <w:rFonts w:ascii="Arial"/>
                <w:sz w:val="21"/>
              </w:rPr>
            </w:pPr>
          </w:p>
          <w:p w14:paraId="22E46A36">
            <w:pPr>
              <w:spacing w:before="74" w:line="187" w:lineRule="auto"/>
              <w:ind w:left="295"/>
              <w:rPr>
                <w:rFonts w:ascii="宋体" w:hAnsi="宋体" w:eastAsia="宋体" w:cs="宋体"/>
                <w:sz w:val="23"/>
                <w:szCs w:val="23"/>
              </w:rPr>
            </w:pPr>
            <w:r>
              <w:rPr>
                <w:rFonts w:ascii="宋体" w:hAnsi="宋体" w:eastAsia="宋体" w:cs="宋体"/>
                <w:spacing w:val="-4"/>
                <w:sz w:val="23"/>
                <w:szCs w:val="23"/>
              </w:rPr>
              <w:t>55</w:t>
            </w:r>
          </w:p>
        </w:tc>
      </w:tr>
      <w:tr w14:paraId="5E43A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818" w:type="dxa"/>
            <w:vMerge w:val="continue"/>
            <w:tcBorders>
              <w:top w:val="nil"/>
            </w:tcBorders>
            <w:vAlign w:val="top"/>
          </w:tcPr>
          <w:p w14:paraId="2478D621">
            <w:pPr>
              <w:rPr>
                <w:rFonts w:ascii="Arial"/>
                <w:sz w:val="21"/>
              </w:rPr>
            </w:pPr>
          </w:p>
        </w:tc>
        <w:tc>
          <w:tcPr>
            <w:tcW w:w="1440" w:type="dxa"/>
            <w:vMerge w:val="continue"/>
            <w:tcBorders>
              <w:top w:val="nil"/>
            </w:tcBorders>
            <w:vAlign w:val="top"/>
          </w:tcPr>
          <w:p w14:paraId="531987BC">
            <w:pPr>
              <w:rPr>
                <w:rFonts w:ascii="Arial"/>
                <w:sz w:val="21"/>
              </w:rPr>
            </w:pPr>
          </w:p>
        </w:tc>
        <w:tc>
          <w:tcPr>
            <w:tcW w:w="3202" w:type="dxa"/>
            <w:vMerge w:val="continue"/>
            <w:tcBorders>
              <w:top w:val="nil"/>
            </w:tcBorders>
            <w:vAlign w:val="top"/>
          </w:tcPr>
          <w:p w14:paraId="482FC13D">
            <w:pPr>
              <w:rPr>
                <w:rFonts w:ascii="Arial"/>
                <w:sz w:val="21"/>
              </w:rPr>
            </w:pPr>
          </w:p>
        </w:tc>
        <w:tc>
          <w:tcPr>
            <w:tcW w:w="2859" w:type="dxa"/>
            <w:vMerge w:val="continue"/>
            <w:tcBorders>
              <w:top w:val="nil"/>
            </w:tcBorders>
            <w:vAlign w:val="top"/>
          </w:tcPr>
          <w:p w14:paraId="3034761A">
            <w:pPr>
              <w:rPr>
                <w:rFonts w:ascii="Arial"/>
                <w:sz w:val="21"/>
              </w:rPr>
            </w:pPr>
          </w:p>
        </w:tc>
        <w:tc>
          <w:tcPr>
            <w:tcW w:w="803" w:type="dxa"/>
            <w:vAlign w:val="top"/>
          </w:tcPr>
          <w:p w14:paraId="05B76394">
            <w:pPr>
              <w:spacing w:line="299" w:lineRule="auto"/>
              <w:rPr>
                <w:rFonts w:ascii="Arial"/>
                <w:sz w:val="21"/>
              </w:rPr>
            </w:pPr>
          </w:p>
          <w:p w14:paraId="10265032">
            <w:pPr>
              <w:spacing w:line="300" w:lineRule="auto"/>
              <w:rPr>
                <w:rFonts w:ascii="Arial"/>
                <w:sz w:val="21"/>
              </w:rPr>
            </w:pPr>
          </w:p>
          <w:p w14:paraId="787E0BC7">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5EBD2F6F">
            <w:pPr>
              <w:spacing w:line="380" w:lineRule="auto"/>
              <w:rPr>
                <w:rFonts w:ascii="Arial"/>
                <w:sz w:val="21"/>
              </w:rPr>
            </w:pPr>
          </w:p>
          <w:p w14:paraId="1C15DB86">
            <w:pPr>
              <w:pStyle w:val="6"/>
              <w:spacing w:before="98" w:line="196" w:lineRule="auto"/>
              <w:ind w:left="122" w:right="106" w:hanging="5"/>
            </w:pPr>
            <w:r>
              <w:rPr>
                <w:spacing w:val="15"/>
              </w:rPr>
              <w:t>违法所得</w:t>
            </w:r>
            <w:r>
              <w:rPr>
                <w:rFonts w:ascii="宋体" w:hAnsi="宋体" w:eastAsia="宋体" w:cs="宋体"/>
                <w:spacing w:val="15"/>
              </w:rPr>
              <w:t>5</w:t>
            </w:r>
            <w:r>
              <w:rPr>
                <w:spacing w:val="15"/>
              </w:rPr>
              <w:t>万元以</w:t>
            </w:r>
            <w:r>
              <w:rPr>
                <w:spacing w:val="-1"/>
              </w:rPr>
              <w:t>上</w:t>
            </w:r>
            <w:r>
              <w:rPr>
                <w:rFonts w:ascii="宋体" w:hAnsi="宋体" w:eastAsia="宋体" w:cs="宋体"/>
                <w:spacing w:val="-1"/>
              </w:rPr>
              <w:t>10</w:t>
            </w:r>
            <w:r>
              <w:rPr>
                <w:spacing w:val="-1"/>
              </w:rPr>
              <w:t>万元以下的</w:t>
            </w:r>
          </w:p>
        </w:tc>
        <w:tc>
          <w:tcPr>
            <w:tcW w:w="2894" w:type="dxa"/>
            <w:vAlign w:val="top"/>
          </w:tcPr>
          <w:p w14:paraId="7F71B166">
            <w:pPr>
              <w:pStyle w:val="6"/>
              <w:spacing w:before="33" w:line="178" w:lineRule="auto"/>
              <w:ind w:left="122" w:right="37" w:firstLine="4"/>
              <w:jc w:val="both"/>
            </w:pPr>
            <w:r>
              <w:rPr>
                <w:spacing w:val="6"/>
              </w:rPr>
              <w:t>责令停止生产，限期补办</w:t>
            </w:r>
            <w:r>
              <w:rPr>
                <w:spacing w:val="-3"/>
              </w:rPr>
              <w:t>延期手续，没收违法所得，</w:t>
            </w:r>
            <w:r>
              <w:rPr>
                <w:spacing w:val="3"/>
              </w:rPr>
              <w:t>并处</w:t>
            </w:r>
            <w:r>
              <w:rPr>
                <w:rFonts w:ascii="宋体" w:hAnsi="宋体" w:eastAsia="宋体" w:cs="宋体"/>
                <w:spacing w:val="3"/>
              </w:rPr>
              <w:t>7</w:t>
            </w:r>
            <w:r>
              <w:rPr>
                <w:spacing w:val="3"/>
              </w:rPr>
              <w:t>万元以上</w:t>
            </w:r>
            <w:r>
              <w:rPr>
                <w:rFonts w:ascii="宋体" w:hAnsi="宋体" w:eastAsia="宋体" w:cs="宋体"/>
                <w:spacing w:val="3"/>
              </w:rPr>
              <w:t>9</w:t>
            </w:r>
            <w:r>
              <w:rPr>
                <w:spacing w:val="3"/>
              </w:rPr>
              <w:t>万元以</w:t>
            </w:r>
            <w:r>
              <w:rPr>
                <w:spacing w:val="8"/>
              </w:rPr>
              <w:t>下的罚款；逾期仍不办理延期手续，继续进行生产</w:t>
            </w:r>
          </w:p>
        </w:tc>
        <w:tc>
          <w:tcPr>
            <w:tcW w:w="811" w:type="dxa"/>
            <w:vMerge w:val="continue"/>
            <w:tcBorders>
              <w:top w:val="nil"/>
            </w:tcBorders>
            <w:vAlign w:val="top"/>
          </w:tcPr>
          <w:p w14:paraId="42FDB9C0">
            <w:pPr>
              <w:rPr>
                <w:rFonts w:ascii="Arial"/>
                <w:sz w:val="21"/>
              </w:rPr>
            </w:pPr>
          </w:p>
        </w:tc>
      </w:tr>
    </w:tbl>
    <w:p w14:paraId="4CDD69C8">
      <w:pPr>
        <w:pStyle w:val="2"/>
      </w:pPr>
    </w:p>
    <w:p w14:paraId="3D1A9414">
      <w:pPr>
        <w:sectPr>
          <w:footerReference r:id="rId98" w:type="default"/>
          <w:pgSz w:w="16839" w:h="11906"/>
          <w:pgMar w:top="1012" w:right="821" w:bottom="666" w:left="901" w:header="0" w:footer="388" w:gutter="0"/>
          <w:cols w:space="720" w:num="1"/>
        </w:sectPr>
      </w:pPr>
    </w:p>
    <w:p w14:paraId="52821983">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892C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0DEBC08">
            <w:pPr>
              <w:spacing w:before="222" w:line="241" w:lineRule="auto"/>
              <w:ind w:left="131"/>
              <w:rPr>
                <w:rFonts w:ascii="黑体" w:hAnsi="黑体" w:eastAsia="黑体" w:cs="黑体"/>
                <w:sz w:val="28"/>
                <w:szCs w:val="28"/>
              </w:rPr>
            </w:pPr>
            <w:bookmarkStart w:id="486" w:name="bookmark518"/>
            <w:bookmarkEnd w:id="486"/>
            <w:r>
              <w:rPr>
                <w:rFonts w:ascii="黑体" w:hAnsi="黑体" w:eastAsia="黑体" w:cs="黑体"/>
                <w:spacing w:val="-2"/>
                <w:sz w:val="28"/>
                <w:szCs w:val="28"/>
              </w:rPr>
              <w:t>序号</w:t>
            </w:r>
          </w:p>
        </w:tc>
        <w:tc>
          <w:tcPr>
            <w:tcW w:w="1440" w:type="dxa"/>
            <w:vAlign w:val="top"/>
          </w:tcPr>
          <w:p w14:paraId="45E69E1E">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F5CC1F2">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26077FE">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58C5152">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05B4BF3">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A070DEE">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9636010">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09BF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18" w:type="dxa"/>
            <w:vMerge w:val="restart"/>
            <w:tcBorders>
              <w:bottom w:val="nil"/>
            </w:tcBorders>
            <w:vAlign w:val="top"/>
          </w:tcPr>
          <w:p w14:paraId="4E0859BC">
            <w:pPr>
              <w:rPr>
                <w:rFonts w:ascii="Arial"/>
                <w:sz w:val="21"/>
              </w:rPr>
            </w:pPr>
          </w:p>
        </w:tc>
        <w:tc>
          <w:tcPr>
            <w:tcW w:w="1440" w:type="dxa"/>
            <w:vMerge w:val="restart"/>
            <w:tcBorders>
              <w:bottom w:val="nil"/>
            </w:tcBorders>
            <w:vAlign w:val="top"/>
          </w:tcPr>
          <w:p w14:paraId="030E2655">
            <w:pPr>
              <w:rPr>
                <w:rFonts w:ascii="Arial"/>
                <w:sz w:val="21"/>
              </w:rPr>
            </w:pPr>
          </w:p>
        </w:tc>
        <w:tc>
          <w:tcPr>
            <w:tcW w:w="3202" w:type="dxa"/>
            <w:vMerge w:val="restart"/>
            <w:tcBorders>
              <w:bottom w:val="nil"/>
            </w:tcBorders>
            <w:vAlign w:val="top"/>
          </w:tcPr>
          <w:p w14:paraId="7D8C8B2A">
            <w:pPr>
              <w:pStyle w:val="6"/>
              <w:spacing w:before="33" w:line="182" w:lineRule="auto"/>
              <w:ind w:left="118" w:right="107" w:firstLine="7"/>
            </w:pPr>
            <w:r>
              <w:rPr>
                <w:spacing w:val="12"/>
              </w:rPr>
              <w:t>为</w:t>
            </w:r>
            <w:r>
              <w:rPr>
                <w:rFonts w:ascii="宋体" w:hAnsi="宋体" w:eastAsia="宋体" w:cs="宋体"/>
                <w:spacing w:val="12"/>
              </w:rPr>
              <w:t>3</w:t>
            </w:r>
            <w:r>
              <w:rPr>
                <w:spacing w:val="12"/>
              </w:rPr>
              <w:t>年。企业安全生产许可</w:t>
            </w:r>
            <w:r>
              <w:rPr>
                <w:spacing w:val="17"/>
              </w:rPr>
              <w:t>证有效期届满后继续生产危</w:t>
            </w:r>
            <w:r>
              <w:rPr>
                <w:spacing w:val="13"/>
              </w:rPr>
              <w:t>险化学品的，应当在安全生产许可证有效期届满前</w:t>
            </w:r>
            <w:r>
              <w:rPr>
                <w:rFonts w:ascii="宋体" w:hAnsi="宋体" w:eastAsia="宋体" w:cs="宋体"/>
                <w:spacing w:val="13"/>
              </w:rPr>
              <w:t>3</w:t>
            </w:r>
            <w:r>
              <w:rPr>
                <w:spacing w:val="13"/>
              </w:rPr>
              <w:t>个月提出延期申请，并提交延</w:t>
            </w:r>
            <w:r>
              <w:rPr>
                <w:spacing w:val="17"/>
              </w:rPr>
              <w:t>期申请书和本办法第二十五</w:t>
            </w:r>
            <w:r>
              <w:rPr>
                <w:spacing w:val="5"/>
              </w:rPr>
              <w:t>条规定的申请文件、资料。</w:t>
            </w:r>
          </w:p>
          <w:p w14:paraId="28F19F5C">
            <w:pPr>
              <w:pStyle w:val="6"/>
              <w:spacing w:before="11" w:line="182" w:lineRule="auto"/>
              <w:ind w:left="98" w:right="39" w:firstLine="19"/>
            </w:pPr>
            <w:r>
              <w:rPr>
                <w:rFonts w:ascii="宋体" w:hAnsi="宋体" w:eastAsia="宋体" w:cs="宋体"/>
                <w:spacing w:val="15"/>
              </w:rPr>
              <w:t>3.</w:t>
            </w:r>
            <w:r>
              <w:rPr>
                <w:spacing w:val="15"/>
              </w:rPr>
              <w:t>【部门规章】《非煤矿矿</w:t>
            </w:r>
            <w:r>
              <w:rPr>
                <w:spacing w:val="18"/>
              </w:rPr>
              <w:t>山企业安全生产许可证实施办法》第十九条第一款、第</w:t>
            </w:r>
            <w:r>
              <w:rPr>
                <w:spacing w:val="14"/>
              </w:rPr>
              <w:t>二款：安全生产许可证的有效期为</w:t>
            </w:r>
            <w:r>
              <w:rPr>
                <w:rFonts w:ascii="宋体" w:hAnsi="宋体" w:eastAsia="宋体" w:cs="宋体"/>
                <w:spacing w:val="14"/>
              </w:rPr>
              <w:t>3</w:t>
            </w:r>
            <w:r>
              <w:rPr>
                <w:spacing w:val="14"/>
              </w:rPr>
              <w:t>年。安全生产许可</w:t>
            </w:r>
            <w:r>
              <w:rPr>
                <w:spacing w:val="15"/>
              </w:rPr>
              <w:t>证有效期满后需要延期的，</w:t>
            </w:r>
            <w:r>
              <w:rPr>
                <w:spacing w:val="18"/>
              </w:rPr>
              <w:t>非煤矿矿山企业应当在安全</w:t>
            </w:r>
            <w:r>
              <w:rPr>
                <w:spacing w:val="20"/>
              </w:rPr>
              <w:t>生产许可证有效期届满前</w:t>
            </w:r>
            <w:r>
              <w:rPr>
                <w:rFonts w:ascii="宋体" w:hAnsi="宋体" w:eastAsia="宋体" w:cs="宋体"/>
                <w:spacing w:val="20"/>
              </w:rPr>
              <w:t>3</w:t>
            </w:r>
            <w:r>
              <w:rPr>
                <w:spacing w:val="18"/>
              </w:rPr>
              <w:t>个月向原安全生产许可证颁发管理机关申请办理延期手</w:t>
            </w:r>
            <w:r>
              <w:rPr>
                <w:spacing w:val="2"/>
              </w:rPr>
              <w:t>续，并提交下列文件、资料：</w:t>
            </w:r>
            <w:r>
              <w:rPr>
                <w:spacing w:val="10"/>
              </w:rPr>
              <w:t>（一）延期申请书</w:t>
            </w:r>
            <w:r>
              <w:rPr>
                <w:spacing w:val="-13"/>
              </w:rPr>
              <w:t>；（</w:t>
            </w:r>
            <w:r>
              <w:rPr>
                <w:spacing w:val="10"/>
              </w:rPr>
              <w:t>二）</w:t>
            </w:r>
            <w:r>
              <w:rPr>
                <w:spacing w:val="41"/>
              </w:rPr>
              <w:t>安全生产许可证正本和副</w:t>
            </w:r>
            <w:r>
              <w:rPr>
                <w:spacing w:val="21"/>
              </w:rPr>
              <w:t>本</w:t>
            </w:r>
            <w:r>
              <w:rPr>
                <w:spacing w:val="-13"/>
              </w:rPr>
              <w:t>；（</w:t>
            </w:r>
            <w:r>
              <w:rPr>
                <w:spacing w:val="21"/>
              </w:rPr>
              <w:t>三）本实施办法第二</w:t>
            </w:r>
            <w:r>
              <w:rPr>
                <w:spacing w:val="7"/>
              </w:rPr>
              <w:t>章规定的相应文件、资料。</w:t>
            </w:r>
          </w:p>
          <w:p w14:paraId="0ADFEBB5">
            <w:pPr>
              <w:pStyle w:val="6"/>
              <w:spacing w:before="7" w:line="186" w:lineRule="auto"/>
              <w:ind w:left="117" w:right="111" w:firstLine="2"/>
            </w:pPr>
            <w:r>
              <w:rPr>
                <w:spacing w:val="17"/>
              </w:rPr>
              <w:t>金属非金属矿山独立生产系</w:t>
            </w:r>
            <w:r>
              <w:rPr>
                <w:spacing w:val="10"/>
              </w:rPr>
              <w:t>统和尾矿库，以及石油天然</w:t>
            </w:r>
            <w:r>
              <w:rPr>
                <w:spacing w:val="17"/>
              </w:rPr>
              <w:t>气独立生产系统和作业单位还应当提交由具备相应资质的中介服务机构出具的合格</w:t>
            </w:r>
            <w:r>
              <w:rPr>
                <w:spacing w:val="4"/>
              </w:rPr>
              <w:t>的安全现状评价报告。</w:t>
            </w:r>
          </w:p>
        </w:tc>
        <w:tc>
          <w:tcPr>
            <w:tcW w:w="2859" w:type="dxa"/>
            <w:vMerge w:val="restart"/>
            <w:tcBorders>
              <w:bottom w:val="nil"/>
            </w:tcBorders>
            <w:vAlign w:val="top"/>
          </w:tcPr>
          <w:p w14:paraId="2693C38F">
            <w:pPr>
              <w:pStyle w:val="6"/>
              <w:spacing w:before="34" w:line="182" w:lineRule="auto"/>
              <w:ind w:left="117" w:right="38" w:firstLine="10"/>
            </w:pPr>
            <w:r>
              <w:rPr>
                <w:spacing w:val="7"/>
              </w:rPr>
              <w:t>第十九条：违反本条例规</w:t>
            </w:r>
            <w:r>
              <w:rPr>
                <w:spacing w:val="8"/>
              </w:rPr>
              <w:t>定，未取得安全生产许可证擅自进行生产的，责令</w:t>
            </w:r>
            <w:r>
              <w:rPr>
                <w:spacing w:val="-6"/>
              </w:rPr>
              <w:t>停止生产，没收违法所得，</w:t>
            </w:r>
            <w:r>
              <w:rPr>
                <w:spacing w:val="-1"/>
              </w:rPr>
              <w:t>并处</w:t>
            </w:r>
            <w:r>
              <w:rPr>
                <w:rFonts w:ascii="宋体" w:hAnsi="宋体" w:eastAsia="宋体" w:cs="宋体"/>
                <w:spacing w:val="-1"/>
              </w:rPr>
              <w:t>10</w:t>
            </w:r>
            <w:r>
              <w:rPr>
                <w:spacing w:val="-1"/>
              </w:rPr>
              <w:t>万元以上</w:t>
            </w:r>
            <w:r>
              <w:rPr>
                <w:rFonts w:ascii="宋体" w:hAnsi="宋体" w:eastAsia="宋体" w:cs="宋体"/>
                <w:spacing w:val="-1"/>
              </w:rPr>
              <w:t>50</w:t>
            </w:r>
            <w:r>
              <w:rPr>
                <w:spacing w:val="-1"/>
              </w:rPr>
              <w:t>万元</w:t>
            </w:r>
            <w:r>
              <w:rPr>
                <w:spacing w:val="8"/>
              </w:rPr>
              <w:t>以下的罚款；造成重大事</w:t>
            </w:r>
            <w:r>
              <w:rPr>
                <w:spacing w:val="2"/>
              </w:rPr>
              <w:t>故或者其他严重后果，构</w:t>
            </w:r>
            <w:r>
              <w:rPr>
                <w:spacing w:val="8"/>
              </w:rPr>
              <w:t>成犯罪的，依法追究刑事</w:t>
            </w:r>
            <w:r>
              <w:rPr>
                <w:spacing w:val="-4"/>
              </w:rPr>
              <w:t>责任。</w:t>
            </w:r>
          </w:p>
          <w:p w14:paraId="6FBEB687">
            <w:pPr>
              <w:pStyle w:val="6"/>
              <w:spacing w:before="2" w:line="182" w:lineRule="auto"/>
              <w:ind w:left="126" w:right="110" w:hanging="10"/>
            </w:pPr>
            <w:r>
              <w:rPr>
                <w:rFonts w:ascii="宋体" w:hAnsi="宋体" w:eastAsia="宋体" w:cs="宋体"/>
                <w:spacing w:val="7"/>
              </w:rPr>
              <w:t>2.</w:t>
            </w:r>
            <w:r>
              <w:rPr>
                <w:spacing w:val="7"/>
              </w:rPr>
              <w:t>【部门规章】《危险化学品生产企业安全生产许可证实施办法》第四十六</w:t>
            </w:r>
          </w:p>
          <w:p w14:paraId="06E6805F">
            <w:pPr>
              <w:pStyle w:val="6"/>
              <w:spacing w:before="7" w:line="182" w:lineRule="auto"/>
              <w:ind w:left="118" w:right="38"/>
            </w:pPr>
            <w:r>
              <w:rPr>
                <w:spacing w:val="8"/>
              </w:rPr>
              <w:t>条：企业在安全生产许可证有效期届满未办理延期</w:t>
            </w:r>
            <w:r>
              <w:rPr>
                <w:spacing w:val="7"/>
              </w:rPr>
              <w:t>手续，继续进行生产的，</w:t>
            </w:r>
            <w:r>
              <w:rPr>
                <w:spacing w:val="8"/>
              </w:rPr>
              <w:t>责令停止生产，限期补办</w:t>
            </w:r>
            <w:r>
              <w:rPr>
                <w:spacing w:val="-6"/>
              </w:rPr>
              <w:t>延期手续，没收违法所得，</w:t>
            </w:r>
            <w:r>
              <w:rPr>
                <w:spacing w:val="13"/>
              </w:rPr>
              <w:t>并处</w:t>
            </w:r>
            <w:r>
              <w:rPr>
                <w:rFonts w:ascii="宋体" w:hAnsi="宋体" w:eastAsia="宋体" w:cs="宋体"/>
                <w:spacing w:val="13"/>
              </w:rPr>
              <w:t>5</w:t>
            </w:r>
            <w:r>
              <w:rPr>
                <w:spacing w:val="13"/>
              </w:rPr>
              <w:t>万元以上</w:t>
            </w:r>
            <w:r>
              <w:rPr>
                <w:rFonts w:ascii="宋体" w:hAnsi="宋体" w:eastAsia="宋体" w:cs="宋体"/>
                <w:spacing w:val="13"/>
              </w:rPr>
              <w:t>10</w:t>
            </w:r>
            <w:r>
              <w:rPr>
                <w:spacing w:val="13"/>
              </w:rPr>
              <w:t>万元以</w:t>
            </w:r>
            <w:r>
              <w:rPr>
                <w:spacing w:val="8"/>
              </w:rPr>
              <w:t>下的罚款；逾期仍不办理延期手续，继续进行生产的，依照本办法第四十五</w:t>
            </w:r>
            <w:r>
              <w:rPr>
                <w:spacing w:val="4"/>
              </w:rPr>
              <w:t>条的规定进行处罚。</w:t>
            </w:r>
          </w:p>
          <w:p w14:paraId="219758AE">
            <w:pPr>
              <w:pStyle w:val="6"/>
              <w:spacing w:before="4" w:line="182" w:lineRule="auto"/>
              <w:ind w:left="118" w:right="38" w:firstLine="9"/>
            </w:pPr>
            <w:r>
              <w:rPr>
                <w:spacing w:val="7"/>
              </w:rPr>
              <w:t>第四十五条第一项：企业</w:t>
            </w:r>
            <w:r>
              <w:rPr>
                <w:spacing w:val="8"/>
              </w:rPr>
              <w:t>有下列情形之一的，责令</w:t>
            </w:r>
            <w:r>
              <w:rPr>
                <w:spacing w:val="2"/>
              </w:rPr>
              <w:t>停止生产危险化学品，没</w:t>
            </w:r>
            <w:r>
              <w:rPr>
                <w:spacing w:val="-7"/>
              </w:rPr>
              <w:t>收违法所得，并处</w:t>
            </w:r>
            <w:r>
              <w:rPr>
                <w:rFonts w:ascii="宋体" w:hAnsi="宋体" w:eastAsia="宋体" w:cs="宋体"/>
                <w:spacing w:val="-7"/>
              </w:rPr>
              <w:t>10</w:t>
            </w:r>
            <w:r>
              <w:rPr>
                <w:spacing w:val="-7"/>
              </w:rPr>
              <w:t>万元</w:t>
            </w:r>
            <w:r>
              <w:t>以上</w:t>
            </w:r>
            <w:r>
              <w:rPr>
                <w:rFonts w:ascii="宋体" w:hAnsi="宋体" w:eastAsia="宋体" w:cs="宋体"/>
              </w:rPr>
              <w:t>50</w:t>
            </w:r>
            <w:r>
              <w:t>万元以下的罚款；</w:t>
            </w:r>
            <w:r>
              <w:rPr>
                <w:spacing w:val="8"/>
              </w:rPr>
              <w:t>构成犯罪的，依法追究刑</w:t>
            </w:r>
          </w:p>
          <w:p w14:paraId="47E5C1EB">
            <w:pPr>
              <w:pStyle w:val="6"/>
              <w:spacing w:before="2" w:line="171" w:lineRule="auto"/>
              <w:ind w:left="117" w:right="110" w:firstLine="5"/>
            </w:pPr>
            <w:r>
              <w:rPr>
                <w:spacing w:val="-2"/>
              </w:rPr>
              <w:t>事责任</w:t>
            </w:r>
            <w:r>
              <w:rPr>
                <w:spacing w:val="-15"/>
              </w:rPr>
              <w:t>：（</w:t>
            </w:r>
            <w:r>
              <w:rPr>
                <w:spacing w:val="-2"/>
              </w:rPr>
              <w:t>一）未取得安</w:t>
            </w:r>
            <w:r>
              <w:rPr>
                <w:spacing w:val="8"/>
              </w:rPr>
              <w:t>全生产许可证，擅自进行</w:t>
            </w:r>
          </w:p>
        </w:tc>
        <w:tc>
          <w:tcPr>
            <w:tcW w:w="803" w:type="dxa"/>
            <w:vAlign w:val="top"/>
          </w:tcPr>
          <w:p w14:paraId="45006EB6">
            <w:pPr>
              <w:rPr>
                <w:rFonts w:ascii="Arial"/>
                <w:sz w:val="21"/>
              </w:rPr>
            </w:pPr>
          </w:p>
        </w:tc>
        <w:tc>
          <w:tcPr>
            <w:tcW w:w="2283" w:type="dxa"/>
            <w:vAlign w:val="top"/>
          </w:tcPr>
          <w:p w14:paraId="2AB289CF">
            <w:pPr>
              <w:rPr>
                <w:rFonts w:ascii="Arial"/>
                <w:sz w:val="21"/>
              </w:rPr>
            </w:pPr>
          </w:p>
        </w:tc>
        <w:tc>
          <w:tcPr>
            <w:tcW w:w="2894" w:type="dxa"/>
            <w:vAlign w:val="top"/>
          </w:tcPr>
          <w:p w14:paraId="32261179">
            <w:pPr>
              <w:pStyle w:val="6"/>
              <w:spacing w:before="29" w:line="172" w:lineRule="auto"/>
              <w:ind w:left="123" w:right="105" w:firstLine="17"/>
            </w:pPr>
            <w:r>
              <w:rPr>
                <w:spacing w:val="-3"/>
              </w:rPr>
              <w:t>的，适用本基准第</w:t>
            </w:r>
            <w:r>
              <w:rPr>
                <w:rFonts w:ascii="宋体" w:hAnsi="宋体" w:eastAsia="宋体" w:cs="宋体"/>
                <w:spacing w:val="-3"/>
              </w:rPr>
              <w:t>80</w:t>
            </w:r>
            <w:r>
              <w:rPr>
                <w:spacing w:val="-3"/>
              </w:rPr>
              <w:t>项实</w:t>
            </w:r>
            <w:r>
              <w:rPr>
                <w:spacing w:val="3"/>
              </w:rPr>
              <w:t>施处罚</w:t>
            </w:r>
          </w:p>
        </w:tc>
        <w:tc>
          <w:tcPr>
            <w:tcW w:w="811" w:type="dxa"/>
            <w:vMerge w:val="restart"/>
            <w:tcBorders>
              <w:bottom w:val="nil"/>
            </w:tcBorders>
            <w:vAlign w:val="top"/>
          </w:tcPr>
          <w:p w14:paraId="53B9675C">
            <w:pPr>
              <w:rPr>
                <w:rFonts w:ascii="Arial"/>
                <w:sz w:val="21"/>
              </w:rPr>
            </w:pPr>
          </w:p>
        </w:tc>
      </w:tr>
      <w:tr w14:paraId="2B115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3" w:hRule="atLeast"/>
        </w:trPr>
        <w:tc>
          <w:tcPr>
            <w:tcW w:w="818" w:type="dxa"/>
            <w:vMerge w:val="continue"/>
            <w:tcBorders>
              <w:top w:val="nil"/>
            </w:tcBorders>
            <w:vAlign w:val="top"/>
          </w:tcPr>
          <w:p w14:paraId="26455DF5">
            <w:pPr>
              <w:rPr>
                <w:rFonts w:ascii="Arial"/>
                <w:sz w:val="21"/>
              </w:rPr>
            </w:pPr>
          </w:p>
        </w:tc>
        <w:tc>
          <w:tcPr>
            <w:tcW w:w="1440" w:type="dxa"/>
            <w:vMerge w:val="continue"/>
            <w:tcBorders>
              <w:top w:val="nil"/>
            </w:tcBorders>
            <w:vAlign w:val="top"/>
          </w:tcPr>
          <w:p w14:paraId="15870357">
            <w:pPr>
              <w:rPr>
                <w:rFonts w:ascii="Arial"/>
                <w:sz w:val="21"/>
              </w:rPr>
            </w:pPr>
          </w:p>
        </w:tc>
        <w:tc>
          <w:tcPr>
            <w:tcW w:w="3202" w:type="dxa"/>
            <w:vMerge w:val="continue"/>
            <w:tcBorders>
              <w:top w:val="nil"/>
            </w:tcBorders>
            <w:vAlign w:val="top"/>
          </w:tcPr>
          <w:p w14:paraId="44EC856C">
            <w:pPr>
              <w:rPr>
                <w:rFonts w:ascii="Arial"/>
                <w:sz w:val="21"/>
              </w:rPr>
            </w:pPr>
          </w:p>
        </w:tc>
        <w:tc>
          <w:tcPr>
            <w:tcW w:w="2859" w:type="dxa"/>
            <w:vMerge w:val="continue"/>
            <w:tcBorders>
              <w:top w:val="nil"/>
            </w:tcBorders>
            <w:vAlign w:val="top"/>
          </w:tcPr>
          <w:p w14:paraId="5ECFC569">
            <w:pPr>
              <w:rPr>
                <w:rFonts w:ascii="Arial"/>
                <w:sz w:val="21"/>
              </w:rPr>
            </w:pPr>
          </w:p>
        </w:tc>
        <w:tc>
          <w:tcPr>
            <w:tcW w:w="803" w:type="dxa"/>
            <w:vAlign w:val="top"/>
          </w:tcPr>
          <w:p w14:paraId="32788751">
            <w:pPr>
              <w:spacing w:line="251" w:lineRule="auto"/>
              <w:rPr>
                <w:rFonts w:ascii="Arial"/>
                <w:sz w:val="21"/>
              </w:rPr>
            </w:pPr>
          </w:p>
          <w:p w14:paraId="4608DE3B">
            <w:pPr>
              <w:spacing w:line="251" w:lineRule="auto"/>
              <w:rPr>
                <w:rFonts w:ascii="Arial"/>
                <w:sz w:val="21"/>
              </w:rPr>
            </w:pPr>
          </w:p>
          <w:p w14:paraId="16B8AE16">
            <w:pPr>
              <w:spacing w:line="251" w:lineRule="auto"/>
              <w:rPr>
                <w:rFonts w:ascii="Arial"/>
                <w:sz w:val="21"/>
              </w:rPr>
            </w:pPr>
          </w:p>
          <w:p w14:paraId="20BA840F">
            <w:pPr>
              <w:spacing w:line="251" w:lineRule="auto"/>
              <w:rPr>
                <w:rFonts w:ascii="Arial"/>
                <w:sz w:val="21"/>
              </w:rPr>
            </w:pPr>
          </w:p>
          <w:p w14:paraId="4E9A8AEE">
            <w:pPr>
              <w:spacing w:line="251" w:lineRule="auto"/>
              <w:rPr>
                <w:rFonts w:ascii="Arial"/>
                <w:sz w:val="21"/>
              </w:rPr>
            </w:pPr>
          </w:p>
          <w:p w14:paraId="7FED5BBF">
            <w:pPr>
              <w:spacing w:line="251" w:lineRule="auto"/>
              <w:rPr>
                <w:rFonts w:ascii="Arial"/>
                <w:sz w:val="21"/>
              </w:rPr>
            </w:pPr>
          </w:p>
          <w:p w14:paraId="341057F4">
            <w:pPr>
              <w:spacing w:line="251" w:lineRule="auto"/>
              <w:rPr>
                <w:rFonts w:ascii="Arial"/>
                <w:sz w:val="21"/>
              </w:rPr>
            </w:pPr>
          </w:p>
          <w:p w14:paraId="66CF7956">
            <w:pPr>
              <w:spacing w:line="251" w:lineRule="auto"/>
              <w:rPr>
                <w:rFonts w:ascii="Arial"/>
                <w:sz w:val="21"/>
              </w:rPr>
            </w:pPr>
          </w:p>
          <w:p w14:paraId="154A35CE">
            <w:pPr>
              <w:spacing w:line="251" w:lineRule="auto"/>
              <w:rPr>
                <w:rFonts w:ascii="Arial"/>
                <w:sz w:val="21"/>
              </w:rPr>
            </w:pPr>
          </w:p>
          <w:p w14:paraId="6ED56C28">
            <w:pPr>
              <w:spacing w:line="251" w:lineRule="auto"/>
              <w:rPr>
                <w:rFonts w:ascii="Arial"/>
                <w:sz w:val="21"/>
              </w:rPr>
            </w:pPr>
          </w:p>
          <w:p w14:paraId="695EDDC2">
            <w:pPr>
              <w:spacing w:line="251" w:lineRule="auto"/>
              <w:rPr>
                <w:rFonts w:ascii="Arial"/>
                <w:sz w:val="21"/>
              </w:rPr>
            </w:pPr>
          </w:p>
          <w:p w14:paraId="33403972">
            <w:pPr>
              <w:spacing w:line="251" w:lineRule="auto"/>
              <w:rPr>
                <w:rFonts w:ascii="Arial"/>
                <w:sz w:val="21"/>
              </w:rPr>
            </w:pPr>
          </w:p>
          <w:p w14:paraId="1BB98C60">
            <w:pPr>
              <w:spacing w:line="251" w:lineRule="auto"/>
              <w:rPr>
                <w:rFonts w:ascii="Arial"/>
                <w:sz w:val="21"/>
              </w:rPr>
            </w:pPr>
          </w:p>
          <w:p w14:paraId="2A7A4A33">
            <w:pPr>
              <w:spacing w:line="251" w:lineRule="auto"/>
              <w:rPr>
                <w:rFonts w:ascii="Arial"/>
                <w:sz w:val="21"/>
              </w:rPr>
            </w:pPr>
          </w:p>
          <w:p w14:paraId="66188735">
            <w:pPr>
              <w:spacing w:line="252" w:lineRule="auto"/>
              <w:rPr>
                <w:rFonts w:ascii="Arial"/>
                <w:sz w:val="21"/>
              </w:rPr>
            </w:pPr>
          </w:p>
          <w:p w14:paraId="0B612595">
            <w:pPr>
              <w:spacing w:line="252" w:lineRule="auto"/>
              <w:rPr>
                <w:rFonts w:ascii="Arial"/>
                <w:sz w:val="21"/>
              </w:rPr>
            </w:pPr>
          </w:p>
          <w:p w14:paraId="19D14F57">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6C638B9">
            <w:pPr>
              <w:spacing w:line="253" w:lineRule="auto"/>
              <w:rPr>
                <w:rFonts w:ascii="Arial"/>
                <w:sz w:val="21"/>
              </w:rPr>
            </w:pPr>
          </w:p>
          <w:p w14:paraId="47E84545">
            <w:pPr>
              <w:spacing w:line="253" w:lineRule="auto"/>
              <w:rPr>
                <w:rFonts w:ascii="Arial"/>
                <w:sz w:val="21"/>
              </w:rPr>
            </w:pPr>
          </w:p>
          <w:p w14:paraId="33CB7238">
            <w:pPr>
              <w:spacing w:line="253" w:lineRule="auto"/>
              <w:rPr>
                <w:rFonts w:ascii="Arial"/>
                <w:sz w:val="21"/>
              </w:rPr>
            </w:pPr>
          </w:p>
          <w:p w14:paraId="5532A40C">
            <w:pPr>
              <w:spacing w:line="253" w:lineRule="auto"/>
              <w:rPr>
                <w:rFonts w:ascii="Arial"/>
                <w:sz w:val="21"/>
              </w:rPr>
            </w:pPr>
          </w:p>
          <w:p w14:paraId="1EAB1956">
            <w:pPr>
              <w:spacing w:line="253" w:lineRule="auto"/>
              <w:rPr>
                <w:rFonts w:ascii="Arial"/>
                <w:sz w:val="21"/>
              </w:rPr>
            </w:pPr>
          </w:p>
          <w:p w14:paraId="4A666126">
            <w:pPr>
              <w:spacing w:line="253" w:lineRule="auto"/>
              <w:rPr>
                <w:rFonts w:ascii="Arial"/>
                <w:sz w:val="21"/>
              </w:rPr>
            </w:pPr>
          </w:p>
          <w:p w14:paraId="2B8D5585">
            <w:pPr>
              <w:spacing w:line="253" w:lineRule="auto"/>
              <w:rPr>
                <w:rFonts w:ascii="Arial"/>
                <w:sz w:val="21"/>
              </w:rPr>
            </w:pPr>
          </w:p>
          <w:p w14:paraId="00217100">
            <w:pPr>
              <w:spacing w:line="253" w:lineRule="auto"/>
              <w:rPr>
                <w:rFonts w:ascii="Arial"/>
                <w:sz w:val="21"/>
              </w:rPr>
            </w:pPr>
          </w:p>
          <w:p w14:paraId="11C9CAF0">
            <w:pPr>
              <w:spacing w:line="253" w:lineRule="auto"/>
              <w:rPr>
                <w:rFonts w:ascii="Arial"/>
                <w:sz w:val="21"/>
              </w:rPr>
            </w:pPr>
          </w:p>
          <w:p w14:paraId="5D7B0FB3">
            <w:pPr>
              <w:spacing w:line="254" w:lineRule="auto"/>
              <w:rPr>
                <w:rFonts w:ascii="Arial"/>
                <w:sz w:val="21"/>
              </w:rPr>
            </w:pPr>
          </w:p>
          <w:p w14:paraId="1924937E">
            <w:pPr>
              <w:spacing w:line="254" w:lineRule="auto"/>
              <w:rPr>
                <w:rFonts w:ascii="Arial"/>
                <w:sz w:val="21"/>
              </w:rPr>
            </w:pPr>
          </w:p>
          <w:p w14:paraId="079D3680">
            <w:pPr>
              <w:spacing w:line="254" w:lineRule="auto"/>
              <w:rPr>
                <w:rFonts w:ascii="Arial"/>
                <w:sz w:val="21"/>
              </w:rPr>
            </w:pPr>
          </w:p>
          <w:p w14:paraId="75585058">
            <w:pPr>
              <w:spacing w:line="254" w:lineRule="auto"/>
              <w:rPr>
                <w:rFonts w:ascii="Arial"/>
                <w:sz w:val="21"/>
              </w:rPr>
            </w:pPr>
          </w:p>
          <w:p w14:paraId="7F19C26D">
            <w:pPr>
              <w:spacing w:line="254" w:lineRule="auto"/>
              <w:rPr>
                <w:rFonts w:ascii="Arial"/>
                <w:sz w:val="21"/>
              </w:rPr>
            </w:pPr>
          </w:p>
          <w:p w14:paraId="240534B8">
            <w:pPr>
              <w:spacing w:line="254" w:lineRule="auto"/>
              <w:rPr>
                <w:rFonts w:ascii="Arial"/>
                <w:sz w:val="21"/>
              </w:rPr>
            </w:pPr>
          </w:p>
          <w:p w14:paraId="46C9F201">
            <w:pPr>
              <w:pStyle w:val="6"/>
              <w:spacing w:before="99" w:line="197" w:lineRule="auto"/>
              <w:ind w:left="122" w:right="106" w:hanging="5"/>
            </w:pPr>
            <w:r>
              <w:rPr>
                <w:spacing w:val="3"/>
              </w:rPr>
              <w:t>违法所得</w:t>
            </w:r>
            <w:r>
              <w:rPr>
                <w:rFonts w:ascii="宋体" w:hAnsi="宋体" w:eastAsia="宋体" w:cs="宋体"/>
                <w:spacing w:val="3"/>
              </w:rPr>
              <w:t>10</w:t>
            </w:r>
            <w:r>
              <w:rPr>
                <w:spacing w:val="3"/>
              </w:rPr>
              <w:t>万元以</w:t>
            </w:r>
            <w:r>
              <w:t>上的</w:t>
            </w:r>
          </w:p>
        </w:tc>
        <w:tc>
          <w:tcPr>
            <w:tcW w:w="2894" w:type="dxa"/>
            <w:vAlign w:val="top"/>
          </w:tcPr>
          <w:p w14:paraId="173891F5">
            <w:pPr>
              <w:spacing w:line="254" w:lineRule="auto"/>
              <w:rPr>
                <w:rFonts w:ascii="Arial"/>
                <w:sz w:val="21"/>
              </w:rPr>
            </w:pPr>
          </w:p>
          <w:p w14:paraId="3801B70E">
            <w:pPr>
              <w:spacing w:line="254" w:lineRule="auto"/>
              <w:rPr>
                <w:rFonts w:ascii="Arial"/>
                <w:sz w:val="21"/>
              </w:rPr>
            </w:pPr>
          </w:p>
          <w:p w14:paraId="52AF2A15">
            <w:pPr>
              <w:spacing w:line="255" w:lineRule="auto"/>
              <w:rPr>
                <w:rFonts w:ascii="Arial"/>
                <w:sz w:val="21"/>
              </w:rPr>
            </w:pPr>
          </w:p>
          <w:p w14:paraId="2BC325FB">
            <w:pPr>
              <w:spacing w:line="255" w:lineRule="auto"/>
              <w:rPr>
                <w:rFonts w:ascii="Arial"/>
                <w:sz w:val="21"/>
              </w:rPr>
            </w:pPr>
          </w:p>
          <w:p w14:paraId="4CAE2C3C">
            <w:pPr>
              <w:spacing w:line="255" w:lineRule="auto"/>
              <w:rPr>
                <w:rFonts w:ascii="Arial"/>
                <w:sz w:val="21"/>
              </w:rPr>
            </w:pPr>
          </w:p>
          <w:p w14:paraId="643A5BA8">
            <w:pPr>
              <w:spacing w:line="255" w:lineRule="auto"/>
              <w:rPr>
                <w:rFonts w:ascii="Arial"/>
                <w:sz w:val="21"/>
              </w:rPr>
            </w:pPr>
          </w:p>
          <w:p w14:paraId="258B7030">
            <w:pPr>
              <w:spacing w:line="255" w:lineRule="auto"/>
              <w:rPr>
                <w:rFonts w:ascii="Arial"/>
                <w:sz w:val="21"/>
              </w:rPr>
            </w:pPr>
          </w:p>
          <w:p w14:paraId="08A88E1E">
            <w:pPr>
              <w:spacing w:line="255" w:lineRule="auto"/>
              <w:rPr>
                <w:rFonts w:ascii="Arial"/>
                <w:sz w:val="21"/>
              </w:rPr>
            </w:pPr>
          </w:p>
          <w:p w14:paraId="07AC6842">
            <w:pPr>
              <w:spacing w:line="255" w:lineRule="auto"/>
              <w:rPr>
                <w:rFonts w:ascii="Arial"/>
                <w:sz w:val="21"/>
              </w:rPr>
            </w:pPr>
          </w:p>
          <w:p w14:paraId="759FAEB3">
            <w:pPr>
              <w:spacing w:line="255" w:lineRule="auto"/>
              <w:rPr>
                <w:rFonts w:ascii="Arial"/>
                <w:sz w:val="21"/>
              </w:rPr>
            </w:pPr>
          </w:p>
          <w:p w14:paraId="0D39B4E0">
            <w:pPr>
              <w:spacing w:line="255" w:lineRule="auto"/>
              <w:rPr>
                <w:rFonts w:ascii="Arial"/>
                <w:sz w:val="21"/>
              </w:rPr>
            </w:pPr>
          </w:p>
          <w:p w14:paraId="0BD37BAB">
            <w:pPr>
              <w:spacing w:line="255" w:lineRule="auto"/>
              <w:rPr>
                <w:rFonts w:ascii="Arial"/>
                <w:sz w:val="21"/>
              </w:rPr>
            </w:pPr>
          </w:p>
          <w:p w14:paraId="043454CD">
            <w:pPr>
              <w:pStyle w:val="6"/>
              <w:spacing w:before="98" w:line="186" w:lineRule="auto"/>
              <w:ind w:left="122" w:right="37" w:firstLine="4"/>
              <w:jc w:val="both"/>
            </w:pPr>
            <w:r>
              <w:rPr>
                <w:spacing w:val="6"/>
              </w:rPr>
              <w:t>责令停止生产，限期补办</w:t>
            </w:r>
            <w:r>
              <w:rPr>
                <w:spacing w:val="-3"/>
              </w:rPr>
              <w:t>延期手续，没收违法所得，</w:t>
            </w:r>
            <w:r>
              <w:rPr>
                <w:spacing w:val="9"/>
              </w:rPr>
              <w:t>并处</w:t>
            </w:r>
            <w:r>
              <w:rPr>
                <w:rFonts w:ascii="宋体" w:hAnsi="宋体" w:eastAsia="宋体" w:cs="宋体"/>
                <w:spacing w:val="9"/>
              </w:rPr>
              <w:t>9</w:t>
            </w:r>
            <w:r>
              <w:rPr>
                <w:spacing w:val="9"/>
              </w:rPr>
              <w:t>万元以上</w:t>
            </w:r>
            <w:r>
              <w:rPr>
                <w:rFonts w:ascii="宋体" w:hAnsi="宋体" w:eastAsia="宋体" w:cs="宋体"/>
                <w:spacing w:val="9"/>
              </w:rPr>
              <w:t>10</w:t>
            </w:r>
            <w:r>
              <w:rPr>
                <w:spacing w:val="9"/>
              </w:rPr>
              <w:t>万元以</w:t>
            </w:r>
            <w:r>
              <w:rPr>
                <w:spacing w:val="8"/>
              </w:rPr>
              <w:t>下的罚款；逾期仍不办理延期手续，继续进行生产</w:t>
            </w:r>
            <w:r>
              <w:rPr>
                <w:spacing w:val="-2"/>
              </w:rPr>
              <w:t>的，适用本基准第</w:t>
            </w:r>
            <w:r>
              <w:rPr>
                <w:rFonts w:ascii="宋体" w:hAnsi="宋体" w:eastAsia="宋体" w:cs="宋体"/>
                <w:spacing w:val="-2"/>
              </w:rPr>
              <w:t>80</w:t>
            </w:r>
            <w:r>
              <w:rPr>
                <w:spacing w:val="-2"/>
              </w:rPr>
              <w:t>项实</w:t>
            </w:r>
            <w:r>
              <w:rPr>
                <w:spacing w:val="3"/>
              </w:rPr>
              <w:t>施处罚</w:t>
            </w:r>
          </w:p>
        </w:tc>
        <w:tc>
          <w:tcPr>
            <w:tcW w:w="811" w:type="dxa"/>
            <w:vMerge w:val="continue"/>
            <w:tcBorders>
              <w:top w:val="nil"/>
            </w:tcBorders>
            <w:vAlign w:val="top"/>
          </w:tcPr>
          <w:p w14:paraId="2C758F29">
            <w:pPr>
              <w:rPr>
                <w:rFonts w:ascii="Arial"/>
                <w:sz w:val="21"/>
              </w:rPr>
            </w:pPr>
          </w:p>
        </w:tc>
      </w:tr>
    </w:tbl>
    <w:p w14:paraId="34031914">
      <w:pPr>
        <w:pStyle w:val="2"/>
      </w:pPr>
    </w:p>
    <w:p w14:paraId="3FE0B34B">
      <w:pPr>
        <w:sectPr>
          <w:footerReference r:id="rId99" w:type="default"/>
          <w:pgSz w:w="16839" w:h="11906"/>
          <w:pgMar w:top="1012" w:right="821" w:bottom="666" w:left="901" w:header="0" w:footer="388" w:gutter="0"/>
          <w:cols w:space="720" w:num="1"/>
        </w:sectPr>
      </w:pPr>
    </w:p>
    <w:p w14:paraId="676ADB28">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F750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AE6F3AC">
            <w:pPr>
              <w:spacing w:before="222" w:line="241" w:lineRule="auto"/>
              <w:ind w:left="131"/>
              <w:rPr>
                <w:rFonts w:ascii="黑体" w:hAnsi="黑体" w:eastAsia="黑体" w:cs="黑体"/>
                <w:sz w:val="28"/>
                <w:szCs w:val="28"/>
              </w:rPr>
            </w:pPr>
            <w:bookmarkStart w:id="487" w:name="bookmark519"/>
            <w:bookmarkEnd w:id="487"/>
            <w:r>
              <w:rPr>
                <w:rFonts w:ascii="黑体" w:hAnsi="黑体" w:eastAsia="黑体" w:cs="黑体"/>
                <w:spacing w:val="-2"/>
                <w:sz w:val="28"/>
                <w:szCs w:val="28"/>
              </w:rPr>
              <w:t>序号</w:t>
            </w:r>
          </w:p>
        </w:tc>
        <w:tc>
          <w:tcPr>
            <w:tcW w:w="1440" w:type="dxa"/>
            <w:vAlign w:val="top"/>
          </w:tcPr>
          <w:p w14:paraId="1FD795E8">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BDFAC74">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9EF3A56">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115D98E6">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51E06FA">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30B17F5">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AE8963A">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19C6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1" w:hRule="atLeast"/>
        </w:trPr>
        <w:tc>
          <w:tcPr>
            <w:tcW w:w="818" w:type="dxa"/>
            <w:vAlign w:val="top"/>
          </w:tcPr>
          <w:p w14:paraId="76A8C561">
            <w:pPr>
              <w:rPr>
                <w:rFonts w:ascii="Arial"/>
                <w:sz w:val="21"/>
              </w:rPr>
            </w:pPr>
          </w:p>
        </w:tc>
        <w:tc>
          <w:tcPr>
            <w:tcW w:w="1440" w:type="dxa"/>
            <w:vAlign w:val="top"/>
          </w:tcPr>
          <w:p w14:paraId="7A681D0F">
            <w:pPr>
              <w:rPr>
                <w:rFonts w:ascii="Arial"/>
                <w:sz w:val="21"/>
              </w:rPr>
            </w:pPr>
          </w:p>
        </w:tc>
        <w:tc>
          <w:tcPr>
            <w:tcW w:w="3202" w:type="dxa"/>
            <w:vAlign w:val="top"/>
          </w:tcPr>
          <w:p w14:paraId="47DB16ED">
            <w:pPr>
              <w:rPr>
                <w:rFonts w:ascii="Arial"/>
                <w:sz w:val="21"/>
              </w:rPr>
            </w:pPr>
          </w:p>
        </w:tc>
        <w:tc>
          <w:tcPr>
            <w:tcW w:w="2859" w:type="dxa"/>
            <w:vAlign w:val="top"/>
          </w:tcPr>
          <w:p w14:paraId="39CB8215">
            <w:pPr>
              <w:pStyle w:val="6"/>
              <w:spacing w:before="28" w:line="182" w:lineRule="auto"/>
              <w:ind w:left="117"/>
            </w:pPr>
            <w:r>
              <w:rPr>
                <w:spacing w:val="3"/>
              </w:rPr>
              <w:t>危险化学品生产的；</w:t>
            </w:r>
          </w:p>
          <w:p w14:paraId="3DF2048C">
            <w:pPr>
              <w:pStyle w:val="6"/>
              <w:spacing w:before="1" w:line="182" w:lineRule="auto"/>
              <w:ind w:left="118" w:right="110"/>
            </w:pPr>
            <w:r>
              <w:rPr>
                <w:rFonts w:ascii="宋体" w:hAnsi="宋体" w:eastAsia="宋体" w:cs="宋体"/>
                <w:spacing w:val="7"/>
              </w:rPr>
              <w:t>3.</w:t>
            </w:r>
            <w:r>
              <w:rPr>
                <w:spacing w:val="7"/>
              </w:rPr>
              <w:t>【部门规章】《非煤矿</w:t>
            </w:r>
            <w:r>
              <w:rPr>
                <w:spacing w:val="8"/>
              </w:rPr>
              <w:t>矿山企业安全生产许可证</w:t>
            </w:r>
          </w:p>
          <w:p w14:paraId="70E4896F">
            <w:pPr>
              <w:pStyle w:val="6"/>
              <w:spacing w:line="182" w:lineRule="auto"/>
              <w:ind w:left="129"/>
              <w:outlineLvl w:val="0"/>
            </w:pPr>
            <w:r>
              <w:rPr>
                <w:spacing w:val="5"/>
              </w:rPr>
              <w:t>实施办法》第四十五条：</w:t>
            </w:r>
          </w:p>
          <w:p w14:paraId="4F200123">
            <w:pPr>
              <w:pStyle w:val="6"/>
              <w:spacing w:before="8" w:line="182" w:lineRule="auto"/>
              <w:ind w:left="118" w:right="105" w:firstLine="8"/>
              <w:jc w:val="both"/>
            </w:pPr>
            <w:r>
              <w:rPr>
                <w:spacing w:val="7"/>
              </w:rPr>
              <w:t>非煤矿矿山企业在安全生</w:t>
            </w:r>
            <w:r>
              <w:rPr>
                <w:spacing w:val="8"/>
              </w:rPr>
              <w:t>产许可证有效期满未办理</w:t>
            </w:r>
            <w:bookmarkStart w:id="488" w:name="bookmark171"/>
            <w:bookmarkEnd w:id="488"/>
            <w:r>
              <w:rPr>
                <w:spacing w:val="8"/>
              </w:rPr>
              <w:t>延期手续，继续进行生产的，责令停止生产，限期补办延期手续，没收违法</w:t>
            </w:r>
            <w:r>
              <w:rPr>
                <w:spacing w:val="-3"/>
              </w:rPr>
              <w:t>所得，并处</w:t>
            </w:r>
            <w:r>
              <w:rPr>
                <w:rFonts w:ascii="宋体" w:hAnsi="宋体" w:eastAsia="宋体" w:cs="宋体"/>
                <w:spacing w:val="-3"/>
              </w:rPr>
              <w:t>5</w:t>
            </w:r>
            <w:r>
              <w:rPr>
                <w:spacing w:val="-3"/>
              </w:rPr>
              <w:t>万元以上</w:t>
            </w:r>
            <w:r>
              <w:rPr>
                <w:rFonts w:ascii="宋体" w:hAnsi="宋体" w:eastAsia="宋体" w:cs="宋体"/>
                <w:spacing w:val="-3"/>
              </w:rPr>
              <w:t>10</w:t>
            </w:r>
            <w:r>
              <w:rPr>
                <w:spacing w:val="8"/>
              </w:rPr>
              <w:t>万元以下的罚款；逾期仍不办理延期手续，继续进行生产的，依照本实施办</w:t>
            </w:r>
            <w:r>
              <w:rPr>
                <w:spacing w:val="32"/>
              </w:rPr>
              <w:t>法第四十二条的规定处</w:t>
            </w:r>
            <w:r>
              <w:rPr>
                <w:spacing w:val="-7"/>
              </w:rPr>
              <w:t>罚。</w:t>
            </w:r>
          </w:p>
          <w:p w14:paraId="3587446F">
            <w:pPr>
              <w:pStyle w:val="6"/>
              <w:spacing w:before="2" w:line="179" w:lineRule="auto"/>
              <w:ind w:left="98" w:right="42" w:firstLine="29"/>
              <w:jc w:val="both"/>
            </w:pPr>
            <w:r>
              <w:rPr>
                <w:spacing w:val="7"/>
              </w:rPr>
              <w:t>第四十二条第一项：非煤</w:t>
            </w:r>
            <w:r>
              <w:rPr>
                <w:spacing w:val="10"/>
              </w:rPr>
              <w:t>矿矿山企业有下列行为之</w:t>
            </w:r>
            <w:r>
              <w:rPr>
                <w:spacing w:val="3"/>
              </w:rPr>
              <w:t>一的，责令停止生产，没</w:t>
            </w:r>
            <w:r>
              <w:rPr>
                <w:spacing w:val="-5"/>
              </w:rPr>
              <w:t>收违法所得，并处</w:t>
            </w:r>
            <w:r>
              <w:rPr>
                <w:rFonts w:ascii="宋体" w:hAnsi="宋体" w:eastAsia="宋体" w:cs="宋体"/>
                <w:spacing w:val="-5"/>
              </w:rPr>
              <w:t>10</w:t>
            </w:r>
            <w:r>
              <w:rPr>
                <w:spacing w:val="-5"/>
              </w:rPr>
              <w:t>万元</w:t>
            </w:r>
            <w:r>
              <w:rPr>
                <w:spacing w:val="2"/>
              </w:rPr>
              <w:t>以上</w:t>
            </w:r>
            <w:r>
              <w:rPr>
                <w:rFonts w:ascii="宋体" w:hAnsi="宋体" w:eastAsia="宋体" w:cs="宋体"/>
                <w:spacing w:val="2"/>
              </w:rPr>
              <w:t>50</w:t>
            </w:r>
            <w:r>
              <w:rPr>
                <w:spacing w:val="2"/>
              </w:rPr>
              <w:t>万元以下的罚款：</w:t>
            </w:r>
            <w:r>
              <w:t>（一）未取得安全生产许</w:t>
            </w:r>
            <w:r>
              <w:rPr>
                <w:spacing w:val="5"/>
              </w:rPr>
              <w:t>可证，擅自进行生产的；</w:t>
            </w:r>
          </w:p>
        </w:tc>
        <w:tc>
          <w:tcPr>
            <w:tcW w:w="803" w:type="dxa"/>
            <w:vAlign w:val="top"/>
          </w:tcPr>
          <w:p w14:paraId="2EBE1C5E">
            <w:pPr>
              <w:rPr>
                <w:rFonts w:ascii="Arial"/>
                <w:sz w:val="21"/>
              </w:rPr>
            </w:pPr>
          </w:p>
        </w:tc>
        <w:tc>
          <w:tcPr>
            <w:tcW w:w="2283" w:type="dxa"/>
            <w:vAlign w:val="top"/>
          </w:tcPr>
          <w:p w14:paraId="591A64F6">
            <w:pPr>
              <w:rPr>
                <w:rFonts w:ascii="Arial"/>
                <w:sz w:val="21"/>
              </w:rPr>
            </w:pPr>
          </w:p>
        </w:tc>
        <w:tc>
          <w:tcPr>
            <w:tcW w:w="2894" w:type="dxa"/>
            <w:vAlign w:val="top"/>
          </w:tcPr>
          <w:p w14:paraId="2FF792E3">
            <w:pPr>
              <w:rPr>
                <w:rFonts w:ascii="Arial"/>
                <w:sz w:val="21"/>
              </w:rPr>
            </w:pPr>
          </w:p>
        </w:tc>
        <w:tc>
          <w:tcPr>
            <w:tcW w:w="811" w:type="dxa"/>
            <w:vAlign w:val="top"/>
          </w:tcPr>
          <w:p w14:paraId="6A5CC624">
            <w:pPr>
              <w:rPr>
                <w:rFonts w:ascii="Arial"/>
                <w:sz w:val="21"/>
              </w:rPr>
            </w:pPr>
          </w:p>
        </w:tc>
      </w:tr>
      <w:tr w14:paraId="3D979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8" w:hRule="atLeast"/>
        </w:trPr>
        <w:tc>
          <w:tcPr>
            <w:tcW w:w="818" w:type="dxa"/>
            <w:vAlign w:val="top"/>
          </w:tcPr>
          <w:p w14:paraId="0FDDF1A5">
            <w:pPr>
              <w:spacing w:line="267" w:lineRule="auto"/>
              <w:rPr>
                <w:rFonts w:ascii="Arial"/>
                <w:sz w:val="21"/>
              </w:rPr>
            </w:pPr>
          </w:p>
          <w:p w14:paraId="58A31122">
            <w:pPr>
              <w:spacing w:line="267" w:lineRule="auto"/>
              <w:rPr>
                <w:rFonts w:ascii="Arial"/>
                <w:sz w:val="21"/>
              </w:rPr>
            </w:pPr>
          </w:p>
          <w:p w14:paraId="6B089B59">
            <w:pPr>
              <w:spacing w:line="268" w:lineRule="auto"/>
              <w:rPr>
                <w:rFonts w:ascii="Arial"/>
                <w:sz w:val="21"/>
              </w:rPr>
            </w:pPr>
          </w:p>
          <w:p w14:paraId="798B25A3">
            <w:pPr>
              <w:spacing w:line="268" w:lineRule="auto"/>
              <w:rPr>
                <w:rFonts w:ascii="Arial"/>
                <w:sz w:val="21"/>
              </w:rPr>
            </w:pPr>
          </w:p>
          <w:p w14:paraId="1D111410">
            <w:pPr>
              <w:spacing w:before="75" w:line="185" w:lineRule="auto"/>
              <w:ind w:left="235"/>
              <w:rPr>
                <w:rFonts w:ascii="仿宋" w:hAnsi="仿宋" w:eastAsia="仿宋" w:cs="仿宋"/>
                <w:sz w:val="23"/>
                <w:szCs w:val="23"/>
              </w:rPr>
            </w:pPr>
            <w:r>
              <w:rPr>
                <w:rFonts w:ascii="仿宋" w:hAnsi="仿宋" w:eastAsia="仿宋" w:cs="仿宋"/>
                <w:spacing w:val="-2"/>
                <w:sz w:val="23"/>
                <w:szCs w:val="23"/>
              </w:rPr>
              <w:t>82</w:t>
            </w:r>
          </w:p>
        </w:tc>
        <w:tc>
          <w:tcPr>
            <w:tcW w:w="1440" w:type="dxa"/>
            <w:vAlign w:val="top"/>
          </w:tcPr>
          <w:p w14:paraId="42E8B240">
            <w:pPr>
              <w:pStyle w:val="6"/>
              <w:spacing w:before="199" w:line="187" w:lineRule="auto"/>
              <w:ind w:left="116" w:right="111" w:hanging="1"/>
              <w:jc w:val="both"/>
            </w:pPr>
            <w:r>
              <w:rPr>
                <w:spacing w:val="-6"/>
                <w:w w:val="96"/>
              </w:rPr>
              <w:t>危险化学</w:t>
            </w:r>
            <w:r>
              <w:rPr>
                <w:spacing w:val="11"/>
              </w:rPr>
              <w:t>品、烟花爆竹生产企业和石油天然气企业转让安全生产许</w:t>
            </w:r>
            <w:r>
              <w:rPr>
                <w:spacing w:val="4"/>
              </w:rPr>
              <w:t>可证的</w:t>
            </w:r>
          </w:p>
        </w:tc>
        <w:tc>
          <w:tcPr>
            <w:tcW w:w="3202" w:type="dxa"/>
            <w:vAlign w:val="top"/>
          </w:tcPr>
          <w:p w14:paraId="57835BBF">
            <w:pPr>
              <w:pStyle w:val="6"/>
              <w:spacing w:before="37" w:line="182" w:lineRule="auto"/>
              <w:ind w:left="123" w:right="111" w:firstLine="8"/>
              <w:jc w:val="both"/>
            </w:pPr>
            <w:r>
              <w:rPr>
                <w:rFonts w:ascii="宋体" w:hAnsi="宋体" w:eastAsia="宋体" w:cs="宋体"/>
                <w:spacing w:val="14"/>
              </w:rPr>
              <w:t>1.</w:t>
            </w:r>
            <w:r>
              <w:rPr>
                <w:spacing w:val="14"/>
              </w:rPr>
              <w:t>【行政法规】《安全生产</w:t>
            </w:r>
            <w:r>
              <w:rPr>
                <w:spacing w:val="13"/>
              </w:rPr>
              <w:t>许可证条例》第十三条：企</w:t>
            </w:r>
            <w:r>
              <w:rPr>
                <w:spacing w:val="16"/>
              </w:rPr>
              <w:t>业不得转让、冒用安全生产许可证或者使用伪造的安全</w:t>
            </w:r>
            <w:r>
              <w:t>生产许可证。</w:t>
            </w:r>
          </w:p>
          <w:p w14:paraId="48D8B6B8">
            <w:pPr>
              <w:pStyle w:val="6"/>
              <w:spacing w:before="1" w:line="183" w:lineRule="auto"/>
              <w:ind w:left="128" w:right="111" w:hanging="12"/>
              <w:jc w:val="both"/>
            </w:pPr>
            <w:r>
              <w:rPr>
                <w:rFonts w:ascii="宋体" w:hAnsi="宋体" w:eastAsia="宋体" w:cs="宋体"/>
                <w:spacing w:val="15"/>
              </w:rPr>
              <w:t>2.</w:t>
            </w:r>
            <w:r>
              <w:rPr>
                <w:spacing w:val="15"/>
              </w:rPr>
              <w:t>【部门规章】《危险化学</w:t>
            </w:r>
            <w:r>
              <w:rPr>
                <w:spacing w:val="16"/>
              </w:rPr>
              <w:t>品生产企业安全生产许可证</w:t>
            </w:r>
            <w:r>
              <w:rPr>
                <w:spacing w:val="12"/>
              </w:rPr>
              <w:t>实施办法》第三十六条：企</w:t>
            </w:r>
          </w:p>
        </w:tc>
        <w:tc>
          <w:tcPr>
            <w:tcW w:w="2859" w:type="dxa"/>
            <w:vAlign w:val="top"/>
          </w:tcPr>
          <w:p w14:paraId="426F75A3">
            <w:pPr>
              <w:pStyle w:val="6"/>
              <w:spacing w:before="30" w:line="183" w:lineRule="auto"/>
              <w:ind w:left="117" w:right="105" w:firstLine="13"/>
              <w:jc w:val="both"/>
            </w:pPr>
            <w:r>
              <w:rPr>
                <w:rFonts w:ascii="宋体" w:hAnsi="宋体" w:eastAsia="宋体" w:cs="宋体"/>
                <w:spacing w:val="6"/>
              </w:rPr>
              <w:t>1.</w:t>
            </w:r>
            <w:r>
              <w:rPr>
                <w:spacing w:val="6"/>
              </w:rPr>
              <w:t>【行政法规】《安全生产许可证条例》第二十一</w:t>
            </w:r>
            <w:r>
              <w:rPr>
                <w:spacing w:val="8"/>
              </w:rPr>
              <w:t>条第一款：违反本条例规定，转让安全生产许可证</w:t>
            </w:r>
            <w:r>
              <w:rPr>
                <w:spacing w:val="-2"/>
              </w:rPr>
              <w:t>的，没收违法所得，处</w:t>
            </w:r>
            <w:r>
              <w:rPr>
                <w:rFonts w:ascii="宋体" w:hAnsi="宋体" w:eastAsia="宋体" w:cs="宋体"/>
                <w:spacing w:val="-2"/>
              </w:rPr>
              <w:t>10</w:t>
            </w:r>
            <w:r>
              <w:rPr>
                <w:spacing w:val="11"/>
              </w:rPr>
              <w:t>万元以上</w:t>
            </w:r>
            <w:r>
              <w:rPr>
                <w:rFonts w:ascii="宋体" w:hAnsi="宋体" w:eastAsia="宋体" w:cs="宋体"/>
                <w:spacing w:val="11"/>
              </w:rPr>
              <w:t>50</w:t>
            </w:r>
            <w:r>
              <w:rPr>
                <w:spacing w:val="11"/>
              </w:rPr>
              <w:t>万元以下的</w:t>
            </w:r>
            <w:r>
              <w:rPr>
                <w:spacing w:val="8"/>
              </w:rPr>
              <w:t>罚款，并吊销其安全生产</w:t>
            </w:r>
            <w:r>
              <w:rPr>
                <w:spacing w:val="-1"/>
              </w:rPr>
              <w:t>许可证；构成犯罪的，依</w:t>
            </w:r>
          </w:p>
        </w:tc>
        <w:tc>
          <w:tcPr>
            <w:tcW w:w="803" w:type="dxa"/>
            <w:vAlign w:val="top"/>
          </w:tcPr>
          <w:p w14:paraId="68D83C77">
            <w:pPr>
              <w:spacing w:line="266" w:lineRule="auto"/>
              <w:rPr>
                <w:rFonts w:ascii="Arial"/>
                <w:sz w:val="21"/>
              </w:rPr>
            </w:pPr>
          </w:p>
          <w:p w14:paraId="0E021305">
            <w:pPr>
              <w:spacing w:line="266" w:lineRule="auto"/>
              <w:rPr>
                <w:rFonts w:ascii="Arial"/>
                <w:sz w:val="21"/>
              </w:rPr>
            </w:pPr>
          </w:p>
          <w:p w14:paraId="2A68E8F0">
            <w:pPr>
              <w:spacing w:line="266" w:lineRule="auto"/>
              <w:rPr>
                <w:rFonts w:ascii="Arial"/>
                <w:sz w:val="21"/>
              </w:rPr>
            </w:pPr>
          </w:p>
          <w:p w14:paraId="4ABDD1E1">
            <w:pPr>
              <w:spacing w:line="266" w:lineRule="auto"/>
              <w:rPr>
                <w:rFonts w:ascii="Arial"/>
                <w:sz w:val="21"/>
              </w:rPr>
            </w:pPr>
          </w:p>
          <w:p w14:paraId="48E66A6C">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36029F5">
            <w:pPr>
              <w:spacing w:line="350" w:lineRule="auto"/>
              <w:rPr>
                <w:rFonts w:ascii="Arial"/>
                <w:sz w:val="21"/>
              </w:rPr>
            </w:pPr>
          </w:p>
          <w:p w14:paraId="773C0C63">
            <w:pPr>
              <w:spacing w:line="351" w:lineRule="auto"/>
              <w:rPr>
                <w:rFonts w:ascii="Arial"/>
                <w:sz w:val="21"/>
              </w:rPr>
            </w:pPr>
          </w:p>
          <w:p w14:paraId="4D0D611C">
            <w:pPr>
              <w:pStyle w:val="6"/>
              <w:spacing w:before="99" w:line="191" w:lineRule="auto"/>
              <w:ind w:left="117" w:right="109"/>
              <w:jc w:val="both"/>
            </w:pPr>
            <w:r>
              <w:rPr>
                <w:spacing w:val="26"/>
              </w:rPr>
              <w:t>接受转让的单位和个人未发生生产安</w:t>
            </w:r>
            <w:r>
              <w:rPr>
                <w:spacing w:val="6"/>
              </w:rPr>
              <w:t>全事故的</w:t>
            </w:r>
          </w:p>
        </w:tc>
        <w:tc>
          <w:tcPr>
            <w:tcW w:w="2894" w:type="dxa"/>
            <w:vAlign w:val="top"/>
          </w:tcPr>
          <w:p w14:paraId="0721E7B0">
            <w:pPr>
              <w:spacing w:line="351" w:lineRule="auto"/>
              <w:rPr>
                <w:rFonts w:ascii="Arial"/>
                <w:sz w:val="21"/>
              </w:rPr>
            </w:pPr>
          </w:p>
          <w:p w14:paraId="16CB05BC">
            <w:pPr>
              <w:spacing w:line="351" w:lineRule="auto"/>
              <w:rPr>
                <w:rFonts w:ascii="Arial"/>
                <w:sz w:val="21"/>
              </w:rPr>
            </w:pPr>
          </w:p>
          <w:p w14:paraId="2A9E19B0">
            <w:pPr>
              <w:pStyle w:val="6"/>
              <w:spacing w:before="99" w:line="191" w:lineRule="auto"/>
              <w:ind w:left="126" w:right="73" w:firstLine="2"/>
              <w:jc w:val="both"/>
            </w:pPr>
            <w:r>
              <w:rPr>
                <w:spacing w:val="-5"/>
              </w:rPr>
              <w:t>没收违法所得，处</w:t>
            </w:r>
            <w:r>
              <w:rPr>
                <w:rFonts w:ascii="宋体" w:hAnsi="宋体" w:eastAsia="宋体" w:cs="宋体"/>
                <w:spacing w:val="-5"/>
              </w:rPr>
              <w:t>10</w:t>
            </w:r>
            <w:r>
              <w:rPr>
                <w:spacing w:val="-5"/>
              </w:rPr>
              <w:t>万元</w:t>
            </w:r>
            <w:r>
              <w:t>以上</w:t>
            </w:r>
            <w:r>
              <w:rPr>
                <w:rFonts w:ascii="宋体" w:hAnsi="宋体" w:eastAsia="宋体" w:cs="宋体"/>
              </w:rPr>
              <w:t>30</w:t>
            </w:r>
            <w:r>
              <w:t>万元以下的罚款，</w:t>
            </w:r>
            <w:r>
              <w:rPr>
                <w:spacing w:val="7"/>
              </w:rPr>
              <w:t>并吊销其安全生产许可证</w:t>
            </w:r>
          </w:p>
        </w:tc>
        <w:tc>
          <w:tcPr>
            <w:tcW w:w="811" w:type="dxa"/>
            <w:vAlign w:val="top"/>
          </w:tcPr>
          <w:p w14:paraId="1B8270CB">
            <w:pPr>
              <w:spacing w:line="266" w:lineRule="auto"/>
              <w:rPr>
                <w:rFonts w:ascii="Arial"/>
                <w:sz w:val="21"/>
              </w:rPr>
            </w:pPr>
          </w:p>
          <w:p w14:paraId="3A2579E3">
            <w:pPr>
              <w:spacing w:line="267" w:lineRule="auto"/>
              <w:rPr>
                <w:rFonts w:ascii="Arial"/>
                <w:sz w:val="21"/>
              </w:rPr>
            </w:pPr>
          </w:p>
          <w:p w14:paraId="7CB8AB46">
            <w:pPr>
              <w:spacing w:line="267" w:lineRule="auto"/>
              <w:rPr>
                <w:rFonts w:ascii="Arial"/>
                <w:sz w:val="21"/>
              </w:rPr>
            </w:pPr>
          </w:p>
          <w:p w14:paraId="3DD613F4">
            <w:pPr>
              <w:spacing w:line="267" w:lineRule="auto"/>
              <w:rPr>
                <w:rFonts w:ascii="Arial"/>
                <w:sz w:val="21"/>
              </w:rPr>
            </w:pPr>
          </w:p>
          <w:p w14:paraId="0C46AAB1">
            <w:pPr>
              <w:spacing w:before="75" w:line="187" w:lineRule="auto"/>
              <w:ind w:left="295"/>
              <w:rPr>
                <w:rFonts w:ascii="宋体" w:hAnsi="宋体" w:eastAsia="宋体" w:cs="宋体"/>
                <w:sz w:val="23"/>
                <w:szCs w:val="23"/>
              </w:rPr>
            </w:pPr>
            <w:r>
              <w:rPr>
                <w:rFonts w:ascii="宋体" w:hAnsi="宋体" w:eastAsia="宋体" w:cs="宋体"/>
                <w:spacing w:val="-4"/>
                <w:sz w:val="23"/>
                <w:szCs w:val="23"/>
              </w:rPr>
              <w:t>57</w:t>
            </w:r>
          </w:p>
        </w:tc>
      </w:tr>
    </w:tbl>
    <w:p w14:paraId="1F1980F2">
      <w:pPr>
        <w:pStyle w:val="2"/>
      </w:pPr>
    </w:p>
    <w:p w14:paraId="7AC0CD61">
      <w:pPr>
        <w:sectPr>
          <w:footerReference r:id="rId100" w:type="default"/>
          <w:pgSz w:w="16839" w:h="11906"/>
          <w:pgMar w:top="1012" w:right="821" w:bottom="666" w:left="901" w:header="0" w:footer="388" w:gutter="0"/>
          <w:cols w:space="720" w:num="1"/>
        </w:sectPr>
      </w:pPr>
    </w:p>
    <w:p w14:paraId="749B795B">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53F2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EA2F039">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39F39442">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5983E62">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0DDF795">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BFDD5E5">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D13AA36">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1BA764D2">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46A957D">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1643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6" w:hRule="atLeast"/>
        </w:trPr>
        <w:tc>
          <w:tcPr>
            <w:tcW w:w="818" w:type="dxa"/>
            <w:vMerge w:val="restart"/>
            <w:tcBorders>
              <w:bottom w:val="nil"/>
            </w:tcBorders>
            <w:vAlign w:val="top"/>
          </w:tcPr>
          <w:p w14:paraId="41E06303">
            <w:pPr>
              <w:rPr>
                <w:rFonts w:ascii="Arial"/>
                <w:sz w:val="21"/>
              </w:rPr>
            </w:pPr>
          </w:p>
        </w:tc>
        <w:tc>
          <w:tcPr>
            <w:tcW w:w="1440" w:type="dxa"/>
            <w:vMerge w:val="restart"/>
            <w:tcBorders>
              <w:bottom w:val="nil"/>
            </w:tcBorders>
            <w:vAlign w:val="top"/>
          </w:tcPr>
          <w:p w14:paraId="173688EA">
            <w:pPr>
              <w:rPr>
                <w:rFonts w:ascii="Arial"/>
                <w:sz w:val="21"/>
              </w:rPr>
            </w:pPr>
          </w:p>
        </w:tc>
        <w:tc>
          <w:tcPr>
            <w:tcW w:w="3202" w:type="dxa"/>
            <w:vMerge w:val="restart"/>
            <w:tcBorders>
              <w:bottom w:val="nil"/>
            </w:tcBorders>
            <w:vAlign w:val="top"/>
          </w:tcPr>
          <w:p w14:paraId="2CC3B091">
            <w:pPr>
              <w:pStyle w:val="6"/>
              <w:spacing w:before="32" w:line="182" w:lineRule="auto"/>
              <w:ind w:left="118" w:right="110" w:firstLine="9"/>
              <w:jc w:val="both"/>
            </w:pPr>
            <w:r>
              <w:rPr>
                <w:spacing w:val="16"/>
              </w:rPr>
              <w:t>业不得出租、出借、买卖或</w:t>
            </w:r>
            <w:r>
              <w:rPr>
                <w:spacing w:val="17"/>
              </w:rPr>
              <w:t>者以其他形式转让其取得的</w:t>
            </w:r>
            <w:r>
              <w:rPr>
                <w:spacing w:val="13"/>
              </w:rPr>
              <w:t>安全生产许可证，或者冒用</w:t>
            </w:r>
            <w:r>
              <w:rPr>
                <w:spacing w:val="39"/>
              </w:rPr>
              <w:t>他人取得的安全生产许可</w:t>
            </w:r>
            <w:r>
              <w:rPr>
                <w:spacing w:val="17"/>
              </w:rPr>
              <w:t>证、使用伪造的安全生产许</w:t>
            </w:r>
            <w:r>
              <w:rPr>
                <w:spacing w:val="-5"/>
              </w:rPr>
              <w:t>可证。</w:t>
            </w:r>
          </w:p>
          <w:p w14:paraId="7F933E05">
            <w:pPr>
              <w:pStyle w:val="6"/>
              <w:spacing w:before="8" w:line="182" w:lineRule="auto"/>
              <w:ind w:left="117" w:right="110"/>
            </w:pPr>
            <w:r>
              <w:rPr>
                <w:rFonts w:ascii="宋体" w:hAnsi="宋体" w:eastAsia="宋体" w:cs="宋体"/>
                <w:spacing w:val="15"/>
              </w:rPr>
              <w:t>3.</w:t>
            </w:r>
            <w:r>
              <w:rPr>
                <w:spacing w:val="15"/>
              </w:rPr>
              <w:t>【部门规章】《烟花爆竹</w:t>
            </w:r>
            <w:r>
              <w:rPr>
                <w:spacing w:val="17"/>
              </w:rPr>
              <w:t>生产企业安全生产许可证实</w:t>
            </w:r>
            <w:r>
              <w:rPr>
                <w:spacing w:val="13"/>
              </w:rPr>
              <w:t>施办法》第四十条第一款：</w:t>
            </w:r>
            <w:r>
              <w:rPr>
                <w:spacing w:val="39"/>
              </w:rPr>
              <w:t>企业取得安全生产许可证</w:t>
            </w:r>
            <w:r>
              <w:rPr>
                <w:spacing w:val="13"/>
              </w:rPr>
              <w:t>后，不得出租、转让安全生产许可证，不得将企业、生</w:t>
            </w:r>
            <w:r>
              <w:rPr>
                <w:spacing w:val="11"/>
              </w:rPr>
              <w:t>产线或者工（库）房转包、</w:t>
            </w:r>
            <w:r>
              <w:rPr>
                <w:spacing w:val="17"/>
              </w:rPr>
              <w:t>分包给不具备安全生产条件或者相应资质的其他任何单</w:t>
            </w:r>
            <w:r>
              <w:rPr>
                <w:spacing w:val="13"/>
              </w:rPr>
              <w:t>位或者个人，不得多股东各</w:t>
            </w:r>
            <w:r>
              <w:rPr>
                <w:spacing w:val="17"/>
              </w:rPr>
              <w:t>自独立进行烟花爆竹生产活</w:t>
            </w:r>
            <w:r>
              <w:rPr>
                <w:spacing w:val="-7"/>
              </w:rPr>
              <w:t>动。</w:t>
            </w:r>
          </w:p>
          <w:p w14:paraId="5CB4F161">
            <w:pPr>
              <w:pStyle w:val="6"/>
              <w:spacing w:before="9" w:line="186" w:lineRule="auto"/>
              <w:ind w:left="117" w:right="111" w:hanging="5"/>
            </w:pPr>
            <w:r>
              <w:rPr>
                <w:rFonts w:ascii="宋体" w:hAnsi="宋体" w:eastAsia="宋体" w:cs="宋体"/>
                <w:spacing w:val="16"/>
              </w:rPr>
              <w:t>4.</w:t>
            </w:r>
            <w:r>
              <w:rPr>
                <w:spacing w:val="16"/>
              </w:rPr>
              <w:t>【部门规章】《非煤矿矿</w:t>
            </w:r>
            <w:r>
              <w:rPr>
                <w:spacing w:val="17"/>
              </w:rPr>
              <w:t>山企业安全生产许可证实施</w:t>
            </w:r>
            <w:r>
              <w:rPr>
                <w:spacing w:val="13"/>
              </w:rPr>
              <w:t>办法》第二十七条：非煤矿</w:t>
            </w:r>
            <w:r>
              <w:rPr>
                <w:spacing w:val="14"/>
              </w:rPr>
              <w:t>矿山企业不得转让、冒用、</w:t>
            </w:r>
            <w:r>
              <w:rPr>
                <w:spacing w:val="17"/>
              </w:rPr>
              <w:t>买卖、出租、出借或者使用</w:t>
            </w:r>
            <w:r>
              <w:rPr>
                <w:spacing w:val="5"/>
              </w:rPr>
              <w:t>伪造的安全生产许可证。</w:t>
            </w:r>
          </w:p>
        </w:tc>
        <w:tc>
          <w:tcPr>
            <w:tcW w:w="2859" w:type="dxa"/>
            <w:vMerge w:val="restart"/>
            <w:tcBorders>
              <w:bottom w:val="nil"/>
            </w:tcBorders>
            <w:vAlign w:val="top"/>
          </w:tcPr>
          <w:p w14:paraId="23FEDB3F">
            <w:pPr>
              <w:pStyle w:val="6"/>
              <w:spacing w:before="30" w:line="182" w:lineRule="auto"/>
              <w:ind w:left="115" w:right="110" w:firstLine="13"/>
              <w:jc w:val="both"/>
            </w:pPr>
            <w:r>
              <w:rPr>
                <w:spacing w:val="7"/>
              </w:rPr>
              <w:t>法追究刑事责任；接受转</w:t>
            </w:r>
            <w:r>
              <w:rPr>
                <w:spacing w:val="8"/>
              </w:rPr>
              <w:t>让的，依照本条例第十九</w:t>
            </w:r>
            <w:r>
              <w:rPr>
                <w:spacing w:val="3"/>
              </w:rPr>
              <w:t>条的规定处罚。</w:t>
            </w:r>
          </w:p>
          <w:p w14:paraId="3522BD7D">
            <w:pPr>
              <w:pStyle w:val="6"/>
              <w:spacing w:before="7" w:line="182" w:lineRule="auto"/>
              <w:ind w:left="116" w:right="38"/>
            </w:pPr>
            <w:r>
              <w:rPr>
                <w:rFonts w:ascii="宋体" w:hAnsi="宋体" w:eastAsia="宋体" w:cs="宋体"/>
                <w:spacing w:val="7"/>
              </w:rPr>
              <w:t>2.</w:t>
            </w:r>
            <w:r>
              <w:rPr>
                <w:spacing w:val="7"/>
              </w:rPr>
              <w:t>【部门规章】《危险化</w:t>
            </w:r>
            <w:r>
              <w:rPr>
                <w:spacing w:val="8"/>
              </w:rPr>
              <w:t>学品生产企业安全生产许可证实施办法》第四十四条：企业出租、出借或者以其他形式转让安全生产</w:t>
            </w:r>
            <w:r>
              <w:rPr>
                <w:spacing w:val="-6"/>
              </w:rPr>
              <w:t>许可证的，没收违法所得，</w:t>
            </w:r>
            <w:r>
              <w:rPr>
                <w:spacing w:val="-1"/>
              </w:rPr>
              <w:t>处</w:t>
            </w:r>
            <w:r>
              <w:rPr>
                <w:rFonts w:ascii="宋体" w:hAnsi="宋体" w:eastAsia="宋体" w:cs="宋体"/>
                <w:spacing w:val="-1"/>
              </w:rPr>
              <w:t>10</w:t>
            </w:r>
            <w:r>
              <w:rPr>
                <w:spacing w:val="-1"/>
              </w:rPr>
              <w:t>万元以上</w:t>
            </w:r>
            <w:r>
              <w:rPr>
                <w:rFonts w:ascii="宋体" w:hAnsi="宋体" w:eastAsia="宋体" w:cs="宋体"/>
                <w:spacing w:val="-1"/>
              </w:rPr>
              <w:t>50</w:t>
            </w:r>
            <w:r>
              <w:rPr>
                <w:spacing w:val="-1"/>
              </w:rPr>
              <w:t>万元以</w:t>
            </w:r>
            <w:r>
              <w:rPr>
                <w:spacing w:val="8"/>
              </w:rPr>
              <w:t>下的罚款，并吊销安全生</w:t>
            </w:r>
            <w:r>
              <w:rPr>
                <w:spacing w:val="4"/>
              </w:rPr>
              <w:t>产许可证；构成犯罪的，依法追究刑事责任。</w:t>
            </w:r>
          </w:p>
          <w:p w14:paraId="399A214F">
            <w:pPr>
              <w:pStyle w:val="6"/>
              <w:spacing w:before="5" w:line="182" w:lineRule="auto"/>
              <w:ind w:left="117" w:right="110"/>
            </w:pPr>
            <w:r>
              <w:rPr>
                <w:rFonts w:ascii="宋体" w:hAnsi="宋体" w:eastAsia="宋体" w:cs="宋体"/>
                <w:spacing w:val="7"/>
              </w:rPr>
              <w:t>3.</w:t>
            </w:r>
            <w:r>
              <w:rPr>
                <w:spacing w:val="7"/>
              </w:rPr>
              <w:t>【部门规章】《烟花爆</w:t>
            </w:r>
            <w:r>
              <w:rPr>
                <w:spacing w:val="8"/>
              </w:rPr>
              <w:t>竹生产企业安全生产许可证实施办法》第四十五条</w:t>
            </w:r>
            <w:r>
              <w:rPr>
                <w:spacing w:val="7"/>
              </w:rPr>
              <w:t>第一款第一项、第二款：企业有下列行为之一的，</w:t>
            </w:r>
            <w:r>
              <w:rPr>
                <w:spacing w:val="8"/>
              </w:rPr>
              <w:t>依法吊销其安全生产许可</w:t>
            </w:r>
            <w:r>
              <w:rPr>
                <w:spacing w:val="-3"/>
              </w:rPr>
              <w:t>证</w:t>
            </w:r>
            <w:r>
              <w:rPr>
                <w:spacing w:val="-8"/>
              </w:rPr>
              <w:t>：（</w:t>
            </w:r>
            <w:r>
              <w:rPr>
                <w:spacing w:val="-3"/>
              </w:rPr>
              <w:t>一）出租、转让安</w:t>
            </w:r>
            <w:r>
              <w:rPr>
                <w:spacing w:val="2"/>
              </w:rPr>
              <w:t>全生产许可证的；</w:t>
            </w:r>
          </w:p>
          <w:p w14:paraId="11009B74">
            <w:pPr>
              <w:pStyle w:val="6"/>
              <w:spacing w:before="2" w:line="182" w:lineRule="auto"/>
              <w:ind w:left="130" w:right="107" w:hanging="11"/>
              <w:jc w:val="both"/>
            </w:pPr>
            <w:r>
              <w:rPr>
                <w:spacing w:val="32"/>
              </w:rPr>
              <w:t>企业有前款第一项行为</w:t>
            </w:r>
            <w:r>
              <w:rPr>
                <w:spacing w:val="7"/>
              </w:rPr>
              <w:t>的，没收违法所得，并处</w:t>
            </w:r>
            <w:r>
              <w:rPr>
                <w:rFonts w:ascii="宋体" w:hAnsi="宋体" w:eastAsia="宋体" w:cs="宋体"/>
                <w:spacing w:val="4"/>
              </w:rPr>
              <w:t>10</w:t>
            </w:r>
            <w:r>
              <w:rPr>
                <w:spacing w:val="4"/>
              </w:rPr>
              <w:t>万元以上</w:t>
            </w:r>
            <w:r>
              <w:rPr>
                <w:rFonts w:ascii="宋体" w:hAnsi="宋体" w:eastAsia="宋体" w:cs="宋体"/>
                <w:spacing w:val="4"/>
              </w:rPr>
              <w:t>50</w:t>
            </w:r>
            <w:r>
              <w:rPr>
                <w:spacing w:val="4"/>
              </w:rPr>
              <w:t>万元以下</w:t>
            </w:r>
            <w:r>
              <w:rPr>
                <w:spacing w:val="-5"/>
              </w:rPr>
              <w:t>的罚款。</w:t>
            </w:r>
          </w:p>
          <w:p w14:paraId="65023A30">
            <w:pPr>
              <w:pStyle w:val="6"/>
              <w:spacing w:before="2" w:line="178" w:lineRule="auto"/>
              <w:ind w:left="117" w:right="110" w:hanging="5"/>
            </w:pPr>
            <w:r>
              <w:rPr>
                <w:rFonts w:ascii="宋体" w:hAnsi="宋体" w:eastAsia="宋体" w:cs="宋体"/>
                <w:spacing w:val="8"/>
              </w:rPr>
              <w:t>4.</w:t>
            </w:r>
            <w:r>
              <w:rPr>
                <w:spacing w:val="8"/>
              </w:rPr>
              <w:t>【部门规章】《非煤矿矿山企业安全生产许可证</w:t>
            </w:r>
            <w:r>
              <w:rPr>
                <w:spacing w:val="4"/>
              </w:rPr>
              <w:t>实施办法》第四十六条：</w:t>
            </w:r>
            <w:r>
              <w:rPr>
                <w:spacing w:val="8"/>
              </w:rPr>
              <w:t>非煤矿矿山企业转让安全生产许可证的，没收违法</w:t>
            </w:r>
          </w:p>
        </w:tc>
        <w:tc>
          <w:tcPr>
            <w:tcW w:w="803" w:type="dxa"/>
            <w:vAlign w:val="top"/>
          </w:tcPr>
          <w:p w14:paraId="04FF8E5D">
            <w:pPr>
              <w:spacing w:line="280" w:lineRule="auto"/>
              <w:rPr>
                <w:rFonts w:ascii="Arial"/>
                <w:sz w:val="21"/>
              </w:rPr>
            </w:pPr>
          </w:p>
          <w:p w14:paraId="54A5374C">
            <w:pPr>
              <w:spacing w:line="280" w:lineRule="auto"/>
              <w:rPr>
                <w:rFonts w:ascii="Arial"/>
                <w:sz w:val="21"/>
              </w:rPr>
            </w:pPr>
          </w:p>
          <w:p w14:paraId="502C907A">
            <w:pPr>
              <w:spacing w:line="281" w:lineRule="auto"/>
              <w:rPr>
                <w:rFonts w:ascii="Arial"/>
                <w:sz w:val="21"/>
              </w:rPr>
            </w:pPr>
          </w:p>
          <w:p w14:paraId="009648A0">
            <w:pPr>
              <w:spacing w:line="281" w:lineRule="auto"/>
              <w:rPr>
                <w:rFonts w:ascii="Arial"/>
                <w:sz w:val="21"/>
              </w:rPr>
            </w:pPr>
          </w:p>
          <w:p w14:paraId="60F3E4C7">
            <w:pPr>
              <w:spacing w:line="281" w:lineRule="auto"/>
              <w:rPr>
                <w:rFonts w:ascii="Arial"/>
                <w:sz w:val="21"/>
              </w:rPr>
            </w:pPr>
          </w:p>
          <w:p w14:paraId="56BB35E1">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4A615DE">
            <w:pPr>
              <w:spacing w:line="295" w:lineRule="auto"/>
              <w:rPr>
                <w:rFonts w:ascii="Arial"/>
                <w:sz w:val="21"/>
              </w:rPr>
            </w:pPr>
          </w:p>
          <w:p w14:paraId="4EAC7F00">
            <w:pPr>
              <w:spacing w:line="295" w:lineRule="auto"/>
              <w:rPr>
                <w:rFonts w:ascii="Arial"/>
                <w:sz w:val="21"/>
              </w:rPr>
            </w:pPr>
          </w:p>
          <w:p w14:paraId="1668B033">
            <w:pPr>
              <w:spacing w:line="295" w:lineRule="auto"/>
              <w:rPr>
                <w:rFonts w:ascii="Arial"/>
                <w:sz w:val="21"/>
              </w:rPr>
            </w:pPr>
          </w:p>
          <w:p w14:paraId="1B916165">
            <w:pPr>
              <w:pStyle w:val="6"/>
              <w:spacing w:before="99" w:line="189" w:lineRule="auto"/>
              <w:ind w:left="117" w:right="109"/>
              <w:jc w:val="both"/>
            </w:pPr>
            <w:r>
              <w:rPr>
                <w:spacing w:val="26"/>
              </w:rPr>
              <w:t>接受转让的单位和个人发生生产安全事故但没有造成人</w:t>
            </w:r>
            <w:r>
              <w:rPr>
                <w:spacing w:val="6"/>
              </w:rPr>
              <w:t>员死亡的</w:t>
            </w:r>
          </w:p>
        </w:tc>
        <w:tc>
          <w:tcPr>
            <w:tcW w:w="2894" w:type="dxa"/>
            <w:vAlign w:val="top"/>
          </w:tcPr>
          <w:p w14:paraId="4B3EC363">
            <w:pPr>
              <w:spacing w:line="258" w:lineRule="auto"/>
              <w:rPr>
                <w:rFonts w:ascii="Arial"/>
                <w:sz w:val="21"/>
              </w:rPr>
            </w:pPr>
          </w:p>
          <w:p w14:paraId="3086F9D3">
            <w:pPr>
              <w:spacing w:line="259" w:lineRule="auto"/>
              <w:rPr>
                <w:rFonts w:ascii="Arial"/>
                <w:sz w:val="21"/>
              </w:rPr>
            </w:pPr>
          </w:p>
          <w:p w14:paraId="65BD8965">
            <w:pPr>
              <w:spacing w:line="259" w:lineRule="auto"/>
              <w:rPr>
                <w:rFonts w:ascii="Arial"/>
                <w:sz w:val="21"/>
              </w:rPr>
            </w:pPr>
          </w:p>
          <w:p w14:paraId="4F62DE84">
            <w:pPr>
              <w:spacing w:line="259" w:lineRule="auto"/>
              <w:rPr>
                <w:rFonts w:ascii="Arial"/>
                <w:sz w:val="21"/>
              </w:rPr>
            </w:pPr>
          </w:p>
          <w:p w14:paraId="258558B1">
            <w:pPr>
              <w:pStyle w:val="6"/>
              <w:spacing w:before="99" w:line="191" w:lineRule="auto"/>
              <w:ind w:left="126" w:right="73" w:firstLine="2"/>
              <w:jc w:val="both"/>
            </w:pPr>
            <w:r>
              <w:rPr>
                <w:spacing w:val="-3"/>
              </w:rPr>
              <w:t>没收违法所得，处</w:t>
            </w:r>
            <w:r>
              <w:rPr>
                <w:rFonts w:ascii="宋体" w:hAnsi="宋体" w:eastAsia="宋体" w:cs="宋体"/>
                <w:spacing w:val="-3"/>
              </w:rPr>
              <w:t>30</w:t>
            </w:r>
            <w:r>
              <w:rPr>
                <w:spacing w:val="-3"/>
              </w:rPr>
              <w:t>万元</w:t>
            </w:r>
            <w:r>
              <w:t>以上</w:t>
            </w:r>
            <w:r>
              <w:rPr>
                <w:rFonts w:ascii="宋体" w:hAnsi="宋体" w:eastAsia="宋体" w:cs="宋体"/>
              </w:rPr>
              <w:t>40</w:t>
            </w:r>
            <w:r>
              <w:t>万元以下的罚款，</w:t>
            </w:r>
            <w:r>
              <w:rPr>
                <w:spacing w:val="7"/>
              </w:rPr>
              <w:t>并吊销其安全生产许可证</w:t>
            </w:r>
          </w:p>
        </w:tc>
        <w:tc>
          <w:tcPr>
            <w:tcW w:w="811" w:type="dxa"/>
            <w:vMerge w:val="restart"/>
            <w:tcBorders>
              <w:bottom w:val="nil"/>
            </w:tcBorders>
            <w:vAlign w:val="top"/>
          </w:tcPr>
          <w:p w14:paraId="4A348A73">
            <w:pPr>
              <w:rPr>
                <w:rFonts w:ascii="Arial"/>
                <w:sz w:val="21"/>
              </w:rPr>
            </w:pPr>
          </w:p>
        </w:tc>
      </w:tr>
      <w:tr w14:paraId="7D067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2" w:hRule="atLeast"/>
        </w:trPr>
        <w:tc>
          <w:tcPr>
            <w:tcW w:w="818" w:type="dxa"/>
            <w:vMerge w:val="continue"/>
            <w:tcBorders>
              <w:top w:val="nil"/>
            </w:tcBorders>
            <w:vAlign w:val="top"/>
          </w:tcPr>
          <w:p w14:paraId="4AB0E963">
            <w:pPr>
              <w:rPr>
                <w:rFonts w:ascii="Arial"/>
                <w:sz w:val="21"/>
              </w:rPr>
            </w:pPr>
          </w:p>
        </w:tc>
        <w:tc>
          <w:tcPr>
            <w:tcW w:w="1440" w:type="dxa"/>
            <w:vMerge w:val="continue"/>
            <w:tcBorders>
              <w:top w:val="nil"/>
            </w:tcBorders>
            <w:vAlign w:val="top"/>
          </w:tcPr>
          <w:p w14:paraId="41F9C521">
            <w:pPr>
              <w:rPr>
                <w:rFonts w:ascii="Arial"/>
                <w:sz w:val="21"/>
              </w:rPr>
            </w:pPr>
          </w:p>
        </w:tc>
        <w:tc>
          <w:tcPr>
            <w:tcW w:w="3202" w:type="dxa"/>
            <w:vMerge w:val="continue"/>
            <w:tcBorders>
              <w:top w:val="nil"/>
            </w:tcBorders>
            <w:vAlign w:val="top"/>
          </w:tcPr>
          <w:p w14:paraId="3F0303DD">
            <w:pPr>
              <w:rPr>
                <w:rFonts w:ascii="Arial"/>
                <w:sz w:val="21"/>
              </w:rPr>
            </w:pPr>
          </w:p>
        </w:tc>
        <w:tc>
          <w:tcPr>
            <w:tcW w:w="2859" w:type="dxa"/>
            <w:vMerge w:val="continue"/>
            <w:tcBorders>
              <w:top w:val="nil"/>
            </w:tcBorders>
            <w:vAlign w:val="top"/>
          </w:tcPr>
          <w:p w14:paraId="244D25CD">
            <w:pPr>
              <w:rPr>
                <w:rFonts w:ascii="Arial"/>
                <w:sz w:val="21"/>
              </w:rPr>
            </w:pPr>
          </w:p>
        </w:tc>
        <w:tc>
          <w:tcPr>
            <w:tcW w:w="803" w:type="dxa"/>
            <w:vAlign w:val="top"/>
          </w:tcPr>
          <w:p w14:paraId="4A7ECCF7">
            <w:pPr>
              <w:spacing w:line="251" w:lineRule="auto"/>
              <w:rPr>
                <w:rFonts w:ascii="Arial"/>
                <w:sz w:val="21"/>
              </w:rPr>
            </w:pPr>
          </w:p>
          <w:p w14:paraId="1F509C77">
            <w:pPr>
              <w:spacing w:line="251" w:lineRule="auto"/>
              <w:rPr>
                <w:rFonts w:ascii="Arial"/>
                <w:sz w:val="21"/>
              </w:rPr>
            </w:pPr>
          </w:p>
          <w:p w14:paraId="3C98A478">
            <w:pPr>
              <w:spacing w:line="251" w:lineRule="auto"/>
              <w:rPr>
                <w:rFonts w:ascii="Arial"/>
                <w:sz w:val="21"/>
              </w:rPr>
            </w:pPr>
          </w:p>
          <w:p w14:paraId="2B1065F5">
            <w:pPr>
              <w:spacing w:line="251" w:lineRule="auto"/>
              <w:rPr>
                <w:rFonts w:ascii="Arial"/>
                <w:sz w:val="21"/>
              </w:rPr>
            </w:pPr>
          </w:p>
          <w:p w14:paraId="020D74B7">
            <w:pPr>
              <w:spacing w:line="251" w:lineRule="auto"/>
              <w:rPr>
                <w:rFonts w:ascii="Arial"/>
                <w:sz w:val="21"/>
              </w:rPr>
            </w:pPr>
          </w:p>
          <w:p w14:paraId="3D18F123">
            <w:pPr>
              <w:spacing w:line="252" w:lineRule="auto"/>
              <w:rPr>
                <w:rFonts w:ascii="Arial"/>
                <w:sz w:val="21"/>
              </w:rPr>
            </w:pPr>
          </w:p>
          <w:p w14:paraId="54497F48">
            <w:pPr>
              <w:spacing w:line="252" w:lineRule="auto"/>
              <w:rPr>
                <w:rFonts w:ascii="Arial"/>
                <w:sz w:val="21"/>
              </w:rPr>
            </w:pPr>
          </w:p>
          <w:p w14:paraId="2CC9DDE0">
            <w:pPr>
              <w:spacing w:line="252" w:lineRule="auto"/>
              <w:rPr>
                <w:rFonts w:ascii="Arial"/>
                <w:sz w:val="21"/>
              </w:rPr>
            </w:pPr>
          </w:p>
          <w:p w14:paraId="0A2F2F51">
            <w:pPr>
              <w:spacing w:line="252" w:lineRule="auto"/>
              <w:rPr>
                <w:rFonts w:ascii="Arial"/>
                <w:sz w:val="21"/>
              </w:rPr>
            </w:pPr>
          </w:p>
          <w:p w14:paraId="6812119C">
            <w:pPr>
              <w:spacing w:line="252" w:lineRule="auto"/>
              <w:rPr>
                <w:rFonts w:ascii="Arial"/>
                <w:sz w:val="21"/>
              </w:rPr>
            </w:pPr>
          </w:p>
          <w:p w14:paraId="59811619">
            <w:pPr>
              <w:spacing w:line="252" w:lineRule="auto"/>
              <w:rPr>
                <w:rFonts w:ascii="Arial"/>
                <w:sz w:val="21"/>
              </w:rPr>
            </w:pPr>
          </w:p>
          <w:p w14:paraId="49A3E78E">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CA2EF2C">
            <w:pPr>
              <w:spacing w:line="266" w:lineRule="auto"/>
              <w:rPr>
                <w:rFonts w:ascii="Arial"/>
                <w:sz w:val="21"/>
              </w:rPr>
            </w:pPr>
          </w:p>
          <w:p w14:paraId="4EB68A76">
            <w:pPr>
              <w:spacing w:line="266" w:lineRule="auto"/>
              <w:rPr>
                <w:rFonts w:ascii="Arial"/>
                <w:sz w:val="21"/>
              </w:rPr>
            </w:pPr>
          </w:p>
          <w:p w14:paraId="377E7AC1">
            <w:pPr>
              <w:spacing w:line="266" w:lineRule="auto"/>
              <w:rPr>
                <w:rFonts w:ascii="Arial"/>
                <w:sz w:val="21"/>
              </w:rPr>
            </w:pPr>
          </w:p>
          <w:p w14:paraId="35D4E964">
            <w:pPr>
              <w:spacing w:line="266" w:lineRule="auto"/>
              <w:rPr>
                <w:rFonts w:ascii="Arial"/>
                <w:sz w:val="21"/>
              </w:rPr>
            </w:pPr>
          </w:p>
          <w:p w14:paraId="3FC2BC50">
            <w:pPr>
              <w:spacing w:line="267" w:lineRule="auto"/>
              <w:rPr>
                <w:rFonts w:ascii="Arial"/>
                <w:sz w:val="21"/>
              </w:rPr>
            </w:pPr>
          </w:p>
          <w:p w14:paraId="08FD1D66">
            <w:pPr>
              <w:spacing w:line="267" w:lineRule="auto"/>
              <w:rPr>
                <w:rFonts w:ascii="Arial"/>
                <w:sz w:val="21"/>
              </w:rPr>
            </w:pPr>
          </w:p>
          <w:p w14:paraId="494F6E04">
            <w:pPr>
              <w:spacing w:line="267" w:lineRule="auto"/>
              <w:rPr>
                <w:rFonts w:ascii="Arial"/>
                <w:sz w:val="21"/>
              </w:rPr>
            </w:pPr>
          </w:p>
          <w:p w14:paraId="6061ED92">
            <w:pPr>
              <w:spacing w:line="267" w:lineRule="auto"/>
              <w:rPr>
                <w:rFonts w:ascii="Arial"/>
                <w:sz w:val="21"/>
              </w:rPr>
            </w:pPr>
          </w:p>
          <w:p w14:paraId="5527FD66">
            <w:pPr>
              <w:spacing w:line="267" w:lineRule="auto"/>
              <w:rPr>
                <w:rFonts w:ascii="Arial"/>
                <w:sz w:val="21"/>
              </w:rPr>
            </w:pPr>
          </w:p>
          <w:p w14:paraId="4DF9A989">
            <w:pPr>
              <w:pStyle w:val="6"/>
              <w:spacing w:before="99" w:line="191" w:lineRule="auto"/>
              <w:ind w:left="117" w:right="109"/>
              <w:jc w:val="both"/>
            </w:pPr>
            <w:r>
              <w:rPr>
                <w:spacing w:val="26"/>
              </w:rPr>
              <w:t>接受转让的单位和个人发生人员死亡</w:t>
            </w:r>
            <w:r>
              <w:rPr>
                <w:spacing w:val="7"/>
              </w:rPr>
              <w:t>生产安全事故的</w:t>
            </w:r>
          </w:p>
        </w:tc>
        <w:tc>
          <w:tcPr>
            <w:tcW w:w="2894" w:type="dxa"/>
            <w:vAlign w:val="top"/>
          </w:tcPr>
          <w:p w14:paraId="11220333">
            <w:pPr>
              <w:rPr>
                <w:rFonts w:ascii="Arial"/>
                <w:sz w:val="21"/>
              </w:rPr>
            </w:pPr>
          </w:p>
          <w:p w14:paraId="4252E242">
            <w:pPr>
              <w:rPr>
                <w:rFonts w:ascii="Arial"/>
                <w:sz w:val="21"/>
              </w:rPr>
            </w:pPr>
          </w:p>
          <w:p w14:paraId="5880C25C">
            <w:pPr>
              <w:rPr>
                <w:rFonts w:ascii="Arial"/>
                <w:sz w:val="21"/>
              </w:rPr>
            </w:pPr>
          </w:p>
          <w:p w14:paraId="5CBFEE8B">
            <w:pPr>
              <w:rPr>
                <w:rFonts w:ascii="Arial"/>
                <w:sz w:val="21"/>
              </w:rPr>
            </w:pPr>
          </w:p>
          <w:p w14:paraId="70A88EDD">
            <w:pPr>
              <w:rPr>
                <w:rFonts w:ascii="Arial"/>
                <w:sz w:val="21"/>
              </w:rPr>
            </w:pPr>
          </w:p>
          <w:p w14:paraId="75E79248">
            <w:pPr>
              <w:rPr>
                <w:rFonts w:ascii="Arial"/>
                <w:sz w:val="21"/>
              </w:rPr>
            </w:pPr>
          </w:p>
          <w:p w14:paraId="7F65DC8A">
            <w:pPr>
              <w:rPr>
                <w:rFonts w:ascii="Arial"/>
                <w:sz w:val="21"/>
              </w:rPr>
            </w:pPr>
          </w:p>
          <w:p w14:paraId="4436133E">
            <w:pPr>
              <w:rPr>
                <w:rFonts w:ascii="Arial"/>
                <w:sz w:val="21"/>
              </w:rPr>
            </w:pPr>
          </w:p>
          <w:p w14:paraId="6FF046FA">
            <w:pPr>
              <w:rPr>
                <w:rFonts w:ascii="Arial"/>
                <w:sz w:val="21"/>
              </w:rPr>
            </w:pPr>
          </w:p>
          <w:p w14:paraId="50AD0BAB">
            <w:pPr>
              <w:rPr>
                <w:rFonts w:ascii="Arial"/>
                <w:sz w:val="21"/>
              </w:rPr>
            </w:pPr>
          </w:p>
          <w:p w14:paraId="450B4EB8">
            <w:pPr>
              <w:pStyle w:val="6"/>
              <w:spacing w:before="99" w:line="191" w:lineRule="auto"/>
              <w:ind w:left="126" w:right="73" w:firstLine="2"/>
              <w:jc w:val="both"/>
            </w:pPr>
            <w:r>
              <w:rPr>
                <w:spacing w:val="-3"/>
              </w:rPr>
              <w:t>没收违法所得，处</w:t>
            </w:r>
            <w:r>
              <w:rPr>
                <w:rFonts w:ascii="宋体" w:hAnsi="宋体" w:eastAsia="宋体" w:cs="宋体"/>
                <w:spacing w:val="-3"/>
              </w:rPr>
              <w:t>40</w:t>
            </w:r>
            <w:r>
              <w:rPr>
                <w:spacing w:val="-3"/>
              </w:rPr>
              <w:t>万元</w:t>
            </w:r>
            <w:r>
              <w:t>以上</w:t>
            </w:r>
            <w:r>
              <w:rPr>
                <w:rFonts w:ascii="宋体" w:hAnsi="宋体" w:eastAsia="宋体" w:cs="宋体"/>
              </w:rPr>
              <w:t>50</w:t>
            </w:r>
            <w:r>
              <w:t>万元以下的罚款，</w:t>
            </w:r>
            <w:r>
              <w:rPr>
                <w:spacing w:val="7"/>
              </w:rPr>
              <w:t>并吊销其安全生产许可证</w:t>
            </w:r>
          </w:p>
        </w:tc>
        <w:tc>
          <w:tcPr>
            <w:tcW w:w="811" w:type="dxa"/>
            <w:vMerge w:val="continue"/>
            <w:tcBorders>
              <w:top w:val="nil"/>
            </w:tcBorders>
            <w:vAlign w:val="top"/>
          </w:tcPr>
          <w:p w14:paraId="3499ACA9">
            <w:pPr>
              <w:rPr>
                <w:rFonts w:ascii="Arial"/>
                <w:sz w:val="21"/>
              </w:rPr>
            </w:pPr>
          </w:p>
        </w:tc>
      </w:tr>
    </w:tbl>
    <w:p w14:paraId="749A7789">
      <w:pPr>
        <w:pStyle w:val="2"/>
      </w:pPr>
    </w:p>
    <w:p w14:paraId="004CE6CD">
      <w:pPr>
        <w:sectPr>
          <w:footerReference r:id="rId101" w:type="default"/>
          <w:pgSz w:w="16839" w:h="11906"/>
          <w:pgMar w:top="1012" w:right="821" w:bottom="667" w:left="901" w:header="0" w:footer="388" w:gutter="0"/>
          <w:cols w:space="720" w:num="1"/>
        </w:sectPr>
      </w:pPr>
    </w:p>
    <w:p w14:paraId="6725F047">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A79B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15449A8">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35E990BD">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968C96B">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52D5BF7">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9F90976">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089652D">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3D6F014B">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6FEA4D97">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C50F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1" w:hRule="atLeast"/>
        </w:trPr>
        <w:tc>
          <w:tcPr>
            <w:tcW w:w="818" w:type="dxa"/>
            <w:vAlign w:val="top"/>
          </w:tcPr>
          <w:p w14:paraId="7CB6A181">
            <w:pPr>
              <w:rPr>
                <w:rFonts w:ascii="Arial"/>
                <w:sz w:val="21"/>
              </w:rPr>
            </w:pPr>
          </w:p>
        </w:tc>
        <w:tc>
          <w:tcPr>
            <w:tcW w:w="1440" w:type="dxa"/>
            <w:vAlign w:val="top"/>
          </w:tcPr>
          <w:p w14:paraId="4B1D423C">
            <w:pPr>
              <w:rPr>
                <w:rFonts w:ascii="Arial"/>
                <w:sz w:val="21"/>
              </w:rPr>
            </w:pPr>
          </w:p>
        </w:tc>
        <w:tc>
          <w:tcPr>
            <w:tcW w:w="3202" w:type="dxa"/>
            <w:vAlign w:val="top"/>
          </w:tcPr>
          <w:p w14:paraId="2F3AC658">
            <w:pPr>
              <w:rPr>
                <w:rFonts w:ascii="Arial"/>
                <w:sz w:val="21"/>
              </w:rPr>
            </w:pPr>
          </w:p>
        </w:tc>
        <w:tc>
          <w:tcPr>
            <w:tcW w:w="2859" w:type="dxa"/>
            <w:vAlign w:val="top"/>
          </w:tcPr>
          <w:p w14:paraId="1D58A983">
            <w:pPr>
              <w:pStyle w:val="6"/>
              <w:spacing w:before="28" w:line="182" w:lineRule="auto"/>
              <w:ind w:left="120"/>
            </w:pPr>
            <w:r>
              <w:rPr>
                <w:spacing w:val="4"/>
              </w:rPr>
              <w:t>所得，并处</w:t>
            </w:r>
            <w:r>
              <w:rPr>
                <w:rFonts w:ascii="宋体" w:hAnsi="宋体" w:eastAsia="宋体" w:cs="宋体"/>
                <w:spacing w:val="4"/>
              </w:rPr>
              <w:t>10</w:t>
            </w:r>
            <w:r>
              <w:rPr>
                <w:spacing w:val="4"/>
              </w:rPr>
              <w:t>万元以上</w:t>
            </w:r>
          </w:p>
          <w:p w14:paraId="344568E9">
            <w:pPr>
              <w:pStyle w:val="6"/>
              <w:spacing w:line="182" w:lineRule="auto"/>
              <w:ind w:left="118"/>
            </w:pPr>
            <w:r>
              <w:rPr>
                <w:rFonts w:ascii="宋体" w:hAnsi="宋体" w:eastAsia="宋体" w:cs="宋体"/>
                <w:spacing w:val="1"/>
              </w:rPr>
              <w:t>50</w:t>
            </w:r>
            <w:r>
              <w:rPr>
                <w:spacing w:val="1"/>
              </w:rPr>
              <w:t>万元以下的罚款。</w:t>
            </w:r>
          </w:p>
          <w:p w14:paraId="611495F9">
            <w:pPr>
              <w:pStyle w:val="6"/>
              <w:spacing w:line="182" w:lineRule="auto"/>
              <w:ind w:left="118"/>
            </w:pPr>
            <w:r>
              <w:rPr>
                <w:rFonts w:ascii="宋体" w:hAnsi="宋体" w:eastAsia="宋体" w:cs="宋体"/>
                <w:spacing w:val="5"/>
              </w:rPr>
              <w:t>5.</w:t>
            </w:r>
            <w:r>
              <w:rPr>
                <w:spacing w:val="5"/>
              </w:rPr>
              <w:t>【部门规章】《安全生</w:t>
            </w:r>
          </w:p>
          <w:p w14:paraId="2B552507">
            <w:pPr>
              <w:pStyle w:val="6"/>
              <w:spacing w:before="1" w:line="182" w:lineRule="auto"/>
              <w:ind w:left="119"/>
              <w:outlineLvl w:val="0"/>
            </w:pPr>
            <w:r>
              <w:rPr>
                <w:spacing w:val="32"/>
              </w:rPr>
              <w:t>产违法行为行政处罚办</w:t>
            </w:r>
          </w:p>
          <w:p w14:paraId="4CACBFC8">
            <w:pPr>
              <w:pStyle w:val="6"/>
              <w:spacing w:before="3" w:line="181" w:lineRule="auto"/>
              <w:ind w:left="98" w:right="106" w:firstLine="30"/>
            </w:pPr>
            <w:r>
              <w:rPr>
                <w:spacing w:val="7"/>
              </w:rPr>
              <w:t>法》第四十九条：生产经</w:t>
            </w:r>
            <w:bookmarkStart w:id="489" w:name="bookmark173"/>
            <w:bookmarkEnd w:id="489"/>
            <w:r>
              <w:rPr>
                <w:spacing w:val="10"/>
              </w:rPr>
              <w:t>营单位转让安全生产许可</w:t>
            </w:r>
            <w:r>
              <w:t>证的，没收违法所得，吊</w:t>
            </w:r>
            <w:r>
              <w:rPr>
                <w:spacing w:val="10"/>
              </w:rPr>
              <w:t>销安全生产许可证，并按</w:t>
            </w:r>
            <w:r>
              <w:rPr>
                <w:spacing w:val="29"/>
              </w:rPr>
              <w:t>照下列规定处以罚款：</w:t>
            </w:r>
            <w:r>
              <w:t>（一）接受转让的单位和</w:t>
            </w:r>
            <w:r>
              <w:rPr>
                <w:spacing w:val="10"/>
              </w:rPr>
              <w:t>个人未发生生产安全事故</w:t>
            </w:r>
            <w:r>
              <w:rPr>
                <w:spacing w:val="1"/>
              </w:rPr>
              <w:t>的，处</w:t>
            </w:r>
            <w:r>
              <w:rPr>
                <w:rFonts w:ascii="宋体" w:hAnsi="宋体" w:eastAsia="宋体" w:cs="宋体"/>
                <w:spacing w:val="1"/>
              </w:rPr>
              <w:t>10</w:t>
            </w:r>
            <w:r>
              <w:rPr>
                <w:spacing w:val="1"/>
              </w:rPr>
              <w:t>万元以上</w:t>
            </w:r>
            <w:r>
              <w:rPr>
                <w:rFonts w:ascii="宋体" w:hAnsi="宋体" w:eastAsia="宋体" w:cs="宋体"/>
                <w:spacing w:val="1"/>
              </w:rPr>
              <w:t>30</w:t>
            </w:r>
            <w:r>
              <w:rPr>
                <w:spacing w:val="1"/>
              </w:rPr>
              <w:t>万</w:t>
            </w:r>
            <w:r>
              <w:rPr>
                <w:spacing w:val="4"/>
              </w:rPr>
              <w:t>元以下的罚款</w:t>
            </w:r>
            <w:r>
              <w:rPr>
                <w:spacing w:val="2"/>
              </w:rPr>
              <w:t>；（</w:t>
            </w:r>
            <w:r>
              <w:rPr>
                <w:spacing w:val="4"/>
              </w:rPr>
              <w:t>二）接</w:t>
            </w:r>
            <w:r>
              <w:rPr>
                <w:spacing w:val="10"/>
              </w:rPr>
              <w:t>受转让的单位和个人发生生产安全事故但没有造成</w:t>
            </w:r>
            <w:r>
              <w:rPr>
                <w:spacing w:val="-3"/>
              </w:rPr>
              <w:t>人员死亡的，处</w:t>
            </w:r>
            <w:r>
              <w:rPr>
                <w:rFonts w:ascii="宋体" w:hAnsi="宋体" w:eastAsia="宋体" w:cs="宋体"/>
                <w:spacing w:val="-3"/>
              </w:rPr>
              <w:t>30</w:t>
            </w:r>
            <w:r>
              <w:rPr>
                <w:spacing w:val="-3"/>
              </w:rPr>
              <w:t>万元以</w:t>
            </w:r>
            <w:r>
              <w:rPr>
                <w:spacing w:val="11"/>
              </w:rPr>
              <w:t>上</w:t>
            </w:r>
            <w:r>
              <w:rPr>
                <w:rFonts w:ascii="宋体" w:hAnsi="宋体" w:eastAsia="宋体" w:cs="宋体"/>
                <w:spacing w:val="11"/>
              </w:rPr>
              <w:t>40</w:t>
            </w:r>
            <w:r>
              <w:rPr>
                <w:spacing w:val="11"/>
              </w:rPr>
              <w:t>万元以下的罚款；</w:t>
            </w:r>
            <w:r>
              <w:rPr>
                <w:spacing w:val="10"/>
              </w:rPr>
              <w:t>（三）接受转让的单位和个人发生人员死亡生产安</w:t>
            </w:r>
            <w:r>
              <w:rPr>
                <w:spacing w:val="-3"/>
              </w:rPr>
              <w:t>全事故的，处</w:t>
            </w:r>
            <w:r>
              <w:rPr>
                <w:rFonts w:ascii="宋体" w:hAnsi="宋体" w:eastAsia="宋体" w:cs="宋体"/>
                <w:spacing w:val="-3"/>
              </w:rPr>
              <w:t>40</w:t>
            </w:r>
            <w:r>
              <w:rPr>
                <w:spacing w:val="-3"/>
              </w:rPr>
              <w:t>万元以上</w:t>
            </w:r>
            <w:r>
              <w:rPr>
                <w:rFonts w:ascii="宋体" w:hAnsi="宋体" w:eastAsia="宋体" w:cs="宋体"/>
                <w:spacing w:val="3"/>
              </w:rPr>
              <w:t>50</w:t>
            </w:r>
            <w:r>
              <w:rPr>
                <w:spacing w:val="3"/>
              </w:rPr>
              <w:t>万元以下的罚款。</w:t>
            </w:r>
          </w:p>
        </w:tc>
        <w:tc>
          <w:tcPr>
            <w:tcW w:w="803" w:type="dxa"/>
            <w:vAlign w:val="top"/>
          </w:tcPr>
          <w:p w14:paraId="6D67AD22">
            <w:pPr>
              <w:rPr>
                <w:rFonts w:ascii="Arial"/>
                <w:sz w:val="21"/>
              </w:rPr>
            </w:pPr>
          </w:p>
        </w:tc>
        <w:tc>
          <w:tcPr>
            <w:tcW w:w="2283" w:type="dxa"/>
            <w:vAlign w:val="top"/>
          </w:tcPr>
          <w:p w14:paraId="5B34B7CB">
            <w:pPr>
              <w:rPr>
                <w:rFonts w:ascii="Arial"/>
                <w:sz w:val="21"/>
              </w:rPr>
            </w:pPr>
          </w:p>
        </w:tc>
        <w:tc>
          <w:tcPr>
            <w:tcW w:w="2894" w:type="dxa"/>
            <w:vAlign w:val="top"/>
          </w:tcPr>
          <w:p w14:paraId="589139B6">
            <w:pPr>
              <w:rPr>
                <w:rFonts w:ascii="Arial"/>
                <w:sz w:val="21"/>
              </w:rPr>
            </w:pPr>
          </w:p>
        </w:tc>
        <w:tc>
          <w:tcPr>
            <w:tcW w:w="811" w:type="dxa"/>
            <w:vAlign w:val="top"/>
          </w:tcPr>
          <w:p w14:paraId="3B655F86">
            <w:pPr>
              <w:rPr>
                <w:rFonts w:ascii="Arial"/>
                <w:sz w:val="21"/>
              </w:rPr>
            </w:pPr>
          </w:p>
        </w:tc>
      </w:tr>
      <w:tr w14:paraId="76AC1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1" w:hRule="atLeast"/>
        </w:trPr>
        <w:tc>
          <w:tcPr>
            <w:tcW w:w="818" w:type="dxa"/>
            <w:vAlign w:val="top"/>
          </w:tcPr>
          <w:p w14:paraId="219D33DF">
            <w:pPr>
              <w:spacing w:line="299" w:lineRule="auto"/>
              <w:rPr>
                <w:rFonts w:ascii="Arial"/>
                <w:sz w:val="21"/>
              </w:rPr>
            </w:pPr>
          </w:p>
          <w:p w14:paraId="1B425166">
            <w:pPr>
              <w:spacing w:line="299" w:lineRule="auto"/>
              <w:rPr>
                <w:rFonts w:ascii="Arial"/>
                <w:sz w:val="21"/>
              </w:rPr>
            </w:pPr>
          </w:p>
          <w:p w14:paraId="560114F9">
            <w:pPr>
              <w:spacing w:line="299" w:lineRule="auto"/>
              <w:rPr>
                <w:rFonts w:ascii="Arial"/>
                <w:sz w:val="21"/>
              </w:rPr>
            </w:pPr>
          </w:p>
          <w:p w14:paraId="2AE88B8A">
            <w:pPr>
              <w:spacing w:line="299" w:lineRule="auto"/>
              <w:rPr>
                <w:rFonts w:ascii="Arial"/>
                <w:sz w:val="21"/>
              </w:rPr>
            </w:pPr>
          </w:p>
          <w:p w14:paraId="1334BE1D">
            <w:pPr>
              <w:spacing w:before="75" w:line="185" w:lineRule="auto"/>
              <w:ind w:left="235"/>
              <w:rPr>
                <w:rFonts w:ascii="仿宋" w:hAnsi="仿宋" w:eastAsia="仿宋" w:cs="仿宋"/>
                <w:sz w:val="23"/>
                <w:szCs w:val="23"/>
              </w:rPr>
            </w:pPr>
            <w:r>
              <w:rPr>
                <w:rFonts w:ascii="仿宋" w:hAnsi="仿宋" w:eastAsia="仿宋" w:cs="仿宋"/>
                <w:spacing w:val="-2"/>
                <w:sz w:val="23"/>
                <w:szCs w:val="23"/>
              </w:rPr>
              <w:t>83</w:t>
            </w:r>
          </w:p>
        </w:tc>
        <w:tc>
          <w:tcPr>
            <w:tcW w:w="1440" w:type="dxa"/>
            <w:vAlign w:val="top"/>
          </w:tcPr>
          <w:p w14:paraId="5E08FB30">
            <w:pPr>
              <w:pStyle w:val="6"/>
              <w:spacing w:before="182" w:line="186" w:lineRule="auto"/>
              <w:ind w:left="116" w:right="111" w:hanging="1"/>
              <w:jc w:val="both"/>
            </w:pPr>
            <w:r>
              <w:rPr>
                <w:spacing w:val="-6"/>
                <w:w w:val="96"/>
              </w:rPr>
              <w:t>危险化学</w:t>
            </w:r>
            <w:r>
              <w:rPr>
                <w:spacing w:val="11"/>
              </w:rPr>
              <w:t>品、烟花爆竹生产企业和石油天然气企业接受转让的安全生产许可证</w:t>
            </w:r>
            <w:r>
              <w:t>的</w:t>
            </w:r>
          </w:p>
        </w:tc>
        <w:tc>
          <w:tcPr>
            <w:tcW w:w="3202" w:type="dxa"/>
            <w:vAlign w:val="top"/>
          </w:tcPr>
          <w:p w14:paraId="4DCEAAC5">
            <w:pPr>
              <w:pStyle w:val="6"/>
              <w:spacing w:before="37" w:line="182" w:lineRule="auto"/>
              <w:ind w:left="123" w:right="111" w:firstLine="8"/>
              <w:jc w:val="both"/>
            </w:pPr>
            <w:r>
              <w:rPr>
                <w:rFonts w:ascii="宋体" w:hAnsi="宋体" w:eastAsia="宋体" w:cs="宋体"/>
                <w:spacing w:val="14"/>
              </w:rPr>
              <w:t>1.</w:t>
            </w:r>
            <w:r>
              <w:rPr>
                <w:spacing w:val="14"/>
              </w:rPr>
              <w:t>【行政法规】《安全生产</w:t>
            </w:r>
            <w:r>
              <w:rPr>
                <w:spacing w:val="13"/>
              </w:rPr>
              <w:t>许可证条例》第十三条：企</w:t>
            </w:r>
            <w:r>
              <w:rPr>
                <w:spacing w:val="16"/>
              </w:rPr>
              <w:t>业不得转让、冒用安全生产许可证或者使用伪造的安全</w:t>
            </w:r>
            <w:r>
              <w:t>生产许可证。</w:t>
            </w:r>
          </w:p>
          <w:p w14:paraId="3032D251">
            <w:pPr>
              <w:pStyle w:val="6"/>
              <w:spacing w:line="191" w:lineRule="auto"/>
              <w:ind w:left="128" w:right="111" w:hanging="12"/>
              <w:jc w:val="both"/>
            </w:pPr>
            <w:r>
              <w:rPr>
                <w:rFonts w:ascii="宋体" w:hAnsi="宋体" w:eastAsia="宋体" w:cs="宋体"/>
                <w:spacing w:val="15"/>
              </w:rPr>
              <w:t>2.</w:t>
            </w:r>
            <w:r>
              <w:rPr>
                <w:spacing w:val="15"/>
              </w:rPr>
              <w:t>【部门规章】《危险化学</w:t>
            </w:r>
            <w:r>
              <w:rPr>
                <w:spacing w:val="16"/>
              </w:rPr>
              <w:t>品生产企业安全生产许可证</w:t>
            </w:r>
            <w:r>
              <w:rPr>
                <w:spacing w:val="12"/>
              </w:rPr>
              <w:t>实施办法》第三十六条：企</w:t>
            </w:r>
          </w:p>
        </w:tc>
        <w:tc>
          <w:tcPr>
            <w:tcW w:w="2859" w:type="dxa"/>
            <w:vAlign w:val="top"/>
          </w:tcPr>
          <w:p w14:paraId="17551229">
            <w:pPr>
              <w:pStyle w:val="6"/>
              <w:spacing w:before="30" w:line="186" w:lineRule="auto"/>
              <w:ind w:left="117" w:right="105" w:firstLine="13"/>
              <w:jc w:val="both"/>
            </w:pPr>
            <w:r>
              <w:rPr>
                <w:rFonts w:ascii="宋体" w:hAnsi="宋体" w:eastAsia="宋体" w:cs="宋体"/>
                <w:spacing w:val="6"/>
              </w:rPr>
              <w:t>1.</w:t>
            </w:r>
            <w:r>
              <w:rPr>
                <w:spacing w:val="6"/>
              </w:rPr>
              <w:t>【行政法规】《安全生产许可证条例》第二十一</w:t>
            </w:r>
            <w:r>
              <w:rPr>
                <w:spacing w:val="8"/>
              </w:rPr>
              <w:t>条第一款：违反本条例规定，转让安全生产许可证</w:t>
            </w:r>
            <w:r>
              <w:rPr>
                <w:spacing w:val="-2"/>
              </w:rPr>
              <w:t>的，没收违法所得，处</w:t>
            </w:r>
            <w:r>
              <w:rPr>
                <w:rFonts w:ascii="宋体" w:hAnsi="宋体" w:eastAsia="宋体" w:cs="宋体"/>
                <w:spacing w:val="-2"/>
              </w:rPr>
              <w:t>10</w:t>
            </w:r>
            <w:r>
              <w:rPr>
                <w:spacing w:val="11"/>
              </w:rPr>
              <w:t>万元以上</w:t>
            </w:r>
            <w:r>
              <w:rPr>
                <w:rFonts w:ascii="宋体" w:hAnsi="宋体" w:eastAsia="宋体" w:cs="宋体"/>
                <w:spacing w:val="11"/>
              </w:rPr>
              <w:t>50</w:t>
            </w:r>
            <w:r>
              <w:rPr>
                <w:spacing w:val="11"/>
              </w:rPr>
              <w:t>万元以下的</w:t>
            </w:r>
            <w:r>
              <w:rPr>
                <w:spacing w:val="8"/>
              </w:rPr>
              <w:t>罚款，并吊销其安全生产</w:t>
            </w:r>
            <w:r>
              <w:rPr>
                <w:spacing w:val="-1"/>
              </w:rPr>
              <w:t>许可证；构成犯罪的，依</w:t>
            </w:r>
          </w:p>
        </w:tc>
        <w:tc>
          <w:tcPr>
            <w:tcW w:w="803" w:type="dxa"/>
            <w:vAlign w:val="top"/>
          </w:tcPr>
          <w:p w14:paraId="7A8E5709">
            <w:pPr>
              <w:spacing w:line="297" w:lineRule="auto"/>
              <w:rPr>
                <w:rFonts w:ascii="Arial"/>
                <w:sz w:val="21"/>
              </w:rPr>
            </w:pPr>
          </w:p>
          <w:p w14:paraId="65BD032E">
            <w:pPr>
              <w:spacing w:line="297" w:lineRule="auto"/>
              <w:rPr>
                <w:rFonts w:ascii="Arial"/>
                <w:sz w:val="21"/>
              </w:rPr>
            </w:pPr>
          </w:p>
          <w:p w14:paraId="2CADE353">
            <w:pPr>
              <w:spacing w:line="298" w:lineRule="auto"/>
              <w:rPr>
                <w:rFonts w:ascii="Arial"/>
                <w:sz w:val="21"/>
              </w:rPr>
            </w:pPr>
          </w:p>
          <w:p w14:paraId="23618ED3">
            <w:pPr>
              <w:spacing w:line="298" w:lineRule="auto"/>
              <w:rPr>
                <w:rFonts w:ascii="Arial"/>
                <w:sz w:val="21"/>
              </w:rPr>
            </w:pPr>
          </w:p>
          <w:p w14:paraId="17322D3B">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E9F7B35">
            <w:pPr>
              <w:spacing w:line="275" w:lineRule="auto"/>
              <w:rPr>
                <w:rFonts w:ascii="Arial"/>
                <w:sz w:val="21"/>
              </w:rPr>
            </w:pPr>
          </w:p>
          <w:p w14:paraId="44F7A7D7">
            <w:pPr>
              <w:spacing w:line="275" w:lineRule="auto"/>
              <w:rPr>
                <w:rFonts w:ascii="Arial"/>
                <w:sz w:val="21"/>
              </w:rPr>
            </w:pPr>
          </w:p>
          <w:p w14:paraId="4CDF316B">
            <w:pPr>
              <w:spacing w:line="276" w:lineRule="auto"/>
              <w:rPr>
                <w:rFonts w:ascii="Arial"/>
                <w:sz w:val="21"/>
              </w:rPr>
            </w:pPr>
          </w:p>
          <w:p w14:paraId="19F552B7">
            <w:pPr>
              <w:pStyle w:val="6"/>
              <w:spacing w:before="99" w:line="192" w:lineRule="auto"/>
              <w:ind w:left="128" w:right="106" w:hanging="1"/>
              <w:jc w:val="both"/>
            </w:pPr>
            <w:r>
              <w:rPr>
                <w:spacing w:val="25"/>
              </w:rPr>
              <w:t>没有违法所得或违</w:t>
            </w:r>
            <w:r>
              <w:rPr>
                <w:spacing w:val="1"/>
              </w:rPr>
              <w:t>法所得</w:t>
            </w:r>
            <w:r>
              <w:rPr>
                <w:rFonts w:ascii="宋体" w:hAnsi="宋体" w:eastAsia="宋体" w:cs="宋体"/>
                <w:spacing w:val="1"/>
              </w:rPr>
              <w:t>10</w:t>
            </w:r>
            <w:r>
              <w:rPr>
                <w:spacing w:val="1"/>
              </w:rPr>
              <w:t>万元以下</w:t>
            </w:r>
            <w:r>
              <w:t>的</w:t>
            </w:r>
          </w:p>
        </w:tc>
        <w:tc>
          <w:tcPr>
            <w:tcW w:w="2894" w:type="dxa"/>
            <w:vAlign w:val="top"/>
          </w:tcPr>
          <w:p w14:paraId="37AA0951">
            <w:pPr>
              <w:spacing w:line="275" w:lineRule="auto"/>
              <w:rPr>
                <w:rFonts w:ascii="Arial"/>
                <w:sz w:val="21"/>
              </w:rPr>
            </w:pPr>
          </w:p>
          <w:p w14:paraId="7D4FDF1E">
            <w:pPr>
              <w:spacing w:line="275" w:lineRule="auto"/>
              <w:rPr>
                <w:rFonts w:ascii="Arial"/>
                <w:sz w:val="21"/>
              </w:rPr>
            </w:pPr>
          </w:p>
          <w:p w14:paraId="7195C818">
            <w:pPr>
              <w:spacing w:line="276" w:lineRule="auto"/>
              <w:rPr>
                <w:rFonts w:ascii="Arial"/>
                <w:sz w:val="21"/>
              </w:rPr>
            </w:pPr>
          </w:p>
          <w:p w14:paraId="1C2A4671">
            <w:pPr>
              <w:pStyle w:val="6"/>
              <w:spacing w:before="99" w:line="191" w:lineRule="auto"/>
              <w:ind w:left="120" w:right="106" w:firstLine="7"/>
              <w:jc w:val="both"/>
            </w:pPr>
            <w:r>
              <w:rPr>
                <w:spacing w:val="7"/>
              </w:rPr>
              <w:t>责令停止生产，没收违法</w:t>
            </w:r>
            <w:r>
              <w:rPr>
                <w:spacing w:val="5"/>
              </w:rPr>
              <w:t>所得，并处</w:t>
            </w:r>
            <w:r>
              <w:rPr>
                <w:rFonts w:ascii="宋体" w:hAnsi="宋体" w:eastAsia="宋体" w:cs="宋体"/>
                <w:spacing w:val="5"/>
              </w:rPr>
              <w:t>10</w:t>
            </w:r>
            <w:r>
              <w:rPr>
                <w:spacing w:val="5"/>
              </w:rPr>
              <w:t>万元以上</w:t>
            </w:r>
            <w:r>
              <w:rPr>
                <w:rFonts w:ascii="宋体" w:hAnsi="宋体" w:eastAsia="宋体" w:cs="宋体"/>
                <w:spacing w:val="3"/>
              </w:rPr>
              <w:t>30</w:t>
            </w:r>
            <w:r>
              <w:rPr>
                <w:spacing w:val="3"/>
              </w:rPr>
              <w:t>万元以下的罚款</w:t>
            </w:r>
          </w:p>
        </w:tc>
        <w:tc>
          <w:tcPr>
            <w:tcW w:w="811" w:type="dxa"/>
            <w:vAlign w:val="top"/>
          </w:tcPr>
          <w:p w14:paraId="2DBEEB5A">
            <w:pPr>
              <w:spacing w:line="298" w:lineRule="auto"/>
              <w:rPr>
                <w:rFonts w:ascii="Arial"/>
                <w:sz w:val="21"/>
              </w:rPr>
            </w:pPr>
          </w:p>
          <w:p w14:paraId="0002A1F7">
            <w:pPr>
              <w:spacing w:line="298" w:lineRule="auto"/>
              <w:rPr>
                <w:rFonts w:ascii="Arial"/>
                <w:sz w:val="21"/>
              </w:rPr>
            </w:pPr>
          </w:p>
          <w:p w14:paraId="1E574DE5">
            <w:pPr>
              <w:spacing w:line="299" w:lineRule="auto"/>
              <w:rPr>
                <w:rFonts w:ascii="Arial"/>
                <w:sz w:val="21"/>
              </w:rPr>
            </w:pPr>
          </w:p>
          <w:p w14:paraId="0FEDAC1F">
            <w:pPr>
              <w:spacing w:line="299" w:lineRule="auto"/>
              <w:rPr>
                <w:rFonts w:ascii="Arial"/>
                <w:sz w:val="21"/>
              </w:rPr>
            </w:pPr>
          </w:p>
          <w:p w14:paraId="25503F2F">
            <w:pPr>
              <w:spacing w:before="75" w:line="187" w:lineRule="auto"/>
              <w:ind w:left="295"/>
              <w:rPr>
                <w:rFonts w:ascii="宋体" w:hAnsi="宋体" w:eastAsia="宋体" w:cs="宋体"/>
                <w:sz w:val="23"/>
                <w:szCs w:val="23"/>
              </w:rPr>
            </w:pPr>
            <w:r>
              <w:rPr>
                <w:rFonts w:ascii="宋体" w:hAnsi="宋体" w:eastAsia="宋体" w:cs="宋体"/>
                <w:spacing w:val="-4"/>
                <w:sz w:val="23"/>
                <w:szCs w:val="23"/>
              </w:rPr>
              <w:t>57</w:t>
            </w:r>
          </w:p>
        </w:tc>
      </w:tr>
    </w:tbl>
    <w:p w14:paraId="415A4751">
      <w:pPr>
        <w:pStyle w:val="2"/>
      </w:pPr>
    </w:p>
    <w:p w14:paraId="31401F3E">
      <w:pPr>
        <w:sectPr>
          <w:footerReference r:id="rId102" w:type="default"/>
          <w:pgSz w:w="16839" w:h="11906"/>
          <w:pgMar w:top="1012" w:right="821" w:bottom="667" w:left="901" w:header="0" w:footer="388" w:gutter="0"/>
          <w:cols w:space="720" w:num="1"/>
        </w:sectPr>
      </w:pPr>
    </w:p>
    <w:p w14:paraId="56DBA538">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5FFE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D200121">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6757E3D9">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4704881">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FBC9DA4">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4F1209ED">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BBE3B30">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93932E2">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C077781">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86B1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9" w:hRule="atLeast"/>
        </w:trPr>
        <w:tc>
          <w:tcPr>
            <w:tcW w:w="818" w:type="dxa"/>
            <w:vMerge w:val="restart"/>
            <w:tcBorders>
              <w:bottom w:val="nil"/>
            </w:tcBorders>
            <w:vAlign w:val="top"/>
          </w:tcPr>
          <w:p w14:paraId="44B037C0">
            <w:pPr>
              <w:rPr>
                <w:rFonts w:ascii="Arial"/>
                <w:sz w:val="21"/>
              </w:rPr>
            </w:pPr>
          </w:p>
        </w:tc>
        <w:tc>
          <w:tcPr>
            <w:tcW w:w="1440" w:type="dxa"/>
            <w:vMerge w:val="restart"/>
            <w:tcBorders>
              <w:bottom w:val="nil"/>
            </w:tcBorders>
            <w:vAlign w:val="top"/>
          </w:tcPr>
          <w:p w14:paraId="15BCC7F3">
            <w:pPr>
              <w:rPr>
                <w:rFonts w:ascii="Arial"/>
                <w:sz w:val="21"/>
              </w:rPr>
            </w:pPr>
          </w:p>
        </w:tc>
        <w:tc>
          <w:tcPr>
            <w:tcW w:w="3202" w:type="dxa"/>
            <w:vMerge w:val="restart"/>
            <w:tcBorders>
              <w:bottom w:val="nil"/>
            </w:tcBorders>
            <w:vAlign w:val="top"/>
          </w:tcPr>
          <w:p w14:paraId="4C518C2E">
            <w:pPr>
              <w:pStyle w:val="6"/>
              <w:spacing w:before="32" w:line="182" w:lineRule="auto"/>
              <w:ind w:left="118" w:right="110" w:firstLine="9"/>
              <w:jc w:val="both"/>
            </w:pPr>
            <w:r>
              <w:rPr>
                <w:spacing w:val="16"/>
              </w:rPr>
              <w:t>业不得出租、出借、买卖或</w:t>
            </w:r>
            <w:r>
              <w:rPr>
                <w:spacing w:val="17"/>
              </w:rPr>
              <w:t>者以其他形式转让其取得的</w:t>
            </w:r>
            <w:r>
              <w:rPr>
                <w:spacing w:val="13"/>
              </w:rPr>
              <w:t>安全生产许可证，或者冒用</w:t>
            </w:r>
            <w:r>
              <w:rPr>
                <w:spacing w:val="39"/>
              </w:rPr>
              <w:t>他人取得的安全生产许可</w:t>
            </w:r>
            <w:r>
              <w:rPr>
                <w:spacing w:val="17"/>
              </w:rPr>
              <w:t>证、使用伪造的安全生产许</w:t>
            </w:r>
            <w:r>
              <w:rPr>
                <w:spacing w:val="-5"/>
              </w:rPr>
              <w:t>可证。</w:t>
            </w:r>
          </w:p>
          <w:p w14:paraId="20388D57">
            <w:pPr>
              <w:pStyle w:val="6"/>
              <w:spacing w:before="9" w:line="186" w:lineRule="auto"/>
              <w:ind w:left="118" w:right="111"/>
            </w:pPr>
            <w:r>
              <w:rPr>
                <w:rFonts w:ascii="宋体" w:hAnsi="宋体" w:eastAsia="宋体" w:cs="宋体"/>
                <w:spacing w:val="15"/>
              </w:rPr>
              <w:t>3.</w:t>
            </w:r>
            <w:r>
              <w:rPr>
                <w:spacing w:val="15"/>
              </w:rPr>
              <w:t>【部门规章】《非煤矿矿</w:t>
            </w:r>
            <w:r>
              <w:rPr>
                <w:spacing w:val="17"/>
              </w:rPr>
              <w:t>山企业安全生产许可证实施</w:t>
            </w:r>
            <w:r>
              <w:rPr>
                <w:spacing w:val="12"/>
              </w:rPr>
              <w:t>办法》第二十七条：非煤矿</w:t>
            </w:r>
            <w:r>
              <w:rPr>
                <w:spacing w:val="14"/>
              </w:rPr>
              <w:t>矿山企业不得转让、冒用、</w:t>
            </w:r>
            <w:r>
              <w:rPr>
                <w:spacing w:val="17"/>
              </w:rPr>
              <w:t>买卖、出租、出借或者使用</w:t>
            </w:r>
            <w:r>
              <w:rPr>
                <w:spacing w:val="5"/>
              </w:rPr>
              <w:t>伪造的安全生产许可证。</w:t>
            </w:r>
          </w:p>
        </w:tc>
        <w:tc>
          <w:tcPr>
            <w:tcW w:w="2859" w:type="dxa"/>
            <w:vMerge w:val="restart"/>
            <w:tcBorders>
              <w:bottom w:val="nil"/>
            </w:tcBorders>
            <w:vAlign w:val="top"/>
          </w:tcPr>
          <w:p w14:paraId="1EF2C116">
            <w:pPr>
              <w:pStyle w:val="6"/>
              <w:spacing w:before="30" w:line="182" w:lineRule="auto"/>
              <w:ind w:left="115" w:right="110" w:firstLine="13"/>
              <w:jc w:val="both"/>
            </w:pPr>
            <w:r>
              <w:rPr>
                <w:spacing w:val="7"/>
              </w:rPr>
              <w:t>法追究刑事责任；接受转</w:t>
            </w:r>
            <w:r>
              <w:rPr>
                <w:spacing w:val="8"/>
              </w:rPr>
              <w:t>让的，依照本条例第十九</w:t>
            </w:r>
            <w:r>
              <w:rPr>
                <w:spacing w:val="3"/>
              </w:rPr>
              <w:t>条的规定处罚。</w:t>
            </w:r>
          </w:p>
          <w:p w14:paraId="244BF4A4">
            <w:pPr>
              <w:pStyle w:val="6"/>
              <w:spacing w:before="6" w:line="182" w:lineRule="auto"/>
              <w:ind w:left="117" w:right="38" w:firstLine="10"/>
              <w:jc w:val="both"/>
            </w:pPr>
            <w:r>
              <w:rPr>
                <w:spacing w:val="7"/>
              </w:rPr>
              <w:t>第十九条：违反本条例规</w:t>
            </w:r>
            <w:r>
              <w:rPr>
                <w:spacing w:val="8"/>
              </w:rPr>
              <w:t>定，未取得安全生产许可证擅自进行生产的，责令</w:t>
            </w:r>
            <w:r>
              <w:rPr>
                <w:spacing w:val="-6"/>
              </w:rPr>
              <w:t>停止生产，没收违法所得，</w:t>
            </w:r>
            <w:r>
              <w:rPr>
                <w:spacing w:val="-1"/>
              </w:rPr>
              <w:t>并处</w:t>
            </w:r>
            <w:r>
              <w:rPr>
                <w:rFonts w:ascii="宋体" w:hAnsi="宋体" w:eastAsia="宋体" w:cs="宋体"/>
                <w:spacing w:val="-1"/>
              </w:rPr>
              <w:t>10</w:t>
            </w:r>
            <w:r>
              <w:rPr>
                <w:spacing w:val="-1"/>
              </w:rPr>
              <w:t>万元以上</w:t>
            </w:r>
            <w:r>
              <w:rPr>
                <w:rFonts w:ascii="宋体" w:hAnsi="宋体" w:eastAsia="宋体" w:cs="宋体"/>
                <w:spacing w:val="-1"/>
              </w:rPr>
              <w:t>50</w:t>
            </w:r>
            <w:r>
              <w:rPr>
                <w:spacing w:val="-1"/>
              </w:rPr>
              <w:t>万元</w:t>
            </w:r>
            <w:r>
              <w:rPr>
                <w:spacing w:val="8"/>
              </w:rPr>
              <w:t>以下的罚款；造成重大事</w:t>
            </w:r>
            <w:r>
              <w:rPr>
                <w:spacing w:val="2"/>
              </w:rPr>
              <w:t>故或者其他严重后果，构</w:t>
            </w:r>
            <w:r>
              <w:rPr>
                <w:spacing w:val="8"/>
              </w:rPr>
              <w:t>成犯罪的，依法追究刑事</w:t>
            </w:r>
            <w:r>
              <w:rPr>
                <w:spacing w:val="-4"/>
              </w:rPr>
              <w:t>责任。</w:t>
            </w:r>
          </w:p>
          <w:p w14:paraId="0C3AD692">
            <w:pPr>
              <w:pStyle w:val="6"/>
              <w:spacing w:before="8" w:line="182" w:lineRule="auto"/>
              <w:ind w:left="98" w:right="40" w:firstLine="17"/>
              <w:jc w:val="both"/>
            </w:pPr>
            <w:r>
              <w:rPr>
                <w:rFonts w:ascii="宋体" w:hAnsi="宋体" w:eastAsia="宋体" w:cs="宋体"/>
                <w:spacing w:val="7"/>
              </w:rPr>
              <w:t>2.</w:t>
            </w:r>
            <w:r>
              <w:rPr>
                <w:spacing w:val="7"/>
              </w:rPr>
              <w:t>【部门规章】《危险化</w:t>
            </w:r>
            <w:r>
              <w:rPr>
                <w:spacing w:val="10"/>
              </w:rPr>
              <w:t>学品生产企业安全生产许可证实施办法》第四十五条第二项：企业有下列情形之一的，责令停止生产危险化学品，没收违法所</w:t>
            </w:r>
            <w:r>
              <w:rPr>
                <w:spacing w:val="3"/>
              </w:rPr>
              <w:t>得，并处</w:t>
            </w:r>
            <w:r>
              <w:rPr>
                <w:rFonts w:ascii="宋体" w:hAnsi="宋体" w:eastAsia="宋体" w:cs="宋体"/>
                <w:spacing w:val="3"/>
              </w:rPr>
              <w:t>10</w:t>
            </w:r>
            <w:r>
              <w:rPr>
                <w:spacing w:val="3"/>
              </w:rPr>
              <w:t>万元以上</w:t>
            </w:r>
            <w:r>
              <w:rPr>
                <w:rFonts w:ascii="宋体" w:hAnsi="宋体" w:eastAsia="宋体" w:cs="宋体"/>
                <w:spacing w:val="3"/>
              </w:rPr>
              <w:t>50</w:t>
            </w:r>
            <w:r>
              <w:rPr>
                <w:spacing w:val="10"/>
              </w:rPr>
              <w:t>万元以下的罚款；构成犯</w:t>
            </w:r>
            <w:r>
              <w:rPr>
                <w:spacing w:val="-4"/>
              </w:rPr>
              <w:t>罪的，依法追究刑事责任：</w:t>
            </w:r>
            <w:r>
              <w:rPr>
                <w:spacing w:val="10"/>
              </w:rPr>
              <w:t>（二）接受转让的安全生</w:t>
            </w:r>
            <w:r>
              <w:rPr>
                <w:spacing w:val="3"/>
              </w:rPr>
              <w:t>产许可证的；</w:t>
            </w:r>
          </w:p>
          <w:p w14:paraId="29CBF9BD">
            <w:pPr>
              <w:pStyle w:val="6"/>
              <w:spacing w:before="4" w:line="179" w:lineRule="auto"/>
              <w:ind w:left="118" w:right="108"/>
            </w:pPr>
            <w:r>
              <w:rPr>
                <w:rFonts w:ascii="宋体" w:hAnsi="宋体" w:eastAsia="宋体" w:cs="宋体"/>
                <w:spacing w:val="7"/>
              </w:rPr>
              <w:t>3.</w:t>
            </w:r>
            <w:r>
              <w:rPr>
                <w:spacing w:val="7"/>
              </w:rPr>
              <w:t>【部门规章】《非煤矿</w:t>
            </w:r>
            <w:r>
              <w:rPr>
                <w:spacing w:val="8"/>
              </w:rPr>
              <w:t>矿山企业安全生产许可证实施办法》第四十二条第二项：非煤矿矿山企业有下列行为之一的，责令停</w:t>
            </w:r>
            <w:r>
              <w:rPr>
                <w:spacing w:val="3"/>
              </w:rPr>
              <w:t>止生产，没收违法所得，</w:t>
            </w:r>
            <w:r>
              <w:rPr>
                <w:spacing w:val="-1"/>
              </w:rPr>
              <w:t>并处</w:t>
            </w:r>
            <w:r>
              <w:rPr>
                <w:rFonts w:ascii="宋体" w:hAnsi="宋体" w:eastAsia="宋体" w:cs="宋体"/>
                <w:spacing w:val="-1"/>
              </w:rPr>
              <w:t>10</w:t>
            </w:r>
            <w:r>
              <w:rPr>
                <w:spacing w:val="-1"/>
              </w:rPr>
              <w:t>万元以上</w:t>
            </w:r>
            <w:r>
              <w:rPr>
                <w:rFonts w:ascii="宋体" w:hAnsi="宋体" w:eastAsia="宋体" w:cs="宋体"/>
                <w:spacing w:val="-1"/>
              </w:rPr>
              <w:t>50</w:t>
            </w:r>
            <w:r>
              <w:rPr>
                <w:spacing w:val="-1"/>
              </w:rPr>
              <w:t>万元</w:t>
            </w:r>
          </w:p>
        </w:tc>
        <w:tc>
          <w:tcPr>
            <w:tcW w:w="803" w:type="dxa"/>
            <w:vAlign w:val="top"/>
          </w:tcPr>
          <w:p w14:paraId="41834EE1">
            <w:pPr>
              <w:spacing w:line="266" w:lineRule="auto"/>
              <w:rPr>
                <w:rFonts w:ascii="Arial"/>
                <w:sz w:val="21"/>
              </w:rPr>
            </w:pPr>
          </w:p>
          <w:p w14:paraId="2C25E800">
            <w:pPr>
              <w:spacing w:line="266" w:lineRule="auto"/>
              <w:rPr>
                <w:rFonts w:ascii="Arial"/>
                <w:sz w:val="21"/>
              </w:rPr>
            </w:pPr>
          </w:p>
          <w:p w14:paraId="31B133A8">
            <w:pPr>
              <w:spacing w:line="266" w:lineRule="auto"/>
              <w:rPr>
                <w:rFonts w:ascii="Arial"/>
                <w:sz w:val="21"/>
              </w:rPr>
            </w:pPr>
          </w:p>
          <w:p w14:paraId="3905AA2E">
            <w:pPr>
              <w:spacing w:line="266" w:lineRule="auto"/>
              <w:rPr>
                <w:rFonts w:ascii="Arial"/>
                <w:sz w:val="21"/>
              </w:rPr>
            </w:pPr>
          </w:p>
          <w:p w14:paraId="3789A9E0">
            <w:pPr>
              <w:spacing w:line="267" w:lineRule="auto"/>
              <w:rPr>
                <w:rFonts w:ascii="Arial"/>
                <w:sz w:val="21"/>
              </w:rPr>
            </w:pPr>
          </w:p>
          <w:p w14:paraId="44026630">
            <w:pPr>
              <w:spacing w:line="267" w:lineRule="auto"/>
              <w:rPr>
                <w:rFonts w:ascii="Arial"/>
                <w:sz w:val="21"/>
              </w:rPr>
            </w:pPr>
          </w:p>
          <w:p w14:paraId="1B2919F8">
            <w:pPr>
              <w:spacing w:line="267" w:lineRule="auto"/>
              <w:rPr>
                <w:rFonts w:ascii="Arial"/>
                <w:sz w:val="21"/>
              </w:rPr>
            </w:pPr>
          </w:p>
          <w:p w14:paraId="53D9B26C">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AB67A42">
            <w:pPr>
              <w:spacing w:line="274" w:lineRule="auto"/>
              <w:rPr>
                <w:rFonts w:ascii="Arial"/>
                <w:sz w:val="21"/>
              </w:rPr>
            </w:pPr>
          </w:p>
          <w:p w14:paraId="30E3A0BB">
            <w:pPr>
              <w:spacing w:line="274" w:lineRule="auto"/>
              <w:rPr>
                <w:rFonts w:ascii="Arial"/>
                <w:sz w:val="21"/>
              </w:rPr>
            </w:pPr>
          </w:p>
          <w:p w14:paraId="66335A24">
            <w:pPr>
              <w:spacing w:line="274" w:lineRule="auto"/>
              <w:rPr>
                <w:rFonts w:ascii="Arial"/>
                <w:sz w:val="21"/>
              </w:rPr>
            </w:pPr>
          </w:p>
          <w:p w14:paraId="4251CEA7">
            <w:pPr>
              <w:spacing w:line="274" w:lineRule="auto"/>
              <w:rPr>
                <w:rFonts w:ascii="Arial"/>
                <w:sz w:val="21"/>
              </w:rPr>
            </w:pPr>
          </w:p>
          <w:p w14:paraId="5C35C454">
            <w:pPr>
              <w:spacing w:line="275" w:lineRule="auto"/>
              <w:rPr>
                <w:rFonts w:ascii="Arial"/>
                <w:sz w:val="21"/>
              </w:rPr>
            </w:pPr>
          </w:p>
          <w:p w14:paraId="24BB4F8C">
            <w:pPr>
              <w:spacing w:line="275" w:lineRule="auto"/>
              <w:rPr>
                <w:rFonts w:ascii="Arial"/>
                <w:sz w:val="21"/>
              </w:rPr>
            </w:pPr>
          </w:p>
          <w:p w14:paraId="192F7FCA">
            <w:pPr>
              <w:pStyle w:val="6"/>
              <w:spacing w:before="98" w:line="196" w:lineRule="auto"/>
              <w:ind w:left="122" w:right="106" w:hanging="5"/>
            </w:pPr>
            <w:r>
              <w:rPr>
                <w:spacing w:val="3"/>
              </w:rPr>
              <w:t>违法所得</w:t>
            </w:r>
            <w:r>
              <w:rPr>
                <w:rFonts w:ascii="宋体" w:hAnsi="宋体" w:eastAsia="宋体" w:cs="宋体"/>
                <w:spacing w:val="3"/>
              </w:rPr>
              <w:t>10</w:t>
            </w:r>
            <w:r>
              <w:rPr>
                <w:spacing w:val="3"/>
              </w:rPr>
              <w:t>万元以</w:t>
            </w:r>
            <w:r>
              <w:rPr>
                <w:spacing w:val="1"/>
              </w:rPr>
              <w:t>上</w:t>
            </w:r>
            <w:r>
              <w:rPr>
                <w:rFonts w:ascii="宋体" w:hAnsi="宋体" w:eastAsia="宋体" w:cs="宋体"/>
                <w:spacing w:val="1"/>
              </w:rPr>
              <w:t>30</w:t>
            </w:r>
            <w:r>
              <w:rPr>
                <w:spacing w:val="1"/>
              </w:rPr>
              <w:t>万元以下的</w:t>
            </w:r>
          </w:p>
        </w:tc>
        <w:tc>
          <w:tcPr>
            <w:tcW w:w="2894" w:type="dxa"/>
            <w:vAlign w:val="top"/>
          </w:tcPr>
          <w:p w14:paraId="4E5B07CA">
            <w:pPr>
              <w:spacing w:line="250" w:lineRule="auto"/>
              <w:rPr>
                <w:rFonts w:ascii="Arial"/>
                <w:sz w:val="21"/>
              </w:rPr>
            </w:pPr>
          </w:p>
          <w:p w14:paraId="63D3C69E">
            <w:pPr>
              <w:spacing w:line="250" w:lineRule="auto"/>
              <w:rPr>
                <w:rFonts w:ascii="Arial"/>
                <w:sz w:val="21"/>
              </w:rPr>
            </w:pPr>
          </w:p>
          <w:p w14:paraId="1ACAEA2A">
            <w:pPr>
              <w:spacing w:line="250" w:lineRule="auto"/>
              <w:rPr>
                <w:rFonts w:ascii="Arial"/>
                <w:sz w:val="21"/>
              </w:rPr>
            </w:pPr>
          </w:p>
          <w:p w14:paraId="6EB35C66">
            <w:pPr>
              <w:spacing w:line="250" w:lineRule="auto"/>
              <w:rPr>
                <w:rFonts w:ascii="Arial"/>
                <w:sz w:val="21"/>
              </w:rPr>
            </w:pPr>
          </w:p>
          <w:p w14:paraId="3C0C9616">
            <w:pPr>
              <w:spacing w:line="250" w:lineRule="auto"/>
              <w:rPr>
                <w:rFonts w:ascii="Arial"/>
                <w:sz w:val="21"/>
              </w:rPr>
            </w:pPr>
          </w:p>
          <w:p w14:paraId="4A0FFB98">
            <w:pPr>
              <w:spacing w:line="250" w:lineRule="auto"/>
              <w:rPr>
                <w:rFonts w:ascii="Arial"/>
                <w:sz w:val="21"/>
              </w:rPr>
            </w:pPr>
          </w:p>
          <w:p w14:paraId="49863B1C">
            <w:pPr>
              <w:pStyle w:val="6"/>
              <w:spacing w:before="99" w:line="191" w:lineRule="auto"/>
              <w:ind w:left="114" w:right="106" w:firstLine="13"/>
              <w:jc w:val="both"/>
            </w:pPr>
            <w:r>
              <w:rPr>
                <w:spacing w:val="7"/>
              </w:rPr>
              <w:t>责令停止生产，没收违法</w:t>
            </w:r>
            <w:r>
              <w:rPr>
                <w:spacing w:val="6"/>
              </w:rPr>
              <w:t>所得，并处</w:t>
            </w:r>
            <w:r>
              <w:rPr>
                <w:rFonts w:ascii="宋体" w:hAnsi="宋体" w:eastAsia="宋体" w:cs="宋体"/>
                <w:spacing w:val="6"/>
              </w:rPr>
              <w:t>30</w:t>
            </w:r>
            <w:r>
              <w:rPr>
                <w:spacing w:val="6"/>
              </w:rPr>
              <w:t>万元以上</w:t>
            </w:r>
            <w:r>
              <w:rPr>
                <w:rFonts w:ascii="宋体" w:hAnsi="宋体" w:eastAsia="宋体" w:cs="宋体"/>
                <w:spacing w:val="4"/>
              </w:rPr>
              <w:t>40</w:t>
            </w:r>
            <w:r>
              <w:rPr>
                <w:spacing w:val="4"/>
              </w:rPr>
              <w:t>万元以下的罚款</w:t>
            </w:r>
          </w:p>
        </w:tc>
        <w:tc>
          <w:tcPr>
            <w:tcW w:w="811" w:type="dxa"/>
            <w:vMerge w:val="restart"/>
            <w:tcBorders>
              <w:bottom w:val="nil"/>
            </w:tcBorders>
            <w:vAlign w:val="top"/>
          </w:tcPr>
          <w:p w14:paraId="32EAAD21">
            <w:pPr>
              <w:rPr>
                <w:rFonts w:ascii="Arial"/>
                <w:sz w:val="21"/>
              </w:rPr>
            </w:pPr>
          </w:p>
        </w:tc>
      </w:tr>
      <w:tr w14:paraId="3231B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9" w:hRule="atLeast"/>
        </w:trPr>
        <w:tc>
          <w:tcPr>
            <w:tcW w:w="818" w:type="dxa"/>
            <w:vMerge w:val="continue"/>
            <w:tcBorders>
              <w:top w:val="nil"/>
            </w:tcBorders>
            <w:vAlign w:val="top"/>
          </w:tcPr>
          <w:p w14:paraId="4A778460">
            <w:pPr>
              <w:rPr>
                <w:rFonts w:ascii="Arial"/>
                <w:sz w:val="21"/>
              </w:rPr>
            </w:pPr>
          </w:p>
        </w:tc>
        <w:tc>
          <w:tcPr>
            <w:tcW w:w="1440" w:type="dxa"/>
            <w:vMerge w:val="continue"/>
            <w:tcBorders>
              <w:top w:val="nil"/>
            </w:tcBorders>
            <w:vAlign w:val="top"/>
          </w:tcPr>
          <w:p w14:paraId="4B228553">
            <w:pPr>
              <w:rPr>
                <w:rFonts w:ascii="Arial"/>
                <w:sz w:val="21"/>
              </w:rPr>
            </w:pPr>
          </w:p>
        </w:tc>
        <w:tc>
          <w:tcPr>
            <w:tcW w:w="3202" w:type="dxa"/>
            <w:vMerge w:val="continue"/>
            <w:tcBorders>
              <w:top w:val="nil"/>
            </w:tcBorders>
            <w:vAlign w:val="top"/>
          </w:tcPr>
          <w:p w14:paraId="0657EAFE">
            <w:pPr>
              <w:rPr>
                <w:rFonts w:ascii="Arial"/>
                <w:sz w:val="21"/>
              </w:rPr>
            </w:pPr>
          </w:p>
        </w:tc>
        <w:tc>
          <w:tcPr>
            <w:tcW w:w="2859" w:type="dxa"/>
            <w:vMerge w:val="continue"/>
            <w:tcBorders>
              <w:top w:val="nil"/>
            </w:tcBorders>
            <w:vAlign w:val="top"/>
          </w:tcPr>
          <w:p w14:paraId="00A636DA">
            <w:pPr>
              <w:rPr>
                <w:rFonts w:ascii="Arial"/>
                <w:sz w:val="21"/>
              </w:rPr>
            </w:pPr>
          </w:p>
        </w:tc>
        <w:tc>
          <w:tcPr>
            <w:tcW w:w="803" w:type="dxa"/>
            <w:vAlign w:val="top"/>
          </w:tcPr>
          <w:p w14:paraId="46236A5C">
            <w:pPr>
              <w:spacing w:line="255" w:lineRule="auto"/>
              <w:rPr>
                <w:rFonts w:ascii="Arial"/>
                <w:sz w:val="21"/>
              </w:rPr>
            </w:pPr>
          </w:p>
          <w:p w14:paraId="3BA03996">
            <w:pPr>
              <w:spacing w:line="255" w:lineRule="auto"/>
              <w:rPr>
                <w:rFonts w:ascii="Arial"/>
                <w:sz w:val="21"/>
              </w:rPr>
            </w:pPr>
          </w:p>
          <w:p w14:paraId="7A85F390">
            <w:pPr>
              <w:spacing w:line="256" w:lineRule="auto"/>
              <w:rPr>
                <w:rFonts w:ascii="Arial"/>
                <w:sz w:val="21"/>
              </w:rPr>
            </w:pPr>
          </w:p>
          <w:p w14:paraId="7BD1ADF3">
            <w:pPr>
              <w:spacing w:line="256" w:lineRule="auto"/>
              <w:rPr>
                <w:rFonts w:ascii="Arial"/>
                <w:sz w:val="21"/>
              </w:rPr>
            </w:pPr>
          </w:p>
          <w:p w14:paraId="462E2064">
            <w:pPr>
              <w:spacing w:line="256" w:lineRule="auto"/>
              <w:rPr>
                <w:rFonts w:ascii="Arial"/>
                <w:sz w:val="21"/>
              </w:rPr>
            </w:pPr>
          </w:p>
          <w:p w14:paraId="38CCEF17">
            <w:pPr>
              <w:spacing w:line="256" w:lineRule="auto"/>
              <w:rPr>
                <w:rFonts w:ascii="Arial"/>
                <w:sz w:val="21"/>
              </w:rPr>
            </w:pPr>
          </w:p>
          <w:p w14:paraId="4B9FDD39">
            <w:pPr>
              <w:spacing w:line="256" w:lineRule="auto"/>
              <w:rPr>
                <w:rFonts w:ascii="Arial"/>
                <w:sz w:val="21"/>
              </w:rPr>
            </w:pPr>
          </w:p>
          <w:p w14:paraId="0966E88D">
            <w:pPr>
              <w:spacing w:line="256" w:lineRule="auto"/>
              <w:rPr>
                <w:rFonts w:ascii="Arial"/>
                <w:sz w:val="21"/>
              </w:rPr>
            </w:pPr>
          </w:p>
          <w:p w14:paraId="50E78B9F">
            <w:pPr>
              <w:spacing w:line="256" w:lineRule="auto"/>
              <w:rPr>
                <w:rFonts w:ascii="Arial"/>
                <w:sz w:val="21"/>
              </w:rPr>
            </w:pPr>
          </w:p>
          <w:p w14:paraId="1AFE223F">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CE03497">
            <w:pPr>
              <w:spacing w:line="260" w:lineRule="auto"/>
              <w:rPr>
                <w:rFonts w:ascii="Arial"/>
                <w:sz w:val="21"/>
              </w:rPr>
            </w:pPr>
          </w:p>
          <w:p w14:paraId="3DA84171">
            <w:pPr>
              <w:spacing w:line="260" w:lineRule="auto"/>
              <w:rPr>
                <w:rFonts w:ascii="Arial"/>
                <w:sz w:val="21"/>
              </w:rPr>
            </w:pPr>
          </w:p>
          <w:p w14:paraId="21E89702">
            <w:pPr>
              <w:spacing w:line="260" w:lineRule="auto"/>
              <w:rPr>
                <w:rFonts w:ascii="Arial"/>
                <w:sz w:val="21"/>
              </w:rPr>
            </w:pPr>
          </w:p>
          <w:p w14:paraId="457CB3BF">
            <w:pPr>
              <w:spacing w:line="261" w:lineRule="auto"/>
              <w:rPr>
                <w:rFonts w:ascii="Arial"/>
                <w:sz w:val="21"/>
              </w:rPr>
            </w:pPr>
          </w:p>
          <w:p w14:paraId="64E9B25D">
            <w:pPr>
              <w:spacing w:line="261" w:lineRule="auto"/>
              <w:rPr>
                <w:rFonts w:ascii="Arial"/>
                <w:sz w:val="21"/>
              </w:rPr>
            </w:pPr>
          </w:p>
          <w:p w14:paraId="444F4198">
            <w:pPr>
              <w:spacing w:line="261" w:lineRule="auto"/>
              <w:rPr>
                <w:rFonts w:ascii="Arial"/>
                <w:sz w:val="21"/>
              </w:rPr>
            </w:pPr>
          </w:p>
          <w:p w14:paraId="5365EE5C">
            <w:pPr>
              <w:spacing w:line="261" w:lineRule="auto"/>
              <w:rPr>
                <w:rFonts w:ascii="Arial"/>
                <w:sz w:val="21"/>
              </w:rPr>
            </w:pPr>
          </w:p>
          <w:p w14:paraId="1BDBDB8E">
            <w:pPr>
              <w:spacing w:line="261" w:lineRule="auto"/>
              <w:rPr>
                <w:rFonts w:ascii="Arial"/>
                <w:sz w:val="21"/>
              </w:rPr>
            </w:pPr>
          </w:p>
          <w:p w14:paraId="30F8286E">
            <w:pPr>
              <w:pStyle w:val="6"/>
              <w:spacing w:before="99" w:line="197" w:lineRule="auto"/>
              <w:ind w:left="122" w:right="106" w:hanging="5"/>
            </w:pPr>
            <w:r>
              <w:rPr>
                <w:spacing w:val="5"/>
              </w:rPr>
              <w:t>违法所得</w:t>
            </w:r>
            <w:r>
              <w:rPr>
                <w:rFonts w:ascii="宋体" w:hAnsi="宋体" w:eastAsia="宋体" w:cs="宋体"/>
                <w:spacing w:val="5"/>
              </w:rPr>
              <w:t>30</w:t>
            </w:r>
            <w:r>
              <w:rPr>
                <w:spacing w:val="5"/>
              </w:rPr>
              <w:t>万元以</w:t>
            </w:r>
            <w:r>
              <w:t>上的</w:t>
            </w:r>
          </w:p>
        </w:tc>
        <w:tc>
          <w:tcPr>
            <w:tcW w:w="2894" w:type="dxa"/>
            <w:vAlign w:val="top"/>
          </w:tcPr>
          <w:p w14:paraId="235FECF0">
            <w:pPr>
              <w:spacing w:line="242" w:lineRule="auto"/>
              <w:rPr>
                <w:rFonts w:ascii="Arial"/>
                <w:sz w:val="21"/>
              </w:rPr>
            </w:pPr>
          </w:p>
          <w:p w14:paraId="038CC4AE">
            <w:pPr>
              <w:spacing w:line="242" w:lineRule="auto"/>
              <w:rPr>
                <w:rFonts w:ascii="Arial"/>
                <w:sz w:val="21"/>
              </w:rPr>
            </w:pPr>
          </w:p>
          <w:p w14:paraId="1C93837F">
            <w:pPr>
              <w:spacing w:line="242" w:lineRule="auto"/>
              <w:rPr>
                <w:rFonts w:ascii="Arial"/>
                <w:sz w:val="21"/>
              </w:rPr>
            </w:pPr>
          </w:p>
          <w:p w14:paraId="7804313A">
            <w:pPr>
              <w:spacing w:line="242" w:lineRule="auto"/>
              <w:rPr>
                <w:rFonts w:ascii="Arial"/>
                <w:sz w:val="21"/>
              </w:rPr>
            </w:pPr>
          </w:p>
          <w:p w14:paraId="29810178">
            <w:pPr>
              <w:spacing w:line="242" w:lineRule="auto"/>
              <w:rPr>
                <w:rFonts w:ascii="Arial"/>
                <w:sz w:val="21"/>
              </w:rPr>
            </w:pPr>
          </w:p>
          <w:p w14:paraId="31398F94">
            <w:pPr>
              <w:spacing w:line="242" w:lineRule="auto"/>
              <w:rPr>
                <w:rFonts w:ascii="Arial"/>
                <w:sz w:val="21"/>
              </w:rPr>
            </w:pPr>
          </w:p>
          <w:p w14:paraId="59AE964E">
            <w:pPr>
              <w:spacing w:line="243" w:lineRule="auto"/>
              <w:rPr>
                <w:rFonts w:ascii="Arial"/>
                <w:sz w:val="21"/>
              </w:rPr>
            </w:pPr>
          </w:p>
          <w:p w14:paraId="2D502E6B">
            <w:pPr>
              <w:spacing w:line="243" w:lineRule="auto"/>
              <w:rPr>
                <w:rFonts w:ascii="Arial"/>
                <w:sz w:val="21"/>
              </w:rPr>
            </w:pPr>
          </w:p>
          <w:p w14:paraId="153A732F">
            <w:pPr>
              <w:pStyle w:val="6"/>
              <w:spacing w:before="99" w:line="191" w:lineRule="auto"/>
              <w:ind w:left="120" w:right="106" w:firstLine="7"/>
              <w:jc w:val="both"/>
            </w:pPr>
            <w:r>
              <w:rPr>
                <w:spacing w:val="7"/>
              </w:rPr>
              <w:t>责令停止生产，没收违法</w:t>
            </w:r>
            <w:r>
              <w:rPr>
                <w:spacing w:val="6"/>
              </w:rPr>
              <w:t>所得，并处</w:t>
            </w:r>
            <w:r>
              <w:rPr>
                <w:rFonts w:ascii="宋体" w:hAnsi="宋体" w:eastAsia="宋体" w:cs="宋体"/>
                <w:spacing w:val="6"/>
              </w:rPr>
              <w:t>40</w:t>
            </w:r>
            <w:r>
              <w:rPr>
                <w:spacing w:val="6"/>
              </w:rPr>
              <w:t>万元以上</w:t>
            </w:r>
            <w:r>
              <w:rPr>
                <w:rFonts w:ascii="宋体" w:hAnsi="宋体" w:eastAsia="宋体" w:cs="宋体"/>
                <w:spacing w:val="3"/>
              </w:rPr>
              <w:t>50</w:t>
            </w:r>
            <w:r>
              <w:rPr>
                <w:spacing w:val="3"/>
              </w:rPr>
              <w:t>万元以下的罚款</w:t>
            </w:r>
          </w:p>
        </w:tc>
        <w:tc>
          <w:tcPr>
            <w:tcW w:w="811" w:type="dxa"/>
            <w:vMerge w:val="continue"/>
            <w:tcBorders>
              <w:top w:val="nil"/>
            </w:tcBorders>
            <w:vAlign w:val="top"/>
          </w:tcPr>
          <w:p w14:paraId="702879CC">
            <w:pPr>
              <w:rPr>
                <w:rFonts w:ascii="Arial"/>
                <w:sz w:val="21"/>
              </w:rPr>
            </w:pPr>
          </w:p>
        </w:tc>
      </w:tr>
    </w:tbl>
    <w:p w14:paraId="2EF31463">
      <w:pPr>
        <w:pStyle w:val="2"/>
      </w:pPr>
    </w:p>
    <w:p w14:paraId="3333D8AC">
      <w:pPr>
        <w:sectPr>
          <w:footerReference r:id="rId103" w:type="default"/>
          <w:pgSz w:w="16839" w:h="11906"/>
          <w:pgMar w:top="1012" w:right="821" w:bottom="667" w:left="901" w:header="0" w:footer="388" w:gutter="0"/>
          <w:cols w:space="720" w:num="1"/>
        </w:sectPr>
      </w:pPr>
    </w:p>
    <w:p w14:paraId="14312476">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4E10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E8C7D6B">
            <w:pPr>
              <w:spacing w:before="222" w:line="241" w:lineRule="auto"/>
              <w:ind w:left="131"/>
              <w:outlineLvl w:val="0"/>
              <w:rPr>
                <w:rFonts w:ascii="黑体" w:hAnsi="黑体" w:eastAsia="黑体" w:cs="黑体"/>
                <w:sz w:val="28"/>
                <w:szCs w:val="28"/>
              </w:rPr>
            </w:pPr>
            <w:bookmarkStart w:id="490" w:name="bookmark175"/>
            <w:bookmarkEnd w:id="490"/>
            <w:bookmarkStart w:id="491" w:name="bookmark520"/>
            <w:bookmarkEnd w:id="491"/>
            <w:r>
              <w:rPr>
                <w:rFonts w:ascii="黑体" w:hAnsi="黑体" w:eastAsia="黑体" w:cs="黑体"/>
                <w:spacing w:val="-2"/>
                <w:sz w:val="28"/>
                <w:szCs w:val="28"/>
              </w:rPr>
              <w:t>序号</w:t>
            </w:r>
          </w:p>
        </w:tc>
        <w:tc>
          <w:tcPr>
            <w:tcW w:w="1440" w:type="dxa"/>
            <w:vAlign w:val="top"/>
          </w:tcPr>
          <w:p w14:paraId="0B5F399E">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3317462">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419F0732">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113F7B5">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09D9D1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2561B54">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746335E">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EEFC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trPr>
        <w:tc>
          <w:tcPr>
            <w:tcW w:w="818" w:type="dxa"/>
            <w:vAlign w:val="top"/>
          </w:tcPr>
          <w:p w14:paraId="34F5FA8A">
            <w:pPr>
              <w:rPr>
                <w:rFonts w:ascii="Arial"/>
                <w:sz w:val="21"/>
              </w:rPr>
            </w:pPr>
          </w:p>
        </w:tc>
        <w:tc>
          <w:tcPr>
            <w:tcW w:w="1440" w:type="dxa"/>
            <w:vAlign w:val="top"/>
          </w:tcPr>
          <w:p w14:paraId="25D51A33">
            <w:pPr>
              <w:rPr>
                <w:rFonts w:ascii="Arial"/>
                <w:sz w:val="21"/>
              </w:rPr>
            </w:pPr>
          </w:p>
        </w:tc>
        <w:tc>
          <w:tcPr>
            <w:tcW w:w="3202" w:type="dxa"/>
            <w:vAlign w:val="top"/>
          </w:tcPr>
          <w:p w14:paraId="2856D914">
            <w:pPr>
              <w:rPr>
                <w:rFonts w:ascii="Arial"/>
                <w:sz w:val="21"/>
              </w:rPr>
            </w:pPr>
          </w:p>
        </w:tc>
        <w:tc>
          <w:tcPr>
            <w:tcW w:w="2859" w:type="dxa"/>
            <w:vAlign w:val="top"/>
          </w:tcPr>
          <w:p w14:paraId="305690BC">
            <w:pPr>
              <w:pStyle w:val="6"/>
              <w:spacing w:before="29" w:line="189" w:lineRule="auto"/>
              <w:ind w:left="128" w:right="110" w:firstLine="16"/>
              <w:jc w:val="both"/>
            </w:pPr>
            <w:r>
              <w:rPr>
                <w:spacing w:val="5"/>
              </w:rPr>
              <w:t>以下的罚款</w:t>
            </w:r>
            <w:r>
              <w:rPr>
                <w:spacing w:val="10"/>
              </w:rPr>
              <w:t>：（</w:t>
            </w:r>
            <w:r>
              <w:rPr>
                <w:spacing w:val="5"/>
              </w:rPr>
              <w:t>二）接受</w:t>
            </w:r>
            <w:r>
              <w:rPr>
                <w:spacing w:val="31"/>
              </w:rPr>
              <w:t>转让的安全生产许可证</w:t>
            </w:r>
            <w:r>
              <w:rPr>
                <w:spacing w:val="-13"/>
              </w:rPr>
              <w:t>的；</w:t>
            </w:r>
          </w:p>
        </w:tc>
        <w:tc>
          <w:tcPr>
            <w:tcW w:w="803" w:type="dxa"/>
            <w:vAlign w:val="top"/>
          </w:tcPr>
          <w:p w14:paraId="468923A0">
            <w:pPr>
              <w:rPr>
                <w:rFonts w:ascii="Arial"/>
                <w:sz w:val="21"/>
              </w:rPr>
            </w:pPr>
          </w:p>
        </w:tc>
        <w:tc>
          <w:tcPr>
            <w:tcW w:w="2283" w:type="dxa"/>
            <w:vAlign w:val="top"/>
          </w:tcPr>
          <w:p w14:paraId="634D4F06">
            <w:pPr>
              <w:rPr>
                <w:rFonts w:ascii="Arial"/>
                <w:sz w:val="21"/>
              </w:rPr>
            </w:pPr>
          </w:p>
        </w:tc>
        <w:tc>
          <w:tcPr>
            <w:tcW w:w="2894" w:type="dxa"/>
            <w:vAlign w:val="top"/>
          </w:tcPr>
          <w:p w14:paraId="5F521272">
            <w:pPr>
              <w:rPr>
                <w:rFonts w:ascii="Arial"/>
                <w:sz w:val="21"/>
              </w:rPr>
            </w:pPr>
          </w:p>
        </w:tc>
        <w:tc>
          <w:tcPr>
            <w:tcW w:w="811" w:type="dxa"/>
            <w:vAlign w:val="top"/>
          </w:tcPr>
          <w:p w14:paraId="249E7961">
            <w:pPr>
              <w:rPr>
                <w:rFonts w:ascii="Arial"/>
                <w:sz w:val="21"/>
              </w:rPr>
            </w:pPr>
          </w:p>
        </w:tc>
      </w:tr>
      <w:tr w14:paraId="78986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8" w:hRule="atLeast"/>
        </w:trPr>
        <w:tc>
          <w:tcPr>
            <w:tcW w:w="818" w:type="dxa"/>
            <w:vMerge w:val="restart"/>
            <w:tcBorders>
              <w:bottom w:val="nil"/>
            </w:tcBorders>
            <w:vAlign w:val="top"/>
          </w:tcPr>
          <w:p w14:paraId="4BC92BB9">
            <w:pPr>
              <w:spacing w:line="242" w:lineRule="auto"/>
              <w:rPr>
                <w:rFonts w:ascii="Arial"/>
                <w:sz w:val="21"/>
              </w:rPr>
            </w:pPr>
          </w:p>
          <w:p w14:paraId="01C77F4B">
            <w:pPr>
              <w:spacing w:line="242" w:lineRule="auto"/>
              <w:rPr>
                <w:rFonts w:ascii="Arial"/>
                <w:sz w:val="21"/>
              </w:rPr>
            </w:pPr>
          </w:p>
          <w:p w14:paraId="3498DF2E">
            <w:pPr>
              <w:spacing w:line="242" w:lineRule="auto"/>
              <w:rPr>
                <w:rFonts w:ascii="Arial"/>
                <w:sz w:val="21"/>
              </w:rPr>
            </w:pPr>
          </w:p>
          <w:p w14:paraId="0D2E1090">
            <w:pPr>
              <w:spacing w:line="242" w:lineRule="auto"/>
              <w:rPr>
                <w:rFonts w:ascii="Arial"/>
                <w:sz w:val="21"/>
              </w:rPr>
            </w:pPr>
          </w:p>
          <w:p w14:paraId="5C1AB30E">
            <w:pPr>
              <w:spacing w:line="242" w:lineRule="auto"/>
              <w:rPr>
                <w:rFonts w:ascii="Arial"/>
                <w:sz w:val="21"/>
              </w:rPr>
            </w:pPr>
          </w:p>
          <w:p w14:paraId="0FF0714C">
            <w:pPr>
              <w:spacing w:line="242" w:lineRule="auto"/>
              <w:rPr>
                <w:rFonts w:ascii="Arial"/>
                <w:sz w:val="21"/>
              </w:rPr>
            </w:pPr>
          </w:p>
          <w:p w14:paraId="0853C785">
            <w:pPr>
              <w:spacing w:line="242" w:lineRule="auto"/>
              <w:rPr>
                <w:rFonts w:ascii="Arial"/>
                <w:sz w:val="21"/>
              </w:rPr>
            </w:pPr>
          </w:p>
          <w:p w14:paraId="040F2B7E">
            <w:pPr>
              <w:spacing w:line="242" w:lineRule="auto"/>
              <w:rPr>
                <w:rFonts w:ascii="Arial"/>
                <w:sz w:val="21"/>
              </w:rPr>
            </w:pPr>
          </w:p>
          <w:p w14:paraId="7147D7FB">
            <w:pPr>
              <w:spacing w:line="242" w:lineRule="auto"/>
              <w:rPr>
                <w:rFonts w:ascii="Arial"/>
                <w:sz w:val="21"/>
              </w:rPr>
            </w:pPr>
          </w:p>
          <w:p w14:paraId="312B4E15">
            <w:pPr>
              <w:spacing w:line="242" w:lineRule="auto"/>
              <w:rPr>
                <w:rFonts w:ascii="Arial"/>
                <w:sz w:val="21"/>
              </w:rPr>
            </w:pPr>
          </w:p>
          <w:p w14:paraId="2DA6BF51">
            <w:pPr>
              <w:spacing w:line="243" w:lineRule="auto"/>
              <w:rPr>
                <w:rFonts w:ascii="Arial"/>
                <w:sz w:val="21"/>
              </w:rPr>
            </w:pPr>
          </w:p>
          <w:p w14:paraId="0BE05330">
            <w:pPr>
              <w:spacing w:line="243" w:lineRule="auto"/>
              <w:rPr>
                <w:rFonts w:ascii="Arial"/>
                <w:sz w:val="21"/>
              </w:rPr>
            </w:pPr>
          </w:p>
          <w:p w14:paraId="3C7E297F">
            <w:pPr>
              <w:spacing w:line="243" w:lineRule="auto"/>
              <w:rPr>
                <w:rFonts w:ascii="Arial"/>
                <w:sz w:val="21"/>
              </w:rPr>
            </w:pPr>
          </w:p>
          <w:p w14:paraId="12742C25">
            <w:pPr>
              <w:spacing w:line="243" w:lineRule="auto"/>
              <w:rPr>
                <w:rFonts w:ascii="Arial"/>
                <w:sz w:val="21"/>
              </w:rPr>
            </w:pPr>
          </w:p>
          <w:p w14:paraId="1EB04306">
            <w:pPr>
              <w:spacing w:line="243" w:lineRule="auto"/>
              <w:rPr>
                <w:rFonts w:ascii="Arial"/>
                <w:sz w:val="21"/>
              </w:rPr>
            </w:pPr>
          </w:p>
          <w:p w14:paraId="0807D86A">
            <w:pPr>
              <w:spacing w:line="243" w:lineRule="auto"/>
              <w:rPr>
                <w:rFonts w:ascii="Arial"/>
                <w:sz w:val="21"/>
              </w:rPr>
            </w:pPr>
          </w:p>
          <w:p w14:paraId="3AD47926">
            <w:pPr>
              <w:spacing w:before="75" w:line="185" w:lineRule="auto"/>
              <w:ind w:left="235"/>
              <w:rPr>
                <w:rFonts w:ascii="仿宋" w:hAnsi="仿宋" w:eastAsia="仿宋" w:cs="仿宋"/>
                <w:sz w:val="23"/>
                <w:szCs w:val="23"/>
              </w:rPr>
            </w:pPr>
            <w:r>
              <w:rPr>
                <w:rFonts w:ascii="仿宋" w:hAnsi="仿宋" w:eastAsia="仿宋" w:cs="仿宋"/>
                <w:spacing w:val="-2"/>
                <w:sz w:val="23"/>
                <w:szCs w:val="23"/>
              </w:rPr>
              <w:t>84</w:t>
            </w:r>
          </w:p>
        </w:tc>
        <w:tc>
          <w:tcPr>
            <w:tcW w:w="1440" w:type="dxa"/>
            <w:vMerge w:val="restart"/>
            <w:tcBorders>
              <w:bottom w:val="nil"/>
            </w:tcBorders>
            <w:vAlign w:val="top"/>
          </w:tcPr>
          <w:p w14:paraId="5152BBBC">
            <w:pPr>
              <w:spacing w:line="250" w:lineRule="auto"/>
              <w:rPr>
                <w:rFonts w:ascii="Arial"/>
                <w:sz w:val="21"/>
              </w:rPr>
            </w:pPr>
          </w:p>
          <w:p w14:paraId="733C41CE">
            <w:pPr>
              <w:spacing w:line="251" w:lineRule="auto"/>
              <w:rPr>
                <w:rFonts w:ascii="Arial"/>
                <w:sz w:val="21"/>
              </w:rPr>
            </w:pPr>
          </w:p>
          <w:p w14:paraId="08B3523C">
            <w:pPr>
              <w:spacing w:line="251" w:lineRule="auto"/>
              <w:rPr>
                <w:rFonts w:ascii="Arial"/>
                <w:sz w:val="21"/>
              </w:rPr>
            </w:pPr>
          </w:p>
          <w:p w14:paraId="744F9749">
            <w:pPr>
              <w:spacing w:line="251" w:lineRule="auto"/>
              <w:rPr>
                <w:rFonts w:ascii="Arial"/>
                <w:sz w:val="21"/>
              </w:rPr>
            </w:pPr>
          </w:p>
          <w:p w14:paraId="0BD98641">
            <w:pPr>
              <w:spacing w:line="251" w:lineRule="auto"/>
              <w:rPr>
                <w:rFonts w:ascii="Arial"/>
                <w:sz w:val="21"/>
              </w:rPr>
            </w:pPr>
          </w:p>
          <w:p w14:paraId="2F90B9E0">
            <w:pPr>
              <w:spacing w:line="251" w:lineRule="auto"/>
              <w:rPr>
                <w:rFonts w:ascii="Arial"/>
                <w:sz w:val="21"/>
              </w:rPr>
            </w:pPr>
          </w:p>
          <w:p w14:paraId="5AC95563">
            <w:pPr>
              <w:spacing w:line="251" w:lineRule="auto"/>
              <w:rPr>
                <w:rFonts w:ascii="Arial"/>
                <w:sz w:val="21"/>
              </w:rPr>
            </w:pPr>
          </w:p>
          <w:p w14:paraId="0CE59466">
            <w:pPr>
              <w:spacing w:line="251" w:lineRule="auto"/>
              <w:rPr>
                <w:rFonts w:ascii="Arial"/>
                <w:sz w:val="21"/>
              </w:rPr>
            </w:pPr>
          </w:p>
          <w:p w14:paraId="5873673B">
            <w:pPr>
              <w:spacing w:line="251" w:lineRule="auto"/>
              <w:rPr>
                <w:rFonts w:ascii="Arial"/>
                <w:sz w:val="21"/>
              </w:rPr>
            </w:pPr>
          </w:p>
          <w:p w14:paraId="469AF054">
            <w:pPr>
              <w:spacing w:line="251" w:lineRule="auto"/>
              <w:rPr>
                <w:rFonts w:ascii="Arial"/>
                <w:sz w:val="21"/>
              </w:rPr>
            </w:pPr>
          </w:p>
          <w:p w14:paraId="6DD1DD7C">
            <w:pPr>
              <w:spacing w:line="251" w:lineRule="auto"/>
              <w:rPr>
                <w:rFonts w:ascii="Arial"/>
                <w:sz w:val="21"/>
              </w:rPr>
            </w:pPr>
          </w:p>
          <w:p w14:paraId="5C610748">
            <w:pPr>
              <w:pStyle w:val="6"/>
              <w:spacing w:before="99" w:line="186" w:lineRule="auto"/>
              <w:ind w:left="114" w:right="111"/>
              <w:jc w:val="both"/>
            </w:pPr>
            <w:r>
              <w:rPr>
                <w:spacing w:val="-6"/>
                <w:w w:val="96"/>
              </w:rPr>
              <w:t>危险化学</w:t>
            </w:r>
            <w:r>
              <w:rPr>
                <w:spacing w:val="11"/>
              </w:rPr>
              <w:t>品、烟花爆竹生产企业和石油天然气企业冒用或者使用伪造的安全生</w:t>
            </w:r>
            <w:r>
              <w:rPr>
                <w:spacing w:val="7"/>
              </w:rPr>
              <w:t>产许可证的</w:t>
            </w:r>
          </w:p>
        </w:tc>
        <w:tc>
          <w:tcPr>
            <w:tcW w:w="3202" w:type="dxa"/>
            <w:vMerge w:val="restart"/>
            <w:tcBorders>
              <w:bottom w:val="nil"/>
            </w:tcBorders>
            <w:vAlign w:val="top"/>
          </w:tcPr>
          <w:p w14:paraId="14A7D12A">
            <w:pPr>
              <w:pStyle w:val="6"/>
              <w:spacing w:before="33" w:line="182" w:lineRule="auto"/>
              <w:ind w:left="123" w:right="111" w:firstLine="8"/>
              <w:jc w:val="both"/>
            </w:pPr>
            <w:r>
              <w:rPr>
                <w:rFonts w:ascii="宋体" w:hAnsi="宋体" w:eastAsia="宋体" w:cs="宋体"/>
                <w:spacing w:val="14"/>
              </w:rPr>
              <w:t>1.</w:t>
            </w:r>
            <w:r>
              <w:rPr>
                <w:spacing w:val="14"/>
              </w:rPr>
              <w:t>【行政法规】《安全生产</w:t>
            </w:r>
            <w:r>
              <w:rPr>
                <w:spacing w:val="13"/>
              </w:rPr>
              <w:t>许可证条例》第十三条：企</w:t>
            </w:r>
            <w:r>
              <w:rPr>
                <w:spacing w:val="16"/>
              </w:rPr>
              <w:t>业不得转让、冒用安全生产许可证或者使用伪造的安全</w:t>
            </w:r>
            <w:r>
              <w:t>生产许可证。</w:t>
            </w:r>
          </w:p>
          <w:p w14:paraId="75EB8D14">
            <w:pPr>
              <w:pStyle w:val="6"/>
              <w:spacing w:before="6" w:line="182" w:lineRule="auto"/>
              <w:ind w:left="117" w:right="110" w:hanging="1"/>
              <w:jc w:val="both"/>
            </w:pPr>
            <w:r>
              <w:rPr>
                <w:rFonts w:ascii="宋体" w:hAnsi="宋体" w:eastAsia="宋体" w:cs="宋体"/>
                <w:spacing w:val="15"/>
              </w:rPr>
              <w:t>2.</w:t>
            </w:r>
            <w:r>
              <w:rPr>
                <w:spacing w:val="15"/>
              </w:rPr>
              <w:t>【部门规章】《危险化学</w:t>
            </w:r>
            <w:r>
              <w:rPr>
                <w:spacing w:val="17"/>
              </w:rPr>
              <w:t>品生产企业安全生产许可证</w:t>
            </w:r>
            <w:r>
              <w:rPr>
                <w:spacing w:val="13"/>
              </w:rPr>
              <w:t>实施办法》第三十六条：企</w:t>
            </w:r>
            <w:r>
              <w:rPr>
                <w:spacing w:val="17"/>
              </w:rPr>
              <w:t>业不得出租、出借、买卖或者以其他形式转让其取得的</w:t>
            </w:r>
            <w:r>
              <w:rPr>
                <w:spacing w:val="13"/>
              </w:rPr>
              <w:t>安全生产许可证，或者冒用</w:t>
            </w:r>
            <w:r>
              <w:rPr>
                <w:spacing w:val="39"/>
              </w:rPr>
              <w:t>他人取得的安全生产许可</w:t>
            </w:r>
            <w:r>
              <w:rPr>
                <w:spacing w:val="17"/>
              </w:rPr>
              <w:t>证、使用伪造的安全生产许</w:t>
            </w:r>
            <w:r>
              <w:rPr>
                <w:spacing w:val="-5"/>
              </w:rPr>
              <w:t>可证。</w:t>
            </w:r>
          </w:p>
          <w:p w14:paraId="2D7EC975">
            <w:pPr>
              <w:pStyle w:val="6"/>
              <w:spacing w:before="9" w:line="186" w:lineRule="auto"/>
              <w:ind w:left="118" w:right="111"/>
            </w:pPr>
            <w:r>
              <w:rPr>
                <w:rFonts w:ascii="宋体" w:hAnsi="宋体" w:eastAsia="宋体" w:cs="宋体"/>
                <w:spacing w:val="15"/>
              </w:rPr>
              <w:t>3.</w:t>
            </w:r>
            <w:r>
              <w:rPr>
                <w:spacing w:val="15"/>
              </w:rPr>
              <w:t>【部门规章】《非煤矿矿</w:t>
            </w:r>
            <w:r>
              <w:rPr>
                <w:spacing w:val="17"/>
              </w:rPr>
              <w:t>山企业安全生产许可证实施</w:t>
            </w:r>
            <w:r>
              <w:rPr>
                <w:spacing w:val="12"/>
              </w:rPr>
              <w:t>办法》第二十七条：非煤矿</w:t>
            </w:r>
            <w:r>
              <w:rPr>
                <w:spacing w:val="14"/>
              </w:rPr>
              <w:t>矿山企业不得转让、冒用、</w:t>
            </w:r>
            <w:r>
              <w:rPr>
                <w:spacing w:val="17"/>
              </w:rPr>
              <w:t>买卖、出租、出借或者使用</w:t>
            </w:r>
            <w:r>
              <w:rPr>
                <w:spacing w:val="5"/>
              </w:rPr>
              <w:t>伪造的安全生产许可证。</w:t>
            </w:r>
          </w:p>
        </w:tc>
        <w:tc>
          <w:tcPr>
            <w:tcW w:w="2859" w:type="dxa"/>
            <w:vMerge w:val="restart"/>
            <w:tcBorders>
              <w:bottom w:val="nil"/>
            </w:tcBorders>
            <w:vAlign w:val="top"/>
          </w:tcPr>
          <w:p w14:paraId="2E4B06BE">
            <w:pPr>
              <w:pStyle w:val="6"/>
              <w:spacing w:before="35" w:line="182" w:lineRule="auto"/>
              <w:ind w:left="117" w:right="110" w:firstLine="13"/>
              <w:jc w:val="both"/>
            </w:pPr>
            <w:r>
              <w:rPr>
                <w:rFonts w:ascii="宋体" w:hAnsi="宋体" w:eastAsia="宋体" w:cs="宋体"/>
                <w:spacing w:val="6"/>
              </w:rPr>
              <w:t>1.</w:t>
            </w:r>
            <w:r>
              <w:rPr>
                <w:spacing w:val="6"/>
              </w:rPr>
              <w:t>【行政法规】《安全生产许可证条例》第二十一</w:t>
            </w:r>
            <w:r>
              <w:rPr>
                <w:spacing w:val="8"/>
              </w:rPr>
              <w:t>条第二款：冒用安全生产许可证或者使用伪造的安全生产许可证的，依照本</w:t>
            </w:r>
            <w:r>
              <w:rPr>
                <w:spacing w:val="32"/>
              </w:rPr>
              <w:t>条例第十九条的规定处</w:t>
            </w:r>
            <w:r>
              <w:rPr>
                <w:spacing w:val="-7"/>
              </w:rPr>
              <w:t>罚。</w:t>
            </w:r>
          </w:p>
          <w:p w14:paraId="6F024D9E">
            <w:pPr>
              <w:pStyle w:val="6"/>
              <w:spacing w:before="6" w:line="182" w:lineRule="auto"/>
              <w:ind w:left="117" w:right="38" w:firstLine="10"/>
              <w:jc w:val="both"/>
            </w:pPr>
            <w:r>
              <w:rPr>
                <w:spacing w:val="7"/>
              </w:rPr>
              <w:t>第十九条：违反本条例规</w:t>
            </w:r>
            <w:r>
              <w:rPr>
                <w:spacing w:val="8"/>
              </w:rPr>
              <w:t>定，未取得安全生产许可证擅自进行生产的，责令</w:t>
            </w:r>
            <w:r>
              <w:rPr>
                <w:spacing w:val="-6"/>
              </w:rPr>
              <w:t>停止生产，没收违法所得，</w:t>
            </w:r>
            <w:r>
              <w:rPr>
                <w:spacing w:val="-1"/>
              </w:rPr>
              <w:t>并处</w:t>
            </w:r>
            <w:r>
              <w:rPr>
                <w:rFonts w:ascii="宋体" w:hAnsi="宋体" w:eastAsia="宋体" w:cs="宋体"/>
                <w:spacing w:val="-1"/>
              </w:rPr>
              <w:t>10</w:t>
            </w:r>
            <w:r>
              <w:rPr>
                <w:spacing w:val="-1"/>
              </w:rPr>
              <w:t>万元以上</w:t>
            </w:r>
            <w:r>
              <w:rPr>
                <w:rFonts w:ascii="宋体" w:hAnsi="宋体" w:eastAsia="宋体" w:cs="宋体"/>
                <w:spacing w:val="-1"/>
              </w:rPr>
              <w:t>50</w:t>
            </w:r>
            <w:r>
              <w:rPr>
                <w:spacing w:val="-1"/>
              </w:rPr>
              <w:t>万元</w:t>
            </w:r>
            <w:r>
              <w:rPr>
                <w:spacing w:val="8"/>
              </w:rPr>
              <w:t>以下的罚款；造成重大事</w:t>
            </w:r>
            <w:r>
              <w:rPr>
                <w:spacing w:val="2"/>
              </w:rPr>
              <w:t>故或者其他严重后果，构</w:t>
            </w:r>
            <w:r>
              <w:rPr>
                <w:spacing w:val="8"/>
              </w:rPr>
              <w:t>成犯罪的，依法追究刑事</w:t>
            </w:r>
            <w:r>
              <w:rPr>
                <w:spacing w:val="-4"/>
              </w:rPr>
              <w:t>责任。</w:t>
            </w:r>
          </w:p>
          <w:p w14:paraId="34C0BB0B">
            <w:pPr>
              <w:pStyle w:val="6"/>
              <w:spacing w:before="8" w:line="180" w:lineRule="auto"/>
              <w:ind w:left="98" w:right="40" w:firstLine="17"/>
              <w:jc w:val="both"/>
            </w:pPr>
            <w:r>
              <w:rPr>
                <w:rFonts w:ascii="宋体" w:hAnsi="宋体" w:eastAsia="宋体" w:cs="宋体"/>
                <w:spacing w:val="7"/>
              </w:rPr>
              <w:t>2.</w:t>
            </w:r>
            <w:r>
              <w:rPr>
                <w:spacing w:val="7"/>
              </w:rPr>
              <w:t>【部门规章】《危险化</w:t>
            </w:r>
            <w:r>
              <w:rPr>
                <w:spacing w:val="10"/>
              </w:rPr>
              <w:t>学品生产企业安全生产许可证实施办法》第四十五条第三项：企业有下列情形之一的，责令停止生产危险化学品，没收违法所</w:t>
            </w:r>
            <w:r>
              <w:rPr>
                <w:spacing w:val="3"/>
              </w:rPr>
              <w:t>得，并处</w:t>
            </w:r>
            <w:r>
              <w:rPr>
                <w:rFonts w:ascii="宋体" w:hAnsi="宋体" w:eastAsia="宋体" w:cs="宋体"/>
                <w:spacing w:val="3"/>
              </w:rPr>
              <w:t>10</w:t>
            </w:r>
            <w:r>
              <w:rPr>
                <w:spacing w:val="3"/>
              </w:rPr>
              <w:t>万元以上</w:t>
            </w:r>
            <w:r>
              <w:rPr>
                <w:rFonts w:ascii="宋体" w:hAnsi="宋体" w:eastAsia="宋体" w:cs="宋体"/>
                <w:spacing w:val="3"/>
              </w:rPr>
              <w:t>50</w:t>
            </w:r>
            <w:r>
              <w:rPr>
                <w:spacing w:val="10"/>
              </w:rPr>
              <w:t>万元以下的罚款；构成犯</w:t>
            </w:r>
            <w:r>
              <w:rPr>
                <w:spacing w:val="-4"/>
              </w:rPr>
              <w:t>罪的，依法追究刑事责任：</w:t>
            </w:r>
            <w:r>
              <w:rPr>
                <w:spacing w:val="10"/>
              </w:rPr>
              <w:t>（三）冒用或者使用伪造</w:t>
            </w:r>
            <w:r>
              <w:rPr>
                <w:spacing w:val="6"/>
              </w:rPr>
              <w:t>的安全生产许可证的。</w:t>
            </w:r>
          </w:p>
        </w:tc>
        <w:tc>
          <w:tcPr>
            <w:tcW w:w="803" w:type="dxa"/>
            <w:vAlign w:val="top"/>
          </w:tcPr>
          <w:p w14:paraId="73B2C7BA">
            <w:pPr>
              <w:spacing w:line="270" w:lineRule="auto"/>
              <w:rPr>
                <w:rFonts w:ascii="Arial"/>
                <w:sz w:val="21"/>
              </w:rPr>
            </w:pPr>
          </w:p>
          <w:p w14:paraId="602147EA">
            <w:pPr>
              <w:spacing w:line="270" w:lineRule="auto"/>
              <w:rPr>
                <w:rFonts w:ascii="Arial"/>
                <w:sz w:val="21"/>
              </w:rPr>
            </w:pPr>
          </w:p>
          <w:p w14:paraId="1DEAC538">
            <w:pPr>
              <w:spacing w:line="270" w:lineRule="auto"/>
              <w:rPr>
                <w:rFonts w:ascii="Arial"/>
                <w:sz w:val="21"/>
              </w:rPr>
            </w:pPr>
          </w:p>
          <w:p w14:paraId="4D159A9C">
            <w:pPr>
              <w:spacing w:line="271" w:lineRule="auto"/>
              <w:rPr>
                <w:rFonts w:ascii="Arial"/>
                <w:sz w:val="21"/>
              </w:rPr>
            </w:pPr>
          </w:p>
          <w:p w14:paraId="1743220C">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B923B56">
            <w:pPr>
              <w:rPr>
                <w:rFonts w:ascii="Arial"/>
                <w:sz w:val="21"/>
              </w:rPr>
            </w:pPr>
          </w:p>
          <w:p w14:paraId="00F2BC85">
            <w:pPr>
              <w:rPr>
                <w:rFonts w:ascii="Arial"/>
                <w:sz w:val="21"/>
              </w:rPr>
            </w:pPr>
          </w:p>
          <w:p w14:paraId="65C3E657">
            <w:pPr>
              <w:rPr>
                <w:rFonts w:ascii="Arial"/>
                <w:sz w:val="21"/>
              </w:rPr>
            </w:pPr>
          </w:p>
          <w:p w14:paraId="3C651948">
            <w:pPr>
              <w:pStyle w:val="6"/>
              <w:spacing w:before="99" w:line="192" w:lineRule="auto"/>
              <w:ind w:left="128" w:right="106" w:hanging="1"/>
              <w:jc w:val="both"/>
            </w:pPr>
            <w:r>
              <w:rPr>
                <w:spacing w:val="25"/>
              </w:rPr>
              <w:t>没有违法所得或违</w:t>
            </w:r>
            <w:r>
              <w:rPr>
                <w:spacing w:val="1"/>
              </w:rPr>
              <w:t>法所得</w:t>
            </w:r>
            <w:r>
              <w:rPr>
                <w:rFonts w:ascii="宋体" w:hAnsi="宋体" w:eastAsia="宋体" w:cs="宋体"/>
                <w:spacing w:val="1"/>
              </w:rPr>
              <w:t>10</w:t>
            </w:r>
            <w:r>
              <w:rPr>
                <w:spacing w:val="1"/>
              </w:rPr>
              <w:t>万元以下</w:t>
            </w:r>
            <w:r>
              <w:t>的</w:t>
            </w:r>
          </w:p>
        </w:tc>
        <w:tc>
          <w:tcPr>
            <w:tcW w:w="2894" w:type="dxa"/>
            <w:vAlign w:val="top"/>
          </w:tcPr>
          <w:p w14:paraId="08B8FF51">
            <w:pPr>
              <w:rPr>
                <w:rFonts w:ascii="Arial"/>
                <w:sz w:val="21"/>
              </w:rPr>
            </w:pPr>
          </w:p>
          <w:p w14:paraId="466A0B95">
            <w:pPr>
              <w:rPr>
                <w:rFonts w:ascii="Arial"/>
                <w:sz w:val="21"/>
              </w:rPr>
            </w:pPr>
          </w:p>
          <w:p w14:paraId="7E8BAC98">
            <w:pPr>
              <w:rPr>
                <w:rFonts w:ascii="Arial"/>
                <w:sz w:val="21"/>
              </w:rPr>
            </w:pPr>
          </w:p>
          <w:p w14:paraId="76938EAD">
            <w:pPr>
              <w:pStyle w:val="6"/>
              <w:spacing w:before="99" w:line="191" w:lineRule="auto"/>
              <w:ind w:left="120" w:right="106" w:firstLine="7"/>
              <w:jc w:val="both"/>
            </w:pPr>
            <w:r>
              <w:rPr>
                <w:spacing w:val="7"/>
              </w:rPr>
              <w:t>责令停止生产，没收违法</w:t>
            </w:r>
            <w:r>
              <w:rPr>
                <w:spacing w:val="5"/>
              </w:rPr>
              <w:t>所得，并处</w:t>
            </w:r>
            <w:r>
              <w:rPr>
                <w:rFonts w:ascii="宋体" w:hAnsi="宋体" w:eastAsia="宋体" w:cs="宋体"/>
                <w:spacing w:val="5"/>
              </w:rPr>
              <w:t>10</w:t>
            </w:r>
            <w:r>
              <w:rPr>
                <w:spacing w:val="5"/>
              </w:rPr>
              <w:t>万元以上</w:t>
            </w:r>
            <w:r>
              <w:rPr>
                <w:rFonts w:ascii="宋体" w:hAnsi="宋体" w:eastAsia="宋体" w:cs="宋体"/>
                <w:spacing w:val="3"/>
              </w:rPr>
              <w:t>30</w:t>
            </w:r>
            <w:r>
              <w:rPr>
                <w:spacing w:val="3"/>
              </w:rPr>
              <w:t>万元以下的罚款</w:t>
            </w:r>
          </w:p>
        </w:tc>
        <w:tc>
          <w:tcPr>
            <w:tcW w:w="811" w:type="dxa"/>
            <w:vMerge w:val="restart"/>
            <w:tcBorders>
              <w:bottom w:val="nil"/>
            </w:tcBorders>
            <w:vAlign w:val="top"/>
          </w:tcPr>
          <w:p w14:paraId="5FBF0633">
            <w:pPr>
              <w:spacing w:line="242" w:lineRule="auto"/>
              <w:rPr>
                <w:rFonts w:ascii="Arial"/>
                <w:sz w:val="21"/>
              </w:rPr>
            </w:pPr>
          </w:p>
          <w:p w14:paraId="085551FD">
            <w:pPr>
              <w:spacing w:line="242" w:lineRule="auto"/>
              <w:rPr>
                <w:rFonts w:ascii="Arial"/>
                <w:sz w:val="21"/>
              </w:rPr>
            </w:pPr>
          </w:p>
          <w:p w14:paraId="3C9B16B9">
            <w:pPr>
              <w:spacing w:line="242" w:lineRule="auto"/>
              <w:rPr>
                <w:rFonts w:ascii="Arial"/>
                <w:sz w:val="21"/>
              </w:rPr>
            </w:pPr>
          </w:p>
          <w:p w14:paraId="19140EED">
            <w:pPr>
              <w:spacing w:line="242" w:lineRule="auto"/>
              <w:rPr>
                <w:rFonts w:ascii="Arial"/>
                <w:sz w:val="21"/>
              </w:rPr>
            </w:pPr>
          </w:p>
          <w:p w14:paraId="091405FF">
            <w:pPr>
              <w:spacing w:line="242" w:lineRule="auto"/>
              <w:rPr>
                <w:rFonts w:ascii="Arial"/>
                <w:sz w:val="21"/>
              </w:rPr>
            </w:pPr>
          </w:p>
          <w:p w14:paraId="314F3064">
            <w:pPr>
              <w:spacing w:line="242" w:lineRule="auto"/>
              <w:rPr>
                <w:rFonts w:ascii="Arial"/>
                <w:sz w:val="21"/>
              </w:rPr>
            </w:pPr>
          </w:p>
          <w:p w14:paraId="0BA9B55C">
            <w:pPr>
              <w:spacing w:line="242" w:lineRule="auto"/>
              <w:rPr>
                <w:rFonts w:ascii="Arial"/>
                <w:sz w:val="21"/>
              </w:rPr>
            </w:pPr>
          </w:p>
          <w:p w14:paraId="60056FCF">
            <w:pPr>
              <w:spacing w:line="242" w:lineRule="auto"/>
              <w:rPr>
                <w:rFonts w:ascii="Arial"/>
                <w:sz w:val="21"/>
              </w:rPr>
            </w:pPr>
          </w:p>
          <w:p w14:paraId="1F636A7E">
            <w:pPr>
              <w:spacing w:line="242" w:lineRule="auto"/>
              <w:rPr>
                <w:rFonts w:ascii="Arial"/>
                <w:sz w:val="21"/>
              </w:rPr>
            </w:pPr>
          </w:p>
          <w:p w14:paraId="0F2A4962">
            <w:pPr>
              <w:spacing w:line="242" w:lineRule="auto"/>
              <w:rPr>
                <w:rFonts w:ascii="Arial"/>
                <w:sz w:val="21"/>
              </w:rPr>
            </w:pPr>
          </w:p>
          <w:p w14:paraId="40156435">
            <w:pPr>
              <w:spacing w:line="242" w:lineRule="auto"/>
              <w:rPr>
                <w:rFonts w:ascii="Arial"/>
                <w:sz w:val="21"/>
              </w:rPr>
            </w:pPr>
          </w:p>
          <w:p w14:paraId="37705ADD">
            <w:pPr>
              <w:spacing w:line="242" w:lineRule="auto"/>
              <w:rPr>
                <w:rFonts w:ascii="Arial"/>
                <w:sz w:val="21"/>
              </w:rPr>
            </w:pPr>
          </w:p>
          <w:p w14:paraId="03CEC04A">
            <w:pPr>
              <w:spacing w:line="243" w:lineRule="auto"/>
              <w:rPr>
                <w:rFonts w:ascii="Arial"/>
                <w:sz w:val="21"/>
              </w:rPr>
            </w:pPr>
          </w:p>
          <w:p w14:paraId="058DD58A">
            <w:pPr>
              <w:spacing w:line="243" w:lineRule="auto"/>
              <w:rPr>
                <w:rFonts w:ascii="Arial"/>
                <w:sz w:val="21"/>
              </w:rPr>
            </w:pPr>
          </w:p>
          <w:p w14:paraId="3C43B92F">
            <w:pPr>
              <w:spacing w:line="243" w:lineRule="auto"/>
              <w:rPr>
                <w:rFonts w:ascii="Arial"/>
                <w:sz w:val="21"/>
              </w:rPr>
            </w:pPr>
          </w:p>
          <w:p w14:paraId="030E7A83">
            <w:pPr>
              <w:spacing w:line="243" w:lineRule="auto"/>
              <w:rPr>
                <w:rFonts w:ascii="Arial"/>
                <w:sz w:val="21"/>
              </w:rPr>
            </w:pPr>
          </w:p>
          <w:p w14:paraId="0B7F6B44">
            <w:pPr>
              <w:spacing w:before="75" w:line="187" w:lineRule="auto"/>
              <w:ind w:left="295"/>
              <w:rPr>
                <w:rFonts w:ascii="宋体" w:hAnsi="宋体" w:eastAsia="宋体" w:cs="宋体"/>
                <w:sz w:val="23"/>
                <w:szCs w:val="23"/>
              </w:rPr>
            </w:pPr>
            <w:r>
              <w:rPr>
                <w:rFonts w:ascii="宋体" w:hAnsi="宋体" w:eastAsia="宋体" w:cs="宋体"/>
                <w:spacing w:val="-4"/>
                <w:sz w:val="23"/>
                <w:szCs w:val="23"/>
              </w:rPr>
              <w:t>57</w:t>
            </w:r>
          </w:p>
        </w:tc>
      </w:tr>
      <w:tr w14:paraId="30CC2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5" w:hRule="atLeast"/>
        </w:trPr>
        <w:tc>
          <w:tcPr>
            <w:tcW w:w="818" w:type="dxa"/>
            <w:vMerge w:val="continue"/>
            <w:tcBorders>
              <w:top w:val="nil"/>
              <w:bottom w:val="nil"/>
            </w:tcBorders>
            <w:vAlign w:val="top"/>
          </w:tcPr>
          <w:p w14:paraId="03066097">
            <w:pPr>
              <w:rPr>
                <w:rFonts w:ascii="Arial"/>
                <w:sz w:val="21"/>
              </w:rPr>
            </w:pPr>
          </w:p>
        </w:tc>
        <w:tc>
          <w:tcPr>
            <w:tcW w:w="1440" w:type="dxa"/>
            <w:vMerge w:val="continue"/>
            <w:tcBorders>
              <w:top w:val="nil"/>
              <w:bottom w:val="nil"/>
            </w:tcBorders>
            <w:vAlign w:val="top"/>
          </w:tcPr>
          <w:p w14:paraId="2F1A01B2">
            <w:pPr>
              <w:rPr>
                <w:rFonts w:ascii="Arial"/>
                <w:sz w:val="21"/>
              </w:rPr>
            </w:pPr>
          </w:p>
        </w:tc>
        <w:tc>
          <w:tcPr>
            <w:tcW w:w="3202" w:type="dxa"/>
            <w:vMerge w:val="continue"/>
            <w:tcBorders>
              <w:top w:val="nil"/>
              <w:bottom w:val="nil"/>
            </w:tcBorders>
            <w:vAlign w:val="top"/>
          </w:tcPr>
          <w:p w14:paraId="57B8563A">
            <w:pPr>
              <w:rPr>
                <w:rFonts w:ascii="Arial"/>
                <w:sz w:val="21"/>
              </w:rPr>
            </w:pPr>
          </w:p>
        </w:tc>
        <w:tc>
          <w:tcPr>
            <w:tcW w:w="2859" w:type="dxa"/>
            <w:vMerge w:val="continue"/>
            <w:tcBorders>
              <w:top w:val="nil"/>
              <w:bottom w:val="nil"/>
            </w:tcBorders>
            <w:vAlign w:val="top"/>
          </w:tcPr>
          <w:p w14:paraId="03032471">
            <w:pPr>
              <w:rPr>
                <w:rFonts w:ascii="Arial"/>
                <w:sz w:val="21"/>
              </w:rPr>
            </w:pPr>
          </w:p>
        </w:tc>
        <w:tc>
          <w:tcPr>
            <w:tcW w:w="803" w:type="dxa"/>
            <w:vAlign w:val="top"/>
          </w:tcPr>
          <w:p w14:paraId="09B25232">
            <w:pPr>
              <w:spacing w:line="294" w:lineRule="auto"/>
              <w:rPr>
                <w:rFonts w:ascii="Arial"/>
                <w:sz w:val="21"/>
              </w:rPr>
            </w:pPr>
          </w:p>
          <w:p w14:paraId="34FB6F72">
            <w:pPr>
              <w:spacing w:line="295" w:lineRule="auto"/>
              <w:rPr>
                <w:rFonts w:ascii="Arial"/>
                <w:sz w:val="21"/>
              </w:rPr>
            </w:pPr>
          </w:p>
          <w:p w14:paraId="63072F58">
            <w:pPr>
              <w:spacing w:line="295" w:lineRule="auto"/>
              <w:rPr>
                <w:rFonts w:ascii="Arial"/>
                <w:sz w:val="21"/>
              </w:rPr>
            </w:pPr>
          </w:p>
          <w:p w14:paraId="3340A852">
            <w:pPr>
              <w:spacing w:line="295" w:lineRule="auto"/>
              <w:rPr>
                <w:rFonts w:ascii="Arial"/>
                <w:sz w:val="21"/>
              </w:rPr>
            </w:pPr>
          </w:p>
          <w:p w14:paraId="50EBEED5">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2962AA0">
            <w:pPr>
              <w:spacing w:line="319" w:lineRule="auto"/>
              <w:rPr>
                <w:rFonts w:ascii="Arial"/>
                <w:sz w:val="21"/>
              </w:rPr>
            </w:pPr>
          </w:p>
          <w:p w14:paraId="4ADE081D">
            <w:pPr>
              <w:spacing w:line="320" w:lineRule="auto"/>
              <w:rPr>
                <w:rFonts w:ascii="Arial"/>
                <w:sz w:val="21"/>
              </w:rPr>
            </w:pPr>
          </w:p>
          <w:p w14:paraId="5271A484">
            <w:pPr>
              <w:spacing w:line="320" w:lineRule="auto"/>
              <w:rPr>
                <w:rFonts w:ascii="Arial"/>
                <w:sz w:val="21"/>
              </w:rPr>
            </w:pPr>
          </w:p>
          <w:p w14:paraId="635932C1">
            <w:pPr>
              <w:pStyle w:val="6"/>
              <w:spacing w:before="99" w:line="196" w:lineRule="auto"/>
              <w:ind w:left="122" w:right="106" w:hanging="5"/>
            </w:pPr>
            <w:r>
              <w:rPr>
                <w:spacing w:val="3"/>
              </w:rPr>
              <w:t>违法所得</w:t>
            </w:r>
            <w:r>
              <w:rPr>
                <w:rFonts w:ascii="宋体" w:hAnsi="宋体" w:eastAsia="宋体" w:cs="宋体"/>
                <w:spacing w:val="3"/>
              </w:rPr>
              <w:t>10</w:t>
            </w:r>
            <w:r>
              <w:rPr>
                <w:spacing w:val="3"/>
              </w:rPr>
              <w:t>万元以</w:t>
            </w:r>
            <w:r>
              <w:rPr>
                <w:spacing w:val="1"/>
              </w:rPr>
              <w:t>上</w:t>
            </w:r>
            <w:r>
              <w:rPr>
                <w:rFonts w:ascii="宋体" w:hAnsi="宋体" w:eastAsia="宋体" w:cs="宋体"/>
                <w:spacing w:val="1"/>
              </w:rPr>
              <w:t>30</w:t>
            </w:r>
            <w:r>
              <w:rPr>
                <w:spacing w:val="1"/>
              </w:rPr>
              <w:t>万元以下的</w:t>
            </w:r>
          </w:p>
        </w:tc>
        <w:tc>
          <w:tcPr>
            <w:tcW w:w="2894" w:type="dxa"/>
            <w:vAlign w:val="top"/>
          </w:tcPr>
          <w:p w14:paraId="5D21310D">
            <w:pPr>
              <w:spacing w:line="271" w:lineRule="auto"/>
              <w:rPr>
                <w:rFonts w:ascii="Arial"/>
                <w:sz w:val="21"/>
              </w:rPr>
            </w:pPr>
          </w:p>
          <w:p w14:paraId="47063D1B">
            <w:pPr>
              <w:spacing w:line="271" w:lineRule="auto"/>
              <w:rPr>
                <w:rFonts w:ascii="Arial"/>
                <w:sz w:val="21"/>
              </w:rPr>
            </w:pPr>
          </w:p>
          <w:p w14:paraId="78C045E2">
            <w:pPr>
              <w:spacing w:line="272" w:lineRule="auto"/>
              <w:rPr>
                <w:rFonts w:ascii="Arial"/>
                <w:sz w:val="21"/>
              </w:rPr>
            </w:pPr>
          </w:p>
          <w:p w14:paraId="40B48B72">
            <w:pPr>
              <w:pStyle w:val="6"/>
              <w:spacing w:before="98" w:line="191" w:lineRule="auto"/>
              <w:ind w:left="114" w:right="106" w:firstLine="13"/>
              <w:jc w:val="both"/>
            </w:pPr>
            <w:r>
              <w:rPr>
                <w:spacing w:val="7"/>
              </w:rPr>
              <w:t>责令停止生产，没收违法</w:t>
            </w:r>
            <w:r>
              <w:rPr>
                <w:spacing w:val="6"/>
              </w:rPr>
              <w:t>所得，并处</w:t>
            </w:r>
            <w:r>
              <w:rPr>
                <w:rFonts w:ascii="宋体" w:hAnsi="宋体" w:eastAsia="宋体" w:cs="宋体"/>
                <w:spacing w:val="6"/>
              </w:rPr>
              <w:t>30</w:t>
            </w:r>
            <w:r>
              <w:rPr>
                <w:spacing w:val="6"/>
              </w:rPr>
              <w:t>万元以上</w:t>
            </w:r>
            <w:r>
              <w:rPr>
                <w:rFonts w:ascii="宋体" w:hAnsi="宋体" w:eastAsia="宋体" w:cs="宋体"/>
                <w:spacing w:val="4"/>
              </w:rPr>
              <w:t>40</w:t>
            </w:r>
            <w:r>
              <w:rPr>
                <w:spacing w:val="4"/>
              </w:rPr>
              <w:t>万元以下的罚款</w:t>
            </w:r>
          </w:p>
        </w:tc>
        <w:tc>
          <w:tcPr>
            <w:tcW w:w="811" w:type="dxa"/>
            <w:vMerge w:val="continue"/>
            <w:tcBorders>
              <w:top w:val="nil"/>
              <w:bottom w:val="nil"/>
            </w:tcBorders>
            <w:vAlign w:val="top"/>
          </w:tcPr>
          <w:p w14:paraId="14B678B2">
            <w:pPr>
              <w:rPr>
                <w:rFonts w:ascii="Arial"/>
                <w:sz w:val="21"/>
              </w:rPr>
            </w:pPr>
          </w:p>
        </w:tc>
      </w:tr>
      <w:tr w14:paraId="53963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1" w:hRule="atLeast"/>
        </w:trPr>
        <w:tc>
          <w:tcPr>
            <w:tcW w:w="818" w:type="dxa"/>
            <w:vMerge w:val="continue"/>
            <w:tcBorders>
              <w:top w:val="nil"/>
            </w:tcBorders>
            <w:vAlign w:val="top"/>
          </w:tcPr>
          <w:p w14:paraId="6F4E0ECB">
            <w:pPr>
              <w:rPr>
                <w:rFonts w:ascii="Arial"/>
                <w:sz w:val="21"/>
              </w:rPr>
            </w:pPr>
          </w:p>
        </w:tc>
        <w:tc>
          <w:tcPr>
            <w:tcW w:w="1440" w:type="dxa"/>
            <w:vMerge w:val="continue"/>
            <w:tcBorders>
              <w:top w:val="nil"/>
            </w:tcBorders>
            <w:vAlign w:val="top"/>
          </w:tcPr>
          <w:p w14:paraId="12FE6BCD">
            <w:pPr>
              <w:rPr>
                <w:rFonts w:ascii="Arial"/>
                <w:sz w:val="21"/>
              </w:rPr>
            </w:pPr>
          </w:p>
        </w:tc>
        <w:tc>
          <w:tcPr>
            <w:tcW w:w="3202" w:type="dxa"/>
            <w:vMerge w:val="continue"/>
            <w:tcBorders>
              <w:top w:val="nil"/>
            </w:tcBorders>
            <w:vAlign w:val="top"/>
          </w:tcPr>
          <w:p w14:paraId="14F08426">
            <w:pPr>
              <w:rPr>
                <w:rFonts w:ascii="Arial"/>
                <w:sz w:val="21"/>
              </w:rPr>
            </w:pPr>
          </w:p>
        </w:tc>
        <w:tc>
          <w:tcPr>
            <w:tcW w:w="2859" w:type="dxa"/>
            <w:vMerge w:val="continue"/>
            <w:tcBorders>
              <w:top w:val="nil"/>
            </w:tcBorders>
            <w:vAlign w:val="top"/>
          </w:tcPr>
          <w:p w14:paraId="2849D1F3">
            <w:pPr>
              <w:rPr>
                <w:rFonts w:ascii="Arial"/>
                <w:sz w:val="21"/>
              </w:rPr>
            </w:pPr>
          </w:p>
        </w:tc>
        <w:tc>
          <w:tcPr>
            <w:tcW w:w="803" w:type="dxa"/>
            <w:vAlign w:val="top"/>
          </w:tcPr>
          <w:p w14:paraId="67405FEF">
            <w:pPr>
              <w:spacing w:line="261" w:lineRule="auto"/>
              <w:rPr>
                <w:rFonts w:ascii="Arial"/>
                <w:sz w:val="21"/>
              </w:rPr>
            </w:pPr>
          </w:p>
          <w:p w14:paraId="1C5339B1">
            <w:pPr>
              <w:spacing w:line="261" w:lineRule="auto"/>
              <w:rPr>
                <w:rFonts w:ascii="Arial"/>
                <w:sz w:val="21"/>
              </w:rPr>
            </w:pPr>
          </w:p>
          <w:p w14:paraId="3B55CFEB">
            <w:pPr>
              <w:spacing w:line="261" w:lineRule="auto"/>
              <w:rPr>
                <w:rFonts w:ascii="Arial"/>
                <w:sz w:val="21"/>
              </w:rPr>
            </w:pPr>
          </w:p>
          <w:p w14:paraId="63C5D6CB">
            <w:pPr>
              <w:spacing w:line="261" w:lineRule="auto"/>
              <w:rPr>
                <w:rFonts w:ascii="Arial"/>
                <w:sz w:val="21"/>
              </w:rPr>
            </w:pPr>
          </w:p>
          <w:p w14:paraId="42A2850D">
            <w:pPr>
              <w:spacing w:line="261" w:lineRule="auto"/>
              <w:rPr>
                <w:rFonts w:ascii="Arial"/>
                <w:sz w:val="21"/>
              </w:rPr>
            </w:pPr>
          </w:p>
          <w:p w14:paraId="3211C0FA">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217780A0">
            <w:pPr>
              <w:spacing w:line="272" w:lineRule="auto"/>
              <w:rPr>
                <w:rFonts w:ascii="Arial"/>
                <w:sz w:val="21"/>
              </w:rPr>
            </w:pPr>
          </w:p>
          <w:p w14:paraId="664F9C21">
            <w:pPr>
              <w:spacing w:line="272" w:lineRule="auto"/>
              <w:rPr>
                <w:rFonts w:ascii="Arial"/>
                <w:sz w:val="21"/>
              </w:rPr>
            </w:pPr>
          </w:p>
          <w:p w14:paraId="7AF3678A">
            <w:pPr>
              <w:spacing w:line="272" w:lineRule="auto"/>
              <w:rPr>
                <w:rFonts w:ascii="Arial"/>
                <w:sz w:val="21"/>
              </w:rPr>
            </w:pPr>
          </w:p>
          <w:p w14:paraId="6A83201B">
            <w:pPr>
              <w:spacing w:line="272" w:lineRule="auto"/>
              <w:rPr>
                <w:rFonts w:ascii="Arial"/>
                <w:sz w:val="21"/>
              </w:rPr>
            </w:pPr>
          </w:p>
          <w:p w14:paraId="02635272">
            <w:pPr>
              <w:pStyle w:val="6"/>
              <w:spacing w:before="99" w:line="197" w:lineRule="auto"/>
              <w:ind w:left="122" w:right="106" w:hanging="5"/>
            </w:pPr>
            <w:r>
              <w:rPr>
                <w:spacing w:val="5"/>
              </w:rPr>
              <w:t>违法所得</w:t>
            </w:r>
            <w:r>
              <w:rPr>
                <w:rFonts w:ascii="宋体" w:hAnsi="宋体" w:eastAsia="宋体" w:cs="宋体"/>
                <w:spacing w:val="5"/>
              </w:rPr>
              <w:t>30</w:t>
            </w:r>
            <w:r>
              <w:rPr>
                <w:spacing w:val="5"/>
              </w:rPr>
              <w:t>万元以</w:t>
            </w:r>
            <w:r>
              <w:t>上的</w:t>
            </w:r>
          </w:p>
        </w:tc>
        <w:tc>
          <w:tcPr>
            <w:tcW w:w="2894" w:type="dxa"/>
            <w:vAlign w:val="top"/>
          </w:tcPr>
          <w:p w14:paraId="6A866C9B">
            <w:pPr>
              <w:spacing w:line="313" w:lineRule="auto"/>
              <w:rPr>
                <w:rFonts w:ascii="Arial"/>
                <w:sz w:val="21"/>
              </w:rPr>
            </w:pPr>
          </w:p>
          <w:p w14:paraId="3F07FE25">
            <w:pPr>
              <w:spacing w:line="314" w:lineRule="auto"/>
              <w:rPr>
                <w:rFonts w:ascii="Arial"/>
                <w:sz w:val="21"/>
              </w:rPr>
            </w:pPr>
          </w:p>
          <w:p w14:paraId="24E97941">
            <w:pPr>
              <w:spacing w:line="314" w:lineRule="auto"/>
              <w:rPr>
                <w:rFonts w:ascii="Arial"/>
                <w:sz w:val="21"/>
              </w:rPr>
            </w:pPr>
          </w:p>
          <w:p w14:paraId="1CEDAEEC">
            <w:pPr>
              <w:pStyle w:val="6"/>
              <w:spacing w:before="98" w:line="191" w:lineRule="auto"/>
              <w:ind w:left="120" w:right="106" w:firstLine="7"/>
              <w:jc w:val="both"/>
            </w:pPr>
            <w:r>
              <w:rPr>
                <w:spacing w:val="7"/>
              </w:rPr>
              <w:t>责令停止生产，没收违法</w:t>
            </w:r>
            <w:r>
              <w:rPr>
                <w:spacing w:val="6"/>
              </w:rPr>
              <w:t>所得，并处</w:t>
            </w:r>
            <w:r>
              <w:rPr>
                <w:rFonts w:ascii="宋体" w:hAnsi="宋体" w:eastAsia="宋体" w:cs="宋体"/>
                <w:spacing w:val="6"/>
              </w:rPr>
              <w:t>40</w:t>
            </w:r>
            <w:r>
              <w:rPr>
                <w:spacing w:val="6"/>
              </w:rPr>
              <w:t>万元以上</w:t>
            </w:r>
            <w:r>
              <w:rPr>
                <w:rFonts w:ascii="宋体" w:hAnsi="宋体" w:eastAsia="宋体" w:cs="宋体"/>
                <w:spacing w:val="3"/>
              </w:rPr>
              <w:t>50</w:t>
            </w:r>
            <w:r>
              <w:rPr>
                <w:spacing w:val="3"/>
              </w:rPr>
              <w:t>万元以下的罚款</w:t>
            </w:r>
          </w:p>
        </w:tc>
        <w:tc>
          <w:tcPr>
            <w:tcW w:w="811" w:type="dxa"/>
            <w:vMerge w:val="continue"/>
            <w:tcBorders>
              <w:top w:val="nil"/>
            </w:tcBorders>
            <w:vAlign w:val="top"/>
          </w:tcPr>
          <w:p w14:paraId="6E8E34F3">
            <w:pPr>
              <w:rPr>
                <w:rFonts w:ascii="Arial"/>
                <w:sz w:val="21"/>
              </w:rPr>
            </w:pPr>
          </w:p>
        </w:tc>
      </w:tr>
    </w:tbl>
    <w:p w14:paraId="008B93EE">
      <w:pPr>
        <w:pStyle w:val="2"/>
      </w:pPr>
    </w:p>
    <w:p w14:paraId="5C22C3EE">
      <w:pPr>
        <w:sectPr>
          <w:footerReference r:id="rId104" w:type="default"/>
          <w:pgSz w:w="16839" w:h="11906"/>
          <w:pgMar w:top="1012" w:right="821" w:bottom="667" w:left="901" w:header="0" w:footer="388" w:gutter="0"/>
          <w:cols w:space="720" w:num="1"/>
        </w:sectPr>
      </w:pPr>
    </w:p>
    <w:p w14:paraId="3D642A50">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A022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E423AF5">
            <w:pPr>
              <w:spacing w:before="222" w:line="241" w:lineRule="auto"/>
              <w:ind w:left="131"/>
              <w:outlineLvl w:val="0"/>
              <w:rPr>
                <w:rFonts w:ascii="黑体" w:hAnsi="黑体" w:eastAsia="黑体" w:cs="黑体"/>
                <w:sz w:val="28"/>
                <w:szCs w:val="28"/>
              </w:rPr>
            </w:pPr>
            <w:bookmarkStart w:id="492" w:name="bookmark177"/>
            <w:bookmarkEnd w:id="492"/>
            <w:bookmarkStart w:id="493" w:name="bookmark521"/>
            <w:bookmarkEnd w:id="493"/>
            <w:r>
              <w:rPr>
                <w:rFonts w:ascii="黑体" w:hAnsi="黑体" w:eastAsia="黑体" w:cs="黑体"/>
                <w:spacing w:val="-2"/>
                <w:sz w:val="28"/>
                <w:szCs w:val="28"/>
              </w:rPr>
              <w:t>序号</w:t>
            </w:r>
          </w:p>
        </w:tc>
        <w:tc>
          <w:tcPr>
            <w:tcW w:w="1440" w:type="dxa"/>
            <w:vAlign w:val="top"/>
          </w:tcPr>
          <w:p w14:paraId="576D1B85">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826B49E">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381EDC0">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8978FC6">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FDFCF2E">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720B149">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ECF4BD5">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37A6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818" w:type="dxa"/>
            <w:vAlign w:val="top"/>
          </w:tcPr>
          <w:p w14:paraId="581AAD4A">
            <w:pPr>
              <w:rPr>
                <w:rFonts w:ascii="Arial"/>
                <w:sz w:val="21"/>
              </w:rPr>
            </w:pPr>
          </w:p>
        </w:tc>
        <w:tc>
          <w:tcPr>
            <w:tcW w:w="1440" w:type="dxa"/>
            <w:vAlign w:val="top"/>
          </w:tcPr>
          <w:p w14:paraId="759DCAD8">
            <w:pPr>
              <w:rPr>
                <w:rFonts w:ascii="Arial"/>
                <w:sz w:val="21"/>
              </w:rPr>
            </w:pPr>
          </w:p>
        </w:tc>
        <w:tc>
          <w:tcPr>
            <w:tcW w:w="3202" w:type="dxa"/>
            <w:vAlign w:val="top"/>
          </w:tcPr>
          <w:p w14:paraId="532AFB83">
            <w:pPr>
              <w:rPr>
                <w:rFonts w:ascii="Arial"/>
                <w:sz w:val="21"/>
              </w:rPr>
            </w:pPr>
          </w:p>
        </w:tc>
        <w:tc>
          <w:tcPr>
            <w:tcW w:w="2859" w:type="dxa"/>
            <w:vAlign w:val="top"/>
          </w:tcPr>
          <w:p w14:paraId="5375F3D6">
            <w:pPr>
              <w:pStyle w:val="6"/>
              <w:spacing w:before="19" w:line="181" w:lineRule="auto"/>
              <w:ind w:left="98" w:right="106" w:firstLine="19"/>
            </w:pPr>
            <w:r>
              <w:rPr>
                <w:rFonts w:ascii="宋体" w:hAnsi="宋体" w:eastAsia="宋体" w:cs="宋体"/>
                <w:spacing w:val="7"/>
              </w:rPr>
              <w:t>3.</w:t>
            </w:r>
            <w:r>
              <w:rPr>
                <w:spacing w:val="7"/>
              </w:rPr>
              <w:t>【部门规章】《非煤矿</w:t>
            </w:r>
            <w:r>
              <w:rPr>
                <w:spacing w:val="10"/>
              </w:rPr>
              <w:t>矿山企业安全生产许可证实施办法》第四十二条第三项、第四项：非煤矿矿</w:t>
            </w:r>
            <w:r>
              <w:rPr>
                <w:spacing w:val="28"/>
              </w:rPr>
              <w:t>山企业有下列行为之一</w:t>
            </w:r>
            <w:r>
              <w:rPr>
                <w:spacing w:val="10"/>
              </w:rPr>
              <w:t>的，责令停止生产，没收</w:t>
            </w:r>
            <w:r>
              <w:rPr>
                <w:spacing w:val="-5"/>
              </w:rPr>
              <w:t>违法所得，并处</w:t>
            </w:r>
            <w:r>
              <w:rPr>
                <w:rFonts w:ascii="宋体" w:hAnsi="宋体" w:eastAsia="宋体" w:cs="宋体"/>
                <w:spacing w:val="-5"/>
              </w:rPr>
              <w:t>10</w:t>
            </w:r>
            <w:r>
              <w:rPr>
                <w:spacing w:val="-5"/>
              </w:rPr>
              <w:t>万元以</w:t>
            </w:r>
            <w:r>
              <w:rPr>
                <w:spacing w:val="10"/>
              </w:rPr>
              <w:t>上</w:t>
            </w:r>
            <w:r>
              <w:rPr>
                <w:rFonts w:ascii="宋体" w:hAnsi="宋体" w:eastAsia="宋体" w:cs="宋体"/>
                <w:spacing w:val="10"/>
              </w:rPr>
              <w:t>50</w:t>
            </w:r>
            <w:r>
              <w:rPr>
                <w:spacing w:val="10"/>
              </w:rPr>
              <w:t>万元以下的罚款：（三）冒用安全生产许可</w:t>
            </w:r>
            <w:r>
              <w:rPr>
                <w:spacing w:val="13"/>
              </w:rPr>
              <w:t>证的</w:t>
            </w:r>
            <w:r>
              <w:rPr>
                <w:spacing w:val="-2"/>
              </w:rPr>
              <w:t>；（</w:t>
            </w:r>
            <w:r>
              <w:rPr>
                <w:spacing w:val="13"/>
              </w:rPr>
              <w:t>四）使用伪造的</w:t>
            </w:r>
            <w:r>
              <w:rPr>
                <w:spacing w:val="6"/>
              </w:rPr>
              <w:t>安全生产许可证的。</w:t>
            </w:r>
          </w:p>
        </w:tc>
        <w:tc>
          <w:tcPr>
            <w:tcW w:w="803" w:type="dxa"/>
            <w:vAlign w:val="top"/>
          </w:tcPr>
          <w:p w14:paraId="31B7F1A2">
            <w:pPr>
              <w:rPr>
                <w:rFonts w:ascii="Arial"/>
                <w:sz w:val="21"/>
              </w:rPr>
            </w:pPr>
          </w:p>
        </w:tc>
        <w:tc>
          <w:tcPr>
            <w:tcW w:w="2283" w:type="dxa"/>
            <w:vAlign w:val="top"/>
          </w:tcPr>
          <w:p w14:paraId="5E65C65E">
            <w:pPr>
              <w:rPr>
                <w:rFonts w:ascii="Arial"/>
                <w:sz w:val="21"/>
              </w:rPr>
            </w:pPr>
          </w:p>
        </w:tc>
        <w:tc>
          <w:tcPr>
            <w:tcW w:w="2894" w:type="dxa"/>
            <w:vAlign w:val="top"/>
          </w:tcPr>
          <w:p w14:paraId="3C4D1C5D">
            <w:pPr>
              <w:rPr>
                <w:rFonts w:ascii="Arial"/>
                <w:sz w:val="21"/>
              </w:rPr>
            </w:pPr>
          </w:p>
        </w:tc>
        <w:tc>
          <w:tcPr>
            <w:tcW w:w="811" w:type="dxa"/>
            <w:vAlign w:val="top"/>
          </w:tcPr>
          <w:p w14:paraId="022840CC">
            <w:pPr>
              <w:rPr>
                <w:rFonts w:ascii="Arial"/>
                <w:sz w:val="21"/>
              </w:rPr>
            </w:pPr>
          </w:p>
        </w:tc>
      </w:tr>
      <w:tr w14:paraId="5E6AE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0" w:hRule="atLeast"/>
        </w:trPr>
        <w:tc>
          <w:tcPr>
            <w:tcW w:w="818" w:type="dxa"/>
            <w:vMerge w:val="restart"/>
            <w:tcBorders>
              <w:bottom w:val="nil"/>
            </w:tcBorders>
            <w:vAlign w:val="top"/>
          </w:tcPr>
          <w:p w14:paraId="342F89E2">
            <w:pPr>
              <w:spacing w:line="248" w:lineRule="auto"/>
              <w:rPr>
                <w:rFonts w:ascii="Arial"/>
                <w:sz w:val="21"/>
              </w:rPr>
            </w:pPr>
          </w:p>
          <w:p w14:paraId="09601494">
            <w:pPr>
              <w:spacing w:line="248" w:lineRule="auto"/>
              <w:rPr>
                <w:rFonts w:ascii="Arial"/>
                <w:sz w:val="21"/>
              </w:rPr>
            </w:pPr>
          </w:p>
          <w:p w14:paraId="2544CBB2">
            <w:pPr>
              <w:spacing w:line="248" w:lineRule="auto"/>
              <w:rPr>
                <w:rFonts w:ascii="Arial"/>
                <w:sz w:val="21"/>
              </w:rPr>
            </w:pPr>
          </w:p>
          <w:p w14:paraId="2B91E554">
            <w:pPr>
              <w:spacing w:line="248" w:lineRule="auto"/>
              <w:rPr>
                <w:rFonts w:ascii="Arial"/>
                <w:sz w:val="21"/>
              </w:rPr>
            </w:pPr>
          </w:p>
          <w:p w14:paraId="6B8B6CF3">
            <w:pPr>
              <w:spacing w:line="248" w:lineRule="auto"/>
              <w:rPr>
                <w:rFonts w:ascii="Arial"/>
                <w:sz w:val="21"/>
              </w:rPr>
            </w:pPr>
          </w:p>
          <w:p w14:paraId="71E5F42A">
            <w:pPr>
              <w:spacing w:line="248" w:lineRule="auto"/>
              <w:rPr>
                <w:rFonts w:ascii="Arial"/>
                <w:sz w:val="21"/>
              </w:rPr>
            </w:pPr>
          </w:p>
          <w:p w14:paraId="05E22A9D">
            <w:pPr>
              <w:spacing w:line="248" w:lineRule="auto"/>
              <w:rPr>
                <w:rFonts w:ascii="Arial"/>
                <w:sz w:val="21"/>
              </w:rPr>
            </w:pPr>
          </w:p>
          <w:p w14:paraId="030F3157">
            <w:pPr>
              <w:spacing w:line="248" w:lineRule="auto"/>
              <w:rPr>
                <w:rFonts w:ascii="Arial"/>
                <w:sz w:val="21"/>
              </w:rPr>
            </w:pPr>
          </w:p>
          <w:p w14:paraId="76FBE630">
            <w:pPr>
              <w:spacing w:line="249" w:lineRule="auto"/>
              <w:rPr>
                <w:rFonts w:ascii="Arial"/>
                <w:sz w:val="21"/>
              </w:rPr>
            </w:pPr>
          </w:p>
          <w:p w14:paraId="3738AD07">
            <w:pPr>
              <w:spacing w:line="249" w:lineRule="auto"/>
              <w:rPr>
                <w:rFonts w:ascii="Arial"/>
                <w:sz w:val="21"/>
              </w:rPr>
            </w:pPr>
          </w:p>
          <w:p w14:paraId="26A95DE2">
            <w:pPr>
              <w:spacing w:before="75" w:line="185" w:lineRule="auto"/>
              <w:ind w:left="235"/>
              <w:rPr>
                <w:rFonts w:ascii="仿宋" w:hAnsi="仿宋" w:eastAsia="仿宋" w:cs="仿宋"/>
                <w:sz w:val="23"/>
                <w:szCs w:val="23"/>
              </w:rPr>
            </w:pPr>
            <w:r>
              <w:rPr>
                <w:rFonts w:ascii="仿宋" w:hAnsi="仿宋" w:eastAsia="仿宋" w:cs="仿宋"/>
                <w:spacing w:val="-2"/>
                <w:sz w:val="23"/>
                <w:szCs w:val="23"/>
              </w:rPr>
              <w:t>85</w:t>
            </w:r>
          </w:p>
        </w:tc>
        <w:tc>
          <w:tcPr>
            <w:tcW w:w="1440" w:type="dxa"/>
            <w:vMerge w:val="restart"/>
            <w:tcBorders>
              <w:bottom w:val="nil"/>
            </w:tcBorders>
            <w:vAlign w:val="top"/>
          </w:tcPr>
          <w:p w14:paraId="1B18CF60">
            <w:pPr>
              <w:spacing w:line="462" w:lineRule="auto"/>
              <w:rPr>
                <w:rFonts w:ascii="Arial"/>
                <w:sz w:val="21"/>
              </w:rPr>
            </w:pPr>
          </w:p>
          <w:p w14:paraId="323300FA">
            <w:pPr>
              <w:pStyle w:val="6"/>
              <w:spacing w:before="99" w:line="185" w:lineRule="auto"/>
              <w:ind w:left="113" w:right="17" w:firstLine="8"/>
            </w:pPr>
            <w:r>
              <w:rPr>
                <w:spacing w:val="10"/>
              </w:rPr>
              <w:t>知道或者应</w:t>
            </w:r>
            <w:r>
              <w:rPr>
                <w:spacing w:val="12"/>
              </w:rPr>
              <w:t>当知道生产经营单位未取得安全生产许可证或者其他批准文件擅自从事生产经营</w:t>
            </w:r>
            <w:r>
              <w:rPr>
                <w:spacing w:val="4"/>
              </w:rPr>
              <w:t>活动，仍为</w:t>
            </w:r>
            <w:r>
              <w:rPr>
                <w:spacing w:val="12"/>
              </w:rPr>
              <w:t>其提供生产</w:t>
            </w:r>
            <w:r>
              <w:rPr>
                <w:spacing w:val="6"/>
              </w:rPr>
              <w:t>经营场所、</w:t>
            </w:r>
            <w:r>
              <w:rPr>
                <w:spacing w:val="-13"/>
              </w:rPr>
              <w:t>运输、保管、</w:t>
            </w:r>
            <w:r>
              <w:rPr>
                <w:spacing w:val="12"/>
              </w:rPr>
              <w:t>仓储等条件</w:t>
            </w:r>
            <w:r>
              <w:t>的</w:t>
            </w:r>
          </w:p>
        </w:tc>
        <w:tc>
          <w:tcPr>
            <w:tcW w:w="3202" w:type="dxa"/>
            <w:vMerge w:val="restart"/>
            <w:tcBorders>
              <w:bottom w:val="nil"/>
            </w:tcBorders>
            <w:vAlign w:val="top"/>
          </w:tcPr>
          <w:p w14:paraId="621E62BE">
            <w:pPr>
              <w:rPr>
                <w:rFonts w:ascii="Arial"/>
                <w:sz w:val="21"/>
              </w:rPr>
            </w:pPr>
          </w:p>
        </w:tc>
        <w:tc>
          <w:tcPr>
            <w:tcW w:w="2859" w:type="dxa"/>
            <w:vMerge w:val="restart"/>
            <w:tcBorders>
              <w:bottom w:val="nil"/>
            </w:tcBorders>
            <w:vAlign w:val="top"/>
          </w:tcPr>
          <w:p w14:paraId="733DC823">
            <w:pPr>
              <w:pStyle w:val="6"/>
              <w:spacing w:before="34" w:line="184" w:lineRule="auto"/>
              <w:ind w:left="116" w:right="97" w:hanging="19"/>
            </w:pPr>
            <w:r>
              <w:rPr>
                <w:spacing w:val="10"/>
              </w:rPr>
              <w:t>【部门规章】《安全生产</w:t>
            </w:r>
            <w:r>
              <w:rPr>
                <w:spacing w:val="9"/>
              </w:rPr>
              <w:t>违法行为行政处罚办法》</w:t>
            </w:r>
            <w:r>
              <w:rPr>
                <w:spacing w:val="8"/>
              </w:rPr>
              <w:t>第五十条：知道或者应当知道生产经营单位未取得安全生产许可证或者其他批准文件擅自从事生产经</w:t>
            </w:r>
            <w:r>
              <w:rPr>
                <w:spacing w:val="4"/>
              </w:rPr>
              <w:t>营活动，仍为其提供生产</w:t>
            </w:r>
            <w:r>
              <w:rPr>
                <w:spacing w:val="6"/>
              </w:rPr>
              <w:t>经营场所、运输、保管、</w:t>
            </w:r>
            <w:r>
              <w:rPr>
                <w:spacing w:val="8"/>
              </w:rPr>
              <w:t>仓储等条件的，责令立即停止违法行为，有违法所</w:t>
            </w:r>
            <w:r>
              <w:rPr>
                <w:spacing w:val="4"/>
              </w:rPr>
              <w:t>得的，没收违法所得，并</w:t>
            </w:r>
            <w:r>
              <w:rPr>
                <w:spacing w:val="2"/>
              </w:rPr>
              <w:t>处违法所得</w:t>
            </w:r>
            <w:r>
              <w:rPr>
                <w:rFonts w:ascii="宋体" w:hAnsi="宋体" w:eastAsia="宋体" w:cs="宋体"/>
                <w:spacing w:val="2"/>
              </w:rPr>
              <w:t>1</w:t>
            </w:r>
            <w:r>
              <w:rPr>
                <w:spacing w:val="2"/>
              </w:rPr>
              <w:t>倍以上</w:t>
            </w:r>
            <w:r>
              <w:rPr>
                <w:rFonts w:ascii="宋体" w:hAnsi="宋体" w:eastAsia="宋体" w:cs="宋体"/>
                <w:spacing w:val="2"/>
              </w:rPr>
              <w:t>3</w:t>
            </w:r>
            <w:r>
              <w:rPr>
                <w:spacing w:val="2"/>
              </w:rPr>
              <w:t>倍</w:t>
            </w:r>
            <w:r>
              <w:rPr>
                <w:spacing w:val="8"/>
              </w:rPr>
              <w:t>以下的罚款，但是最高不</w:t>
            </w:r>
            <w:r>
              <w:rPr>
                <w:spacing w:val="5"/>
              </w:rPr>
              <w:t>得超过</w:t>
            </w:r>
            <w:r>
              <w:rPr>
                <w:rFonts w:ascii="宋体" w:hAnsi="宋体" w:eastAsia="宋体" w:cs="宋体"/>
                <w:spacing w:val="5"/>
              </w:rPr>
              <w:t>3</w:t>
            </w:r>
            <w:r>
              <w:rPr>
                <w:spacing w:val="5"/>
              </w:rPr>
              <w:t>万元；没有违法</w:t>
            </w:r>
            <w:r>
              <w:rPr>
                <w:spacing w:val="4"/>
              </w:rPr>
              <w:t>所得的，并处</w:t>
            </w:r>
            <w:r>
              <w:rPr>
                <w:rFonts w:ascii="宋体" w:hAnsi="宋体" w:eastAsia="宋体" w:cs="宋体"/>
                <w:spacing w:val="4"/>
              </w:rPr>
              <w:t>5</w:t>
            </w:r>
            <w:r>
              <w:rPr>
                <w:spacing w:val="4"/>
              </w:rPr>
              <w:t>千元以上</w:t>
            </w:r>
            <w:r>
              <w:rPr>
                <w:rFonts w:ascii="宋体" w:hAnsi="宋体" w:eastAsia="宋体" w:cs="宋体"/>
                <w:spacing w:val="1"/>
              </w:rPr>
              <w:t>1</w:t>
            </w:r>
            <w:r>
              <w:rPr>
                <w:spacing w:val="1"/>
              </w:rPr>
              <w:t>万元以下的罚款。</w:t>
            </w:r>
          </w:p>
        </w:tc>
        <w:tc>
          <w:tcPr>
            <w:tcW w:w="803" w:type="dxa"/>
            <w:vAlign w:val="top"/>
          </w:tcPr>
          <w:p w14:paraId="0F7360E3">
            <w:pPr>
              <w:spacing w:line="316" w:lineRule="auto"/>
              <w:rPr>
                <w:rFonts w:ascii="Arial"/>
                <w:sz w:val="21"/>
              </w:rPr>
            </w:pPr>
          </w:p>
          <w:p w14:paraId="1C5ACBC2">
            <w:pPr>
              <w:spacing w:line="316" w:lineRule="auto"/>
              <w:rPr>
                <w:rFonts w:ascii="Arial"/>
                <w:sz w:val="21"/>
              </w:rPr>
            </w:pPr>
          </w:p>
          <w:p w14:paraId="3CD9F305">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B11669F">
            <w:pPr>
              <w:spacing w:line="282" w:lineRule="auto"/>
              <w:rPr>
                <w:rFonts w:ascii="Arial"/>
                <w:sz w:val="21"/>
              </w:rPr>
            </w:pPr>
          </w:p>
          <w:p w14:paraId="6466848F">
            <w:pPr>
              <w:spacing w:line="283" w:lineRule="auto"/>
              <w:rPr>
                <w:rFonts w:ascii="Arial"/>
                <w:sz w:val="21"/>
              </w:rPr>
            </w:pPr>
          </w:p>
          <w:p w14:paraId="41143C36">
            <w:pPr>
              <w:pStyle w:val="6"/>
              <w:spacing w:before="99" w:line="209" w:lineRule="auto"/>
              <w:ind w:left="127"/>
            </w:pPr>
            <w:r>
              <w:rPr>
                <w:spacing w:val="6"/>
              </w:rPr>
              <w:t>没有违法所得的</w:t>
            </w:r>
          </w:p>
        </w:tc>
        <w:tc>
          <w:tcPr>
            <w:tcW w:w="2894" w:type="dxa"/>
            <w:vAlign w:val="top"/>
          </w:tcPr>
          <w:p w14:paraId="120F9664">
            <w:pPr>
              <w:spacing w:line="269" w:lineRule="auto"/>
              <w:rPr>
                <w:rFonts w:ascii="Arial"/>
                <w:sz w:val="21"/>
              </w:rPr>
            </w:pPr>
          </w:p>
          <w:p w14:paraId="79643EA2">
            <w:pPr>
              <w:pStyle w:val="6"/>
              <w:spacing w:before="99" w:line="191" w:lineRule="auto"/>
              <w:ind w:left="124" w:right="106" w:firstLine="2"/>
            </w:pPr>
            <w:r>
              <w:rPr>
                <w:spacing w:val="9"/>
              </w:rPr>
              <w:t>责令立即停止违法行为，</w:t>
            </w:r>
            <w:r>
              <w:rPr>
                <w:spacing w:val="1"/>
              </w:rPr>
              <w:t>并处</w:t>
            </w:r>
            <w:r>
              <w:rPr>
                <w:rFonts w:ascii="宋体" w:hAnsi="宋体" w:eastAsia="宋体" w:cs="宋体"/>
                <w:spacing w:val="1"/>
              </w:rPr>
              <w:t>5</w:t>
            </w:r>
            <w:r>
              <w:rPr>
                <w:spacing w:val="1"/>
              </w:rPr>
              <w:t>千元以上</w:t>
            </w:r>
            <w:r>
              <w:rPr>
                <w:rFonts w:ascii="宋体" w:hAnsi="宋体" w:eastAsia="宋体" w:cs="宋体"/>
                <w:spacing w:val="1"/>
              </w:rPr>
              <w:t>1</w:t>
            </w:r>
            <w:r>
              <w:rPr>
                <w:spacing w:val="1"/>
              </w:rPr>
              <w:t>万元以</w:t>
            </w:r>
            <w:r>
              <w:rPr>
                <w:spacing w:val="4"/>
              </w:rPr>
              <w:t>下的罚款</w:t>
            </w:r>
          </w:p>
        </w:tc>
        <w:tc>
          <w:tcPr>
            <w:tcW w:w="811" w:type="dxa"/>
            <w:vMerge w:val="restart"/>
            <w:tcBorders>
              <w:bottom w:val="nil"/>
            </w:tcBorders>
            <w:vAlign w:val="top"/>
          </w:tcPr>
          <w:p w14:paraId="7BF0F18B">
            <w:pPr>
              <w:spacing w:line="247" w:lineRule="auto"/>
              <w:rPr>
                <w:rFonts w:ascii="Arial"/>
                <w:sz w:val="21"/>
              </w:rPr>
            </w:pPr>
          </w:p>
          <w:p w14:paraId="574DEB4C">
            <w:pPr>
              <w:spacing w:line="248" w:lineRule="auto"/>
              <w:rPr>
                <w:rFonts w:ascii="Arial"/>
                <w:sz w:val="21"/>
              </w:rPr>
            </w:pPr>
          </w:p>
          <w:p w14:paraId="3C4362C2">
            <w:pPr>
              <w:spacing w:line="248" w:lineRule="auto"/>
              <w:rPr>
                <w:rFonts w:ascii="Arial"/>
                <w:sz w:val="21"/>
              </w:rPr>
            </w:pPr>
          </w:p>
          <w:p w14:paraId="119F6C37">
            <w:pPr>
              <w:spacing w:line="248" w:lineRule="auto"/>
              <w:rPr>
                <w:rFonts w:ascii="Arial"/>
                <w:sz w:val="21"/>
              </w:rPr>
            </w:pPr>
          </w:p>
          <w:p w14:paraId="47B8D44C">
            <w:pPr>
              <w:spacing w:line="248" w:lineRule="auto"/>
              <w:rPr>
                <w:rFonts w:ascii="Arial"/>
                <w:sz w:val="21"/>
              </w:rPr>
            </w:pPr>
          </w:p>
          <w:p w14:paraId="28CE454F">
            <w:pPr>
              <w:spacing w:line="248" w:lineRule="auto"/>
              <w:rPr>
                <w:rFonts w:ascii="Arial"/>
                <w:sz w:val="21"/>
              </w:rPr>
            </w:pPr>
          </w:p>
          <w:p w14:paraId="6EE2C6C2">
            <w:pPr>
              <w:spacing w:line="248" w:lineRule="auto"/>
              <w:rPr>
                <w:rFonts w:ascii="Arial"/>
                <w:sz w:val="21"/>
              </w:rPr>
            </w:pPr>
          </w:p>
          <w:p w14:paraId="470F3B97">
            <w:pPr>
              <w:spacing w:line="248" w:lineRule="auto"/>
              <w:rPr>
                <w:rFonts w:ascii="Arial"/>
                <w:sz w:val="21"/>
              </w:rPr>
            </w:pPr>
          </w:p>
          <w:p w14:paraId="632DA25D">
            <w:pPr>
              <w:spacing w:line="248" w:lineRule="auto"/>
              <w:rPr>
                <w:rFonts w:ascii="Arial"/>
                <w:sz w:val="21"/>
              </w:rPr>
            </w:pPr>
          </w:p>
          <w:p w14:paraId="5F9CE631">
            <w:pPr>
              <w:spacing w:line="248" w:lineRule="auto"/>
              <w:rPr>
                <w:rFonts w:ascii="Arial"/>
                <w:sz w:val="21"/>
              </w:rPr>
            </w:pPr>
          </w:p>
          <w:p w14:paraId="70A49C09">
            <w:pPr>
              <w:spacing w:before="75" w:line="188" w:lineRule="auto"/>
              <w:ind w:left="295"/>
              <w:rPr>
                <w:rFonts w:ascii="宋体" w:hAnsi="宋体" w:eastAsia="宋体" w:cs="宋体"/>
                <w:sz w:val="23"/>
                <w:szCs w:val="23"/>
              </w:rPr>
            </w:pPr>
            <w:r>
              <w:rPr>
                <w:rFonts w:ascii="宋体" w:hAnsi="宋体" w:eastAsia="宋体" w:cs="宋体"/>
                <w:spacing w:val="-4"/>
                <w:sz w:val="23"/>
                <w:szCs w:val="23"/>
              </w:rPr>
              <w:t>59</w:t>
            </w:r>
          </w:p>
        </w:tc>
      </w:tr>
      <w:tr w14:paraId="761C8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4" w:hRule="atLeast"/>
        </w:trPr>
        <w:tc>
          <w:tcPr>
            <w:tcW w:w="818" w:type="dxa"/>
            <w:vMerge w:val="continue"/>
            <w:tcBorders>
              <w:top w:val="nil"/>
              <w:bottom w:val="nil"/>
            </w:tcBorders>
            <w:vAlign w:val="top"/>
          </w:tcPr>
          <w:p w14:paraId="767AED33">
            <w:pPr>
              <w:rPr>
                <w:rFonts w:ascii="Arial"/>
                <w:sz w:val="21"/>
              </w:rPr>
            </w:pPr>
          </w:p>
        </w:tc>
        <w:tc>
          <w:tcPr>
            <w:tcW w:w="1440" w:type="dxa"/>
            <w:vMerge w:val="continue"/>
            <w:tcBorders>
              <w:top w:val="nil"/>
              <w:bottom w:val="nil"/>
            </w:tcBorders>
            <w:vAlign w:val="top"/>
          </w:tcPr>
          <w:p w14:paraId="47CE4522">
            <w:pPr>
              <w:rPr>
                <w:rFonts w:ascii="Arial"/>
                <w:sz w:val="21"/>
              </w:rPr>
            </w:pPr>
          </w:p>
        </w:tc>
        <w:tc>
          <w:tcPr>
            <w:tcW w:w="3202" w:type="dxa"/>
            <w:vMerge w:val="continue"/>
            <w:tcBorders>
              <w:top w:val="nil"/>
              <w:bottom w:val="nil"/>
            </w:tcBorders>
            <w:vAlign w:val="top"/>
          </w:tcPr>
          <w:p w14:paraId="04A7DF36">
            <w:pPr>
              <w:rPr>
                <w:rFonts w:ascii="Arial"/>
                <w:sz w:val="21"/>
              </w:rPr>
            </w:pPr>
          </w:p>
        </w:tc>
        <w:tc>
          <w:tcPr>
            <w:tcW w:w="2859" w:type="dxa"/>
            <w:vMerge w:val="continue"/>
            <w:tcBorders>
              <w:top w:val="nil"/>
              <w:bottom w:val="nil"/>
            </w:tcBorders>
            <w:vAlign w:val="top"/>
          </w:tcPr>
          <w:p w14:paraId="763089DD">
            <w:pPr>
              <w:rPr>
                <w:rFonts w:ascii="Arial"/>
                <w:sz w:val="21"/>
              </w:rPr>
            </w:pPr>
          </w:p>
        </w:tc>
        <w:tc>
          <w:tcPr>
            <w:tcW w:w="803" w:type="dxa"/>
            <w:vAlign w:val="top"/>
          </w:tcPr>
          <w:p w14:paraId="7F64E1C3">
            <w:pPr>
              <w:spacing w:line="332" w:lineRule="auto"/>
              <w:rPr>
                <w:rFonts w:ascii="Arial"/>
                <w:sz w:val="21"/>
              </w:rPr>
            </w:pPr>
          </w:p>
          <w:p w14:paraId="18EBDDBB">
            <w:pPr>
              <w:spacing w:line="332" w:lineRule="auto"/>
              <w:rPr>
                <w:rFonts w:ascii="Arial"/>
                <w:sz w:val="21"/>
              </w:rPr>
            </w:pPr>
          </w:p>
          <w:p w14:paraId="7493C5EB">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0A7955D">
            <w:pPr>
              <w:spacing w:line="443" w:lineRule="auto"/>
              <w:rPr>
                <w:rFonts w:ascii="Arial"/>
                <w:sz w:val="21"/>
              </w:rPr>
            </w:pPr>
          </w:p>
          <w:p w14:paraId="1D19D070">
            <w:pPr>
              <w:pStyle w:val="6"/>
              <w:spacing w:before="99" w:line="197" w:lineRule="auto"/>
              <w:ind w:left="122" w:right="106" w:hanging="5"/>
            </w:pPr>
            <w:r>
              <w:rPr>
                <w:spacing w:val="11"/>
              </w:rPr>
              <w:t>违法所得</w:t>
            </w:r>
            <w:r>
              <w:rPr>
                <w:rFonts w:ascii="宋体" w:hAnsi="宋体" w:eastAsia="宋体" w:cs="宋体"/>
                <w:spacing w:val="11"/>
              </w:rPr>
              <w:t>1</w:t>
            </w:r>
            <w:r>
              <w:rPr>
                <w:spacing w:val="11"/>
              </w:rPr>
              <w:t>万元以</w:t>
            </w:r>
            <w:r>
              <w:t>下的</w:t>
            </w:r>
          </w:p>
        </w:tc>
        <w:tc>
          <w:tcPr>
            <w:tcW w:w="2894" w:type="dxa"/>
            <w:vAlign w:val="top"/>
          </w:tcPr>
          <w:p w14:paraId="4E2EF6B0">
            <w:pPr>
              <w:pStyle w:val="6"/>
              <w:spacing w:before="248" w:line="189" w:lineRule="auto"/>
              <w:ind w:left="122" w:right="106" w:firstLine="4"/>
            </w:pPr>
            <w:r>
              <w:rPr>
                <w:spacing w:val="9"/>
              </w:rPr>
              <w:t>责令立即停止违法行为，</w:t>
            </w:r>
            <w:r>
              <w:rPr>
                <w:spacing w:val="8"/>
              </w:rPr>
              <w:t>没收违法所得，并处违法</w:t>
            </w:r>
            <w:r>
              <w:rPr>
                <w:spacing w:val="4"/>
              </w:rPr>
              <w:t>所得</w:t>
            </w:r>
            <w:r>
              <w:rPr>
                <w:rFonts w:ascii="宋体" w:hAnsi="宋体" w:eastAsia="宋体" w:cs="宋体"/>
                <w:spacing w:val="4"/>
              </w:rPr>
              <w:t>1</w:t>
            </w:r>
            <w:r>
              <w:rPr>
                <w:spacing w:val="4"/>
              </w:rPr>
              <w:t>倍以上</w:t>
            </w:r>
            <w:r>
              <w:rPr>
                <w:rFonts w:ascii="宋体" w:hAnsi="宋体" w:eastAsia="宋体" w:cs="宋体"/>
                <w:spacing w:val="4"/>
              </w:rPr>
              <w:t>3</w:t>
            </w:r>
            <w:r>
              <w:rPr>
                <w:spacing w:val="4"/>
              </w:rPr>
              <w:t>倍以下的</w:t>
            </w:r>
            <w:r>
              <w:rPr>
                <w:spacing w:val="1"/>
              </w:rPr>
              <w:t>罚款</w:t>
            </w:r>
          </w:p>
        </w:tc>
        <w:tc>
          <w:tcPr>
            <w:tcW w:w="811" w:type="dxa"/>
            <w:vMerge w:val="continue"/>
            <w:tcBorders>
              <w:top w:val="nil"/>
              <w:bottom w:val="nil"/>
            </w:tcBorders>
            <w:vAlign w:val="top"/>
          </w:tcPr>
          <w:p w14:paraId="6D9F6AA1">
            <w:pPr>
              <w:rPr>
                <w:rFonts w:ascii="Arial"/>
                <w:sz w:val="21"/>
              </w:rPr>
            </w:pPr>
          </w:p>
        </w:tc>
      </w:tr>
      <w:tr w14:paraId="096B6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8" w:hRule="atLeast"/>
        </w:trPr>
        <w:tc>
          <w:tcPr>
            <w:tcW w:w="818" w:type="dxa"/>
            <w:vMerge w:val="continue"/>
            <w:tcBorders>
              <w:top w:val="nil"/>
            </w:tcBorders>
            <w:vAlign w:val="top"/>
          </w:tcPr>
          <w:p w14:paraId="5C1B2620">
            <w:pPr>
              <w:rPr>
                <w:rFonts w:ascii="Arial"/>
                <w:sz w:val="21"/>
              </w:rPr>
            </w:pPr>
          </w:p>
        </w:tc>
        <w:tc>
          <w:tcPr>
            <w:tcW w:w="1440" w:type="dxa"/>
            <w:vMerge w:val="continue"/>
            <w:tcBorders>
              <w:top w:val="nil"/>
            </w:tcBorders>
            <w:vAlign w:val="top"/>
          </w:tcPr>
          <w:p w14:paraId="0DADAA32">
            <w:pPr>
              <w:rPr>
                <w:rFonts w:ascii="Arial"/>
                <w:sz w:val="21"/>
              </w:rPr>
            </w:pPr>
          </w:p>
        </w:tc>
        <w:tc>
          <w:tcPr>
            <w:tcW w:w="3202" w:type="dxa"/>
            <w:vMerge w:val="continue"/>
            <w:tcBorders>
              <w:top w:val="nil"/>
            </w:tcBorders>
            <w:vAlign w:val="top"/>
          </w:tcPr>
          <w:p w14:paraId="728431B7">
            <w:pPr>
              <w:rPr>
                <w:rFonts w:ascii="Arial"/>
                <w:sz w:val="21"/>
              </w:rPr>
            </w:pPr>
          </w:p>
        </w:tc>
        <w:tc>
          <w:tcPr>
            <w:tcW w:w="2859" w:type="dxa"/>
            <w:vMerge w:val="continue"/>
            <w:tcBorders>
              <w:top w:val="nil"/>
            </w:tcBorders>
            <w:vAlign w:val="top"/>
          </w:tcPr>
          <w:p w14:paraId="0CE3DDE4">
            <w:pPr>
              <w:rPr>
                <w:rFonts w:ascii="Arial"/>
                <w:sz w:val="21"/>
              </w:rPr>
            </w:pPr>
          </w:p>
        </w:tc>
        <w:tc>
          <w:tcPr>
            <w:tcW w:w="803" w:type="dxa"/>
            <w:vAlign w:val="top"/>
          </w:tcPr>
          <w:p w14:paraId="3476AF20">
            <w:pPr>
              <w:spacing w:line="292" w:lineRule="auto"/>
              <w:rPr>
                <w:rFonts w:ascii="Arial"/>
                <w:sz w:val="21"/>
              </w:rPr>
            </w:pPr>
          </w:p>
          <w:p w14:paraId="00807828">
            <w:pPr>
              <w:spacing w:line="292" w:lineRule="auto"/>
              <w:rPr>
                <w:rFonts w:ascii="Arial"/>
                <w:sz w:val="21"/>
              </w:rPr>
            </w:pPr>
          </w:p>
          <w:p w14:paraId="219C37F0">
            <w:pPr>
              <w:spacing w:line="293" w:lineRule="auto"/>
              <w:rPr>
                <w:rFonts w:ascii="Arial"/>
                <w:sz w:val="21"/>
              </w:rPr>
            </w:pPr>
          </w:p>
          <w:p w14:paraId="4ACB0D86">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B8F942D">
            <w:pPr>
              <w:spacing w:line="330" w:lineRule="auto"/>
              <w:rPr>
                <w:rFonts w:ascii="Arial"/>
                <w:sz w:val="21"/>
              </w:rPr>
            </w:pPr>
          </w:p>
          <w:p w14:paraId="7027D41B">
            <w:pPr>
              <w:spacing w:line="331" w:lineRule="auto"/>
              <w:rPr>
                <w:rFonts w:ascii="Arial"/>
                <w:sz w:val="21"/>
              </w:rPr>
            </w:pPr>
          </w:p>
          <w:p w14:paraId="1B47A1A7">
            <w:pPr>
              <w:pStyle w:val="6"/>
              <w:spacing w:before="98" w:line="197" w:lineRule="auto"/>
              <w:ind w:left="122" w:right="106" w:hanging="5"/>
            </w:pPr>
            <w:r>
              <w:rPr>
                <w:spacing w:val="11"/>
              </w:rPr>
              <w:t>违法所得</w:t>
            </w:r>
            <w:r>
              <w:rPr>
                <w:rFonts w:ascii="宋体" w:hAnsi="宋体" w:eastAsia="宋体" w:cs="宋体"/>
                <w:spacing w:val="11"/>
              </w:rPr>
              <w:t>1</w:t>
            </w:r>
            <w:r>
              <w:rPr>
                <w:spacing w:val="11"/>
              </w:rPr>
              <w:t>万元以</w:t>
            </w:r>
            <w:r>
              <w:t>上的</w:t>
            </w:r>
          </w:p>
        </w:tc>
        <w:tc>
          <w:tcPr>
            <w:tcW w:w="2894" w:type="dxa"/>
            <w:vAlign w:val="top"/>
          </w:tcPr>
          <w:p w14:paraId="44D3CEC3">
            <w:pPr>
              <w:spacing w:line="256" w:lineRule="auto"/>
              <w:rPr>
                <w:rFonts w:ascii="Arial"/>
                <w:sz w:val="21"/>
              </w:rPr>
            </w:pPr>
          </w:p>
          <w:p w14:paraId="0D769599">
            <w:pPr>
              <w:spacing w:line="256" w:lineRule="auto"/>
              <w:rPr>
                <w:rFonts w:ascii="Arial"/>
                <w:sz w:val="21"/>
              </w:rPr>
            </w:pPr>
          </w:p>
          <w:p w14:paraId="55FB950F">
            <w:pPr>
              <w:pStyle w:val="6"/>
              <w:spacing w:before="98" w:line="191" w:lineRule="auto"/>
              <w:ind w:left="124" w:right="104" w:firstLine="2"/>
            </w:pPr>
            <w:r>
              <w:rPr>
                <w:spacing w:val="9"/>
              </w:rPr>
              <w:t>责令立即停止违法行为，</w:t>
            </w:r>
            <w:r>
              <w:rPr>
                <w:spacing w:val="4"/>
              </w:rPr>
              <w:t>没收违法所得，并处</w:t>
            </w:r>
            <w:r>
              <w:rPr>
                <w:rFonts w:ascii="宋体" w:hAnsi="宋体" w:eastAsia="宋体" w:cs="宋体"/>
                <w:spacing w:val="4"/>
              </w:rPr>
              <w:t>3</w:t>
            </w:r>
            <w:r>
              <w:rPr>
                <w:spacing w:val="4"/>
              </w:rPr>
              <w:t>万元的罚款</w:t>
            </w:r>
          </w:p>
        </w:tc>
        <w:tc>
          <w:tcPr>
            <w:tcW w:w="811" w:type="dxa"/>
            <w:vMerge w:val="continue"/>
            <w:tcBorders>
              <w:top w:val="nil"/>
            </w:tcBorders>
            <w:vAlign w:val="top"/>
          </w:tcPr>
          <w:p w14:paraId="4AF01B36">
            <w:pPr>
              <w:rPr>
                <w:rFonts w:ascii="Arial"/>
                <w:sz w:val="21"/>
              </w:rPr>
            </w:pPr>
          </w:p>
        </w:tc>
      </w:tr>
    </w:tbl>
    <w:p w14:paraId="4AAE9885">
      <w:pPr>
        <w:pStyle w:val="2"/>
      </w:pPr>
    </w:p>
    <w:p w14:paraId="61145C95">
      <w:pPr>
        <w:sectPr>
          <w:footerReference r:id="rId105" w:type="default"/>
          <w:pgSz w:w="16839" w:h="11906"/>
          <w:pgMar w:top="1012" w:right="821" w:bottom="667" w:left="901" w:header="0" w:footer="388" w:gutter="0"/>
          <w:cols w:space="720" w:num="1"/>
        </w:sectPr>
      </w:pPr>
    </w:p>
    <w:p w14:paraId="4705D337">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0474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79E5EF3">
            <w:pPr>
              <w:spacing w:before="222" w:line="241" w:lineRule="auto"/>
              <w:ind w:left="131"/>
              <w:rPr>
                <w:rFonts w:ascii="黑体" w:hAnsi="黑体" w:eastAsia="黑体" w:cs="黑体"/>
                <w:sz w:val="28"/>
                <w:szCs w:val="28"/>
              </w:rPr>
            </w:pPr>
            <w:bookmarkStart w:id="494" w:name="bookmark522"/>
            <w:bookmarkEnd w:id="494"/>
            <w:bookmarkStart w:id="495" w:name="bookmark179"/>
            <w:bookmarkEnd w:id="495"/>
            <w:r>
              <w:rPr>
                <w:rFonts w:ascii="黑体" w:hAnsi="黑体" w:eastAsia="黑体" w:cs="黑体"/>
                <w:spacing w:val="-2"/>
                <w:sz w:val="28"/>
                <w:szCs w:val="28"/>
              </w:rPr>
              <w:t>序号</w:t>
            </w:r>
          </w:p>
        </w:tc>
        <w:tc>
          <w:tcPr>
            <w:tcW w:w="1440" w:type="dxa"/>
            <w:vAlign w:val="top"/>
          </w:tcPr>
          <w:p w14:paraId="5455829D">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2718C57">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6A7CF88">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DDE7FB9">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1C3DC50">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3EB609F3">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63D2504">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4E87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1" w:hRule="atLeast"/>
        </w:trPr>
        <w:tc>
          <w:tcPr>
            <w:tcW w:w="818" w:type="dxa"/>
            <w:vMerge w:val="restart"/>
            <w:tcBorders>
              <w:bottom w:val="nil"/>
            </w:tcBorders>
            <w:vAlign w:val="top"/>
          </w:tcPr>
          <w:p w14:paraId="6AA94FD3">
            <w:pPr>
              <w:spacing w:line="255" w:lineRule="auto"/>
              <w:rPr>
                <w:rFonts w:ascii="Arial"/>
                <w:sz w:val="21"/>
              </w:rPr>
            </w:pPr>
          </w:p>
          <w:p w14:paraId="64DCED47">
            <w:pPr>
              <w:spacing w:line="255" w:lineRule="auto"/>
              <w:rPr>
                <w:rFonts w:ascii="Arial"/>
                <w:sz w:val="21"/>
              </w:rPr>
            </w:pPr>
          </w:p>
          <w:p w14:paraId="3BC4078E">
            <w:pPr>
              <w:spacing w:line="255" w:lineRule="auto"/>
              <w:rPr>
                <w:rFonts w:ascii="Arial"/>
                <w:sz w:val="21"/>
              </w:rPr>
            </w:pPr>
          </w:p>
          <w:p w14:paraId="157EE423">
            <w:pPr>
              <w:spacing w:line="255" w:lineRule="auto"/>
              <w:rPr>
                <w:rFonts w:ascii="Arial"/>
                <w:sz w:val="21"/>
              </w:rPr>
            </w:pPr>
          </w:p>
          <w:p w14:paraId="730CBDDE">
            <w:pPr>
              <w:spacing w:line="255" w:lineRule="auto"/>
              <w:rPr>
                <w:rFonts w:ascii="Arial"/>
                <w:sz w:val="21"/>
              </w:rPr>
            </w:pPr>
          </w:p>
          <w:p w14:paraId="19EDC487">
            <w:pPr>
              <w:spacing w:line="255" w:lineRule="auto"/>
              <w:rPr>
                <w:rFonts w:ascii="Arial"/>
                <w:sz w:val="21"/>
              </w:rPr>
            </w:pPr>
          </w:p>
          <w:p w14:paraId="6ADAD49B">
            <w:pPr>
              <w:spacing w:line="255" w:lineRule="auto"/>
              <w:rPr>
                <w:rFonts w:ascii="Arial"/>
                <w:sz w:val="21"/>
              </w:rPr>
            </w:pPr>
          </w:p>
          <w:p w14:paraId="0A5EB56C">
            <w:pPr>
              <w:spacing w:line="255" w:lineRule="auto"/>
              <w:rPr>
                <w:rFonts w:ascii="Arial"/>
                <w:sz w:val="21"/>
              </w:rPr>
            </w:pPr>
          </w:p>
          <w:p w14:paraId="4669A75F">
            <w:pPr>
              <w:spacing w:line="255" w:lineRule="auto"/>
              <w:rPr>
                <w:rFonts w:ascii="Arial"/>
                <w:sz w:val="21"/>
              </w:rPr>
            </w:pPr>
          </w:p>
          <w:p w14:paraId="219BCE8E">
            <w:pPr>
              <w:spacing w:line="255" w:lineRule="auto"/>
              <w:rPr>
                <w:rFonts w:ascii="Arial"/>
                <w:sz w:val="21"/>
              </w:rPr>
            </w:pPr>
          </w:p>
          <w:p w14:paraId="418F8D43">
            <w:pPr>
              <w:spacing w:line="255" w:lineRule="auto"/>
              <w:rPr>
                <w:rFonts w:ascii="Arial"/>
                <w:sz w:val="21"/>
              </w:rPr>
            </w:pPr>
          </w:p>
          <w:p w14:paraId="3FC9B46C">
            <w:pPr>
              <w:spacing w:line="256" w:lineRule="auto"/>
              <w:rPr>
                <w:rFonts w:ascii="Arial"/>
                <w:sz w:val="21"/>
              </w:rPr>
            </w:pPr>
          </w:p>
          <w:p w14:paraId="375670A8">
            <w:pPr>
              <w:spacing w:line="256" w:lineRule="auto"/>
              <w:rPr>
                <w:rFonts w:ascii="Arial"/>
                <w:sz w:val="21"/>
              </w:rPr>
            </w:pPr>
          </w:p>
          <w:p w14:paraId="7AD90713">
            <w:pPr>
              <w:spacing w:line="256" w:lineRule="auto"/>
              <w:rPr>
                <w:rFonts w:ascii="Arial"/>
                <w:sz w:val="21"/>
              </w:rPr>
            </w:pPr>
          </w:p>
          <w:p w14:paraId="2F725725">
            <w:pPr>
              <w:spacing w:before="75" w:line="185" w:lineRule="auto"/>
              <w:ind w:left="235"/>
              <w:rPr>
                <w:rFonts w:ascii="仿宋" w:hAnsi="仿宋" w:eastAsia="仿宋" w:cs="仿宋"/>
                <w:sz w:val="23"/>
                <w:szCs w:val="23"/>
              </w:rPr>
            </w:pPr>
            <w:r>
              <w:rPr>
                <w:rFonts w:ascii="仿宋" w:hAnsi="仿宋" w:eastAsia="仿宋" w:cs="仿宋"/>
                <w:spacing w:val="-2"/>
                <w:sz w:val="23"/>
                <w:szCs w:val="23"/>
              </w:rPr>
              <w:t>86</w:t>
            </w:r>
          </w:p>
        </w:tc>
        <w:tc>
          <w:tcPr>
            <w:tcW w:w="1440" w:type="dxa"/>
            <w:vMerge w:val="restart"/>
            <w:tcBorders>
              <w:bottom w:val="nil"/>
            </w:tcBorders>
            <w:vAlign w:val="top"/>
          </w:tcPr>
          <w:p w14:paraId="05C01F7F">
            <w:pPr>
              <w:spacing w:line="251" w:lineRule="auto"/>
              <w:rPr>
                <w:rFonts w:ascii="Arial"/>
                <w:sz w:val="21"/>
              </w:rPr>
            </w:pPr>
          </w:p>
          <w:p w14:paraId="3F8CA1BA">
            <w:pPr>
              <w:spacing w:line="251" w:lineRule="auto"/>
              <w:rPr>
                <w:rFonts w:ascii="Arial"/>
                <w:sz w:val="21"/>
              </w:rPr>
            </w:pPr>
          </w:p>
          <w:p w14:paraId="21392D6D">
            <w:pPr>
              <w:spacing w:line="251" w:lineRule="auto"/>
              <w:rPr>
                <w:rFonts w:ascii="Arial"/>
                <w:sz w:val="21"/>
              </w:rPr>
            </w:pPr>
          </w:p>
          <w:p w14:paraId="4FEBCD20">
            <w:pPr>
              <w:spacing w:line="251" w:lineRule="auto"/>
              <w:rPr>
                <w:rFonts w:ascii="Arial"/>
                <w:sz w:val="21"/>
              </w:rPr>
            </w:pPr>
          </w:p>
          <w:p w14:paraId="481CA5FA">
            <w:pPr>
              <w:spacing w:line="252" w:lineRule="auto"/>
              <w:rPr>
                <w:rFonts w:ascii="Arial"/>
                <w:sz w:val="21"/>
              </w:rPr>
            </w:pPr>
          </w:p>
          <w:p w14:paraId="423E8AE1">
            <w:pPr>
              <w:spacing w:line="252" w:lineRule="auto"/>
              <w:rPr>
                <w:rFonts w:ascii="Arial"/>
                <w:sz w:val="21"/>
              </w:rPr>
            </w:pPr>
          </w:p>
          <w:p w14:paraId="4FF5DE96">
            <w:pPr>
              <w:spacing w:line="252" w:lineRule="auto"/>
              <w:rPr>
                <w:rFonts w:ascii="Arial"/>
                <w:sz w:val="21"/>
              </w:rPr>
            </w:pPr>
          </w:p>
          <w:p w14:paraId="63AC20C8">
            <w:pPr>
              <w:spacing w:line="252" w:lineRule="auto"/>
              <w:rPr>
                <w:rFonts w:ascii="Arial"/>
                <w:sz w:val="21"/>
              </w:rPr>
            </w:pPr>
          </w:p>
          <w:p w14:paraId="4D1B9F0E">
            <w:pPr>
              <w:pStyle w:val="6"/>
              <w:spacing w:before="99" w:line="182" w:lineRule="auto"/>
              <w:ind w:left="129"/>
              <w:outlineLvl w:val="0"/>
            </w:pPr>
            <w:r>
              <w:rPr>
                <w:spacing w:val="8"/>
              </w:rPr>
              <w:t>生产经营单</w:t>
            </w:r>
          </w:p>
          <w:p w14:paraId="6ED98FC6">
            <w:pPr>
              <w:pStyle w:val="6"/>
              <w:spacing w:before="3" w:line="185" w:lineRule="auto"/>
              <w:ind w:left="110" w:right="111" w:firstLine="4"/>
              <w:jc w:val="both"/>
            </w:pPr>
            <w:r>
              <w:rPr>
                <w:spacing w:val="11"/>
              </w:rPr>
              <w:t>位及其有关</w:t>
            </w:r>
            <w:bookmarkStart w:id="496" w:name="bookmark181"/>
            <w:bookmarkEnd w:id="496"/>
            <w:r>
              <w:rPr>
                <w:spacing w:val="12"/>
              </w:rPr>
              <w:t>人员弄虚作</w:t>
            </w:r>
            <w:r>
              <w:rPr>
                <w:spacing w:val="5"/>
              </w:rPr>
              <w:t>假，骗取或</w:t>
            </w:r>
            <w:r>
              <w:rPr>
                <w:spacing w:val="12"/>
              </w:rPr>
              <w:t>者勾结、串通行政审批工作人员取得安全生产许可证书及其他批准文</w:t>
            </w:r>
            <w:r>
              <w:rPr>
                <w:spacing w:val="5"/>
              </w:rPr>
              <w:t>件的</w:t>
            </w:r>
          </w:p>
        </w:tc>
        <w:tc>
          <w:tcPr>
            <w:tcW w:w="3202" w:type="dxa"/>
            <w:vMerge w:val="restart"/>
            <w:tcBorders>
              <w:bottom w:val="nil"/>
            </w:tcBorders>
            <w:vAlign w:val="top"/>
          </w:tcPr>
          <w:p w14:paraId="168DAC01">
            <w:pPr>
              <w:rPr>
                <w:rFonts w:ascii="Arial"/>
                <w:sz w:val="21"/>
              </w:rPr>
            </w:pPr>
          </w:p>
        </w:tc>
        <w:tc>
          <w:tcPr>
            <w:tcW w:w="2859" w:type="dxa"/>
            <w:vMerge w:val="restart"/>
            <w:tcBorders>
              <w:bottom w:val="nil"/>
            </w:tcBorders>
            <w:vAlign w:val="top"/>
          </w:tcPr>
          <w:p w14:paraId="1D7AC447">
            <w:pPr>
              <w:pStyle w:val="6"/>
              <w:spacing w:before="31" w:line="182" w:lineRule="auto"/>
              <w:ind w:left="116" w:right="97" w:hanging="19"/>
              <w:jc w:val="both"/>
            </w:pPr>
            <w:r>
              <w:rPr>
                <w:spacing w:val="10"/>
              </w:rPr>
              <w:t>【部门规章】《安全生产</w:t>
            </w:r>
            <w:r>
              <w:rPr>
                <w:spacing w:val="9"/>
              </w:rPr>
              <w:t>违法行为行政处罚办法》</w:t>
            </w:r>
            <w:r>
              <w:rPr>
                <w:spacing w:val="8"/>
              </w:rPr>
              <w:t>第五十一条第一款、第二款：生产经营单位及其有</w:t>
            </w:r>
          </w:p>
          <w:p w14:paraId="084379DC">
            <w:pPr>
              <w:pStyle w:val="6"/>
              <w:spacing w:line="182" w:lineRule="auto"/>
              <w:ind w:left="124"/>
              <w:outlineLvl w:val="0"/>
            </w:pPr>
            <w:r>
              <w:rPr>
                <w:spacing w:val="7"/>
              </w:rPr>
              <w:t>关人员弄虚作假，骗取或</w:t>
            </w:r>
          </w:p>
          <w:p w14:paraId="6227A74C">
            <w:pPr>
              <w:pStyle w:val="6"/>
              <w:spacing w:before="11" w:line="182" w:lineRule="auto"/>
              <w:ind w:left="98" w:right="38" w:firstLine="21"/>
            </w:pPr>
            <w:r>
              <w:rPr>
                <w:spacing w:val="8"/>
              </w:rPr>
              <w:t>者勾结、串通行政审批工</w:t>
            </w:r>
            <w:r>
              <w:rPr>
                <w:spacing w:val="10"/>
              </w:rPr>
              <w:t>作人员取得安全生产许可</w:t>
            </w:r>
            <w:r>
              <w:rPr>
                <w:spacing w:val="9"/>
              </w:rPr>
              <w:t>证书及其他批准文件的，</w:t>
            </w:r>
            <w:r>
              <w:rPr>
                <w:spacing w:val="3"/>
              </w:rPr>
              <w:t>撤销许可及批准文件，并</w:t>
            </w:r>
            <w:r>
              <w:rPr>
                <w:spacing w:val="9"/>
              </w:rPr>
              <w:t>按照下列规定处以罚款：</w:t>
            </w:r>
            <w:r>
              <w:t>（一）生产经营单位有违</w:t>
            </w:r>
            <w:r>
              <w:rPr>
                <w:spacing w:val="-4"/>
              </w:rPr>
              <w:t>法所得的，没收违法所得，</w:t>
            </w:r>
            <w:r>
              <w:rPr>
                <w:spacing w:val="8"/>
              </w:rPr>
              <w:t>并处违法所得</w:t>
            </w:r>
            <w:r>
              <w:rPr>
                <w:rFonts w:ascii="宋体" w:hAnsi="宋体" w:eastAsia="宋体" w:cs="宋体"/>
                <w:spacing w:val="8"/>
              </w:rPr>
              <w:t>1</w:t>
            </w:r>
            <w:r>
              <w:rPr>
                <w:spacing w:val="8"/>
              </w:rPr>
              <w:t>倍以上</w:t>
            </w:r>
            <w:r>
              <w:rPr>
                <w:rFonts w:ascii="宋体" w:hAnsi="宋体" w:eastAsia="宋体" w:cs="宋体"/>
                <w:spacing w:val="8"/>
              </w:rPr>
              <w:t>3</w:t>
            </w:r>
            <w:r>
              <w:rPr>
                <w:spacing w:val="10"/>
              </w:rPr>
              <w:t>倍以下的罚款，但是最高</w:t>
            </w:r>
            <w:r>
              <w:rPr>
                <w:spacing w:val="6"/>
              </w:rPr>
              <w:t>不得超过</w:t>
            </w:r>
            <w:r>
              <w:rPr>
                <w:rFonts w:ascii="宋体" w:hAnsi="宋体" w:eastAsia="宋体" w:cs="宋体"/>
                <w:spacing w:val="6"/>
              </w:rPr>
              <w:t>3</w:t>
            </w:r>
            <w:r>
              <w:rPr>
                <w:spacing w:val="6"/>
              </w:rPr>
              <w:t>万元；没有违</w:t>
            </w:r>
            <w:r>
              <w:rPr>
                <w:spacing w:val="4"/>
              </w:rPr>
              <w:t>法所得的，并处</w:t>
            </w:r>
            <w:r>
              <w:rPr>
                <w:rFonts w:ascii="宋体" w:hAnsi="宋体" w:eastAsia="宋体" w:cs="宋体"/>
                <w:spacing w:val="4"/>
              </w:rPr>
              <w:t>5</w:t>
            </w:r>
            <w:r>
              <w:rPr>
                <w:spacing w:val="4"/>
              </w:rPr>
              <w:t>千元以</w:t>
            </w:r>
            <w:r>
              <w:rPr>
                <w:spacing w:val="17"/>
              </w:rPr>
              <w:t>上</w:t>
            </w:r>
            <w:r>
              <w:rPr>
                <w:rFonts w:ascii="宋体" w:hAnsi="宋体" w:eastAsia="宋体" w:cs="宋体"/>
                <w:spacing w:val="17"/>
              </w:rPr>
              <w:t>1</w:t>
            </w:r>
            <w:r>
              <w:rPr>
                <w:spacing w:val="17"/>
              </w:rPr>
              <w:t>万元以下的罚款；</w:t>
            </w:r>
            <w:r>
              <w:rPr>
                <w:spacing w:val="5"/>
              </w:rPr>
              <w:t>（二）对有关人员处</w:t>
            </w:r>
            <w:r>
              <w:rPr>
                <w:rFonts w:ascii="宋体" w:hAnsi="宋体" w:eastAsia="宋体" w:cs="宋体"/>
                <w:spacing w:val="5"/>
              </w:rPr>
              <w:t>1</w:t>
            </w:r>
            <w:r>
              <w:rPr>
                <w:spacing w:val="5"/>
              </w:rPr>
              <w:t>千</w:t>
            </w:r>
            <w:r>
              <w:rPr>
                <w:spacing w:val="20"/>
              </w:rPr>
              <w:t>元以上</w:t>
            </w:r>
            <w:r>
              <w:rPr>
                <w:rFonts w:ascii="宋体" w:hAnsi="宋体" w:eastAsia="宋体" w:cs="宋体"/>
                <w:spacing w:val="20"/>
              </w:rPr>
              <w:t>1</w:t>
            </w:r>
            <w:r>
              <w:rPr>
                <w:spacing w:val="20"/>
              </w:rPr>
              <w:t>万元以下的罚</w:t>
            </w:r>
            <w:r>
              <w:rPr>
                <w:spacing w:val="-3"/>
              </w:rPr>
              <w:t>款。</w:t>
            </w:r>
          </w:p>
          <w:p w14:paraId="5D1AC04B">
            <w:pPr>
              <w:pStyle w:val="6"/>
              <w:spacing w:line="189" w:lineRule="auto"/>
              <w:ind w:left="117" w:right="110" w:firstLine="5"/>
              <w:jc w:val="both"/>
            </w:pPr>
            <w:r>
              <w:rPr>
                <w:spacing w:val="8"/>
              </w:rPr>
              <w:t>有前款规定违法行为的生产经营单位及其有关人员</w:t>
            </w:r>
            <w:r>
              <w:rPr>
                <w:spacing w:val="5"/>
              </w:rPr>
              <w:t>在</w:t>
            </w:r>
            <w:r>
              <w:rPr>
                <w:rFonts w:ascii="宋体" w:hAnsi="宋体" w:eastAsia="宋体" w:cs="宋体"/>
                <w:spacing w:val="5"/>
              </w:rPr>
              <w:t>3</w:t>
            </w:r>
            <w:r>
              <w:rPr>
                <w:spacing w:val="5"/>
              </w:rPr>
              <w:t>年内不得再次申请该</w:t>
            </w:r>
            <w:r>
              <w:t>行政许可。</w:t>
            </w:r>
          </w:p>
        </w:tc>
        <w:tc>
          <w:tcPr>
            <w:tcW w:w="803" w:type="dxa"/>
            <w:vAlign w:val="top"/>
          </w:tcPr>
          <w:p w14:paraId="30818600">
            <w:pPr>
              <w:spacing w:line="299" w:lineRule="auto"/>
              <w:rPr>
                <w:rFonts w:ascii="Arial"/>
                <w:sz w:val="21"/>
              </w:rPr>
            </w:pPr>
          </w:p>
          <w:p w14:paraId="63C3B71D">
            <w:pPr>
              <w:spacing w:line="299" w:lineRule="auto"/>
              <w:rPr>
                <w:rFonts w:ascii="Arial"/>
                <w:sz w:val="21"/>
              </w:rPr>
            </w:pPr>
          </w:p>
          <w:p w14:paraId="1F3BDB28">
            <w:pPr>
              <w:spacing w:line="300" w:lineRule="auto"/>
              <w:rPr>
                <w:rFonts w:ascii="Arial"/>
                <w:sz w:val="21"/>
              </w:rPr>
            </w:pPr>
          </w:p>
          <w:p w14:paraId="73B36FA2">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7B8C105">
            <w:pPr>
              <w:spacing w:line="277" w:lineRule="auto"/>
              <w:rPr>
                <w:rFonts w:ascii="Arial"/>
                <w:sz w:val="21"/>
              </w:rPr>
            </w:pPr>
          </w:p>
          <w:p w14:paraId="7DE2940B">
            <w:pPr>
              <w:spacing w:line="278" w:lineRule="auto"/>
              <w:rPr>
                <w:rFonts w:ascii="Arial"/>
                <w:sz w:val="21"/>
              </w:rPr>
            </w:pPr>
          </w:p>
          <w:p w14:paraId="6F42A6A3">
            <w:pPr>
              <w:spacing w:line="278" w:lineRule="auto"/>
              <w:rPr>
                <w:rFonts w:ascii="Arial"/>
                <w:sz w:val="21"/>
              </w:rPr>
            </w:pPr>
          </w:p>
          <w:p w14:paraId="0D267FD5">
            <w:pPr>
              <w:pStyle w:val="6"/>
              <w:spacing w:before="99" w:line="209" w:lineRule="auto"/>
              <w:ind w:left="127"/>
            </w:pPr>
            <w:r>
              <w:rPr>
                <w:spacing w:val="6"/>
              </w:rPr>
              <w:t>没有违法所得的</w:t>
            </w:r>
          </w:p>
        </w:tc>
        <w:tc>
          <w:tcPr>
            <w:tcW w:w="2894" w:type="dxa"/>
            <w:vAlign w:val="top"/>
          </w:tcPr>
          <w:p w14:paraId="68ECE527">
            <w:pPr>
              <w:pStyle w:val="6"/>
              <w:spacing w:before="336" w:line="188" w:lineRule="auto"/>
              <w:ind w:left="118" w:right="104" w:hanging="2"/>
              <w:jc w:val="both"/>
            </w:pPr>
            <w:r>
              <w:rPr>
                <w:spacing w:val="8"/>
              </w:rPr>
              <w:t>撤销许可及批准文件，并</w:t>
            </w:r>
            <w:r>
              <w:rPr>
                <w:spacing w:val="2"/>
              </w:rPr>
              <w:t>处</w:t>
            </w:r>
            <w:r>
              <w:rPr>
                <w:rFonts w:ascii="宋体" w:hAnsi="宋体" w:eastAsia="宋体" w:cs="宋体"/>
                <w:spacing w:val="2"/>
              </w:rPr>
              <w:t>5</w:t>
            </w:r>
            <w:r>
              <w:rPr>
                <w:spacing w:val="2"/>
              </w:rPr>
              <w:t>千元以上</w:t>
            </w:r>
            <w:r>
              <w:rPr>
                <w:rFonts w:ascii="宋体" w:hAnsi="宋体" w:eastAsia="宋体" w:cs="宋体"/>
                <w:spacing w:val="2"/>
              </w:rPr>
              <w:t>1</w:t>
            </w:r>
            <w:r>
              <w:rPr>
                <w:spacing w:val="2"/>
              </w:rPr>
              <w:t>万元以下</w:t>
            </w:r>
            <w:r>
              <w:rPr>
                <w:spacing w:val="9"/>
              </w:rPr>
              <w:t>的罚款，对有关人员处</w:t>
            </w:r>
            <w:r>
              <w:rPr>
                <w:rFonts w:ascii="宋体" w:hAnsi="宋体" w:eastAsia="宋体" w:cs="宋体"/>
                <w:spacing w:val="9"/>
              </w:rPr>
              <w:t>1</w:t>
            </w:r>
            <w:r>
              <w:rPr>
                <w:spacing w:val="5"/>
              </w:rPr>
              <w:t>千元以上</w:t>
            </w:r>
            <w:r>
              <w:rPr>
                <w:rFonts w:ascii="宋体" w:hAnsi="宋体" w:eastAsia="宋体" w:cs="宋体"/>
                <w:spacing w:val="5"/>
              </w:rPr>
              <w:t>1</w:t>
            </w:r>
            <w:r>
              <w:rPr>
                <w:spacing w:val="5"/>
              </w:rPr>
              <w:t>万元以下的罚</w:t>
            </w:r>
            <w:r>
              <w:t>款</w:t>
            </w:r>
          </w:p>
        </w:tc>
        <w:tc>
          <w:tcPr>
            <w:tcW w:w="811" w:type="dxa"/>
            <w:vMerge w:val="restart"/>
            <w:tcBorders>
              <w:bottom w:val="nil"/>
            </w:tcBorders>
            <w:vAlign w:val="top"/>
          </w:tcPr>
          <w:p w14:paraId="1A371D8E">
            <w:pPr>
              <w:spacing w:line="255" w:lineRule="auto"/>
              <w:rPr>
                <w:rFonts w:ascii="Arial"/>
                <w:sz w:val="21"/>
              </w:rPr>
            </w:pPr>
          </w:p>
          <w:p w14:paraId="0FEC41B5">
            <w:pPr>
              <w:spacing w:line="255" w:lineRule="auto"/>
              <w:rPr>
                <w:rFonts w:ascii="Arial"/>
                <w:sz w:val="21"/>
              </w:rPr>
            </w:pPr>
          </w:p>
          <w:p w14:paraId="710FC12A">
            <w:pPr>
              <w:spacing w:line="255" w:lineRule="auto"/>
              <w:rPr>
                <w:rFonts w:ascii="Arial"/>
                <w:sz w:val="21"/>
              </w:rPr>
            </w:pPr>
          </w:p>
          <w:p w14:paraId="0A11E048">
            <w:pPr>
              <w:spacing w:line="255" w:lineRule="auto"/>
              <w:rPr>
                <w:rFonts w:ascii="Arial"/>
                <w:sz w:val="21"/>
              </w:rPr>
            </w:pPr>
          </w:p>
          <w:p w14:paraId="78212FDF">
            <w:pPr>
              <w:spacing w:line="255" w:lineRule="auto"/>
              <w:rPr>
                <w:rFonts w:ascii="Arial"/>
                <w:sz w:val="21"/>
              </w:rPr>
            </w:pPr>
          </w:p>
          <w:p w14:paraId="62BED2C3">
            <w:pPr>
              <w:spacing w:line="255" w:lineRule="auto"/>
              <w:rPr>
                <w:rFonts w:ascii="Arial"/>
                <w:sz w:val="21"/>
              </w:rPr>
            </w:pPr>
          </w:p>
          <w:p w14:paraId="5CBA41D5">
            <w:pPr>
              <w:spacing w:line="255" w:lineRule="auto"/>
              <w:rPr>
                <w:rFonts w:ascii="Arial"/>
                <w:sz w:val="21"/>
              </w:rPr>
            </w:pPr>
          </w:p>
          <w:p w14:paraId="189E9C20">
            <w:pPr>
              <w:spacing w:line="255" w:lineRule="auto"/>
              <w:rPr>
                <w:rFonts w:ascii="Arial"/>
                <w:sz w:val="21"/>
              </w:rPr>
            </w:pPr>
          </w:p>
          <w:p w14:paraId="456EC4FA">
            <w:pPr>
              <w:spacing w:line="255" w:lineRule="auto"/>
              <w:rPr>
                <w:rFonts w:ascii="Arial"/>
                <w:sz w:val="21"/>
              </w:rPr>
            </w:pPr>
          </w:p>
          <w:p w14:paraId="105FDF73">
            <w:pPr>
              <w:spacing w:line="255" w:lineRule="auto"/>
              <w:rPr>
                <w:rFonts w:ascii="Arial"/>
                <w:sz w:val="21"/>
              </w:rPr>
            </w:pPr>
          </w:p>
          <w:p w14:paraId="57677E51">
            <w:pPr>
              <w:spacing w:line="255" w:lineRule="auto"/>
              <w:rPr>
                <w:rFonts w:ascii="Arial"/>
                <w:sz w:val="21"/>
              </w:rPr>
            </w:pPr>
          </w:p>
          <w:p w14:paraId="2C9D4B0B">
            <w:pPr>
              <w:spacing w:line="255" w:lineRule="auto"/>
              <w:rPr>
                <w:rFonts w:ascii="Arial"/>
                <w:sz w:val="21"/>
              </w:rPr>
            </w:pPr>
          </w:p>
          <w:p w14:paraId="0607F316">
            <w:pPr>
              <w:spacing w:line="255" w:lineRule="auto"/>
              <w:rPr>
                <w:rFonts w:ascii="Arial"/>
                <w:sz w:val="21"/>
              </w:rPr>
            </w:pPr>
          </w:p>
          <w:p w14:paraId="386E4465">
            <w:pPr>
              <w:spacing w:line="255" w:lineRule="auto"/>
              <w:rPr>
                <w:rFonts w:ascii="Arial"/>
                <w:sz w:val="21"/>
              </w:rPr>
            </w:pPr>
          </w:p>
          <w:p w14:paraId="31FF3367">
            <w:pPr>
              <w:spacing w:before="74" w:line="188" w:lineRule="auto"/>
              <w:ind w:left="292"/>
              <w:rPr>
                <w:rFonts w:ascii="宋体" w:hAnsi="宋体" w:eastAsia="宋体" w:cs="宋体"/>
                <w:sz w:val="23"/>
                <w:szCs w:val="23"/>
              </w:rPr>
            </w:pPr>
            <w:r>
              <w:rPr>
                <w:rFonts w:ascii="宋体" w:hAnsi="宋体" w:eastAsia="宋体" w:cs="宋体"/>
                <w:spacing w:val="-3"/>
                <w:sz w:val="23"/>
                <w:szCs w:val="23"/>
              </w:rPr>
              <w:t>60</w:t>
            </w:r>
          </w:p>
        </w:tc>
      </w:tr>
      <w:tr w14:paraId="25429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9" w:hRule="atLeast"/>
        </w:trPr>
        <w:tc>
          <w:tcPr>
            <w:tcW w:w="818" w:type="dxa"/>
            <w:vMerge w:val="continue"/>
            <w:tcBorders>
              <w:top w:val="nil"/>
              <w:bottom w:val="nil"/>
            </w:tcBorders>
            <w:vAlign w:val="top"/>
          </w:tcPr>
          <w:p w14:paraId="73A23134">
            <w:pPr>
              <w:rPr>
                <w:rFonts w:ascii="Arial"/>
                <w:sz w:val="21"/>
              </w:rPr>
            </w:pPr>
          </w:p>
        </w:tc>
        <w:tc>
          <w:tcPr>
            <w:tcW w:w="1440" w:type="dxa"/>
            <w:vMerge w:val="continue"/>
            <w:tcBorders>
              <w:top w:val="nil"/>
              <w:bottom w:val="nil"/>
            </w:tcBorders>
            <w:vAlign w:val="top"/>
          </w:tcPr>
          <w:p w14:paraId="5004CEA1">
            <w:pPr>
              <w:rPr>
                <w:rFonts w:ascii="Arial"/>
                <w:sz w:val="21"/>
              </w:rPr>
            </w:pPr>
          </w:p>
        </w:tc>
        <w:tc>
          <w:tcPr>
            <w:tcW w:w="3202" w:type="dxa"/>
            <w:vMerge w:val="continue"/>
            <w:tcBorders>
              <w:top w:val="nil"/>
              <w:bottom w:val="nil"/>
            </w:tcBorders>
            <w:vAlign w:val="top"/>
          </w:tcPr>
          <w:p w14:paraId="37E49AD3">
            <w:pPr>
              <w:rPr>
                <w:rFonts w:ascii="Arial"/>
                <w:sz w:val="21"/>
              </w:rPr>
            </w:pPr>
          </w:p>
        </w:tc>
        <w:tc>
          <w:tcPr>
            <w:tcW w:w="2859" w:type="dxa"/>
            <w:vMerge w:val="continue"/>
            <w:tcBorders>
              <w:top w:val="nil"/>
              <w:bottom w:val="nil"/>
            </w:tcBorders>
            <w:vAlign w:val="top"/>
          </w:tcPr>
          <w:p w14:paraId="1856177B">
            <w:pPr>
              <w:rPr>
                <w:rFonts w:ascii="Arial"/>
                <w:sz w:val="21"/>
              </w:rPr>
            </w:pPr>
          </w:p>
        </w:tc>
        <w:tc>
          <w:tcPr>
            <w:tcW w:w="803" w:type="dxa"/>
            <w:vAlign w:val="top"/>
          </w:tcPr>
          <w:p w14:paraId="72EBF88F">
            <w:pPr>
              <w:spacing w:line="291" w:lineRule="auto"/>
              <w:rPr>
                <w:rFonts w:ascii="Arial"/>
                <w:sz w:val="21"/>
              </w:rPr>
            </w:pPr>
          </w:p>
          <w:p w14:paraId="0204501F">
            <w:pPr>
              <w:spacing w:line="291" w:lineRule="auto"/>
              <w:rPr>
                <w:rFonts w:ascii="Arial"/>
                <w:sz w:val="21"/>
              </w:rPr>
            </w:pPr>
          </w:p>
          <w:p w14:paraId="4FB1828F">
            <w:pPr>
              <w:spacing w:line="291" w:lineRule="auto"/>
              <w:rPr>
                <w:rFonts w:ascii="Arial"/>
                <w:sz w:val="21"/>
              </w:rPr>
            </w:pPr>
          </w:p>
          <w:p w14:paraId="5DD120E7">
            <w:pPr>
              <w:spacing w:line="291" w:lineRule="auto"/>
              <w:rPr>
                <w:rFonts w:ascii="Arial"/>
                <w:sz w:val="21"/>
              </w:rPr>
            </w:pPr>
          </w:p>
          <w:p w14:paraId="492C3509">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B8DDCA1">
            <w:pPr>
              <w:spacing w:line="314" w:lineRule="auto"/>
              <w:rPr>
                <w:rFonts w:ascii="Arial"/>
                <w:sz w:val="21"/>
              </w:rPr>
            </w:pPr>
          </w:p>
          <w:p w14:paraId="31709A82">
            <w:pPr>
              <w:spacing w:line="315" w:lineRule="auto"/>
              <w:rPr>
                <w:rFonts w:ascii="Arial"/>
                <w:sz w:val="21"/>
              </w:rPr>
            </w:pPr>
          </w:p>
          <w:p w14:paraId="49427518">
            <w:pPr>
              <w:spacing w:line="315" w:lineRule="auto"/>
              <w:rPr>
                <w:rFonts w:ascii="Arial"/>
                <w:sz w:val="21"/>
              </w:rPr>
            </w:pPr>
          </w:p>
          <w:p w14:paraId="765E7DD7">
            <w:pPr>
              <w:pStyle w:val="6"/>
              <w:spacing w:before="99" w:line="197" w:lineRule="auto"/>
              <w:ind w:left="122" w:right="106" w:hanging="5"/>
            </w:pPr>
            <w:r>
              <w:rPr>
                <w:spacing w:val="11"/>
              </w:rPr>
              <w:t>违法所得</w:t>
            </w:r>
            <w:r>
              <w:rPr>
                <w:rFonts w:ascii="宋体" w:hAnsi="宋体" w:eastAsia="宋体" w:cs="宋体"/>
                <w:spacing w:val="11"/>
              </w:rPr>
              <w:t>1</w:t>
            </w:r>
            <w:r>
              <w:rPr>
                <w:spacing w:val="11"/>
              </w:rPr>
              <w:t>万元以</w:t>
            </w:r>
            <w:r>
              <w:t>下的</w:t>
            </w:r>
          </w:p>
        </w:tc>
        <w:tc>
          <w:tcPr>
            <w:tcW w:w="2894" w:type="dxa"/>
            <w:vAlign w:val="top"/>
          </w:tcPr>
          <w:p w14:paraId="14D9B6D1">
            <w:pPr>
              <w:spacing w:line="249" w:lineRule="auto"/>
              <w:rPr>
                <w:rFonts w:ascii="Arial"/>
                <w:sz w:val="21"/>
              </w:rPr>
            </w:pPr>
          </w:p>
          <w:p w14:paraId="164D458A">
            <w:pPr>
              <w:spacing w:line="249" w:lineRule="auto"/>
              <w:rPr>
                <w:rFonts w:ascii="Arial"/>
                <w:sz w:val="21"/>
              </w:rPr>
            </w:pPr>
          </w:p>
          <w:p w14:paraId="4FDE11D5">
            <w:pPr>
              <w:pStyle w:val="6"/>
              <w:spacing w:before="98" w:line="188" w:lineRule="auto"/>
              <w:ind w:left="120" w:right="103" w:hanging="4"/>
              <w:jc w:val="both"/>
            </w:pPr>
            <w:r>
              <w:rPr>
                <w:spacing w:val="8"/>
              </w:rPr>
              <w:t>撤销许可及批准文件，没</w:t>
            </w:r>
            <w:r>
              <w:rPr>
                <w:spacing w:val="7"/>
              </w:rPr>
              <w:t>收违法所得，并处违法所</w:t>
            </w:r>
            <w:r>
              <w:rPr>
                <w:spacing w:val="4"/>
              </w:rPr>
              <w:t>得</w:t>
            </w:r>
            <w:r>
              <w:rPr>
                <w:rFonts w:ascii="宋体" w:hAnsi="宋体" w:eastAsia="宋体" w:cs="宋体"/>
                <w:spacing w:val="4"/>
              </w:rPr>
              <w:t>1</w:t>
            </w:r>
            <w:r>
              <w:rPr>
                <w:spacing w:val="4"/>
              </w:rPr>
              <w:t>倍以上</w:t>
            </w:r>
            <w:r>
              <w:rPr>
                <w:rFonts w:ascii="宋体" w:hAnsi="宋体" w:eastAsia="宋体" w:cs="宋体"/>
                <w:spacing w:val="4"/>
              </w:rPr>
              <w:t>3</w:t>
            </w:r>
            <w:r>
              <w:rPr>
                <w:spacing w:val="4"/>
              </w:rPr>
              <w:t>倍以下的罚</w:t>
            </w:r>
            <w:r>
              <w:rPr>
                <w:spacing w:val="3"/>
              </w:rPr>
              <w:t>款，对有关人员处</w:t>
            </w:r>
            <w:r>
              <w:rPr>
                <w:rFonts w:ascii="宋体" w:hAnsi="宋体" w:eastAsia="宋体" w:cs="宋体"/>
                <w:spacing w:val="3"/>
              </w:rPr>
              <w:t>1</w:t>
            </w:r>
            <w:r>
              <w:rPr>
                <w:spacing w:val="3"/>
              </w:rPr>
              <w:t>千元</w:t>
            </w:r>
            <w:r>
              <w:rPr>
                <w:spacing w:val="2"/>
              </w:rPr>
              <w:t>以上</w:t>
            </w:r>
            <w:r>
              <w:rPr>
                <w:rFonts w:ascii="宋体" w:hAnsi="宋体" w:eastAsia="宋体" w:cs="宋体"/>
                <w:spacing w:val="2"/>
              </w:rPr>
              <w:t>1</w:t>
            </w:r>
            <w:r>
              <w:rPr>
                <w:spacing w:val="2"/>
              </w:rPr>
              <w:t>万元以下的罚款</w:t>
            </w:r>
          </w:p>
        </w:tc>
        <w:tc>
          <w:tcPr>
            <w:tcW w:w="811" w:type="dxa"/>
            <w:vMerge w:val="continue"/>
            <w:tcBorders>
              <w:top w:val="nil"/>
              <w:bottom w:val="nil"/>
            </w:tcBorders>
            <w:vAlign w:val="top"/>
          </w:tcPr>
          <w:p w14:paraId="5EC19FED">
            <w:pPr>
              <w:rPr>
                <w:rFonts w:ascii="Arial"/>
                <w:sz w:val="21"/>
              </w:rPr>
            </w:pPr>
          </w:p>
        </w:tc>
      </w:tr>
      <w:tr w14:paraId="42E2A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0" w:hRule="atLeast"/>
        </w:trPr>
        <w:tc>
          <w:tcPr>
            <w:tcW w:w="818" w:type="dxa"/>
            <w:vMerge w:val="continue"/>
            <w:tcBorders>
              <w:top w:val="nil"/>
            </w:tcBorders>
            <w:vAlign w:val="top"/>
          </w:tcPr>
          <w:p w14:paraId="343FA844">
            <w:pPr>
              <w:rPr>
                <w:rFonts w:ascii="Arial"/>
                <w:sz w:val="21"/>
              </w:rPr>
            </w:pPr>
          </w:p>
        </w:tc>
        <w:tc>
          <w:tcPr>
            <w:tcW w:w="1440" w:type="dxa"/>
            <w:vMerge w:val="continue"/>
            <w:tcBorders>
              <w:top w:val="nil"/>
            </w:tcBorders>
            <w:vAlign w:val="top"/>
          </w:tcPr>
          <w:p w14:paraId="338B0F13">
            <w:pPr>
              <w:rPr>
                <w:rFonts w:ascii="Arial"/>
                <w:sz w:val="21"/>
              </w:rPr>
            </w:pPr>
          </w:p>
        </w:tc>
        <w:tc>
          <w:tcPr>
            <w:tcW w:w="3202" w:type="dxa"/>
            <w:vMerge w:val="continue"/>
            <w:tcBorders>
              <w:top w:val="nil"/>
            </w:tcBorders>
            <w:vAlign w:val="top"/>
          </w:tcPr>
          <w:p w14:paraId="11EEDBC0">
            <w:pPr>
              <w:rPr>
                <w:rFonts w:ascii="Arial"/>
                <w:sz w:val="21"/>
              </w:rPr>
            </w:pPr>
          </w:p>
        </w:tc>
        <w:tc>
          <w:tcPr>
            <w:tcW w:w="2859" w:type="dxa"/>
            <w:vMerge w:val="continue"/>
            <w:tcBorders>
              <w:top w:val="nil"/>
            </w:tcBorders>
            <w:vAlign w:val="top"/>
          </w:tcPr>
          <w:p w14:paraId="50F198FE">
            <w:pPr>
              <w:rPr>
                <w:rFonts w:ascii="Arial"/>
                <w:sz w:val="21"/>
              </w:rPr>
            </w:pPr>
          </w:p>
        </w:tc>
        <w:tc>
          <w:tcPr>
            <w:tcW w:w="803" w:type="dxa"/>
            <w:vAlign w:val="top"/>
          </w:tcPr>
          <w:p w14:paraId="4294FC13">
            <w:pPr>
              <w:spacing w:line="299" w:lineRule="auto"/>
              <w:rPr>
                <w:rFonts w:ascii="Arial"/>
                <w:sz w:val="21"/>
              </w:rPr>
            </w:pPr>
          </w:p>
          <w:p w14:paraId="6C2D5E29">
            <w:pPr>
              <w:spacing w:line="299" w:lineRule="auto"/>
              <w:rPr>
                <w:rFonts w:ascii="Arial"/>
                <w:sz w:val="21"/>
              </w:rPr>
            </w:pPr>
          </w:p>
          <w:p w14:paraId="7BF10E15">
            <w:pPr>
              <w:spacing w:line="299" w:lineRule="auto"/>
              <w:rPr>
                <w:rFonts w:ascii="Arial"/>
                <w:sz w:val="21"/>
              </w:rPr>
            </w:pPr>
          </w:p>
          <w:p w14:paraId="03C1113F">
            <w:pPr>
              <w:spacing w:line="300" w:lineRule="auto"/>
              <w:rPr>
                <w:rFonts w:ascii="Arial"/>
                <w:sz w:val="21"/>
              </w:rPr>
            </w:pPr>
          </w:p>
          <w:p w14:paraId="2287E6A6">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319C179">
            <w:pPr>
              <w:spacing w:line="245" w:lineRule="auto"/>
              <w:rPr>
                <w:rFonts w:ascii="Arial"/>
                <w:sz w:val="21"/>
              </w:rPr>
            </w:pPr>
          </w:p>
          <w:p w14:paraId="7DAE79CE">
            <w:pPr>
              <w:spacing w:line="245" w:lineRule="auto"/>
              <w:rPr>
                <w:rFonts w:ascii="Arial"/>
                <w:sz w:val="21"/>
              </w:rPr>
            </w:pPr>
          </w:p>
          <w:p w14:paraId="43543687">
            <w:pPr>
              <w:spacing w:line="245" w:lineRule="auto"/>
              <w:rPr>
                <w:rFonts w:ascii="Arial"/>
                <w:sz w:val="21"/>
              </w:rPr>
            </w:pPr>
          </w:p>
          <w:p w14:paraId="5CDDC4B1">
            <w:pPr>
              <w:spacing w:line="245" w:lineRule="auto"/>
              <w:rPr>
                <w:rFonts w:ascii="Arial"/>
                <w:sz w:val="21"/>
              </w:rPr>
            </w:pPr>
          </w:p>
          <w:p w14:paraId="399D821F">
            <w:pPr>
              <w:pStyle w:val="6"/>
              <w:spacing w:before="99" w:line="197" w:lineRule="auto"/>
              <w:ind w:left="122" w:right="106" w:hanging="5"/>
            </w:pPr>
            <w:r>
              <w:rPr>
                <w:spacing w:val="11"/>
              </w:rPr>
              <w:t>违法所得</w:t>
            </w:r>
            <w:r>
              <w:rPr>
                <w:rFonts w:ascii="宋体" w:hAnsi="宋体" w:eastAsia="宋体" w:cs="宋体"/>
                <w:spacing w:val="11"/>
              </w:rPr>
              <w:t>1</w:t>
            </w:r>
            <w:r>
              <w:rPr>
                <w:spacing w:val="11"/>
              </w:rPr>
              <w:t>万元以</w:t>
            </w:r>
            <w:r>
              <w:t>上的</w:t>
            </w:r>
          </w:p>
        </w:tc>
        <w:tc>
          <w:tcPr>
            <w:tcW w:w="2894" w:type="dxa"/>
            <w:vAlign w:val="top"/>
          </w:tcPr>
          <w:p w14:paraId="35B08ED5">
            <w:pPr>
              <w:spacing w:line="265" w:lineRule="auto"/>
              <w:rPr>
                <w:rFonts w:ascii="Arial"/>
                <w:sz w:val="21"/>
              </w:rPr>
            </w:pPr>
          </w:p>
          <w:p w14:paraId="08295BAD">
            <w:pPr>
              <w:spacing w:line="265" w:lineRule="auto"/>
              <w:rPr>
                <w:rFonts w:ascii="Arial"/>
                <w:sz w:val="21"/>
              </w:rPr>
            </w:pPr>
          </w:p>
          <w:p w14:paraId="06A099F5">
            <w:pPr>
              <w:pStyle w:val="6"/>
              <w:spacing w:before="98" w:line="188" w:lineRule="auto"/>
              <w:ind w:left="122" w:right="103" w:hanging="6"/>
              <w:jc w:val="both"/>
            </w:pPr>
            <w:r>
              <w:rPr>
                <w:spacing w:val="8"/>
              </w:rPr>
              <w:t>撤销许可及批准文件，没</w:t>
            </w:r>
            <w:r>
              <w:rPr>
                <w:spacing w:val="4"/>
              </w:rPr>
              <w:t>收违法所得，并处</w:t>
            </w:r>
            <w:r>
              <w:rPr>
                <w:rFonts w:ascii="宋体" w:hAnsi="宋体" w:eastAsia="宋体" w:cs="宋体"/>
                <w:spacing w:val="4"/>
              </w:rPr>
              <w:t>3</w:t>
            </w:r>
            <w:r>
              <w:rPr>
                <w:spacing w:val="4"/>
              </w:rPr>
              <w:t>万元</w:t>
            </w:r>
            <w:r>
              <w:rPr>
                <w:spacing w:val="8"/>
              </w:rPr>
              <w:t>的罚款，对有关人员处</w:t>
            </w:r>
            <w:r>
              <w:rPr>
                <w:rFonts w:ascii="宋体" w:hAnsi="宋体" w:eastAsia="宋体" w:cs="宋体"/>
                <w:spacing w:val="8"/>
              </w:rPr>
              <w:t>1</w:t>
            </w:r>
            <w:r>
              <w:rPr>
                <w:spacing w:val="5"/>
              </w:rPr>
              <w:t>千元以上</w:t>
            </w:r>
            <w:r>
              <w:rPr>
                <w:rFonts w:ascii="宋体" w:hAnsi="宋体" w:eastAsia="宋体" w:cs="宋体"/>
                <w:spacing w:val="5"/>
              </w:rPr>
              <w:t>1</w:t>
            </w:r>
            <w:r>
              <w:rPr>
                <w:spacing w:val="5"/>
              </w:rPr>
              <w:t>万元以下的罚</w:t>
            </w:r>
            <w:r>
              <w:t>款</w:t>
            </w:r>
          </w:p>
        </w:tc>
        <w:tc>
          <w:tcPr>
            <w:tcW w:w="811" w:type="dxa"/>
            <w:vMerge w:val="continue"/>
            <w:tcBorders>
              <w:top w:val="nil"/>
            </w:tcBorders>
            <w:vAlign w:val="top"/>
          </w:tcPr>
          <w:p w14:paraId="69535DA3">
            <w:pPr>
              <w:rPr>
                <w:rFonts w:ascii="Arial"/>
                <w:sz w:val="21"/>
              </w:rPr>
            </w:pPr>
          </w:p>
        </w:tc>
      </w:tr>
      <w:tr w14:paraId="63812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818" w:type="dxa"/>
            <w:vAlign w:val="top"/>
          </w:tcPr>
          <w:p w14:paraId="151A7A67">
            <w:pPr>
              <w:spacing w:line="300" w:lineRule="auto"/>
              <w:rPr>
                <w:rFonts w:ascii="Arial"/>
                <w:sz w:val="21"/>
              </w:rPr>
            </w:pPr>
          </w:p>
          <w:p w14:paraId="14115F00">
            <w:pPr>
              <w:spacing w:line="301" w:lineRule="auto"/>
              <w:rPr>
                <w:rFonts w:ascii="Arial"/>
                <w:sz w:val="21"/>
              </w:rPr>
            </w:pPr>
          </w:p>
          <w:p w14:paraId="7A16BE7F">
            <w:pPr>
              <w:spacing w:before="75" w:line="185" w:lineRule="auto"/>
              <w:ind w:left="235"/>
              <w:rPr>
                <w:rFonts w:ascii="仿宋" w:hAnsi="仿宋" w:eastAsia="仿宋" w:cs="仿宋"/>
                <w:sz w:val="23"/>
                <w:szCs w:val="23"/>
              </w:rPr>
            </w:pPr>
            <w:r>
              <w:rPr>
                <w:rFonts w:ascii="仿宋" w:hAnsi="仿宋" w:eastAsia="仿宋" w:cs="仿宋"/>
                <w:spacing w:val="-2"/>
                <w:sz w:val="23"/>
                <w:szCs w:val="23"/>
              </w:rPr>
              <w:t>87</w:t>
            </w:r>
          </w:p>
        </w:tc>
        <w:tc>
          <w:tcPr>
            <w:tcW w:w="1440" w:type="dxa"/>
            <w:vAlign w:val="top"/>
          </w:tcPr>
          <w:p w14:paraId="3F2CF877">
            <w:pPr>
              <w:pStyle w:val="6"/>
              <w:spacing w:before="180" w:line="190" w:lineRule="auto"/>
              <w:ind w:left="115" w:right="111" w:firstLine="13"/>
              <w:jc w:val="both"/>
            </w:pPr>
            <w:r>
              <w:rPr>
                <w:spacing w:val="8"/>
              </w:rPr>
              <w:t>生产经营单</w:t>
            </w:r>
            <w:r>
              <w:rPr>
                <w:spacing w:val="11"/>
              </w:rPr>
              <w:t>位拒绝、阻碍监督检查</w:t>
            </w:r>
            <w:r>
              <w:t>的</w:t>
            </w:r>
          </w:p>
        </w:tc>
        <w:tc>
          <w:tcPr>
            <w:tcW w:w="3202" w:type="dxa"/>
            <w:vAlign w:val="top"/>
          </w:tcPr>
          <w:p w14:paraId="4F2CC6FD">
            <w:pPr>
              <w:pStyle w:val="6"/>
              <w:spacing w:before="33" w:line="178" w:lineRule="auto"/>
              <w:ind w:left="119" w:right="111" w:hanging="21"/>
            </w:pPr>
            <w:r>
              <w:rPr>
                <w:spacing w:val="18"/>
              </w:rPr>
              <w:t>【法律】《中华人民共和国</w:t>
            </w:r>
            <w:r>
              <w:rPr>
                <w:spacing w:val="12"/>
              </w:rPr>
              <w:t>安全生产法》第六十六条：</w:t>
            </w:r>
            <w:r>
              <w:rPr>
                <w:spacing w:val="17"/>
              </w:rPr>
              <w:t>生产经营单位对负有安全生产监督管理职责的部门的监督检查人员（以下统称安全</w:t>
            </w:r>
          </w:p>
        </w:tc>
        <w:tc>
          <w:tcPr>
            <w:tcW w:w="2859" w:type="dxa"/>
            <w:vAlign w:val="top"/>
          </w:tcPr>
          <w:p w14:paraId="23F32D1D">
            <w:pPr>
              <w:pStyle w:val="6"/>
              <w:spacing w:before="33" w:line="178" w:lineRule="auto"/>
              <w:ind w:left="116" w:right="110" w:hanging="19"/>
              <w:jc w:val="both"/>
            </w:pPr>
            <w:r>
              <w:rPr>
                <w:spacing w:val="10"/>
              </w:rPr>
              <w:t>【法律】《中华人民共和</w:t>
            </w:r>
            <w:r>
              <w:rPr>
                <w:spacing w:val="8"/>
              </w:rPr>
              <w:t>国安全生产法》第一百零</w:t>
            </w:r>
            <w:r>
              <w:t>八条：违反本法规定，生</w:t>
            </w:r>
            <w:r>
              <w:rPr>
                <w:spacing w:val="8"/>
              </w:rPr>
              <w:t>产经营单位拒绝、阻碍负有安全生产监督管理职责</w:t>
            </w:r>
          </w:p>
        </w:tc>
        <w:tc>
          <w:tcPr>
            <w:tcW w:w="803" w:type="dxa"/>
            <w:vAlign w:val="top"/>
          </w:tcPr>
          <w:p w14:paraId="7ABDC1F8">
            <w:pPr>
              <w:spacing w:line="297" w:lineRule="auto"/>
              <w:rPr>
                <w:rFonts w:ascii="Arial"/>
                <w:sz w:val="21"/>
              </w:rPr>
            </w:pPr>
          </w:p>
          <w:p w14:paraId="6E19FF2B">
            <w:pPr>
              <w:spacing w:line="298" w:lineRule="auto"/>
              <w:rPr>
                <w:rFonts w:ascii="Arial"/>
                <w:sz w:val="21"/>
              </w:rPr>
            </w:pPr>
          </w:p>
          <w:p w14:paraId="18663E53">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D7E2A66">
            <w:pPr>
              <w:pStyle w:val="6"/>
              <w:spacing w:before="182" w:line="189" w:lineRule="auto"/>
              <w:ind w:left="121" w:right="109" w:firstLine="24"/>
              <w:jc w:val="both"/>
            </w:pPr>
            <w:r>
              <w:rPr>
                <w:spacing w:val="-6"/>
              </w:rPr>
              <w:t>以不知道、不配合等</w:t>
            </w:r>
            <w:r>
              <w:rPr>
                <w:spacing w:val="25"/>
              </w:rPr>
              <w:t>消极方式拒绝安全生产监督检查人员</w:t>
            </w:r>
            <w:r>
              <w:rPr>
                <w:spacing w:val="6"/>
              </w:rPr>
              <w:t>监督检查的</w:t>
            </w:r>
          </w:p>
        </w:tc>
        <w:tc>
          <w:tcPr>
            <w:tcW w:w="2894" w:type="dxa"/>
            <w:vAlign w:val="top"/>
          </w:tcPr>
          <w:p w14:paraId="187346BA">
            <w:pPr>
              <w:pStyle w:val="6"/>
              <w:spacing w:before="33" w:line="178" w:lineRule="auto"/>
              <w:ind w:left="119" w:right="103" w:firstLine="8"/>
            </w:pPr>
            <w:r>
              <w:rPr>
                <w:spacing w:val="3"/>
              </w:rPr>
              <w:t>责令改正；拒不改正的，处</w:t>
            </w:r>
            <w:r>
              <w:rPr>
                <w:rFonts w:ascii="宋体" w:hAnsi="宋体" w:eastAsia="宋体" w:cs="宋体"/>
                <w:spacing w:val="3"/>
              </w:rPr>
              <w:t>2</w:t>
            </w:r>
            <w:r>
              <w:rPr>
                <w:spacing w:val="3"/>
              </w:rPr>
              <w:t>万元以上</w:t>
            </w:r>
            <w:r>
              <w:rPr>
                <w:rFonts w:ascii="宋体" w:hAnsi="宋体" w:eastAsia="宋体" w:cs="宋体"/>
                <w:spacing w:val="3"/>
              </w:rPr>
              <w:t>8</w:t>
            </w:r>
            <w:r>
              <w:rPr>
                <w:spacing w:val="3"/>
              </w:rPr>
              <w:t>万元以下</w:t>
            </w:r>
            <w:r>
              <w:rPr>
                <w:spacing w:val="8"/>
              </w:rPr>
              <w:t>的罚款，对其直接负责的</w:t>
            </w:r>
            <w:r>
              <w:rPr>
                <w:spacing w:val="11"/>
              </w:rPr>
              <w:t>主管人员和其他直接责任</w:t>
            </w:r>
            <w:r>
              <w:rPr>
                <w:spacing w:val="2"/>
              </w:rPr>
              <w:t>人员处</w:t>
            </w:r>
            <w:r>
              <w:rPr>
                <w:rFonts w:ascii="宋体" w:hAnsi="宋体" w:eastAsia="宋体" w:cs="宋体"/>
                <w:spacing w:val="2"/>
              </w:rPr>
              <w:t>1</w:t>
            </w:r>
            <w:r>
              <w:rPr>
                <w:spacing w:val="2"/>
              </w:rPr>
              <w:t>万元以上</w:t>
            </w:r>
            <w:r>
              <w:rPr>
                <w:rFonts w:ascii="宋体" w:hAnsi="宋体" w:eastAsia="宋体" w:cs="宋体"/>
                <w:spacing w:val="2"/>
              </w:rPr>
              <w:t>2</w:t>
            </w:r>
            <w:r>
              <w:rPr>
                <w:spacing w:val="2"/>
              </w:rPr>
              <w:t>万元</w:t>
            </w:r>
          </w:p>
        </w:tc>
        <w:tc>
          <w:tcPr>
            <w:tcW w:w="811" w:type="dxa"/>
            <w:vAlign w:val="top"/>
          </w:tcPr>
          <w:p w14:paraId="1DF51E84">
            <w:pPr>
              <w:spacing w:line="298" w:lineRule="auto"/>
              <w:rPr>
                <w:rFonts w:ascii="Arial"/>
                <w:sz w:val="21"/>
              </w:rPr>
            </w:pPr>
          </w:p>
          <w:p w14:paraId="2887AFCC">
            <w:pPr>
              <w:spacing w:line="298" w:lineRule="auto"/>
              <w:rPr>
                <w:rFonts w:ascii="Arial"/>
                <w:sz w:val="21"/>
              </w:rPr>
            </w:pPr>
          </w:p>
          <w:p w14:paraId="06C1538F">
            <w:pPr>
              <w:spacing w:before="75" w:line="189" w:lineRule="auto"/>
              <w:ind w:left="292"/>
              <w:rPr>
                <w:rFonts w:ascii="宋体" w:hAnsi="宋体" w:eastAsia="宋体" w:cs="宋体"/>
                <w:sz w:val="23"/>
                <w:szCs w:val="23"/>
              </w:rPr>
            </w:pPr>
            <w:r>
              <w:rPr>
                <w:rFonts w:ascii="宋体" w:hAnsi="宋体" w:eastAsia="宋体" w:cs="宋体"/>
                <w:spacing w:val="-3"/>
                <w:sz w:val="23"/>
                <w:szCs w:val="23"/>
              </w:rPr>
              <w:t>61</w:t>
            </w:r>
          </w:p>
        </w:tc>
      </w:tr>
    </w:tbl>
    <w:p w14:paraId="709EFDE3">
      <w:pPr>
        <w:pStyle w:val="2"/>
      </w:pPr>
    </w:p>
    <w:p w14:paraId="49508BA8">
      <w:pPr>
        <w:sectPr>
          <w:footerReference r:id="rId106" w:type="default"/>
          <w:pgSz w:w="16839" w:h="11906"/>
          <w:pgMar w:top="1012" w:right="821" w:bottom="667" w:left="901" w:header="0" w:footer="388" w:gutter="0"/>
          <w:cols w:space="720" w:num="1"/>
        </w:sectPr>
      </w:pPr>
    </w:p>
    <w:p w14:paraId="46AD8C52">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3134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0EFA2AE">
            <w:pPr>
              <w:spacing w:before="222" w:line="241" w:lineRule="auto"/>
              <w:ind w:left="131"/>
              <w:rPr>
                <w:rFonts w:ascii="黑体" w:hAnsi="黑体" w:eastAsia="黑体" w:cs="黑体"/>
                <w:sz w:val="28"/>
                <w:szCs w:val="28"/>
              </w:rPr>
            </w:pPr>
            <w:bookmarkStart w:id="497" w:name="bookmark523"/>
            <w:bookmarkEnd w:id="497"/>
            <w:r>
              <w:rPr>
                <w:rFonts w:ascii="黑体" w:hAnsi="黑体" w:eastAsia="黑体" w:cs="黑体"/>
                <w:spacing w:val="-2"/>
                <w:sz w:val="28"/>
                <w:szCs w:val="28"/>
              </w:rPr>
              <w:t>序号</w:t>
            </w:r>
          </w:p>
        </w:tc>
        <w:tc>
          <w:tcPr>
            <w:tcW w:w="1440" w:type="dxa"/>
            <w:vAlign w:val="top"/>
          </w:tcPr>
          <w:p w14:paraId="124452FC">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9BED10D">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12A5C4B">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F76B219">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0C661720">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F3B5AA9">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BF1B7DF">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82C0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818" w:type="dxa"/>
            <w:vMerge w:val="restart"/>
            <w:tcBorders>
              <w:bottom w:val="nil"/>
            </w:tcBorders>
            <w:vAlign w:val="top"/>
          </w:tcPr>
          <w:p w14:paraId="5B55BACD">
            <w:pPr>
              <w:rPr>
                <w:rFonts w:ascii="Arial"/>
                <w:sz w:val="21"/>
              </w:rPr>
            </w:pPr>
          </w:p>
        </w:tc>
        <w:tc>
          <w:tcPr>
            <w:tcW w:w="1440" w:type="dxa"/>
            <w:vMerge w:val="restart"/>
            <w:tcBorders>
              <w:bottom w:val="nil"/>
            </w:tcBorders>
            <w:vAlign w:val="top"/>
          </w:tcPr>
          <w:p w14:paraId="4863FBEC">
            <w:pPr>
              <w:rPr>
                <w:rFonts w:ascii="Arial"/>
                <w:sz w:val="21"/>
              </w:rPr>
            </w:pPr>
          </w:p>
        </w:tc>
        <w:tc>
          <w:tcPr>
            <w:tcW w:w="3202" w:type="dxa"/>
            <w:vMerge w:val="restart"/>
            <w:tcBorders>
              <w:bottom w:val="nil"/>
            </w:tcBorders>
            <w:vAlign w:val="top"/>
          </w:tcPr>
          <w:p w14:paraId="3880CF1C">
            <w:pPr>
              <w:pStyle w:val="6"/>
              <w:spacing w:before="29" w:line="182" w:lineRule="auto"/>
              <w:ind w:left="118" w:right="111" w:firstLine="12"/>
            </w:pPr>
            <w:r>
              <w:rPr>
                <w:spacing w:val="12"/>
              </w:rPr>
              <w:t>生产监督检查人员）依法履</w:t>
            </w:r>
            <w:bookmarkStart w:id="498" w:name="bookmark183"/>
            <w:bookmarkEnd w:id="498"/>
            <w:bookmarkStart w:id="499" w:name="bookmark524"/>
            <w:bookmarkEnd w:id="499"/>
            <w:r>
              <w:rPr>
                <w:spacing w:val="13"/>
              </w:rPr>
              <w:t>行监督检查职责，应当予以</w:t>
            </w:r>
          </w:p>
          <w:p w14:paraId="355F1AE3">
            <w:pPr>
              <w:pStyle w:val="6"/>
              <w:spacing w:line="208" w:lineRule="auto"/>
              <w:ind w:left="125"/>
              <w:outlineLvl w:val="0"/>
            </w:pPr>
            <w:r>
              <w:rPr>
                <w:spacing w:val="4"/>
              </w:rPr>
              <w:t>配合，不得拒绝、阻挠。</w:t>
            </w:r>
          </w:p>
        </w:tc>
        <w:tc>
          <w:tcPr>
            <w:tcW w:w="2859" w:type="dxa"/>
            <w:vMerge w:val="restart"/>
            <w:tcBorders>
              <w:bottom w:val="nil"/>
            </w:tcBorders>
            <w:vAlign w:val="top"/>
          </w:tcPr>
          <w:p w14:paraId="5809503D">
            <w:pPr>
              <w:pStyle w:val="6"/>
              <w:spacing w:before="33" w:line="185" w:lineRule="auto"/>
              <w:ind w:left="117" w:right="110" w:firstLine="22"/>
              <w:jc w:val="both"/>
            </w:pPr>
            <w:r>
              <w:rPr>
                <w:spacing w:val="6"/>
              </w:rPr>
              <w:t>的部门依法实施监督检查</w:t>
            </w:r>
            <w:r>
              <w:rPr>
                <w:spacing w:val="8"/>
              </w:rPr>
              <w:t>的，责令改正；拒不改正的，处二万元以上二十万元以下的罚款；对其直接负责的主管人员和其他直接责任人员处一万元以上二万元以下的罚款；构成</w:t>
            </w:r>
            <w:r>
              <w:rPr>
                <w:spacing w:val="4"/>
              </w:rPr>
              <w:t>犯罪的，依照刑法有关规</w:t>
            </w:r>
            <w:r>
              <w:rPr>
                <w:spacing w:val="3"/>
              </w:rPr>
              <w:t>定追究刑事责任。</w:t>
            </w:r>
          </w:p>
        </w:tc>
        <w:tc>
          <w:tcPr>
            <w:tcW w:w="803" w:type="dxa"/>
            <w:vAlign w:val="top"/>
          </w:tcPr>
          <w:p w14:paraId="33F66CAF">
            <w:pPr>
              <w:rPr>
                <w:rFonts w:ascii="Arial"/>
                <w:sz w:val="21"/>
              </w:rPr>
            </w:pPr>
          </w:p>
        </w:tc>
        <w:tc>
          <w:tcPr>
            <w:tcW w:w="2283" w:type="dxa"/>
            <w:vAlign w:val="top"/>
          </w:tcPr>
          <w:p w14:paraId="1BBD3C61">
            <w:pPr>
              <w:rPr>
                <w:rFonts w:ascii="Arial"/>
                <w:sz w:val="21"/>
              </w:rPr>
            </w:pPr>
          </w:p>
        </w:tc>
        <w:tc>
          <w:tcPr>
            <w:tcW w:w="2894" w:type="dxa"/>
            <w:vAlign w:val="top"/>
          </w:tcPr>
          <w:p w14:paraId="2D66F28D">
            <w:pPr>
              <w:pStyle w:val="6"/>
              <w:spacing w:before="28" w:line="162" w:lineRule="auto"/>
              <w:ind w:left="147"/>
            </w:pPr>
            <w:r>
              <w:rPr>
                <w:spacing w:val="1"/>
              </w:rPr>
              <w:t>以下的罚款</w:t>
            </w:r>
          </w:p>
        </w:tc>
        <w:tc>
          <w:tcPr>
            <w:tcW w:w="811" w:type="dxa"/>
            <w:vMerge w:val="restart"/>
            <w:tcBorders>
              <w:bottom w:val="nil"/>
            </w:tcBorders>
            <w:vAlign w:val="top"/>
          </w:tcPr>
          <w:p w14:paraId="4125FFC1">
            <w:pPr>
              <w:rPr>
                <w:rFonts w:ascii="Arial"/>
                <w:sz w:val="21"/>
              </w:rPr>
            </w:pPr>
          </w:p>
        </w:tc>
      </w:tr>
      <w:tr w14:paraId="5D35E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bottom w:val="nil"/>
            </w:tcBorders>
            <w:vAlign w:val="top"/>
          </w:tcPr>
          <w:p w14:paraId="3633EF7F">
            <w:pPr>
              <w:rPr>
                <w:rFonts w:ascii="Arial"/>
                <w:sz w:val="21"/>
              </w:rPr>
            </w:pPr>
          </w:p>
        </w:tc>
        <w:tc>
          <w:tcPr>
            <w:tcW w:w="1440" w:type="dxa"/>
            <w:vMerge w:val="continue"/>
            <w:tcBorders>
              <w:top w:val="nil"/>
              <w:bottom w:val="nil"/>
            </w:tcBorders>
            <w:vAlign w:val="top"/>
          </w:tcPr>
          <w:p w14:paraId="0964E9CE">
            <w:pPr>
              <w:rPr>
                <w:rFonts w:ascii="Arial"/>
                <w:sz w:val="21"/>
              </w:rPr>
            </w:pPr>
          </w:p>
        </w:tc>
        <w:tc>
          <w:tcPr>
            <w:tcW w:w="3202" w:type="dxa"/>
            <w:vMerge w:val="continue"/>
            <w:tcBorders>
              <w:top w:val="nil"/>
              <w:bottom w:val="nil"/>
            </w:tcBorders>
            <w:vAlign w:val="top"/>
          </w:tcPr>
          <w:p w14:paraId="120564BF">
            <w:pPr>
              <w:rPr>
                <w:rFonts w:ascii="Arial"/>
                <w:sz w:val="21"/>
              </w:rPr>
            </w:pPr>
          </w:p>
        </w:tc>
        <w:tc>
          <w:tcPr>
            <w:tcW w:w="2859" w:type="dxa"/>
            <w:vMerge w:val="continue"/>
            <w:tcBorders>
              <w:top w:val="nil"/>
              <w:bottom w:val="nil"/>
            </w:tcBorders>
            <w:vAlign w:val="top"/>
          </w:tcPr>
          <w:p w14:paraId="25F96F52">
            <w:pPr>
              <w:rPr>
                <w:rFonts w:ascii="Arial"/>
                <w:sz w:val="21"/>
              </w:rPr>
            </w:pPr>
          </w:p>
        </w:tc>
        <w:tc>
          <w:tcPr>
            <w:tcW w:w="803" w:type="dxa"/>
            <w:vAlign w:val="top"/>
          </w:tcPr>
          <w:p w14:paraId="3CB1579A">
            <w:pPr>
              <w:spacing w:line="248" w:lineRule="auto"/>
              <w:rPr>
                <w:rFonts w:ascii="Arial"/>
                <w:sz w:val="21"/>
              </w:rPr>
            </w:pPr>
          </w:p>
          <w:p w14:paraId="45521D7A">
            <w:pPr>
              <w:spacing w:line="248" w:lineRule="auto"/>
              <w:rPr>
                <w:rFonts w:ascii="Arial"/>
                <w:sz w:val="21"/>
              </w:rPr>
            </w:pPr>
          </w:p>
          <w:p w14:paraId="04BCB21D">
            <w:pPr>
              <w:spacing w:line="248" w:lineRule="auto"/>
              <w:rPr>
                <w:rFonts w:ascii="Arial"/>
                <w:sz w:val="21"/>
              </w:rPr>
            </w:pPr>
          </w:p>
          <w:p w14:paraId="765765FB">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3098AA5">
            <w:pPr>
              <w:pStyle w:val="6"/>
              <w:spacing w:before="331" w:line="189" w:lineRule="auto"/>
              <w:ind w:left="117" w:right="109" w:firstLine="28"/>
              <w:jc w:val="both"/>
            </w:pPr>
            <w:r>
              <w:rPr>
                <w:spacing w:val="-6"/>
              </w:rPr>
              <w:t>以吵闹、谩骂等主动</w:t>
            </w:r>
            <w:r>
              <w:rPr>
                <w:spacing w:val="26"/>
              </w:rPr>
              <w:t>方式阻碍安全生产监督检查人员监督</w:t>
            </w:r>
            <w:r>
              <w:rPr>
                <w:spacing w:val="5"/>
              </w:rPr>
              <w:t>检查的</w:t>
            </w:r>
          </w:p>
        </w:tc>
        <w:tc>
          <w:tcPr>
            <w:tcW w:w="2894" w:type="dxa"/>
            <w:vAlign w:val="top"/>
          </w:tcPr>
          <w:p w14:paraId="0E643FBE">
            <w:pPr>
              <w:pStyle w:val="6"/>
              <w:spacing w:before="28" w:line="179" w:lineRule="auto"/>
              <w:ind w:left="119" w:right="103" w:firstLine="8"/>
            </w:pPr>
            <w:r>
              <w:rPr>
                <w:spacing w:val="3"/>
              </w:rPr>
              <w:t>责令改正；拒不改正的，</w:t>
            </w:r>
            <w:r>
              <w:rPr>
                <w:spacing w:val="5"/>
              </w:rPr>
              <w:t>处</w:t>
            </w:r>
            <w:r>
              <w:rPr>
                <w:rFonts w:ascii="宋体" w:hAnsi="宋体" w:eastAsia="宋体" w:cs="宋体"/>
                <w:spacing w:val="5"/>
              </w:rPr>
              <w:t>8</w:t>
            </w:r>
            <w:r>
              <w:rPr>
                <w:spacing w:val="5"/>
              </w:rPr>
              <w:t>万元以上</w:t>
            </w:r>
            <w:r>
              <w:rPr>
                <w:rFonts w:ascii="宋体" w:hAnsi="宋体" w:eastAsia="宋体" w:cs="宋体"/>
                <w:spacing w:val="5"/>
              </w:rPr>
              <w:t>14</w:t>
            </w:r>
            <w:r>
              <w:rPr>
                <w:spacing w:val="5"/>
              </w:rPr>
              <w:t>万元以下</w:t>
            </w:r>
            <w:r>
              <w:rPr>
                <w:spacing w:val="8"/>
              </w:rPr>
              <w:t>的罚款，对其直接负责的</w:t>
            </w:r>
            <w:r>
              <w:rPr>
                <w:spacing w:val="11"/>
              </w:rPr>
              <w:t>主管人员和其他直接责任</w:t>
            </w:r>
            <w:r>
              <w:rPr>
                <w:spacing w:val="2"/>
              </w:rPr>
              <w:t>人员处</w:t>
            </w:r>
            <w:r>
              <w:rPr>
                <w:rFonts w:ascii="宋体" w:hAnsi="宋体" w:eastAsia="宋体" w:cs="宋体"/>
                <w:spacing w:val="2"/>
              </w:rPr>
              <w:t>1</w:t>
            </w:r>
            <w:r>
              <w:rPr>
                <w:spacing w:val="2"/>
              </w:rPr>
              <w:t>万元以上</w:t>
            </w:r>
            <w:r>
              <w:rPr>
                <w:rFonts w:ascii="宋体" w:hAnsi="宋体" w:eastAsia="宋体" w:cs="宋体"/>
                <w:spacing w:val="2"/>
              </w:rPr>
              <w:t>2</w:t>
            </w:r>
            <w:r>
              <w:rPr>
                <w:spacing w:val="2"/>
              </w:rPr>
              <w:t>万元</w:t>
            </w:r>
            <w:r>
              <w:rPr>
                <w:spacing w:val="6"/>
              </w:rPr>
              <w:t>以下的罚款</w:t>
            </w:r>
          </w:p>
        </w:tc>
        <w:tc>
          <w:tcPr>
            <w:tcW w:w="811" w:type="dxa"/>
            <w:vMerge w:val="continue"/>
            <w:tcBorders>
              <w:top w:val="nil"/>
              <w:bottom w:val="nil"/>
            </w:tcBorders>
            <w:vAlign w:val="top"/>
          </w:tcPr>
          <w:p w14:paraId="6B32C963">
            <w:pPr>
              <w:rPr>
                <w:rFonts w:ascii="Arial"/>
                <w:sz w:val="21"/>
              </w:rPr>
            </w:pPr>
          </w:p>
        </w:tc>
      </w:tr>
      <w:tr w14:paraId="5A333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9" w:hRule="atLeast"/>
        </w:trPr>
        <w:tc>
          <w:tcPr>
            <w:tcW w:w="818" w:type="dxa"/>
            <w:vMerge w:val="continue"/>
            <w:tcBorders>
              <w:top w:val="nil"/>
            </w:tcBorders>
            <w:vAlign w:val="top"/>
          </w:tcPr>
          <w:p w14:paraId="5D8E1502">
            <w:pPr>
              <w:rPr>
                <w:rFonts w:ascii="Arial"/>
                <w:sz w:val="21"/>
              </w:rPr>
            </w:pPr>
          </w:p>
        </w:tc>
        <w:tc>
          <w:tcPr>
            <w:tcW w:w="1440" w:type="dxa"/>
            <w:vMerge w:val="continue"/>
            <w:tcBorders>
              <w:top w:val="nil"/>
            </w:tcBorders>
            <w:vAlign w:val="top"/>
          </w:tcPr>
          <w:p w14:paraId="70BC8AE9">
            <w:pPr>
              <w:rPr>
                <w:rFonts w:ascii="Arial"/>
                <w:sz w:val="21"/>
              </w:rPr>
            </w:pPr>
          </w:p>
        </w:tc>
        <w:tc>
          <w:tcPr>
            <w:tcW w:w="3202" w:type="dxa"/>
            <w:vMerge w:val="continue"/>
            <w:tcBorders>
              <w:top w:val="nil"/>
            </w:tcBorders>
            <w:vAlign w:val="top"/>
          </w:tcPr>
          <w:p w14:paraId="765E5305">
            <w:pPr>
              <w:rPr>
                <w:rFonts w:ascii="Arial"/>
                <w:sz w:val="21"/>
              </w:rPr>
            </w:pPr>
          </w:p>
        </w:tc>
        <w:tc>
          <w:tcPr>
            <w:tcW w:w="2859" w:type="dxa"/>
            <w:vMerge w:val="continue"/>
            <w:tcBorders>
              <w:top w:val="nil"/>
            </w:tcBorders>
            <w:vAlign w:val="top"/>
          </w:tcPr>
          <w:p w14:paraId="2F6CDA94">
            <w:pPr>
              <w:rPr>
                <w:rFonts w:ascii="Arial"/>
                <w:sz w:val="21"/>
              </w:rPr>
            </w:pPr>
          </w:p>
        </w:tc>
        <w:tc>
          <w:tcPr>
            <w:tcW w:w="803" w:type="dxa"/>
            <w:vAlign w:val="top"/>
          </w:tcPr>
          <w:p w14:paraId="00C99DBC">
            <w:pPr>
              <w:spacing w:line="283" w:lineRule="auto"/>
              <w:rPr>
                <w:rFonts w:ascii="Arial"/>
                <w:sz w:val="21"/>
              </w:rPr>
            </w:pPr>
          </w:p>
          <w:p w14:paraId="00445510">
            <w:pPr>
              <w:spacing w:line="284" w:lineRule="auto"/>
              <w:rPr>
                <w:rFonts w:ascii="Arial"/>
                <w:sz w:val="21"/>
              </w:rPr>
            </w:pPr>
          </w:p>
          <w:p w14:paraId="3E67BFA0">
            <w:pPr>
              <w:spacing w:line="284" w:lineRule="auto"/>
              <w:rPr>
                <w:rFonts w:ascii="Arial"/>
                <w:sz w:val="21"/>
              </w:rPr>
            </w:pPr>
          </w:p>
          <w:p w14:paraId="08710170">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D229C6A">
            <w:pPr>
              <w:spacing w:line="334" w:lineRule="auto"/>
              <w:rPr>
                <w:rFonts w:ascii="Arial"/>
                <w:sz w:val="21"/>
              </w:rPr>
            </w:pPr>
          </w:p>
          <w:p w14:paraId="5F4365B3">
            <w:pPr>
              <w:pStyle w:val="6"/>
              <w:spacing w:before="98" w:line="190" w:lineRule="auto"/>
              <w:ind w:left="117" w:right="109" w:firstLine="28"/>
              <w:jc w:val="both"/>
            </w:pPr>
            <w:r>
              <w:rPr>
                <w:spacing w:val="-6"/>
              </w:rPr>
              <w:t>以暴力、威胁的方式</w:t>
            </w:r>
            <w:r>
              <w:rPr>
                <w:spacing w:val="26"/>
              </w:rPr>
              <w:t>阻碍安全生产监督检查人员监督检查</w:t>
            </w:r>
            <w:r>
              <w:t>的</w:t>
            </w:r>
          </w:p>
        </w:tc>
        <w:tc>
          <w:tcPr>
            <w:tcW w:w="2894" w:type="dxa"/>
            <w:vAlign w:val="top"/>
          </w:tcPr>
          <w:p w14:paraId="201C6E30">
            <w:pPr>
              <w:pStyle w:val="6"/>
              <w:spacing w:before="134" w:line="187" w:lineRule="auto"/>
              <w:ind w:left="119" w:right="103" w:firstLine="8"/>
            </w:pPr>
            <w:r>
              <w:rPr>
                <w:spacing w:val="3"/>
              </w:rPr>
              <w:t>责令改正；拒不改正的，</w:t>
            </w:r>
            <w:r>
              <w:rPr>
                <w:spacing w:val="1"/>
              </w:rPr>
              <w:t>处</w:t>
            </w:r>
            <w:r>
              <w:rPr>
                <w:rFonts w:ascii="宋体" w:hAnsi="宋体" w:eastAsia="宋体" w:cs="宋体"/>
                <w:spacing w:val="1"/>
              </w:rPr>
              <w:t>14</w:t>
            </w:r>
            <w:r>
              <w:rPr>
                <w:spacing w:val="1"/>
              </w:rPr>
              <w:t>万元以上</w:t>
            </w:r>
            <w:r>
              <w:rPr>
                <w:rFonts w:ascii="宋体" w:hAnsi="宋体" w:eastAsia="宋体" w:cs="宋体"/>
                <w:spacing w:val="1"/>
              </w:rPr>
              <w:t>20</w:t>
            </w:r>
            <w:r>
              <w:rPr>
                <w:spacing w:val="1"/>
              </w:rPr>
              <w:t>万元以</w:t>
            </w:r>
            <w:r>
              <w:rPr>
                <w:spacing w:val="8"/>
              </w:rPr>
              <w:t>下的罚款，对其直接负责</w:t>
            </w:r>
            <w:r>
              <w:rPr>
                <w:spacing w:val="11"/>
              </w:rPr>
              <w:t>的主管人员和其他直接责</w:t>
            </w:r>
            <w:r>
              <w:rPr>
                <w:spacing w:val="2"/>
              </w:rPr>
              <w:t>任人员处</w:t>
            </w:r>
            <w:r>
              <w:rPr>
                <w:rFonts w:ascii="宋体" w:hAnsi="宋体" w:eastAsia="宋体" w:cs="宋体"/>
                <w:spacing w:val="2"/>
              </w:rPr>
              <w:t>1</w:t>
            </w:r>
            <w:r>
              <w:rPr>
                <w:spacing w:val="2"/>
              </w:rPr>
              <w:t>万元以上</w:t>
            </w:r>
            <w:r>
              <w:rPr>
                <w:rFonts w:ascii="宋体" w:hAnsi="宋体" w:eastAsia="宋体" w:cs="宋体"/>
                <w:spacing w:val="2"/>
              </w:rPr>
              <w:t>2</w:t>
            </w:r>
            <w:r>
              <w:rPr>
                <w:spacing w:val="2"/>
              </w:rPr>
              <w:t>万</w:t>
            </w:r>
            <w:r>
              <w:rPr>
                <w:spacing w:val="7"/>
              </w:rPr>
              <w:t>元以下的罚款</w:t>
            </w:r>
          </w:p>
        </w:tc>
        <w:tc>
          <w:tcPr>
            <w:tcW w:w="811" w:type="dxa"/>
            <w:vMerge w:val="continue"/>
            <w:tcBorders>
              <w:top w:val="nil"/>
            </w:tcBorders>
            <w:vAlign w:val="top"/>
          </w:tcPr>
          <w:p w14:paraId="7E7F1D5C">
            <w:pPr>
              <w:rPr>
                <w:rFonts w:ascii="Arial"/>
                <w:sz w:val="21"/>
              </w:rPr>
            </w:pPr>
          </w:p>
        </w:tc>
      </w:tr>
      <w:tr w14:paraId="723FD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6" w:hRule="atLeast"/>
        </w:trPr>
        <w:tc>
          <w:tcPr>
            <w:tcW w:w="818" w:type="dxa"/>
            <w:vMerge w:val="restart"/>
            <w:tcBorders>
              <w:bottom w:val="nil"/>
            </w:tcBorders>
            <w:vAlign w:val="top"/>
          </w:tcPr>
          <w:p w14:paraId="6FDF8111">
            <w:pPr>
              <w:spacing w:line="265" w:lineRule="auto"/>
              <w:rPr>
                <w:rFonts w:ascii="Arial"/>
                <w:sz w:val="21"/>
              </w:rPr>
            </w:pPr>
          </w:p>
          <w:p w14:paraId="0C99C5A4">
            <w:pPr>
              <w:spacing w:line="265" w:lineRule="auto"/>
              <w:rPr>
                <w:rFonts w:ascii="Arial"/>
                <w:sz w:val="21"/>
              </w:rPr>
            </w:pPr>
          </w:p>
          <w:p w14:paraId="67275867">
            <w:pPr>
              <w:spacing w:line="265" w:lineRule="auto"/>
              <w:rPr>
                <w:rFonts w:ascii="Arial"/>
                <w:sz w:val="21"/>
              </w:rPr>
            </w:pPr>
          </w:p>
          <w:p w14:paraId="70B72874">
            <w:pPr>
              <w:spacing w:line="265" w:lineRule="auto"/>
              <w:rPr>
                <w:rFonts w:ascii="Arial"/>
                <w:sz w:val="21"/>
              </w:rPr>
            </w:pPr>
          </w:p>
          <w:p w14:paraId="04766CFE">
            <w:pPr>
              <w:spacing w:line="266" w:lineRule="auto"/>
              <w:rPr>
                <w:rFonts w:ascii="Arial"/>
                <w:sz w:val="21"/>
              </w:rPr>
            </w:pPr>
          </w:p>
          <w:p w14:paraId="042A3D07">
            <w:pPr>
              <w:spacing w:line="266" w:lineRule="auto"/>
              <w:rPr>
                <w:rFonts w:ascii="Arial"/>
                <w:sz w:val="21"/>
              </w:rPr>
            </w:pPr>
          </w:p>
          <w:p w14:paraId="0B5384EC">
            <w:pPr>
              <w:spacing w:line="266" w:lineRule="auto"/>
              <w:rPr>
                <w:rFonts w:ascii="Arial"/>
                <w:sz w:val="21"/>
              </w:rPr>
            </w:pPr>
          </w:p>
          <w:p w14:paraId="033B1A9B">
            <w:pPr>
              <w:spacing w:line="266" w:lineRule="auto"/>
              <w:rPr>
                <w:rFonts w:ascii="Arial"/>
                <w:sz w:val="21"/>
              </w:rPr>
            </w:pPr>
          </w:p>
          <w:p w14:paraId="655FF94E">
            <w:pPr>
              <w:spacing w:line="266" w:lineRule="auto"/>
              <w:rPr>
                <w:rFonts w:ascii="Arial"/>
                <w:sz w:val="21"/>
              </w:rPr>
            </w:pPr>
          </w:p>
          <w:p w14:paraId="75BAE210">
            <w:pPr>
              <w:spacing w:before="74" w:line="185" w:lineRule="auto"/>
              <w:ind w:left="235"/>
              <w:rPr>
                <w:rFonts w:ascii="仿宋" w:hAnsi="仿宋" w:eastAsia="仿宋" w:cs="仿宋"/>
                <w:sz w:val="23"/>
                <w:szCs w:val="23"/>
              </w:rPr>
            </w:pPr>
            <w:r>
              <w:rPr>
                <w:rFonts w:ascii="仿宋" w:hAnsi="仿宋" w:eastAsia="仿宋" w:cs="仿宋"/>
                <w:spacing w:val="-2"/>
                <w:sz w:val="23"/>
                <w:szCs w:val="23"/>
              </w:rPr>
              <w:t>88</w:t>
            </w:r>
          </w:p>
        </w:tc>
        <w:tc>
          <w:tcPr>
            <w:tcW w:w="1440" w:type="dxa"/>
            <w:vMerge w:val="restart"/>
            <w:tcBorders>
              <w:bottom w:val="nil"/>
            </w:tcBorders>
            <w:vAlign w:val="top"/>
          </w:tcPr>
          <w:p w14:paraId="16AC95B8">
            <w:pPr>
              <w:spacing w:line="254" w:lineRule="auto"/>
              <w:rPr>
                <w:rFonts w:ascii="Arial"/>
                <w:sz w:val="21"/>
              </w:rPr>
            </w:pPr>
          </w:p>
          <w:p w14:paraId="13B6DC8D">
            <w:pPr>
              <w:spacing w:line="254" w:lineRule="auto"/>
              <w:rPr>
                <w:rFonts w:ascii="Arial"/>
                <w:sz w:val="21"/>
              </w:rPr>
            </w:pPr>
          </w:p>
          <w:p w14:paraId="17B99A8E">
            <w:pPr>
              <w:spacing w:line="255" w:lineRule="auto"/>
              <w:rPr>
                <w:rFonts w:ascii="Arial"/>
                <w:sz w:val="21"/>
              </w:rPr>
            </w:pPr>
          </w:p>
          <w:p w14:paraId="35710A66">
            <w:pPr>
              <w:spacing w:line="255" w:lineRule="auto"/>
              <w:rPr>
                <w:rFonts w:ascii="Arial"/>
                <w:sz w:val="21"/>
              </w:rPr>
            </w:pPr>
          </w:p>
          <w:p w14:paraId="33150043">
            <w:pPr>
              <w:spacing w:line="255" w:lineRule="auto"/>
              <w:rPr>
                <w:rFonts w:ascii="Arial"/>
                <w:sz w:val="21"/>
              </w:rPr>
            </w:pPr>
          </w:p>
          <w:p w14:paraId="1D0F5DCC">
            <w:pPr>
              <w:pStyle w:val="6"/>
              <w:spacing w:before="98" w:line="186" w:lineRule="auto"/>
              <w:ind w:left="114" w:right="111" w:firstLine="14"/>
              <w:jc w:val="both"/>
            </w:pPr>
            <w:r>
              <w:rPr>
                <w:spacing w:val="8"/>
              </w:rPr>
              <w:t>生产经营单</w:t>
            </w:r>
            <w:r>
              <w:rPr>
                <w:spacing w:val="11"/>
              </w:rPr>
              <w:t>位的主要负责人不立即组织抢救或者在事故调查处理期间擅离职守或</w:t>
            </w:r>
            <w:r>
              <w:rPr>
                <w:spacing w:val="6"/>
              </w:rPr>
              <w:t>者逃匿的</w:t>
            </w:r>
          </w:p>
        </w:tc>
        <w:tc>
          <w:tcPr>
            <w:tcW w:w="3202" w:type="dxa"/>
            <w:vMerge w:val="restart"/>
            <w:tcBorders>
              <w:bottom w:val="nil"/>
            </w:tcBorders>
            <w:vAlign w:val="top"/>
          </w:tcPr>
          <w:p w14:paraId="38975E7E">
            <w:pPr>
              <w:pStyle w:val="6"/>
              <w:spacing w:before="34" w:line="182" w:lineRule="auto"/>
              <w:ind w:left="120" w:right="42" w:firstLine="11"/>
              <w:jc w:val="both"/>
            </w:pPr>
            <w:r>
              <w:rPr>
                <w:rFonts w:ascii="宋体" w:hAnsi="宋体" w:eastAsia="宋体" w:cs="宋体"/>
                <w:spacing w:val="14"/>
              </w:rPr>
              <w:t>1.</w:t>
            </w:r>
            <w:r>
              <w:rPr>
                <w:spacing w:val="14"/>
              </w:rPr>
              <w:t>【法律】《中华人民共和</w:t>
            </w:r>
            <w:r>
              <w:rPr>
                <w:spacing w:val="3"/>
              </w:rPr>
              <w:t>国安全生产法》第八十三条：</w:t>
            </w:r>
            <w:r>
              <w:rPr>
                <w:spacing w:val="17"/>
              </w:rPr>
              <w:t>生产经营单位发生生产安全</w:t>
            </w:r>
            <w:r>
              <w:rPr>
                <w:spacing w:val="13"/>
              </w:rPr>
              <w:t>事故后，事故现场有关人员</w:t>
            </w:r>
            <w:r>
              <w:rPr>
                <w:spacing w:val="39"/>
              </w:rPr>
              <w:t>应当立即报告本单位负责</w:t>
            </w:r>
            <w:r>
              <w:rPr>
                <w:spacing w:val="-8"/>
              </w:rPr>
              <w:t>人。</w:t>
            </w:r>
          </w:p>
          <w:p w14:paraId="5AF25CA2">
            <w:pPr>
              <w:pStyle w:val="6"/>
              <w:spacing w:before="7" w:line="182" w:lineRule="auto"/>
              <w:ind w:left="116" w:right="40" w:firstLine="6"/>
            </w:pPr>
            <w:r>
              <w:rPr>
                <w:spacing w:val="39"/>
              </w:rPr>
              <w:t>单位负责人接到事故报告</w:t>
            </w:r>
            <w:r>
              <w:rPr>
                <w:spacing w:val="3"/>
              </w:rPr>
              <w:t>后，应当迅速采取有效措施，</w:t>
            </w:r>
            <w:r>
              <w:rPr>
                <w:spacing w:val="7"/>
              </w:rPr>
              <w:t>组织抢救，防止事故扩大，</w:t>
            </w:r>
            <w:r>
              <w:rPr>
                <w:spacing w:val="13"/>
              </w:rPr>
              <w:t>减少人员伤亡和财产损失，</w:t>
            </w:r>
            <w:r>
              <w:rPr>
                <w:spacing w:val="17"/>
              </w:rPr>
              <w:t>并按照国家有关规定立即如实报告当地负有安全生产监</w:t>
            </w:r>
            <w:r>
              <w:rPr>
                <w:spacing w:val="13"/>
              </w:rPr>
              <w:t>督管理职责的部门，不得隐瞒不报、谎报或者迟报，不</w:t>
            </w:r>
            <w:r>
              <w:rPr>
                <w:spacing w:val="17"/>
              </w:rPr>
              <w:t>得故意破坏事故现场、毁灭</w:t>
            </w:r>
            <w:r>
              <w:t>有关证据。</w:t>
            </w:r>
          </w:p>
          <w:p w14:paraId="35CCD3DC">
            <w:pPr>
              <w:pStyle w:val="6"/>
              <w:spacing w:line="161" w:lineRule="auto"/>
              <w:ind w:left="116"/>
            </w:pPr>
            <w:r>
              <w:rPr>
                <w:rFonts w:ascii="宋体" w:hAnsi="宋体" w:eastAsia="宋体" w:cs="宋体"/>
                <w:spacing w:val="15"/>
              </w:rPr>
              <w:t>2.</w:t>
            </w:r>
            <w:r>
              <w:rPr>
                <w:spacing w:val="15"/>
              </w:rPr>
              <w:t>【行政法规】《生产安全</w:t>
            </w:r>
          </w:p>
        </w:tc>
        <w:tc>
          <w:tcPr>
            <w:tcW w:w="2859" w:type="dxa"/>
            <w:vMerge w:val="restart"/>
            <w:tcBorders>
              <w:bottom w:val="nil"/>
            </w:tcBorders>
            <w:vAlign w:val="top"/>
          </w:tcPr>
          <w:p w14:paraId="1AAAA275">
            <w:pPr>
              <w:pStyle w:val="6"/>
              <w:spacing w:before="40" w:line="182" w:lineRule="auto"/>
              <w:ind w:left="114" w:right="110" w:firstLine="16"/>
            </w:pPr>
            <w:r>
              <w:rPr>
                <w:rFonts w:ascii="宋体" w:hAnsi="宋体" w:eastAsia="宋体" w:cs="宋体"/>
                <w:spacing w:val="6"/>
              </w:rPr>
              <w:t>1.</w:t>
            </w:r>
            <w:r>
              <w:rPr>
                <w:spacing w:val="6"/>
              </w:rPr>
              <w:t>【法律】《中华人民共</w:t>
            </w:r>
            <w:r>
              <w:rPr>
                <w:spacing w:val="8"/>
              </w:rPr>
              <w:t>和国安全生产法》第一百一十条第一款：生产经营单位的主要负责人在本单</w:t>
            </w:r>
            <w:r>
              <w:rPr>
                <w:spacing w:val="7"/>
              </w:rPr>
              <w:t>位发生生产安全事故时，</w:t>
            </w:r>
            <w:r>
              <w:rPr>
                <w:spacing w:val="8"/>
              </w:rPr>
              <w:t>不立即组织抢救或者在事故调查处理期间擅离职守</w:t>
            </w:r>
            <w:r>
              <w:rPr>
                <w:spacing w:val="6"/>
              </w:rPr>
              <w:t>或者逃匿的，给予降级、</w:t>
            </w:r>
            <w:r>
              <w:rPr>
                <w:spacing w:val="8"/>
              </w:rPr>
              <w:t>撤职的处分，并由应急管理部门处上一年年收入百分之六十至百分之一百的罚款；对逃匿的处十五日</w:t>
            </w:r>
            <w:r>
              <w:rPr>
                <w:spacing w:val="4"/>
              </w:rPr>
              <w:t>以下拘留；构成犯罪的，</w:t>
            </w:r>
            <w:r>
              <w:rPr>
                <w:spacing w:val="8"/>
              </w:rPr>
              <w:t>依照刑法有关规定追究刑</w:t>
            </w:r>
            <w:r>
              <w:rPr>
                <w:spacing w:val="-1"/>
              </w:rPr>
              <w:t>事责任。</w:t>
            </w:r>
          </w:p>
          <w:p w14:paraId="4B7D2966">
            <w:pPr>
              <w:pStyle w:val="6"/>
              <w:spacing w:before="2" w:line="171" w:lineRule="auto"/>
              <w:ind w:left="116" w:right="110"/>
            </w:pPr>
            <w:r>
              <w:rPr>
                <w:rFonts w:ascii="宋体" w:hAnsi="宋体" w:eastAsia="宋体" w:cs="宋体"/>
                <w:spacing w:val="7"/>
              </w:rPr>
              <w:t>2.</w:t>
            </w:r>
            <w:r>
              <w:rPr>
                <w:spacing w:val="7"/>
              </w:rPr>
              <w:t>【行政法规】《生产安</w:t>
            </w:r>
            <w:r>
              <w:rPr>
                <w:spacing w:val="8"/>
              </w:rPr>
              <w:t>全事故报告和调查处理条</w:t>
            </w:r>
          </w:p>
        </w:tc>
        <w:tc>
          <w:tcPr>
            <w:tcW w:w="803" w:type="dxa"/>
            <w:vAlign w:val="top"/>
          </w:tcPr>
          <w:p w14:paraId="53EA1B84">
            <w:pPr>
              <w:spacing w:line="320" w:lineRule="auto"/>
              <w:rPr>
                <w:rFonts w:ascii="Arial"/>
                <w:sz w:val="21"/>
              </w:rPr>
            </w:pPr>
          </w:p>
          <w:p w14:paraId="6A808C54">
            <w:pPr>
              <w:spacing w:line="320" w:lineRule="auto"/>
              <w:rPr>
                <w:rFonts w:ascii="Arial"/>
                <w:sz w:val="21"/>
              </w:rPr>
            </w:pPr>
          </w:p>
          <w:p w14:paraId="2B4C2583">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5407F84">
            <w:pPr>
              <w:spacing w:line="287" w:lineRule="auto"/>
              <w:rPr>
                <w:rFonts w:ascii="Arial"/>
                <w:sz w:val="21"/>
              </w:rPr>
            </w:pPr>
          </w:p>
          <w:p w14:paraId="2FA9E515">
            <w:pPr>
              <w:spacing w:line="288" w:lineRule="auto"/>
              <w:rPr>
                <w:rFonts w:ascii="Arial"/>
                <w:sz w:val="21"/>
              </w:rPr>
            </w:pPr>
          </w:p>
          <w:p w14:paraId="2E91C92B">
            <w:pPr>
              <w:pStyle w:val="6"/>
              <w:spacing w:before="98" w:line="209" w:lineRule="auto"/>
              <w:ind w:left="125"/>
            </w:pPr>
            <w:r>
              <w:rPr>
                <w:spacing w:val="6"/>
              </w:rPr>
              <w:t>不立即组织抢救的</w:t>
            </w:r>
          </w:p>
        </w:tc>
        <w:tc>
          <w:tcPr>
            <w:tcW w:w="2894" w:type="dxa"/>
            <w:vAlign w:val="top"/>
          </w:tcPr>
          <w:p w14:paraId="4459481E">
            <w:pPr>
              <w:spacing w:line="424" w:lineRule="auto"/>
              <w:rPr>
                <w:rFonts w:ascii="Arial"/>
                <w:sz w:val="21"/>
              </w:rPr>
            </w:pPr>
          </w:p>
          <w:p w14:paraId="7A4EE661">
            <w:pPr>
              <w:pStyle w:val="6"/>
              <w:spacing w:before="99" w:line="196" w:lineRule="auto"/>
              <w:ind w:left="120" w:right="104" w:hanging="1"/>
            </w:pPr>
            <w:r>
              <w:rPr>
                <w:spacing w:val="3"/>
              </w:rPr>
              <w:t>处上一年年收入</w:t>
            </w:r>
            <w:r>
              <w:rPr>
                <w:rFonts w:ascii="宋体" w:hAnsi="宋体" w:eastAsia="宋体" w:cs="宋体"/>
                <w:spacing w:val="3"/>
              </w:rPr>
              <w:t>60%</w:t>
            </w:r>
            <w:r>
              <w:rPr>
                <w:spacing w:val="3"/>
              </w:rPr>
              <w:t>至</w:t>
            </w:r>
            <w:r>
              <w:rPr>
                <w:rFonts w:ascii="宋体" w:hAnsi="宋体" w:eastAsia="宋体" w:cs="宋体"/>
                <w:spacing w:val="5"/>
              </w:rPr>
              <w:t>70%</w:t>
            </w:r>
            <w:r>
              <w:rPr>
                <w:spacing w:val="5"/>
              </w:rPr>
              <w:t>的罚款</w:t>
            </w:r>
          </w:p>
        </w:tc>
        <w:tc>
          <w:tcPr>
            <w:tcW w:w="811" w:type="dxa"/>
            <w:vMerge w:val="restart"/>
            <w:tcBorders>
              <w:bottom w:val="nil"/>
            </w:tcBorders>
            <w:vAlign w:val="top"/>
          </w:tcPr>
          <w:p w14:paraId="7FC4744F">
            <w:pPr>
              <w:spacing w:line="265" w:lineRule="auto"/>
              <w:rPr>
                <w:rFonts w:ascii="Arial"/>
                <w:sz w:val="21"/>
              </w:rPr>
            </w:pPr>
          </w:p>
          <w:p w14:paraId="444CD892">
            <w:pPr>
              <w:spacing w:line="265" w:lineRule="auto"/>
              <w:rPr>
                <w:rFonts w:ascii="Arial"/>
                <w:sz w:val="21"/>
              </w:rPr>
            </w:pPr>
          </w:p>
          <w:p w14:paraId="3DF65FC5">
            <w:pPr>
              <w:spacing w:line="265" w:lineRule="auto"/>
              <w:rPr>
                <w:rFonts w:ascii="Arial"/>
                <w:sz w:val="21"/>
              </w:rPr>
            </w:pPr>
          </w:p>
          <w:p w14:paraId="14041AD4">
            <w:pPr>
              <w:spacing w:line="265" w:lineRule="auto"/>
              <w:rPr>
                <w:rFonts w:ascii="Arial"/>
                <w:sz w:val="21"/>
              </w:rPr>
            </w:pPr>
          </w:p>
          <w:p w14:paraId="69617C7E">
            <w:pPr>
              <w:spacing w:line="265" w:lineRule="auto"/>
              <w:rPr>
                <w:rFonts w:ascii="Arial"/>
                <w:sz w:val="21"/>
              </w:rPr>
            </w:pPr>
          </w:p>
          <w:p w14:paraId="05FA7D16">
            <w:pPr>
              <w:spacing w:line="265" w:lineRule="auto"/>
              <w:rPr>
                <w:rFonts w:ascii="Arial"/>
                <w:sz w:val="21"/>
              </w:rPr>
            </w:pPr>
          </w:p>
          <w:p w14:paraId="4107AF60">
            <w:pPr>
              <w:spacing w:line="265" w:lineRule="auto"/>
              <w:rPr>
                <w:rFonts w:ascii="Arial"/>
                <w:sz w:val="21"/>
              </w:rPr>
            </w:pPr>
          </w:p>
          <w:p w14:paraId="13165ED3">
            <w:pPr>
              <w:spacing w:line="265" w:lineRule="auto"/>
              <w:rPr>
                <w:rFonts w:ascii="Arial"/>
                <w:sz w:val="21"/>
              </w:rPr>
            </w:pPr>
          </w:p>
          <w:p w14:paraId="5DE8985C">
            <w:pPr>
              <w:spacing w:line="266" w:lineRule="auto"/>
              <w:rPr>
                <w:rFonts w:ascii="Arial"/>
                <w:sz w:val="21"/>
              </w:rPr>
            </w:pPr>
          </w:p>
          <w:p w14:paraId="1AE9D45F">
            <w:pPr>
              <w:spacing w:before="75" w:line="188" w:lineRule="auto"/>
              <w:ind w:left="292"/>
              <w:rPr>
                <w:rFonts w:ascii="宋体" w:hAnsi="宋体" w:eastAsia="宋体" w:cs="宋体"/>
                <w:sz w:val="23"/>
                <w:szCs w:val="23"/>
              </w:rPr>
            </w:pPr>
            <w:r>
              <w:rPr>
                <w:rFonts w:ascii="宋体" w:hAnsi="宋体" w:eastAsia="宋体" w:cs="宋体"/>
                <w:spacing w:val="-3"/>
                <w:sz w:val="23"/>
                <w:szCs w:val="23"/>
              </w:rPr>
              <w:t>62</w:t>
            </w:r>
          </w:p>
        </w:tc>
      </w:tr>
      <w:tr w14:paraId="62A47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9" w:hRule="atLeast"/>
        </w:trPr>
        <w:tc>
          <w:tcPr>
            <w:tcW w:w="818" w:type="dxa"/>
            <w:vMerge w:val="continue"/>
            <w:tcBorders>
              <w:top w:val="nil"/>
              <w:bottom w:val="nil"/>
            </w:tcBorders>
            <w:vAlign w:val="top"/>
          </w:tcPr>
          <w:p w14:paraId="21C47821">
            <w:pPr>
              <w:rPr>
                <w:rFonts w:ascii="Arial"/>
                <w:sz w:val="21"/>
              </w:rPr>
            </w:pPr>
          </w:p>
        </w:tc>
        <w:tc>
          <w:tcPr>
            <w:tcW w:w="1440" w:type="dxa"/>
            <w:vMerge w:val="continue"/>
            <w:tcBorders>
              <w:top w:val="nil"/>
              <w:bottom w:val="nil"/>
            </w:tcBorders>
            <w:vAlign w:val="top"/>
          </w:tcPr>
          <w:p w14:paraId="53B450D4">
            <w:pPr>
              <w:rPr>
                <w:rFonts w:ascii="Arial"/>
                <w:sz w:val="21"/>
              </w:rPr>
            </w:pPr>
          </w:p>
        </w:tc>
        <w:tc>
          <w:tcPr>
            <w:tcW w:w="3202" w:type="dxa"/>
            <w:vMerge w:val="continue"/>
            <w:tcBorders>
              <w:top w:val="nil"/>
              <w:bottom w:val="nil"/>
            </w:tcBorders>
            <w:vAlign w:val="top"/>
          </w:tcPr>
          <w:p w14:paraId="26D33831">
            <w:pPr>
              <w:rPr>
                <w:rFonts w:ascii="Arial"/>
                <w:sz w:val="21"/>
              </w:rPr>
            </w:pPr>
          </w:p>
        </w:tc>
        <w:tc>
          <w:tcPr>
            <w:tcW w:w="2859" w:type="dxa"/>
            <w:vMerge w:val="continue"/>
            <w:tcBorders>
              <w:top w:val="nil"/>
              <w:bottom w:val="nil"/>
            </w:tcBorders>
            <w:vAlign w:val="top"/>
          </w:tcPr>
          <w:p w14:paraId="28EA3CD8">
            <w:pPr>
              <w:rPr>
                <w:rFonts w:ascii="Arial"/>
                <w:sz w:val="21"/>
              </w:rPr>
            </w:pPr>
          </w:p>
        </w:tc>
        <w:tc>
          <w:tcPr>
            <w:tcW w:w="803" w:type="dxa"/>
            <w:vAlign w:val="top"/>
          </w:tcPr>
          <w:p w14:paraId="27288C5E">
            <w:pPr>
              <w:spacing w:line="340" w:lineRule="auto"/>
              <w:rPr>
                <w:rFonts w:ascii="Arial"/>
                <w:sz w:val="21"/>
              </w:rPr>
            </w:pPr>
          </w:p>
          <w:p w14:paraId="5995DB9C">
            <w:pPr>
              <w:spacing w:line="341" w:lineRule="auto"/>
              <w:rPr>
                <w:rFonts w:ascii="Arial"/>
                <w:sz w:val="21"/>
              </w:rPr>
            </w:pPr>
          </w:p>
          <w:p w14:paraId="18807104">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6B1B5D4">
            <w:pPr>
              <w:spacing w:line="312" w:lineRule="auto"/>
              <w:rPr>
                <w:rFonts w:ascii="Arial"/>
                <w:sz w:val="21"/>
              </w:rPr>
            </w:pPr>
          </w:p>
          <w:p w14:paraId="7621094B">
            <w:pPr>
              <w:pStyle w:val="6"/>
              <w:spacing w:before="99" w:line="192" w:lineRule="auto"/>
              <w:ind w:left="117" w:right="109"/>
              <w:jc w:val="both"/>
            </w:pPr>
            <w:r>
              <w:rPr>
                <w:spacing w:val="26"/>
              </w:rPr>
              <w:t>在事故调查处理期间擅离职守的或者</w:t>
            </w:r>
            <w:r>
              <w:rPr>
                <w:spacing w:val="5"/>
              </w:rPr>
              <w:t>逃匿的</w:t>
            </w:r>
          </w:p>
        </w:tc>
        <w:tc>
          <w:tcPr>
            <w:tcW w:w="2894" w:type="dxa"/>
            <w:vAlign w:val="top"/>
          </w:tcPr>
          <w:p w14:paraId="439666EA">
            <w:pPr>
              <w:spacing w:line="462" w:lineRule="auto"/>
              <w:rPr>
                <w:rFonts w:ascii="Arial"/>
                <w:sz w:val="21"/>
              </w:rPr>
            </w:pPr>
          </w:p>
          <w:p w14:paraId="5D7E76DC">
            <w:pPr>
              <w:pStyle w:val="6"/>
              <w:spacing w:before="99" w:line="196" w:lineRule="auto"/>
              <w:ind w:left="116" w:right="104" w:firstLine="2"/>
            </w:pPr>
            <w:r>
              <w:rPr>
                <w:spacing w:val="2"/>
              </w:rPr>
              <w:t>处上一年年收入</w:t>
            </w:r>
            <w:r>
              <w:rPr>
                <w:rFonts w:ascii="宋体" w:hAnsi="宋体" w:eastAsia="宋体" w:cs="宋体"/>
                <w:spacing w:val="2"/>
              </w:rPr>
              <w:t>70%</w:t>
            </w:r>
            <w:r>
              <w:rPr>
                <w:spacing w:val="2"/>
              </w:rPr>
              <w:t>至</w:t>
            </w:r>
            <w:r>
              <w:rPr>
                <w:rFonts w:ascii="宋体" w:hAnsi="宋体" w:eastAsia="宋体" w:cs="宋体"/>
                <w:spacing w:val="5"/>
              </w:rPr>
              <w:t>80%</w:t>
            </w:r>
            <w:r>
              <w:rPr>
                <w:spacing w:val="5"/>
              </w:rPr>
              <w:t>的罚款</w:t>
            </w:r>
          </w:p>
        </w:tc>
        <w:tc>
          <w:tcPr>
            <w:tcW w:w="811" w:type="dxa"/>
            <w:vMerge w:val="continue"/>
            <w:tcBorders>
              <w:top w:val="nil"/>
              <w:bottom w:val="nil"/>
            </w:tcBorders>
            <w:vAlign w:val="top"/>
          </w:tcPr>
          <w:p w14:paraId="2FD5EC61">
            <w:pPr>
              <w:rPr>
                <w:rFonts w:ascii="Arial"/>
                <w:sz w:val="21"/>
              </w:rPr>
            </w:pPr>
          </w:p>
        </w:tc>
      </w:tr>
      <w:tr w14:paraId="0DAA9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0" w:hRule="atLeast"/>
        </w:trPr>
        <w:tc>
          <w:tcPr>
            <w:tcW w:w="818" w:type="dxa"/>
            <w:vMerge w:val="continue"/>
            <w:tcBorders>
              <w:top w:val="nil"/>
            </w:tcBorders>
            <w:vAlign w:val="top"/>
          </w:tcPr>
          <w:p w14:paraId="04B35695">
            <w:pPr>
              <w:rPr>
                <w:rFonts w:ascii="Arial"/>
                <w:sz w:val="21"/>
              </w:rPr>
            </w:pPr>
          </w:p>
        </w:tc>
        <w:tc>
          <w:tcPr>
            <w:tcW w:w="1440" w:type="dxa"/>
            <w:vMerge w:val="continue"/>
            <w:tcBorders>
              <w:top w:val="nil"/>
            </w:tcBorders>
            <w:vAlign w:val="top"/>
          </w:tcPr>
          <w:p w14:paraId="03599D7D">
            <w:pPr>
              <w:rPr>
                <w:rFonts w:ascii="Arial"/>
                <w:sz w:val="21"/>
              </w:rPr>
            </w:pPr>
          </w:p>
        </w:tc>
        <w:tc>
          <w:tcPr>
            <w:tcW w:w="3202" w:type="dxa"/>
            <w:vMerge w:val="continue"/>
            <w:tcBorders>
              <w:top w:val="nil"/>
            </w:tcBorders>
            <w:vAlign w:val="top"/>
          </w:tcPr>
          <w:p w14:paraId="1E2788CA">
            <w:pPr>
              <w:rPr>
                <w:rFonts w:ascii="Arial"/>
                <w:sz w:val="21"/>
              </w:rPr>
            </w:pPr>
          </w:p>
        </w:tc>
        <w:tc>
          <w:tcPr>
            <w:tcW w:w="2859" w:type="dxa"/>
            <w:vMerge w:val="continue"/>
            <w:tcBorders>
              <w:top w:val="nil"/>
            </w:tcBorders>
            <w:vAlign w:val="top"/>
          </w:tcPr>
          <w:p w14:paraId="66106B8C">
            <w:pPr>
              <w:rPr>
                <w:rFonts w:ascii="Arial"/>
                <w:sz w:val="21"/>
              </w:rPr>
            </w:pPr>
          </w:p>
        </w:tc>
        <w:tc>
          <w:tcPr>
            <w:tcW w:w="803" w:type="dxa"/>
            <w:vAlign w:val="top"/>
          </w:tcPr>
          <w:p w14:paraId="111BC11E">
            <w:pPr>
              <w:spacing w:line="252" w:lineRule="auto"/>
              <w:rPr>
                <w:rFonts w:ascii="Arial"/>
                <w:sz w:val="21"/>
              </w:rPr>
            </w:pPr>
          </w:p>
          <w:p w14:paraId="65F3D085">
            <w:pPr>
              <w:spacing w:line="253" w:lineRule="auto"/>
              <w:rPr>
                <w:rFonts w:ascii="Arial"/>
                <w:sz w:val="21"/>
              </w:rPr>
            </w:pPr>
          </w:p>
          <w:p w14:paraId="5B902804">
            <w:pPr>
              <w:spacing w:line="253" w:lineRule="auto"/>
              <w:rPr>
                <w:rFonts w:ascii="Arial"/>
                <w:sz w:val="21"/>
              </w:rPr>
            </w:pPr>
          </w:p>
          <w:p w14:paraId="7C5C1D39">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41AAB01">
            <w:pPr>
              <w:pStyle w:val="6"/>
              <w:spacing w:before="196" w:line="188" w:lineRule="auto"/>
              <w:ind w:left="116" w:right="109" w:firstLine="3"/>
              <w:jc w:val="both"/>
            </w:pPr>
            <w:r>
              <w:rPr>
                <w:spacing w:val="26"/>
              </w:rPr>
              <w:t>贻误事故抢救或者造成事故扩大或者影响事故调查或者造成重大社会影响</w:t>
            </w:r>
            <w:r>
              <w:t>的</w:t>
            </w:r>
          </w:p>
        </w:tc>
        <w:tc>
          <w:tcPr>
            <w:tcW w:w="2894" w:type="dxa"/>
            <w:vAlign w:val="top"/>
          </w:tcPr>
          <w:p w14:paraId="6B26DC19">
            <w:pPr>
              <w:spacing w:line="270" w:lineRule="auto"/>
              <w:rPr>
                <w:rFonts w:ascii="Arial"/>
                <w:sz w:val="21"/>
              </w:rPr>
            </w:pPr>
          </w:p>
          <w:p w14:paraId="6936E26C">
            <w:pPr>
              <w:spacing w:line="270" w:lineRule="auto"/>
              <w:rPr>
                <w:rFonts w:ascii="Arial"/>
                <w:sz w:val="21"/>
              </w:rPr>
            </w:pPr>
          </w:p>
          <w:p w14:paraId="529E98A8">
            <w:pPr>
              <w:pStyle w:val="6"/>
              <w:spacing w:before="99" w:line="196" w:lineRule="auto"/>
              <w:ind w:left="132" w:right="104" w:hanging="13"/>
            </w:pPr>
            <w:r>
              <w:rPr>
                <w:spacing w:val="3"/>
              </w:rPr>
              <w:t>处上一年年收入</w:t>
            </w:r>
            <w:r>
              <w:rPr>
                <w:rFonts w:ascii="宋体" w:hAnsi="宋体" w:eastAsia="宋体" w:cs="宋体"/>
                <w:spacing w:val="3"/>
              </w:rPr>
              <w:t>80%</w:t>
            </w:r>
            <w:r>
              <w:rPr>
                <w:spacing w:val="3"/>
              </w:rPr>
              <w:t>至</w:t>
            </w:r>
            <w:r>
              <w:rPr>
                <w:rFonts w:ascii="宋体" w:hAnsi="宋体" w:eastAsia="宋体" w:cs="宋体"/>
                <w:spacing w:val="3"/>
              </w:rPr>
              <w:t>100%</w:t>
            </w:r>
            <w:r>
              <w:rPr>
                <w:spacing w:val="3"/>
              </w:rPr>
              <w:t>的罚款</w:t>
            </w:r>
          </w:p>
        </w:tc>
        <w:tc>
          <w:tcPr>
            <w:tcW w:w="811" w:type="dxa"/>
            <w:vMerge w:val="continue"/>
            <w:tcBorders>
              <w:top w:val="nil"/>
            </w:tcBorders>
            <w:vAlign w:val="top"/>
          </w:tcPr>
          <w:p w14:paraId="18545165">
            <w:pPr>
              <w:rPr>
                <w:rFonts w:ascii="Arial"/>
                <w:sz w:val="21"/>
              </w:rPr>
            </w:pPr>
          </w:p>
        </w:tc>
      </w:tr>
    </w:tbl>
    <w:p w14:paraId="4C678BF5">
      <w:pPr>
        <w:spacing w:before="111" w:line="170" w:lineRule="auto"/>
        <w:ind w:left="231"/>
        <w:rPr>
          <w:rFonts w:ascii="宋体" w:hAnsi="宋体" w:eastAsia="宋体" w:cs="宋体"/>
          <w:sz w:val="28"/>
          <w:szCs w:val="28"/>
        </w:rPr>
      </w:pPr>
      <w:r>
        <w:rPr>
          <w:rFonts w:ascii="宋体" w:hAnsi="宋体" w:eastAsia="宋体" w:cs="宋体"/>
          <w:spacing w:val="-5"/>
          <w:sz w:val="28"/>
          <w:szCs w:val="28"/>
        </w:rPr>
        <w:t>—106—</w:t>
      </w:r>
    </w:p>
    <w:p w14:paraId="51220B70">
      <w:pPr>
        <w:spacing w:line="170" w:lineRule="auto"/>
        <w:rPr>
          <w:rFonts w:ascii="宋体" w:hAnsi="宋体" w:eastAsia="宋体" w:cs="宋体"/>
          <w:sz w:val="28"/>
          <w:szCs w:val="28"/>
        </w:rPr>
        <w:sectPr>
          <w:footerReference r:id="rId107" w:type="default"/>
          <w:pgSz w:w="16839" w:h="11906"/>
          <w:pgMar w:top="1012" w:right="821" w:bottom="400" w:left="901" w:header="0" w:footer="0" w:gutter="0"/>
          <w:cols w:space="720" w:num="1"/>
        </w:sectPr>
      </w:pPr>
    </w:p>
    <w:p w14:paraId="4084AB4C">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01FB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AD0A8AE">
            <w:pPr>
              <w:spacing w:before="222" w:line="241" w:lineRule="auto"/>
              <w:ind w:left="131"/>
              <w:rPr>
                <w:rFonts w:ascii="黑体" w:hAnsi="黑体" w:eastAsia="黑体" w:cs="黑体"/>
                <w:sz w:val="28"/>
                <w:szCs w:val="28"/>
              </w:rPr>
            </w:pPr>
            <w:bookmarkStart w:id="500" w:name="bookmark525"/>
            <w:bookmarkEnd w:id="500"/>
            <w:r>
              <w:rPr>
                <w:rFonts w:ascii="黑体" w:hAnsi="黑体" w:eastAsia="黑体" w:cs="黑体"/>
                <w:spacing w:val="-2"/>
                <w:sz w:val="28"/>
                <w:szCs w:val="28"/>
              </w:rPr>
              <w:t>序号</w:t>
            </w:r>
          </w:p>
        </w:tc>
        <w:tc>
          <w:tcPr>
            <w:tcW w:w="1440" w:type="dxa"/>
            <w:vAlign w:val="top"/>
          </w:tcPr>
          <w:p w14:paraId="05D3298A">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84C0794">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30A071F">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790AD76">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561FC6E">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0850F93">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60BC97B">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1F56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2" w:hRule="atLeast"/>
        </w:trPr>
        <w:tc>
          <w:tcPr>
            <w:tcW w:w="818" w:type="dxa"/>
            <w:vAlign w:val="top"/>
          </w:tcPr>
          <w:p w14:paraId="6FDEBA93">
            <w:pPr>
              <w:rPr>
                <w:rFonts w:ascii="Arial"/>
                <w:sz w:val="21"/>
              </w:rPr>
            </w:pPr>
          </w:p>
        </w:tc>
        <w:tc>
          <w:tcPr>
            <w:tcW w:w="1440" w:type="dxa"/>
            <w:vAlign w:val="top"/>
          </w:tcPr>
          <w:p w14:paraId="28FE4536">
            <w:pPr>
              <w:rPr>
                <w:rFonts w:ascii="Arial"/>
                <w:sz w:val="21"/>
              </w:rPr>
            </w:pPr>
          </w:p>
        </w:tc>
        <w:tc>
          <w:tcPr>
            <w:tcW w:w="3202" w:type="dxa"/>
            <w:vAlign w:val="top"/>
          </w:tcPr>
          <w:p w14:paraId="25AA1692">
            <w:pPr>
              <w:pStyle w:val="6"/>
              <w:spacing w:before="33" w:line="182" w:lineRule="auto"/>
              <w:ind w:left="116" w:right="97" w:firstLine="6"/>
            </w:pPr>
            <w:r>
              <w:rPr>
                <w:spacing w:val="18"/>
              </w:rPr>
              <w:t>事故报告和调查处理条例》</w:t>
            </w:r>
            <w:r>
              <w:rPr>
                <w:spacing w:val="13"/>
              </w:rPr>
              <w:t>第十四条：事故发生单位负责人接到事故报告后，应当</w:t>
            </w:r>
            <w:r>
              <w:rPr>
                <w:spacing w:val="39"/>
              </w:rPr>
              <w:t>立即启动事故相应应急预</w:t>
            </w:r>
            <w:r>
              <w:rPr>
                <w:spacing w:val="9"/>
              </w:rPr>
              <w:t>案，或者采取有效措施，组</w:t>
            </w:r>
            <w:r>
              <w:rPr>
                <w:spacing w:val="7"/>
              </w:rPr>
              <w:t>织抢救，防止事故扩大，减</w:t>
            </w:r>
            <w:r>
              <w:rPr>
                <w:spacing w:val="5"/>
              </w:rPr>
              <w:t>少人员伤亡和财产损失。</w:t>
            </w:r>
          </w:p>
          <w:p w14:paraId="0425EF1B">
            <w:pPr>
              <w:pStyle w:val="6"/>
              <w:spacing w:before="8" w:line="186" w:lineRule="auto"/>
              <w:ind w:left="117" w:right="111" w:firstLine="10"/>
            </w:pPr>
            <w:r>
              <w:rPr>
                <w:spacing w:val="12"/>
              </w:rPr>
              <w:t>第二十六条第二款：事故发</w:t>
            </w:r>
            <w:r>
              <w:rPr>
                <w:spacing w:val="17"/>
              </w:rPr>
              <w:t>生单位的负责人和有关人员在事故调查期间不得擅离职</w:t>
            </w:r>
            <w:r>
              <w:rPr>
                <w:spacing w:val="13"/>
              </w:rPr>
              <w:t>守，并应当随时接受事故调查组的询问，如实提供有关</w:t>
            </w:r>
            <w:r>
              <w:rPr>
                <w:spacing w:val="-4"/>
              </w:rPr>
              <w:t>情况。</w:t>
            </w:r>
          </w:p>
        </w:tc>
        <w:tc>
          <w:tcPr>
            <w:tcW w:w="2859" w:type="dxa"/>
            <w:vAlign w:val="top"/>
          </w:tcPr>
          <w:p w14:paraId="43B97BD3">
            <w:pPr>
              <w:pStyle w:val="6"/>
              <w:spacing w:before="36" w:line="182" w:lineRule="auto"/>
              <w:ind w:left="98" w:right="108" w:firstLine="20"/>
            </w:pPr>
            <w:r>
              <w:rPr>
                <w:spacing w:val="5"/>
              </w:rPr>
              <w:t>例》第三十五条第一项、</w:t>
            </w:r>
            <w:r>
              <w:rPr>
                <w:spacing w:val="3"/>
              </w:rPr>
              <w:t>第三项：事故发生单位主</w:t>
            </w:r>
            <w:r>
              <w:rPr>
                <w:spacing w:val="7"/>
              </w:rPr>
              <w:t>要负责人有下列行为之一</w:t>
            </w:r>
            <w:r>
              <w:rPr>
                <w:spacing w:val="9"/>
              </w:rPr>
              <w:t>的，处上一年年收入</w:t>
            </w:r>
            <w:r>
              <w:rPr>
                <w:rFonts w:ascii="宋体" w:hAnsi="宋体" w:eastAsia="宋体" w:cs="宋体"/>
                <w:spacing w:val="9"/>
              </w:rPr>
              <w:t>40%</w:t>
            </w:r>
            <w:r>
              <w:rPr>
                <w:spacing w:val="9"/>
              </w:rPr>
              <w:t>至</w:t>
            </w:r>
            <w:r>
              <w:rPr>
                <w:rFonts w:ascii="宋体" w:hAnsi="宋体" w:eastAsia="宋体" w:cs="宋体"/>
                <w:spacing w:val="9"/>
              </w:rPr>
              <w:t>80%</w:t>
            </w:r>
            <w:r>
              <w:rPr>
                <w:spacing w:val="9"/>
              </w:rPr>
              <w:t>的罚款；属于国家</w:t>
            </w:r>
            <w:r>
              <w:rPr>
                <w:spacing w:val="10"/>
              </w:rPr>
              <w:t>工作人员的，并依法给予处分；构成犯罪的，依法</w:t>
            </w:r>
            <w:r>
              <w:rPr>
                <w:spacing w:val="-5"/>
              </w:rPr>
              <w:t>追究刑事责任：（一）不</w:t>
            </w:r>
            <w:r>
              <w:rPr>
                <w:spacing w:val="30"/>
              </w:rPr>
              <w:t>立即组织事故抢救的；</w:t>
            </w:r>
            <w:r>
              <w:rPr>
                <w:spacing w:val="10"/>
              </w:rPr>
              <w:t>（三）在事故调查处理期</w:t>
            </w:r>
            <w:r>
              <w:rPr>
                <w:spacing w:val="5"/>
              </w:rPr>
              <w:t>间擅离职守的。</w:t>
            </w:r>
          </w:p>
          <w:p w14:paraId="233B7AD5">
            <w:pPr>
              <w:pStyle w:val="6"/>
              <w:spacing w:before="11" w:line="182" w:lineRule="auto"/>
              <w:ind w:left="117" w:right="108" w:firstLine="10"/>
              <w:jc w:val="both"/>
            </w:pPr>
            <w:r>
              <w:rPr>
                <w:spacing w:val="7"/>
              </w:rPr>
              <w:t>第三十六条第六项：事故</w:t>
            </w:r>
            <w:r>
              <w:rPr>
                <w:spacing w:val="8"/>
              </w:rPr>
              <w:t>发生单位及其有关人员有下列行为之一的，对事故</w:t>
            </w:r>
            <w:r>
              <w:rPr>
                <w:spacing w:val="2"/>
              </w:rPr>
              <w:t>发生单位处</w:t>
            </w:r>
            <w:r>
              <w:rPr>
                <w:rFonts w:ascii="宋体" w:hAnsi="宋体" w:eastAsia="宋体" w:cs="宋体"/>
                <w:spacing w:val="2"/>
              </w:rPr>
              <w:t>100</w:t>
            </w:r>
            <w:r>
              <w:rPr>
                <w:spacing w:val="2"/>
              </w:rPr>
              <w:t>万元以上</w:t>
            </w:r>
            <w:r>
              <w:rPr>
                <w:rFonts w:ascii="宋体" w:hAnsi="宋体" w:eastAsia="宋体" w:cs="宋体"/>
                <w:spacing w:val="6"/>
              </w:rPr>
              <w:t>500</w:t>
            </w:r>
            <w:r>
              <w:rPr>
                <w:spacing w:val="6"/>
              </w:rPr>
              <w:t>万元以下的罚款；对</w:t>
            </w:r>
            <w:r>
              <w:rPr>
                <w:spacing w:val="8"/>
              </w:rPr>
              <w:t>主要负责人、直接负责的主管人员和其他直接责任</w:t>
            </w:r>
            <w:r>
              <w:rPr>
                <w:spacing w:val="11"/>
              </w:rPr>
              <w:t>人员处上一年年收入</w:t>
            </w:r>
            <w:r>
              <w:rPr>
                <w:rFonts w:ascii="宋体" w:hAnsi="宋体" w:eastAsia="宋体" w:cs="宋体"/>
                <w:spacing w:val="11"/>
              </w:rPr>
              <w:t>60%</w:t>
            </w:r>
            <w:r>
              <w:t>至</w:t>
            </w:r>
            <w:r>
              <w:rPr>
                <w:rFonts w:ascii="宋体" w:hAnsi="宋体" w:eastAsia="宋体" w:cs="宋体"/>
              </w:rPr>
              <w:t>100%</w:t>
            </w:r>
            <w:r>
              <w:t>的罚款；属于国家</w:t>
            </w:r>
            <w:r>
              <w:rPr>
                <w:spacing w:val="8"/>
              </w:rPr>
              <w:t>工作人员的，并依法给予处分；构成违反治安管理</w:t>
            </w:r>
            <w:r>
              <w:rPr>
                <w:spacing w:val="2"/>
              </w:rPr>
              <w:t>行为的，由公安机关依法</w:t>
            </w:r>
            <w:r>
              <w:rPr>
                <w:spacing w:val="8"/>
              </w:rPr>
              <w:t>给予治安管理处罚；构成</w:t>
            </w:r>
            <w:r>
              <w:rPr>
                <w:spacing w:val="4"/>
              </w:rPr>
              <w:t>犯罪的，依法追究刑事责</w:t>
            </w:r>
            <w:r>
              <w:rPr>
                <w:spacing w:val="9"/>
              </w:rPr>
              <w:t>任</w:t>
            </w:r>
            <w:r>
              <w:rPr>
                <w:spacing w:val="6"/>
              </w:rPr>
              <w:t>：（</w:t>
            </w:r>
            <w:r>
              <w:rPr>
                <w:spacing w:val="9"/>
              </w:rPr>
              <w:t>六）事故发生后逃</w:t>
            </w:r>
            <w:r>
              <w:rPr>
                <w:spacing w:val="-4"/>
              </w:rPr>
              <w:t>匿的。</w:t>
            </w:r>
          </w:p>
          <w:p w14:paraId="08FCB57A">
            <w:pPr>
              <w:pStyle w:val="6"/>
              <w:spacing w:line="175" w:lineRule="auto"/>
              <w:ind w:left="117" w:right="110"/>
              <w:jc w:val="both"/>
            </w:pPr>
            <w:r>
              <w:rPr>
                <w:rFonts w:ascii="宋体" w:hAnsi="宋体" w:eastAsia="宋体" w:cs="宋体"/>
                <w:spacing w:val="7"/>
              </w:rPr>
              <w:t>3.</w:t>
            </w:r>
            <w:r>
              <w:rPr>
                <w:spacing w:val="7"/>
              </w:rPr>
              <w:t>【部门规章】《生产安</w:t>
            </w:r>
            <w:r>
              <w:rPr>
                <w:spacing w:val="8"/>
              </w:rPr>
              <w:t>全事故罚款处罚规定》第十一条第一项：事故发生</w:t>
            </w:r>
          </w:p>
        </w:tc>
        <w:tc>
          <w:tcPr>
            <w:tcW w:w="803" w:type="dxa"/>
            <w:vAlign w:val="top"/>
          </w:tcPr>
          <w:p w14:paraId="06793AA2">
            <w:pPr>
              <w:rPr>
                <w:rFonts w:ascii="Arial"/>
                <w:sz w:val="21"/>
              </w:rPr>
            </w:pPr>
          </w:p>
        </w:tc>
        <w:tc>
          <w:tcPr>
            <w:tcW w:w="2283" w:type="dxa"/>
            <w:vAlign w:val="top"/>
          </w:tcPr>
          <w:p w14:paraId="02C47DC0">
            <w:pPr>
              <w:rPr>
                <w:rFonts w:ascii="Arial"/>
                <w:sz w:val="21"/>
              </w:rPr>
            </w:pPr>
          </w:p>
        </w:tc>
        <w:tc>
          <w:tcPr>
            <w:tcW w:w="2894" w:type="dxa"/>
            <w:vAlign w:val="top"/>
          </w:tcPr>
          <w:p w14:paraId="5CDAA7E4">
            <w:pPr>
              <w:rPr>
                <w:rFonts w:ascii="Arial"/>
                <w:sz w:val="21"/>
              </w:rPr>
            </w:pPr>
          </w:p>
        </w:tc>
        <w:tc>
          <w:tcPr>
            <w:tcW w:w="811" w:type="dxa"/>
            <w:vAlign w:val="top"/>
          </w:tcPr>
          <w:p w14:paraId="3EAD5A67">
            <w:pPr>
              <w:rPr>
                <w:rFonts w:ascii="Arial"/>
                <w:sz w:val="21"/>
              </w:rPr>
            </w:pPr>
          </w:p>
        </w:tc>
      </w:tr>
    </w:tbl>
    <w:p w14:paraId="403DBF03">
      <w:pPr>
        <w:pStyle w:val="2"/>
      </w:pPr>
    </w:p>
    <w:p w14:paraId="70EE9DFA">
      <w:pPr>
        <w:sectPr>
          <w:footerReference r:id="rId108" w:type="default"/>
          <w:pgSz w:w="16839" w:h="11906"/>
          <w:pgMar w:top="1012" w:right="821" w:bottom="667" w:left="901" w:header="0" w:footer="388" w:gutter="0"/>
          <w:cols w:space="720" w:num="1"/>
        </w:sectPr>
      </w:pPr>
    </w:p>
    <w:p w14:paraId="3BE63899">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4EF6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818" w:type="dxa"/>
            <w:vAlign w:val="top"/>
          </w:tcPr>
          <w:p w14:paraId="0FB9E451">
            <w:pPr>
              <w:spacing w:before="222" w:line="241" w:lineRule="auto"/>
              <w:ind w:left="131"/>
              <w:rPr>
                <w:rFonts w:ascii="黑体" w:hAnsi="黑体" w:eastAsia="黑体" w:cs="黑体"/>
                <w:sz w:val="28"/>
                <w:szCs w:val="28"/>
              </w:rPr>
            </w:pPr>
            <w:bookmarkStart w:id="501" w:name="bookmark526"/>
            <w:bookmarkEnd w:id="501"/>
            <w:r>
              <w:rPr>
                <w:rFonts w:ascii="黑体" w:hAnsi="黑体" w:eastAsia="黑体" w:cs="黑体"/>
                <w:spacing w:val="-2"/>
                <w:sz w:val="28"/>
                <w:szCs w:val="28"/>
              </w:rPr>
              <w:t>序号</w:t>
            </w:r>
          </w:p>
        </w:tc>
        <w:tc>
          <w:tcPr>
            <w:tcW w:w="1440" w:type="dxa"/>
            <w:vAlign w:val="top"/>
          </w:tcPr>
          <w:p w14:paraId="1DF651DE">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E5B7FD9">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A2E110A">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07402B2">
            <w:pPr>
              <w:spacing w:before="42" w:line="223"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26687F3">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AEB6445">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006BA2B">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1E035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2" w:hRule="atLeast"/>
        </w:trPr>
        <w:tc>
          <w:tcPr>
            <w:tcW w:w="818" w:type="dxa"/>
            <w:vAlign w:val="top"/>
          </w:tcPr>
          <w:p w14:paraId="5A6295DE">
            <w:pPr>
              <w:rPr>
                <w:rFonts w:ascii="Arial"/>
                <w:sz w:val="21"/>
              </w:rPr>
            </w:pPr>
          </w:p>
        </w:tc>
        <w:tc>
          <w:tcPr>
            <w:tcW w:w="1440" w:type="dxa"/>
            <w:vAlign w:val="top"/>
          </w:tcPr>
          <w:p w14:paraId="4ADE636F">
            <w:pPr>
              <w:rPr>
                <w:rFonts w:ascii="Arial"/>
                <w:sz w:val="21"/>
              </w:rPr>
            </w:pPr>
          </w:p>
        </w:tc>
        <w:tc>
          <w:tcPr>
            <w:tcW w:w="3202" w:type="dxa"/>
            <w:vAlign w:val="top"/>
          </w:tcPr>
          <w:p w14:paraId="1CAAF8FE">
            <w:pPr>
              <w:rPr>
                <w:rFonts w:ascii="Arial"/>
                <w:sz w:val="21"/>
              </w:rPr>
            </w:pPr>
          </w:p>
        </w:tc>
        <w:tc>
          <w:tcPr>
            <w:tcW w:w="2859" w:type="dxa"/>
            <w:vAlign w:val="top"/>
          </w:tcPr>
          <w:p w14:paraId="1CB1E85F">
            <w:pPr>
              <w:pStyle w:val="6"/>
              <w:spacing w:before="31" w:line="182" w:lineRule="auto"/>
              <w:ind w:left="119" w:right="97" w:firstLine="2"/>
              <w:jc w:val="both"/>
            </w:pPr>
            <w:r>
              <w:rPr>
                <w:spacing w:val="8"/>
              </w:rPr>
              <w:t>单位主要负责人有《中华</w:t>
            </w:r>
            <w:r>
              <w:rPr>
                <w:spacing w:val="9"/>
              </w:rPr>
              <w:t>人民共和国安全生产法》</w:t>
            </w:r>
            <w:r>
              <w:rPr>
                <w:spacing w:val="8"/>
              </w:rPr>
              <w:t>第一百一十条、《生产安</w:t>
            </w:r>
          </w:p>
          <w:p w14:paraId="171CDA20">
            <w:pPr>
              <w:pStyle w:val="6"/>
              <w:spacing w:line="182" w:lineRule="auto"/>
              <w:ind w:left="117"/>
              <w:outlineLvl w:val="0"/>
            </w:pPr>
            <w:r>
              <w:rPr>
                <w:spacing w:val="8"/>
              </w:rPr>
              <w:t>全事故报告和调查处理条</w:t>
            </w:r>
          </w:p>
          <w:p w14:paraId="51D892F7">
            <w:pPr>
              <w:pStyle w:val="6"/>
              <w:spacing w:before="1" w:line="181" w:lineRule="auto"/>
              <w:ind w:left="113" w:right="19" w:firstLine="5"/>
              <w:jc w:val="both"/>
            </w:pPr>
            <w:r>
              <w:rPr>
                <w:spacing w:val="8"/>
              </w:rPr>
              <w:t>例》第三十五条、第三十</w:t>
            </w:r>
            <w:bookmarkStart w:id="502" w:name="bookmark185"/>
            <w:bookmarkEnd w:id="502"/>
            <w:r>
              <w:rPr>
                <w:spacing w:val="6"/>
              </w:rPr>
              <w:t>六条规定的下列行为之一</w:t>
            </w:r>
            <w:r>
              <w:rPr>
                <w:spacing w:val="9"/>
              </w:rPr>
              <w:t>的，依照下列规定处以罚</w:t>
            </w:r>
            <w:r>
              <w:rPr>
                <w:spacing w:val="-3"/>
              </w:rPr>
              <w:t>款</w:t>
            </w:r>
            <w:r>
              <w:rPr>
                <w:spacing w:val="-6"/>
              </w:rPr>
              <w:t>：（</w:t>
            </w:r>
            <w:r>
              <w:rPr>
                <w:spacing w:val="-3"/>
              </w:rPr>
              <w:t>一）事故发生单位</w:t>
            </w:r>
            <w:r>
              <w:rPr>
                <w:spacing w:val="9"/>
              </w:rPr>
              <w:t>主要负责人在事故发生后</w:t>
            </w:r>
            <w:r>
              <w:rPr>
                <w:spacing w:val="2"/>
              </w:rPr>
              <w:t>不立即组织事故抢救，或</w:t>
            </w:r>
            <w:r>
              <w:rPr>
                <w:spacing w:val="9"/>
              </w:rPr>
              <w:t>者在事故调查处理期间擅</w:t>
            </w:r>
            <w:r>
              <w:rPr>
                <w:spacing w:val="-4"/>
              </w:rPr>
              <w:t>离职守，或者瞒报、谎报、</w:t>
            </w:r>
            <w:r>
              <w:rPr>
                <w:spacing w:val="9"/>
              </w:rPr>
              <w:t>迟报事故，或者事故发生后逃匿的，处上一年年收</w:t>
            </w:r>
            <w:r>
              <w:rPr>
                <w:spacing w:val="-3"/>
              </w:rPr>
              <w:t>入</w:t>
            </w:r>
            <w:r>
              <w:rPr>
                <w:rFonts w:ascii="宋体" w:hAnsi="宋体" w:eastAsia="宋体" w:cs="宋体"/>
                <w:spacing w:val="-3"/>
              </w:rPr>
              <w:t>60%</w:t>
            </w:r>
            <w:r>
              <w:rPr>
                <w:spacing w:val="-3"/>
              </w:rPr>
              <w:t>至</w:t>
            </w:r>
            <w:r>
              <w:rPr>
                <w:rFonts w:ascii="宋体" w:hAnsi="宋体" w:eastAsia="宋体" w:cs="宋体"/>
                <w:spacing w:val="-3"/>
              </w:rPr>
              <w:t>80%</w:t>
            </w:r>
            <w:r>
              <w:rPr>
                <w:spacing w:val="-3"/>
              </w:rPr>
              <w:t>的罚款；贻误</w:t>
            </w:r>
            <w:r>
              <w:rPr>
                <w:spacing w:val="9"/>
              </w:rPr>
              <w:t>事故抢救或者造成事故扩大或者影响事故调查或者</w:t>
            </w:r>
            <w:r>
              <w:rPr>
                <w:spacing w:val="2"/>
              </w:rPr>
              <w:t>造成重大社会影响的，处</w:t>
            </w:r>
            <w:r>
              <w:rPr>
                <w:spacing w:val="4"/>
              </w:rPr>
              <w:t>上一年年收入</w:t>
            </w:r>
            <w:r>
              <w:rPr>
                <w:rFonts w:ascii="宋体" w:hAnsi="宋体" w:eastAsia="宋体" w:cs="宋体"/>
                <w:spacing w:val="4"/>
              </w:rPr>
              <w:t>80%</w:t>
            </w:r>
            <w:r>
              <w:rPr>
                <w:spacing w:val="4"/>
              </w:rPr>
              <w:t>至</w:t>
            </w:r>
            <w:r>
              <w:rPr>
                <w:rFonts w:ascii="宋体" w:hAnsi="宋体" w:eastAsia="宋体" w:cs="宋体"/>
                <w:spacing w:val="4"/>
              </w:rPr>
              <w:t>100%</w:t>
            </w:r>
            <w:r>
              <w:rPr>
                <w:spacing w:val="-3"/>
              </w:rPr>
              <w:t>的罚款；</w:t>
            </w:r>
          </w:p>
        </w:tc>
        <w:tc>
          <w:tcPr>
            <w:tcW w:w="803" w:type="dxa"/>
            <w:vAlign w:val="top"/>
          </w:tcPr>
          <w:p w14:paraId="77E8FC83">
            <w:pPr>
              <w:rPr>
                <w:rFonts w:ascii="Arial"/>
                <w:sz w:val="21"/>
              </w:rPr>
            </w:pPr>
          </w:p>
        </w:tc>
        <w:tc>
          <w:tcPr>
            <w:tcW w:w="2283" w:type="dxa"/>
            <w:vAlign w:val="top"/>
          </w:tcPr>
          <w:p w14:paraId="0D5C597D">
            <w:pPr>
              <w:rPr>
                <w:rFonts w:ascii="Arial"/>
                <w:sz w:val="21"/>
              </w:rPr>
            </w:pPr>
          </w:p>
        </w:tc>
        <w:tc>
          <w:tcPr>
            <w:tcW w:w="2894" w:type="dxa"/>
            <w:vAlign w:val="top"/>
          </w:tcPr>
          <w:p w14:paraId="777B1CED">
            <w:pPr>
              <w:rPr>
                <w:rFonts w:ascii="Arial"/>
                <w:sz w:val="21"/>
              </w:rPr>
            </w:pPr>
          </w:p>
        </w:tc>
        <w:tc>
          <w:tcPr>
            <w:tcW w:w="811" w:type="dxa"/>
            <w:vAlign w:val="top"/>
          </w:tcPr>
          <w:p w14:paraId="7B2C9B81">
            <w:pPr>
              <w:rPr>
                <w:rFonts w:ascii="Arial"/>
                <w:sz w:val="21"/>
              </w:rPr>
            </w:pPr>
          </w:p>
        </w:tc>
      </w:tr>
      <w:tr w14:paraId="62A58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6" w:hRule="atLeast"/>
        </w:trPr>
        <w:tc>
          <w:tcPr>
            <w:tcW w:w="818" w:type="dxa"/>
            <w:vAlign w:val="top"/>
          </w:tcPr>
          <w:p w14:paraId="6E36E93A">
            <w:pPr>
              <w:spacing w:line="268" w:lineRule="auto"/>
              <w:rPr>
                <w:rFonts w:ascii="Arial"/>
                <w:sz w:val="21"/>
              </w:rPr>
            </w:pPr>
          </w:p>
          <w:p w14:paraId="62EF7CB3">
            <w:pPr>
              <w:spacing w:line="268" w:lineRule="auto"/>
              <w:rPr>
                <w:rFonts w:ascii="Arial"/>
                <w:sz w:val="21"/>
              </w:rPr>
            </w:pPr>
          </w:p>
          <w:p w14:paraId="106B2E3F">
            <w:pPr>
              <w:spacing w:line="268" w:lineRule="auto"/>
              <w:rPr>
                <w:rFonts w:ascii="Arial"/>
                <w:sz w:val="21"/>
              </w:rPr>
            </w:pPr>
          </w:p>
          <w:p w14:paraId="1CA336F1">
            <w:pPr>
              <w:spacing w:line="269" w:lineRule="auto"/>
              <w:rPr>
                <w:rFonts w:ascii="Arial"/>
                <w:sz w:val="21"/>
              </w:rPr>
            </w:pPr>
          </w:p>
          <w:p w14:paraId="1B94FBFA">
            <w:pPr>
              <w:spacing w:line="269" w:lineRule="auto"/>
              <w:rPr>
                <w:rFonts w:ascii="Arial"/>
                <w:sz w:val="21"/>
              </w:rPr>
            </w:pPr>
          </w:p>
          <w:p w14:paraId="1204E040">
            <w:pPr>
              <w:spacing w:before="75" w:line="185" w:lineRule="auto"/>
              <w:ind w:left="235"/>
              <w:rPr>
                <w:rFonts w:ascii="仿宋" w:hAnsi="仿宋" w:eastAsia="仿宋" w:cs="仿宋"/>
                <w:sz w:val="23"/>
                <w:szCs w:val="23"/>
              </w:rPr>
            </w:pPr>
            <w:r>
              <w:rPr>
                <w:rFonts w:ascii="仿宋" w:hAnsi="仿宋" w:eastAsia="仿宋" w:cs="仿宋"/>
                <w:spacing w:val="-2"/>
                <w:sz w:val="23"/>
                <w:szCs w:val="23"/>
              </w:rPr>
              <w:t>89</w:t>
            </w:r>
          </w:p>
        </w:tc>
        <w:tc>
          <w:tcPr>
            <w:tcW w:w="1440" w:type="dxa"/>
            <w:vAlign w:val="top"/>
          </w:tcPr>
          <w:p w14:paraId="1A862B82">
            <w:pPr>
              <w:spacing w:line="373" w:lineRule="auto"/>
              <w:rPr>
                <w:rFonts w:ascii="Arial"/>
                <w:sz w:val="21"/>
              </w:rPr>
            </w:pPr>
          </w:p>
          <w:p w14:paraId="21BA182F">
            <w:pPr>
              <w:pStyle w:val="6"/>
              <w:spacing w:before="98" w:line="187" w:lineRule="auto"/>
              <w:ind w:left="115" w:right="111" w:firstLine="13"/>
              <w:jc w:val="both"/>
            </w:pPr>
            <w:r>
              <w:rPr>
                <w:spacing w:val="8"/>
              </w:rPr>
              <w:t>生产经营单</w:t>
            </w:r>
            <w:r>
              <w:rPr>
                <w:spacing w:val="11"/>
              </w:rPr>
              <w:t>位的主要负责人对生产安全事故隐瞒不报、谎报或者迟报</w:t>
            </w:r>
            <w:r>
              <w:t>的</w:t>
            </w:r>
          </w:p>
        </w:tc>
        <w:tc>
          <w:tcPr>
            <w:tcW w:w="3202" w:type="dxa"/>
            <w:vAlign w:val="top"/>
          </w:tcPr>
          <w:p w14:paraId="3009E980">
            <w:pPr>
              <w:pStyle w:val="6"/>
              <w:spacing w:before="38" w:line="182" w:lineRule="auto"/>
              <w:ind w:left="120" w:right="42" w:firstLine="11"/>
              <w:jc w:val="both"/>
            </w:pPr>
            <w:r>
              <w:rPr>
                <w:rFonts w:ascii="宋体" w:hAnsi="宋体" w:eastAsia="宋体" w:cs="宋体"/>
                <w:spacing w:val="14"/>
              </w:rPr>
              <w:t>1.</w:t>
            </w:r>
            <w:r>
              <w:rPr>
                <w:spacing w:val="14"/>
              </w:rPr>
              <w:t>【法律】《中华人民共和</w:t>
            </w:r>
            <w:r>
              <w:rPr>
                <w:spacing w:val="3"/>
              </w:rPr>
              <w:t>国安全生产法》第八十三条：</w:t>
            </w:r>
            <w:r>
              <w:rPr>
                <w:spacing w:val="17"/>
              </w:rPr>
              <w:t>生产经营单位发生生产安全</w:t>
            </w:r>
            <w:r>
              <w:rPr>
                <w:spacing w:val="13"/>
              </w:rPr>
              <w:t>事故后，事故现场有关人员</w:t>
            </w:r>
            <w:r>
              <w:rPr>
                <w:spacing w:val="39"/>
              </w:rPr>
              <w:t>应当立即报告本单位负责</w:t>
            </w:r>
            <w:r>
              <w:rPr>
                <w:spacing w:val="-8"/>
              </w:rPr>
              <w:t>人。</w:t>
            </w:r>
          </w:p>
          <w:p w14:paraId="6C9C47CE">
            <w:pPr>
              <w:pStyle w:val="6"/>
              <w:spacing w:line="191" w:lineRule="auto"/>
              <w:ind w:left="123" w:right="40"/>
              <w:jc w:val="both"/>
            </w:pPr>
            <w:r>
              <w:rPr>
                <w:spacing w:val="39"/>
              </w:rPr>
              <w:t>单位负责人接到事故报告</w:t>
            </w:r>
            <w:r>
              <w:rPr>
                <w:spacing w:val="3"/>
              </w:rPr>
              <w:t>后，应当迅速采取有效措施，</w:t>
            </w:r>
            <w:r>
              <w:rPr>
                <w:spacing w:val="8"/>
              </w:rPr>
              <w:t>组织抢救，防止事故扩大，</w:t>
            </w:r>
          </w:p>
        </w:tc>
        <w:tc>
          <w:tcPr>
            <w:tcW w:w="2859" w:type="dxa"/>
            <w:vAlign w:val="top"/>
          </w:tcPr>
          <w:p w14:paraId="39638454">
            <w:pPr>
              <w:pStyle w:val="6"/>
              <w:spacing w:before="38" w:line="185" w:lineRule="auto"/>
              <w:ind w:left="117" w:right="110" w:firstLine="13"/>
              <w:jc w:val="both"/>
            </w:pPr>
            <w:r>
              <w:rPr>
                <w:rFonts w:ascii="宋体" w:hAnsi="宋体" w:eastAsia="宋体" w:cs="宋体"/>
                <w:spacing w:val="6"/>
              </w:rPr>
              <w:t>1.</w:t>
            </w:r>
            <w:r>
              <w:rPr>
                <w:spacing w:val="6"/>
              </w:rPr>
              <w:t>【法律】《中华人民共</w:t>
            </w:r>
            <w:r>
              <w:rPr>
                <w:spacing w:val="8"/>
              </w:rPr>
              <w:t>和国安全生产法》第一百</w:t>
            </w:r>
            <w:r>
              <w:rPr>
                <w:spacing w:val="2"/>
              </w:rPr>
              <w:t>一十条：生产经营单位的</w:t>
            </w:r>
            <w:r>
              <w:rPr>
                <w:spacing w:val="8"/>
              </w:rPr>
              <w:t>主要负责人在本单位发生生产安全事故时，不立即组织抢救或者在事故调查处理期间擅离职守或者逃匿的，给予降级、撤职的处分，并由应急管理部门</w:t>
            </w:r>
          </w:p>
        </w:tc>
        <w:tc>
          <w:tcPr>
            <w:tcW w:w="803" w:type="dxa"/>
            <w:vAlign w:val="top"/>
          </w:tcPr>
          <w:p w14:paraId="2821504A">
            <w:pPr>
              <w:spacing w:line="267" w:lineRule="auto"/>
              <w:rPr>
                <w:rFonts w:ascii="Arial"/>
                <w:sz w:val="21"/>
              </w:rPr>
            </w:pPr>
          </w:p>
          <w:p w14:paraId="29F1E2C6">
            <w:pPr>
              <w:spacing w:line="267" w:lineRule="auto"/>
              <w:rPr>
                <w:rFonts w:ascii="Arial"/>
                <w:sz w:val="21"/>
              </w:rPr>
            </w:pPr>
          </w:p>
          <w:p w14:paraId="6E0265D4">
            <w:pPr>
              <w:spacing w:line="267" w:lineRule="auto"/>
              <w:rPr>
                <w:rFonts w:ascii="Arial"/>
                <w:sz w:val="21"/>
              </w:rPr>
            </w:pPr>
          </w:p>
          <w:p w14:paraId="27573CB2">
            <w:pPr>
              <w:spacing w:line="267" w:lineRule="auto"/>
              <w:rPr>
                <w:rFonts w:ascii="Arial"/>
                <w:sz w:val="21"/>
              </w:rPr>
            </w:pPr>
          </w:p>
          <w:p w14:paraId="7A83795E">
            <w:pPr>
              <w:spacing w:line="268" w:lineRule="auto"/>
              <w:rPr>
                <w:rFonts w:ascii="Arial"/>
                <w:sz w:val="21"/>
              </w:rPr>
            </w:pPr>
          </w:p>
          <w:p w14:paraId="0A5D28B1">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095F19D">
            <w:pPr>
              <w:spacing w:line="280" w:lineRule="auto"/>
              <w:rPr>
                <w:rFonts w:ascii="Arial"/>
                <w:sz w:val="21"/>
              </w:rPr>
            </w:pPr>
          </w:p>
          <w:p w14:paraId="1C7BD5A5">
            <w:pPr>
              <w:spacing w:line="280" w:lineRule="auto"/>
              <w:rPr>
                <w:rFonts w:ascii="Arial"/>
                <w:sz w:val="21"/>
              </w:rPr>
            </w:pPr>
          </w:p>
          <w:p w14:paraId="6C55811C">
            <w:pPr>
              <w:spacing w:line="280" w:lineRule="auto"/>
              <w:rPr>
                <w:rFonts w:ascii="Arial"/>
                <w:sz w:val="21"/>
              </w:rPr>
            </w:pPr>
          </w:p>
          <w:p w14:paraId="4480EDC6">
            <w:pPr>
              <w:spacing w:line="281" w:lineRule="auto"/>
              <w:rPr>
                <w:rFonts w:ascii="Arial"/>
                <w:sz w:val="21"/>
              </w:rPr>
            </w:pPr>
          </w:p>
          <w:p w14:paraId="7B5FB9D4">
            <w:pPr>
              <w:pStyle w:val="6"/>
              <w:spacing w:before="99" w:line="197" w:lineRule="auto"/>
              <w:ind w:left="139" w:right="109" w:hanging="26"/>
            </w:pPr>
            <w:r>
              <w:rPr>
                <w:spacing w:val="26"/>
              </w:rPr>
              <w:t>迟报生产安全事故</w:t>
            </w:r>
            <w:r>
              <w:t>的</w:t>
            </w:r>
          </w:p>
        </w:tc>
        <w:tc>
          <w:tcPr>
            <w:tcW w:w="2894" w:type="dxa"/>
            <w:vAlign w:val="top"/>
          </w:tcPr>
          <w:p w14:paraId="7BBFDDBE">
            <w:pPr>
              <w:spacing w:line="280" w:lineRule="auto"/>
              <w:rPr>
                <w:rFonts w:ascii="Arial"/>
                <w:sz w:val="21"/>
              </w:rPr>
            </w:pPr>
          </w:p>
          <w:p w14:paraId="3B03785F">
            <w:pPr>
              <w:spacing w:line="280" w:lineRule="auto"/>
              <w:rPr>
                <w:rFonts w:ascii="Arial"/>
                <w:sz w:val="21"/>
              </w:rPr>
            </w:pPr>
          </w:p>
          <w:p w14:paraId="72C0DF19">
            <w:pPr>
              <w:spacing w:line="280" w:lineRule="auto"/>
              <w:rPr>
                <w:rFonts w:ascii="Arial"/>
                <w:sz w:val="21"/>
              </w:rPr>
            </w:pPr>
          </w:p>
          <w:p w14:paraId="50D2F981">
            <w:pPr>
              <w:spacing w:line="280" w:lineRule="auto"/>
              <w:rPr>
                <w:rFonts w:ascii="Arial"/>
                <w:sz w:val="21"/>
              </w:rPr>
            </w:pPr>
          </w:p>
          <w:p w14:paraId="7E64E421">
            <w:pPr>
              <w:pStyle w:val="6"/>
              <w:spacing w:before="98" w:line="196" w:lineRule="auto"/>
              <w:ind w:left="120" w:right="105" w:hanging="1"/>
            </w:pPr>
            <w:r>
              <w:rPr>
                <w:spacing w:val="13"/>
              </w:rPr>
              <w:t>处上一年年收入</w:t>
            </w:r>
            <w:r>
              <w:rPr>
                <w:rFonts w:ascii="宋体" w:hAnsi="宋体" w:eastAsia="宋体" w:cs="宋体"/>
                <w:spacing w:val="13"/>
              </w:rPr>
              <w:t>60%</w:t>
            </w:r>
            <w:r>
              <w:rPr>
                <w:spacing w:val="13"/>
              </w:rPr>
              <w:t>以上</w:t>
            </w:r>
            <w:r>
              <w:rPr>
                <w:rFonts w:ascii="宋体" w:hAnsi="宋体" w:eastAsia="宋体" w:cs="宋体"/>
                <w:spacing w:val="5"/>
              </w:rPr>
              <w:t>70%</w:t>
            </w:r>
            <w:r>
              <w:rPr>
                <w:spacing w:val="5"/>
              </w:rPr>
              <w:t>以下的罚款</w:t>
            </w:r>
          </w:p>
        </w:tc>
        <w:tc>
          <w:tcPr>
            <w:tcW w:w="811" w:type="dxa"/>
            <w:vAlign w:val="top"/>
          </w:tcPr>
          <w:p w14:paraId="5A4676FE">
            <w:pPr>
              <w:spacing w:line="267" w:lineRule="auto"/>
              <w:rPr>
                <w:rFonts w:ascii="Arial"/>
                <w:sz w:val="21"/>
              </w:rPr>
            </w:pPr>
          </w:p>
          <w:p w14:paraId="0CC5B3C5">
            <w:pPr>
              <w:spacing w:line="267" w:lineRule="auto"/>
              <w:rPr>
                <w:rFonts w:ascii="Arial"/>
                <w:sz w:val="21"/>
              </w:rPr>
            </w:pPr>
          </w:p>
          <w:p w14:paraId="0CD0D4A4">
            <w:pPr>
              <w:spacing w:line="268" w:lineRule="auto"/>
              <w:rPr>
                <w:rFonts w:ascii="Arial"/>
                <w:sz w:val="21"/>
              </w:rPr>
            </w:pPr>
          </w:p>
          <w:p w14:paraId="4F2941FA">
            <w:pPr>
              <w:spacing w:line="268" w:lineRule="auto"/>
              <w:rPr>
                <w:rFonts w:ascii="Arial"/>
                <w:sz w:val="21"/>
              </w:rPr>
            </w:pPr>
          </w:p>
          <w:p w14:paraId="010D0277">
            <w:pPr>
              <w:spacing w:line="268" w:lineRule="auto"/>
              <w:rPr>
                <w:rFonts w:ascii="Arial"/>
                <w:sz w:val="21"/>
              </w:rPr>
            </w:pPr>
          </w:p>
          <w:p w14:paraId="20477CCD">
            <w:pPr>
              <w:spacing w:before="75" w:line="188" w:lineRule="auto"/>
              <w:ind w:left="292"/>
              <w:rPr>
                <w:rFonts w:ascii="宋体" w:hAnsi="宋体" w:eastAsia="宋体" w:cs="宋体"/>
                <w:sz w:val="23"/>
                <w:szCs w:val="23"/>
              </w:rPr>
            </w:pPr>
            <w:r>
              <w:rPr>
                <w:rFonts w:ascii="宋体" w:hAnsi="宋体" w:eastAsia="宋体" w:cs="宋体"/>
                <w:spacing w:val="-3"/>
                <w:sz w:val="23"/>
                <w:szCs w:val="23"/>
              </w:rPr>
              <w:t>62</w:t>
            </w:r>
          </w:p>
        </w:tc>
      </w:tr>
    </w:tbl>
    <w:p w14:paraId="0EA0E661">
      <w:pPr>
        <w:pStyle w:val="2"/>
      </w:pPr>
    </w:p>
    <w:p w14:paraId="3E366AD4">
      <w:pPr>
        <w:sectPr>
          <w:footerReference r:id="rId109" w:type="default"/>
          <w:pgSz w:w="16839" w:h="11906"/>
          <w:pgMar w:top="1012" w:right="821" w:bottom="667" w:left="901" w:header="0" w:footer="388" w:gutter="0"/>
          <w:cols w:space="720" w:num="1"/>
        </w:sectPr>
      </w:pPr>
    </w:p>
    <w:p w14:paraId="125769DF">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6541F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EDC8BD3">
            <w:pPr>
              <w:spacing w:before="222" w:line="241" w:lineRule="auto"/>
              <w:ind w:left="131"/>
              <w:rPr>
                <w:rFonts w:ascii="黑体" w:hAnsi="黑体" w:eastAsia="黑体" w:cs="黑体"/>
                <w:sz w:val="28"/>
                <w:szCs w:val="28"/>
              </w:rPr>
            </w:pPr>
            <w:bookmarkStart w:id="503" w:name="bookmark527"/>
            <w:bookmarkEnd w:id="503"/>
            <w:r>
              <w:rPr>
                <w:rFonts w:ascii="黑体" w:hAnsi="黑体" w:eastAsia="黑体" w:cs="黑体"/>
                <w:spacing w:val="-2"/>
                <w:sz w:val="28"/>
                <w:szCs w:val="28"/>
              </w:rPr>
              <w:t>序号</w:t>
            </w:r>
          </w:p>
        </w:tc>
        <w:tc>
          <w:tcPr>
            <w:tcW w:w="1440" w:type="dxa"/>
            <w:vAlign w:val="top"/>
          </w:tcPr>
          <w:p w14:paraId="0AC5EFE2">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97584D9">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4B4C8C46">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27EE23F">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6F652AD">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502EEE7E">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67B2C84A">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66DA2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6" w:hRule="atLeast"/>
        </w:trPr>
        <w:tc>
          <w:tcPr>
            <w:tcW w:w="818" w:type="dxa"/>
            <w:vMerge w:val="restart"/>
            <w:tcBorders>
              <w:bottom w:val="nil"/>
            </w:tcBorders>
            <w:vAlign w:val="top"/>
          </w:tcPr>
          <w:p w14:paraId="42246999">
            <w:pPr>
              <w:rPr>
                <w:rFonts w:ascii="Arial"/>
                <w:sz w:val="21"/>
              </w:rPr>
            </w:pPr>
          </w:p>
        </w:tc>
        <w:tc>
          <w:tcPr>
            <w:tcW w:w="1440" w:type="dxa"/>
            <w:vMerge w:val="restart"/>
            <w:tcBorders>
              <w:bottom w:val="nil"/>
            </w:tcBorders>
            <w:vAlign w:val="top"/>
          </w:tcPr>
          <w:p w14:paraId="29147D4A">
            <w:pPr>
              <w:rPr>
                <w:rFonts w:ascii="Arial"/>
                <w:sz w:val="21"/>
              </w:rPr>
            </w:pPr>
          </w:p>
        </w:tc>
        <w:tc>
          <w:tcPr>
            <w:tcW w:w="3202" w:type="dxa"/>
            <w:vMerge w:val="restart"/>
            <w:tcBorders>
              <w:bottom w:val="nil"/>
            </w:tcBorders>
            <w:vAlign w:val="top"/>
          </w:tcPr>
          <w:p w14:paraId="39461D87">
            <w:pPr>
              <w:pStyle w:val="6"/>
              <w:spacing w:before="33" w:line="182" w:lineRule="auto"/>
              <w:ind w:left="118" w:right="111" w:hanging="2"/>
            </w:pPr>
            <w:r>
              <w:rPr>
                <w:spacing w:val="13"/>
              </w:rPr>
              <w:t>减少人员伤亡和财产损失，</w:t>
            </w:r>
            <w:r>
              <w:rPr>
                <w:spacing w:val="17"/>
              </w:rPr>
              <w:t>并按照国家有关规定立即如实报告当地负有安全生产监</w:t>
            </w:r>
            <w:r>
              <w:rPr>
                <w:spacing w:val="13"/>
              </w:rPr>
              <w:t>督管理职责的部门，不得隐</w:t>
            </w:r>
            <w:r>
              <w:rPr>
                <w:spacing w:val="12"/>
              </w:rPr>
              <w:t>瞒不报、谎报或者迟报，不</w:t>
            </w:r>
            <w:r>
              <w:rPr>
                <w:spacing w:val="17"/>
              </w:rPr>
              <w:t>得故意破坏事故现场、毁灭</w:t>
            </w:r>
            <w:r>
              <w:rPr>
                <w:spacing w:val="-1"/>
              </w:rPr>
              <w:t>有关证据。</w:t>
            </w:r>
          </w:p>
          <w:p w14:paraId="1427114E">
            <w:pPr>
              <w:pStyle w:val="6"/>
              <w:spacing w:before="7" w:line="186" w:lineRule="auto"/>
              <w:ind w:left="120" w:right="97" w:hanging="4"/>
              <w:jc w:val="both"/>
            </w:pPr>
            <w:r>
              <w:rPr>
                <w:rFonts w:ascii="宋体" w:hAnsi="宋体" w:eastAsia="宋体" w:cs="宋体"/>
                <w:spacing w:val="15"/>
              </w:rPr>
              <w:t>2.</w:t>
            </w:r>
            <w:r>
              <w:rPr>
                <w:spacing w:val="15"/>
              </w:rPr>
              <w:t>【行政法规】《生产安全</w:t>
            </w:r>
            <w:r>
              <w:rPr>
                <w:spacing w:val="18"/>
              </w:rPr>
              <w:t>事故报告和调查处理条例》</w:t>
            </w:r>
            <w:r>
              <w:rPr>
                <w:spacing w:val="13"/>
              </w:rPr>
              <w:t>第四条第一款：事故报告应当及时、准确、完整，任何</w:t>
            </w:r>
            <w:r>
              <w:rPr>
                <w:spacing w:val="39"/>
              </w:rPr>
              <w:t>单位和个人对事故不得迟</w:t>
            </w:r>
            <w:r>
              <w:rPr>
                <w:spacing w:val="5"/>
              </w:rPr>
              <w:t>报、漏报、谎报或者瞒报。</w:t>
            </w:r>
          </w:p>
        </w:tc>
        <w:tc>
          <w:tcPr>
            <w:tcW w:w="2859" w:type="dxa"/>
            <w:vMerge w:val="restart"/>
            <w:tcBorders>
              <w:bottom w:val="nil"/>
            </w:tcBorders>
            <w:vAlign w:val="top"/>
          </w:tcPr>
          <w:p w14:paraId="55A1B66F">
            <w:pPr>
              <w:pStyle w:val="6"/>
              <w:spacing w:before="32" w:line="182" w:lineRule="auto"/>
              <w:ind w:left="118" w:right="110" w:hanging="1"/>
            </w:pPr>
            <w:r>
              <w:rPr>
                <w:spacing w:val="8"/>
              </w:rPr>
              <w:t>处上一年年收入百分之六</w:t>
            </w:r>
            <w:r>
              <w:rPr>
                <w:spacing w:val="4"/>
              </w:rPr>
              <w:t>十至百分之一百的罚款；</w:t>
            </w:r>
            <w:r>
              <w:rPr>
                <w:spacing w:val="8"/>
              </w:rPr>
              <w:t>对逃匿的处十五日以下拘留；构成犯罪的，依照刑</w:t>
            </w:r>
            <w:r>
              <w:rPr>
                <w:spacing w:val="32"/>
              </w:rPr>
              <w:t>法有关规定追究刑事责</w:t>
            </w:r>
            <w:r>
              <w:rPr>
                <w:spacing w:val="-8"/>
              </w:rPr>
              <w:t>任。</w:t>
            </w:r>
          </w:p>
          <w:p w14:paraId="50666E90">
            <w:pPr>
              <w:pStyle w:val="6"/>
              <w:spacing w:before="2" w:line="182" w:lineRule="auto"/>
              <w:ind w:left="119" w:right="110" w:firstLine="11"/>
              <w:jc w:val="both"/>
            </w:pPr>
            <w:r>
              <w:rPr>
                <w:spacing w:val="7"/>
              </w:rPr>
              <w:t>生产经营单位的主要负责</w:t>
            </w:r>
            <w:r>
              <w:rPr>
                <w:spacing w:val="8"/>
              </w:rPr>
              <w:t>人对生产安全事故隐瞒不</w:t>
            </w:r>
            <w:r>
              <w:rPr>
                <w:spacing w:val="2"/>
              </w:rPr>
              <w:t>报、谎报或者迟报的，依</w:t>
            </w:r>
            <w:r>
              <w:rPr>
                <w:spacing w:val="3"/>
              </w:rPr>
              <w:t>照前款规定处罚。</w:t>
            </w:r>
          </w:p>
          <w:p w14:paraId="17E882DC">
            <w:pPr>
              <w:pStyle w:val="6"/>
              <w:spacing w:before="8" w:line="182" w:lineRule="auto"/>
              <w:ind w:left="116" w:right="105"/>
            </w:pPr>
            <w:r>
              <w:rPr>
                <w:rFonts w:ascii="宋体" w:hAnsi="宋体" w:eastAsia="宋体" w:cs="宋体"/>
                <w:spacing w:val="7"/>
              </w:rPr>
              <w:t>2.</w:t>
            </w:r>
            <w:r>
              <w:rPr>
                <w:spacing w:val="7"/>
              </w:rPr>
              <w:t>【行政法规】《生产安</w:t>
            </w:r>
            <w:r>
              <w:rPr>
                <w:spacing w:val="8"/>
              </w:rPr>
              <w:t>全事故报告和调查处理条</w:t>
            </w:r>
            <w:r>
              <w:rPr>
                <w:spacing w:val="7"/>
              </w:rPr>
              <w:t>例》第三十五条第二项：</w:t>
            </w:r>
            <w:r>
              <w:rPr>
                <w:spacing w:val="8"/>
              </w:rPr>
              <w:t>事故发生单位主要负责人有下列行为之一的，处上一年年收入</w:t>
            </w:r>
            <w:r>
              <w:rPr>
                <w:rFonts w:ascii="宋体" w:hAnsi="宋体" w:eastAsia="宋体" w:cs="宋体"/>
                <w:spacing w:val="8"/>
              </w:rPr>
              <w:t>40%</w:t>
            </w:r>
            <w:r>
              <w:rPr>
                <w:spacing w:val="8"/>
              </w:rPr>
              <w:t>至</w:t>
            </w:r>
            <w:r>
              <w:rPr>
                <w:rFonts w:ascii="宋体" w:hAnsi="宋体" w:eastAsia="宋体" w:cs="宋体"/>
                <w:spacing w:val="8"/>
              </w:rPr>
              <w:t>80%</w:t>
            </w:r>
            <w:r>
              <w:rPr>
                <w:spacing w:val="8"/>
              </w:rPr>
              <w:t>的罚款；属于国家工作人员</w:t>
            </w:r>
            <w:r>
              <w:rPr>
                <w:spacing w:val="2"/>
              </w:rPr>
              <w:t>的，并依法给予处分；构</w:t>
            </w:r>
            <w:r>
              <w:rPr>
                <w:spacing w:val="8"/>
              </w:rPr>
              <w:t>成犯罪的，依法追究刑事</w:t>
            </w:r>
            <w:r>
              <w:rPr>
                <w:spacing w:val="5"/>
              </w:rPr>
              <w:t>责任</w:t>
            </w:r>
            <w:r>
              <w:rPr>
                <w:spacing w:val="2"/>
              </w:rPr>
              <w:t>：（</w:t>
            </w:r>
            <w:r>
              <w:rPr>
                <w:spacing w:val="5"/>
              </w:rPr>
              <w:t>二）迟报或者漏</w:t>
            </w:r>
            <w:r>
              <w:rPr>
                <w:spacing w:val="-2"/>
              </w:rPr>
              <w:t>报事故的；</w:t>
            </w:r>
          </w:p>
          <w:p w14:paraId="74A04DD3">
            <w:pPr>
              <w:pStyle w:val="6"/>
              <w:spacing w:before="1" w:line="180" w:lineRule="auto"/>
              <w:ind w:left="118" w:right="108" w:firstLine="9"/>
              <w:jc w:val="both"/>
            </w:pPr>
            <w:r>
              <w:rPr>
                <w:spacing w:val="7"/>
              </w:rPr>
              <w:t>第三十六条第一项：事故</w:t>
            </w:r>
            <w:r>
              <w:rPr>
                <w:spacing w:val="8"/>
              </w:rPr>
              <w:t>发生单位及其有关人员有下列行为之一的，对事故</w:t>
            </w:r>
            <w:r>
              <w:rPr>
                <w:spacing w:val="2"/>
              </w:rPr>
              <w:t>发生单位处</w:t>
            </w:r>
            <w:r>
              <w:rPr>
                <w:rFonts w:ascii="宋体" w:hAnsi="宋体" w:eastAsia="宋体" w:cs="宋体"/>
                <w:spacing w:val="2"/>
              </w:rPr>
              <w:t>100</w:t>
            </w:r>
            <w:r>
              <w:rPr>
                <w:spacing w:val="2"/>
              </w:rPr>
              <w:t>万元以上</w:t>
            </w:r>
            <w:r>
              <w:rPr>
                <w:rFonts w:ascii="宋体" w:hAnsi="宋体" w:eastAsia="宋体" w:cs="宋体"/>
                <w:spacing w:val="6"/>
              </w:rPr>
              <w:t>500</w:t>
            </w:r>
            <w:r>
              <w:rPr>
                <w:spacing w:val="6"/>
              </w:rPr>
              <w:t>万元以下的罚款；对</w:t>
            </w:r>
            <w:r>
              <w:rPr>
                <w:spacing w:val="8"/>
              </w:rPr>
              <w:t>主要负责人、直接负责的主管人员和其他直接责任</w:t>
            </w:r>
            <w:r>
              <w:rPr>
                <w:spacing w:val="11"/>
              </w:rPr>
              <w:t>人员处上一年年收入</w:t>
            </w:r>
            <w:r>
              <w:rPr>
                <w:rFonts w:ascii="宋体" w:hAnsi="宋体" w:eastAsia="宋体" w:cs="宋体"/>
                <w:spacing w:val="11"/>
              </w:rPr>
              <w:t>60%</w:t>
            </w:r>
            <w:r>
              <w:t>至</w:t>
            </w:r>
            <w:r>
              <w:rPr>
                <w:rFonts w:ascii="宋体" w:hAnsi="宋体" w:eastAsia="宋体" w:cs="宋体"/>
              </w:rPr>
              <w:t>100%</w:t>
            </w:r>
            <w:r>
              <w:t>的罚款；属于国家</w:t>
            </w:r>
          </w:p>
        </w:tc>
        <w:tc>
          <w:tcPr>
            <w:tcW w:w="803" w:type="dxa"/>
            <w:vAlign w:val="top"/>
          </w:tcPr>
          <w:p w14:paraId="144A7361">
            <w:pPr>
              <w:spacing w:line="259" w:lineRule="auto"/>
              <w:rPr>
                <w:rFonts w:ascii="Arial"/>
                <w:sz w:val="21"/>
              </w:rPr>
            </w:pPr>
          </w:p>
          <w:p w14:paraId="1E4595DA">
            <w:pPr>
              <w:spacing w:line="259" w:lineRule="auto"/>
              <w:rPr>
                <w:rFonts w:ascii="Arial"/>
                <w:sz w:val="21"/>
              </w:rPr>
            </w:pPr>
          </w:p>
          <w:p w14:paraId="5D861A6E">
            <w:pPr>
              <w:spacing w:line="259" w:lineRule="auto"/>
              <w:rPr>
                <w:rFonts w:ascii="Arial"/>
                <w:sz w:val="21"/>
              </w:rPr>
            </w:pPr>
          </w:p>
          <w:p w14:paraId="02C96AE7">
            <w:pPr>
              <w:spacing w:line="259" w:lineRule="auto"/>
              <w:rPr>
                <w:rFonts w:ascii="Arial"/>
                <w:sz w:val="21"/>
              </w:rPr>
            </w:pPr>
          </w:p>
          <w:p w14:paraId="4ED1AC88">
            <w:pPr>
              <w:spacing w:line="259" w:lineRule="auto"/>
              <w:rPr>
                <w:rFonts w:ascii="Arial"/>
                <w:sz w:val="21"/>
              </w:rPr>
            </w:pPr>
          </w:p>
          <w:p w14:paraId="3A270CF2">
            <w:pPr>
              <w:spacing w:line="260" w:lineRule="auto"/>
              <w:rPr>
                <w:rFonts w:ascii="Arial"/>
                <w:sz w:val="21"/>
              </w:rPr>
            </w:pPr>
          </w:p>
          <w:p w14:paraId="6BBB9B90">
            <w:pPr>
              <w:spacing w:line="260" w:lineRule="auto"/>
              <w:rPr>
                <w:rFonts w:ascii="Arial"/>
                <w:sz w:val="21"/>
              </w:rPr>
            </w:pPr>
          </w:p>
          <w:p w14:paraId="471616D4">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001775E">
            <w:pPr>
              <w:spacing w:line="266" w:lineRule="auto"/>
              <w:rPr>
                <w:rFonts w:ascii="Arial"/>
                <w:sz w:val="21"/>
              </w:rPr>
            </w:pPr>
          </w:p>
          <w:p w14:paraId="7F3D5594">
            <w:pPr>
              <w:spacing w:line="266" w:lineRule="auto"/>
              <w:rPr>
                <w:rFonts w:ascii="Arial"/>
                <w:sz w:val="21"/>
              </w:rPr>
            </w:pPr>
          </w:p>
          <w:p w14:paraId="4AF23ABA">
            <w:pPr>
              <w:spacing w:line="266" w:lineRule="auto"/>
              <w:rPr>
                <w:rFonts w:ascii="Arial"/>
                <w:sz w:val="21"/>
              </w:rPr>
            </w:pPr>
          </w:p>
          <w:p w14:paraId="610C131E">
            <w:pPr>
              <w:spacing w:line="266" w:lineRule="auto"/>
              <w:rPr>
                <w:rFonts w:ascii="Arial"/>
                <w:sz w:val="21"/>
              </w:rPr>
            </w:pPr>
          </w:p>
          <w:p w14:paraId="77B9EAA7">
            <w:pPr>
              <w:spacing w:line="267" w:lineRule="auto"/>
              <w:rPr>
                <w:rFonts w:ascii="Arial"/>
                <w:sz w:val="21"/>
              </w:rPr>
            </w:pPr>
          </w:p>
          <w:p w14:paraId="0F36150A">
            <w:pPr>
              <w:spacing w:line="267" w:lineRule="auto"/>
              <w:rPr>
                <w:rFonts w:ascii="Arial"/>
                <w:sz w:val="21"/>
              </w:rPr>
            </w:pPr>
          </w:p>
          <w:p w14:paraId="22EA1544">
            <w:pPr>
              <w:pStyle w:val="6"/>
              <w:spacing w:before="98" w:line="195" w:lineRule="auto"/>
              <w:ind w:left="123" w:right="109" w:firstLine="16"/>
            </w:pPr>
            <w:r>
              <w:rPr>
                <w:spacing w:val="-5"/>
              </w:rPr>
              <w:t>隐瞒不报、谎报生产</w:t>
            </w:r>
            <w:r>
              <w:rPr>
                <w:spacing w:val="5"/>
              </w:rPr>
              <w:t>安全事故的</w:t>
            </w:r>
          </w:p>
        </w:tc>
        <w:tc>
          <w:tcPr>
            <w:tcW w:w="2894" w:type="dxa"/>
            <w:vAlign w:val="top"/>
          </w:tcPr>
          <w:p w14:paraId="7F48A2E5">
            <w:pPr>
              <w:spacing w:line="266" w:lineRule="auto"/>
              <w:rPr>
                <w:rFonts w:ascii="Arial"/>
                <w:sz w:val="21"/>
              </w:rPr>
            </w:pPr>
          </w:p>
          <w:p w14:paraId="12CA5E7D">
            <w:pPr>
              <w:spacing w:line="266" w:lineRule="auto"/>
              <w:rPr>
                <w:rFonts w:ascii="Arial"/>
                <w:sz w:val="21"/>
              </w:rPr>
            </w:pPr>
          </w:p>
          <w:p w14:paraId="5443DA32">
            <w:pPr>
              <w:spacing w:line="266" w:lineRule="auto"/>
              <w:rPr>
                <w:rFonts w:ascii="Arial"/>
                <w:sz w:val="21"/>
              </w:rPr>
            </w:pPr>
          </w:p>
          <w:p w14:paraId="647C9BF7">
            <w:pPr>
              <w:spacing w:line="266" w:lineRule="auto"/>
              <w:rPr>
                <w:rFonts w:ascii="Arial"/>
                <w:sz w:val="21"/>
              </w:rPr>
            </w:pPr>
          </w:p>
          <w:p w14:paraId="41398E9E">
            <w:pPr>
              <w:spacing w:line="266" w:lineRule="auto"/>
              <w:rPr>
                <w:rFonts w:ascii="Arial"/>
                <w:sz w:val="21"/>
              </w:rPr>
            </w:pPr>
          </w:p>
          <w:p w14:paraId="68E2E417">
            <w:pPr>
              <w:spacing w:line="266" w:lineRule="auto"/>
              <w:rPr>
                <w:rFonts w:ascii="Arial"/>
                <w:sz w:val="21"/>
              </w:rPr>
            </w:pPr>
          </w:p>
          <w:p w14:paraId="41B1D4B7">
            <w:pPr>
              <w:pStyle w:val="6"/>
              <w:spacing w:before="98" w:line="196" w:lineRule="auto"/>
              <w:ind w:left="116" w:right="105" w:firstLine="2"/>
            </w:pPr>
            <w:r>
              <w:rPr>
                <w:spacing w:val="13"/>
              </w:rPr>
              <w:t>处上一年年收入</w:t>
            </w:r>
            <w:r>
              <w:rPr>
                <w:rFonts w:ascii="宋体" w:hAnsi="宋体" w:eastAsia="宋体" w:cs="宋体"/>
                <w:spacing w:val="13"/>
              </w:rPr>
              <w:t>70%</w:t>
            </w:r>
            <w:r>
              <w:rPr>
                <w:spacing w:val="13"/>
              </w:rPr>
              <w:t>以上</w:t>
            </w:r>
            <w:r>
              <w:rPr>
                <w:rFonts w:ascii="宋体" w:hAnsi="宋体" w:eastAsia="宋体" w:cs="宋体"/>
                <w:spacing w:val="6"/>
              </w:rPr>
              <w:t>80%</w:t>
            </w:r>
            <w:r>
              <w:rPr>
                <w:spacing w:val="6"/>
              </w:rPr>
              <w:t>以下的罚款</w:t>
            </w:r>
          </w:p>
        </w:tc>
        <w:tc>
          <w:tcPr>
            <w:tcW w:w="811" w:type="dxa"/>
            <w:vMerge w:val="restart"/>
            <w:tcBorders>
              <w:bottom w:val="nil"/>
            </w:tcBorders>
            <w:vAlign w:val="top"/>
          </w:tcPr>
          <w:p w14:paraId="1A403E5F">
            <w:pPr>
              <w:rPr>
                <w:rFonts w:ascii="Arial"/>
                <w:sz w:val="21"/>
              </w:rPr>
            </w:pPr>
          </w:p>
        </w:tc>
      </w:tr>
      <w:tr w14:paraId="14455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2" w:hRule="atLeast"/>
        </w:trPr>
        <w:tc>
          <w:tcPr>
            <w:tcW w:w="818" w:type="dxa"/>
            <w:vMerge w:val="continue"/>
            <w:tcBorders>
              <w:top w:val="nil"/>
            </w:tcBorders>
            <w:vAlign w:val="top"/>
          </w:tcPr>
          <w:p w14:paraId="2D6E46B2">
            <w:pPr>
              <w:rPr>
                <w:rFonts w:ascii="Arial"/>
                <w:sz w:val="21"/>
              </w:rPr>
            </w:pPr>
          </w:p>
        </w:tc>
        <w:tc>
          <w:tcPr>
            <w:tcW w:w="1440" w:type="dxa"/>
            <w:vMerge w:val="continue"/>
            <w:tcBorders>
              <w:top w:val="nil"/>
            </w:tcBorders>
            <w:vAlign w:val="top"/>
          </w:tcPr>
          <w:p w14:paraId="2174AB74">
            <w:pPr>
              <w:rPr>
                <w:rFonts w:ascii="Arial"/>
                <w:sz w:val="21"/>
              </w:rPr>
            </w:pPr>
          </w:p>
        </w:tc>
        <w:tc>
          <w:tcPr>
            <w:tcW w:w="3202" w:type="dxa"/>
            <w:vMerge w:val="continue"/>
            <w:tcBorders>
              <w:top w:val="nil"/>
            </w:tcBorders>
            <w:vAlign w:val="top"/>
          </w:tcPr>
          <w:p w14:paraId="2585FA2C">
            <w:pPr>
              <w:rPr>
                <w:rFonts w:ascii="Arial"/>
                <w:sz w:val="21"/>
              </w:rPr>
            </w:pPr>
          </w:p>
        </w:tc>
        <w:tc>
          <w:tcPr>
            <w:tcW w:w="2859" w:type="dxa"/>
            <w:vMerge w:val="continue"/>
            <w:tcBorders>
              <w:top w:val="nil"/>
            </w:tcBorders>
            <w:vAlign w:val="top"/>
          </w:tcPr>
          <w:p w14:paraId="6C3E87DB">
            <w:pPr>
              <w:rPr>
                <w:rFonts w:ascii="Arial"/>
                <w:sz w:val="21"/>
              </w:rPr>
            </w:pPr>
          </w:p>
        </w:tc>
        <w:tc>
          <w:tcPr>
            <w:tcW w:w="803" w:type="dxa"/>
            <w:vAlign w:val="top"/>
          </w:tcPr>
          <w:p w14:paraId="3DE19905">
            <w:pPr>
              <w:spacing w:line="261" w:lineRule="auto"/>
              <w:rPr>
                <w:rFonts w:ascii="Arial"/>
                <w:sz w:val="21"/>
              </w:rPr>
            </w:pPr>
          </w:p>
          <w:p w14:paraId="0A40B3F7">
            <w:pPr>
              <w:spacing w:line="261" w:lineRule="auto"/>
              <w:rPr>
                <w:rFonts w:ascii="Arial"/>
                <w:sz w:val="21"/>
              </w:rPr>
            </w:pPr>
          </w:p>
          <w:p w14:paraId="0E6CEC19">
            <w:pPr>
              <w:spacing w:line="261" w:lineRule="auto"/>
              <w:rPr>
                <w:rFonts w:ascii="Arial"/>
                <w:sz w:val="21"/>
              </w:rPr>
            </w:pPr>
          </w:p>
          <w:p w14:paraId="73DFD7E5">
            <w:pPr>
              <w:spacing w:line="262" w:lineRule="auto"/>
              <w:rPr>
                <w:rFonts w:ascii="Arial"/>
                <w:sz w:val="21"/>
              </w:rPr>
            </w:pPr>
          </w:p>
          <w:p w14:paraId="7B4E1FF9">
            <w:pPr>
              <w:spacing w:line="262" w:lineRule="auto"/>
              <w:rPr>
                <w:rFonts w:ascii="Arial"/>
                <w:sz w:val="21"/>
              </w:rPr>
            </w:pPr>
          </w:p>
          <w:p w14:paraId="7BE29350">
            <w:pPr>
              <w:spacing w:line="262" w:lineRule="auto"/>
              <w:rPr>
                <w:rFonts w:ascii="Arial"/>
                <w:sz w:val="21"/>
              </w:rPr>
            </w:pPr>
          </w:p>
          <w:p w14:paraId="770E4DE4">
            <w:pPr>
              <w:spacing w:line="262" w:lineRule="auto"/>
              <w:rPr>
                <w:rFonts w:ascii="Arial"/>
                <w:sz w:val="21"/>
              </w:rPr>
            </w:pPr>
          </w:p>
          <w:p w14:paraId="56945689">
            <w:pPr>
              <w:spacing w:line="262" w:lineRule="auto"/>
              <w:rPr>
                <w:rFonts w:ascii="Arial"/>
                <w:sz w:val="21"/>
              </w:rPr>
            </w:pPr>
          </w:p>
          <w:p w14:paraId="2F84D52B">
            <w:pPr>
              <w:spacing w:line="262" w:lineRule="auto"/>
              <w:rPr>
                <w:rFonts w:ascii="Arial"/>
                <w:sz w:val="21"/>
              </w:rPr>
            </w:pPr>
          </w:p>
          <w:p w14:paraId="125A694B">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032A5E1">
            <w:pPr>
              <w:spacing w:line="241" w:lineRule="auto"/>
              <w:rPr>
                <w:rFonts w:ascii="Arial"/>
                <w:sz w:val="21"/>
              </w:rPr>
            </w:pPr>
          </w:p>
          <w:p w14:paraId="0274E267">
            <w:pPr>
              <w:spacing w:line="241" w:lineRule="auto"/>
              <w:rPr>
                <w:rFonts w:ascii="Arial"/>
                <w:sz w:val="21"/>
              </w:rPr>
            </w:pPr>
          </w:p>
          <w:p w14:paraId="4BF99A80">
            <w:pPr>
              <w:spacing w:line="241" w:lineRule="auto"/>
              <w:rPr>
                <w:rFonts w:ascii="Arial"/>
                <w:sz w:val="21"/>
              </w:rPr>
            </w:pPr>
          </w:p>
          <w:p w14:paraId="617ADE60">
            <w:pPr>
              <w:spacing w:line="242" w:lineRule="auto"/>
              <w:rPr>
                <w:rFonts w:ascii="Arial"/>
                <w:sz w:val="21"/>
              </w:rPr>
            </w:pPr>
          </w:p>
          <w:p w14:paraId="2BEEC7AE">
            <w:pPr>
              <w:spacing w:line="242" w:lineRule="auto"/>
              <w:rPr>
                <w:rFonts w:ascii="Arial"/>
                <w:sz w:val="21"/>
              </w:rPr>
            </w:pPr>
          </w:p>
          <w:p w14:paraId="7FC6E0F7">
            <w:pPr>
              <w:spacing w:line="242" w:lineRule="auto"/>
              <w:rPr>
                <w:rFonts w:ascii="Arial"/>
                <w:sz w:val="21"/>
              </w:rPr>
            </w:pPr>
          </w:p>
          <w:p w14:paraId="3EF501F4">
            <w:pPr>
              <w:spacing w:line="242" w:lineRule="auto"/>
              <w:rPr>
                <w:rFonts w:ascii="Arial"/>
                <w:sz w:val="21"/>
              </w:rPr>
            </w:pPr>
          </w:p>
          <w:p w14:paraId="7D263230">
            <w:pPr>
              <w:pStyle w:val="6"/>
              <w:spacing w:before="99" w:line="188" w:lineRule="auto"/>
              <w:ind w:left="116" w:right="109" w:firstLine="3"/>
              <w:jc w:val="both"/>
            </w:pPr>
            <w:r>
              <w:rPr>
                <w:spacing w:val="26"/>
              </w:rPr>
              <w:t>贻误事故抢救或者造成事故扩大或者影响事故调查或者造成重大社会影响</w:t>
            </w:r>
            <w:r>
              <w:t>的</w:t>
            </w:r>
          </w:p>
        </w:tc>
        <w:tc>
          <w:tcPr>
            <w:tcW w:w="2894" w:type="dxa"/>
            <w:vAlign w:val="top"/>
          </w:tcPr>
          <w:p w14:paraId="46FF8F31">
            <w:pPr>
              <w:spacing w:line="267" w:lineRule="auto"/>
              <w:rPr>
                <w:rFonts w:ascii="Arial"/>
                <w:sz w:val="21"/>
              </w:rPr>
            </w:pPr>
          </w:p>
          <w:p w14:paraId="3C4A8499">
            <w:pPr>
              <w:spacing w:line="267" w:lineRule="auto"/>
              <w:rPr>
                <w:rFonts w:ascii="Arial"/>
                <w:sz w:val="21"/>
              </w:rPr>
            </w:pPr>
          </w:p>
          <w:p w14:paraId="603F9A80">
            <w:pPr>
              <w:spacing w:line="267" w:lineRule="auto"/>
              <w:rPr>
                <w:rFonts w:ascii="Arial"/>
                <w:sz w:val="21"/>
              </w:rPr>
            </w:pPr>
          </w:p>
          <w:p w14:paraId="77D1D8E9">
            <w:pPr>
              <w:spacing w:line="267" w:lineRule="auto"/>
              <w:rPr>
                <w:rFonts w:ascii="Arial"/>
                <w:sz w:val="21"/>
              </w:rPr>
            </w:pPr>
          </w:p>
          <w:p w14:paraId="3BED634D">
            <w:pPr>
              <w:spacing w:line="267" w:lineRule="auto"/>
              <w:rPr>
                <w:rFonts w:ascii="Arial"/>
                <w:sz w:val="21"/>
              </w:rPr>
            </w:pPr>
          </w:p>
          <w:p w14:paraId="72681629">
            <w:pPr>
              <w:spacing w:line="267" w:lineRule="auto"/>
              <w:rPr>
                <w:rFonts w:ascii="Arial"/>
                <w:sz w:val="21"/>
              </w:rPr>
            </w:pPr>
          </w:p>
          <w:p w14:paraId="158D5D91">
            <w:pPr>
              <w:spacing w:line="267" w:lineRule="auto"/>
              <w:rPr>
                <w:rFonts w:ascii="Arial"/>
                <w:sz w:val="21"/>
              </w:rPr>
            </w:pPr>
          </w:p>
          <w:p w14:paraId="3E09A1B4">
            <w:pPr>
              <w:spacing w:line="267" w:lineRule="auto"/>
              <w:rPr>
                <w:rFonts w:ascii="Arial"/>
                <w:sz w:val="21"/>
              </w:rPr>
            </w:pPr>
          </w:p>
          <w:p w14:paraId="1416FD5E">
            <w:pPr>
              <w:pStyle w:val="6"/>
              <w:spacing w:before="99" w:line="196" w:lineRule="auto"/>
              <w:ind w:left="132" w:right="105" w:hanging="13"/>
            </w:pPr>
            <w:r>
              <w:rPr>
                <w:spacing w:val="13"/>
              </w:rPr>
              <w:t>处上一年年收入</w:t>
            </w:r>
            <w:r>
              <w:rPr>
                <w:rFonts w:ascii="宋体" w:hAnsi="宋体" w:eastAsia="宋体" w:cs="宋体"/>
                <w:spacing w:val="13"/>
              </w:rPr>
              <w:t>80%</w:t>
            </w:r>
            <w:r>
              <w:rPr>
                <w:spacing w:val="13"/>
              </w:rPr>
              <w:t>以上</w:t>
            </w:r>
            <w:r>
              <w:rPr>
                <w:rFonts w:ascii="宋体" w:hAnsi="宋体" w:eastAsia="宋体" w:cs="宋体"/>
                <w:spacing w:val="4"/>
              </w:rPr>
              <w:t>100%</w:t>
            </w:r>
            <w:r>
              <w:rPr>
                <w:spacing w:val="4"/>
              </w:rPr>
              <w:t>以下的罚款</w:t>
            </w:r>
          </w:p>
        </w:tc>
        <w:tc>
          <w:tcPr>
            <w:tcW w:w="811" w:type="dxa"/>
            <w:vMerge w:val="continue"/>
            <w:tcBorders>
              <w:top w:val="nil"/>
            </w:tcBorders>
            <w:vAlign w:val="top"/>
          </w:tcPr>
          <w:p w14:paraId="119FC52B">
            <w:pPr>
              <w:rPr>
                <w:rFonts w:ascii="Arial"/>
                <w:sz w:val="21"/>
              </w:rPr>
            </w:pPr>
          </w:p>
        </w:tc>
      </w:tr>
    </w:tbl>
    <w:p w14:paraId="62B2CBC7">
      <w:pPr>
        <w:pStyle w:val="2"/>
      </w:pPr>
    </w:p>
    <w:p w14:paraId="4B26912E">
      <w:pPr>
        <w:sectPr>
          <w:footerReference r:id="rId110" w:type="default"/>
          <w:pgSz w:w="16839" w:h="11906"/>
          <w:pgMar w:top="1012" w:right="821" w:bottom="667" w:left="901" w:header="0" w:footer="388" w:gutter="0"/>
          <w:cols w:space="720" w:num="1"/>
        </w:sectPr>
      </w:pPr>
    </w:p>
    <w:p w14:paraId="7541BD41">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F93D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BEBFD3E">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59A44BD9">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B56398C">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C9DC586">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998E2A5">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0F338A3">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363E5E8">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7EEB10C">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EE50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2" w:hRule="atLeast"/>
        </w:trPr>
        <w:tc>
          <w:tcPr>
            <w:tcW w:w="818" w:type="dxa"/>
            <w:vAlign w:val="top"/>
          </w:tcPr>
          <w:p w14:paraId="6F4886CF">
            <w:pPr>
              <w:rPr>
                <w:rFonts w:ascii="Arial"/>
                <w:sz w:val="21"/>
              </w:rPr>
            </w:pPr>
          </w:p>
        </w:tc>
        <w:tc>
          <w:tcPr>
            <w:tcW w:w="1440" w:type="dxa"/>
            <w:vAlign w:val="top"/>
          </w:tcPr>
          <w:p w14:paraId="2557B19E">
            <w:pPr>
              <w:rPr>
                <w:rFonts w:ascii="Arial"/>
                <w:sz w:val="21"/>
              </w:rPr>
            </w:pPr>
          </w:p>
        </w:tc>
        <w:tc>
          <w:tcPr>
            <w:tcW w:w="3202" w:type="dxa"/>
            <w:vAlign w:val="top"/>
          </w:tcPr>
          <w:p w14:paraId="798505C1">
            <w:pPr>
              <w:rPr>
                <w:rFonts w:ascii="Arial"/>
                <w:sz w:val="21"/>
              </w:rPr>
            </w:pPr>
          </w:p>
        </w:tc>
        <w:tc>
          <w:tcPr>
            <w:tcW w:w="2859" w:type="dxa"/>
            <w:vAlign w:val="top"/>
          </w:tcPr>
          <w:p w14:paraId="3A4E13E6">
            <w:pPr>
              <w:pStyle w:val="6"/>
              <w:spacing w:before="33" w:line="182" w:lineRule="auto"/>
              <w:ind w:left="117" w:right="110" w:firstLine="5"/>
              <w:jc w:val="both"/>
            </w:pPr>
            <w:r>
              <w:rPr>
                <w:spacing w:val="8"/>
              </w:rPr>
              <w:t>工作人员的，并依法给予处分；构成违反治安管理</w:t>
            </w:r>
            <w:r>
              <w:rPr>
                <w:spacing w:val="2"/>
              </w:rPr>
              <w:t>行为的，由公安机关依法</w:t>
            </w:r>
            <w:r>
              <w:rPr>
                <w:spacing w:val="8"/>
              </w:rPr>
              <w:t>给予治安管理处罚；构成</w:t>
            </w:r>
            <w:r>
              <w:rPr>
                <w:spacing w:val="4"/>
              </w:rPr>
              <w:t>犯罪的，依法追究刑事责</w:t>
            </w:r>
            <w:r>
              <w:rPr>
                <w:spacing w:val="-1"/>
              </w:rPr>
              <w:t>任</w:t>
            </w:r>
            <w:r>
              <w:rPr>
                <w:spacing w:val="-8"/>
              </w:rPr>
              <w:t>：（</w:t>
            </w:r>
            <w:r>
              <w:rPr>
                <w:spacing w:val="-1"/>
              </w:rPr>
              <w:t>一）谎报或者瞒报</w:t>
            </w:r>
            <w:r>
              <w:rPr>
                <w:spacing w:val="-4"/>
              </w:rPr>
              <w:t>事故的；</w:t>
            </w:r>
          </w:p>
          <w:p w14:paraId="43954EDF">
            <w:pPr>
              <w:pStyle w:val="6"/>
              <w:spacing w:before="18" w:line="181" w:lineRule="auto"/>
              <w:ind w:left="113" w:right="19" w:firstLine="4"/>
              <w:jc w:val="both"/>
            </w:pPr>
            <w:r>
              <w:rPr>
                <w:rFonts w:ascii="宋体" w:hAnsi="宋体" w:eastAsia="宋体" w:cs="宋体"/>
                <w:spacing w:val="7"/>
              </w:rPr>
              <w:t>3.</w:t>
            </w:r>
            <w:r>
              <w:rPr>
                <w:spacing w:val="7"/>
              </w:rPr>
              <w:t>【部门规章】《生产安</w:t>
            </w:r>
            <w:r>
              <w:rPr>
                <w:spacing w:val="9"/>
              </w:rPr>
              <w:t>全事故罚款处罚规定》第十一条第一项：事故发生单位主要负责人有《中华</w:t>
            </w:r>
            <w:r>
              <w:rPr>
                <w:spacing w:val="10"/>
              </w:rPr>
              <w:t>人民共和国安全生产法》</w:t>
            </w:r>
            <w:r>
              <w:rPr>
                <w:spacing w:val="9"/>
              </w:rPr>
              <w:t>第一百一十条、《生产安全事故报告和调查处理条例》第三十五条、第三十</w:t>
            </w:r>
            <w:r>
              <w:rPr>
                <w:spacing w:val="6"/>
              </w:rPr>
              <w:t>六条规定的下列行为之一</w:t>
            </w:r>
            <w:r>
              <w:rPr>
                <w:spacing w:val="9"/>
              </w:rPr>
              <w:t>的，依照下列规定处以罚</w:t>
            </w:r>
            <w:r>
              <w:rPr>
                <w:spacing w:val="-3"/>
              </w:rPr>
              <w:t>款</w:t>
            </w:r>
            <w:r>
              <w:rPr>
                <w:spacing w:val="-6"/>
              </w:rPr>
              <w:t>：（</w:t>
            </w:r>
            <w:r>
              <w:rPr>
                <w:spacing w:val="-3"/>
              </w:rPr>
              <w:t>一）事故发生单位</w:t>
            </w:r>
            <w:r>
              <w:rPr>
                <w:spacing w:val="9"/>
              </w:rPr>
              <w:t>主要负责人在事故发生后</w:t>
            </w:r>
            <w:r>
              <w:rPr>
                <w:spacing w:val="2"/>
              </w:rPr>
              <w:t>不立即组织事故抢救，或</w:t>
            </w:r>
            <w:r>
              <w:rPr>
                <w:spacing w:val="9"/>
              </w:rPr>
              <w:t>者在事故调查处理期间擅</w:t>
            </w:r>
            <w:r>
              <w:rPr>
                <w:spacing w:val="-4"/>
              </w:rPr>
              <w:t>离职守，或者瞒报、谎报、</w:t>
            </w:r>
            <w:r>
              <w:rPr>
                <w:spacing w:val="9"/>
              </w:rPr>
              <w:t>迟报事故，或者事故发生后逃匿的，处上一年年收</w:t>
            </w:r>
            <w:r>
              <w:rPr>
                <w:spacing w:val="-3"/>
              </w:rPr>
              <w:t>入</w:t>
            </w:r>
            <w:r>
              <w:rPr>
                <w:rFonts w:ascii="宋体" w:hAnsi="宋体" w:eastAsia="宋体" w:cs="宋体"/>
                <w:spacing w:val="-3"/>
              </w:rPr>
              <w:t>60%</w:t>
            </w:r>
            <w:r>
              <w:rPr>
                <w:spacing w:val="-3"/>
              </w:rPr>
              <w:t>至</w:t>
            </w:r>
            <w:r>
              <w:rPr>
                <w:rFonts w:ascii="宋体" w:hAnsi="宋体" w:eastAsia="宋体" w:cs="宋体"/>
                <w:spacing w:val="-3"/>
              </w:rPr>
              <w:t>80%</w:t>
            </w:r>
            <w:r>
              <w:rPr>
                <w:spacing w:val="-3"/>
              </w:rPr>
              <w:t>的罚款；贻误</w:t>
            </w:r>
            <w:r>
              <w:rPr>
                <w:spacing w:val="9"/>
              </w:rPr>
              <w:t>事故抢救或者造成事故扩大或者影响事故调查或者</w:t>
            </w:r>
            <w:r>
              <w:rPr>
                <w:spacing w:val="2"/>
              </w:rPr>
              <w:t>造成重大社会影响的，处</w:t>
            </w:r>
            <w:r>
              <w:rPr>
                <w:spacing w:val="4"/>
              </w:rPr>
              <w:t>上一年年收入</w:t>
            </w:r>
            <w:r>
              <w:rPr>
                <w:rFonts w:ascii="宋体" w:hAnsi="宋体" w:eastAsia="宋体" w:cs="宋体"/>
                <w:spacing w:val="4"/>
              </w:rPr>
              <w:t>80%</w:t>
            </w:r>
            <w:r>
              <w:rPr>
                <w:spacing w:val="4"/>
              </w:rPr>
              <w:t>至</w:t>
            </w:r>
            <w:r>
              <w:rPr>
                <w:rFonts w:ascii="宋体" w:hAnsi="宋体" w:eastAsia="宋体" w:cs="宋体"/>
                <w:spacing w:val="4"/>
              </w:rPr>
              <w:t>100%</w:t>
            </w:r>
            <w:r>
              <w:rPr>
                <w:spacing w:val="-3"/>
              </w:rPr>
              <w:t>的罚款；</w:t>
            </w:r>
          </w:p>
        </w:tc>
        <w:tc>
          <w:tcPr>
            <w:tcW w:w="803" w:type="dxa"/>
            <w:vAlign w:val="top"/>
          </w:tcPr>
          <w:p w14:paraId="39EA31D0">
            <w:pPr>
              <w:rPr>
                <w:rFonts w:ascii="Arial"/>
                <w:sz w:val="21"/>
              </w:rPr>
            </w:pPr>
          </w:p>
        </w:tc>
        <w:tc>
          <w:tcPr>
            <w:tcW w:w="2283" w:type="dxa"/>
            <w:vAlign w:val="top"/>
          </w:tcPr>
          <w:p w14:paraId="1CEF8620">
            <w:pPr>
              <w:rPr>
                <w:rFonts w:ascii="Arial"/>
                <w:sz w:val="21"/>
              </w:rPr>
            </w:pPr>
          </w:p>
        </w:tc>
        <w:tc>
          <w:tcPr>
            <w:tcW w:w="2894" w:type="dxa"/>
            <w:vAlign w:val="top"/>
          </w:tcPr>
          <w:p w14:paraId="7E0E6BCF">
            <w:pPr>
              <w:rPr>
                <w:rFonts w:ascii="Arial"/>
                <w:sz w:val="21"/>
              </w:rPr>
            </w:pPr>
          </w:p>
        </w:tc>
        <w:tc>
          <w:tcPr>
            <w:tcW w:w="811" w:type="dxa"/>
            <w:vAlign w:val="top"/>
          </w:tcPr>
          <w:p w14:paraId="756E4A26">
            <w:pPr>
              <w:rPr>
                <w:rFonts w:ascii="Arial"/>
                <w:sz w:val="21"/>
              </w:rPr>
            </w:pPr>
          </w:p>
        </w:tc>
      </w:tr>
    </w:tbl>
    <w:p w14:paraId="6B57364F">
      <w:pPr>
        <w:pStyle w:val="2"/>
      </w:pPr>
    </w:p>
    <w:p w14:paraId="4CDD8344">
      <w:pPr>
        <w:sectPr>
          <w:footerReference r:id="rId111" w:type="default"/>
          <w:pgSz w:w="16839" w:h="11906"/>
          <w:pgMar w:top="1012" w:right="821" w:bottom="667" w:left="901" w:header="0" w:footer="388" w:gutter="0"/>
          <w:cols w:space="720" w:num="1"/>
        </w:sectPr>
      </w:pPr>
    </w:p>
    <w:p w14:paraId="0D0FA0C7">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0390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814DF0D">
            <w:pPr>
              <w:spacing w:before="222" w:line="241" w:lineRule="auto"/>
              <w:ind w:left="131"/>
              <w:rPr>
                <w:rFonts w:ascii="黑体" w:hAnsi="黑体" w:eastAsia="黑体" w:cs="黑体"/>
                <w:sz w:val="28"/>
                <w:szCs w:val="28"/>
              </w:rPr>
            </w:pPr>
            <w:bookmarkStart w:id="504" w:name="bookmark187"/>
            <w:bookmarkEnd w:id="504"/>
            <w:r>
              <w:rPr>
                <w:rFonts w:ascii="黑体" w:hAnsi="黑体" w:eastAsia="黑体" w:cs="黑体"/>
                <w:spacing w:val="-2"/>
                <w:sz w:val="28"/>
                <w:szCs w:val="28"/>
              </w:rPr>
              <w:t>序号</w:t>
            </w:r>
          </w:p>
        </w:tc>
        <w:tc>
          <w:tcPr>
            <w:tcW w:w="1440" w:type="dxa"/>
            <w:vAlign w:val="top"/>
          </w:tcPr>
          <w:p w14:paraId="212E26A2">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8D615E7">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2EC7DF3">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4727882">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D74D255">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3DF4E9A">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06ECB79">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E803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3" w:hRule="atLeast"/>
        </w:trPr>
        <w:tc>
          <w:tcPr>
            <w:tcW w:w="818" w:type="dxa"/>
            <w:vMerge w:val="restart"/>
            <w:tcBorders>
              <w:bottom w:val="nil"/>
            </w:tcBorders>
            <w:vAlign w:val="top"/>
          </w:tcPr>
          <w:p w14:paraId="04965976">
            <w:pPr>
              <w:spacing w:line="242" w:lineRule="auto"/>
              <w:rPr>
                <w:rFonts w:ascii="Arial"/>
                <w:sz w:val="21"/>
              </w:rPr>
            </w:pPr>
          </w:p>
          <w:p w14:paraId="35333FF5">
            <w:pPr>
              <w:spacing w:line="242" w:lineRule="auto"/>
              <w:rPr>
                <w:rFonts w:ascii="Arial"/>
                <w:sz w:val="21"/>
              </w:rPr>
            </w:pPr>
          </w:p>
          <w:p w14:paraId="36F0024C">
            <w:pPr>
              <w:spacing w:line="242" w:lineRule="auto"/>
              <w:rPr>
                <w:rFonts w:ascii="Arial"/>
                <w:sz w:val="21"/>
              </w:rPr>
            </w:pPr>
          </w:p>
          <w:p w14:paraId="41551FFE">
            <w:pPr>
              <w:spacing w:line="242" w:lineRule="auto"/>
              <w:rPr>
                <w:rFonts w:ascii="Arial"/>
                <w:sz w:val="21"/>
              </w:rPr>
            </w:pPr>
          </w:p>
          <w:p w14:paraId="4209572D">
            <w:pPr>
              <w:spacing w:line="243" w:lineRule="auto"/>
              <w:rPr>
                <w:rFonts w:ascii="Arial"/>
                <w:sz w:val="21"/>
              </w:rPr>
            </w:pPr>
          </w:p>
          <w:p w14:paraId="5F95FB9E">
            <w:pPr>
              <w:spacing w:line="243" w:lineRule="auto"/>
              <w:rPr>
                <w:rFonts w:ascii="Arial"/>
                <w:sz w:val="21"/>
              </w:rPr>
            </w:pPr>
          </w:p>
          <w:p w14:paraId="6C66F392">
            <w:pPr>
              <w:spacing w:line="243" w:lineRule="auto"/>
              <w:rPr>
                <w:rFonts w:ascii="Arial"/>
                <w:sz w:val="21"/>
              </w:rPr>
            </w:pPr>
          </w:p>
          <w:p w14:paraId="414B573D">
            <w:pPr>
              <w:spacing w:line="243" w:lineRule="auto"/>
              <w:rPr>
                <w:rFonts w:ascii="Arial"/>
                <w:sz w:val="21"/>
              </w:rPr>
            </w:pPr>
          </w:p>
          <w:p w14:paraId="590B01A7">
            <w:pPr>
              <w:spacing w:line="243" w:lineRule="auto"/>
              <w:rPr>
                <w:rFonts w:ascii="Arial"/>
                <w:sz w:val="21"/>
              </w:rPr>
            </w:pPr>
          </w:p>
          <w:p w14:paraId="204FA4EF">
            <w:pPr>
              <w:spacing w:line="243" w:lineRule="auto"/>
              <w:rPr>
                <w:rFonts w:ascii="Arial"/>
                <w:sz w:val="21"/>
              </w:rPr>
            </w:pPr>
          </w:p>
          <w:p w14:paraId="10D362D2">
            <w:pPr>
              <w:spacing w:line="243" w:lineRule="auto"/>
              <w:rPr>
                <w:rFonts w:ascii="Arial"/>
                <w:sz w:val="21"/>
              </w:rPr>
            </w:pPr>
          </w:p>
          <w:p w14:paraId="6D8E24BE">
            <w:pPr>
              <w:spacing w:line="243" w:lineRule="auto"/>
              <w:rPr>
                <w:rFonts w:ascii="Arial"/>
                <w:sz w:val="21"/>
              </w:rPr>
            </w:pPr>
          </w:p>
          <w:p w14:paraId="4AEF5379">
            <w:pPr>
              <w:spacing w:line="243" w:lineRule="auto"/>
              <w:rPr>
                <w:rFonts w:ascii="Arial"/>
                <w:sz w:val="21"/>
              </w:rPr>
            </w:pPr>
          </w:p>
          <w:p w14:paraId="5A936DFA">
            <w:pPr>
              <w:spacing w:line="243" w:lineRule="auto"/>
              <w:rPr>
                <w:rFonts w:ascii="Arial"/>
                <w:sz w:val="21"/>
              </w:rPr>
            </w:pPr>
          </w:p>
          <w:p w14:paraId="0D6D824A">
            <w:pPr>
              <w:spacing w:line="243" w:lineRule="auto"/>
              <w:rPr>
                <w:rFonts w:ascii="Arial"/>
                <w:sz w:val="21"/>
              </w:rPr>
            </w:pPr>
          </w:p>
          <w:p w14:paraId="1EA83D76">
            <w:pPr>
              <w:spacing w:line="243" w:lineRule="auto"/>
              <w:rPr>
                <w:rFonts w:ascii="Arial"/>
                <w:sz w:val="21"/>
              </w:rPr>
            </w:pPr>
          </w:p>
          <w:p w14:paraId="09ADECF0">
            <w:pPr>
              <w:spacing w:line="243" w:lineRule="auto"/>
              <w:rPr>
                <w:rFonts w:ascii="Arial"/>
                <w:sz w:val="21"/>
              </w:rPr>
            </w:pPr>
          </w:p>
          <w:p w14:paraId="52869D2F">
            <w:pPr>
              <w:spacing w:line="243" w:lineRule="auto"/>
              <w:rPr>
                <w:rFonts w:ascii="Arial"/>
                <w:sz w:val="21"/>
              </w:rPr>
            </w:pPr>
          </w:p>
          <w:p w14:paraId="0E617C6E">
            <w:pPr>
              <w:spacing w:before="75" w:line="185" w:lineRule="auto"/>
              <w:ind w:left="235"/>
              <w:rPr>
                <w:rFonts w:ascii="仿宋" w:hAnsi="仿宋" w:eastAsia="仿宋" w:cs="仿宋"/>
                <w:sz w:val="23"/>
                <w:szCs w:val="23"/>
              </w:rPr>
            </w:pPr>
            <w:r>
              <w:rPr>
                <w:rFonts w:ascii="仿宋" w:hAnsi="仿宋" w:eastAsia="仿宋" w:cs="仿宋"/>
                <w:spacing w:val="-2"/>
                <w:sz w:val="23"/>
                <w:szCs w:val="23"/>
              </w:rPr>
              <w:t>90</w:t>
            </w:r>
          </w:p>
        </w:tc>
        <w:tc>
          <w:tcPr>
            <w:tcW w:w="1440" w:type="dxa"/>
            <w:vMerge w:val="restart"/>
            <w:tcBorders>
              <w:bottom w:val="nil"/>
            </w:tcBorders>
            <w:vAlign w:val="top"/>
          </w:tcPr>
          <w:p w14:paraId="49D2A567">
            <w:pPr>
              <w:rPr>
                <w:rFonts w:ascii="Arial"/>
                <w:sz w:val="21"/>
              </w:rPr>
            </w:pPr>
          </w:p>
          <w:p w14:paraId="0A39FA20">
            <w:pPr>
              <w:rPr>
                <w:rFonts w:ascii="Arial"/>
                <w:sz w:val="21"/>
              </w:rPr>
            </w:pPr>
          </w:p>
          <w:p w14:paraId="686AC7D5">
            <w:pPr>
              <w:rPr>
                <w:rFonts w:ascii="Arial"/>
                <w:sz w:val="21"/>
              </w:rPr>
            </w:pPr>
          </w:p>
          <w:p w14:paraId="008691FC">
            <w:pPr>
              <w:rPr>
                <w:rFonts w:ascii="Arial"/>
                <w:sz w:val="21"/>
              </w:rPr>
            </w:pPr>
          </w:p>
          <w:p w14:paraId="5B57DB54">
            <w:pPr>
              <w:spacing w:line="241" w:lineRule="auto"/>
              <w:rPr>
                <w:rFonts w:ascii="Arial"/>
                <w:sz w:val="21"/>
              </w:rPr>
            </w:pPr>
          </w:p>
          <w:p w14:paraId="1A915C76">
            <w:pPr>
              <w:spacing w:line="241" w:lineRule="auto"/>
              <w:rPr>
                <w:rFonts w:ascii="Arial"/>
                <w:sz w:val="21"/>
              </w:rPr>
            </w:pPr>
          </w:p>
          <w:p w14:paraId="4CB686B4">
            <w:pPr>
              <w:spacing w:line="241" w:lineRule="auto"/>
              <w:rPr>
                <w:rFonts w:ascii="Arial"/>
                <w:sz w:val="21"/>
              </w:rPr>
            </w:pPr>
          </w:p>
          <w:p w14:paraId="7CC8AD3A">
            <w:pPr>
              <w:spacing w:line="241" w:lineRule="auto"/>
              <w:rPr>
                <w:rFonts w:ascii="Arial"/>
                <w:sz w:val="21"/>
              </w:rPr>
            </w:pPr>
          </w:p>
          <w:p w14:paraId="1103F074">
            <w:pPr>
              <w:spacing w:line="241" w:lineRule="auto"/>
              <w:rPr>
                <w:rFonts w:ascii="Arial"/>
                <w:sz w:val="21"/>
              </w:rPr>
            </w:pPr>
          </w:p>
          <w:p w14:paraId="27C50BA0">
            <w:pPr>
              <w:spacing w:line="241" w:lineRule="auto"/>
              <w:rPr>
                <w:rFonts w:ascii="Arial"/>
                <w:sz w:val="21"/>
              </w:rPr>
            </w:pPr>
          </w:p>
          <w:p w14:paraId="1CE93E7E">
            <w:pPr>
              <w:spacing w:line="241" w:lineRule="auto"/>
              <w:rPr>
                <w:rFonts w:ascii="Arial"/>
                <w:sz w:val="21"/>
              </w:rPr>
            </w:pPr>
          </w:p>
          <w:p w14:paraId="61D4F788">
            <w:pPr>
              <w:spacing w:line="241" w:lineRule="auto"/>
              <w:rPr>
                <w:rFonts w:ascii="Arial"/>
                <w:sz w:val="21"/>
              </w:rPr>
            </w:pPr>
          </w:p>
          <w:p w14:paraId="5BDE4530">
            <w:pPr>
              <w:spacing w:line="241" w:lineRule="auto"/>
              <w:rPr>
                <w:rFonts w:ascii="Arial"/>
                <w:sz w:val="21"/>
              </w:rPr>
            </w:pPr>
          </w:p>
          <w:p w14:paraId="09E803E8">
            <w:pPr>
              <w:spacing w:line="241" w:lineRule="auto"/>
              <w:rPr>
                <w:rFonts w:ascii="Arial"/>
                <w:sz w:val="21"/>
              </w:rPr>
            </w:pPr>
          </w:p>
          <w:p w14:paraId="57532D84">
            <w:pPr>
              <w:spacing w:line="241" w:lineRule="auto"/>
              <w:rPr>
                <w:rFonts w:ascii="Arial"/>
                <w:sz w:val="21"/>
              </w:rPr>
            </w:pPr>
          </w:p>
          <w:p w14:paraId="359FE19D">
            <w:pPr>
              <w:spacing w:line="241" w:lineRule="auto"/>
              <w:rPr>
                <w:rFonts w:ascii="Arial"/>
                <w:sz w:val="21"/>
              </w:rPr>
            </w:pPr>
          </w:p>
          <w:p w14:paraId="2C3D6F6E">
            <w:pPr>
              <w:pStyle w:val="6"/>
              <w:spacing w:before="99" w:line="190" w:lineRule="auto"/>
              <w:ind w:left="115" w:right="111" w:firstLine="5"/>
              <w:jc w:val="both"/>
            </w:pPr>
            <w:r>
              <w:rPr>
                <w:spacing w:val="10"/>
              </w:rPr>
              <w:t>事故发生单</w:t>
            </w:r>
            <w:r>
              <w:rPr>
                <w:spacing w:val="11"/>
              </w:rPr>
              <w:t>位主要负责人漏报事故</w:t>
            </w:r>
            <w:r>
              <w:t>的</w:t>
            </w:r>
          </w:p>
        </w:tc>
        <w:tc>
          <w:tcPr>
            <w:tcW w:w="3202" w:type="dxa"/>
            <w:vMerge w:val="restart"/>
            <w:tcBorders>
              <w:bottom w:val="nil"/>
            </w:tcBorders>
            <w:vAlign w:val="top"/>
          </w:tcPr>
          <w:p w14:paraId="5D4E7BC3">
            <w:pPr>
              <w:pStyle w:val="6"/>
              <w:spacing w:before="26" w:line="187" w:lineRule="auto"/>
              <w:ind w:left="115" w:right="111" w:hanging="17"/>
            </w:pPr>
            <w:r>
              <w:rPr>
                <w:spacing w:val="18"/>
              </w:rPr>
              <w:t>【行政法规】《生产安全事</w:t>
            </w:r>
            <w:r>
              <w:rPr>
                <w:spacing w:val="17"/>
              </w:rPr>
              <w:t>故报告和调查处理条例》第</w:t>
            </w:r>
            <w:r>
              <w:rPr>
                <w:spacing w:val="13"/>
              </w:rPr>
              <w:t>四条第一款：事故报告应当及时、准确、完整，任何单</w:t>
            </w:r>
            <w:r>
              <w:rPr>
                <w:spacing w:val="15"/>
              </w:rPr>
              <w:t>位和个人对事故不得迟报、</w:t>
            </w:r>
            <w:r>
              <w:rPr>
                <w:spacing w:val="5"/>
              </w:rPr>
              <w:t>漏报、谎报或者瞒报。</w:t>
            </w:r>
          </w:p>
        </w:tc>
        <w:tc>
          <w:tcPr>
            <w:tcW w:w="2859" w:type="dxa"/>
            <w:vMerge w:val="restart"/>
            <w:tcBorders>
              <w:bottom w:val="nil"/>
            </w:tcBorders>
            <w:vAlign w:val="top"/>
          </w:tcPr>
          <w:p w14:paraId="0C76674F">
            <w:pPr>
              <w:pStyle w:val="6"/>
              <w:spacing w:before="30" w:line="182" w:lineRule="auto"/>
              <w:ind w:left="117" w:right="110" w:firstLine="13"/>
              <w:jc w:val="both"/>
            </w:pPr>
            <w:r>
              <w:rPr>
                <w:rFonts w:ascii="宋体" w:hAnsi="宋体" w:eastAsia="宋体" w:cs="宋体"/>
                <w:spacing w:val="6"/>
              </w:rPr>
              <w:t>1.</w:t>
            </w:r>
            <w:r>
              <w:rPr>
                <w:spacing w:val="6"/>
              </w:rPr>
              <w:t>【行政法规】《生产安</w:t>
            </w:r>
            <w:r>
              <w:rPr>
                <w:spacing w:val="8"/>
              </w:rPr>
              <w:t>全事故报告和调查处理条</w:t>
            </w:r>
            <w:r>
              <w:rPr>
                <w:spacing w:val="7"/>
              </w:rPr>
              <w:t>例》第三十五条第二项：</w:t>
            </w:r>
          </w:p>
          <w:p w14:paraId="4958DEA7">
            <w:pPr>
              <w:pStyle w:val="6"/>
              <w:spacing w:line="182" w:lineRule="auto"/>
              <w:ind w:left="122"/>
              <w:outlineLvl w:val="0"/>
            </w:pPr>
            <w:r>
              <w:rPr>
                <w:spacing w:val="8"/>
              </w:rPr>
              <w:t>事故发生单位主要负责人</w:t>
            </w:r>
          </w:p>
          <w:p w14:paraId="6F945814">
            <w:pPr>
              <w:pStyle w:val="6"/>
              <w:spacing w:before="5" w:line="182" w:lineRule="auto"/>
              <w:ind w:left="120" w:right="105" w:firstLine="1"/>
              <w:jc w:val="both"/>
            </w:pPr>
            <w:r>
              <w:rPr>
                <w:spacing w:val="8"/>
              </w:rPr>
              <w:t>有下列行为之一的，处上一年年收入</w:t>
            </w:r>
            <w:r>
              <w:rPr>
                <w:rFonts w:ascii="宋体" w:hAnsi="宋体" w:eastAsia="宋体" w:cs="宋体"/>
                <w:spacing w:val="8"/>
              </w:rPr>
              <w:t>40%</w:t>
            </w:r>
            <w:r>
              <w:rPr>
                <w:spacing w:val="8"/>
              </w:rPr>
              <w:t>至</w:t>
            </w:r>
            <w:r>
              <w:rPr>
                <w:rFonts w:ascii="宋体" w:hAnsi="宋体" w:eastAsia="宋体" w:cs="宋体"/>
                <w:spacing w:val="8"/>
              </w:rPr>
              <w:t>80%</w:t>
            </w:r>
            <w:r>
              <w:rPr>
                <w:spacing w:val="8"/>
              </w:rPr>
              <w:t>的罚款；属于国家工作人员</w:t>
            </w:r>
            <w:r>
              <w:rPr>
                <w:spacing w:val="2"/>
              </w:rPr>
              <w:t>的，并依法给予处分；构</w:t>
            </w:r>
            <w:r>
              <w:rPr>
                <w:spacing w:val="8"/>
              </w:rPr>
              <w:t>成犯罪的，依法追究刑事</w:t>
            </w:r>
            <w:r>
              <w:rPr>
                <w:spacing w:val="12"/>
              </w:rPr>
              <w:t>责任</w:t>
            </w:r>
            <w:r>
              <w:rPr>
                <w:spacing w:val="-9"/>
              </w:rPr>
              <w:t>：（</w:t>
            </w:r>
            <w:r>
              <w:rPr>
                <w:spacing w:val="12"/>
              </w:rPr>
              <w:t>二）迟报或者漏</w:t>
            </w:r>
            <w:r>
              <w:rPr>
                <w:spacing w:val="-3"/>
              </w:rPr>
              <w:t>报事故的；</w:t>
            </w:r>
          </w:p>
          <w:p w14:paraId="42A0CC38">
            <w:pPr>
              <w:pStyle w:val="6"/>
              <w:spacing w:before="26" w:line="183" w:lineRule="auto"/>
              <w:ind w:left="115" w:right="97"/>
            </w:pPr>
            <w:r>
              <w:rPr>
                <w:rFonts w:ascii="宋体" w:hAnsi="宋体" w:eastAsia="宋体" w:cs="宋体"/>
                <w:spacing w:val="7"/>
              </w:rPr>
              <w:t>2.</w:t>
            </w:r>
            <w:r>
              <w:rPr>
                <w:spacing w:val="7"/>
              </w:rPr>
              <w:t>【部门规章】《生产安</w:t>
            </w:r>
            <w:r>
              <w:rPr>
                <w:spacing w:val="8"/>
              </w:rPr>
              <w:t>全事故罚款处罚规定》第十一条第二项：事故发生单位主要负责人有《中华</w:t>
            </w:r>
            <w:r>
              <w:rPr>
                <w:spacing w:val="10"/>
              </w:rPr>
              <w:t>人民共和国安全生产法》</w:t>
            </w:r>
            <w:r>
              <w:rPr>
                <w:spacing w:val="8"/>
              </w:rPr>
              <w:t>第一百一十条、《生产安全事故报告和调查处理条例》第三十五条、第三十</w:t>
            </w:r>
            <w:r>
              <w:rPr>
                <w:spacing w:val="6"/>
              </w:rPr>
              <w:t>六条规定的下列行为之一</w:t>
            </w:r>
            <w:r>
              <w:rPr>
                <w:spacing w:val="8"/>
              </w:rPr>
              <w:t>的，依照下列规定处以罚款</w:t>
            </w:r>
            <w:r>
              <w:rPr>
                <w:spacing w:val="11"/>
              </w:rPr>
              <w:t>：（</w:t>
            </w:r>
            <w:r>
              <w:rPr>
                <w:spacing w:val="8"/>
              </w:rPr>
              <w:t>二）事故发生单位</w:t>
            </w:r>
            <w:r>
              <w:rPr>
                <w:spacing w:val="7"/>
              </w:rPr>
              <w:t>主要负责人漏报事故的，</w:t>
            </w:r>
            <w:r>
              <w:rPr>
                <w:spacing w:val="24"/>
              </w:rPr>
              <w:t>处上一年年收入</w:t>
            </w:r>
            <w:r>
              <w:rPr>
                <w:rFonts w:ascii="宋体" w:hAnsi="宋体" w:eastAsia="宋体" w:cs="宋体"/>
                <w:spacing w:val="24"/>
              </w:rPr>
              <w:t>40%</w:t>
            </w:r>
            <w:r>
              <w:rPr>
                <w:spacing w:val="24"/>
              </w:rPr>
              <w:t>至</w:t>
            </w:r>
            <w:r>
              <w:rPr>
                <w:rFonts w:ascii="宋体" w:hAnsi="宋体" w:eastAsia="宋体" w:cs="宋体"/>
                <w:spacing w:val="-2"/>
              </w:rPr>
              <w:t>60%</w:t>
            </w:r>
            <w:r>
              <w:rPr>
                <w:spacing w:val="-2"/>
              </w:rPr>
              <w:t>的罚款；贻误事故抢救</w:t>
            </w:r>
            <w:r>
              <w:rPr>
                <w:spacing w:val="8"/>
              </w:rPr>
              <w:t>或者造成事故扩大或者影响事故调查或者造成重大社会影响的，处上一年年</w:t>
            </w:r>
            <w:r>
              <w:rPr>
                <w:spacing w:val="2"/>
              </w:rPr>
              <w:t>收入</w:t>
            </w:r>
            <w:r>
              <w:rPr>
                <w:rFonts w:ascii="宋体" w:hAnsi="宋体" w:eastAsia="宋体" w:cs="宋体"/>
                <w:spacing w:val="2"/>
              </w:rPr>
              <w:t>60%</w:t>
            </w:r>
            <w:r>
              <w:rPr>
                <w:spacing w:val="2"/>
              </w:rPr>
              <w:t>至</w:t>
            </w:r>
            <w:r>
              <w:rPr>
                <w:rFonts w:ascii="宋体" w:hAnsi="宋体" w:eastAsia="宋体" w:cs="宋体"/>
                <w:spacing w:val="2"/>
              </w:rPr>
              <w:t>80%</w:t>
            </w:r>
            <w:r>
              <w:rPr>
                <w:spacing w:val="2"/>
              </w:rPr>
              <w:t>的罚款；</w:t>
            </w:r>
          </w:p>
        </w:tc>
        <w:tc>
          <w:tcPr>
            <w:tcW w:w="803" w:type="dxa"/>
            <w:vAlign w:val="top"/>
          </w:tcPr>
          <w:p w14:paraId="282D5695">
            <w:pPr>
              <w:spacing w:line="299" w:lineRule="auto"/>
              <w:rPr>
                <w:rFonts w:ascii="Arial"/>
                <w:sz w:val="21"/>
              </w:rPr>
            </w:pPr>
          </w:p>
          <w:p w14:paraId="1723703E">
            <w:pPr>
              <w:spacing w:line="300" w:lineRule="auto"/>
              <w:rPr>
                <w:rFonts w:ascii="Arial"/>
                <w:sz w:val="21"/>
              </w:rPr>
            </w:pPr>
          </w:p>
          <w:p w14:paraId="6FCB1F9A">
            <w:pPr>
              <w:spacing w:line="300" w:lineRule="auto"/>
              <w:rPr>
                <w:rFonts w:ascii="Arial"/>
                <w:sz w:val="21"/>
              </w:rPr>
            </w:pPr>
          </w:p>
          <w:p w14:paraId="7F4C1AB9">
            <w:pPr>
              <w:spacing w:line="300" w:lineRule="auto"/>
              <w:rPr>
                <w:rFonts w:ascii="Arial"/>
                <w:sz w:val="21"/>
              </w:rPr>
            </w:pPr>
          </w:p>
          <w:p w14:paraId="1746DD0E">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35FB700">
            <w:pPr>
              <w:spacing w:line="246" w:lineRule="auto"/>
              <w:rPr>
                <w:rFonts w:ascii="Arial"/>
                <w:sz w:val="21"/>
              </w:rPr>
            </w:pPr>
          </w:p>
          <w:p w14:paraId="01BD3EC5">
            <w:pPr>
              <w:spacing w:line="246" w:lineRule="auto"/>
              <w:rPr>
                <w:rFonts w:ascii="Arial"/>
                <w:sz w:val="21"/>
              </w:rPr>
            </w:pPr>
          </w:p>
          <w:p w14:paraId="411656D7">
            <w:pPr>
              <w:spacing w:line="246" w:lineRule="auto"/>
              <w:rPr>
                <w:rFonts w:ascii="Arial"/>
                <w:sz w:val="21"/>
              </w:rPr>
            </w:pPr>
          </w:p>
          <w:p w14:paraId="268873EE">
            <w:pPr>
              <w:spacing w:line="247" w:lineRule="auto"/>
              <w:rPr>
                <w:rFonts w:ascii="Arial"/>
                <w:sz w:val="21"/>
              </w:rPr>
            </w:pPr>
          </w:p>
          <w:p w14:paraId="196A2B1B">
            <w:pPr>
              <w:pStyle w:val="6"/>
              <w:spacing w:before="98" w:line="195" w:lineRule="auto"/>
              <w:ind w:left="132" w:right="109" w:hanging="9"/>
            </w:pPr>
            <w:r>
              <w:rPr>
                <w:spacing w:val="25"/>
              </w:rPr>
              <w:t>事故发生单位主要</w:t>
            </w:r>
            <w:r>
              <w:rPr>
                <w:spacing w:val="5"/>
              </w:rPr>
              <w:t>负责人漏报事故的</w:t>
            </w:r>
          </w:p>
        </w:tc>
        <w:tc>
          <w:tcPr>
            <w:tcW w:w="2894" w:type="dxa"/>
            <w:vAlign w:val="top"/>
          </w:tcPr>
          <w:p w14:paraId="45526704">
            <w:pPr>
              <w:spacing w:line="245" w:lineRule="auto"/>
              <w:rPr>
                <w:rFonts w:ascii="Arial"/>
                <w:sz w:val="21"/>
              </w:rPr>
            </w:pPr>
          </w:p>
          <w:p w14:paraId="70FE4F0E">
            <w:pPr>
              <w:spacing w:line="246" w:lineRule="auto"/>
              <w:rPr>
                <w:rFonts w:ascii="Arial"/>
                <w:sz w:val="21"/>
              </w:rPr>
            </w:pPr>
          </w:p>
          <w:p w14:paraId="210A6976">
            <w:pPr>
              <w:spacing w:line="246" w:lineRule="auto"/>
              <w:rPr>
                <w:rFonts w:ascii="Arial"/>
                <w:sz w:val="21"/>
              </w:rPr>
            </w:pPr>
          </w:p>
          <w:p w14:paraId="3BB509A8">
            <w:pPr>
              <w:spacing w:line="246" w:lineRule="auto"/>
              <w:rPr>
                <w:rFonts w:ascii="Arial"/>
                <w:sz w:val="21"/>
              </w:rPr>
            </w:pPr>
          </w:p>
          <w:p w14:paraId="5EF3644A">
            <w:pPr>
              <w:pStyle w:val="6"/>
              <w:spacing w:before="99" w:line="196" w:lineRule="auto"/>
              <w:ind w:left="117" w:right="104" w:firstLine="1"/>
            </w:pPr>
            <w:r>
              <w:rPr>
                <w:spacing w:val="3"/>
              </w:rPr>
              <w:t>处上一年年收入</w:t>
            </w:r>
            <w:r>
              <w:rPr>
                <w:rFonts w:ascii="宋体" w:hAnsi="宋体" w:eastAsia="宋体" w:cs="宋体"/>
                <w:spacing w:val="3"/>
              </w:rPr>
              <w:t>40%</w:t>
            </w:r>
            <w:r>
              <w:rPr>
                <w:spacing w:val="3"/>
              </w:rPr>
              <w:t>至</w:t>
            </w:r>
            <w:r>
              <w:rPr>
                <w:rFonts w:ascii="宋体" w:hAnsi="宋体" w:eastAsia="宋体" w:cs="宋体"/>
                <w:spacing w:val="5"/>
              </w:rPr>
              <w:t>60%</w:t>
            </w:r>
            <w:r>
              <w:rPr>
                <w:spacing w:val="5"/>
              </w:rPr>
              <w:t>的罚款</w:t>
            </w:r>
          </w:p>
        </w:tc>
        <w:tc>
          <w:tcPr>
            <w:tcW w:w="811" w:type="dxa"/>
            <w:vMerge w:val="restart"/>
            <w:tcBorders>
              <w:bottom w:val="nil"/>
            </w:tcBorders>
            <w:vAlign w:val="top"/>
          </w:tcPr>
          <w:p w14:paraId="00477CA1">
            <w:pPr>
              <w:spacing w:line="242" w:lineRule="auto"/>
              <w:rPr>
                <w:rFonts w:ascii="Arial"/>
                <w:sz w:val="21"/>
              </w:rPr>
            </w:pPr>
          </w:p>
          <w:p w14:paraId="50DEA1FD">
            <w:pPr>
              <w:spacing w:line="242" w:lineRule="auto"/>
              <w:rPr>
                <w:rFonts w:ascii="Arial"/>
                <w:sz w:val="21"/>
              </w:rPr>
            </w:pPr>
          </w:p>
          <w:p w14:paraId="2D2A568C">
            <w:pPr>
              <w:spacing w:line="242" w:lineRule="auto"/>
              <w:rPr>
                <w:rFonts w:ascii="Arial"/>
                <w:sz w:val="21"/>
              </w:rPr>
            </w:pPr>
          </w:p>
          <w:p w14:paraId="3621BF46">
            <w:pPr>
              <w:spacing w:line="242" w:lineRule="auto"/>
              <w:rPr>
                <w:rFonts w:ascii="Arial"/>
                <w:sz w:val="21"/>
              </w:rPr>
            </w:pPr>
          </w:p>
          <w:p w14:paraId="7E4222BE">
            <w:pPr>
              <w:spacing w:line="242" w:lineRule="auto"/>
              <w:rPr>
                <w:rFonts w:ascii="Arial"/>
                <w:sz w:val="21"/>
              </w:rPr>
            </w:pPr>
          </w:p>
          <w:p w14:paraId="1DFC10F8">
            <w:pPr>
              <w:spacing w:line="242" w:lineRule="auto"/>
              <w:rPr>
                <w:rFonts w:ascii="Arial"/>
                <w:sz w:val="21"/>
              </w:rPr>
            </w:pPr>
          </w:p>
          <w:p w14:paraId="71F189BE">
            <w:pPr>
              <w:spacing w:line="242" w:lineRule="auto"/>
              <w:rPr>
                <w:rFonts w:ascii="Arial"/>
                <w:sz w:val="21"/>
              </w:rPr>
            </w:pPr>
          </w:p>
          <w:p w14:paraId="29D9C36A">
            <w:pPr>
              <w:spacing w:line="242" w:lineRule="auto"/>
              <w:rPr>
                <w:rFonts w:ascii="Arial"/>
                <w:sz w:val="21"/>
              </w:rPr>
            </w:pPr>
          </w:p>
          <w:p w14:paraId="7C688A6E">
            <w:pPr>
              <w:spacing w:line="243" w:lineRule="auto"/>
              <w:rPr>
                <w:rFonts w:ascii="Arial"/>
                <w:sz w:val="21"/>
              </w:rPr>
            </w:pPr>
          </w:p>
          <w:p w14:paraId="7A5790FE">
            <w:pPr>
              <w:spacing w:line="243" w:lineRule="auto"/>
              <w:rPr>
                <w:rFonts w:ascii="Arial"/>
                <w:sz w:val="21"/>
              </w:rPr>
            </w:pPr>
          </w:p>
          <w:p w14:paraId="36948693">
            <w:pPr>
              <w:spacing w:line="243" w:lineRule="auto"/>
              <w:rPr>
                <w:rFonts w:ascii="Arial"/>
                <w:sz w:val="21"/>
              </w:rPr>
            </w:pPr>
          </w:p>
          <w:p w14:paraId="1E244883">
            <w:pPr>
              <w:spacing w:line="243" w:lineRule="auto"/>
              <w:rPr>
                <w:rFonts w:ascii="Arial"/>
                <w:sz w:val="21"/>
              </w:rPr>
            </w:pPr>
          </w:p>
          <w:p w14:paraId="406DD27A">
            <w:pPr>
              <w:spacing w:line="243" w:lineRule="auto"/>
              <w:rPr>
                <w:rFonts w:ascii="Arial"/>
                <w:sz w:val="21"/>
              </w:rPr>
            </w:pPr>
          </w:p>
          <w:p w14:paraId="14864236">
            <w:pPr>
              <w:spacing w:line="243" w:lineRule="auto"/>
              <w:rPr>
                <w:rFonts w:ascii="Arial"/>
                <w:sz w:val="21"/>
              </w:rPr>
            </w:pPr>
          </w:p>
          <w:p w14:paraId="48FFCD37">
            <w:pPr>
              <w:spacing w:line="243" w:lineRule="auto"/>
              <w:rPr>
                <w:rFonts w:ascii="Arial"/>
                <w:sz w:val="21"/>
              </w:rPr>
            </w:pPr>
          </w:p>
          <w:p w14:paraId="505DC655">
            <w:pPr>
              <w:spacing w:line="243" w:lineRule="auto"/>
              <w:rPr>
                <w:rFonts w:ascii="Arial"/>
                <w:sz w:val="21"/>
              </w:rPr>
            </w:pPr>
          </w:p>
          <w:p w14:paraId="15649942">
            <w:pPr>
              <w:spacing w:line="243" w:lineRule="auto"/>
              <w:rPr>
                <w:rFonts w:ascii="Arial"/>
                <w:sz w:val="21"/>
              </w:rPr>
            </w:pPr>
          </w:p>
          <w:p w14:paraId="2B3038D3">
            <w:pPr>
              <w:spacing w:line="243" w:lineRule="auto"/>
              <w:rPr>
                <w:rFonts w:ascii="Arial"/>
                <w:sz w:val="21"/>
              </w:rPr>
            </w:pPr>
          </w:p>
          <w:p w14:paraId="7EFED583">
            <w:pPr>
              <w:spacing w:before="75" w:line="188" w:lineRule="auto"/>
              <w:ind w:left="292"/>
              <w:rPr>
                <w:rFonts w:ascii="宋体" w:hAnsi="宋体" w:eastAsia="宋体" w:cs="宋体"/>
                <w:sz w:val="23"/>
                <w:szCs w:val="23"/>
              </w:rPr>
            </w:pPr>
            <w:r>
              <w:rPr>
                <w:rFonts w:ascii="宋体" w:hAnsi="宋体" w:eastAsia="宋体" w:cs="宋体"/>
                <w:spacing w:val="-3"/>
                <w:sz w:val="23"/>
                <w:szCs w:val="23"/>
              </w:rPr>
              <w:t>63</w:t>
            </w:r>
          </w:p>
        </w:tc>
      </w:tr>
      <w:tr w14:paraId="4A7FA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2" w:hRule="atLeast"/>
        </w:trPr>
        <w:tc>
          <w:tcPr>
            <w:tcW w:w="818" w:type="dxa"/>
            <w:vMerge w:val="continue"/>
            <w:tcBorders>
              <w:top w:val="nil"/>
              <w:bottom w:val="nil"/>
            </w:tcBorders>
            <w:vAlign w:val="top"/>
          </w:tcPr>
          <w:p w14:paraId="1CED92C7">
            <w:pPr>
              <w:rPr>
                <w:rFonts w:ascii="Arial"/>
                <w:sz w:val="21"/>
              </w:rPr>
            </w:pPr>
          </w:p>
        </w:tc>
        <w:tc>
          <w:tcPr>
            <w:tcW w:w="1440" w:type="dxa"/>
            <w:vMerge w:val="continue"/>
            <w:tcBorders>
              <w:top w:val="nil"/>
              <w:bottom w:val="nil"/>
            </w:tcBorders>
            <w:vAlign w:val="top"/>
          </w:tcPr>
          <w:p w14:paraId="039BB7EC">
            <w:pPr>
              <w:rPr>
                <w:rFonts w:ascii="Arial"/>
                <w:sz w:val="21"/>
              </w:rPr>
            </w:pPr>
          </w:p>
        </w:tc>
        <w:tc>
          <w:tcPr>
            <w:tcW w:w="3202" w:type="dxa"/>
            <w:vMerge w:val="continue"/>
            <w:tcBorders>
              <w:top w:val="nil"/>
              <w:bottom w:val="nil"/>
            </w:tcBorders>
            <w:vAlign w:val="top"/>
          </w:tcPr>
          <w:p w14:paraId="47164993">
            <w:pPr>
              <w:rPr>
                <w:rFonts w:ascii="Arial"/>
                <w:sz w:val="21"/>
              </w:rPr>
            </w:pPr>
          </w:p>
        </w:tc>
        <w:tc>
          <w:tcPr>
            <w:tcW w:w="2859" w:type="dxa"/>
            <w:vMerge w:val="continue"/>
            <w:tcBorders>
              <w:top w:val="nil"/>
              <w:bottom w:val="nil"/>
            </w:tcBorders>
            <w:vAlign w:val="top"/>
          </w:tcPr>
          <w:p w14:paraId="64FC8DC5">
            <w:pPr>
              <w:rPr>
                <w:rFonts w:ascii="Arial"/>
                <w:sz w:val="21"/>
              </w:rPr>
            </w:pPr>
          </w:p>
        </w:tc>
        <w:tc>
          <w:tcPr>
            <w:tcW w:w="803" w:type="dxa"/>
            <w:vAlign w:val="top"/>
          </w:tcPr>
          <w:p w14:paraId="2DC83C47">
            <w:pPr>
              <w:spacing w:line="256" w:lineRule="auto"/>
              <w:rPr>
                <w:rFonts w:ascii="Arial"/>
                <w:sz w:val="21"/>
              </w:rPr>
            </w:pPr>
          </w:p>
          <w:p w14:paraId="1F3D54DA">
            <w:pPr>
              <w:spacing w:line="256" w:lineRule="auto"/>
              <w:rPr>
                <w:rFonts w:ascii="Arial"/>
                <w:sz w:val="21"/>
              </w:rPr>
            </w:pPr>
          </w:p>
          <w:p w14:paraId="226779B9">
            <w:pPr>
              <w:spacing w:line="256" w:lineRule="auto"/>
              <w:rPr>
                <w:rFonts w:ascii="Arial"/>
                <w:sz w:val="21"/>
              </w:rPr>
            </w:pPr>
          </w:p>
          <w:p w14:paraId="4C391539">
            <w:pPr>
              <w:spacing w:line="257" w:lineRule="auto"/>
              <w:rPr>
                <w:rFonts w:ascii="Arial"/>
                <w:sz w:val="21"/>
              </w:rPr>
            </w:pPr>
          </w:p>
          <w:p w14:paraId="297C014B">
            <w:pPr>
              <w:spacing w:line="257" w:lineRule="auto"/>
              <w:rPr>
                <w:rFonts w:ascii="Arial"/>
                <w:sz w:val="21"/>
              </w:rPr>
            </w:pPr>
          </w:p>
          <w:p w14:paraId="549939E0">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587ECD58">
            <w:pPr>
              <w:spacing w:line="266" w:lineRule="auto"/>
              <w:rPr>
                <w:rFonts w:ascii="Arial"/>
                <w:sz w:val="21"/>
              </w:rPr>
            </w:pPr>
          </w:p>
          <w:p w14:paraId="36737E44">
            <w:pPr>
              <w:spacing w:line="266" w:lineRule="auto"/>
              <w:rPr>
                <w:rFonts w:ascii="Arial"/>
                <w:sz w:val="21"/>
              </w:rPr>
            </w:pPr>
          </w:p>
          <w:p w14:paraId="6F91AE4B">
            <w:pPr>
              <w:spacing w:line="266" w:lineRule="auto"/>
              <w:rPr>
                <w:rFonts w:ascii="Arial"/>
                <w:sz w:val="21"/>
              </w:rPr>
            </w:pPr>
          </w:p>
          <w:p w14:paraId="4920313D">
            <w:pPr>
              <w:spacing w:line="266" w:lineRule="auto"/>
              <w:rPr>
                <w:rFonts w:ascii="Arial"/>
                <w:sz w:val="21"/>
              </w:rPr>
            </w:pPr>
          </w:p>
          <w:p w14:paraId="7583B630">
            <w:pPr>
              <w:pStyle w:val="6"/>
              <w:spacing w:before="99" w:line="195" w:lineRule="auto"/>
              <w:ind w:left="122" w:right="109" w:hanging="2"/>
            </w:pPr>
            <w:r>
              <w:rPr>
                <w:spacing w:val="26"/>
              </w:rPr>
              <w:t>贻误事故抢救或者</w:t>
            </w:r>
            <w:r>
              <w:rPr>
                <w:spacing w:val="6"/>
              </w:rPr>
              <w:t>影响事故调查的</w:t>
            </w:r>
          </w:p>
        </w:tc>
        <w:tc>
          <w:tcPr>
            <w:tcW w:w="2894" w:type="dxa"/>
            <w:vAlign w:val="top"/>
          </w:tcPr>
          <w:p w14:paraId="7A53C109">
            <w:pPr>
              <w:spacing w:line="265" w:lineRule="auto"/>
              <w:rPr>
                <w:rFonts w:ascii="Arial"/>
                <w:sz w:val="21"/>
              </w:rPr>
            </w:pPr>
          </w:p>
          <w:p w14:paraId="5740EF8B">
            <w:pPr>
              <w:spacing w:line="266" w:lineRule="auto"/>
              <w:rPr>
                <w:rFonts w:ascii="Arial"/>
                <w:sz w:val="21"/>
              </w:rPr>
            </w:pPr>
          </w:p>
          <w:p w14:paraId="1E6EC106">
            <w:pPr>
              <w:spacing w:line="266" w:lineRule="auto"/>
              <w:rPr>
                <w:rFonts w:ascii="Arial"/>
                <w:sz w:val="21"/>
              </w:rPr>
            </w:pPr>
          </w:p>
          <w:p w14:paraId="452EB450">
            <w:pPr>
              <w:spacing w:line="266" w:lineRule="auto"/>
              <w:rPr>
                <w:rFonts w:ascii="Arial"/>
                <w:sz w:val="21"/>
              </w:rPr>
            </w:pPr>
          </w:p>
          <w:p w14:paraId="06F39505">
            <w:pPr>
              <w:pStyle w:val="6"/>
              <w:spacing w:before="98" w:line="196" w:lineRule="auto"/>
              <w:ind w:left="120" w:right="104" w:hanging="1"/>
            </w:pPr>
            <w:r>
              <w:rPr>
                <w:spacing w:val="3"/>
              </w:rPr>
              <w:t>处上一年年收入</w:t>
            </w:r>
            <w:r>
              <w:rPr>
                <w:rFonts w:ascii="宋体" w:hAnsi="宋体" w:eastAsia="宋体" w:cs="宋体"/>
                <w:spacing w:val="3"/>
              </w:rPr>
              <w:t>60%</w:t>
            </w:r>
            <w:r>
              <w:rPr>
                <w:spacing w:val="3"/>
              </w:rPr>
              <w:t>至</w:t>
            </w:r>
            <w:r>
              <w:rPr>
                <w:rFonts w:ascii="宋体" w:hAnsi="宋体" w:eastAsia="宋体" w:cs="宋体"/>
                <w:spacing w:val="5"/>
              </w:rPr>
              <w:t>70%</w:t>
            </w:r>
            <w:r>
              <w:rPr>
                <w:spacing w:val="5"/>
              </w:rPr>
              <w:t>的罚款</w:t>
            </w:r>
          </w:p>
        </w:tc>
        <w:tc>
          <w:tcPr>
            <w:tcW w:w="811" w:type="dxa"/>
            <w:vMerge w:val="continue"/>
            <w:tcBorders>
              <w:top w:val="nil"/>
              <w:bottom w:val="nil"/>
            </w:tcBorders>
            <w:vAlign w:val="top"/>
          </w:tcPr>
          <w:p w14:paraId="5396EF19">
            <w:pPr>
              <w:rPr>
                <w:rFonts w:ascii="Arial"/>
                <w:sz w:val="21"/>
              </w:rPr>
            </w:pPr>
          </w:p>
        </w:tc>
      </w:tr>
      <w:tr w14:paraId="40AB3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0" w:hRule="atLeast"/>
        </w:trPr>
        <w:tc>
          <w:tcPr>
            <w:tcW w:w="818" w:type="dxa"/>
            <w:vMerge w:val="continue"/>
            <w:tcBorders>
              <w:top w:val="nil"/>
            </w:tcBorders>
            <w:vAlign w:val="top"/>
          </w:tcPr>
          <w:p w14:paraId="11337DB1">
            <w:pPr>
              <w:rPr>
                <w:rFonts w:ascii="Arial"/>
                <w:sz w:val="21"/>
              </w:rPr>
            </w:pPr>
          </w:p>
        </w:tc>
        <w:tc>
          <w:tcPr>
            <w:tcW w:w="1440" w:type="dxa"/>
            <w:vMerge w:val="continue"/>
            <w:tcBorders>
              <w:top w:val="nil"/>
            </w:tcBorders>
            <w:vAlign w:val="top"/>
          </w:tcPr>
          <w:p w14:paraId="78431001">
            <w:pPr>
              <w:rPr>
                <w:rFonts w:ascii="Arial"/>
                <w:sz w:val="21"/>
              </w:rPr>
            </w:pPr>
          </w:p>
        </w:tc>
        <w:tc>
          <w:tcPr>
            <w:tcW w:w="3202" w:type="dxa"/>
            <w:vMerge w:val="continue"/>
            <w:tcBorders>
              <w:top w:val="nil"/>
            </w:tcBorders>
            <w:vAlign w:val="top"/>
          </w:tcPr>
          <w:p w14:paraId="7AE74D18">
            <w:pPr>
              <w:rPr>
                <w:rFonts w:ascii="Arial"/>
                <w:sz w:val="21"/>
              </w:rPr>
            </w:pPr>
          </w:p>
        </w:tc>
        <w:tc>
          <w:tcPr>
            <w:tcW w:w="2859" w:type="dxa"/>
            <w:vMerge w:val="continue"/>
            <w:tcBorders>
              <w:top w:val="nil"/>
            </w:tcBorders>
            <w:vAlign w:val="top"/>
          </w:tcPr>
          <w:p w14:paraId="034B44C8">
            <w:pPr>
              <w:rPr>
                <w:rFonts w:ascii="Arial"/>
                <w:sz w:val="21"/>
              </w:rPr>
            </w:pPr>
          </w:p>
        </w:tc>
        <w:tc>
          <w:tcPr>
            <w:tcW w:w="803" w:type="dxa"/>
            <w:vAlign w:val="top"/>
          </w:tcPr>
          <w:p w14:paraId="21619C4A">
            <w:pPr>
              <w:spacing w:line="263" w:lineRule="auto"/>
              <w:rPr>
                <w:rFonts w:ascii="Arial"/>
                <w:sz w:val="21"/>
              </w:rPr>
            </w:pPr>
          </w:p>
          <w:p w14:paraId="5BFD9084">
            <w:pPr>
              <w:spacing w:line="263" w:lineRule="auto"/>
              <w:rPr>
                <w:rFonts w:ascii="Arial"/>
                <w:sz w:val="21"/>
              </w:rPr>
            </w:pPr>
          </w:p>
          <w:p w14:paraId="4D7F08A4">
            <w:pPr>
              <w:spacing w:line="263" w:lineRule="auto"/>
              <w:rPr>
                <w:rFonts w:ascii="Arial"/>
                <w:sz w:val="21"/>
              </w:rPr>
            </w:pPr>
          </w:p>
          <w:p w14:paraId="09765A33">
            <w:pPr>
              <w:spacing w:line="263" w:lineRule="auto"/>
              <w:rPr>
                <w:rFonts w:ascii="Arial"/>
                <w:sz w:val="21"/>
              </w:rPr>
            </w:pPr>
          </w:p>
          <w:p w14:paraId="227C4991">
            <w:pPr>
              <w:spacing w:line="263" w:lineRule="auto"/>
              <w:rPr>
                <w:rFonts w:ascii="Arial"/>
                <w:sz w:val="21"/>
              </w:rPr>
            </w:pPr>
          </w:p>
          <w:p w14:paraId="23683EE9">
            <w:pPr>
              <w:spacing w:line="264" w:lineRule="auto"/>
              <w:rPr>
                <w:rFonts w:ascii="Arial"/>
                <w:sz w:val="21"/>
              </w:rPr>
            </w:pPr>
          </w:p>
          <w:p w14:paraId="77BE5DB4">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28A29860">
            <w:pPr>
              <w:spacing w:line="242" w:lineRule="auto"/>
              <w:rPr>
                <w:rFonts w:ascii="Arial"/>
                <w:sz w:val="21"/>
              </w:rPr>
            </w:pPr>
          </w:p>
          <w:p w14:paraId="23EF568C">
            <w:pPr>
              <w:spacing w:line="242" w:lineRule="auto"/>
              <w:rPr>
                <w:rFonts w:ascii="Arial"/>
                <w:sz w:val="21"/>
              </w:rPr>
            </w:pPr>
          </w:p>
          <w:p w14:paraId="4C7FD03C">
            <w:pPr>
              <w:spacing w:line="242" w:lineRule="auto"/>
              <w:rPr>
                <w:rFonts w:ascii="Arial"/>
                <w:sz w:val="21"/>
              </w:rPr>
            </w:pPr>
          </w:p>
          <w:p w14:paraId="77E20D76">
            <w:pPr>
              <w:spacing w:line="243" w:lineRule="auto"/>
              <w:rPr>
                <w:rFonts w:ascii="Arial"/>
                <w:sz w:val="21"/>
              </w:rPr>
            </w:pPr>
          </w:p>
          <w:p w14:paraId="0F98A32F">
            <w:pPr>
              <w:spacing w:line="243" w:lineRule="auto"/>
              <w:rPr>
                <w:rFonts w:ascii="Arial"/>
                <w:sz w:val="21"/>
              </w:rPr>
            </w:pPr>
          </w:p>
          <w:p w14:paraId="2826B282">
            <w:pPr>
              <w:pStyle w:val="6"/>
              <w:spacing w:before="99" w:line="192" w:lineRule="auto"/>
              <w:ind w:left="116" w:right="109"/>
              <w:jc w:val="both"/>
            </w:pPr>
            <w:r>
              <w:rPr>
                <w:spacing w:val="26"/>
              </w:rPr>
              <w:t>造成事故扩大或者造成重大社会影响</w:t>
            </w:r>
            <w:r>
              <w:t>的</w:t>
            </w:r>
          </w:p>
        </w:tc>
        <w:tc>
          <w:tcPr>
            <w:tcW w:w="2894" w:type="dxa"/>
            <w:vAlign w:val="top"/>
          </w:tcPr>
          <w:p w14:paraId="589D564C">
            <w:pPr>
              <w:spacing w:line="272" w:lineRule="auto"/>
              <w:rPr>
                <w:rFonts w:ascii="Arial"/>
                <w:sz w:val="21"/>
              </w:rPr>
            </w:pPr>
          </w:p>
          <w:p w14:paraId="323DA08D">
            <w:pPr>
              <w:spacing w:line="272" w:lineRule="auto"/>
              <w:rPr>
                <w:rFonts w:ascii="Arial"/>
                <w:sz w:val="21"/>
              </w:rPr>
            </w:pPr>
          </w:p>
          <w:p w14:paraId="1169400A">
            <w:pPr>
              <w:spacing w:line="272" w:lineRule="auto"/>
              <w:rPr>
                <w:rFonts w:ascii="Arial"/>
                <w:sz w:val="21"/>
              </w:rPr>
            </w:pPr>
          </w:p>
          <w:p w14:paraId="16EFE770">
            <w:pPr>
              <w:spacing w:line="272" w:lineRule="auto"/>
              <w:rPr>
                <w:rFonts w:ascii="Arial"/>
                <w:sz w:val="21"/>
              </w:rPr>
            </w:pPr>
          </w:p>
          <w:p w14:paraId="2BF1871B">
            <w:pPr>
              <w:spacing w:line="273" w:lineRule="auto"/>
              <w:rPr>
                <w:rFonts w:ascii="Arial"/>
                <w:sz w:val="21"/>
              </w:rPr>
            </w:pPr>
          </w:p>
          <w:p w14:paraId="25F85E5E">
            <w:pPr>
              <w:pStyle w:val="6"/>
              <w:spacing w:before="99" w:line="196" w:lineRule="auto"/>
              <w:ind w:left="116" w:right="104" w:firstLine="2"/>
            </w:pPr>
            <w:r>
              <w:rPr>
                <w:spacing w:val="2"/>
              </w:rPr>
              <w:t>处上一年年收入</w:t>
            </w:r>
            <w:r>
              <w:rPr>
                <w:rFonts w:ascii="宋体" w:hAnsi="宋体" w:eastAsia="宋体" w:cs="宋体"/>
                <w:spacing w:val="2"/>
              </w:rPr>
              <w:t>70%</w:t>
            </w:r>
            <w:r>
              <w:rPr>
                <w:spacing w:val="2"/>
              </w:rPr>
              <w:t>至</w:t>
            </w:r>
            <w:r>
              <w:rPr>
                <w:rFonts w:ascii="宋体" w:hAnsi="宋体" w:eastAsia="宋体" w:cs="宋体"/>
                <w:spacing w:val="5"/>
              </w:rPr>
              <w:t>80%</w:t>
            </w:r>
            <w:r>
              <w:rPr>
                <w:spacing w:val="5"/>
              </w:rPr>
              <w:t>的罚款</w:t>
            </w:r>
          </w:p>
        </w:tc>
        <w:tc>
          <w:tcPr>
            <w:tcW w:w="811" w:type="dxa"/>
            <w:vMerge w:val="continue"/>
            <w:tcBorders>
              <w:top w:val="nil"/>
            </w:tcBorders>
            <w:vAlign w:val="top"/>
          </w:tcPr>
          <w:p w14:paraId="6B9FE8FB">
            <w:pPr>
              <w:rPr>
                <w:rFonts w:ascii="Arial"/>
                <w:sz w:val="21"/>
              </w:rPr>
            </w:pPr>
          </w:p>
        </w:tc>
      </w:tr>
    </w:tbl>
    <w:p w14:paraId="4FBD569F">
      <w:pPr>
        <w:pStyle w:val="2"/>
      </w:pPr>
    </w:p>
    <w:p w14:paraId="2EADC8C8">
      <w:pPr>
        <w:sectPr>
          <w:footerReference r:id="rId112" w:type="default"/>
          <w:pgSz w:w="16839" w:h="11906"/>
          <w:pgMar w:top="1012" w:right="821" w:bottom="667" w:left="901" w:header="0" w:footer="388" w:gutter="0"/>
          <w:cols w:space="720" w:num="1"/>
        </w:sectPr>
      </w:pPr>
    </w:p>
    <w:p w14:paraId="6C32A0EB">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FC1D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9BF51C2">
            <w:pPr>
              <w:spacing w:before="222" w:line="241" w:lineRule="auto"/>
              <w:ind w:left="131"/>
              <w:rPr>
                <w:rFonts w:ascii="黑体" w:hAnsi="黑体" w:eastAsia="黑体" w:cs="黑体"/>
                <w:sz w:val="28"/>
                <w:szCs w:val="28"/>
              </w:rPr>
            </w:pPr>
            <w:bookmarkStart w:id="505" w:name="bookmark189"/>
            <w:bookmarkEnd w:id="505"/>
            <w:bookmarkStart w:id="506" w:name="bookmark528"/>
            <w:bookmarkEnd w:id="506"/>
            <w:r>
              <w:rPr>
                <w:rFonts w:ascii="黑体" w:hAnsi="黑体" w:eastAsia="黑体" w:cs="黑体"/>
                <w:spacing w:val="-2"/>
                <w:sz w:val="28"/>
                <w:szCs w:val="28"/>
              </w:rPr>
              <w:t>序号</w:t>
            </w:r>
          </w:p>
        </w:tc>
        <w:tc>
          <w:tcPr>
            <w:tcW w:w="1440" w:type="dxa"/>
            <w:vAlign w:val="top"/>
          </w:tcPr>
          <w:p w14:paraId="31863123">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8471E9F">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0C180A0">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0C4266B2">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418B2C9">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0D787A7">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7166343B">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628B4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3" w:hRule="atLeast"/>
        </w:trPr>
        <w:tc>
          <w:tcPr>
            <w:tcW w:w="818" w:type="dxa"/>
            <w:vMerge w:val="restart"/>
            <w:tcBorders>
              <w:bottom w:val="nil"/>
            </w:tcBorders>
            <w:vAlign w:val="top"/>
          </w:tcPr>
          <w:p w14:paraId="0F3F6FCF">
            <w:pPr>
              <w:rPr>
                <w:rFonts w:ascii="Arial"/>
                <w:sz w:val="21"/>
              </w:rPr>
            </w:pPr>
          </w:p>
          <w:p w14:paraId="745EF371">
            <w:pPr>
              <w:rPr>
                <w:rFonts w:ascii="Arial"/>
                <w:sz w:val="21"/>
              </w:rPr>
            </w:pPr>
          </w:p>
          <w:p w14:paraId="217A7AB6">
            <w:pPr>
              <w:rPr>
                <w:rFonts w:ascii="Arial"/>
                <w:sz w:val="21"/>
              </w:rPr>
            </w:pPr>
          </w:p>
          <w:p w14:paraId="681AB899">
            <w:pPr>
              <w:rPr>
                <w:rFonts w:ascii="Arial"/>
                <w:sz w:val="21"/>
              </w:rPr>
            </w:pPr>
          </w:p>
          <w:p w14:paraId="7A6673B7">
            <w:pPr>
              <w:rPr>
                <w:rFonts w:ascii="Arial"/>
                <w:sz w:val="21"/>
              </w:rPr>
            </w:pPr>
          </w:p>
          <w:p w14:paraId="5E9F3261">
            <w:pPr>
              <w:rPr>
                <w:rFonts w:ascii="Arial"/>
                <w:sz w:val="21"/>
              </w:rPr>
            </w:pPr>
          </w:p>
          <w:p w14:paraId="27E5B278">
            <w:pPr>
              <w:rPr>
                <w:rFonts w:ascii="Arial"/>
                <w:sz w:val="21"/>
              </w:rPr>
            </w:pPr>
          </w:p>
          <w:p w14:paraId="4817AB01">
            <w:pPr>
              <w:rPr>
                <w:rFonts w:ascii="Arial"/>
                <w:sz w:val="21"/>
              </w:rPr>
            </w:pPr>
          </w:p>
          <w:p w14:paraId="31B4EDE7">
            <w:pPr>
              <w:rPr>
                <w:rFonts w:ascii="Arial"/>
                <w:sz w:val="21"/>
              </w:rPr>
            </w:pPr>
          </w:p>
          <w:p w14:paraId="0F2EE63B">
            <w:pPr>
              <w:rPr>
                <w:rFonts w:ascii="Arial"/>
                <w:sz w:val="21"/>
              </w:rPr>
            </w:pPr>
          </w:p>
          <w:p w14:paraId="712A5AE0">
            <w:pPr>
              <w:rPr>
                <w:rFonts w:ascii="Arial"/>
                <w:sz w:val="21"/>
              </w:rPr>
            </w:pPr>
          </w:p>
          <w:p w14:paraId="1C9471B3">
            <w:pPr>
              <w:rPr>
                <w:rFonts w:ascii="Arial"/>
                <w:sz w:val="21"/>
              </w:rPr>
            </w:pPr>
          </w:p>
          <w:p w14:paraId="68145941">
            <w:pPr>
              <w:rPr>
                <w:rFonts w:ascii="Arial"/>
                <w:sz w:val="21"/>
              </w:rPr>
            </w:pPr>
          </w:p>
          <w:p w14:paraId="72B37D63">
            <w:pPr>
              <w:rPr>
                <w:rFonts w:ascii="Arial"/>
                <w:sz w:val="21"/>
              </w:rPr>
            </w:pPr>
          </w:p>
          <w:p w14:paraId="7FDD19F9">
            <w:pPr>
              <w:rPr>
                <w:rFonts w:ascii="Arial"/>
                <w:sz w:val="21"/>
              </w:rPr>
            </w:pPr>
          </w:p>
          <w:p w14:paraId="6F66CBD2">
            <w:pPr>
              <w:spacing w:line="241" w:lineRule="auto"/>
              <w:rPr>
                <w:rFonts w:ascii="Arial"/>
                <w:sz w:val="21"/>
              </w:rPr>
            </w:pPr>
          </w:p>
          <w:p w14:paraId="1E6F8BD4">
            <w:pPr>
              <w:spacing w:line="241" w:lineRule="auto"/>
              <w:rPr>
                <w:rFonts w:ascii="Arial"/>
                <w:sz w:val="21"/>
              </w:rPr>
            </w:pPr>
          </w:p>
          <w:p w14:paraId="487942BF">
            <w:pPr>
              <w:spacing w:line="241" w:lineRule="auto"/>
              <w:rPr>
                <w:rFonts w:ascii="Arial"/>
                <w:sz w:val="21"/>
              </w:rPr>
            </w:pPr>
          </w:p>
          <w:p w14:paraId="072D1214">
            <w:pPr>
              <w:spacing w:before="75" w:line="186" w:lineRule="auto"/>
              <w:ind w:left="235"/>
              <w:rPr>
                <w:rFonts w:ascii="仿宋" w:hAnsi="仿宋" w:eastAsia="仿宋" w:cs="仿宋"/>
                <w:sz w:val="23"/>
                <w:szCs w:val="23"/>
              </w:rPr>
            </w:pPr>
            <w:r>
              <w:rPr>
                <w:rFonts w:ascii="仿宋" w:hAnsi="仿宋" w:eastAsia="仿宋" w:cs="仿宋"/>
                <w:spacing w:val="-2"/>
                <w:sz w:val="23"/>
                <w:szCs w:val="23"/>
              </w:rPr>
              <w:t>91</w:t>
            </w:r>
          </w:p>
        </w:tc>
        <w:tc>
          <w:tcPr>
            <w:tcW w:w="1440" w:type="dxa"/>
            <w:vMerge w:val="restart"/>
            <w:tcBorders>
              <w:bottom w:val="nil"/>
            </w:tcBorders>
            <w:vAlign w:val="top"/>
          </w:tcPr>
          <w:p w14:paraId="2F4D3459">
            <w:pPr>
              <w:spacing w:line="245" w:lineRule="auto"/>
              <w:rPr>
                <w:rFonts w:ascii="Arial"/>
                <w:sz w:val="21"/>
              </w:rPr>
            </w:pPr>
          </w:p>
          <w:p w14:paraId="16CAAC35">
            <w:pPr>
              <w:spacing w:line="245" w:lineRule="auto"/>
              <w:rPr>
                <w:rFonts w:ascii="Arial"/>
                <w:sz w:val="21"/>
              </w:rPr>
            </w:pPr>
          </w:p>
          <w:p w14:paraId="688F4758">
            <w:pPr>
              <w:spacing w:line="245" w:lineRule="auto"/>
              <w:rPr>
                <w:rFonts w:ascii="Arial"/>
                <w:sz w:val="21"/>
              </w:rPr>
            </w:pPr>
          </w:p>
          <w:p w14:paraId="127EA60B">
            <w:pPr>
              <w:spacing w:line="245" w:lineRule="auto"/>
              <w:rPr>
                <w:rFonts w:ascii="Arial"/>
                <w:sz w:val="21"/>
              </w:rPr>
            </w:pPr>
          </w:p>
          <w:p w14:paraId="642E32A0">
            <w:pPr>
              <w:spacing w:line="245" w:lineRule="auto"/>
              <w:rPr>
                <w:rFonts w:ascii="Arial"/>
                <w:sz w:val="21"/>
              </w:rPr>
            </w:pPr>
          </w:p>
          <w:p w14:paraId="4FA7EC92">
            <w:pPr>
              <w:spacing w:line="246" w:lineRule="auto"/>
              <w:rPr>
                <w:rFonts w:ascii="Arial"/>
                <w:sz w:val="21"/>
              </w:rPr>
            </w:pPr>
          </w:p>
          <w:p w14:paraId="4CC5AD16">
            <w:pPr>
              <w:spacing w:line="246" w:lineRule="auto"/>
              <w:rPr>
                <w:rFonts w:ascii="Arial"/>
                <w:sz w:val="21"/>
              </w:rPr>
            </w:pPr>
          </w:p>
          <w:p w14:paraId="26B1B1A4">
            <w:pPr>
              <w:pStyle w:val="6"/>
              <w:spacing w:before="99" w:line="184" w:lineRule="auto"/>
              <w:ind w:left="115" w:right="17" w:firstLine="5"/>
            </w:pPr>
            <w:r>
              <w:rPr>
                <w:spacing w:val="10"/>
              </w:rPr>
              <w:t>事故发生单</w:t>
            </w:r>
            <w:r>
              <w:rPr>
                <w:spacing w:val="11"/>
              </w:rPr>
              <w:t>位主要负责</w:t>
            </w:r>
            <w:r>
              <w:rPr>
                <w:spacing w:val="12"/>
              </w:rPr>
              <w:t>人伪造、故</w:t>
            </w:r>
            <w:r>
              <w:rPr>
                <w:spacing w:val="11"/>
              </w:rPr>
              <w:t>意破坏事故</w:t>
            </w:r>
            <w:r>
              <w:rPr>
                <w:spacing w:val="3"/>
              </w:rPr>
              <w:t>现场，或者</w:t>
            </w:r>
            <w:r>
              <w:rPr>
                <w:spacing w:val="11"/>
              </w:rPr>
              <w:t>转移、隐匿</w:t>
            </w:r>
            <w:r>
              <w:rPr>
                <w:spacing w:val="-13"/>
              </w:rPr>
              <w:t>资金、财产、</w:t>
            </w:r>
            <w:r>
              <w:rPr>
                <w:spacing w:val="11"/>
              </w:rPr>
              <w:t>销毁有关证</w:t>
            </w:r>
            <w:r>
              <w:rPr>
                <w:spacing w:val="2"/>
              </w:rPr>
              <w:t>据、资料，</w:t>
            </w:r>
            <w:r>
              <w:rPr>
                <w:spacing w:val="11"/>
              </w:rPr>
              <w:t>或者拒绝接</w:t>
            </w:r>
            <w:r>
              <w:rPr>
                <w:spacing w:val="3"/>
              </w:rPr>
              <w:t>受调查，或</w:t>
            </w:r>
            <w:r>
              <w:rPr>
                <w:spacing w:val="11"/>
              </w:rPr>
              <w:t>者拒绝提供有关情况和</w:t>
            </w:r>
            <w:r>
              <w:rPr>
                <w:spacing w:val="3"/>
              </w:rPr>
              <w:t>资料，或者</w:t>
            </w:r>
            <w:r>
              <w:rPr>
                <w:spacing w:val="11"/>
              </w:rPr>
              <w:t>在事故调查</w:t>
            </w:r>
            <w:r>
              <w:rPr>
                <w:spacing w:val="2"/>
              </w:rPr>
              <w:t>中作伪证，</w:t>
            </w:r>
            <w:r>
              <w:rPr>
                <w:spacing w:val="11"/>
              </w:rPr>
              <w:t>或者指使他</w:t>
            </w:r>
            <w:r>
              <w:rPr>
                <w:spacing w:val="6"/>
              </w:rPr>
              <w:t>人作伪证的</w:t>
            </w:r>
          </w:p>
        </w:tc>
        <w:tc>
          <w:tcPr>
            <w:tcW w:w="3202" w:type="dxa"/>
            <w:vMerge w:val="restart"/>
            <w:tcBorders>
              <w:bottom w:val="nil"/>
            </w:tcBorders>
            <w:vAlign w:val="top"/>
          </w:tcPr>
          <w:p w14:paraId="2DC8A5D2">
            <w:pPr>
              <w:pStyle w:val="6"/>
              <w:spacing w:before="33" w:line="182" w:lineRule="auto"/>
              <w:ind w:left="117" w:right="111" w:hanging="19"/>
              <w:jc w:val="both"/>
            </w:pPr>
            <w:r>
              <w:rPr>
                <w:spacing w:val="18"/>
              </w:rPr>
              <w:t>【行政法规】《生产安全事</w:t>
            </w:r>
            <w:r>
              <w:rPr>
                <w:spacing w:val="17"/>
              </w:rPr>
              <w:t>故报告和调查处理条例》第</w:t>
            </w:r>
            <w:r>
              <w:rPr>
                <w:spacing w:val="9"/>
              </w:rPr>
              <w:t>十六条：事故发生后，有关</w:t>
            </w:r>
            <w:r>
              <w:rPr>
                <w:spacing w:val="17"/>
              </w:rPr>
              <w:t>单位和人员应当妥善保护事</w:t>
            </w:r>
            <w:r>
              <w:rPr>
                <w:spacing w:val="13"/>
              </w:rPr>
              <w:t>故现场以及相关证据，任何</w:t>
            </w:r>
            <w:r>
              <w:rPr>
                <w:spacing w:val="17"/>
              </w:rPr>
              <w:t>单位和个人不得破坏事故现</w:t>
            </w:r>
            <w:r>
              <w:rPr>
                <w:spacing w:val="4"/>
              </w:rPr>
              <w:t>场、毁灭相关证据。</w:t>
            </w:r>
          </w:p>
          <w:p w14:paraId="38AB246C">
            <w:pPr>
              <w:pStyle w:val="6"/>
              <w:spacing w:before="4" w:line="182" w:lineRule="auto"/>
              <w:ind w:left="115" w:right="111" w:firstLine="32"/>
              <w:jc w:val="both"/>
            </w:pPr>
            <w:r>
              <w:rPr>
                <w:spacing w:val="14"/>
              </w:rPr>
              <w:t>因抢救人员、防止事故扩大</w:t>
            </w:r>
            <w:r>
              <w:rPr>
                <w:spacing w:val="12"/>
              </w:rPr>
              <w:t>以及疏通交通等原因，需要</w:t>
            </w:r>
            <w:r>
              <w:rPr>
                <w:spacing w:val="13"/>
              </w:rPr>
              <w:t>移动事故现场物件的，应当做出标志，绘制现场简图并</w:t>
            </w:r>
            <w:r>
              <w:rPr>
                <w:spacing w:val="14"/>
              </w:rPr>
              <w:t>做出书面记录，妥善保存现</w:t>
            </w:r>
            <w:r>
              <w:rPr>
                <w:spacing w:val="4"/>
              </w:rPr>
              <w:t>场重要痕迹、物证。</w:t>
            </w:r>
          </w:p>
          <w:p w14:paraId="3AA5B9E5">
            <w:pPr>
              <w:pStyle w:val="6"/>
              <w:spacing w:before="4" w:line="182" w:lineRule="auto"/>
              <w:ind w:left="120" w:right="21" w:firstLine="7"/>
              <w:jc w:val="both"/>
            </w:pPr>
            <w:r>
              <w:rPr>
                <w:spacing w:val="2"/>
              </w:rPr>
              <w:t>第二十六条第一款、第二款：</w:t>
            </w:r>
            <w:r>
              <w:rPr>
                <w:spacing w:val="17"/>
              </w:rPr>
              <w:t>事故调查组有权向有关单位和个人了解与事故有关的情</w:t>
            </w:r>
            <w:r>
              <w:rPr>
                <w:spacing w:val="4"/>
              </w:rPr>
              <w:t>况，并要求其提供相关文件、</w:t>
            </w:r>
            <w:r>
              <w:rPr>
                <w:spacing w:val="13"/>
              </w:rPr>
              <w:t>资料，有关单位和个人不得</w:t>
            </w:r>
            <w:r>
              <w:rPr>
                <w:spacing w:val="-5"/>
              </w:rPr>
              <w:t>拒绝。</w:t>
            </w:r>
          </w:p>
          <w:p w14:paraId="7816848C">
            <w:pPr>
              <w:pStyle w:val="6"/>
              <w:spacing w:before="6" w:line="187" w:lineRule="auto"/>
              <w:ind w:left="116" w:right="111" w:firstLine="6"/>
              <w:jc w:val="both"/>
            </w:pPr>
            <w:r>
              <w:rPr>
                <w:spacing w:val="16"/>
              </w:rPr>
              <w:t>事故发生单位的负责人和有</w:t>
            </w:r>
            <w:r>
              <w:rPr>
                <w:spacing w:val="17"/>
              </w:rPr>
              <w:t>关人员在事故调查期间不得</w:t>
            </w:r>
            <w:r>
              <w:rPr>
                <w:spacing w:val="13"/>
              </w:rPr>
              <w:t>擅离职守，并应当随时接受事故调查组的询问，如实提</w:t>
            </w:r>
            <w:r>
              <w:rPr>
                <w:spacing w:val="1"/>
              </w:rPr>
              <w:t>供有关情况。</w:t>
            </w:r>
          </w:p>
        </w:tc>
        <w:tc>
          <w:tcPr>
            <w:tcW w:w="2859" w:type="dxa"/>
            <w:vMerge w:val="restart"/>
            <w:tcBorders>
              <w:bottom w:val="nil"/>
            </w:tcBorders>
            <w:vAlign w:val="top"/>
          </w:tcPr>
          <w:p w14:paraId="2A5D3819">
            <w:pPr>
              <w:pStyle w:val="6"/>
              <w:spacing w:before="46" w:line="182" w:lineRule="auto"/>
              <w:ind w:left="115" w:firstLine="15"/>
              <w:jc w:val="both"/>
            </w:pPr>
            <w:r>
              <w:rPr>
                <w:rFonts w:ascii="宋体" w:hAnsi="宋体" w:eastAsia="宋体" w:cs="宋体"/>
                <w:spacing w:val="5"/>
              </w:rPr>
              <w:t>1.</w:t>
            </w:r>
            <w:r>
              <w:rPr>
                <w:spacing w:val="5"/>
              </w:rPr>
              <w:t>【行政法规】《生产安</w:t>
            </w:r>
            <w:r>
              <w:rPr>
                <w:spacing w:val="7"/>
              </w:rPr>
              <w:t>全事故报告和调查处理条例》第三十六条第二项至</w:t>
            </w:r>
            <w:r>
              <w:rPr>
                <w:spacing w:val="3"/>
              </w:rPr>
              <w:t>第五项：事故发生单位及</w:t>
            </w:r>
            <w:r>
              <w:rPr>
                <w:spacing w:val="7"/>
              </w:rPr>
              <w:t>其有关人员有下列行为之一的，对事故发生单位处</w:t>
            </w:r>
            <w:r>
              <w:rPr>
                <w:rFonts w:ascii="宋体" w:hAnsi="宋体" w:eastAsia="宋体" w:cs="宋体"/>
                <w:spacing w:val="4"/>
              </w:rPr>
              <w:t>100</w:t>
            </w:r>
            <w:r>
              <w:rPr>
                <w:spacing w:val="4"/>
              </w:rPr>
              <w:t>万元以上</w:t>
            </w:r>
            <w:r>
              <w:rPr>
                <w:rFonts w:ascii="宋体" w:hAnsi="宋体" w:eastAsia="宋体" w:cs="宋体"/>
                <w:spacing w:val="4"/>
              </w:rPr>
              <w:t>500</w:t>
            </w:r>
            <w:r>
              <w:rPr>
                <w:spacing w:val="4"/>
              </w:rPr>
              <w:t>万元以</w:t>
            </w:r>
            <w:r>
              <w:rPr>
                <w:spacing w:val="-5"/>
              </w:rPr>
              <w:t>下的罚款；对主要负责人、</w:t>
            </w:r>
            <w:r>
              <w:rPr>
                <w:spacing w:val="7"/>
              </w:rPr>
              <w:t>直接负责的主管人员和其他直接责任人员处上一年</w:t>
            </w:r>
            <w:r>
              <w:rPr>
                <w:spacing w:val="10"/>
              </w:rPr>
              <w:t>年收入</w:t>
            </w:r>
            <w:r>
              <w:rPr>
                <w:rFonts w:ascii="宋体" w:hAnsi="宋体" w:eastAsia="宋体" w:cs="宋体"/>
                <w:spacing w:val="10"/>
              </w:rPr>
              <w:t>60%</w:t>
            </w:r>
            <w:r>
              <w:rPr>
                <w:spacing w:val="10"/>
              </w:rPr>
              <w:t>至</w:t>
            </w:r>
            <w:r>
              <w:rPr>
                <w:rFonts w:ascii="宋体" w:hAnsi="宋体" w:eastAsia="宋体" w:cs="宋体"/>
                <w:spacing w:val="10"/>
              </w:rPr>
              <w:t>100%</w:t>
            </w:r>
            <w:r>
              <w:rPr>
                <w:spacing w:val="10"/>
              </w:rPr>
              <w:t>的罚</w:t>
            </w:r>
            <w:r>
              <w:rPr>
                <w:spacing w:val="-7"/>
              </w:rPr>
              <w:t>款；属于国家工作人员的，</w:t>
            </w:r>
            <w:r>
              <w:rPr>
                <w:spacing w:val="7"/>
              </w:rPr>
              <w:t>并依法给予处分；构成违反治安管理行为的，由公安机关依法给予治安管理处罚；构成犯罪的，依法</w:t>
            </w:r>
            <w:r>
              <w:rPr>
                <w:spacing w:val="1"/>
              </w:rPr>
              <w:t>追究刑事责任</w:t>
            </w:r>
            <w:r>
              <w:rPr>
                <w:spacing w:val="2"/>
              </w:rPr>
              <w:t>：（</w:t>
            </w:r>
            <w:r>
              <w:rPr>
                <w:spacing w:val="1"/>
              </w:rPr>
              <w:t>二）伪</w:t>
            </w:r>
            <w:r>
              <w:rPr>
                <w:spacing w:val="7"/>
              </w:rPr>
              <w:t>造或者故意破坏事故现场</w:t>
            </w:r>
            <w:r>
              <w:rPr>
                <w:spacing w:val="8"/>
              </w:rPr>
              <w:t>的</w:t>
            </w:r>
            <w:r>
              <w:rPr>
                <w:spacing w:val="5"/>
              </w:rPr>
              <w:t>；（</w:t>
            </w:r>
            <w:r>
              <w:rPr>
                <w:spacing w:val="8"/>
              </w:rPr>
              <w:t>三）转移、隐匿资</w:t>
            </w:r>
            <w:r>
              <w:rPr>
                <w:spacing w:val="7"/>
              </w:rPr>
              <w:t>金、财产，或者销毁有关</w:t>
            </w:r>
            <w:r>
              <w:rPr>
                <w:spacing w:val="1"/>
              </w:rPr>
              <w:t>证据、资料的</w:t>
            </w:r>
            <w:r>
              <w:rPr>
                <w:spacing w:val="2"/>
              </w:rPr>
              <w:t>；（</w:t>
            </w:r>
            <w:r>
              <w:rPr>
                <w:spacing w:val="1"/>
              </w:rPr>
              <w:t>四）拒</w:t>
            </w:r>
            <w:r>
              <w:rPr>
                <w:spacing w:val="7"/>
              </w:rPr>
              <w:t>绝接受调查或者拒绝提供</w:t>
            </w:r>
            <w:r>
              <w:rPr>
                <w:spacing w:val="-4"/>
              </w:rPr>
              <w:t>有关情况和资料的</w:t>
            </w:r>
            <w:r>
              <w:rPr>
                <w:spacing w:val="8"/>
              </w:rPr>
              <w:t>；（</w:t>
            </w:r>
            <w:r>
              <w:rPr>
                <w:spacing w:val="-4"/>
              </w:rPr>
              <w:t>五）</w:t>
            </w:r>
            <w:r>
              <w:rPr>
                <w:spacing w:val="7"/>
              </w:rPr>
              <w:t>在事故调查中作伪证或者</w:t>
            </w:r>
            <w:r>
              <w:rPr>
                <w:spacing w:val="2"/>
              </w:rPr>
              <w:t>指使他人作伪证的；</w:t>
            </w:r>
          </w:p>
          <w:p w14:paraId="0709B3F5">
            <w:pPr>
              <w:pStyle w:val="6"/>
              <w:spacing w:before="1" w:line="178" w:lineRule="auto"/>
              <w:ind w:left="116" w:right="97"/>
              <w:jc w:val="both"/>
            </w:pPr>
            <w:r>
              <w:rPr>
                <w:rFonts w:ascii="宋体" w:hAnsi="宋体" w:eastAsia="宋体" w:cs="宋体"/>
                <w:spacing w:val="7"/>
              </w:rPr>
              <w:t>2.</w:t>
            </w:r>
            <w:r>
              <w:rPr>
                <w:spacing w:val="7"/>
              </w:rPr>
              <w:t>【部门规章】《生产安</w:t>
            </w:r>
            <w:r>
              <w:rPr>
                <w:spacing w:val="8"/>
              </w:rPr>
              <w:t>全事故罚款处罚规定》第十一条第三项：事故发生单位主要负责人有《中华</w:t>
            </w:r>
            <w:r>
              <w:rPr>
                <w:spacing w:val="9"/>
              </w:rPr>
              <w:t>人民共和国安全生产法》</w:t>
            </w:r>
          </w:p>
        </w:tc>
        <w:tc>
          <w:tcPr>
            <w:tcW w:w="803" w:type="dxa"/>
            <w:vAlign w:val="top"/>
          </w:tcPr>
          <w:p w14:paraId="1100521A">
            <w:pPr>
              <w:spacing w:line="267" w:lineRule="auto"/>
              <w:rPr>
                <w:rFonts w:ascii="Arial"/>
                <w:sz w:val="21"/>
              </w:rPr>
            </w:pPr>
          </w:p>
          <w:p w14:paraId="0E298017">
            <w:pPr>
              <w:spacing w:line="267" w:lineRule="auto"/>
              <w:rPr>
                <w:rFonts w:ascii="Arial"/>
                <w:sz w:val="21"/>
              </w:rPr>
            </w:pPr>
          </w:p>
          <w:p w14:paraId="3ADB2269">
            <w:pPr>
              <w:spacing w:line="267" w:lineRule="auto"/>
              <w:rPr>
                <w:rFonts w:ascii="Arial"/>
                <w:sz w:val="21"/>
              </w:rPr>
            </w:pPr>
          </w:p>
          <w:p w14:paraId="3BB936F1">
            <w:pPr>
              <w:spacing w:line="268" w:lineRule="auto"/>
              <w:rPr>
                <w:rFonts w:ascii="Arial"/>
                <w:sz w:val="21"/>
              </w:rPr>
            </w:pPr>
          </w:p>
          <w:p w14:paraId="58D8E28B">
            <w:pPr>
              <w:spacing w:line="268" w:lineRule="auto"/>
              <w:rPr>
                <w:rFonts w:ascii="Arial"/>
                <w:sz w:val="21"/>
              </w:rPr>
            </w:pPr>
          </w:p>
          <w:p w14:paraId="0F1C08AE">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16A611D">
            <w:pPr>
              <w:pStyle w:val="6"/>
              <w:spacing w:before="28" w:line="182" w:lineRule="auto"/>
              <w:ind w:left="125"/>
              <w:outlineLvl w:val="0"/>
            </w:pPr>
            <w:r>
              <w:rPr>
                <w:spacing w:val="-3"/>
              </w:rPr>
              <w:t>伪造、故意破坏事故</w:t>
            </w:r>
          </w:p>
          <w:p w14:paraId="15198D1B">
            <w:pPr>
              <w:pStyle w:val="6"/>
              <w:spacing w:before="1" w:line="180" w:lineRule="auto"/>
              <w:ind w:left="120" w:right="109"/>
              <w:jc w:val="both"/>
            </w:pPr>
            <w:r>
              <w:rPr>
                <w:spacing w:val="-3"/>
              </w:rPr>
              <w:t>现场，或者转移、隐匿资金、财产、销毁</w:t>
            </w:r>
            <w:r>
              <w:rPr>
                <w:spacing w:val="-14"/>
              </w:rPr>
              <w:t>有关证据、资料，或</w:t>
            </w:r>
            <w:r>
              <w:rPr>
                <w:spacing w:val="-3"/>
              </w:rPr>
              <w:t>者拒绝接受调查，或</w:t>
            </w:r>
            <w:r>
              <w:rPr>
                <w:spacing w:val="26"/>
              </w:rPr>
              <w:t>者拒绝提供有关情</w:t>
            </w:r>
            <w:r>
              <w:rPr>
                <w:spacing w:val="-3"/>
              </w:rPr>
              <w:t>况和资料，或者在事故调查中作伪证，或</w:t>
            </w:r>
            <w:r>
              <w:rPr>
                <w:spacing w:val="26"/>
              </w:rPr>
              <w:t>者指使他人作伪证</w:t>
            </w:r>
            <w:r>
              <w:t>的</w:t>
            </w:r>
          </w:p>
        </w:tc>
        <w:tc>
          <w:tcPr>
            <w:tcW w:w="2894" w:type="dxa"/>
            <w:vAlign w:val="top"/>
          </w:tcPr>
          <w:p w14:paraId="3C0A4AE2">
            <w:pPr>
              <w:spacing w:line="280" w:lineRule="auto"/>
              <w:rPr>
                <w:rFonts w:ascii="Arial"/>
                <w:sz w:val="21"/>
              </w:rPr>
            </w:pPr>
          </w:p>
          <w:p w14:paraId="0D7A9702">
            <w:pPr>
              <w:spacing w:line="280" w:lineRule="auto"/>
              <w:rPr>
                <w:rFonts w:ascii="Arial"/>
                <w:sz w:val="21"/>
              </w:rPr>
            </w:pPr>
          </w:p>
          <w:p w14:paraId="4EA22496">
            <w:pPr>
              <w:spacing w:line="281" w:lineRule="auto"/>
              <w:rPr>
                <w:rFonts w:ascii="Arial"/>
                <w:sz w:val="21"/>
              </w:rPr>
            </w:pPr>
          </w:p>
          <w:p w14:paraId="3C9D0171">
            <w:pPr>
              <w:spacing w:line="281" w:lineRule="auto"/>
              <w:rPr>
                <w:rFonts w:ascii="Arial"/>
                <w:sz w:val="21"/>
              </w:rPr>
            </w:pPr>
          </w:p>
          <w:p w14:paraId="191C0D22">
            <w:pPr>
              <w:pStyle w:val="6"/>
              <w:spacing w:before="98" w:line="196" w:lineRule="auto"/>
              <w:ind w:left="116" w:right="104" w:firstLine="2"/>
            </w:pPr>
            <w:r>
              <w:rPr>
                <w:spacing w:val="3"/>
              </w:rPr>
              <w:t>处上一年年收入</w:t>
            </w:r>
            <w:r>
              <w:rPr>
                <w:rFonts w:ascii="宋体" w:hAnsi="宋体" w:eastAsia="宋体" w:cs="宋体"/>
                <w:spacing w:val="3"/>
              </w:rPr>
              <w:t>60%</w:t>
            </w:r>
            <w:r>
              <w:rPr>
                <w:spacing w:val="3"/>
              </w:rPr>
              <w:t>至</w:t>
            </w:r>
            <w:r>
              <w:rPr>
                <w:rFonts w:ascii="宋体" w:hAnsi="宋体" w:eastAsia="宋体" w:cs="宋体"/>
                <w:spacing w:val="5"/>
              </w:rPr>
              <w:t>80%</w:t>
            </w:r>
            <w:r>
              <w:rPr>
                <w:spacing w:val="5"/>
              </w:rPr>
              <w:t>的罚款</w:t>
            </w:r>
          </w:p>
        </w:tc>
        <w:tc>
          <w:tcPr>
            <w:tcW w:w="811" w:type="dxa"/>
            <w:vMerge w:val="restart"/>
            <w:tcBorders>
              <w:bottom w:val="nil"/>
            </w:tcBorders>
            <w:vAlign w:val="top"/>
          </w:tcPr>
          <w:p w14:paraId="41F365B4">
            <w:pPr>
              <w:rPr>
                <w:rFonts w:ascii="Arial"/>
                <w:sz w:val="21"/>
              </w:rPr>
            </w:pPr>
          </w:p>
        </w:tc>
      </w:tr>
      <w:tr w14:paraId="3DD5E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1" w:hRule="atLeast"/>
        </w:trPr>
        <w:tc>
          <w:tcPr>
            <w:tcW w:w="818" w:type="dxa"/>
            <w:vMerge w:val="continue"/>
            <w:tcBorders>
              <w:top w:val="nil"/>
              <w:bottom w:val="nil"/>
            </w:tcBorders>
            <w:vAlign w:val="top"/>
          </w:tcPr>
          <w:p w14:paraId="60911B92">
            <w:pPr>
              <w:rPr>
                <w:rFonts w:ascii="Arial"/>
                <w:sz w:val="21"/>
              </w:rPr>
            </w:pPr>
          </w:p>
        </w:tc>
        <w:tc>
          <w:tcPr>
            <w:tcW w:w="1440" w:type="dxa"/>
            <w:vMerge w:val="continue"/>
            <w:tcBorders>
              <w:top w:val="nil"/>
              <w:bottom w:val="nil"/>
            </w:tcBorders>
            <w:vAlign w:val="top"/>
          </w:tcPr>
          <w:p w14:paraId="2EC1C28B">
            <w:pPr>
              <w:rPr>
                <w:rFonts w:ascii="Arial"/>
                <w:sz w:val="21"/>
              </w:rPr>
            </w:pPr>
          </w:p>
        </w:tc>
        <w:tc>
          <w:tcPr>
            <w:tcW w:w="3202" w:type="dxa"/>
            <w:vMerge w:val="continue"/>
            <w:tcBorders>
              <w:top w:val="nil"/>
              <w:bottom w:val="nil"/>
            </w:tcBorders>
            <w:vAlign w:val="top"/>
          </w:tcPr>
          <w:p w14:paraId="46DEF4BC">
            <w:pPr>
              <w:rPr>
                <w:rFonts w:ascii="Arial"/>
                <w:sz w:val="21"/>
              </w:rPr>
            </w:pPr>
          </w:p>
        </w:tc>
        <w:tc>
          <w:tcPr>
            <w:tcW w:w="2859" w:type="dxa"/>
            <w:vMerge w:val="continue"/>
            <w:tcBorders>
              <w:top w:val="nil"/>
              <w:bottom w:val="nil"/>
            </w:tcBorders>
            <w:vAlign w:val="top"/>
          </w:tcPr>
          <w:p w14:paraId="17AE532D">
            <w:pPr>
              <w:rPr>
                <w:rFonts w:ascii="Arial"/>
                <w:sz w:val="21"/>
              </w:rPr>
            </w:pPr>
          </w:p>
        </w:tc>
        <w:tc>
          <w:tcPr>
            <w:tcW w:w="803" w:type="dxa"/>
            <w:vAlign w:val="top"/>
          </w:tcPr>
          <w:p w14:paraId="6B164F52">
            <w:pPr>
              <w:spacing w:line="256" w:lineRule="auto"/>
              <w:rPr>
                <w:rFonts w:ascii="Arial"/>
                <w:sz w:val="21"/>
              </w:rPr>
            </w:pPr>
          </w:p>
          <w:p w14:paraId="26769B67">
            <w:pPr>
              <w:spacing w:line="256" w:lineRule="auto"/>
              <w:rPr>
                <w:rFonts w:ascii="Arial"/>
                <w:sz w:val="21"/>
              </w:rPr>
            </w:pPr>
          </w:p>
          <w:p w14:paraId="5F64C552">
            <w:pPr>
              <w:spacing w:line="256" w:lineRule="auto"/>
              <w:rPr>
                <w:rFonts w:ascii="Arial"/>
                <w:sz w:val="21"/>
              </w:rPr>
            </w:pPr>
          </w:p>
          <w:p w14:paraId="33C26F26">
            <w:pPr>
              <w:spacing w:line="257" w:lineRule="auto"/>
              <w:rPr>
                <w:rFonts w:ascii="Arial"/>
                <w:sz w:val="21"/>
              </w:rPr>
            </w:pPr>
          </w:p>
          <w:p w14:paraId="6814B8E2">
            <w:pPr>
              <w:spacing w:line="257" w:lineRule="auto"/>
              <w:rPr>
                <w:rFonts w:ascii="Arial"/>
                <w:sz w:val="21"/>
              </w:rPr>
            </w:pPr>
          </w:p>
          <w:p w14:paraId="40384267">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964172A">
            <w:pPr>
              <w:spacing w:line="266" w:lineRule="auto"/>
              <w:rPr>
                <w:rFonts w:ascii="Arial"/>
                <w:sz w:val="21"/>
              </w:rPr>
            </w:pPr>
          </w:p>
          <w:p w14:paraId="3C1CEFF7">
            <w:pPr>
              <w:spacing w:line="266" w:lineRule="auto"/>
              <w:rPr>
                <w:rFonts w:ascii="Arial"/>
                <w:sz w:val="21"/>
              </w:rPr>
            </w:pPr>
          </w:p>
          <w:p w14:paraId="047A79DA">
            <w:pPr>
              <w:spacing w:line="266" w:lineRule="auto"/>
              <w:rPr>
                <w:rFonts w:ascii="Arial"/>
                <w:sz w:val="21"/>
              </w:rPr>
            </w:pPr>
          </w:p>
          <w:p w14:paraId="64DB5A47">
            <w:pPr>
              <w:spacing w:line="267" w:lineRule="auto"/>
              <w:rPr>
                <w:rFonts w:ascii="Arial"/>
                <w:sz w:val="21"/>
              </w:rPr>
            </w:pPr>
          </w:p>
          <w:p w14:paraId="0973E7C9">
            <w:pPr>
              <w:pStyle w:val="6"/>
              <w:spacing w:before="99" w:line="195" w:lineRule="auto"/>
              <w:ind w:left="122" w:right="109" w:hanging="2"/>
            </w:pPr>
            <w:r>
              <w:rPr>
                <w:spacing w:val="26"/>
              </w:rPr>
              <w:t>贻误事故抢救或者</w:t>
            </w:r>
            <w:r>
              <w:rPr>
                <w:spacing w:val="6"/>
              </w:rPr>
              <w:t>影响事故调查的</w:t>
            </w:r>
          </w:p>
        </w:tc>
        <w:tc>
          <w:tcPr>
            <w:tcW w:w="2894" w:type="dxa"/>
            <w:vAlign w:val="top"/>
          </w:tcPr>
          <w:p w14:paraId="39A2390D">
            <w:pPr>
              <w:spacing w:line="266" w:lineRule="auto"/>
              <w:rPr>
                <w:rFonts w:ascii="Arial"/>
                <w:sz w:val="21"/>
              </w:rPr>
            </w:pPr>
          </w:p>
          <w:p w14:paraId="43334E0A">
            <w:pPr>
              <w:spacing w:line="266" w:lineRule="auto"/>
              <w:rPr>
                <w:rFonts w:ascii="Arial"/>
                <w:sz w:val="21"/>
              </w:rPr>
            </w:pPr>
          </w:p>
          <w:p w14:paraId="5AF2DE26">
            <w:pPr>
              <w:spacing w:line="266" w:lineRule="auto"/>
              <w:rPr>
                <w:rFonts w:ascii="Arial"/>
                <w:sz w:val="21"/>
              </w:rPr>
            </w:pPr>
          </w:p>
          <w:p w14:paraId="2732A9DD">
            <w:pPr>
              <w:spacing w:line="266" w:lineRule="auto"/>
              <w:rPr>
                <w:rFonts w:ascii="Arial"/>
                <w:sz w:val="21"/>
              </w:rPr>
            </w:pPr>
          </w:p>
          <w:p w14:paraId="21D108DE">
            <w:pPr>
              <w:pStyle w:val="6"/>
              <w:spacing w:before="98" w:line="196" w:lineRule="auto"/>
              <w:ind w:left="116" w:right="104" w:firstLine="2"/>
            </w:pPr>
            <w:r>
              <w:rPr>
                <w:spacing w:val="3"/>
              </w:rPr>
              <w:t>处上一年年收入</w:t>
            </w:r>
            <w:r>
              <w:rPr>
                <w:rFonts w:ascii="宋体" w:hAnsi="宋体" w:eastAsia="宋体" w:cs="宋体"/>
                <w:spacing w:val="3"/>
              </w:rPr>
              <w:t>80%</w:t>
            </w:r>
            <w:r>
              <w:rPr>
                <w:spacing w:val="3"/>
              </w:rPr>
              <w:t>至</w:t>
            </w:r>
            <w:r>
              <w:rPr>
                <w:rFonts w:ascii="宋体" w:hAnsi="宋体" w:eastAsia="宋体" w:cs="宋体"/>
                <w:spacing w:val="5"/>
              </w:rPr>
              <w:t>90%</w:t>
            </w:r>
            <w:r>
              <w:rPr>
                <w:spacing w:val="5"/>
              </w:rPr>
              <w:t>的罚款</w:t>
            </w:r>
          </w:p>
        </w:tc>
        <w:tc>
          <w:tcPr>
            <w:tcW w:w="811" w:type="dxa"/>
            <w:vMerge w:val="continue"/>
            <w:tcBorders>
              <w:top w:val="nil"/>
              <w:bottom w:val="nil"/>
            </w:tcBorders>
            <w:vAlign w:val="top"/>
          </w:tcPr>
          <w:p w14:paraId="4C742064">
            <w:pPr>
              <w:rPr>
                <w:rFonts w:ascii="Arial"/>
                <w:sz w:val="21"/>
              </w:rPr>
            </w:pPr>
          </w:p>
        </w:tc>
      </w:tr>
      <w:tr w14:paraId="4F825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9" w:hRule="atLeast"/>
        </w:trPr>
        <w:tc>
          <w:tcPr>
            <w:tcW w:w="818" w:type="dxa"/>
            <w:vMerge w:val="continue"/>
            <w:tcBorders>
              <w:top w:val="nil"/>
            </w:tcBorders>
            <w:vAlign w:val="top"/>
          </w:tcPr>
          <w:p w14:paraId="6B2778B1">
            <w:pPr>
              <w:rPr>
                <w:rFonts w:ascii="Arial"/>
                <w:sz w:val="21"/>
              </w:rPr>
            </w:pPr>
          </w:p>
        </w:tc>
        <w:tc>
          <w:tcPr>
            <w:tcW w:w="1440" w:type="dxa"/>
            <w:vMerge w:val="continue"/>
            <w:tcBorders>
              <w:top w:val="nil"/>
            </w:tcBorders>
            <w:vAlign w:val="top"/>
          </w:tcPr>
          <w:p w14:paraId="2961C7B3">
            <w:pPr>
              <w:rPr>
                <w:rFonts w:ascii="Arial"/>
                <w:sz w:val="21"/>
              </w:rPr>
            </w:pPr>
          </w:p>
        </w:tc>
        <w:tc>
          <w:tcPr>
            <w:tcW w:w="3202" w:type="dxa"/>
            <w:vMerge w:val="continue"/>
            <w:tcBorders>
              <w:top w:val="nil"/>
            </w:tcBorders>
            <w:vAlign w:val="top"/>
          </w:tcPr>
          <w:p w14:paraId="74F5C80A">
            <w:pPr>
              <w:rPr>
                <w:rFonts w:ascii="Arial"/>
                <w:sz w:val="21"/>
              </w:rPr>
            </w:pPr>
          </w:p>
        </w:tc>
        <w:tc>
          <w:tcPr>
            <w:tcW w:w="2859" w:type="dxa"/>
            <w:vMerge w:val="continue"/>
            <w:tcBorders>
              <w:top w:val="nil"/>
            </w:tcBorders>
            <w:vAlign w:val="top"/>
          </w:tcPr>
          <w:p w14:paraId="119AC2D7">
            <w:pPr>
              <w:rPr>
                <w:rFonts w:ascii="Arial"/>
                <w:sz w:val="21"/>
              </w:rPr>
            </w:pPr>
          </w:p>
        </w:tc>
        <w:tc>
          <w:tcPr>
            <w:tcW w:w="803" w:type="dxa"/>
            <w:vAlign w:val="top"/>
          </w:tcPr>
          <w:p w14:paraId="31BCDC32">
            <w:pPr>
              <w:spacing w:line="279" w:lineRule="auto"/>
              <w:rPr>
                <w:rFonts w:ascii="Arial"/>
                <w:sz w:val="21"/>
              </w:rPr>
            </w:pPr>
          </w:p>
          <w:p w14:paraId="4F3EFB10">
            <w:pPr>
              <w:spacing w:line="279" w:lineRule="auto"/>
              <w:rPr>
                <w:rFonts w:ascii="Arial"/>
                <w:sz w:val="21"/>
              </w:rPr>
            </w:pPr>
          </w:p>
          <w:p w14:paraId="6573C37F">
            <w:pPr>
              <w:spacing w:line="279" w:lineRule="auto"/>
              <w:rPr>
                <w:rFonts w:ascii="Arial"/>
                <w:sz w:val="21"/>
              </w:rPr>
            </w:pPr>
          </w:p>
          <w:p w14:paraId="7BD4DD05">
            <w:pPr>
              <w:spacing w:line="279" w:lineRule="auto"/>
              <w:rPr>
                <w:rFonts w:ascii="Arial"/>
                <w:sz w:val="21"/>
              </w:rPr>
            </w:pPr>
          </w:p>
          <w:p w14:paraId="4151610E">
            <w:pPr>
              <w:spacing w:line="279" w:lineRule="auto"/>
              <w:rPr>
                <w:rFonts w:ascii="Arial"/>
                <w:sz w:val="21"/>
              </w:rPr>
            </w:pPr>
          </w:p>
          <w:p w14:paraId="4ED2E516">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78F85D2">
            <w:pPr>
              <w:spacing w:line="257" w:lineRule="auto"/>
              <w:rPr>
                <w:rFonts w:ascii="Arial"/>
                <w:sz w:val="21"/>
              </w:rPr>
            </w:pPr>
          </w:p>
          <w:p w14:paraId="69D94C71">
            <w:pPr>
              <w:spacing w:line="257" w:lineRule="auto"/>
              <w:rPr>
                <w:rFonts w:ascii="Arial"/>
                <w:sz w:val="21"/>
              </w:rPr>
            </w:pPr>
          </w:p>
          <w:p w14:paraId="618C2E9D">
            <w:pPr>
              <w:spacing w:line="257" w:lineRule="auto"/>
              <w:rPr>
                <w:rFonts w:ascii="Arial"/>
                <w:sz w:val="21"/>
              </w:rPr>
            </w:pPr>
          </w:p>
          <w:p w14:paraId="6823FBB0">
            <w:pPr>
              <w:spacing w:line="257" w:lineRule="auto"/>
              <w:rPr>
                <w:rFonts w:ascii="Arial"/>
                <w:sz w:val="21"/>
              </w:rPr>
            </w:pPr>
          </w:p>
          <w:p w14:paraId="11216DA0">
            <w:pPr>
              <w:pStyle w:val="6"/>
              <w:spacing w:before="99" w:line="192" w:lineRule="auto"/>
              <w:ind w:left="116" w:right="109"/>
              <w:jc w:val="both"/>
            </w:pPr>
            <w:r>
              <w:rPr>
                <w:spacing w:val="26"/>
              </w:rPr>
              <w:t>造成事故扩大或者造成重大社会影响</w:t>
            </w:r>
            <w:r>
              <w:t>的</w:t>
            </w:r>
          </w:p>
        </w:tc>
        <w:tc>
          <w:tcPr>
            <w:tcW w:w="2894" w:type="dxa"/>
            <w:vAlign w:val="top"/>
          </w:tcPr>
          <w:p w14:paraId="124C5358">
            <w:pPr>
              <w:spacing w:line="294" w:lineRule="auto"/>
              <w:rPr>
                <w:rFonts w:ascii="Arial"/>
                <w:sz w:val="21"/>
              </w:rPr>
            </w:pPr>
          </w:p>
          <w:p w14:paraId="4CA5E505">
            <w:pPr>
              <w:spacing w:line="294" w:lineRule="auto"/>
              <w:rPr>
                <w:rFonts w:ascii="Arial"/>
                <w:sz w:val="21"/>
              </w:rPr>
            </w:pPr>
          </w:p>
          <w:p w14:paraId="01D4553D">
            <w:pPr>
              <w:spacing w:line="294" w:lineRule="auto"/>
              <w:rPr>
                <w:rFonts w:ascii="Arial"/>
                <w:sz w:val="21"/>
              </w:rPr>
            </w:pPr>
          </w:p>
          <w:p w14:paraId="7F1C7693">
            <w:pPr>
              <w:spacing w:line="295" w:lineRule="auto"/>
              <w:rPr>
                <w:rFonts w:ascii="Arial"/>
                <w:sz w:val="21"/>
              </w:rPr>
            </w:pPr>
          </w:p>
          <w:p w14:paraId="6EF73390">
            <w:pPr>
              <w:pStyle w:val="6"/>
              <w:spacing w:before="98" w:line="196" w:lineRule="auto"/>
              <w:ind w:left="132" w:right="104" w:hanging="13"/>
            </w:pPr>
            <w:r>
              <w:rPr>
                <w:spacing w:val="3"/>
              </w:rPr>
              <w:t>处上一年年收入</w:t>
            </w:r>
            <w:r>
              <w:rPr>
                <w:rFonts w:ascii="宋体" w:hAnsi="宋体" w:eastAsia="宋体" w:cs="宋体"/>
                <w:spacing w:val="3"/>
              </w:rPr>
              <w:t>90%</w:t>
            </w:r>
            <w:r>
              <w:rPr>
                <w:spacing w:val="3"/>
              </w:rPr>
              <w:t>至</w:t>
            </w:r>
            <w:r>
              <w:rPr>
                <w:rFonts w:ascii="宋体" w:hAnsi="宋体" w:eastAsia="宋体" w:cs="宋体"/>
                <w:spacing w:val="3"/>
              </w:rPr>
              <w:t>100%</w:t>
            </w:r>
            <w:r>
              <w:rPr>
                <w:spacing w:val="3"/>
              </w:rPr>
              <w:t>的罚款</w:t>
            </w:r>
          </w:p>
        </w:tc>
        <w:tc>
          <w:tcPr>
            <w:tcW w:w="811" w:type="dxa"/>
            <w:vMerge w:val="continue"/>
            <w:tcBorders>
              <w:top w:val="nil"/>
            </w:tcBorders>
            <w:vAlign w:val="top"/>
          </w:tcPr>
          <w:p w14:paraId="5E97527B">
            <w:pPr>
              <w:rPr>
                <w:rFonts w:ascii="Arial"/>
                <w:sz w:val="21"/>
              </w:rPr>
            </w:pPr>
          </w:p>
        </w:tc>
      </w:tr>
    </w:tbl>
    <w:p w14:paraId="6D294A12">
      <w:pPr>
        <w:pStyle w:val="2"/>
      </w:pPr>
    </w:p>
    <w:p w14:paraId="58CE4CCD">
      <w:pPr>
        <w:sectPr>
          <w:footerReference r:id="rId113" w:type="default"/>
          <w:pgSz w:w="16839" w:h="11906"/>
          <w:pgMar w:top="1012" w:right="821" w:bottom="667" w:left="901" w:header="0" w:footer="388" w:gutter="0"/>
          <w:cols w:space="720" w:num="1"/>
        </w:sectPr>
      </w:pPr>
    </w:p>
    <w:p w14:paraId="5D8E83A0">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095D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818" w:type="dxa"/>
            <w:vAlign w:val="top"/>
          </w:tcPr>
          <w:p w14:paraId="2347BDB4">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56FED94F">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7B5497AC">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FA57059">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946FF65">
            <w:pPr>
              <w:spacing w:before="42" w:line="223"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E046D0F">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5661F1C">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542F80D">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647A2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2" w:hRule="atLeast"/>
        </w:trPr>
        <w:tc>
          <w:tcPr>
            <w:tcW w:w="818" w:type="dxa"/>
            <w:vAlign w:val="top"/>
          </w:tcPr>
          <w:p w14:paraId="6E8FAFA4">
            <w:pPr>
              <w:rPr>
                <w:rFonts w:ascii="Arial"/>
                <w:sz w:val="21"/>
              </w:rPr>
            </w:pPr>
          </w:p>
        </w:tc>
        <w:tc>
          <w:tcPr>
            <w:tcW w:w="1440" w:type="dxa"/>
            <w:vAlign w:val="top"/>
          </w:tcPr>
          <w:p w14:paraId="5B3CB909">
            <w:pPr>
              <w:rPr>
                <w:rFonts w:ascii="Arial"/>
                <w:sz w:val="21"/>
              </w:rPr>
            </w:pPr>
          </w:p>
        </w:tc>
        <w:tc>
          <w:tcPr>
            <w:tcW w:w="3202" w:type="dxa"/>
            <w:vAlign w:val="top"/>
          </w:tcPr>
          <w:p w14:paraId="75E7DE78">
            <w:pPr>
              <w:rPr>
                <w:rFonts w:ascii="Arial"/>
                <w:sz w:val="21"/>
              </w:rPr>
            </w:pPr>
          </w:p>
        </w:tc>
        <w:tc>
          <w:tcPr>
            <w:tcW w:w="2859" w:type="dxa"/>
            <w:vAlign w:val="top"/>
          </w:tcPr>
          <w:p w14:paraId="318872FA">
            <w:pPr>
              <w:pStyle w:val="6"/>
              <w:spacing w:before="29" w:line="182" w:lineRule="auto"/>
              <w:ind w:left="127"/>
            </w:pPr>
            <w:r>
              <w:rPr>
                <w:spacing w:val="7"/>
              </w:rPr>
              <w:t>第一百一十条、《生产安</w:t>
            </w:r>
          </w:p>
          <w:p w14:paraId="06721E91">
            <w:pPr>
              <w:pStyle w:val="6"/>
              <w:spacing w:line="182" w:lineRule="auto"/>
              <w:ind w:left="117"/>
              <w:outlineLvl w:val="0"/>
            </w:pPr>
            <w:r>
              <w:rPr>
                <w:spacing w:val="8"/>
              </w:rPr>
              <w:t>全事故报告和调查处理条</w:t>
            </w:r>
          </w:p>
          <w:p w14:paraId="6C1783A2">
            <w:pPr>
              <w:pStyle w:val="6"/>
              <w:spacing w:before="5" w:line="181" w:lineRule="auto"/>
              <w:ind w:left="114" w:right="105" w:firstLine="4"/>
            </w:pPr>
            <w:r>
              <w:rPr>
                <w:spacing w:val="8"/>
              </w:rPr>
              <w:t>例》第三十五条、第三十</w:t>
            </w:r>
            <w:bookmarkStart w:id="507" w:name="bookmark191"/>
            <w:bookmarkEnd w:id="507"/>
            <w:bookmarkStart w:id="508" w:name="bookmark529"/>
            <w:bookmarkEnd w:id="508"/>
            <w:r>
              <w:rPr>
                <w:spacing w:val="6"/>
              </w:rPr>
              <w:t>六条规定的下列行为之一</w:t>
            </w:r>
            <w:r>
              <w:rPr>
                <w:spacing w:val="8"/>
              </w:rPr>
              <w:t>的，依照下列规定处以罚</w:t>
            </w:r>
            <w:r>
              <w:rPr>
                <w:spacing w:val="14"/>
              </w:rPr>
              <w:t>款</w:t>
            </w:r>
            <w:r>
              <w:rPr>
                <w:spacing w:val="-15"/>
              </w:rPr>
              <w:t>：（</w:t>
            </w:r>
            <w:r>
              <w:rPr>
                <w:spacing w:val="14"/>
              </w:rPr>
              <w:t>三）事故发生单位</w:t>
            </w:r>
            <w:r>
              <w:rPr>
                <w:spacing w:val="8"/>
              </w:rPr>
              <w:t>主要负责人伪造、故意破</w:t>
            </w:r>
            <w:r>
              <w:rPr>
                <w:spacing w:val="6"/>
              </w:rPr>
              <w:t>坏事故现场，或者转移、</w:t>
            </w:r>
            <w:r>
              <w:rPr>
                <w:spacing w:val="8"/>
              </w:rPr>
              <w:t>隐匿资金、财产、销毁有关证据、资料，或者拒绝接受调查，或者拒绝提供有关情况和资料，或者在事故调查中作伪证，或者指使他人作伪证的，处上</w:t>
            </w:r>
            <w:r>
              <w:rPr>
                <w:spacing w:val="9"/>
              </w:rPr>
              <w:t>一年年收入</w:t>
            </w:r>
            <w:r>
              <w:rPr>
                <w:rFonts w:ascii="宋体" w:hAnsi="宋体" w:eastAsia="宋体" w:cs="宋体"/>
                <w:spacing w:val="9"/>
              </w:rPr>
              <w:t>60%</w:t>
            </w:r>
            <w:r>
              <w:rPr>
                <w:spacing w:val="9"/>
              </w:rPr>
              <w:t>至</w:t>
            </w:r>
            <w:r>
              <w:rPr>
                <w:rFonts w:ascii="宋体" w:hAnsi="宋体" w:eastAsia="宋体" w:cs="宋体"/>
                <w:spacing w:val="9"/>
              </w:rPr>
              <w:t>80%</w:t>
            </w:r>
            <w:r>
              <w:rPr>
                <w:spacing w:val="9"/>
              </w:rPr>
              <w:t>的</w:t>
            </w:r>
            <w:r>
              <w:rPr>
                <w:spacing w:val="8"/>
              </w:rPr>
              <w:t>罚款；贻误事故抢救或者造成事故扩大或者影响事故调查或者造成重大社会影响的，处上一年年收入</w:t>
            </w:r>
            <w:r>
              <w:rPr>
                <w:rFonts w:ascii="宋体" w:hAnsi="宋体" w:eastAsia="宋体" w:cs="宋体"/>
                <w:spacing w:val="1"/>
              </w:rPr>
              <w:t>80%</w:t>
            </w:r>
            <w:r>
              <w:rPr>
                <w:spacing w:val="1"/>
              </w:rPr>
              <w:t>至</w:t>
            </w:r>
            <w:r>
              <w:rPr>
                <w:rFonts w:ascii="宋体" w:hAnsi="宋体" w:eastAsia="宋体" w:cs="宋体"/>
                <w:spacing w:val="1"/>
              </w:rPr>
              <w:t>100%</w:t>
            </w:r>
            <w:r>
              <w:rPr>
                <w:spacing w:val="1"/>
              </w:rPr>
              <w:t>的罚款。</w:t>
            </w:r>
          </w:p>
        </w:tc>
        <w:tc>
          <w:tcPr>
            <w:tcW w:w="803" w:type="dxa"/>
            <w:vAlign w:val="top"/>
          </w:tcPr>
          <w:p w14:paraId="53DD2645">
            <w:pPr>
              <w:rPr>
                <w:rFonts w:ascii="Arial"/>
                <w:sz w:val="21"/>
              </w:rPr>
            </w:pPr>
          </w:p>
        </w:tc>
        <w:tc>
          <w:tcPr>
            <w:tcW w:w="2283" w:type="dxa"/>
            <w:vAlign w:val="top"/>
          </w:tcPr>
          <w:p w14:paraId="4113F879">
            <w:pPr>
              <w:rPr>
                <w:rFonts w:ascii="Arial"/>
                <w:sz w:val="21"/>
              </w:rPr>
            </w:pPr>
          </w:p>
        </w:tc>
        <w:tc>
          <w:tcPr>
            <w:tcW w:w="2894" w:type="dxa"/>
            <w:vAlign w:val="top"/>
          </w:tcPr>
          <w:p w14:paraId="6950C11E">
            <w:pPr>
              <w:rPr>
                <w:rFonts w:ascii="Arial"/>
                <w:sz w:val="21"/>
              </w:rPr>
            </w:pPr>
          </w:p>
        </w:tc>
        <w:tc>
          <w:tcPr>
            <w:tcW w:w="811" w:type="dxa"/>
            <w:vAlign w:val="top"/>
          </w:tcPr>
          <w:p w14:paraId="58DCF624">
            <w:pPr>
              <w:rPr>
                <w:rFonts w:ascii="Arial"/>
                <w:sz w:val="21"/>
              </w:rPr>
            </w:pPr>
          </w:p>
        </w:tc>
      </w:tr>
      <w:tr w14:paraId="21465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6" w:hRule="atLeast"/>
        </w:trPr>
        <w:tc>
          <w:tcPr>
            <w:tcW w:w="818" w:type="dxa"/>
            <w:vAlign w:val="top"/>
          </w:tcPr>
          <w:p w14:paraId="2E7661D9">
            <w:pPr>
              <w:spacing w:line="262" w:lineRule="auto"/>
              <w:rPr>
                <w:rFonts w:ascii="Arial"/>
                <w:sz w:val="21"/>
              </w:rPr>
            </w:pPr>
          </w:p>
          <w:p w14:paraId="1DF337CA">
            <w:pPr>
              <w:spacing w:line="262" w:lineRule="auto"/>
              <w:rPr>
                <w:rFonts w:ascii="Arial"/>
                <w:sz w:val="21"/>
              </w:rPr>
            </w:pPr>
          </w:p>
          <w:p w14:paraId="3FFF72D8">
            <w:pPr>
              <w:spacing w:line="263" w:lineRule="auto"/>
              <w:rPr>
                <w:rFonts w:ascii="Arial"/>
                <w:sz w:val="21"/>
              </w:rPr>
            </w:pPr>
          </w:p>
          <w:p w14:paraId="426E93C5">
            <w:pPr>
              <w:spacing w:line="263" w:lineRule="auto"/>
              <w:rPr>
                <w:rFonts w:ascii="Arial"/>
                <w:sz w:val="21"/>
              </w:rPr>
            </w:pPr>
          </w:p>
          <w:p w14:paraId="1A66D9FA">
            <w:pPr>
              <w:spacing w:line="263" w:lineRule="auto"/>
              <w:rPr>
                <w:rFonts w:ascii="Arial"/>
                <w:sz w:val="21"/>
              </w:rPr>
            </w:pPr>
          </w:p>
          <w:p w14:paraId="191C86EE">
            <w:pPr>
              <w:spacing w:before="75" w:line="185" w:lineRule="auto"/>
              <w:ind w:left="235"/>
              <w:rPr>
                <w:rFonts w:ascii="仿宋" w:hAnsi="仿宋" w:eastAsia="仿宋" w:cs="仿宋"/>
                <w:sz w:val="23"/>
                <w:szCs w:val="23"/>
              </w:rPr>
            </w:pPr>
            <w:r>
              <w:rPr>
                <w:rFonts w:ascii="仿宋" w:hAnsi="仿宋" w:eastAsia="仿宋" w:cs="仿宋"/>
                <w:spacing w:val="-2"/>
                <w:sz w:val="23"/>
                <w:szCs w:val="23"/>
              </w:rPr>
              <w:t>92</w:t>
            </w:r>
          </w:p>
        </w:tc>
        <w:tc>
          <w:tcPr>
            <w:tcW w:w="1440" w:type="dxa"/>
            <w:vAlign w:val="top"/>
          </w:tcPr>
          <w:p w14:paraId="6DF090BD">
            <w:pPr>
              <w:pStyle w:val="6"/>
              <w:spacing w:before="153" w:line="185" w:lineRule="auto"/>
              <w:ind w:left="88" w:right="111" w:firstLine="32"/>
              <w:jc w:val="both"/>
            </w:pPr>
            <w:r>
              <w:rPr>
                <w:spacing w:val="10"/>
              </w:rPr>
              <w:t>事故发生单</w:t>
            </w:r>
            <w:r>
              <w:rPr>
                <w:spacing w:val="17"/>
              </w:rPr>
              <w:t>位直接负责的主管人员和其他直接责任人员有《生产安全事故报告和调查处理条例》第三十</w:t>
            </w:r>
          </w:p>
        </w:tc>
        <w:tc>
          <w:tcPr>
            <w:tcW w:w="3202" w:type="dxa"/>
            <w:vAlign w:val="top"/>
          </w:tcPr>
          <w:p w14:paraId="5C01C5B9">
            <w:pPr>
              <w:pStyle w:val="6"/>
              <w:spacing w:before="38" w:line="182" w:lineRule="auto"/>
              <w:ind w:left="117" w:right="111" w:firstLine="13"/>
              <w:jc w:val="both"/>
            </w:pPr>
            <w:r>
              <w:rPr>
                <w:rFonts w:ascii="宋体" w:hAnsi="宋体" w:eastAsia="宋体" w:cs="宋体"/>
                <w:spacing w:val="14"/>
              </w:rPr>
              <w:t>1.</w:t>
            </w:r>
            <w:r>
              <w:rPr>
                <w:spacing w:val="14"/>
              </w:rPr>
              <w:t>【法律】《中华人民共和</w:t>
            </w:r>
            <w:r>
              <w:rPr>
                <w:spacing w:val="17"/>
              </w:rPr>
              <w:t>国安全生产法》第八十三条</w:t>
            </w:r>
            <w:r>
              <w:rPr>
                <w:spacing w:val="12"/>
              </w:rPr>
              <w:t>第一款：生产经营单位发生</w:t>
            </w:r>
            <w:r>
              <w:rPr>
                <w:spacing w:val="13"/>
              </w:rPr>
              <w:t>生产安全事故后，事故现场</w:t>
            </w:r>
            <w:r>
              <w:rPr>
                <w:spacing w:val="17"/>
              </w:rPr>
              <w:t>有关人员应当立即报告本单</w:t>
            </w:r>
            <w:r>
              <w:t>位负责人。</w:t>
            </w:r>
          </w:p>
          <w:p w14:paraId="46DC3E1F">
            <w:pPr>
              <w:pStyle w:val="6"/>
              <w:spacing w:line="191" w:lineRule="auto"/>
              <w:ind w:left="122" w:right="97" w:hanging="6"/>
              <w:jc w:val="both"/>
            </w:pPr>
            <w:r>
              <w:rPr>
                <w:rFonts w:ascii="宋体" w:hAnsi="宋体" w:eastAsia="宋体" w:cs="宋体"/>
                <w:spacing w:val="15"/>
              </w:rPr>
              <w:t>2.</w:t>
            </w:r>
            <w:r>
              <w:rPr>
                <w:spacing w:val="15"/>
              </w:rPr>
              <w:t>【行政法规】《生产安全</w:t>
            </w:r>
            <w:r>
              <w:rPr>
                <w:spacing w:val="18"/>
              </w:rPr>
              <w:t>事故报告和调查处理条例》</w:t>
            </w:r>
            <w:r>
              <w:rPr>
                <w:spacing w:val="12"/>
              </w:rPr>
              <w:t>第四条第一款：事故报告应</w:t>
            </w:r>
          </w:p>
        </w:tc>
        <w:tc>
          <w:tcPr>
            <w:tcW w:w="2859" w:type="dxa"/>
            <w:vAlign w:val="top"/>
          </w:tcPr>
          <w:p w14:paraId="5ED80168">
            <w:pPr>
              <w:pStyle w:val="6"/>
              <w:spacing w:before="38" w:line="185" w:lineRule="auto"/>
              <w:ind w:left="117" w:right="107" w:firstLine="13"/>
              <w:jc w:val="both"/>
            </w:pPr>
            <w:r>
              <w:rPr>
                <w:rFonts w:ascii="宋体" w:hAnsi="宋体" w:eastAsia="宋体" w:cs="宋体"/>
                <w:spacing w:val="6"/>
              </w:rPr>
              <w:t>1.</w:t>
            </w:r>
            <w:r>
              <w:rPr>
                <w:spacing w:val="6"/>
              </w:rPr>
              <w:t>【行政法规】《生产安</w:t>
            </w:r>
            <w:r>
              <w:rPr>
                <w:spacing w:val="8"/>
              </w:rPr>
              <w:t>全事故报告和调查处理条例》第三十六条：事故发生单位及其有关人员有下列行为之一的，对事故发</w:t>
            </w:r>
            <w:r>
              <w:rPr>
                <w:spacing w:val="17"/>
              </w:rPr>
              <w:t>生单位处</w:t>
            </w:r>
            <w:r>
              <w:rPr>
                <w:rFonts w:ascii="宋体" w:hAnsi="宋体" w:eastAsia="宋体" w:cs="宋体"/>
                <w:spacing w:val="17"/>
              </w:rPr>
              <w:t>100</w:t>
            </w:r>
            <w:r>
              <w:rPr>
                <w:spacing w:val="17"/>
              </w:rPr>
              <w:t>万元以上</w:t>
            </w:r>
            <w:r>
              <w:rPr>
                <w:rFonts w:ascii="宋体" w:hAnsi="宋体" w:eastAsia="宋体" w:cs="宋体"/>
                <w:spacing w:val="6"/>
              </w:rPr>
              <w:t>500</w:t>
            </w:r>
            <w:r>
              <w:rPr>
                <w:spacing w:val="6"/>
              </w:rPr>
              <w:t>万元以下的罚款；对</w:t>
            </w:r>
            <w:r>
              <w:rPr>
                <w:spacing w:val="8"/>
              </w:rPr>
              <w:t>主要负责人、直接负责的主管人员和其他直接责任</w:t>
            </w:r>
          </w:p>
        </w:tc>
        <w:tc>
          <w:tcPr>
            <w:tcW w:w="803" w:type="dxa"/>
            <w:vAlign w:val="top"/>
          </w:tcPr>
          <w:p w14:paraId="2201A2B4">
            <w:pPr>
              <w:spacing w:line="261" w:lineRule="auto"/>
              <w:rPr>
                <w:rFonts w:ascii="Arial"/>
                <w:sz w:val="21"/>
              </w:rPr>
            </w:pPr>
          </w:p>
          <w:p w14:paraId="09254AB9">
            <w:pPr>
              <w:spacing w:line="261" w:lineRule="auto"/>
              <w:rPr>
                <w:rFonts w:ascii="Arial"/>
                <w:sz w:val="21"/>
              </w:rPr>
            </w:pPr>
          </w:p>
          <w:p w14:paraId="74E6D718">
            <w:pPr>
              <w:spacing w:line="261" w:lineRule="auto"/>
              <w:rPr>
                <w:rFonts w:ascii="Arial"/>
                <w:sz w:val="21"/>
              </w:rPr>
            </w:pPr>
          </w:p>
          <w:p w14:paraId="3569707A">
            <w:pPr>
              <w:spacing w:line="262" w:lineRule="auto"/>
              <w:rPr>
                <w:rFonts w:ascii="Arial"/>
                <w:sz w:val="21"/>
              </w:rPr>
            </w:pPr>
          </w:p>
          <w:p w14:paraId="77369F2B">
            <w:pPr>
              <w:spacing w:line="262" w:lineRule="auto"/>
              <w:rPr>
                <w:rFonts w:ascii="Arial"/>
                <w:sz w:val="21"/>
              </w:rPr>
            </w:pPr>
          </w:p>
          <w:p w14:paraId="07B8684C">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B1AB4BF">
            <w:pPr>
              <w:spacing w:line="264" w:lineRule="auto"/>
              <w:rPr>
                <w:rFonts w:ascii="Arial"/>
                <w:sz w:val="21"/>
              </w:rPr>
            </w:pPr>
          </w:p>
          <w:p w14:paraId="530CB7F6">
            <w:pPr>
              <w:spacing w:line="264" w:lineRule="auto"/>
              <w:rPr>
                <w:rFonts w:ascii="Arial"/>
                <w:sz w:val="21"/>
              </w:rPr>
            </w:pPr>
          </w:p>
          <w:p w14:paraId="296F9AEA">
            <w:pPr>
              <w:spacing w:line="265" w:lineRule="auto"/>
              <w:rPr>
                <w:rFonts w:ascii="Arial"/>
                <w:sz w:val="21"/>
              </w:rPr>
            </w:pPr>
          </w:p>
          <w:p w14:paraId="23D025CE">
            <w:pPr>
              <w:pStyle w:val="6"/>
              <w:spacing w:before="99" w:line="189" w:lineRule="auto"/>
              <w:ind w:left="118" w:right="4" w:firstLine="4"/>
              <w:jc w:val="both"/>
            </w:pPr>
            <w:r>
              <w:rPr>
                <w:spacing w:val="-5"/>
              </w:rPr>
              <w:t>有《生产安全事故报</w:t>
            </w:r>
            <w:r>
              <w:rPr>
                <w:spacing w:val="9"/>
              </w:rPr>
              <w:t>告和调查处理条例》</w:t>
            </w:r>
            <w:r>
              <w:rPr>
                <w:spacing w:val="26"/>
              </w:rPr>
              <w:t>第三十六条规定的</w:t>
            </w:r>
            <w:r>
              <w:rPr>
                <w:spacing w:val="6"/>
              </w:rPr>
              <w:t>行为之一的</w:t>
            </w:r>
          </w:p>
        </w:tc>
        <w:tc>
          <w:tcPr>
            <w:tcW w:w="2894" w:type="dxa"/>
            <w:vAlign w:val="top"/>
          </w:tcPr>
          <w:p w14:paraId="7D2647B6">
            <w:pPr>
              <w:spacing w:line="273" w:lineRule="auto"/>
              <w:rPr>
                <w:rFonts w:ascii="Arial"/>
                <w:sz w:val="21"/>
              </w:rPr>
            </w:pPr>
          </w:p>
          <w:p w14:paraId="29964233">
            <w:pPr>
              <w:spacing w:line="273" w:lineRule="auto"/>
              <w:rPr>
                <w:rFonts w:ascii="Arial"/>
                <w:sz w:val="21"/>
              </w:rPr>
            </w:pPr>
          </w:p>
          <w:p w14:paraId="5775D554">
            <w:pPr>
              <w:spacing w:line="273" w:lineRule="auto"/>
              <w:rPr>
                <w:rFonts w:ascii="Arial"/>
                <w:sz w:val="21"/>
              </w:rPr>
            </w:pPr>
          </w:p>
          <w:p w14:paraId="19AFBD3F">
            <w:pPr>
              <w:spacing w:line="273" w:lineRule="auto"/>
              <w:rPr>
                <w:rFonts w:ascii="Arial"/>
                <w:sz w:val="21"/>
              </w:rPr>
            </w:pPr>
          </w:p>
          <w:p w14:paraId="0F5223A3">
            <w:pPr>
              <w:pStyle w:val="6"/>
              <w:spacing w:before="98" w:line="196" w:lineRule="auto"/>
              <w:ind w:left="116" w:right="104" w:firstLine="2"/>
            </w:pPr>
            <w:r>
              <w:rPr>
                <w:spacing w:val="3"/>
              </w:rPr>
              <w:t>处上一年年收入</w:t>
            </w:r>
            <w:r>
              <w:rPr>
                <w:rFonts w:ascii="宋体" w:hAnsi="宋体" w:eastAsia="宋体" w:cs="宋体"/>
                <w:spacing w:val="3"/>
              </w:rPr>
              <w:t>60%</w:t>
            </w:r>
            <w:r>
              <w:rPr>
                <w:spacing w:val="3"/>
              </w:rPr>
              <w:t>至</w:t>
            </w:r>
            <w:r>
              <w:rPr>
                <w:rFonts w:ascii="宋体" w:hAnsi="宋体" w:eastAsia="宋体" w:cs="宋体"/>
                <w:spacing w:val="5"/>
              </w:rPr>
              <w:t>80%</w:t>
            </w:r>
            <w:r>
              <w:rPr>
                <w:spacing w:val="5"/>
              </w:rPr>
              <w:t>的罚款</w:t>
            </w:r>
          </w:p>
        </w:tc>
        <w:tc>
          <w:tcPr>
            <w:tcW w:w="811" w:type="dxa"/>
            <w:vAlign w:val="top"/>
          </w:tcPr>
          <w:p w14:paraId="3235BFA5">
            <w:pPr>
              <w:rPr>
                <w:rFonts w:ascii="Arial"/>
                <w:sz w:val="21"/>
              </w:rPr>
            </w:pPr>
          </w:p>
        </w:tc>
      </w:tr>
    </w:tbl>
    <w:p w14:paraId="10AB36B5">
      <w:pPr>
        <w:pStyle w:val="2"/>
      </w:pPr>
    </w:p>
    <w:p w14:paraId="18C99394">
      <w:pPr>
        <w:sectPr>
          <w:footerReference r:id="rId114" w:type="default"/>
          <w:pgSz w:w="16839" w:h="11906"/>
          <w:pgMar w:top="1012" w:right="821" w:bottom="667" w:left="901" w:header="0" w:footer="388" w:gutter="0"/>
          <w:cols w:space="720" w:num="1"/>
        </w:sectPr>
      </w:pPr>
    </w:p>
    <w:p w14:paraId="04129872">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F573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0D657AE">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66BE822A">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A447FAD">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95525C3">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F9391B0">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8EB27B2">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3270A20">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6ACEE10D">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43C8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1" w:hRule="atLeast"/>
        </w:trPr>
        <w:tc>
          <w:tcPr>
            <w:tcW w:w="818" w:type="dxa"/>
            <w:vMerge w:val="restart"/>
            <w:tcBorders>
              <w:bottom w:val="nil"/>
            </w:tcBorders>
            <w:vAlign w:val="top"/>
          </w:tcPr>
          <w:p w14:paraId="7C83AF3D">
            <w:pPr>
              <w:rPr>
                <w:rFonts w:ascii="Arial"/>
                <w:sz w:val="21"/>
              </w:rPr>
            </w:pPr>
          </w:p>
        </w:tc>
        <w:tc>
          <w:tcPr>
            <w:tcW w:w="1440" w:type="dxa"/>
            <w:vMerge w:val="restart"/>
            <w:tcBorders>
              <w:bottom w:val="nil"/>
            </w:tcBorders>
            <w:vAlign w:val="top"/>
          </w:tcPr>
          <w:p w14:paraId="5BE0FE27">
            <w:pPr>
              <w:pStyle w:val="6"/>
              <w:spacing w:before="29" w:line="195" w:lineRule="auto"/>
              <w:ind w:left="116" w:right="111" w:firstLine="11"/>
            </w:pPr>
            <w:r>
              <w:rPr>
                <w:spacing w:val="9"/>
              </w:rPr>
              <w:t>六条规定的</w:t>
            </w:r>
            <w:r>
              <w:rPr>
                <w:spacing w:val="6"/>
              </w:rPr>
              <w:t>行为之一的</w:t>
            </w:r>
          </w:p>
        </w:tc>
        <w:tc>
          <w:tcPr>
            <w:tcW w:w="3202" w:type="dxa"/>
            <w:vMerge w:val="restart"/>
            <w:tcBorders>
              <w:bottom w:val="nil"/>
            </w:tcBorders>
            <w:vAlign w:val="top"/>
          </w:tcPr>
          <w:p w14:paraId="5657B7B9">
            <w:pPr>
              <w:pStyle w:val="6"/>
              <w:spacing w:before="30" w:line="182" w:lineRule="auto"/>
              <w:ind w:left="121" w:right="110" w:firstLine="28"/>
            </w:pPr>
            <w:r>
              <w:rPr>
                <w:spacing w:val="10"/>
              </w:rPr>
              <w:t>当及时、准确、完整，任何</w:t>
            </w:r>
            <w:r>
              <w:rPr>
                <w:spacing w:val="39"/>
              </w:rPr>
              <w:t>单位和个人对事故不得迟</w:t>
            </w:r>
            <w:r>
              <w:rPr>
                <w:spacing w:val="5"/>
              </w:rPr>
              <w:t>报、漏报、谎报或者瞒报。</w:t>
            </w:r>
          </w:p>
          <w:p w14:paraId="0910A646">
            <w:pPr>
              <w:pStyle w:val="6"/>
              <w:spacing w:before="3" w:line="182" w:lineRule="auto"/>
              <w:ind w:left="117" w:right="111" w:firstLine="10"/>
            </w:pPr>
            <w:r>
              <w:rPr>
                <w:spacing w:val="8"/>
              </w:rPr>
              <w:t>第十六条：事故发生后，有</w:t>
            </w:r>
            <w:r>
              <w:rPr>
                <w:spacing w:val="17"/>
              </w:rPr>
              <w:t>关单位和人员应当妥善保护</w:t>
            </w:r>
            <w:r>
              <w:rPr>
                <w:spacing w:val="13"/>
              </w:rPr>
              <w:t>事故现场以及相关证据，任</w:t>
            </w:r>
            <w:r>
              <w:rPr>
                <w:spacing w:val="17"/>
              </w:rPr>
              <w:t>何单位和个人不得破坏事故</w:t>
            </w:r>
            <w:r>
              <w:rPr>
                <w:spacing w:val="4"/>
              </w:rPr>
              <w:t>现场、毁灭相关证据。</w:t>
            </w:r>
          </w:p>
          <w:p w14:paraId="1124A119">
            <w:pPr>
              <w:pStyle w:val="6"/>
              <w:spacing w:before="4" w:line="182" w:lineRule="auto"/>
              <w:ind w:left="115" w:right="111" w:firstLine="32"/>
              <w:jc w:val="both"/>
            </w:pPr>
            <w:r>
              <w:rPr>
                <w:spacing w:val="14"/>
              </w:rPr>
              <w:t>因抢救人员、防止事故扩大</w:t>
            </w:r>
            <w:r>
              <w:rPr>
                <w:spacing w:val="12"/>
              </w:rPr>
              <w:t>以及疏通交通等原因，需要</w:t>
            </w:r>
            <w:r>
              <w:rPr>
                <w:spacing w:val="13"/>
              </w:rPr>
              <w:t>移动事故现场物件的，应当做出标志，绘制现场简图并</w:t>
            </w:r>
            <w:r>
              <w:rPr>
                <w:spacing w:val="14"/>
              </w:rPr>
              <w:t>做出书面记录，妥善保存现</w:t>
            </w:r>
            <w:r>
              <w:rPr>
                <w:spacing w:val="4"/>
              </w:rPr>
              <w:t>场重要痕迹、物证。</w:t>
            </w:r>
          </w:p>
          <w:p w14:paraId="270F3C39">
            <w:pPr>
              <w:pStyle w:val="6"/>
              <w:spacing w:before="4" w:line="182" w:lineRule="auto"/>
              <w:ind w:left="120" w:right="21" w:firstLine="7"/>
              <w:jc w:val="both"/>
            </w:pPr>
            <w:r>
              <w:rPr>
                <w:spacing w:val="2"/>
              </w:rPr>
              <w:t>第二十六条第一款、第二款：</w:t>
            </w:r>
            <w:r>
              <w:rPr>
                <w:spacing w:val="17"/>
              </w:rPr>
              <w:t>事故调查组有权向有关单位和个人了解与事故有关的情</w:t>
            </w:r>
            <w:r>
              <w:rPr>
                <w:spacing w:val="4"/>
              </w:rPr>
              <w:t>况，并要求其提供相关文件、</w:t>
            </w:r>
            <w:r>
              <w:rPr>
                <w:spacing w:val="13"/>
              </w:rPr>
              <w:t>资料，有关单位和个人不得</w:t>
            </w:r>
            <w:r>
              <w:rPr>
                <w:spacing w:val="-5"/>
              </w:rPr>
              <w:t>拒绝。</w:t>
            </w:r>
          </w:p>
          <w:p w14:paraId="46CAD553">
            <w:pPr>
              <w:pStyle w:val="6"/>
              <w:spacing w:before="6" w:line="187" w:lineRule="auto"/>
              <w:ind w:left="116" w:right="111" w:firstLine="6"/>
              <w:jc w:val="both"/>
            </w:pPr>
            <w:r>
              <w:rPr>
                <w:spacing w:val="16"/>
              </w:rPr>
              <w:t>事故发生单位的负责人和有</w:t>
            </w:r>
            <w:r>
              <w:rPr>
                <w:spacing w:val="17"/>
              </w:rPr>
              <w:t>关人员在事故调查期间不得</w:t>
            </w:r>
            <w:r>
              <w:rPr>
                <w:spacing w:val="13"/>
              </w:rPr>
              <w:t>擅离职守，并应当随时接受事故调查组的询问，如实提</w:t>
            </w:r>
            <w:r>
              <w:rPr>
                <w:spacing w:val="1"/>
              </w:rPr>
              <w:t>供有关情况。</w:t>
            </w:r>
          </w:p>
        </w:tc>
        <w:tc>
          <w:tcPr>
            <w:tcW w:w="2859" w:type="dxa"/>
            <w:vMerge w:val="restart"/>
            <w:tcBorders>
              <w:bottom w:val="nil"/>
            </w:tcBorders>
            <w:vAlign w:val="top"/>
          </w:tcPr>
          <w:p w14:paraId="1E6D5838">
            <w:pPr>
              <w:pStyle w:val="6"/>
              <w:spacing w:before="33" w:line="182" w:lineRule="auto"/>
              <w:ind w:left="117" w:right="108" w:firstLine="2"/>
              <w:jc w:val="both"/>
            </w:pPr>
            <w:r>
              <w:rPr>
                <w:spacing w:val="10"/>
              </w:rPr>
              <w:t>人员处上一年年收入</w:t>
            </w:r>
            <w:r>
              <w:rPr>
                <w:rFonts w:ascii="宋体" w:hAnsi="宋体" w:eastAsia="宋体" w:cs="宋体"/>
                <w:spacing w:val="10"/>
              </w:rPr>
              <w:t>60%</w:t>
            </w:r>
            <w:r>
              <w:t>至</w:t>
            </w:r>
            <w:r>
              <w:rPr>
                <w:rFonts w:ascii="宋体" w:hAnsi="宋体" w:eastAsia="宋体" w:cs="宋体"/>
              </w:rPr>
              <w:t>100%</w:t>
            </w:r>
            <w:r>
              <w:t>的罚款；属于国家</w:t>
            </w:r>
            <w:r>
              <w:rPr>
                <w:spacing w:val="8"/>
              </w:rPr>
              <w:t>工作人员的，并依法给予处分；构成违反治安管理</w:t>
            </w:r>
            <w:r>
              <w:rPr>
                <w:spacing w:val="2"/>
              </w:rPr>
              <w:t>行为的，由公安机关依法</w:t>
            </w:r>
            <w:r>
              <w:rPr>
                <w:spacing w:val="8"/>
              </w:rPr>
              <w:t>给予治安管理处罚；构成</w:t>
            </w:r>
            <w:r>
              <w:rPr>
                <w:spacing w:val="4"/>
              </w:rPr>
              <w:t>犯罪的，依法追究刑事责</w:t>
            </w:r>
            <w:r>
              <w:rPr>
                <w:spacing w:val="-11"/>
              </w:rPr>
              <w:t>任：</w:t>
            </w:r>
          </w:p>
          <w:p w14:paraId="01F20A4C">
            <w:pPr>
              <w:pStyle w:val="6"/>
              <w:spacing w:before="8" w:line="182" w:lineRule="auto"/>
              <w:ind w:left="113" w:right="106" w:hanging="15"/>
            </w:pPr>
            <w:r>
              <w:t>（一）谎报或者瞒报事故</w:t>
            </w:r>
            <w:r>
              <w:rPr>
                <w:spacing w:val="9"/>
              </w:rPr>
              <w:t>的</w:t>
            </w:r>
            <w:r>
              <w:rPr>
                <w:spacing w:val="8"/>
              </w:rPr>
              <w:t>；（</w:t>
            </w:r>
            <w:r>
              <w:rPr>
                <w:spacing w:val="9"/>
              </w:rPr>
              <w:t>二）伪造或者故意破坏事故现场的</w:t>
            </w:r>
            <w:r>
              <w:rPr>
                <w:spacing w:val="10"/>
              </w:rPr>
              <w:t>；（</w:t>
            </w:r>
            <w:r>
              <w:rPr>
                <w:spacing w:val="9"/>
              </w:rPr>
              <w:t>三）</w:t>
            </w:r>
            <w:r>
              <w:rPr>
                <w:spacing w:val="7"/>
              </w:rPr>
              <w:t>转移、隐匿资金、财产，</w:t>
            </w:r>
            <w:r>
              <w:rPr>
                <w:spacing w:val="8"/>
              </w:rPr>
              <w:t>或者销毁有关证据、资料</w:t>
            </w:r>
            <w:r>
              <w:rPr>
                <w:spacing w:val="9"/>
              </w:rPr>
              <w:t>的</w:t>
            </w:r>
            <w:r>
              <w:rPr>
                <w:spacing w:val="8"/>
              </w:rPr>
              <w:t>；（</w:t>
            </w:r>
            <w:r>
              <w:rPr>
                <w:spacing w:val="9"/>
              </w:rPr>
              <w:t>四）拒绝接受调查</w:t>
            </w:r>
            <w:r>
              <w:rPr>
                <w:spacing w:val="8"/>
              </w:rPr>
              <w:t>或者拒绝提供有关情况和</w:t>
            </w:r>
            <w:r>
              <w:rPr>
                <w:spacing w:val="3"/>
              </w:rPr>
              <w:t>资料的</w:t>
            </w:r>
            <w:r>
              <w:t>；（</w:t>
            </w:r>
            <w:r>
              <w:rPr>
                <w:spacing w:val="3"/>
              </w:rPr>
              <w:t>五）在事故调</w:t>
            </w:r>
            <w:r>
              <w:rPr>
                <w:spacing w:val="8"/>
              </w:rPr>
              <w:t>查中作伪证或者指使他人</w:t>
            </w:r>
            <w:r>
              <w:rPr>
                <w:spacing w:val="9"/>
              </w:rPr>
              <w:t>作伪证的</w:t>
            </w:r>
            <w:r>
              <w:rPr>
                <w:spacing w:val="8"/>
              </w:rPr>
              <w:t>；（</w:t>
            </w:r>
            <w:r>
              <w:rPr>
                <w:spacing w:val="9"/>
              </w:rPr>
              <w:t>六）事故发</w:t>
            </w:r>
            <w:r>
              <w:rPr>
                <w:spacing w:val="2"/>
              </w:rPr>
              <w:t>生后逃匿的。</w:t>
            </w:r>
          </w:p>
          <w:p w14:paraId="61056C60">
            <w:pPr>
              <w:pStyle w:val="6"/>
              <w:spacing w:before="9" w:line="180" w:lineRule="auto"/>
              <w:ind w:left="116" w:right="108"/>
              <w:jc w:val="both"/>
            </w:pPr>
            <w:r>
              <w:rPr>
                <w:rFonts w:ascii="宋体" w:hAnsi="宋体" w:eastAsia="宋体" w:cs="宋体"/>
                <w:spacing w:val="7"/>
              </w:rPr>
              <w:t>2.</w:t>
            </w:r>
            <w:r>
              <w:rPr>
                <w:spacing w:val="7"/>
              </w:rPr>
              <w:t>【部门规章】《生产安</w:t>
            </w:r>
            <w:r>
              <w:rPr>
                <w:spacing w:val="8"/>
              </w:rPr>
              <w:t>全事故罚款处罚规定》第十二条：事故发生单位直接负责的主管人员和其他直接责任人员有《生产安全事故报告和调查处理条例》第三十六条规定的行为之一的，处上一年年收</w:t>
            </w:r>
            <w:r>
              <w:rPr>
                <w:spacing w:val="-3"/>
              </w:rPr>
              <w:t>入</w:t>
            </w:r>
            <w:r>
              <w:rPr>
                <w:rFonts w:ascii="宋体" w:hAnsi="宋体" w:eastAsia="宋体" w:cs="宋体"/>
                <w:spacing w:val="-3"/>
              </w:rPr>
              <w:t>60%</w:t>
            </w:r>
            <w:r>
              <w:rPr>
                <w:spacing w:val="-3"/>
              </w:rPr>
              <w:t>至</w:t>
            </w:r>
            <w:r>
              <w:rPr>
                <w:rFonts w:ascii="宋体" w:hAnsi="宋体" w:eastAsia="宋体" w:cs="宋体"/>
                <w:spacing w:val="-3"/>
              </w:rPr>
              <w:t>80%</w:t>
            </w:r>
            <w:r>
              <w:rPr>
                <w:spacing w:val="-3"/>
              </w:rPr>
              <w:t>的罚款；贻误</w:t>
            </w:r>
            <w:r>
              <w:rPr>
                <w:spacing w:val="8"/>
              </w:rPr>
              <w:t>事故抢救或者造成事故扩大或者影响事故调查或者</w:t>
            </w:r>
          </w:p>
        </w:tc>
        <w:tc>
          <w:tcPr>
            <w:tcW w:w="803" w:type="dxa"/>
            <w:vAlign w:val="top"/>
          </w:tcPr>
          <w:p w14:paraId="0D3DBD5C">
            <w:pPr>
              <w:spacing w:line="251" w:lineRule="auto"/>
              <w:rPr>
                <w:rFonts w:ascii="Arial"/>
                <w:sz w:val="21"/>
              </w:rPr>
            </w:pPr>
          </w:p>
          <w:p w14:paraId="511EE348">
            <w:pPr>
              <w:spacing w:line="251" w:lineRule="auto"/>
              <w:rPr>
                <w:rFonts w:ascii="Arial"/>
                <w:sz w:val="21"/>
              </w:rPr>
            </w:pPr>
          </w:p>
          <w:p w14:paraId="023C27BF">
            <w:pPr>
              <w:spacing w:line="251" w:lineRule="auto"/>
              <w:rPr>
                <w:rFonts w:ascii="Arial"/>
                <w:sz w:val="21"/>
              </w:rPr>
            </w:pPr>
          </w:p>
          <w:p w14:paraId="34DFCAD2">
            <w:pPr>
              <w:spacing w:line="251" w:lineRule="auto"/>
              <w:rPr>
                <w:rFonts w:ascii="Arial"/>
                <w:sz w:val="21"/>
              </w:rPr>
            </w:pPr>
          </w:p>
          <w:p w14:paraId="655A5B86">
            <w:pPr>
              <w:spacing w:line="251" w:lineRule="auto"/>
              <w:rPr>
                <w:rFonts w:ascii="Arial"/>
                <w:sz w:val="21"/>
              </w:rPr>
            </w:pPr>
          </w:p>
          <w:p w14:paraId="5221FE50">
            <w:pPr>
              <w:spacing w:line="251" w:lineRule="auto"/>
              <w:rPr>
                <w:rFonts w:ascii="Arial"/>
                <w:sz w:val="21"/>
              </w:rPr>
            </w:pPr>
          </w:p>
          <w:p w14:paraId="563B579A">
            <w:pPr>
              <w:spacing w:line="252" w:lineRule="auto"/>
              <w:rPr>
                <w:rFonts w:ascii="Arial"/>
                <w:sz w:val="21"/>
              </w:rPr>
            </w:pPr>
          </w:p>
          <w:p w14:paraId="4715AAF2">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9B3A5F2">
            <w:pPr>
              <w:spacing w:line="256" w:lineRule="auto"/>
              <w:rPr>
                <w:rFonts w:ascii="Arial"/>
                <w:sz w:val="21"/>
              </w:rPr>
            </w:pPr>
          </w:p>
          <w:p w14:paraId="63C17517">
            <w:pPr>
              <w:spacing w:line="257" w:lineRule="auto"/>
              <w:rPr>
                <w:rFonts w:ascii="Arial"/>
                <w:sz w:val="21"/>
              </w:rPr>
            </w:pPr>
          </w:p>
          <w:p w14:paraId="6C43C6A4">
            <w:pPr>
              <w:spacing w:line="257" w:lineRule="auto"/>
              <w:rPr>
                <w:rFonts w:ascii="Arial"/>
                <w:sz w:val="21"/>
              </w:rPr>
            </w:pPr>
          </w:p>
          <w:p w14:paraId="07CBF356">
            <w:pPr>
              <w:spacing w:line="257" w:lineRule="auto"/>
              <w:rPr>
                <w:rFonts w:ascii="Arial"/>
                <w:sz w:val="21"/>
              </w:rPr>
            </w:pPr>
          </w:p>
          <w:p w14:paraId="66B109EB">
            <w:pPr>
              <w:spacing w:line="257" w:lineRule="auto"/>
              <w:rPr>
                <w:rFonts w:ascii="Arial"/>
                <w:sz w:val="21"/>
              </w:rPr>
            </w:pPr>
          </w:p>
          <w:p w14:paraId="6EF3BC5C">
            <w:pPr>
              <w:spacing w:line="257" w:lineRule="auto"/>
              <w:rPr>
                <w:rFonts w:ascii="Arial"/>
                <w:sz w:val="21"/>
              </w:rPr>
            </w:pPr>
          </w:p>
          <w:p w14:paraId="31AC04FC">
            <w:pPr>
              <w:pStyle w:val="6"/>
              <w:spacing w:before="98" w:line="195" w:lineRule="auto"/>
              <w:ind w:left="122" w:right="109" w:hanging="2"/>
            </w:pPr>
            <w:r>
              <w:rPr>
                <w:spacing w:val="26"/>
              </w:rPr>
              <w:t>贻误事故抢救或者</w:t>
            </w:r>
            <w:r>
              <w:rPr>
                <w:spacing w:val="6"/>
              </w:rPr>
              <w:t>影响事故调查的</w:t>
            </w:r>
          </w:p>
        </w:tc>
        <w:tc>
          <w:tcPr>
            <w:tcW w:w="2894" w:type="dxa"/>
            <w:vAlign w:val="top"/>
          </w:tcPr>
          <w:p w14:paraId="725BEA1D">
            <w:pPr>
              <w:spacing w:line="256" w:lineRule="auto"/>
              <w:rPr>
                <w:rFonts w:ascii="Arial"/>
                <w:sz w:val="21"/>
              </w:rPr>
            </w:pPr>
          </w:p>
          <w:p w14:paraId="2C9F2B65">
            <w:pPr>
              <w:spacing w:line="256" w:lineRule="auto"/>
              <w:rPr>
                <w:rFonts w:ascii="Arial"/>
                <w:sz w:val="21"/>
              </w:rPr>
            </w:pPr>
          </w:p>
          <w:p w14:paraId="6A30C4EE">
            <w:pPr>
              <w:spacing w:line="256" w:lineRule="auto"/>
              <w:rPr>
                <w:rFonts w:ascii="Arial"/>
                <w:sz w:val="21"/>
              </w:rPr>
            </w:pPr>
          </w:p>
          <w:p w14:paraId="1F625F44">
            <w:pPr>
              <w:spacing w:line="257" w:lineRule="auto"/>
              <w:rPr>
                <w:rFonts w:ascii="Arial"/>
                <w:sz w:val="21"/>
              </w:rPr>
            </w:pPr>
          </w:p>
          <w:p w14:paraId="21011299">
            <w:pPr>
              <w:spacing w:line="257" w:lineRule="auto"/>
              <w:rPr>
                <w:rFonts w:ascii="Arial"/>
                <w:sz w:val="21"/>
              </w:rPr>
            </w:pPr>
          </w:p>
          <w:p w14:paraId="22B31DDB">
            <w:pPr>
              <w:spacing w:line="257" w:lineRule="auto"/>
              <w:rPr>
                <w:rFonts w:ascii="Arial"/>
                <w:sz w:val="21"/>
              </w:rPr>
            </w:pPr>
          </w:p>
          <w:p w14:paraId="3F6874F0">
            <w:pPr>
              <w:pStyle w:val="6"/>
              <w:spacing w:before="99" w:line="196" w:lineRule="auto"/>
              <w:ind w:left="116" w:right="104" w:firstLine="2"/>
            </w:pPr>
            <w:r>
              <w:rPr>
                <w:spacing w:val="3"/>
              </w:rPr>
              <w:t>处上一年年收入</w:t>
            </w:r>
            <w:r>
              <w:rPr>
                <w:rFonts w:ascii="宋体" w:hAnsi="宋体" w:eastAsia="宋体" w:cs="宋体"/>
                <w:spacing w:val="3"/>
              </w:rPr>
              <w:t>80%</w:t>
            </w:r>
            <w:r>
              <w:rPr>
                <w:spacing w:val="3"/>
              </w:rPr>
              <w:t>至</w:t>
            </w:r>
            <w:r>
              <w:rPr>
                <w:rFonts w:ascii="宋体" w:hAnsi="宋体" w:eastAsia="宋体" w:cs="宋体"/>
                <w:spacing w:val="5"/>
              </w:rPr>
              <w:t>90%</w:t>
            </w:r>
            <w:r>
              <w:rPr>
                <w:spacing w:val="5"/>
              </w:rPr>
              <w:t>的罚款</w:t>
            </w:r>
          </w:p>
        </w:tc>
        <w:tc>
          <w:tcPr>
            <w:tcW w:w="811" w:type="dxa"/>
            <w:vMerge w:val="restart"/>
            <w:tcBorders>
              <w:bottom w:val="nil"/>
            </w:tcBorders>
            <w:vAlign w:val="top"/>
          </w:tcPr>
          <w:p w14:paraId="798A13D2">
            <w:pPr>
              <w:rPr>
                <w:rFonts w:ascii="Arial"/>
                <w:sz w:val="21"/>
              </w:rPr>
            </w:pPr>
          </w:p>
        </w:tc>
      </w:tr>
      <w:tr w14:paraId="06244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7" w:hRule="atLeast"/>
        </w:trPr>
        <w:tc>
          <w:tcPr>
            <w:tcW w:w="818" w:type="dxa"/>
            <w:vMerge w:val="continue"/>
            <w:tcBorders>
              <w:top w:val="nil"/>
            </w:tcBorders>
            <w:vAlign w:val="top"/>
          </w:tcPr>
          <w:p w14:paraId="37895839">
            <w:pPr>
              <w:rPr>
                <w:rFonts w:ascii="Arial"/>
                <w:sz w:val="21"/>
              </w:rPr>
            </w:pPr>
          </w:p>
        </w:tc>
        <w:tc>
          <w:tcPr>
            <w:tcW w:w="1440" w:type="dxa"/>
            <w:vMerge w:val="continue"/>
            <w:tcBorders>
              <w:top w:val="nil"/>
            </w:tcBorders>
            <w:vAlign w:val="top"/>
          </w:tcPr>
          <w:p w14:paraId="6ABA5063">
            <w:pPr>
              <w:rPr>
                <w:rFonts w:ascii="Arial"/>
                <w:sz w:val="21"/>
              </w:rPr>
            </w:pPr>
          </w:p>
        </w:tc>
        <w:tc>
          <w:tcPr>
            <w:tcW w:w="3202" w:type="dxa"/>
            <w:vMerge w:val="continue"/>
            <w:tcBorders>
              <w:top w:val="nil"/>
            </w:tcBorders>
            <w:vAlign w:val="top"/>
          </w:tcPr>
          <w:p w14:paraId="5A574CD8">
            <w:pPr>
              <w:rPr>
                <w:rFonts w:ascii="Arial"/>
                <w:sz w:val="21"/>
              </w:rPr>
            </w:pPr>
          </w:p>
        </w:tc>
        <w:tc>
          <w:tcPr>
            <w:tcW w:w="2859" w:type="dxa"/>
            <w:vMerge w:val="continue"/>
            <w:tcBorders>
              <w:top w:val="nil"/>
            </w:tcBorders>
            <w:vAlign w:val="top"/>
          </w:tcPr>
          <w:p w14:paraId="11F8527D">
            <w:pPr>
              <w:rPr>
                <w:rFonts w:ascii="Arial"/>
                <w:sz w:val="21"/>
              </w:rPr>
            </w:pPr>
          </w:p>
        </w:tc>
        <w:tc>
          <w:tcPr>
            <w:tcW w:w="803" w:type="dxa"/>
            <w:vAlign w:val="top"/>
          </w:tcPr>
          <w:p w14:paraId="44020B36">
            <w:pPr>
              <w:spacing w:line="241" w:lineRule="auto"/>
              <w:rPr>
                <w:rFonts w:ascii="Arial"/>
                <w:sz w:val="21"/>
              </w:rPr>
            </w:pPr>
          </w:p>
          <w:p w14:paraId="7DF8080F">
            <w:pPr>
              <w:spacing w:line="241" w:lineRule="auto"/>
              <w:rPr>
                <w:rFonts w:ascii="Arial"/>
                <w:sz w:val="21"/>
              </w:rPr>
            </w:pPr>
          </w:p>
          <w:p w14:paraId="1DF50A79">
            <w:pPr>
              <w:spacing w:line="241" w:lineRule="auto"/>
              <w:rPr>
                <w:rFonts w:ascii="Arial"/>
                <w:sz w:val="21"/>
              </w:rPr>
            </w:pPr>
          </w:p>
          <w:p w14:paraId="74105EA1">
            <w:pPr>
              <w:spacing w:line="241" w:lineRule="auto"/>
              <w:rPr>
                <w:rFonts w:ascii="Arial"/>
                <w:sz w:val="21"/>
              </w:rPr>
            </w:pPr>
          </w:p>
          <w:p w14:paraId="0EB1A386">
            <w:pPr>
              <w:spacing w:line="241" w:lineRule="auto"/>
              <w:rPr>
                <w:rFonts w:ascii="Arial"/>
                <w:sz w:val="21"/>
              </w:rPr>
            </w:pPr>
          </w:p>
          <w:p w14:paraId="26D5E1BA">
            <w:pPr>
              <w:spacing w:line="241" w:lineRule="auto"/>
              <w:rPr>
                <w:rFonts w:ascii="Arial"/>
                <w:sz w:val="21"/>
              </w:rPr>
            </w:pPr>
          </w:p>
          <w:p w14:paraId="4FC6A9B1">
            <w:pPr>
              <w:spacing w:line="241" w:lineRule="auto"/>
              <w:rPr>
                <w:rFonts w:ascii="Arial"/>
                <w:sz w:val="21"/>
              </w:rPr>
            </w:pPr>
          </w:p>
          <w:p w14:paraId="65E2C745">
            <w:pPr>
              <w:spacing w:line="241" w:lineRule="auto"/>
              <w:rPr>
                <w:rFonts w:ascii="Arial"/>
                <w:sz w:val="21"/>
              </w:rPr>
            </w:pPr>
          </w:p>
          <w:p w14:paraId="3D33176E">
            <w:pPr>
              <w:spacing w:line="242" w:lineRule="auto"/>
              <w:rPr>
                <w:rFonts w:ascii="Arial"/>
                <w:sz w:val="21"/>
              </w:rPr>
            </w:pPr>
          </w:p>
          <w:p w14:paraId="666EAB81">
            <w:pPr>
              <w:spacing w:line="242" w:lineRule="auto"/>
              <w:rPr>
                <w:rFonts w:ascii="Arial"/>
                <w:sz w:val="21"/>
              </w:rPr>
            </w:pPr>
          </w:p>
          <w:p w14:paraId="473C5A56">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C327AF6">
            <w:pPr>
              <w:spacing w:line="256" w:lineRule="auto"/>
              <w:rPr>
                <w:rFonts w:ascii="Arial"/>
                <w:sz w:val="21"/>
              </w:rPr>
            </w:pPr>
          </w:p>
          <w:p w14:paraId="1A5E6A17">
            <w:pPr>
              <w:spacing w:line="256" w:lineRule="auto"/>
              <w:rPr>
                <w:rFonts w:ascii="Arial"/>
                <w:sz w:val="21"/>
              </w:rPr>
            </w:pPr>
          </w:p>
          <w:p w14:paraId="7CA627AD">
            <w:pPr>
              <w:spacing w:line="256" w:lineRule="auto"/>
              <w:rPr>
                <w:rFonts w:ascii="Arial"/>
                <w:sz w:val="21"/>
              </w:rPr>
            </w:pPr>
          </w:p>
          <w:p w14:paraId="00B0CA68">
            <w:pPr>
              <w:spacing w:line="256" w:lineRule="auto"/>
              <w:rPr>
                <w:rFonts w:ascii="Arial"/>
                <w:sz w:val="21"/>
              </w:rPr>
            </w:pPr>
          </w:p>
          <w:p w14:paraId="490CC903">
            <w:pPr>
              <w:spacing w:line="256" w:lineRule="auto"/>
              <w:rPr>
                <w:rFonts w:ascii="Arial"/>
                <w:sz w:val="21"/>
              </w:rPr>
            </w:pPr>
          </w:p>
          <w:p w14:paraId="16940563">
            <w:pPr>
              <w:spacing w:line="256" w:lineRule="auto"/>
              <w:rPr>
                <w:rFonts w:ascii="Arial"/>
                <w:sz w:val="21"/>
              </w:rPr>
            </w:pPr>
          </w:p>
          <w:p w14:paraId="3B66106C">
            <w:pPr>
              <w:spacing w:line="256" w:lineRule="auto"/>
              <w:rPr>
                <w:rFonts w:ascii="Arial"/>
                <w:sz w:val="21"/>
              </w:rPr>
            </w:pPr>
          </w:p>
          <w:p w14:paraId="324658F2">
            <w:pPr>
              <w:spacing w:line="256" w:lineRule="auto"/>
              <w:rPr>
                <w:rFonts w:ascii="Arial"/>
                <w:sz w:val="21"/>
              </w:rPr>
            </w:pPr>
          </w:p>
          <w:p w14:paraId="01AC4DBB">
            <w:pPr>
              <w:pStyle w:val="6"/>
              <w:spacing w:before="98" w:line="192" w:lineRule="auto"/>
              <w:ind w:left="116" w:right="109"/>
              <w:jc w:val="both"/>
            </w:pPr>
            <w:r>
              <w:rPr>
                <w:spacing w:val="26"/>
              </w:rPr>
              <w:t>造成事故扩大或者造成重大社会影响</w:t>
            </w:r>
            <w:r>
              <w:t>的</w:t>
            </w:r>
          </w:p>
        </w:tc>
        <w:tc>
          <w:tcPr>
            <w:tcW w:w="2894" w:type="dxa"/>
            <w:vAlign w:val="top"/>
          </w:tcPr>
          <w:p w14:paraId="0F4D5FD1">
            <w:pPr>
              <w:spacing w:line="243" w:lineRule="auto"/>
              <w:rPr>
                <w:rFonts w:ascii="Arial"/>
                <w:sz w:val="21"/>
              </w:rPr>
            </w:pPr>
          </w:p>
          <w:p w14:paraId="5AAEC08D">
            <w:pPr>
              <w:spacing w:line="243" w:lineRule="auto"/>
              <w:rPr>
                <w:rFonts w:ascii="Arial"/>
                <w:sz w:val="21"/>
              </w:rPr>
            </w:pPr>
          </w:p>
          <w:p w14:paraId="5F67636F">
            <w:pPr>
              <w:spacing w:line="244" w:lineRule="auto"/>
              <w:rPr>
                <w:rFonts w:ascii="Arial"/>
                <w:sz w:val="21"/>
              </w:rPr>
            </w:pPr>
          </w:p>
          <w:p w14:paraId="30973355">
            <w:pPr>
              <w:spacing w:line="244" w:lineRule="auto"/>
              <w:rPr>
                <w:rFonts w:ascii="Arial"/>
                <w:sz w:val="21"/>
              </w:rPr>
            </w:pPr>
          </w:p>
          <w:p w14:paraId="250C7087">
            <w:pPr>
              <w:spacing w:line="244" w:lineRule="auto"/>
              <w:rPr>
                <w:rFonts w:ascii="Arial"/>
                <w:sz w:val="21"/>
              </w:rPr>
            </w:pPr>
          </w:p>
          <w:p w14:paraId="76413836">
            <w:pPr>
              <w:spacing w:line="244" w:lineRule="auto"/>
              <w:rPr>
                <w:rFonts w:ascii="Arial"/>
                <w:sz w:val="21"/>
              </w:rPr>
            </w:pPr>
          </w:p>
          <w:p w14:paraId="2FDEA310">
            <w:pPr>
              <w:spacing w:line="244" w:lineRule="auto"/>
              <w:rPr>
                <w:rFonts w:ascii="Arial"/>
                <w:sz w:val="21"/>
              </w:rPr>
            </w:pPr>
          </w:p>
          <w:p w14:paraId="0E9C2E5A">
            <w:pPr>
              <w:spacing w:line="244" w:lineRule="auto"/>
              <w:rPr>
                <w:rFonts w:ascii="Arial"/>
                <w:sz w:val="21"/>
              </w:rPr>
            </w:pPr>
          </w:p>
          <w:p w14:paraId="758546DB">
            <w:pPr>
              <w:spacing w:line="244" w:lineRule="auto"/>
              <w:rPr>
                <w:rFonts w:ascii="Arial"/>
                <w:sz w:val="21"/>
              </w:rPr>
            </w:pPr>
          </w:p>
          <w:p w14:paraId="1D3B2B40">
            <w:pPr>
              <w:pStyle w:val="6"/>
              <w:spacing w:before="98" w:line="196" w:lineRule="auto"/>
              <w:ind w:left="132" w:right="104" w:hanging="13"/>
            </w:pPr>
            <w:r>
              <w:rPr>
                <w:spacing w:val="3"/>
              </w:rPr>
              <w:t>处上一年年收入</w:t>
            </w:r>
            <w:r>
              <w:rPr>
                <w:rFonts w:ascii="宋体" w:hAnsi="宋体" w:eastAsia="宋体" w:cs="宋体"/>
                <w:spacing w:val="3"/>
              </w:rPr>
              <w:t>90%</w:t>
            </w:r>
            <w:r>
              <w:rPr>
                <w:spacing w:val="3"/>
              </w:rPr>
              <w:t>至</w:t>
            </w:r>
            <w:r>
              <w:rPr>
                <w:rFonts w:ascii="宋体" w:hAnsi="宋体" w:eastAsia="宋体" w:cs="宋体"/>
                <w:spacing w:val="3"/>
              </w:rPr>
              <w:t>100%</w:t>
            </w:r>
            <w:r>
              <w:rPr>
                <w:spacing w:val="3"/>
              </w:rPr>
              <w:t>的罚款</w:t>
            </w:r>
          </w:p>
        </w:tc>
        <w:tc>
          <w:tcPr>
            <w:tcW w:w="811" w:type="dxa"/>
            <w:vMerge w:val="continue"/>
            <w:tcBorders>
              <w:top w:val="nil"/>
            </w:tcBorders>
            <w:vAlign w:val="top"/>
          </w:tcPr>
          <w:p w14:paraId="720E7616">
            <w:pPr>
              <w:rPr>
                <w:rFonts w:ascii="Arial"/>
                <w:sz w:val="21"/>
              </w:rPr>
            </w:pPr>
          </w:p>
        </w:tc>
      </w:tr>
    </w:tbl>
    <w:p w14:paraId="161E44A8">
      <w:pPr>
        <w:pStyle w:val="2"/>
      </w:pPr>
    </w:p>
    <w:p w14:paraId="28126901">
      <w:pPr>
        <w:sectPr>
          <w:footerReference r:id="rId115" w:type="default"/>
          <w:pgSz w:w="16839" w:h="11906"/>
          <w:pgMar w:top="1012" w:right="821" w:bottom="667" w:left="901" w:header="0" w:footer="388" w:gutter="0"/>
          <w:cols w:space="720" w:num="1"/>
        </w:sectPr>
      </w:pPr>
    </w:p>
    <w:p w14:paraId="1A8F0681">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497D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7E339EB">
            <w:pPr>
              <w:spacing w:before="222" w:line="241" w:lineRule="auto"/>
              <w:ind w:left="131"/>
              <w:rPr>
                <w:rFonts w:ascii="黑体" w:hAnsi="黑体" w:eastAsia="黑体" w:cs="黑体"/>
                <w:sz w:val="28"/>
                <w:szCs w:val="28"/>
              </w:rPr>
            </w:pPr>
            <w:bookmarkStart w:id="509" w:name="bookmark193"/>
            <w:bookmarkEnd w:id="509"/>
            <w:bookmarkStart w:id="510" w:name="bookmark530"/>
            <w:bookmarkEnd w:id="510"/>
            <w:r>
              <w:rPr>
                <w:rFonts w:ascii="黑体" w:hAnsi="黑体" w:eastAsia="黑体" w:cs="黑体"/>
                <w:spacing w:val="-2"/>
                <w:sz w:val="28"/>
                <w:szCs w:val="28"/>
              </w:rPr>
              <w:t>序号</w:t>
            </w:r>
          </w:p>
        </w:tc>
        <w:tc>
          <w:tcPr>
            <w:tcW w:w="1440" w:type="dxa"/>
            <w:vAlign w:val="top"/>
          </w:tcPr>
          <w:p w14:paraId="6567DFE8">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FEAB17C">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01BC6DD">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CADBE5B">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FB89D61">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1673631D">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736BCD1D">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BFD8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818" w:type="dxa"/>
            <w:vAlign w:val="top"/>
          </w:tcPr>
          <w:p w14:paraId="48B746E4">
            <w:pPr>
              <w:rPr>
                <w:rFonts w:ascii="Arial"/>
                <w:sz w:val="21"/>
              </w:rPr>
            </w:pPr>
          </w:p>
        </w:tc>
        <w:tc>
          <w:tcPr>
            <w:tcW w:w="1440" w:type="dxa"/>
            <w:vAlign w:val="top"/>
          </w:tcPr>
          <w:p w14:paraId="206423E2">
            <w:pPr>
              <w:rPr>
                <w:rFonts w:ascii="Arial"/>
                <w:sz w:val="21"/>
              </w:rPr>
            </w:pPr>
          </w:p>
        </w:tc>
        <w:tc>
          <w:tcPr>
            <w:tcW w:w="3202" w:type="dxa"/>
            <w:vAlign w:val="top"/>
          </w:tcPr>
          <w:p w14:paraId="666945D8">
            <w:pPr>
              <w:rPr>
                <w:rFonts w:ascii="Arial"/>
                <w:sz w:val="21"/>
              </w:rPr>
            </w:pPr>
          </w:p>
        </w:tc>
        <w:tc>
          <w:tcPr>
            <w:tcW w:w="2859" w:type="dxa"/>
            <w:vAlign w:val="top"/>
          </w:tcPr>
          <w:p w14:paraId="2BF5E8D8">
            <w:pPr>
              <w:pStyle w:val="6"/>
              <w:spacing w:before="25" w:line="176" w:lineRule="auto"/>
              <w:ind w:left="122" w:right="105" w:hanging="6"/>
              <w:jc w:val="both"/>
            </w:pPr>
            <w:r>
              <w:rPr>
                <w:spacing w:val="2"/>
              </w:rPr>
              <w:t>造成重大社会影响的，处</w:t>
            </w:r>
            <w:r>
              <w:rPr>
                <w:spacing w:val="3"/>
              </w:rPr>
              <w:t>上一年年收入</w:t>
            </w:r>
            <w:r>
              <w:rPr>
                <w:rFonts w:ascii="宋体" w:hAnsi="宋体" w:eastAsia="宋体" w:cs="宋体"/>
                <w:spacing w:val="3"/>
              </w:rPr>
              <w:t>80%</w:t>
            </w:r>
            <w:r>
              <w:rPr>
                <w:spacing w:val="3"/>
              </w:rPr>
              <w:t>至</w:t>
            </w:r>
            <w:r>
              <w:rPr>
                <w:rFonts w:ascii="宋体" w:hAnsi="宋体" w:eastAsia="宋体" w:cs="宋体"/>
                <w:spacing w:val="3"/>
              </w:rPr>
              <w:t>100%</w:t>
            </w:r>
            <w:r>
              <w:rPr>
                <w:spacing w:val="-3"/>
              </w:rPr>
              <w:t>的罚款。</w:t>
            </w:r>
          </w:p>
        </w:tc>
        <w:tc>
          <w:tcPr>
            <w:tcW w:w="803" w:type="dxa"/>
            <w:vAlign w:val="top"/>
          </w:tcPr>
          <w:p w14:paraId="16245FCF">
            <w:pPr>
              <w:rPr>
                <w:rFonts w:ascii="Arial"/>
                <w:sz w:val="21"/>
              </w:rPr>
            </w:pPr>
          </w:p>
        </w:tc>
        <w:tc>
          <w:tcPr>
            <w:tcW w:w="2283" w:type="dxa"/>
            <w:vAlign w:val="top"/>
          </w:tcPr>
          <w:p w14:paraId="4DB14399">
            <w:pPr>
              <w:rPr>
                <w:rFonts w:ascii="Arial"/>
                <w:sz w:val="21"/>
              </w:rPr>
            </w:pPr>
          </w:p>
        </w:tc>
        <w:tc>
          <w:tcPr>
            <w:tcW w:w="2894" w:type="dxa"/>
            <w:vAlign w:val="top"/>
          </w:tcPr>
          <w:p w14:paraId="082FF369">
            <w:pPr>
              <w:rPr>
                <w:rFonts w:ascii="Arial"/>
                <w:sz w:val="21"/>
              </w:rPr>
            </w:pPr>
          </w:p>
        </w:tc>
        <w:tc>
          <w:tcPr>
            <w:tcW w:w="811" w:type="dxa"/>
            <w:vAlign w:val="top"/>
          </w:tcPr>
          <w:p w14:paraId="525A9AD0">
            <w:pPr>
              <w:rPr>
                <w:rFonts w:ascii="Arial"/>
                <w:sz w:val="21"/>
              </w:rPr>
            </w:pPr>
          </w:p>
        </w:tc>
      </w:tr>
      <w:tr w14:paraId="55776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8" w:hRule="atLeast"/>
        </w:trPr>
        <w:tc>
          <w:tcPr>
            <w:tcW w:w="818" w:type="dxa"/>
            <w:vMerge w:val="restart"/>
            <w:tcBorders>
              <w:bottom w:val="nil"/>
            </w:tcBorders>
            <w:vAlign w:val="top"/>
          </w:tcPr>
          <w:p w14:paraId="05022D32">
            <w:pPr>
              <w:rPr>
                <w:rFonts w:ascii="Arial"/>
                <w:sz w:val="21"/>
              </w:rPr>
            </w:pPr>
          </w:p>
          <w:p w14:paraId="37DCAAA0">
            <w:pPr>
              <w:rPr>
                <w:rFonts w:ascii="Arial"/>
                <w:sz w:val="21"/>
              </w:rPr>
            </w:pPr>
          </w:p>
          <w:p w14:paraId="387FCADD">
            <w:pPr>
              <w:rPr>
                <w:rFonts w:ascii="Arial"/>
                <w:sz w:val="21"/>
              </w:rPr>
            </w:pPr>
          </w:p>
          <w:p w14:paraId="2003887D">
            <w:pPr>
              <w:rPr>
                <w:rFonts w:ascii="Arial"/>
                <w:sz w:val="21"/>
              </w:rPr>
            </w:pPr>
          </w:p>
          <w:p w14:paraId="72A89730">
            <w:pPr>
              <w:rPr>
                <w:rFonts w:ascii="Arial"/>
                <w:sz w:val="21"/>
              </w:rPr>
            </w:pPr>
          </w:p>
          <w:p w14:paraId="0225D99D">
            <w:pPr>
              <w:spacing w:line="241" w:lineRule="auto"/>
              <w:rPr>
                <w:rFonts w:ascii="Arial"/>
                <w:sz w:val="21"/>
              </w:rPr>
            </w:pPr>
          </w:p>
          <w:p w14:paraId="7B30365A">
            <w:pPr>
              <w:spacing w:line="241" w:lineRule="auto"/>
              <w:rPr>
                <w:rFonts w:ascii="Arial"/>
                <w:sz w:val="21"/>
              </w:rPr>
            </w:pPr>
          </w:p>
          <w:p w14:paraId="42D70653">
            <w:pPr>
              <w:spacing w:line="241" w:lineRule="auto"/>
              <w:rPr>
                <w:rFonts w:ascii="Arial"/>
                <w:sz w:val="21"/>
              </w:rPr>
            </w:pPr>
          </w:p>
          <w:p w14:paraId="48B95917">
            <w:pPr>
              <w:spacing w:line="241" w:lineRule="auto"/>
              <w:rPr>
                <w:rFonts w:ascii="Arial"/>
                <w:sz w:val="21"/>
              </w:rPr>
            </w:pPr>
          </w:p>
          <w:p w14:paraId="6C156D27">
            <w:pPr>
              <w:spacing w:line="241" w:lineRule="auto"/>
              <w:rPr>
                <w:rFonts w:ascii="Arial"/>
                <w:sz w:val="21"/>
              </w:rPr>
            </w:pPr>
          </w:p>
          <w:p w14:paraId="69B4EE2B">
            <w:pPr>
              <w:spacing w:line="241" w:lineRule="auto"/>
              <w:rPr>
                <w:rFonts w:ascii="Arial"/>
                <w:sz w:val="21"/>
              </w:rPr>
            </w:pPr>
          </w:p>
          <w:p w14:paraId="3B234068">
            <w:pPr>
              <w:spacing w:line="241" w:lineRule="auto"/>
              <w:rPr>
                <w:rFonts w:ascii="Arial"/>
                <w:sz w:val="21"/>
              </w:rPr>
            </w:pPr>
          </w:p>
          <w:p w14:paraId="20DA81E2">
            <w:pPr>
              <w:spacing w:line="241" w:lineRule="auto"/>
              <w:rPr>
                <w:rFonts w:ascii="Arial"/>
                <w:sz w:val="21"/>
              </w:rPr>
            </w:pPr>
          </w:p>
          <w:p w14:paraId="44983C72">
            <w:pPr>
              <w:spacing w:line="241" w:lineRule="auto"/>
              <w:rPr>
                <w:rFonts w:ascii="Arial"/>
                <w:sz w:val="21"/>
              </w:rPr>
            </w:pPr>
          </w:p>
          <w:p w14:paraId="02BCF571">
            <w:pPr>
              <w:spacing w:line="241" w:lineRule="auto"/>
              <w:rPr>
                <w:rFonts w:ascii="Arial"/>
                <w:sz w:val="21"/>
              </w:rPr>
            </w:pPr>
          </w:p>
          <w:p w14:paraId="3C434113">
            <w:pPr>
              <w:spacing w:line="241" w:lineRule="auto"/>
              <w:rPr>
                <w:rFonts w:ascii="Arial"/>
                <w:sz w:val="21"/>
              </w:rPr>
            </w:pPr>
          </w:p>
          <w:p w14:paraId="51429CCF">
            <w:pPr>
              <w:spacing w:before="74" w:line="185" w:lineRule="auto"/>
              <w:ind w:left="235"/>
              <w:rPr>
                <w:rFonts w:ascii="仿宋" w:hAnsi="仿宋" w:eastAsia="仿宋" w:cs="仿宋"/>
                <w:sz w:val="23"/>
                <w:szCs w:val="23"/>
              </w:rPr>
            </w:pPr>
            <w:r>
              <w:rPr>
                <w:rFonts w:ascii="仿宋" w:hAnsi="仿宋" w:eastAsia="仿宋" w:cs="仿宋"/>
                <w:spacing w:val="-2"/>
                <w:sz w:val="23"/>
                <w:szCs w:val="23"/>
              </w:rPr>
              <w:t>93</w:t>
            </w:r>
          </w:p>
        </w:tc>
        <w:tc>
          <w:tcPr>
            <w:tcW w:w="1440" w:type="dxa"/>
            <w:vMerge w:val="restart"/>
            <w:tcBorders>
              <w:bottom w:val="nil"/>
            </w:tcBorders>
            <w:vAlign w:val="top"/>
          </w:tcPr>
          <w:p w14:paraId="533B6097">
            <w:pPr>
              <w:spacing w:line="259" w:lineRule="auto"/>
              <w:rPr>
                <w:rFonts w:ascii="Arial"/>
                <w:sz w:val="21"/>
              </w:rPr>
            </w:pPr>
          </w:p>
          <w:p w14:paraId="1B0EBFC9">
            <w:pPr>
              <w:spacing w:line="259" w:lineRule="auto"/>
              <w:rPr>
                <w:rFonts w:ascii="Arial"/>
                <w:sz w:val="21"/>
              </w:rPr>
            </w:pPr>
          </w:p>
          <w:p w14:paraId="2EC5F3DE">
            <w:pPr>
              <w:spacing w:line="259" w:lineRule="auto"/>
              <w:rPr>
                <w:rFonts w:ascii="Arial"/>
                <w:sz w:val="21"/>
              </w:rPr>
            </w:pPr>
          </w:p>
          <w:p w14:paraId="3CE906BA">
            <w:pPr>
              <w:spacing w:line="259" w:lineRule="auto"/>
              <w:rPr>
                <w:rFonts w:ascii="Arial"/>
                <w:sz w:val="21"/>
              </w:rPr>
            </w:pPr>
          </w:p>
          <w:p w14:paraId="14004CEE">
            <w:pPr>
              <w:spacing w:line="259" w:lineRule="auto"/>
              <w:rPr>
                <w:rFonts w:ascii="Arial"/>
                <w:sz w:val="21"/>
              </w:rPr>
            </w:pPr>
          </w:p>
          <w:p w14:paraId="2C3DCAEB">
            <w:pPr>
              <w:spacing w:line="259" w:lineRule="auto"/>
              <w:rPr>
                <w:rFonts w:ascii="Arial"/>
                <w:sz w:val="21"/>
              </w:rPr>
            </w:pPr>
          </w:p>
          <w:p w14:paraId="1B9CAE09">
            <w:pPr>
              <w:spacing w:line="259" w:lineRule="auto"/>
              <w:rPr>
                <w:rFonts w:ascii="Arial"/>
                <w:sz w:val="21"/>
              </w:rPr>
            </w:pPr>
          </w:p>
          <w:p w14:paraId="3B198504">
            <w:pPr>
              <w:spacing w:line="259" w:lineRule="auto"/>
              <w:rPr>
                <w:rFonts w:ascii="Arial"/>
                <w:sz w:val="21"/>
              </w:rPr>
            </w:pPr>
          </w:p>
          <w:p w14:paraId="08CF5CAE">
            <w:pPr>
              <w:spacing w:line="260" w:lineRule="auto"/>
              <w:rPr>
                <w:rFonts w:ascii="Arial"/>
                <w:sz w:val="21"/>
              </w:rPr>
            </w:pPr>
          </w:p>
          <w:p w14:paraId="0F26AB7C">
            <w:pPr>
              <w:spacing w:line="260" w:lineRule="auto"/>
              <w:rPr>
                <w:rFonts w:ascii="Arial"/>
                <w:sz w:val="21"/>
              </w:rPr>
            </w:pPr>
          </w:p>
          <w:p w14:paraId="2699D09A">
            <w:pPr>
              <w:pStyle w:val="6"/>
              <w:spacing w:before="98" w:line="185" w:lineRule="auto"/>
              <w:ind w:left="114" w:right="108" w:firstLine="6"/>
              <w:jc w:val="both"/>
            </w:pPr>
            <w:r>
              <w:rPr>
                <w:spacing w:val="10"/>
              </w:rPr>
              <w:t>事故发生单</w:t>
            </w:r>
            <w:r>
              <w:rPr>
                <w:spacing w:val="12"/>
              </w:rPr>
              <w:t>位有《生产</w:t>
            </w:r>
            <w:r>
              <w:rPr>
                <w:spacing w:val="11"/>
              </w:rPr>
              <w:t>安全事故报告和调查处</w:t>
            </w:r>
            <w:r>
              <w:rPr>
                <w:spacing w:val="12"/>
              </w:rPr>
              <w:t>理条例》第</w:t>
            </w:r>
            <w:r>
              <w:rPr>
                <w:spacing w:val="11"/>
              </w:rPr>
              <w:t>三十六条第一项至第五项规定的行</w:t>
            </w:r>
            <w:r>
              <w:rPr>
                <w:spacing w:val="6"/>
              </w:rPr>
              <w:t>为之一的</w:t>
            </w:r>
          </w:p>
        </w:tc>
        <w:tc>
          <w:tcPr>
            <w:tcW w:w="3202" w:type="dxa"/>
            <w:vMerge w:val="restart"/>
            <w:tcBorders>
              <w:bottom w:val="nil"/>
            </w:tcBorders>
            <w:vAlign w:val="top"/>
          </w:tcPr>
          <w:p w14:paraId="4F5419BC">
            <w:pPr>
              <w:pStyle w:val="6"/>
              <w:spacing w:before="31" w:line="182" w:lineRule="auto"/>
              <w:ind w:left="98"/>
            </w:pPr>
            <w:r>
              <w:rPr>
                <w:spacing w:val="17"/>
              </w:rPr>
              <w:t>【行政法规】《生产安全事</w:t>
            </w:r>
          </w:p>
          <w:p w14:paraId="32AABD05">
            <w:pPr>
              <w:pStyle w:val="6"/>
              <w:spacing w:line="182" w:lineRule="auto"/>
              <w:ind w:left="126"/>
              <w:outlineLvl w:val="0"/>
            </w:pPr>
            <w:r>
              <w:rPr>
                <w:spacing w:val="16"/>
              </w:rPr>
              <w:t>故报告和调查处理条例》第</w:t>
            </w:r>
          </w:p>
          <w:p w14:paraId="58938BBA">
            <w:pPr>
              <w:pStyle w:val="6"/>
              <w:spacing w:before="2" w:line="182" w:lineRule="auto"/>
              <w:ind w:left="115" w:right="111" w:firstLine="33"/>
            </w:pPr>
            <w:r>
              <w:rPr>
                <w:spacing w:val="10"/>
              </w:rPr>
              <w:t>四条第一款：事故报告应当</w:t>
            </w:r>
            <w:r>
              <w:rPr>
                <w:spacing w:val="13"/>
              </w:rPr>
              <w:t>及时、准确、完整，任何单</w:t>
            </w:r>
            <w:r>
              <w:rPr>
                <w:spacing w:val="15"/>
              </w:rPr>
              <w:t>位和个人对事故不得迟报、</w:t>
            </w:r>
            <w:r>
              <w:rPr>
                <w:spacing w:val="5"/>
              </w:rPr>
              <w:t>漏报、谎报或者瞒报。</w:t>
            </w:r>
          </w:p>
          <w:p w14:paraId="357B046A">
            <w:pPr>
              <w:pStyle w:val="6"/>
              <w:spacing w:before="4" w:line="182" w:lineRule="auto"/>
              <w:ind w:left="117" w:right="111" w:firstLine="10"/>
              <w:jc w:val="both"/>
            </w:pPr>
            <w:r>
              <w:rPr>
                <w:spacing w:val="8"/>
              </w:rPr>
              <w:t>第十六条：事故发生后，有</w:t>
            </w:r>
            <w:r>
              <w:rPr>
                <w:spacing w:val="17"/>
              </w:rPr>
              <w:t>关单位和人员应当妥善保护</w:t>
            </w:r>
            <w:r>
              <w:rPr>
                <w:spacing w:val="13"/>
              </w:rPr>
              <w:t>事故现场以及相关证据，任</w:t>
            </w:r>
            <w:r>
              <w:rPr>
                <w:spacing w:val="17"/>
              </w:rPr>
              <w:t>何单位和个人不得破坏事故</w:t>
            </w:r>
            <w:r>
              <w:rPr>
                <w:spacing w:val="4"/>
              </w:rPr>
              <w:t>现场、毁灭相关证据。</w:t>
            </w:r>
          </w:p>
          <w:p w14:paraId="336C85AF">
            <w:pPr>
              <w:pStyle w:val="6"/>
              <w:spacing w:before="4" w:line="182" w:lineRule="auto"/>
              <w:ind w:left="115" w:right="111" w:firstLine="32"/>
              <w:jc w:val="both"/>
            </w:pPr>
            <w:r>
              <w:rPr>
                <w:spacing w:val="14"/>
              </w:rPr>
              <w:t>因抢救人员、防止事故扩大</w:t>
            </w:r>
            <w:r>
              <w:rPr>
                <w:spacing w:val="12"/>
              </w:rPr>
              <w:t>以及疏通交通等原因，需要</w:t>
            </w:r>
            <w:r>
              <w:rPr>
                <w:spacing w:val="13"/>
              </w:rPr>
              <w:t>移动事故现场物件的，应当做出标志，绘制现场简图并</w:t>
            </w:r>
            <w:r>
              <w:rPr>
                <w:spacing w:val="14"/>
              </w:rPr>
              <w:t>做出书面记录，妥善保存现</w:t>
            </w:r>
            <w:r>
              <w:rPr>
                <w:spacing w:val="4"/>
              </w:rPr>
              <w:t>场重要痕迹、物证。</w:t>
            </w:r>
          </w:p>
          <w:p w14:paraId="09E89E36">
            <w:pPr>
              <w:pStyle w:val="6"/>
              <w:spacing w:before="6" w:line="187" w:lineRule="auto"/>
              <w:ind w:left="118" w:right="40" w:firstLine="9"/>
              <w:jc w:val="both"/>
            </w:pPr>
            <w:r>
              <w:rPr>
                <w:spacing w:val="12"/>
              </w:rPr>
              <w:t>第二十六条第一款：事故调</w:t>
            </w:r>
            <w:r>
              <w:rPr>
                <w:spacing w:val="17"/>
              </w:rPr>
              <w:t>查组有权向有关单位和个人</w:t>
            </w:r>
            <w:r>
              <w:rPr>
                <w:spacing w:val="12"/>
              </w:rPr>
              <w:t>了解与事故有关的情况，并</w:t>
            </w:r>
            <w:r>
              <w:rPr>
                <w:spacing w:val="3"/>
              </w:rPr>
              <w:t>要求其提供相关文件、资料，</w:t>
            </w:r>
            <w:r>
              <w:rPr>
                <w:spacing w:val="5"/>
              </w:rPr>
              <w:t>有关单位和个人不得拒绝。</w:t>
            </w:r>
          </w:p>
        </w:tc>
        <w:tc>
          <w:tcPr>
            <w:tcW w:w="2859" w:type="dxa"/>
            <w:vMerge w:val="restart"/>
            <w:tcBorders>
              <w:bottom w:val="nil"/>
            </w:tcBorders>
            <w:vAlign w:val="top"/>
          </w:tcPr>
          <w:p w14:paraId="06F93929">
            <w:pPr>
              <w:pStyle w:val="6"/>
              <w:spacing w:before="51" w:line="183" w:lineRule="auto"/>
              <w:ind w:left="98" w:firstLine="32"/>
            </w:pPr>
            <w:r>
              <w:rPr>
                <w:rFonts w:ascii="宋体" w:hAnsi="宋体" w:eastAsia="宋体" w:cs="宋体"/>
                <w:spacing w:val="5"/>
              </w:rPr>
              <w:t>1.</w:t>
            </w:r>
            <w:r>
              <w:rPr>
                <w:spacing w:val="5"/>
              </w:rPr>
              <w:t>【行政法规】《生产安</w:t>
            </w:r>
            <w:r>
              <w:rPr>
                <w:spacing w:val="9"/>
              </w:rPr>
              <w:t>全事故报告和调查处理条例》第三十六条第一项至</w:t>
            </w:r>
            <w:r>
              <w:rPr>
                <w:spacing w:val="2"/>
              </w:rPr>
              <w:t>第五项：事故发生单位及</w:t>
            </w:r>
            <w:r>
              <w:rPr>
                <w:spacing w:val="9"/>
              </w:rPr>
              <w:t>其有关人员有下列行为之</w:t>
            </w:r>
            <w:r>
              <w:rPr>
                <w:spacing w:val="8"/>
              </w:rPr>
              <w:t>一的，对事故发生单位处</w:t>
            </w:r>
            <w:r>
              <w:rPr>
                <w:rFonts w:ascii="宋体" w:hAnsi="宋体" w:eastAsia="宋体" w:cs="宋体"/>
                <w:spacing w:val="5"/>
              </w:rPr>
              <w:t>100</w:t>
            </w:r>
            <w:r>
              <w:rPr>
                <w:spacing w:val="5"/>
              </w:rPr>
              <w:t>万元以上</w:t>
            </w:r>
            <w:r>
              <w:rPr>
                <w:rFonts w:ascii="宋体" w:hAnsi="宋体" w:eastAsia="宋体" w:cs="宋体"/>
                <w:spacing w:val="5"/>
              </w:rPr>
              <w:t>500</w:t>
            </w:r>
            <w:r>
              <w:rPr>
                <w:spacing w:val="5"/>
              </w:rPr>
              <w:t>万元以</w:t>
            </w:r>
            <w:r>
              <w:rPr>
                <w:spacing w:val="-4"/>
              </w:rPr>
              <w:t>下的罚款；对主要负责人、</w:t>
            </w:r>
            <w:r>
              <w:rPr>
                <w:spacing w:val="9"/>
              </w:rPr>
              <w:t>直接负责的主管人员和其他直接责任人员处上一年</w:t>
            </w:r>
            <w:r>
              <w:rPr>
                <w:spacing w:val="11"/>
              </w:rPr>
              <w:t>年收入</w:t>
            </w:r>
            <w:r>
              <w:rPr>
                <w:rFonts w:ascii="宋体" w:hAnsi="宋体" w:eastAsia="宋体" w:cs="宋体"/>
                <w:spacing w:val="11"/>
              </w:rPr>
              <w:t>60%</w:t>
            </w:r>
            <w:r>
              <w:rPr>
                <w:spacing w:val="11"/>
              </w:rPr>
              <w:t>至</w:t>
            </w:r>
            <w:r>
              <w:rPr>
                <w:rFonts w:ascii="宋体" w:hAnsi="宋体" w:eastAsia="宋体" w:cs="宋体"/>
                <w:spacing w:val="11"/>
              </w:rPr>
              <w:t>100%</w:t>
            </w:r>
            <w:r>
              <w:rPr>
                <w:spacing w:val="11"/>
              </w:rPr>
              <w:t>的罚</w:t>
            </w:r>
            <w:r>
              <w:rPr>
                <w:spacing w:val="-5"/>
              </w:rPr>
              <w:t>款；属于国家工作人员的，</w:t>
            </w:r>
            <w:r>
              <w:rPr>
                <w:spacing w:val="9"/>
              </w:rPr>
              <w:t>并依法给予处分；构成违反治安管理行为的，由公安机关依法给予治安管理处罚；构成犯罪的，依法</w:t>
            </w:r>
            <w:r>
              <w:rPr>
                <w:spacing w:val="-3"/>
              </w:rPr>
              <w:t>追究刑事责任</w:t>
            </w:r>
            <w:r>
              <w:rPr>
                <w:spacing w:val="-5"/>
              </w:rPr>
              <w:t>：（</w:t>
            </w:r>
            <w:r>
              <w:rPr>
                <w:spacing w:val="-3"/>
              </w:rPr>
              <w:t>一）谎报或者瞒报事故的</w:t>
            </w:r>
            <w:r>
              <w:rPr>
                <w:spacing w:val="12"/>
              </w:rPr>
              <w:t>；（</w:t>
            </w:r>
            <w:r>
              <w:rPr>
                <w:spacing w:val="-3"/>
              </w:rPr>
              <w:t>二）</w:t>
            </w:r>
            <w:r>
              <w:rPr>
                <w:spacing w:val="9"/>
              </w:rPr>
              <w:t>伪造或者故意破坏事故现</w:t>
            </w:r>
            <w:r>
              <w:rPr>
                <w:spacing w:val="12"/>
              </w:rPr>
              <w:t>场的</w:t>
            </w:r>
            <w:r>
              <w:rPr>
                <w:spacing w:val="-4"/>
              </w:rPr>
              <w:t>；（</w:t>
            </w:r>
            <w:r>
              <w:rPr>
                <w:spacing w:val="12"/>
              </w:rPr>
              <w:t>三）转移、隐匿</w:t>
            </w:r>
            <w:r>
              <w:rPr>
                <w:spacing w:val="9"/>
              </w:rPr>
              <w:t>资金、财产，或者销毁有</w:t>
            </w:r>
            <w:r>
              <w:rPr>
                <w:spacing w:val="4"/>
              </w:rPr>
              <w:t>关证据、资料的</w:t>
            </w:r>
            <w:r>
              <w:rPr>
                <w:spacing w:val="34"/>
              </w:rPr>
              <w:t>；（</w:t>
            </w:r>
            <w:r>
              <w:rPr>
                <w:spacing w:val="4"/>
              </w:rPr>
              <w:t>四）</w:t>
            </w:r>
            <w:r>
              <w:rPr>
                <w:spacing w:val="9"/>
              </w:rPr>
              <w:t>拒绝接受调查或者拒绝提</w:t>
            </w:r>
            <w:r>
              <w:rPr>
                <w:spacing w:val="28"/>
              </w:rPr>
              <w:t>供有关情况和资料的；</w:t>
            </w:r>
            <w:r>
              <w:rPr>
                <w:spacing w:val="9"/>
              </w:rPr>
              <w:t>（五）在事故调查中作伪</w:t>
            </w:r>
            <w:r>
              <w:rPr>
                <w:spacing w:val="32"/>
              </w:rPr>
              <w:t>证或者指使他人作伪证</w:t>
            </w:r>
          </w:p>
        </w:tc>
        <w:tc>
          <w:tcPr>
            <w:tcW w:w="803" w:type="dxa"/>
            <w:vAlign w:val="top"/>
          </w:tcPr>
          <w:p w14:paraId="33A8E791">
            <w:pPr>
              <w:spacing w:line="277" w:lineRule="auto"/>
              <w:rPr>
                <w:rFonts w:ascii="Arial"/>
                <w:sz w:val="21"/>
              </w:rPr>
            </w:pPr>
          </w:p>
          <w:p w14:paraId="73951C7B">
            <w:pPr>
              <w:spacing w:line="277" w:lineRule="auto"/>
              <w:rPr>
                <w:rFonts w:ascii="Arial"/>
                <w:sz w:val="21"/>
              </w:rPr>
            </w:pPr>
          </w:p>
          <w:p w14:paraId="5741EE94">
            <w:pPr>
              <w:spacing w:line="277" w:lineRule="auto"/>
              <w:rPr>
                <w:rFonts w:ascii="Arial"/>
                <w:sz w:val="21"/>
              </w:rPr>
            </w:pPr>
          </w:p>
          <w:p w14:paraId="17EB511F">
            <w:pPr>
              <w:spacing w:line="277" w:lineRule="auto"/>
              <w:rPr>
                <w:rFonts w:ascii="Arial"/>
                <w:sz w:val="21"/>
              </w:rPr>
            </w:pPr>
          </w:p>
          <w:p w14:paraId="07FF7FA7">
            <w:pPr>
              <w:spacing w:line="278" w:lineRule="auto"/>
              <w:rPr>
                <w:rFonts w:ascii="Arial"/>
                <w:sz w:val="21"/>
              </w:rPr>
            </w:pPr>
          </w:p>
          <w:p w14:paraId="0051D78B">
            <w:pPr>
              <w:spacing w:line="278" w:lineRule="auto"/>
              <w:rPr>
                <w:rFonts w:ascii="Arial"/>
                <w:sz w:val="21"/>
              </w:rPr>
            </w:pPr>
          </w:p>
          <w:p w14:paraId="338FE1DE">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6B25A7EF">
            <w:pPr>
              <w:spacing w:line="266" w:lineRule="auto"/>
              <w:rPr>
                <w:rFonts w:ascii="Arial"/>
                <w:sz w:val="21"/>
              </w:rPr>
            </w:pPr>
          </w:p>
          <w:p w14:paraId="5B8A92E1">
            <w:pPr>
              <w:spacing w:line="266" w:lineRule="auto"/>
              <w:rPr>
                <w:rFonts w:ascii="Arial"/>
                <w:sz w:val="21"/>
              </w:rPr>
            </w:pPr>
          </w:p>
          <w:p w14:paraId="3FA73038">
            <w:pPr>
              <w:spacing w:line="266" w:lineRule="auto"/>
              <w:rPr>
                <w:rFonts w:ascii="Arial"/>
                <w:sz w:val="21"/>
              </w:rPr>
            </w:pPr>
          </w:p>
          <w:p w14:paraId="4D1895AA">
            <w:pPr>
              <w:spacing w:line="266" w:lineRule="auto"/>
              <w:rPr>
                <w:rFonts w:ascii="Arial"/>
                <w:sz w:val="21"/>
              </w:rPr>
            </w:pPr>
          </w:p>
          <w:p w14:paraId="7DBCA47B">
            <w:pPr>
              <w:spacing w:line="267" w:lineRule="auto"/>
              <w:rPr>
                <w:rFonts w:ascii="Arial"/>
                <w:sz w:val="21"/>
              </w:rPr>
            </w:pPr>
          </w:p>
          <w:p w14:paraId="497FB0DA">
            <w:pPr>
              <w:spacing w:line="267" w:lineRule="auto"/>
              <w:rPr>
                <w:rFonts w:ascii="Arial"/>
                <w:sz w:val="21"/>
              </w:rPr>
            </w:pPr>
          </w:p>
          <w:p w14:paraId="5832B121">
            <w:pPr>
              <w:pStyle w:val="6"/>
              <w:spacing w:before="98" w:line="208" w:lineRule="auto"/>
              <w:ind w:left="119"/>
            </w:pPr>
            <w:r>
              <w:rPr>
                <w:spacing w:val="7"/>
              </w:rPr>
              <w:t>发生一般事故的</w:t>
            </w:r>
          </w:p>
        </w:tc>
        <w:tc>
          <w:tcPr>
            <w:tcW w:w="2894" w:type="dxa"/>
            <w:vAlign w:val="top"/>
          </w:tcPr>
          <w:p w14:paraId="2AEE6937">
            <w:pPr>
              <w:spacing w:line="276" w:lineRule="auto"/>
              <w:rPr>
                <w:rFonts w:ascii="Arial"/>
                <w:sz w:val="21"/>
              </w:rPr>
            </w:pPr>
          </w:p>
          <w:p w14:paraId="07430C2B">
            <w:pPr>
              <w:spacing w:line="276" w:lineRule="auto"/>
              <w:rPr>
                <w:rFonts w:ascii="Arial"/>
                <w:sz w:val="21"/>
              </w:rPr>
            </w:pPr>
          </w:p>
          <w:p w14:paraId="3F167593">
            <w:pPr>
              <w:pStyle w:val="6"/>
              <w:spacing w:before="98" w:line="186" w:lineRule="auto"/>
              <w:ind w:left="119" w:right="104" w:firstLine="3"/>
              <w:jc w:val="both"/>
            </w:pPr>
            <w:r>
              <w:rPr>
                <w:spacing w:val="4"/>
              </w:rPr>
              <w:t>对事故发生单位处</w:t>
            </w:r>
            <w:r>
              <w:rPr>
                <w:rFonts w:ascii="宋体" w:hAnsi="宋体" w:eastAsia="宋体" w:cs="宋体"/>
                <w:spacing w:val="4"/>
              </w:rPr>
              <w:t>100</w:t>
            </w:r>
            <w:r>
              <w:rPr>
                <w:spacing w:val="4"/>
              </w:rPr>
              <w:t>万</w:t>
            </w:r>
            <w:r>
              <w:rPr>
                <w:spacing w:val="5"/>
              </w:rPr>
              <w:t>元以上</w:t>
            </w:r>
            <w:r>
              <w:rPr>
                <w:rFonts w:ascii="宋体" w:hAnsi="宋体" w:eastAsia="宋体" w:cs="宋体"/>
                <w:spacing w:val="5"/>
              </w:rPr>
              <w:t>150</w:t>
            </w:r>
            <w:r>
              <w:rPr>
                <w:spacing w:val="5"/>
              </w:rPr>
              <w:t>万元以下的罚</w:t>
            </w:r>
            <w:r>
              <w:rPr>
                <w:spacing w:val="8"/>
              </w:rPr>
              <w:t>款；导致贻误事故抢救或</w:t>
            </w:r>
            <w:r>
              <w:rPr>
                <w:spacing w:val="11"/>
              </w:rPr>
              <w:t>者造成事故扩大或者影响事故调查或者造成重大社</w:t>
            </w:r>
            <w:r>
              <w:rPr>
                <w:spacing w:val="8"/>
              </w:rPr>
              <w:t>会影响的，对事故发生单</w:t>
            </w:r>
            <w:r>
              <w:rPr>
                <w:spacing w:val="2"/>
              </w:rPr>
              <w:t>位处</w:t>
            </w:r>
            <w:r>
              <w:rPr>
                <w:rFonts w:ascii="宋体" w:hAnsi="宋体" w:eastAsia="宋体" w:cs="宋体"/>
                <w:spacing w:val="2"/>
              </w:rPr>
              <w:t>300</w:t>
            </w:r>
            <w:r>
              <w:rPr>
                <w:spacing w:val="2"/>
              </w:rPr>
              <w:t>万元以上</w:t>
            </w:r>
            <w:r>
              <w:rPr>
                <w:rFonts w:ascii="宋体" w:hAnsi="宋体" w:eastAsia="宋体" w:cs="宋体"/>
                <w:spacing w:val="2"/>
              </w:rPr>
              <w:t>350</w:t>
            </w:r>
            <w:r>
              <w:rPr>
                <w:spacing w:val="2"/>
              </w:rPr>
              <w:t>万</w:t>
            </w:r>
            <w:r>
              <w:rPr>
                <w:spacing w:val="7"/>
              </w:rPr>
              <w:t>元以下的罚款</w:t>
            </w:r>
          </w:p>
        </w:tc>
        <w:tc>
          <w:tcPr>
            <w:tcW w:w="811" w:type="dxa"/>
            <w:vMerge w:val="restart"/>
            <w:tcBorders>
              <w:bottom w:val="nil"/>
            </w:tcBorders>
            <w:vAlign w:val="top"/>
          </w:tcPr>
          <w:p w14:paraId="33631A1C">
            <w:pPr>
              <w:rPr>
                <w:rFonts w:ascii="Arial"/>
                <w:sz w:val="21"/>
              </w:rPr>
            </w:pPr>
          </w:p>
        </w:tc>
      </w:tr>
      <w:tr w14:paraId="0C2C6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5" w:hRule="atLeast"/>
        </w:trPr>
        <w:tc>
          <w:tcPr>
            <w:tcW w:w="818" w:type="dxa"/>
            <w:vMerge w:val="continue"/>
            <w:tcBorders>
              <w:top w:val="nil"/>
            </w:tcBorders>
            <w:vAlign w:val="top"/>
          </w:tcPr>
          <w:p w14:paraId="20B7674B">
            <w:pPr>
              <w:rPr>
                <w:rFonts w:ascii="Arial"/>
                <w:sz w:val="21"/>
              </w:rPr>
            </w:pPr>
          </w:p>
        </w:tc>
        <w:tc>
          <w:tcPr>
            <w:tcW w:w="1440" w:type="dxa"/>
            <w:vMerge w:val="continue"/>
            <w:tcBorders>
              <w:top w:val="nil"/>
            </w:tcBorders>
            <w:vAlign w:val="top"/>
          </w:tcPr>
          <w:p w14:paraId="6DE4AF57">
            <w:pPr>
              <w:rPr>
                <w:rFonts w:ascii="Arial"/>
                <w:sz w:val="21"/>
              </w:rPr>
            </w:pPr>
          </w:p>
        </w:tc>
        <w:tc>
          <w:tcPr>
            <w:tcW w:w="3202" w:type="dxa"/>
            <w:vMerge w:val="continue"/>
            <w:tcBorders>
              <w:top w:val="nil"/>
            </w:tcBorders>
            <w:vAlign w:val="top"/>
          </w:tcPr>
          <w:p w14:paraId="50648DC9">
            <w:pPr>
              <w:rPr>
                <w:rFonts w:ascii="Arial"/>
                <w:sz w:val="21"/>
              </w:rPr>
            </w:pPr>
          </w:p>
        </w:tc>
        <w:tc>
          <w:tcPr>
            <w:tcW w:w="2859" w:type="dxa"/>
            <w:vMerge w:val="continue"/>
            <w:tcBorders>
              <w:top w:val="nil"/>
            </w:tcBorders>
            <w:vAlign w:val="top"/>
          </w:tcPr>
          <w:p w14:paraId="22373570">
            <w:pPr>
              <w:rPr>
                <w:rFonts w:ascii="Arial"/>
                <w:sz w:val="21"/>
              </w:rPr>
            </w:pPr>
          </w:p>
        </w:tc>
        <w:tc>
          <w:tcPr>
            <w:tcW w:w="803" w:type="dxa"/>
            <w:vAlign w:val="top"/>
          </w:tcPr>
          <w:p w14:paraId="381A0DE8">
            <w:pPr>
              <w:spacing w:line="253" w:lineRule="auto"/>
              <w:rPr>
                <w:rFonts w:ascii="Arial"/>
                <w:sz w:val="21"/>
              </w:rPr>
            </w:pPr>
          </w:p>
          <w:p w14:paraId="765D53D8">
            <w:pPr>
              <w:spacing w:line="253" w:lineRule="auto"/>
              <w:rPr>
                <w:rFonts w:ascii="Arial"/>
                <w:sz w:val="21"/>
              </w:rPr>
            </w:pPr>
          </w:p>
          <w:p w14:paraId="1907DCA6">
            <w:pPr>
              <w:spacing w:line="254" w:lineRule="auto"/>
              <w:rPr>
                <w:rFonts w:ascii="Arial"/>
                <w:sz w:val="21"/>
              </w:rPr>
            </w:pPr>
          </w:p>
          <w:p w14:paraId="0F854449">
            <w:pPr>
              <w:spacing w:line="254" w:lineRule="auto"/>
              <w:rPr>
                <w:rFonts w:ascii="Arial"/>
                <w:sz w:val="21"/>
              </w:rPr>
            </w:pPr>
          </w:p>
          <w:p w14:paraId="734DA1C4">
            <w:pPr>
              <w:spacing w:line="254" w:lineRule="auto"/>
              <w:rPr>
                <w:rFonts w:ascii="Arial"/>
                <w:sz w:val="21"/>
              </w:rPr>
            </w:pPr>
          </w:p>
          <w:p w14:paraId="39617177">
            <w:pPr>
              <w:spacing w:line="254" w:lineRule="auto"/>
              <w:rPr>
                <w:rFonts w:ascii="Arial"/>
                <w:sz w:val="21"/>
              </w:rPr>
            </w:pPr>
          </w:p>
          <w:p w14:paraId="7DAD579D">
            <w:pPr>
              <w:spacing w:line="254" w:lineRule="auto"/>
              <w:rPr>
                <w:rFonts w:ascii="Arial"/>
                <w:sz w:val="21"/>
              </w:rPr>
            </w:pPr>
          </w:p>
          <w:p w14:paraId="07C5EBD7">
            <w:pPr>
              <w:spacing w:line="254" w:lineRule="auto"/>
              <w:rPr>
                <w:rFonts w:ascii="Arial"/>
                <w:sz w:val="21"/>
              </w:rPr>
            </w:pPr>
          </w:p>
          <w:p w14:paraId="78F119F6">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FB09F0B">
            <w:pPr>
              <w:spacing w:line="245" w:lineRule="auto"/>
              <w:rPr>
                <w:rFonts w:ascii="Arial"/>
                <w:sz w:val="21"/>
              </w:rPr>
            </w:pPr>
          </w:p>
          <w:p w14:paraId="04601286">
            <w:pPr>
              <w:spacing w:line="245" w:lineRule="auto"/>
              <w:rPr>
                <w:rFonts w:ascii="Arial"/>
                <w:sz w:val="21"/>
              </w:rPr>
            </w:pPr>
          </w:p>
          <w:p w14:paraId="62D0448D">
            <w:pPr>
              <w:spacing w:line="245" w:lineRule="auto"/>
              <w:rPr>
                <w:rFonts w:ascii="Arial"/>
                <w:sz w:val="21"/>
              </w:rPr>
            </w:pPr>
          </w:p>
          <w:p w14:paraId="5B990285">
            <w:pPr>
              <w:spacing w:line="245" w:lineRule="auto"/>
              <w:rPr>
                <w:rFonts w:ascii="Arial"/>
                <w:sz w:val="21"/>
              </w:rPr>
            </w:pPr>
          </w:p>
          <w:p w14:paraId="2E740116">
            <w:pPr>
              <w:spacing w:line="245" w:lineRule="auto"/>
              <w:rPr>
                <w:rFonts w:ascii="Arial"/>
                <w:sz w:val="21"/>
              </w:rPr>
            </w:pPr>
          </w:p>
          <w:p w14:paraId="19D33EF5">
            <w:pPr>
              <w:spacing w:line="245" w:lineRule="auto"/>
              <w:rPr>
                <w:rFonts w:ascii="Arial"/>
                <w:sz w:val="21"/>
              </w:rPr>
            </w:pPr>
          </w:p>
          <w:p w14:paraId="5A1E085B">
            <w:pPr>
              <w:spacing w:line="245" w:lineRule="auto"/>
              <w:rPr>
                <w:rFonts w:ascii="Arial"/>
                <w:sz w:val="21"/>
              </w:rPr>
            </w:pPr>
          </w:p>
          <w:p w14:paraId="240FF92B">
            <w:pPr>
              <w:spacing w:line="245" w:lineRule="auto"/>
              <w:rPr>
                <w:rFonts w:ascii="Arial"/>
                <w:sz w:val="21"/>
              </w:rPr>
            </w:pPr>
          </w:p>
          <w:p w14:paraId="0A84F0BD">
            <w:pPr>
              <w:pStyle w:val="6"/>
              <w:spacing w:before="98" w:line="208" w:lineRule="auto"/>
              <w:ind w:left="119"/>
            </w:pPr>
            <w:r>
              <w:rPr>
                <w:spacing w:val="7"/>
              </w:rPr>
              <w:t>发生较大事故的</w:t>
            </w:r>
          </w:p>
        </w:tc>
        <w:tc>
          <w:tcPr>
            <w:tcW w:w="2894" w:type="dxa"/>
            <w:vAlign w:val="top"/>
          </w:tcPr>
          <w:p w14:paraId="783B9014">
            <w:pPr>
              <w:spacing w:line="304" w:lineRule="auto"/>
              <w:rPr>
                <w:rFonts w:ascii="Arial"/>
                <w:sz w:val="21"/>
              </w:rPr>
            </w:pPr>
          </w:p>
          <w:p w14:paraId="51DE339E">
            <w:pPr>
              <w:spacing w:line="305" w:lineRule="auto"/>
              <w:rPr>
                <w:rFonts w:ascii="Arial"/>
                <w:sz w:val="21"/>
              </w:rPr>
            </w:pPr>
          </w:p>
          <w:p w14:paraId="5A80DA7F">
            <w:pPr>
              <w:spacing w:line="305" w:lineRule="auto"/>
              <w:rPr>
                <w:rFonts w:ascii="Arial"/>
                <w:sz w:val="21"/>
              </w:rPr>
            </w:pPr>
          </w:p>
          <w:p w14:paraId="49433003">
            <w:pPr>
              <w:pStyle w:val="6"/>
              <w:spacing w:before="98" w:line="186" w:lineRule="auto"/>
              <w:ind w:left="119" w:right="104" w:firstLine="3"/>
              <w:jc w:val="both"/>
            </w:pPr>
            <w:r>
              <w:rPr>
                <w:spacing w:val="4"/>
              </w:rPr>
              <w:t>对事故发生单位处</w:t>
            </w:r>
            <w:r>
              <w:rPr>
                <w:rFonts w:ascii="宋体" w:hAnsi="宋体" w:eastAsia="宋体" w:cs="宋体"/>
                <w:spacing w:val="4"/>
              </w:rPr>
              <w:t>150</w:t>
            </w:r>
            <w:r>
              <w:rPr>
                <w:spacing w:val="4"/>
              </w:rPr>
              <w:t>万</w:t>
            </w:r>
            <w:r>
              <w:rPr>
                <w:spacing w:val="6"/>
              </w:rPr>
              <w:t>元以上</w:t>
            </w:r>
            <w:r>
              <w:rPr>
                <w:rFonts w:ascii="宋体" w:hAnsi="宋体" w:eastAsia="宋体" w:cs="宋体"/>
                <w:spacing w:val="6"/>
              </w:rPr>
              <w:t>200</w:t>
            </w:r>
            <w:r>
              <w:rPr>
                <w:spacing w:val="6"/>
              </w:rPr>
              <w:t>万元以下的罚</w:t>
            </w:r>
            <w:r>
              <w:rPr>
                <w:spacing w:val="8"/>
              </w:rPr>
              <w:t>款；导致贻误事故抢救或</w:t>
            </w:r>
            <w:r>
              <w:rPr>
                <w:spacing w:val="11"/>
              </w:rPr>
              <w:t>者造成事故扩大或者影响事故调查或者造成重大社</w:t>
            </w:r>
            <w:r>
              <w:rPr>
                <w:spacing w:val="8"/>
              </w:rPr>
              <w:t>会影响的，对事故发生单</w:t>
            </w:r>
            <w:r>
              <w:rPr>
                <w:spacing w:val="2"/>
              </w:rPr>
              <w:t>位处</w:t>
            </w:r>
            <w:r>
              <w:rPr>
                <w:rFonts w:ascii="宋体" w:hAnsi="宋体" w:eastAsia="宋体" w:cs="宋体"/>
                <w:spacing w:val="2"/>
              </w:rPr>
              <w:t>350</w:t>
            </w:r>
            <w:r>
              <w:rPr>
                <w:spacing w:val="2"/>
              </w:rPr>
              <w:t>万元以上</w:t>
            </w:r>
            <w:r>
              <w:rPr>
                <w:rFonts w:ascii="宋体" w:hAnsi="宋体" w:eastAsia="宋体" w:cs="宋体"/>
                <w:spacing w:val="2"/>
              </w:rPr>
              <w:t>400</w:t>
            </w:r>
            <w:r>
              <w:rPr>
                <w:spacing w:val="2"/>
              </w:rPr>
              <w:t>万</w:t>
            </w:r>
            <w:r>
              <w:rPr>
                <w:spacing w:val="7"/>
              </w:rPr>
              <w:t>元以下的罚款</w:t>
            </w:r>
          </w:p>
        </w:tc>
        <w:tc>
          <w:tcPr>
            <w:tcW w:w="811" w:type="dxa"/>
            <w:vMerge w:val="continue"/>
            <w:tcBorders>
              <w:top w:val="nil"/>
            </w:tcBorders>
            <w:vAlign w:val="top"/>
          </w:tcPr>
          <w:p w14:paraId="27BCBF53">
            <w:pPr>
              <w:rPr>
                <w:rFonts w:ascii="Arial"/>
                <w:sz w:val="21"/>
              </w:rPr>
            </w:pPr>
          </w:p>
        </w:tc>
      </w:tr>
    </w:tbl>
    <w:p w14:paraId="3DDAC256">
      <w:pPr>
        <w:pStyle w:val="2"/>
      </w:pPr>
    </w:p>
    <w:p w14:paraId="4C8A6767">
      <w:pPr>
        <w:sectPr>
          <w:footerReference r:id="rId116" w:type="default"/>
          <w:pgSz w:w="16839" w:h="11906"/>
          <w:pgMar w:top="1012" w:right="821" w:bottom="667" w:left="901" w:header="0" w:footer="388" w:gutter="0"/>
          <w:cols w:space="720" w:num="1"/>
        </w:sectPr>
      </w:pPr>
    </w:p>
    <w:p w14:paraId="6819EBC5">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C504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1D7C163">
            <w:pPr>
              <w:spacing w:before="222" w:line="241" w:lineRule="auto"/>
              <w:ind w:left="131"/>
              <w:rPr>
                <w:rFonts w:ascii="黑体" w:hAnsi="黑体" w:eastAsia="黑体" w:cs="黑体"/>
                <w:sz w:val="28"/>
                <w:szCs w:val="28"/>
              </w:rPr>
            </w:pPr>
            <w:bookmarkStart w:id="511" w:name="bookmark531"/>
            <w:bookmarkEnd w:id="511"/>
            <w:r>
              <w:rPr>
                <w:rFonts w:ascii="黑体" w:hAnsi="黑体" w:eastAsia="黑体" w:cs="黑体"/>
                <w:spacing w:val="-2"/>
                <w:sz w:val="28"/>
                <w:szCs w:val="28"/>
              </w:rPr>
              <w:t>序号</w:t>
            </w:r>
          </w:p>
        </w:tc>
        <w:tc>
          <w:tcPr>
            <w:tcW w:w="1440" w:type="dxa"/>
            <w:vAlign w:val="top"/>
          </w:tcPr>
          <w:p w14:paraId="71AA1C58">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82F68DF">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BF00876">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B6CCECA">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0FE41E5A">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2CE371E">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A75A095">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E0F1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5" w:hRule="atLeast"/>
        </w:trPr>
        <w:tc>
          <w:tcPr>
            <w:tcW w:w="818" w:type="dxa"/>
            <w:vMerge w:val="restart"/>
            <w:tcBorders>
              <w:bottom w:val="nil"/>
            </w:tcBorders>
            <w:vAlign w:val="top"/>
          </w:tcPr>
          <w:p w14:paraId="6E4E5365">
            <w:pPr>
              <w:rPr>
                <w:rFonts w:ascii="Arial"/>
                <w:sz w:val="21"/>
              </w:rPr>
            </w:pPr>
          </w:p>
        </w:tc>
        <w:tc>
          <w:tcPr>
            <w:tcW w:w="1440" w:type="dxa"/>
            <w:vMerge w:val="restart"/>
            <w:tcBorders>
              <w:bottom w:val="nil"/>
            </w:tcBorders>
            <w:vAlign w:val="top"/>
          </w:tcPr>
          <w:p w14:paraId="46C807D7">
            <w:pPr>
              <w:rPr>
                <w:rFonts w:ascii="Arial"/>
                <w:sz w:val="21"/>
              </w:rPr>
            </w:pPr>
          </w:p>
        </w:tc>
        <w:tc>
          <w:tcPr>
            <w:tcW w:w="3202" w:type="dxa"/>
            <w:vMerge w:val="restart"/>
            <w:tcBorders>
              <w:bottom w:val="nil"/>
            </w:tcBorders>
            <w:vAlign w:val="top"/>
          </w:tcPr>
          <w:p w14:paraId="512C780D">
            <w:pPr>
              <w:rPr>
                <w:rFonts w:ascii="Arial"/>
                <w:sz w:val="21"/>
              </w:rPr>
            </w:pPr>
          </w:p>
        </w:tc>
        <w:tc>
          <w:tcPr>
            <w:tcW w:w="2859" w:type="dxa"/>
            <w:vMerge w:val="restart"/>
            <w:tcBorders>
              <w:bottom w:val="nil"/>
            </w:tcBorders>
            <w:vAlign w:val="top"/>
          </w:tcPr>
          <w:p w14:paraId="58DDC4FC">
            <w:pPr>
              <w:pStyle w:val="6"/>
              <w:spacing w:before="28" w:line="182" w:lineRule="auto"/>
              <w:ind w:left="139"/>
            </w:pPr>
            <w:r>
              <w:rPr>
                <w:spacing w:val="-16"/>
              </w:rPr>
              <w:t>的；</w:t>
            </w:r>
          </w:p>
          <w:p w14:paraId="07BC1CCE">
            <w:pPr>
              <w:pStyle w:val="6"/>
              <w:spacing w:before="13" w:line="182" w:lineRule="auto"/>
              <w:ind w:left="90" w:right="108" w:firstLine="26"/>
            </w:pPr>
            <w:r>
              <w:rPr>
                <w:rFonts w:ascii="宋体" w:hAnsi="宋体" w:eastAsia="宋体" w:cs="宋体"/>
                <w:spacing w:val="7"/>
              </w:rPr>
              <w:t>2.</w:t>
            </w:r>
            <w:r>
              <w:rPr>
                <w:spacing w:val="7"/>
              </w:rPr>
              <w:t>【部门规章】《生产安</w:t>
            </w:r>
            <w:r>
              <w:rPr>
                <w:spacing w:val="11"/>
              </w:rPr>
              <w:t>全事故罚款处罚规定》第</w:t>
            </w:r>
            <w:r>
              <w:rPr>
                <w:spacing w:val="4"/>
              </w:rPr>
              <w:t>十三条：事故发生单位有</w:t>
            </w:r>
            <w:r>
              <w:rPr>
                <w:spacing w:val="11"/>
              </w:rPr>
              <w:t>《生产安全事故报告和调查处理条例》第三十六条第一项至第五项规定的行为之一的，依照下列规定</w:t>
            </w:r>
            <w:r>
              <w:rPr>
                <w:spacing w:val="-4"/>
              </w:rPr>
              <w:t>处以罚款</w:t>
            </w:r>
            <w:r>
              <w:rPr>
                <w:spacing w:val="-12"/>
              </w:rPr>
              <w:t>：（</w:t>
            </w:r>
            <w:r>
              <w:rPr>
                <w:spacing w:val="-4"/>
              </w:rPr>
              <w:t>一）发生一</w:t>
            </w:r>
            <w:r>
              <w:rPr>
                <w:spacing w:val="5"/>
              </w:rPr>
              <w:t>般事故的，处</w:t>
            </w:r>
            <w:r>
              <w:rPr>
                <w:rFonts w:ascii="宋体" w:hAnsi="宋体" w:eastAsia="宋体" w:cs="宋体"/>
                <w:spacing w:val="5"/>
              </w:rPr>
              <w:t>100</w:t>
            </w:r>
            <w:r>
              <w:rPr>
                <w:spacing w:val="5"/>
              </w:rPr>
              <w:t>万元以</w:t>
            </w:r>
            <w:r>
              <w:rPr>
                <w:spacing w:val="1"/>
              </w:rPr>
              <w:t>上</w:t>
            </w:r>
            <w:r>
              <w:rPr>
                <w:rFonts w:ascii="宋体" w:hAnsi="宋体" w:eastAsia="宋体" w:cs="宋体"/>
                <w:spacing w:val="1"/>
              </w:rPr>
              <w:t>150</w:t>
            </w:r>
            <w:r>
              <w:rPr>
                <w:spacing w:val="1"/>
              </w:rPr>
              <w:t>万元以下的罚款；</w:t>
            </w:r>
            <w:r>
              <w:rPr>
                <w:spacing w:val="10"/>
              </w:rPr>
              <w:t>（二）发生较大事故的，</w:t>
            </w:r>
            <w:r>
              <w:rPr>
                <w:spacing w:val="1"/>
              </w:rPr>
              <w:t>处</w:t>
            </w:r>
            <w:r>
              <w:rPr>
                <w:rFonts w:ascii="宋体" w:hAnsi="宋体" w:eastAsia="宋体" w:cs="宋体"/>
                <w:spacing w:val="1"/>
              </w:rPr>
              <w:t>150</w:t>
            </w:r>
            <w:r>
              <w:rPr>
                <w:spacing w:val="1"/>
              </w:rPr>
              <w:t>万元以上</w:t>
            </w:r>
            <w:r>
              <w:rPr>
                <w:rFonts w:ascii="宋体" w:hAnsi="宋体" w:eastAsia="宋体" w:cs="宋体"/>
                <w:spacing w:val="1"/>
              </w:rPr>
              <w:t>200</w:t>
            </w:r>
            <w:r>
              <w:rPr>
                <w:spacing w:val="1"/>
              </w:rPr>
              <w:t>万元</w:t>
            </w:r>
            <w:r>
              <w:rPr>
                <w:spacing w:val="11"/>
              </w:rPr>
              <w:t>以下的罚款；（三）发生</w:t>
            </w:r>
            <w:r>
              <w:rPr>
                <w:spacing w:val="6"/>
              </w:rPr>
              <w:t>重大事故的，处</w:t>
            </w:r>
            <w:r>
              <w:rPr>
                <w:rFonts w:ascii="宋体" w:hAnsi="宋体" w:eastAsia="宋体" w:cs="宋体"/>
                <w:spacing w:val="6"/>
              </w:rPr>
              <w:t>200</w:t>
            </w:r>
            <w:r>
              <w:rPr>
                <w:spacing w:val="6"/>
              </w:rPr>
              <w:t>万元</w:t>
            </w:r>
            <w:r>
              <w:rPr>
                <w:spacing w:val="20"/>
              </w:rPr>
              <w:t>以上</w:t>
            </w:r>
            <w:r>
              <w:rPr>
                <w:rFonts w:ascii="宋体" w:hAnsi="宋体" w:eastAsia="宋体" w:cs="宋体"/>
                <w:spacing w:val="20"/>
              </w:rPr>
              <w:t>250</w:t>
            </w:r>
            <w:r>
              <w:rPr>
                <w:spacing w:val="20"/>
              </w:rPr>
              <w:t>万元以下的罚</w:t>
            </w:r>
            <w:r>
              <w:rPr>
                <w:spacing w:val="10"/>
              </w:rPr>
              <w:t>款</w:t>
            </w:r>
            <w:r>
              <w:rPr>
                <w:spacing w:val="15"/>
              </w:rPr>
              <w:t>；（</w:t>
            </w:r>
            <w:r>
              <w:rPr>
                <w:spacing w:val="10"/>
              </w:rPr>
              <w:t>四）发生特别重大</w:t>
            </w:r>
            <w:r>
              <w:rPr>
                <w:spacing w:val="6"/>
              </w:rPr>
              <w:t>事故的，处</w:t>
            </w:r>
            <w:r>
              <w:rPr>
                <w:rFonts w:ascii="宋体" w:hAnsi="宋体" w:eastAsia="宋体" w:cs="宋体"/>
                <w:spacing w:val="6"/>
              </w:rPr>
              <w:t>250</w:t>
            </w:r>
            <w:r>
              <w:rPr>
                <w:spacing w:val="6"/>
              </w:rPr>
              <w:t>万元以上</w:t>
            </w:r>
            <w:r>
              <w:rPr>
                <w:rFonts w:ascii="宋体" w:hAnsi="宋体" w:eastAsia="宋体" w:cs="宋体"/>
                <w:spacing w:val="4"/>
              </w:rPr>
              <w:t>300</w:t>
            </w:r>
            <w:r>
              <w:rPr>
                <w:spacing w:val="4"/>
              </w:rPr>
              <w:t>万元以下的罚款。</w:t>
            </w:r>
          </w:p>
          <w:p w14:paraId="03CFC4A4">
            <w:pPr>
              <w:pStyle w:val="6"/>
              <w:spacing w:before="9" w:line="180" w:lineRule="auto"/>
              <w:ind w:left="116" w:right="105" w:firstLine="6"/>
            </w:pPr>
            <w:r>
              <w:rPr>
                <w:spacing w:val="8"/>
              </w:rPr>
              <w:t>事故发生单位有《生产安全事故报告和调查处理条例》第三十六条第一项至</w:t>
            </w:r>
            <w:r>
              <w:rPr>
                <w:spacing w:val="27"/>
              </w:rPr>
              <w:t>第五项规定的行为之一</w:t>
            </w:r>
            <w:r>
              <w:rPr>
                <w:spacing w:val="8"/>
              </w:rPr>
              <w:t>的，贻误事故抢救或者造成事故扩大或者影响事故调查或者造成重大社会影响的，依照下列规定处以</w:t>
            </w:r>
            <w:r>
              <w:rPr>
                <w:spacing w:val="3"/>
              </w:rPr>
              <w:t>罚款</w:t>
            </w:r>
            <w:r>
              <w:rPr>
                <w:spacing w:val="-3"/>
              </w:rPr>
              <w:t>：（</w:t>
            </w:r>
            <w:r>
              <w:rPr>
                <w:spacing w:val="3"/>
              </w:rPr>
              <w:t>一）发生一般事</w:t>
            </w:r>
            <w:r>
              <w:rPr>
                <w:spacing w:val="-7"/>
              </w:rPr>
              <w:t>故的，处</w:t>
            </w:r>
            <w:r>
              <w:rPr>
                <w:rFonts w:ascii="宋体" w:hAnsi="宋体" w:eastAsia="宋体" w:cs="宋体"/>
                <w:spacing w:val="-7"/>
              </w:rPr>
              <w:t>300</w:t>
            </w:r>
            <w:r>
              <w:rPr>
                <w:spacing w:val="-7"/>
              </w:rPr>
              <w:t>万元以上</w:t>
            </w:r>
            <w:r>
              <w:rPr>
                <w:rFonts w:ascii="宋体" w:hAnsi="宋体" w:eastAsia="宋体" w:cs="宋体"/>
                <w:spacing w:val="-7"/>
              </w:rPr>
              <w:t>350</w:t>
            </w:r>
            <w:r>
              <w:rPr>
                <w:spacing w:val="9"/>
              </w:rPr>
              <w:t>万元以下的罚款；（二）</w:t>
            </w:r>
          </w:p>
        </w:tc>
        <w:tc>
          <w:tcPr>
            <w:tcW w:w="803" w:type="dxa"/>
            <w:vAlign w:val="top"/>
          </w:tcPr>
          <w:p w14:paraId="537B7E7A">
            <w:pPr>
              <w:spacing w:line="264" w:lineRule="auto"/>
              <w:rPr>
                <w:rFonts w:ascii="Arial"/>
                <w:sz w:val="21"/>
              </w:rPr>
            </w:pPr>
          </w:p>
          <w:p w14:paraId="00711B98">
            <w:pPr>
              <w:spacing w:line="264" w:lineRule="auto"/>
              <w:rPr>
                <w:rFonts w:ascii="Arial"/>
                <w:sz w:val="21"/>
              </w:rPr>
            </w:pPr>
          </w:p>
          <w:p w14:paraId="243A1139">
            <w:pPr>
              <w:spacing w:line="264" w:lineRule="auto"/>
              <w:rPr>
                <w:rFonts w:ascii="Arial"/>
                <w:sz w:val="21"/>
              </w:rPr>
            </w:pPr>
          </w:p>
          <w:p w14:paraId="6A7287B6">
            <w:pPr>
              <w:spacing w:line="265" w:lineRule="auto"/>
              <w:rPr>
                <w:rFonts w:ascii="Arial"/>
                <w:sz w:val="21"/>
              </w:rPr>
            </w:pPr>
          </w:p>
          <w:p w14:paraId="58B51192">
            <w:pPr>
              <w:spacing w:line="265" w:lineRule="auto"/>
              <w:rPr>
                <w:rFonts w:ascii="Arial"/>
                <w:sz w:val="21"/>
              </w:rPr>
            </w:pPr>
          </w:p>
          <w:p w14:paraId="20FF5D54">
            <w:pPr>
              <w:spacing w:line="265" w:lineRule="auto"/>
              <w:rPr>
                <w:rFonts w:ascii="Arial"/>
                <w:sz w:val="21"/>
              </w:rPr>
            </w:pPr>
          </w:p>
          <w:p w14:paraId="6DCD62AF">
            <w:pPr>
              <w:spacing w:line="265" w:lineRule="auto"/>
              <w:rPr>
                <w:rFonts w:ascii="Arial"/>
                <w:sz w:val="21"/>
              </w:rPr>
            </w:pPr>
          </w:p>
          <w:p w14:paraId="7050EF4F">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BA8177E">
            <w:pPr>
              <w:spacing w:line="255" w:lineRule="auto"/>
              <w:rPr>
                <w:rFonts w:ascii="Arial"/>
                <w:sz w:val="21"/>
              </w:rPr>
            </w:pPr>
          </w:p>
          <w:p w14:paraId="3377668D">
            <w:pPr>
              <w:spacing w:line="255" w:lineRule="auto"/>
              <w:rPr>
                <w:rFonts w:ascii="Arial"/>
                <w:sz w:val="21"/>
              </w:rPr>
            </w:pPr>
          </w:p>
          <w:p w14:paraId="5AA9418A">
            <w:pPr>
              <w:spacing w:line="255" w:lineRule="auto"/>
              <w:rPr>
                <w:rFonts w:ascii="Arial"/>
                <w:sz w:val="21"/>
              </w:rPr>
            </w:pPr>
          </w:p>
          <w:p w14:paraId="3BEFE6A6">
            <w:pPr>
              <w:spacing w:line="255" w:lineRule="auto"/>
              <w:rPr>
                <w:rFonts w:ascii="Arial"/>
                <w:sz w:val="21"/>
              </w:rPr>
            </w:pPr>
          </w:p>
          <w:p w14:paraId="66E530BC">
            <w:pPr>
              <w:spacing w:line="255" w:lineRule="auto"/>
              <w:rPr>
                <w:rFonts w:ascii="Arial"/>
                <w:sz w:val="21"/>
              </w:rPr>
            </w:pPr>
          </w:p>
          <w:p w14:paraId="36CB1F7F">
            <w:pPr>
              <w:spacing w:line="255" w:lineRule="auto"/>
              <w:rPr>
                <w:rFonts w:ascii="Arial"/>
                <w:sz w:val="21"/>
              </w:rPr>
            </w:pPr>
          </w:p>
          <w:p w14:paraId="5074DE45">
            <w:pPr>
              <w:spacing w:line="255" w:lineRule="auto"/>
              <w:rPr>
                <w:rFonts w:ascii="Arial"/>
                <w:sz w:val="21"/>
              </w:rPr>
            </w:pPr>
          </w:p>
          <w:p w14:paraId="7FFEF5A3">
            <w:pPr>
              <w:pStyle w:val="6"/>
              <w:spacing w:before="99" w:line="208" w:lineRule="auto"/>
              <w:ind w:left="119"/>
            </w:pPr>
            <w:r>
              <w:rPr>
                <w:spacing w:val="7"/>
              </w:rPr>
              <w:t>发生重大事故的</w:t>
            </w:r>
          </w:p>
        </w:tc>
        <w:tc>
          <w:tcPr>
            <w:tcW w:w="2894" w:type="dxa"/>
            <w:vAlign w:val="top"/>
          </w:tcPr>
          <w:p w14:paraId="64245DDE">
            <w:pPr>
              <w:spacing w:line="245" w:lineRule="auto"/>
              <w:rPr>
                <w:rFonts w:ascii="Arial"/>
                <w:sz w:val="21"/>
              </w:rPr>
            </w:pPr>
          </w:p>
          <w:p w14:paraId="274ED596">
            <w:pPr>
              <w:spacing w:line="246" w:lineRule="auto"/>
              <w:rPr>
                <w:rFonts w:ascii="Arial"/>
                <w:sz w:val="21"/>
              </w:rPr>
            </w:pPr>
          </w:p>
          <w:p w14:paraId="5C7AAE43">
            <w:pPr>
              <w:spacing w:line="246" w:lineRule="auto"/>
              <w:rPr>
                <w:rFonts w:ascii="Arial"/>
                <w:sz w:val="21"/>
              </w:rPr>
            </w:pPr>
          </w:p>
          <w:p w14:paraId="2904033C">
            <w:pPr>
              <w:pStyle w:val="6"/>
              <w:spacing w:before="99" w:line="186" w:lineRule="auto"/>
              <w:ind w:left="119" w:right="104" w:firstLine="3"/>
              <w:jc w:val="both"/>
            </w:pPr>
            <w:r>
              <w:rPr>
                <w:spacing w:val="6"/>
              </w:rPr>
              <w:t>对事故发生单位处</w:t>
            </w:r>
            <w:r>
              <w:rPr>
                <w:rFonts w:ascii="宋体" w:hAnsi="宋体" w:eastAsia="宋体" w:cs="宋体"/>
                <w:spacing w:val="6"/>
              </w:rPr>
              <w:t>200</w:t>
            </w:r>
            <w:r>
              <w:rPr>
                <w:spacing w:val="6"/>
              </w:rPr>
              <w:t>万元以上</w:t>
            </w:r>
            <w:r>
              <w:rPr>
                <w:rFonts w:ascii="宋体" w:hAnsi="宋体" w:eastAsia="宋体" w:cs="宋体"/>
                <w:spacing w:val="6"/>
              </w:rPr>
              <w:t>250</w:t>
            </w:r>
            <w:r>
              <w:rPr>
                <w:spacing w:val="6"/>
              </w:rPr>
              <w:t>万元以下的罚</w:t>
            </w:r>
            <w:r>
              <w:rPr>
                <w:spacing w:val="8"/>
              </w:rPr>
              <w:t>款；导致贻误事故抢救或</w:t>
            </w:r>
            <w:r>
              <w:rPr>
                <w:spacing w:val="11"/>
              </w:rPr>
              <w:t>者造成事故扩大或者影响事故调查或者造成重大社</w:t>
            </w:r>
            <w:r>
              <w:rPr>
                <w:spacing w:val="8"/>
              </w:rPr>
              <w:t>会影响的，对事故发生单</w:t>
            </w:r>
            <w:r>
              <w:rPr>
                <w:spacing w:val="2"/>
              </w:rPr>
              <w:t>位处</w:t>
            </w:r>
            <w:r>
              <w:rPr>
                <w:rFonts w:ascii="宋体" w:hAnsi="宋体" w:eastAsia="宋体" w:cs="宋体"/>
                <w:spacing w:val="2"/>
              </w:rPr>
              <w:t>400</w:t>
            </w:r>
            <w:r>
              <w:rPr>
                <w:spacing w:val="2"/>
              </w:rPr>
              <w:t>万元以上</w:t>
            </w:r>
            <w:r>
              <w:rPr>
                <w:rFonts w:ascii="宋体" w:hAnsi="宋体" w:eastAsia="宋体" w:cs="宋体"/>
                <w:spacing w:val="2"/>
              </w:rPr>
              <w:t>450</w:t>
            </w:r>
            <w:r>
              <w:rPr>
                <w:spacing w:val="2"/>
              </w:rPr>
              <w:t>万</w:t>
            </w:r>
            <w:r>
              <w:rPr>
                <w:spacing w:val="7"/>
              </w:rPr>
              <w:t>元以下的罚款</w:t>
            </w:r>
          </w:p>
        </w:tc>
        <w:tc>
          <w:tcPr>
            <w:tcW w:w="811" w:type="dxa"/>
            <w:vMerge w:val="restart"/>
            <w:tcBorders>
              <w:bottom w:val="nil"/>
            </w:tcBorders>
            <w:vAlign w:val="top"/>
          </w:tcPr>
          <w:p w14:paraId="264A8758">
            <w:pPr>
              <w:rPr>
                <w:rFonts w:ascii="Arial"/>
                <w:sz w:val="21"/>
              </w:rPr>
            </w:pPr>
          </w:p>
        </w:tc>
      </w:tr>
      <w:tr w14:paraId="4BCDF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3" w:hRule="atLeast"/>
        </w:trPr>
        <w:tc>
          <w:tcPr>
            <w:tcW w:w="818" w:type="dxa"/>
            <w:vMerge w:val="continue"/>
            <w:tcBorders>
              <w:top w:val="nil"/>
            </w:tcBorders>
            <w:vAlign w:val="top"/>
          </w:tcPr>
          <w:p w14:paraId="5C06DA5B">
            <w:pPr>
              <w:rPr>
                <w:rFonts w:ascii="Arial"/>
                <w:sz w:val="21"/>
              </w:rPr>
            </w:pPr>
          </w:p>
        </w:tc>
        <w:tc>
          <w:tcPr>
            <w:tcW w:w="1440" w:type="dxa"/>
            <w:vMerge w:val="continue"/>
            <w:tcBorders>
              <w:top w:val="nil"/>
            </w:tcBorders>
            <w:vAlign w:val="top"/>
          </w:tcPr>
          <w:p w14:paraId="196E1500">
            <w:pPr>
              <w:rPr>
                <w:rFonts w:ascii="Arial"/>
                <w:sz w:val="21"/>
              </w:rPr>
            </w:pPr>
          </w:p>
        </w:tc>
        <w:tc>
          <w:tcPr>
            <w:tcW w:w="3202" w:type="dxa"/>
            <w:vMerge w:val="continue"/>
            <w:tcBorders>
              <w:top w:val="nil"/>
            </w:tcBorders>
            <w:vAlign w:val="top"/>
          </w:tcPr>
          <w:p w14:paraId="4627A967">
            <w:pPr>
              <w:rPr>
                <w:rFonts w:ascii="Arial"/>
                <w:sz w:val="21"/>
              </w:rPr>
            </w:pPr>
          </w:p>
        </w:tc>
        <w:tc>
          <w:tcPr>
            <w:tcW w:w="2859" w:type="dxa"/>
            <w:vMerge w:val="continue"/>
            <w:tcBorders>
              <w:top w:val="nil"/>
            </w:tcBorders>
            <w:vAlign w:val="top"/>
          </w:tcPr>
          <w:p w14:paraId="245CB0EC">
            <w:pPr>
              <w:rPr>
                <w:rFonts w:ascii="Arial"/>
                <w:sz w:val="21"/>
              </w:rPr>
            </w:pPr>
          </w:p>
        </w:tc>
        <w:tc>
          <w:tcPr>
            <w:tcW w:w="803" w:type="dxa"/>
            <w:vAlign w:val="top"/>
          </w:tcPr>
          <w:p w14:paraId="3EBBB1F4">
            <w:pPr>
              <w:spacing w:line="257" w:lineRule="auto"/>
              <w:rPr>
                <w:rFonts w:ascii="Arial"/>
                <w:sz w:val="21"/>
              </w:rPr>
            </w:pPr>
          </w:p>
          <w:p w14:paraId="0DC18289">
            <w:pPr>
              <w:spacing w:line="257" w:lineRule="auto"/>
              <w:rPr>
                <w:rFonts w:ascii="Arial"/>
                <w:sz w:val="21"/>
              </w:rPr>
            </w:pPr>
          </w:p>
          <w:p w14:paraId="2A277871">
            <w:pPr>
              <w:spacing w:line="257" w:lineRule="auto"/>
              <w:rPr>
                <w:rFonts w:ascii="Arial"/>
                <w:sz w:val="21"/>
              </w:rPr>
            </w:pPr>
          </w:p>
          <w:p w14:paraId="5CB884B7">
            <w:pPr>
              <w:spacing w:line="257" w:lineRule="auto"/>
              <w:rPr>
                <w:rFonts w:ascii="Arial"/>
                <w:sz w:val="21"/>
              </w:rPr>
            </w:pPr>
          </w:p>
          <w:p w14:paraId="4AC621C9">
            <w:pPr>
              <w:spacing w:line="257" w:lineRule="auto"/>
              <w:rPr>
                <w:rFonts w:ascii="Arial"/>
                <w:sz w:val="21"/>
              </w:rPr>
            </w:pPr>
          </w:p>
          <w:p w14:paraId="7C66C265">
            <w:pPr>
              <w:spacing w:line="257" w:lineRule="auto"/>
              <w:rPr>
                <w:rFonts w:ascii="Arial"/>
                <w:sz w:val="21"/>
              </w:rPr>
            </w:pPr>
          </w:p>
          <w:p w14:paraId="0FCB1842">
            <w:pPr>
              <w:spacing w:line="257" w:lineRule="auto"/>
              <w:rPr>
                <w:rFonts w:ascii="Arial"/>
                <w:sz w:val="21"/>
              </w:rPr>
            </w:pPr>
          </w:p>
          <w:p w14:paraId="4558B979">
            <w:pPr>
              <w:spacing w:line="258" w:lineRule="auto"/>
              <w:rPr>
                <w:rFonts w:ascii="Arial"/>
                <w:sz w:val="21"/>
              </w:rPr>
            </w:pPr>
          </w:p>
          <w:p w14:paraId="1C2B517F">
            <w:pPr>
              <w:spacing w:line="258" w:lineRule="auto"/>
              <w:rPr>
                <w:rFonts w:ascii="Arial"/>
                <w:sz w:val="21"/>
              </w:rPr>
            </w:pPr>
          </w:p>
          <w:p w14:paraId="49EDCD2E">
            <w:pPr>
              <w:spacing w:before="75" w:line="187" w:lineRule="auto"/>
              <w:ind w:left="343"/>
              <w:rPr>
                <w:rFonts w:ascii="宋体" w:hAnsi="宋体" w:eastAsia="宋体" w:cs="宋体"/>
                <w:sz w:val="23"/>
                <w:szCs w:val="23"/>
              </w:rPr>
            </w:pPr>
            <w:r>
              <w:rPr>
                <w:rFonts w:ascii="宋体" w:hAnsi="宋体" w:eastAsia="宋体" w:cs="宋体"/>
                <w:sz w:val="23"/>
                <w:szCs w:val="23"/>
              </w:rPr>
              <w:t>D</w:t>
            </w:r>
          </w:p>
        </w:tc>
        <w:tc>
          <w:tcPr>
            <w:tcW w:w="2283" w:type="dxa"/>
            <w:vAlign w:val="top"/>
          </w:tcPr>
          <w:p w14:paraId="78993779">
            <w:pPr>
              <w:spacing w:line="262" w:lineRule="auto"/>
              <w:rPr>
                <w:rFonts w:ascii="Arial"/>
                <w:sz w:val="21"/>
              </w:rPr>
            </w:pPr>
          </w:p>
          <w:p w14:paraId="2F005C69">
            <w:pPr>
              <w:spacing w:line="262" w:lineRule="auto"/>
              <w:rPr>
                <w:rFonts w:ascii="Arial"/>
                <w:sz w:val="21"/>
              </w:rPr>
            </w:pPr>
          </w:p>
          <w:p w14:paraId="59852CE8">
            <w:pPr>
              <w:spacing w:line="262" w:lineRule="auto"/>
              <w:rPr>
                <w:rFonts w:ascii="Arial"/>
                <w:sz w:val="21"/>
              </w:rPr>
            </w:pPr>
          </w:p>
          <w:p w14:paraId="1CFD62D2">
            <w:pPr>
              <w:spacing w:line="262" w:lineRule="auto"/>
              <w:rPr>
                <w:rFonts w:ascii="Arial"/>
                <w:sz w:val="21"/>
              </w:rPr>
            </w:pPr>
          </w:p>
          <w:p w14:paraId="38EFF3BA">
            <w:pPr>
              <w:spacing w:line="262" w:lineRule="auto"/>
              <w:rPr>
                <w:rFonts w:ascii="Arial"/>
                <w:sz w:val="21"/>
              </w:rPr>
            </w:pPr>
          </w:p>
          <w:p w14:paraId="687F8256">
            <w:pPr>
              <w:spacing w:line="262" w:lineRule="auto"/>
              <w:rPr>
                <w:rFonts w:ascii="Arial"/>
                <w:sz w:val="21"/>
              </w:rPr>
            </w:pPr>
          </w:p>
          <w:p w14:paraId="7068D452">
            <w:pPr>
              <w:spacing w:line="262" w:lineRule="auto"/>
              <w:rPr>
                <w:rFonts w:ascii="Arial"/>
                <w:sz w:val="21"/>
              </w:rPr>
            </w:pPr>
          </w:p>
          <w:p w14:paraId="629506EB">
            <w:pPr>
              <w:spacing w:line="263" w:lineRule="auto"/>
              <w:rPr>
                <w:rFonts w:ascii="Arial"/>
                <w:sz w:val="21"/>
              </w:rPr>
            </w:pPr>
          </w:p>
          <w:p w14:paraId="0E537145">
            <w:pPr>
              <w:pStyle w:val="6"/>
              <w:spacing w:before="99" w:line="197" w:lineRule="auto"/>
              <w:ind w:left="139" w:right="109" w:hanging="20"/>
            </w:pPr>
            <w:r>
              <w:rPr>
                <w:spacing w:val="26"/>
              </w:rPr>
              <w:t>发生特别重大事故</w:t>
            </w:r>
            <w:r>
              <w:t>的</w:t>
            </w:r>
          </w:p>
        </w:tc>
        <w:tc>
          <w:tcPr>
            <w:tcW w:w="2894" w:type="dxa"/>
            <w:vAlign w:val="top"/>
          </w:tcPr>
          <w:p w14:paraId="3C90A6BA">
            <w:pPr>
              <w:spacing w:line="299" w:lineRule="auto"/>
              <w:rPr>
                <w:rFonts w:ascii="Arial"/>
                <w:sz w:val="21"/>
              </w:rPr>
            </w:pPr>
          </w:p>
          <w:p w14:paraId="1B9ED878">
            <w:pPr>
              <w:spacing w:line="300" w:lineRule="auto"/>
              <w:rPr>
                <w:rFonts w:ascii="Arial"/>
                <w:sz w:val="21"/>
              </w:rPr>
            </w:pPr>
          </w:p>
          <w:p w14:paraId="4A72FE7E">
            <w:pPr>
              <w:spacing w:line="300" w:lineRule="auto"/>
              <w:rPr>
                <w:rFonts w:ascii="Arial"/>
                <w:sz w:val="21"/>
              </w:rPr>
            </w:pPr>
          </w:p>
          <w:p w14:paraId="52A42197">
            <w:pPr>
              <w:spacing w:line="300" w:lineRule="auto"/>
              <w:rPr>
                <w:rFonts w:ascii="Arial"/>
                <w:sz w:val="21"/>
              </w:rPr>
            </w:pPr>
          </w:p>
          <w:p w14:paraId="3AF5DF06">
            <w:pPr>
              <w:pStyle w:val="6"/>
              <w:spacing w:before="99" w:line="186" w:lineRule="auto"/>
              <w:ind w:left="119" w:right="104" w:firstLine="3"/>
              <w:jc w:val="both"/>
            </w:pPr>
            <w:r>
              <w:rPr>
                <w:spacing w:val="6"/>
              </w:rPr>
              <w:t>对事故发生单位处</w:t>
            </w:r>
            <w:r>
              <w:rPr>
                <w:rFonts w:ascii="宋体" w:hAnsi="宋体" w:eastAsia="宋体" w:cs="宋体"/>
                <w:spacing w:val="6"/>
              </w:rPr>
              <w:t>250</w:t>
            </w:r>
            <w:r>
              <w:rPr>
                <w:spacing w:val="6"/>
              </w:rPr>
              <w:t>万元以上</w:t>
            </w:r>
            <w:r>
              <w:rPr>
                <w:rFonts w:ascii="宋体" w:hAnsi="宋体" w:eastAsia="宋体" w:cs="宋体"/>
                <w:spacing w:val="6"/>
              </w:rPr>
              <w:t>300</w:t>
            </w:r>
            <w:r>
              <w:rPr>
                <w:spacing w:val="6"/>
              </w:rPr>
              <w:t>万元以下的罚</w:t>
            </w:r>
            <w:r>
              <w:rPr>
                <w:spacing w:val="8"/>
              </w:rPr>
              <w:t>款；导致贻误事故抢救或</w:t>
            </w:r>
            <w:r>
              <w:rPr>
                <w:spacing w:val="11"/>
              </w:rPr>
              <w:t>者造成事故扩大或者影响事故调查或者造成重大社</w:t>
            </w:r>
            <w:r>
              <w:rPr>
                <w:spacing w:val="8"/>
              </w:rPr>
              <w:t>会影响的，对事故发生单</w:t>
            </w:r>
            <w:r>
              <w:rPr>
                <w:spacing w:val="2"/>
              </w:rPr>
              <w:t>位处</w:t>
            </w:r>
            <w:r>
              <w:rPr>
                <w:rFonts w:ascii="宋体" w:hAnsi="宋体" w:eastAsia="宋体" w:cs="宋体"/>
                <w:spacing w:val="2"/>
              </w:rPr>
              <w:t>450</w:t>
            </w:r>
            <w:r>
              <w:rPr>
                <w:spacing w:val="2"/>
              </w:rPr>
              <w:t>万元以上</w:t>
            </w:r>
            <w:r>
              <w:rPr>
                <w:rFonts w:ascii="宋体" w:hAnsi="宋体" w:eastAsia="宋体" w:cs="宋体"/>
                <w:spacing w:val="2"/>
              </w:rPr>
              <w:t>500</w:t>
            </w:r>
            <w:r>
              <w:rPr>
                <w:spacing w:val="2"/>
              </w:rPr>
              <w:t>万</w:t>
            </w:r>
            <w:r>
              <w:rPr>
                <w:spacing w:val="7"/>
              </w:rPr>
              <w:t>元以下的罚款</w:t>
            </w:r>
          </w:p>
        </w:tc>
        <w:tc>
          <w:tcPr>
            <w:tcW w:w="811" w:type="dxa"/>
            <w:vMerge w:val="continue"/>
            <w:tcBorders>
              <w:top w:val="nil"/>
            </w:tcBorders>
            <w:vAlign w:val="top"/>
          </w:tcPr>
          <w:p w14:paraId="0D23AE64">
            <w:pPr>
              <w:rPr>
                <w:rFonts w:ascii="Arial"/>
                <w:sz w:val="21"/>
              </w:rPr>
            </w:pPr>
          </w:p>
        </w:tc>
      </w:tr>
    </w:tbl>
    <w:p w14:paraId="2B23D455">
      <w:pPr>
        <w:pStyle w:val="2"/>
      </w:pPr>
    </w:p>
    <w:p w14:paraId="4FDD7D21">
      <w:pPr>
        <w:sectPr>
          <w:footerReference r:id="rId117" w:type="default"/>
          <w:pgSz w:w="16839" w:h="11906"/>
          <w:pgMar w:top="1012" w:right="821" w:bottom="667" w:left="901" w:header="0" w:footer="388" w:gutter="0"/>
          <w:cols w:space="720" w:num="1"/>
        </w:sectPr>
      </w:pPr>
    </w:p>
    <w:p w14:paraId="3802CF08">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9E4D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0" w:hRule="atLeast"/>
        </w:trPr>
        <w:tc>
          <w:tcPr>
            <w:tcW w:w="818" w:type="dxa"/>
            <w:vAlign w:val="top"/>
          </w:tcPr>
          <w:p w14:paraId="2BCC13FA">
            <w:pPr>
              <w:spacing w:before="222" w:line="241" w:lineRule="auto"/>
              <w:ind w:left="131"/>
              <w:outlineLvl w:val="0"/>
              <w:rPr>
                <w:rFonts w:ascii="黑体" w:hAnsi="黑体" w:eastAsia="黑体" w:cs="黑体"/>
                <w:sz w:val="28"/>
                <w:szCs w:val="28"/>
              </w:rPr>
            </w:pPr>
            <w:bookmarkStart w:id="512" w:name="bookmark195"/>
            <w:bookmarkEnd w:id="512"/>
            <w:bookmarkStart w:id="513" w:name="bookmark532"/>
            <w:bookmarkEnd w:id="513"/>
            <w:r>
              <w:rPr>
                <w:rFonts w:ascii="黑体" w:hAnsi="黑体" w:eastAsia="黑体" w:cs="黑体"/>
                <w:spacing w:val="-2"/>
                <w:sz w:val="28"/>
                <w:szCs w:val="28"/>
              </w:rPr>
              <w:t>序号</w:t>
            </w:r>
          </w:p>
        </w:tc>
        <w:tc>
          <w:tcPr>
            <w:tcW w:w="1440" w:type="dxa"/>
            <w:vAlign w:val="top"/>
          </w:tcPr>
          <w:p w14:paraId="4D83E1D9">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7F655021">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0EC3629">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1C7BDE54">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4F75469">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4B49CC6">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687B64E5">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0546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Align w:val="top"/>
          </w:tcPr>
          <w:p w14:paraId="658FFC16">
            <w:pPr>
              <w:rPr>
                <w:rFonts w:ascii="Arial"/>
                <w:sz w:val="21"/>
              </w:rPr>
            </w:pPr>
          </w:p>
        </w:tc>
        <w:tc>
          <w:tcPr>
            <w:tcW w:w="1440" w:type="dxa"/>
            <w:vAlign w:val="top"/>
          </w:tcPr>
          <w:p w14:paraId="0ECB799B">
            <w:pPr>
              <w:rPr>
                <w:rFonts w:ascii="Arial"/>
                <w:sz w:val="21"/>
              </w:rPr>
            </w:pPr>
          </w:p>
        </w:tc>
        <w:tc>
          <w:tcPr>
            <w:tcW w:w="3202" w:type="dxa"/>
            <w:vAlign w:val="top"/>
          </w:tcPr>
          <w:p w14:paraId="19032C0C">
            <w:pPr>
              <w:rPr>
                <w:rFonts w:ascii="Arial"/>
                <w:sz w:val="21"/>
              </w:rPr>
            </w:pPr>
          </w:p>
        </w:tc>
        <w:tc>
          <w:tcPr>
            <w:tcW w:w="2859" w:type="dxa"/>
            <w:vAlign w:val="top"/>
          </w:tcPr>
          <w:p w14:paraId="2A0FC7B0">
            <w:pPr>
              <w:pStyle w:val="6"/>
              <w:spacing w:before="26" w:line="180" w:lineRule="auto"/>
              <w:ind w:left="112" w:right="105" w:firstLine="6"/>
              <w:jc w:val="both"/>
            </w:pPr>
            <w:r>
              <w:rPr>
                <w:spacing w:val="8"/>
              </w:rPr>
              <w:t>发生较大事故的，处</w:t>
            </w:r>
            <w:r>
              <w:rPr>
                <w:rFonts w:ascii="宋体" w:hAnsi="宋体" w:eastAsia="宋体" w:cs="宋体"/>
                <w:spacing w:val="8"/>
              </w:rPr>
              <w:t>350</w:t>
            </w:r>
            <w:r>
              <w:rPr>
                <w:spacing w:val="4"/>
              </w:rPr>
              <w:t>万元以上</w:t>
            </w:r>
            <w:r>
              <w:rPr>
                <w:rFonts w:ascii="宋体" w:hAnsi="宋体" w:eastAsia="宋体" w:cs="宋体"/>
                <w:spacing w:val="4"/>
              </w:rPr>
              <w:t>400</w:t>
            </w:r>
            <w:r>
              <w:rPr>
                <w:spacing w:val="4"/>
              </w:rPr>
              <w:t>万元以下的</w:t>
            </w:r>
            <w:r>
              <w:rPr>
                <w:spacing w:val="13"/>
              </w:rPr>
              <w:t>罚款</w:t>
            </w:r>
            <w:r>
              <w:rPr>
                <w:spacing w:val="-9"/>
              </w:rPr>
              <w:t>；（</w:t>
            </w:r>
            <w:r>
              <w:rPr>
                <w:spacing w:val="13"/>
              </w:rPr>
              <w:t>三）发生重大事</w:t>
            </w:r>
            <w:r>
              <w:rPr>
                <w:spacing w:val="-5"/>
              </w:rPr>
              <w:t>故的，处</w:t>
            </w:r>
            <w:r>
              <w:rPr>
                <w:rFonts w:ascii="宋体" w:hAnsi="宋体" w:eastAsia="宋体" w:cs="宋体"/>
                <w:spacing w:val="-5"/>
              </w:rPr>
              <w:t>400</w:t>
            </w:r>
            <w:r>
              <w:rPr>
                <w:spacing w:val="-5"/>
              </w:rPr>
              <w:t>万元以上</w:t>
            </w:r>
            <w:r>
              <w:rPr>
                <w:rFonts w:ascii="宋体" w:hAnsi="宋体" w:eastAsia="宋体" w:cs="宋体"/>
                <w:spacing w:val="-5"/>
              </w:rPr>
              <w:t>450</w:t>
            </w:r>
            <w:r>
              <w:rPr>
                <w:spacing w:val="9"/>
              </w:rPr>
              <w:t>万元以下的罚款</w:t>
            </w:r>
            <w:r>
              <w:rPr>
                <w:spacing w:val="11"/>
              </w:rPr>
              <w:t>；（</w:t>
            </w:r>
            <w:r>
              <w:rPr>
                <w:spacing w:val="9"/>
              </w:rPr>
              <w:t>四）</w:t>
            </w:r>
            <w:r>
              <w:rPr>
                <w:spacing w:val="8"/>
              </w:rPr>
              <w:t>发生特别重大事故的，处</w:t>
            </w:r>
            <w:r>
              <w:rPr>
                <w:rFonts w:ascii="宋体" w:hAnsi="宋体" w:eastAsia="宋体" w:cs="宋体"/>
                <w:spacing w:val="5"/>
              </w:rPr>
              <w:t>450</w:t>
            </w:r>
            <w:r>
              <w:rPr>
                <w:spacing w:val="5"/>
              </w:rPr>
              <w:t>万元以上</w:t>
            </w:r>
            <w:r>
              <w:rPr>
                <w:rFonts w:ascii="宋体" w:hAnsi="宋体" w:eastAsia="宋体" w:cs="宋体"/>
                <w:spacing w:val="5"/>
              </w:rPr>
              <w:t>500</w:t>
            </w:r>
            <w:r>
              <w:rPr>
                <w:spacing w:val="5"/>
              </w:rPr>
              <w:t>万元以</w:t>
            </w:r>
            <w:r>
              <w:rPr>
                <w:spacing w:val="1"/>
              </w:rPr>
              <w:t>下的罚款。</w:t>
            </w:r>
          </w:p>
        </w:tc>
        <w:tc>
          <w:tcPr>
            <w:tcW w:w="803" w:type="dxa"/>
            <w:vAlign w:val="top"/>
          </w:tcPr>
          <w:p w14:paraId="7B74389C">
            <w:pPr>
              <w:rPr>
                <w:rFonts w:ascii="Arial"/>
                <w:sz w:val="21"/>
              </w:rPr>
            </w:pPr>
          </w:p>
        </w:tc>
        <w:tc>
          <w:tcPr>
            <w:tcW w:w="2283" w:type="dxa"/>
            <w:vAlign w:val="top"/>
          </w:tcPr>
          <w:p w14:paraId="1E1C781F">
            <w:pPr>
              <w:rPr>
                <w:rFonts w:ascii="Arial"/>
                <w:sz w:val="21"/>
              </w:rPr>
            </w:pPr>
          </w:p>
        </w:tc>
        <w:tc>
          <w:tcPr>
            <w:tcW w:w="2894" w:type="dxa"/>
            <w:vAlign w:val="top"/>
          </w:tcPr>
          <w:p w14:paraId="2F357A5D">
            <w:pPr>
              <w:rPr>
                <w:rFonts w:ascii="Arial"/>
                <w:sz w:val="21"/>
              </w:rPr>
            </w:pPr>
          </w:p>
        </w:tc>
        <w:tc>
          <w:tcPr>
            <w:tcW w:w="811" w:type="dxa"/>
            <w:vAlign w:val="top"/>
          </w:tcPr>
          <w:p w14:paraId="51C57EA0">
            <w:pPr>
              <w:rPr>
                <w:rFonts w:ascii="Arial"/>
                <w:sz w:val="21"/>
              </w:rPr>
            </w:pPr>
          </w:p>
        </w:tc>
      </w:tr>
      <w:tr w14:paraId="64752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3" w:hRule="atLeast"/>
        </w:trPr>
        <w:tc>
          <w:tcPr>
            <w:tcW w:w="818" w:type="dxa"/>
            <w:vMerge w:val="restart"/>
            <w:tcBorders>
              <w:bottom w:val="nil"/>
            </w:tcBorders>
            <w:vAlign w:val="top"/>
          </w:tcPr>
          <w:p w14:paraId="5597C562">
            <w:pPr>
              <w:spacing w:line="241" w:lineRule="auto"/>
              <w:rPr>
                <w:rFonts w:ascii="Arial"/>
                <w:sz w:val="21"/>
              </w:rPr>
            </w:pPr>
          </w:p>
          <w:p w14:paraId="41EFB0D9">
            <w:pPr>
              <w:spacing w:line="241" w:lineRule="auto"/>
              <w:rPr>
                <w:rFonts w:ascii="Arial"/>
                <w:sz w:val="21"/>
              </w:rPr>
            </w:pPr>
          </w:p>
          <w:p w14:paraId="15B7A821">
            <w:pPr>
              <w:spacing w:line="241" w:lineRule="auto"/>
              <w:rPr>
                <w:rFonts w:ascii="Arial"/>
                <w:sz w:val="21"/>
              </w:rPr>
            </w:pPr>
          </w:p>
          <w:p w14:paraId="52DAB88A">
            <w:pPr>
              <w:spacing w:line="241" w:lineRule="auto"/>
              <w:rPr>
                <w:rFonts w:ascii="Arial"/>
                <w:sz w:val="21"/>
              </w:rPr>
            </w:pPr>
          </w:p>
          <w:p w14:paraId="5AE0D93E">
            <w:pPr>
              <w:spacing w:line="241" w:lineRule="auto"/>
              <w:rPr>
                <w:rFonts w:ascii="Arial"/>
                <w:sz w:val="21"/>
              </w:rPr>
            </w:pPr>
          </w:p>
          <w:p w14:paraId="6D88EA59">
            <w:pPr>
              <w:spacing w:line="241" w:lineRule="auto"/>
              <w:rPr>
                <w:rFonts w:ascii="Arial"/>
                <w:sz w:val="21"/>
              </w:rPr>
            </w:pPr>
          </w:p>
          <w:p w14:paraId="3E59D693">
            <w:pPr>
              <w:spacing w:line="241" w:lineRule="auto"/>
              <w:rPr>
                <w:rFonts w:ascii="Arial"/>
                <w:sz w:val="21"/>
              </w:rPr>
            </w:pPr>
          </w:p>
          <w:p w14:paraId="75995B27">
            <w:pPr>
              <w:spacing w:line="241" w:lineRule="auto"/>
              <w:rPr>
                <w:rFonts w:ascii="Arial"/>
                <w:sz w:val="21"/>
              </w:rPr>
            </w:pPr>
          </w:p>
          <w:p w14:paraId="77DF8734">
            <w:pPr>
              <w:spacing w:line="241" w:lineRule="auto"/>
              <w:rPr>
                <w:rFonts w:ascii="Arial"/>
                <w:sz w:val="21"/>
              </w:rPr>
            </w:pPr>
          </w:p>
          <w:p w14:paraId="51FB0A39">
            <w:pPr>
              <w:spacing w:line="241" w:lineRule="auto"/>
              <w:rPr>
                <w:rFonts w:ascii="Arial"/>
                <w:sz w:val="21"/>
              </w:rPr>
            </w:pPr>
          </w:p>
          <w:p w14:paraId="2247BBEF">
            <w:pPr>
              <w:spacing w:line="241" w:lineRule="auto"/>
              <w:rPr>
                <w:rFonts w:ascii="Arial"/>
                <w:sz w:val="21"/>
              </w:rPr>
            </w:pPr>
          </w:p>
          <w:p w14:paraId="22BBC6E1">
            <w:pPr>
              <w:spacing w:line="241" w:lineRule="auto"/>
              <w:rPr>
                <w:rFonts w:ascii="Arial"/>
                <w:sz w:val="21"/>
              </w:rPr>
            </w:pPr>
          </w:p>
          <w:p w14:paraId="57997F9F">
            <w:pPr>
              <w:spacing w:line="241" w:lineRule="auto"/>
              <w:rPr>
                <w:rFonts w:ascii="Arial"/>
                <w:sz w:val="21"/>
              </w:rPr>
            </w:pPr>
          </w:p>
          <w:p w14:paraId="65240F1B">
            <w:pPr>
              <w:spacing w:before="74" w:line="185" w:lineRule="auto"/>
              <w:ind w:left="235"/>
              <w:rPr>
                <w:rFonts w:ascii="仿宋" w:hAnsi="仿宋" w:eastAsia="仿宋" w:cs="仿宋"/>
                <w:sz w:val="23"/>
                <w:szCs w:val="23"/>
              </w:rPr>
            </w:pPr>
            <w:r>
              <w:rPr>
                <w:rFonts w:ascii="仿宋" w:hAnsi="仿宋" w:eastAsia="仿宋" w:cs="仿宋"/>
                <w:spacing w:val="-2"/>
                <w:sz w:val="23"/>
                <w:szCs w:val="23"/>
              </w:rPr>
              <w:t>94</w:t>
            </w:r>
          </w:p>
        </w:tc>
        <w:tc>
          <w:tcPr>
            <w:tcW w:w="1440" w:type="dxa"/>
            <w:vMerge w:val="restart"/>
            <w:tcBorders>
              <w:bottom w:val="nil"/>
            </w:tcBorders>
            <w:vAlign w:val="top"/>
          </w:tcPr>
          <w:p w14:paraId="49C8C8BC">
            <w:pPr>
              <w:spacing w:line="261" w:lineRule="auto"/>
              <w:rPr>
                <w:rFonts w:ascii="Arial"/>
                <w:sz w:val="21"/>
              </w:rPr>
            </w:pPr>
          </w:p>
          <w:p w14:paraId="03C84F7B">
            <w:pPr>
              <w:spacing w:line="261" w:lineRule="auto"/>
              <w:rPr>
                <w:rFonts w:ascii="Arial"/>
                <w:sz w:val="21"/>
              </w:rPr>
            </w:pPr>
          </w:p>
          <w:p w14:paraId="6DB5AD13">
            <w:pPr>
              <w:spacing w:line="261" w:lineRule="auto"/>
              <w:rPr>
                <w:rFonts w:ascii="Arial"/>
                <w:sz w:val="21"/>
              </w:rPr>
            </w:pPr>
          </w:p>
          <w:p w14:paraId="26F00B21">
            <w:pPr>
              <w:spacing w:line="261" w:lineRule="auto"/>
              <w:rPr>
                <w:rFonts w:ascii="Arial"/>
                <w:sz w:val="21"/>
              </w:rPr>
            </w:pPr>
          </w:p>
          <w:p w14:paraId="27F811F2">
            <w:pPr>
              <w:spacing w:line="261" w:lineRule="auto"/>
              <w:rPr>
                <w:rFonts w:ascii="Arial"/>
                <w:sz w:val="21"/>
              </w:rPr>
            </w:pPr>
          </w:p>
          <w:p w14:paraId="55DD1039">
            <w:pPr>
              <w:spacing w:line="262" w:lineRule="auto"/>
              <w:rPr>
                <w:rFonts w:ascii="Arial"/>
                <w:sz w:val="21"/>
              </w:rPr>
            </w:pPr>
          </w:p>
          <w:p w14:paraId="37FA3345">
            <w:pPr>
              <w:pStyle w:val="6"/>
              <w:spacing w:before="99" w:line="185" w:lineRule="auto"/>
              <w:ind w:left="88" w:right="108" w:firstLine="41"/>
              <w:jc w:val="both"/>
            </w:pPr>
            <w:r>
              <w:rPr>
                <w:spacing w:val="8"/>
              </w:rPr>
              <w:t>生产经营单</w:t>
            </w:r>
            <w:r>
              <w:rPr>
                <w:spacing w:val="17"/>
              </w:rPr>
              <w:t>位的主要负责人未履行《中华人民共和国安全生产法》规定的安全生</w:t>
            </w:r>
            <w:r>
              <w:rPr>
                <w:spacing w:val="-1"/>
              </w:rPr>
              <w:t>产管理职</w:t>
            </w:r>
            <w:r>
              <w:rPr>
                <w:spacing w:val="8"/>
              </w:rPr>
              <w:t>责，导致发</w:t>
            </w:r>
            <w:r>
              <w:rPr>
                <w:spacing w:val="17"/>
              </w:rPr>
              <w:t>生生产安全</w:t>
            </w:r>
            <w:r>
              <w:rPr>
                <w:spacing w:val="14"/>
              </w:rPr>
              <w:t>事故的</w:t>
            </w:r>
          </w:p>
        </w:tc>
        <w:tc>
          <w:tcPr>
            <w:tcW w:w="3202" w:type="dxa"/>
            <w:vMerge w:val="restart"/>
            <w:tcBorders>
              <w:bottom w:val="nil"/>
            </w:tcBorders>
            <w:vAlign w:val="top"/>
          </w:tcPr>
          <w:p w14:paraId="0A1DE676">
            <w:pPr>
              <w:pStyle w:val="6"/>
              <w:spacing w:before="32" w:line="182" w:lineRule="auto"/>
              <w:ind w:left="123" w:right="149" w:hanging="25"/>
            </w:pPr>
            <w:r>
              <w:rPr>
                <w:spacing w:val="15"/>
              </w:rPr>
              <w:t>【法律】《中华人民共和国</w:t>
            </w:r>
            <w:r>
              <w:rPr>
                <w:spacing w:val="12"/>
              </w:rPr>
              <w:t>安全生产法》第二十一条：</w:t>
            </w:r>
          </w:p>
          <w:p w14:paraId="623D9E77">
            <w:pPr>
              <w:pStyle w:val="6"/>
              <w:spacing w:line="182" w:lineRule="auto"/>
              <w:ind w:left="131"/>
              <w:outlineLvl w:val="0"/>
            </w:pPr>
            <w:bookmarkStart w:id="514" w:name="bookmark184"/>
            <w:bookmarkEnd w:id="514"/>
            <w:r>
              <w:rPr>
                <w:spacing w:val="16"/>
              </w:rPr>
              <w:t>生产经营单位的主要负责人</w:t>
            </w:r>
          </w:p>
          <w:p w14:paraId="00373832">
            <w:pPr>
              <w:pStyle w:val="6"/>
              <w:spacing w:before="8" w:line="181" w:lineRule="auto"/>
              <w:ind w:left="115" w:firstLine="5"/>
              <w:jc w:val="both"/>
            </w:pPr>
            <w:r>
              <w:rPr>
                <w:spacing w:val="15"/>
              </w:rPr>
              <w:t>对本单位安全生产工作负有</w:t>
            </w:r>
            <w:r>
              <w:rPr>
                <w:spacing w:val="5"/>
              </w:rPr>
              <w:t>下列职责</w:t>
            </w:r>
            <w:r>
              <w:rPr>
                <w:spacing w:val="-15"/>
              </w:rPr>
              <w:t>：（</w:t>
            </w:r>
            <w:r>
              <w:rPr>
                <w:spacing w:val="5"/>
              </w:rPr>
              <w:t>一）建立健全</w:t>
            </w:r>
            <w:r>
              <w:rPr>
                <w:spacing w:val="16"/>
              </w:rPr>
              <w:t>并落实本单位全员安全生产</w:t>
            </w:r>
            <w:r>
              <w:rPr>
                <w:spacing w:val="12"/>
              </w:rPr>
              <w:t>责任制，加强安全生产标准</w:t>
            </w:r>
            <w:r>
              <w:rPr>
                <w:spacing w:val="17"/>
              </w:rPr>
              <w:t>化建设</w:t>
            </w:r>
            <w:r>
              <w:rPr>
                <w:spacing w:val="-11"/>
              </w:rPr>
              <w:t>；（</w:t>
            </w:r>
            <w:r>
              <w:rPr>
                <w:spacing w:val="17"/>
              </w:rPr>
              <w:t>二）组织制定并</w:t>
            </w:r>
            <w:r>
              <w:rPr>
                <w:spacing w:val="16"/>
              </w:rPr>
              <w:t>实施本单位安全生产规章制</w:t>
            </w:r>
            <w:r>
              <w:rPr>
                <w:spacing w:val="17"/>
              </w:rPr>
              <w:t>度和操作规程</w:t>
            </w:r>
            <w:r>
              <w:rPr>
                <w:spacing w:val="-12"/>
              </w:rPr>
              <w:t>；（</w:t>
            </w:r>
            <w:r>
              <w:rPr>
                <w:spacing w:val="17"/>
              </w:rPr>
              <w:t>三）组织</w:t>
            </w:r>
            <w:r>
              <w:rPr>
                <w:spacing w:val="16"/>
              </w:rPr>
              <w:t>制定并实施本单位安全生产</w:t>
            </w:r>
            <w:r>
              <w:rPr>
                <w:spacing w:val="18"/>
              </w:rPr>
              <w:t>教育和培训计划</w:t>
            </w:r>
            <w:r>
              <w:rPr>
                <w:spacing w:val="-12"/>
              </w:rPr>
              <w:t>；（</w:t>
            </w:r>
            <w:r>
              <w:rPr>
                <w:spacing w:val="18"/>
              </w:rPr>
              <w:t>四）保</w:t>
            </w:r>
            <w:r>
              <w:rPr>
                <w:spacing w:val="16"/>
              </w:rPr>
              <w:t>证本单位安全生产投入的有</w:t>
            </w:r>
            <w:r>
              <w:rPr>
                <w:spacing w:val="17"/>
              </w:rPr>
              <w:t>效实施</w:t>
            </w:r>
            <w:r>
              <w:rPr>
                <w:spacing w:val="-11"/>
              </w:rPr>
              <w:t>；（</w:t>
            </w:r>
            <w:r>
              <w:rPr>
                <w:spacing w:val="17"/>
              </w:rPr>
              <w:t>五）组织建立并</w:t>
            </w:r>
            <w:r>
              <w:rPr>
                <w:spacing w:val="16"/>
              </w:rPr>
              <w:t>落实安全风险分级管控和隐患排查治理双重预防工作机</w:t>
            </w:r>
            <w:r>
              <w:rPr>
                <w:spacing w:val="12"/>
              </w:rPr>
              <w:t>制，督促、检查本单位的安</w:t>
            </w:r>
            <w:r>
              <w:rPr>
                <w:spacing w:val="13"/>
              </w:rPr>
              <w:t>全生产工作，及时消除生产</w:t>
            </w:r>
            <w:r>
              <w:rPr>
                <w:spacing w:val="17"/>
              </w:rPr>
              <w:t>安全事故隐患</w:t>
            </w:r>
            <w:r>
              <w:rPr>
                <w:spacing w:val="-12"/>
              </w:rPr>
              <w:t>；（</w:t>
            </w:r>
            <w:r>
              <w:rPr>
                <w:spacing w:val="17"/>
              </w:rPr>
              <w:t>六）组织</w:t>
            </w:r>
            <w:r>
              <w:rPr>
                <w:spacing w:val="16"/>
              </w:rPr>
              <w:t>制定并实施本单位的生产安</w:t>
            </w:r>
            <w:r>
              <w:rPr>
                <w:spacing w:val="7"/>
              </w:rPr>
              <w:t>全事故应急救援预案</w:t>
            </w:r>
            <w:r>
              <w:rPr>
                <w:spacing w:val="6"/>
              </w:rPr>
              <w:t>；（</w:t>
            </w:r>
            <w:r>
              <w:rPr>
                <w:spacing w:val="7"/>
              </w:rPr>
              <w:t>七）</w:t>
            </w:r>
            <w:r>
              <w:rPr>
                <w:spacing w:val="16"/>
              </w:rPr>
              <w:t>及时、如实报告生产安全事</w:t>
            </w:r>
          </w:p>
        </w:tc>
        <w:tc>
          <w:tcPr>
            <w:tcW w:w="2859" w:type="dxa"/>
            <w:vMerge w:val="restart"/>
            <w:tcBorders>
              <w:bottom w:val="nil"/>
            </w:tcBorders>
            <w:vAlign w:val="top"/>
          </w:tcPr>
          <w:p w14:paraId="650E5D90">
            <w:pPr>
              <w:pStyle w:val="6"/>
              <w:spacing w:before="44" w:line="182" w:lineRule="auto"/>
              <w:ind w:left="117" w:right="110" w:firstLine="13"/>
            </w:pPr>
            <w:r>
              <w:rPr>
                <w:rFonts w:ascii="宋体" w:hAnsi="宋体" w:eastAsia="宋体" w:cs="宋体"/>
                <w:spacing w:val="6"/>
              </w:rPr>
              <w:t>1.</w:t>
            </w:r>
            <w:r>
              <w:rPr>
                <w:spacing w:val="6"/>
              </w:rPr>
              <w:t>【法律】《中华人民共</w:t>
            </w:r>
            <w:r>
              <w:rPr>
                <w:spacing w:val="8"/>
              </w:rPr>
              <w:t>和国安全生产法》第九十</w:t>
            </w:r>
            <w:r>
              <w:rPr>
                <w:spacing w:val="4"/>
              </w:rPr>
              <w:t>五条：生产经营单位的主</w:t>
            </w:r>
            <w:r>
              <w:rPr>
                <w:spacing w:val="8"/>
              </w:rPr>
              <w:t>要负责人未履行本法规定</w:t>
            </w:r>
            <w:r>
              <w:rPr>
                <w:spacing w:val="2"/>
              </w:rPr>
              <w:t>的安全生产管理职责，导</w:t>
            </w:r>
            <w:r>
              <w:rPr>
                <w:spacing w:val="7"/>
              </w:rPr>
              <w:t>致发生生产安全事故的，</w:t>
            </w:r>
            <w:r>
              <w:rPr>
                <w:spacing w:val="8"/>
              </w:rPr>
              <w:t>由应急管理部门依照下列</w:t>
            </w:r>
            <w:r>
              <w:rPr>
                <w:spacing w:val="-1"/>
              </w:rPr>
              <w:t>规定处以罚款</w:t>
            </w:r>
            <w:r>
              <w:rPr>
                <w:spacing w:val="-4"/>
              </w:rPr>
              <w:t>：（</w:t>
            </w:r>
            <w:r>
              <w:rPr>
                <w:spacing w:val="-1"/>
              </w:rPr>
              <w:t>一）发</w:t>
            </w:r>
            <w:r>
              <w:rPr>
                <w:spacing w:val="8"/>
              </w:rPr>
              <w:t>生一般事故的，处上一年</w:t>
            </w:r>
            <w:r>
              <w:rPr>
                <w:spacing w:val="32"/>
              </w:rPr>
              <w:t>年收入百分之四十的罚</w:t>
            </w:r>
            <w:r>
              <w:rPr>
                <w:spacing w:val="8"/>
              </w:rPr>
              <w:t>款</w:t>
            </w:r>
            <w:r>
              <w:rPr>
                <w:spacing w:val="10"/>
              </w:rPr>
              <w:t>；（</w:t>
            </w:r>
            <w:r>
              <w:rPr>
                <w:spacing w:val="8"/>
              </w:rPr>
              <w:t>二）发生较大事故的，处上一年年收入百分之六十的罚款</w:t>
            </w:r>
            <w:r>
              <w:rPr>
                <w:spacing w:val="10"/>
              </w:rPr>
              <w:t>；（</w:t>
            </w:r>
            <w:r>
              <w:rPr>
                <w:spacing w:val="8"/>
              </w:rPr>
              <w:t>三）发生重大事故的，处上一年</w:t>
            </w:r>
            <w:r>
              <w:rPr>
                <w:spacing w:val="32"/>
              </w:rPr>
              <w:t>年收入百分之八十的罚</w:t>
            </w:r>
            <w:r>
              <w:rPr>
                <w:spacing w:val="8"/>
              </w:rPr>
              <w:t>款</w:t>
            </w:r>
            <w:r>
              <w:rPr>
                <w:spacing w:val="10"/>
              </w:rPr>
              <w:t>；（</w:t>
            </w:r>
            <w:r>
              <w:rPr>
                <w:spacing w:val="8"/>
              </w:rPr>
              <w:t>四）发生特别重大</w:t>
            </w:r>
            <w:r>
              <w:rPr>
                <w:spacing w:val="5"/>
              </w:rPr>
              <w:t>事故的，处上一年年收入</w:t>
            </w:r>
            <w:r>
              <w:rPr>
                <w:spacing w:val="4"/>
              </w:rPr>
              <w:t>百分之一百的罚款。</w:t>
            </w:r>
          </w:p>
          <w:p w14:paraId="1D052E3E">
            <w:pPr>
              <w:pStyle w:val="6"/>
              <w:spacing w:before="5" w:line="176" w:lineRule="auto"/>
              <w:ind w:left="116" w:right="110"/>
              <w:jc w:val="both"/>
            </w:pPr>
            <w:r>
              <w:rPr>
                <w:rFonts w:ascii="宋体" w:hAnsi="宋体" w:eastAsia="宋体" w:cs="宋体"/>
                <w:spacing w:val="7"/>
              </w:rPr>
              <w:t>2.</w:t>
            </w:r>
            <w:r>
              <w:rPr>
                <w:spacing w:val="7"/>
              </w:rPr>
              <w:t>【部门规章】《生产安</w:t>
            </w:r>
            <w:r>
              <w:rPr>
                <w:spacing w:val="8"/>
              </w:rPr>
              <w:t>全事故罚款处罚规定》第</w:t>
            </w:r>
            <w:r>
              <w:rPr>
                <w:spacing w:val="4"/>
              </w:rPr>
              <w:t>十九条：事故发生单位主</w:t>
            </w:r>
            <w:r>
              <w:rPr>
                <w:spacing w:val="8"/>
              </w:rPr>
              <w:t>要负责人未依法履行安全</w:t>
            </w:r>
          </w:p>
        </w:tc>
        <w:tc>
          <w:tcPr>
            <w:tcW w:w="803" w:type="dxa"/>
            <w:vAlign w:val="top"/>
          </w:tcPr>
          <w:p w14:paraId="1E53BD91">
            <w:pPr>
              <w:spacing w:line="274" w:lineRule="auto"/>
              <w:rPr>
                <w:rFonts w:ascii="Arial"/>
                <w:sz w:val="21"/>
              </w:rPr>
            </w:pPr>
          </w:p>
          <w:p w14:paraId="6293F013">
            <w:pPr>
              <w:spacing w:line="274" w:lineRule="auto"/>
              <w:rPr>
                <w:rFonts w:ascii="Arial"/>
                <w:sz w:val="21"/>
              </w:rPr>
            </w:pPr>
          </w:p>
          <w:p w14:paraId="2AD3E850">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11A0CB4">
            <w:pPr>
              <w:spacing w:line="334" w:lineRule="auto"/>
              <w:rPr>
                <w:rFonts w:ascii="Arial"/>
                <w:sz w:val="21"/>
              </w:rPr>
            </w:pPr>
          </w:p>
          <w:p w14:paraId="24035F76">
            <w:pPr>
              <w:pStyle w:val="6"/>
              <w:spacing w:before="98" w:line="197" w:lineRule="auto"/>
              <w:ind w:left="138" w:right="109" w:hanging="12"/>
            </w:pPr>
            <w:r>
              <w:rPr>
                <w:spacing w:val="25"/>
              </w:rPr>
              <w:t>导致发生一般事故</w:t>
            </w:r>
            <w:r>
              <w:t>的</w:t>
            </w:r>
          </w:p>
        </w:tc>
        <w:tc>
          <w:tcPr>
            <w:tcW w:w="2894" w:type="dxa"/>
            <w:vAlign w:val="top"/>
          </w:tcPr>
          <w:p w14:paraId="62D4B166">
            <w:pPr>
              <w:spacing w:line="333" w:lineRule="auto"/>
              <w:rPr>
                <w:rFonts w:ascii="Arial"/>
                <w:sz w:val="21"/>
              </w:rPr>
            </w:pPr>
          </w:p>
          <w:p w14:paraId="45CA1E27">
            <w:pPr>
              <w:pStyle w:val="6"/>
              <w:spacing w:before="98" w:line="196" w:lineRule="auto"/>
              <w:ind w:left="122" w:right="103" w:hanging="3"/>
            </w:pPr>
            <w:r>
              <w:rPr>
                <w:spacing w:val="10"/>
              </w:rPr>
              <w:t>处上一年年收入</w:t>
            </w:r>
            <w:r>
              <w:rPr>
                <w:rFonts w:ascii="宋体" w:hAnsi="宋体" w:eastAsia="宋体" w:cs="宋体"/>
                <w:spacing w:val="10"/>
              </w:rPr>
              <w:t>40%</w:t>
            </w:r>
            <w:r>
              <w:rPr>
                <w:spacing w:val="10"/>
              </w:rPr>
              <w:t>的罚</w:t>
            </w:r>
            <w:r>
              <w:t>款</w:t>
            </w:r>
          </w:p>
        </w:tc>
        <w:tc>
          <w:tcPr>
            <w:tcW w:w="811" w:type="dxa"/>
            <w:vMerge w:val="restart"/>
            <w:tcBorders>
              <w:bottom w:val="nil"/>
            </w:tcBorders>
            <w:vAlign w:val="top"/>
          </w:tcPr>
          <w:p w14:paraId="18FFE9B3">
            <w:pPr>
              <w:rPr>
                <w:rFonts w:ascii="Arial"/>
                <w:sz w:val="21"/>
              </w:rPr>
            </w:pPr>
          </w:p>
          <w:p w14:paraId="74581239">
            <w:pPr>
              <w:rPr>
                <w:rFonts w:ascii="Arial"/>
                <w:sz w:val="21"/>
              </w:rPr>
            </w:pPr>
          </w:p>
          <w:p w14:paraId="7385ED8A">
            <w:pPr>
              <w:rPr>
                <w:rFonts w:ascii="Arial"/>
                <w:sz w:val="21"/>
              </w:rPr>
            </w:pPr>
          </w:p>
          <w:p w14:paraId="7F9D9A0A">
            <w:pPr>
              <w:rPr>
                <w:rFonts w:ascii="Arial"/>
                <w:sz w:val="21"/>
              </w:rPr>
            </w:pPr>
          </w:p>
          <w:p w14:paraId="45DAFB67">
            <w:pPr>
              <w:spacing w:line="241" w:lineRule="auto"/>
              <w:rPr>
                <w:rFonts w:ascii="Arial"/>
                <w:sz w:val="21"/>
              </w:rPr>
            </w:pPr>
          </w:p>
          <w:p w14:paraId="4C8066B5">
            <w:pPr>
              <w:spacing w:line="241" w:lineRule="auto"/>
              <w:rPr>
                <w:rFonts w:ascii="Arial"/>
                <w:sz w:val="21"/>
              </w:rPr>
            </w:pPr>
          </w:p>
          <w:p w14:paraId="1C22225C">
            <w:pPr>
              <w:spacing w:line="241" w:lineRule="auto"/>
              <w:rPr>
                <w:rFonts w:ascii="Arial"/>
                <w:sz w:val="21"/>
              </w:rPr>
            </w:pPr>
          </w:p>
          <w:p w14:paraId="6912BF59">
            <w:pPr>
              <w:spacing w:line="241" w:lineRule="auto"/>
              <w:rPr>
                <w:rFonts w:ascii="Arial"/>
                <w:sz w:val="21"/>
              </w:rPr>
            </w:pPr>
          </w:p>
          <w:p w14:paraId="59040B49">
            <w:pPr>
              <w:spacing w:line="241" w:lineRule="auto"/>
              <w:rPr>
                <w:rFonts w:ascii="Arial"/>
                <w:sz w:val="21"/>
              </w:rPr>
            </w:pPr>
          </w:p>
          <w:p w14:paraId="7F5B3383">
            <w:pPr>
              <w:spacing w:line="241" w:lineRule="auto"/>
              <w:rPr>
                <w:rFonts w:ascii="Arial"/>
                <w:sz w:val="21"/>
              </w:rPr>
            </w:pPr>
          </w:p>
          <w:p w14:paraId="221A2CCB">
            <w:pPr>
              <w:spacing w:line="241" w:lineRule="auto"/>
              <w:rPr>
                <w:rFonts w:ascii="Arial"/>
                <w:sz w:val="21"/>
              </w:rPr>
            </w:pPr>
          </w:p>
          <w:p w14:paraId="1B06C427">
            <w:pPr>
              <w:spacing w:line="241" w:lineRule="auto"/>
              <w:rPr>
                <w:rFonts w:ascii="Arial"/>
                <w:sz w:val="21"/>
              </w:rPr>
            </w:pPr>
          </w:p>
          <w:p w14:paraId="69068A19">
            <w:pPr>
              <w:spacing w:line="241" w:lineRule="auto"/>
              <w:rPr>
                <w:rFonts w:ascii="Arial"/>
                <w:sz w:val="21"/>
              </w:rPr>
            </w:pPr>
          </w:p>
          <w:p w14:paraId="6C1D3EC8">
            <w:pPr>
              <w:spacing w:before="75" w:line="188" w:lineRule="auto"/>
              <w:ind w:left="292"/>
              <w:rPr>
                <w:rFonts w:ascii="宋体" w:hAnsi="宋体" w:eastAsia="宋体" w:cs="宋体"/>
                <w:sz w:val="23"/>
                <w:szCs w:val="23"/>
              </w:rPr>
            </w:pPr>
            <w:r>
              <w:rPr>
                <w:rFonts w:ascii="宋体" w:hAnsi="宋体" w:eastAsia="宋体" w:cs="宋体"/>
                <w:spacing w:val="-3"/>
                <w:sz w:val="23"/>
                <w:szCs w:val="23"/>
              </w:rPr>
              <w:t>65</w:t>
            </w:r>
          </w:p>
        </w:tc>
      </w:tr>
      <w:tr w14:paraId="7E98A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4" w:hRule="atLeast"/>
        </w:trPr>
        <w:tc>
          <w:tcPr>
            <w:tcW w:w="818" w:type="dxa"/>
            <w:vMerge w:val="continue"/>
            <w:tcBorders>
              <w:top w:val="nil"/>
              <w:bottom w:val="nil"/>
            </w:tcBorders>
            <w:vAlign w:val="top"/>
          </w:tcPr>
          <w:p w14:paraId="77A2233F">
            <w:pPr>
              <w:rPr>
                <w:rFonts w:ascii="Arial"/>
                <w:sz w:val="21"/>
              </w:rPr>
            </w:pPr>
          </w:p>
        </w:tc>
        <w:tc>
          <w:tcPr>
            <w:tcW w:w="1440" w:type="dxa"/>
            <w:vMerge w:val="continue"/>
            <w:tcBorders>
              <w:top w:val="nil"/>
              <w:bottom w:val="nil"/>
            </w:tcBorders>
            <w:vAlign w:val="top"/>
          </w:tcPr>
          <w:p w14:paraId="37EADE0F">
            <w:pPr>
              <w:rPr>
                <w:rFonts w:ascii="Arial"/>
                <w:sz w:val="21"/>
              </w:rPr>
            </w:pPr>
          </w:p>
        </w:tc>
        <w:tc>
          <w:tcPr>
            <w:tcW w:w="3202" w:type="dxa"/>
            <w:vMerge w:val="continue"/>
            <w:tcBorders>
              <w:top w:val="nil"/>
              <w:bottom w:val="nil"/>
            </w:tcBorders>
            <w:vAlign w:val="top"/>
          </w:tcPr>
          <w:p w14:paraId="3F4A0D57">
            <w:pPr>
              <w:rPr>
                <w:rFonts w:ascii="Arial"/>
                <w:sz w:val="21"/>
              </w:rPr>
            </w:pPr>
          </w:p>
        </w:tc>
        <w:tc>
          <w:tcPr>
            <w:tcW w:w="2859" w:type="dxa"/>
            <w:vMerge w:val="continue"/>
            <w:tcBorders>
              <w:top w:val="nil"/>
              <w:bottom w:val="nil"/>
            </w:tcBorders>
            <w:vAlign w:val="top"/>
          </w:tcPr>
          <w:p w14:paraId="1DE5B712">
            <w:pPr>
              <w:rPr>
                <w:rFonts w:ascii="Arial"/>
                <w:sz w:val="21"/>
              </w:rPr>
            </w:pPr>
          </w:p>
        </w:tc>
        <w:tc>
          <w:tcPr>
            <w:tcW w:w="803" w:type="dxa"/>
            <w:vAlign w:val="top"/>
          </w:tcPr>
          <w:p w14:paraId="4C0BD76A">
            <w:pPr>
              <w:spacing w:line="294" w:lineRule="auto"/>
              <w:rPr>
                <w:rFonts w:ascii="Arial"/>
                <w:sz w:val="21"/>
              </w:rPr>
            </w:pPr>
          </w:p>
          <w:p w14:paraId="0FA936F8">
            <w:pPr>
              <w:spacing w:line="294" w:lineRule="auto"/>
              <w:rPr>
                <w:rFonts w:ascii="Arial"/>
                <w:sz w:val="21"/>
              </w:rPr>
            </w:pPr>
          </w:p>
          <w:p w14:paraId="1ADAA6D5">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5A0DB53">
            <w:pPr>
              <w:spacing w:line="370" w:lineRule="auto"/>
              <w:rPr>
                <w:rFonts w:ascii="Arial"/>
                <w:sz w:val="21"/>
              </w:rPr>
            </w:pPr>
          </w:p>
          <w:p w14:paraId="276DE031">
            <w:pPr>
              <w:pStyle w:val="6"/>
              <w:spacing w:before="98" w:line="197" w:lineRule="auto"/>
              <w:ind w:left="138" w:right="109" w:hanging="12"/>
            </w:pPr>
            <w:r>
              <w:rPr>
                <w:spacing w:val="25"/>
              </w:rPr>
              <w:t>导致发生较大事故</w:t>
            </w:r>
            <w:r>
              <w:t>的</w:t>
            </w:r>
          </w:p>
        </w:tc>
        <w:tc>
          <w:tcPr>
            <w:tcW w:w="2894" w:type="dxa"/>
            <w:vAlign w:val="top"/>
          </w:tcPr>
          <w:p w14:paraId="755B028F">
            <w:pPr>
              <w:spacing w:line="369" w:lineRule="auto"/>
              <w:rPr>
                <w:rFonts w:ascii="Arial"/>
                <w:sz w:val="21"/>
              </w:rPr>
            </w:pPr>
          </w:p>
          <w:p w14:paraId="40ED0A45">
            <w:pPr>
              <w:pStyle w:val="6"/>
              <w:spacing w:before="98" w:line="196" w:lineRule="auto"/>
              <w:ind w:left="122" w:right="103" w:hanging="3"/>
            </w:pPr>
            <w:r>
              <w:rPr>
                <w:spacing w:val="10"/>
              </w:rPr>
              <w:t>处上一年年收入</w:t>
            </w:r>
            <w:r>
              <w:rPr>
                <w:rFonts w:ascii="宋体" w:hAnsi="宋体" w:eastAsia="宋体" w:cs="宋体"/>
                <w:spacing w:val="10"/>
              </w:rPr>
              <w:t>60%</w:t>
            </w:r>
            <w:r>
              <w:rPr>
                <w:spacing w:val="10"/>
              </w:rPr>
              <w:t>的罚</w:t>
            </w:r>
            <w:r>
              <w:t>款</w:t>
            </w:r>
          </w:p>
        </w:tc>
        <w:tc>
          <w:tcPr>
            <w:tcW w:w="811" w:type="dxa"/>
            <w:vMerge w:val="continue"/>
            <w:tcBorders>
              <w:top w:val="nil"/>
              <w:bottom w:val="nil"/>
            </w:tcBorders>
            <w:vAlign w:val="top"/>
          </w:tcPr>
          <w:p w14:paraId="315C9A0A">
            <w:pPr>
              <w:rPr>
                <w:rFonts w:ascii="Arial"/>
                <w:sz w:val="21"/>
              </w:rPr>
            </w:pPr>
          </w:p>
        </w:tc>
      </w:tr>
      <w:tr w14:paraId="1DDD1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5" w:hRule="atLeast"/>
        </w:trPr>
        <w:tc>
          <w:tcPr>
            <w:tcW w:w="818" w:type="dxa"/>
            <w:vMerge w:val="continue"/>
            <w:tcBorders>
              <w:top w:val="nil"/>
              <w:bottom w:val="nil"/>
            </w:tcBorders>
            <w:vAlign w:val="top"/>
          </w:tcPr>
          <w:p w14:paraId="7A386AE3">
            <w:pPr>
              <w:rPr>
                <w:rFonts w:ascii="Arial"/>
                <w:sz w:val="21"/>
              </w:rPr>
            </w:pPr>
          </w:p>
        </w:tc>
        <w:tc>
          <w:tcPr>
            <w:tcW w:w="1440" w:type="dxa"/>
            <w:vMerge w:val="continue"/>
            <w:tcBorders>
              <w:top w:val="nil"/>
              <w:bottom w:val="nil"/>
            </w:tcBorders>
            <w:vAlign w:val="top"/>
          </w:tcPr>
          <w:p w14:paraId="1868E68C">
            <w:pPr>
              <w:rPr>
                <w:rFonts w:ascii="Arial"/>
                <w:sz w:val="21"/>
              </w:rPr>
            </w:pPr>
          </w:p>
        </w:tc>
        <w:tc>
          <w:tcPr>
            <w:tcW w:w="3202" w:type="dxa"/>
            <w:vMerge w:val="continue"/>
            <w:tcBorders>
              <w:top w:val="nil"/>
              <w:bottom w:val="nil"/>
            </w:tcBorders>
            <w:vAlign w:val="top"/>
          </w:tcPr>
          <w:p w14:paraId="4351F85B">
            <w:pPr>
              <w:rPr>
                <w:rFonts w:ascii="Arial"/>
                <w:sz w:val="21"/>
              </w:rPr>
            </w:pPr>
          </w:p>
        </w:tc>
        <w:tc>
          <w:tcPr>
            <w:tcW w:w="2859" w:type="dxa"/>
            <w:vMerge w:val="continue"/>
            <w:tcBorders>
              <w:top w:val="nil"/>
              <w:bottom w:val="nil"/>
            </w:tcBorders>
            <w:vAlign w:val="top"/>
          </w:tcPr>
          <w:p w14:paraId="2A4FCA7D">
            <w:pPr>
              <w:rPr>
                <w:rFonts w:ascii="Arial"/>
                <w:sz w:val="21"/>
              </w:rPr>
            </w:pPr>
          </w:p>
        </w:tc>
        <w:tc>
          <w:tcPr>
            <w:tcW w:w="803" w:type="dxa"/>
            <w:vAlign w:val="top"/>
          </w:tcPr>
          <w:p w14:paraId="5540D9C6">
            <w:pPr>
              <w:rPr>
                <w:rFonts w:ascii="Arial"/>
                <w:sz w:val="21"/>
              </w:rPr>
            </w:pPr>
          </w:p>
          <w:p w14:paraId="5614D7F5">
            <w:pPr>
              <w:spacing w:line="241" w:lineRule="auto"/>
              <w:rPr>
                <w:rFonts w:ascii="Arial"/>
                <w:sz w:val="21"/>
              </w:rPr>
            </w:pPr>
          </w:p>
          <w:p w14:paraId="4484C3BB">
            <w:pPr>
              <w:spacing w:line="241" w:lineRule="auto"/>
              <w:rPr>
                <w:rFonts w:ascii="Arial"/>
                <w:sz w:val="21"/>
              </w:rPr>
            </w:pPr>
          </w:p>
          <w:p w14:paraId="476F2ABB">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24E9ECC">
            <w:pPr>
              <w:spacing w:line="252" w:lineRule="auto"/>
              <w:rPr>
                <w:rFonts w:ascii="Arial"/>
                <w:sz w:val="21"/>
              </w:rPr>
            </w:pPr>
          </w:p>
          <w:p w14:paraId="68E8C735">
            <w:pPr>
              <w:spacing w:line="253" w:lineRule="auto"/>
              <w:rPr>
                <w:rFonts w:ascii="Arial"/>
                <w:sz w:val="21"/>
              </w:rPr>
            </w:pPr>
          </w:p>
          <w:p w14:paraId="73EA41FC">
            <w:pPr>
              <w:pStyle w:val="6"/>
              <w:spacing w:before="98" w:line="197" w:lineRule="auto"/>
              <w:ind w:left="138" w:right="109" w:hanging="12"/>
            </w:pPr>
            <w:r>
              <w:rPr>
                <w:spacing w:val="25"/>
              </w:rPr>
              <w:t>导致发生重大事故</w:t>
            </w:r>
            <w:r>
              <w:t>的</w:t>
            </w:r>
          </w:p>
        </w:tc>
        <w:tc>
          <w:tcPr>
            <w:tcW w:w="2894" w:type="dxa"/>
            <w:vAlign w:val="top"/>
          </w:tcPr>
          <w:p w14:paraId="1E0CB26E">
            <w:pPr>
              <w:spacing w:line="252" w:lineRule="auto"/>
              <w:rPr>
                <w:rFonts w:ascii="Arial"/>
                <w:sz w:val="21"/>
              </w:rPr>
            </w:pPr>
          </w:p>
          <w:p w14:paraId="5532D2EF">
            <w:pPr>
              <w:spacing w:line="252" w:lineRule="auto"/>
              <w:rPr>
                <w:rFonts w:ascii="Arial"/>
                <w:sz w:val="21"/>
              </w:rPr>
            </w:pPr>
          </w:p>
          <w:p w14:paraId="5AE860A3">
            <w:pPr>
              <w:pStyle w:val="6"/>
              <w:spacing w:before="98" w:line="196" w:lineRule="auto"/>
              <w:ind w:left="122" w:right="103" w:hanging="3"/>
            </w:pPr>
            <w:r>
              <w:rPr>
                <w:spacing w:val="10"/>
              </w:rPr>
              <w:t>处上一年年收入</w:t>
            </w:r>
            <w:r>
              <w:rPr>
                <w:rFonts w:ascii="宋体" w:hAnsi="宋体" w:eastAsia="宋体" w:cs="宋体"/>
                <w:spacing w:val="10"/>
              </w:rPr>
              <w:t>80%</w:t>
            </w:r>
            <w:r>
              <w:rPr>
                <w:spacing w:val="10"/>
              </w:rPr>
              <w:t>的罚</w:t>
            </w:r>
            <w:r>
              <w:t>款</w:t>
            </w:r>
          </w:p>
        </w:tc>
        <w:tc>
          <w:tcPr>
            <w:tcW w:w="811" w:type="dxa"/>
            <w:vMerge w:val="continue"/>
            <w:tcBorders>
              <w:top w:val="nil"/>
              <w:bottom w:val="nil"/>
            </w:tcBorders>
            <w:vAlign w:val="top"/>
          </w:tcPr>
          <w:p w14:paraId="15EAC6E5">
            <w:pPr>
              <w:rPr>
                <w:rFonts w:ascii="Arial"/>
                <w:sz w:val="21"/>
              </w:rPr>
            </w:pPr>
          </w:p>
        </w:tc>
      </w:tr>
      <w:tr w14:paraId="14F5C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7" w:hRule="atLeast"/>
        </w:trPr>
        <w:tc>
          <w:tcPr>
            <w:tcW w:w="818" w:type="dxa"/>
            <w:vMerge w:val="continue"/>
            <w:tcBorders>
              <w:top w:val="nil"/>
            </w:tcBorders>
            <w:vAlign w:val="top"/>
          </w:tcPr>
          <w:p w14:paraId="2A6AC1D5">
            <w:pPr>
              <w:rPr>
                <w:rFonts w:ascii="Arial"/>
                <w:sz w:val="21"/>
              </w:rPr>
            </w:pPr>
          </w:p>
        </w:tc>
        <w:tc>
          <w:tcPr>
            <w:tcW w:w="1440" w:type="dxa"/>
            <w:vMerge w:val="continue"/>
            <w:tcBorders>
              <w:top w:val="nil"/>
            </w:tcBorders>
            <w:vAlign w:val="top"/>
          </w:tcPr>
          <w:p w14:paraId="523B5B6B">
            <w:pPr>
              <w:rPr>
                <w:rFonts w:ascii="Arial"/>
                <w:sz w:val="21"/>
              </w:rPr>
            </w:pPr>
          </w:p>
        </w:tc>
        <w:tc>
          <w:tcPr>
            <w:tcW w:w="3202" w:type="dxa"/>
            <w:vMerge w:val="continue"/>
            <w:tcBorders>
              <w:top w:val="nil"/>
            </w:tcBorders>
            <w:vAlign w:val="top"/>
          </w:tcPr>
          <w:p w14:paraId="2395C571">
            <w:pPr>
              <w:rPr>
                <w:rFonts w:ascii="Arial"/>
                <w:sz w:val="21"/>
              </w:rPr>
            </w:pPr>
          </w:p>
        </w:tc>
        <w:tc>
          <w:tcPr>
            <w:tcW w:w="2859" w:type="dxa"/>
            <w:vMerge w:val="continue"/>
            <w:tcBorders>
              <w:top w:val="nil"/>
            </w:tcBorders>
            <w:vAlign w:val="top"/>
          </w:tcPr>
          <w:p w14:paraId="686B373E">
            <w:pPr>
              <w:rPr>
                <w:rFonts w:ascii="Arial"/>
                <w:sz w:val="21"/>
              </w:rPr>
            </w:pPr>
          </w:p>
        </w:tc>
        <w:tc>
          <w:tcPr>
            <w:tcW w:w="803" w:type="dxa"/>
            <w:vAlign w:val="top"/>
          </w:tcPr>
          <w:p w14:paraId="7EB2DA8E">
            <w:pPr>
              <w:spacing w:line="271" w:lineRule="auto"/>
              <w:rPr>
                <w:rFonts w:ascii="Arial"/>
                <w:sz w:val="21"/>
              </w:rPr>
            </w:pPr>
          </w:p>
          <w:p w14:paraId="39181EBF">
            <w:pPr>
              <w:spacing w:line="271" w:lineRule="auto"/>
              <w:rPr>
                <w:rFonts w:ascii="Arial"/>
                <w:sz w:val="21"/>
              </w:rPr>
            </w:pPr>
          </w:p>
          <w:p w14:paraId="5A9CBB8C">
            <w:pPr>
              <w:spacing w:line="271" w:lineRule="auto"/>
              <w:rPr>
                <w:rFonts w:ascii="Arial"/>
                <w:sz w:val="21"/>
              </w:rPr>
            </w:pPr>
          </w:p>
          <w:p w14:paraId="2779D18F">
            <w:pPr>
              <w:spacing w:before="74" w:line="187" w:lineRule="auto"/>
              <w:ind w:left="343"/>
              <w:rPr>
                <w:rFonts w:ascii="宋体" w:hAnsi="宋体" w:eastAsia="宋体" w:cs="宋体"/>
                <w:sz w:val="23"/>
                <w:szCs w:val="23"/>
              </w:rPr>
            </w:pPr>
            <w:r>
              <w:rPr>
                <w:rFonts w:ascii="宋体" w:hAnsi="宋体" w:eastAsia="宋体" w:cs="宋体"/>
                <w:sz w:val="23"/>
                <w:szCs w:val="23"/>
              </w:rPr>
              <w:t>D</w:t>
            </w:r>
          </w:p>
        </w:tc>
        <w:tc>
          <w:tcPr>
            <w:tcW w:w="2283" w:type="dxa"/>
            <w:vAlign w:val="top"/>
          </w:tcPr>
          <w:p w14:paraId="52AFC052">
            <w:pPr>
              <w:spacing w:line="297" w:lineRule="auto"/>
              <w:rPr>
                <w:rFonts w:ascii="Arial"/>
                <w:sz w:val="21"/>
              </w:rPr>
            </w:pPr>
          </w:p>
          <w:p w14:paraId="0006C9D2">
            <w:pPr>
              <w:spacing w:line="298" w:lineRule="auto"/>
              <w:rPr>
                <w:rFonts w:ascii="Arial"/>
                <w:sz w:val="21"/>
              </w:rPr>
            </w:pPr>
          </w:p>
          <w:p w14:paraId="4CE207E3">
            <w:pPr>
              <w:pStyle w:val="6"/>
              <w:spacing w:before="99" w:line="195" w:lineRule="auto"/>
              <w:ind w:left="123" w:right="109" w:firstLine="3"/>
            </w:pPr>
            <w:r>
              <w:rPr>
                <w:spacing w:val="25"/>
              </w:rPr>
              <w:t>导致发生特别重大</w:t>
            </w:r>
            <w:r>
              <w:rPr>
                <w:spacing w:val="3"/>
              </w:rPr>
              <w:t>事故的</w:t>
            </w:r>
          </w:p>
        </w:tc>
        <w:tc>
          <w:tcPr>
            <w:tcW w:w="2894" w:type="dxa"/>
            <w:vAlign w:val="top"/>
          </w:tcPr>
          <w:p w14:paraId="35EF9D9E">
            <w:pPr>
              <w:spacing w:line="297" w:lineRule="auto"/>
              <w:rPr>
                <w:rFonts w:ascii="Arial"/>
                <w:sz w:val="21"/>
              </w:rPr>
            </w:pPr>
          </w:p>
          <w:p w14:paraId="56A3D473">
            <w:pPr>
              <w:spacing w:line="297" w:lineRule="auto"/>
              <w:rPr>
                <w:rFonts w:ascii="Arial"/>
                <w:sz w:val="21"/>
              </w:rPr>
            </w:pPr>
          </w:p>
          <w:p w14:paraId="7F55A3A7">
            <w:pPr>
              <w:pStyle w:val="6"/>
              <w:spacing w:before="98" w:line="196" w:lineRule="auto"/>
              <w:ind w:left="122" w:right="105" w:hanging="3"/>
            </w:pPr>
            <w:r>
              <w:rPr>
                <w:spacing w:val="4"/>
              </w:rPr>
              <w:t>处上一年年收入</w:t>
            </w:r>
            <w:r>
              <w:rPr>
                <w:rFonts w:ascii="宋体" w:hAnsi="宋体" w:eastAsia="宋体" w:cs="宋体"/>
                <w:spacing w:val="4"/>
              </w:rPr>
              <w:t>100%</w:t>
            </w:r>
            <w:r>
              <w:rPr>
                <w:spacing w:val="4"/>
              </w:rPr>
              <w:t>的罚</w:t>
            </w:r>
            <w:r>
              <w:t>款</w:t>
            </w:r>
          </w:p>
        </w:tc>
        <w:tc>
          <w:tcPr>
            <w:tcW w:w="811" w:type="dxa"/>
            <w:vMerge w:val="continue"/>
            <w:tcBorders>
              <w:top w:val="nil"/>
            </w:tcBorders>
            <w:vAlign w:val="top"/>
          </w:tcPr>
          <w:p w14:paraId="159E9F28">
            <w:pPr>
              <w:rPr>
                <w:rFonts w:ascii="Arial"/>
                <w:sz w:val="21"/>
              </w:rPr>
            </w:pPr>
          </w:p>
        </w:tc>
      </w:tr>
    </w:tbl>
    <w:p w14:paraId="6C3729BE">
      <w:pPr>
        <w:pStyle w:val="2"/>
      </w:pPr>
    </w:p>
    <w:p w14:paraId="43CB0DA2">
      <w:pPr>
        <w:sectPr>
          <w:footerReference r:id="rId118" w:type="default"/>
          <w:pgSz w:w="16839" w:h="11906"/>
          <w:pgMar w:top="1012" w:right="821" w:bottom="667" w:left="901" w:header="0" w:footer="388" w:gutter="0"/>
          <w:cols w:space="720" w:num="1"/>
        </w:sectPr>
      </w:pPr>
    </w:p>
    <w:p w14:paraId="02F765EF">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84B6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3DEDFACF">
            <w:pPr>
              <w:spacing w:before="222" w:line="241" w:lineRule="auto"/>
              <w:ind w:left="131"/>
              <w:outlineLvl w:val="0"/>
              <w:rPr>
                <w:rFonts w:ascii="黑体" w:hAnsi="黑体" w:eastAsia="黑体" w:cs="黑体"/>
                <w:sz w:val="28"/>
                <w:szCs w:val="28"/>
              </w:rPr>
            </w:pPr>
            <w:bookmarkStart w:id="515" w:name="bookmark197"/>
            <w:bookmarkEnd w:id="515"/>
            <w:r>
              <w:rPr>
                <w:rFonts w:ascii="黑体" w:hAnsi="黑体" w:eastAsia="黑体" w:cs="黑体"/>
                <w:spacing w:val="-2"/>
                <w:sz w:val="28"/>
                <w:szCs w:val="28"/>
              </w:rPr>
              <w:t>序号</w:t>
            </w:r>
          </w:p>
        </w:tc>
        <w:tc>
          <w:tcPr>
            <w:tcW w:w="1440" w:type="dxa"/>
            <w:vAlign w:val="top"/>
          </w:tcPr>
          <w:p w14:paraId="537155F2">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4185867">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1F00676">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4B28DAEB">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4EC03AD">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7C9B5DB">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C39A469">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EDB6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trPr>
        <w:tc>
          <w:tcPr>
            <w:tcW w:w="818" w:type="dxa"/>
            <w:vAlign w:val="top"/>
          </w:tcPr>
          <w:p w14:paraId="19E7602B">
            <w:pPr>
              <w:rPr>
                <w:rFonts w:ascii="Arial"/>
                <w:sz w:val="21"/>
              </w:rPr>
            </w:pPr>
          </w:p>
        </w:tc>
        <w:tc>
          <w:tcPr>
            <w:tcW w:w="1440" w:type="dxa"/>
            <w:vAlign w:val="top"/>
          </w:tcPr>
          <w:p w14:paraId="1AB1B733">
            <w:pPr>
              <w:rPr>
                <w:rFonts w:ascii="Arial"/>
                <w:sz w:val="21"/>
              </w:rPr>
            </w:pPr>
          </w:p>
        </w:tc>
        <w:tc>
          <w:tcPr>
            <w:tcW w:w="3202" w:type="dxa"/>
            <w:vAlign w:val="top"/>
          </w:tcPr>
          <w:p w14:paraId="06B337E9">
            <w:pPr>
              <w:pStyle w:val="6"/>
              <w:spacing w:before="28" w:line="208" w:lineRule="auto"/>
              <w:ind w:left="126"/>
            </w:pPr>
            <w:r>
              <w:rPr>
                <w:spacing w:val="-9"/>
              </w:rPr>
              <w:t>故。</w:t>
            </w:r>
          </w:p>
        </w:tc>
        <w:tc>
          <w:tcPr>
            <w:tcW w:w="2859" w:type="dxa"/>
            <w:vAlign w:val="top"/>
          </w:tcPr>
          <w:p w14:paraId="5B5151EB">
            <w:pPr>
              <w:pStyle w:val="6"/>
              <w:spacing w:before="21" w:line="181" w:lineRule="auto"/>
              <w:ind w:left="112" w:firstLine="18"/>
              <w:jc w:val="both"/>
            </w:pPr>
            <w:r>
              <w:rPr>
                <w:spacing w:val="6"/>
              </w:rPr>
              <w:t>生产管理职责，导致事故</w:t>
            </w:r>
            <w:r>
              <w:rPr>
                <w:spacing w:val="4"/>
              </w:rPr>
              <w:t>发生的，依照下列规定处</w:t>
            </w:r>
            <w:r>
              <w:rPr>
                <w:spacing w:val="-3"/>
              </w:rPr>
              <w:t>以罚款</w:t>
            </w:r>
            <w:r>
              <w:rPr>
                <w:spacing w:val="-13"/>
              </w:rPr>
              <w:t>：（</w:t>
            </w:r>
            <w:r>
              <w:rPr>
                <w:spacing w:val="-3"/>
              </w:rPr>
              <w:t>一）发生一般</w:t>
            </w:r>
            <w:r>
              <w:rPr>
                <w:spacing w:val="7"/>
              </w:rPr>
              <w:t>事故的，处上一年年收入</w:t>
            </w:r>
            <w:r>
              <w:rPr>
                <w:rFonts w:ascii="宋体" w:hAnsi="宋体" w:eastAsia="宋体" w:cs="宋体"/>
                <w:spacing w:val="2"/>
              </w:rPr>
              <w:t>40%</w:t>
            </w:r>
            <w:r>
              <w:rPr>
                <w:spacing w:val="2"/>
              </w:rPr>
              <w:t>的罚款</w:t>
            </w:r>
            <w:r>
              <w:rPr>
                <w:spacing w:val="-26"/>
              </w:rPr>
              <w:t>；（</w:t>
            </w:r>
            <w:r>
              <w:rPr>
                <w:spacing w:val="2"/>
              </w:rPr>
              <w:t>二）发生较</w:t>
            </w:r>
            <w:r>
              <w:rPr>
                <w:spacing w:val="7"/>
              </w:rPr>
              <w:t>大事故的，处上一年年收</w:t>
            </w:r>
            <w:r>
              <w:rPr>
                <w:spacing w:val="11"/>
              </w:rPr>
              <w:t>入</w:t>
            </w:r>
            <w:r>
              <w:rPr>
                <w:rFonts w:ascii="宋体" w:hAnsi="宋体" w:eastAsia="宋体" w:cs="宋体"/>
                <w:spacing w:val="11"/>
              </w:rPr>
              <w:t>60%</w:t>
            </w:r>
            <w:r>
              <w:rPr>
                <w:spacing w:val="11"/>
              </w:rPr>
              <w:t>的罚款</w:t>
            </w:r>
            <w:r>
              <w:rPr>
                <w:spacing w:val="-13"/>
              </w:rPr>
              <w:t>；（</w:t>
            </w:r>
            <w:r>
              <w:rPr>
                <w:spacing w:val="11"/>
              </w:rPr>
              <w:t>三）发</w:t>
            </w:r>
            <w:r>
              <w:rPr>
                <w:spacing w:val="7"/>
              </w:rPr>
              <w:t>生重大事故的，处上一年</w:t>
            </w:r>
            <w:r>
              <w:rPr>
                <w:spacing w:val="3"/>
              </w:rPr>
              <w:t>年收入</w:t>
            </w:r>
            <w:r>
              <w:rPr>
                <w:rFonts w:ascii="宋体" w:hAnsi="宋体" w:eastAsia="宋体" w:cs="宋体"/>
                <w:spacing w:val="3"/>
              </w:rPr>
              <w:t>80%</w:t>
            </w:r>
            <w:r>
              <w:rPr>
                <w:spacing w:val="3"/>
              </w:rPr>
              <w:t>的罚款</w:t>
            </w:r>
            <w:r>
              <w:rPr>
                <w:spacing w:val="-5"/>
              </w:rPr>
              <w:t>；（</w:t>
            </w:r>
            <w:r>
              <w:rPr>
                <w:spacing w:val="3"/>
              </w:rPr>
              <w:t>四）</w:t>
            </w:r>
            <w:r>
              <w:rPr>
                <w:spacing w:val="1"/>
              </w:rPr>
              <w:t>发生特别重大事故的，处</w:t>
            </w:r>
            <w:r>
              <w:rPr>
                <w:spacing w:val="12"/>
              </w:rPr>
              <w:t>上一年年收入</w:t>
            </w:r>
            <w:r>
              <w:rPr>
                <w:rFonts w:ascii="宋体" w:hAnsi="宋体" w:eastAsia="宋体" w:cs="宋体"/>
                <w:spacing w:val="12"/>
              </w:rPr>
              <w:t>100%</w:t>
            </w:r>
            <w:r>
              <w:rPr>
                <w:spacing w:val="12"/>
              </w:rPr>
              <w:t>的罚</w:t>
            </w:r>
            <w:r>
              <w:rPr>
                <w:spacing w:val="-7"/>
              </w:rPr>
              <w:t>款。</w:t>
            </w:r>
          </w:p>
        </w:tc>
        <w:tc>
          <w:tcPr>
            <w:tcW w:w="803" w:type="dxa"/>
            <w:vAlign w:val="top"/>
          </w:tcPr>
          <w:p w14:paraId="37F42CAE">
            <w:pPr>
              <w:rPr>
                <w:rFonts w:ascii="Arial"/>
                <w:sz w:val="21"/>
              </w:rPr>
            </w:pPr>
          </w:p>
        </w:tc>
        <w:tc>
          <w:tcPr>
            <w:tcW w:w="2283" w:type="dxa"/>
            <w:vAlign w:val="top"/>
          </w:tcPr>
          <w:p w14:paraId="7B5EB9B5">
            <w:pPr>
              <w:rPr>
                <w:rFonts w:ascii="Arial"/>
                <w:sz w:val="21"/>
              </w:rPr>
            </w:pPr>
          </w:p>
        </w:tc>
        <w:tc>
          <w:tcPr>
            <w:tcW w:w="2894" w:type="dxa"/>
            <w:vAlign w:val="top"/>
          </w:tcPr>
          <w:p w14:paraId="4C6AE3B2">
            <w:pPr>
              <w:rPr>
                <w:rFonts w:ascii="Arial"/>
                <w:sz w:val="21"/>
              </w:rPr>
            </w:pPr>
          </w:p>
        </w:tc>
        <w:tc>
          <w:tcPr>
            <w:tcW w:w="811" w:type="dxa"/>
            <w:vAlign w:val="top"/>
          </w:tcPr>
          <w:p w14:paraId="08B792EC">
            <w:pPr>
              <w:rPr>
                <w:rFonts w:ascii="Arial"/>
                <w:sz w:val="21"/>
              </w:rPr>
            </w:pPr>
          </w:p>
        </w:tc>
      </w:tr>
      <w:tr w14:paraId="48765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2" w:hRule="atLeast"/>
        </w:trPr>
        <w:tc>
          <w:tcPr>
            <w:tcW w:w="818" w:type="dxa"/>
            <w:vMerge w:val="restart"/>
            <w:tcBorders>
              <w:bottom w:val="nil"/>
            </w:tcBorders>
            <w:vAlign w:val="top"/>
          </w:tcPr>
          <w:p w14:paraId="6D8D9595">
            <w:pPr>
              <w:spacing w:line="247" w:lineRule="auto"/>
              <w:rPr>
                <w:rFonts w:ascii="Arial"/>
                <w:sz w:val="21"/>
              </w:rPr>
            </w:pPr>
          </w:p>
          <w:p w14:paraId="6D374AED">
            <w:pPr>
              <w:spacing w:line="247" w:lineRule="auto"/>
              <w:rPr>
                <w:rFonts w:ascii="Arial"/>
                <w:sz w:val="21"/>
              </w:rPr>
            </w:pPr>
          </w:p>
          <w:p w14:paraId="3BD9E5EF">
            <w:pPr>
              <w:spacing w:line="248" w:lineRule="auto"/>
              <w:rPr>
                <w:rFonts w:ascii="Arial"/>
                <w:sz w:val="21"/>
              </w:rPr>
            </w:pPr>
          </w:p>
          <w:p w14:paraId="2DC706F7">
            <w:pPr>
              <w:spacing w:line="248" w:lineRule="auto"/>
              <w:rPr>
                <w:rFonts w:ascii="Arial"/>
                <w:sz w:val="21"/>
              </w:rPr>
            </w:pPr>
          </w:p>
          <w:p w14:paraId="6C8650EE">
            <w:pPr>
              <w:spacing w:line="248" w:lineRule="auto"/>
              <w:rPr>
                <w:rFonts w:ascii="Arial"/>
                <w:sz w:val="21"/>
              </w:rPr>
            </w:pPr>
          </w:p>
          <w:p w14:paraId="6BC662C2">
            <w:pPr>
              <w:spacing w:line="248" w:lineRule="auto"/>
              <w:rPr>
                <w:rFonts w:ascii="Arial"/>
                <w:sz w:val="21"/>
              </w:rPr>
            </w:pPr>
          </w:p>
          <w:p w14:paraId="5D583198">
            <w:pPr>
              <w:spacing w:line="248" w:lineRule="auto"/>
              <w:rPr>
                <w:rFonts w:ascii="Arial"/>
                <w:sz w:val="21"/>
              </w:rPr>
            </w:pPr>
          </w:p>
          <w:p w14:paraId="78EB441E">
            <w:pPr>
              <w:spacing w:line="248" w:lineRule="auto"/>
              <w:rPr>
                <w:rFonts w:ascii="Arial"/>
                <w:sz w:val="21"/>
              </w:rPr>
            </w:pPr>
          </w:p>
          <w:p w14:paraId="695AF307">
            <w:pPr>
              <w:spacing w:line="248" w:lineRule="auto"/>
              <w:rPr>
                <w:rFonts w:ascii="Arial"/>
                <w:sz w:val="21"/>
              </w:rPr>
            </w:pPr>
          </w:p>
          <w:p w14:paraId="6B469311">
            <w:pPr>
              <w:spacing w:line="248" w:lineRule="auto"/>
              <w:rPr>
                <w:rFonts w:ascii="Arial"/>
                <w:sz w:val="21"/>
              </w:rPr>
            </w:pPr>
          </w:p>
          <w:p w14:paraId="10B3F87A">
            <w:pPr>
              <w:spacing w:before="74" w:line="185" w:lineRule="auto"/>
              <w:ind w:left="235"/>
              <w:rPr>
                <w:rFonts w:ascii="仿宋" w:hAnsi="仿宋" w:eastAsia="仿宋" w:cs="仿宋"/>
                <w:sz w:val="23"/>
                <w:szCs w:val="23"/>
              </w:rPr>
            </w:pPr>
            <w:r>
              <w:rPr>
                <w:rFonts w:ascii="仿宋" w:hAnsi="仿宋" w:eastAsia="仿宋" w:cs="仿宋"/>
                <w:spacing w:val="-2"/>
                <w:sz w:val="23"/>
                <w:szCs w:val="23"/>
              </w:rPr>
              <w:t>95</w:t>
            </w:r>
          </w:p>
        </w:tc>
        <w:tc>
          <w:tcPr>
            <w:tcW w:w="1440" w:type="dxa"/>
            <w:vMerge w:val="restart"/>
            <w:tcBorders>
              <w:bottom w:val="nil"/>
            </w:tcBorders>
            <w:vAlign w:val="top"/>
          </w:tcPr>
          <w:p w14:paraId="6D98481A">
            <w:pPr>
              <w:spacing w:line="258" w:lineRule="auto"/>
              <w:rPr>
                <w:rFonts w:ascii="Arial"/>
                <w:sz w:val="21"/>
              </w:rPr>
            </w:pPr>
          </w:p>
          <w:p w14:paraId="02099257">
            <w:pPr>
              <w:spacing w:line="258" w:lineRule="auto"/>
              <w:rPr>
                <w:rFonts w:ascii="Arial"/>
                <w:sz w:val="21"/>
              </w:rPr>
            </w:pPr>
          </w:p>
          <w:p w14:paraId="3D2688B7">
            <w:pPr>
              <w:spacing w:line="258" w:lineRule="auto"/>
              <w:rPr>
                <w:rFonts w:ascii="Arial"/>
                <w:sz w:val="21"/>
              </w:rPr>
            </w:pPr>
          </w:p>
          <w:p w14:paraId="645CD6E5">
            <w:pPr>
              <w:spacing w:line="258" w:lineRule="auto"/>
              <w:rPr>
                <w:rFonts w:ascii="Arial"/>
                <w:sz w:val="21"/>
              </w:rPr>
            </w:pPr>
          </w:p>
          <w:p w14:paraId="1A8E343D">
            <w:pPr>
              <w:spacing w:line="258" w:lineRule="auto"/>
              <w:rPr>
                <w:rFonts w:ascii="Arial"/>
                <w:sz w:val="21"/>
              </w:rPr>
            </w:pPr>
          </w:p>
          <w:p w14:paraId="2BFF4E66">
            <w:pPr>
              <w:spacing w:line="258" w:lineRule="auto"/>
              <w:rPr>
                <w:rFonts w:ascii="Arial"/>
                <w:sz w:val="21"/>
              </w:rPr>
            </w:pPr>
          </w:p>
          <w:p w14:paraId="0D1FFFB1">
            <w:pPr>
              <w:spacing w:line="259" w:lineRule="auto"/>
              <w:rPr>
                <w:rFonts w:ascii="Arial"/>
                <w:sz w:val="21"/>
              </w:rPr>
            </w:pPr>
          </w:p>
          <w:p w14:paraId="0F10EBC0">
            <w:pPr>
              <w:pStyle w:val="6"/>
              <w:spacing w:before="99" w:line="188" w:lineRule="auto"/>
              <w:ind w:left="115" w:right="111" w:firstLine="13"/>
              <w:jc w:val="both"/>
            </w:pPr>
            <w:r>
              <w:rPr>
                <w:spacing w:val="8"/>
              </w:rPr>
              <w:t>生产经营单</w:t>
            </w:r>
            <w:r>
              <w:rPr>
                <w:spacing w:val="11"/>
              </w:rPr>
              <w:t>位对一般生产安全事故发生负有责</w:t>
            </w:r>
            <w:r>
              <w:rPr>
                <w:spacing w:val="2"/>
              </w:rPr>
              <w:t>任的</w:t>
            </w:r>
          </w:p>
        </w:tc>
        <w:tc>
          <w:tcPr>
            <w:tcW w:w="3202" w:type="dxa"/>
            <w:vMerge w:val="restart"/>
            <w:tcBorders>
              <w:bottom w:val="nil"/>
            </w:tcBorders>
            <w:vAlign w:val="top"/>
          </w:tcPr>
          <w:p w14:paraId="36279992">
            <w:pPr>
              <w:rPr>
                <w:rFonts w:ascii="Arial"/>
                <w:sz w:val="21"/>
              </w:rPr>
            </w:pPr>
          </w:p>
        </w:tc>
        <w:tc>
          <w:tcPr>
            <w:tcW w:w="2859" w:type="dxa"/>
            <w:vMerge w:val="restart"/>
            <w:tcBorders>
              <w:bottom w:val="nil"/>
            </w:tcBorders>
            <w:vAlign w:val="top"/>
          </w:tcPr>
          <w:p w14:paraId="1FBD17FF">
            <w:pPr>
              <w:pStyle w:val="6"/>
              <w:spacing w:before="40" w:line="182" w:lineRule="auto"/>
              <w:ind w:left="117" w:right="110" w:firstLine="13"/>
            </w:pPr>
            <w:r>
              <w:rPr>
                <w:rFonts w:ascii="宋体" w:hAnsi="宋体" w:eastAsia="宋体" w:cs="宋体"/>
                <w:spacing w:val="6"/>
              </w:rPr>
              <w:t>1.</w:t>
            </w:r>
            <w:r>
              <w:rPr>
                <w:spacing w:val="6"/>
              </w:rPr>
              <w:t>【法律】《中华人民共</w:t>
            </w:r>
            <w:r>
              <w:rPr>
                <w:spacing w:val="8"/>
              </w:rPr>
              <w:t>和国安全生产法》第一百</w:t>
            </w:r>
            <w:r>
              <w:rPr>
                <w:spacing w:val="6"/>
              </w:rPr>
              <w:t>一十四条第一款第一项、</w:t>
            </w:r>
            <w:r>
              <w:rPr>
                <w:spacing w:val="8"/>
              </w:rPr>
              <w:t>第二款：发生生产安全事故，对负有责任的生产经营单位除要求其依法承担</w:t>
            </w:r>
            <w:r>
              <w:rPr>
                <w:spacing w:val="-2"/>
              </w:rPr>
              <w:t>相应的赔偿等责任外，由</w:t>
            </w:r>
            <w:r>
              <w:rPr>
                <w:spacing w:val="8"/>
              </w:rPr>
              <w:t>应急管理部门依照下列规</w:t>
            </w:r>
            <w:r>
              <w:rPr>
                <w:spacing w:val="-2"/>
              </w:rPr>
              <w:t>定处以罚款：（一）发生</w:t>
            </w:r>
            <w:r>
              <w:rPr>
                <w:spacing w:val="8"/>
              </w:rPr>
              <w:t>一般事故的，处三十万元</w:t>
            </w:r>
            <w:r>
              <w:rPr>
                <w:spacing w:val="32"/>
              </w:rPr>
              <w:t>以上一百万元以下的罚</w:t>
            </w:r>
            <w:r>
              <w:rPr>
                <w:spacing w:val="-10"/>
              </w:rPr>
              <w:t>款；</w:t>
            </w:r>
          </w:p>
          <w:p w14:paraId="0DFB524E">
            <w:pPr>
              <w:pStyle w:val="6"/>
              <w:spacing w:before="5" w:line="187" w:lineRule="auto"/>
              <w:ind w:left="115" w:right="110" w:firstLine="3"/>
              <w:jc w:val="both"/>
            </w:pPr>
            <w:r>
              <w:rPr>
                <w:spacing w:val="8"/>
              </w:rPr>
              <w:t>发生生产安全事故，情节特别严重、影响特别恶劣的，应急管理部门可以按照前款罚款数额的二倍以上五倍以下对负有责任的</w:t>
            </w:r>
          </w:p>
        </w:tc>
        <w:tc>
          <w:tcPr>
            <w:tcW w:w="803" w:type="dxa"/>
            <w:vAlign w:val="top"/>
          </w:tcPr>
          <w:p w14:paraId="7E285F35">
            <w:pPr>
              <w:spacing w:line="282" w:lineRule="auto"/>
              <w:rPr>
                <w:rFonts w:ascii="Arial"/>
                <w:sz w:val="21"/>
              </w:rPr>
            </w:pPr>
          </w:p>
          <w:p w14:paraId="50BE034F">
            <w:pPr>
              <w:spacing w:line="283" w:lineRule="auto"/>
              <w:rPr>
                <w:rFonts w:ascii="Arial"/>
                <w:sz w:val="21"/>
              </w:rPr>
            </w:pPr>
          </w:p>
          <w:p w14:paraId="482EA3E9">
            <w:pPr>
              <w:spacing w:line="283" w:lineRule="auto"/>
              <w:rPr>
                <w:rFonts w:ascii="Arial"/>
                <w:sz w:val="21"/>
              </w:rPr>
            </w:pPr>
          </w:p>
          <w:p w14:paraId="76CF0FDE">
            <w:pPr>
              <w:spacing w:line="283" w:lineRule="auto"/>
              <w:rPr>
                <w:rFonts w:ascii="Arial"/>
                <w:sz w:val="21"/>
              </w:rPr>
            </w:pPr>
          </w:p>
          <w:p w14:paraId="22551013">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40E409B">
            <w:pPr>
              <w:spacing w:line="465" w:lineRule="auto"/>
              <w:rPr>
                <w:rFonts w:ascii="Arial"/>
                <w:sz w:val="21"/>
              </w:rPr>
            </w:pPr>
          </w:p>
          <w:p w14:paraId="2C1C1139">
            <w:pPr>
              <w:pStyle w:val="6"/>
              <w:spacing w:before="99" w:line="188" w:lineRule="auto"/>
              <w:ind w:left="98" w:right="107" w:firstLine="17"/>
              <w:jc w:val="both"/>
            </w:pPr>
            <w:r>
              <w:rPr>
                <w:spacing w:val="16"/>
              </w:rPr>
              <w:t>造成</w:t>
            </w:r>
            <w:r>
              <w:rPr>
                <w:rFonts w:ascii="宋体" w:hAnsi="宋体" w:eastAsia="宋体" w:cs="宋体"/>
                <w:spacing w:val="16"/>
              </w:rPr>
              <w:t>3</w:t>
            </w:r>
            <w:r>
              <w:rPr>
                <w:spacing w:val="16"/>
              </w:rPr>
              <w:t>人以下重伤</w:t>
            </w:r>
            <w:r>
              <w:rPr>
                <w:spacing w:val="28"/>
              </w:rPr>
              <w:t>（包括急性工业中</w:t>
            </w:r>
            <w:r>
              <w:rPr>
                <w:spacing w:val="9"/>
              </w:rPr>
              <w:t>毒，下同</w:t>
            </w:r>
            <w:r>
              <w:rPr>
                <w:spacing w:val="-17"/>
              </w:rPr>
              <w:t>），</w:t>
            </w:r>
            <w:r>
              <w:rPr>
                <w:spacing w:val="9"/>
              </w:rPr>
              <w:t>或者</w:t>
            </w:r>
            <w:r>
              <w:rPr>
                <w:rFonts w:ascii="宋体" w:hAnsi="宋体" w:eastAsia="宋体" w:cs="宋体"/>
                <w:spacing w:val="23"/>
              </w:rPr>
              <w:t>300</w:t>
            </w:r>
            <w:r>
              <w:rPr>
                <w:spacing w:val="23"/>
              </w:rPr>
              <w:t>万元以下直接</w:t>
            </w:r>
            <w:r>
              <w:rPr>
                <w:spacing w:val="10"/>
              </w:rPr>
              <w:t>经济损失的</w:t>
            </w:r>
          </w:p>
        </w:tc>
        <w:tc>
          <w:tcPr>
            <w:tcW w:w="2894" w:type="dxa"/>
            <w:vAlign w:val="top"/>
          </w:tcPr>
          <w:p w14:paraId="6736014C">
            <w:pPr>
              <w:spacing w:line="317" w:lineRule="auto"/>
              <w:rPr>
                <w:rFonts w:ascii="Arial"/>
                <w:sz w:val="21"/>
              </w:rPr>
            </w:pPr>
          </w:p>
          <w:p w14:paraId="4E0930AD">
            <w:pPr>
              <w:pStyle w:val="6"/>
              <w:spacing w:before="99" w:line="187" w:lineRule="auto"/>
              <w:ind w:left="124" w:right="18" w:hanging="5"/>
              <w:jc w:val="both"/>
            </w:pPr>
            <w:r>
              <w:rPr>
                <w:spacing w:val="2"/>
              </w:rPr>
              <w:t>处</w:t>
            </w:r>
            <w:r>
              <w:rPr>
                <w:rFonts w:ascii="宋体" w:hAnsi="宋体" w:eastAsia="宋体" w:cs="宋体"/>
                <w:spacing w:val="2"/>
              </w:rPr>
              <w:t>30</w:t>
            </w:r>
            <w:r>
              <w:rPr>
                <w:spacing w:val="2"/>
              </w:rPr>
              <w:t>万元以上</w:t>
            </w:r>
            <w:r>
              <w:rPr>
                <w:rFonts w:ascii="宋体" w:hAnsi="宋体" w:eastAsia="宋体" w:cs="宋体"/>
                <w:spacing w:val="2"/>
              </w:rPr>
              <w:t>50</w:t>
            </w:r>
            <w:r>
              <w:rPr>
                <w:spacing w:val="2"/>
              </w:rPr>
              <w:t>万元以</w:t>
            </w:r>
            <w:r>
              <w:rPr>
                <w:spacing w:val="-2"/>
              </w:rPr>
              <w:t>下的罚款；情节特别严重、</w:t>
            </w:r>
            <w:r>
              <w:rPr>
                <w:spacing w:val="7"/>
              </w:rPr>
              <w:t>影响特别恶劣的，可以按</w:t>
            </w:r>
            <w:r>
              <w:rPr>
                <w:spacing w:val="11"/>
              </w:rPr>
              <w:t>照上述罚款数额的二倍以上五倍以下对负有责任的</w:t>
            </w:r>
            <w:r>
              <w:rPr>
                <w:spacing w:val="7"/>
              </w:rPr>
              <w:t>生产经营单位处以罚款</w:t>
            </w:r>
          </w:p>
        </w:tc>
        <w:tc>
          <w:tcPr>
            <w:tcW w:w="811" w:type="dxa"/>
            <w:vMerge w:val="restart"/>
            <w:tcBorders>
              <w:bottom w:val="nil"/>
            </w:tcBorders>
            <w:vAlign w:val="top"/>
          </w:tcPr>
          <w:p w14:paraId="0B74D4FE">
            <w:pPr>
              <w:spacing w:line="247" w:lineRule="auto"/>
              <w:rPr>
                <w:rFonts w:ascii="Arial"/>
                <w:sz w:val="21"/>
              </w:rPr>
            </w:pPr>
          </w:p>
          <w:p w14:paraId="36CA46C9">
            <w:pPr>
              <w:spacing w:line="247" w:lineRule="auto"/>
              <w:rPr>
                <w:rFonts w:ascii="Arial"/>
                <w:sz w:val="21"/>
              </w:rPr>
            </w:pPr>
          </w:p>
          <w:p w14:paraId="4128DAA1">
            <w:pPr>
              <w:spacing w:line="247" w:lineRule="auto"/>
              <w:rPr>
                <w:rFonts w:ascii="Arial"/>
                <w:sz w:val="21"/>
              </w:rPr>
            </w:pPr>
          </w:p>
          <w:p w14:paraId="5D80280E">
            <w:pPr>
              <w:spacing w:line="247" w:lineRule="auto"/>
              <w:rPr>
                <w:rFonts w:ascii="Arial"/>
                <w:sz w:val="21"/>
              </w:rPr>
            </w:pPr>
          </w:p>
          <w:p w14:paraId="18329907">
            <w:pPr>
              <w:spacing w:line="247" w:lineRule="auto"/>
              <w:rPr>
                <w:rFonts w:ascii="Arial"/>
                <w:sz w:val="21"/>
              </w:rPr>
            </w:pPr>
          </w:p>
          <w:p w14:paraId="1D545391">
            <w:pPr>
              <w:spacing w:line="247" w:lineRule="auto"/>
              <w:rPr>
                <w:rFonts w:ascii="Arial"/>
                <w:sz w:val="21"/>
              </w:rPr>
            </w:pPr>
          </w:p>
          <w:p w14:paraId="4A0C22EE">
            <w:pPr>
              <w:spacing w:line="248" w:lineRule="auto"/>
              <w:rPr>
                <w:rFonts w:ascii="Arial"/>
                <w:sz w:val="21"/>
              </w:rPr>
            </w:pPr>
          </w:p>
          <w:p w14:paraId="2F8F6343">
            <w:pPr>
              <w:spacing w:line="248" w:lineRule="auto"/>
              <w:rPr>
                <w:rFonts w:ascii="Arial"/>
                <w:sz w:val="21"/>
              </w:rPr>
            </w:pPr>
          </w:p>
          <w:p w14:paraId="7C23B366">
            <w:pPr>
              <w:spacing w:line="248" w:lineRule="auto"/>
              <w:rPr>
                <w:rFonts w:ascii="Arial"/>
                <w:sz w:val="21"/>
              </w:rPr>
            </w:pPr>
          </w:p>
          <w:p w14:paraId="33B9B69C">
            <w:pPr>
              <w:spacing w:line="248" w:lineRule="auto"/>
              <w:rPr>
                <w:rFonts w:ascii="Arial"/>
                <w:sz w:val="21"/>
              </w:rPr>
            </w:pPr>
          </w:p>
          <w:p w14:paraId="6BC08E92">
            <w:pPr>
              <w:spacing w:before="75" w:line="188" w:lineRule="auto"/>
              <w:ind w:left="292"/>
              <w:rPr>
                <w:rFonts w:ascii="宋体" w:hAnsi="宋体" w:eastAsia="宋体" w:cs="宋体"/>
                <w:sz w:val="23"/>
                <w:szCs w:val="23"/>
              </w:rPr>
            </w:pPr>
            <w:r>
              <w:rPr>
                <w:rFonts w:ascii="宋体" w:hAnsi="宋体" w:eastAsia="宋体" w:cs="宋体"/>
                <w:spacing w:val="-3"/>
                <w:sz w:val="23"/>
                <w:szCs w:val="23"/>
              </w:rPr>
              <w:t>66</w:t>
            </w:r>
          </w:p>
        </w:tc>
      </w:tr>
      <w:tr w14:paraId="4CD39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5" w:hRule="atLeast"/>
        </w:trPr>
        <w:tc>
          <w:tcPr>
            <w:tcW w:w="818" w:type="dxa"/>
            <w:vMerge w:val="continue"/>
            <w:tcBorders>
              <w:top w:val="nil"/>
            </w:tcBorders>
            <w:vAlign w:val="top"/>
          </w:tcPr>
          <w:p w14:paraId="0DB3B2AA">
            <w:pPr>
              <w:rPr>
                <w:rFonts w:ascii="Arial"/>
                <w:sz w:val="21"/>
              </w:rPr>
            </w:pPr>
          </w:p>
        </w:tc>
        <w:tc>
          <w:tcPr>
            <w:tcW w:w="1440" w:type="dxa"/>
            <w:vMerge w:val="continue"/>
            <w:tcBorders>
              <w:top w:val="nil"/>
            </w:tcBorders>
            <w:vAlign w:val="top"/>
          </w:tcPr>
          <w:p w14:paraId="08952DDE">
            <w:pPr>
              <w:rPr>
                <w:rFonts w:ascii="Arial"/>
                <w:sz w:val="21"/>
              </w:rPr>
            </w:pPr>
          </w:p>
        </w:tc>
        <w:tc>
          <w:tcPr>
            <w:tcW w:w="3202" w:type="dxa"/>
            <w:vMerge w:val="continue"/>
            <w:tcBorders>
              <w:top w:val="nil"/>
            </w:tcBorders>
            <w:vAlign w:val="top"/>
          </w:tcPr>
          <w:p w14:paraId="27F3936E">
            <w:pPr>
              <w:rPr>
                <w:rFonts w:ascii="Arial"/>
                <w:sz w:val="21"/>
              </w:rPr>
            </w:pPr>
          </w:p>
        </w:tc>
        <w:tc>
          <w:tcPr>
            <w:tcW w:w="2859" w:type="dxa"/>
            <w:vMerge w:val="continue"/>
            <w:tcBorders>
              <w:top w:val="nil"/>
            </w:tcBorders>
            <w:vAlign w:val="top"/>
          </w:tcPr>
          <w:p w14:paraId="2063CBCC">
            <w:pPr>
              <w:rPr>
                <w:rFonts w:ascii="Arial"/>
                <w:sz w:val="21"/>
              </w:rPr>
            </w:pPr>
          </w:p>
        </w:tc>
        <w:tc>
          <w:tcPr>
            <w:tcW w:w="803" w:type="dxa"/>
            <w:vAlign w:val="top"/>
          </w:tcPr>
          <w:p w14:paraId="24E10C4E">
            <w:pPr>
              <w:spacing w:line="297" w:lineRule="auto"/>
              <w:rPr>
                <w:rFonts w:ascii="Arial"/>
                <w:sz w:val="21"/>
              </w:rPr>
            </w:pPr>
          </w:p>
          <w:p w14:paraId="1CD92B82">
            <w:pPr>
              <w:spacing w:line="297" w:lineRule="auto"/>
              <w:rPr>
                <w:rFonts w:ascii="Arial"/>
                <w:sz w:val="21"/>
              </w:rPr>
            </w:pPr>
          </w:p>
          <w:p w14:paraId="47CE69D4">
            <w:pPr>
              <w:spacing w:line="298" w:lineRule="auto"/>
              <w:rPr>
                <w:rFonts w:ascii="Arial"/>
                <w:sz w:val="21"/>
              </w:rPr>
            </w:pPr>
          </w:p>
          <w:p w14:paraId="6B7022F3">
            <w:pPr>
              <w:spacing w:line="298" w:lineRule="auto"/>
              <w:rPr>
                <w:rFonts w:ascii="Arial"/>
                <w:sz w:val="21"/>
              </w:rPr>
            </w:pPr>
          </w:p>
          <w:p w14:paraId="68CCDED4">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56AA52B">
            <w:pPr>
              <w:spacing w:line="260" w:lineRule="auto"/>
              <w:rPr>
                <w:rFonts w:ascii="Arial"/>
                <w:sz w:val="21"/>
              </w:rPr>
            </w:pPr>
          </w:p>
          <w:p w14:paraId="08678B96">
            <w:pPr>
              <w:spacing w:line="260" w:lineRule="auto"/>
              <w:rPr>
                <w:rFonts w:ascii="Arial"/>
                <w:sz w:val="21"/>
              </w:rPr>
            </w:pPr>
          </w:p>
          <w:p w14:paraId="63F7F5CD">
            <w:pPr>
              <w:pStyle w:val="6"/>
              <w:spacing w:before="99" w:line="188" w:lineRule="auto"/>
              <w:ind w:left="117" w:right="106" w:hanging="1"/>
              <w:jc w:val="both"/>
            </w:pPr>
            <w:r>
              <w:rPr>
                <w:spacing w:val="-8"/>
              </w:rPr>
              <w:t>造成</w:t>
            </w:r>
            <w:r>
              <w:rPr>
                <w:rFonts w:ascii="宋体" w:hAnsi="宋体" w:eastAsia="宋体" w:cs="宋体"/>
                <w:spacing w:val="-8"/>
              </w:rPr>
              <w:t>1</w:t>
            </w:r>
            <w:r>
              <w:rPr>
                <w:spacing w:val="-8"/>
              </w:rPr>
              <w:t>人死亡，或者</w:t>
            </w:r>
            <w:r>
              <w:rPr>
                <w:rFonts w:ascii="宋体" w:hAnsi="宋体" w:eastAsia="宋体" w:cs="宋体"/>
                <w:spacing w:val="7"/>
              </w:rPr>
              <w:t>3</w:t>
            </w:r>
            <w:r>
              <w:rPr>
                <w:spacing w:val="7"/>
              </w:rPr>
              <w:t>人以上</w:t>
            </w:r>
            <w:r>
              <w:rPr>
                <w:rFonts w:ascii="宋体" w:hAnsi="宋体" w:eastAsia="宋体" w:cs="宋体"/>
                <w:spacing w:val="7"/>
              </w:rPr>
              <w:t>6</w:t>
            </w:r>
            <w:r>
              <w:rPr>
                <w:spacing w:val="7"/>
              </w:rPr>
              <w:t>人以下重</w:t>
            </w:r>
            <w:r>
              <w:rPr>
                <w:spacing w:val="-6"/>
              </w:rPr>
              <w:t>伤，或者</w:t>
            </w:r>
            <w:r>
              <w:rPr>
                <w:rFonts w:ascii="宋体" w:hAnsi="宋体" w:eastAsia="宋体" w:cs="宋体"/>
                <w:spacing w:val="-6"/>
              </w:rPr>
              <w:t>300</w:t>
            </w:r>
            <w:r>
              <w:rPr>
                <w:spacing w:val="-6"/>
              </w:rPr>
              <w:t>万元以</w:t>
            </w:r>
            <w:r>
              <w:rPr>
                <w:spacing w:val="11"/>
              </w:rPr>
              <w:t>上</w:t>
            </w:r>
            <w:r>
              <w:rPr>
                <w:rFonts w:ascii="宋体" w:hAnsi="宋体" w:eastAsia="宋体" w:cs="宋体"/>
                <w:spacing w:val="11"/>
              </w:rPr>
              <w:t>500</w:t>
            </w:r>
            <w:r>
              <w:rPr>
                <w:spacing w:val="11"/>
              </w:rPr>
              <w:t>万元以下直</w:t>
            </w:r>
            <w:r>
              <w:rPr>
                <w:spacing w:val="7"/>
              </w:rPr>
              <w:t>接经济损失的</w:t>
            </w:r>
          </w:p>
        </w:tc>
        <w:tc>
          <w:tcPr>
            <w:tcW w:w="2894" w:type="dxa"/>
            <w:vAlign w:val="top"/>
          </w:tcPr>
          <w:p w14:paraId="18D8EAD0">
            <w:pPr>
              <w:spacing w:line="372" w:lineRule="auto"/>
              <w:rPr>
                <w:rFonts w:ascii="Arial"/>
                <w:sz w:val="21"/>
              </w:rPr>
            </w:pPr>
          </w:p>
          <w:p w14:paraId="13158448">
            <w:pPr>
              <w:pStyle w:val="6"/>
              <w:spacing w:before="99" w:line="187" w:lineRule="auto"/>
              <w:ind w:left="124" w:right="18" w:hanging="5"/>
              <w:jc w:val="both"/>
            </w:pPr>
            <w:r>
              <w:rPr>
                <w:spacing w:val="2"/>
              </w:rPr>
              <w:t>处</w:t>
            </w:r>
            <w:r>
              <w:rPr>
                <w:rFonts w:ascii="宋体" w:hAnsi="宋体" w:eastAsia="宋体" w:cs="宋体"/>
                <w:spacing w:val="2"/>
              </w:rPr>
              <w:t>50</w:t>
            </w:r>
            <w:r>
              <w:rPr>
                <w:spacing w:val="2"/>
              </w:rPr>
              <w:t>万元以上</w:t>
            </w:r>
            <w:r>
              <w:rPr>
                <w:rFonts w:ascii="宋体" w:hAnsi="宋体" w:eastAsia="宋体" w:cs="宋体"/>
                <w:spacing w:val="2"/>
              </w:rPr>
              <w:t>70</w:t>
            </w:r>
            <w:r>
              <w:rPr>
                <w:spacing w:val="2"/>
              </w:rPr>
              <w:t>万元以</w:t>
            </w:r>
            <w:r>
              <w:rPr>
                <w:spacing w:val="-2"/>
              </w:rPr>
              <w:t>下的罚款；情节特别严重、</w:t>
            </w:r>
            <w:r>
              <w:rPr>
                <w:spacing w:val="7"/>
              </w:rPr>
              <w:t>影响特别恶劣的，可以按</w:t>
            </w:r>
            <w:r>
              <w:rPr>
                <w:spacing w:val="11"/>
              </w:rPr>
              <w:t>照上述罚款数额的二倍以上五倍以下对负有责任的</w:t>
            </w:r>
            <w:r>
              <w:rPr>
                <w:spacing w:val="7"/>
              </w:rPr>
              <w:t>生产经营单位处以罚款</w:t>
            </w:r>
          </w:p>
        </w:tc>
        <w:tc>
          <w:tcPr>
            <w:tcW w:w="811" w:type="dxa"/>
            <w:vMerge w:val="continue"/>
            <w:tcBorders>
              <w:top w:val="nil"/>
            </w:tcBorders>
            <w:vAlign w:val="top"/>
          </w:tcPr>
          <w:p w14:paraId="25A45CC0">
            <w:pPr>
              <w:rPr>
                <w:rFonts w:ascii="Arial"/>
                <w:sz w:val="21"/>
              </w:rPr>
            </w:pPr>
          </w:p>
        </w:tc>
      </w:tr>
    </w:tbl>
    <w:p w14:paraId="26349611">
      <w:pPr>
        <w:pStyle w:val="2"/>
      </w:pPr>
    </w:p>
    <w:p w14:paraId="5A180851">
      <w:pPr>
        <w:sectPr>
          <w:footerReference r:id="rId119" w:type="default"/>
          <w:pgSz w:w="16839" w:h="11906"/>
          <w:pgMar w:top="1012" w:right="821" w:bottom="667" w:left="901" w:header="0" w:footer="388" w:gutter="0"/>
          <w:cols w:space="720" w:num="1"/>
        </w:sectPr>
      </w:pPr>
    </w:p>
    <w:p w14:paraId="42B09533">
      <w:pPr>
        <w:spacing w:line="121" w:lineRule="exact"/>
      </w:pPr>
    </w:p>
    <w:tbl>
      <w:tblPr>
        <w:tblStyle w:val="5"/>
        <w:tblW w:w="159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gridCol w:w="811"/>
      </w:tblGrid>
      <w:tr w14:paraId="5AB67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2FF6189">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77A3BEDB">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038DB1E">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44E9D4F">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CEB9AD7">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06864D5">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8E219CD">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7438666B">
            <w:pPr>
              <w:spacing w:before="221"/>
              <w:ind w:left="135"/>
              <w:rPr>
                <w:rFonts w:ascii="黑体" w:hAnsi="黑体" w:eastAsia="黑体" w:cs="黑体"/>
                <w:sz w:val="28"/>
                <w:szCs w:val="28"/>
              </w:rPr>
            </w:pPr>
            <w:r>
              <w:rPr>
                <w:rFonts w:ascii="黑体" w:hAnsi="黑体" w:eastAsia="黑体" w:cs="黑体"/>
                <w:spacing w:val="-3"/>
                <w:sz w:val="28"/>
                <w:szCs w:val="28"/>
              </w:rPr>
              <w:t>备注</w:t>
            </w:r>
          </w:p>
        </w:tc>
        <w:tc>
          <w:tcPr>
            <w:tcW w:w="811" w:type="dxa"/>
            <w:vAlign w:val="top"/>
          </w:tcPr>
          <w:p w14:paraId="228184E9">
            <w:pPr>
              <w:spacing w:before="221"/>
              <w:ind w:left="135"/>
              <w:rPr>
                <w:rFonts w:ascii="黑体" w:hAnsi="黑体" w:eastAsia="黑体" w:cs="黑体"/>
                <w:spacing w:val="-3"/>
                <w:sz w:val="28"/>
                <w:szCs w:val="28"/>
              </w:rPr>
            </w:pPr>
          </w:p>
        </w:tc>
      </w:tr>
      <w:tr w14:paraId="42479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7" w:hRule="atLeast"/>
        </w:trPr>
        <w:tc>
          <w:tcPr>
            <w:tcW w:w="818" w:type="dxa"/>
            <w:vAlign w:val="top"/>
          </w:tcPr>
          <w:p w14:paraId="6DC0ACB6">
            <w:pPr>
              <w:rPr>
                <w:rFonts w:ascii="Arial"/>
                <w:sz w:val="21"/>
              </w:rPr>
            </w:pPr>
          </w:p>
        </w:tc>
        <w:tc>
          <w:tcPr>
            <w:tcW w:w="1440" w:type="dxa"/>
            <w:vAlign w:val="top"/>
          </w:tcPr>
          <w:p w14:paraId="4C807912">
            <w:pPr>
              <w:rPr>
                <w:rFonts w:ascii="Arial"/>
                <w:sz w:val="21"/>
              </w:rPr>
            </w:pPr>
          </w:p>
        </w:tc>
        <w:tc>
          <w:tcPr>
            <w:tcW w:w="3202" w:type="dxa"/>
            <w:vAlign w:val="top"/>
          </w:tcPr>
          <w:p w14:paraId="310D4814">
            <w:pPr>
              <w:rPr>
                <w:rFonts w:ascii="Arial"/>
                <w:sz w:val="21"/>
              </w:rPr>
            </w:pPr>
          </w:p>
        </w:tc>
        <w:tc>
          <w:tcPr>
            <w:tcW w:w="2859" w:type="dxa"/>
            <w:vAlign w:val="top"/>
          </w:tcPr>
          <w:p w14:paraId="7D86BC82">
            <w:pPr>
              <w:pStyle w:val="6"/>
              <w:spacing w:before="31" w:line="182" w:lineRule="auto"/>
              <w:ind w:left="116" w:right="110" w:firstLine="14"/>
            </w:pPr>
            <w:r>
              <w:rPr>
                <w:spacing w:val="4"/>
              </w:rPr>
              <w:t>生产经营单位处以罚款。</w:t>
            </w:r>
            <w:r>
              <w:rPr>
                <w:rFonts w:ascii="宋体" w:hAnsi="宋体" w:eastAsia="宋体" w:cs="宋体"/>
                <w:spacing w:val="7"/>
              </w:rPr>
              <w:t>2.</w:t>
            </w:r>
            <w:r>
              <w:rPr>
                <w:spacing w:val="7"/>
              </w:rPr>
              <w:t>【部门规章】《生产安</w:t>
            </w:r>
            <w:r>
              <w:rPr>
                <w:spacing w:val="8"/>
              </w:rPr>
              <w:t>全事故罚款处罚规定》第</w:t>
            </w:r>
            <w:r>
              <w:rPr>
                <w:spacing w:val="4"/>
              </w:rPr>
              <w:t>十四条：事故发生单位对</w:t>
            </w:r>
          </w:p>
          <w:p w14:paraId="2770560B">
            <w:pPr>
              <w:pStyle w:val="6"/>
              <w:spacing w:line="182" w:lineRule="auto"/>
              <w:ind w:left="131"/>
              <w:outlineLvl w:val="0"/>
            </w:pPr>
            <w:r>
              <w:rPr>
                <w:spacing w:val="1"/>
              </w:rPr>
              <w:t>一般事故负有责任的，依</w:t>
            </w:r>
          </w:p>
          <w:p w14:paraId="1E6C95F2">
            <w:pPr>
              <w:pStyle w:val="6"/>
              <w:spacing w:before="12" w:line="182" w:lineRule="auto"/>
              <w:ind w:left="98" w:firstLine="35"/>
            </w:pPr>
            <w:r>
              <w:rPr>
                <w:spacing w:val="24"/>
              </w:rPr>
              <w:t>照下列规定处以罚款：</w:t>
            </w:r>
            <w:r>
              <w:rPr>
                <w:spacing w:val="-3"/>
              </w:rPr>
              <w:t>（一）造成</w:t>
            </w:r>
            <w:r>
              <w:rPr>
                <w:rFonts w:ascii="宋体" w:hAnsi="宋体" w:eastAsia="宋体" w:cs="宋体"/>
                <w:spacing w:val="-3"/>
              </w:rPr>
              <w:t>3</w:t>
            </w:r>
            <w:r>
              <w:rPr>
                <w:spacing w:val="-3"/>
              </w:rPr>
              <w:t>人以下重伤</w:t>
            </w:r>
            <w:bookmarkStart w:id="516" w:name="bookmark199"/>
            <w:bookmarkEnd w:id="516"/>
            <w:r>
              <w:t>（包括急性工业中毒，下</w:t>
            </w:r>
            <w:r>
              <w:rPr>
                <w:spacing w:val="1"/>
              </w:rPr>
              <w:t>同），或者</w:t>
            </w:r>
            <w:r>
              <w:rPr>
                <w:rFonts w:ascii="宋体" w:hAnsi="宋体" w:eastAsia="宋体" w:cs="宋体"/>
                <w:spacing w:val="1"/>
              </w:rPr>
              <w:t>300</w:t>
            </w:r>
            <w:r>
              <w:rPr>
                <w:spacing w:val="1"/>
              </w:rPr>
              <w:t>万元以下</w:t>
            </w:r>
            <w:r>
              <w:rPr>
                <w:spacing w:val="13"/>
              </w:rPr>
              <w:t>直接经济损失的，处</w:t>
            </w:r>
            <w:r>
              <w:rPr>
                <w:rFonts w:ascii="宋体" w:hAnsi="宋体" w:eastAsia="宋体" w:cs="宋体"/>
                <w:spacing w:val="13"/>
              </w:rPr>
              <w:t>30</w:t>
            </w:r>
            <w:r>
              <w:rPr>
                <w:spacing w:val="13"/>
              </w:rPr>
              <w:t>万元以上</w:t>
            </w:r>
            <w:r>
              <w:rPr>
                <w:rFonts w:ascii="宋体" w:hAnsi="宋体" w:eastAsia="宋体" w:cs="宋体"/>
                <w:spacing w:val="13"/>
              </w:rPr>
              <w:t>50</w:t>
            </w:r>
            <w:r>
              <w:rPr>
                <w:spacing w:val="13"/>
              </w:rPr>
              <w:t>万元以下的</w:t>
            </w:r>
            <w:r>
              <w:rPr>
                <w:spacing w:val="7"/>
              </w:rPr>
              <w:t>罚款</w:t>
            </w:r>
            <w:r>
              <w:rPr>
                <w:spacing w:val="-7"/>
              </w:rPr>
              <w:t>；（</w:t>
            </w:r>
            <w:r>
              <w:rPr>
                <w:spacing w:val="7"/>
              </w:rPr>
              <w:t>二）造成</w:t>
            </w:r>
            <w:r>
              <w:rPr>
                <w:rFonts w:ascii="宋体" w:hAnsi="宋体" w:eastAsia="宋体" w:cs="宋体"/>
                <w:spacing w:val="7"/>
              </w:rPr>
              <w:t>1</w:t>
            </w:r>
            <w:r>
              <w:rPr>
                <w:spacing w:val="7"/>
              </w:rPr>
              <w:t>人死</w:t>
            </w:r>
            <w:r>
              <w:rPr>
                <w:spacing w:val="3"/>
              </w:rPr>
              <w:t>亡，或者</w:t>
            </w:r>
            <w:r>
              <w:rPr>
                <w:rFonts w:ascii="宋体" w:hAnsi="宋体" w:eastAsia="宋体" w:cs="宋体"/>
                <w:spacing w:val="3"/>
              </w:rPr>
              <w:t>3</w:t>
            </w:r>
            <w:r>
              <w:rPr>
                <w:spacing w:val="3"/>
              </w:rPr>
              <w:t>人以上</w:t>
            </w:r>
            <w:r>
              <w:rPr>
                <w:rFonts w:ascii="宋体" w:hAnsi="宋体" w:eastAsia="宋体" w:cs="宋体"/>
                <w:spacing w:val="3"/>
              </w:rPr>
              <w:t>6</w:t>
            </w:r>
            <w:r>
              <w:rPr>
                <w:spacing w:val="3"/>
              </w:rPr>
              <w:t>人以</w:t>
            </w:r>
            <w:r>
              <w:rPr>
                <w:spacing w:val="2"/>
              </w:rPr>
              <w:t>下重伤，或者</w:t>
            </w:r>
            <w:r>
              <w:rPr>
                <w:rFonts w:ascii="宋体" w:hAnsi="宋体" w:eastAsia="宋体" w:cs="宋体"/>
                <w:spacing w:val="2"/>
              </w:rPr>
              <w:t>300</w:t>
            </w:r>
            <w:r>
              <w:rPr>
                <w:spacing w:val="2"/>
              </w:rPr>
              <w:t>万元以</w:t>
            </w:r>
            <w:r>
              <w:rPr>
                <w:spacing w:val="4"/>
              </w:rPr>
              <w:t>上</w:t>
            </w:r>
            <w:r>
              <w:rPr>
                <w:rFonts w:ascii="宋体" w:hAnsi="宋体" w:eastAsia="宋体" w:cs="宋体"/>
                <w:spacing w:val="4"/>
              </w:rPr>
              <w:t>500</w:t>
            </w:r>
            <w:r>
              <w:rPr>
                <w:spacing w:val="4"/>
              </w:rPr>
              <w:t>万元以下直接经济</w:t>
            </w:r>
            <w:r>
              <w:rPr>
                <w:spacing w:val="8"/>
              </w:rPr>
              <w:t>损失的，处</w:t>
            </w:r>
            <w:r>
              <w:rPr>
                <w:rFonts w:ascii="宋体" w:hAnsi="宋体" w:eastAsia="宋体" w:cs="宋体"/>
                <w:spacing w:val="8"/>
              </w:rPr>
              <w:t>50</w:t>
            </w:r>
            <w:r>
              <w:rPr>
                <w:spacing w:val="8"/>
              </w:rPr>
              <w:t>万元以上</w:t>
            </w:r>
            <w:r>
              <w:rPr>
                <w:rFonts w:ascii="宋体" w:hAnsi="宋体" w:eastAsia="宋体" w:cs="宋体"/>
                <w:spacing w:val="-8"/>
              </w:rPr>
              <w:t>70</w:t>
            </w:r>
            <w:r>
              <w:rPr>
                <w:spacing w:val="-8"/>
              </w:rPr>
              <w:t>万元以下的罚款</w:t>
            </w:r>
            <w:r>
              <w:rPr>
                <w:spacing w:val="-3"/>
              </w:rPr>
              <w:t>；（</w:t>
            </w:r>
            <w:r>
              <w:rPr>
                <w:spacing w:val="-8"/>
              </w:rPr>
              <w:t>三）</w:t>
            </w:r>
            <w:r>
              <w:t>造成</w:t>
            </w:r>
            <w:r>
              <w:rPr>
                <w:rFonts w:ascii="宋体" w:hAnsi="宋体" w:eastAsia="宋体" w:cs="宋体"/>
              </w:rPr>
              <w:t>2</w:t>
            </w:r>
            <w:r>
              <w:t>人死亡，或者</w:t>
            </w:r>
            <w:r>
              <w:rPr>
                <w:rFonts w:ascii="宋体" w:hAnsi="宋体" w:eastAsia="宋体" w:cs="宋体"/>
              </w:rPr>
              <w:t>6</w:t>
            </w:r>
            <w:r>
              <w:t>人</w:t>
            </w:r>
            <w:r>
              <w:rPr>
                <w:spacing w:val="-6"/>
              </w:rPr>
              <w:t>以上</w:t>
            </w:r>
            <w:r>
              <w:rPr>
                <w:rFonts w:ascii="宋体" w:hAnsi="宋体" w:eastAsia="宋体" w:cs="宋体"/>
                <w:spacing w:val="-6"/>
              </w:rPr>
              <w:t>10</w:t>
            </w:r>
            <w:r>
              <w:rPr>
                <w:spacing w:val="-6"/>
              </w:rPr>
              <w:t>人以下重伤，或者</w:t>
            </w:r>
            <w:r>
              <w:rPr>
                <w:rFonts w:ascii="宋体" w:hAnsi="宋体" w:eastAsia="宋体" w:cs="宋体"/>
                <w:spacing w:val="10"/>
              </w:rPr>
              <w:t>500</w:t>
            </w:r>
            <w:r>
              <w:rPr>
                <w:spacing w:val="10"/>
              </w:rPr>
              <w:t>万元以上</w:t>
            </w:r>
            <w:r>
              <w:rPr>
                <w:rFonts w:ascii="宋体" w:hAnsi="宋体" w:eastAsia="宋体" w:cs="宋体"/>
                <w:spacing w:val="10"/>
              </w:rPr>
              <w:t>1000</w:t>
            </w:r>
            <w:r>
              <w:rPr>
                <w:spacing w:val="10"/>
              </w:rPr>
              <w:t>万元以</w:t>
            </w:r>
            <w:r>
              <w:t>下直接经济损失的，处</w:t>
            </w:r>
            <w:r>
              <w:rPr>
                <w:rFonts w:ascii="宋体" w:hAnsi="宋体" w:eastAsia="宋体" w:cs="宋体"/>
              </w:rPr>
              <w:t>70</w:t>
            </w:r>
            <w:r>
              <w:rPr>
                <w:spacing w:val="3"/>
              </w:rPr>
              <w:t>万元以上</w:t>
            </w:r>
            <w:r>
              <w:rPr>
                <w:rFonts w:ascii="宋体" w:hAnsi="宋体" w:eastAsia="宋体" w:cs="宋体"/>
                <w:spacing w:val="3"/>
              </w:rPr>
              <w:t>100</w:t>
            </w:r>
            <w:r>
              <w:rPr>
                <w:spacing w:val="3"/>
              </w:rPr>
              <w:t>万元以下的</w:t>
            </w:r>
            <w:r>
              <w:rPr>
                <w:spacing w:val="-1"/>
              </w:rPr>
              <w:t>罚款。</w:t>
            </w:r>
          </w:p>
        </w:tc>
        <w:tc>
          <w:tcPr>
            <w:tcW w:w="803" w:type="dxa"/>
            <w:vAlign w:val="top"/>
          </w:tcPr>
          <w:p w14:paraId="562C3482">
            <w:pPr>
              <w:spacing w:line="253" w:lineRule="auto"/>
              <w:rPr>
                <w:rFonts w:ascii="Arial"/>
                <w:sz w:val="21"/>
              </w:rPr>
            </w:pPr>
          </w:p>
          <w:p w14:paraId="5FE3E799">
            <w:pPr>
              <w:spacing w:line="253" w:lineRule="auto"/>
              <w:rPr>
                <w:rFonts w:ascii="Arial"/>
                <w:sz w:val="21"/>
              </w:rPr>
            </w:pPr>
          </w:p>
          <w:p w14:paraId="6EF6DDBD">
            <w:pPr>
              <w:spacing w:line="253" w:lineRule="auto"/>
              <w:rPr>
                <w:rFonts w:ascii="Arial"/>
                <w:sz w:val="21"/>
              </w:rPr>
            </w:pPr>
          </w:p>
          <w:p w14:paraId="1632CB64">
            <w:pPr>
              <w:spacing w:line="253" w:lineRule="auto"/>
              <w:rPr>
                <w:rFonts w:ascii="Arial"/>
                <w:sz w:val="21"/>
              </w:rPr>
            </w:pPr>
          </w:p>
          <w:p w14:paraId="04C4C8C8">
            <w:pPr>
              <w:spacing w:line="253" w:lineRule="auto"/>
              <w:rPr>
                <w:rFonts w:ascii="Arial"/>
                <w:sz w:val="21"/>
              </w:rPr>
            </w:pPr>
          </w:p>
          <w:p w14:paraId="0B7EC99C">
            <w:pPr>
              <w:spacing w:line="253" w:lineRule="auto"/>
              <w:rPr>
                <w:rFonts w:ascii="Arial"/>
                <w:sz w:val="21"/>
              </w:rPr>
            </w:pPr>
          </w:p>
          <w:p w14:paraId="2485984A">
            <w:pPr>
              <w:spacing w:line="253" w:lineRule="auto"/>
              <w:rPr>
                <w:rFonts w:ascii="Arial"/>
                <w:sz w:val="21"/>
              </w:rPr>
            </w:pPr>
          </w:p>
          <w:p w14:paraId="2F5DC424">
            <w:pPr>
              <w:spacing w:line="254" w:lineRule="auto"/>
              <w:rPr>
                <w:rFonts w:ascii="Arial"/>
                <w:sz w:val="21"/>
              </w:rPr>
            </w:pPr>
          </w:p>
          <w:p w14:paraId="1B302DA1">
            <w:pPr>
              <w:spacing w:line="254" w:lineRule="auto"/>
              <w:rPr>
                <w:rFonts w:ascii="Arial"/>
                <w:sz w:val="21"/>
              </w:rPr>
            </w:pPr>
          </w:p>
          <w:p w14:paraId="0EFF188A">
            <w:pPr>
              <w:spacing w:line="254" w:lineRule="auto"/>
              <w:rPr>
                <w:rFonts w:ascii="Arial"/>
                <w:sz w:val="21"/>
              </w:rPr>
            </w:pPr>
          </w:p>
          <w:p w14:paraId="1F7EA199">
            <w:pPr>
              <w:spacing w:line="254" w:lineRule="auto"/>
              <w:rPr>
                <w:rFonts w:ascii="Arial"/>
                <w:sz w:val="21"/>
              </w:rPr>
            </w:pPr>
          </w:p>
          <w:p w14:paraId="28BE8DF1">
            <w:pPr>
              <w:spacing w:line="254" w:lineRule="auto"/>
              <w:rPr>
                <w:rFonts w:ascii="Arial"/>
                <w:sz w:val="21"/>
              </w:rPr>
            </w:pPr>
          </w:p>
          <w:p w14:paraId="59C6C4AE">
            <w:pPr>
              <w:spacing w:line="254" w:lineRule="auto"/>
              <w:rPr>
                <w:rFonts w:ascii="Arial"/>
                <w:sz w:val="21"/>
              </w:rPr>
            </w:pPr>
          </w:p>
          <w:p w14:paraId="151CDBD4">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FB3A58D">
            <w:pPr>
              <w:spacing w:line="263" w:lineRule="auto"/>
              <w:rPr>
                <w:rFonts w:ascii="Arial"/>
                <w:sz w:val="21"/>
              </w:rPr>
            </w:pPr>
          </w:p>
          <w:p w14:paraId="42A289B6">
            <w:pPr>
              <w:spacing w:line="263" w:lineRule="auto"/>
              <w:rPr>
                <w:rFonts w:ascii="Arial"/>
                <w:sz w:val="21"/>
              </w:rPr>
            </w:pPr>
          </w:p>
          <w:p w14:paraId="45332D7E">
            <w:pPr>
              <w:spacing w:line="263" w:lineRule="auto"/>
              <w:rPr>
                <w:rFonts w:ascii="Arial"/>
                <w:sz w:val="21"/>
              </w:rPr>
            </w:pPr>
          </w:p>
          <w:p w14:paraId="3A39B8FD">
            <w:pPr>
              <w:spacing w:line="263" w:lineRule="auto"/>
              <w:rPr>
                <w:rFonts w:ascii="Arial"/>
                <w:sz w:val="21"/>
              </w:rPr>
            </w:pPr>
          </w:p>
          <w:p w14:paraId="4B917E26">
            <w:pPr>
              <w:spacing w:line="263" w:lineRule="auto"/>
              <w:rPr>
                <w:rFonts w:ascii="Arial"/>
                <w:sz w:val="21"/>
              </w:rPr>
            </w:pPr>
          </w:p>
          <w:p w14:paraId="7317CBB3">
            <w:pPr>
              <w:spacing w:line="263" w:lineRule="auto"/>
              <w:rPr>
                <w:rFonts w:ascii="Arial"/>
                <w:sz w:val="21"/>
              </w:rPr>
            </w:pPr>
          </w:p>
          <w:p w14:paraId="504FD532">
            <w:pPr>
              <w:spacing w:line="263" w:lineRule="auto"/>
              <w:rPr>
                <w:rFonts w:ascii="Arial"/>
                <w:sz w:val="21"/>
              </w:rPr>
            </w:pPr>
          </w:p>
          <w:p w14:paraId="7E9AF4B4">
            <w:pPr>
              <w:spacing w:line="263" w:lineRule="auto"/>
              <w:rPr>
                <w:rFonts w:ascii="Arial"/>
                <w:sz w:val="21"/>
              </w:rPr>
            </w:pPr>
          </w:p>
          <w:p w14:paraId="2B774EE8">
            <w:pPr>
              <w:spacing w:line="263" w:lineRule="auto"/>
              <w:rPr>
                <w:rFonts w:ascii="Arial"/>
                <w:sz w:val="21"/>
              </w:rPr>
            </w:pPr>
          </w:p>
          <w:p w14:paraId="0E636E48">
            <w:pPr>
              <w:spacing w:line="263" w:lineRule="auto"/>
              <w:rPr>
                <w:rFonts w:ascii="Arial"/>
                <w:sz w:val="21"/>
              </w:rPr>
            </w:pPr>
          </w:p>
          <w:p w14:paraId="6E27503F">
            <w:pPr>
              <w:pStyle w:val="6"/>
              <w:spacing w:before="98" w:line="188" w:lineRule="auto"/>
              <w:ind w:left="115" w:right="105"/>
              <w:jc w:val="both"/>
            </w:pPr>
            <w:r>
              <w:rPr>
                <w:spacing w:val="-5"/>
              </w:rPr>
              <w:t>造成</w:t>
            </w:r>
            <w:r>
              <w:rPr>
                <w:rFonts w:ascii="宋体" w:hAnsi="宋体" w:eastAsia="宋体" w:cs="宋体"/>
                <w:spacing w:val="-5"/>
              </w:rPr>
              <w:t>2</w:t>
            </w:r>
            <w:r>
              <w:rPr>
                <w:spacing w:val="-5"/>
              </w:rPr>
              <w:t>人死亡，或者</w:t>
            </w:r>
            <w:r>
              <w:rPr>
                <w:rFonts w:ascii="宋体" w:hAnsi="宋体" w:eastAsia="宋体" w:cs="宋体"/>
                <w:spacing w:val="5"/>
              </w:rPr>
              <w:t>6</w:t>
            </w:r>
            <w:r>
              <w:rPr>
                <w:spacing w:val="5"/>
              </w:rPr>
              <w:t>人以上</w:t>
            </w:r>
            <w:r>
              <w:rPr>
                <w:rFonts w:ascii="宋体" w:hAnsi="宋体" w:eastAsia="宋体" w:cs="宋体"/>
                <w:spacing w:val="5"/>
              </w:rPr>
              <w:t>10</w:t>
            </w:r>
            <w:r>
              <w:rPr>
                <w:spacing w:val="5"/>
              </w:rPr>
              <w:t>人以下</w:t>
            </w:r>
            <w:r>
              <w:rPr>
                <w:spacing w:val="-5"/>
              </w:rPr>
              <w:t>重伤，或者</w:t>
            </w:r>
            <w:r>
              <w:rPr>
                <w:rFonts w:ascii="宋体" w:hAnsi="宋体" w:eastAsia="宋体" w:cs="宋体"/>
                <w:spacing w:val="-5"/>
              </w:rPr>
              <w:t>500</w:t>
            </w:r>
            <w:r>
              <w:rPr>
                <w:spacing w:val="-5"/>
              </w:rPr>
              <w:t>万元</w:t>
            </w:r>
            <w:r>
              <w:rPr>
                <w:spacing w:val="2"/>
              </w:rPr>
              <w:t>以上</w:t>
            </w:r>
            <w:r>
              <w:rPr>
                <w:rFonts w:ascii="宋体" w:hAnsi="宋体" w:eastAsia="宋体" w:cs="宋体"/>
                <w:spacing w:val="2"/>
              </w:rPr>
              <w:t>1000</w:t>
            </w:r>
            <w:r>
              <w:rPr>
                <w:spacing w:val="2"/>
              </w:rPr>
              <w:t>万元以下</w:t>
            </w:r>
            <w:r>
              <w:rPr>
                <w:spacing w:val="7"/>
              </w:rPr>
              <w:t>直接经济损失的</w:t>
            </w:r>
          </w:p>
        </w:tc>
        <w:tc>
          <w:tcPr>
            <w:tcW w:w="2894" w:type="dxa"/>
            <w:vAlign w:val="top"/>
          </w:tcPr>
          <w:p w14:paraId="2519B61B">
            <w:pPr>
              <w:spacing w:line="247" w:lineRule="auto"/>
              <w:rPr>
                <w:rFonts w:ascii="Arial"/>
                <w:sz w:val="21"/>
              </w:rPr>
            </w:pPr>
          </w:p>
          <w:p w14:paraId="69E13054">
            <w:pPr>
              <w:spacing w:line="248" w:lineRule="auto"/>
              <w:rPr>
                <w:rFonts w:ascii="Arial"/>
                <w:sz w:val="21"/>
              </w:rPr>
            </w:pPr>
          </w:p>
          <w:p w14:paraId="0ECDAD89">
            <w:pPr>
              <w:spacing w:line="248" w:lineRule="auto"/>
              <w:rPr>
                <w:rFonts w:ascii="Arial"/>
                <w:sz w:val="21"/>
              </w:rPr>
            </w:pPr>
          </w:p>
          <w:p w14:paraId="0F030A06">
            <w:pPr>
              <w:spacing w:line="248" w:lineRule="auto"/>
              <w:rPr>
                <w:rFonts w:ascii="Arial"/>
                <w:sz w:val="21"/>
              </w:rPr>
            </w:pPr>
          </w:p>
          <w:p w14:paraId="2C759A65">
            <w:pPr>
              <w:spacing w:line="248" w:lineRule="auto"/>
              <w:rPr>
                <w:rFonts w:ascii="Arial"/>
                <w:sz w:val="21"/>
              </w:rPr>
            </w:pPr>
          </w:p>
          <w:p w14:paraId="4FEC3A14">
            <w:pPr>
              <w:spacing w:line="248" w:lineRule="auto"/>
              <w:rPr>
                <w:rFonts w:ascii="Arial"/>
                <w:sz w:val="21"/>
              </w:rPr>
            </w:pPr>
          </w:p>
          <w:p w14:paraId="50446723">
            <w:pPr>
              <w:spacing w:line="248" w:lineRule="auto"/>
              <w:rPr>
                <w:rFonts w:ascii="Arial"/>
                <w:sz w:val="21"/>
              </w:rPr>
            </w:pPr>
          </w:p>
          <w:p w14:paraId="589EAD7A">
            <w:pPr>
              <w:spacing w:line="248" w:lineRule="auto"/>
              <w:rPr>
                <w:rFonts w:ascii="Arial"/>
                <w:sz w:val="21"/>
              </w:rPr>
            </w:pPr>
          </w:p>
          <w:p w14:paraId="472D4791">
            <w:pPr>
              <w:spacing w:line="248" w:lineRule="auto"/>
              <w:rPr>
                <w:rFonts w:ascii="Arial"/>
                <w:sz w:val="21"/>
              </w:rPr>
            </w:pPr>
          </w:p>
          <w:p w14:paraId="66321219">
            <w:pPr>
              <w:spacing w:line="248" w:lineRule="auto"/>
              <w:rPr>
                <w:rFonts w:ascii="Arial"/>
                <w:sz w:val="21"/>
              </w:rPr>
            </w:pPr>
          </w:p>
          <w:p w14:paraId="2C98A1EB">
            <w:pPr>
              <w:pStyle w:val="6"/>
              <w:spacing w:before="99" w:line="187" w:lineRule="auto"/>
              <w:ind w:left="124" w:right="18" w:hanging="5"/>
              <w:jc w:val="both"/>
            </w:pPr>
            <w:r>
              <w:rPr>
                <w:spacing w:val="9"/>
              </w:rPr>
              <w:t>处</w:t>
            </w:r>
            <w:r>
              <w:rPr>
                <w:rFonts w:ascii="宋体" w:hAnsi="宋体" w:eastAsia="宋体" w:cs="宋体"/>
                <w:spacing w:val="9"/>
              </w:rPr>
              <w:t>70</w:t>
            </w:r>
            <w:r>
              <w:rPr>
                <w:spacing w:val="9"/>
              </w:rPr>
              <w:t>万元以上</w:t>
            </w:r>
            <w:r>
              <w:rPr>
                <w:rFonts w:ascii="宋体" w:hAnsi="宋体" w:eastAsia="宋体" w:cs="宋体"/>
                <w:spacing w:val="9"/>
              </w:rPr>
              <w:t>100</w:t>
            </w:r>
            <w:r>
              <w:rPr>
                <w:spacing w:val="9"/>
              </w:rPr>
              <w:t>万元以</w:t>
            </w:r>
            <w:r>
              <w:rPr>
                <w:spacing w:val="-2"/>
              </w:rPr>
              <w:t>下的罚款；情节特别严重、</w:t>
            </w:r>
            <w:r>
              <w:rPr>
                <w:spacing w:val="7"/>
              </w:rPr>
              <w:t>影响特别恶劣的，可以按</w:t>
            </w:r>
            <w:r>
              <w:rPr>
                <w:spacing w:val="11"/>
              </w:rPr>
              <w:t>照上述罚款数额的二倍以上五倍以下对负有责任的</w:t>
            </w:r>
            <w:r>
              <w:rPr>
                <w:spacing w:val="7"/>
              </w:rPr>
              <w:t>生产经营单位处以罚款</w:t>
            </w:r>
          </w:p>
        </w:tc>
        <w:tc>
          <w:tcPr>
            <w:tcW w:w="811" w:type="dxa"/>
            <w:vAlign w:val="top"/>
          </w:tcPr>
          <w:p w14:paraId="0B4B2B4F">
            <w:pPr>
              <w:rPr>
                <w:rFonts w:ascii="Arial"/>
                <w:sz w:val="21"/>
              </w:rPr>
            </w:pPr>
          </w:p>
        </w:tc>
        <w:tc>
          <w:tcPr>
            <w:tcW w:w="811" w:type="dxa"/>
            <w:vAlign w:val="top"/>
          </w:tcPr>
          <w:p w14:paraId="195C4187">
            <w:pPr>
              <w:rPr>
                <w:rFonts w:ascii="Arial"/>
                <w:sz w:val="21"/>
              </w:rPr>
            </w:pPr>
          </w:p>
        </w:tc>
      </w:tr>
      <w:tr w14:paraId="5350B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6" w:hRule="atLeast"/>
        </w:trPr>
        <w:tc>
          <w:tcPr>
            <w:tcW w:w="818" w:type="dxa"/>
            <w:vAlign w:val="top"/>
          </w:tcPr>
          <w:p w14:paraId="33002F19">
            <w:pPr>
              <w:spacing w:line="300" w:lineRule="auto"/>
              <w:rPr>
                <w:rFonts w:ascii="Arial"/>
                <w:sz w:val="21"/>
              </w:rPr>
            </w:pPr>
          </w:p>
          <w:p w14:paraId="7676A12E">
            <w:pPr>
              <w:spacing w:line="300" w:lineRule="auto"/>
              <w:rPr>
                <w:rFonts w:ascii="Arial"/>
                <w:sz w:val="21"/>
              </w:rPr>
            </w:pPr>
          </w:p>
          <w:p w14:paraId="72CA2C67">
            <w:pPr>
              <w:spacing w:line="301" w:lineRule="auto"/>
              <w:rPr>
                <w:rFonts w:ascii="Arial"/>
                <w:sz w:val="21"/>
              </w:rPr>
            </w:pPr>
          </w:p>
          <w:p w14:paraId="3CBEF43A">
            <w:pPr>
              <w:spacing w:before="74" w:line="185" w:lineRule="auto"/>
              <w:ind w:left="235"/>
              <w:rPr>
                <w:rFonts w:ascii="仿宋" w:hAnsi="仿宋" w:eastAsia="仿宋" w:cs="仿宋"/>
                <w:sz w:val="23"/>
                <w:szCs w:val="23"/>
              </w:rPr>
            </w:pPr>
            <w:r>
              <w:rPr>
                <w:rFonts w:ascii="仿宋" w:hAnsi="仿宋" w:eastAsia="仿宋" w:cs="仿宋"/>
                <w:spacing w:val="-2"/>
                <w:sz w:val="23"/>
                <w:szCs w:val="23"/>
              </w:rPr>
              <w:t>96</w:t>
            </w:r>
          </w:p>
        </w:tc>
        <w:tc>
          <w:tcPr>
            <w:tcW w:w="1440" w:type="dxa"/>
            <w:vAlign w:val="top"/>
          </w:tcPr>
          <w:p w14:paraId="3D0ABD10">
            <w:pPr>
              <w:pStyle w:val="6"/>
              <w:spacing w:before="332" w:line="188" w:lineRule="auto"/>
              <w:ind w:left="115" w:right="111" w:firstLine="13"/>
              <w:jc w:val="both"/>
            </w:pPr>
            <w:r>
              <w:rPr>
                <w:spacing w:val="8"/>
              </w:rPr>
              <w:t>生产经营单</w:t>
            </w:r>
            <w:r>
              <w:rPr>
                <w:spacing w:val="11"/>
              </w:rPr>
              <w:t>位对较大生产安全事故发生负有责</w:t>
            </w:r>
            <w:r>
              <w:rPr>
                <w:spacing w:val="2"/>
              </w:rPr>
              <w:t>任的</w:t>
            </w:r>
          </w:p>
        </w:tc>
        <w:tc>
          <w:tcPr>
            <w:tcW w:w="3202" w:type="dxa"/>
            <w:vAlign w:val="top"/>
          </w:tcPr>
          <w:p w14:paraId="141822ED">
            <w:pPr>
              <w:rPr>
                <w:rFonts w:ascii="Arial"/>
                <w:sz w:val="21"/>
              </w:rPr>
            </w:pPr>
          </w:p>
        </w:tc>
        <w:tc>
          <w:tcPr>
            <w:tcW w:w="2859" w:type="dxa"/>
            <w:vAlign w:val="top"/>
          </w:tcPr>
          <w:p w14:paraId="48D0654D">
            <w:pPr>
              <w:pStyle w:val="6"/>
              <w:spacing w:before="35" w:line="179" w:lineRule="auto"/>
              <w:ind w:left="119" w:right="110" w:firstLine="11"/>
            </w:pPr>
            <w:r>
              <w:rPr>
                <w:rFonts w:ascii="宋体" w:hAnsi="宋体" w:eastAsia="宋体" w:cs="宋体"/>
                <w:spacing w:val="6"/>
              </w:rPr>
              <w:t>1.</w:t>
            </w:r>
            <w:r>
              <w:rPr>
                <w:spacing w:val="6"/>
              </w:rPr>
              <w:t>【法律】《中华人民共</w:t>
            </w:r>
            <w:r>
              <w:rPr>
                <w:spacing w:val="8"/>
              </w:rPr>
              <w:t>和国安全生产法》第一百</w:t>
            </w:r>
            <w:r>
              <w:rPr>
                <w:spacing w:val="5"/>
              </w:rPr>
              <w:t>一十四条第一款第二项、</w:t>
            </w:r>
            <w:r>
              <w:rPr>
                <w:spacing w:val="8"/>
              </w:rPr>
              <w:t>第二款：发生生产安全事故，对负有责任的生产经营单位除要求其依法承担</w:t>
            </w:r>
            <w:r>
              <w:rPr>
                <w:spacing w:val="-2"/>
              </w:rPr>
              <w:t>相应的赔偿等责任外，由</w:t>
            </w:r>
          </w:p>
        </w:tc>
        <w:tc>
          <w:tcPr>
            <w:tcW w:w="803" w:type="dxa"/>
            <w:vAlign w:val="top"/>
          </w:tcPr>
          <w:p w14:paraId="677887E9">
            <w:pPr>
              <w:spacing w:line="298" w:lineRule="auto"/>
              <w:rPr>
                <w:rFonts w:ascii="Arial"/>
                <w:sz w:val="21"/>
              </w:rPr>
            </w:pPr>
          </w:p>
          <w:p w14:paraId="7C606025">
            <w:pPr>
              <w:spacing w:line="298" w:lineRule="auto"/>
              <w:rPr>
                <w:rFonts w:ascii="Arial"/>
                <w:sz w:val="21"/>
              </w:rPr>
            </w:pPr>
          </w:p>
          <w:p w14:paraId="175FF4A5">
            <w:pPr>
              <w:spacing w:line="298" w:lineRule="auto"/>
              <w:rPr>
                <w:rFonts w:ascii="Arial"/>
                <w:sz w:val="21"/>
              </w:rPr>
            </w:pPr>
          </w:p>
          <w:p w14:paraId="6B8E5B8E">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7FED51D">
            <w:pPr>
              <w:pStyle w:val="6"/>
              <w:spacing w:before="181" w:line="187" w:lineRule="auto"/>
              <w:ind w:left="117" w:right="105" w:hanging="1"/>
              <w:jc w:val="both"/>
            </w:pPr>
            <w:r>
              <w:rPr>
                <w:spacing w:val="17"/>
              </w:rPr>
              <w:t>造成</w:t>
            </w:r>
            <w:r>
              <w:rPr>
                <w:rFonts w:ascii="宋体" w:hAnsi="宋体" w:eastAsia="宋体" w:cs="宋体"/>
                <w:spacing w:val="17"/>
              </w:rPr>
              <w:t>3</w:t>
            </w:r>
            <w:r>
              <w:rPr>
                <w:spacing w:val="17"/>
              </w:rPr>
              <w:t>人以上</w:t>
            </w:r>
            <w:r>
              <w:rPr>
                <w:rFonts w:ascii="宋体" w:hAnsi="宋体" w:eastAsia="宋体" w:cs="宋体"/>
                <w:spacing w:val="17"/>
              </w:rPr>
              <w:t>5</w:t>
            </w:r>
            <w:r>
              <w:rPr>
                <w:spacing w:val="17"/>
              </w:rPr>
              <w:t>人以</w:t>
            </w:r>
            <w:r>
              <w:t>下死亡，或者</w:t>
            </w:r>
            <w:r>
              <w:rPr>
                <w:rFonts w:ascii="宋体" w:hAnsi="宋体" w:eastAsia="宋体" w:cs="宋体"/>
              </w:rPr>
              <w:t>10</w:t>
            </w:r>
            <w:r>
              <w:t>人</w:t>
            </w:r>
            <w:r>
              <w:rPr>
                <w:spacing w:val="-7"/>
              </w:rPr>
              <w:t>以上</w:t>
            </w:r>
            <w:r>
              <w:rPr>
                <w:rFonts w:ascii="宋体" w:hAnsi="宋体" w:eastAsia="宋体" w:cs="宋体"/>
                <w:spacing w:val="-7"/>
              </w:rPr>
              <w:t>20</w:t>
            </w:r>
            <w:r>
              <w:rPr>
                <w:spacing w:val="-7"/>
              </w:rPr>
              <w:t>人以下重</w:t>
            </w:r>
            <w:r>
              <w:rPr>
                <w:spacing w:val="-1"/>
              </w:rPr>
              <w:t>伤，或者</w:t>
            </w:r>
            <w:r>
              <w:rPr>
                <w:rFonts w:ascii="宋体" w:hAnsi="宋体" w:eastAsia="宋体" w:cs="宋体"/>
                <w:spacing w:val="-1"/>
              </w:rPr>
              <w:t>1000</w:t>
            </w:r>
            <w:r>
              <w:rPr>
                <w:spacing w:val="-1"/>
              </w:rPr>
              <w:t>万元</w:t>
            </w:r>
            <w:r>
              <w:rPr>
                <w:spacing w:val="4"/>
              </w:rPr>
              <w:t>以上</w:t>
            </w:r>
            <w:r>
              <w:rPr>
                <w:rFonts w:ascii="宋体" w:hAnsi="宋体" w:eastAsia="宋体" w:cs="宋体"/>
                <w:spacing w:val="4"/>
              </w:rPr>
              <w:t>2000</w:t>
            </w:r>
            <w:r>
              <w:rPr>
                <w:spacing w:val="4"/>
              </w:rPr>
              <w:t>万元以下</w:t>
            </w:r>
            <w:r>
              <w:rPr>
                <w:spacing w:val="7"/>
              </w:rPr>
              <w:t>直接经济损失的</w:t>
            </w:r>
          </w:p>
        </w:tc>
        <w:tc>
          <w:tcPr>
            <w:tcW w:w="2894" w:type="dxa"/>
            <w:vAlign w:val="top"/>
          </w:tcPr>
          <w:p w14:paraId="018673A6">
            <w:pPr>
              <w:pStyle w:val="6"/>
              <w:spacing w:before="35" w:line="179" w:lineRule="auto"/>
              <w:ind w:left="115" w:right="105" w:firstLine="3"/>
              <w:jc w:val="both"/>
            </w:pPr>
            <w:r>
              <w:rPr>
                <w:spacing w:val="-1"/>
              </w:rPr>
              <w:t>处</w:t>
            </w:r>
            <w:r>
              <w:rPr>
                <w:rFonts w:ascii="宋体" w:hAnsi="宋体" w:eastAsia="宋体" w:cs="宋体"/>
                <w:spacing w:val="-1"/>
              </w:rPr>
              <w:t>100</w:t>
            </w:r>
            <w:r>
              <w:rPr>
                <w:spacing w:val="-1"/>
              </w:rPr>
              <w:t>万元以上</w:t>
            </w:r>
            <w:r>
              <w:rPr>
                <w:rFonts w:ascii="宋体" w:hAnsi="宋体" w:eastAsia="宋体" w:cs="宋体"/>
                <w:spacing w:val="-1"/>
              </w:rPr>
              <w:t>120</w:t>
            </w:r>
            <w:r>
              <w:rPr>
                <w:spacing w:val="-1"/>
              </w:rPr>
              <w:t>万元</w:t>
            </w:r>
            <w:r>
              <w:rPr>
                <w:spacing w:val="8"/>
              </w:rPr>
              <w:t>以下的罚款；情节特别严重、影响特别恶劣的，可</w:t>
            </w:r>
            <w:r>
              <w:rPr>
                <w:spacing w:val="12"/>
              </w:rPr>
              <w:t>以按照上述罚款数额的二倍以上五倍以下对负有责任的生产经营单位处以罚</w:t>
            </w:r>
            <w:r>
              <w:t>款</w:t>
            </w:r>
          </w:p>
        </w:tc>
        <w:tc>
          <w:tcPr>
            <w:tcW w:w="811" w:type="dxa"/>
            <w:vAlign w:val="top"/>
          </w:tcPr>
          <w:p w14:paraId="35E60643">
            <w:pPr>
              <w:spacing w:line="299" w:lineRule="auto"/>
              <w:rPr>
                <w:rFonts w:ascii="Arial"/>
                <w:sz w:val="21"/>
              </w:rPr>
            </w:pPr>
          </w:p>
          <w:p w14:paraId="22DA2A36">
            <w:pPr>
              <w:spacing w:line="299" w:lineRule="auto"/>
              <w:rPr>
                <w:rFonts w:ascii="Arial"/>
                <w:sz w:val="21"/>
              </w:rPr>
            </w:pPr>
          </w:p>
          <w:p w14:paraId="609CC853">
            <w:pPr>
              <w:spacing w:line="299" w:lineRule="auto"/>
              <w:rPr>
                <w:rFonts w:ascii="Arial"/>
                <w:sz w:val="21"/>
              </w:rPr>
            </w:pPr>
          </w:p>
          <w:p w14:paraId="2B6D5789">
            <w:pPr>
              <w:spacing w:before="75" w:line="188" w:lineRule="auto"/>
              <w:ind w:left="292"/>
              <w:rPr>
                <w:rFonts w:ascii="宋体" w:hAnsi="宋体" w:eastAsia="宋体" w:cs="宋体"/>
                <w:sz w:val="23"/>
                <w:szCs w:val="23"/>
              </w:rPr>
            </w:pPr>
            <w:r>
              <w:rPr>
                <w:rFonts w:ascii="宋体" w:hAnsi="宋体" w:eastAsia="宋体" w:cs="宋体"/>
                <w:spacing w:val="-3"/>
                <w:sz w:val="23"/>
                <w:szCs w:val="23"/>
              </w:rPr>
              <w:t>66</w:t>
            </w:r>
          </w:p>
        </w:tc>
        <w:tc>
          <w:tcPr>
            <w:tcW w:w="811" w:type="dxa"/>
            <w:vAlign w:val="top"/>
          </w:tcPr>
          <w:p w14:paraId="5952382C">
            <w:pPr>
              <w:spacing w:before="75" w:line="188" w:lineRule="auto"/>
              <w:ind w:left="292"/>
              <w:rPr>
                <w:rFonts w:ascii="宋体" w:hAnsi="宋体" w:eastAsia="宋体" w:cs="宋体"/>
                <w:spacing w:val="-3"/>
                <w:sz w:val="23"/>
                <w:szCs w:val="23"/>
              </w:rPr>
            </w:pPr>
          </w:p>
        </w:tc>
      </w:tr>
    </w:tbl>
    <w:p w14:paraId="1B21B5AF">
      <w:pPr>
        <w:pStyle w:val="2"/>
      </w:pPr>
    </w:p>
    <w:p w14:paraId="39C1DB7F">
      <w:pPr>
        <w:sectPr>
          <w:footerReference r:id="rId120" w:type="default"/>
          <w:pgSz w:w="16839" w:h="11906"/>
          <w:pgMar w:top="1012" w:right="821" w:bottom="667" w:left="901" w:header="0" w:footer="388" w:gutter="0"/>
          <w:cols w:space="720" w:num="1"/>
        </w:sectPr>
      </w:pPr>
    </w:p>
    <w:p w14:paraId="77298797">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6AC6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8EDC325">
            <w:pPr>
              <w:spacing w:before="222" w:line="241" w:lineRule="auto"/>
              <w:ind w:left="131"/>
              <w:rPr>
                <w:rFonts w:ascii="黑体" w:hAnsi="黑体" w:eastAsia="黑体" w:cs="黑体"/>
                <w:sz w:val="28"/>
                <w:szCs w:val="28"/>
              </w:rPr>
            </w:pPr>
            <w:bookmarkStart w:id="517" w:name="bookmark533"/>
            <w:bookmarkEnd w:id="517"/>
            <w:r>
              <w:rPr>
                <w:rFonts w:ascii="黑体" w:hAnsi="黑体" w:eastAsia="黑体" w:cs="黑体"/>
                <w:spacing w:val="-2"/>
                <w:sz w:val="28"/>
                <w:szCs w:val="28"/>
              </w:rPr>
              <w:t>序号</w:t>
            </w:r>
          </w:p>
        </w:tc>
        <w:tc>
          <w:tcPr>
            <w:tcW w:w="1440" w:type="dxa"/>
            <w:vAlign w:val="top"/>
          </w:tcPr>
          <w:p w14:paraId="0B5C8690">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9842966">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15A62BA">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4BB35E68">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B7B905F">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5469F3C3">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60F87D6">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3288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2" w:hRule="atLeast"/>
        </w:trPr>
        <w:tc>
          <w:tcPr>
            <w:tcW w:w="818" w:type="dxa"/>
            <w:vMerge w:val="restart"/>
            <w:tcBorders>
              <w:bottom w:val="nil"/>
            </w:tcBorders>
            <w:vAlign w:val="top"/>
          </w:tcPr>
          <w:p w14:paraId="6C1EB2F1">
            <w:pPr>
              <w:rPr>
                <w:rFonts w:ascii="Arial"/>
                <w:sz w:val="21"/>
              </w:rPr>
            </w:pPr>
          </w:p>
        </w:tc>
        <w:tc>
          <w:tcPr>
            <w:tcW w:w="1440" w:type="dxa"/>
            <w:vMerge w:val="restart"/>
            <w:tcBorders>
              <w:bottom w:val="nil"/>
            </w:tcBorders>
            <w:vAlign w:val="top"/>
          </w:tcPr>
          <w:p w14:paraId="66F1CA51">
            <w:pPr>
              <w:rPr>
                <w:rFonts w:ascii="Arial"/>
                <w:sz w:val="21"/>
              </w:rPr>
            </w:pPr>
          </w:p>
        </w:tc>
        <w:tc>
          <w:tcPr>
            <w:tcW w:w="3202" w:type="dxa"/>
            <w:vMerge w:val="restart"/>
            <w:tcBorders>
              <w:bottom w:val="nil"/>
            </w:tcBorders>
            <w:vAlign w:val="top"/>
          </w:tcPr>
          <w:p w14:paraId="574891F9">
            <w:pPr>
              <w:rPr>
                <w:rFonts w:ascii="Arial"/>
                <w:sz w:val="21"/>
              </w:rPr>
            </w:pPr>
          </w:p>
        </w:tc>
        <w:tc>
          <w:tcPr>
            <w:tcW w:w="2859" w:type="dxa"/>
            <w:vMerge w:val="restart"/>
            <w:tcBorders>
              <w:bottom w:val="nil"/>
            </w:tcBorders>
            <w:vAlign w:val="top"/>
          </w:tcPr>
          <w:p w14:paraId="08B1EC27">
            <w:pPr>
              <w:pStyle w:val="6"/>
              <w:spacing w:before="31" w:line="182" w:lineRule="auto"/>
              <w:ind w:left="117" w:right="110" w:firstLine="6"/>
              <w:jc w:val="both"/>
            </w:pPr>
            <w:r>
              <w:rPr>
                <w:spacing w:val="8"/>
              </w:rPr>
              <w:t>应急管理部门依照下列规定处以罚款</w:t>
            </w:r>
            <w:r>
              <w:rPr>
                <w:spacing w:val="11"/>
              </w:rPr>
              <w:t>：（</w:t>
            </w:r>
            <w:r>
              <w:rPr>
                <w:spacing w:val="8"/>
              </w:rPr>
              <w:t>二）发生较大事故的，处一百万元</w:t>
            </w:r>
            <w:r>
              <w:rPr>
                <w:spacing w:val="32"/>
              </w:rPr>
              <w:t>以上二百万元以下的罚</w:t>
            </w:r>
            <w:r>
              <w:rPr>
                <w:spacing w:val="-10"/>
              </w:rPr>
              <w:t>款；</w:t>
            </w:r>
          </w:p>
          <w:p w14:paraId="5092B0DE">
            <w:pPr>
              <w:pStyle w:val="6"/>
              <w:spacing w:before="17" w:line="182" w:lineRule="auto"/>
              <w:ind w:left="115" w:right="105" w:firstLine="3"/>
            </w:pPr>
            <w:r>
              <w:rPr>
                <w:spacing w:val="8"/>
              </w:rPr>
              <w:t>发生生产安全事故，情节特别严重、影响特别恶劣的，应急管理部门可以按照前款罚款数额的二倍以上五倍以下对负有责任的</w:t>
            </w:r>
            <w:r>
              <w:rPr>
                <w:spacing w:val="5"/>
              </w:rPr>
              <w:t>生产经营单位处以罚款。</w:t>
            </w:r>
            <w:r>
              <w:rPr>
                <w:rFonts w:ascii="宋体" w:hAnsi="宋体" w:eastAsia="宋体" w:cs="宋体"/>
                <w:spacing w:val="7"/>
              </w:rPr>
              <w:t>2.</w:t>
            </w:r>
            <w:r>
              <w:rPr>
                <w:spacing w:val="7"/>
              </w:rPr>
              <w:t>【部门规章】《生产安</w:t>
            </w:r>
            <w:r>
              <w:rPr>
                <w:spacing w:val="8"/>
              </w:rPr>
              <w:t>全事故罚款处罚规定》第</w:t>
            </w:r>
            <w:r>
              <w:rPr>
                <w:spacing w:val="4"/>
              </w:rPr>
              <w:t>十五条：事故发生单位对</w:t>
            </w:r>
            <w:r>
              <w:rPr>
                <w:spacing w:val="32"/>
              </w:rPr>
              <w:t>较大事故发生负有责任</w:t>
            </w:r>
            <w:r>
              <w:rPr>
                <w:spacing w:val="8"/>
              </w:rPr>
              <w:t>的，依照下列规定处以罚</w:t>
            </w:r>
            <w:r>
              <w:rPr>
                <w:spacing w:val="-8"/>
              </w:rPr>
              <w:t>款：（一）造成</w:t>
            </w:r>
            <w:r>
              <w:rPr>
                <w:rFonts w:ascii="宋体" w:hAnsi="宋体" w:eastAsia="宋体" w:cs="宋体"/>
                <w:spacing w:val="-8"/>
              </w:rPr>
              <w:t>3</w:t>
            </w:r>
            <w:r>
              <w:rPr>
                <w:spacing w:val="-8"/>
              </w:rPr>
              <w:t>人以上</w:t>
            </w:r>
            <w:r>
              <w:rPr>
                <w:rFonts w:ascii="宋体" w:hAnsi="宋体" w:eastAsia="宋体" w:cs="宋体"/>
                <w:spacing w:val="-3"/>
              </w:rPr>
              <w:t>5</w:t>
            </w:r>
            <w:r>
              <w:rPr>
                <w:spacing w:val="-3"/>
              </w:rPr>
              <w:t>人以下死亡，或者</w:t>
            </w:r>
            <w:r>
              <w:rPr>
                <w:rFonts w:ascii="宋体" w:hAnsi="宋体" w:eastAsia="宋体" w:cs="宋体"/>
                <w:spacing w:val="-3"/>
              </w:rPr>
              <w:t>10</w:t>
            </w:r>
            <w:r>
              <w:rPr>
                <w:spacing w:val="-3"/>
              </w:rPr>
              <w:t>人</w:t>
            </w:r>
            <w:r>
              <w:rPr>
                <w:spacing w:val="-4"/>
              </w:rPr>
              <w:t>以上</w:t>
            </w:r>
            <w:r>
              <w:rPr>
                <w:rFonts w:ascii="宋体" w:hAnsi="宋体" w:eastAsia="宋体" w:cs="宋体"/>
                <w:spacing w:val="-4"/>
              </w:rPr>
              <w:t>20</w:t>
            </w:r>
            <w:r>
              <w:rPr>
                <w:spacing w:val="-4"/>
              </w:rPr>
              <w:t>人以下重伤，或者</w:t>
            </w:r>
            <w:r>
              <w:rPr>
                <w:rFonts w:ascii="宋体" w:hAnsi="宋体" w:eastAsia="宋体" w:cs="宋体"/>
                <w:spacing w:val="3"/>
              </w:rPr>
              <w:t>1000</w:t>
            </w:r>
            <w:r>
              <w:rPr>
                <w:spacing w:val="3"/>
              </w:rPr>
              <w:t>万元以上</w:t>
            </w:r>
            <w:r>
              <w:rPr>
                <w:rFonts w:ascii="宋体" w:hAnsi="宋体" w:eastAsia="宋体" w:cs="宋体"/>
                <w:spacing w:val="3"/>
              </w:rPr>
              <w:t>2000</w:t>
            </w:r>
            <w:r>
              <w:rPr>
                <w:spacing w:val="3"/>
              </w:rPr>
              <w:t>万元</w:t>
            </w:r>
            <w:r>
              <w:rPr>
                <w:spacing w:val="8"/>
              </w:rPr>
              <w:t>以下直接经济损失的，处</w:t>
            </w:r>
            <w:r>
              <w:rPr>
                <w:rFonts w:ascii="宋体" w:hAnsi="宋体" w:eastAsia="宋体" w:cs="宋体"/>
                <w:spacing w:val="1"/>
              </w:rPr>
              <w:t>100</w:t>
            </w:r>
            <w:r>
              <w:rPr>
                <w:spacing w:val="1"/>
              </w:rPr>
              <w:t>万元以上</w:t>
            </w:r>
            <w:r>
              <w:rPr>
                <w:rFonts w:ascii="宋体" w:hAnsi="宋体" w:eastAsia="宋体" w:cs="宋体"/>
                <w:spacing w:val="1"/>
              </w:rPr>
              <w:t>120</w:t>
            </w:r>
            <w:r>
              <w:rPr>
                <w:spacing w:val="1"/>
              </w:rPr>
              <w:t>万元以</w:t>
            </w:r>
            <w:r>
              <w:rPr>
                <w:spacing w:val="15"/>
              </w:rPr>
              <w:t>下的罚款</w:t>
            </w:r>
            <w:r>
              <w:rPr>
                <w:spacing w:val="-18"/>
              </w:rPr>
              <w:t>；（</w:t>
            </w:r>
            <w:r>
              <w:rPr>
                <w:spacing w:val="15"/>
              </w:rPr>
              <w:t>二）造成</w:t>
            </w:r>
            <w:r>
              <w:rPr>
                <w:rFonts w:ascii="宋体" w:hAnsi="宋体" w:eastAsia="宋体" w:cs="宋体"/>
                <w:spacing w:val="15"/>
              </w:rPr>
              <w:t>5</w:t>
            </w:r>
            <w:r>
              <w:rPr>
                <w:spacing w:val="5"/>
              </w:rPr>
              <w:t>人以上</w:t>
            </w:r>
            <w:r>
              <w:rPr>
                <w:rFonts w:ascii="宋体" w:hAnsi="宋体" w:eastAsia="宋体" w:cs="宋体"/>
                <w:spacing w:val="5"/>
              </w:rPr>
              <w:t>7</w:t>
            </w:r>
            <w:r>
              <w:rPr>
                <w:spacing w:val="5"/>
              </w:rPr>
              <w:t>人以下死亡，或</w:t>
            </w:r>
            <w:r>
              <w:rPr>
                <w:spacing w:val="2"/>
              </w:rPr>
              <w:t>者</w:t>
            </w:r>
            <w:r>
              <w:rPr>
                <w:rFonts w:ascii="宋体" w:hAnsi="宋体" w:eastAsia="宋体" w:cs="宋体"/>
                <w:spacing w:val="2"/>
              </w:rPr>
              <w:t>20</w:t>
            </w:r>
            <w:r>
              <w:rPr>
                <w:spacing w:val="2"/>
              </w:rPr>
              <w:t>人以上</w:t>
            </w:r>
            <w:r>
              <w:rPr>
                <w:rFonts w:ascii="宋体" w:hAnsi="宋体" w:eastAsia="宋体" w:cs="宋体"/>
                <w:spacing w:val="2"/>
              </w:rPr>
              <w:t>30</w:t>
            </w:r>
            <w:r>
              <w:rPr>
                <w:spacing w:val="2"/>
              </w:rPr>
              <w:t>人以下重</w:t>
            </w:r>
            <w:r>
              <w:rPr>
                <w:spacing w:val="5"/>
              </w:rPr>
              <w:t>伤，或者</w:t>
            </w:r>
            <w:r>
              <w:rPr>
                <w:rFonts w:ascii="宋体" w:hAnsi="宋体" w:eastAsia="宋体" w:cs="宋体"/>
                <w:spacing w:val="5"/>
              </w:rPr>
              <w:t>2000</w:t>
            </w:r>
            <w:r>
              <w:rPr>
                <w:spacing w:val="5"/>
              </w:rPr>
              <w:t>万元以上</w:t>
            </w:r>
            <w:r>
              <w:rPr>
                <w:rFonts w:ascii="宋体" w:hAnsi="宋体" w:eastAsia="宋体" w:cs="宋体"/>
                <w:spacing w:val="16"/>
              </w:rPr>
              <w:t>3000</w:t>
            </w:r>
            <w:r>
              <w:rPr>
                <w:spacing w:val="16"/>
              </w:rPr>
              <w:t>万元以下直接经济</w:t>
            </w:r>
            <w:r>
              <w:rPr>
                <w:spacing w:val="2"/>
              </w:rPr>
              <w:t>损失的，处</w:t>
            </w:r>
            <w:r>
              <w:rPr>
                <w:rFonts w:ascii="宋体" w:hAnsi="宋体" w:eastAsia="宋体" w:cs="宋体"/>
                <w:spacing w:val="2"/>
              </w:rPr>
              <w:t>120</w:t>
            </w:r>
            <w:r>
              <w:rPr>
                <w:spacing w:val="2"/>
              </w:rPr>
              <w:t>万元以上</w:t>
            </w:r>
            <w:r>
              <w:rPr>
                <w:rFonts w:ascii="宋体" w:hAnsi="宋体" w:eastAsia="宋体" w:cs="宋体"/>
                <w:spacing w:val="23"/>
              </w:rPr>
              <w:t>150</w:t>
            </w:r>
            <w:r>
              <w:rPr>
                <w:spacing w:val="23"/>
              </w:rPr>
              <w:t>万元以下的罚款；</w:t>
            </w:r>
          </w:p>
          <w:p w14:paraId="2C663D95">
            <w:pPr>
              <w:pStyle w:val="6"/>
              <w:spacing w:line="161" w:lineRule="auto"/>
              <w:ind w:left="98"/>
              <w:rPr>
                <w:rFonts w:ascii="宋体" w:hAnsi="宋体" w:eastAsia="宋体" w:cs="宋体"/>
              </w:rPr>
            </w:pPr>
            <w:r>
              <w:rPr>
                <w:spacing w:val="8"/>
              </w:rPr>
              <w:t>（三）造成</w:t>
            </w:r>
            <w:r>
              <w:rPr>
                <w:rFonts w:ascii="宋体" w:hAnsi="宋体" w:eastAsia="宋体" w:cs="宋体"/>
                <w:spacing w:val="8"/>
              </w:rPr>
              <w:t>7</w:t>
            </w:r>
            <w:r>
              <w:rPr>
                <w:spacing w:val="8"/>
              </w:rPr>
              <w:t>人以上</w:t>
            </w:r>
            <w:r>
              <w:rPr>
                <w:rFonts w:ascii="宋体" w:hAnsi="宋体" w:eastAsia="宋体" w:cs="宋体"/>
                <w:spacing w:val="8"/>
              </w:rPr>
              <w:t>10</w:t>
            </w:r>
          </w:p>
        </w:tc>
        <w:tc>
          <w:tcPr>
            <w:tcW w:w="803" w:type="dxa"/>
            <w:vAlign w:val="top"/>
          </w:tcPr>
          <w:p w14:paraId="7B460461">
            <w:pPr>
              <w:spacing w:line="272" w:lineRule="auto"/>
              <w:rPr>
                <w:rFonts w:ascii="Arial"/>
                <w:sz w:val="21"/>
              </w:rPr>
            </w:pPr>
          </w:p>
          <w:p w14:paraId="25BD5439">
            <w:pPr>
              <w:spacing w:line="272" w:lineRule="auto"/>
              <w:rPr>
                <w:rFonts w:ascii="Arial"/>
                <w:sz w:val="21"/>
              </w:rPr>
            </w:pPr>
          </w:p>
          <w:p w14:paraId="31C5EC88">
            <w:pPr>
              <w:spacing w:line="272" w:lineRule="auto"/>
              <w:rPr>
                <w:rFonts w:ascii="Arial"/>
                <w:sz w:val="21"/>
              </w:rPr>
            </w:pPr>
          </w:p>
          <w:p w14:paraId="764D0A3A">
            <w:pPr>
              <w:spacing w:line="272" w:lineRule="auto"/>
              <w:rPr>
                <w:rFonts w:ascii="Arial"/>
                <w:sz w:val="21"/>
              </w:rPr>
            </w:pPr>
          </w:p>
          <w:p w14:paraId="54DE591C">
            <w:pPr>
              <w:spacing w:line="272" w:lineRule="auto"/>
              <w:rPr>
                <w:rFonts w:ascii="Arial"/>
                <w:sz w:val="21"/>
              </w:rPr>
            </w:pPr>
          </w:p>
          <w:p w14:paraId="48F28803">
            <w:pPr>
              <w:spacing w:line="273" w:lineRule="auto"/>
              <w:rPr>
                <w:rFonts w:ascii="Arial"/>
                <w:sz w:val="21"/>
              </w:rPr>
            </w:pPr>
          </w:p>
          <w:p w14:paraId="48871BE3">
            <w:pPr>
              <w:spacing w:line="273" w:lineRule="auto"/>
              <w:rPr>
                <w:rFonts w:ascii="Arial"/>
                <w:sz w:val="21"/>
              </w:rPr>
            </w:pPr>
          </w:p>
          <w:p w14:paraId="68F90111">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566A6442">
            <w:pPr>
              <w:spacing w:line="272" w:lineRule="auto"/>
              <w:rPr>
                <w:rFonts w:ascii="Arial"/>
                <w:sz w:val="21"/>
              </w:rPr>
            </w:pPr>
          </w:p>
          <w:p w14:paraId="30683986">
            <w:pPr>
              <w:spacing w:line="272" w:lineRule="auto"/>
              <w:rPr>
                <w:rFonts w:ascii="Arial"/>
                <w:sz w:val="21"/>
              </w:rPr>
            </w:pPr>
          </w:p>
          <w:p w14:paraId="13AB1E18">
            <w:pPr>
              <w:spacing w:line="273" w:lineRule="auto"/>
              <w:rPr>
                <w:rFonts w:ascii="Arial"/>
                <w:sz w:val="21"/>
              </w:rPr>
            </w:pPr>
          </w:p>
          <w:p w14:paraId="1C2E0ADD">
            <w:pPr>
              <w:spacing w:line="273" w:lineRule="auto"/>
              <w:rPr>
                <w:rFonts w:ascii="Arial"/>
                <w:sz w:val="21"/>
              </w:rPr>
            </w:pPr>
          </w:p>
          <w:p w14:paraId="23D631AB">
            <w:pPr>
              <w:pStyle w:val="6"/>
              <w:spacing w:before="98" w:line="187" w:lineRule="auto"/>
              <w:ind w:left="117" w:right="105" w:hanging="1"/>
              <w:jc w:val="both"/>
            </w:pPr>
            <w:r>
              <w:rPr>
                <w:spacing w:val="11"/>
              </w:rPr>
              <w:t>造成</w:t>
            </w:r>
            <w:r>
              <w:rPr>
                <w:rFonts w:ascii="宋体" w:hAnsi="宋体" w:eastAsia="宋体" w:cs="宋体"/>
                <w:spacing w:val="11"/>
              </w:rPr>
              <w:t>5</w:t>
            </w:r>
            <w:r>
              <w:rPr>
                <w:spacing w:val="11"/>
              </w:rPr>
              <w:t>人以上</w:t>
            </w:r>
            <w:r>
              <w:rPr>
                <w:rFonts w:ascii="宋体" w:hAnsi="宋体" w:eastAsia="宋体" w:cs="宋体"/>
                <w:spacing w:val="11"/>
              </w:rPr>
              <w:t>7</w:t>
            </w:r>
            <w:r>
              <w:rPr>
                <w:spacing w:val="11"/>
              </w:rPr>
              <w:t>人以</w:t>
            </w:r>
            <w:r>
              <w:rPr>
                <w:spacing w:val="2"/>
              </w:rPr>
              <w:t>下死亡，或者</w:t>
            </w:r>
            <w:r>
              <w:rPr>
                <w:rFonts w:ascii="宋体" w:hAnsi="宋体" w:eastAsia="宋体" w:cs="宋体"/>
                <w:spacing w:val="2"/>
              </w:rPr>
              <w:t>20</w:t>
            </w:r>
            <w:r>
              <w:rPr>
                <w:spacing w:val="2"/>
              </w:rPr>
              <w:t>人</w:t>
            </w:r>
            <w:r>
              <w:rPr>
                <w:spacing w:val="-8"/>
              </w:rPr>
              <w:t>以上</w:t>
            </w:r>
            <w:r>
              <w:rPr>
                <w:rFonts w:ascii="宋体" w:hAnsi="宋体" w:eastAsia="宋体" w:cs="宋体"/>
                <w:spacing w:val="-8"/>
              </w:rPr>
              <w:t>30</w:t>
            </w:r>
            <w:r>
              <w:rPr>
                <w:spacing w:val="-8"/>
              </w:rPr>
              <w:t>人以下重</w:t>
            </w:r>
            <w:r>
              <w:rPr>
                <w:spacing w:val="1"/>
              </w:rPr>
              <w:t>伤，或者</w:t>
            </w:r>
            <w:r>
              <w:rPr>
                <w:rFonts w:ascii="宋体" w:hAnsi="宋体" w:eastAsia="宋体" w:cs="宋体"/>
                <w:spacing w:val="1"/>
              </w:rPr>
              <w:t>2000</w:t>
            </w:r>
            <w:r>
              <w:rPr>
                <w:spacing w:val="1"/>
              </w:rPr>
              <w:t>万元</w:t>
            </w:r>
            <w:r>
              <w:rPr>
                <w:spacing w:val="4"/>
              </w:rPr>
              <w:t>以上</w:t>
            </w:r>
            <w:r>
              <w:rPr>
                <w:rFonts w:ascii="宋体" w:hAnsi="宋体" w:eastAsia="宋体" w:cs="宋体"/>
                <w:spacing w:val="4"/>
              </w:rPr>
              <w:t>3000</w:t>
            </w:r>
            <w:r>
              <w:rPr>
                <w:spacing w:val="4"/>
              </w:rPr>
              <w:t>万元以下</w:t>
            </w:r>
            <w:r>
              <w:rPr>
                <w:spacing w:val="7"/>
              </w:rPr>
              <w:t>直接经济损失的</w:t>
            </w:r>
          </w:p>
        </w:tc>
        <w:tc>
          <w:tcPr>
            <w:tcW w:w="2894" w:type="dxa"/>
            <w:vAlign w:val="top"/>
          </w:tcPr>
          <w:p w14:paraId="4B482A33">
            <w:pPr>
              <w:spacing w:line="315" w:lineRule="auto"/>
              <w:rPr>
                <w:rFonts w:ascii="Arial"/>
                <w:sz w:val="21"/>
              </w:rPr>
            </w:pPr>
          </w:p>
          <w:p w14:paraId="670F05C1">
            <w:pPr>
              <w:spacing w:line="315" w:lineRule="auto"/>
              <w:rPr>
                <w:rFonts w:ascii="Arial"/>
                <w:sz w:val="21"/>
              </w:rPr>
            </w:pPr>
          </w:p>
          <w:p w14:paraId="62E8B19F">
            <w:pPr>
              <w:spacing w:line="316" w:lineRule="auto"/>
              <w:rPr>
                <w:rFonts w:ascii="Arial"/>
                <w:sz w:val="21"/>
              </w:rPr>
            </w:pPr>
          </w:p>
          <w:p w14:paraId="1BA57EEC">
            <w:pPr>
              <w:pStyle w:val="6"/>
              <w:spacing w:before="99" w:line="186" w:lineRule="auto"/>
              <w:ind w:left="115" w:right="105" w:firstLine="3"/>
              <w:jc w:val="both"/>
            </w:pPr>
            <w:r>
              <w:rPr>
                <w:spacing w:val="-1"/>
              </w:rPr>
              <w:t>处</w:t>
            </w:r>
            <w:r>
              <w:rPr>
                <w:rFonts w:ascii="宋体" w:hAnsi="宋体" w:eastAsia="宋体" w:cs="宋体"/>
                <w:spacing w:val="-1"/>
              </w:rPr>
              <w:t>120</w:t>
            </w:r>
            <w:r>
              <w:rPr>
                <w:spacing w:val="-1"/>
              </w:rPr>
              <w:t>万元以上</w:t>
            </w:r>
            <w:r>
              <w:rPr>
                <w:rFonts w:ascii="宋体" w:hAnsi="宋体" w:eastAsia="宋体" w:cs="宋体"/>
                <w:spacing w:val="-1"/>
              </w:rPr>
              <w:t>150</w:t>
            </w:r>
            <w:r>
              <w:rPr>
                <w:spacing w:val="-1"/>
              </w:rPr>
              <w:t>万元</w:t>
            </w:r>
            <w:r>
              <w:rPr>
                <w:spacing w:val="8"/>
              </w:rPr>
              <w:t>以下的罚款；情节特别严重、影响特别恶劣的，可</w:t>
            </w:r>
            <w:r>
              <w:rPr>
                <w:spacing w:val="12"/>
              </w:rPr>
              <w:t>以按照上述罚款数额的二倍以上五倍以下对负有责任的生产经营单位处以罚</w:t>
            </w:r>
            <w:r>
              <w:t>款</w:t>
            </w:r>
          </w:p>
        </w:tc>
        <w:tc>
          <w:tcPr>
            <w:tcW w:w="811" w:type="dxa"/>
            <w:vMerge w:val="restart"/>
            <w:tcBorders>
              <w:bottom w:val="nil"/>
            </w:tcBorders>
            <w:vAlign w:val="top"/>
          </w:tcPr>
          <w:p w14:paraId="644A4D5B">
            <w:pPr>
              <w:rPr>
                <w:rFonts w:ascii="Arial"/>
                <w:sz w:val="21"/>
              </w:rPr>
            </w:pPr>
          </w:p>
        </w:tc>
      </w:tr>
      <w:tr w14:paraId="10360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6" w:hRule="atLeast"/>
        </w:trPr>
        <w:tc>
          <w:tcPr>
            <w:tcW w:w="818" w:type="dxa"/>
            <w:vMerge w:val="continue"/>
            <w:tcBorders>
              <w:top w:val="nil"/>
            </w:tcBorders>
            <w:vAlign w:val="top"/>
          </w:tcPr>
          <w:p w14:paraId="7391CA21">
            <w:pPr>
              <w:rPr>
                <w:rFonts w:ascii="Arial"/>
                <w:sz w:val="21"/>
              </w:rPr>
            </w:pPr>
          </w:p>
        </w:tc>
        <w:tc>
          <w:tcPr>
            <w:tcW w:w="1440" w:type="dxa"/>
            <w:vMerge w:val="continue"/>
            <w:tcBorders>
              <w:top w:val="nil"/>
            </w:tcBorders>
            <w:vAlign w:val="top"/>
          </w:tcPr>
          <w:p w14:paraId="740105B0">
            <w:pPr>
              <w:rPr>
                <w:rFonts w:ascii="Arial"/>
                <w:sz w:val="21"/>
              </w:rPr>
            </w:pPr>
          </w:p>
        </w:tc>
        <w:tc>
          <w:tcPr>
            <w:tcW w:w="3202" w:type="dxa"/>
            <w:vMerge w:val="continue"/>
            <w:tcBorders>
              <w:top w:val="nil"/>
            </w:tcBorders>
            <w:vAlign w:val="top"/>
          </w:tcPr>
          <w:p w14:paraId="532B90B2">
            <w:pPr>
              <w:rPr>
                <w:rFonts w:ascii="Arial"/>
                <w:sz w:val="21"/>
              </w:rPr>
            </w:pPr>
          </w:p>
        </w:tc>
        <w:tc>
          <w:tcPr>
            <w:tcW w:w="2859" w:type="dxa"/>
            <w:vMerge w:val="continue"/>
            <w:tcBorders>
              <w:top w:val="nil"/>
            </w:tcBorders>
            <w:vAlign w:val="top"/>
          </w:tcPr>
          <w:p w14:paraId="367D6358">
            <w:pPr>
              <w:rPr>
                <w:rFonts w:ascii="Arial"/>
                <w:sz w:val="21"/>
              </w:rPr>
            </w:pPr>
          </w:p>
        </w:tc>
        <w:tc>
          <w:tcPr>
            <w:tcW w:w="803" w:type="dxa"/>
            <w:vAlign w:val="top"/>
          </w:tcPr>
          <w:p w14:paraId="5A59F7D6">
            <w:pPr>
              <w:spacing w:line="251" w:lineRule="auto"/>
              <w:rPr>
                <w:rFonts w:ascii="Arial"/>
                <w:sz w:val="21"/>
              </w:rPr>
            </w:pPr>
          </w:p>
          <w:p w14:paraId="0F62093D">
            <w:pPr>
              <w:spacing w:line="251" w:lineRule="auto"/>
              <w:rPr>
                <w:rFonts w:ascii="Arial"/>
                <w:sz w:val="21"/>
              </w:rPr>
            </w:pPr>
          </w:p>
          <w:p w14:paraId="0F693C9B">
            <w:pPr>
              <w:spacing w:line="251" w:lineRule="auto"/>
              <w:rPr>
                <w:rFonts w:ascii="Arial"/>
                <w:sz w:val="21"/>
              </w:rPr>
            </w:pPr>
          </w:p>
          <w:p w14:paraId="32CB0ED1">
            <w:pPr>
              <w:spacing w:line="251" w:lineRule="auto"/>
              <w:rPr>
                <w:rFonts w:ascii="Arial"/>
                <w:sz w:val="21"/>
              </w:rPr>
            </w:pPr>
          </w:p>
          <w:p w14:paraId="1308FFFC">
            <w:pPr>
              <w:spacing w:line="251" w:lineRule="auto"/>
              <w:rPr>
                <w:rFonts w:ascii="Arial"/>
                <w:sz w:val="21"/>
              </w:rPr>
            </w:pPr>
          </w:p>
          <w:p w14:paraId="45B8572A">
            <w:pPr>
              <w:spacing w:line="251" w:lineRule="auto"/>
              <w:rPr>
                <w:rFonts w:ascii="Arial"/>
                <w:sz w:val="21"/>
              </w:rPr>
            </w:pPr>
          </w:p>
          <w:p w14:paraId="23162938">
            <w:pPr>
              <w:spacing w:line="251" w:lineRule="auto"/>
              <w:rPr>
                <w:rFonts w:ascii="Arial"/>
                <w:sz w:val="21"/>
              </w:rPr>
            </w:pPr>
          </w:p>
          <w:p w14:paraId="6B37533C">
            <w:pPr>
              <w:spacing w:line="251" w:lineRule="auto"/>
              <w:rPr>
                <w:rFonts w:ascii="Arial"/>
                <w:sz w:val="21"/>
              </w:rPr>
            </w:pPr>
          </w:p>
          <w:p w14:paraId="02201F67">
            <w:pPr>
              <w:spacing w:line="252" w:lineRule="auto"/>
              <w:rPr>
                <w:rFonts w:ascii="Arial"/>
                <w:sz w:val="21"/>
              </w:rPr>
            </w:pPr>
          </w:p>
          <w:p w14:paraId="34DB07BE">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4BA75B9">
            <w:pPr>
              <w:spacing w:line="241" w:lineRule="auto"/>
              <w:rPr>
                <w:rFonts w:ascii="Arial"/>
                <w:sz w:val="21"/>
              </w:rPr>
            </w:pPr>
          </w:p>
          <w:p w14:paraId="2A1AF46C">
            <w:pPr>
              <w:spacing w:line="241" w:lineRule="auto"/>
              <w:rPr>
                <w:rFonts w:ascii="Arial"/>
                <w:sz w:val="21"/>
              </w:rPr>
            </w:pPr>
          </w:p>
          <w:p w14:paraId="6EC121FE">
            <w:pPr>
              <w:spacing w:line="241" w:lineRule="auto"/>
              <w:rPr>
                <w:rFonts w:ascii="Arial"/>
                <w:sz w:val="21"/>
              </w:rPr>
            </w:pPr>
          </w:p>
          <w:p w14:paraId="1E2D7D80">
            <w:pPr>
              <w:spacing w:line="241" w:lineRule="auto"/>
              <w:rPr>
                <w:rFonts w:ascii="Arial"/>
                <w:sz w:val="21"/>
              </w:rPr>
            </w:pPr>
          </w:p>
          <w:p w14:paraId="29B4D704">
            <w:pPr>
              <w:spacing w:line="242" w:lineRule="auto"/>
              <w:rPr>
                <w:rFonts w:ascii="Arial"/>
                <w:sz w:val="21"/>
              </w:rPr>
            </w:pPr>
          </w:p>
          <w:p w14:paraId="01838116">
            <w:pPr>
              <w:spacing w:line="242" w:lineRule="auto"/>
              <w:rPr>
                <w:rFonts w:ascii="Arial"/>
                <w:sz w:val="21"/>
              </w:rPr>
            </w:pPr>
          </w:p>
          <w:p w14:paraId="0D824329">
            <w:pPr>
              <w:pStyle w:val="6"/>
              <w:spacing w:before="98" w:line="187" w:lineRule="auto"/>
              <w:ind w:left="117" w:right="105" w:hanging="1"/>
              <w:jc w:val="both"/>
            </w:pPr>
            <w:r>
              <w:t>造成</w:t>
            </w:r>
            <w:r>
              <w:rPr>
                <w:rFonts w:ascii="宋体" w:hAnsi="宋体" w:eastAsia="宋体" w:cs="宋体"/>
              </w:rPr>
              <w:t>7</w:t>
            </w:r>
            <w:r>
              <w:t>人以上</w:t>
            </w:r>
            <w:r>
              <w:rPr>
                <w:rFonts w:ascii="宋体" w:hAnsi="宋体" w:eastAsia="宋体" w:cs="宋体"/>
              </w:rPr>
              <w:t>10</w:t>
            </w:r>
            <w:r>
              <w:t>人</w:t>
            </w:r>
            <w:r>
              <w:rPr>
                <w:spacing w:val="7"/>
              </w:rPr>
              <w:t>以下死亡，或者</w:t>
            </w:r>
            <w:r>
              <w:rPr>
                <w:rFonts w:ascii="宋体" w:hAnsi="宋体" w:eastAsia="宋体" w:cs="宋体"/>
                <w:spacing w:val="7"/>
              </w:rPr>
              <w:t>30</w:t>
            </w:r>
            <w:r>
              <w:rPr>
                <w:spacing w:val="6"/>
              </w:rPr>
              <w:t>人以上</w:t>
            </w:r>
            <w:r>
              <w:rPr>
                <w:rFonts w:ascii="宋体" w:hAnsi="宋体" w:eastAsia="宋体" w:cs="宋体"/>
                <w:spacing w:val="6"/>
              </w:rPr>
              <w:t>50</w:t>
            </w:r>
            <w:r>
              <w:rPr>
                <w:spacing w:val="6"/>
              </w:rPr>
              <w:t>人以下重</w:t>
            </w:r>
            <w:r>
              <w:rPr>
                <w:spacing w:val="1"/>
              </w:rPr>
              <w:t>伤，或者</w:t>
            </w:r>
            <w:r>
              <w:rPr>
                <w:rFonts w:ascii="宋体" w:hAnsi="宋体" w:eastAsia="宋体" w:cs="宋体"/>
                <w:spacing w:val="1"/>
              </w:rPr>
              <w:t>3000</w:t>
            </w:r>
            <w:r>
              <w:rPr>
                <w:spacing w:val="1"/>
              </w:rPr>
              <w:t>万元</w:t>
            </w:r>
            <w:r>
              <w:rPr>
                <w:spacing w:val="4"/>
              </w:rPr>
              <w:t>以上</w:t>
            </w:r>
            <w:r>
              <w:rPr>
                <w:rFonts w:ascii="宋体" w:hAnsi="宋体" w:eastAsia="宋体" w:cs="宋体"/>
                <w:spacing w:val="4"/>
              </w:rPr>
              <w:t>5000</w:t>
            </w:r>
            <w:r>
              <w:rPr>
                <w:spacing w:val="4"/>
              </w:rPr>
              <w:t>万元以下</w:t>
            </w:r>
            <w:r>
              <w:rPr>
                <w:spacing w:val="7"/>
              </w:rPr>
              <w:t>直接经济损失的</w:t>
            </w:r>
          </w:p>
        </w:tc>
        <w:tc>
          <w:tcPr>
            <w:tcW w:w="2894" w:type="dxa"/>
            <w:vAlign w:val="top"/>
          </w:tcPr>
          <w:p w14:paraId="10E5DF83">
            <w:pPr>
              <w:spacing w:line="260" w:lineRule="auto"/>
              <w:rPr>
                <w:rFonts w:ascii="Arial"/>
                <w:sz w:val="21"/>
              </w:rPr>
            </w:pPr>
          </w:p>
          <w:p w14:paraId="51170814">
            <w:pPr>
              <w:spacing w:line="260" w:lineRule="auto"/>
              <w:rPr>
                <w:rFonts w:ascii="Arial"/>
                <w:sz w:val="21"/>
              </w:rPr>
            </w:pPr>
          </w:p>
          <w:p w14:paraId="79538044">
            <w:pPr>
              <w:spacing w:line="260" w:lineRule="auto"/>
              <w:rPr>
                <w:rFonts w:ascii="Arial"/>
                <w:sz w:val="21"/>
              </w:rPr>
            </w:pPr>
          </w:p>
          <w:p w14:paraId="6C5FCA6D">
            <w:pPr>
              <w:spacing w:line="261" w:lineRule="auto"/>
              <w:rPr>
                <w:rFonts w:ascii="Arial"/>
                <w:sz w:val="21"/>
              </w:rPr>
            </w:pPr>
          </w:p>
          <w:p w14:paraId="6FBBEECF">
            <w:pPr>
              <w:spacing w:line="261" w:lineRule="auto"/>
              <w:rPr>
                <w:rFonts w:ascii="Arial"/>
                <w:sz w:val="21"/>
              </w:rPr>
            </w:pPr>
          </w:p>
          <w:p w14:paraId="5A16B8BA">
            <w:pPr>
              <w:pStyle w:val="6"/>
              <w:spacing w:before="99" w:line="186" w:lineRule="auto"/>
              <w:ind w:left="115" w:right="105" w:firstLine="3"/>
              <w:jc w:val="both"/>
            </w:pPr>
            <w:r>
              <w:rPr>
                <w:spacing w:val="1"/>
              </w:rPr>
              <w:t>处</w:t>
            </w:r>
            <w:r>
              <w:rPr>
                <w:rFonts w:ascii="宋体" w:hAnsi="宋体" w:eastAsia="宋体" w:cs="宋体"/>
                <w:spacing w:val="1"/>
              </w:rPr>
              <w:t>150</w:t>
            </w:r>
            <w:r>
              <w:rPr>
                <w:spacing w:val="1"/>
              </w:rPr>
              <w:t>万元以上</w:t>
            </w:r>
            <w:r>
              <w:rPr>
                <w:rFonts w:ascii="宋体" w:hAnsi="宋体" w:eastAsia="宋体" w:cs="宋体"/>
                <w:spacing w:val="1"/>
              </w:rPr>
              <w:t>200</w:t>
            </w:r>
            <w:r>
              <w:rPr>
                <w:spacing w:val="1"/>
              </w:rPr>
              <w:t>万元</w:t>
            </w:r>
            <w:r>
              <w:rPr>
                <w:spacing w:val="8"/>
              </w:rPr>
              <w:t>以下的罚款；情节特别严重、影响特别恶劣的，可</w:t>
            </w:r>
            <w:r>
              <w:rPr>
                <w:spacing w:val="12"/>
              </w:rPr>
              <w:t>以按照上述罚款数额的二倍以上五倍以下对负有责任的生产经营单位处以罚</w:t>
            </w:r>
            <w:r>
              <w:t>款</w:t>
            </w:r>
          </w:p>
        </w:tc>
        <w:tc>
          <w:tcPr>
            <w:tcW w:w="811" w:type="dxa"/>
            <w:vMerge w:val="continue"/>
            <w:tcBorders>
              <w:top w:val="nil"/>
            </w:tcBorders>
            <w:vAlign w:val="top"/>
          </w:tcPr>
          <w:p w14:paraId="5E883D73">
            <w:pPr>
              <w:rPr>
                <w:rFonts w:ascii="Arial"/>
                <w:sz w:val="21"/>
              </w:rPr>
            </w:pPr>
          </w:p>
        </w:tc>
      </w:tr>
    </w:tbl>
    <w:p w14:paraId="650C92D5">
      <w:pPr>
        <w:pStyle w:val="2"/>
      </w:pPr>
    </w:p>
    <w:p w14:paraId="1F631058">
      <w:pPr>
        <w:sectPr>
          <w:footerReference r:id="rId121" w:type="default"/>
          <w:pgSz w:w="16839" w:h="11906"/>
          <w:pgMar w:top="1012" w:right="821" w:bottom="667" w:left="901" w:header="0" w:footer="388" w:gutter="0"/>
          <w:cols w:space="720" w:num="1"/>
        </w:sectPr>
      </w:pPr>
    </w:p>
    <w:p w14:paraId="2895AACC">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9776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A3A2DEC">
            <w:pPr>
              <w:spacing w:before="222" w:line="241" w:lineRule="auto"/>
              <w:ind w:left="131"/>
              <w:outlineLvl w:val="0"/>
              <w:rPr>
                <w:rFonts w:ascii="黑体" w:hAnsi="黑体" w:eastAsia="黑体" w:cs="黑体"/>
                <w:sz w:val="28"/>
                <w:szCs w:val="28"/>
              </w:rPr>
            </w:pPr>
            <w:bookmarkStart w:id="518" w:name="bookmark201"/>
            <w:bookmarkEnd w:id="518"/>
            <w:r>
              <w:rPr>
                <w:rFonts w:ascii="黑体" w:hAnsi="黑体" w:eastAsia="黑体" w:cs="黑体"/>
                <w:spacing w:val="-2"/>
                <w:sz w:val="28"/>
                <w:szCs w:val="28"/>
              </w:rPr>
              <w:t>序号</w:t>
            </w:r>
          </w:p>
        </w:tc>
        <w:tc>
          <w:tcPr>
            <w:tcW w:w="1440" w:type="dxa"/>
            <w:vAlign w:val="top"/>
          </w:tcPr>
          <w:p w14:paraId="1D3CFAD1">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5F0AE8C">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79E7202">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DF61EE0">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D792642">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F4D39DE">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4A7DB30">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170A1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Align w:val="top"/>
          </w:tcPr>
          <w:p w14:paraId="17030EF5">
            <w:pPr>
              <w:rPr>
                <w:rFonts w:ascii="Arial"/>
                <w:sz w:val="21"/>
              </w:rPr>
            </w:pPr>
          </w:p>
        </w:tc>
        <w:tc>
          <w:tcPr>
            <w:tcW w:w="1440" w:type="dxa"/>
            <w:vAlign w:val="top"/>
          </w:tcPr>
          <w:p w14:paraId="2BB6C3E3">
            <w:pPr>
              <w:rPr>
                <w:rFonts w:ascii="Arial"/>
                <w:sz w:val="21"/>
              </w:rPr>
            </w:pPr>
          </w:p>
        </w:tc>
        <w:tc>
          <w:tcPr>
            <w:tcW w:w="3202" w:type="dxa"/>
            <w:vAlign w:val="top"/>
          </w:tcPr>
          <w:p w14:paraId="6755FE48">
            <w:pPr>
              <w:rPr>
                <w:rFonts w:ascii="Arial"/>
                <w:sz w:val="21"/>
              </w:rPr>
            </w:pPr>
          </w:p>
        </w:tc>
        <w:tc>
          <w:tcPr>
            <w:tcW w:w="2859" w:type="dxa"/>
            <w:vAlign w:val="top"/>
          </w:tcPr>
          <w:p w14:paraId="37079260">
            <w:pPr>
              <w:pStyle w:val="6"/>
              <w:spacing w:before="28" w:line="179" w:lineRule="auto"/>
              <w:ind w:left="118" w:right="106" w:firstLine="1"/>
              <w:jc w:val="both"/>
            </w:pPr>
            <w:r>
              <w:rPr>
                <w:spacing w:val="-4"/>
              </w:rPr>
              <w:t>人以下死亡，或者</w:t>
            </w:r>
            <w:r>
              <w:rPr>
                <w:rFonts w:ascii="宋体" w:hAnsi="宋体" w:eastAsia="宋体" w:cs="宋体"/>
                <w:spacing w:val="-4"/>
              </w:rPr>
              <w:t>30</w:t>
            </w:r>
            <w:r>
              <w:rPr>
                <w:spacing w:val="-4"/>
              </w:rPr>
              <w:t>人以</w:t>
            </w:r>
            <w:r>
              <w:rPr>
                <w:spacing w:val="9"/>
              </w:rPr>
              <w:t>上</w:t>
            </w:r>
            <w:r>
              <w:rPr>
                <w:rFonts w:ascii="宋体" w:hAnsi="宋体" w:eastAsia="宋体" w:cs="宋体"/>
                <w:spacing w:val="9"/>
              </w:rPr>
              <w:t>50</w:t>
            </w:r>
            <w:r>
              <w:rPr>
                <w:spacing w:val="9"/>
              </w:rPr>
              <w:t>人以下重伤，或者</w:t>
            </w:r>
            <w:r>
              <w:rPr>
                <w:rFonts w:ascii="宋体" w:hAnsi="宋体" w:eastAsia="宋体" w:cs="宋体"/>
                <w:spacing w:val="3"/>
              </w:rPr>
              <w:t>3000</w:t>
            </w:r>
            <w:r>
              <w:rPr>
                <w:spacing w:val="3"/>
              </w:rPr>
              <w:t>万元以上</w:t>
            </w:r>
            <w:r>
              <w:rPr>
                <w:rFonts w:ascii="宋体" w:hAnsi="宋体" w:eastAsia="宋体" w:cs="宋体"/>
                <w:spacing w:val="3"/>
              </w:rPr>
              <w:t>5000</w:t>
            </w:r>
            <w:r>
              <w:rPr>
                <w:spacing w:val="3"/>
              </w:rPr>
              <w:t>万元</w:t>
            </w:r>
            <w:r>
              <w:rPr>
                <w:spacing w:val="8"/>
              </w:rPr>
              <w:t>以下直接经济损失的，处</w:t>
            </w:r>
            <w:r>
              <w:rPr>
                <w:rFonts w:ascii="宋体" w:hAnsi="宋体" w:eastAsia="宋体" w:cs="宋体"/>
                <w:spacing w:val="4"/>
              </w:rPr>
              <w:t>150</w:t>
            </w:r>
            <w:r>
              <w:rPr>
                <w:spacing w:val="4"/>
              </w:rPr>
              <w:t>万元以上</w:t>
            </w:r>
            <w:r>
              <w:rPr>
                <w:rFonts w:ascii="宋体" w:hAnsi="宋体" w:eastAsia="宋体" w:cs="宋体"/>
                <w:spacing w:val="4"/>
              </w:rPr>
              <w:t>200</w:t>
            </w:r>
            <w:r>
              <w:rPr>
                <w:spacing w:val="4"/>
              </w:rPr>
              <w:t>万元以</w:t>
            </w:r>
            <w:r>
              <w:t>下的罚款。</w:t>
            </w:r>
          </w:p>
        </w:tc>
        <w:tc>
          <w:tcPr>
            <w:tcW w:w="803" w:type="dxa"/>
            <w:vAlign w:val="top"/>
          </w:tcPr>
          <w:p w14:paraId="2A30EBCA">
            <w:pPr>
              <w:rPr>
                <w:rFonts w:ascii="Arial"/>
                <w:sz w:val="21"/>
              </w:rPr>
            </w:pPr>
          </w:p>
        </w:tc>
        <w:tc>
          <w:tcPr>
            <w:tcW w:w="2283" w:type="dxa"/>
            <w:vAlign w:val="top"/>
          </w:tcPr>
          <w:p w14:paraId="460434AB">
            <w:pPr>
              <w:rPr>
                <w:rFonts w:ascii="Arial"/>
                <w:sz w:val="21"/>
              </w:rPr>
            </w:pPr>
          </w:p>
        </w:tc>
        <w:tc>
          <w:tcPr>
            <w:tcW w:w="2894" w:type="dxa"/>
            <w:vAlign w:val="top"/>
          </w:tcPr>
          <w:p w14:paraId="2CEBADD8">
            <w:pPr>
              <w:rPr>
                <w:rFonts w:ascii="Arial"/>
                <w:sz w:val="21"/>
              </w:rPr>
            </w:pPr>
          </w:p>
        </w:tc>
        <w:tc>
          <w:tcPr>
            <w:tcW w:w="811" w:type="dxa"/>
            <w:vAlign w:val="top"/>
          </w:tcPr>
          <w:p w14:paraId="14151D77">
            <w:pPr>
              <w:rPr>
                <w:rFonts w:ascii="Arial"/>
                <w:sz w:val="21"/>
              </w:rPr>
            </w:pPr>
          </w:p>
        </w:tc>
      </w:tr>
      <w:tr w14:paraId="48194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restart"/>
            <w:tcBorders>
              <w:bottom w:val="nil"/>
            </w:tcBorders>
            <w:vAlign w:val="top"/>
          </w:tcPr>
          <w:p w14:paraId="2ECD9A3D">
            <w:pPr>
              <w:spacing w:line="245" w:lineRule="auto"/>
              <w:rPr>
                <w:rFonts w:ascii="Arial"/>
                <w:sz w:val="21"/>
              </w:rPr>
            </w:pPr>
          </w:p>
          <w:p w14:paraId="76219674">
            <w:pPr>
              <w:spacing w:line="245" w:lineRule="auto"/>
              <w:rPr>
                <w:rFonts w:ascii="Arial"/>
                <w:sz w:val="21"/>
              </w:rPr>
            </w:pPr>
          </w:p>
          <w:p w14:paraId="072843EC">
            <w:pPr>
              <w:spacing w:line="245" w:lineRule="auto"/>
              <w:rPr>
                <w:rFonts w:ascii="Arial"/>
                <w:sz w:val="21"/>
              </w:rPr>
            </w:pPr>
          </w:p>
          <w:p w14:paraId="3B0FB9F8">
            <w:pPr>
              <w:spacing w:line="245" w:lineRule="auto"/>
              <w:rPr>
                <w:rFonts w:ascii="Arial"/>
                <w:sz w:val="21"/>
              </w:rPr>
            </w:pPr>
          </w:p>
          <w:p w14:paraId="11F98C2D">
            <w:pPr>
              <w:spacing w:line="245" w:lineRule="auto"/>
              <w:rPr>
                <w:rFonts w:ascii="Arial"/>
                <w:sz w:val="21"/>
              </w:rPr>
            </w:pPr>
          </w:p>
          <w:p w14:paraId="4F0654BC">
            <w:pPr>
              <w:spacing w:line="245" w:lineRule="auto"/>
              <w:rPr>
                <w:rFonts w:ascii="Arial"/>
                <w:sz w:val="21"/>
              </w:rPr>
            </w:pPr>
          </w:p>
          <w:p w14:paraId="73CC4A6A">
            <w:pPr>
              <w:spacing w:line="245" w:lineRule="auto"/>
              <w:rPr>
                <w:rFonts w:ascii="Arial"/>
                <w:sz w:val="21"/>
              </w:rPr>
            </w:pPr>
          </w:p>
          <w:p w14:paraId="595A8FE1">
            <w:pPr>
              <w:spacing w:line="245" w:lineRule="auto"/>
              <w:rPr>
                <w:rFonts w:ascii="Arial"/>
                <w:sz w:val="21"/>
              </w:rPr>
            </w:pPr>
          </w:p>
          <w:p w14:paraId="14490046">
            <w:pPr>
              <w:spacing w:line="245" w:lineRule="auto"/>
              <w:rPr>
                <w:rFonts w:ascii="Arial"/>
                <w:sz w:val="21"/>
              </w:rPr>
            </w:pPr>
          </w:p>
          <w:p w14:paraId="5F623FED">
            <w:pPr>
              <w:spacing w:line="245" w:lineRule="auto"/>
              <w:rPr>
                <w:rFonts w:ascii="Arial"/>
                <w:sz w:val="21"/>
              </w:rPr>
            </w:pPr>
          </w:p>
          <w:p w14:paraId="7A69236D">
            <w:pPr>
              <w:spacing w:line="245" w:lineRule="auto"/>
              <w:rPr>
                <w:rFonts w:ascii="Arial"/>
                <w:sz w:val="21"/>
              </w:rPr>
            </w:pPr>
          </w:p>
          <w:p w14:paraId="1A9FFA5E">
            <w:pPr>
              <w:spacing w:line="245" w:lineRule="auto"/>
              <w:rPr>
                <w:rFonts w:ascii="Arial"/>
                <w:sz w:val="21"/>
              </w:rPr>
            </w:pPr>
          </w:p>
          <w:p w14:paraId="35E3DBE4">
            <w:pPr>
              <w:spacing w:line="245" w:lineRule="auto"/>
              <w:rPr>
                <w:rFonts w:ascii="Arial"/>
                <w:sz w:val="21"/>
              </w:rPr>
            </w:pPr>
          </w:p>
          <w:p w14:paraId="0D62E31B">
            <w:pPr>
              <w:spacing w:line="246" w:lineRule="auto"/>
              <w:rPr>
                <w:rFonts w:ascii="Arial"/>
                <w:sz w:val="21"/>
              </w:rPr>
            </w:pPr>
          </w:p>
          <w:p w14:paraId="4DDE3D22">
            <w:pPr>
              <w:spacing w:before="75" w:line="185" w:lineRule="auto"/>
              <w:ind w:left="235"/>
              <w:rPr>
                <w:rFonts w:ascii="仿宋" w:hAnsi="仿宋" w:eastAsia="仿宋" w:cs="仿宋"/>
                <w:sz w:val="23"/>
                <w:szCs w:val="23"/>
              </w:rPr>
            </w:pPr>
            <w:r>
              <w:rPr>
                <w:rFonts w:ascii="仿宋" w:hAnsi="仿宋" w:eastAsia="仿宋" w:cs="仿宋"/>
                <w:spacing w:val="-2"/>
                <w:sz w:val="23"/>
                <w:szCs w:val="23"/>
              </w:rPr>
              <w:t>97</w:t>
            </w:r>
          </w:p>
        </w:tc>
        <w:tc>
          <w:tcPr>
            <w:tcW w:w="1440" w:type="dxa"/>
            <w:vMerge w:val="restart"/>
            <w:tcBorders>
              <w:bottom w:val="nil"/>
            </w:tcBorders>
            <w:vAlign w:val="top"/>
          </w:tcPr>
          <w:p w14:paraId="42221C5F">
            <w:pPr>
              <w:spacing w:line="251" w:lineRule="auto"/>
              <w:rPr>
                <w:rFonts w:ascii="Arial"/>
                <w:sz w:val="21"/>
              </w:rPr>
            </w:pPr>
          </w:p>
          <w:p w14:paraId="7F48830D">
            <w:pPr>
              <w:spacing w:line="251" w:lineRule="auto"/>
              <w:rPr>
                <w:rFonts w:ascii="Arial"/>
                <w:sz w:val="21"/>
              </w:rPr>
            </w:pPr>
          </w:p>
          <w:p w14:paraId="6AB70E06">
            <w:pPr>
              <w:spacing w:line="251" w:lineRule="auto"/>
              <w:rPr>
                <w:rFonts w:ascii="Arial"/>
                <w:sz w:val="21"/>
              </w:rPr>
            </w:pPr>
          </w:p>
          <w:p w14:paraId="7C15F44E">
            <w:pPr>
              <w:spacing w:line="251" w:lineRule="auto"/>
              <w:rPr>
                <w:rFonts w:ascii="Arial"/>
                <w:sz w:val="21"/>
              </w:rPr>
            </w:pPr>
          </w:p>
          <w:p w14:paraId="175FA163">
            <w:pPr>
              <w:spacing w:line="251" w:lineRule="auto"/>
              <w:rPr>
                <w:rFonts w:ascii="Arial"/>
                <w:sz w:val="21"/>
              </w:rPr>
            </w:pPr>
          </w:p>
          <w:p w14:paraId="7C1A8AF7">
            <w:pPr>
              <w:spacing w:line="251" w:lineRule="auto"/>
              <w:rPr>
                <w:rFonts w:ascii="Arial"/>
                <w:sz w:val="21"/>
              </w:rPr>
            </w:pPr>
          </w:p>
          <w:p w14:paraId="317ED389">
            <w:pPr>
              <w:spacing w:line="251" w:lineRule="auto"/>
              <w:rPr>
                <w:rFonts w:ascii="Arial"/>
                <w:sz w:val="21"/>
              </w:rPr>
            </w:pPr>
          </w:p>
          <w:p w14:paraId="5F7CA0AA">
            <w:pPr>
              <w:spacing w:line="251" w:lineRule="auto"/>
              <w:rPr>
                <w:rFonts w:ascii="Arial"/>
                <w:sz w:val="21"/>
              </w:rPr>
            </w:pPr>
          </w:p>
          <w:p w14:paraId="700164DF">
            <w:pPr>
              <w:spacing w:line="251" w:lineRule="auto"/>
              <w:rPr>
                <w:rFonts w:ascii="Arial"/>
                <w:sz w:val="21"/>
              </w:rPr>
            </w:pPr>
          </w:p>
          <w:p w14:paraId="08280D3D">
            <w:pPr>
              <w:spacing w:line="252" w:lineRule="auto"/>
              <w:rPr>
                <w:rFonts w:ascii="Arial"/>
                <w:sz w:val="21"/>
              </w:rPr>
            </w:pPr>
          </w:p>
          <w:p w14:paraId="075513CC">
            <w:pPr>
              <w:spacing w:line="252" w:lineRule="auto"/>
              <w:rPr>
                <w:rFonts w:ascii="Arial"/>
                <w:sz w:val="21"/>
              </w:rPr>
            </w:pPr>
          </w:p>
          <w:p w14:paraId="4A8C21CE">
            <w:pPr>
              <w:pStyle w:val="6"/>
              <w:spacing w:before="98" w:line="188" w:lineRule="auto"/>
              <w:ind w:left="115" w:right="111" w:firstLine="13"/>
              <w:jc w:val="both"/>
            </w:pPr>
            <w:r>
              <w:rPr>
                <w:spacing w:val="8"/>
              </w:rPr>
              <w:t>生产经营单</w:t>
            </w:r>
            <w:r>
              <w:rPr>
                <w:spacing w:val="11"/>
              </w:rPr>
              <w:t>位对重大生产安全事故发生负有责</w:t>
            </w:r>
            <w:r>
              <w:rPr>
                <w:spacing w:val="2"/>
              </w:rPr>
              <w:t>任的</w:t>
            </w:r>
          </w:p>
        </w:tc>
        <w:tc>
          <w:tcPr>
            <w:tcW w:w="3202" w:type="dxa"/>
            <w:vMerge w:val="restart"/>
            <w:tcBorders>
              <w:bottom w:val="nil"/>
            </w:tcBorders>
            <w:vAlign w:val="top"/>
          </w:tcPr>
          <w:p w14:paraId="6B4302C9">
            <w:pPr>
              <w:rPr>
                <w:rFonts w:ascii="Arial"/>
                <w:sz w:val="21"/>
              </w:rPr>
            </w:pPr>
          </w:p>
        </w:tc>
        <w:tc>
          <w:tcPr>
            <w:tcW w:w="2859" w:type="dxa"/>
            <w:vMerge w:val="restart"/>
            <w:tcBorders>
              <w:bottom w:val="nil"/>
            </w:tcBorders>
            <w:vAlign w:val="top"/>
          </w:tcPr>
          <w:p w14:paraId="052799CA">
            <w:pPr>
              <w:pStyle w:val="6"/>
              <w:spacing w:before="39" w:line="182" w:lineRule="auto"/>
              <w:ind w:left="117" w:right="110" w:firstLine="13"/>
            </w:pPr>
            <w:r>
              <w:rPr>
                <w:rFonts w:ascii="宋体" w:hAnsi="宋体" w:eastAsia="宋体" w:cs="宋体"/>
                <w:spacing w:val="6"/>
              </w:rPr>
              <w:t>1.</w:t>
            </w:r>
            <w:r>
              <w:rPr>
                <w:spacing w:val="6"/>
              </w:rPr>
              <w:t>【法律】《中华人民共</w:t>
            </w:r>
            <w:r>
              <w:rPr>
                <w:spacing w:val="8"/>
              </w:rPr>
              <w:t>和国安全生产法》第一百</w:t>
            </w:r>
            <w:r>
              <w:rPr>
                <w:spacing w:val="6"/>
              </w:rPr>
              <w:t>一十四条第一款第三项、</w:t>
            </w:r>
            <w:r>
              <w:rPr>
                <w:spacing w:val="8"/>
              </w:rPr>
              <w:t>第二款：发生生产安全事故，对负有责任的生产经营单位除要求其依法承担</w:t>
            </w:r>
            <w:r>
              <w:rPr>
                <w:spacing w:val="-2"/>
              </w:rPr>
              <w:t>相应的赔偿等责任外，由</w:t>
            </w:r>
            <w:r>
              <w:rPr>
                <w:spacing w:val="8"/>
              </w:rPr>
              <w:t>应急管理部门依照下列规定处以罚款</w:t>
            </w:r>
            <w:r>
              <w:rPr>
                <w:spacing w:val="11"/>
              </w:rPr>
              <w:t>：（</w:t>
            </w:r>
            <w:r>
              <w:rPr>
                <w:spacing w:val="8"/>
              </w:rPr>
              <w:t>三）发生重大事故的，处二百万元</w:t>
            </w:r>
            <w:r>
              <w:rPr>
                <w:spacing w:val="32"/>
              </w:rPr>
              <w:t>以上一千万元以下的罚</w:t>
            </w:r>
            <w:r>
              <w:rPr>
                <w:spacing w:val="-10"/>
              </w:rPr>
              <w:t>款；</w:t>
            </w:r>
          </w:p>
          <w:p w14:paraId="68290D8A">
            <w:pPr>
              <w:pStyle w:val="6"/>
              <w:spacing w:before="11" w:line="180" w:lineRule="auto"/>
              <w:ind w:left="115" w:right="106" w:firstLine="3"/>
            </w:pPr>
            <w:r>
              <w:rPr>
                <w:spacing w:val="8"/>
              </w:rPr>
              <w:t>发生生产安全事故，情节特别严重、影响特别恶劣的，应急管理部门可以按照前款罚款数额的二倍以上五倍以下对负有责任的</w:t>
            </w:r>
            <w:r>
              <w:rPr>
                <w:spacing w:val="5"/>
              </w:rPr>
              <w:t>生产经营单位处以罚款。</w:t>
            </w:r>
            <w:r>
              <w:rPr>
                <w:rFonts w:ascii="宋体" w:hAnsi="宋体" w:eastAsia="宋体" w:cs="宋体"/>
                <w:spacing w:val="7"/>
              </w:rPr>
              <w:t>2.</w:t>
            </w:r>
            <w:r>
              <w:rPr>
                <w:spacing w:val="7"/>
              </w:rPr>
              <w:t>【部门规章】《生产安</w:t>
            </w:r>
            <w:r>
              <w:rPr>
                <w:spacing w:val="8"/>
              </w:rPr>
              <w:t>全事故罚款处罚规定》第</w:t>
            </w:r>
            <w:r>
              <w:rPr>
                <w:spacing w:val="4"/>
              </w:rPr>
              <w:t>十六条：事故发生单位对</w:t>
            </w:r>
            <w:r>
              <w:rPr>
                <w:spacing w:val="32"/>
              </w:rPr>
              <w:t>重大事故发生负有责任</w:t>
            </w:r>
            <w:r>
              <w:rPr>
                <w:spacing w:val="8"/>
              </w:rPr>
              <w:t>的，依照下列规定处以罚</w:t>
            </w:r>
            <w:r>
              <w:rPr>
                <w:spacing w:val="-8"/>
              </w:rPr>
              <w:t>款</w:t>
            </w:r>
            <w:r>
              <w:rPr>
                <w:spacing w:val="-52"/>
              </w:rPr>
              <w:t>：（</w:t>
            </w:r>
            <w:r>
              <w:rPr>
                <w:spacing w:val="-8"/>
              </w:rPr>
              <w:t>一）造成</w:t>
            </w:r>
            <w:r>
              <w:rPr>
                <w:rFonts w:ascii="宋体" w:hAnsi="宋体" w:eastAsia="宋体" w:cs="宋体"/>
                <w:spacing w:val="-8"/>
              </w:rPr>
              <w:t>10</w:t>
            </w:r>
            <w:r>
              <w:rPr>
                <w:spacing w:val="-8"/>
              </w:rPr>
              <w:t>人以上</w:t>
            </w:r>
          </w:p>
        </w:tc>
        <w:tc>
          <w:tcPr>
            <w:tcW w:w="803" w:type="dxa"/>
            <w:vAlign w:val="top"/>
          </w:tcPr>
          <w:p w14:paraId="69B619C6">
            <w:pPr>
              <w:spacing w:line="297" w:lineRule="auto"/>
              <w:rPr>
                <w:rFonts w:ascii="Arial"/>
                <w:sz w:val="21"/>
              </w:rPr>
            </w:pPr>
          </w:p>
          <w:p w14:paraId="05E40115">
            <w:pPr>
              <w:spacing w:line="297" w:lineRule="auto"/>
              <w:rPr>
                <w:rFonts w:ascii="Arial"/>
                <w:sz w:val="21"/>
              </w:rPr>
            </w:pPr>
          </w:p>
          <w:p w14:paraId="4548123C">
            <w:pPr>
              <w:spacing w:line="297" w:lineRule="auto"/>
              <w:rPr>
                <w:rFonts w:ascii="Arial"/>
                <w:sz w:val="21"/>
              </w:rPr>
            </w:pPr>
          </w:p>
          <w:p w14:paraId="3D6C891B">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844C0FF">
            <w:pPr>
              <w:pStyle w:val="6"/>
              <w:spacing w:before="178" w:line="187" w:lineRule="auto"/>
              <w:ind w:left="117" w:right="105" w:hanging="1"/>
              <w:jc w:val="both"/>
            </w:pPr>
            <w:r>
              <w:rPr>
                <w:spacing w:val="8"/>
              </w:rPr>
              <w:t>造成</w:t>
            </w:r>
            <w:r>
              <w:rPr>
                <w:rFonts w:ascii="宋体" w:hAnsi="宋体" w:eastAsia="宋体" w:cs="宋体"/>
                <w:spacing w:val="8"/>
              </w:rPr>
              <w:t>10</w:t>
            </w:r>
            <w:r>
              <w:rPr>
                <w:spacing w:val="8"/>
              </w:rPr>
              <w:t>人以上</w:t>
            </w:r>
            <w:r>
              <w:rPr>
                <w:rFonts w:ascii="宋体" w:hAnsi="宋体" w:eastAsia="宋体" w:cs="宋体"/>
                <w:spacing w:val="8"/>
              </w:rPr>
              <w:t>13</w:t>
            </w:r>
            <w:r>
              <w:rPr>
                <w:spacing w:val="15"/>
              </w:rPr>
              <w:t>人以下死亡，或者</w:t>
            </w:r>
            <w:r>
              <w:rPr>
                <w:rFonts w:ascii="宋体" w:hAnsi="宋体" w:eastAsia="宋体" w:cs="宋体"/>
                <w:spacing w:val="7"/>
              </w:rPr>
              <w:t>50</w:t>
            </w:r>
            <w:r>
              <w:rPr>
                <w:spacing w:val="7"/>
              </w:rPr>
              <w:t>人以上</w:t>
            </w:r>
            <w:r>
              <w:rPr>
                <w:rFonts w:ascii="宋体" w:hAnsi="宋体" w:eastAsia="宋体" w:cs="宋体"/>
                <w:spacing w:val="7"/>
              </w:rPr>
              <w:t>60</w:t>
            </w:r>
            <w:r>
              <w:rPr>
                <w:spacing w:val="7"/>
              </w:rPr>
              <w:t>人以下</w:t>
            </w:r>
            <w:r>
              <w:rPr>
                <w:spacing w:val="1"/>
              </w:rPr>
              <w:t>重伤，或者</w:t>
            </w:r>
            <w:r>
              <w:rPr>
                <w:rFonts w:ascii="宋体" w:hAnsi="宋体" w:eastAsia="宋体" w:cs="宋体"/>
                <w:spacing w:val="1"/>
              </w:rPr>
              <w:t>5000</w:t>
            </w:r>
            <w:r>
              <w:rPr>
                <w:spacing w:val="1"/>
              </w:rPr>
              <w:t>万</w:t>
            </w:r>
            <w:r>
              <w:rPr>
                <w:spacing w:val="4"/>
              </w:rPr>
              <w:t>元以上</w:t>
            </w:r>
            <w:r>
              <w:rPr>
                <w:rFonts w:ascii="宋体" w:hAnsi="宋体" w:eastAsia="宋体" w:cs="宋体"/>
                <w:spacing w:val="4"/>
              </w:rPr>
              <w:t>6000</w:t>
            </w:r>
            <w:r>
              <w:rPr>
                <w:spacing w:val="4"/>
              </w:rPr>
              <w:t>万元以</w:t>
            </w:r>
            <w:r>
              <w:rPr>
                <w:spacing w:val="7"/>
              </w:rPr>
              <w:t>下直接经济损失的</w:t>
            </w:r>
          </w:p>
        </w:tc>
        <w:tc>
          <w:tcPr>
            <w:tcW w:w="2894" w:type="dxa"/>
            <w:vAlign w:val="top"/>
          </w:tcPr>
          <w:p w14:paraId="78636AC7">
            <w:pPr>
              <w:pStyle w:val="6"/>
              <w:spacing w:before="33" w:line="179" w:lineRule="auto"/>
              <w:ind w:left="115" w:right="105" w:firstLine="3"/>
              <w:jc w:val="both"/>
            </w:pPr>
            <w:r>
              <w:rPr>
                <w:spacing w:val="2"/>
              </w:rPr>
              <w:t>处</w:t>
            </w:r>
            <w:r>
              <w:rPr>
                <w:rFonts w:ascii="宋体" w:hAnsi="宋体" w:eastAsia="宋体" w:cs="宋体"/>
                <w:spacing w:val="2"/>
              </w:rPr>
              <w:t>200</w:t>
            </w:r>
            <w:r>
              <w:rPr>
                <w:spacing w:val="2"/>
              </w:rPr>
              <w:t>万元以上</w:t>
            </w:r>
            <w:r>
              <w:rPr>
                <w:rFonts w:ascii="宋体" w:hAnsi="宋体" w:eastAsia="宋体" w:cs="宋体"/>
                <w:spacing w:val="2"/>
              </w:rPr>
              <w:t>400</w:t>
            </w:r>
            <w:r>
              <w:rPr>
                <w:spacing w:val="2"/>
              </w:rPr>
              <w:t>万元</w:t>
            </w:r>
            <w:r>
              <w:rPr>
                <w:spacing w:val="8"/>
              </w:rPr>
              <w:t>以下的罚款；情节特别严重、影响特别恶劣的，可</w:t>
            </w:r>
            <w:r>
              <w:rPr>
                <w:spacing w:val="12"/>
              </w:rPr>
              <w:t>以按照上述罚款数额的二倍以上五倍以下对负有责任的生产经营单位处以罚</w:t>
            </w:r>
            <w:r>
              <w:t>款</w:t>
            </w:r>
          </w:p>
        </w:tc>
        <w:tc>
          <w:tcPr>
            <w:tcW w:w="811" w:type="dxa"/>
            <w:vMerge w:val="restart"/>
            <w:tcBorders>
              <w:bottom w:val="nil"/>
            </w:tcBorders>
            <w:vAlign w:val="top"/>
          </w:tcPr>
          <w:p w14:paraId="745A9087">
            <w:pPr>
              <w:spacing w:line="244" w:lineRule="auto"/>
              <w:rPr>
                <w:rFonts w:ascii="Arial"/>
                <w:sz w:val="21"/>
              </w:rPr>
            </w:pPr>
          </w:p>
          <w:p w14:paraId="1CE82436">
            <w:pPr>
              <w:spacing w:line="244" w:lineRule="auto"/>
              <w:rPr>
                <w:rFonts w:ascii="Arial"/>
                <w:sz w:val="21"/>
              </w:rPr>
            </w:pPr>
          </w:p>
          <w:p w14:paraId="177F648F">
            <w:pPr>
              <w:spacing w:line="244" w:lineRule="auto"/>
              <w:rPr>
                <w:rFonts w:ascii="Arial"/>
                <w:sz w:val="21"/>
              </w:rPr>
            </w:pPr>
          </w:p>
          <w:p w14:paraId="489742A0">
            <w:pPr>
              <w:spacing w:line="245" w:lineRule="auto"/>
              <w:rPr>
                <w:rFonts w:ascii="Arial"/>
                <w:sz w:val="21"/>
              </w:rPr>
            </w:pPr>
          </w:p>
          <w:p w14:paraId="71E9E93C">
            <w:pPr>
              <w:spacing w:line="245" w:lineRule="auto"/>
              <w:rPr>
                <w:rFonts w:ascii="Arial"/>
                <w:sz w:val="21"/>
              </w:rPr>
            </w:pPr>
          </w:p>
          <w:p w14:paraId="2CC8366D">
            <w:pPr>
              <w:spacing w:line="245" w:lineRule="auto"/>
              <w:rPr>
                <w:rFonts w:ascii="Arial"/>
                <w:sz w:val="21"/>
              </w:rPr>
            </w:pPr>
          </w:p>
          <w:p w14:paraId="15888501">
            <w:pPr>
              <w:spacing w:line="245" w:lineRule="auto"/>
              <w:rPr>
                <w:rFonts w:ascii="Arial"/>
                <w:sz w:val="21"/>
              </w:rPr>
            </w:pPr>
          </w:p>
          <w:p w14:paraId="1CCE9B7D">
            <w:pPr>
              <w:spacing w:line="245" w:lineRule="auto"/>
              <w:rPr>
                <w:rFonts w:ascii="Arial"/>
                <w:sz w:val="21"/>
              </w:rPr>
            </w:pPr>
          </w:p>
          <w:p w14:paraId="666FC326">
            <w:pPr>
              <w:spacing w:line="245" w:lineRule="auto"/>
              <w:rPr>
                <w:rFonts w:ascii="Arial"/>
                <w:sz w:val="21"/>
              </w:rPr>
            </w:pPr>
          </w:p>
          <w:p w14:paraId="21F413A4">
            <w:pPr>
              <w:spacing w:line="245" w:lineRule="auto"/>
              <w:rPr>
                <w:rFonts w:ascii="Arial"/>
                <w:sz w:val="21"/>
              </w:rPr>
            </w:pPr>
          </w:p>
          <w:p w14:paraId="1F731171">
            <w:pPr>
              <w:spacing w:line="245" w:lineRule="auto"/>
              <w:rPr>
                <w:rFonts w:ascii="Arial"/>
                <w:sz w:val="21"/>
              </w:rPr>
            </w:pPr>
          </w:p>
          <w:p w14:paraId="57BEF72C">
            <w:pPr>
              <w:spacing w:line="245" w:lineRule="auto"/>
              <w:rPr>
                <w:rFonts w:ascii="Arial"/>
                <w:sz w:val="21"/>
              </w:rPr>
            </w:pPr>
          </w:p>
          <w:p w14:paraId="2789F7CC">
            <w:pPr>
              <w:spacing w:line="245" w:lineRule="auto"/>
              <w:rPr>
                <w:rFonts w:ascii="Arial"/>
                <w:sz w:val="21"/>
              </w:rPr>
            </w:pPr>
          </w:p>
          <w:p w14:paraId="09AED857">
            <w:pPr>
              <w:spacing w:line="245" w:lineRule="auto"/>
              <w:rPr>
                <w:rFonts w:ascii="Arial"/>
                <w:sz w:val="21"/>
              </w:rPr>
            </w:pPr>
          </w:p>
          <w:p w14:paraId="301F9615">
            <w:pPr>
              <w:spacing w:before="75" w:line="188" w:lineRule="auto"/>
              <w:ind w:left="292"/>
              <w:rPr>
                <w:rFonts w:ascii="宋体" w:hAnsi="宋体" w:eastAsia="宋体" w:cs="宋体"/>
                <w:sz w:val="23"/>
                <w:szCs w:val="23"/>
              </w:rPr>
            </w:pPr>
            <w:r>
              <w:rPr>
                <w:rFonts w:ascii="宋体" w:hAnsi="宋体" w:eastAsia="宋体" w:cs="宋体"/>
                <w:spacing w:val="-3"/>
                <w:sz w:val="23"/>
                <w:szCs w:val="23"/>
              </w:rPr>
              <w:t>66</w:t>
            </w:r>
          </w:p>
        </w:tc>
      </w:tr>
      <w:tr w14:paraId="3FB48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8" w:hRule="atLeast"/>
        </w:trPr>
        <w:tc>
          <w:tcPr>
            <w:tcW w:w="818" w:type="dxa"/>
            <w:vMerge w:val="continue"/>
            <w:tcBorders>
              <w:top w:val="nil"/>
              <w:bottom w:val="nil"/>
            </w:tcBorders>
            <w:vAlign w:val="top"/>
          </w:tcPr>
          <w:p w14:paraId="21FCB9C0">
            <w:pPr>
              <w:rPr>
                <w:rFonts w:ascii="Arial"/>
                <w:sz w:val="21"/>
              </w:rPr>
            </w:pPr>
          </w:p>
        </w:tc>
        <w:tc>
          <w:tcPr>
            <w:tcW w:w="1440" w:type="dxa"/>
            <w:vMerge w:val="continue"/>
            <w:tcBorders>
              <w:top w:val="nil"/>
              <w:bottom w:val="nil"/>
            </w:tcBorders>
            <w:vAlign w:val="top"/>
          </w:tcPr>
          <w:p w14:paraId="2A4789F7">
            <w:pPr>
              <w:rPr>
                <w:rFonts w:ascii="Arial"/>
                <w:sz w:val="21"/>
              </w:rPr>
            </w:pPr>
          </w:p>
        </w:tc>
        <w:tc>
          <w:tcPr>
            <w:tcW w:w="3202" w:type="dxa"/>
            <w:vMerge w:val="continue"/>
            <w:tcBorders>
              <w:top w:val="nil"/>
              <w:bottom w:val="nil"/>
            </w:tcBorders>
            <w:vAlign w:val="top"/>
          </w:tcPr>
          <w:p w14:paraId="380796CA">
            <w:pPr>
              <w:rPr>
                <w:rFonts w:ascii="Arial"/>
                <w:sz w:val="21"/>
              </w:rPr>
            </w:pPr>
          </w:p>
        </w:tc>
        <w:tc>
          <w:tcPr>
            <w:tcW w:w="2859" w:type="dxa"/>
            <w:vMerge w:val="continue"/>
            <w:tcBorders>
              <w:top w:val="nil"/>
              <w:bottom w:val="nil"/>
            </w:tcBorders>
            <w:vAlign w:val="top"/>
          </w:tcPr>
          <w:p w14:paraId="5677AAA1">
            <w:pPr>
              <w:rPr>
                <w:rFonts w:ascii="Arial"/>
                <w:sz w:val="21"/>
              </w:rPr>
            </w:pPr>
          </w:p>
        </w:tc>
        <w:tc>
          <w:tcPr>
            <w:tcW w:w="803" w:type="dxa"/>
            <w:vAlign w:val="top"/>
          </w:tcPr>
          <w:p w14:paraId="2FA734BD">
            <w:pPr>
              <w:spacing w:line="253" w:lineRule="auto"/>
              <w:rPr>
                <w:rFonts w:ascii="Arial"/>
                <w:sz w:val="21"/>
              </w:rPr>
            </w:pPr>
          </w:p>
          <w:p w14:paraId="0AA3DCDE">
            <w:pPr>
              <w:spacing w:line="253" w:lineRule="auto"/>
              <w:rPr>
                <w:rFonts w:ascii="Arial"/>
                <w:sz w:val="21"/>
              </w:rPr>
            </w:pPr>
          </w:p>
          <w:p w14:paraId="091C9116">
            <w:pPr>
              <w:spacing w:line="253" w:lineRule="auto"/>
              <w:rPr>
                <w:rFonts w:ascii="Arial"/>
                <w:sz w:val="21"/>
              </w:rPr>
            </w:pPr>
          </w:p>
          <w:p w14:paraId="23F1B7F5">
            <w:pPr>
              <w:spacing w:line="254" w:lineRule="auto"/>
              <w:rPr>
                <w:rFonts w:ascii="Arial"/>
                <w:sz w:val="21"/>
              </w:rPr>
            </w:pPr>
          </w:p>
          <w:p w14:paraId="0D53E724">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545C0669">
            <w:pPr>
              <w:pStyle w:val="6"/>
              <w:spacing w:before="296" w:line="187" w:lineRule="auto"/>
              <w:ind w:left="115" w:right="105"/>
              <w:jc w:val="both"/>
            </w:pPr>
            <w:r>
              <w:rPr>
                <w:spacing w:val="8"/>
              </w:rPr>
              <w:t>造成</w:t>
            </w:r>
            <w:r>
              <w:rPr>
                <w:rFonts w:ascii="宋体" w:hAnsi="宋体" w:eastAsia="宋体" w:cs="宋体"/>
                <w:spacing w:val="8"/>
              </w:rPr>
              <w:t>13</w:t>
            </w:r>
            <w:r>
              <w:rPr>
                <w:spacing w:val="8"/>
              </w:rPr>
              <w:t>人以上</w:t>
            </w:r>
            <w:r>
              <w:rPr>
                <w:rFonts w:ascii="宋体" w:hAnsi="宋体" w:eastAsia="宋体" w:cs="宋体"/>
                <w:spacing w:val="8"/>
              </w:rPr>
              <w:t>15</w:t>
            </w:r>
            <w:r>
              <w:rPr>
                <w:spacing w:val="16"/>
              </w:rPr>
              <w:t>人以下死亡，或者</w:t>
            </w:r>
            <w:r>
              <w:rPr>
                <w:rFonts w:ascii="宋体" w:hAnsi="宋体" w:eastAsia="宋体" w:cs="宋体"/>
                <w:spacing w:val="7"/>
              </w:rPr>
              <w:t>60</w:t>
            </w:r>
            <w:r>
              <w:rPr>
                <w:spacing w:val="7"/>
              </w:rPr>
              <w:t>人以上</w:t>
            </w:r>
            <w:r>
              <w:rPr>
                <w:rFonts w:ascii="宋体" w:hAnsi="宋体" w:eastAsia="宋体" w:cs="宋体"/>
                <w:spacing w:val="7"/>
              </w:rPr>
              <w:t>70</w:t>
            </w:r>
            <w:r>
              <w:rPr>
                <w:spacing w:val="7"/>
              </w:rPr>
              <w:t>人以下</w:t>
            </w:r>
            <w:r>
              <w:rPr>
                <w:spacing w:val="1"/>
              </w:rPr>
              <w:t>重伤，或者</w:t>
            </w:r>
            <w:r>
              <w:rPr>
                <w:rFonts w:ascii="宋体" w:hAnsi="宋体" w:eastAsia="宋体" w:cs="宋体"/>
                <w:spacing w:val="1"/>
              </w:rPr>
              <w:t>6000</w:t>
            </w:r>
            <w:r>
              <w:rPr>
                <w:spacing w:val="1"/>
              </w:rPr>
              <w:t>万</w:t>
            </w:r>
            <w:r>
              <w:rPr>
                <w:spacing w:val="5"/>
              </w:rPr>
              <w:t>元以上</w:t>
            </w:r>
            <w:r>
              <w:rPr>
                <w:rFonts w:ascii="宋体" w:hAnsi="宋体" w:eastAsia="宋体" w:cs="宋体"/>
                <w:spacing w:val="5"/>
              </w:rPr>
              <w:t>7000</w:t>
            </w:r>
            <w:r>
              <w:rPr>
                <w:spacing w:val="5"/>
              </w:rPr>
              <w:t>万元以</w:t>
            </w:r>
            <w:r>
              <w:rPr>
                <w:spacing w:val="8"/>
              </w:rPr>
              <w:t>下直接经济损失的</w:t>
            </w:r>
          </w:p>
        </w:tc>
        <w:tc>
          <w:tcPr>
            <w:tcW w:w="2894" w:type="dxa"/>
            <w:vAlign w:val="top"/>
          </w:tcPr>
          <w:p w14:paraId="1B51A808">
            <w:pPr>
              <w:pStyle w:val="6"/>
              <w:spacing w:before="150" w:line="186" w:lineRule="auto"/>
              <w:ind w:left="115" w:right="105" w:firstLine="3"/>
              <w:jc w:val="both"/>
            </w:pPr>
            <w:r>
              <w:rPr>
                <w:spacing w:val="2"/>
              </w:rPr>
              <w:t>处</w:t>
            </w:r>
            <w:r>
              <w:rPr>
                <w:rFonts w:ascii="宋体" w:hAnsi="宋体" w:eastAsia="宋体" w:cs="宋体"/>
                <w:spacing w:val="2"/>
              </w:rPr>
              <w:t>400</w:t>
            </w:r>
            <w:r>
              <w:rPr>
                <w:spacing w:val="2"/>
              </w:rPr>
              <w:t>万元以上</w:t>
            </w:r>
            <w:r>
              <w:rPr>
                <w:rFonts w:ascii="宋体" w:hAnsi="宋体" w:eastAsia="宋体" w:cs="宋体"/>
                <w:spacing w:val="2"/>
              </w:rPr>
              <w:t>600</w:t>
            </w:r>
            <w:r>
              <w:rPr>
                <w:spacing w:val="2"/>
              </w:rPr>
              <w:t>万元</w:t>
            </w:r>
            <w:r>
              <w:rPr>
                <w:spacing w:val="8"/>
              </w:rPr>
              <w:t>以下的罚款；情节特别严重、影响特别恶劣的，可</w:t>
            </w:r>
            <w:r>
              <w:rPr>
                <w:spacing w:val="12"/>
              </w:rPr>
              <w:t>以按照上述罚款数额的二倍以上五倍以下对负有责任的生产经营单位处以罚</w:t>
            </w:r>
            <w:r>
              <w:t>款</w:t>
            </w:r>
          </w:p>
        </w:tc>
        <w:tc>
          <w:tcPr>
            <w:tcW w:w="811" w:type="dxa"/>
            <w:vMerge w:val="continue"/>
            <w:tcBorders>
              <w:top w:val="nil"/>
              <w:bottom w:val="nil"/>
            </w:tcBorders>
            <w:vAlign w:val="top"/>
          </w:tcPr>
          <w:p w14:paraId="6460831C">
            <w:pPr>
              <w:rPr>
                <w:rFonts w:ascii="Arial"/>
                <w:sz w:val="21"/>
              </w:rPr>
            </w:pPr>
          </w:p>
        </w:tc>
      </w:tr>
      <w:tr w14:paraId="620C8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2" w:hRule="atLeast"/>
        </w:trPr>
        <w:tc>
          <w:tcPr>
            <w:tcW w:w="818" w:type="dxa"/>
            <w:vMerge w:val="continue"/>
            <w:tcBorders>
              <w:top w:val="nil"/>
            </w:tcBorders>
            <w:vAlign w:val="top"/>
          </w:tcPr>
          <w:p w14:paraId="26CB42FE">
            <w:pPr>
              <w:rPr>
                <w:rFonts w:ascii="Arial"/>
                <w:sz w:val="21"/>
              </w:rPr>
            </w:pPr>
          </w:p>
        </w:tc>
        <w:tc>
          <w:tcPr>
            <w:tcW w:w="1440" w:type="dxa"/>
            <w:vMerge w:val="continue"/>
            <w:tcBorders>
              <w:top w:val="nil"/>
            </w:tcBorders>
            <w:vAlign w:val="top"/>
          </w:tcPr>
          <w:p w14:paraId="551533AD">
            <w:pPr>
              <w:rPr>
                <w:rFonts w:ascii="Arial"/>
                <w:sz w:val="21"/>
              </w:rPr>
            </w:pPr>
          </w:p>
        </w:tc>
        <w:tc>
          <w:tcPr>
            <w:tcW w:w="3202" w:type="dxa"/>
            <w:vMerge w:val="continue"/>
            <w:tcBorders>
              <w:top w:val="nil"/>
            </w:tcBorders>
            <w:vAlign w:val="top"/>
          </w:tcPr>
          <w:p w14:paraId="4553BF1C">
            <w:pPr>
              <w:rPr>
                <w:rFonts w:ascii="Arial"/>
                <w:sz w:val="21"/>
              </w:rPr>
            </w:pPr>
          </w:p>
        </w:tc>
        <w:tc>
          <w:tcPr>
            <w:tcW w:w="2859" w:type="dxa"/>
            <w:vMerge w:val="continue"/>
            <w:tcBorders>
              <w:top w:val="nil"/>
            </w:tcBorders>
            <w:vAlign w:val="top"/>
          </w:tcPr>
          <w:p w14:paraId="1240AB37">
            <w:pPr>
              <w:rPr>
                <w:rFonts w:ascii="Arial"/>
                <w:sz w:val="21"/>
              </w:rPr>
            </w:pPr>
          </w:p>
        </w:tc>
        <w:tc>
          <w:tcPr>
            <w:tcW w:w="803" w:type="dxa"/>
            <w:vAlign w:val="top"/>
          </w:tcPr>
          <w:p w14:paraId="4DC8E646">
            <w:pPr>
              <w:spacing w:line="243" w:lineRule="auto"/>
              <w:rPr>
                <w:rFonts w:ascii="Arial"/>
                <w:sz w:val="21"/>
              </w:rPr>
            </w:pPr>
          </w:p>
          <w:p w14:paraId="6A78F164">
            <w:pPr>
              <w:spacing w:line="243" w:lineRule="auto"/>
              <w:rPr>
                <w:rFonts w:ascii="Arial"/>
                <w:sz w:val="21"/>
              </w:rPr>
            </w:pPr>
          </w:p>
          <w:p w14:paraId="3F081FF8">
            <w:pPr>
              <w:spacing w:line="243" w:lineRule="auto"/>
              <w:rPr>
                <w:rFonts w:ascii="Arial"/>
                <w:sz w:val="21"/>
              </w:rPr>
            </w:pPr>
          </w:p>
          <w:p w14:paraId="41E47A8B">
            <w:pPr>
              <w:spacing w:line="243" w:lineRule="auto"/>
              <w:rPr>
                <w:rFonts w:ascii="Arial"/>
                <w:sz w:val="21"/>
              </w:rPr>
            </w:pPr>
          </w:p>
          <w:p w14:paraId="76D7903C">
            <w:pPr>
              <w:spacing w:line="244" w:lineRule="auto"/>
              <w:rPr>
                <w:rFonts w:ascii="Arial"/>
                <w:sz w:val="21"/>
              </w:rPr>
            </w:pPr>
          </w:p>
          <w:p w14:paraId="7E79420B">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ECC8130">
            <w:pPr>
              <w:spacing w:line="401" w:lineRule="auto"/>
              <w:rPr>
                <w:rFonts w:ascii="Arial"/>
                <w:sz w:val="21"/>
              </w:rPr>
            </w:pPr>
          </w:p>
          <w:p w14:paraId="1210BD31">
            <w:pPr>
              <w:pStyle w:val="6"/>
              <w:spacing w:before="98" w:line="187" w:lineRule="auto"/>
              <w:ind w:left="118" w:right="105" w:hanging="2"/>
              <w:jc w:val="both"/>
            </w:pPr>
            <w:r>
              <w:rPr>
                <w:spacing w:val="9"/>
              </w:rPr>
              <w:t>造成</w:t>
            </w:r>
            <w:r>
              <w:rPr>
                <w:rFonts w:ascii="宋体" w:hAnsi="宋体" w:eastAsia="宋体" w:cs="宋体"/>
                <w:spacing w:val="9"/>
              </w:rPr>
              <w:t>15</w:t>
            </w:r>
            <w:r>
              <w:rPr>
                <w:spacing w:val="9"/>
              </w:rPr>
              <w:t>人以上</w:t>
            </w:r>
            <w:r>
              <w:rPr>
                <w:rFonts w:ascii="宋体" w:hAnsi="宋体" w:eastAsia="宋体" w:cs="宋体"/>
                <w:spacing w:val="9"/>
              </w:rPr>
              <w:t>30</w:t>
            </w:r>
            <w:r>
              <w:rPr>
                <w:spacing w:val="15"/>
              </w:rPr>
              <w:t>人以下死亡，或者</w:t>
            </w:r>
            <w:r>
              <w:rPr>
                <w:rFonts w:ascii="宋体" w:hAnsi="宋体" w:eastAsia="宋体" w:cs="宋体"/>
                <w:spacing w:val="3"/>
              </w:rPr>
              <w:t>70</w:t>
            </w:r>
            <w:r>
              <w:rPr>
                <w:spacing w:val="3"/>
              </w:rPr>
              <w:t>人以上</w:t>
            </w:r>
            <w:r>
              <w:rPr>
                <w:rFonts w:ascii="宋体" w:hAnsi="宋体" w:eastAsia="宋体" w:cs="宋体"/>
                <w:spacing w:val="3"/>
              </w:rPr>
              <w:t>100</w:t>
            </w:r>
            <w:r>
              <w:rPr>
                <w:spacing w:val="3"/>
              </w:rPr>
              <w:t>人以</w:t>
            </w:r>
            <w:r>
              <w:rPr>
                <w:spacing w:val="6"/>
              </w:rPr>
              <w:t>下重伤，或者</w:t>
            </w:r>
            <w:r>
              <w:rPr>
                <w:rFonts w:ascii="宋体" w:hAnsi="宋体" w:eastAsia="宋体" w:cs="宋体"/>
                <w:spacing w:val="6"/>
              </w:rPr>
              <w:t>7000</w:t>
            </w:r>
            <w:r>
              <w:rPr>
                <w:spacing w:val="14"/>
              </w:rPr>
              <w:t>万元以上</w:t>
            </w:r>
            <w:r>
              <w:rPr>
                <w:rFonts w:ascii="宋体" w:hAnsi="宋体" w:eastAsia="宋体" w:cs="宋体"/>
                <w:spacing w:val="14"/>
              </w:rPr>
              <w:t>1</w:t>
            </w:r>
            <w:r>
              <w:rPr>
                <w:spacing w:val="14"/>
              </w:rPr>
              <w:t>亿元以</w:t>
            </w:r>
            <w:r>
              <w:rPr>
                <w:spacing w:val="7"/>
              </w:rPr>
              <w:t>下直接经济损失的</w:t>
            </w:r>
          </w:p>
        </w:tc>
        <w:tc>
          <w:tcPr>
            <w:tcW w:w="2894" w:type="dxa"/>
            <w:vAlign w:val="top"/>
          </w:tcPr>
          <w:p w14:paraId="525B1E04">
            <w:pPr>
              <w:spacing w:line="258" w:lineRule="auto"/>
              <w:rPr>
                <w:rFonts w:ascii="Arial"/>
                <w:sz w:val="21"/>
              </w:rPr>
            </w:pPr>
          </w:p>
          <w:p w14:paraId="2BF188CB">
            <w:pPr>
              <w:pStyle w:val="6"/>
              <w:spacing w:before="98" w:line="186" w:lineRule="auto"/>
              <w:ind w:left="115" w:right="103" w:firstLine="3"/>
              <w:jc w:val="both"/>
            </w:pPr>
            <w:r>
              <w:rPr>
                <w:spacing w:val="8"/>
              </w:rPr>
              <w:t>处</w:t>
            </w:r>
            <w:r>
              <w:rPr>
                <w:rFonts w:ascii="宋体" w:hAnsi="宋体" w:eastAsia="宋体" w:cs="宋体"/>
                <w:spacing w:val="8"/>
              </w:rPr>
              <w:t>600</w:t>
            </w:r>
            <w:r>
              <w:rPr>
                <w:spacing w:val="8"/>
              </w:rPr>
              <w:t>万元以上</w:t>
            </w:r>
            <w:r>
              <w:rPr>
                <w:rFonts w:ascii="宋体" w:hAnsi="宋体" w:eastAsia="宋体" w:cs="宋体"/>
                <w:spacing w:val="8"/>
              </w:rPr>
              <w:t>1000</w:t>
            </w:r>
            <w:r>
              <w:rPr>
                <w:spacing w:val="8"/>
              </w:rPr>
              <w:t>万元以下的罚款；情节特别严重、影响特别恶劣的，可</w:t>
            </w:r>
            <w:r>
              <w:rPr>
                <w:spacing w:val="12"/>
              </w:rPr>
              <w:t>以按照上述罚款数额的二倍以上五倍以下对负有责任的生产经营单位处以罚</w:t>
            </w:r>
            <w:r>
              <w:t>款</w:t>
            </w:r>
          </w:p>
        </w:tc>
        <w:tc>
          <w:tcPr>
            <w:tcW w:w="811" w:type="dxa"/>
            <w:vMerge w:val="continue"/>
            <w:tcBorders>
              <w:top w:val="nil"/>
            </w:tcBorders>
            <w:vAlign w:val="top"/>
          </w:tcPr>
          <w:p w14:paraId="42DD56F1">
            <w:pPr>
              <w:rPr>
                <w:rFonts w:ascii="Arial"/>
                <w:sz w:val="21"/>
              </w:rPr>
            </w:pPr>
          </w:p>
        </w:tc>
      </w:tr>
    </w:tbl>
    <w:p w14:paraId="0AE29847">
      <w:pPr>
        <w:pStyle w:val="2"/>
      </w:pPr>
    </w:p>
    <w:p w14:paraId="084B8053">
      <w:pPr>
        <w:sectPr>
          <w:footerReference r:id="rId122" w:type="default"/>
          <w:pgSz w:w="16839" w:h="11906"/>
          <w:pgMar w:top="1012" w:right="821" w:bottom="667" w:left="901" w:header="0" w:footer="388" w:gutter="0"/>
          <w:cols w:space="720" w:num="1"/>
        </w:sectPr>
      </w:pPr>
    </w:p>
    <w:p w14:paraId="2AC4B1B7">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433A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DBCC6AB">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64685C38">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B0033FF">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1128777">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12C1DFA2">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8DB9DBC">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B8729D7">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4E88DE5">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35B9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2" w:hRule="atLeast"/>
        </w:trPr>
        <w:tc>
          <w:tcPr>
            <w:tcW w:w="818" w:type="dxa"/>
            <w:vAlign w:val="top"/>
          </w:tcPr>
          <w:p w14:paraId="50D2AA5E">
            <w:pPr>
              <w:rPr>
                <w:rFonts w:ascii="Arial"/>
                <w:sz w:val="21"/>
              </w:rPr>
            </w:pPr>
          </w:p>
        </w:tc>
        <w:tc>
          <w:tcPr>
            <w:tcW w:w="1440" w:type="dxa"/>
            <w:vAlign w:val="top"/>
          </w:tcPr>
          <w:p w14:paraId="4BBC1BD1">
            <w:pPr>
              <w:rPr>
                <w:rFonts w:ascii="Arial"/>
                <w:sz w:val="21"/>
              </w:rPr>
            </w:pPr>
          </w:p>
        </w:tc>
        <w:tc>
          <w:tcPr>
            <w:tcW w:w="3202" w:type="dxa"/>
            <w:vAlign w:val="top"/>
          </w:tcPr>
          <w:p w14:paraId="5F597FD8">
            <w:pPr>
              <w:rPr>
                <w:rFonts w:ascii="Arial"/>
                <w:sz w:val="21"/>
              </w:rPr>
            </w:pPr>
          </w:p>
        </w:tc>
        <w:tc>
          <w:tcPr>
            <w:tcW w:w="2859" w:type="dxa"/>
            <w:vAlign w:val="top"/>
          </w:tcPr>
          <w:p w14:paraId="5E051466">
            <w:pPr>
              <w:pStyle w:val="6"/>
              <w:spacing w:before="30" w:line="182" w:lineRule="auto"/>
              <w:ind w:left="119" w:right="108" w:firstLine="11"/>
              <w:jc w:val="both"/>
            </w:pPr>
            <w:r>
              <w:rPr>
                <w:rFonts w:ascii="宋体" w:hAnsi="宋体" w:eastAsia="宋体" w:cs="宋体"/>
                <w:spacing w:val="6"/>
              </w:rPr>
              <w:t>13</w:t>
            </w:r>
            <w:r>
              <w:rPr>
                <w:spacing w:val="6"/>
              </w:rPr>
              <w:t>人以下死亡，或者</w:t>
            </w:r>
            <w:r>
              <w:rPr>
                <w:rFonts w:ascii="宋体" w:hAnsi="宋体" w:eastAsia="宋体" w:cs="宋体"/>
                <w:spacing w:val="6"/>
              </w:rPr>
              <w:t>50</w:t>
            </w:r>
            <w:r>
              <w:rPr>
                <w:spacing w:val="-4"/>
              </w:rPr>
              <w:t>人以上</w:t>
            </w:r>
            <w:r>
              <w:rPr>
                <w:rFonts w:ascii="宋体" w:hAnsi="宋体" w:eastAsia="宋体" w:cs="宋体"/>
                <w:spacing w:val="-4"/>
              </w:rPr>
              <w:t>60</w:t>
            </w:r>
            <w:r>
              <w:rPr>
                <w:spacing w:val="-4"/>
              </w:rPr>
              <w:t>人以下重伤，或</w:t>
            </w:r>
            <w:r>
              <w:t>者</w:t>
            </w:r>
            <w:r>
              <w:rPr>
                <w:rFonts w:ascii="宋体" w:hAnsi="宋体" w:eastAsia="宋体" w:cs="宋体"/>
              </w:rPr>
              <w:t>5000</w:t>
            </w:r>
            <w:r>
              <w:t>万元以上</w:t>
            </w:r>
            <w:r>
              <w:rPr>
                <w:rFonts w:ascii="宋体" w:hAnsi="宋体" w:eastAsia="宋体" w:cs="宋体"/>
              </w:rPr>
              <w:t>6000</w:t>
            </w:r>
            <w:r>
              <w:t>万</w:t>
            </w:r>
          </w:p>
          <w:p w14:paraId="2D0E77E2">
            <w:pPr>
              <w:pStyle w:val="6"/>
              <w:spacing w:line="182" w:lineRule="auto"/>
              <w:ind w:left="122"/>
              <w:outlineLvl w:val="0"/>
            </w:pPr>
            <w:r>
              <w:rPr>
                <w:spacing w:val="7"/>
              </w:rPr>
              <w:t>元以下直接经济损失的，</w:t>
            </w:r>
          </w:p>
          <w:p w14:paraId="00DFD4B3">
            <w:pPr>
              <w:pStyle w:val="6"/>
              <w:spacing w:before="24" w:line="180" w:lineRule="auto"/>
              <w:ind w:left="98" w:right="35" w:firstLine="18"/>
            </w:pPr>
            <w:r>
              <w:t>处</w:t>
            </w:r>
            <w:r>
              <w:rPr>
                <w:rFonts w:ascii="宋体" w:hAnsi="宋体" w:eastAsia="宋体" w:cs="宋体"/>
              </w:rPr>
              <w:t>200</w:t>
            </w:r>
            <w:r>
              <w:t>万元以上</w:t>
            </w:r>
            <w:r>
              <w:rPr>
                <w:rFonts w:ascii="宋体" w:hAnsi="宋体" w:eastAsia="宋体" w:cs="宋体"/>
              </w:rPr>
              <w:t>400</w:t>
            </w:r>
            <w:r>
              <w:t>万元</w:t>
            </w:r>
            <w:bookmarkStart w:id="519" w:name="bookmark203"/>
            <w:bookmarkEnd w:id="519"/>
            <w:r>
              <w:rPr>
                <w:spacing w:val="9"/>
              </w:rPr>
              <w:t>以下的罚款</w:t>
            </w:r>
            <w:r>
              <w:rPr>
                <w:spacing w:val="13"/>
              </w:rPr>
              <w:t>；（</w:t>
            </w:r>
            <w:r>
              <w:rPr>
                <w:spacing w:val="9"/>
              </w:rPr>
              <w:t>二）造成</w:t>
            </w:r>
            <w:r>
              <w:rPr>
                <w:rFonts w:ascii="宋体" w:hAnsi="宋体" w:eastAsia="宋体" w:cs="宋体"/>
                <w:spacing w:val="4"/>
              </w:rPr>
              <w:t>13</w:t>
            </w:r>
            <w:r>
              <w:rPr>
                <w:spacing w:val="4"/>
              </w:rPr>
              <w:t>人以上</w:t>
            </w:r>
            <w:r>
              <w:rPr>
                <w:rFonts w:ascii="宋体" w:hAnsi="宋体" w:eastAsia="宋体" w:cs="宋体"/>
                <w:spacing w:val="4"/>
              </w:rPr>
              <w:t>15</w:t>
            </w:r>
            <w:r>
              <w:rPr>
                <w:spacing w:val="4"/>
              </w:rPr>
              <w:t>人以下死亡，</w:t>
            </w:r>
            <w:r>
              <w:rPr>
                <w:spacing w:val="3"/>
              </w:rPr>
              <w:t>或者</w:t>
            </w:r>
            <w:r>
              <w:rPr>
                <w:rFonts w:ascii="宋体" w:hAnsi="宋体" w:eastAsia="宋体" w:cs="宋体"/>
                <w:spacing w:val="3"/>
              </w:rPr>
              <w:t>60</w:t>
            </w:r>
            <w:r>
              <w:rPr>
                <w:spacing w:val="3"/>
              </w:rPr>
              <w:t>人以上</w:t>
            </w:r>
            <w:r>
              <w:rPr>
                <w:rFonts w:ascii="宋体" w:hAnsi="宋体" w:eastAsia="宋体" w:cs="宋体"/>
                <w:spacing w:val="3"/>
              </w:rPr>
              <w:t>70</w:t>
            </w:r>
            <w:r>
              <w:rPr>
                <w:spacing w:val="3"/>
              </w:rPr>
              <w:t>人以下</w:t>
            </w:r>
            <w:r>
              <w:rPr>
                <w:spacing w:val="-3"/>
              </w:rPr>
              <w:t>重伤，或者</w:t>
            </w:r>
            <w:r>
              <w:rPr>
                <w:rFonts w:ascii="宋体" w:hAnsi="宋体" w:eastAsia="宋体" w:cs="宋体"/>
                <w:spacing w:val="-3"/>
              </w:rPr>
              <w:t>6000</w:t>
            </w:r>
            <w:r>
              <w:rPr>
                <w:spacing w:val="-3"/>
              </w:rPr>
              <w:t>万元以上</w:t>
            </w:r>
            <w:r>
              <w:rPr>
                <w:rFonts w:ascii="宋体" w:hAnsi="宋体" w:eastAsia="宋体" w:cs="宋体"/>
                <w:spacing w:val="17"/>
              </w:rPr>
              <w:t>7000</w:t>
            </w:r>
            <w:r>
              <w:rPr>
                <w:spacing w:val="17"/>
              </w:rPr>
              <w:t>万元以下直接经济</w:t>
            </w:r>
            <w:r>
              <w:rPr>
                <w:spacing w:val="5"/>
              </w:rPr>
              <w:t>损失的，处</w:t>
            </w:r>
            <w:r>
              <w:rPr>
                <w:rFonts w:ascii="宋体" w:hAnsi="宋体" w:eastAsia="宋体" w:cs="宋体"/>
                <w:spacing w:val="5"/>
              </w:rPr>
              <w:t>400</w:t>
            </w:r>
            <w:r>
              <w:rPr>
                <w:spacing w:val="5"/>
              </w:rPr>
              <w:t>万元以上</w:t>
            </w:r>
            <w:r>
              <w:rPr>
                <w:rFonts w:ascii="宋体" w:hAnsi="宋体" w:eastAsia="宋体" w:cs="宋体"/>
                <w:spacing w:val="25"/>
              </w:rPr>
              <w:t>600</w:t>
            </w:r>
            <w:r>
              <w:rPr>
                <w:spacing w:val="25"/>
              </w:rPr>
              <w:t>万元以下的罚款；</w:t>
            </w:r>
            <w:r>
              <w:rPr>
                <w:spacing w:val="4"/>
              </w:rPr>
              <w:t>（三）造成</w:t>
            </w:r>
            <w:r>
              <w:rPr>
                <w:rFonts w:ascii="宋体" w:hAnsi="宋体" w:eastAsia="宋体" w:cs="宋体"/>
                <w:spacing w:val="4"/>
              </w:rPr>
              <w:t>15</w:t>
            </w:r>
            <w:r>
              <w:rPr>
                <w:spacing w:val="4"/>
              </w:rPr>
              <w:t>人以上</w:t>
            </w:r>
            <w:r>
              <w:rPr>
                <w:rFonts w:ascii="宋体" w:hAnsi="宋体" w:eastAsia="宋体" w:cs="宋体"/>
                <w:spacing w:val="4"/>
              </w:rPr>
              <w:t>30</w:t>
            </w:r>
            <w:r>
              <w:rPr>
                <w:spacing w:val="-3"/>
              </w:rPr>
              <w:t>人以下死亡，或者</w:t>
            </w:r>
            <w:r>
              <w:rPr>
                <w:rFonts w:ascii="宋体" w:hAnsi="宋体" w:eastAsia="宋体" w:cs="宋体"/>
                <w:spacing w:val="-3"/>
              </w:rPr>
              <w:t>70</w:t>
            </w:r>
            <w:r>
              <w:rPr>
                <w:spacing w:val="-3"/>
              </w:rPr>
              <w:t>人以</w:t>
            </w:r>
            <w:r>
              <w:rPr>
                <w:spacing w:val="6"/>
              </w:rPr>
              <w:t>上</w:t>
            </w:r>
            <w:r>
              <w:rPr>
                <w:rFonts w:ascii="宋体" w:hAnsi="宋体" w:eastAsia="宋体" w:cs="宋体"/>
                <w:spacing w:val="6"/>
              </w:rPr>
              <w:t>100</w:t>
            </w:r>
            <w:r>
              <w:rPr>
                <w:spacing w:val="6"/>
              </w:rPr>
              <w:t>人以下重伤，或者</w:t>
            </w:r>
            <w:r>
              <w:rPr>
                <w:rFonts w:ascii="宋体" w:hAnsi="宋体" w:eastAsia="宋体" w:cs="宋体"/>
                <w:spacing w:val="7"/>
              </w:rPr>
              <w:t>7000</w:t>
            </w:r>
            <w:r>
              <w:rPr>
                <w:spacing w:val="7"/>
              </w:rPr>
              <w:t>万元以上</w:t>
            </w:r>
            <w:r>
              <w:rPr>
                <w:rFonts w:ascii="宋体" w:hAnsi="宋体" w:eastAsia="宋体" w:cs="宋体"/>
                <w:spacing w:val="7"/>
              </w:rPr>
              <w:t>1</w:t>
            </w:r>
            <w:r>
              <w:rPr>
                <w:spacing w:val="7"/>
              </w:rPr>
              <w:t>亿元以下</w:t>
            </w:r>
            <w:r>
              <w:rPr>
                <w:spacing w:val="9"/>
              </w:rPr>
              <w:t>直接经济损失的，处</w:t>
            </w:r>
            <w:r>
              <w:rPr>
                <w:rFonts w:ascii="宋体" w:hAnsi="宋体" w:eastAsia="宋体" w:cs="宋体"/>
                <w:spacing w:val="9"/>
              </w:rPr>
              <w:t>600</w:t>
            </w:r>
            <w:r>
              <w:rPr>
                <w:spacing w:val="9"/>
              </w:rPr>
              <w:t>万元以上</w:t>
            </w:r>
            <w:r>
              <w:rPr>
                <w:rFonts w:ascii="宋体" w:hAnsi="宋体" w:eastAsia="宋体" w:cs="宋体"/>
                <w:spacing w:val="9"/>
              </w:rPr>
              <w:t>1000</w:t>
            </w:r>
            <w:r>
              <w:rPr>
                <w:spacing w:val="9"/>
              </w:rPr>
              <w:t>万元以下</w:t>
            </w:r>
            <w:r>
              <w:rPr>
                <w:spacing w:val="2"/>
              </w:rPr>
              <w:t>的罚款。</w:t>
            </w:r>
          </w:p>
        </w:tc>
        <w:tc>
          <w:tcPr>
            <w:tcW w:w="803" w:type="dxa"/>
            <w:vAlign w:val="top"/>
          </w:tcPr>
          <w:p w14:paraId="4B7CBBB2">
            <w:pPr>
              <w:rPr>
                <w:rFonts w:ascii="Arial"/>
                <w:sz w:val="21"/>
              </w:rPr>
            </w:pPr>
          </w:p>
        </w:tc>
        <w:tc>
          <w:tcPr>
            <w:tcW w:w="2283" w:type="dxa"/>
            <w:vAlign w:val="top"/>
          </w:tcPr>
          <w:p w14:paraId="7686A046">
            <w:pPr>
              <w:rPr>
                <w:rFonts w:ascii="Arial"/>
                <w:sz w:val="21"/>
              </w:rPr>
            </w:pPr>
          </w:p>
        </w:tc>
        <w:tc>
          <w:tcPr>
            <w:tcW w:w="2894" w:type="dxa"/>
            <w:vAlign w:val="top"/>
          </w:tcPr>
          <w:p w14:paraId="313132B3">
            <w:pPr>
              <w:rPr>
                <w:rFonts w:ascii="Arial"/>
                <w:sz w:val="21"/>
              </w:rPr>
            </w:pPr>
          </w:p>
        </w:tc>
        <w:tc>
          <w:tcPr>
            <w:tcW w:w="811" w:type="dxa"/>
            <w:vAlign w:val="top"/>
          </w:tcPr>
          <w:p w14:paraId="735A49ED">
            <w:pPr>
              <w:rPr>
                <w:rFonts w:ascii="Arial"/>
                <w:sz w:val="21"/>
              </w:rPr>
            </w:pPr>
          </w:p>
        </w:tc>
      </w:tr>
      <w:tr w14:paraId="6B701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restart"/>
            <w:tcBorders>
              <w:bottom w:val="nil"/>
            </w:tcBorders>
            <w:vAlign w:val="top"/>
          </w:tcPr>
          <w:p w14:paraId="50651476">
            <w:pPr>
              <w:spacing w:line="250" w:lineRule="auto"/>
              <w:rPr>
                <w:rFonts w:ascii="Arial"/>
                <w:sz w:val="21"/>
              </w:rPr>
            </w:pPr>
          </w:p>
          <w:p w14:paraId="18FD45C5">
            <w:pPr>
              <w:spacing w:line="250" w:lineRule="auto"/>
              <w:rPr>
                <w:rFonts w:ascii="Arial"/>
                <w:sz w:val="21"/>
              </w:rPr>
            </w:pPr>
          </w:p>
          <w:p w14:paraId="42D9EBD5">
            <w:pPr>
              <w:spacing w:line="250" w:lineRule="auto"/>
              <w:rPr>
                <w:rFonts w:ascii="Arial"/>
                <w:sz w:val="21"/>
              </w:rPr>
            </w:pPr>
          </w:p>
          <w:p w14:paraId="5AE8E38F">
            <w:pPr>
              <w:spacing w:line="250" w:lineRule="auto"/>
              <w:rPr>
                <w:rFonts w:ascii="Arial"/>
                <w:sz w:val="21"/>
              </w:rPr>
            </w:pPr>
          </w:p>
          <w:p w14:paraId="126C0F8E">
            <w:pPr>
              <w:spacing w:line="250" w:lineRule="auto"/>
              <w:rPr>
                <w:rFonts w:ascii="Arial"/>
                <w:sz w:val="21"/>
              </w:rPr>
            </w:pPr>
          </w:p>
          <w:p w14:paraId="26C6C031">
            <w:pPr>
              <w:spacing w:line="251" w:lineRule="auto"/>
              <w:rPr>
                <w:rFonts w:ascii="Arial"/>
                <w:sz w:val="21"/>
              </w:rPr>
            </w:pPr>
          </w:p>
          <w:p w14:paraId="5103387D">
            <w:pPr>
              <w:spacing w:before="74" w:line="185" w:lineRule="auto"/>
              <w:ind w:left="235"/>
              <w:rPr>
                <w:rFonts w:ascii="仿宋" w:hAnsi="仿宋" w:eastAsia="仿宋" w:cs="仿宋"/>
                <w:sz w:val="23"/>
                <w:szCs w:val="23"/>
              </w:rPr>
            </w:pPr>
            <w:r>
              <w:rPr>
                <w:rFonts w:ascii="仿宋" w:hAnsi="仿宋" w:eastAsia="仿宋" w:cs="仿宋"/>
                <w:spacing w:val="-2"/>
                <w:sz w:val="23"/>
                <w:szCs w:val="23"/>
              </w:rPr>
              <w:t>98</w:t>
            </w:r>
          </w:p>
        </w:tc>
        <w:tc>
          <w:tcPr>
            <w:tcW w:w="1440" w:type="dxa"/>
            <w:vMerge w:val="restart"/>
            <w:tcBorders>
              <w:bottom w:val="nil"/>
            </w:tcBorders>
            <w:vAlign w:val="top"/>
          </w:tcPr>
          <w:p w14:paraId="211486E4">
            <w:pPr>
              <w:spacing w:line="277" w:lineRule="auto"/>
              <w:rPr>
                <w:rFonts w:ascii="Arial"/>
                <w:sz w:val="21"/>
              </w:rPr>
            </w:pPr>
          </w:p>
          <w:p w14:paraId="7592522B">
            <w:pPr>
              <w:spacing w:line="277" w:lineRule="auto"/>
              <w:rPr>
                <w:rFonts w:ascii="Arial"/>
                <w:sz w:val="21"/>
              </w:rPr>
            </w:pPr>
          </w:p>
          <w:p w14:paraId="62F90E7C">
            <w:pPr>
              <w:spacing w:line="278" w:lineRule="auto"/>
              <w:rPr>
                <w:rFonts w:ascii="Arial"/>
                <w:sz w:val="21"/>
              </w:rPr>
            </w:pPr>
          </w:p>
          <w:p w14:paraId="76FEC496">
            <w:pPr>
              <w:pStyle w:val="6"/>
              <w:spacing w:before="98" w:line="188" w:lineRule="auto"/>
              <w:ind w:left="115" w:right="111" w:firstLine="13"/>
              <w:jc w:val="both"/>
            </w:pPr>
            <w:r>
              <w:rPr>
                <w:spacing w:val="8"/>
              </w:rPr>
              <w:t>生产经营单</w:t>
            </w:r>
            <w:r>
              <w:rPr>
                <w:spacing w:val="11"/>
              </w:rPr>
              <w:t>位对特别重大生产安全事故发生负</w:t>
            </w:r>
            <w:r>
              <w:rPr>
                <w:spacing w:val="6"/>
              </w:rPr>
              <w:t>有责任的</w:t>
            </w:r>
          </w:p>
        </w:tc>
        <w:tc>
          <w:tcPr>
            <w:tcW w:w="3202" w:type="dxa"/>
            <w:vMerge w:val="restart"/>
            <w:tcBorders>
              <w:bottom w:val="nil"/>
            </w:tcBorders>
            <w:vAlign w:val="top"/>
          </w:tcPr>
          <w:p w14:paraId="37128FAB">
            <w:pPr>
              <w:rPr>
                <w:rFonts w:ascii="Arial"/>
                <w:sz w:val="21"/>
              </w:rPr>
            </w:pPr>
          </w:p>
        </w:tc>
        <w:tc>
          <w:tcPr>
            <w:tcW w:w="2859" w:type="dxa"/>
            <w:vMerge w:val="restart"/>
            <w:tcBorders>
              <w:bottom w:val="nil"/>
            </w:tcBorders>
            <w:vAlign w:val="top"/>
          </w:tcPr>
          <w:p w14:paraId="410163D8">
            <w:pPr>
              <w:pStyle w:val="6"/>
              <w:spacing w:before="32" w:line="181" w:lineRule="auto"/>
              <w:ind w:left="115" w:right="110" w:firstLine="15"/>
            </w:pPr>
            <w:r>
              <w:rPr>
                <w:rFonts w:ascii="宋体" w:hAnsi="宋体" w:eastAsia="宋体" w:cs="宋体"/>
                <w:spacing w:val="6"/>
              </w:rPr>
              <w:t>1.</w:t>
            </w:r>
            <w:r>
              <w:rPr>
                <w:spacing w:val="6"/>
              </w:rPr>
              <w:t>【法律】《中华人民共</w:t>
            </w:r>
            <w:r>
              <w:rPr>
                <w:spacing w:val="8"/>
              </w:rPr>
              <w:t>和国安全生产法》第一百</w:t>
            </w:r>
            <w:r>
              <w:rPr>
                <w:spacing w:val="6"/>
              </w:rPr>
              <w:t>一十四条第一款第四项、</w:t>
            </w:r>
            <w:r>
              <w:rPr>
                <w:spacing w:val="8"/>
              </w:rPr>
              <w:t>第二款：发生生产安全事故，对负有责任的生产经营单位除要求其依法承担</w:t>
            </w:r>
            <w:r>
              <w:rPr>
                <w:spacing w:val="-1"/>
              </w:rPr>
              <w:t>相应的赔偿等责任外，由</w:t>
            </w:r>
            <w:r>
              <w:rPr>
                <w:spacing w:val="8"/>
              </w:rPr>
              <w:t>应急管理部门依照下列规定处以罚款</w:t>
            </w:r>
            <w:r>
              <w:rPr>
                <w:spacing w:val="12"/>
              </w:rPr>
              <w:t>：（</w:t>
            </w:r>
            <w:r>
              <w:rPr>
                <w:spacing w:val="8"/>
              </w:rPr>
              <w:t>四）发生特别重大事故的，处一千万元以上二千万元以下的</w:t>
            </w:r>
          </w:p>
        </w:tc>
        <w:tc>
          <w:tcPr>
            <w:tcW w:w="803" w:type="dxa"/>
            <w:vAlign w:val="top"/>
          </w:tcPr>
          <w:p w14:paraId="2E0559BC">
            <w:pPr>
              <w:spacing w:line="297" w:lineRule="auto"/>
              <w:rPr>
                <w:rFonts w:ascii="Arial"/>
                <w:sz w:val="21"/>
              </w:rPr>
            </w:pPr>
          </w:p>
          <w:p w14:paraId="1557958D">
            <w:pPr>
              <w:spacing w:line="298" w:lineRule="auto"/>
              <w:rPr>
                <w:rFonts w:ascii="Arial"/>
                <w:sz w:val="21"/>
              </w:rPr>
            </w:pPr>
          </w:p>
          <w:p w14:paraId="4B1DE3A6">
            <w:pPr>
              <w:spacing w:line="298" w:lineRule="auto"/>
              <w:rPr>
                <w:rFonts w:ascii="Arial"/>
                <w:sz w:val="21"/>
              </w:rPr>
            </w:pPr>
          </w:p>
          <w:p w14:paraId="1411E583">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6F9DBF28">
            <w:pPr>
              <w:pStyle w:val="6"/>
              <w:spacing w:before="180" w:line="187" w:lineRule="auto"/>
              <w:ind w:left="119" w:right="105" w:hanging="3"/>
              <w:jc w:val="both"/>
            </w:pPr>
            <w:r>
              <w:rPr>
                <w:spacing w:val="11"/>
              </w:rPr>
              <w:t>造成</w:t>
            </w:r>
            <w:r>
              <w:rPr>
                <w:rFonts w:ascii="宋体" w:hAnsi="宋体" w:eastAsia="宋体" w:cs="宋体"/>
                <w:spacing w:val="11"/>
              </w:rPr>
              <w:t>30</w:t>
            </w:r>
            <w:r>
              <w:rPr>
                <w:spacing w:val="11"/>
              </w:rPr>
              <w:t>人以上</w:t>
            </w:r>
            <w:r>
              <w:rPr>
                <w:rFonts w:ascii="宋体" w:hAnsi="宋体" w:eastAsia="宋体" w:cs="宋体"/>
                <w:spacing w:val="11"/>
              </w:rPr>
              <w:t>40</w:t>
            </w:r>
            <w:r>
              <w:rPr>
                <w:spacing w:val="15"/>
              </w:rPr>
              <w:t>人以下死亡，或者</w:t>
            </w:r>
            <w:r>
              <w:rPr>
                <w:rFonts w:ascii="宋体" w:hAnsi="宋体" w:eastAsia="宋体" w:cs="宋体"/>
                <w:spacing w:val="1"/>
              </w:rPr>
              <w:t>100</w:t>
            </w:r>
            <w:r>
              <w:rPr>
                <w:spacing w:val="1"/>
              </w:rPr>
              <w:t>人以上</w:t>
            </w:r>
            <w:r>
              <w:rPr>
                <w:rFonts w:ascii="宋体" w:hAnsi="宋体" w:eastAsia="宋体" w:cs="宋体"/>
                <w:spacing w:val="1"/>
              </w:rPr>
              <w:t>120</w:t>
            </w:r>
            <w:r>
              <w:rPr>
                <w:spacing w:val="1"/>
              </w:rPr>
              <w:t>人以</w:t>
            </w:r>
            <w:r>
              <w:rPr>
                <w:spacing w:val="-8"/>
              </w:rPr>
              <w:t>下重伤，或者</w:t>
            </w:r>
            <w:r>
              <w:rPr>
                <w:rFonts w:ascii="宋体" w:hAnsi="宋体" w:eastAsia="宋体" w:cs="宋体"/>
                <w:spacing w:val="-8"/>
              </w:rPr>
              <w:t>1</w:t>
            </w:r>
            <w:r>
              <w:rPr>
                <w:spacing w:val="-8"/>
              </w:rPr>
              <w:t>亿元</w:t>
            </w:r>
            <w:r>
              <w:rPr>
                <w:spacing w:val="12"/>
              </w:rPr>
              <w:t>以上</w:t>
            </w:r>
            <w:r>
              <w:rPr>
                <w:rFonts w:ascii="宋体" w:hAnsi="宋体" w:eastAsia="宋体" w:cs="宋体"/>
                <w:spacing w:val="12"/>
              </w:rPr>
              <w:t>1.5</w:t>
            </w:r>
            <w:r>
              <w:rPr>
                <w:spacing w:val="12"/>
              </w:rPr>
              <w:t>亿元以下</w:t>
            </w:r>
            <w:r>
              <w:rPr>
                <w:spacing w:val="7"/>
              </w:rPr>
              <w:t>直接经济损失的</w:t>
            </w:r>
          </w:p>
        </w:tc>
        <w:tc>
          <w:tcPr>
            <w:tcW w:w="2894" w:type="dxa"/>
            <w:vAlign w:val="top"/>
          </w:tcPr>
          <w:p w14:paraId="6486CE85">
            <w:pPr>
              <w:pStyle w:val="6"/>
              <w:spacing w:before="33" w:line="179" w:lineRule="auto"/>
              <w:ind w:left="120" w:right="104" w:hanging="1"/>
            </w:pPr>
            <w:r>
              <w:rPr>
                <w:spacing w:val="-2"/>
              </w:rPr>
              <w:t>处</w:t>
            </w:r>
            <w:r>
              <w:rPr>
                <w:rFonts w:ascii="宋体" w:hAnsi="宋体" w:eastAsia="宋体" w:cs="宋体"/>
                <w:spacing w:val="-2"/>
              </w:rPr>
              <w:t>1000</w:t>
            </w:r>
            <w:r>
              <w:rPr>
                <w:spacing w:val="-2"/>
              </w:rPr>
              <w:t>万元以上</w:t>
            </w:r>
            <w:r>
              <w:rPr>
                <w:rFonts w:ascii="宋体" w:hAnsi="宋体" w:eastAsia="宋体" w:cs="宋体"/>
                <w:spacing w:val="-2"/>
              </w:rPr>
              <w:t>1200</w:t>
            </w:r>
            <w:r>
              <w:rPr>
                <w:spacing w:val="-2"/>
              </w:rPr>
              <w:t>万</w:t>
            </w:r>
            <w:r>
              <w:rPr>
                <w:spacing w:val="8"/>
              </w:rPr>
              <w:t>元以下的罚款；情节特别</w:t>
            </w:r>
            <w:r>
              <w:rPr>
                <w:spacing w:val="10"/>
              </w:rPr>
              <w:t>严重、影响特别恶劣的，</w:t>
            </w:r>
            <w:r>
              <w:rPr>
                <w:spacing w:val="11"/>
              </w:rPr>
              <w:t>可以按照上述罚款数额的二倍以上五倍以下对负有责任的生产经营单位处以</w:t>
            </w:r>
            <w:r>
              <w:rPr>
                <w:spacing w:val="1"/>
              </w:rPr>
              <w:t>罚款</w:t>
            </w:r>
          </w:p>
        </w:tc>
        <w:tc>
          <w:tcPr>
            <w:tcW w:w="811" w:type="dxa"/>
            <w:vMerge w:val="restart"/>
            <w:tcBorders>
              <w:bottom w:val="nil"/>
            </w:tcBorders>
            <w:vAlign w:val="top"/>
          </w:tcPr>
          <w:p w14:paraId="08392F50">
            <w:pPr>
              <w:spacing w:line="249" w:lineRule="auto"/>
              <w:rPr>
                <w:rFonts w:ascii="Arial"/>
                <w:sz w:val="21"/>
              </w:rPr>
            </w:pPr>
          </w:p>
          <w:p w14:paraId="39D436DA">
            <w:pPr>
              <w:spacing w:line="249" w:lineRule="auto"/>
              <w:rPr>
                <w:rFonts w:ascii="Arial"/>
                <w:sz w:val="21"/>
              </w:rPr>
            </w:pPr>
          </w:p>
          <w:p w14:paraId="1100AD20">
            <w:pPr>
              <w:spacing w:line="249" w:lineRule="auto"/>
              <w:rPr>
                <w:rFonts w:ascii="Arial"/>
                <w:sz w:val="21"/>
              </w:rPr>
            </w:pPr>
          </w:p>
          <w:p w14:paraId="262CA30A">
            <w:pPr>
              <w:spacing w:line="250" w:lineRule="auto"/>
              <w:rPr>
                <w:rFonts w:ascii="Arial"/>
                <w:sz w:val="21"/>
              </w:rPr>
            </w:pPr>
          </w:p>
          <w:p w14:paraId="71B51D66">
            <w:pPr>
              <w:spacing w:line="250" w:lineRule="auto"/>
              <w:rPr>
                <w:rFonts w:ascii="Arial"/>
                <w:sz w:val="21"/>
              </w:rPr>
            </w:pPr>
          </w:p>
          <w:p w14:paraId="36F1AF1F">
            <w:pPr>
              <w:spacing w:line="250" w:lineRule="auto"/>
              <w:rPr>
                <w:rFonts w:ascii="Arial"/>
                <w:sz w:val="21"/>
              </w:rPr>
            </w:pPr>
          </w:p>
          <w:p w14:paraId="7C166E09">
            <w:pPr>
              <w:spacing w:before="75" w:line="188" w:lineRule="auto"/>
              <w:ind w:left="292"/>
              <w:rPr>
                <w:rFonts w:ascii="宋体" w:hAnsi="宋体" w:eastAsia="宋体" w:cs="宋体"/>
                <w:sz w:val="23"/>
                <w:szCs w:val="23"/>
              </w:rPr>
            </w:pPr>
            <w:r>
              <w:rPr>
                <w:rFonts w:ascii="宋体" w:hAnsi="宋体" w:eastAsia="宋体" w:cs="宋体"/>
                <w:spacing w:val="-3"/>
                <w:sz w:val="23"/>
                <w:szCs w:val="23"/>
              </w:rPr>
              <w:t>66</w:t>
            </w:r>
          </w:p>
        </w:tc>
      </w:tr>
      <w:tr w14:paraId="1F3D2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818" w:type="dxa"/>
            <w:vMerge w:val="continue"/>
            <w:tcBorders>
              <w:top w:val="nil"/>
            </w:tcBorders>
            <w:vAlign w:val="top"/>
          </w:tcPr>
          <w:p w14:paraId="4367B822">
            <w:pPr>
              <w:rPr>
                <w:rFonts w:ascii="Arial"/>
                <w:sz w:val="21"/>
              </w:rPr>
            </w:pPr>
          </w:p>
        </w:tc>
        <w:tc>
          <w:tcPr>
            <w:tcW w:w="1440" w:type="dxa"/>
            <w:vMerge w:val="continue"/>
            <w:tcBorders>
              <w:top w:val="nil"/>
            </w:tcBorders>
            <w:vAlign w:val="top"/>
          </w:tcPr>
          <w:p w14:paraId="2630E6B1">
            <w:pPr>
              <w:rPr>
                <w:rFonts w:ascii="Arial"/>
                <w:sz w:val="21"/>
              </w:rPr>
            </w:pPr>
          </w:p>
        </w:tc>
        <w:tc>
          <w:tcPr>
            <w:tcW w:w="3202" w:type="dxa"/>
            <w:vMerge w:val="continue"/>
            <w:tcBorders>
              <w:top w:val="nil"/>
            </w:tcBorders>
            <w:vAlign w:val="top"/>
          </w:tcPr>
          <w:p w14:paraId="6D8E523D">
            <w:pPr>
              <w:rPr>
                <w:rFonts w:ascii="Arial"/>
                <w:sz w:val="21"/>
              </w:rPr>
            </w:pPr>
          </w:p>
        </w:tc>
        <w:tc>
          <w:tcPr>
            <w:tcW w:w="2859" w:type="dxa"/>
            <w:vMerge w:val="continue"/>
            <w:tcBorders>
              <w:top w:val="nil"/>
            </w:tcBorders>
            <w:vAlign w:val="top"/>
          </w:tcPr>
          <w:p w14:paraId="6B227AD6">
            <w:pPr>
              <w:rPr>
                <w:rFonts w:ascii="Arial"/>
                <w:sz w:val="21"/>
              </w:rPr>
            </w:pPr>
          </w:p>
        </w:tc>
        <w:tc>
          <w:tcPr>
            <w:tcW w:w="803" w:type="dxa"/>
            <w:vAlign w:val="top"/>
          </w:tcPr>
          <w:p w14:paraId="5929FD99">
            <w:pPr>
              <w:spacing w:line="452" w:lineRule="auto"/>
              <w:rPr>
                <w:rFonts w:ascii="Arial"/>
                <w:sz w:val="21"/>
              </w:rPr>
            </w:pPr>
          </w:p>
          <w:p w14:paraId="00554174">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4DB8B55">
            <w:pPr>
              <w:pStyle w:val="6"/>
              <w:spacing w:before="32" w:line="177" w:lineRule="auto"/>
              <w:ind w:left="119" w:right="105" w:hanging="3"/>
              <w:jc w:val="both"/>
              <w:rPr>
                <w:rFonts w:ascii="宋体" w:hAnsi="宋体" w:eastAsia="宋体" w:cs="宋体"/>
              </w:rPr>
            </w:pPr>
            <w:r>
              <w:rPr>
                <w:spacing w:val="11"/>
              </w:rPr>
              <w:t>造成</w:t>
            </w:r>
            <w:r>
              <w:rPr>
                <w:rFonts w:ascii="宋体" w:hAnsi="宋体" w:eastAsia="宋体" w:cs="宋体"/>
                <w:spacing w:val="11"/>
              </w:rPr>
              <w:t>40</w:t>
            </w:r>
            <w:r>
              <w:rPr>
                <w:spacing w:val="11"/>
              </w:rPr>
              <w:t>人以上</w:t>
            </w:r>
            <w:r>
              <w:rPr>
                <w:rFonts w:ascii="宋体" w:hAnsi="宋体" w:eastAsia="宋体" w:cs="宋体"/>
                <w:spacing w:val="11"/>
              </w:rPr>
              <w:t>50</w:t>
            </w:r>
            <w:r>
              <w:rPr>
                <w:spacing w:val="15"/>
              </w:rPr>
              <w:t>人以下死亡，或者</w:t>
            </w:r>
            <w:r>
              <w:rPr>
                <w:rFonts w:ascii="宋体" w:hAnsi="宋体" w:eastAsia="宋体" w:cs="宋体"/>
                <w:spacing w:val="1"/>
              </w:rPr>
              <w:t>120</w:t>
            </w:r>
            <w:r>
              <w:rPr>
                <w:spacing w:val="1"/>
              </w:rPr>
              <w:t>人以上</w:t>
            </w:r>
            <w:r>
              <w:rPr>
                <w:rFonts w:ascii="宋体" w:hAnsi="宋体" w:eastAsia="宋体" w:cs="宋体"/>
                <w:spacing w:val="1"/>
              </w:rPr>
              <w:t>150</w:t>
            </w:r>
            <w:r>
              <w:rPr>
                <w:spacing w:val="1"/>
              </w:rPr>
              <w:t>人以</w:t>
            </w:r>
            <w:r>
              <w:rPr>
                <w:spacing w:val="11"/>
              </w:rPr>
              <w:t>下重伤，或者</w:t>
            </w:r>
            <w:r>
              <w:rPr>
                <w:rFonts w:ascii="宋体" w:hAnsi="宋体" w:eastAsia="宋体" w:cs="宋体"/>
                <w:spacing w:val="11"/>
              </w:rPr>
              <w:t>1.5</w:t>
            </w:r>
          </w:p>
        </w:tc>
        <w:tc>
          <w:tcPr>
            <w:tcW w:w="2894" w:type="dxa"/>
            <w:vAlign w:val="top"/>
          </w:tcPr>
          <w:p w14:paraId="06B288A1">
            <w:pPr>
              <w:pStyle w:val="6"/>
              <w:spacing w:before="32" w:line="177" w:lineRule="auto"/>
              <w:ind w:left="120" w:right="104" w:hanging="1"/>
            </w:pPr>
            <w:r>
              <w:rPr>
                <w:spacing w:val="-2"/>
              </w:rPr>
              <w:t>处</w:t>
            </w:r>
            <w:r>
              <w:rPr>
                <w:rFonts w:ascii="宋体" w:hAnsi="宋体" w:eastAsia="宋体" w:cs="宋体"/>
                <w:spacing w:val="-2"/>
              </w:rPr>
              <w:t>1200</w:t>
            </w:r>
            <w:r>
              <w:rPr>
                <w:spacing w:val="-2"/>
              </w:rPr>
              <w:t>万元以上</w:t>
            </w:r>
            <w:r>
              <w:rPr>
                <w:rFonts w:ascii="宋体" w:hAnsi="宋体" w:eastAsia="宋体" w:cs="宋体"/>
                <w:spacing w:val="-2"/>
              </w:rPr>
              <w:t>1500</w:t>
            </w:r>
            <w:r>
              <w:rPr>
                <w:spacing w:val="-2"/>
              </w:rPr>
              <w:t>万</w:t>
            </w:r>
            <w:r>
              <w:rPr>
                <w:spacing w:val="8"/>
              </w:rPr>
              <w:t>元以下的罚款；情节特别</w:t>
            </w:r>
            <w:r>
              <w:rPr>
                <w:spacing w:val="10"/>
              </w:rPr>
              <w:t>严重、影响特别恶劣的，</w:t>
            </w:r>
            <w:r>
              <w:rPr>
                <w:spacing w:val="11"/>
              </w:rPr>
              <w:t>可以按照上述罚款数额的</w:t>
            </w:r>
          </w:p>
        </w:tc>
        <w:tc>
          <w:tcPr>
            <w:tcW w:w="811" w:type="dxa"/>
            <w:vMerge w:val="continue"/>
            <w:tcBorders>
              <w:top w:val="nil"/>
            </w:tcBorders>
            <w:vAlign w:val="top"/>
          </w:tcPr>
          <w:p w14:paraId="56FECE54">
            <w:pPr>
              <w:rPr>
                <w:rFonts w:ascii="Arial"/>
                <w:sz w:val="21"/>
              </w:rPr>
            </w:pPr>
          </w:p>
        </w:tc>
      </w:tr>
    </w:tbl>
    <w:p w14:paraId="7E6AD4E6">
      <w:pPr>
        <w:pStyle w:val="2"/>
      </w:pPr>
    </w:p>
    <w:p w14:paraId="7B023BC4">
      <w:pPr>
        <w:sectPr>
          <w:footerReference r:id="rId123" w:type="default"/>
          <w:pgSz w:w="16839" w:h="11906"/>
          <w:pgMar w:top="1012" w:right="821" w:bottom="667" w:left="901" w:header="0" w:footer="388" w:gutter="0"/>
          <w:cols w:space="720" w:num="1"/>
        </w:sectPr>
      </w:pPr>
    </w:p>
    <w:p w14:paraId="07FCC491">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63A53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BDCFF25">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4AAC5324">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D558B2E">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DBC603F">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CFE5EBA">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CBC22C2">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15C785D7">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2321722">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1469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 w:hRule="atLeast"/>
        </w:trPr>
        <w:tc>
          <w:tcPr>
            <w:tcW w:w="818" w:type="dxa"/>
            <w:vMerge w:val="restart"/>
            <w:tcBorders>
              <w:bottom w:val="nil"/>
            </w:tcBorders>
            <w:vAlign w:val="top"/>
          </w:tcPr>
          <w:p w14:paraId="04B32BD5">
            <w:pPr>
              <w:rPr>
                <w:rFonts w:ascii="Arial"/>
                <w:sz w:val="21"/>
              </w:rPr>
            </w:pPr>
          </w:p>
        </w:tc>
        <w:tc>
          <w:tcPr>
            <w:tcW w:w="1440" w:type="dxa"/>
            <w:vMerge w:val="restart"/>
            <w:tcBorders>
              <w:bottom w:val="nil"/>
            </w:tcBorders>
            <w:vAlign w:val="top"/>
          </w:tcPr>
          <w:p w14:paraId="7E937716">
            <w:pPr>
              <w:rPr>
                <w:rFonts w:ascii="Arial"/>
                <w:sz w:val="21"/>
              </w:rPr>
            </w:pPr>
          </w:p>
        </w:tc>
        <w:tc>
          <w:tcPr>
            <w:tcW w:w="3202" w:type="dxa"/>
            <w:vMerge w:val="restart"/>
            <w:tcBorders>
              <w:bottom w:val="nil"/>
            </w:tcBorders>
            <w:vAlign w:val="top"/>
          </w:tcPr>
          <w:p w14:paraId="5D8A94BB">
            <w:pPr>
              <w:rPr>
                <w:rFonts w:ascii="Arial"/>
                <w:sz w:val="21"/>
              </w:rPr>
            </w:pPr>
          </w:p>
        </w:tc>
        <w:tc>
          <w:tcPr>
            <w:tcW w:w="2859" w:type="dxa"/>
            <w:vMerge w:val="restart"/>
            <w:tcBorders>
              <w:bottom w:val="nil"/>
            </w:tcBorders>
            <w:vAlign w:val="top"/>
          </w:tcPr>
          <w:p w14:paraId="53780D27">
            <w:pPr>
              <w:pStyle w:val="6"/>
              <w:spacing w:before="28" w:line="182" w:lineRule="auto"/>
              <w:ind w:left="126"/>
            </w:pPr>
            <w:r>
              <w:rPr>
                <w:spacing w:val="-6"/>
              </w:rPr>
              <w:t>罚款。</w:t>
            </w:r>
          </w:p>
          <w:p w14:paraId="747D80FF">
            <w:pPr>
              <w:pStyle w:val="6"/>
              <w:spacing w:before="34" w:line="181" w:lineRule="auto"/>
              <w:ind w:left="98" w:right="35" w:firstLine="20"/>
            </w:pPr>
            <w:r>
              <w:rPr>
                <w:spacing w:val="8"/>
              </w:rPr>
              <w:t>发生生产安全事故，情节</w:t>
            </w:r>
            <w:r>
              <w:rPr>
                <w:spacing w:val="10"/>
              </w:rPr>
              <w:t>特别严重、影响特别恶劣的，应急管理部门可以按照前款罚款数额的二倍以上五倍以下对负有责任的</w:t>
            </w:r>
            <w:r>
              <w:rPr>
                <w:spacing w:val="6"/>
              </w:rPr>
              <w:t>生产经营单位处以罚款。</w:t>
            </w:r>
            <w:r>
              <w:rPr>
                <w:rFonts w:ascii="宋体" w:hAnsi="宋体" w:eastAsia="宋体" w:cs="宋体"/>
                <w:spacing w:val="9"/>
              </w:rPr>
              <w:t>2.</w:t>
            </w:r>
            <w:r>
              <w:rPr>
                <w:spacing w:val="9"/>
              </w:rPr>
              <w:t>【部门规章】《生产安</w:t>
            </w:r>
            <w:r>
              <w:rPr>
                <w:spacing w:val="10"/>
              </w:rPr>
              <w:t>全事故罚款处罚规定》第</w:t>
            </w:r>
            <w:r>
              <w:rPr>
                <w:spacing w:val="3"/>
              </w:rPr>
              <w:t>十七条：事故发生单位对</w:t>
            </w:r>
            <w:r>
              <w:rPr>
                <w:spacing w:val="10"/>
              </w:rPr>
              <w:t>特别重大事故发生负有责</w:t>
            </w:r>
            <w:r>
              <w:rPr>
                <w:spacing w:val="5"/>
              </w:rPr>
              <w:t>任的，依照下列规定处以</w:t>
            </w:r>
            <w:r>
              <w:rPr>
                <w:spacing w:val="-7"/>
              </w:rPr>
              <w:t>罚款</w:t>
            </w:r>
            <w:r>
              <w:rPr>
                <w:spacing w:val="-35"/>
              </w:rPr>
              <w:t>：（</w:t>
            </w:r>
            <w:r>
              <w:rPr>
                <w:spacing w:val="-7"/>
              </w:rPr>
              <w:t>一）造成</w:t>
            </w:r>
            <w:r>
              <w:rPr>
                <w:rFonts w:ascii="宋体" w:hAnsi="宋体" w:eastAsia="宋体" w:cs="宋体"/>
                <w:spacing w:val="-7"/>
              </w:rPr>
              <w:t>30</w:t>
            </w:r>
            <w:r>
              <w:rPr>
                <w:spacing w:val="-7"/>
              </w:rPr>
              <w:t>人以</w:t>
            </w:r>
            <w:r>
              <w:rPr>
                <w:spacing w:val="11"/>
              </w:rPr>
              <w:t>上</w:t>
            </w:r>
            <w:r>
              <w:rPr>
                <w:rFonts w:ascii="宋体" w:hAnsi="宋体" w:eastAsia="宋体" w:cs="宋体"/>
                <w:spacing w:val="11"/>
              </w:rPr>
              <w:t>40</w:t>
            </w:r>
            <w:r>
              <w:rPr>
                <w:spacing w:val="11"/>
              </w:rPr>
              <w:t>人以下死亡，或者</w:t>
            </w:r>
            <w:r>
              <w:rPr>
                <w:rFonts w:ascii="宋体" w:hAnsi="宋体" w:eastAsia="宋体" w:cs="宋体"/>
                <w:spacing w:val="5"/>
              </w:rPr>
              <w:t>100</w:t>
            </w:r>
            <w:r>
              <w:rPr>
                <w:spacing w:val="5"/>
              </w:rPr>
              <w:t>人以上</w:t>
            </w:r>
            <w:r>
              <w:rPr>
                <w:rFonts w:ascii="宋体" w:hAnsi="宋体" w:eastAsia="宋体" w:cs="宋体"/>
                <w:spacing w:val="5"/>
              </w:rPr>
              <w:t>120</w:t>
            </w:r>
            <w:r>
              <w:rPr>
                <w:spacing w:val="5"/>
              </w:rPr>
              <w:t>人以下重</w:t>
            </w:r>
            <w:r>
              <w:rPr>
                <w:spacing w:val="2"/>
              </w:rPr>
              <w:t>伤，或者</w:t>
            </w:r>
            <w:r>
              <w:rPr>
                <w:rFonts w:ascii="宋体" w:hAnsi="宋体" w:eastAsia="宋体" w:cs="宋体"/>
                <w:spacing w:val="2"/>
              </w:rPr>
              <w:t>1</w:t>
            </w:r>
            <w:r>
              <w:rPr>
                <w:spacing w:val="2"/>
              </w:rPr>
              <w:t>亿元以上</w:t>
            </w:r>
            <w:r>
              <w:rPr>
                <w:rFonts w:ascii="宋体" w:hAnsi="宋体" w:eastAsia="宋体" w:cs="宋体"/>
                <w:spacing w:val="2"/>
              </w:rPr>
              <w:t>1.5</w:t>
            </w:r>
            <w:r>
              <w:rPr>
                <w:spacing w:val="34"/>
              </w:rPr>
              <w:t>亿元以下直接经济损失</w:t>
            </w:r>
            <w:r>
              <w:rPr>
                <w:spacing w:val="-6"/>
              </w:rPr>
              <w:t>的，处</w:t>
            </w:r>
            <w:r>
              <w:rPr>
                <w:rFonts w:ascii="宋体" w:hAnsi="宋体" w:eastAsia="宋体" w:cs="宋体"/>
                <w:spacing w:val="-6"/>
              </w:rPr>
              <w:t>1000</w:t>
            </w:r>
            <w:r>
              <w:rPr>
                <w:spacing w:val="-6"/>
              </w:rPr>
              <w:t>万元以上</w:t>
            </w:r>
            <w:r>
              <w:rPr>
                <w:rFonts w:ascii="宋体" w:hAnsi="宋体" w:eastAsia="宋体" w:cs="宋体"/>
                <w:spacing w:val="-6"/>
              </w:rPr>
              <w:t>1200</w:t>
            </w:r>
            <w:r>
              <w:rPr>
                <w:spacing w:val="11"/>
              </w:rPr>
              <w:t>万元以下的罚款</w:t>
            </w:r>
            <w:r>
              <w:rPr>
                <w:spacing w:val="9"/>
              </w:rPr>
              <w:t>；（</w:t>
            </w:r>
            <w:r>
              <w:rPr>
                <w:spacing w:val="11"/>
              </w:rPr>
              <w:t>二）</w:t>
            </w:r>
            <w:r>
              <w:rPr>
                <w:spacing w:val="3"/>
              </w:rPr>
              <w:t>造成</w:t>
            </w:r>
            <w:r>
              <w:rPr>
                <w:rFonts w:ascii="宋体" w:hAnsi="宋体" w:eastAsia="宋体" w:cs="宋体"/>
                <w:spacing w:val="3"/>
              </w:rPr>
              <w:t>40</w:t>
            </w:r>
            <w:r>
              <w:rPr>
                <w:spacing w:val="3"/>
              </w:rPr>
              <w:t>人以上</w:t>
            </w:r>
            <w:r>
              <w:rPr>
                <w:rFonts w:ascii="宋体" w:hAnsi="宋体" w:eastAsia="宋体" w:cs="宋体"/>
                <w:spacing w:val="3"/>
              </w:rPr>
              <w:t>50</w:t>
            </w:r>
            <w:r>
              <w:rPr>
                <w:spacing w:val="3"/>
              </w:rPr>
              <w:t>人以下</w:t>
            </w:r>
            <w:r>
              <w:rPr>
                <w:spacing w:val="-5"/>
              </w:rPr>
              <w:t>死亡，或者</w:t>
            </w:r>
            <w:r>
              <w:rPr>
                <w:rFonts w:ascii="宋体" w:hAnsi="宋体" w:eastAsia="宋体" w:cs="宋体"/>
                <w:spacing w:val="-5"/>
              </w:rPr>
              <w:t>120</w:t>
            </w:r>
            <w:r>
              <w:rPr>
                <w:spacing w:val="-5"/>
              </w:rPr>
              <w:t>人以上</w:t>
            </w:r>
            <w:r>
              <w:rPr>
                <w:rFonts w:ascii="宋体" w:hAnsi="宋体" w:eastAsia="宋体" w:cs="宋体"/>
                <w:spacing w:val="-5"/>
              </w:rPr>
              <w:t>150</w:t>
            </w:r>
            <w:r>
              <w:rPr>
                <w:spacing w:val="5"/>
              </w:rPr>
              <w:t>人以下重伤，或者</w:t>
            </w:r>
            <w:r>
              <w:rPr>
                <w:rFonts w:ascii="宋体" w:hAnsi="宋体" w:eastAsia="宋体" w:cs="宋体"/>
                <w:spacing w:val="5"/>
              </w:rPr>
              <w:t>1.5</w:t>
            </w:r>
            <w:r>
              <w:rPr>
                <w:spacing w:val="5"/>
              </w:rPr>
              <w:t>亿</w:t>
            </w:r>
            <w:r>
              <w:rPr>
                <w:spacing w:val="7"/>
              </w:rPr>
              <w:t>元以上</w:t>
            </w:r>
            <w:r>
              <w:rPr>
                <w:rFonts w:ascii="宋体" w:hAnsi="宋体" w:eastAsia="宋体" w:cs="宋体"/>
                <w:spacing w:val="7"/>
              </w:rPr>
              <w:t>2</w:t>
            </w:r>
            <w:r>
              <w:rPr>
                <w:spacing w:val="7"/>
              </w:rPr>
              <w:t>亿元以下直接经</w:t>
            </w:r>
            <w:r>
              <w:rPr>
                <w:spacing w:val="-5"/>
              </w:rPr>
              <w:t>济损失的，处</w:t>
            </w:r>
            <w:r>
              <w:rPr>
                <w:rFonts w:ascii="宋体" w:hAnsi="宋体" w:eastAsia="宋体" w:cs="宋体"/>
                <w:spacing w:val="-5"/>
              </w:rPr>
              <w:t>1200</w:t>
            </w:r>
            <w:r>
              <w:rPr>
                <w:spacing w:val="-5"/>
              </w:rPr>
              <w:t>万元以</w:t>
            </w:r>
            <w:r>
              <w:t>上</w:t>
            </w:r>
            <w:r>
              <w:rPr>
                <w:rFonts w:ascii="宋体" w:hAnsi="宋体" w:eastAsia="宋体" w:cs="宋体"/>
              </w:rPr>
              <w:t>1500</w:t>
            </w:r>
            <w:r>
              <w:t>万元以下的罚款；</w:t>
            </w:r>
            <w:r>
              <w:rPr>
                <w:spacing w:val="10"/>
              </w:rPr>
              <w:t>（三）造成</w:t>
            </w:r>
            <w:r>
              <w:rPr>
                <w:rFonts w:ascii="宋体" w:hAnsi="宋体" w:eastAsia="宋体" w:cs="宋体"/>
                <w:spacing w:val="10"/>
              </w:rPr>
              <w:t>50</w:t>
            </w:r>
            <w:r>
              <w:rPr>
                <w:spacing w:val="10"/>
              </w:rPr>
              <w:t>人以上死</w:t>
            </w:r>
            <w:r>
              <w:rPr>
                <w:spacing w:val="-8"/>
              </w:rPr>
              <w:t>亡，或者</w:t>
            </w:r>
            <w:r>
              <w:rPr>
                <w:rFonts w:ascii="宋体" w:hAnsi="宋体" w:eastAsia="宋体" w:cs="宋体"/>
                <w:spacing w:val="-8"/>
              </w:rPr>
              <w:t>150</w:t>
            </w:r>
            <w:r>
              <w:rPr>
                <w:spacing w:val="-8"/>
              </w:rPr>
              <w:t>人以上重伤，</w:t>
            </w:r>
            <w:r>
              <w:rPr>
                <w:spacing w:val="7"/>
              </w:rPr>
              <w:t>或者</w:t>
            </w:r>
            <w:r>
              <w:rPr>
                <w:rFonts w:ascii="宋体" w:hAnsi="宋体" w:eastAsia="宋体" w:cs="宋体"/>
                <w:spacing w:val="7"/>
              </w:rPr>
              <w:t>2</w:t>
            </w:r>
            <w:r>
              <w:rPr>
                <w:spacing w:val="7"/>
              </w:rPr>
              <w:t>亿元以上直接经济</w:t>
            </w:r>
            <w:r>
              <w:rPr>
                <w:spacing w:val="-5"/>
              </w:rPr>
              <w:t>损失的，处</w:t>
            </w:r>
            <w:r>
              <w:rPr>
                <w:rFonts w:ascii="宋体" w:hAnsi="宋体" w:eastAsia="宋体" w:cs="宋体"/>
                <w:spacing w:val="-5"/>
              </w:rPr>
              <w:t>1500</w:t>
            </w:r>
            <w:r>
              <w:rPr>
                <w:spacing w:val="-5"/>
              </w:rPr>
              <w:t>万元以上</w:t>
            </w:r>
            <w:r>
              <w:rPr>
                <w:rFonts w:ascii="宋体" w:hAnsi="宋体" w:eastAsia="宋体" w:cs="宋体"/>
                <w:spacing w:val="3"/>
              </w:rPr>
              <w:t>2000</w:t>
            </w:r>
            <w:r>
              <w:rPr>
                <w:spacing w:val="3"/>
              </w:rPr>
              <w:t>万元以下的罚款。</w:t>
            </w:r>
          </w:p>
        </w:tc>
        <w:tc>
          <w:tcPr>
            <w:tcW w:w="803" w:type="dxa"/>
            <w:vAlign w:val="top"/>
          </w:tcPr>
          <w:p w14:paraId="4E8D1408">
            <w:pPr>
              <w:rPr>
                <w:rFonts w:ascii="Arial"/>
                <w:sz w:val="21"/>
              </w:rPr>
            </w:pPr>
          </w:p>
        </w:tc>
        <w:tc>
          <w:tcPr>
            <w:tcW w:w="2283" w:type="dxa"/>
            <w:vAlign w:val="top"/>
          </w:tcPr>
          <w:p w14:paraId="0271E457">
            <w:pPr>
              <w:pStyle w:val="6"/>
              <w:spacing w:before="27" w:line="196" w:lineRule="auto"/>
              <w:ind w:left="122" w:right="106" w:hanging="2"/>
            </w:pPr>
            <w:r>
              <w:rPr>
                <w:spacing w:val="16"/>
              </w:rPr>
              <w:t>亿元以上</w:t>
            </w:r>
            <w:r>
              <w:rPr>
                <w:rFonts w:ascii="宋体" w:hAnsi="宋体" w:eastAsia="宋体" w:cs="宋体"/>
                <w:spacing w:val="16"/>
              </w:rPr>
              <w:t>2</w:t>
            </w:r>
            <w:r>
              <w:rPr>
                <w:spacing w:val="16"/>
              </w:rPr>
              <w:t>亿元以</w:t>
            </w:r>
            <w:r>
              <w:rPr>
                <w:spacing w:val="7"/>
              </w:rPr>
              <w:t>下直接经济损失的</w:t>
            </w:r>
          </w:p>
        </w:tc>
        <w:tc>
          <w:tcPr>
            <w:tcW w:w="2894" w:type="dxa"/>
            <w:vAlign w:val="top"/>
          </w:tcPr>
          <w:p w14:paraId="77B71AE4">
            <w:pPr>
              <w:pStyle w:val="6"/>
              <w:spacing w:before="30" w:line="191" w:lineRule="auto"/>
              <w:ind w:left="127" w:right="110" w:firstLine="1"/>
              <w:jc w:val="both"/>
            </w:pPr>
            <w:r>
              <w:rPr>
                <w:spacing w:val="10"/>
              </w:rPr>
              <w:t>二倍以上五倍以下对负有责任的生产经营单位处以</w:t>
            </w:r>
            <w:r>
              <w:rPr>
                <w:spacing w:val="-1"/>
              </w:rPr>
              <w:t>罚款</w:t>
            </w:r>
          </w:p>
        </w:tc>
        <w:tc>
          <w:tcPr>
            <w:tcW w:w="811" w:type="dxa"/>
            <w:vMerge w:val="restart"/>
            <w:tcBorders>
              <w:bottom w:val="nil"/>
            </w:tcBorders>
            <w:vAlign w:val="top"/>
          </w:tcPr>
          <w:p w14:paraId="654F3E6D">
            <w:pPr>
              <w:rPr>
                <w:rFonts w:ascii="Arial"/>
                <w:sz w:val="21"/>
              </w:rPr>
            </w:pPr>
          </w:p>
        </w:tc>
      </w:tr>
      <w:tr w14:paraId="400F6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2" w:hRule="atLeast"/>
        </w:trPr>
        <w:tc>
          <w:tcPr>
            <w:tcW w:w="818" w:type="dxa"/>
            <w:vMerge w:val="continue"/>
            <w:tcBorders>
              <w:top w:val="nil"/>
            </w:tcBorders>
            <w:vAlign w:val="top"/>
          </w:tcPr>
          <w:p w14:paraId="4CB50594">
            <w:pPr>
              <w:rPr>
                <w:rFonts w:ascii="Arial"/>
                <w:sz w:val="21"/>
              </w:rPr>
            </w:pPr>
          </w:p>
        </w:tc>
        <w:tc>
          <w:tcPr>
            <w:tcW w:w="1440" w:type="dxa"/>
            <w:vMerge w:val="continue"/>
            <w:tcBorders>
              <w:top w:val="nil"/>
            </w:tcBorders>
            <w:vAlign w:val="top"/>
          </w:tcPr>
          <w:p w14:paraId="3F278616">
            <w:pPr>
              <w:rPr>
                <w:rFonts w:ascii="Arial"/>
                <w:sz w:val="21"/>
              </w:rPr>
            </w:pPr>
          </w:p>
        </w:tc>
        <w:tc>
          <w:tcPr>
            <w:tcW w:w="3202" w:type="dxa"/>
            <w:vMerge w:val="continue"/>
            <w:tcBorders>
              <w:top w:val="nil"/>
            </w:tcBorders>
            <w:vAlign w:val="top"/>
          </w:tcPr>
          <w:p w14:paraId="224B0D07">
            <w:pPr>
              <w:rPr>
                <w:rFonts w:ascii="Arial"/>
                <w:sz w:val="21"/>
              </w:rPr>
            </w:pPr>
          </w:p>
        </w:tc>
        <w:tc>
          <w:tcPr>
            <w:tcW w:w="2859" w:type="dxa"/>
            <w:vMerge w:val="continue"/>
            <w:tcBorders>
              <w:top w:val="nil"/>
            </w:tcBorders>
            <w:vAlign w:val="top"/>
          </w:tcPr>
          <w:p w14:paraId="624534F3">
            <w:pPr>
              <w:rPr>
                <w:rFonts w:ascii="Arial"/>
                <w:sz w:val="21"/>
              </w:rPr>
            </w:pPr>
          </w:p>
        </w:tc>
        <w:tc>
          <w:tcPr>
            <w:tcW w:w="803" w:type="dxa"/>
            <w:vAlign w:val="top"/>
          </w:tcPr>
          <w:p w14:paraId="681A07D2">
            <w:pPr>
              <w:spacing w:line="253" w:lineRule="auto"/>
              <w:rPr>
                <w:rFonts w:ascii="Arial"/>
                <w:sz w:val="21"/>
              </w:rPr>
            </w:pPr>
          </w:p>
          <w:p w14:paraId="56179F07">
            <w:pPr>
              <w:spacing w:line="254" w:lineRule="auto"/>
              <w:rPr>
                <w:rFonts w:ascii="Arial"/>
                <w:sz w:val="21"/>
              </w:rPr>
            </w:pPr>
          </w:p>
          <w:p w14:paraId="13E02EFF">
            <w:pPr>
              <w:spacing w:line="254" w:lineRule="auto"/>
              <w:rPr>
                <w:rFonts w:ascii="Arial"/>
                <w:sz w:val="21"/>
              </w:rPr>
            </w:pPr>
          </w:p>
          <w:p w14:paraId="30CDFE93">
            <w:pPr>
              <w:spacing w:line="254" w:lineRule="auto"/>
              <w:rPr>
                <w:rFonts w:ascii="Arial"/>
                <w:sz w:val="21"/>
              </w:rPr>
            </w:pPr>
          </w:p>
          <w:p w14:paraId="0A47B27A">
            <w:pPr>
              <w:spacing w:line="254" w:lineRule="auto"/>
              <w:rPr>
                <w:rFonts w:ascii="Arial"/>
                <w:sz w:val="21"/>
              </w:rPr>
            </w:pPr>
          </w:p>
          <w:p w14:paraId="24847DDC">
            <w:pPr>
              <w:spacing w:line="254" w:lineRule="auto"/>
              <w:rPr>
                <w:rFonts w:ascii="Arial"/>
                <w:sz w:val="21"/>
              </w:rPr>
            </w:pPr>
          </w:p>
          <w:p w14:paraId="2BE6902A">
            <w:pPr>
              <w:spacing w:line="254" w:lineRule="auto"/>
              <w:rPr>
                <w:rFonts w:ascii="Arial"/>
                <w:sz w:val="21"/>
              </w:rPr>
            </w:pPr>
          </w:p>
          <w:p w14:paraId="5F2CBB24">
            <w:pPr>
              <w:spacing w:line="254" w:lineRule="auto"/>
              <w:rPr>
                <w:rFonts w:ascii="Arial"/>
                <w:sz w:val="21"/>
              </w:rPr>
            </w:pPr>
          </w:p>
          <w:p w14:paraId="0662676D">
            <w:pPr>
              <w:spacing w:line="254" w:lineRule="auto"/>
              <w:rPr>
                <w:rFonts w:ascii="Arial"/>
                <w:sz w:val="21"/>
              </w:rPr>
            </w:pPr>
          </w:p>
          <w:p w14:paraId="5DBE302E">
            <w:pPr>
              <w:spacing w:line="254" w:lineRule="auto"/>
              <w:rPr>
                <w:rFonts w:ascii="Arial"/>
                <w:sz w:val="21"/>
              </w:rPr>
            </w:pPr>
          </w:p>
          <w:p w14:paraId="476E62C0">
            <w:pPr>
              <w:spacing w:line="254" w:lineRule="auto"/>
              <w:rPr>
                <w:rFonts w:ascii="Arial"/>
                <w:sz w:val="21"/>
              </w:rPr>
            </w:pPr>
          </w:p>
          <w:p w14:paraId="15006D83">
            <w:pPr>
              <w:spacing w:line="254" w:lineRule="auto"/>
              <w:rPr>
                <w:rFonts w:ascii="Arial"/>
                <w:sz w:val="21"/>
              </w:rPr>
            </w:pPr>
          </w:p>
          <w:p w14:paraId="5D42D25F">
            <w:pPr>
              <w:spacing w:line="254" w:lineRule="auto"/>
              <w:rPr>
                <w:rFonts w:ascii="Arial"/>
                <w:sz w:val="21"/>
              </w:rPr>
            </w:pPr>
          </w:p>
          <w:p w14:paraId="48D7B878">
            <w:pPr>
              <w:spacing w:line="254" w:lineRule="auto"/>
              <w:rPr>
                <w:rFonts w:ascii="Arial"/>
                <w:sz w:val="21"/>
              </w:rPr>
            </w:pPr>
          </w:p>
          <w:p w14:paraId="41B0175E">
            <w:pPr>
              <w:spacing w:line="254" w:lineRule="auto"/>
              <w:rPr>
                <w:rFonts w:ascii="Arial"/>
                <w:sz w:val="21"/>
              </w:rPr>
            </w:pPr>
          </w:p>
          <w:p w14:paraId="63B49610">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D4073CA">
            <w:pPr>
              <w:spacing w:line="253" w:lineRule="auto"/>
              <w:rPr>
                <w:rFonts w:ascii="Arial"/>
                <w:sz w:val="21"/>
              </w:rPr>
            </w:pPr>
          </w:p>
          <w:p w14:paraId="1165D915">
            <w:pPr>
              <w:spacing w:line="253" w:lineRule="auto"/>
              <w:rPr>
                <w:rFonts w:ascii="Arial"/>
                <w:sz w:val="21"/>
              </w:rPr>
            </w:pPr>
          </w:p>
          <w:p w14:paraId="7CB476BA">
            <w:pPr>
              <w:spacing w:line="253" w:lineRule="auto"/>
              <w:rPr>
                <w:rFonts w:ascii="Arial"/>
                <w:sz w:val="21"/>
              </w:rPr>
            </w:pPr>
          </w:p>
          <w:p w14:paraId="5BE50707">
            <w:pPr>
              <w:spacing w:line="253" w:lineRule="auto"/>
              <w:rPr>
                <w:rFonts w:ascii="Arial"/>
                <w:sz w:val="21"/>
              </w:rPr>
            </w:pPr>
          </w:p>
          <w:p w14:paraId="7A6B09C3">
            <w:pPr>
              <w:spacing w:line="253" w:lineRule="auto"/>
              <w:rPr>
                <w:rFonts w:ascii="Arial"/>
                <w:sz w:val="21"/>
              </w:rPr>
            </w:pPr>
          </w:p>
          <w:p w14:paraId="74B03A5E">
            <w:pPr>
              <w:spacing w:line="253" w:lineRule="auto"/>
              <w:rPr>
                <w:rFonts w:ascii="Arial"/>
                <w:sz w:val="21"/>
              </w:rPr>
            </w:pPr>
          </w:p>
          <w:p w14:paraId="4938E03F">
            <w:pPr>
              <w:spacing w:line="253" w:lineRule="auto"/>
              <w:rPr>
                <w:rFonts w:ascii="Arial"/>
                <w:sz w:val="21"/>
              </w:rPr>
            </w:pPr>
          </w:p>
          <w:p w14:paraId="432B39FB">
            <w:pPr>
              <w:spacing w:line="253" w:lineRule="auto"/>
              <w:rPr>
                <w:rFonts w:ascii="Arial"/>
                <w:sz w:val="21"/>
              </w:rPr>
            </w:pPr>
          </w:p>
          <w:p w14:paraId="09FE67E7">
            <w:pPr>
              <w:spacing w:line="254" w:lineRule="auto"/>
              <w:rPr>
                <w:rFonts w:ascii="Arial"/>
                <w:sz w:val="21"/>
              </w:rPr>
            </w:pPr>
          </w:p>
          <w:p w14:paraId="614AFBFE">
            <w:pPr>
              <w:spacing w:line="254" w:lineRule="auto"/>
              <w:rPr>
                <w:rFonts w:ascii="Arial"/>
                <w:sz w:val="21"/>
              </w:rPr>
            </w:pPr>
          </w:p>
          <w:p w14:paraId="3EF520ED">
            <w:pPr>
              <w:spacing w:line="254" w:lineRule="auto"/>
              <w:rPr>
                <w:rFonts w:ascii="Arial"/>
                <w:sz w:val="21"/>
              </w:rPr>
            </w:pPr>
          </w:p>
          <w:p w14:paraId="7ABDF5EC">
            <w:pPr>
              <w:spacing w:line="254" w:lineRule="auto"/>
              <w:rPr>
                <w:rFonts w:ascii="Arial"/>
                <w:sz w:val="21"/>
              </w:rPr>
            </w:pPr>
          </w:p>
          <w:p w14:paraId="6CD5BD03">
            <w:pPr>
              <w:spacing w:line="254" w:lineRule="auto"/>
              <w:rPr>
                <w:rFonts w:ascii="Arial"/>
                <w:sz w:val="21"/>
              </w:rPr>
            </w:pPr>
          </w:p>
          <w:p w14:paraId="410E5010">
            <w:pPr>
              <w:pStyle w:val="6"/>
              <w:spacing w:before="99" w:line="189" w:lineRule="auto"/>
              <w:ind w:left="117" w:right="106" w:hanging="1"/>
              <w:jc w:val="both"/>
            </w:pPr>
            <w:r>
              <w:rPr>
                <w:spacing w:val="-7"/>
              </w:rPr>
              <w:t>造成</w:t>
            </w:r>
            <w:r>
              <w:rPr>
                <w:rFonts w:ascii="宋体" w:hAnsi="宋体" w:eastAsia="宋体" w:cs="宋体"/>
                <w:spacing w:val="-7"/>
              </w:rPr>
              <w:t>50</w:t>
            </w:r>
            <w:r>
              <w:rPr>
                <w:spacing w:val="-7"/>
              </w:rPr>
              <w:t>人以上死亡，或者</w:t>
            </w:r>
            <w:r>
              <w:rPr>
                <w:rFonts w:ascii="宋体" w:hAnsi="宋体" w:eastAsia="宋体" w:cs="宋体"/>
                <w:spacing w:val="-7"/>
              </w:rPr>
              <w:t>150</w:t>
            </w:r>
            <w:r>
              <w:rPr>
                <w:spacing w:val="-7"/>
              </w:rPr>
              <w:t>人以上</w:t>
            </w:r>
            <w:r>
              <w:rPr>
                <w:spacing w:val="-5"/>
              </w:rPr>
              <w:t>重伤，或者</w:t>
            </w:r>
            <w:r>
              <w:rPr>
                <w:rFonts w:ascii="宋体" w:hAnsi="宋体" w:eastAsia="宋体" w:cs="宋体"/>
                <w:spacing w:val="-5"/>
              </w:rPr>
              <w:t>2</w:t>
            </w:r>
            <w:r>
              <w:rPr>
                <w:spacing w:val="-5"/>
              </w:rPr>
              <w:t>亿元以</w:t>
            </w:r>
            <w:r>
              <w:rPr>
                <w:spacing w:val="7"/>
              </w:rPr>
              <w:t>上直接经济损失的</w:t>
            </w:r>
          </w:p>
        </w:tc>
        <w:tc>
          <w:tcPr>
            <w:tcW w:w="2894" w:type="dxa"/>
            <w:vAlign w:val="top"/>
          </w:tcPr>
          <w:p w14:paraId="6F788CB7">
            <w:pPr>
              <w:spacing w:line="259" w:lineRule="auto"/>
              <w:rPr>
                <w:rFonts w:ascii="Arial"/>
                <w:sz w:val="21"/>
              </w:rPr>
            </w:pPr>
          </w:p>
          <w:p w14:paraId="1F75A48D">
            <w:pPr>
              <w:spacing w:line="259" w:lineRule="auto"/>
              <w:rPr>
                <w:rFonts w:ascii="Arial"/>
                <w:sz w:val="21"/>
              </w:rPr>
            </w:pPr>
          </w:p>
          <w:p w14:paraId="467ADF85">
            <w:pPr>
              <w:spacing w:line="259" w:lineRule="auto"/>
              <w:rPr>
                <w:rFonts w:ascii="Arial"/>
                <w:sz w:val="21"/>
              </w:rPr>
            </w:pPr>
          </w:p>
          <w:p w14:paraId="0173FB6E">
            <w:pPr>
              <w:spacing w:line="259" w:lineRule="auto"/>
              <w:rPr>
                <w:rFonts w:ascii="Arial"/>
                <w:sz w:val="21"/>
              </w:rPr>
            </w:pPr>
          </w:p>
          <w:p w14:paraId="3939A636">
            <w:pPr>
              <w:spacing w:line="259" w:lineRule="auto"/>
              <w:rPr>
                <w:rFonts w:ascii="Arial"/>
                <w:sz w:val="21"/>
              </w:rPr>
            </w:pPr>
          </w:p>
          <w:p w14:paraId="126D8229">
            <w:pPr>
              <w:spacing w:line="259" w:lineRule="auto"/>
              <w:rPr>
                <w:rFonts w:ascii="Arial"/>
                <w:sz w:val="21"/>
              </w:rPr>
            </w:pPr>
          </w:p>
          <w:p w14:paraId="22B2976E">
            <w:pPr>
              <w:spacing w:line="259" w:lineRule="auto"/>
              <w:rPr>
                <w:rFonts w:ascii="Arial"/>
                <w:sz w:val="21"/>
              </w:rPr>
            </w:pPr>
          </w:p>
          <w:p w14:paraId="78AB91DA">
            <w:pPr>
              <w:spacing w:line="259" w:lineRule="auto"/>
              <w:rPr>
                <w:rFonts w:ascii="Arial"/>
                <w:sz w:val="21"/>
              </w:rPr>
            </w:pPr>
          </w:p>
          <w:p w14:paraId="0492FCD3">
            <w:pPr>
              <w:spacing w:line="259" w:lineRule="auto"/>
              <w:rPr>
                <w:rFonts w:ascii="Arial"/>
                <w:sz w:val="21"/>
              </w:rPr>
            </w:pPr>
          </w:p>
          <w:p w14:paraId="71354FFE">
            <w:pPr>
              <w:spacing w:line="260" w:lineRule="auto"/>
              <w:rPr>
                <w:rFonts w:ascii="Arial"/>
                <w:sz w:val="21"/>
              </w:rPr>
            </w:pPr>
          </w:p>
          <w:p w14:paraId="455F1844">
            <w:pPr>
              <w:spacing w:line="260" w:lineRule="auto"/>
              <w:rPr>
                <w:rFonts w:ascii="Arial"/>
                <w:sz w:val="21"/>
              </w:rPr>
            </w:pPr>
          </w:p>
          <w:p w14:paraId="092C6CB3">
            <w:pPr>
              <w:pStyle w:val="6"/>
              <w:spacing w:before="98" w:line="186" w:lineRule="auto"/>
              <w:ind w:left="120" w:right="104" w:hanging="1"/>
            </w:pPr>
            <w:r>
              <w:rPr>
                <w:spacing w:val="1"/>
              </w:rPr>
              <w:t>处</w:t>
            </w:r>
            <w:r>
              <w:rPr>
                <w:rFonts w:ascii="宋体" w:hAnsi="宋体" w:eastAsia="宋体" w:cs="宋体"/>
                <w:spacing w:val="1"/>
              </w:rPr>
              <w:t>1500</w:t>
            </w:r>
            <w:r>
              <w:rPr>
                <w:spacing w:val="1"/>
              </w:rPr>
              <w:t>万元以上</w:t>
            </w:r>
            <w:r>
              <w:rPr>
                <w:rFonts w:ascii="宋体" w:hAnsi="宋体" w:eastAsia="宋体" w:cs="宋体"/>
                <w:spacing w:val="1"/>
              </w:rPr>
              <w:t>2000</w:t>
            </w:r>
            <w:r>
              <w:rPr>
                <w:spacing w:val="1"/>
              </w:rPr>
              <w:t>万</w:t>
            </w:r>
            <w:r>
              <w:rPr>
                <w:spacing w:val="8"/>
              </w:rPr>
              <w:t>元以下的罚款；情节特别</w:t>
            </w:r>
            <w:r>
              <w:rPr>
                <w:spacing w:val="10"/>
              </w:rPr>
              <w:t>严重、影响特别恶劣的，</w:t>
            </w:r>
            <w:r>
              <w:rPr>
                <w:spacing w:val="11"/>
              </w:rPr>
              <w:t>可以按照上述罚款数额的二倍以上五倍以下对负有责任的生产经营单位处以</w:t>
            </w:r>
            <w:r>
              <w:rPr>
                <w:spacing w:val="1"/>
              </w:rPr>
              <w:t>罚款</w:t>
            </w:r>
          </w:p>
        </w:tc>
        <w:tc>
          <w:tcPr>
            <w:tcW w:w="811" w:type="dxa"/>
            <w:vMerge w:val="continue"/>
            <w:tcBorders>
              <w:top w:val="nil"/>
            </w:tcBorders>
            <w:vAlign w:val="top"/>
          </w:tcPr>
          <w:p w14:paraId="415FD467">
            <w:pPr>
              <w:rPr>
                <w:rFonts w:ascii="Arial"/>
                <w:sz w:val="21"/>
              </w:rPr>
            </w:pPr>
          </w:p>
        </w:tc>
      </w:tr>
    </w:tbl>
    <w:p w14:paraId="2951678E">
      <w:pPr>
        <w:pStyle w:val="2"/>
      </w:pPr>
    </w:p>
    <w:p w14:paraId="1F1B37A4">
      <w:pPr>
        <w:sectPr>
          <w:footerReference r:id="rId124" w:type="default"/>
          <w:pgSz w:w="16839" w:h="11906"/>
          <w:pgMar w:top="1012" w:right="821" w:bottom="667" w:left="901" w:header="0" w:footer="388" w:gutter="0"/>
          <w:cols w:space="720" w:num="1"/>
        </w:sectPr>
      </w:pPr>
    </w:p>
    <w:p w14:paraId="600BD82E">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8AD0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EBE088F">
            <w:pPr>
              <w:spacing w:before="222" w:line="241" w:lineRule="auto"/>
              <w:ind w:left="131"/>
              <w:rPr>
                <w:rFonts w:ascii="黑体" w:hAnsi="黑体" w:eastAsia="黑体" w:cs="黑体"/>
                <w:sz w:val="28"/>
                <w:szCs w:val="28"/>
              </w:rPr>
            </w:pPr>
            <w:bookmarkStart w:id="520" w:name="bookmark207"/>
            <w:bookmarkEnd w:id="520"/>
            <w:bookmarkStart w:id="521" w:name="bookmark205"/>
            <w:bookmarkEnd w:id="521"/>
            <w:r>
              <w:rPr>
                <w:rFonts w:ascii="黑体" w:hAnsi="黑体" w:eastAsia="黑体" w:cs="黑体"/>
                <w:spacing w:val="-2"/>
                <w:sz w:val="28"/>
                <w:szCs w:val="28"/>
              </w:rPr>
              <w:t>序号</w:t>
            </w:r>
          </w:p>
        </w:tc>
        <w:tc>
          <w:tcPr>
            <w:tcW w:w="1440" w:type="dxa"/>
            <w:vAlign w:val="top"/>
          </w:tcPr>
          <w:p w14:paraId="20515CD6">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B3DF517">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824D906">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F3DF4FE">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7B07823">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B821C56">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A9148E8">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DA63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trPr>
        <w:tc>
          <w:tcPr>
            <w:tcW w:w="818" w:type="dxa"/>
            <w:vMerge w:val="restart"/>
            <w:tcBorders>
              <w:bottom w:val="nil"/>
            </w:tcBorders>
            <w:vAlign w:val="top"/>
          </w:tcPr>
          <w:p w14:paraId="23DD4884">
            <w:pPr>
              <w:spacing w:line="298" w:lineRule="auto"/>
              <w:rPr>
                <w:rFonts w:ascii="Arial"/>
                <w:sz w:val="21"/>
              </w:rPr>
            </w:pPr>
          </w:p>
          <w:p w14:paraId="4D57FDB3">
            <w:pPr>
              <w:spacing w:line="299" w:lineRule="auto"/>
              <w:rPr>
                <w:rFonts w:ascii="Arial"/>
                <w:sz w:val="21"/>
              </w:rPr>
            </w:pPr>
          </w:p>
          <w:p w14:paraId="46A87AC0">
            <w:pPr>
              <w:spacing w:line="299" w:lineRule="auto"/>
              <w:rPr>
                <w:rFonts w:ascii="Arial"/>
                <w:sz w:val="21"/>
              </w:rPr>
            </w:pPr>
          </w:p>
          <w:p w14:paraId="1BD39E81">
            <w:pPr>
              <w:spacing w:line="299" w:lineRule="auto"/>
              <w:rPr>
                <w:rFonts w:ascii="Arial"/>
                <w:sz w:val="21"/>
              </w:rPr>
            </w:pPr>
          </w:p>
          <w:p w14:paraId="61EF3D1F">
            <w:pPr>
              <w:spacing w:before="75" w:line="185" w:lineRule="auto"/>
              <w:ind w:left="235"/>
              <w:rPr>
                <w:rFonts w:ascii="仿宋" w:hAnsi="仿宋" w:eastAsia="仿宋" w:cs="仿宋"/>
                <w:sz w:val="23"/>
                <w:szCs w:val="23"/>
              </w:rPr>
            </w:pPr>
            <w:r>
              <w:rPr>
                <w:rFonts w:ascii="仿宋" w:hAnsi="仿宋" w:eastAsia="仿宋" w:cs="仿宋"/>
                <w:spacing w:val="-2"/>
                <w:sz w:val="23"/>
                <w:szCs w:val="23"/>
              </w:rPr>
              <w:t>99</w:t>
            </w:r>
          </w:p>
        </w:tc>
        <w:tc>
          <w:tcPr>
            <w:tcW w:w="1440" w:type="dxa"/>
            <w:vMerge w:val="restart"/>
            <w:tcBorders>
              <w:bottom w:val="nil"/>
            </w:tcBorders>
            <w:vAlign w:val="top"/>
          </w:tcPr>
          <w:p w14:paraId="0467876B">
            <w:pPr>
              <w:spacing w:line="263" w:lineRule="auto"/>
              <w:rPr>
                <w:rFonts w:ascii="Arial"/>
                <w:sz w:val="21"/>
              </w:rPr>
            </w:pPr>
          </w:p>
          <w:p w14:paraId="12383D4D">
            <w:pPr>
              <w:spacing w:line="263" w:lineRule="auto"/>
              <w:rPr>
                <w:rFonts w:ascii="Arial"/>
                <w:sz w:val="21"/>
              </w:rPr>
            </w:pPr>
          </w:p>
          <w:p w14:paraId="62D0F777">
            <w:pPr>
              <w:pStyle w:val="6"/>
              <w:spacing w:before="99" w:line="182" w:lineRule="auto"/>
              <w:ind w:left="129"/>
              <w:outlineLvl w:val="0"/>
            </w:pPr>
            <w:r>
              <w:rPr>
                <w:spacing w:val="8"/>
              </w:rPr>
              <w:t>生产经营单</w:t>
            </w:r>
          </w:p>
          <w:p w14:paraId="6001F0DE">
            <w:pPr>
              <w:pStyle w:val="6"/>
              <w:spacing w:before="5" w:line="188" w:lineRule="auto"/>
              <w:ind w:left="117" w:right="111" w:hanging="2"/>
              <w:jc w:val="both"/>
            </w:pPr>
            <w:r>
              <w:rPr>
                <w:spacing w:val="11"/>
              </w:rPr>
              <w:t>位迟报、漏报、谎报或者瞒报较大</w:t>
            </w:r>
            <w:r>
              <w:rPr>
                <w:spacing w:val="6"/>
              </w:rPr>
              <w:t>涉险事故的</w:t>
            </w:r>
          </w:p>
        </w:tc>
        <w:tc>
          <w:tcPr>
            <w:tcW w:w="3202" w:type="dxa"/>
            <w:vMerge w:val="restart"/>
            <w:tcBorders>
              <w:bottom w:val="nil"/>
            </w:tcBorders>
            <w:vAlign w:val="top"/>
          </w:tcPr>
          <w:p w14:paraId="5C381F06">
            <w:pPr>
              <w:pStyle w:val="6"/>
              <w:spacing w:before="29" w:line="180" w:lineRule="auto"/>
              <w:ind w:left="118" w:right="107" w:hanging="20"/>
              <w:jc w:val="both"/>
            </w:pPr>
            <w:r>
              <w:rPr>
                <w:spacing w:val="18"/>
              </w:rPr>
              <w:t>【部门规章】《生产安全事</w:t>
            </w:r>
            <w:r>
              <w:rPr>
                <w:spacing w:val="17"/>
              </w:rPr>
              <w:t>故信息报告和处置办法》第</w:t>
            </w:r>
            <w:r>
              <w:rPr>
                <w:spacing w:val="12"/>
              </w:rPr>
              <w:t>六条第一款：生产经营单位</w:t>
            </w:r>
            <w:r>
              <w:rPr>
                <w:spacing w:val="17"/>
              </w:rPr>
              <w:t>发生生产安全事故或者较大</w:t>
            </w:r>
            <w:r>
              <w:rPr>
                <w:spacing w:val="13"/>
              </w:rPr>
              <w:t>涉险事故，其单位负责人接</w:t>
            </w:r>
            <w:r>
              <w:rPr>
                <w:spacing w:val="18"/>
              </w:rPr>
              <w:t>到事故信息报告后应当于</w:t>
            </w:r>
            <w:r>
              <w:rPr>
                <w:rFonts w:ascii="宋体" w:hAnsi="宋体" w:eastAsia="宋体" w:cs="宋体"/>
                <w:spacing w:val="18"/>
              </w:rPr>
              <w:t>1</w:t>
            </w:r>
            <w:r>
              <w:rPr>
                <w:spacing w:val="17"/>
              </w:rPr>
              <w:t>小时内报告事故发生地县级安全生产监督管理部门、煤</w:t>
            </w:r>
            <w:r>
              <w:rPr>
                <w:spacing w:val="3"/>
              </w:rPr>
              <w:t>矿安全监察分局。</w:t>
            </w:r>
          </w:p>
        </w:tc>
        <w:tc>
          <w:tcPr>
            <w:tcW w:w="2859" w:type="dxa"/>
            <w:vMerge w:val="restart"/>
            <w:tcBorders>
              <w:bottom w:val="nil"/>
            </w:tcBorders>
            <w:vAlign w:val="top"/>
          </w:tcPr>
          <w:p w14:paraId="6C91A5BF">
            <w:pPr>
              <w:pStyle w:val="6"/>
              <w:spacing w:before="31" w:line="182" w:lineRule="auto"/>
              <w:ind w:left="122" w:right="110" w:hanging="25"/>
              <w:jc w:val="both"/>
            </w:pPr>
            <w:r>
              <w:rPr>
                <w:spacing w:val="10"/>
              </w:rPr>
              <w:t>【部门规章】《生产安全</w:t>
            </w:r>
            <w:r>
              <w:rPr>
                <w:spacing w:val="32"/>
              </w:rPr>
              <w:t>事故信息报告和处置办</w:t>
            </w:r>
            <w:r>
              <w:rPr>
                <w:spacing w:val="8"/>
              </w:rPr>
              <w:t>法》第二十五条：生产经营单位对较大涉险事故迟</w:t>
            </w:r>
          </w:p>
          <w:p w14:paraId="05CBD17D">
            <w:pPr>
              <w:pStyle w:val="6"/>
              <w:spacing w:line="182" w:lineRule="auto"/>
              <w:ind w:left="120"/>
              <w:outlineLvl w:val="0"/>
            </w:pPr>
            <w:r>
              <w:rPr>
                <w:spacing w:val="8"/>
              </w:rPr>
              <w:t>报、漏报、谎报或者瞒报</w:t>
            </w:r>
          </w:p>
          <w:p w14:paraId="484AA694">
            <w:pPr>
              <w:pStyle w:val="6"/>
              <w:spacing w:before="2" w:line="195" w:lineRule="auto"/>
              <w:ind w:left="122" w:right="105" w:firstLine="16"/>
            </w:pPr>
            <w:r>
              <w:rPr>
                <w:spacing w:val="3"/>
              </w:rPr>
              <w:t>的，给予警告，并处</w:t>
            </w:r>
            <w:r>
              <w:rPr>
                <w:rFonts w:ascii="宋体" w:hAnsi="宋体" w:eastAsia="宋体" w:cs="宋体"/>
                <w:spacing w:val="3"/>
              </w:rPr>
              <w:t>3</w:t>
            </w:r>
            <w:r>
              <w:rPr>
                <w:spacing w:val="3"/>
              </w:rPr>
              <w:t>万</w:t>
            </w:r>
            <w:r>
              <w:rPr>
                <w:spacing w:val="2"/>
              </w:rPr>
              <w:t>元以下的罚款。</w:t>
            </w:r>
          </w:p>
        </w:tc>
        <w:tc>
          <w:tcPr>
            <w:tcW w:w="803" w:type="dxa"/>
            <w:vAlign w:val="top"/>
          </w:tcPr>
          <w:p w14:paraId="7BDEBA94">
            <w:pPr>
              <w:spacing w:line="292" w:lineRule="auto"/>
              <w:rPr>
                <w:rFonts w:ascii="Arial"/>
                <w:sz w:val="21"/>
              </w:rPr>
            </w:pPr>
          </w:p>
          <w:p w14:paraId="432575E7">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61543175">
            <w:pPr>
              <w:pStyle w:val="6"/>
              <w:spacing w:before="178" w:line="195" w:lineRule="auto"/>
              <w:ind w:left="122" w:right="109" w:firstLine="9"/>
            </w:pPr>
            <w:r>
              <w:rPr>
                <w:spacing w:val="24"/>
              </w:rPr>
              <w:t>生产经营单位漏报</w:t>
            </w:r>
            <w:r>
              <w:rPr>
                <w:spacing w:val="6"/>
              </w:rPr>
              <w:t>较大涉险事故的</w:t>
            </w:r>
          </w:p>
        </w:tc>
        <w:tc>
          <w:tcPr>
            <w:tcW w:w="2894" w:type="dxa"/>
            <w:vAlign w:val="top"/>
          </w:tcPr>
          <w:p w14:paraId="3DEDF5E8">
            <w:pPr>
              <w:pStyle w:val="6"/>
              <w:spacing w:before="176" w:line="196" w:lineRule="auto"/>
              <w:ind w:left="124" w:right="106" w:firstLine="1"/>
            </w:pPr>
            <w:r>
              <w:rPr>
                <w:spacing w:val="1"/>
              </w:rPr>
              <w:t>给予警告，并处</w:t>
            </w:r>
            <w:r>
              <w:rPr>
                <w:rFonts w:ascii="宋体" w:hAnsi="宋体" w:eastAsia="宋体" w:cs="宋体"/>
                <w:spacing w:val="1"/>
              </w:rPr>
              <w:t>1</w:t>
            </w:r>
            <w:r>
              <w:rPr>
                <w:spacing w:val="1"/>
              </w:rPr>
              <w:t>万元以</w:t>
            </w:r>
            <w:r>
              <w:rPr>
                <w:spacing w:val="4"/>
              </w:rPr>
              <w:t>下的罚款</w:t>
            </w:r>
          </w:p>
        </w:tc>
        <w:tc>
          <w:tcPr>
            <w:tcW w:w="811" w:type="dxa"/>
            <w:vMerge w:val="restart"/>
            <w:tcBorders>
              <w:bottom w:val="nil"/>
            </w:tcBorders>
            <w:vAlign w:val="top"/>
          </w:tcPr>
          <w:p w14:paraId="08FF0C22">
            <w:pPr>
              <w:spacing w:line="298" w:lineRule="auto"/>
              <w:rPr>
                <w:rFonts w:ascii="Arial"/>
                <w:sz w:val="21"/>
              </w:rPr>
            </w:pPr>
          </w:p>
          <w:p w14:paraId="1E07A164">
            <w:pPr>
              <w:spacing w:line="298" w:lineRule="auto"/>
              <w:rPr>
                <w:rFonts w:ascii="Arial"/>
                <w:sz w:val="21"/>
              </w:rPr>
            </w:pPr>
          </w:p>
          <w:p w14:paraId="0DE84089">
            <w:pPr>
              <w:spacing w:line="298" w:lineRule="auto"/>
              <w:rPr>
                <w:rFonts w:ascii="Arial"/>
                <w:sz w:val="21"/>
              </w:rPr>
            </w:pPr>
          </w:p>
          <w:p w14:paraId="17E3537C">
            <w:pPr>
              <w:spacing w:line="298" w:lineRule="auto"/>
              <w:rPr>
                <w:rFonts w:ascii="Arial"/>
                <w:sz w:val="21"/>
              </w:rPr>
            </w:pPr>
          </w:p>
          <w:p w14:paraId="15EE94B9">
            <w:pPr>
              <w:spacing w:before="74" w:line="188" w:lineRule="auto"/>
              <w:ind w:left="292"/>
              <w:rPr>
                <w:rFonts w:ascii="宋体" w:hAnsi="宋体" w:eastAsia="宋体" w:cs="宋体"/>
                <w:sz w:val="23"/>
                <w:szCs w:val="23"/>
              </w:rPr>
            </w:pPr>
            <w:r>
              <w:rPr>
                <w:rFonts w:ascii="宋体" w:hAnsi="宋体" w:eastAsia="宋体" w:cs="宋体"/>
                <w:spacing w:val="-3"/>
                <w:sz w:val="23"/>
                <w:szCs w:val="23"/>
              </w:rPr>
              <w:t>67</w:t>
            </w:r>
          </w:p>
        </w:tc>
      </w:tr>
      <w:tr w14:paraId="4BCBC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818" w:type="dxa"/>
            <w:vMerge w:val="continue"/>
            <w:tcBorders>
              <w:top w:val="nil"/>
              <w:bottom w:val="nil"/>
            </w:tcBorders>
            <w:vAlign w:val="top"/>
          </w:tcPr>
          <w:p w14:paraId="2E427EC3">
            <w:pPr>
              <w:rPr>
                <w:rFonts w:ascii="Arial"/>
                <w:sz w:val="21"/>
              </w:rPr>
            </w:pPr>
          </w:p>
        </w:tc>
        <w:tc>
          <w:tcPr>
            <w:tcW w:w="1440" w:type="dxa"/>
            <w:vMerge w:val="continue"/>
            <w:tcBorders>
              <w:top w:val="nil"/>
              <w:bottom w:val="nil"/>
            </w:tcBorders>
            <w:vAlign w:val="top"/>
          </w:tcPr>
          <w:p w14:paraId="7DB6475F">
            <w:pPr>
              <w:rPr>
                <w:rFonts w:ascii="Arial"/>
                <w:sz w:val="21"/>
              </w:rPr>
            </w:pPr>
          </w:p>
        </w:tc>
        <w:tc>
          <w:tcPr>
            <w:tcW w:w="3202" w:type="dxa"/>
            <w:vMerge w:val="continue"/>
            <w:tcBorders>
              <w:top w:val="nil"/>
              <w:bottom w:val="nil"/>
            </w:tcBorders>
            <w:vAlign w:val="top"/>
          </w:tcPr>
          <w:p w14:paraId="1AC82699">
            <w:pPr>
              <w:rPr>
                <w:rFonts w:ascii="Arial"/>
                <w:sz w:val="21"/>
              </w:rPr>
            </w:pPr>
          </w:p>
        </w:tc>
        <w:tc>
          <w:tcPr>
            <w:tcW w:w="2859" w:type="dxa"/>
            <w:vMerge w:val="continue"/>
            <w:tcBorders>
              <w:top w:val="nil"/>
              <w:bottom w:val="nil"/>
            </w:tcBorders>
            <w:vAlign w:val="top"/>
          </w:tcPr>
          <w:p w14:paraId="0384B90F">
            <w:pPr>
              <w:rPr>
                <w:rFonts w:ascii="Arial"/>
                <w:sz w:val="21"/>
              </w:rPr>
            </w:pPr>
          </w:p>
        </w:tc>
        <w:tc>
          <w:tcPr>
            <w:tcW w:w="803" w:type="dxa"/>
            <w:vAlign w:val="top"/>
          </w:tcPr>
          <w:p w14:paraId="6A25A24C">
            <w:pPr>
              <w:spacing w:line="279" w:lineRule="auto"/>
              <w:rPr>
                <w:rFonts w:ascii="Arial"/>
                <w:sz w:val="21"/>
              </w:rPr>
            </w:pPr>
          </w:p>
          <w:p w14:paraId="13F935DE">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8328543">
            <w:pPr>
              <w:pStyle w:val="6"/>
              <w:spacing w:before="160" w:line="195" w:lineRule="auto"/>
              <w:ind w:left="122" w:right="109" w:firstLine="9"/>
            </w:pPr>
            <w:r>
              <w:rPr>
                <w:spacing w:val="24"/>
              </w:rPr>
              <w:t>生产经营单位迟报</w:t>
            </w:r>
            <w:r>
              <w:rPr>
                <w:spacing w:val="6"/>
              </w:rPr>
              <w:t>较大涉险事故的</w:t>
            </w:r>
          </w:p>
        </w:tc>
        <w:tc>
          <w:tcPr>
            <w:tcW w:w="2894" w:type="dxa"/>
            <w:vAlign w:val="top"/>
          </w:tcPr>
          <w:p w14:paraId="106403C3">
            <w:pPr>
              <w:pStyle w:val="6"/>
              <w:spacing w:before="158" w:line="196" w:lineRule="auto"/>
              <w:ind w:left="124" w:right="106" w:firstLine="1"/>
            </w:pPr>
            <w:r>
              <w:rPr>
                <w:spacing w:val="1"/>
              </w:rPr>
              <w:t>给予警告，并处</w:t>
            </w:r>
            <w:r>
              <w:rPr>
                <w:rFonts w:ascii="宋体" w:hAnsi="宋体" w:eastAsia="宋体" w:cs="宋体"/>
                <w:spacing w:val="1"/>
              </w:rPr>
              <w:t>1</w:t>
            </w:r>
            <w:r>
              <w:rPr>
                <w:spacing w:val="1"/>
              </w:rPr>
              <w:t>万元以</w:t>
            </w:r>
            <w:r>
              <w:rPr>
                <w:spacing w:val="2"/>
              </w:rPr>
              <w:t>上</w:t>
            </w:r>
            <w:r>
              <w:rPr>
                <w:rFonts w:ascii="宋体" w:hAnsi="宋体" w:eastAsia="宋体" w:cs="宋体"/>
                <w:spacing w:val="2"/>
              </w:rPr>
              <w:t>2</w:t>
            </w:r>
            <w:r>
              <w:rPr>
                <w:spacing w:val="2"/>
              </w:rPr>
              <w:t>万元以下的罚款</w:t>
            </w:r>
          </w:p>
        </w:tc>
        <w:tc>
          <w:tcPr>
            <w:tcW w:w="811" w:type="dxa"/>
            <w:vMerge w:val="continue"/>
            <w:tcBorders>
              <w:top w:val="nil"/>
              <w:bottom w:val="nil"/>
            </w:tcBorders>
            <w:vAlign w:val="top"/>
          </w:tcPr>
          <w:p w14:paraId="15B1D541">
            <w:pPr>
              <w:rPr>
                <w:rFonts w:ascii="Arial"/>
                <w:sz w:val="21"/>
              </w:rPr>
            </w:pPr>
          </w:p>
        </w:tc>
      </w:tr>
      <w:tr w14:paraId="4F85C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818" w:type="dxa"/>
            <w:vMerge w:val="continue"/>
            <w:tcBorders>
              <w:top w:val="nil"/>
            </w:tcBorders>
            <w:vAlign w:val="top"/>
          </w:tcPr>
          <w:p w14:paraId="73729D41">
            <w:pPr>
              <w:rPr>
                <w:rFonts w:ascii="Arial"/>
                <w:sz w:val="21"/>
              </w:rPr>
            </w:pPr>
          </w:p>
        </w:tc>
        <w:tc>
          <w:tcPr>
            <w:tcW w:w="1440" w:type="dxa"/>
            <w:vMerge w:val="continue"/>
            <w:tcBorders>
              <w:top w:val="nil"/>
            </w:tcBorders>
            <w:vAlign w:val="top"/>
          </w:tcPr>
          <w:p w14:paraId="13489B78">
            <w:pPr>
              <w:rPr>
                <w:rFonts w:ascii="Arial"/>
                <w:sz w:val="21"/>
              </w:rPr>
            </w:pPr>
          </w:p>
        </w:tc>
        <w:tc>
          <w:tcPr>
            <w:tcW w:w="3202" w:type="dxa"/>
            <w:vMerge w:val="continue"/>
            <w:tcBorders>
              <w:top w:val="nil"/>
            </w:tcBorders>
            <w:vAlign w:val="top"/>
          </w:tcPr>
          <w:p w14:paraId="049FBE55">
            <w:pPr>
              <w:rPr>
                <w:rFonts w:ascii="Arial"/>
                <w:sz w:val="21"/>
              </w:rPr>
            </w:pPr>
          </w:p>
        </w:tc>
        <w:tc>
          <w:tcPr>
            <w:tcW w:w="2859" w:type="dxa"/>
            <w:vMerge w:val="continue"/>
            <w:tcBorders>
              <w:top w:val="nil"/>
            </w:tcBorders>
            <w:vAlign w:val="top"/>
          </w:tcPr>
          <w:p w14:paraId="27D4FF5A">
            <w:pPr>
              <w:rPr>
                <w:rFonts w:ascii="Arial"/>
                <w:sz w:val="21"/>
              </w:rPr>
            </w:pPr>
          </w:p>
        </w:tc>
        <w:tc>
          <w:tcPr>
            <w:tcW w:w="803" w:type="dxa"/>
            <w:vAlign w:val="top"/>
          </w:tcPr>
          <w:p w14:paraId="6B0DD8B2">
            <w:pPr>
              <w:spacing w:line="310" w:lineRule="auto"/>
              <w:rPr>
                <w:rFonts w:ascii="Arial"/>
                <w:sz w:val="21"/>
              </w:rPr>
            </w:pPr>
          </w:p>
          <w:p w14:paraId="77042CF1">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2C72B492">
            <w:pPr>
              <w:pStyle w:val="6"/>
              <w:spacing w:before="39" w:line="178" w:lineRule="auto"/>
              <w:ind w:left="131" w:right="46"/>
              <w:jc w:val="both"/>
            </w:pPr>
            <w:r>
              <w:rPr>
                <w:spacing w:val="3"/>
              </w:rPr>
              <w:t>生产经营单位谎报、</w:t>
            </w:r>
            <w:r>
              <w:rPr>
                <w:spacing w:val="24"/>
              </w:rPr>
              <w:t>瞒报较大涉险事故</w:t>
            </w:r>
            <w:r>
              <w:t>的</w:t>
            </w:r>
          </w:p>
        </w:tc>
        <w:tc>
          <w:tcPr>
            <w:tcW w:w="2894" w:type="dxa"/>
            <w:vAlign w:val="top"/>
          </w:tcPr>
          <w:p w14:paraId="12AE2203">
            <w:pPr>
              <w:pStyle w:val="6"/>
              <w:spacing w:before="191" w:line="196" w:lineRule="auto"/>
              <w:ind w:left="124" w:right="106" w:firstLine="1"/>
            </w:pPr>
            <w:r>
              <w:rPr>
                <w:spacing w:val="3"/>
              </w:rPr>
              <w:t>给予警告，并处</w:t>
            </w:r>
            <w:r>
              <w:rPr>
                <w:rFonts w:ascii="宋体" w:hAnsi="宋体" w:eastAsia="宋体" w:cs="宋体"/>
                <w:spacing w:val="3"/>
              </w:rPr>
              <w:t>2</w:t>
            </w:r>
            <w:r>
              <w:rPr>
                <w:spacing w:val="3"/>
              </w:rPr>
              <w:t>万元以</w:t>
            </w:r>
            <w:r>
              <w:rPr>
                <w:spacing w:val="2"/>
              </w:rPr>
              <w:t>上</w:t>
            </w:r>
            <w:r>
              <w:rPr>
                <w:rFonts w:ascii="宋体" w:hAnsi="宋体" w:eastAsia="宋体" w:cs="宋体"/>
                <w:spacing w:val="2"/>
              </w:rPr>
              <w:t>3</w:t>
            </w:r>
            <w:r>
              <w:rPr>
                <w:spacing w:val="2"/>
              </w:rPr>
              <w:t>万元以下的罚款</w:t>
            </w:r>
          </w:p>
        </w:tc>
        <w:tc>
          <w:tcPr>
            <w:tcW w:w="811" w:type="dxa"/>
            <w:vMerge w:val="continue"/>
            <w:tcBorders>
              <w:top w:val="nil"/>
            </w:tcBorders>
            <w:vAlign w:val="top"/>
          </w:tcPr>
          <w:p w14:paraId="72A17AFB">
            <w:pPr>
              <w:rPr>
                <w:rFonts w:ascii="Arial"/>
                <w:sz w:val="21"/>
              </w:rPr>
            </w:pPr>
          </w:p>
        </w:tc>
      </w:tr>
      <w:tr w14:paraId="6EE2D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4" w:hRule="atLeast"/>
        </w:trPr>
        <w:tc>
          <w:tcPr>
            <w:tcW w:w="818" w:type="dxa"/>
            <w:vMerge w:val="restart"/>
            <w:tcBorders>
              <w:bottom w:val="nil"/>
            </w:tcBorders>
            <w:vAlign w:val="top"/>
          </w:tcPr>
          <w:p w14:paraId="5D52024F">
            <w:pPr>
              <w:spacing w:line="248" w:lineRule="auto"/>
              <w:rPr>
                <w:rFonts w:ascii="Arial"/>
                <w:sz w:val="21"/>
              </w:rPr>
            </w:pPr>
          </w:p>
          <w:p w14:paraId="16EF8AC5">
            <w:pPr>
              <w:spacing w:line="248" w:lineRule="auto"/>
              <w:rPr>
                <w:rFonts w:ascii="Arial"/>
                <w:sz w:val="21"/>
              </w:rPr>
            </w:pPr>
          </w:p>
          <w:p w14:paraId="735B436F">
            <w:pPr>
              <w:spacing w:line="248" w:lineRule="auto"/>
              <w:rPr>
                <w:rFonts w:ascii="Arial"/>
                <w:sz w:val="21"/>
              </w:rPr>
            </w:pPr>
          </w:p>
          <w:p w14:paraId="1F590283">
            <w:pPr>
              <w:spacing w:line="249" w:lineRule="auto"/>
              <w:rPr>
                <w:rFonts w:ascii="Arial"/>
                <w:sz w:val="21"/>
              </w:rPr>
            </w:pPr>
          </w:p>
          <w:p w14:paraId="6956C457">
            <w:pPr>
              <w:spacing w:line="249" w:lineRule="auto"/>
              <w:rPr>
                <w:rFonts w:ascii="Arial"/>
                <w:sz w:val="21"/>
              </w:rPr>
            </w:pPr>
          </w:p>
          <w:p w14:paraId="5C931F13">
            <w:pPr>
              <w:spacing w:line="249" w:lineRule="auto"/>
              <w:rPr>
                <w:rFonts w:ascii="Arial"/>
                <w:sz w:val="21"/>
              </w:rPr>
            </w:pPr>
          </w:p>
          <w:p w14:paraId="3835BF57">
            <w:pPr>
              <w:spacing w:line="249" w:lineRule="auto"/>
              <w:rPr>
                <w:rFonts w:ascii="Arial"/>
                <w:sz w:val="21"/>
              </w:rPr>
            </w:pPr>
          </w:p>
          <w:p w14:paraId="3A4BE6FF">
            <w:pPr>
              <w:spacing w:line="249" w:lineRule="auto"/>
              <w:rPr>
                <w:rFonts w:ascii="Arial"/>
                <w:sz w:val="21"/>
              </w:rPr>
            </w:pPr>
          </w:p>
          <w:p w14:paraId="554344E9">
            <w:pPr>
              <w:spacing w:line="249" w:lineRule="auto"/>
              <w:rPr>
                <w:rFonts w:ascii="Arial"/>
                <w:sz w:val="21"/>
              </w:rPr>
            </w:pPr>
          </w:p>
          <w:p w14:paraId="17CD9D2D">
            <w:pPr>
              <w:spacing w:line="249" w:lineRule="auto"/>
              <w:rPr>
                <w:rFonts w:ascii="Arial"/>
                <w:sz w:val="21"/>
              </w:rPr>
            </w:pPr>
          </w:p>
          <w:p w14:paraId="14D8A4FA">
            <w:pPr>
              <w:spacing w:line="249" w:lineRule="auto"/>
              <w:rPr>
                <w:rFonts w:ascii="Arial"/>
                <w:sz w:val="21"/>
              </w:rPr>
            </w:pPr>
          </w:p>
          <w:p w14:paraId="05A1C268">
            <w:pPr>
              <w:spacing w:line="249" w:lineRule="auto"/>
              <w:rPr>
                <w:rFonts w:ascii="Arial"/>
                <w:sz w:val="21"/>
              </w:rPr>
            </w:pPr>
          </w:p>
          <w:p w14:paraId="3EB1FAE2">
            <w:pPr>
              <w:spacing w:before="74" w:line="186" w:lineRule="auto"/>
              <w:ind w:left="161"/>
              <w:rPr>
                <w:rFonts w:ascii="仿宋" w:hAnsi="仿宋" w:eastAsia="仿宋" w:cs="仿宋"/>
                <w:sz w:val="23"/>
                <w:szCs w:val="23"/>
              </w:rPr>
            </w:pPr>
            <w:r>
              <w:rPr>
                <w:rFonts w:ascii="仿宋" w:hAnsi="仿宋" w:eastAsia="仿宋" w:cs="仿宋"/>
                <w:spacing w:val="-5"/>
                <w:sz w:val="23"/>
                <w:szCs w:val="23"/>
              </w:rPr>
              <w:t>100</w:t>
            </w:r>
          </w:p>
        </w:tc>
        <w:tc>
          <w:tcPr>
            <w:tcW w:w="1440" w:type="dxa"/>
            <w:vMerge w:val="restart"/>
            <w:tcBorders>
              <w:bottom w:val="nil"/>
            </w:tcBorders>
            <w:vAlign w:val="top"/>
          </w:tcPr>
          <w:p w14:paraId="6F71CA32">
            <w:pPr>
              <w:rPr>
                <w:rFonts w:ascii="Arial"/>
                <w:sz w:val="21"/>
              </w:rPr>
            </w:pPr>
          </w:p>
          <w:p w14:paraId="29205B5A">
            <w:pPr>
              <w:rPr>
                <w:rFonts w:ascii="Arial"/>
                <w:sz w:val="21"/>
              </w:rPr>
            </w:pPr>
          </w:p>
          <w:p w14:paraId="71603270">
            <w:pPr>
              <w:spacing w:line="241" w:lineRule="auto"/>
              <w:rPr>
                <w:rFonts w:ascii="Arial"/>
                <w:sz w:val="21"/>
              </w:rPr>
            </w:pPr>
          </w:p>
          <w:p w14:paraId="27E2BAC8">
            <w:pPr>
              <w:spacing w:line="241" w:lineRule="auto"/>
              <w:rPr>
                <w:rFonts w:ascii="Arial"/>
                <w:sz w:val="21"/>
              </w:rPr>
            </w:pPr>
          </w:p>
          <w:p w14:paraId="2DBFC108">
            <w:pPr>
              <w:spacing w:line="241" w:lineRule="auto"/>
              <w:rPr>
                <w:rFonts w:ascii="Arial"/>
                <w:sz w:val="21"/>
              </w:rPr>
            </w:pPr>
          </w:p>
          <w:p w14:paraId="0B5C448B">
            <w:pPr>
              <w:spacing w:line="241" w:lineRule="auto"/>
              <w:rPr>
                <w:rFonts w:ascii="Arial"/>
                <w:sz w:val="21"/>
              </w:rPr>
            </w:pPr>
          </w:p>
          <w:p w14:paraId="389941E4">
            <w:pPr>
              <w:spacing w:line="241" w:lineRule="auto"/>
              <w:rPr>
                <w:rFonts w:ascii="Arial"/>
                <w:sz w:val="21"/>
              </w:rPr>
            </w:pPr>
          </w:p>
          <w:p w14:paraId="2584C7DF">
            <w:pPr>
              <w:spacing w:line="241" w:lineRule="auto"/>
              <w:rPr>
                <w:rFonts w:ascii="Arial"/>
                <w:sz w:val="21"/>
              </w:rPr>
            </w:pPr>
          </w:p>
          <w:p w14:paraId="197664B5">
            <w:pPr>
              <w:spacing w:line="241" w:lineRule="auto"/>
              <w:rPr>
                <w:rFonts w:ascii="Arial"/>
                <w:sz w:val="21"/>
              </w:rPr>
            </w:pPr>
          </w:p>
          <w:p w14:paraId="39DFFF64">
            <w:pPr>
              <w:pStyle w:val="6"/>
              <w:spacing w:before="99" w:line="187" w:lineRule="auto"/>
              <w:ind w:left="114" w:right="111"/>
              <w:jc w:val="both"/>
            </w:pPr>
            <w:r>
              <w:rPr>
                <w:spacing w:val="11"/>
              </w:rPr>
              <w:t>危险化学品生产企业未按规定时限提出安全生产许可证变</w:t>
            </w:r>
            <w:r>
              <w:rPr>
                <w:spacing w:val="6"/>
              </w:rPr>
              <w:t>更申请的</w:t>
            </w:r>
          </w:p>
        </w:tc>
        <w:tc>
          <w:tcPr>
            <w:tcW w:w="3202" w:type="dxa"/>
            <w:vMerge w:val="restart"/>
            <w:tcBorders>
              <w:bottom w:val="nil"/>
            </w:tcBorders>
            <w:vAlign w:val="top"/>
          </w:tcPr>
          <w:p w14:paraId="55D56773">
            <w:pPr>
              <w:pStyle w:val="6"/>
              <w:spacing w:before="45" w:line="182" w:lineRule="auto"/>
              <w:ind w:left="114" w:right="111" w:hanging="16"/>
              <w:jc w:val="both"/>
            </w:pPr>
            <w:r>
              <w:rPr>
                <w:spacing w:val="18"/>
              </w:rPr>
              <w:t>【部门规章】《危险化学品</w:t>
            </w:r>
            <w:r>
              <w:rPr>
                <w:spacing w:val="17"/>
              </w:rPr>
              <w:t>生产企业安全生产许可证实</w:t>
            </w:r>
            <w:r>
              <w:rPr>
                <w:spacing w:val="13"/>
              </w:rPr>
              <w:t>施办法》第三十条：企业在</w:t>
            </w:r>
            <w:r>
              <w:rPr>
                <w:spacing w:val="17"/>
              </w:rPr>
              <w:t>安全生产许可证有效期内变更主要负责人、企业名称或</w:t>
            </w:r>
            <w:r>
              <w:rPr>
                <w:spacing w:val="13"/>
              </w:rPr>
              <w:t>者注册地址的，应当自工商</w:t>
            </w:r>
            <w:r>
              <w:rPr>
                <w:spacing w:val="17"/>
              </w:rPr>
              <w:t>营业执照或者隶属关系变更</w:t>
            </w:r>
            <w:r>
              <w:rPr>
                <w:spacing w:val="5"/>
              </w:rPr>
              <w:t>之日起</w:t>
            </w:r>
            <w:r>
              <w:rPr>
                <w:rFonts w:ascii="宋体" w:hAnsi="宋体" w:eastAsia="宋体" w:cs="宋体"/>
                <w:spacing w:val="5"/>
              </w:rPr>
              <w:t>10</w:t>
            </w:r>
            <w:r>
              <w:rPr>
                <w:spacing w:val="5"/>
              </w:rPr>
              <w:t>个工作日内向实施</w:t>
            </w:r>
            <w:r>
              <w:rPr>
                <w:spacing w:val="13"/>
              </w:rPr>
              <w:t>机关提出变更申请，并提交</w:t>
            </w:r>
            <w:r>
              <w:rPr>
                <w:spacing w:val="6"/>
              </w:rPr>
              <w:t>下列文件、资料</w:t>
            </w:r>
            <w:r>
              <w:rPr>
                <w:spacing w:val="-14"/>
              </w:rPr>
              <w:t>：（</w:t>
            </w:r>
            <w:r>
              <w:rPr>
                <w:spacing w:val="6"/>
              </w:rPr>
              <w:t>一）变</w:t>
            </w:r>
            <w:r>
              <w:rPr>
                <w:spacing w:val="17"/>
              </w:rPr>
              <w:t>更后的工商营业执照副本复制件</w:t>
            </w:r>
            <w:r>
              <w:rPr>
                <w:spacing w:val="-9"/>
              </w:rPr>
              <w:t>；（</w:t>
            </w:r>
            <w:r>
              <w:rPr>
                <w:spacing w:val="17"/>
              </w:rPr>
              <w:t>二）变更主要负责</w:t>
            </w:r>
            <w:r>
              <w:rPr>
                <w:spacing w:val="14"/>
              </w:rPr>
              <w:t>人的，还应当提供主要负责</w:t>
            </w:r>
            <w:r>
              <w:rPr>
                <w:spacing w:val="17"/>
              </w:rPr>
              <w:t>人经安全生产监督管理部门考核合格后颁发的安全合格</w:t>
            </w:r>
            <w:r>
              <w:rPr>
                <w:spacing w:val="18"/>
              </w:rPr>
              <w:t>证复制件</w:t>
            </w:r>
            <w:r>
              <w:rPr>
                <w:spacing w:val="-13"/>
              </w:rPr>
              <w:t>；（</w:t>
            </w:r>
            <w:r>
              <w:rPr>
                <w:spacing w:val="18"/>
              </w:rPr>
              <w:t>三）变更注册</w:t>
            </w:r>
            <w:r>
              <w:rPr>
                <w:spacing w:val="14"/>
              </w:rPr>
              <w:t>地址的，还应当提供相关证</w:t>
            </w:r>
            <w:r>
              <w:rPr>
                <w:spacing w:val="-1"/>
              </w:rPr>
              <w:t>明材料。</w:t>
            </w:r>
          </w:p>
          <w:p w14:paraId="0A206830">
            <w:pPr>
              <w:pStyle w:val="6"/>
              <w:spacing w:before="4" w:line="174" w:lineRule="auto"/>
              <w:ind w:left="121" w:right="111"/>
              <w:jc w:val="both"/>
            </w:pPr>
            <w:r>
              <w:rPr>
                <w:spacing w:val="12"/>
              </w:rPr>
              <w:t>对已经受理的变更申请，实</w:t>
            </w:r>
            <w:r>
              <w:rPr>
                <w:spacing w:val="16"/>
              </w:rPr>
              <w:t>施机关应当在对企业提交的</w:t>
            </w:r>
            <w:r>
              <w:rPr>
                <w:spacing w:val="12"/>
              </w:rPr>
              <w:t>文件、资料审查无误后，方</w:t>
            </w:r>
          </w:p>
        </w:tc>
        <w:tc>
          <w:tcPr>
            <w:tcW w:w="2859" w:type="dxa"/>
            <w:vMerge w:val="restart"/>
            <w:tcBorders>
              <w:bottom w:val="nil"/>
            </w:tcBorders>
            <w:vAlign w:val="top"/>
          </w:tcPr>
          <w:p w14:paraId="710ADE14">
            <w:pPr>
              <w:pStyle w:val="6"/>
              <w:spacing w:before="39" w:line="184" w:lineRule="auto"/>
              <w:ind w:left="116" w:right="40" w:hanging="19"/>
            </w:pPr>
            <w:r>
              <w:rPr>
                <w:spacing w:val="10"/>
              </w:rPr>
              <w:t>【部门规章】《危险化学</w:t>
            </w:r>
            <w:r>
              <w:rPr>
                <w:spacing w:val="8"/>
              </w:rPr>
              <w:t>品生产企业安全生产许可</w:t>
            </w:r>
            <w:r>
              <w:rPr>
                <w:spacing w:val="-6"/>
              </w:rPr>
              <w:t>证实施办法》第四十七条：</w:t>
            </w:r>
            <w:r>
              <w:rPr>
                <w:spacing w:val="8"/>
              </w:rPr>
              <w:t>企业在安全生产许可证有效期内主要负责人、企业名称、注册地址、隶属关</w:t>
            </w:r>
            <w:r>
              <w:rPr>
                <w:spacing w:val="32"/>
              </w:rPr>
              <w:t>系发生变更或者新增产</w:t>
            </w:r>
            <w:r>
              <w:rPr>
                <w:spacing w:val="8"/>
              </w:rPr>
              <w:t>品、改变工艺技术对企业</w:t>
            </w:r>
            <w:r>
              <w:rPr>
                <w:spacing w:val="7"/>
              </w:rPr>
              <w:t>安全生产产生重大影响，</w:t>
            </w:r>
            <w:r>
              <w:rPr>
                <w:spacing w:val="8"/>
              </w:rPr>
              <w:t>未按照本办法第三十条规定的时限提出安全生产许可证变更申请的，责令限</w:t>
            </w:r>
            <w:r>
              <w:rPr>
                <w:spacing w:val="3"/>
              </w:rPr>
              <w:t>期申请，处</w:t>
            </w:r>
            <w:r>
              <w:rPr>
                <w:rFonts w:ascii="宋体" w:hAnsi="宋体" w:eastAsia="宋体" w:cs="宋体"/>
                <w:spacing w:val="3"/>
              </w:rPr>
              <w:t>1</w:t>
            </w:r>
            <w:r>
              <w:rPr>
                <w:spacing w:val="3"/>
              </w:rPr>
              <w:t>万元以上</w:t>
            </w:r>
            <w:r>
              <w:rPr>
                <w:rFonts w:ascii="宋体" w:hAnsi="宋体" w:eastAsia="宋体" w:cs="宋体"/>
                <w:spacing w:val="3"/>
              </w:rPr>
              <w:t>3</w:t>
            </w:r>
            <w:r>
              <w:rPr>
                <w:spacing w:val="3"/>
              </w:rPr>
              <w:t>万元以下的罚款。</w:t>
            </w:r>
          </w:p>
        </w:tc>
        <w:tc>
          <w:tcPr>
            <w:tcW w:w="803" w:type="dxa"/>
            <w:vAlign w:val="top"/>
          </w:tcPr>
          <w:p w14:paraId="322B2734">
            <w:pPr>
              <w:spacing w:line="354" w:lineRule="auto"/>
              <w:rPr>
                <w:rFonts w:ascii="Arial"/>
                <w:sz w:val="21"/>
              </w:rPr>
            </w:pPr>
          </w:p>
          <w:p w14:paraId="1B965EF5">
            <w:pPr>
              <w:spacing w:line="355" w:lineRule="auto"/>
              <w:rPr>
                <w:rFonts w:ascii="Arial"/>
                <w:sz w:val="21"/>
              </w:rPr>
            </w:pPr>
          </w:p>
          <w:p w14:paraId="7339D9B4">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40FF9D5">
            <w:pPr>
              <w:spacing w:line="246" w:lineRule="auto"/>
              <w:rPr>
                <w:rFonts w:ascii="Arial"/>
                <w:sz w:val="21"/>
              </w:rPr>
            </w:pPr>
          </w:p>
          <w:p w14:paraId="61146440">
            <w:pPr>
              <w:spacing w:line="247" w:lineRule="auto"/>
              <w:rPr>
                <w:rFonts w:ascii="Arial"/>
                <w:sz w:val="21"/>
              </w:rPr>
            </w:pPr>
          </w:p>
          <w:p w14:paraId="3BD33C96">
            <w:pPr>
              <w:pStyle w:val="6"/>
              <w:spacing w:before="98" w:line="196" w:lineRule="auto"/>
              <w:ind w:left="145" w:right="105" w:hanging="28"/>
            </w:pPr>
            <w:r>
              <w:rPr>
                <w:spacing w:val="-2"/>
              </w:rPr>
              <w:t>超出规定时限</w:t>
            </w:r>
            <w:r>
              <w:rPr>
                <w:rFonts w:ascii="宋体" w:hAnsi="宋体" w:eastAsia="宋体" w:cs="宋体"/>
                <w:spacing w:val="-2"/>
              </w:rPr>
              <w:t>10</w:t>
            </w:r>
            <w:r>
              <w:rPr>
                <w:spacing w:val="-2"/>
              </w:rPr>
              <w:t>日</w:t>
            </w:r>
            <w:r>
              <w:rPr>
                <w:spacing w:val="-3"/>
              </w:rPr>
              <w:t>以内的</w:t>
            </w:r>
          </w:p>
        </w:tc>
        <w:tc>
          <w:tcPr>
            <w:tcW w:w="2894" w:type="dxa"/>
            <w:vAlign w:val="top"/>
          </w:tcPr>
          <w:p w14:paraId="2FCD8E9D">
            <w:pPr>
              <w:spacing w:line="246" w:lineRule="auto"/>
              <w:rPr>
                <w:rFonts w:ascii="Arial"/>
                <w:sz w:val="21"/>
              </w:rPr>
            </w:pPr>
          </w:p>
          <w:p w14:paraId="3F158F78">
            <w:pPr>
              <w:spacing w:line="247" w:lineRule="auto"/>
              <w:rPr>
                <w:rFonts w:ascii="Arial"/>
                <w:sz w:val="21"/>
              </w:rPr>
            </w:pPr>
          </w:p>
          <w:p w14:paraId="0B211977">
            <w:pPr>
              <w:pStyle w:val="6"/>
              <w:spacing w:before="98" w:line="196" w:lineRule="auto"/>
              <w:ind w:left="146" w:right="103" w:hanging="19"/>
            </w:pPr>
            <w:r>
              <w:rPr>
                <w:spacing w:val="2"/>
              </w:rPr>
              <w:t>责令限期申请，处</w:t>
            </w:r>
            <w:r>
              <w:rPr>
                <w:rFonts w:ascii="宋体" w:hAnsi="宋体" w:eastAsia="宋体" w:cs="宋体"/>
                <w:spacing w:val="2"/>
              </w:rPr>
              <w:t>1</w:t>
            </w:r>
            <w:r>
              <w:rPr>
                <w:spacing w:val="2"/>
              </w:rPr>
              <w:t>万元</w:t>
            </w:r>
            <w:r>
              <w:t>以上</w:t>
            </w:r>
            <w:r>
              <w:rPr>
                <w:rFonts w:ascii="宋体" w:hAnsi="宋体" w:eastAsia="宋体" w:cs="宋体"/>
              </w:rPr>
              <w:t>1.5</w:t>
            </w:r>
            <w:r>
              <w:t>万元以下的罚款</w:t>
            </w:r>
          </w:p>
        </w:tc>
        <w:tc>
          <w:tcPr>
            <w:tcW w:w="811" w:type="dxa"/>
            <w:vMerge w:val="restart"/>
            <w:tcBorders>
              <w:bottom w:val="nil"/>
            </w:tcBorders>
            <w:vAlign w:val="top"/>
          </w:tcPr>
          <w:p w14:paraId="0E27156B">
            <w:pPr>
              <w:spacing w:line="248" w:lineRule="auto"/>
              <w:rPr>
                <w:rFonts w:ascii="Arial"/>
                <w:sz w:val="21"/>
              </w:rPr>
            </w:pPr>
          </w:p>
          <w:p w14:paraId="5EE93FE4">
            <w:pPr>
              <w:spacing w:line="248" w:lineRule="auto"/>
              <w:rPr>
                <w:rFonts w:ascii="Arial"/>
                <w:sz w:val="21"/>
              </w:rPr>
            </w:pPr>
          </w:p>
          <w:p w14:paraId="3127B02C">
            <w:pPr>
              <w:spacing w:line="248" w:lineRule="auto"/>
              <w:rPr>
                <w:rFonts w:ascii="Arial"/>
                <w:sz w:val="21"/>
              </w:rPr>
            </w:pPr>
          </w:p>
          <w:p w14:paraId="29C5413B">
            <w:pPr>
              <w:spacing w:line="248" w:lineRule="auto"/>
              <w:rPr>
                <w:rFonts w:ascii="Arial"/>
                <w:sz w:val="21"/>
              </w:rPr>
            </w:pPr>
          </w:p>
          <w:p w14:paraId="069B7A89">
            <w:pPr>
              <w:spacing w:line="248" w:lineRule="auto"/>
              <w:rPr>
                <w:rFonts w:ascii="Arial"/>
                <w:sz w:val="21"/>
              </w:rPr>
            </w:pPr>
          </w:p>
          <w:p w14:paraId="399FBC24">
            <w:pPr>
              <w:spacing w:line="248" w:lineRule="auto"/>
              <w:rPr>
                <w:rFonts w:ascii="Arial"/>
                <w:sz w:val="21"/>
              </w:rPr>
            </w:pPr>
          </w:p>
          <w:p w14:paraId="2AB83BF0">
            <w:pPr>
              <w:spacing w:line="249" w:lineRule="auto"/>
              <w:rPr>
                <w:rFonts w:ascii="Arial"/>
                <w:sz w:val="21"/>
              </w:rPr>
            </w:pPr>
          </w:p>
          <w:p w14:paraId="3D3C9C98">
            <w:pPr>
              <w:spacing w:line="249" w:lineRule="auto"/>
              <w:rPr>
                <w:rFonts w:ascii="Arial"/>
                <w:sz w:val="21"/>
              </w:rPr>
            </w:pPr>
          </w:p>
          <w:p w14:paraId="3500EF1C">
            <w:pPr>
              <w:spacing w:line="249" w:lineRule="auto"/>
              <w:rPr>
                <w:rFonts w:ascii="Arial"/>
                <w:sz w:val="21"/>
              </w:rPr>
            </w:pPr>
          </w:p>
          <w:p w14:paraId="1E2209D5">
            <w:pPr>
              <w:spacing w:line="249" w:lineRule="auto"/>
              <w:rPr>
                <w:rFonts w:ascii="Arial"/>
                <w:sz w:val="21"/>
              </w:rPr>
            </w:pPr>
          </w:p>
          <w:p w14:paraId="57457279">
            <w:pPr>
              <w:spacing w:line="249" w:lineRule="auto"/>
              <w:rPr>
                <w:rFonts w:ascii="Arial"/>
                <w:sz w:val="21"/>
              </w:rPr>
            </w:pPr>
          </w:p>
          <w:p w14:paraId="4043C856">
            <w:pPr>
              <w:spacing w:line="249" w:lineRule="auto"/>
              <w:rPr>
                <w:rFonts w:ascii="Arial"/>
                <w:sz w:val="21"/>
              </w:rPr>
            </w:pPr>
          </w:p>
          <w:p w14:paraId="02676B5E">
            <w:pPr>
              <w:spacing w:before="75" w:line="188" w:lineRule="auto"/>
              <w:ind w:left="296"/>
              <w:rPr>
                <w:rFonts w:ascii="宋体" w:hAnsi="宋体" w:eastAsia="宋体" w:cs="宋体"/>
                <w:sz w:val="23"/>
                <w:szCs w:val="23"/>
              </w:rPr>
            </w:pPr>
            <w:r>
              <w:rPr>
                <w:rFonts w:ascii="宋体" w:hAnsi="宋体" w:eastAsia="宋体" w:cs="宋体"/>
                <w:spacing w:val="-5"/>
                <w:sz w:val="23"/>
                <w:szCs w:val="23"/>
              </w:rPr>
              <w:t>73</w:t>
            </w:r>
          </w:p>
        </w:tc>
      </w:tr>
      <w:tr w14:paraId="16FAD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1" w:hRule="atLeast"/>
        </w:trPr>
        <w:tc>
          <w:tcPr>
            <w:tcW w:w="818" w:type="dxa"/>
            <w:vMerge w:val="continue"/>
            <w:tcBorders>
              <w:top w:val="nil"/>
              <w:bottom w:val="nil"/>
            </w:tcBorders>
            <w:vAlign w:val="top"/>
          </w:tcPr>
          <w:p w14:paraId="112B5791">
            <w:pPr>
              <w:rPr>
                <w:rFonts w:ascii="Arial"/>
                <w:sz w:val="21"/>
              </w:rPr>
            </w:pPr>
          </w:p>
        </w:tc>
        <w:tc>
          <w:tcPr>
            <w:tcW w:w="1440" w:type="dxa"/>
            <w:vMerge w:val="continue"/>
            <w:tcBorders>
              <w:top w:val="nil"/>
              <w:bottom w:val="nil"/>
            </w:tcBorders>
            <w:vAlign w:val="top"/>
          </w:tcPr>
          <w:p w14:paraId="2F8DD31C">
            <w:pPr>
              <w:rPr>
                <w:rFonts w:ascii="Arial"/>
                <w:sz w:val="21"/>
              </w:rPr>
            </w:pPr>
          </w:p>
        </w:tc>
        <w:tc>
          <w:tcPr>
            <w:tcW w:w="3202" w:type="dxa"/>
            <w:vMerge w:val="continue"/>
            <w:tcBorders>
              <w:top w:val="nil"/>
              <w:bottom w:val="nil"/>
            </w:tcBorders>
            <w:vAlign w:val="top"/>
          </w:tcPr>
          <w:p w14:paraId="631A9672">
            <w:pPr>
              <w:rPr>
                <w:rFonts w:ascii="Arial"/>
                <w:sz w:val="21"/>
              </w:rPr>
            </w:pPr>
          </w:p>
        </w:tc>
        <w:tc>
          <w:tcPr>
            <w:tcW w:w="2859" w:type="dxa"/>
            <w:vMerge w:val="continue"/>
            <w:tcBorders>
              <w:top w:val="nil"/>
              <w:bottom w:val="nil"/>
            </w:tcBorders>
            <w:vAlign w:val="top"/>
          </w:tcPr>
          <w:p w14:paraId="7A900FDA">
            <w:pPr>
              <w:rPr>
                <w:rFonts w:ascii="Arial"/>
                <w:sz w:val="21"/>
              </w:rPr>
            </w:pPr>
          </w:p>
        </w:tc>
        <w:tc>
          <w:tcPr>
            <w:tcW w:w="803" w:type="dxa"/>
            <w:vAlign w:val="top"/>
          </w:tcPr>
          <w:p w14:paraId="2885F4A3">
            <w:pPr>
              <w:spacing w:line="283" w:lineRule="auto"/>
              <w:rPr>
                <w:rFonts w:ascii="Arial"/>
                <w:sz w:val="21"/>
              </w:rPr>
            </w:pPr>
          </w:p>
          <w:p w14:paraId="7D3BC40E">
            <w:pPr>
              <w:spacing w:line="283" w:lineRule="auto"/>
              <w:rPr>
                <w:rFonts w:ascii="Arial"/>
                <w:sz w:val="21"/>
              </w:rPr>
            </w:pPr>
          </w:p>
          <w:p w14:paraId="042F6E9C">
            <w:pPr>
              <w:spacing w:line="283" w:lineRule="auto"/>
              <w:rPr>
                <w:rFonts w:ascii="Arial"/>
                <w:sz w:val="21"/>
              </w:rPr>
            </w:pPr>
          </w:p>
          <w:p w14:paraId="021F1A55">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708FD15">
            <w:pPr>
              <w:spacing w:line="315" w:lineRule="auto"/>
              <w:rPr>
                <w:rFonts w:ascii="Arial"/>
                <w:sz w:val="21"/>
              </w:rPr>
            </w:pPr>
          </w:p>
          <w:p w14:paraId="09024E21">
            <w:pPr>
              <w:spacing w:line="315" w:lineRule="auto"/>
              <w:rPr>
                <w:rFonts w:ascii="Arial"/>
                <w:sz w:val="21"/>
              </w:rPr>
            </w:pPr>
          </w:p>
          <w:p w14:paraId="64CC49E6">
            <w:pPr>
              <w:pStyle w:val="6"/>
              <w:spacing w:before="98" w:line="196" w:lineRule="auto"/>
              <w:ind w:left="145" w:right="105" w:hanging="28"/>
            </w:pPr>
            <w:r>
              <w:rPr>
                <w:spacing w:val="-2"/>
              </w:rPr>
              <w:t>超出规定时限</w:t>
            </w:r>
            <w:r>
              <w:rPr>
                <w:rFonts w:ascii="宋体" w:hAnsi="宋体" w:eastAsia="宋体" w:cs="宋体"/>
                <w:spacing w:val="-2"/>
              </w:rPr>
              <w:t>10</w:t>
            </w:r>
            <w:r>
              <w:rPr>
                <w:spacing w:val="-2"/>
              </w:rPr>
              <w:t>日</w:t>
            </w:r>
            <w:r>
              <w:rPr>
                <w:spacing w:val="-5"/>
              </w:rPr>
              <w:t>以上</w:t>
            </w:r>
            <w:r>
              <w:rPr>
                <w:rFonts w:ascii="宋体" w:hAnsi="宋体" w:eastAsia="宋体" w:cs="宋体"/>
                <w:spacing w:val="-5"/>
              </w:rPr>
              <w:t>20</w:t>
            </w:r>
            <w:r>
              <w:rPr>
                <w:spacing w:val="-5"/>
              </w:rPr>
              <w:t>日以内的</w:t>
            </w:r>
          </w:p>
        </w:tc>
        <w:tc>
          <w:tcPr>
            <w:tcW w:w="2894" w:type="dxa"/>
            <w:vAlign w:val="top"/>
          </w:tcPr>
          <w:p w14:paraId="0921AE02">
            <w:pPr>
              <w:spacing w:line="315" w:lineRule="auto"/>
              <w:rPr>
                <w:rFonts w:ascii="Arial"/>
                <w:sz w:val="21"/>
              </w:rPr>
            </w:pPr>
          </w:p>
          <w:p w14:paraId="59B6D48D">
            <w:pPr>
              <w:spacing w:line="315" w:lineRule="auto"/>
              <w:rPr>
                <w:rFonts w:ascii="Arial"/>
                <w:sz w:val="21"/>
              </w:rPr>
            </w:pPr>
          </w:p>
          <w:p w14:paraId="04CD1A92">
            <w:pPr>
              <w:pStyle w:val="6"/>
              <w:spacing w:before="98" w:line="196" w:lineRule="auto"/>
              <w:ind w:left="124" w:right="104" w:firstLine="2"/>
            </w:pPr>
            <w:r>
              <w:rPr>
                <w:spacing w:val="1"/>
              </w:rPr>
              <w:t>责令限期申请，处</w:t>
            </w:r>
            <w:r>
              <w:rPr>
                <w:rFonts w:ascii="宋体" w:hAnsi="宋体" w:eastAsia="宋体" w:cs="宋体"/>
                <w:spacing w:val="1"/>
              </w:rPr>
              <w:t>1.5</w:t>
            </w:r>
            <w:r>
              <w:rPr>
                <w:spacing w:val="1"/>
              </w:rPr>
              <w:t>万</w:t>
            </w:r>
            <w:r>
              <w:rPr>
                <w:spacing w:val="4"/>
              </w:rPr>
              <w:t>元以上</w:t>
            </w:r>
            <w:r>
              <w:rPr>
                <w:rFonts w:ascii="宋体" w:hAnsi="宋体" w:eastAsia="宋体" w:cs="宋体"/>
                <w:spacing w:val="4"/>
              </w:rPr>
              <w:t>2</w:t>
            </w:r>
            <w:r>
              <w:rPr>
                <w:spacing w:val="4"/>
              </w:rPr>
              <w:t>万元以下的罚款</w:t>
            </w:r>
          </w:p>
        </w:tc>
        <w:tc>
          <w:tcPr>
            <w:tcW w:w="811" w:type="dxa"/>
            <w:vMerge w:val="continue"/>
            <w:tcBorders>
              <w:top w:val="nil"/>
              <w:bottom w:val="nil"/>
            </w:tcBorders>
            <w:vAlign w:val="top"/>
          </w:tcPr>
          <w:p w14:paraId="2A2D3251">
            <w:pPr>
              <w:rPr>
                <w:rFonts w:ascii="Arial"/>
                <w:sz w:val="21"/>
              </w:rPr>
            </w:pPr>
          </w:p>
        </w:tc>
      </w:tr>
      <w:tr w14:paraId="32A67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0" w:hRule="atLeast"/>
        </w:trPr>
        <w:tc>
          <w:tcPr>
            <w:tcW w:w="818" w:type="dxa"/>
            <w:vMerge w:val="continue"/>
            <w:tcBorders>
              <w:top w:val="nil"/>
            </w:tcBorders>
            <w:vAlign w:val="top"/>
          </w:tcPr>
          <w:p w14:paraId="2DE55F14">
            <w:pPr>
              <w:rPr>
                <w:rFonts w:ascii="Arial"/>
                <w:sz w:val="21"/>
              </w:rPr>
            </w:pPr>
          </w:p>
        </w:tc>
        <w:tc>
          <w:tcPr>
            <w:tcW w:w="1440" w:type="dxa"/>
            <w:vMerge w:val="continue"/>
            <w:tcBorders>
              <w:top w:val="nil"/>
            </w:tcBorders>
            <w:vAlign w:val="top"/>
          </w:tcPr>
          <w:p w14:paraId="114FB4F7">
            <w:pPr>
              <w:rPr>
                <w:rFonts w:ascii="Arial"/>
                <w:sz w:val="21"/>
              </w:rPr>
            </w:pPr>
          </w:p>
        </w:tc>
        <w:tc>
          <w:tcPr>
            <w:tcW w:w="3202" w:type="dxa"/>
            <w:vMerge w:val="continue"/>
            <w:tcBorders>
              <w:top w:val="nil"/>
            </w:tcBorders>
            <w:vAlign w:val="top"/>
          </w:tcPr>
          <w:p w14:paraId="38D5D9E6">
            <w:pPr>
              <w:rPr>
                <w:rFonts w:ascii="Arial"/>
                <w:sz w:val="21"/>
              </w:rPr>
            </w:pPr>
          </w:p>
        </w:tc>
        <w:tc>
          <w:tcPr>
            <w:tcW w:w="2859" w:type="dxa"/>
            <w:vMerge w:val="continue"/>
            <w:tcBorders>
              <w:top w:val="nil"/>
            </w:tcBorders>
            <w:vAlign w:val="top"/>
          </w:tcPr>
          <w:p w14:paraId="7312E1E7">
            <w:pPr>
              <w:rPr>
                <w:rFonts w:ascii="Arial"/>
                <w:sz w:val="21"/>
              </w:rPr>
            </w:pPr>
          </w:p>
        </w:tc>
        <w:tc>
          <w:tcPr>
            <w:tcW w:w="803" w:type="dxa"/>
            <w:vAlign w:val="top"/>
          </w:tcPr>
          <w:p w14:paraId="72ABF9CD">
            <w:pPr>
              <w:spacing w:line="278" w:lineRule="auto"/>
              <w:rPr>
                <w:rFonts w:ascii="Arial"/>
                <w:sz w:val="21"/>
              </w:rPr>
            </w:pPr>
          </w:p>
          <w:p w14:paraId="7678828D">
            <w:pPr>
              <w:spacing w:line="279" w:lineRule="auto"/>
              <w:rPr>
                <w:rFonts w:ascii="Arial"/>
                <w:sz w:val="21"/>
              </w:rPr>
            </w:pPr>
          </w:p>
          <w:p w14:paraId="3DC2AAD9">
            <w:pPr>
              <w:spacing w:line="279" w:lineRule="auto"/>
              <w:rPr>
                <w:rFonts w:ascii="Arial"/>
                <w:sz w:val="21"/>
              </w:rPr>
            </w:pPr>
          </w:p>
          <w:p w14:paraId="56C4AC53">
            <w:pPr>
              <w:spacing w:line="279" w:lineRule="auto"/>
              <w:rPr>
                <w:rFonts w:ascii="Arial"/>
                <w:sz w:val="21"/>
              </w:rPr>
            </w:pPr>
          </w:p>
          <w:p w14:paraId="122EA4DF">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0BF3805">
            <w:pPr>
              <w:spacing w:line="299" w:lineRule="auto"/>
              <w:rPr>
                <w:rFonts w:ascii="Arial"/>
                <w:sz w:val="21"/>
              </w:rPr>
            </w:pPr>
          </w:p>
          <w:p w14:paraId="275D493A">
            <w:pPr>
              <w:spacing w:line="300" w:lineRule="auto"/>
              <w:rPr>
                <w:rFonts w:ascii="Arial"/>
                <w:sz w:val="21"/>
              </w:rPr>
            </w:pPr>
          </w:p>
          <w:p w14:paraId="7309DAF1">
            <w:pPr>
              <w:spacing w:line="300" w:lineRule="auto"/>
              <w:rPr>
                <w:rFonts w:ascii="Arial"/>
                <w:sz w:val="21"/>
              </w:rPr>
            </w:pPr>
          </w:p>
          <w:p w14:paraId="7EE05FB3">
            <w:pPr>
              <w:pStyle w:val="6"/>
              <w:spacing w:before="99" w:line="196" w:lineRule="auto"/>
              <w:ind w:left="145" w:right="105" w:hanging="28"/>
            </w:pPr>
            <w:r>
              <w:rPr>
                <w:spacing w:val="1"/>
              </w:rPr>
              <w:t>超出规定时限</w:t>
            </w:r>
            <w:r>
              <w:rPr>
                <w:rFonts w:ascii="宋体" w:hAnsi="宋体" w:eastAsia="宋体" w:cs="宋体"/>
                <w:spacing w:val="1"/>
              </w:rPr>
              <w:t>20</w:t>
            </w:r>
            <w:r>
              <w:rPr>
                <w:spacing w:val="1"/>
              </w:rPr>
              <w:t>日</w:t>
            </w:r>
            <w:r>
              <w:rPr>
                <w:spacing w:val="-3"/>
              </w:rPr>
              <w:t>以上的</w:t>
            </w:r>
          </w:p>
        </w:tc>
        <w:tc>
          <w:tcPr>
            <w:tcW w:w="2894" w:type="dxa"/>
            <w:vAlign w:val="top"/>
          </w:tcPr>
          <w:p w14:paraId="0571DE89">
            <w:pPr>
              <w:spacing w:line="299" w:lineRule="auto"/>
              <w:rPr>
                <w:rFonts w:ascii="Arial"/>
                <w:sz w:val="21"/>
              </w:rPr>
            </w:pPr>
          </w:p>
          <w:p w14:paraId="50165BB3">
            <w:pPr>
              <w:spacing w:line="300" w:lineRule="auto"/>
              <w:rPr>
                <w:rFonts w:ascii="Arial"/>
                <w:sz w:val="21"/>
              </w:rPr>
            </w:pPr>
          </w:p>
          <w:p w14:paraId="2F9AF134">
            <w:pPr>
              <w:spacing w:line="300" w:lineRule="auto"/>
              <w:rPr>
                <w:rFonts w:ascii="Arial"/>
                <w:sz w:val="21"/>
              </w:rPr>
            </w:pPr>
          </w:p>
          <w:p w14:paraId="5BE51C6B">
            <w:pPr>
              <w:pStyle w:val="6"/>
              <w:spacing w:before="99" w:line="196" w:lineRule="auto"/>
              <w:ind w:left="146" w:right="103" w:hanging="19"/>
            </w:pPr>
            <w:r>
              <w:rPr>
                <w:spacing w:val="4"/>
              </w:rPr>
              <w:t>责令限期申请，处</w:t>
            </w:r>
            <w:r>
              <w:rPr>
                <w:rFonts w:ascii="宋体" w:hAnsi="宋体" w:eastAsia="宋体" w:cs="宋体"/>
                <w:spacing w:val="4"/>
              </w:rPr>
              <w:t>2</w:t>
            </w:r>
            <w:r>
              <w:rPr>
                <w:spacing w:val="4"/>
              </w:rPr>
              <w:t>万元</w:t>
            </w:r>
            <w:r>
              <w:rPr>
                <w:spacing w:val="1"/>
              </w:rPr>
              <w:t>以上</w:t>
            </w:r>
            <w:r>
              <w:rPr>
                <w:rFonts w:ascii="宋体" w:hAnsi="宋体" w:eastAsia="宋体" w:cs="宋体"/>
                <w:spacing w:val="1"/>
              </w:rPr>
              <w:t>3</w:t>
            </w:r>
            <w:r>
              <w:rPr>
                <w:spacing w:val="1"/>
              </w:rPr>
              <w:t>万元以下的罚款</w:t>
            </w:r>
          </w:p>
        </w:tc>
        <w:tc>
          <w:tcPr>
            <w:tcW w:w="811" w:type="dxa"/>
            <w:vMerge w:val="continue"/>
            <w:tcBorders>
              <w:top w:val="nil"/>
            </w:tcBorders>
            <w:vAlign w:val="top"/>
          </w:tcPr>
          <w:p w14:paraId="3B64816A">
            <w:pPr>
              <w:rPr>
                <w:rFonts w:ascii="Arial"/>
                <w:sz w:val="21"/>
              </w:rPr>
            </w:pPr>
          </w:p>
        </w:tc>
      </w:tr>
    </w:tbl>
    <w:p w14:paraId="76B0D2F6">
      <w:pPr>
        <w:pStyle w:val="2"/>
      </w:pPr>
    </w:p>
    <w:p w14:paraId="09AA43AB">
      <w:pPr>
        <w:sectPr>
          <w:footerReference r:id="rId125" w:type="default"/>
          <w:pgSz w:w="16839" w:h="11906"/>
          <w:pgMar w:top="1012" w:right="821" w:bottom="667" w:left="901" w:header="0" w:footer="388" w:gutter="0"/>
          <w:cols w:space="720" w:num="1"/>
        </w:sectPr>
      </w:pPr>
    </w:p>
    <w:p w14:paraId="6B2CC9A2">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5876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3F69805D">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5304FDFC">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4A672F0">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484E8683">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7AE1F16">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794F364">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1FDB5D9D">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2E803CD">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7DCB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2" w:hRule="atLeast"/>
        </w:trPr>
        <w:tc>
          <w:tcPr>
            <w:tcW w:w="818" w:type="dxa"/>
            <w:vAlign w:val="top"/>
          </w:tcPr>
          <w:p w14:paraId="18B83AB9">
            <w:pPr>
              <w:rPr>
                <w:rFonts w:ascii="Arial"/>
                <w:sz w:val="21"/>
              </w:rPr>
            </w:pPr>
          </w:p>
        </w:tc>
        <w:tc>
          <w:tcPr>
            <w:tcW w:w="1440" w:type="dxa"/>
            <w:vAlign w:val="top"/>
          </w:tcPr>
          <w:p w14:paraId="50279A32">
            <w:pPr>
              <w:rPr>
                <w:rFonts w:ascii="Arial"/>
                <w:sz w:val="21"/>
              </w:rPr>
            </w:pPr>
          </w:p>
        </w:tc>
        <w:tc>
          <w:tcPr>
            <w:tcW w:w="3202" w:type="dxa"/>
            <w:vAlign w:val="top"/>
          </w:tcPr>
          <w:p w14:paraId="02EC21D0">
            <w:pPr>
              <w:pStyle w:val="6"/>
              <w:spacing w:before="29" w:line="182" w:lineRule="auto"/>
              <w:ind w:left="123" w:right="111" w:firstLine="3"/>
            </w:pPr>
            <w:r>
              <w:rPr>
                <w:spacing w:val="16"/>
              </w:rPr>
              <w:t>可办理安全生产许可证变更</w:t>
            </w:r>
            <w:r>
              <w:rPr>
                <w:spacing w:val="-6"/>
              </w:rPr>
              <w:t>手续。</w:t>
            </w:r>
          </w:p>
          <w:p w14:paraId="72F17D71">
            <w:pPr>
              <w:pStyle w:val="6"/>
              <w:spacing w:line="182" w:lineRule="auto"/>
              <w:ind w:left="120"/>
            </w:pPr>
            <w:r>
              <w:rPr>
                <w:spacing w:val="17"/>
              </w:rPr>
              <w:t>企业在安全生产许可证有效</w:t>
            </w:r>
          </w:p>
          <w:p w14:paraId="1D4BA53C">
            <w:pPr>
              <w:pStyle w:val="6"/>
              <w:spacing w:line="182" w:lineRule="auto"/>
              <w:ind w:left="125"/>
              <w:outlineLvl w:val="0"/>
            </w:pPr>
            <w:r>
              <w:rPr>
                <w:spacing w:val="13"/>
              </w:rPr>
              <w:t>期内变更隶属关系的，仅需</w:t>
            </w:r>
          </w:p>
          <w:p w14:paraId="0EEB02D3">
            <w:pPr>
              <w:pStyle w:val="6"/>
              <w:spacing w:before="1" w:line="182" w:lineRule="auto"/>
              <w:ind w:left="120" w:right="111" w:hanging="4"/>
            </w:pPr>
            <w:bookmarkStart w:id="522" w:name="bookmark209"/>
            <w:bookmarkEnd w:id="522"/>
            <w:r>
              <w:rPr>
                <w:spacing w:val="17"/>
              </w:rPr>
              <w:t>提交隶属关系变更证明材料</w:t>
            </w:r>
            <w:r>
              <w:rPr>
                <w:spacing w:val="3"/>
              </w:rPr>
              <w:t>报实施机关备案。</w:t>
            </w:r>
          </w:p>
          <w:p w14:paraId="474A4022">
            <w:pPr>
              <w:pStyle w:val="6"/>
              <w:spacing w:before="16" w:line="180" w:lineRule="auto"/>
              <w:ind w:left="116" w:right="110" w:firstLine="11"/>
              <w:jc w:val="both"/>
            </w:pPr>
            <w:r>
              <w:rPr>
                <w:spacing w:val="12"/>
              </w:rPr>
              <w:t>第三十一条：企业在安全生</w:t>
            </w:r>
            <w:r>
              <w:rPr>
                <w:spacing w:val="10"/>
              </w:rPr>
              <w:t>产许可证有效期内，当原生</w:t>
            </w:r>
            <w:r>
              <w:rPr>
                <w:spacing w:val="17"/>
              </w:rPr>
              <w:t>产装置新增产品或者改变工艺技术对企业的安全生产产</w:t>
            </w:r>
            <w:r>
              <w:rPr>
                <w:spacing w:val="13"/>
              </w:rPr>
              <w:t>生重大影响时，应当对该生</w:t>
            </w:r>
            <w:r>
              <w:rPr>
                <w:spacing w:val="17"/>
              </w:rPr>
              <w:t>产装置或者工艺技术进行专</w:t>
            </w:r>
            <w:r>
              <w:rPr>
                <w:spacing w:val="13"/>
              </w:rPr>
              <w:t>项安全评价，并对安全评价</w:t>
            </w:r>
            <w:r>
              <w:rPr>
                <w:spacing w:val="39"/>
              </w:rPr>
              <w:t>报告中提出的问题进行整</w:t>
            </w:r>
            <w:r>
              <w:rPr>
                <w:spacing w:val="7"/>
              </w:rPr>
              <w:t>改；在整改完成后，向原实</w:t>
            </w:r>
            <w:r>
              <w:rPr>
                <w:spacing w:val="13"/>
              </w:rPr>
              <w:t>施机关提出变更申请，提交</w:t>
            </w:r>
            <w:r>
              <w:rPr>
                <w:spacing w:val="17"/>
              </w:rPr>
              <w:t>安全评价报告。实施机关按照本办法第三十条的规定办</w:t>
            </w:r>
            <w:r>
              <w:rPr>
                <w:spacing w:val="1"/>
              </w:rPr>
              <w:t>理变更手续。</w:t>
            </w:r>
          </w:p>
        </w:tc>
        <w:tc>
          <w:tcPr>
            <w:tcW w:w="2859" w:type="dxa"/>
            <w:vAlign w:val="top"/>
          </w:tcPr>
          <w:p w14:paraId="467FC2A8">
            <w:pPr>
              <w:rPr>
                <w:rFonts w:ascii="Arial"/>
                <w:sz w:val="21"/>
              </w:rPr>
            </w:pPr>
          </w:p>
        </w:tc>
        <w:tc>
          <w:tcPr>
            <w:tcW w:w="803" w:type="dxa"/>
            <w:vAlign w:val="top"/>
          </w:tcPr>
          <w:p w14:paraId="3792D441">
            <w:pPr>
              <w:rPr>
                <w:rFonts w:ascii="Arial"/>
                <w:sz w:val="21"/>
              </w:rPr>
            </w:pPr>
          </w:p>
        </w:tc>
        <w:tc>
          <w:tcPr>
            <w:tcW w:w="2283" w:type="dxa"/>
            <w:vAlign w:val="top"/>
          </w:tcPr>
          <w:p w14:paraId="77EEBD88">
            <w:pPr>
              <w:rPr>
                <w:rFonts w:ascii="Arial"/>
                <w:sz w:val="21"/>
              </w:rPr>
            </w:pPr>
          </w:p>
        </w:tc>
        <w:tc>
          <w:tcPr>
            <w:tcW w:w="2894" w:type="dxa"/>
            <w:vAlign w:val="top"/>
          </w:tcPr>
          <w:p w14:paraId="64086E7F">
            <w:pPr>
              <w:rPr>
                <w:rFonts w:ascii="Arial"/>
                <w:sz w:val="21"/>
              </w:rPr>
            </w:pPr>
          </w:p>
        </w:tc>
        <w:tc>
          <w:tcPr>
            <w:tcW w:w="811" w:type="dxa"/>
            <w:vAlign w:val="top"/>
          </w:tcPr>
          <w:p w14:paraId="25626BB0">
            <w:pPr>
              <w:rPr>
                <w:rFonts w:ascii="Arial"/>
                <w:sz w:val="21"/>
              </w:rPr>
            </w:pPr>
          </w:p>
        </w:tc>
      </w:tr>
      <w:tr w14:paraId="6A0A4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818" w:type="dxa"/>
            <w:vMerge w:val="restart"/>
            <w:tcBorders>
              <w:bottom w:val="nil"/>
            </w:tcBorders>
            <w:vAlign w:val="top"/>
          </w:tcPr>
          <w:p w14:paraId="46D0565C">
            <w:pPr>
              <w:spacing w:line="264" w:lineRule="auto"/>
              <w:rPr>
                <w:rFonts w:ascii="Arial"/>
                <w:sz w:val="21"/>
              </w:rPr>
            </w:pPr>
          </w:p>
          <w:p w14:paraId="7CC8E4A2">
            <w:pPr>
              <w:spacing w:line="264" w:lineRule="auto"/>
              <w:rPr>
                <w:rFonts w:ascii="Arial"/>
                <w:sz w:val="21"/>
              </w:rPr>
            </w:pPr>
          </w:p>
          <w:p w14:paraId="3DF0C9AA">
            <w:pPr>
              <w:spacing w:line="265" w:lineRule="auto"/>
              <w:rPr>
                <w:rFonts w:ascii="Arial"/>
                <w:sz w:val="21"/>
              </w:rPr>
            </w:pPr>
          </w:p>
          <w:p w14:paraId="3884AE31">
            <w:pPr>
              <w:spacing w:line="265" w:lineRule="auto"/>
              <w:rPr>
                <w:rFonts w:ascii="Arial"/>
                <w:sz w:val="21"/>
              </w:rPr>
            </w:pPr>
          </w:p>
          <w:p w14:paraId="33C6513C">
            <w:pPr>
              <w:spacing w:line="265" w:lineRule="auto"/>
              <w:rPr>
                <w:rFonts w:ascii="Arial"/>
                <w:sz w:val="21"/>
              </w:rPr>
            </w:pPr>
          </w:p>
          <w:p w14:paraId="55335931">
            <w:pPr>
              <w:spacing w:line="265" w:lineRule="auto"/>
              <w:rPr>
                <w:rFonts w:ascii="Arial"/>
                <w:sz w:val="21"/>
              </w:rPr>
            </w:pPr>
          </w:p>
          <w:p w14:paraId="6032E4FE">
            <w:pPr>
              <w:spacing w:before="74" w:line="186" w:lineRule="auto"/>
              <w:ind w:left="161"/>
              <w:rPr>
                <w:rFonts w:ascii="仿宋" w:hAnsi="仿宋" w:eastAsia="仿宋" w:cs="仿宋"/>
                <w:sz w:val="23"/>
                <w:szCs w:val="23"/>
              </w:rPr>
            </w:pPr>
            <w:r>
              <w:rPr>
                <w:rFonts w:ascii="仿宋" w:hAnsi="仿宋" w:eastAsia="仿宋" w:cs="仿宋"/>
                <w:spacing w:val="-5"/>
                <w:sz w:val="23"/>
                <w:szCs w:val="23"/>
              </w:rPr>
              <w:t>101</w:t>
            </w:r>
          </w:p>
        </w:tc>
        <w:tc>
          <w:tcPr>
            <w:tcW w:w="1440" w:type="dxa"/>
            <w:vMerge w:val="restart"/>
            <w:tcBorders>
              <w:bottom w:val="nil"/>
            </w:tcBorders>
            <w:vAlign w:val="top"/>
          </w:tcPr>
          <w:p w14:paraId="24558998">
            <w:pPr>
              <w:spacing w:line="472" w:lineRule="auto"/>
              <w:rPr>
                <w:rFonts w:ascii="Arial"/>
                <w:sz w:val="21"/>
              </w:rPr>
            </w:pPr>
          </w:p>
          <w:p w14:paraId="71C896FE">
            <w:pPr>
              <w:pStyle w:val="6"/>
              <w:spacing w:before="99" w:line="186" w:lineRule="auto"/>
              <w:ind w:left="114" w:right="108"/>
              <w:jc w:val="both"/>
            </w:pPr>
            <w:r>
              <w:rPr>
                <w:spacing w:val="11"/>
              </w:rPr>
              <w:t>危险化学品</w:t>
            </w:r>
            <w:r>
              <w:rPr>
                <w:spacing w:val="12"/>
              </w:rPr>
              <w:t>生产企业未按规定时限</w:t>
            </w:r>
            <w:r>
              <w:rPr>
                <w:spacing w:val="11"/>
              </w:rPr>
              <w:t>提出安全生产许可证变更申请并且擅自投入运</w:t>
            </w:r>
            <w:r>
              <w:rPr>
                <w:spacing w:val="3"/>
              </w:rPr>
              <w:t>行的</w:t>
            </w:r>
          </w:p>
        </w:tc>
        <w:tc>
          <w:tcPr>
            <w:tcW w:w="3202" w:type="dxa"/>
            <w:vMerge w:val="restart"/>
            <w:tcBorders>
              <w:bottom w:val="nil"/>
            </w:tcBorders>
            <w:vAlign w:val="top"/>
          </w:tcPr>
          <w:p w14:paraId="44B5D6E2">
            <w:pPr>
              <w:pStyle w:val="6"/>
              <w:spacing w:before="28" w:line="185" w:lineRule="auto"/>
              <w:ind w:left="116" w:right="110" w:hanging="18"/>
              <w:jc w:val="both"/>
            </w:pPr>
            <w:r>
              <w:rPr>
                <w:spacing w:val="18"/>
              </w:rPr>
              <w:t>【部门规章】《危险化学品</w:t>
            </w:r>
            <w:r>
              <w:rPr>
                <w:spacing w:val="17"/>
              </w:rPr>
              <w:t>生产企业安全生产许可证实</w:t>
            </w:r>
            <w:r>
              <w:rPr>
                <w:spacing w:val="13"/>
              </w:rPr>
              <w:t>施办法》第三十二条：企业</w:t>
            </w:r>
            <w:r>
              <w:rPr>
                <w:spacing w:val="39"/>
              </w:rPr>
              <w:t>在安全生产许可证有效期</w:t>
            </w:r>
            <w:r>
              <w:rPr>
                <w:spacing w:val="13"/>
              </w:rPr>
              <w:t>内，有危险化学品新建、改</w:t>
            </w:r>
            <w:r>
              <w:rPr>
                <w:spacing w:val="17"/>
              </w:rPr>
              <w:t>建、扩建建设项目（以下简</w:t>
            </w:r>
            <w:r>
              <w:rPr>
                <w:spacing w:val="7"/>
              </w:rPr>
              <w:t>称建设项目）的，应当在建</w:t>
            </w:r>
            <w:r>
              <w:rPr>
                <w:spacing w:val="17"/>
              </w:rPr>
              <w:t>设项目安全设施竣工验收合</w:t>
            </w:r>
            <w:r>
              <w:rPr>
                <w:spacing w:val="5"/>
              </w:rPr>
              <w:t>格之日起</w:t>
            </w:r>
            <w:r>
              <w:rPr>
                <w:rFonts w:ascii="宋体" w:hAnsi="宋体" w:eastAsia="宋体" w:cs="宋体"/>
                <w:spacing w:val="5"/>
              </w:rPr>
              <w:t>10</w:t>
            </w:r>
            <w:r>
              <w:rPr>
                <w:spacing w:val="5"/>
              </w:rPr>
              <w:t>个工作日内向原</w:t>
            </w:r>
            <w:r>
              <w:rPr>
                <w:spacing w:val="13"/>
              </w:rPr>
              <w:t>实施机关提出变更申请，并</w:t>
            </w:r>
            <w:r>
              <w:rPr>
                <w:spacing w:val="17"/>
              </w:rPr>
              <w:t>提交建设项目安全设施竣工</w:t>
            </w:r>
          </w:p>
        </w:tc>
        <w:tc>
          <w:tcPr>
            <w:tcW w:w="2859" w:type="dxa"/>
            <w:vMerge w:val="restart"/>
            <w:tcBorders>
              <w:bottom w:val="nil"/>
            </w:tcBorders>
            <w:vAlign w:val="top"/>
          </w:tcPr>
          <w:p w14:paraId="39619B2D">
            <w:pPr>
              <w:pStyle w:val="6"/>
              <w:spacing w:before="28" w:line="185" w:lineRule="auto"/>
              <w:ind w:left="114" w:right="40" w:hanging="17"/>
              <w:jc w:val="both"/>
            </w:pPr>
            <w:r>
              <w:rPr>
                <w:spacing w:val="10"/>
              </w:rPr>
              <w:t>【部门规章】《危险化学</w:t>
            </w:r>
            <w:r>
              <w:rPr>
                <w:spacing w:val="8"/>
              </w:rPr>
              <w:t>品生产企业安全生产许可</w:t>
            </w:r>
            <w:r>
              <w:rPr>
                <w:spacing w:val="-6"/>
              </w:rPr>
              <w:t>证实施办法》第四十八条：</w:t>
            </w:r>
            <w:r>
              <w:rPr>
                <w:spacing w:val="8"/>
              </w:rPr>
              <w:t>企业在安全生产许可证有</w:t>
            </w:r>
            <w:r>
              <w:rPr>
                <w:spacing w:val="5"/>
              </w:rPr>
              <w:t>效期内，其危险化学品建</w:t>
            </w:r>
            <w:r>
              <w:rPr>
                <w:spacing w:val="8"/>
              </w:rPr>
              <w:t>设项目安全设施竣工验收</w:t>
            </w:r>
            <w:r>
              <w:rPr>
                <w:spacing w:val="4"/>
              </w:rPr>
              <w:t>合格后，未按照本办法第</w:t>
            </w:r>
            <w:r>
              <w:rPr>
                <w:spacing w:val="8"/>
              </w:rPr>
              <w:t>三十二条规定的时限提出安全生产许可证变更申请</w:t>
            </w:r>
            <w:r>
              <w:rPr>
                <w:spacing w:val="2"/>
              </w:rPr>
              <w:t>并且擅自投入运行的，责</w:t>
            </w:r>
            <w:r>
              <w:rPr>
                <w:spacing w:val="7"/>
              </w:rPr>
              <w:t>令停止生产，限期申请，</w:t>
            </w:r>
          </w:p>
        </w:tc>
        <w:tc>
          <w:tcPr>
            <w:tcW w:w="803" w:type="dxa"/>
            <w:vAlign w:val="top"/>
          </w:tcPr>
          <w:p w14:paraId="176B1B9F">
            <w:pPr>
              <w:spacing w:line="272" w:lineRule="auto"/>
              <w:rPr>
                <w:rFonts w:ascii="Arial"/>
                <w:sz w:val="21"/>
              </w:rPr>
            </w:pPr>
          </w:p>
          <w:p w14:paraId="77AAC86E">
            <w:pPr>
              <w:spacing w:line="273" w:lineRule="auto"/>
              <w:rPr>
                <w:rFonts w:ascii="Arial"/>
                <w:sz w:val="21"/>
              </w:rPr>
            </w:pPr>
          </w:p>
          <w:p w14:paraId="77FCBC9D">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77A255C">
            <w:pPr>
              <w:spacing w:line="329" w:lineRule="auto"/>
              <w:rPr>
                <w:rFonts w:ascii="Arial"/>
                <w:sz w:val="21"/>
              </w:rPr>
            </w:pPr>
          </w:p>
          <w:p w14:paraId="59CC8F9F">
            <w:pPr>
              <w:pStyle w:val="6"/>
              <w:spacing w:before="99" w:line="196" w:lineRule="auto"/>
              <w:ind w:left="145" w:right="105" w:hanging="28"/>
            </w:pPr>
            <w:r>
              <w:rPr>
                <w:spacing w:val="-2"/>
              </w:rPr>
              <w:t>超出规定时限</w:t>
            </w:r>
            <w:r>
              <w:rPr>
                <w:rFonts w:ascii="宋体" w:hAnsi="宋体" w:eastAsia="宋体" w:cs="宋体"/>
                <w:spacing w:val="-2"/>
              </w:rPr>
              <w:t>10</w:t>
            </w:r>
            <w:r>
              <w:rPr>
                <w:spacing w:val="-2"/>
              </w:rPr>
              <w:t>日</w:t>
            </w:r>
            <w:r>
              <w:rPr>
                <w:spacing w:val="-3"/>
              </w:rPr>
              <w:t>以内的</w:t>
            </w:r>
          </w:p>
        </w:tc>
        <w:tc>
          <w:tcPr>
            <w:tcW w:w="2894" w:type="dxa"/>
            <w:vAlign w:val="top"/>
          </w:tcPr>
          <w:p w14:paraId="4E34F696">
            <w:pPr>
              <w:pStyle w:val="6"/>
              <w:spacing w:before="132" w:line="189" w:lineRule="auto"/>
              <w:ind w:left="122" w:right="37" w:firstLine="4"/>
              <w:jc w:val="both"/>
            </w:pPr>
            <w:r>
              <w:rPr>
                <w:spacing w:val="-4"/>
              </w:rPr>
              <w:t>责令停止生产，限期申请，</w:t>
            </w:r>
            <w:r>
              <w:rPr>
                <w:spacing w:val="2"/>
              </w:rPr>
              <w:t>没收违法所得，并处</w:t>
            </w:r>
            <w:r>
              <w:rPr>
                <w:rFonts w:ascii="宋体" w:hAnsi="宋体" w:eastAsia="宋体" w:cs="宋体"/>
                <w:spacing w:val="2"/>
              </w:rPr>
              <w:t>1</w:t>
            </w:r>
            <w:r>
              <w:rPr>
                <w:spacing w:val="2"/>
              </w:rPr>
              <w:t>万</w:t>
            </w:r>
            <w:r>
              <w:rPr>
                <w:spacing w:val="5"/>
              </w:rPr>
              <w:t>元以上</w:t>
            </w:r>
            <w:r>
              <w:rPr>
                <w:rFonts w:ascii="宋体" w:hAnsi="宋体" w:eastAsia="宋体" w:cs="宋体"/>
                <w:spacing w:val="5"/>
              </w:rPr>
              <w:t>1.5</w:t>
            </w:r>
            <w:r>
              <w:rPr>
                <w:spacing w:val="5"/>
              </w:rPr>
              <w:t>万元以下的罚</w:t>
            </w:r>
            <w:r>
              <w:t>款</w:t>
            </w:r>
          </w:p>
        </w:tc>
        <w:tc>
          <w:tcPr>
            <w:tcW w:w="811" w:type="dxa"/>
            <w:vMerge w:val="restart"/>
            <w:tcBorders>
              <w:bottom w:val="nil"/>
            </w:tcBorders>
            <w:vAlign w:val="top"/>
          </w:tcPr>
          <w:p w14:paraId="3AF7268A">
            <w:pPr>
              <w:spacing w:line="264" w:lineRule="auto"/>
              <w:rPr>
                <w:rFonts w:ascii="Arial"/>
                <w:sz w:val="21"/>
              </w:rPr>
            </w:pPr>
          </w:p>
          <w:p w14:paraId="076FC518">
            <w:pPr>
              <w:spacing w:line="264" w:lineRule="auto"/>
              <w:rPr>
                <w:rFonts w:ascii="Arial"/>
                <w:sz w:val="21"/>
              </w:rPr>
            </w:pPr>
          </w:p>
          <w:p w14:paraId="5AA86952">
            <w:pPr>
              <w:spacing w:line="264" w:lineRule="auto"/>
              <w:rPr>
                <w:rFonts w:ascii="Arial"/>
                <w:sz w:val="21"/>
              </w:rPr>
            </w:pPr>
          </w:p>
          <w:p w14:paraId="6E9294CB">
            <w:pPr>
              <w:spacing w:line="264" w:lineRule="auto"/>
              <w:rPr>
                <w:rFonts w:ascii="Arial"/>
                <w:sz w:val="21"/>
              </w:rPr>
            </w:pPr>
          </w:p>
          <w:p w14:paraId="5D123918">
            <w:pPr>
              <w:spacing w:line="264" w:lineRule="auto"/>
              <w:rPr>
                <w:rFonts w:ascii="Arial"/>
                <w:sz w:val="21"/>
              </w:rPr>
            </w:pPr>
          </w:p>
          <w:p w14:paraId="2C066A8B">
            <w:pPr>
              <w:spacing w:line="265" w:lineRule="auto"/>
              <w:rPr>
                <w:rFonts w:ascii="Arial"/>
                <w:sz w:val="21"/>
              </w:rPr>
            </w:pPr>
          </w:p>
          <w:p w14:paraId="2296EF2B">
            <w:pPr>
              <w:spacing w:before="75" w:line="188" w:lineRule="auto"/>
              <w:ind w:left="296"/>
              <w:rPr>
                <w:rFonts w:ascii="宋体" w:hAnsi="宋体" w:eastAsia="宋体" w:cs="宋体"/>
                <w:sz w:val="23"/>
                <w:szCs w:val="23"/>
              </w:rPr>
            </w:pPr>
            <w:r>
              <w:rPr>
                <w:rFonts w:ascii="宋体" w:hAnsi="宋体" w:eastAsia="宋体" w:cs="宋体"/>
                <w:spacing w:val="-5"/>
                <w:sz w:val="23"/>
                <w:szCs w:val="23"/>
              </w:rPr>
              <w:t>73</w:t>
            </w:r>
          </w:p>
        </w:tc>
      </w:tr>
      <w:tr w14:paraId="59B44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2" w:hRule="atLeast"/>
        </w:trPr>
        <w:tc>
          <w:tcPr>
            <w:tcW w:w="818" w:type="dxa"/>
            <w:vMerge w:val="continue"/>
            <w:tcBorders>
              <w:top w:val="nil"/>
              <w:bottom w:val="nil"/>
            </w:tcBorders>
            <w:vAlign w:val="top"/>
          </w:tcPr>
          <w:p w14:paraId="1CB08276">
            <w:pPr>
              <w:rPr>
                <w:rFonts w:ascii="Arial"/>
                <w:sz w:val="21"/>
              </w:rPr>
            </w:pPr>
          </w:p>
        </w:tc>
        <w:tc>
          <w:tcPr>
            <w:tcW w:w="1440" w:type="dxa"/>
            <w:vMerge w:val="continue"/>
            <w:tcBorders>
              <w:top w:val="nil"/>
              <w:bottom w:val="nil"/>
            </w:tcBorders>
            <w:vAlign w:val="top"/>
          </w:tcPr>
          <w:p w14:paraId="2A6038A8">
            <w:pPr>
              <w:rPr>
                <w:rFonts w:ascii="Arial"/>
                <w:sz w:val="21"/>
              </w:rPr>
            </w:pPr>
          </w:p>
        </w:tc>
        <w:tc>
          <w:tcPr>
            <w:tcW w:w="3202" w:type="dxa"/>
            <w:vMerge w:val="continue"/>
            <w:tcBorders>
              <w:top w:val="nil"/>
              <w:bottom w:val="nil"/>
            </w:tcBorders>
            <w:vAlign w:val="top"/>
          </w:tcPr>
          <w:p w14:paraId="6EDEB638">
            <w:pPr>
              <w:rPr>
                <w:rFonts w:ascii="Arial"/>
                <w:sz w:val="21"/>
              </w:rPr>
            </w:pPr>
          </w:p>
        </w:tc>
        <w:tc>
          <w:tcPr>
            <w:tcW w:w="2859" w:type="dxa"/>
            <w:vMerge w:val="continue"/>
            <w:tcBorders>
              <w:top w:val="nil"/>
              <w:bottom w:val="nil"/>
            </w:tcBorders>
            <w:vAlign w:val="top"/>
          </w:tcPr>
          <w:p w14:paraId="1F055C56">
            <w:pPr>
              <w:rPr>
                <w:rFonts w:ascii="Arial"/>
                <w:sz w:val="21"/>
              </w:rPr>
            </w:pPr>
          </w:p>
        </w:tc>
        <w:tc>
          <w:tcPr>
            <w:tcW w:w="803" w:type="dxa"/>
            <w:vAlign w:val="top"/>
          </w:tcPr>
          <w:p w14:paraId="54BC744F">
            <w:pPr>
              <w:spacing w:line="292" w:lineRule="auto"/>
              <w:rPr>
                <w:rFonts w:ascii="Arial"/>
                <w:sz w:val="21"/>
              </w:rPr>
            </w:pPr>
          </w:p>
          <w:p w14:paraId="69D35F9F">
            <w:pPr>
              <w:spacing w:line="292" w:lineRule="auto"/>
              <w:rPr>
                <w:rFonts w:ascii="Arial"/>
                <w:sz w:val="21"/>
              </w:rPr>
            </w:pPr>
          </w:p>
          <w:p w14:paraId="08050607">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B9485D0">
            <w:pPr>
              <w:spacing w:line="364" w:lineRule="auto"/>
              <w:rPr>
                <w:rFonts w:ascii="Arial"/>
                <w:sz w:val="21"/>
              </w:rPr>
            </w:pPr>
          </w:p>
          <w:p w14:paraId="1FF068E5">
            <w:pPr>
              <w:pStyle w:val="6"/>
              <w:spacing w:before="99" w:line="196" w:lineRule="auto"/>
              <w:ind w:left="145" w:right="105" w:hanging="28"/>
            </w:pPr>
            <w:r>
              <w:rPr>
                <w:spacing w:val="-2"/>
              </w:rPr>
              <w:t>超出规定时限</w:t>
            </w:r>
            <w:r>
              <w:rPr>
                <w:rFonts w:ascii="宋体" w:hAnsi="宋体" w:eastAsia="宋体" w:cs="宋体"/>
                <w:spacing w:val="-2"/>
              </w:rPr>
              <w:t>10</w:t>
            </w:r>
            <w:r>
              <w:rPr>
                <w:spacing w:val="-2"/>
              </w:rPr>
              <w:t>日</w:t>
            </w:r>
            <w:r>
              <w:rPr>
                <w:spacing w:val="-5"/>
              </w:rPr>
              <w:t>以上</w:t>
            </w:r>
            <w:r>
              <w:rPr>
                <w:rFonts w:ascii="宋体" w:hAnsi="宋体" w:eastAsia="宋体" w:cs="宋体"/>
                <w:spacing w:val="-5"/>
              </w:rPr>
              <w:t>20</w:t>
            </w:r>
            <w:r>
              <w:rPr>
                <w:spacing w:val="-5"/>
              </w:rPr>
              <w:t>日以内的</w:t>
            </w:r>
          </w:p>
        </w:tc>
        <w:tc>
          <w:tcPr>
            <w:tcW w:w="2894" w:type="dxa"/>
            <w:vAlign w:val="top"/>
          </w:tcPr>
          <w:p w14:paraId="367F1D65">
            <w:pPr>
              <w:pStyle w:val="6"/>
              <w:spacing w:before="167" w:line="189" w:lineRule="auto"/>
              <w:ind w:left="122" w:right="37" w:firstLine="4"/>
              <w:jc w:val="both"/>
            </w:pPr>
            <w:r>
              <w:rPr>
                <w:spacing w:val="-4"/>
              </w:rPr>
              <w:t>责令停止生产，限期申请，</w:t>
            </w:r>
            <w:r>
              <w:rPr>
                <w:spacing w:val="7"/>
              </w:rPr>
              <w:t>没收违法所得，并处</w:t>
            </w:r>
            <w:r>
              <w:rPr>
                <w:rFonts w:ascii="宋体" w:hAnsi="宋体" w:eastAsia="宋体" w:cs="宋体"/>
                <w:spacing w:val="7"/>
              </w:rPr>
              <w:t>1.5</w:t>
            </w:r>
            <w:r>
              <w:rPr>
                <w:spacing w:val="7"/>
              </w:rPr>
              <w:t>万元以上</w:t>
            </w:r>
            <w:r>
              <w:rPr>
                <w:rFonts w:ascii="宋体" w:hAnsi="宋体" w:eastAsia="宋体" w:cs="宋体"/>
                <w:spacing w:val="7"/>
              </w:rPr>
              <w:t>2</w:t>
            </w:r>
            <w:r>
              <w:rPr>
                <w:spacing w:val="7"/>
              </w:rPr>
              <w:t>万元以下的罚</w:t>
            </w:r>
            <w:r>
              <w:t>款</w:t>
            </w:r>
          </w:p>
        </w:tc>
        <w:tc>
          <w:tcPr>
            <w:tcW w:w="811" w:type="dxa"/>
            <w:vMerge w:val="continue"/>
            <w:tcBorders>
              <w:top w:val="nil"/>
              <w:bottom w:val="nil"/>
            </w:tcBorders>
            <w:vAlign w:val="top"/>
          </w:tcPr>
          <w:p w14:paraId="76A1D8B3">
            <w:pPr>
              <w:rPr>
                <w:rFonts w:ascii="Arial"/>
                <w:sz w:val="21"/>
              </w:rPr>
            </w:pPr>
          </w:p>
        </w:tc>
      </w:tr>
      <w:tr w14:paraId="3D9AE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18" w:type="dxa"/>
            <w:vMerge w:val="continue"/>
            <w:tcBorders>
              <w:top w:val="nil"/>
            </w:tcBorders>
            <w:vAlign w:val="top"/>
          </w:tcPr>
          <w:p w14:paraId="7829D67E">
            <w:pPr>
              <w:rPr>
                <w:rFonts w:ascii="Arial"/>
                <w:sz w:val="21"/>
              </w:rPr>
            </w:pPr>
          </w:p>
        </w:tc>
        <w:tc>
          <w:tcPr>
            <w:tcW w:w="1440" w:type="dxa"/>
            <w:vMerge w:val="continue"/>
            <w:tcBorders>
              <w:top w:val="nil"/>
            </w:tcBorders>
            <w:vAlign w:val="top"/>
          </w:tcPr>
          <w:p w14:paraId="5341ECB5">
            <w:pPr>
              <w:rPr>
                <w:rFonts w:ascii="Arial"/>
                <w:sz w:val="21"/>
              </w:rPr>
            </w:pPr>
          </w:p>
        </w:tc>
        <w:tc>
          <w:tcPr>
            <w:tcW w:w="3202" w:type="dxa"/>
            <w:vMerge w:val="continue"/>
            <w:tcBorders>
              <w:top w:val="nil"/>
            </w:tcBorders>
            <w:vAlign w:val="top"/>
          </w:tcPr>
          <w:p w14:paraId="5757F620">
            <w:pPr>
              <w:rPr>
                <w:rFonts w:ascii="Arial"/>
                <w:sz w:val="21"/>
              </w:rPr>
            </w:pPr>
          </w:p>
        </w:tc>
        <w:tc>
          <w:tcPr>
            <w:tcW w:w="2859" w:type="dxa"/>
            <w:vMerge w:val="continue"/>
            <w:tcBorders>
              <w:top w:val="nil"/>
            </w:tcBorders>
            <w:vAlign w:val="top"/>
          </w:tcPr>
          <w:p w14:paraId="6F02DF93">
            <w:pPr>
              <w:rPr>
                <w:rFonts w:ascii="Arial"/>
                <w:sz w:val="21"/>
              </w:rPr>
            </w:pPr>
          </w:p>
        </w:tc>
        <w:tc>
          <w:tcPr>
            <w:tcW w:w="803" w:type="dxa"/>
            <w:vAlign w:val="top"/>
          </w:tcPr>
          <w:p w14:paraId="67A7EA85">
            <w:pPr>
              <w:spacing w:before="228"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231B2BA7">
            <w:pPr>
              <w:pStyle w:val="6"/>
              <w:spacing w:before="32" w:line="172" w:lineRule="auto"/>
              <w:ind w:left="145" w:right="105" w:hanging="28"/>
            </w:pPr>
            <w:r>
              <w:rPr>
                <w:spacing w:val="1"/>
              </w:rPr>
              <w:t>超出规定时限</w:t>
            </w:r>
            <w:r>
              <w:rPr>
                <w:rFonts w:ascii="宋体" w:hAnsi="宋体" w:eastAsia="宋体" w:cs="宋体"/>
                <w:spacing w:val="1"/>
              </w:rPr>
              <w:t>20</w:t>
            </w:r>
            <w:r>
              <w:rPr>
                <w:spacing w:val="1"/>
              </w:rPr>
              <w:t>日</w:t>
            </w:r>
            <w:r>
              <w:rPr>
                <w:spacing w:val="-3"/>
              </w:rPr>
              <w:t>以上的</w:t>
            </w:r>
          </w:p>
        </w:tc>
        <w:tc>
          <w:tcPr>
            <w:tcW w:w="2894" w:type="dxa"/>
            <w:vAlign w:val="top"/>
          </w:tcPr>
          <w:p w14:paraId="7E9CC4D6">
            <w:pPr>
              <w:pStyle w:val="6"/>
              <w:spacing w:before="32" w:line="172" w:lineRule="auto"/>
              <w:ind w:left="128" w:right="37" w:hanging="1"/>
            </w:pPr>
            <w:r>
              <w:rPr>
                <w:spacing w:val="-4"/>
              </w:rPr>
              <w:t>责令停止生产，限期申请，</w:t>
            </w:r>
            <w:r>
              <w:rPr>
                <w:spacing w:val="5"/>
              </w:rPr>
              <w:t>没收违法所得，并处</w:t>
            </w:r>
            <w:r>
              <w:rPr>
                <w:rFonts w:ascii="宋体" w:hAnsi="宋体" w:eastAsia="宋体" w:cs="宋体"/>
                <w:spacing w:val="5"/>
              </w:rPr>
              <w:t>2</w:t>
            </w:r>
            <w:r>
              <w:rPr>
                <w:spacing w:val="5"/>
              </w:rPr>
              <w:t>万</w:t>
            </w:r>
          </w:p>
        </w:tc>
        <w:tc>
          <w:tcPr>
            <w:tcW w:w="811" w:type="dxa"/>
            <w:vMerge w:val="continue"/>
            <w:tcBorders>
              <w:top w:val="nil"/>
            </w:tcBorders>
            <w:vAlign w:val="top"/>
          </w:tcPr>
          <w:p w14:paraId="58783166">
            <w:pPr>
              <w:rPr>
                <w:rFonts w:ascii="Arial"/>
                <w:sz w:val="21"/>
              </w:rPr>
            </w:pPr>
          </w:p>
        </w:tc>
      </w:tr>
    </w:tbl>
    <w:p w14:paraId="687F60BE">
      <w:pPr>
        <w:pStyle w:val="2"/>
        <w:spacing w:line="151" w:lineRule="exact"/>
        <w:rPr>
          <w:sz w:val="13"/>
        </w:rPr>
      </w:pPr>
    </w:p>
    <w:p w14:paraId="012DC55F">
      <w:pPr>
        <w:spacing w:line="151" w:lineRule="exact"/>
        <w:rPr>
          <w:sz w:val="13"/>
          <w:szCs w:val="13"/>
        </w:rPr>
        <w:sectPr>
          <w:footerReference r:id="rId126" w:type="default"/>
          <w:pgSz w:w="16839" w:h="11906"/>
          <w:pgMar w:top="1012" w:right="821" w:bottom="667" w:left="901" w:header="0" w:footer="388" w:gutter="0"/>
          <w:cols w:space="720" w:num="1"/>
        </w:sectPr>
      </w:pPr>
    </w:p>
    <w:p w14:paraId="2769F046">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2E9C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68C6FA3">
            <w:pPr>
              <w:spacing w:before="222" w:line="241" w:lineRule="auto"/>
              <w:ind w:left="131"/>
              <w:outlineLvl w:val="0"/>
              <w:rPr>
                <w:rFonts w:ascii="黑体" w:hAnsi="黑体" w:eastAsia="黑体" w:cs="黑体"/>
                <w:sz w:val="28"/>
                <w:szCs w:val="28"/>
              </w:rPr>
            </w:pPr>
            <w:bookmarkStart w:id="523" w:name="bookmark210"/>
            <w:bookmarkEnd w:id="523"/>
            <w:r>
              <w:rPr>
                <w:rFonts w:ascii="黑体" w:hAnsi="黑体" w:eastAsia="黑体" w:cs="黑体"/>
                <w:spacing w:val="-2"/>
                <w:sz w:val="28"/>
                <w:szCs w:val="28"/>
              </w:rPr>
              <w:t>序号</w:t>
            </w:r>
          </w:p>
        </w:tc>
        <w:tc>
          <w:tcPr>
            <w:tcW w:w="1440" w:type="dxa"/>
            <w:vAlign w:val="top"/>
          </w:tcPr>
          <w:p w14:paraId="0E091C28">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9369BB8">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4F61C0C">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08EFD718">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F614BD0">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4FE38C7">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2DD5F2F">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6452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Align w:val="top"/>
          </w:tcPr>
          <w:p w14:paraId="70082BD6">
            <w:pPr>
              <w:rPr>
                <w:rFonts w:ascii="Arial"/>
                <w:sz w:val="21"/>
              </w:rPr>
            </w:pPr>
          </w:p>
        </w:tc>
        <w:tc>
          <w:tcPr>
            <w:tcW w:w="1440" w:type="dxa"/>
            <w:vAlign w:val="top"/>
          </w:tcPr>
          <w:p w14:paraId="5F71BA53">
            <w:pPr>
              <w:rPr>
                <w:rFonts w:ascii="Arial"/>
                <w:sz w:val="21"/>
              </w:rPr>
            </w:pPr>
          </w:p>
        </w:tc>
        <w:tc>
          <w:tcPr>
            <w:tcW w:w="3202" w:type="dxa"/>
            <w:vAlign w:val="top"/>
          </w:tcPr>
          <w:p w14:paraId="44EC8277">
            <w:pPr>
              <w:pStyle w:val="6"/>
              <w:spacing w:before="29" w:line="177" w:lineRule="auto"/>
              <w:ind w:left="122" w:right="26" w:hanging="4"/>
              <w:jc w:val="both"/>
            </w:pPr>
            <w:r>
              <w:rPr>
                <w:spacing w:val="4"/>
              </w:rPr>
              <w:t>验收报告等相关文件、资料。</w:t>
            </w:r>
            <w:r>
              <w:rPr>
                <w:spacing w:val="16"/>
              </w:rPr>
              <w:t>实施机关按照本办法第二十七条、第二十八条和第二十</w:t>
            </w:r>
            <w:r>
              <w:rPr>
                <w:spacing w:val="5"/>
              </w:rPr>
              <w:t>九条的规定办理变更手续。</w:t>
            </w:r>
          </w:p>
        </w:tc>
        <w:tc>
          <w:tcPr>
            <w:tcW w:w="2859" w:type="dxa"/>
            <w:vAlign w:val="top"/>
          </w:tcPr>
          <w:p w14:paraId="7A59E737">
            <w:pPr>
              <w:pStyle w:val="6"/>
              <w:spacing w:before="30" w:line="191" w:lineRule="auto"/>
              <w:ind w:left="120" w:right="105" w:firstLine="6"/>
              <w:jc w:val="both"/>
            </w:pPr>
            <w:r>
              <w:rPr>
                <w:spacing w:val="2"/>
              </w:rPr>
              <w:t>没收违法所得，并处</w:t>
            </w:r>
            <w:r>
              <w:rPr>
                <w:rFonts w:ascii="宋体" w:hAnsi="宋体" w:eastAsia="宋体" w:cs="宋体"/>
                <w:spacing w:val="2"/>
              </w:rPr>
              <w:t>1</w:t>
            </w:r>
            <w:r>
              <w:rPr>
                <w:spacing w:val="2"/>
              </w:rPr>
              <w:t>万</w:t>
            </w:r>
            <w:r>
              <w:rPr>
                <w:spacing w:val="19"/>
              </w:rPr>
              <w:t>元以上</w:t>
            </w:r>
            <w:r>
              <w:rPr>
                <w:rFonts w:ascii="宋体" w:hAnsi="宋体" w:eastAsia="宋体" w:cs="宋体"/>
                <w:spacing w:val="19"/>
              </w:rPr>
              <w:t>3</w:t>
            </w:r>
            <w:r>
              <w:rPr>
                <w:spacing w:val="19"/>
              </w:rPr>
              <w:t>万元以下的罚</w:t>
            </w:r>
            <w:r>
              <w:rPr>
                <w:spacing w:val="-8"/>
              </w:rPr>
              <w:t>款。</w:t>
            </w:r>
          </w:p>
        </w:tc>
        <w:tc>
          <w:tcPr>
            <w:tcW w:w="803" w:type="dxa"/>
            <w:vAlign w:val="top"/>
          </w:tcPr>
          <w:p w14:paraId="77CA9425">
            <w:pPr>
              <w:rPr>
                <w:rFonts w:ascii="Arial"/>
                <w:sz w:val="21"/>
              </w:rPr>
            </w:pPr>
          </w:p>
        </w:tc>
        <w:tc>
          <w:tcPr>
            <w:tcW w:w="2283" w:type="dxa"/>
            <w:vAlign w:val="top"/>
          </w:tcPr>
          <w:p w14:paraId="3AFCD7CD">
            <w:pPr>
              <w:rPr>
                <w:rFonts w:ascii="Arial"/>
                <w:sz w:val="21"/>
              </w:rPr>
            </w:pPr>
          </w:p>
        </w:tc>
        <w:tc>
          <w:tcPr>
            <w:tcW w:w="2894" w:type="dxa"/>
            <w:vAlign w:val="top"/>
          </w:tcPr>
          <w:p w14:paraId="09A3113A">
            <w:pPr>
              <w:pStyle w:val="6"/>
              <w:spacing w:before="27" w:line="209" w:lineRule="auto"/>
              <w:ind w:left="124"/>
            </w:pPr>
            <w:r>
              <w:rPr>
                <w:spacing w:val="4"/>
              </w:rPr>
              <w:t>元以上</w:t>
            </w:r>
            <w:r>
              <w:rPr>
                <w:rFonts w:ascii="宋体" w:hAnsi="宋体" w:eastAsia="宋体" w:cs="宋体"/>
                <w:spacing w:val="4"/>
              </w:rPr>
              <w:t>3</w:t>
            </w:r>
            <w:r>
              <w:rPr>
                <w:spacing w:val="4"/>
              </w:rPr>
              <w:t>万元以下的罚款</w:t>
            </w:r>
          </w:p>
        </w:tc>
        <w:tc>
          <w:tcPr>
            <w:tcW w:w="811" w:type="dxa"/>
            <w:vAlign w:val="top"/>
          </w:tcPr>
          <w:p w14:paraId="655061DC">
            <w:pPr>
              <w:rPr>
                <w:rFonts w:ascii="Arial"/>
                <w:sz w:val="21"/>
              </w:rPr>
            </w:pPr>
          </w:p>
        </w:tc>
      </w:tr>
      <w:tr w14:paraId="3DFA3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4" w:hRule="atLeast"/>
        </w:trPr>
        <w:tc>
          <w:tcPr>
            <w:tcW w:w="818" w:type="dxa"/>
            <w:vMerge w:val="restart"/>
            <w:tcBorders>
              <w:bottom w:val="nil"/>
            </w:tcBorders>
            <w:vAlign w:val="top"/>
          </w:tcPr>
          <w:p w14:paraId="0A7A39F5">
            <w:pPr>
              <w:spacing w:line="248" w:lineRule="auto"/>
              <w:rPr>
                <w:rFonts w:ascii="Arial"/>
                <w:sz w:val="21"/>
              </w:rPr>
            </w:pPr>
          </w:p>
          <w:p w14:paraId="21576BF8">
            <w:pPr>
              <w:spacing w:line="248" w:lineRule="auto"/>
              <w:rPr>
                <w:rFonts w:ascii="Arial"/>
                <w:sz w:val="21"/>
              </w:rPr>
            </w:pPr>
          </w:p>
          <w:p w14:paraId="230401BF">
            <w:pPr>
              <w:spacing w:line="248" w:lineRule="auto"/>
              <w:rPr>
                <w:rFonts w:ascii="Arial"/>
                <w:sz w:val="21"/>
              </w:rPr>
            </w:pPr>
          </w:p>
          <w:p w14:paraId="2727929E">
            <w:pPr>
              <w:spacing w:line="248" w:lineRule="auto"/>
              <w:rPr>
                <w:rFonts w:ascii="Arial"/>
                <w:sz w:val="21"/>
              </w:rPr>
            </w:pPr>
          </w:p>
          <w:p w14:paraId="58B75B78">
            <w:pPr>
              <w:spacing w:line="248" w:lineRule="auto"/>
              <w:rPr>
                <w:rFonts w:ascii="Arial"/>
                <w:sz w:val="21"/>
              </w:rPr>
            </w:pPr>
          </w:p>
          <w:p w14:paraId="2B3803F7">
            <w:pPr>
              <w:spacing w:line="248" w:lineRule="auto"/>
              <w:rPr>
                <w:rFonts w:ascii="Arial"/>
                <w:sz w:val="21"/>
              </w:rPr>
            </w:pPr>
          </w:p>
          <w:p w14:paraId="0222C0A4">
            <w:pPr>
              <w:spacing w:line="248" w:lineRule="auto"/>
              <w:rPr>
                <w:rFonts w:ascii="Arial"/>
                <w:sz w:val="21"/>
              </w:rPr>
            </w:pPr>
          </w:p>
          <w:p w14:paraId="67F7AC5B">
            <w:pPr>
              <w:spacing w:line="249" w:lineRule="auto"/>
              <w:rPr>
                <w:rFonts w:ascii="Arial"/>
                <w:sz w:val="21"/>
              </w:rPr>
            </w:pPr>
          </w:p>
          <w:p w14:paraId="167AA04D">
            <w:pPr>
              <w:spacing w:line="249" w:lineRule="auto"/>
              <w:rPr>
                <w:rFonts w:ascii="Arial"/>
                <w:sz w:val="21"/>
              </w:rPr>
            </w:pPr>
          </w:p>
          <w:p w14:paraId="373C8F85">
            <w:pPr>
              <w:spacing w:line="249" w:lineRule="auto"/>
              <w:rPr>
                <w:rFonts w:ascii="Arial"/>
                <w:sz w:val="21"/>
              </w:rPr>
            </w:pPr>
          </w:p>
          <w:p w14:paraId="4B741715">
            <w:pPr>
              <w:spacing w:line="249" w:lineRule="auto"/>
              <w:rPr>
                <w:rFonts w:ascii="Arial"/>
                <w:sz w:val="21"/>
              </w:rPr>
            </w:pPr>
          </w:p>
          <w:p w14:paraId="27B2E1A2">
            <w:pPr>
              <w:spacing w:line="249" w:lineRule="auto"/>
              <w:rPr>
                <w:rFonts w:ascii="Arial"/>
                <w:sz w:val="21"/>
              </w:rPr>
            </w:pPr>
          </w:p>
          <w:p w14:paraId="5E073ACE">
            <w:pPr>
              <w:spacing w:line="249" w:lineRule="auto"/>
              <w:rPr>
                <w:rFonts w:ascii="Arial"/>
                <w:sz w:val="21"/>
              </w:rPr>
            </w:pPr>
          </w:p>
          <w:p w14:paraId="5ADEC760">
            <w:pPr>
              <w:spacing w:line="249" w:lineRule="auto"/>
              <w:rPr>
                <w:rFonts w:ascii="Arial"/>
                <w:sz w:val="21"/>
              </w:rPr>
            </w:pPr>
          </w:p>
          <w:p w14:paraId="33DB12D8">
            <w:pPr>
              <w:spacing w:line="249" w:lineRule="auto"/>
              <w:rPr>
                <w:rFonts w:ascii="Arial"/>
                <w:sz w:val="21"/>
              </w:rPr>
            </w:pPr>
          </w:p>
          <w:p w14:paraId="09268D62">
            <w:pPr>
              <w:spacing w:before="75" w:line="186" w:lineRule="auto"/>
              <w:ind w:left="161"/>
              <w:rPr>
                <w:rFonts w:ascii="仿宋" w:hAnsi="仿宋" w:eastAsia="仿宋" w:cs="仿宋"/>
                <w:sz w:val="23"/>
                <w:szCs w:val="23"/>
              </w:rPr>
            </w:pPr>
            <w:r>
              <w:rPr>
                <w:rFonts w:ascii="仿宋" w:hAnsi="仿宋" w:eastAsia="仿宋" w:cs="仿宋"/>
                <w:spacing w:val="-5"/>
                <w:sz w:val="23"/>
                <w:szCs w:val="23"/>
              </w:rPr>
              <w:t>102</w:t>
            </w:r>
          </w:p>
        </w:tc>
        <w:tc>
          <w:tcPr>
            <w:tcW w:w="1440" w:type="dxa"/>
            <w:vMerge w:val="restart"/>
            <w:tcBorders>
              <w:bottom w:val="nil"/>
            </w:tcBorders>
            <w:vAlign w:val="top"/>
          </w:tcPr>
          <w:p w14:paraId="0A364B9A">
            <w:pPr>
              <w:spacing w:line="255" w:lineRule="auto"/>
              <w:rPr>
                <w:rFonts w:ascii="Arial"/>
                <w:sz w:val="21"/>
              </w:rPr>
            </w:pPr>
          </w:p>
          <w:p w14:paraId="3AC9939A">
            <w:pPr>
              <w:spacing w:line="255" w:lineRule="auto"/>
              <w:rPr>
                <w:rFonts w:ascii="Arial"/>
                <w:sz w:val="21"/>
              </w:rPr>
            </w:pPr>
          </w:p>
          <w:p w14:paraId="49D48C1D">
            <w:pPr>
              <w:spacing w:line="255" w:lineRule="auto"/>
              <w:rPr>
                <w:rFonts w:ascii="Arial"/>
                <w:sz w:val="21"/>
              </w:rPr>
            </w:pPr>
          </w:p>
          <w:p w14:paraId="6B9961F8">
            <w:pPr>
              <w:spacing w:line="255" w:lineRule="auto"/>
              <w:rPr>
                <w:rFonts w:ascii="Arial"/>
                <w:sz w:val="21"/>
              </w:rPr>
            </w:pPr>
          </w:p>
          <w:p w14:paraId="15EF4CC5">
            <w:pPr>
              <w:spacing w:line="255" w:lineRule="auto"/>
              <w:rPr>
                <w:rFonts w:ascii="Arial"/>
                <w:sz w:val="21"/>
              </w:rPr>
            </w:pPr>
          </w:p>
          <w:p w14:paraId="23B56552">
            <w:pPr>
              <w:spacing w:line="255" w:lineRule="auto"/>
              <w:rPr>
                <w:rFonts w:ascii="Arial"/>
                <w:sz w:val="21"/>
              </w:rPr>
            </w:pPr>
          </w:p>
          <w:p w14:paraId="3A838353">
            <w:pPr>
              <w:spacing w:line="255" w:lineRule="auto"/>
              <w:rPr>
                <w:rFonts w:ascii="Arial"/>
                <w:sz w:val="21"/>
              </w:rPr>
            </w:pPr>
          </w:p>
          <w:p w14:paraId="0A1C373A">
            <w:pPr>
              <w:spacing w:line="255" w:lineRule="auto"/>
              <w:rPr>
                <w:rFonts w:ascii="Arial"/>
                <w:sz w:val="21"/>
              </w:rPr>
            </w:pPr>
          </w:p>
          <w:p w14:paraId="28BB74D1">
            <w:pPr>
              <w:spacing w:line="255" w:lineRule="auto"/>
              <w:rPr>
                <w:rFonts w:ascii="Arial"/>
                <w:sz w:val="21"/>
              </w:rPr>
            </w:pPr>
          </w:p>
          <w:p w14:paraId="023BEBBC">
            <w:pPr>
              <w:spacing w:line="255" w:lineRule="auto"/>
              <w:rPr>
                <w:rFonts w:ascii="Arial"/>
                <w:sz w:val="21"/>
              </w:rPr>
            </w:pPr>
          </w:p>
          <w:p w14:paraId="057DB06A">
            <w:pPr>
              <w:spacing w:line="255" w:lineRule="auto"/>
              <w:rPr>
                <w:rFonts w:ascii="Arial"/>
                <w:sz w:val="21"/>
              </w:rPr>
            </w:pPr>
          </w:p>
          <w:p w14:paraId="3751C53A">
            <w:pPr>
              <w:spacing w:line="256" w:lineRule="auto"/>
              <w:rPr>
                <w:rFonts w:ascii="Arial"/>
                <w:sz w:val="21"/>
              </w:rPr>
            </w:pPr>
          </w:p>
          <w:p w14:paraId="48BA4376">
            <w:pPr>
              <w:pStyle w:val="6"/>
              <w:spacing w:before="98" w:line="188" w:lineRule="auto"/>
              <w:ind w:left="115" w:right="111"/>
              <w:jc w:val="both"/>
            </w:pPr>
            <w:r>
              <w:rPr>
                <w:spacing w:val="11"/>
              </w:rPr>
              <w:t>未取得危险化学品经营许可证从事危险化学品</w:t>
            </w:r>
            <w:r>
              <w:rPr>
                <w:spacing w:val="5"/>
              </w:rPr>
              <w:t>经营的</w:t>
            </w:r>
          </w:p>
        </w:tc>
        <w:tc>
          <w:tcPr>
            <w:tcW w:w="3202" w:type="dxa"/>
            <w:vMerge w:val="restart"/>
            <w:tcBorders>
              <w:bottom w:val="nil"/>
            </w:tcBorders>
            <w:vAlign w:val="top"/>
          </w:tcPr>
          <w:p w14:paraId="34D35ED3">
            <w:pPr>
              <w:pStyle w:val="6"/>
              <w:spacing w:before="37" w:line="182" w:lineRule="auto"/>
              <w:ind w:left="116" w:right="19" w:firstLine="14"/>
              <w:jc w:val="both"/>
            </w:pPr>
            <w:r>
              <w:rPr>
                <w:rFonts w:ascii="宋体" w:hAnsi="宋体" w:eastAsia="宋体" w:cs="宋体"/>
                <w:spacing w:val="14"/>
              </w:rPr>
              <w:t>1.</w:t>
            </w:r>
            <w:r>
              <w:rPr>
                <w:spacing w:val="14"/>
              </w:rPr>
              <w:t>【法律】《中华人民共和</w:t>
            </w:r>
            <w:r>
              <w:rPr>
                <w:spacing w:val="17"/>
              </w:rPr>
              <w:t>国安全生产法》第三十九条</w:t>
            </w:r>
            <w:r>
              <w:rPr>
                <w:spacing w:val="2"/>
              </w:rPr>
              <w:t>第一款：生产、经营、运输、</w:t>
            </w:r>
            <w:r>
              <w:rPr>
                <w:spacing w:val="17"/>
              </w:rPr>
              <w:t>储存、使用危险物品或者处</w:t>
            </w:r>
            <w:r>
              <w:rPr>
                <w:spacing w:val="10"/>
              </w:rPr>
              <w:t>置废弃危险物品的，由有关</w:t>
            </w:r>
            <w:r>
              <w:rPr>
                <w:spacing w:val="17"/>
              </w:rPr>
              <w:t>主管部门依照有关法律、法规的规定和国家标准或者行</w:t>
            </w:r>
            <w:r>
              <w:rPr>
                <w:spacing w:val="39"/>
              </w:rPr>
              <w:t>业标准审批并实施监督管</w:t>
            </w:r>
            <w:r>
              <w:rPr>
                <w:spacing w:val="-7"/>
              </w:rPr>
              <w:t>理。</w:t>
            </w:r>
          </w:p>
          <w:p w14:paraId="59A58771">
            <w:pPr>
              <w:pStyle w:val="6"/>
              <w:spacing w:before="5" w:line="182" w:lineRule="auto"/>
              <w:ind w:left="117" w:right="111" w:hanging="1"/>
              <w:jc w:val="both"/>
            </w:pPr>
            <w:r>
              <w:rPr>
                <w:rFonts w:ascii="宋体" w:hAnsi="宋体" w:eastAsia="宋体" w:cs="宋体"/>
                <w:spacing w:val="15"/>
              </w:rPr>
              <w:t>2.</w:t>
            </w:r>
            <w:r>
              <w:rPr>
                <w:spacing w:val="15"/>
              </w:rPr>
              <w:t>【行政法规】《危险化学</w:t>
            </w:r>
            <w:r>
              <w:rPr>
                <w:spacing w:val="17"/>
              </w:rPr>
              <w:t>品安全管理条例》第三十三</w:t>
            </w:r>
            <w:r>
              <w:rPr>
                <w:spacing w:val="10"/>
              </w:rPr>
              <w:t>条第一款：国家对危险化学</w:t>
            </w:r>
            <w:r>
              <w:rPr>
                <w:spacing w:val="13"/>
              </w:rPr>
              <w:t>品经营（包括仓储经营，下</w:t>
            </w:r>
            <w:r>
              <w:rPr>
                <w:spacing w:val="12"/>
              </w:rPr>
              <w:t>同）实行许可制度。未经许</w:t>
            </w:r>
            <w:r>
              <w:rPr>
                <w:spacing w:val="13"/>
              </w:rPr>
              <w:t>可，任何单位和个人不得经</w:t>
            </w:r>
            <w:r>
              <w:rPr>
                <w:spacing w:val="2"/>
              </w:rPr>
              <w:t>营危险化学品。</w:t>
            </w:r>
          </w:p>
          <w:p w14:paraId="453F8887">
            <w:pPr>
              <w:pStyle w:val="6"/>
              <w:spacing w:before="3" w:line="180" w:lineRule="auto"/>
              <w:ind w:left="118" w:right="111"/>
              <w:jc w:val="both"/>
            </w:pPr>
            <w:r>
              <w:rPr>
                <w:rFonts w:ascii="宋体" w:hAnsi="宋体" w:eastAsia="宋体" w:cs="宋体"/>
                <w:spacing w:val="15"/>
              </w:rPr>
              <w:t>3.</w:t>
            </w:r>
            <w:r>
              <w:rPr>
                <w:spacing w:val="15"/>
              </w:rPr>
              <w:t>【部门规章】《危险化学</w:t>
            </w:r>
            <w:r>
              <w:rPr>
                <w:spacing w:val="17"/>
              </w:rPr>
              <w:t>品经营许可证管理办法》第</w:t>
            </w:r>
            <w:r>
              <w:rPr>
                <w:spacing w:val="10"/>
              </w:rPr>
              <w:t>三条第一款：国家对危险化</w:t>
            </w:r>
            <w:r>
              <w:rPr>
                <w:spacing w:val="17"/>
              </w:rPr>
              <w:t>学品经营实行许可制度。经</w:t>
            </w:r>
            <w:r>
              <w:rPr>
                <w:spacing w:val="12"/>
              </w:rPr>
              <w:t>营危险化学品的企业，应当</w:t>
            </w:r>
            <w:r>
              <w:rPr>
                <w:spacing w:val="17"/>
              </w:rPr>
              <w:t>依照本办法取得危险化学品经营许可证（以下简称经营</w:t>
            </w:r>
            <w:r>
              <w:rPr>
                <w:spacing w:val="13"/>
              </w:rPr>
              <w:t>许可证）。未取得经营许可证，任何单位和个人不得经</w:t>
            </w:r>
            <w:r>
              <w:rPr>
                <w:spacing w:val="2"/>
              </w:rPr>
              <w:t>营危险化学品。</w:t>
            </w:r>
          </w:p>
        </w:tc>
        <w:tc>
          <w:tcPr>
            <w:tcW w:w="2859" w:type="dxa"/>
            <w:vMerge w:val="restart"/>
            <w:tcBorders>
              <w:bottom w:val="nil"/>
            </w:tcBorders>
            <w:vAlign w:val="top"/>
          </w:tcPr>
          <w:p w14:paraId="640D4C37">
            <w:pPr>
              <w:pStyle w:val="6"/>
              <w:spacing w:before="39" w:line="182" w:lineRule="auto"/>
              <w:ind w:left="112" w:right="18" w:firstLine="18"/>
              <w:jc w:val="both"/>
            </w:pPr>
            <w:r>
              <w:rPr>
                <w:rFonts w:ascii="宋体" w:hAnsi="宋体" w:eastAsia="宋体" w:cs="宋体"/>
                <w:spacing w:val="6"/>
              </w:rPr>
              <w:t>1.</w:t>
            </w:r>
            <w:r>
              <w:rPr>
                <w:spacing w:val="6"/>
              </w:rPr>
              <w:t>【法律】《中华人民共</w:t>
            </w:r>
            <w:r>
              <w:rPr>
                <w:spacing w:val="8"/>
              </w:rPr>
              <w:t>和国安全生产法》第一百</w:t>
            </w:r>
            <w:r>
              <w:rPr>
                <w:spacing w:val="9"/>
              </w:rPr>
              <w:t>条：未经依法批准，擅自</w:t>
            </w:r>
            <w:r>
              <w:rPr>
                <w:spacing w:val="-4"/>
              </w:rPr>
              <w:t>生产、经营、运输、储存、</w:t>
            </w:r>
            <w:r>
              <w:rPr>
                <w:spacing w:val="9"/>
              </w:rPr>
              <w:t>使用危险物品或者处置废弃危险物品的，依照有关</w:t>
            </w:r>
            <w:r>
              <w:rPr>
                <w:spacing w:val="33"/>
              </w:rPr>
              <w:t>危险物品安全管理的法</w:t>
            </w:r>
            <w:r>
              <w:rPr>
                <w:spacing w:val="9"/>
              </w:rPr>
              <w:t>律、行政法规的规定予以处罚；构成犯罪的，依照刑法有关规定追究刑事责</w:t>
            </w:r>
            <w:r>
              <w:rPr>
                <w:spacing w:val="-6"/>
              </w:rPr>
              <w:t>任。</w:t>
            </w:r>
          </w:p>
          <w:p w14:paraId="4F57565A">
            <w:pPr>
              <w:pStyle w:val="6"/>
              <w:spacing w:before="23" w:line="180" w:lineRule="auto"/>
              <w:ind w:left="116" w:right="23"/>
              <w:jc w:val="both"/>
            </w:pPr>
            <w:r>
              <w:rPr>
                <w:rFonts w:ascii="宋体" w:hAnsi="宋体" w:eastAsia="宋体" w:cs="宋体"/>
                <w:spacing w:val="7"/>
              </w:rPr>
              <w:t>2.</w:t>
            </w:r>
            <w:r>
              <w:rPr>
                <w:spacing w:val="7"/>
              </w:rPr>
              <w:t>【行政法规】《危险化</w:t>
            </w:r>
            <w:r>
              <w:rPr>
                <w:spacing w:val="8"/>
              </w:rPr>
              <w:t>学品安全管理条例》第七十七条第三款：违反本条</w:t>
            </w:r>
            <w:r>
              <w:rPr>
                <w:spacing w:val="4"/>
              </w:rPr>
              <w:t>例规定，未取得危险化学</w:t>
            </w:r>
            <w:r>
              <w:rPr>
                <w:spacing w:val="8"/>
              </w:rPr>
              <w:t>品经营许可证从事危险化学品经营的，由安全生产监督管理部门责令停止经</w:t>
            </w:r>
            <w:r>
              <w:rPr>
                <w:spacing w:val="4"/>
              </w:rPr>
              <w:t>营活动，没收违法经营的</w:t>
            </w:r>
            <w:r>
              <w:rPr>
                <w:spacing w:val="32"/>
              </w:rPr>
              <w:t>危险化学品以及违法所</w:t>
            </w:r>
            <w:r>
              <w:rPr>
                <w:spacing w:val="2"/>
              </w:rPr>
              <w:t>得，并处</w:t>
            </w:r>
            <w:r>
              <w:rPr>
                <w:rFonts w:ascii="宋体" w:hAnsi="宋体" w:eastAsia="宋体" w:cs="宋体"/>
                <w:spacing w:val="2"/>
              </w:rPr>
              <w:t>10</w:t>
            </w:r>
            <w:r>
              <w:rPr>
                <w:spacing w:val="2"/>
              </w:rPr>
              <w:t>万元以上</w:t>
            </w:r>
            <w:r>
              <w:rPr>
                <w:rFonts w:ascii="宋体" w:hAnsi="宋体" w:eastAsia="宋体" w:cs="宋体"/>
                <w:spacing w:val="2"/>
              </w:rPr>
              <w:t>20</w:t>
            </w:r>
            <w:r>
              <w:rPr>
                <w:spacing w:val="8"/>
              </w:rPr>
              <w:t>万元以下的罚款；构成犯</w:t>
            </w:r>
            <w:r>
              <w:rPr>
                <w:spacing w:val="-4"/>
              </w:rPr>
              <w:t>罪的，依法追究刑事责任。</w:t>
            </w:r>
            <w:r>
              <w:rPr>
                <w:rFonts w:ascii="宋体" w:hAnsi="宋体" w:eastAsia="宋体" w:cs="宋体"/>
                <w:spacing w:val="7"/>
              </w:rPr>
              <w:t>3.</w:t>
            </w:r>
            <w:r>
              <w:rPr>
                <w:spacing w:val="7"/>
              </w:rPr>
              <w:t>【部门规章】《危险化</w:t>
            </w:r>
            <w:r>
              <w:rPr>
                <w:spacing w:val="32"/>
              </w:rPr>
              <w:t>学品经营许可证管理办</w:t>
            </w:r>
            <w:r>
              <w:rPr>
                <w:spacing w:val="5"/>
              </w:rPr>
              <w:t>法》第二十九条第一款：</w:t>
            </w:r>
          </w:p>
        </w:tc>
        <w:tc>
          <w:tcPr>
            <w:tcW w:w="803" w:type="dxa"/>
            <w:vAlign w:val="top"/>
          </w:tcPr>
          <w:p w14:paraId="5C54FED9">
            <w:pPr>
              <w:spacing w:line="312" w:lineRule="auto"/>
              <w:rPr>
                <w:rFonts w:ascii="Arial"/>
                <w:sz w:val="21"/>
              </w:rPr>
            </w:pPr>
          </w:p>
          <w:p w14:paraId="1C47A3BF">
            <w:pPr>
              <w:spacing w:line="312" w:lineRule="auto"/>
              <w:rPr>
                <w:rFonts w:ascii="Arial"/>
                <w:sz w:val="21"/>
              </w:rPr>
            </w:pPr>
          </w:p>
          <w:p w14:paraId="69994246">
            <w:pPr>
              <w:spacing w:line="313" w:lineRule="auto"/>
              <w:rPr>
                <w:rFonts w:ascii="Arial"/>
                <w:sz w:val="21"/>
              </w:rPr>
            </w:pPr>
          </w:p>
          <w:p w14:paraId="5E20ACCF">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C481DBD">
            <w:pPr>
              <w:spacing w:line="286" w:lineRule="auto"/>
              <w:rPr>
                <w:rFonts w:ascii="Arial"/>
                <w:sz w:val="21"/>
              </w:rPr>
            </w:pPr>
          </w:p>
          <w:p w14:paraId="1EF7B348">
            <w:pPr>
              <w:spacing w:line="287" w:lineRule="auto"/>
              <w:rPr>
                <w:rFonts w:ascii="Arial"/>
                <w:sz w:val="21"/>
              </w:rPr>
            </w:pPr>
          </w:p>
          <w:p w14:paraId="7659377E">
            <w:pPr>
              <w:pStyle w:val="6"/>
              <w:spacing w:before="99" w:line="192" w:lineRule="auto"/>
              <w:ind w:left="128" w:right="106" w:hanging="1"/>
              <w:jc w:val="both"/>
            </w:pPr>
            <w:r>
              <w:rPr>
                <w:spacing w:val="25"/>
              </w:rPr>
              <w:t>没有违法所得或违</w:t>
            </w:r>
            <w:r>
              <w:rPr>
                <w:spacing w:val="1"/>
              </w:rPr>
              <w:t>法所得</w:t>
            </w:r>
            <w:r>
              <w:rPr>
                <w:rFonts w:ascii="宋体" w:hAnsi="宋体" w:eastAsia="宋体" w:cs="宋体"/>
                <w:spacing w:val="1"/>
              </w:rPr>
              <w:t>10</w:t>
            </w:r>
            <w:r>
              <w:rPr>
                <w:spacing w:val="1"/>
              </w:rPr>
              <w:t>万元以下</w:t>
            </w:r>
            <w:r>
              <w:t>的</w:t>
            </w:r>
          </w:p>
        </w:tc>
        <w:tc>
          <w:tcPr>
            <w:tcW w:w="2894" w:type="dxa"/>
            <w:vAlign w:val="top"/>
          </w:tcPr>
          <w:p w14:paraId="483D53D1">
            <w:pPr>
              <w:spacing w:line="424" w:lineRule="auto"/>
              <w:rPr>
                <w:rFonts w:ascii="Arial"/>
                <w:sz w:val="21"/>
              </w:rPr>
            </w:pPr>
          </w:p>
          <w:p w14:paraId="751A24BD">
            <w:pPr>
              <w:pStyle w:val="6"/>
              <w:spacing w:before="99" w:line="189" w:lineRule="auto"/>
              <w:ind w:left="117" w:right="105" w:firstLine="10"/>
              <w:jc w:val="both"/>
            </w:pPr>
            <w:r>
              <w:rPr>
                <w:spacing w:val="7"/>
              </w:rPr>
              <w:t>责令停止经营活动，没收</w:t>
            </w:r>
            <w:r>
              <w:rPr>
                <w:spacing w:val="11"/>
              </w:rPr>
              <w:t>违法经营的危险化学品以</w:t>
            </w:r>
            <w:r>
              <w:rPr>
                <w:spacing w:val="-4"/>
              </w:rPr>
              <w:t>及违法所得，并处</w:t>
            </w:r>
            <w:r>
              <w:rPr>
                <w:rFonts w:ascii="宋体" w:hAnsi="宋体" w:eastAsia="宋体" w:cs="宋体"/>
                <w:spacing w:val="-4"/>
              </w:rPr>
              <w:t>10</w:t>
            </w:r>
            <w:r>
              <w:rPr>
                <w:spacing w:val="-4"/>
              </w:rPr>
              <w:t>万元</w:t>
            </w:r>
            <w:r>
              <w:rPr>
                <w:spacing w:val="2"/>
              </w:rPr>
              <w:t>以上</w:t>
            </w:r>
            <w:r>
              <w:rPr>
                <w:rFonts w:ascii="宋体" w:hAnsi="宋体" w:eastAsia="宋体" w:cs="宋体"/>
                <w:spacing w:val="2"/>
              </w:rPr>
              <w:t>13</w:t>
            </w:r>
            <w:r>
              <w:rPr>
                <w:spacing w:val="2"/>
              </w:rPr>
              <w:t>万元以下的罚款</w:t>
            </w:r>
          </w:p>
        </w:tc>
        <w:tc>
          <w:tcPr>
            <w:tcW w:w="811" w:type="dxa"/>
            <w:vMerge w:val="restart"/>
            <w:tcBorders>
              <w:bottom w:val="nil"/>
            </w:tcBorders>
            <w:vAlign w:val="top"/>
          </w:tcPr>
          <w:p w14:paraId="30AB3547">
            <w:pPr>
              <w:spacing w:line="248" w:lineRule="auto"/>
              <w:rPr>
                <w:rFonts w:ascii="Arial"/>
                <w:sz w:val="21"/>
              </w:rPr>
            </w:pPr>
          </w:p>
          <w:p w14:paraId="1DD7A25A">
            <w:pPr>
              <w:spacing w:line="248" w:lineRule="auto"/>
              <w:rPr>
                <w:rFonts w:ascii="Arial"/>
                <w:sz w:val="21"/>
              </w:rPr>
            </w:pPr>
          </w:p>
          <w:p w14:paraId="4E96BC54">
            <w:pPr>
              <w:spacing w:line="248" w:lineRule="auto"/>
              <w:rPr>
                <w:rFonts w:ascii="Arial"/>
                <w:sz w:val="21"/>
              </w:rPr>
            </w:pPr>
          </w:p>
          <w:p w14:paraId="1BD8ADF9">
            <w:pPr>
              <w:spacing w:line="248" w:lineRule="auto"/>
              <w:rPr>
                <w:rFonts w:ascii="Arial"/>
                <w:sz w:val="21"/>
              </w:rPr>
            </w:pPr>
          </w:p>
          <w:p w14:paraId="12FA416F">
            <w:pPr>
              <w:spacing w:line="248" w:lineRule="auto"/>
              <w:rPr>
                <w:rFonts w:ascii="Arial"/>
                <w:sz w:val="21"/>
              </w:rPr>
            </w:pPr>
          </w:p>
          <w:p w14:paraId="1D767102">
            <w:pPr>
              <w:spacing w:line="248" w:lineRule="auto"/>
              <w:rPr>
                <w:rFonts w:ascii="Arial"/>
                <w:sz w:val="21"/>
              </w:rPr>
            </w:pPr>
          </w:p>
          <w:p w14:paraId="676319BC">
            <w:pPr>
              <w:spacing w:line="248" w:lineRule="auto"/>
              <w:rPr>
                <w:rFonts w:ascii="Arial"/>
                <w:sz w:val="21"/>
              </w:rPr>
            </w:pPr>
          </w:p>
          <w:p w14:paraId="646AFA39">
            <w:pPr>
              <w:spacing w:line="248" w:lineRule="auto"/>
              <w:rPr>
                <w:rFonts w:ascii="Arial"/>
                <w:sz w:val="21"/>
              </w:rPr>
            </w:pPr>
          </w:p>
          <w:p w14:paraId="7788E6F6">
            <w:pPr>
              <w:spacing w:line="248" w:lineRule="auto"/>
              <w:rPr>
                <w:rFonts w:ascii="Arial"/>
                <w:sz w:val="21"/>
              </w:rPr>
            </w:pPr>
          </w:p>
          <w:p w14:paraId="43DD6D70">
            <w:pPr>
              <w:spacing w:line="248" w:lineRule="auto"/>
              <w:rPr>
                <w:rFonts w:ascii="Arial"/>
                <w:sz w:val="21"/>
              </w:rPr>
            </w:pPr>
          </w:p>
          <w:p w14:paraId="239BE880">
            <w:pPr>
              <w:spacing w:line="249" w:lineRule="auto"/>
              <w:rPr>
                <w:rFonts w:ascii="Arial"/>
                <w:sz w:val="21"/>
              </w:rPr>
            </w:pPr>
          </w:p>
          <w:p w14:paraId="36D2BA64">
            <w:pPr>
              <w:spacing w:line="249" w:lineRule="auto"/>
              <w:rPr>
                <w:rFonts w:ascii="Arial"/>
                <w:sz w:val="21"/>
              </w:rPr>
            </w:pPr>
          </w:p>
          <w:p w14:paraId="681B73DA">
            <w:pPr>
              <w:spacing w:line="249" w:lineRule="auto"/>
              <w:rPr>
                <w:rFonts w:ascii="Arial"/>
                <w:sz w:val="21"/>
              </w:rPr>
            </w:pPr>
          </w:p>
          <w:p w14:paraId="3D06B7B9">
            <w:pPr>
              <w:spacing w:line="249" w:lineRule="auto"/>
              <w:rPr>
                <w:rFonts w:ascii="Arial"/>
                <w:sz w:val="21"/>
              </w:rPr>
            </w:pPr>
          </w:p>
          <w:p w14:paraId="33064852">
            <w:pPr>
              <w:spacing w:line="249" w:lineRule="auto"/>
              <w:rPr>
                <w:rFonts w:ascii="Arial"/>
                <w:sz w:val="21"/>
              </w:rPr>
            </w:pPr>
          </w:p>
          <w:p w14:paraId="22B1BC81">
            <w:pPr>
              <w:spacing w:before="75" w:line="188" w:lineRule="auto"/>
              <w:ind w:left="296"/>
              <w:rPr>
                <w:rFonts w:ascii="宋体" w:hAnsi="宋体" w:eastAsia="宋体" w:cs="宋体"/>
                <w:sz w:val="23"/>
                <w:szCs w:val="23"/>
              </w:rPr>
            </w:pPr>
            <w:r>
              <w:rPr>
                <w:rFonts w:ascii="宋体" w:hAnsi="宋体" w:eastAsia="宋体" w:cs="宋体"/>
                <w:spacing w:val="-5"/>
                <w:sz w:val="23"/>
                <w:szCs w:val="23"/>
              </w:rPr>
              <w:t>74</w:t>
            </w:r>
          </w:p>
        </w:tc>
      </w:tr>
      <w:tr w14:paraId="46B45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7" w:hRule="atLeast"/>
        </w:trPr>
        <w:tc>
          <w:tcPr>
            <w:tcW w:w="818" w:type="dxa"/>
            <w:vMerge w:val="continue"/>
            <w:tcBorders>
              <w:top w:val="nil"/>
              <w:bottom w:val="nil"/>
            </w:tcBorders>
            <w:vAlign w:val="top"/>
          </w:tcPr>
          <w:p w14:paraId="7629B368">
            <w:pPr>
              <w:rPr>
                <w:rFonts w:ascii="Arial"/>
                <w:sz w:val="21"/>
              </w:rPr>
            </w:pPr>
          </w:p>
        </w:tc>
        <w:tc>
          <w:tcPr>
            <w:tcW w:w="1440" w:type="dxa"/>
            <w:vMerge w:val="continue"/>
            <w:tcBorders>
              <w:top w:val="nil"/>
              <w:bottom w:val="nil"/>
            </w:tcBorders>
            <w:vAlign w:val="top"/>
          </w:tcPr>
          <w:p w14:paraId="45B662D3">
            <w:pPr>
              <w:rPr>
                <w:rFonts w:ascii="Arial"/>
                <w:sz w:val="21"/>
              </w:rPr>
            </w:pPr>
          </w:p>
        </w:tc>
        <w:tc>
          <w:tcPr>
            <w:tcW w:w="3202" w:type="dxa"/>
            <w:vMerge w:val="continue"/>
            <w:tcBorders>
              <w:top w:val="nil"/>
              <w:bottom w:val="nil"/>
            </w:tcBorders>
            <w:vAlign w:val="top"/>
          </w:tcPr>
          <w:p w14:paraId="76F7A0C9">
            <w:pPr>
              <w:rPr>
                <w:rFonts w:ascii="Arial"/>
                <w:sz w:val="21"/>
              </w:rPr>
            </w:pPr>
          </w:p>
        </w:tc>
        <w:tc>
          <w:tcPr>
            <w:tcW w:w="2859" w:type="dxa"/>
            <w:vMerge w:val="continue"/>
            <w:tcBorders>
              <w:top w:val="nil"/>
              <w:bottom w:val="nil"/>
            </w:tcBorders>
            <w:vAlign w:val="top"/>
          </w:tcPr>
          <w:p w14:paraId="2A49BBA2">
            <w:pPr>
              <w:rPr>
                <w:rFonts w:ascii="Arial"/>
                <w:sz w:val="21"/>
              </w:rPr>
            </w:pPr>
          </w:p>
        </w:tc>
        <w:tc>
          <w:tcPr>
            <w:tcW w:w="803" w:type="dxa"/>
            <w:vAlign w:val="top"/>
          </w:tcPr>
          <w:p w14:paraId="607D510A">
            <w:pPr>
              <w:spacing w:line="258" w:lineRule="auto"/>
              <w:rPr>
                <w:rFonts w:ascii="Arial"/>
                <w:sz w:val="21"/>
              </w:rPr>
            </w:pPr>
          </w:p>
          <w:p w14:paraId="0E458E5A">
            <w:pPr>
              <w:spacing w:line="259" w:lineRule="auto"/>
              <w:rPr>
                <w:rFonts w:ascii="Arial"/>
                <w:sz w:val="21"/>
              </w:rPr>
            </w:pPr>
          </w:p>
          <w:p w14:paraId="1519124E">
            <w:pPr>
              <w:spacing w:line="259" w:lineRule="auto"/>
              <w:rPr>
                <w:rFonts w:ascii="Arial"/>
                <w:sz w:val="21"/>
              </w:rPr>
            </w:pPr>
          </w:p>
          <w:p w14:paraId="7CCF9B03">
            <w:pPr>
              <w:spacing w:line="259" w:lineRule="auto"/>
              <w:rPr>
                <w:rFonts w:ascii="Arial"/>
                <w:sz w:val="21"/>
              </w:rPr>
            </w:pPr>
          </w:p>
          <w:p w14:paraId="659D7864">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9221111">
            <w:pPr>
              <w:spacing w:line="272" w:lineRule="auto"/>
              <w:rPr>
                <w:rFonts w:ascii="Arial"/>
                <w:sz w:val="21"/>
              </w:rPr>
            </w:pPr>
          </w:p>
          <w:p w14:paraId="6CBE2DA1">
            <w:pPr>
              <w:spacing w:line="272" w:lineRule="auto"/>
              <w:rPr>
                <w:rFonts w:ascii="Arial"/>
                <w:sz w:val="21"/>
              </w:rPr>
            </w:pPr>
          </w:p>
          <w:p w14:paraId="613093CA">
            <w:pPr>
              <w:spacing w:line="272" w:lineRule="auto"/>
              <w:rPr>
                <w:rFonts w:ascii="Arial"/>
                <w:sz w:val="21"/>
              </w:rPr>
            </w:pPr>
          </w:p>
          <w:p w14:paraId="6FB920A4">
            <w:pPr>
              <w:pStyle w:val="6"/>
              <w:spacing w:before="98" w:line="196" w:lineRule="auto"/>
              <w:ind w:left="122" w:right="106" w:hanging="5"/>
            </w:pPr>
            <w:r>
              <w:rPr>
                <w:spacing w:val="3"/>
              </w:rPr>
              <w:t>违法所得</w:t>
            </w:r>
            <w:r>
              <w:rPr>
                <w:rFonts w:ascii="宋体" w:hAnsi="宋体" w:eastAsia="宋体" w:cs="宋体"/>
                <w:spacing w:val="3"/>
              </w:rPr>
              <w:t>10</w:t>
            </w:r>
            <w:r>
              <w:rPr>
                <w:spacing w:val="3"/>
              </w:rPr>
              <w:t>万元以</w:t>
            </w:r>
            <w:r>
              <w:rPr>
                <w:spacing w:val="1"/>
              </w:rPr>
              <w:t>上</w:t>
            </w:r>
            <w:r>
              <w:rPr>
                <w:rFonts w:ascii="宋体" w:hAnsi="宋体" w:eastAsia="宋体" w:cs="宋体"/>
                <w:spacing w:val="1"/>
              </w:rPr>
              <w:t>30</w:t>
            </w:r>
            <w:r>
              <w:rPr>
                <w:spacing w:val="1"/>
              </w:rPr>
              <w:t>万元以下的</w:t>
            </w:r>
          </w:p>
        </w:tc>
        <w:tc>
          <w:tcPr>
            <w:tcW w:w="2894" w:type="dxa"/>
            <w:vAlign w:val="top"/>
          </w:tcPr>
          <w:p w14:paraId="35A57052">
            <w:pPr>
              <w:spacing w:line="259" w:lineRule="auto"/>
              <w:rPr>
                <w:rFonts w:ascii="Arial"/>
                <w:sz w:val="21"/>
              </w:rPr>
            </w:pPr>
          </w:p>
          <w:p w14:paraId="5C933BA7">
            <w:pPr>
              <w:spacing w:line="260" w:lineRule="auto"/>
              <w:rPr>
                <w:rFonts w:ascii="Arial"/>
                <w:sz w:val="21"/>
              </w:rPr>
            </w:pPr>
          </w:p>
          <w:p w14:paraId="488EEDAA">
            <w:pPr>
              <w:pStyle w:val="6"/>
              <w:spacing w:before="99" w:line="189" w:lineRule="auto"/>
              <w:ind w:left="117" w:right="105" w:firstLine="10"/>
              <w:jc w:val="both"/>
            </w:pPr>
            <w:r>
              <w:rPr>
                <w:spacing w:val="7"/>
              </w:rPr>
              <w:t>责令停止经营活动，没收</w:t>
            </w:r>
            <w:r>
              <w:rPr>
                <w:spacing w:val="11"/>
              </w:rPr>
              <w:t>违法经营的危险化学品以</w:t>
            </w:r>
            <w:r>
              <w:rPr>
                <w:spacing w:val="-4"/>
              </w:rPr>
              <w:t>及违法所得，并处</w:t>
            </w:r>
            <w:r>
              <w:rPr>
                <w:rFonts w:ascii="宋体" w:hAnsi="宋体" w:eastAsia="宋体" w:cs="宋体"/>
                <w:spacing w:val="-4"/>
              </w:rPr>
              <w:t>13</w:t>
            </w:r>
            <w:r>
              <w:rPr>
                <w:spacing w:val="-4"/>
              </w:rPr>
              <w:t>万元</w:t>
            </w:r>
            <w:r>
              <w:rPr>
                <w:spacing w:val="2"/>
              </w:rPr>
              <w:t>以上</w:t>
            </w:r>
            <w:r>
              <w:rPr>
                <w:rFonts w:ascii="宋体" w:hAnsi="宋体" w:eastAsia="宋体" w:cs="宋体"/>
                <w:spacing w:val="2"/>
              </w:rPr>
              <w:t>17</w:t>
            </w:r>
            <w:r>
              <w:rPr>
                <w:spacing w:val="2"/>
              </w:rPr>
              <w:t>万元以下的罚款</w:t>
            </w:r>
          </w:p>
        </w:tc>
        <w:tc>
          <w:tcPr>
            <w:tcW w:w="811" w:type="dxa"/>
            <w:vMerge w:val="continue"/>
            <w:tcBorders>
              <w:top w:val="nil"/>
              <w:bottom w:val="nil"/>
            </w:tcBorders>
            <w:vAlign w:val="top"/>
          </w:tcPr>
          <w:p w14:paraId="4426D197">
            <w:pPr>
              <w:rPr>
                <w:rFonts w:ascii="Arial"/>
                <w:sz w:val="21"/>
              </w:rPr>
            </w:pPr>
          </w:p>
        </w:tc>
      </w:tr>
      <w:tr w14:paraId="57138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3" w:hRule="atLeast"/>
        </w:trPr>
        <w:tc>
          <w:tcPr>
            <w:tcW w:w="818" w:type="dxa"/>
            <w:vMerge w:val="continue"/>
            <w:tcBorders>
              <w:top w:val="nil"/>
            </w:tcBorders>
            <w:vAlign w:val="top"/>
          </w:tcPr>
          <w:p w14:paraId="4D01D852">
            <w:pPr>
              <w:rPr>
                <w:rFonts w:ascii="Arial"/>
                <w:sz w:val="21"/>
              </w:rPr>
            </w:pPr>
          </w:p>
        </w:tc>
        <w:tc>
          <w:tcPr>
            <w:tcW w:w="1440" w:type="dxa"/>
            <w:vMerge w:val="continue"/>
            <w:tcBorders>
              <w:top w:val="nil"/>
            </w:tcBorders>
            <w:vAlign w:val="top"/>
          </w:tcPr>
          <w:p w14:paraId="0867D01A">
            <w:pPr>
              <w:rPr>
                <w:rFonts w:ascii="Arial"/>
                <w:sz w:val="21"/>
              </w:rPr>
            </w:pPr>
          </w:p>
        </w:tc>
        <w:tc>
          <w:tcPr>
            <w:tcW w:w="3202" w:type="dxa"/>
            <w:vMerge w:val="continue"/>
            <w:tcBorders>
              <w:top w:val="nil"/>
            </w:tcBorders>
            <w:vAlign w:val="top"/>
          </w:tcPr>
          <w:p w14:paraId="52E33AD7">
            <w:pPr>
              <w:rPr>
                <w:rFonts w:ascii="Arial"/>
                <w:sz w:val="21"/>
              </w:rPr>
            </w:pPr>
          </w:p>
        </w:tc>
        <w:tc>
          <w:tcPr>
            <w:tcW w:w="2859" w:type="dxa"/>
            <w:vMerge w:val="continue"/>
            <w:tcBorders>
              <w:top w:val="nil"/>
            </w:tcBorders>
            <w:vAlign w:val="top"/>
          </w:tcPr>
          <w:p w14:paraId="2E3F4461">
            <w:pPr>
              <w:rPr>
                <w:rFonts w:ascii="Arial"/>
                <w:sz w:val="21"/>
              </w:rPr>
            </w:pPr>
          </w:p>
        </w:tc>
        <w:tc>
          <w:tcPr>
            <w:tcW w:w="803" w:type="dxa"/>
            <w:vAlign w:val="top"/>
          </w:tcPr>
          <w:p w14:paraId="0E11B455">
            <w:pPr>
              <w:rPr>
                <w:rFonts w:ascii="Arial"/>
                <w:sz w:val="21"/>
              </w:rPr>
            </w:pPr>
          </w:p>
          <w:p w14:paraId="6F3091AA">
            <w:pPr>
              <w:spacing w:line="241" w:lineRule="auto"/>
              <w:rPr>
                <w:rFonts w:ascii="Arial"/>
                <w:sz w:val="21"/>
              </w:rPr>
            </w:pPr>
          </w:p>
          <w:p w14:paraId="26AF4CBE">
            <w:pPr>
              <w:spacing w:line="241" w:lineRule="auto"/>
              <w:rPr>
                <w:rFonts w:ascii="Arial"/>
                <w:sz w:val="21"/>
              </w:rPr>
            </w:pPr>
          </w:p>
          <w:p w14:paraId="05A1285A">
            <w:pPr>
              <w:spacing w:line="241" w:lineRule="auto"/>
              <w:rPr>
                <w:rFonts w:ascii="Arial"/>
                <w:sz w:val="21"/>
              </w:rPr>
            </w:pPr>
          </w:p>
          <w:p w14:paraId="1C2A3032">
            <w:pPr>
              <w:spacing w:line="241" w:lineRule="auto"/>
              <w:rPr>
                <w:rFonts w:ascii="Arial"/>
                <w:sz w:val="21"/>
              </w:rPr>
            </w:pPr>
          </w:p>
          <w:p w14:paraId="2064F3A3">
            <w:pPr>
              <w:spacing w:line="241" w:lineRule="auto"/>
              <w:rPr>
                <w:rFonts w:ascii="Arial"/>
                <w:sz w:val="21"/>
              </w:rPr>
            </w:pPr>
          </w:p>
          <w:p w14:paraId="7FA23000">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3C75E0D">
            <w:pPr>
              <w:spacing w:line="245" w:lineRule="auto"/>
              <w:rPr>
                <w:rFonts w:ascii="Arial"/>
                <w:sz w:val="21"/>
              </w:rPr>
            </w:pPr>
          </w:p>
          <w:p w14:paraId="235C27CF">
            <w:pPr>
              <w:spacing w:line="245" w:lineRule="auto"/>
              <w:rPr>
                <w:rFonts w:ascii="Arial"/>
                <w:sz w:val="21"/>
              </w:rPr>
            </w:pPr>
          </w:p>
          <w:p w14:paraId="264DBC6D">
            <w:pPr>
              <w:spacing w:line="246" w:lineRule="auto"/>
              <w:rPr>
                <w:rFonts w:ascii="Arial"/>
                <w:sz w:val="21"/>
              </w:rPr>
            </w:pPr>
          </w:p>
          <w:p w14:paraId="5F8353B5">
            <w:pPr>
              <w:spacing w:line="246" w:lineRule="auto"/>
              <w:rPr>
                <w:rFonts w:ascii="Arial"/>
                <w:sz w:val="21"/>
              </w:rPr>
            </w:pPr>
          </w:p>
          <w:p w14:paraId="141FB6B6">
            <w:pPr>
              <w:spacing w:line="246" w:lineRule="auto"/>
              <w:rPr>
                <w:rFonts w:ascii="Arial"/>
                <w:sz w:val="21"/>
              </w:rPr>
            </w:pPr>
          </w:p>
          <w:p w14:paraId="2B820DA3">
            <w:pPr>
              <w:pStyle w:val="6"/>
              <w:spacing w:before="99" w:line="197" w:lineRule="auto"/>
              <w:ind w:left="122" w:right="106" w:hanging="5"/>
            </w:pPr>
            <w:r>
              <w:rPr>
                <w:spacing w:val="5"/>
              </w:rPr>
              <w:t>违法所得</w:t>
            </w:r>
            <w:r>
              <w:rPr>
                <w:rFonts w:ascii="宋体" w:hAnsi="宋体" w:eastAsia="宋体" w:cs="宋体"/>
                <w:spacing w:val="5"/>
              </w:rPr>
              <w:t>30</w:t>
            </w:r>
            <w:r>
              <w:rPr>
                <w:spacing w:val="5"/>
              </w:rPr>
              <w:t>万元以</w:t>
            </w:r>
            <w:r>
              <w:t>上的</w:t>
            </w:r>
          </w:p>
        </w:tc>
        <w:tc>
          <w:tcPr>
            <w:tcW w:w="2894" w:type="dxa"/>
            <w:vAlign w:val="top"/>
          </w:tcPr>
          <w:p w14:paraId="32749295">
            <w:pPr>
              <w:spacing w:line="310" w:lineRule="auto"/>
              <w:rPr>
                <w:rFonts w:ascii="Arial"/>
                <w:sz w:val="21"/>
              </w:rPr>
            </w:pPr>
          </w:p>
          <w:p w14:paraId="62E90643">
            <w:pPr>
              <w:spacing w:line="310" w:lineRule="auto"/>
              <w:rPr>
                <w:rFonts w:ascii="Arial"/>
                <w:sz w:val="21"/>
              </w:rPr>
            </w:pPr>
          </w:p>
          <w:p w14:paraId="482971E2">
            <w:pPr>
              <w:spacing w:line="310" w:lineRule="auto"/>
              <w:rPr>
                <w:rFonts w:ascii="Arial"/>
                <w:sz w:val="21"/>
              </w:rPr>
            </w:pPr>
          </w:p>
          <w:p w14:paraId="63C04C8E">
            <w:pPr>
              <w:pStyle w:val="6"/>
              <w:spacing w:before="99" w:line="189" w:lineRule="auto"/>
              <w:ind w:left="117" w:right="105" w:firstLine="10"/>
              <w:jc w:val="both"/>
            </w:pPr>
            <w:r>
              <w:rPr>
                <w:spacing w:val="7"/>
              </w:rPr>
              <w:t>责令停止经营活动，没收</w:t>
            </w:r>
            <w:r>
              <w:rPr>
                <w:spacing w:val="11"/>
              </w:rPr>
              <w:t>违法经营的危险化学品以</w:t>
            </w:r>
            <w:r>
              <w:rPr>
                <w:spacing w:val="-4"/>
              </w:rPr>
              <w:t>及违法所得，并处</w:t>
            </w:r>
            <w:r>
              <w:rPr>
                <w:rFonts w:ascii="宋体" w:hAnsi="宋体" w:eastAsia="宋体" w:cs="宋体"/>
                <w:spacing w:val="-4"/>
              </w:rPr>
              <w:t>17</w:t>
            </w:r>
            <w:r>
              <w:rPr>
                <w:spacing w:val="-4"/>
              </w:rPr>
              <w:t>万元</w:t>
            </w:r>
            <w:r>
              <w:rPr>
                <w:spacing w:val="4"/>
              </w:rPr>
              <w:t>以上</w:t>
            </w:r>
            <w:r>
              <w:rPr>
                <w:rFonts w:ascii="宋体" w:hAnsi="宋体" w:eastAsia="宋体" w:cs="宋体"/>
                <w:spacing w:val="4"/>
              </w:rPr>
              <w:t>20</w:t>
            </w:r>
            <w:r>
              <w:rPr>
                <w:spacing w:val="4"/>
              </w:rPr>
              <w:t>万元以下的罚款</w:t>
            </w:r>
          </w:p>
        </w:tc>
        <w:tc>
          <w:tcPr>
            <w:tcW w:w="811" w:type="dxa"/>
            <w:vMerge w:val="continue"/>
            <w:tcBorders>
              <w:top w:val="nil"/>
            </w:tcBorders>
            <w:vAlign w:val="top"/>
          </w:tcPr>
          <w:p w14:paraId="61AC9B64">
            <w:pPr>
              <w:rPr>
                <w:rFonts w:ascii="Arial"/>
                <w:sz w:val="21"/>
              </w:rPr>
            </w:pPr>
          </w:p>
        </w:tc>
      </w:tr>
    </w:tbl>
    <w:p w14:paraId="6FDC95CD">
      <w:pPr>
        <w:pStyle w:val="2"/>
      </w:pPr>
    </w:p>
    <w:p w14:paraId="6F9CC2C0">
      <w:pPr>
        <w:sectPr>
          <w:footerReference r:id="rId127" w:type="default"/>
          <w:pgSz w:w="16839" w:h="11906"/>
          <w:pgMar w:top="1012" w:right="821" w:bottom="667" w:left="901" w:header="0" w:footer="388" w:gutter="0"/>
          <w:cols w:space="720" w:num="1"/>
        </w:sectPr>
      </w:pPr>
    </w:p>
    <w:p w14:paraId="6541B46D">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0363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D7D0FB1">
            <w:pPr>
              <w:spacing w:before="222" w:line="241" w:lineRule="auto"/>
              <w:ind w:left="131"/>
              <w:outlineLvl w:val="0"/>
              <w:rPr>
                <w:rFonts w:ascii="黑体" w:hAnsi="黑体" w:eastAsia="黑体" w:cs="黑体"/>
                <w:sz w:val="28"/>
                <w:szCs w:val="28"/>
              </w:rPr>
            </w:pPr>
            <w:bookmarkStart w:id="524" w:name="bookmark212"/>
            <w:bookmarkEnd w:id="524"/>
            <w:r>
              <w:rPr>
                <w:rFonts w:ascii="黑体" w:hAnsi="黑体" w:eastAsia="黑体" w:cs="黑体"/>
                <w:spacing w:val="-2"/>
                <w:sz w:val="28"/>
                <w:szCs w:val="28"/>
              </w:rPr>
              <w:t>序号</w:t>
            </w:r>
          </w:p>
        </w:tc>
        <w:tc>
          <w:tcPr>
            <w:tcW w:w="1440" w:type="dxa"/>
            <w:vAlign w:val="top"/>
          </w:tcPr>
          <w:p w14:paraId="1DCD3096">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479EFCE">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B56B7FD">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EE2824D">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42DEC87">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34185D7">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6D3BE9D">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D745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Align w:val="top"/>
          </w:tcPr>
          <w:p w14:paraId="1E85B7EC">
            <w:pPr>
              <w:rPr>
                <w:rFonts w:ascii="Arial"/>
                <w:sz w:val="21"/>
              </w:rPr>
            </w:pPr>
          </w:p>
        </w:tc>
        <w:tc>
          <w:tcPr>
            <w:tcW w:w="1440" w:type="dxa"/>
            <w:vAlign w:val="top"/>
          </w:tcPr>
          <w:p w14:paraId="4F4A2D9F">
            <w:pPr>
              <w:rPr>
                <w:rFonts w:ascii="Arial"/>
                <w:sz w:val="21"/>
              </w:rPr>
            </w:pPr>
          </w:p>
        </w:tc>
        <w:tc>
          <w:tcPr>
            <w:tcW w:w="3202" w:type="dxa"/>
            <w:vAlign w:val="top"/>
          </w:tcPr>
          <w:p w14:paraId="55889683">
            <w:pPr>
              <w:rPr>
                <w:rFonts w:ascii="Arial"/>
                <w:sz w:val="21"/>
              </w:rPr>
            </w:pPr>
          </w:p>
        </w:tc>
        <w:tc>
          <w:tcPr>
            <w:tcW w:w="2859" w:type="dxa"/>
            <w:vAlign w:val="top"/>
          </w:tcPr>
          <w:p w14:paraId="0F65C020">
            <w:pPr>
              <w:pStyle w:val="6"/>
              <w:spacing w:before="26" w:line="180" w:lineRule="auto"/>
              <w:ind w:left="116" w:right="110" w:firstLine="1"/>
              <w:jc w:val="both"/>
            </w:pPr>
            <w:r>
              <w:rPr>
                <w:spacing w:val="8"/>
              </w:rPr>
              <w:t>未取得经营许可证从事危</w:t>
            </w:r>
            <w:r>
              <w:rPr>
                <w:spacing w:val="-15"/>
              </w:rPr>
              <w:t>险化学品经营的，依照《中</w:t>
            </w:r>
            <w:r>
              <w:rPr>
                <w:spacing w:val="32"/>
              </w:rPr>
              <w:t>华人民共和国安全生产</w:t>
            </w:r>
            <w:r>
              <w:rPr>
                <w:spacing w:val="8"/>
              </w:rPr>
              <w:t>法》有关未经依法批准擅自生产、经营、储存危险物品的法律责任条款并处罚款；构成犯罪的，依法</w:t>
            </w:r>
            <w:r>
              <w:rPr>
                <w:spacing w:val="3"/>
              </w:rPr>
              <w:t>追究刑事责任。</w:t>
            </w:r>
          </w:p>
        </w:tc>
        <w:tc>
          <w:tcPr>
            <w:tcW w:w="803" w:type="dxa"/>
            <w:vAlign w:val="top"/>
          </w:tcPr>
          <w:p w14:paraId="2FCCB451">
            <w:pPr>
              <w:rPr>
                <w:rFonts w:ascii="Arial"/>
                <w:sz w:val="21"/>
              </w:rPr>
            </w:pPr>
          </w:p>
        </w:tc>
        <w:tc>
          <w:tcPr>
            <w:tcW w:w="2283" w:type="dxa"/>
            <w:vAlign w:val="top"/>
          </w:tcPr>
          <w:p w14:paraId="7837D5C7">
            <w:pPr>
              <w:rPr>
                <w:rFonts w:ascii="Arial"/>
                <w:sz w:val="21"/>
              </w:rPr>
            </w:pPr>
          </w:p>
        </w:tc>
        <w:tc>
          <w:tcPr>
            <w:tcW w:w="2894" w:type="dxa"/>
            <w:vAlign w:val="top"/>
          </w:tcPr>
          <w:p w14:paraId="2C607BF3">
            <w:pPr>
              <w:rPr>
                <w:rFonts w:ascii="Arial"/>
                <w:sz w:val="21"/>
              </w:rPr>
            </w:pPr>
          </w:p>
        </w:tc>
        <w:tc>
          <w:tcPr>
            <w:tcW w:w="811" w:type="dxa"/>
            <w:vAlign w:val="top"/>
          </w:tcPr>
          <w:p w14:paraId="0B3B89CC">
            <w:pPr>
              <w:rPr>
                <w:rFonts w:ascii="Arial"/>
                <w:sz w:val="21"/>
              </w:rPr>
            </w:pPr>
          </w:p>
        </w:tc>
      </w:tr>
      <w:tr w14:paraId="4743A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1" w:hRule="atLeast"/>
        </w:trPr>
        <w:tc>
          <w:tcPr>
            <w:tcW w:w="818" w:type="dxa"/>
            <w:vMerge w:val="restart"/>
            <w:tcBorders>
              <w:bottom w:val="nil"/>
            </w:tcBorders>
            <w:vAlign w:val="top"/>
          </w:tcPr>
          <w:p w14:paraId="6F296540">
            <w:pPr>
              <w:rPr>
                <w:rFonts w:ascii="Arial"/>
                <w:sz w:val="21"/>
              </w:rPr>
            </w:pPr>
          </w:p>
          <w:p w14:paraId="1855834D">
            <w:pPr>
              <w:rPr>
                <w:rFonts w:ascii="Arial"/>
                <w:sz w:val="21"/>
              </w:rPr>
            </w:pPr>
          </w:p>
          <w:p w14:paraId="6E057E91">
            <w:pPr>
              <w:spacing w:line="241" w:lineRule="auto"/>
              <w:rPr>
                <w:rFonts w:ascii="Arial"/>
                <w:sz w:val="21"/>
              </w:rPr>
            </w:pPr>
          </w:p>
          <w:p w14:paraId="6A1D730B">
            <w:pPr>
              <w:spacing w:line="241" w:lineRule="auto"/>
              <w:rPr>
                <w:rFonts w:ascii="Arial"/>
                <w:sz w:val="21"/>
              </w:rPr>
            </w:pPr>
          </w:p>
          <w:p w14:paraId="5D67C4C7">
            <w:pPr>
              <w:spacing w:line="241" w:lineRule="auto"/>
              <w:rPr>
                <w:rFonts w:ascii="Arial"/>
                <w:sz w:val="21"/>
              </w:rPr>
            </w:pPr>
          </w:p>
          <w:p w14:paraId="567D6B9A">
            <w:pPr>
              <w:spacing w:line="241" w:lineRule="auto"/>
              <w:rPr>
                <w:rFonts w:ascii="Arial"/>
                <w:sz w:val="21"/>
              </w:rPr>
            </w:pPr>
          </w:p>
          <w:p w14:paraId="4131719C">
            <w:pPr>
              <w:spacing w:line="241" w:lineRule="auto"/>
              <w:rPr>
                <w:rFonts w:ascii="Arial"/>
                <w:sz w:val="21"/>
              </w:rPr>
            </w:pPr>
          </w:p>
          <w:p w14:paraId="6B7DA3D1">
            <w:pPr>
              <w:spacing w:line="241" w:lineRule="auto"/>
              <w:rPr>
                <w:rFonts w:ascii="Arial"/>
                <w:sz w:val="21"/>
              </w:rPr>
            </w:pPr>
          </w:p>
          <w:p w14:paraId="2E4B82FE">
            <w:pPr>
              <w:spacing w:line="241" w:lineRule="auto"/>
              <w:rPr>
                <w:rFonts w:ascii="Arial"/>
                <w:sz w:val="21"/>
              </w:rPr>
            </w:pPr>
          </w:p>
          <w:p w14:paraId="53298200">
            <w:pPr>
              <w:spacing w:line="241" w:lineRule="auto"/>
              <w:rPr>
                <w:rFonts w:ascii="Arial"/>
                <w:sz w:val="21"/>
              </w:rPr>
            </w:pPr>
          </w:p>
          <w:p w14:paraId="4777B631">
            <w:pPr>
              <w:spacing w:line="241" w:lineRule="auto"/>
              <w:rPr>
                <w:rFonts w:ascii="Arial"/>
                <w:sz w:val="21"/>
              </w:rPr>
            </w:pPr>
          </w:p>
          <w:p w14:paraId="0C416FE7">
            <w:pPr>
              <w:spacing w:line="241" w:lineRule="auto"/>
              <w:rPr>
                <w:rFonts w:ascii="Arial"/>
                <w:sz w:val="21"/>
              </w:rPr>
            </w:pPr>
          </w:p>
          <w:p w14:paraId="208D3811">
            <w:pPr>
              <w:spacing w:line="241" w:lineRule="auto"/>
              <w:rPr>
                <w:rFonts w:ascii="Arial"/>
                <w:sz w:val="21"/>
              </w:rPr>
            </w:pPr>
          </w:p>
          <w:p w14:paraId="6A0ED90C">
            <w:pPr>
              <w:spacing w:before="75" w:line="186" w:lineRule="auto"/>
              <w:ind w:left="161"/>
              <w:rPr>
                <w:rFonts w:ascii="仿宋" w:hAnsi="仿宋" w:eastAsia="仿宋" w:cs="仿宋"/>
                <w:sz w:val="23"/>
                <w:szCs w:val="23"/>
              </w:rPr>
            </w:pPr>
            <w:r>
              <w:rPr>
                <w:rFonts w:ascii="仿宋" w:hAnsi="仿宋" w:eastAsia="仿宋" w:cs="仿宋"/>
                <w:spacing w:val="-5"/>
                <w:sz w:val="23"/>
                <w:szCs w:val="23"/>
              </w:rPr>
              <w:t>103</w:t>
            </w:r>
          </w:p>
        </w:tc>
        <w:tc>
          <w:tcPr>
            <w:tcW w:w="1440" w:type="dxa"/>
            <w:vMerge w:val="restart"/>
            <w:tcBorders>
              <w:bottom w:val="nil"/>
            </w:tcBorders>
            <w:vAlign w:val="top"/>
          </w:tcPr>
          <w:p w14:paraId="0B85EE06">
            <w:pPr>
              <w:spacing w:line="241" w:lineRule="auto"/>
              <w:rPr>
                <w:rFonts w:ascii="Arial"/>
                <w:sz w:val="21"/>
              </w:rPr>
            </w:pPr>
          </w:p>
          <w:p w14:paraId="51BBD063">
            <w:pPr>
              <w:spacing w:line="241" w:lineRule="auto"/>
              <w:rPr>
                <w:rFonts w:ascii="Arial"/>
                <w:sz w:val="21"/>
              </w:rPr>
            </w:pPr>
          </w:p>
          <w:p w14:paraId="2F1D7F23">
            <w:pPr>
              <w:spacing w:line="241" w:lineRule="auto"/>
              <w:rPr>
                <w:rFonts w:ascii="Arial"/>
                <w:sz w:val="21"/>
              </w:rPr>
            </w:pPr>
          </w:p>
          <w:p w14:paraId="693EF4F1">
            <w:pPr>
              <w:spacing w:line="241" w:lineRule="auto"/>
              <w:rPr>
                <w:rFonts w:ascii="Arial"/>
                <w:sz w:val="21"/>
              </w:rPr>
            </w:pPr>
          </w:p>
          <w:p w14:paraId="3529594A">
            <w:pPr>
              <w:spacing w:line="241" w:lineRule="auto"/>
              <w:rPr>
                <w:rFonts w:ascii="Arial"/>
                <w:sz w:val="21"/>
              </w:rPr>
            </w:pPr>
          </w:p>
          <w:p w14:paraId="7F2E04E3">
            <w:pPr>
              <w:spacing w:line="241" w:lineRule="auto"/>
              <w:rPr>
                <w:rFonts w:ascii="Arial"/>
                <w:sz w:val="21"/>
              </w:rPr>
            </w:pPr>
          </w:p>
          <w:p w14:paraId="7C453D9A">
            <w:pPr>
              <w:spacing w:line="241" w:lineRule="auto"/>
              <w:rPr>
                <w:rFonts w:ascii="Arial"/>
                <w:sz w:val="21"/>
              </w:rPr>
            </w:pPr>
          </w:p>
          <w:p w14:paraId="23F50045">
            <w:pPr>
              <w:spacing w:line="242" w:lineRule="auto"/>
              <w:rPr>
                <w:rFonts w:ascii="Arial"/>
                <w:sz w:val="21"/>
              </w:rPr>
            </w:pPr>
          </w:p>
          <w:p w14:paraId="3D892886">
            <w:pPr>
              <w:spacing w:line="242" w:lineRule="auto"/>
              <w:rPr>
                <w:rFonts w:ascii="Arial"/>
                <w:sz w:val="21"/>
              </w:rPr>
            </w:pPr>
          </w:p>
          <w:p w14:paraId="081541D4">
            <w:pPr>
              <w:pStyle w:val="6"/>
              <w:spacing w:before="98" w:line="186" w:lineRule="auto"/>
              <w:ind w:left="115" w:right="111"/>
              <w:jc w:val="both"/>
            </w:pPr>
            <w:r>
              <w:rPr>
                <w:spacing w:val="11"/>
              </w:rPr>
              <w:t>危险化学品经营企业在经营许可证有效期届满后仍然从事危险化学品</w:t>
            </w:r>
            <w:r>
              <w:rPr>
                <w:spacing w:val="5"/>
              </w:rPr>
              <w:t>经营的</w:t>
            </w:r>
          </w:p>
        </w:tc>
        <w:tc>
          <w:tcPr>
            <w:tcW w:w="3202" w:type="dxa"/>
            <w:vMerge w:val="restart"/>
            <w:tcBorders>
              <w:bottom w:val="nil"/>
            </w:tcBorders>
            <w:vAlign w:val="top"/>
          </w:tcPr>
          <w:p w14:paraId="506BF4E5">
            <w:pPr>
              <w:pStyle w:val="6"/>
              <w:spacing w:before="37" w:line="182" w:lineRule="auto"/>
              <w:ind w:left="116" w:right="19" w:firstLine="14"/>
              <w:jc w:val="both"/>
            </w:pPr>
            <w:r>
              <w:rPr>
                <w:rFonts w:ascii="宋体" w:hAnsi="宋体" w:eastAsia="宋体" w:cs="宋体"/>
                <w:spacing w:val="14"/>
              </w:rPr>
              <w:t>1.</w:t>
            </w:r>
            <w:r>
              <w:rPr>
                <w:spacing w:val="14"/>
              </w:rPr>
              <w:t>【法律】《中华人民共和</w:t>
            </w:r>
            <w:r>
              <w:rPr>
                <w:spacing w:val="17"/>
              </w:rPr>
              <w:t>国安全生产法》第三十九条</w:t>
            </w:r>
            <w:r>
              <w:rPr>
                <w:spacing w:val="2"/>
              </w:rPr>
              <w:t>第一款：生产、经营、运输、</w:t>
            </w:r>
            <w:r>
              <w:rPr>
                <w:spacing w:val="17"/>
              </w:rPr>
              <w:t>储存、使用危险物品或者处</w:t>
            </w:r>
            <w:r>
              <w:rPr>
                <w:spacing w:val="10"/>
              </w:rPr>
              <w:t>置废弃危险物品的，由有关</w:t>
            </w:r>
            <w:r>
              <w:rPr>
                <w:spacing w:val="17"/>
              </w:rPr>
              <w:t>主管部门依照有关法律、法规的规定和国家标准或者行</w:t>
            </w:r>
            <w:r>
              <w:rPr>
                <w:spacing w:val="39"/>
              </w:rPr>
              <w:t>业标准审批并实施监督管</w:t>
            </w:r>
            <w:r>
              <w:rPr>
                <w:spacing w:val="-7"/>
              </w:rPr>
              <w:t>理。</w:t>
            </w:r>
          </w:p>
          <w:p w14:paraId="773D0960">
            <w:pPr>
              <w:pStyle w:val="6"/>
              <w:spacing w:before="12" w:line="184" w:lineRule="auto"/>
              <w:ind w:left="118" w:right="107" w:hanging="2"/>
              <w:jc w:val="both"/>
            </w:pPr>
            <w:r>
              <w:rPr>
                <w:rFonts w:ascii="宋体" w:hAnsi="宋体" w:eastAsia="宋体" w:cs="宋体"/>
                <w:spacing w:val="15"/>
              </w:rPr>
              <w:t>2.</w:t>
            </w:r>
            <w:r>
              <w:rPr>
                <w:spacing w:val="15"/>
              </w:rPr>
              <w:t>【部门规章】《危险化学</w:t>
            </w:r>
            <w:r>
              <w:rPr>
                <w:spacing w:val="17"/>
              </w:rPr>
              <w:t>品经营许可证管理办法》第</w:t>
            </w:r>
            <w:r>
              <w:rPr>
                <w:spacing w:val="13"/>
              </w:rPr>
              <w:t>十八条第一款：经营许可证的有效期为</w:t>
            </w:r>
            <w:r>
              <w:rPr>
                <w:rFonts w:ascii="宋体" w:hAnsi="宋体" w:eastAsia="宋体" w:cs="宋体"/>
                <w:spacing w:val="13"/>
              </w:rPr>
              <w:t>3</w:t>
            </w:r>
            <w:r>
              <w:rPr>
                <w:spacing w:val="13"/>
              </w:rPr>
              <w:t>年。有效期满后，企业需要继续从事危险化学品经营活动的，应当在经营许可证有效期满</w:t>
            </w:r>
            <w:r>
              <w:rPr>
                <w:rFonts w:ascii="宋体" w:hAnsi="宋体" w:eastAsia="宋体" w:cs="宋体"/>
                <w:spacing w:val="13"/>
              </w:rPr>
              <w:t>3</w:t>
            </w:r>
            <w:r>
              <w:rPr>
                <w:spacing w:val="13"/>
              </w:rPr>
              <w:t>个月</w:t>
            </w:r>
            <w:r>
              <w:rPr>
                <w:spacing w:val="10"/>
              </w:rPr>
              <w:t>前，向本办法第五条规定的</w:t>
            </w:r>
            <w:r>
              <w:rPr>
                <w:spacing w:val="17"/>
              </w:rPr>
              <w:t>发证机关提出经营许可证的</w:t>
            </w:r>
            <w:r>
              <w:rPr>
                <w:spacing w:val="13"/>
              </w:rPr>
              <w:t>延期申请，并提交延期申请</w:t>
            </w:r>
            <w:r>
              <w:rPr>
                <w:spacing w:val="17"/>
              </w:rPr>
              <w:t>书及本办法第九条规定的申</w:t>
            </w:r>
            <w:r>
              <w:rPr>
                <w:spacing w:val="2"/>
              </w:rPr>
              <w:t>请文件、资料。</w:t>
            </w:r>
          </w:p>
        </w:tc>
        <w:tc>
          <w:tcPr>
            <w:tcW w:w="2859" w:type="dxa"/>
            <w:vMerge w:val="restart"/>
            <w:tcBorders>
              <w:bottom w:val="nil"/>
            </w:tcBorders>
            <w:vAlign w:val="top"/>
          </w:tcPr>
          <w:p w14:paraId="1F6747CF">
            <w:pPr>
              <w:pStyle w:val="6"/>
              <w:spacing w:before="39" w:line="182" w:lineRule="auto"/>
              <w:ind w:left="112" w:right="18" w:firstLine="18"/>
              <w:jc w:val="both"/>
            </w:pPr>
            <w:r>
              <w:rPr>
                <w:rFonts w:ascii="宋体" w:hAnsi="宋体" w:eastAsia="宋体" w:cs="宋体"/>
                <w:spacing w:val="5"/>
              </w:rPr>
              <w:t>1.</w:t>
            </w:r>
            <w:r>
              <w:rPr>
                <w:spacing w:val="5"/>
              </w:rPr>
              <w:t>【法律】《中华人民共</w:t>
            </w:r>
            <w:r>
              <w:rPr>
                <w:spacing w:val="8"/>
              </w:rPr>
              <w:t>和国安全生产法》第一百条：未经依法批准，擅自</w:t>
            </w:r>
            <w:r>
              <w:rPr>
                <w:spacing w:val="-4"/>
              </w:rPr>
              <w:t>生产、经营、运输、储存、</w:t>
            </w:r>
            <w:r>
              <w:rPr>
                <w:spacing w:val="9"/>
              </w:rPr>
              <w:t>使用危险物品或者处置废弃危险物品的，依照有关</w:t>
            </w:r>
            <w:r>
              <w:rPr>
                <w:spacing w:val="33"/>
              </w:rPr>
              <w:t>危险物品安全管理的法</w:t>
            </w:r>
            <w:r>
              <w:rPr>
                <w:spacing w:val="9"/>
              </w:rPr>
              <w:t>律、行政法规的规定予以处罚；构成犯罪的，依照刑法有关规定追究刑事责</w:t>
            </w:r>
            <w:r>
              <w:rPr>
                <w:spacing w:val="-6"/>
              </w:rPr>
              <w:t>任。</w:t>
            </w:r>
          </w:p>
          <w:p w14:paraId="28B1CC67">
            <w:pPr>
              <w:pStyle w:val="6"/>
              <w:spacing w:before="7" w:line="180" w:lineRule="auto"/>
              <w:ind w:left="116" w:right="105"/>
              <w:jc w:val="both"/>
            </w:pPr>
            <w:r>
              <w:rPr>
                <w:rFonts w:ascii="宋体" w:hAnsi="宋体" w:eastAsia="宋体" w:cs="宋体"/>
                <w:spacing w:val="7"/>
              </w:rPr>
              <w:t>2.</w:t>
            </w:r>
            <w:r>
              <w:rPr>
                <w:spacing w:val="7"/>
              </w:rPr>
              <w:t>【行政法规】《危险化</w:t>
            </w:r>
            <w:r>
              <w:rPr>
                <w:spacing w:val="8"/>
              </w:rPr>
              <w:t>学品安全管理条例》第七十七条第三款：违反本条</w:t>
            </w:r>
            <w:r>
              <w:rPr>
                <w:spacing w:val="4"/>
              </w:rPr>
              <w:t>例规定，未取得危险化学</w:t>
            </w:r>
            <w:r>
              <w:rPr>
                <w:spacing w:val="8"/>
              </w:rPr>
              <w:t>品经营许可证从事危险化学品经营的，由安全生产监督管理部门责令停止经</w:t>
            </w:r>
            <w:r>
              <w:rPr>
                <w:spacing w:val="4"/>
              </w:rPr>
              <w:t>营活动，没收违法经营的</w:t>
            </w:r>
            <w:r>
              <w:rPr>
                <w:spacing w:val="32"/>
              </w:rPr>
              <w:t>危险化学品以及违法所</w:t>
            </w:r>
            <w:r>
              <w:rPr>
                <w:spacing w:val="2"/>
              </w:rPr>
              <w:t>得，并处</w:t>
            </w:r>
            <w:r>
              <w:rPr>
                <w:rFonts w:ascii="宋体" w:hAnsi="宋体" w:eastAsia="宋体" w:cs="宋体"/>
                <w:spacing w:val="2"/>
              </w:rPr>
              <w:t>10</w:t>
            </w:r>
            <w:r>
              <w:rPr>
                <w:spacing w:val="2"/>
              </w:rPr>
              <w:t>万元以上</w:t>
            </w:r>
            <w:r>
              <w:rPr>
                <w:rFonts w:ascii="宋体" w:hAnsi="宋体" w:eastAsia="宋体" w:cs="宋体"/>
                <w:spacing w:val="2"/>
              </w:rPr>
              <w:t>20</w:t>
            </w:r>
            <w:r>
              <w:rPr>
                <w:spacing w:val="8"/>
              </w:rPr>
              <w:t>万元以下的罚款；构成犯</w:t>
            </w:r>
          </w:p>
        </w:tc>
        <w:tc>
          <w:tcPr>
            <w:tcW w:w="803" w:type="dxa"/>
            <w:vAlign w:val="top"/>
          </w:tcPr>
          <w:p w14:paraId="20DF6CAA">
            <w:pPr>
              <w:spacing w:line="263" w:lineRule="auto"/>
              <w:rPr>
                <w:rFonts w:ascii="Arial"/>
                <w:sz w:val="21"/>
              </w:rPr>
            </w:pPr>
          </w:p>
          <w:p w14:paraId="0E12453A">
            <w:pPr>
              <w:spacing w:line="263" w:lineRule="auto"/>
              <w:rPr>
                <w:rFonts w:ascii="Arial"/>
                <w:sz w:val="21"/>
              </w:rPr>
            </w:pPr>
          </w:p>
          <w:p w14:paraId="50DA8F61">
            <w:pPr>
              <w:spacing w:line="263" w:lineRule="auto"/>
              <w:rPr>
                <w:rFonts w:ascii="Arial"/>
                <w:sz w:val="21"/>
              </w:rPr>
            </w:pPr>
          </w:p>
          <w:p w14:paraId="57C10245">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F018F57">
            <w:pPr>
              <w:spacing w:line="427" w:lineRule="auto"/>
              <w:rPr>
                <w:rFonts w:ascii="Arial"/>
                <w:sz w:val="21"/>
              </w:rPr>
            </w:pPr>
          </w:p>
          <w:p w14:paraId="7BC7B5AD">
            <w:pPr>
              <w:pStyle w:val="6"/>
              <w:spacing w:before="99" w:line="192" w:lineRule="auto"/>
              <w:ind w:left="128" w:right="106" w:hanging="1"/>
              <w:jc w:val="both"/>
            </w:pPr>
            <w:r>
              <w:rPr>
                <w:spacing w:val="25"/>
              </w:rPr>
              <w:t>没有违法所得或违</w:t>
            </w:r>
            <w:r>
              <w:rPr>
                <w:spacing w:val="1"/>
              </w:rPr>
              <w:t>法所得</w:t>
            </w:r>
            <w:r>
              <w:rPr>
                <w:rFonts w:ascii="宋体" w:hAnsi="宋体" w:eastAsia="宋体" w:cs="宋体"/>
                <w:spacing w:val="1"/>
              </w:rPr>
              <w:t>10</w:t>
            </w:r>
            <w:r>
              <w:rPr>
                <w:spacing w:val="1"/>
              </w:rPr>
              <w:t>万元以下</w:t>
            </w:r>
            <w:r>
              <w:t>的</w:t>
            </w:r>
          </w:p>
        </w:tc>
        <w:tc>
          <w:tcPr>
            <w:tcW w:w="2894" w:type="dxa"/>
            <w:vAlign w:val="top"/>
          </w:tcPr>
          <w:p w14:paraId="0F02B290">
            <w:pPr>
              <w:spacing w:line="279" w:lineRule="auto"/>
              <w:rPr>
                <w:rFonts w:ascii="Arial"/>
                <w:sz w:val="21"/>
              </w:rPr>
            </w:pPr>
          </w:p>
          <w:p w14:paraId="067E242D">
            <w:pPr>
              <w:pStyle w:val="6"/>
              <w:spacing w:before="98" w:line="189" w:lineRule="auto"/>
              <w:ind w:left="117" w:right="105" w:firstLine="10"/>
              <w:jc w:val="both"/>
            </w:pPr>
            <w:r>
              <w:rPr>
                <w:spacing w:val="7"/>
              </w:rPr>
              <w:t>责令停止经营活动，没收</w:t>
            </w:r>
            <w:r>
              <w:rPr>
                <w:spacing w:val="11"/>
              </w:rPr>
              <w:t>违法经营的危险化学品以</w:t>
            </w:r>
            <w:r>
              <w:rPr>
                <w:spacing w:val="-4"/>
              </w:rPr>
              <w:t>及违法所得，并处</w:t>
            </w:r>
            <w:r>
              <w:rPr>
                <w:rFonts w:ascii="宋体" w:hAnsi="宋体" w:eastAsia="宋体" w:cs="宋体"/>
                <w:spacing w:val="-4"/>
              </w:rPr>
              <w:t>10</w:t>
            </w:r>
            <w:r>
              <w:rPr>
                <w:spacing w:val="-4"/>
              </w:rPr>
              <w:t>万元</w:t>
            </w:r>
            <w:r>
              <w:rPr>
                <w:spacing w:val="2"/>
              </w:rPr>
              <w:t>以上</w:t>
            </w:r>
            <w:r>
              <w:rPr>
                <w:rFonts w:ascii="宋体" w:hAnsi="宋体" w:eastAsia="宋体" w:cs="宋体"/>
                <w:spacing w:val="2"/>
              </w:rPr>
              <w:t>13</w:t>
            </w:r>
            <w:r>
              <w:rPr>
                <w:spacing w:val="2"/>
              </w:rPr>
              <w:t>万元以下的罚款</w:t>
            </w:r>
          </w:p>
        </w:tc>
        <w:tc>
          <w:tcPr>
            <w:tcW w:w="811" w:type="dxa"/>
            <w:vMerge w:val="restart"/>
            <w:tcBorders>
              <w:bottom w:val="nil"/>
            </w:tcBorders>
            <w:vAlign w:val="top"/>
          </w:tcPr>
          <w:p w14:paraId="35AC1AAA">
            <w:pPr>
              <w:rPr>
                <w:rFonts w:ascii="Arial"/>
                <w:sz w:val="21"/>
              </w:rPr>
            </w:pPr>
          </w:p>
          <w:p w14:paraId="724961FD">
            <w:pPr>
              <w:rPr>
                <w:rFonts w:ascii="Arial"/>
                <w:sz w:val="21"/>
              </w:rPr>
            </w:pPr>
          </w:p>
          <w:p w14:paraId="22914E2A">
            <w:pPr>
              <w:rPr>
                <w:rFonts w:ascii="Arial"/>
                <w:sz w:val="21"/>
              </w:rPr>
            </w:pPr>
          </w:p>
          <w:p w14:paraId="0DA508E6">
            <w:pPr>
              <w:spacing w:line="241" w:lineRule="auto"/>
              <w:rPr>
                <w:rFonts w:ascii="Arial"/>
                <w:sz w:val="21"/>
              </w:rPr>
            </w:pPr>
          </w:p>
          <w:p w14:paraId="55BA0970">
            <w:pPr>
              <w:spacing w:line="241" w:lineRule="auto"/>
              <w:rPr>
                <w:rFonts w:ascii="Arial"/>
                <w:sz w:val="21"/>
              </w:rPr>
            </w:pPr>
          </w:p>
          <w:p w14:paraId="6648ACF5">
            <w:pPr>
              <w:spacing w:line="241" w:lineRule="auto"/>
              <w:rPr>
                <w:rFonts w:ascii="Arial"/>
                <w:sz w:val="21"/>
              </w:rPr>
            </w:pPr>
          </w:p>
          <w:p w14:paraId="4949D062">
            <w:pPr>
              <w:spacing w:line="241" w:lineRule="auto"/>
              <w:rPr>
                <w:rFonts w:ascii="Arial"/>
                <w:sz w:val="21"/>
              </w:rPr>
            </w:pPr>
          </w:p>
          <w:p w14:paraId="4F07C58B">
            <w:pPr>
              <w:spacing w:line="241" w:lineRule="auto"/>
              <w:rPr>
                <w:rFonts w:ascii="Arial"/>
                <w:sz w:val="21"/>
              </w:rPr>
            </w:pPr>
          </w:p>
          <w:p w14:paraId="7EAD1FE0">
            <w:pPr>
              <w:spacing w:line="241" w:lineRule="auto"/>
              <w:rPr>
                <w:rFonts w:ascii="Arial"/>
                <w:sz w:val="21"/>
              </w:rPr>
            </w:pPr>
          </w:p>
          <w:p w14:paraId="7FF23CA1">
            <w:pPr>
              <w:spacing w:line="241" w:lineRule="auto"/>
              <w:rPr>
                <w:rFonts w:ascii="Arial"/>
                <w:sz w:val="21"/>
              </w:rPr>
            </w:pPr>
          </w:p>
          <w:p w14:paraId="7A542E19">
            <w:pPr>
              <w:spacing w:line="241" w:lineRule="auto"/>
              <w:rPr>
                <w:rFonts w:ascii="Arial"/>
                <w:sz w:val="21"/>
              </w:rPr>
            </w:pPr>
          </w:p>
          <w:p w14:paraId="17A8A9FF">
            <w:pPr>
              <w:spacing w:line="241" w:lineRule="auto"/>
              <w:rPr>
                <w:rFonts w:ascii="Arial"/>
                <w:sz w:val="21"/>
              </w:rPr>
            </w:pPr>
          </w:p>
          <w:p w14:paraId="397BC40B">
            <w:pPr>
              <w:spacing w:line="241" w:lineRule="auto"/>
              <w:rPr>
                <w:rFonts w:ascii="Arial"/>
                <w:sz w:val="21"/>
              </w:rPr>
            </w:pPr>
          </w:p>
          <w:p w14:paraId="0C2F29F7">
            <w:pPr>
              <w:spacing w:before="75" w:line="187" w:lineRule="auto"/>
              <w:ind w:left="296"/>
              <w:rPr>
                <w:rFonts w:ascii="宋体" w:hAnsi="宋体" w:eastAsia="宋体" w:cs="宋体"/>
                <w:sz w:val="23"/>
                <w:szCs w:val="23"/>
              </w:rPr>
            </w:pPr>
            <w:r>
              <w:rPr>
                <w:rFonts w:ascii="宋体" w:hAnsi="宋体" w:eastAsia="宋体" w:cs="宋体"/>
                <w:spacing w:val="-5"/>
                <w:sz w:val="23"/>
                <w:szCs w:val="23"/>
              </w:rPr>
              <w:t>75</w:t>
            </w:r>
          </w:p>
        </w:tc>
      </w:tr>
      <w:tr w14:paraId="78938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0" w:hRule="atLeast"/>
        </w:trPr>
        <w:tc>
          <w:tcPr>
            <w:tcW w:w="818" w:type="dxa"/>
            <w:vMerge w:val="continue"/>
            <w:tcBorders>
              <w:top w:val="nil"/>
              <w:bottom w:val="nil"/>
            </w:tcBorders>
            <w:vAlign w:val="top"/>
          </w:tcPr>
          <w:p w14:paraId="7634C4DA">
            <w:pPr>
              <w:rPr>
                <w:rFonts w:ascii="Arial"/>
                <w:sz w:val="21"/>
              </w:rPr>
            </w:pPr>
          </w:p>
        </w:tc>
        <w:tc>
          <w:tcPr>
            <w:tcW w:w="1440" w:type="dxa"/>
            <w:vMerge w:val="continue"/>
            <w:tcBorders>
              <w:top w:val="nil"/>
              <w:bottom w:val="nil"/>
            </w:tcBorders>
            <w:vAlign w:val="top"/>
          </w:tcPr>
          <w:p w14:paraId="578175FB">
            <w:pPr>
              <w:rPr>
                <w:rFonts w:ascii="Arial"/>
                <w:sz w:val="21"/>
              </w:rPr>
            </w:pPr>
          </w:p>
        </w:tc>
        <w:tc>
          <w:tcPr>
            <w:tcW w:w="3202" w:type="dxa"/>
            <w:vMerge w:val="continue"/>
            <w:tcBorders>
              <w:top w:val="nil"/>
              <w:bottom w:val="nil"/>
            </w:tcBorders>
            <w:vAlign w:val="top"/>
          </w:tcPr>
          <w:p w14:paraId="58BFF179">
            <w:pPr>
              <w:rPr>
                <w:rFonts w:ascii="Arial"/>
                <w:sz w:val="21"/>
              </w:rPr>
            </w:pPr>
          </w:p>
        </w:tc>
        <w:tc>
          <w:tcPr>
            <w:tcW w:w="2859" w:type="dxa"/>
            <w:vMerge w:val="continue"/>
            <w:tcBorders>
              <w:top w:val="nil"/>
              <w:bottom w:val="nil"/>
            </w:tcBorders>
            <w:vAlign w:val="top"/>
          </w:tcPr>
          <w:p w14:paraId="791DD406">
            <w:pPr>
              <w:rPr>
                <w:rFonts w:ascii="Arial"/>
                <w:sz w:val="21"/>
              </w:rPr>
            </w:pPr>
          </w:p>
        </w:tc>
        <w:tc>
          <w:tcPr>
            <w:tcW w:w="803" w:type="dxa"/>
            <w:vAlign w:val="top"/>
          </w:tcPr>
          <w:p w14:paraId="7E44D7D3">
            <w:pPr>
              <w:spacing w:line="304" w:lineRule="auto"/>
              <w:rPr>
                <w:rFonts w:ascii="Arial"/>
                <w:sz w:val="21"/>
              </w:rPr>
            </w:pPr>
          </w:p>
          <w:p w14:paraId="7EB3233F">
            <w:pPr>
              <w:spacing w:line="305" w:lineRule="auto"/>
              <w:rPr>
                <w:rFonts w:ascii="Arial"/>
                <w:sz w:val="21"/>
              </w:rPr>
            </w:pPr>
          </w:p>
          <w:p w14:paraId="26BC12AA">
            <w:pPr>
              <w:spacing w:line="305" w:lineRule="auto"/>
              <w:rPr>
                <w:rFonts w:ascii="Arial"/>
                <w:sz w:val="21"/>
              </w:rPr>
            </w:pPr>
          </w:p>
          <w:p w14:paraId="2EB293C9">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09746A7">
            <w:pPr>
              <w:spacing w:line="347" w:lineRule="auto"/>
              <w:rPr>
                <w:rFonts w:ascii="Arial"/>
                <w:sz w:val="21"/>
              </w:rPr>
            </w:pPr>
          </w:p>
          <w:p w14:paraId="4DBFF879">
            <w:pPr>
              <w:spacing w:line="347" w:lineRule="auto"/>
              <w:rPr>
                <w:rFonts w:ascii="Arial"/>
                <w:sz w:val="21"/>
              </w:rPr>
            </w:pPr>
          </w:p>
          <w:p w14:paraId="6D7B5832">
            <w:pPr>
              <w:pStyle w:val="6"/>
              <w:spacing w:before="99" w:line="196" w:lineRule="auto"/>
              <w:ind w:left="122" w:right="106" w:hanging="5"/>
            </w:pPr>
            <w:r>
              <w:rPr>
                <w:spacing w:val="3"/>
              </w:rPr>
              <w:t>违法所得</w:t>
            </w:r>
            <w:r>
              <w:rPr>
                <w:rFonts w:ascii="宋体" w:hAnsi="宋体" w:eastAsia="宋体" w:cs="宋体"/>
                <w:spacing w:val="3"/>
              </w:rPr>
              <w:t>10</w:t>
            </w:r>
            <w:r>
              <w:rPr>
                <w:spacing w:val="3"/>
              </w:rPr>
              <w:t>万元以</w:t>
            </w:r>
            <w:r>
              <w:rPr>
                <w:spacing w:val="1"/>
              </w:rPr>
              <w:t>上</w:t>
            </w:r>
            <w:r>
              <w:rPr>
                <w:rFonts w:ascii="宋体" w:hAnsi="宋体" w:eastAsia="宋体" w:cs="宋体"/>
                <w:spacing w:val="1"/>
              </w:rPr>
              <w:t>30</w:t>
            </w:r>
            <w:r>
              <w:rPr>
                <w:spacing w:val="1"/>
              </w:rPr>
              <w:t>万元以下的</w:t>
            </w:r>
          </w:p>
        </w:tc>
        <w:tc>
          <w:tcPr>
            <w:tcW w:w="2894" w:type="dxa"/>
            <w:vAlign w:val="top"/>
          </w:tcPr>
          <w:p w14:paraId="170C6E66">
            <w:pPr>
              <w:spacing w:line="397" w:lineRule="auto"/>
              <w:rPr>
                <w:rFonts w:ascii="Arial"/>
                <w:sz w:val="21"/>
              </w:rPr>
            </w:pPr>
          </w:p>
          <w:p w14:paraId="1B4E203C">
            <w:pPr>
              <w:pStyle w:val="6"/>
              <w:spacing w:before="99" w:line="189" w:lineRule="auto"/>
              <w:ind w:left="117" w:right="105" w:firstLine="10"/>
              <w:jc w:val="both"/>
            </w:pPr>
            <w:r>
              <w:rPr>
                <w:spacing w:val="7"/>
              </w:rPr>
              <w:t>责令停止经营活动，没收</w:t>
            </w:r>
            <w:r>
              <w:rPr>
                <w:spacing w:val="11"/>
              </w:rPr>
              <w:t>违法经营的危险化学品以</w:t>
            </w:r>
            <w:r>
              <w:rPr>
                <w:spacing w:val="-4"/>
              </w:rPr>
              <w:t>及违法所得，并处</w:t>
            </w:r>
            <w:r>
              <w:rPr>
                <w:rFonts w:ascii="宋体" w:hAnsi="宋体" w:eastAsia="宋体" w:cs="宋体"/>
                <w:spacing w:val="-4"/>
              </w:rPr>
              <w:t>13</w:t>
            </w:r>
            <w:r>
              <w:rPr>
                <w:spacing w:val="-4"/>
              </w:rPr>
              <w:t>万元</w:t>
            </w:r>
            <w:r>
              <w:rPr>
                <w:spacing w:val="2"/>
              </w:rPr>
              <w:t>以上</w:t>
            </w:r>
            <w:r>
              <w:rPr>
                <w:rFonts w:ascii="宋体" w:hAnsi="宋体" w:eastAsia="宋体" w:cs="宋体"/>
                <w:spacing w:val="2"/>
              </w:rPr>
              <w:t>17</w:t>
            </w:r>
            <w:r>
              <w:rPr>
                <w:spacing w:val="2"/>
              </w:rPr>
              <w:t>万元以下的罚款</w:t>
            </w:r>
          </w:p>
        </w:tc>
        <w:tc>
          <w:tcPr>
            <w:tcW w:w="811" w:type="dxa"/>
            <w:vMerge w:val="continue"/>
            <w:tcBorders>
              <w:top w:val="nil"/>
              <w:bottom w:val="nil"/>
            </w:tcBorders>
            <w:vAlign w:val="top"/>
          </w:tcPr>
          <w:p w14:paraId="24C9A578">
            <w:pPr>
              <w:rPr>
                <w:rFonts w:ascii="Arial"/>
                <w:sz w:val="21"/>
              </w:rPr>
            </w:pPr>
          </w:p>
        </w:tc>
      </w:tr>
      <w:tr w14:paraId="79E58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3" w:hRule="atLeast"/>
        </w:trPr>
        <w:tc>
          <w:tcPr>
            <w:tcW w:w="818" w:type="dxa"/>
            <w:vMerge w:val="continue"/>
            <w:tcBorders>
              <w:top w:val="nil"/>
            </w:tcBorders>
            <w:vAlign w:val="top"/>
          </w:tcPr>
          <w:p w14:paraId="5EF20BB1">
            <w:pPr>
              <w:rPr>
                <w:rFonts w:ascii="Arial"/>
                <w:sz w:val="21"/>
              </w:rPr>
            </w:pPr>
          </w:p>
        </w:tc>
        <w:tc>
          <w:tcPr>
            <w:tcW w:w="1440" w:type="dxa"/>
            <w:vMerge w:val="continue"/>
            <w:tcBorders>
              <w:top w:val="nil"/>
            </w:tcBorders>
            <w:vAlign w:val="top"/>
          </w:tcPr>
          <w:p w14:paraId="15E33C29">
            <w:pPr>
              <w:rPr>
                <w:rFonts w:ascii="Arial"/>
                <w:sz w:val="21"/>
              </w:rPr>
            </w:pPr>
          </w:p>
        </w:tc>
        <w:tc>
          <w:tcPr>
            <w:tcW w:w="3202" w:type="dxa"/>
            <w:vMerge w:val="continue"/>
            <w:tcBorders>
              <w:top w:val="nil"/>
            </w:tcBorders>
            <w:vAlign w:val="top"/>
          </w:tcPr>
          <w:p w14:paraId="5EC38C58">
            <w:pPr>
              <w:rPr>
                <w:rFonts w:ascii="Arial"/>
                <w:sz w:val="21"/>
              </w:rPr>
            </w:pPr>
          </w:p>
        </w:tc>
        <w:tc>
          <w:tcPr>
            <w:tcW w:w="2859" w:type="dxa"/>
            <w:vMerge w:val="continue"/>
            <w:tcBorders>
              <w:top w:val="nil"/>
            </w:tcBorders>
            <w:vAlign w:val="top"/>
          </w:tcPr>
          <w:p w14:paraId="4CC6A11B">
            <w:pPr>
              <w:rPr>
                <w:rFonts w:ascii="Arial"/>
                <w:sz w:val="21"/>
              </w:rPr>
            </w:pPr>
          </w:p>
        </w:tc>
        <w:tc>
          <w:tcPr>
            <w:tcW w:w="803" w:type="dxa"/>
            <w:vAlign w:val="top"/>
          </w:tcPr>
          <w:p w14:paraId="7786C95B">
            <w:pPr>
              <w:spacing w:line="279" w:lineRule="auto"/>
              <w:rPr>
                <w:rFonts w:ascii="Arial"/>
                <w:sz w:val="21"/>
              </w:rPr>
            </w:pPr>
          </w:p>
          <w:p w14:paraId="7347DB52">
            <w:pPr>
              <w:spacing w:line="279" w:lineRule="auto"/>
              <w:rPr>
                <w:rFonts w:ascii="Arial"/>
                <w:sz w:val="21"/>
              </w:rPr>
            </w:pPr>
          </w:p>
          <w:p w14:paraId="3CA40691">
            <w:pPr>
              <w:spacing w:line="280" w:lineRule="auto"/>
              <w:rPr>
                <w:rFonts w:ascii="Arial"/>
                <w:sz w:val="21"/>
              </w:rPr>
            </w:pPr>
          </w:p>
          <w:p w14:paraId="3B1265D2">
            <w:pPr>
              <w:spacing w:line="280" w:lineRule="auto"/>
              <w:rPr>
                <w:rFonts w:ascii="Arial"/>
                <w:sz w:val="21"/>
              </w:rPr>
            </w:pPr>
          </w:p>
          <w:p w14:paraId="62FD1A57">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63A4306">
            <w:pPr>
              <w:spacing w:line="300" w:lineRule="auto"/>
              <w:rPr>
                <w:rFonts w:ascii="Arial"/>
                <w:sz w:val="21"/>
              </w:rPr>
            </w:pPr>
          </w:p>
          <w:p w14:paraId="5BAF1A1D">
            <w:pPr>
              <w:spacing w:line="300" w:lineRule="auto"/>
              <w:rPr>
                <w:rFonts w:ascii="Arial"/>
                <w:sz w:val="21"/>
              </w:rPr>
            </w:pPr>
          </w:p>
          <w:p w14:paraId="3FF18C53">
            <w:pPr>
              <w:spacing w:line="301" w:lineRule="auto"/>
              <w:rPr>
                <w:rFonts w:ascii="Arial"/>
                <w:sz w:val="21"/>
              </w:rPr>
            </w:pPr>
          </w:p>
          <w:p w14:paraId="57F6E520">
            <w:pPr>
              <w:pStyle w:val="6"/>
              <w:spacing w:before="99" w:line="197" w:lineRule="auto"/>
              <w:ind w:left="122" w:right="106" w:hanging="5"/>
            </w:pPr>
            <w:r>
              <w:rPr>
                <w:spacing w:val="5"/>
              </w:rPr>
              <w:t>违法所得</w:t>
            </w:r>
            <w:r>
              <w:rPr>
                <w:rFonts w:ascii="宋体" w:hAnsi="宋体" w:eastAsia="宋体" w:cs="宋体"/>
                <w:spacing w:val="5"/>
              </w:rPr>
              <w:t>30</w:t>
            </w:r>
            <w:r>
              <w:rPr>
                <w:spacing w:val="5"/>
              </w:rPr>
              <w:t>万元以</w:t>
            </w:r>
            <w:r>
              <w:t>上的</w:t>
            </w:r>
          </w:p>
        </w:tc>
        <w:tc>
          <w:tcPr>
            <w:tcW w:w="2894" w:type="dxa"/>
            <w:vAlign w:val="top"/>
          </w:tcPr>
          <w:p w14:paraId="532F11B7">
            <w:pPr>
              <w:spacing w:line="301" w:lineRule="auto"/>
              <w:rPr>
                <w:rFonts w:ascii="Arial"/>
                <w:sz w:val="21"/>
              </w:rPr>
            </w:pPr>
          </w:p>
          <w:p w14:paraId="00BDA7D2">
            <w:pPr>
              <w:spacing w:line="302" w:lineRule="auto"/>
              <w:rPr>
                <w:rFonts w:ascii="Arial"/>
                <w:sz w:val="21"/>
              </w:rPr>
            </w:pPr>
          </w:p>
          <w:p w14:paraId="44663810">
            <w:pPr>
              <w:pStyle w:val="6"/>
              <w:spacing w:before="99" w:line="189" w:lineRule="auto"/>
              <w:ind w:left="117" w:right="105" w:firstLine="10"/>
              <w:jc w:val="both"/>
            </w:pPr>
            <w:r>
              <w:rPr>
                <w:spacing w:val="7"/>
              </w:rPr>
              <w:t>责令停止经营活动，没收</w:t>
            </w:r>
            <w:r>
              <w:rPr>
                <w:spacing w:val="11"/>
              </w:rPr>
              <w:t>违法经营的危险化学品以</w:t>
            </w:r>
            <w:r>
              <w:rPr>
                <w:spacing w:val="-4"/>
              </w:rPr>
              <w:t>及违法所得，并处</w:t>
            </w:r>
            <w:r>
              <w:rPr>
                <w:rFonts w:ascii="宋体" w:hAnsi="宋体" w:eastAsia="宋体" w:cs="宋体"/>
                <w:spacing w:val="-4"/>
              </w:rPr>
              <w:t>17</w:t>
            </w:r>
            <w:r>
              <w:rPr>
                <w:spacing w:val="-4"/>
              </w:rPr>
              <w:t>万元</w:t>
            </w:r>
            <w:r>
              <w:rPr>
                <w:spacing w:val="4"/>
              </w:rPr>
              <w:t>以上</w:t>
            </w:r>
            <w:r>
              <w:rPr>
                <w:rFonts w:ascii="宋体" w:hAnsi="宋体" w:eastAsia="宋体" w:cs="宋体"/>
                <w:spacing w:val="4"/>
              </w:rPr>
              <w:t>20</w:t>
            </w:r>
            <w:r>
              <w:rPr>
                <w:spacing w:val="4"/>
              </w:rPr>
              <w:t>万元以下的罚款</w:t>
            </w:r>
          </w:p>
        </w:tc>
        <w:tc>
          <w:tcPr>
            <w:tcW w:w="811" w:type="dxa"/>
            <w:vMerge w:val="continue"/>
            <w:tcBorders>
              <w:top w:val="nil"/>
            </w:tcBorders>
            <w:vAlign w:val="top"/>
          </w:tcPr>
          <w:p w14:paraId="051C685E">
            <w:pPr>
              <w:rPr>
                <w:rFonts w:ascii="Arial"/>
                <w:sz w:val="21"/>
              </w:rPr>
            </w:pPr>
          </w:p>
        </w:tc>
      </w:tr>
    </w:tbl>
    <w:p w14:paraId="76C81F5A">
      <w:pPr>
        <w:pStyle w:val="2"/>
      </w:pPr>
    </w:p>
    <w:p w14:paraId="49E726B1">
      <w:pPr>
        <w:sectPr>
          <w:footerReference r:id="rId128" w:type="default"/>
          <w:pgSz w:w="16839" w:h="11906"/>
          <w:pgMar w:top="1012" w:right="821" w:bottom="667" w:left="901" w:header="0" w:footer="388" w:gutter="0"/>
          <w:cols w:space="720" w:num="1"/>
        </w:sectPr>
      </w:pPr>
    </w:p>
    <w:p w14:paraId="42DBB2A2">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D203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44AB921">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7D282D46">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85C067C">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8323ACC">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D9DA71D">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F4CA7A6">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B536C63">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8C0F717">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24CE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3" w:hRule="atLeast"/>
        </w:trPr>
        <w:tc>
          <w:tcPr>
            <w:tcW w:w="818" w:type="dxa"/>
            <w:vAlign w:val="top"/>
          </w:tcPr>
          <w:p w14:paraId="40A68694">
            <w:pPr>
              <w:rPr>
                <w:rFonts w:ascii="Arial"/>
                <w:sz w:val="21"/>
              </w:rPr>
            </w:pPr>
          </w:p>
        </w:tc>
        <w:tc>
          <w:tcPr>
            <w:tcW w:w="1440" w:type="dxa"/>
            <w:vAlign w:val="top"/>
          </w:tcPr>
          <w:p w14:paraId="482B243A">
            <w:pPr>
              <w:rPr>
                <w:rFonts w:ascii="Arial"/>
                <w:sz w:val="21"/>
              </w:rPr>
            </w:pPr>
          </w:p>
        </w:tc>
        <w:tc>
          <w:tcPr>
            <w:tcW w:w="3202" w:type="dxa"/>
            <w:vAlign w:val="top"/>
          </w:tcPr>
          <w:p w14:paraId="61D858FA">
            <w:pPr>
              <w:rPr>
                <w:rFonts w:ascii="Arial"/>
                <w:sz w:val="21"/>
              </w:rPr>
            </w:pPr>
          </w:p>
        </w:tc>
        <w:tc>
          <w:tcPr>
            <w:tcW w:w="2859" w:type="dxa"/>
            <w:vAlign w:val="top"/>
          </w:tcPr>
          <w:p w14:paraId="7053B4E7">
            <w:pPr>
              <w:pStyle w:val="6"/>
              <w:spacing w:before="30" w:line="182" w:lineRule="auto"/>
              <w:ind w:left="118" w:right="23" w:firstLine="7"/>
              <w:jc w:val="both"/>
            </w:pPr>
            <w:r>
              <w:rPr>
                <w:spacing w:val="-5"/>
              </w:rPr>
              <w:t>罪的，依法追究刑事责任。</w:t>
            </w:r>
            <w:r>
              <w:rPr>
                <w:rFonts w:ascii="宋体" w:hAnsi="宋体" w:eastAsia="宋体" w:cs="宋体"/>
                <w:spacing w:val="7"/>
              </w:rPr>
              <w:t>3.</w:t>
            </w:r>
            <w:r>
              <w:rPr>
                <w:spacing w:val="7"/>
              </w:rPr>
              <w:t>【部门规章】《危险化</w:t>
            </w:r>
            <w:r>
              <w:rPr>
                <w:spacing w:val="32"/>
              </w:rPr>
              <w:t>学品经营许可证管理办</w:t>
            </w:r>
          </w:p>
          <w:p w14:paraId="2B8BD445">
            <w:pPr>
              <w:pStyle w:val="6"/>
              <w:spacing w:line="182" w:lineRule="auto"/>
              <w:ind w:left="129"/>
              <w:outlineLvl w:val="0"/>
            </w:pPr>
            <w:r>
              <w:rPr>
                <w:spacing w:val="7"/>
              </w:rPr>
              <w:t>法》第二十九条：未取得</w:t>
            </w:r>
          </w:p>
          <w:p w14:paraId="7E8BAB80">
            <w:pPr>
              <w:pStyle w:val="6"/>
              <w:spacing w:before="5" w:line="182" w:lineRule="auto"/>
              <w:ind w:left="119" w:right="110" w:firstLine="3"/>
              <w:jc w:val="both"/>
            </w:pPr>
            <w:bookmarkStart w:id="525" w:name="bookmark214"/>
            <w:bookmarkEnd w:id="525"/>
            <w:r>
              <w:rPr>
                <w:spacing w:val="8"/>
              </w:rPr>
              <w:t>经营许可证从事危险化学品经营的，依照《中华人民共和国安全生产法》有</w:t>
            </w:r>
            <w:r>
              <w:rPr>
                <w:spacing w:val="32"/>
              </w:rPr>
              <w:t>关未经依法批准擅自生</w:t>
            </w:r>
            <w:r>
              <w:rPr>
                <w:spacing w:val="8"/>
              </w:rPr>
              <w:t>产、经营、储存危险物品</w:t>
            </w:r>
            <w:r>
              <w:rPr>
                <w:spacing w:val="32"/>
              </w:rPr>
              <w:t>的法律责任条款并处罚</w:t>
            </w:r>
            <w:r>
              <w:rPr>
                <w:spacing w:val="8"/>
              </w:rPr>
              <w:t>款；构成犯罪的，依法追</w:t>
            </w:r>
            <w:r>
              <w:rPr>
                <w:spacing w:val="1"/>
              </w:rPr>
              <w:t>究刑事责任。</w:t>
            </w:r>
          </w:p>
          <w:p w14:paraId="3BBB66E9">
            <w:pPr>
              <w:pStyle w:val="6"/>
              <w:spacing w:line="177" w:lineRule="auto"/>
              <w:ind w:left="117" w:right="110" w:firstLine="2"/>
              <w:jc w:val="both"/>
            </w:pPr>
            <w:r>
              <w:rPr>
                <w:spacing w:val="8"/>
              </w:rPr>
              <w:t>企业在经营许可证有效期</w:t>
            </w:r>
            <w:r>
              <w:rPr>
                <w:spacing w:val="4"/>
              </w:rPr>
              <w:t>届满后，仍然从事危险化</w:t>
            </w:r>
            <w:r>
              <w:rPr>
                <w:spacing w:val="8"/>
              </w:rPr>
              <w:t>学品经营的，依照前款规</w:t>
            </w:r>
            <w:r>
              <w:rPr>
                <w:spacing w:val="1"/>
              </w:rPr>
              <w:t>定给予处罚。</w:t>
            </w:r>
          </w:p>
        </w:tc>
        <w:tc>
          <w:tcPr>
            <w:tcW w:w="803" w:type="dxa"/>
            <w:vAlign w:val="top"/>
          </w:tcPr>
          <w:p w14:paraId="7CCE61DC">
            <w:pPr>
              <w:rPr>
                <w:rFonts w:ascii="Arial"/>
                <w:sz w:val="21"/>
              </w:rPr>
            </w:pPr>
          </w:p>
        </w:tc>
        <w:tc>
          <w:tcPr>
            <w:tcW w:w="2283" w:type="dxa"/>
            <w:vAlign w:val="top"/>
          </w:tcPr>
          <w:p w14:paraId="5CDBE21F">
            <w:pPr>
              <w:rPr>
                <w:rFonts w:ascii="Arial"/>
                <w:sz w:val="21"/>
              </w:rPr>
            </w:pPr>
          </w:p>
        </w:tc>
        <w:tc>
          <w:tcPr>
            <w:tcW w:w="2894" w:type="dxa"/>
            <w:vAlign w:val="top"/>
          </w:tcPr>
          <w:p w14:paraId="1B7C81A1">
            <w:pPr>
              <w:rPr>
                <w:rFonts w:ascii="Arial"/>
                <w:sz w:val="21"/>
              </w:rPr>
            </w:pPr>
          </w:p>
        </w:tc>
        <w:tc>
          <w:tcPr>
            <w:tcW w:w="811" w:type="dxa"/>
            <w:vAlign w:val="top"/>
          </w:tcPr>
          <w:p w14:paraId="5BF09683">
            <w:pPr>
              <w:rPr>
                <w:rFonts w:ascii="Arial"/>
                <w:sz w:val="21"/>
              </w:rPr>
            </w:pPr>
          </w:p>
        </w:tc>
      </w:tr>
      <w:tr w14:paraId="1DE31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5" w:hRule="atLeast"/>
        </w:trPr>
        <w:tc>
          <w:tcPr>
            <w:tcW w:w="818" w:type="dxa"/>
            <w:vMerge w:val="restart"/>
            <w:tcBorders>
              <w:bottom w:val="nil"/>
            </w:tcBorders>
            <w:vAlign w:val="top"/>
          </w:tcPr>
          <w:p w14:paraId="176DDFB3">
            <w:pPr>
              <w:spacing w:line="242" w:lineRule="auto"/>
              <w:rPr>
                <w:rFonts w:ascii="Arial"/>
                <w:sz w:val="21"/>
              </w:rPr>
            </w:pPr>
          </w:p>
          <w:p w14:paraId="4ACED921">
            <w:pPr>
              <w:spacing w:line="242" w:lineRule="auto"/>
              <w:rPr>
                <w:rFonts w:ascii="Arial"/>
                <w:sz w:val="21"/>
              </w:rPr>
            </w:pPr>
          </w:p>
          <w:p w14:paraId="7E2D6845">
            <w:pPr>
              <w:spacing w:line="242" w:lineRule="auto"/>
              <w:rPr>
                <w:rFonts w:ascii="Arial"/>
                <w:sz w:val="21"/>
              </w:rPr>
            </w:pPr>
          </w:p>
          <w:p w14:paraId="72C4605F">
            <w:pPr>
              <w:spacing w:line="242" w:lineRule="auto"/>
              <w:rPr>
                <w:rFonts w:ascii="Arial"/>
                <w:sz w:val="21"/>
              </w:rPr>
            </w:pPr>
          </w:p>
          <w:p w14:paraId="297B1397">
            <w:pPr>
              <w:spacing w:line="243" w:lineRule="auto"/>
              <w:rPr>
                <w:rFonts w:ascii="Arial"/>
                <w:sz w:val="21"/>
              </w:rPr>
            </w:pPr>
          </w:p>
          <w:p w14:paraId="072B8BE6">
            <w:pPr>
              <w:spacing w:line="243" w:lineRule="auto"/>
              <w:rPr>
                <w:rFonts w:ascii="Arial"/>
                <w:sz w:val="21"/>
              </w:rPr>
            </w:pPr>
          </w:p>
          <w:p w14:paraId="5D343DCF">
            <w:pPr>
              <w:spacing w:line="243" w:lineRule="auto"/>
              <w:rPr>
                <w:rFonts w:ascii="Arial"/>
                <w:sz w:val="21"/>
              </w:rPr>
            </w:pPr>
          </w:p>
          <w:p w14:paraId="3C4A7E05">
            <w:pPr>
              <w:spacing w:line="243" w:lineRule="auto"/>
              <w:rPr>
                <w:rFonts w:ascii="Arial"/>
                <w:sz w:val="21"/>
              </w:rPr>
            </w:pPr>
          </w:p>
          <w:p w14:paraId="2ACB653E">
            <w:pPr>
              <w:spacing w:before="75" w:line="186" w:lineRule="auto"/>
              <w:ind w:left="161"/>
              <w:rPr>
                <w:rFonts w:ascii="仿宋" w:hAnsi="仿宋" w:eastAsia="仿宋" w:cs="仿宋"/>
                <w:sz w:val="23"/>
                <w:szCs w:val="23"/>
              </w:rPr>
            </w:pPr>
            <w:r>
              <w:rPr>
                <w:rFonts w:ascii="仿宋" w:hAnsi="仿宋" w:eastAsia="仿宋" w:cs="仿宋"/>
                <w:spacing w:val="-5"/>
                <w:sz w:val="23"/>
                <w:szCs w:val="23"/>
              </w:rPr>
              <w:t>104</w:t>
            </w:r>
          </w:p>
        </w:tc>
        <w:tc>
          <w:tcPr>
            <w:tcW w:w="1440" w:type="dxa"/>
            <w:vMerge w:val="restart"/>
            <w:tcBorders>
              <w:bottom w:val="nil"/>
            </w:tcBorders>
            <w:vAlign w:val="top"/>
          </w:tcPr>
          <w:p w14:paraId="052AF4B8">
            <w:pPr>
              <w:spacing w:line="254" w:lineRule="auto"/>
              <w:rPr>
                <w:rFonts w:ascii="Arial"/>
                <w:sz w:val="21"/>
              </w:rPr>
            </w:pPr>
          </w:p>
          <w:p w14:paraId="31B02FCB">
            <w:pPr>
              <w:spacing w:line="254" w:lineRule="auto"/>
              <w:rPr>
                <w:rFonts w:ascii="Arial"/>
                <w:sz w:val="21"/>
              </w:rPr>
            </w:pPr>
          </w:p>
          <w:p w14:paraId="2AF0AB46">
            <w:pPr>
              <w:spacing w:line="254" w:lineRule="auto"/>
              <w:rPr>
                <w:rFonts w:ascii="Arial"/>
                <w:sz w:val="21"/>
              </w:rPr>
            </w:pPr>
          </w:p>
          <w:p w14:paraId="57C57E9F">
            <w:pPr>
              <w:spacing w:line="255" w:lineRule="auto"/>
              <w:rPr>
                <w:rFonts w:ascii="Arial"/>
                <w:sz w:val="21"/>
              </w:rPr>
            </w:pPr>
          </w:p>
          <w:p w14:paraId="35832938">
            <w:pPr>
              <w:spacing w:line="255" w:lineRule="auto"/>
              <w:rPr>
                <w:rFonts w:ascii="Arial"/>
                <w:sz w:val="21"/>
              </w:rPr>
            </w:pPr>
          </w:p>
          <w:p w14:paraId="375421F5">
            <w:pPr>
              <w:pStyle w:val="6"/>
              <w:spacing w:before="99" w:line="188" w:lineRule="auto"/>
              <w:ind w:left="114" w:right="108"/>
              <w:jc w:val="both"/>
            </w:pPr>
            <w:r>
              <w:rPr>
                <w:spacing w:val="11"/>
              </w:rPr>
              <w:t>危险化学品经营企业未</w:t>
            </w:r>
            <w:r>
              <w:rPr>
                <w:spacing w:val="12"/>
              </w:rPr>
              <w:t>按规定办理</w:t>
            </w:r>
            <w:r>
              <w:rPr>
                <w:spacing w:val="11"/>
              </w:rPr>
              <w:t>经营许可证</w:t>
            </w:r>
            <w:r>
              <w:rPr>
                <w:spacing w:val="5"/>
              </w:rPr>
              <w:t>变更的</w:t>
            </w:r>
          </w:p>
        </w:tc>
        <w:tc>
          <w:tcPr>
            <w:tcW w:w="3202" w:type="dxa"/>
            <w:vMerge w:val="restart"/>
            <w:tcBorders>
              <w:bottom w:val="nil"/>
            </w:tcBorders>
            <w:vAlign w:val="top"/>
          </w:tcPr>
          <w:p w14:paraId="6CC80021">
            <w:pPr>
              <w:pStyle w:val="6"/>
              <w:spacing w:before="28" w:line="181" w:lineRule="auto"/>
              <w:ind w:left="117" w:right="21" w:hanging="19"/>
              <w:jc w:val="both"/>
            </w:pPr>
            <w:r>
              <w:rPr>
                <w:spacing w:val="18"/>
              </w:rPr>
              <w:t>【部门规章】《危险化学品</w:t>
            </w:r>
            <w:r>
              <w:rPr>
                <w:spacing w:val="17"/>
              </w:rPr>
              <w:t>经营许可证管理办法》第十</w:t>
            </w:r>
            <w:r>
              <w:rPr>
                <w:spacing w:val="10"/>
              </w:rPr>
              <w:t>四条：已经取得经营许可证</w:t>
            </w:r>
            <w:r>
              <w:rPr>
                <w:spacing w:val="17"/>
              </w:rPr>
              <w:t>的企业变更企业名称、主要负责人、注册地址或者危险化学品储存设施及其监控措</w:t>
            </w:r>
            <w:r>
              <w:rPr>
                <w:spacing w:val="7"/>
              </w:rPr>
              <w:t>施的，应当自变更之日起</w:t>
            </w:r>
            <w:r>
              <w:rPr>
                <w:rFonts w:ascii="宋体" w:hAnsi="宋体" w:eastAsia="宋体" w:cs="宋体"/>
                <w:spacing w:val="7"/>
              </w:rPr>
              <w:t>20</w:t>
            </w:r>
            <w:r>
              <w:rPr>
                <w:spacing w:val="10"/>
              </w:rPr>
              <w:t>个工作日内，向本办法第五</w:t>
            </w:r>
            <w:r>
              <w:rPr>
                <w:spacing w:val="17"/>
              </w:rPr>
              <w:t>条规定的发证机关提出书面</w:t>
            </w:r>
            <w:r>
              <w:rPr>
                <w:spacing w:val="2"/>
              </w:rPr>
              <w:t>变更申请，并提交下列文件、</w:t>
            </w:r>
            <w:r>
              <w:rPr>
                <w:spacing w:val="5"/>
              </w:rPr>
              <w:t>资料</w:t>
            </w:r>
            <w:r>
              <w:rPr>
                <w:spacing w:val="-11"/>
              </w:rPr>
              <w:t>：（</w:t>
            </w:r>
            <w:r>
              <w:rPr>
                <w:spacing w:val="5"/>
              </w:rPr>
              <w:t>一）经营许可证变</w:t>
            </w:r>
            <w:r>
              <w:rPr>
                <w:spacing w:val="18"/>
              </w:rPr>
              <w:t>更申请书</w:t>
            </w:r>
            <w:r>
              <w:rPr>
                <w:spacing w:val="-14"/>
              </w:rPr>
              <w:t>；（</w:t>
            </w:r>
            <w:r>
              <w:rPr>
                <w:spacing w:val="18"/>
              </w:rPr>
              <w:t>二）变更后的</w:t>
            </w:r>
            <w:r>
              <w:rPr>
                <w:spacing w:val="39"/>
              </w:rPr>
              <w:t>工商营业执照副本（复制</w:t>
            </w:r>
            <w:r>
              <w:rPr>
                <w:spacing w:val="17"/>
              </w:rPr>
              <w:t>件</w:t>
            </w:r>
            <w:r>
              <w:rPr>
                <w:spacing w:val="-24"/>
              </w:rPr>
              <w:t>）；（</w:t>
            </w:r>
            <w:r>
              <w:rPr>
                <w:spacing w:val="17"/>
              </w:rPr>
              <w:t>三）变更后的主要</w:t>
            </w:r>
          </w:p>
        </w:tc>
        <w:tc>
          <w:tcPr>
            <w:tcW w:w="2859" w:type="dxa"/>
            <w:vMerge w:val="restart"/>
            <w:tcBorders>
              <w:bottom w:val="nil"/>
            </w:tcBorders>
            <w:vAlign w:val="top"/>
          </w:tcPr>
          <w:p w14:paraId="1199B352">
            <w:pPr>
              <w:pStyle w:val="6"/>
              <w:spacing w:before="29" w:line="185" w:lineRule="auto"/>
              <w:ind w:left="116" w:right="97" w:hanging="19"/>
            </w:pPr>
            <w:r>
              <w:rPr>
                <w:spacing w:val="10"/>
              </w:rPr>
              <w:t>【部门规章】《危险化学</w:t>
            </w:r>
            <w:r>
              <w:rPr>
                <w:spacing w:val="9"/>
              </w:rPr>
              <w:t>品经营许可证管理办法》</w:t>
            </w:r>
            <w:r>
              <w:rPr>
                <w:spacing w:val="8"/>
              </w:rPr>
              <w:t>第三十三条：已经取得经营许可证的企业出现本办法第十四条、第十六条规定的情形之一，未依照本</w:t>
            </w:r>
            <w:r>
              <w:rPr>
                <w:spacing w:val="7"/>
              </w:rPr>
              <w:t>办法的规定申请变更的，</w:t>
            </w:r>
            <w:r>
              <w:rPr>
                <w:spacing w:val="3"/>
              </w:rPr>
              <w:t>责令限期改正，处</w:t>
            </w:r>
            <w:r>
              <w:rPr>
                <w:rFonts w:ascii="宋体" w:hAnsi="宋体" w:eastAsia="宋体" w:cs="宋体"/>
                <w:spacing w:val="3"/>
              </w:rPr>
              <w:t>1</w:t>
            </w:r>
            <w:r>
              <w:rPr>
                <w:spacing w:val="3"/>
              </w:rPr>
              <w:t>万元</w:t>
            </w:r>
            <w:r>
              <w:rPr>
                <w:spacing w:val="8"/>
              </w:rPr>
              <w:t>以下的罚款；逾期仍不申</w:t>
            </w:r>
            <w:r>
              <w:rPr>
                <w:spacing w:val="3"/>
              </w:rPr>
              <w:t>请变更的，处</w:t>
            </w:r>
            <w:r>
              <w:rPr>
                <w:rFonts w:ascii="宋体" w:hAnsi="宋体" w:eastAsia="宋体" w:cs="宋体"/>
                <w:spacing w:val="3"/>
              </w:rPr>
              <w:t>1</w:t>
            </w:r>
            <w:r>
              <w:rPr>
                <w:spacing w:val="3"/>
              </w:rPr>
              <w:t>万元以上</w:t>
            </w:r>
            <w:r>
              <w:rPr>
                <w:rFonts w:ascii="宋体" w:hAnsi="宋体" w:eastAsia="宋体" w:cs="宋体"/>
                <w:spacing w:val="1"/>
              </w:rPr>
              <w:t>3</w:t>
            </w:r>
            <w:r>
              <w:rPr>
                <w:spacing w:val="1"/>
              </w:rPr>
              <w:t>万元以下的罚款。</w:t>
            </w:r>
          </w:p>
        </w:tc>
        <w:tc>
          <w:tcPr>
            <w:tcW w:w="803" w:type="dxa"/>
            <w:vAlign w:val="top"/>
          </w:tcPr>
          <w:p w14:paraId="5A308A8C">
            <w:pPr>
              <w:spacing w:line="252" w:lineRule="auto"/>
              <w:rPr>
                <w:rFonts w:ascii="Arial"/>
                <w:sz w:val="21"/>
              </w:rPr>
            </w:pPr>
          </w:p>
          <w:p w14:paraId="4FA6E9A8">
            <w:pPr>
              <w:spacing w:line="252" w:lineRule="auto"/>
              <w:rPr>
                <w:rFonts w:ascii="Arial"/>
                <w:sz w:val="21"/>
              </w:rPr>
            </w:pPr>
          </w:p>
          <w:p w14:paraId="4A89ABFB">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6D40B43D">
            <w:pPr>
              <w:spacing w:line="290" w:lineRule="auto"/>
              <w:rPr>
                <w:rFonts w:ascii="Arial"/>
                <w:sz w:val="21"/>
              </w:rPr>
            </w:pPr>
          </w:p>
          <w:p w14:paraId="34C5891C">
            <w:pPr>
              <w:pStyle w:val="6"/>
              <w:spacing w:before="99" w:line="196" w:lineRule="auto"/>
              <w:ind w:left="145" w:right="105" w:hanging="28"/>
            </w:pPr>
            <w:r>
              <w:rPr>
                <w:spacing w:val="-2"/>
              </w:rPr>
              <w:t>超出规定时限</w:t>
            </w:r>
            <w:r>
              <w:rPr>
                <w:rFonts w:ascii="宋体" w:hAnsi="宋体" w:eastAsia="宋体" w:cs="宋体"/>
                <w:spacing w:val="-2"/>
              </w:rPr>
              <w:t>10</w:t>
            </w:r>
            <w:r>
              <w:rPr>
                <w:spacing w:val="-2"/>
              </w:rPr>
              <w:t>日</w:t>
            </w:r>
            <w:r>
              <w:rPr>
                <w:spacing w:val="-3"/>
              </w:rPr>
              <w:t>以内的</w:t>
            </w:r>
          </w:p>
        </w:tc>
        <w:tc>
          <w:tcPr>
            <w:tcW w:w="2894" w:type="dxa"/>
            <w:vAlign w:val="top"/>
          </w:tcPr>
          <w:p w14:paraId="40F9151B">
            <w:pPr>
              <w:pStyle w:val="6"/>
              <w:spacing w:before="91" w:line="186" w:lineRule="auto"/>
              <w:ind w:left="121" w:right="103" w:firstLine="6"/>
              <w:jc w:val="both"/>
            </w:pPr>
            <w:r>
              <w:rPr>
                <w:spacing w:val="2"/>
              </w:rPr>
              <w:t>责令限期改正，处</w:t>
            </w:r>
            <w:r>
              <w:rPr>
                <w:rFonts w:ascii="宋体" w:hAnsi="宋体" w:eastAsia="宋体" w:cs="宋体"/>
                <w:spacing w:val="2"/>
              </w:rPr>
              <w:t>1</w:t>
            </w:r>
            <w:r>
              <w:rPr>
                <w:spacing w:val="2"/>
              </w:rPr>
              <w:t>万元</w:t>
            </w:r>
            <w:r>
              <w:rPr>
                <w:spacing w:val="8"/>
              </w:rPr>
              <w:t>以下的罚款；逾期仍不申</w:t>
            </w:r>
            <w:r>
              <w:rPr>
                <w:spacing w:val="2"/>
              </w:rPr>
              <w:t>请变更的，处</w:t>
            </w:r>
            <w:r>
              <w:rPr>
                <w:rFonts w:ascii="宋体" w:hAnsi="宋体" w:eastAsia="宋体" w:cs="宋体"/>
                <w:spacing w:val="2"/>
              </w:rPr>
              <w:t>1</w:t>
            </w:r>
            <w:r>
              <w:rPr>
                <w:spacing w:val="2"/>
              </w:rPr>
              <w:t>万元以上</w:t>
            </w:r>
            <w:r>
              <w:rPr>
                <w:rFonts w:ascii="宋体" w:hAnsi="宋体" w:eastAsia="宋体" w:cs="宋体"/>
                <w:spacing w:val="4"/>
              </w:rPr>
              <w:t>1.5</w:t>
            </w:r>
            <w:r>
              <w:rPr>
                <w:spacing w:val="4"/>
              </w:rPr>
              <w:t>万元以下的罚款</w:t>
            </w:r>
          </w:p>
        </w:tc>
        <w:tc>
          <w:tcPr>
            <w:tcW w:w="811" w:type="dxa"/>
            <w:vMerge w:val="restart"/>
            <w:tcBorders>
              <w:bottom w:val="nil"/>
            </w:tcBorders>
            <w:vAlign w:val="top"/>
          </w:tcPr>
          <w:p w14:paraId="16212745">
            <w:pPr>
              <w:spacing w:line="242" w:lineRule="auto"/>
              <w:rPr>
                <w:rFonts w:ascii="Arial"/>
                <w:sz w:val="21"/>
              </w:rPr>
            </w:pPr>
          </w:p>
          <w:p w14:paraId="0C7CF999">
            <w:pPr>
              <w:spacing w:line="242" w:lineRule="auto"/>
              <w:rPr>
                <w:rFonts w:ascii="Arial"/>
                <w:sz w:val="21"/>
              </w:rPr>
            </w:pPr>
          </w:p>
          <w:p w14:paraId="2E81B218">
            <w:pPr>
              <w:spacing w:line="242" w:lineRule="auto"/>
              <w:rPr>
                <w:rFonts w:ascii="Arial"/>
                <w:sz w:val="21"/>
              </w:rPr>
            </w:pPr>
          </w:p>
          <w:p w14:paraId="3AB1525A">
            <w:pPr>
              <w:spacing w:line="242" w:lineRule="auto"/>
              <w:rPr>
                <w:rFonts w:ascii="Arial"/>
                <w:sz w:val="21"/>
              </w:rPr>
            </w:pPr>
          </w:p>
          <w:p w14:paraId="63FE452E">
            <w:pPr>
              <w:spacing w:line="242" w:lineRule="auto"/>
              <w:rPr>
                <w:rFonts w:ascii="Arial"/>
                <w:sz w:val="21"/>
              </w:rPr>
            </w:pPr>
          </w:p>
          <w:p w14:paraId="5E4C6FEB">
            <w:pPr>
              <w:spacing w:line="242" w:lineRule="auto"/>
              <w:rPr>
                <w:rFonts w:ascii="Arial"/>
                <w:sz w:val="21"/>
              </w:rPr>
            </w:pPr>
          </w:p>
          <w:p w14:paraId="5D588652">
            <w:pPr>
              <w:spacing w:line="242" w:lineRule="auto"/>
              <w:rPr>
                <w:rFonts w:ascii="Arial"/>
                <w:sz w:val="21"/>
              </w:rPr>
            </w:pPr>
          </w:p>
          <w:p w14:paraId="34939EC2">
            <w:pPr>
              <w:spacing w:line="243" w:lineRule="auto"/>
              <w:rPr>
                <w:rFonts w:ascii="Arial"/>
                <w:sz w:val="21"/>
              </w:rPr>
            </w:pPr>
          </w:p>
          <w:p w14:paraId="344972FE">
            <w:pPr>
              <w:spacing w:before="75" w:line="188" w:lineRule="auto"/>
              <w:ind w:left="296"/>
              <w:rPr>
                <w:rFonts w:ascii="宋体" w:hAnsi="宋体" w:eastAsia="宋体" w:cs="宋体"/>
                <w:sz w:val="23"/>
                <w:szCs w:val="23"/>
              </w:rPr>
            </w:pPr>
            <w:r>
              <w:rPr>
                <w:rFonts w:ascii="宋体" w:hAnsi="宋体" w:eastAsia="宋体" w:cs="宋体"/>
                <w:spacing w:val="-5"/>
                <w:sz w:val="23"/>
                <w:szCs w:val="23"/>
              </w:rPr>
              <w:t>76</w:t>
            </w:r>
          </w:p>
        </w:tc>
      </w:tr>
      <w:tr w14:paraId="3904A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 w:hRule="atLeast"/>
        </w:trPr>
        <w:tc>
          <w:tcPr>
            <w:tcW w:w="818" w:type="dxa"/>
            <w:vMerge w:val="continue"/>
            <w:tcBorders>
              <w:top w:val="nil"/>
              <w:bottom w:val="nil"/>
            </w:tcBorders>
            <w:vAlign w:val="top"/>
          </w:tcPr>
          <w:p w14:paraId="103F3E34">
            <w:pPr>
              <w:rPr>
                <w:rFonts w:ascii="Arial"/>
                <w:sz w:val="21"/>
              </w:rPr>
            </w:pPr>
          </w:p>
        </w:tc>
        <w:tc>
          <w:tcPr>
            <w:tcW w:w="1440" w:type="dxa"/>
            <w:vMerge w:val="continue"/>
            <w:tcBorders>
              <w:top w:val="nil"/>
              <w:bottom w:val="nil"/>
            </w:tcBorders>
            <w:vAlign w:val="top"/>
          </w:tcPr>
          <w:p w14:paraId="6F1A5F4E">
            <w:pPr>
              <w:rPr>
                <w:rFonts w:ascii="Arial"/>
                <w:sz w:val="21"/>
              </w:rPr>
            </w:pPr>
          </w:p>
        </w:tc>
        <w:tc>
          <w:tcPr>
            <w:tcW w:w="3202" w:type="dxa"/>
            <w:vMerge w:val="continue"/>
            <w:tcBorders>
              <w:top w:val="nil"/>
              <w:bottom w:val="nil"/>
            </w:tcBorders>
            <w:vAlign w:val="top"/>
          </w:tcPr>
          <w:p w14:paraId="67C7988C">
            <w:pPr>
              <w:rPr>
                <w:rFonts w:ascii="Arial"/>
                <w:sz w:val="21"/>
              </w:rPr>
            </w:pPr>
          </w:p>
        </w:tc>
        <w:tc>
          <w:tcPr>
            <w:tcW w:w="2859" w:type="dxa"/>
            <w:vMerge w:val="continue"/>
            <w:tcBorders>
              <w:top w:val="nil"/>
              <w:bottom w:val="nil"/>
            </w:tcBorders>
            <w:vAlign w:val="top"/>
          </w:tcPr>
          <w:p w14:paraId="6E6B80D7">
            <w:pPr>
              <w:rPr>
                <w:rFonts w:ascii="Arial"/>
                <w:sz w:val="21"/>
              </w:rPr>
            </w:pPr>
          </w:p>
        </w:tc>
        <w:tc>
          <w:tcPr>
            <w:tcW w:w="803" w:type="dxa"/>
            <w:vAlign w:val="top"/>
          </w:tcPr>
          <w:p w14:paraId="7F0DB18D">
            <w:pPr>
              <w:spacing w:line="262" w:lineRule="auto"/>
              <w:rPr>
                <w:rFonts w:ascii="Arial"/>
                <w:sz w:val="21"/>
              </w:rPr>
            </w:pPr>
          </w:p>
          <w:p w14:paraId="0B0C718F">
            <w:pPr>
              <w:spacing w:line="262" w:lineRule="auto"/>
              <w:rPr>
                <w:rFonts w:ascii="Arial"/>
                <w:sz w:val="21"/>
              </w:rPr>
            </w:pPr>
          </w:p>
          <w:p w14:paraId="645ECCAB">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C8A08D7">
            <w:pPr>
              <w:spacing w:line="304" w:lineRule="auto"/>
              <w:rPr>
                <w:rFonts w:ascii="Arial"/>
                <w:sz w:val="21"/>
              </w:rPr>
            </w:pPr>
          </w:p>
          <w:p w14:paraId="3CCC1EFC">
            <w:pPr>
              <w:pStyle w:val="6"/>
              <w:spacing w:before="99" w:line="196" w:lineRule="auto"/>
              <w:ind w:left="145" w:right="105" w:hanging="28"/>
            </w:pPr>
            <w:r>
              <w:rPr>
                <w:spacing w:val="-2"/>
              </w:rPr>
              <w:t>超出规定时限</w:t>
            </w:r>
            <w:r>
              <w:rPr>
                <w:rFonts w:ascii="宋体" w:hAnsi="宋体" w:eastAsia="宋体" w:cs="宋体"/>
                <w:spacing w:val="-2"/>
              </w:rPr>
              <w:t>10</w:t>
            </w:r>
            <w:r>
              <w:rPr>
                <w:spacing w:val="-2"/>
              </w:rPr>
              <w:t>日</w:t>
            </w:r>
            <w:r>
              <w:rPr>
                <w:spacing w:val="-5"/>
              </w:rPr>
              <w:t>以上</w:t>
            </w:r>
            <w:r>
              <w:rPr>
                <w:rFonts w:ascii="宋体" w:hAnsi="宋体" w:eastAsia="宋体" w:cs="宋体"/>
                <w:spacing w:val="-5"/>
              </w:rPr>
              <w:t>20</w:t>
            </w:r>
            <w:r>
              <w:rPr>
                <w:spacing w:val="-5"/>
              </w:rPr>
              <w:t>日以内的</w:t>
            </w:r>
          </w:p>
        </w:tc>
        <w:tc>
          <w:tcPr>
            <w:tcW w:w="2894" w:type="dxa"/>
            <w:vAlign w:val="top"/>
          </w:tcPr>
          <w:p w14:paraId="048CB37F">
            <w:pPr>
              <w:pStyle w:val="6"/>
              <w:spacing w:before="108" w:line="188" w:lineRule="auto"/>
              <w:ind w:left="121" w:right="103" w:firstLine="6"/>
              <w:jc w:val="both"/>
            </w:pPr>
            <w:r>
              <w:rPr>
                <w:spacing w:val="2"/>
              </w:rPr>
              <w:t>责令限期改正，处</w:t>
            </w:r>
            <w:r>
              <w:rPr>
                <w:rFonts w:ascii="宋体" w:hAnsi="宋体" w:eastAsia="宋体" w:cs="宋体"/>
                <w:spacing w:val="2"/>
              </w:rPr>
              <w:t>1</w:t>
            </w:r>
            <w:r>
              <w:rPr>
                <w:spacing w:val="2"/>
              </w:rPr>
              <w:t>万元</w:t>
            </w:r>
            <w:r>
              <w:rPr>
                <w:spacing w:val="8"/>
              </w:rPr>
              <w:t>以下的罚款；逾期仍不申</w:t>
            </w:r>
            <w:r>
              <w:rPr>
                <w:spacing w:val="2"/>
              </w:rPr>
              <w:t>请变更的，处</w:t>
            </w:r>
            <w:r>
              <w:rPr>
                <w:rFonts w:ascii="宋体" w:hAnsi="宋体" w:eastAsia="宋体" w:cs="宋体"/>
                <w:spacing w:val="2"/>
              </w:rPr>
              <w:t>1.5</w:t>
            </w:r>
            <w:r>
              <w:rPr>
                <w:spacing w:val="2"/>
              </w:rPr>
              <w:t>万元以</w:t>
            </w:r>
            <w:r>
              <w:rPr>
                <w:spacing w:val="3"/>
              </w:rPr>
              <w:t>上</w:t>
            </w:r>
            <w:r>
              <w:rPr>
                <w:rFonts w:ascii="宋体" w:hAnsi="宋体" w:eastAsia="宋体" w:cs="宋体"/>
                <w:spacing w:val="3"/>
              </w:rPr>
              <w:t>2</w:t>
            </w:r>
            <w:r>
              <w:rPr>
                <w:spacing w:val="3"/>
              </w:rPr>
              <w:t>万元以下的罚款</w:t>
            </w:r>
          </w:p>
        </w:tc>
        <w:tc>
          <w:tcPr>
            <w:tcW w:w="811" w:type="dxa"/>
            <w:vMerge w:val="continue"/>
            <w:tcBorders>
              <w:top w:val="nil"/>
              <w:bottom w:val="nil"/>
            </w:tcBorders>
            <w:vAlign w:val="top"/>
          </w:tcPr>
          <w:p w14:paraId="149E1661">
            <w:pPr>
              <w:rPr>
                <w:rFonts w:ascii="Arial"/>
                <w:sz w:val="21"/>
              </w:rPr>
            </w:pPr>
          </w:p>
        </w:tc>
      </w:tr>
      <w:tr w14:paraId="1B682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5" w:hRule="atLeast"/>
        </w:trPr>
        <w:tc>
          <w:tcPr>
            <w:tcW w:w="818" w:type="dxa"/>
            <w:vMerge w:val="continue"/>
            <w:tcBorders>
              <w:top w:val="nil"/>
            </w:tcBorders>
            <w:vAlign w:val="top"/>
          </w:tcPr>
          <w:p w14:paraId="7B88118B">
            <w:pPr>
              <w:rPr>
                <w:rFonts w:ascii="Arial"/>
                <w:sz w:val="21"/>
              </w:rPr>
            </w:pPr>
          </w:p>
        </w:tc>
        <w:tc>
          <w:tcPr>
            <w:tcW w:w="1440" w:type="dxa"/>
            <w:vMerge w:val="continue"/>
            <w:tcBorders>
              <w:top w:val="nil"/>
            </w:tcBorders>
            <w:vAlign w:val="top"/>
          </w:tcPr>
          <w:p w14:paraId="500DE1EE">
            <w:pPr>
              <w:rPr>
                <w:rFonts w:ascii="Arial"/>
                <w:sz w:val="21"/>
              </w:rPr>
            </w:pPr>
          </w:p>
        </w:tc>
        <w:tc>
          <w:tcPr>
            <w:tcW w:w="3202" w:type="dxa"/>
            <w:vMerge w:val="continue"/>
            <w:tcBorders>
              <w:top w:val="nil"/>
            </w:tcBorders>
            <w:vAlign w:val="top"/>
          </w:tcPr>
          <w:p w14:paraId="03540A20">
            <w:pPr>
              <w:rPr>
                <w:rFonts w:ascii="Arial"/>
                <w:sz w:val="21"/>
              </w:rPr>
            </w:pPr>
          </w:p>
        </w:tc>
        <w:tc>
          <w:tcPr>
            <w:tcW w:w="2859" w:type="dxa"/>
            <w:vMerge w:val="continue"/>
            <w:tcBorders>
              <w:top w:val="nil"/>
            </w:tcBorders>
            <w:vAlign w:val="top"/>
          </w:tcPr>
          <w:p w14:paraId="41DF4BBD">
            <w:pPr>
              <w:rPr>
                <w:rFonts w:ascii="Arial"/>
                <w:sz w:val="21"/>
              </w:rPr>
            </w:pPr>
          </w:p>
        </w:tc>
        <w:tc>
          <w:tcPr>
            <w:tcW w:w="803" w:type="dxa"/>
            <w:vAlign w:val="top"/>
          </w:tcPr>
          <w:p w14:paraId="69905BE4">
            <w:pPr>
              <w:spacing w:line="301" w:lineRule="auto"/>
              <w:rPr>
                <w:rFonts w:ascii="Arial"/>
                <w:sz w:val="21"/>
              </w:rPr>
            </w:pPr>
          </w:p>
          <w:p w14:paraId="41404237">
            <w:pPr>
              <w:spacing w:line="301" w:lineRule="auto"/>
              <w:rPr>
                <w:rFonts w:ascii="Arial"/>
                <w:sz w:val="21"/>
              </w:rPr>
            </w:pPr>
          </w:p>
          <w:p w14:paraId="0AEA8355">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C05B0E0">
            <w:pPr>
              <w:spacing w:line="383" w:lineRule="auto"/>
              <w:rPr>
                <w:rFonts w:ascii="Arial"/>
                <w:sz w:val="21"/>
              </w:rPr>
            </w:pPr>
          </w:p>
          <w:p w14:paraId="58A2C583">
            <w:pPr>
              <w:pStyle w:val="6"/>
              <w:spacing w:before="99" w:line="196" w:lineRule="auto"/>
              <w:ind w:left="145" w:right="105" w:hanging="28"/>
            </w:pPr>
            <w:r>
              <w:rPr>
                <w:spacing w:val="1"/>
              </w:rPr>
              <w:t>超出规定时限</w:t>
            </w:r>
            <w:r>
              <w:rPr>
                <w:rFonts w:ascii="宋体" w:hAnsi="宋体" w:eastAsia="宋体" w:cs="宋体"/>
                <w:spacing w:val="1"/>
              </w:rPr>
              <w:t>20</w:t>
            </w:r>
            <w:r>
              <w:rPr>
                <w:spacing w:val="1"/>
              </w:rPr>
              <w:t>日</w:t>
            </w:r>
            <w:r>
              <w:rPr>
                <w:spacing w:val="-3"/>
              </w:rPr>
              <w:t>以上的</w:t>
            </w:r>
          </w:p>
        </w:tc>
        <w:tc>
          <w:tcPr>
            <w:tcW w:w="2894" w:type="dxa"/>
            <w:vAlign w:val="top"/>
          </w:tcPr>
          <w:p w14:paraId="579A853F">
            <w:pPr>
              <w:pStyle w:val="6"/>
              <w:spacing w:before="186" w:line="189" w:lineRule="auto"/>
              <w:ind w:left="120" w:right="103" w:firstLine="7"/>
              <w:jc w:val="both"/>
            </w:pPr>
            <w:r>
              <w:rPr>
                <w:spacing w:val="2"/>
              </w:rPr>
              <w:t>责令限期改正，处</w:t>
            </w:r>
            <w:r>
              <w:rPr>
                <w:rFonts w:ascii="宋体" w:hAnsi="宋体" w:eastAsia="宋体" w:cs="宋体"/>
                <w:spacing w:val="2"/>
              </w:rPr>
              <w:t>1</w:t>
            </w:r>
            <w:r>
              <w:rPr>
                <w:spacing w:val="2"/>
              </w:rPr>
              <w:t>万元</w:t>
            </w:r>
            <w:r>
              <w:rPr>
                <w:spacing w:val="8"/>
              </w:rPr>
              <w:t>以下的罚款；逾期仍不申</w:t>
            </w:r>
            <w:r>
              <w:rPr>
                <w:spacing w:val="4"/>
              </w:rPr>
              <w:t>请变更的，处</w:t>
            </w:r>
            <w:r>
              <w:rPr>
                <w:rFonts w:ascii="宋体" w:hAnsi="宋体" w:eastAsia="宋体" w:cs="宋体"/>
                <w:spacing w:val="4"/>
              </w:rPr>
              <w:t>2</w:t>
            </w:r>
            <w:r>
              <w:rPr>
                <w:spacing w:val="4"/>
              </w:rPr>
              <w:t>万元以上</w:t>
            </w:r>
            <w:r>
              <w:rPr>
                <w:rFonts w:ascii="宋体" w:hAnsi="宋体" w:eastAsia="宋体" w:cs="宋体"/>
                <w:spacing w:val="4"/>
              </w:rPr>
              <w:t>3</w:t>
            </w:r>
            <w:r>
              <w:rPr>
                <w:spacing w:val="4"/>
              </w:rPr>
              <w:t>万元以下的罚款</w:t>
            </w:r>
          </w:p>
        </w:tc>
        <w:tc>
          <w:tcPr>
            <w:tcW w:w="811" w:type="dxa"/>
            <w:vMerge w:val="continue"/>
            <w:tcBorders>
              <w:top w:val="nil"/>
            </w:tcBorders>
            <w:vAlign w:val="top"/>
          </w:tcPr>
          <w:p w14:paraId="26656BDB">
            <w:pPr>
              <w:rPr>
                <w:rFonts w:ascii="Arial"/>
                <w:sz w:val="21"/>
              </w:rPr>
            </w:pPr>
          </w:p>
        </w:tc>
      </w:tr>
    </w:tbl>
    <w:p w14:paraId="186221E3">
      <w:pPr>
        <w:pStyle w:val="2"/>
      </w:pPr>
    </w:p>
    <w:p w14:paraId="0A07205E">
      <w:pPr>
        <w:sectPr>
          <w:footerReference r:id="rId129" w:type="default"/>
          <w:pgSz w:w="16839" w:h="11906"/>
          <w:pgMar w:top="1012" w:right="821" w:bottom="667" w:left="901" w:header="0" w:footer="388" w:gutter="0"/>
          <w:cols w:space="720" w:num="1"/>
        </w:sectPr>
      </w:pPr>
    </w:p>
    <w:p w14:paraId="10F0D17D">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7E34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49B4A2B">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722DB272">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C1BD6EC">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F3E760E">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16A697D3">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AE77BD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3362E1FE">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333C561">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7604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2" w:hRule="atLeast"/>
        </w:trPr>
        <w:tc>
          <w:tcPr>
            <w:tcW w:w="818" w:type="dxa"/>
            <w:vAlign w:val="top"/>
          </w:tcPr>
          <w:p w14:paraId="6C2DC4D7">
            <w:pPr>
              <w:rPr>
                <w:rFonts w:ascii="Arial"/>
                <w:sz w:val="21"/>
              </w:rPr>
            </w:pPr>
          </w:p>
        </w:tc>
        <w:tc>
          <w:tcPr>
            <w:tcW w:w="1440" w:type="dxa"/>
            <w:vAlign w:val="top"/>
          </w:tcPr>
          <w:p w14:paraId="626F60C5">
            <w:pPr>
              <w:rPr>
                <w:rFonts w:ascii="Arial"/>
                <w:sz w:val="21"/>
              </w:rPr>
            </w:pPr>
          </w:p>
        </w:tc>
        <w:tc>
          <w:tcPr>
            <w:tcW w:w="3202" w:type="dxa"/>
            <w:vAlign w:val="top"/>
          </w:tcPr>
          <w:p w14:paraId="5A6FBAE5">
            <w:pPr>
              <w:pStyle w:val="6"/>
              <w:spacing w:before="30" w:line="182" w:lineRule="auto"/>
              <w:ind w:left="119" w:right="111" w:firstLine="12"/>
              <w:jc w:val="both"/>
            </w:pPr>
            <w:r>
              <w:rPr>
                <w:spacing w:val="15"/>
              </w:rPr>
              <w:t>负责人安全资格证书（复制</w:t>
            </w:r>
            <w:r>
              <w:rPr>
                <w:spacing w:val="17"/>
              </w:rPr>
              <w:t>件</w:t>
            </w:r>
            <w:r>
              <w:rPr>
                <w:spacing w:val="-24"/>
              </w:rPr>
              <w:t>）；（</w:t>
            </w:r>
            <w:r>
              <w:rPr>
                <w:spacing w:val="17"/>
              </w:rPr>
              <w:t>四）变更注册地址的相关证明材料</w:t>
            </w:r>
            <w:r>
              <w:rPr>
                <w:spacing w:val="-11"/>
              </w:rPr>
              <w:t>；（</w:t>
            </w:r>
            <w:r>
              <w:rPr>
                <w:spacing w:val="17"/>
              </w:rPr>
              <w:t>五）变</w:t>
            </w:r>
          </w:p>
          <w:p w14:paraId="6BF32A2B">
            <w:pPr>
              <w:pStyle w:val="6"/>
              <w:spacing w:line="182" w:lineRule="auto"/>
              <w:ind w:left="123"/>
              <w:outlineLvl w:val="0"/>
            </w:pPr>
            <w:r>
              <w:rPr>
                <w:spacing w:val="16"/>
              </w:rPr>
              <w:t>更后的危险化学品储存设施</w:t>
            </w:r>
          </w:p>
          <w:p w14:paraId="00E00292">
            <w:pPr>
              <w:pStyle w:val="6"/>
              <w:spacing w:before="1" w:line="182" w:lineRule="auto"/>
              <w:ind w:left="115" w:right="111"/>
            </w:pPr>
            <w:bookmarkStart w:id="526" w:name="bookmark216"/>
            <w:bookmarkEnd w:id="526"/>
            <w:r>
              <w:rPr>
                <w:spacing w:val="17"/>
              </w:rPr>
              <w:t>及其监控措施的专项安全评</w:t>
            </w:r>
            <w:r>
              <w:rPr>
                <w:spacing w:val="-2"/>
              </w:rPr>
              <w:t>价报告。</w:t>
            </w:r>
          </w:p>
          <w:p w14:paraId="63D92466">
            <w:pPr>
              <w:pStyle w:val="6"/>
              <w:spacing w:before="16" w:line="180" w:lineRule="auto"/>
              <w:ind w:left="116" w:right="111" w:firstLine="11"/>
            </w:pPr>
            <w:r>
              <w:rPr>
                <w:spacing w:val="9"/>
              </w:rPr>
              <w:t>第十六条：已经取得经营许</w:t>
            </w:r>
            <w:r>
              <w:rPr>
                <w:spacing w:val="15"/>
              </w:rPr>
              <w:t>可证的企业有新建、改建、</w:t>
            </w:r>
            <w:r>
              <w:rPr>
                <w:spacing w:val="17"/>
              </w:rPr>
              <w:t>扩建危险化学品储存设施建</w:t>
            </w:r>
            <w:r>
              <w:rPr>
                <w:spacing w:val="13"/>
              </w:rPr>
              <w:t>设项目的，应当自建设项目</w:t>
            </w:r>
            <w:r>
              <w:rPr>
                <w:spacing w:val="17"/>
              </w:rPr>
              <w:t>安全设施竣工验收合格之日</w:t>
            </w:r>
            <w:r>
              <w:rPr>
                <w:spacing w:val="-1"/>
              </w:rPr>
              <w:t>起</w:t>
            </w:r>
            <w:r>
              <w:rPr>
                <w:rFonts w:ascii="宋体" w:hAnsi="宋体" w:eastAsia="宋体" w:cs="宋体"/>
                <w:spacing w:val="-1"/>
              </w:rPr>
              <w:t>20</w:t>
            </w:r>
            <w:r>
              <w:rPr>
                <w:spacing w:val="-1"/>
              </w:rPr>
              <w:t>个工作日内，向本办法</w:t>
            </w:r>
            <w:r>
              <w:rPr>
                <w:spacing w:val="17"/>
              </w:rPr>
              <w:t>第五条规定的发证机关提出</w:t>
            </w:r>
            <w:r>
              <w:rPr>
                <w:spacing w:val="13"/>
              </w:rPr>
              <w:t>变更申请，并提交危险化学</w:t>
            </w:r>
            <w:r>
              <w:rPr>
                <w:spacing w:val="17"/>
              </w:rPr>
              <w:t>品建设项目安全设施竣工验</w:t>
            </w:r>
            <w:r>
              <w:rPr>
                <w:spacing w:val="14"/>
              </w:rPr>
              <w:t>收报告等相关文件、资料。</w:t>
            </w:r>
            <w:r>
              <w:rPr>
                <w:spacing w:val="17"/>
              </w:rPr>
              <w:t>发证机关应当按照本办法第十条、第十五条的规定进行</w:t>
            </w:r>
            <w:r>
              <w:rPr>
                <w:spacing w:val="4"/>
              </w:rPr>
              <w:t>审查，办理变更手续。</w:t>
            </w:r>
          </w:p>
        </w:tc>
        <w:tc>
          <w:tcPr>
            <w:tcW w:w="2859" w:type="dxa"/>
            <w:vAlign w:val="top"/>
          </w:tcPr>
          <w:p w14:paraId="53F0CECB">
            <w:pPr>
              <w:rPr>
                <w:rFonts w:ascii="Arial"/>
                <w:sz w:val="21"/>
              </w:rPr>
            </w:pPr>
          </w:p>
        </w:tc>
        <w:tc>
          <w:tcPr>
            <w:tcW w:w="803" w:type="dxa"/>
            <w:vAlign w:val="top"/>
          </w:tcPr>
          <w:p w14:paraId="120EA9BD">
            <w:pPr>
              <w:rPr>
                <w:rFonts w:ascii="Arial"/>
                <w:sz w:val="21"/>
              </w:rPr>
            </w:pPr>
          </w:p>
        </w:tc>
        <w:tc>
          <w:tcPr>
            <w:tcW w:w="2283" w:type="dxa"/>
            <w:vAlign w:val="top"/>
          </w:tcPr>
          <w:p w14:paraId="7ECB00D4">
            <w:pPr>
              <w:rPr>
                <w:rFonts w:ascii="Arial"/>
                <w:sz w:val="21"/>
              </w:rPr>
            </w:pPr>
          </w:p>
        </w:tc>
        <w:tc>
          <w:tcPr>
            <w:tcW w:w="2894" w:type="dxa"/>
            <w:vAlign w:val="top"/>
          </w:tcPr>
          <w:p w14:paraId="2FCE735A">
            <w:pPr>
              <w:rPr>
                <w:rFonts w:ascii="Arial"/>
                <w:sz w:val="21"/>
              </w:rPr>
            </w:pPr>
          </w:p>
        </w:tc>
        <w:tc>
          <w:tcPr>
            <w:tcW w:w="811" w:type="dxa"/>
            <w:vAlign w:val="top"/>
          </w:tcPr>
          <w:p w14:paraId="25382196">
            <w:pPr>
              <w:rPr>
                <w:rFonts w:ascii="Arial"/>
                <w:sz w:val="21"/>
              </w:rPr>
            </w:pPr>
          </w:p>
        </w:tc>
      </w:tr>
      <w:tr w14:paraId="57DD7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 w:hRule="atLeast"/>
        </w:trPr>
        <w:tc>
          <w:tcPr>
            <w:tcW w:w="818" w:type="dxa"/>
            <w:vMerge w:val="restart"/>
            <w:tcBorders>
              <w:bottom w:val="nil"/>
            </w:tcBorders>
            <w:vAlign w:val="top"/>
          </w:tcPr>
          <w:p w14:paraId="68F27E1E">
            <w:pPr>
              <w:spacing w:line="249" w:lineRule="auto"/>
              <w:rPr>
                <w:rFonts w:ascii="Arial"/>
                <w:sz w:val="21"/>
              </w:rPr>
            </w:pPr>
          </w:p>
          <w:p w14:paraId="5EDDEE72">
            <w:pPr>
              <w:spacing w:line="249" w:lineRule="auto"/>
              <w:rPr>
                <w:rFonts w:ascii="Arial"/>
                <w:sz w:val="21"/>
              </w:rPr>
            </w:pPr>
          </w:p>
          <w:p w14:paraId="7DC6A189">
            <w:pPr>
              <w:spacing w:line="249" w:lineRule="auto"/>
              <w:rPr>
                <w:rFonts w:ascii="Arial"/>
                <w:sz w:val="21"/>
              </w:rPr>
            </w:pPr>
          </w:p>
          <w:p w14:paraId="6C32D27B">
            <w:pPr>
              <w:spacing w:line="249" w:lineRule="auto"/>
              <w:rPr>
                <w:rFonts w:ascii="Arial"/>
                <w:sz w:val="21"/>
              </w:rPr>
            </w:pPr>
          </w:p>
          <w:p w14:paraId="5BD6883E">
            <w:pPr>
              <w:spacing w:line="249" w:lineRule="auto"/>
              <w:rPr>
                <w:rFonts w:ascii="Arial"/>
                <w:sz w:val="21"/>
              </w:rPr>
            </w:pPr>
          </w:p>
          <w:p w14:paraId="03CFF8A0">
            <w:pPr>
              <w:spacing w:line="250" w:lineRule="auto"/>
              <w:rPr>
                <w:rFonts w:ascii="Arial"/>
                <w:sz w:val="21"/>
              </w:rPr>
            </w:pPr>
          </w:p>
          <w:p w14:paraId="17D50FDC">
            <w:pPr>
              <w:spacing w:before="74" w:line="186" w:lineRule="auto"/>
              <w:ind w:left="161"/>
              <w:rPr>
                <w:rFonts w:ascii="仿宋" w:hAnsi="仿宋" w:eastAsia="仿宋" w:cs="仿宋"/>
                <w:sz w:val="23"/>
                <w:szCs w:val="23"/>
              </w:rPr>
            </w:pPr>
            <w:r>
              <w:rPr>
                <w:rFonts w:ascii="仿宋" w:hAnsi="仿宋" w:eastAsia="仿宋" w:cs="仿宋"/>
                <w:spacing w:val="-5"/>
                <w:sz w:val="23"/>
                <w:szCs w:val="23"/>
              </w:rPr>
              <w:t>105</w:t>
            </w:r>
          </w:p>
        </w:tc>
        <w:tc>
          <w:tcPr>
            <w:tcW w:w="1440" w:type="dxa"/>
            <w:vMerge w:val="restart"/>
            <w:tcBorders>
              <w:bottom w:val="nil"/>
            </w:tcBorders>
            <w:vAlign w:val="top"/>
          </w:tcPr>
          <w:p w14:paraId="11FA6015">
            <w:pPr>
              <w:spacing w:line="382" w:lineRule="auto"/>
              <w:rPr>
                <w:rFonts w:ascii="Arial"/>
                <w:sz w:val="21"/>
              </w:rPr>
            </w:pPr>
          </w:p>
          <w:p w14:paraId="6022362B">
            <w:pPr>
              <w:pStyle w:val="6"/>
              <w:spacing w:before="98" w:line="186" w:lineRule="auto"/>
              <w:ind w:left="114" w:right="111" w:firstLine="8"/>
            </w:pPr>
            <w:r>
              <w:rPr>
                <w:spacing w:val="10"/>
              </w:rPr>
              <w:t>伪造、变造</w:t>
            </w:r>
            <w:r>
              <w:rPr>
                <w:spacing w:val="6"/>
              </w:rPr>
              <w:t>或者出租、</w:t>
            </w:r>
            <w:r>
              <w:rPr>
                <w:spacing w:val="11"/>
              </w:rPr>
              <w:t>出借、转让</w:t>
            </w:r>
            <w:r>
              <w:rPr>
                <w:spacing w:val="-6"/>
                <w:w w:val="97"/>
              </w:rPr>
              <w:t>经营许可</w:t>
            </w:r>
            <w:r>
              <w:rPr>
                <w:spacing w:val="4"/>
              </w:rPr>
              <w:t>证，或者使</w:t>
            </w:r>
            <w:r>
              <w:rPr>
                <w:spacing w:val="11"/>
              </w:rPr>
              <w:t>用伪造、变造的经营许</w:t>
            </w:r>
            <w:r>
              <w:rPr>
                <w:spacing w:val="5"/>
              </w:rPr>
              <w:t>可证的</w:t>
            </w:r>
          </w:p>
        </w:tc>
        <w:tc>
          <w:tcPr>
            <w:tcW w:w="3202" w:type="dxa"/>
            <w:vMerge w:val="restart"/>
            <w:tcBorders>
              <w:bottom w:val="nil"/>
            </w:tcBorders>
            <w:vAlign w:val="top"/>
          </w:tcPr>
          <w:p w14:paraId="655A494A">
            <w:pPr>
              <w:pStyle w:val="6"/>
              <w:spacing w:before="35" w:line="186" w:lineRule="auto"/>
              <w:ind w:left="119" w:right="111" w:hanging="21"/>
            </w:pPr>
            <w:r>
              <w:rPr>
                <w:spacing w:val="18"/>
              </w:rPr>
              <w:t>【部门规章】《危险化学品</w:t>
            </w:r>
            <w:r>
              <w:rPr>
                <w:spacing w:val="17"/>
              </w:rPr>
              <w:t>经营许可证管理办法》第</w:t>
            </w:r>
            <w:r>
              <w:fldChar w:fldCharType="begin"/>
            </w:r>
            <w:r>
              <w:instrText xml:space="preserve"> HYPERLINK "https://baike.baidu.com/item/%E4%BA%8C%E5%8D%81%E4%B8%80%E6%9D%A1/514583?fromModule=lemma_inlink" </w:instrText>
            </w:r>
            <w:r>
              <w:fldChar w:fldCharType="separate"/>
            </w:r>
            <w:r>
              <w:rPr>
                <w:spacing w:val="17"/>
              </w:rPr>
              <w:t>二</w:t>
            </w:r>
            <w:r>
              <w:rPr>
                <w:spacing w:val="17"/>
              </w:rPr>
              <w:fldChar w:fldCharType="end"/>
            </w:r>
            <w:r>
              <w:rPr>
                <w:spacing w:val="13"/>
              </w:rPr>
              <w:t>十一条：任何单位和个人不得伪造、变造经营许可证，</w:t>
            </w:r>
            <w:r>
              <w:rPr>
                <w:spacing w:val="17"/>
              </w:rPr>
              <w:t>或者出租、出借、转让其取</w:t>
            </w:r>
            <w:r>
              <w:rPr>
                <w:spacing w:val="13"/>
              </w:rPr>
              <w:t>得的经营许可证，或者使用</w:t>
            </w:r>
            <w:r>
              <w:rPr>
                <w:spacing w:val="5"/>
              </w:rPr>
              <w:t>伪造、变造的经营许可证。</w:t>
            </w:r>
          </w:p>
        </w:tc>
        <w:tc>
          <w:tcPr>
            <w:tcW w:w="2859" w:type="dxa"/>
            <w:vMerge w:val="restart"/>
            <w:tcBorders>
              <w:bottom w:val="nil"/>
            </w:tcBorders>
            <w:vAlign w:val="top"/>
          </w:tcPr>
          <w:p w14:paraId="7CD78F29">
            <w:pPr>
              <w:pStyle w:val="6"/>
              <w:spacing w:before="40" w:line="180" w:lineRule="auto"/>
              <w:ind w:left="120" w:right="19" w:hanging="23"/>
            </w:pPr>
            <w:r>
              <w:rPr>
                <w:spacing w:val="10"/>
              </w:rPr>
              <w:t>【部门规章】《危险化学</w:t>
            </w:r>
            <w:r>
              <w:rPr>
                <w:spacing w:val="9"/>
              </w:rPr>
              <w:t>品经营许可证管理办法》</w:t>
            </w:r>
            <w:r>
              <w:rPr>
                <w:spacing w:val="8"/>
              </w:rPr>
              <w:t>第三十一条：伪造、变造或者出租、出借、转让经</w:t>
            </w:r>
            <w:r>
              <w:rPr>
                <w:spacing w:val="-4"/>
              </w:rPr>
              <w:t>营许可证，或者使用伪造、</w:t>
            </w:r>
            <w:r>
              <w:rPr>
                <w:spacing w:val="7"/>
              </w:rPr>
              <w:t>变造的经营许可证的，处</w:t>
            </w:r>
            <w:r>
              <w:rPr>
                <w:rFonts w:ascii="宋体" w:hAnsi="宋体" w:eastAsia="宋体" w:cs="宋体"/>
                <w:spacing w:val="5"/>
              </w:rPr>
              <w:t>10</w:t>
            </w:r>
            <w:r>
              <w:rPr>
                <w:spacing w:val="5"/>
              </w:rPr>
              <w:t>万元以上</w:t>
            </w:r>
            <w:r>
              <w:rPr>
                <w:rFonts w:ascii="宋体" w:hAnsi="宋体" w:eastAsia="宋体" w:cs="宋体"/>
                <w:spacing w:val="5"/>
              </w:rPr>
              <w:t>20</w:t>
            </w:r>
            <w:r>
              <w:rPr>
                <w:spacing w:val="5"/>
              </w:rPr>
              <w:t>万元以下</w:t>
            </w:r>
            <w:r>
              <w:t>的罚款，有违法所得的，</w:t>
            </w:r>
            <w:r>
              <w:rPr>
                <w:spacing w:val="8"/>
              </w:rPr>
              <w:t>没收违法所得；构成违反治安管理行为的，依法给予治安管理处罚；构成犯</w:t>
            </w:r>
          </w:p>
        </w:tc>
        <w:tc>
          <w:tcPr>
            <w:tcW w:w="803" w:type="dxa"/>
            <w:vAlign w:val="top"/>
          </w:tcPr>
          <w:p w14:paraId="012B3421">
            <w:pPr>
              <w:spacing w:line="364" w:lineRule="auto"/>
              <w:rPr>
                <w:rFonts w:ascii="Arial"/>
                <w:sz w:val="21"/>
              </w:rPr>
            </w:pPr>
          </w:p>
          <w:p w14:paraId="19E6D887">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5E06E0C">
            <w:pPr>
              <w:pStyle w:val="6"/>
              <w:spacing w:before="97" w:line="189" w:lineRule="auto"/>
              <w:ind w:left="128" w:right="106" w:hanging="1"/>
              <w:jc w:val="both"/>
            </w:pPr>
            <w:r>
              <w:rPr>
                <w:spacing w:val="25"/>
              </w:rPr>
              <w:t>没有违法所得或违</w:t>
            </w:r>
            <w:r>
              <w:rPr>
                <w:spacing w:val="1"/>
              </w:rPr>
              <w:t>法所得</w:t>
            </w:r>
            <w:r>
              <w:rPr>
                <w:rFonts w:ascii="宋体" w:hAnsi="宋体" w:eastAsia="宋体" w:cs="宋体"/>
                <w:spacing w:val="1"/>
              </w:rPr>
              <w:t>10</w:t>
            </w:r>
            <w:r>
              <w:rPr>
                <w:spacing w:val="1"/>
              </w:rPr>
              <w:t>万元以下</w:t>
            </w:r>
            <w:r>
              <w:t>的</w:t>
            </w:r>
          </w:p>
        </w:tc>
        <w:tc>
          <w:tcPr>
            <w:tcW w:w="2894" w:type="dxa"/>
            <w:vAlign w:val="top"/>
          </w:tcPr>
          <w:p w14:paraId="28EF02E2">
            <w:pPr>
              <w:pStyle w:val="6"/>
              <w:spacing w:before="247" w:line="196" w:lineRule="auto"/>
              <w:ind w:left="146" w:right="105" w:hanging="17"/>
            </w:pPr>
            <w:r>
              <w:rPr>
                <w:spacing w:val="-5"/>
              </w:rPr>
              <w:t>没收违法所得，处</w:t>
            </w:r>
            <w:r>
              <w:rPr>
                <w:rFonts w:ascii="宋体" w:hAnsi="宋体" w:eastAsia="宋体" w:cs="宋体"/>
                <w:spacing w:val="-5"/>
              </w:rPr>
              <w:t>10</w:t>
            </w:r>
            <w:r>
              <w:rPr>
                <w:spacing w:val="-5"/>
              </w:rPr>
              <w:t>万元</w:t>
            </w:r>
            <w:r>
              <w:rPr>
                <w:spacing w:val="-1"/>
              </w:rPr>
              <w:t>以上</w:t>
            </w:r>
            <w:r>
              <w:rPr>
                <w:rFonts w:ascii="宋体" w:hAnsi="宋体" w:eastAsia="宋体" w:cs="宋体"/>
                <w:spacing w:val="-1"/>
              </w:rPr>
              <w:t>13</w:t>
            </w:r>
            <w:r>
              <w:rPr>
                <w:spacing w:val="-1"/>
              </w:rPr>
              <w:t>万元以下的罚款</w:t>
            </w:r>
          </w:p>
        </w:tc>
        <w:tc>
          <w:tcPr>
            <w:tcW w:w="811" w:type="dxa"/>
            <w:vMerge w:val="restart"/>
            <w:tcBorders>
              <w:bottom w:val="nil"/>
            </w:tcBorders>
            <w:vAlign w:val="top"/>
          </w:tcPr>
          <w:p w14:paraId="38D89C93">
            <w:pPr>
              <w:spacing w:line="248" w:lineRule="auto"/>
              <w:rPr>
                <w:rFonts w:ascii="Arial"/>
                <w:sz w:val="21"/>
              </w:rPr>
            </w:pPr>
          </w:p>
          <w:p w14:paraId="7AEDF53F">
            <w:pPr>
              <w:spacing w:line="249" w:lineRule="auto"/>
              <w:rPr>
                <w:rFonts w:ascii="Arial"/>
                <w:sz w:val="21"/>
              </w:rPr>
            </w:pPr>
          </w:p>
          <w:p w14:paraId="107E8BF4">
            <w:pPr>
              <w:spacing w:line="249" w:lineRule="auto"/>
              <w:rPr>
                <w:rFonts w:ascii="Arial"/>
                <w:sz w:val="21"/>
              </w:rPr>
            </w:pPr>
          </w:p>
          <w:p w14:paraId="600B64B9">
            <w:pPr>
              <w:spacing w:line="249" w:lineRule="auto"/>
              <w:rPr>
                <w:rFonts w:ascii="Arial"/>
                <w:sz w:val="21"/>
              </w:rPr>
            </w:pPr>
          </w:p>
          <w:p w14:paraId="337A0894">
            <w:pPr>
              <w:spacing w:line="249" w:lineRule="auto"/>
              <w:rPr>
                <w:rFonts w:ascii="Arial"/>
                <w:sz w:val="21"/>
              </w:rPr>
            </w:pPr>
          </w:p>
          <w:p w14:paraId="37B7E2E3">
            <w:pPr>
              <w:spacing w:line="249" w:lineRule="auto"/>
              <w:rPr>
                <w:rFonts w:ascii="Arial"/>
                <w:sz w:val="21"/>
              </w:rPr>
            </w:pPr>
          </w:p>
          <w:p w14:paraId="07879B35">
            <w:pPr>
              <w:spacing w:before="75" w:line="187" w:lineRule="auto"/>
              <w:ind w:left="296"/>
              <w:rPr>
                <w:rFonts w:ascii="宋体" w:hAnsi="宋体" w:eastAsia="宋体" w:cs="宋体"/>
                <w:sz w:val="23"/>
                <w:szCs w:val="23"/>
              </w:rPr>
            </w:pPr>
            <w:r>
              <w:rPr>
                <w:rFonts w:ascii="宋体" w:hAnsi="宋体" w:eastAsia="宋体" w:cs="宋体"/>
                <w:spacing w:val="-5"/>
                <w:sz w:val="23"/>
                <w:szCs w:val="23"/>
              </w:rPr>
              <w:t>77</w:t>
            </w:r>
          </w:p>
        </w:tc>
      </w:tr>
      <w:tr w14:paraId="2711D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7" w:hRule="atLeast"/>
        </w:trPr>
        <w:tc>
          <w:tcPr>
            <w:tcW w:w="818" w:type="dxa"/>
            <w:vMerge w:val="continue"/>
            <w:tcBorders>
              <w:top w:val="nil"/>
              <w:bottom w:val="nil"/>
            </w:tcBorders>
            <w:vAlign w:val="top"/>
          </w:tcPr>
          <w:p w14:paraId="7DFA7A0E">
            <w:pPr>
              <w:rPr>
                <w:rFonts w:ascii="Arial"/>
                <w:sz w:val="21"/>
              </w:rPr>
            </w:pPr>
          </w:p>
        </w:tc>
        <w:tc>
          <w:tcPr>
            <w:tcW w:w="1440" w:type="dxa"/>
            <w:vMerge w:val="continue"/>
            <w:tcBorders>
              <w:top w:val="nil"/>
              <w:bottom w:val="nil"/>
            </w:tcBorders>
            <w:vAlign w:val="top"/>
          </w:tcPr>
          <w:p w14:paraId="55BAEA36">
            <w:pPr>
              <w:rPr>
                <w:rFonts w:ascii="Arial"/>
                <w:sz w:val="21"/>
              </w:rPr>
            </w:pPr>
          </w:p>
        </w:tc>
        <w:tc>
          <w:tcPr>
            <w:tcW w:w="3202" w:type="dxa"/>
            <w:vMerge w:val="continue"/>
            <w:tcBorders>
              <w:top w:val="nil"/>
              <w:bottom w:val="nil"/>
            </w:tcBorders>
            <w:vAlign w:val="top"/>
          </w:tcPr>
          <w:p w14:paraId="44DC1B5C">
            <w:pPr>
              <w:rPr>
                <w:rFonts w:ascii="Arial"/>
                <w:sz w:val="21"/>
              </w:rPr>
            </w:pPr>
          </w:p>
        </w:tc>
        <w:tc>
          <w:tcPr>
            <w:tcW w:w="2859" w:type="dxa"/>
            <w:vMerge w:val="continue"/>
            <w:tcBorders>
              <w:top w:val="nil"/>
              <w:bottom w:val="nil"/>
            </w:tcBorders>
            <w:vAlign w:val="top"/>
          </w:tcPr>
          <w:p w14:paraId="54337524">
            <w:pPr>
              <w:rPr>
                <w:rFonts w:ascii="Arial"/>
                <w:sz w:val="21"/>
              </w:rPr>
            </w:pPr>
          </w:p>
        </w:tc>
        <w:tc>
          <w:tcPr>
            <w:tcW w:w="803" w:type="dxa"/>
            <w:vAlign w:val="top"/>
          </w:tcPr>
          <w:p w14:paraId="48B3655A">
            <w:pPr>
              <w:spacing w:line="436" w:lineRule="auto"/>
              <w:rPr>
                <w:rFonts w:ascii="Arial"/>
                <w:sz w:val="21"/>
              </w:rPr>
            </w:pPr>
          </w:p>
          <w:p w14:paraId="369321FC">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8AE8E44">
            <w:pPr>
              <w:pStyle w:val="6"/>
              <w:spacing w:before="318" w:line="196" w:lineRule="auto"/>
              <w:ind w:left="122" w:right="106" w:hanging="5"/>
            </w:pPr>
            <w:r>
              <w:rPr>
                <w:spacing w:val="3"/>
              </w:rPr>
              <w:t>违法所得</w:t>
            </w:r>
            <w:r>
              <w:rPr>
                <w:rFonts w:ascii="宋体" w:hAnsi="宋体" w:eastAsia="宋体" w:cs="宋体"/>
                <w:spacing w:val="3"/>
              </w:rPr>
              <w:t>10</w:t>
            </w:r>
            <w:r>
              <w:rPr>
                <w:spacing w:val="3"/>
              </w:rPr>
              <w:t>万元以</w:t>
            </w:r>
            <w:r>
              <w:rPr>
                <w:spacing w:val="1"/>
              </w:rPr>
              <w:t>上</w:t>
            </w:r>
            <w:r>
              <w:rPr>
                <w:rFonts w:ascii="宋体" w:hAnsi="宋体" w:eastAsia="宋体" w:cs="宋体"/>
                <w:spacing w:val="1"/>
              </w:rPr>
              <w:t>30</w:t>
            </w:r>
            <w:r>
              <w:rPr>
                <w:spacing w:val="1"/>
              </w:rPr>
              <w:t>万元以下的</w:t>
            </w:r>
          </w:p>
        </w:tc>
        <w:tc>
          <w:tcPr>
            <w:tcW w:w="2894" w:type="dxa"/>
            <w:vAlign w:val="top"/>
          </w:tcPr>
          <w:p w14:paraId="46E5DAED">
            <w:pPr>
              <w:pStyle w:val="6"/>
              <w:spacing w:before="318" w:line="196" w:lineRule="auto"/>
              <w:ind w:left="146" w:right="105" w:hanging="17"/>
            </w:pPr>
            <w:r>
              <w:rPr>
                <w:spacing w:val="-5"/>
              </w:rPr>
              <w:t>没收违法所得，处</w:t>
            </w:r>
            <w:r>
              <w:rPr>
                <w:rFonts w:ascii="宋体" w:hAnsi="宋体" w:eastAsia="宋体" w:cs="宋体"/>
                <w:spacing w:val="-5"/>
              </w:rPr>
              <w:t>13</w:t>
            </w:r>
            <w:r>
              <w:rPr>
                <w:spacing w:val="-5"/>
              </w:rPr>
              <w:t>万元</w:t>
            </w:r>
            <w:r>
              <w:rPr>
                <w:spacing w:val="-1"/>
              </w:rPr>
              <w:t>以上</w:t>
            </w:r>
            <w:r>
              <w:rPr>
                <w:rFonts w:ascii="宋体" w:hAnsi="宋体" w:eastAsia="宋体" w:cs="宋体"/>
                <w:spacing w:val="-1"/>
              </w:rPr>
              <w:t>17</w:t>
            </w:r>
            <w:r>
              <w:rPr>
                <w:spacing w:val="-1"/>
              </w:rPr>
              <w:t>万元以下的罚款</w:t>
            </w:r>
          </w:p>
        </w:tc>
        <w:tc>
          <w:tcPr>
            <w:tcW w:w="811" w:type="dxa"/>
            <w:vMerge w:val="continue"/>
            <w:tcBorders>
              <w:top w:val="nil"/>
              <w:bottom w:val="nil"/>
            </w:tcBorders>
            <w:vAlign w:val="top"/>
          </w:tcPr>
          <w:p w14:paraId="4647578F">
            <w:pPr>
              <w:rPr>
                <w:rFonts w:ascii="Arial"/>
                <w:sz w:val="21"/>
              </w:rPr>
            </w:pPr>
          </w:p>
        </w:tc>
      </w:tr>
      <w:tr w14:paraId="4FEB6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9" w:hRule="atLeast"/>
        </w:trPr>
        <w:tc>
          <w:tcPr>
            <w:tcW w:w="818" w:type="dxa"/>
            <w:vMerge w:val="continue"/>
            <w:tcBorders>
              <w:top w:val="nil"/>
            </w:tcBorders>
            <w:vAlign w:val="top"/>
          </w:tcPr>
          <w:p w14:paraId="489D19E3">
            <w:pPr>
              <w:rPr>
                <w:rFonts w:ascii="Arial"/>
                <w:sz w:val="21"/>
              </w:rPr>
            </w:pPr>
          </w:p>
        </w:tc>
        <w:tc>
          <w:tcPr>
            <w:tcW w:w="1440" w:type="dxa"/>
            <w:vMerge w:val="continue"/>
            <w:tcBorders>
              <w:top w:val="nil"/>
            </w:tcBorders>
            <w:vAlign w:val="top"/>
          </w:tcPr>
          <w:p w14:paraId="1278BE72">
            <w:pPr>
              <w:rPr>
                <w:rFonts w:ascii="Arial"/>
                <w:sz w:val="21"/>
              </w:rPr>
            </w:pPr>
          </w:p>
        </w:tc>
        <w:tc>
          <w:tcPr>
            <w:tcW w:w="3202" w:type="dxa"/>
            <w:vMerge w:val="continue"/>
            <w:tcBorders>
              <w:top w:val="nil"/>
            </w:tcBorders>
            <w:vAlign w:val="top"/>
          </w:tcPr>
          <w:p w14:paraId="33312A0D">
            <w:pPr>
              <w:rPr>
                <w:rFonts w:ascii="Arial"/>
                <w:sz w:val="21"/>
              </w:rPr>
            </w:pPr>
          </w:p>
        </w:tc>
        <w:tc>
          <w:tcPr>
            <w:tcW w:w="2859" w:type="dxa"/>
            <w:vMerge w:val="continue"/>
            <w:tcBorders>
              <w:top w:val="nil"/>
            </w:tcBorders>
            <w:vAlign w:val="top"/>
          </w:tcPr>
          <w:p w14:paraId="006FDD8B">
            <w:pPr>
              <w:rPr>
                <w:rFonts w:ascii="Arial"/>
                <w:sz w:val="21"/>
              </w:rPr>
            </w:pPr>
          </w:p>
        </w:tc>
        <w:tc>
          <w:tcPr>
            <w:tcW w:w="803" w:type="dxa"/>
            <w:vAlign w:val="top"/>
          </w:tcPr>
          <w:p w14:paraId="3C9DDB4F">
            <w:pPr>
              <w:spacing w:line="386" w:lineRule="auto"/>
              <w:rPr>
                <w:rFonts w:ascii="Arial"/>
                <w:sz w:val="21"/>
              </w:rPr>
            </w:pPr>
          </w:p>
          <w:p w14:paraId="39526885">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BEAAAA3">
            <w:pPr>
              <w:pStyle w:val="6"/>
              <w:spacing w:before="121" w:line="191" w:lineRule="auto"/>
              <w:ind w:left="122" w:right="106" w:hanging="5"/>
              <w:jc w:val="both"/>
            </w:pPr>
            <w:r>
              <w:rPr>
                <w:spacing w:val="5"/>
              </w:rPr>
              <w:t>违法所得</w:t>
            </w:r>
            <w:r>
              <w:rPr>
                <w:rFonts w:ascii="宋体" w:hAnsi="宋体" w:eastAsia="宋体" w:cs="宋体"/>
                <w:spacing w:val="5"/>
              </w:rPr>
              <w:t>30</w:t>
            </w:r>
            <w:r>
              <w:rPr>
                <w:spacing w:val="5"/>
              </w:rPr>
              <w:t>万元以</w:t>
            </w:r>
            <w:r>
              <w:rPr>
                <w:spacing w:val="-3"/>
              </w:rPr>
              <w:t>上的，或者造成严重</w:t>
            </w:r>
            <w:r>
              <w:rPr>
                <w:spacing w:val="3"/>
              </w:rPr>
              <w:t>后果的</w:t>
            </w:r>
          </w:p>
        </w:tc>
        <w:tc>
          <w:tcPr>
            <w:tcW w:w="2894" w:type="dxa"/>
            <w:vAlign w:val="top"/>
          </w:tcPr>
          <w:p w14:paraId="459405F8">
            <w:pPr>
              <w:pStyle w:val="6"/>
              <w:spacing w:before="267" w:line="196" w:lineRule="auto"/>
              <w:ind w:left="146" w:right="105" w:hanging="17"/>
            </w:pPr>
            <w:r>
              <w:rPr>
                <w:spacing w:val="-5"/>
              </w:rPr>
              <w:t>没收违法所得，处</w:t>
            </w:r>
            <w:r>
              <w:rPr>
                <w:rFonts w:ascii="宋体" w:hAnsi="宋体" w:eastAsia="宋体" w:cs="宋体"/>
                <w:spacing w:val="-5"/>
              </w:rPr>
              <w:t>17</w:t>
            </w:r>
            <w:r>
              <w:rPr>
                <w:spacing w:val="-5"/>
              </w:rPr>
              <w:t>万元</w:t>
            </w:r>
            <w:r>
              <w:rPr>
                <w:spacing w:val="1"/>
              </w:rPr>
              <w:t>以上</w:t>
            </w:r>
            <w:r>
              <w:rPr>
                <w:rFonts w:ascii="宋体" w:hAnsi="宋体" w:eastAsia="宋体" w:cs="宋体"/>
                <w:spacing w:val="1"/>
              </w:rPr>
              <w:t>20</w:t>
            </w:r>
            <w:r>
              <w:rPr>
                <w:spacing w:val="1"/>
              </w:rPr>
              <w:t>万元以下的罚款</w:t>
            </w:r>
          </w:p>
        </w:tc>
        <w:tc>
          <w:tcPr>
            <w:tcW w:w="811" w:type="dxa"/>
            <w:vMerge w:val="continue"/>
            <w:tcBorders>
              <w:top w:val="nil"/>
            </w:tcBorders>
            <w:vAlign w:val="top"/>
          </w:tcPr>
          <w:p w14:paraId="3D70BB8E">
            <w:pPr>
              <w:rPr>
                <w:rFonts w:ascii="Arial"/>
                <w:sz w:val="21"/>
              </w:rPr>
            </w:pPr>
          </w:p>
        </w:tc>
      </w:tr>
    </w:tbl>
    <w:p w14:paraId="6954942C">
      <w:pPr>
        <w:pStyle w:val="2"/>
      </w:pPr>
    </w:p>
    <w:p w14:paraId="0DD450F3">
      <w:pPr>
        <w:sectPr>
          <w:footerReference r:id="rId130" w:type="default"/>
          <w:pgSz w:w="16839" w:h="11906"/>
          <w:pgMar w:top="1012" w:right="821" w:bottom="667" w:left="901" w:header="0" w:footer="388" w:gutter="0"/>
          <w:cols w:space="720" w:num="1"/>
        </w:sectPr>
      </w:pPr>
    </w:p>
    <w:p w14:paraId="59509DF2">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6016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3DDB197">
            <w:pPr>
              <w:spacing w:before="222" w:line="241" w:lineRule="auto"/>
              <w:ind w:left="131"/>
              <w:outlineLvl w:val="0"/>
              <w:rPr>
                <w:rFonts w:ascii="黑体" w:hAnsi="黑体" w:eastAsia="黑体" w:cs="黑体"/>
                <w:sz w:val="28"/>
                <w:szCs w:val="28"/>
              </w:rPr>
            </w:pPr>
            <w:bookmarkStart w:id="527" w:name="bookmark218"/>
            <w:bookmarkEnd w:id="527"/>
            <w:bookmarkStart w:id="528" w:name="bookmark534"/>
            <w:bookmarkEnd w:id="528"/>
            <w:r>
              <w:rPr>
                <w:rFonts w:ascii="黑体" w:hAnsi="黑体" w:eastAsia="黑体" w:cs="黑体"/>
                <w:spacing w:val="-2"/>
                <w:sz w:val="28"/>
                <w:szCs w:val="28"/>
              </w:rPr>
              <w:t>序号</w:t>
            </w:r>
          </w:p>
        </w:tc>
        <w:tc>
          <w:tcPr>
            <w:tcW w:w="1440" w:type="dxa"/>
            <w:vAlign w:val="top"/>
          </w:tcPr>
          <w:p w14:paraId="2A4F452F">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D18E181">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5D18981">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777B700">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1DA8F6A">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33679410">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672566F">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73CF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818" w:type="dxa"/>
            <w:vAlign w:val="top"/>
          </w:tcPr>
          <w:p w14:paraId="7553E18B">
            <w:pPr>
              <w:rPr>
                <w:rFonts w:ascii="Arial"/>
                <w:sz w:val="21"/>
              </w:rPr>
            </w:pPr>
          </w:p>
        </w:tc>
        <w:tc>
          <w:tcPr>
            <w:tcW w:w="1440" w:type="dxa"/>
            <w:vAlign w:val="top"/>
          </w:tcPr>
          <w:p w14:paraId="272C404A">
            <w:pPr>
              <w:rPr>
                <w:rFonts w:ascii="Arial"/>
                <w:sz w:val="21"/>
              </w:rPr>
            </w:pPr>
          </w:p>
        </w:tc>
        <w:tc>
          <w:tcPr>
            <w:tcW w:w="3202" w:type="dxa"/>
            <w:vAlign w:val="top"/>
          </w:tcPr>
          <w:p w14:paraId="18DD089B">
            <w:pPr>
              <w:rPr>
                <w:rFonts w:ascii="Arial"/>
                <w:sz w:val="21"/>
              </w:rPr>
            </w:pPr>
          </w:p>
        </w:tc>
        <w:tc>
          <w:tcPr>
            <w:tcW w:w="2859" w:type="dxa"/>
            <w:vAlign w:val="top"/>
          </w:tcPr>
          <w:p w14:paraId="7BAC2DAF">
            <w:pPr>
              <w:pStyle w:val="6"/>
              <w:spacing w:before="28" w:line="162" w:lineRule="auto"/>
              <w:ind w:left="125"/>
            </w:pPr>
            <w:r>
              <w:rPr>
                <w:spacing w:val="-5"/>
              </w:rPr>
              <w:t>罪的，依法追究刑事责任。</w:t>
            </w:r>
          </w:p>
        </w:tc>
        <w:tc>
          <w:tcPr>
            <w:tcW w:w="803" w:type="dxa"/>
            <w:vAlign w:val="top"/>
          </w:tcPr>
          <w:p w14:paraId="7E3D0D91">
            <w:pPr>
              <w:rPr>
                <w:rFonts w:ascii="Arial"/>
                <w:sz w:val="21"/>
              </w:rPr>
            </w:pPr>
          </w:p>
        </w:tc>
        <w:tc>
          <w:tcPr>
            <w:tcW w:w="2283" w:type="dxa"/>
            <w:vAlign w:val="top"/>
          </w:tcPr>
          <w:p w14:paraId="6888BA8B">
            <w:pPr>
              <w:rPr>
                <w:rFonts w:ascii="Arial"/>
                <w:sz w:val="21"/>
              </w:rPr>
            </w:pPr>
          </w:p>
        </w:tc>
        <w:tc>
          <w:tcPr>
            <w:tcW w:w="2894" w:type="dxa"/>
            <w:vAlign w:val="top"/>
          </w:tcPr>
          <w:p w14:paraId="180A395F">
            <w:pPr>
              <w:rPr>
                <w:rFonts w:ascii="Arial"/>
                <w:sz w:val="21"/>
              </w:rPr>
            </w:pPr>
          </w:p>
        </w:tc>
        <w:tc>
          <w:tcPr>
            <w:tcW w:w="811" w:type="dxa"/>
            <w:vAlign w:val="top"/>
          </w:tcPr>
          <w:p w14:paraId="652273E1">
            <w:pPr>
              <w:rPr>
                <w:rFonts w:ascii="Arial"/>
                <w:sz w:val="21"/>
              </w:rPr>
            </w:pPr>
          </w:p>
        </w:tc>
      </w:tr>
      <w:tr w14:paraId="069AF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6" w:hRule="atLeast"/>
        </w:trPr>
        <w:tc>
          <w:tcPr>
            <w:tcW w:w="818" w:type="dxa"/>
            <w:vMerge w:val="restart"/>
            <w:tcBorders>
              <w:bottom w:val="nil"/>
            </w:tcBorders>
            <w:vAlign w:val="top"/>
          </w:tcPr>
          <w:p w14:paraId="04D25703">
            <w:pPr>
              <w:spacing w:line="252" w:lineRule="auto"/>
              <w:rPr>
                <w:rFonts w:ascii="Arial"/>
                <w:sz w:val="21"/>
              </w:rPr>
            </w:pPr>
          </w:p>
          <w:p w14:paraId="19A89B20">
            <w:pPr>
              <w:spacing w:line="252" w:lineRule="auto"/>
              <w:rPr>
                <w:rFonts w:ascii="Arial"/>
                <w:sz w:val="21"/>
              </w:rPr>
            </w:pPr>
          </w:p>
          <w:p w14:paraId="3A7727BD">
            <w:pPr>
              <w:spacing w:line="252" w:lineRule="auto"/>
              <w:rPr>
                <w:rFonts w:ascii="Arial"/>
                <w:sz w:val="21"/>
              </w:rPr>
            </w:pPr>
          </w:p>
          <w:p w14:paraId="4C540C00">
            <w:pPr>
              <w:spacing w:line="252" w:lineRule="auto"/>
              <w:rPr>
                <w:rFonts w:ascii="Arial"/>
                <w:sz w:val="21"/>
              </w:rPr>
            </w:pPr>
          </w:p>
          <w:p w14:paraId="73BE5B5E">
            <w:pPr>
              <w:spacing w:line="252" w:lineRule="auto"/>
              <w:rPr>
                <w:rFonts w:ascii="Arial"/>
                <w:sz w:val="21"/>
              </w:rPr>
            </w:pPr>
          </w:p>
          <w:p w14:paraId="75E2F67C">
            <w:pPr>
              <w:spacing w:line="252" w:lineRule="auto"/>
              <w:rPr>
                <w:rFonts w:ascii="Arial"/>
                <w:sz w:val="21"/>
              </w:rPr>
            </w:pPr>
          </w:p>
          <w:p w14:paraId="18264DD7">
            <w:pPr>
              <w:spacing w:line="252" w:lineRule="auto"/>
              <w:rPr>
                <w:rFonts w:ascii="Arial"/>
                <w:sz w:val="21"/>
              </w:rPr>
            </w:pPr>
          </w:p>
          <w:p w14:paraId="0F7ECD8B">
            <w:pPr>
              <w:spacing w:line="252" w:lineRule="auto"/>
              <w:rPr>
                <w:rFonts w:ascii="Arial"/>
                <w:sz w:val="21"/>
              </w:rPr>
            </w:pPr>
          </w:p>
          <w:p w14:paraId="1E7DFD1B">
            <w:pPr>
              <w:spacing w:line="253" w:lineRule="auto"/>
              <w:rPr>
                <w:rFonts w:ascii="Arial"/>
                <w:sz w:val="21"/>
              </w:rPr>
            </w:pPr>
          </w:p>
          <w:p w14:paraId="49DE81AA">
            <w:pPr>
              <w:spacing w:line="253" w:lineRule="auto"/>
              <w:rPr>
                <w:rFonts w:ascii="Arial"/>
                <w:sz w:val="21"/>
              </w:rPr>
            </w:pPr>
          </w:p>
          <w:p w14:paraId="1DF015E0">
            <w:pPr>
              <w:spacing w:line="253" w:lineRule="auto"/>
              <w:rPr>
                <w:rFonts w:ascii="Arial"/>
                <w:sz w:val="21"/>
              </w:rPr>
            </w:pPr>
          </w:p>
          <w:p w14:paraId="56AA1DB4">
            <w:pPr>
              <w:spacing w:line="253" w:lineRule="auto"/>
              <w:rPr>
                <w:rFonts w:ascii="Arial"/>
                <w:sz w:val="21"/>
              </w:rPr>
            </w:pPr>
          </w:p>
          <w:p w14:paraId="6B9C2105">
            <w:pPr>
              <w:spacing w:line="253" w:lineRule="auto"/>
              <w:rPr>
                <w:rFonts w:ascii="Arial"/>
                <w:sz w:val="21"/>
              </w:rPr>
            </w:pPr>
          </w:p>
          <w:p w14:paraId="294C957C">
            <w:pPr>
              <w:spacing w:before="74" w:line="186" w:lineRule="auto"/>
              <w:ind w:left="161"/>
              <w:rPr>
                <w:rFonts w:ascii="仿宋" w:hAnsi="仿宋" w:eastAsia="仿宋" w:cs="仿宋"/>
                <w:sz w:val="23"/>
                <w:szCs w:val="23"/>
              </w:rPr>
            </w:pPr>
            <w:r>
              <w:rPr>
                <w:rFonts w:ascii="仿宋" w:hAnsi="仿宋" w:eastAsia="仿宋" w:cs="仿宋"/>
                <w:spacing w:val="-5"/>
                <w:sz w:val="23"/>
                <w:szCs w:val="23"/>
              </w:rPr>
              <w:t>106</w:t>
            </w:r>
          </w:p>
        </w:tc>
        <w:tc>
          <w:tcPr>
            <w:tcW w:w="1440" w:type="dxa"/>
            <w:vMerge w:val="restart"/>
            <w:tcBorders>
              <w:bottom w:val="nil"/>
            </w:tcBorders>
            <w:vAlign w:val="top"/>
          </w:tcPr>
          <w:p w14:paraId="0FD985F0">
            <w:pPr>
              <w:spacing w:line="246" w:lineRule="auto"/>
              <w:rPr>
                <w:rFonts w:ascii="Arial"/>
                <w:sz w:val="21"/>
              </w:rPr>
            </w:pPr>
          </w:p>
          <w:p w14:paraId="7CB911F3">
            <w:pPr>
              <w:spacing w:line="246" w:lineRule="auto"/>
              <w:rPr>
                <w:rFonts w:ascii="Arial"/>
                <w:sz w:val="21"/>
              </w:rPr>
            </w:pPr>
          </w:p>
          <w:p w14:paraId="28AF44D6">
            <w:pPr>
              <w:spacing w:line="246" w:lineRule="auto"/>
              <w:rPr>
                <w:rFonts w:ascii="Arial"/>
                <w:sz w:val="21"/>
              </w:rPr>
            </w:pPr>
          </w:p>
          <w:p w14:paraId="2C7D2422">
            <w:pPr>
              <w:spacing w:line="246" w:lineRule="auto"/>
              <w:rPr>
                <w:rFonts w:ascii="Arial"/>
                <w:sz w:val="21"/>
              </w:rPr>
            </w:pPr>
          </w:p>
          <w:p w14:paraId="4628B3A6">
            <w:pPr>
              <w:spacing w:line="246" w:lineRule="auto"/>
              <w:rPr>
                <w:rFonts w:ascii="Arial"/>
                <w:sz w:val="21"/>
              </w:rPr>
            </w:pPr>
          </w:p>
          <w:p w14:paraId="74F67FE0">
            <w:pPr>
              <w:spacing w:line="246" w:lineRule="auto"/>
              <w:rPr>
                <w:rFonts w:ascii="Arial"/>
                <w:sz w:val="21"/>
              </w:rPr>
            </w:pPr>
          </w:p>
          <w:p w14:paraId="4596EA0B">
            <w:pPr>
              <w:spacing w:line="247" w:lineRule="auto"/>
              <w:rPr>
                <w:rFonts w:ascii="Arial"/>
                <w:sz w:val="21"/>
              </w:rPr>
            </w:pPr>
          </w:p>
          <w:p w14:paraId="36844189">
            <w:pPr>
              <w:pStyle w:val="6"/>
              <w:spacing w:before="98" w:line="185" w:lineRule="auto"/>
              <w:ind w:left="110" w:right="111" w:firstLine="11"/>
              <w:jc w:val="both"/>
            </w:pPr>
            <w:bookmarkStart w:id="529" w:name="bookmark220"/>
            <w:bookmarkEnd w:id="529"/>
            <w:bookmarkStart w:id="530" w:name="bookmark535"/>
            <w:bookmarkEnd w:id="530"/>
            <w:r>
              <w:rPr>
                <w:spacing w:val="10"/>
              </w:rPr>
              <w:t>化工企业未</w:t>
            </w:r>
            <w:r>
              <w:rPr>
                <w:spacing w:val="12"/>
              </w:rPr>
              <w:t>取得危险化学品安全使用许可证使用危险化学</w:t>
            </w:r>
            <w:r>
              <w:rPr>
                <w:spacing w:val="-9"/>
              </w:rPr>
              <w:t>品从事生</w:t>
            </w:r>
            <w:r>
              <w:rPr>
                <w:spacing w:val="5"/>
              </w:rPr>
              <w:t>产，且达到</w:t>
            </w:r>
            <w:r>
              <w:rPr>
                <w:spacing w:val="12"/>
              </w:rPr>
              <w:t>危险化学品使用量的数量标准规定</w:t>
            </w:r>
            <w:r>
              <w:rPr>
                <w:spacing w:val="1"/>
              </w:rPr>
              <w:t>的</w:t>
            </w:r>
          </w:p>
        </w:tc>
        <w:tc>
          <w:tcPr>
            <w:tcW w:w="3202" w:type="dxa"/>
            <w:vMerge w:val="restart"/>
            <w:tcBorders>
              <w:bottom w:val="nil"/>
            </w:tcBorders>
            <w:vAlign w:val="top"/>
          </w:tcPr>
          <w:p w14:paraId="23C368C4">
            <w:pPr>
              <w:pStyle w:val="6"/>
              <w:spacing w:before="32" w:line="182" w:lineRule="auto"/>
              <w:ind w:left="118" w:right="111" w:firstLine="12"/>
              <w:jc w:val="both"/>
            </w:pPr>
            <w:r>
              <w:rPr>
                <w:rFonts w:ascii="宋体" w:hAnsi="宋体" w:eastAsia="宋体" w:cs="宋体"/>
                <w:spacing w:val="14"/>
              </w:rPr>
              <w:t>1.</w:t>
            </w:r>
            <w:r>
              <w:rPr>
                <w:spacing w:val="14"/>
              </w:rPr>
              <w:t>【行政法规】《危险化学</w:t>
            </w:r>
            <w:r>
              <w:rPr>
                <w:spacing w:val="17"/>
              </w:rPr>
              <w:t>品安全管理条例》第二十九</w:t>
            </w:r>
            <w:r>
              <w:rPr>
                <w:spacing w:val="14"/>
              </w:rPr>
              <w:t>条第一款：使用危险化学品</w:t>
            </w:r>
          </w:p>
          <w:p w14:paraId="629AA431">
            <w:pPr>
              <w:pStyle w:val="6"/>
              <w:spacing w:line="182" w:lineRule="auto"/>
              <w:ind w:left="120"/>
              <w:outlineLvl w:val="0"/>
            </w:pPr>
            <w:r>
              <w:rPr>
                <w:spacing w:val="17"/>
              </w:rPr>
              <w:t>从事生产并且使用量达到规</w:t>
            </w:r>
          </w:p>
          <w:p w14:paraId="70CF8E5E">
            <w:pPr>
              <w:pStyle w:val="6"/>
              <w:spacing w:before="3" w:line="182" w:lineRule="auto"/>
              <w:ind w:left="119" w:right="111" w:hanging="2"/>
            </w:pPr>
            <w:r>
              <w:rPr>
                <w:spacing w:val="17"/>
              </w:rPr>
              <w:t>定数量的化工企业（属于危</w:t>
            </w:r>
            <w:r>
              <w:rPr>
                <w:spacing w:val="13"/>
              </w:rPr>
              <w:t>险化学品生产企业的除外，下同</w:t>
            </w:r>
            <w:r>
              <w:rPr>
                <w:spacing w:val="-15"/>
              </w:rPr>
              <w:t>），</w:t>
            </w:r>
            <w:r>
              <w:rPr>
                <w:spacing w:val="13"/>
              </w:rPr>
              <w:t>应当依照本条例的</w:t>
            </w:r>
            <w:r>
              <w:rPr>
                <w:spacing w:val="17"/>
              </w:rPr>
              <w:t>规定取得危险化学品安全使</w:t>
            </w:r>
            <w:r>
              <w:rPr>
                <w:spacing w:val="-1"/>
              </w:rPr>
              <w:t>用许可证。</w:t>
            </w:r>
          </w:p>
          <w:p w14:paraId="57FF26A3">
            <w:pPr>
              <w:pStyle w:val="6"/>
              <w:spacing w:line="186" w:lineRule="auto"/>
              <w:ind w:left="116" w:right="110"/>
              <w:jc w:val="both"/>
            </w:pPr>
            <w:r>
              <w:rPr>
                <w:rFonts w:ascii="宋体" w:hAnsi="宋体" w:eastAsia="宋体" w:cs="宋体"/>
                <w:spacing w:val="15"/>
              </w:rPr>
              <w:t>2.</w:t>
            </w:r>
            <w:r>
              <w:rPr>
                <w:spacing w:val="15"/>
              </w:rPr>
              <w:t>【部门规章】《危险化学</w:t>
            </w:r>
            <w:r>
              <w:rPr>
                <w:spacing w:val="39"/>
              </w:rPr>
              <w:t>品安全使用许可证实施办</w:t>
            </w:r>
            <w:r>
              <w:rPr>
                <w:spacing w:val="13"/>
              </w:rPr>
              <w:t>法》第三条：企业应当依照</w:t>
            </w:r>
            <w:r>
              <w:rPr>
                <w:spacing w:val="17"/>
              </w:rPr>
              <w:t>本办法的规定取得危险化学品安全使用许可证（以下简</w:t>
            </w:r>
            <w:r>
              <w:rPr>
                <w:spacing w:val="4"/>
              </w:rPr>
              <w:t>称安全使用许可证）。</w:t>
            </w:r>
          </w:p>
        </w:tc>
        <w:tc>
          <w:tcPr>
            <w:tcW w:w="2859" w:type="dxa"/>
            <w:vMerge w:val="restart"/>
            <w:tcBorders>
              <w:bottom w:val="nil"/>
            </w:tcBorders>
            <w:vAlign w:val="top"/>
          </w:tcPr>
          <w:p w14:paraId="17FB54DF">
            <w:pPr>
              <w:pStyle w:val="6"/>
              <w:spacing w:before="38" w:line="182" w:lineRule="auto"/>
              <w:ind w:left="117" w:right="38" w:firstLine="13"/>
            </w:pPr>
            <w:r>
              <w:rPr>
                <w:rFonts w:ascii="宋体" w:hAnsi="宋体" w:eastAsia="宋体" w:cs="宋体"/>
                <w:spacing w:val="6"/>
              </w:rPr>
              <w:t>1.</w:t>
            </w:r>
            <w:r>
              <w:rPr>
                <w:spacing w:val="6"/>
              </w:rPr>
              <w:t>【行政法规】《危险化</w:t>
            </w:r>
            <w:r>
              <w:rPr>
                <w:spacing w:val="8"/>
              </w:rPr>
              <w:t>学品安全管理条例》第七十七条第二款：违反本条</w:t>
            </w:r>
            <w:r>
              <w:rPr>
                <w:spacing w:val="4"/>
              </w:rPr>
              <w:t>例规定，化工企业未取得</w:t>
            </w:r>
            <w:r>
              <w:rPr>
                <w:spacing w:val="8"/>
              </w:rPr>
              <w:t>危险化学品安全使用许可证，使用危险化学品从事</w:t>
            </w:r>
            <w:r>
              <w:rPr>
                <w:spacing w:val="2"/>
              </w:rPr>
              <w:t>生产的，由安全生产监督</w:t>
            </w:r>
            <w:r>
              <w:rPr>
                <w:spacing w:val="7"/>
              </w:rPr>
              <w:t>管理部门责令限期改正，</w:t>
            </w:r>
            <w:r>
              <w:rPr>
                <w:spacing w:val="-1"/>
              </w:rPr>
              <w:t>处</w:t>
            </w:r>
            <w:r>
              <w:rPr>
                <w:rFonts w:ascii="宋体" w:hAnsi="宋体" w:eastAsia="宋体" w:cs="宋体"/>
                <w:spacing w:val="-1"/>
              </w:rPr>
              <w:t>10</w:t>
            </w:r>
            <w:r>
              <w:rPr>
                <w:spacing w:val="-1"/>
              </w:rPr>
              <w:t>万元以上</w:t>
            </w:r>
            <w:r>
              <w:rPr>
                <w:rFonts w:ascii="宋体" w:hAnsi="宋体" w:eastAsia="宋体" w:cs="宋体"/>
                <w:spacing w:val="-1"/>
              </w:rPr>
              <w:t>20</w:t>
            </w:r>
            <w:r>
              <w:rPr>
                <w:spacing w:val="-1"/>
              </w:rPr>
              <w:t>万元以</w:t>
            </w:r>
            <w:r>
              <w:rPr>
                <w:spacing w:val="-6"/>
              </w:rPr>
              <w:t>下的罚款；逾期不改正的，</w:t>
            </w:r>
            <w:r>
              <w:rPr>
                <w:spacing w:val="2"/>
              </w:rPr>
              <w:t>责令停产整顿。</w:t>
            </w:r>
          </w:p>
          <w:p w14:paraId="38BE4B00">
            <w:pPr>
              <w:pStyle w:val="6"/>
              <w:spacing w:before="9" w:line="180" w:lineRule="auto"/>
              <w:ind w:left="115" w:right="40"/>
              <w:jc w:val="both"/>
            </w:pPr>
            <w:r>
              <w:rPr>
                <w:rFonts w:ascii="宋体" w:hAnsi="宋体" w:eastAsia="宋体" w:cs="宋体"/>
                <w:spacing w:val="7"/>
              </w:rPr>
              <w:t>2.</w:t>
            </w:r>
            <w:r>
              <w:rPr>
                <w:spacing w:val="7"/>
              </w:rPr>
              <w:t>【部门规章】《危险化</w:t>
            </w:r>
            <w:r>
              <w:rPr>
                <w:spacing w:val="8"/>
              </w:rPr>
              <w:t>学品安全使用许可证实施</w:t>
            </w:r>
            <w:r>
              <w:rPr>
                <w:spacing w:val="-6"/>
              </w:rPr>
              <w:t>办法》第三十七条第一款：</w:t>
            </w:r>
            <w:r>
              <w:rPr>
                <w:spacing w:val="8"/>
              </w:rPr>
              <w:t>企业未取得安全使用许可证，擅自使用危险化学品从事生产，且达到危险化学品使用量的数量标准规定的，责令立即停止违法</w:t>
            </w:r>
            <w:r>
              <w:rPr>
                <w:spacing w:val="12"/>
              </w:rPr>
              <w:t>行为并限期改正，处</w:t>
            </w:r>
            <w:r>
              <w:rPr>
                <w:rFonts w:ascii="宋体" w:hAnsi="宋体" w:eastAsia="宋体" w:cs="宋体"/>
                <w:spacing w:val="12"/>
              </w:rPr>
              <w:t>10</w:t>
            </w:r>
            <w:r>
              <w:rPr>
                <w:spacing w:val="11"/>
              </w:rPr>
              <w:t>万元以上</w:t>
            </w:r>
            <w:r>
              <w:rPr>
                <w:rFonts w:ascii="宋体" w:hAnsi="宋体" w:eastAsia="宋体" w:cs="宋体"/>
                <w:spacing w:val="11"/>
              </w:rPr>
              <w:t>20</w:t>
            </w:r>
            <w:r>
              <w:rPr>
                <w:spacing w:val="11"/>
              </w:rPr>
              <w:t>万元以下的</w:t>
            </w:r>
            <w:r>
              <w:rPr>
                <w:spacing w:val="2"/>
              </w:rPr>
              <w:t>罚款；逾期不改正的，责令停产整顿。</w:t>
            </w:r>
          </w:p>
        </w:tc>
        <w:tc>
          <w:tcPr>
            <w:tcW w:w="803" w:type="dxa"/>
            <w:vAlign w:val="top"/>
          </w:tcPr>
          <w:p w14:paraId="5F1BB8C8">
            <w:pPr>
              <w:spacing w:line="281" w:lineRule="auto"/>
              <w:rPr>
                <w:rFonts w:ascii="Arial"/>
                <w:sz w:val="21"/>
              </w:rPr>
            </w:pPr>
          </w:p>
          <w:p w14:paraId="651F3BF1">
            <w:pPr>
              <w:spacing w:line="281" w:lineRule="auto"/>
              <w:rPr>
                <w:rFonts w:ascii="Arial"/>
                <w:sz w:val="21"/>
              </w:rPr>
            </w:pPr>
          </w:p>
          <w:p w14:paraId="4E25860A">
            <w:pPr>
              <w:spacing w:line="281" w:lineRule="auto"/>
              <w:rPr>
                <w:rFonts w:ascii="Arial"/>
                <w:sz w:val="21"/>
              </w:rPr>
            </w:pPr>
          </w:p>
          <w:p w14:paraId="21C10E73">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B492B2F">
            <w:pPr>
              <w:pStyle w:val="6"/>
              <w:spacing w:before="129" w:line="187" w:lineRule="auto"/>
              <w:ind w:left="121" w:right="105" w:hanging="3"/>
              <w:jc w:val="both"/>
            </w:pPr>
            <w:r>
              <w:rPr>
                <w:spacing w:val="26"/>
              </w:rPr>
              <w:t>未取得安全使用许</w:t>
            </w:r>
            <w:r>
              <w:rPr>
                <w:spacing w:val="-3"/>
              </w:rPr>
              <w:t>可证，擅自使用危险</w:t>
            </w:r>
            <w:r>
              <w:rPr>
                <w:spacing w:val="11"/>
              </w:rPr>
              <w:t>化学品从事生产</w:t>
            </w:r>
            <w:r>
              <w:rPr>
                <w:rFonts w:ascii="宋体" w:hAnsi="宋体" w:eastAsia="宋体" w:cs="宋体"/>
                <w:spacing w:val="11"/>
              </w:rPr>
              <w:t>10</w:t>
            </w:r>
            <w:r>
              <w:rPr>
                <w:spacing w:val="-3"/>
              </w:rPr>
              <w:t>日以内，且达到危险</w:t>
            </w:r>
            <w:r>
              <w:rPr>
                <w:spacing w:val="25"/>
              </w:rPr>
              <w:t>化学品使用量的数</w:t>
            </w:r>
            <w:r>
              <w:rPr>
                <w:spacing w:val="6"/>
              </w:rPr>
              <w:t>量标准规定的</w:t>
            </w:r>
          </w:p>
        </w:tc>
        <w:tc>
          <w:tcPr>
            <w:tcW w:w="2894" w:type="dxa"/>
            <w:vAlign w:val="top"/>
          </w:tcPr>
          <w:p w14:paraId="4FF45164">
            <w:pPr>
              <w:spacing w:line="331" w:lineRule="auto"/>
              <w:rPr>
                <w:rFonts w:ascii="Arial"/>
                <w:sz w:val="21"/>
              </w:rPr>
            </w:pPr>
          </w:p>
          <w:p w14:paraId="1F250186">
            <w:pPr>
              <w:pStyle w:val="6"/>
              <w:spacing w:before="99" w:line="189" w:lineRule="auto"/>
              <w:ind w:left="117" w:right="71" w:firstLine="10"/>
              <w:jc w:val="both"/>
            </w:pPr>
            <w:r>
              <w:rPr>
                <w:spacing w:val="-5"/>
              </w:rPr>
              <w:t>责令限期改正，处</w:t>
            </w:r>
            <w:r>
              <w:rPr>
                <w:rFonts w:ascii="宋体" w:hAnsi="宋体" w:eastAsia="宋体" w:cs="宋体"/>
                <w:spacing w:val="-5"/>
              </w:rPr>
              <w:t>10</w:t>
            </w:r>
            <w:r>
              <w:rPr>
                <w:spacing w:val="-5"/>
              </w:rPr>
              <w:t>万元</w:t>
            </w:r>
            <w:r>
              <w:rPr>
                <w:spacing w:val="-1"/>
              </w:rPr>
              <w:t>以上</w:t>
            </w:r>
            <w:r>
              <w:rPr>
                <w:rFonts w:ascii="宋体" w:hAnsi="宋体" w:eastAsia="宋体" w:cs="宋体"/>
                <w:spacing w:val="-1"/>
              </w:rPr>
              <w:t>13</w:t>
            </w:r>
            <w:r>
              <w:rPr>
                <w:spacing w:val="-1"/>
              </w:rPr>
              <w:t>万元以下的罚款；</w:t>
            </w:r>
            <w:r>
              <w:rPr>
                <w:spacing w:val="8"/>
              </w:rPr>
              <w:t>逾期不改正的，责令停产</w:t>
            </w:r>
            <w:r>
              <w:rPr>
                <w:spacing w:val="3"/>
              </w:rPr>
              <w:t>整顿</w:t>
            </w:r>
          </w:p>
        </w:tc>
        <w:tc>
          <w:tcPr>
            <w:tcW w:w="811" w:type="dxa"/>
            <w:vMerge w:val="restart"/>
            <w:tcBorders>
              <w:bottom w:val="nil"/>
            </w:tcBorders>
            <w:vAlign w:val="top"/>
          </w:tcPr>
          <w:p w14:paraId="4C6DCA72">
            <w:pPr>
              <w:spacing w:line="252" w:lineRule="auto"/>
              <w:rPr>
                <w:rFonts w:ascii="Arial"/>
                <w:sz w:val="21"/>
              </w:rPr>
            </w:pPr>
          </w:p>
          <w:p w14:paraId="4B955893">
            <w:pPr>
              <w:spacing w:line="252" w:lineRule="auto"/>
              <w:rPr>
                <w:rFonts w:ascii="Arial"/>
                <w:sz w:val="21"/>
              </w:rPr>
            </w:pPr>
          </w:p>
          <w:p w14:paraId="7A062F0E">
            <w:pPr>
              <w:spacing w:line="252" w:lineRule="auto"/>
              <w:rPr>
                <w:rFonts w:ascii="Arial"/>
                <w:sz w:val="21"/>
              </w:rPr>
            </w:pPr>
          </w:p>
          <w:p w14:paraId="0035ACB9">
            <w:pPr>
              <w:spacing w:line="252" w:lineRule="auto"/>
              <w:rPr>
                <w:rFonts w:ascii="Arial"/>
                <w:sz w:val="21"/>
              </w:rPr>
            </w:pPr>
          </w:p>
          <w:p w14:paraId="5D0B693A">
            <w:pPr>
              <w:spacing w:line="252" w:lineRule="auto"/>
              <w:rPr>
                <w:rFonts w:ascii="Arial"/>
                <w:sz w:val="21"/>
              </w:rPr>
            </w:pPr>
          </w:p>
          <w:p w14:paraId="04C76CAE">
            <w:pPr>
              <w:spacing w:line="252" w:lineRule="auto"/>
              <w:rPr>
                <w:rFonts w:ascii="Arial"/>
                <w:sz w:val="21"/>
              </w:rPr>
            </w:pPr>
          </w:p>
          <w:p w14:paraId="12A59F29">
            <w:pPr>
              <w:spacing w:line="252" w:lineRule="auto"/>
              <w:rPr>
                <w:rFonts w:ascii="Arial"/>
                <w:sz w:val="21"/>
              </w:rPr>
            </w:pPr>
          </w:p>
          <w:p w14:paraId="64D4351E">
            <w:pPr>
              <w:spacing w:line="252" w:lineRule="auto"/>
              <w:rPr>
                <w:rFonts w:ascii="Arial"/>
                <w:sz w:val="21"/>
              </w:rPr>
            </w:pPr>
          </w:p>
          <w:p w14:paraId="5AA7425A">
            <w:pPr>
              <w:spacing w:line="252" w:lineRule="auto"/>
              <w:rPr>
                <w:rFonts w:ascii="Arial"/>
                <w:sz w:val="21"/>
              </w:rPr>
            </w:pPr>
          </w:p>
          <w:p w14:paraId="27B0282C">
            <w:pPr>
              <w:spacing w:line="252" w:lineRule="auto"/>
              <w:rPr>
                <w:rFonts w:ascii="Arial"/>
                <w:sz w:val="21"/>
              </w:rPr>
            </w:pPr>
          </w:p>
          <w:p w14:paraId="4719F125">
            <w:pPr>
              <w:spacing w:line="252" w:lineRule="auto"/>
              <w:rPr>
                <w:rFonts w:ascii="Arial"/>
                <w:sz w:val="21"/>
              </w:rPr>
            </w:pPr>
          </w:p>
          <w:p w14:paraId="102829E9">
            <w:pPr>
              <w:spacing w:line="253" w:lineRule="auto"/>
              <w:rPr>
                <w:rFonts w:ascii="Arial"/>
                <w:sz w:val="21"/>
              </w:rPr>
            </w:pPr>
          </w:p>
          <w:p w14:paraId="5E79CBE7">
            <w:pPr>
              <w:spacing w:line="253" w:lineRule="auto"/>
              <w:rPr>
                <w:rFonts w:ascii="Arial"/>
                <w:sz w:val="21"/>
              </w:rPr>
            </w:pPr>
          </w:p>
          <w:p w14:paraId="3D241EB5">
            <w:pPr>
              <w:spacing w:before="75" w:line="188" w:lineRule="auto"/>
              <w:ind w:left="296"/>
              <w:rPr>
                <w:rFonts w:ascii="宋体" w:hAnsi="宋体" w:eastAsia="宋体" w:cs="宋体"/>
                <w:sz w:val="23"/>
                <w:szCs w:val="23"/>
              </w:rPr>
            </w:pPr>
            <w:r>
              <w:rPr>
                <w:rFonts w:ascii="宋体" w:hAnsi="宋体" w:eastAsia="宋体" w:cs="宋体"/>
                <w:spacing w:val="-5"/>
                <w:sz w:val="23"/>
                <w:szCs w:val="23"/>
              </w:rPr>
              <w:t>79</w:t>
            </w:r>
          </w:p>
        </w:tc>
      </w:tr>
      <w:tr w14:paraId="21ACE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1" w:hRule="atLeast"/>
        </w:trPr>
        <w:tc>
          <w:tcPr>
            <w:tcW w:w="818" w:type="dxa"/>
            <w:vMerge w:val="continue"/>
            <w:tcBorders>
              <w:top w:val="nil"/>
              <w:bottom w:val="nil"/>
            </w:tcBorders>
            <w:vAlign w:val="top"/>
          </w:tcPr>
          <w:p w14:paraId="143320A5">
            <w:pPr>
              <w:rPr>
                <w:rFonts w:ascii="Arial"/>
                <w:sz w:val="21"/>
              </w:rPr>
            </w:pPr>
          </w:p>
        </w:tc>
        <w:tc>
          <w:tcPr>
            <w:tcW w:w="1440" w:type="dxa"/>
            <w:vMerge w:val="continue"/>
            <w:tcBorders>
              <w:top w:val="nil"/>
              <w:bottom w:val="nil"/>
            </w:tcBorders>
            <w:vAlign w:val="top"/>
          </w:tcPr>
          <w:p w14:paraId="054C2794">
            <w:pPr>
              <w:rPr>
                <w:rFonts w:ascii="Arial"/>
                <w:sz w:val="21"/>
              </w:rPr>
            </w:pPr>
          </w:p>
        </w:tc>
        <w:tc>
          <w:tcPr>
            <w:tcW w:w="3202" w:type="dxa"/>
            <w:vMerge w:val="continue"/>
            <w:tcBorders>
              <w:top w:val="nil"/>
              <w:bottom w:val="nil"/>
            </w:tcBorders>
            <w:vAlign w:val="top"/>
          </w:tcPr>
          <w:p w14:paraId="761254E5">
            <w:pPr>
              <w:rPr>
                <w:rFonts w:ascii="Arial"/>
                <w:sz w:val="21"/>
              </w:rPr>
            </w:pPr>
          </w:p>
        </w:tc>
        <w:tc>
          <w:tcPr>
            <w:tcW w:w="2859" w:type="dxa"/>
            <w:vMerge w:val="continue"/>
            <w:tcBorders>
              <w:top w:val="nil"/>
              <w:bottom w:val="nil"/>
            </w:tcBorders>
            <w:vAlign w:val="top"/>
          </w:tcPr>
          <w:p w14:paraId="4A0A9F97">
            <w:pPr>
              <w:rPr>
                <w:rFonts w:ascii="Arial"/>
                <w:sz w:val="21"/>
              </w:rPr>
            </w:pPr>
          </w:p>
        </w:tc>
        <w:tc>
          <w:tcPr>
            <w:tcW w:w="803" w:type="dxa"/>
            <w:vAlign w:val="top"/>
          </w:tcPr>
          <w:p w14:paraId="32752CB2">
            <w:pPr>
              <w:spacing w:line="245" w:lineRule="auto"/>
              <w:rPr>
                <w:rFonts w:ascii="Arial"/>
                <w:sz w:val="21"/>
              </w:rPr>
            </w:pPr>
          </w:p>
          <w:p w14:paraId="1D589E5C">
            <w:pPr>
              <w:spacing w:line="246" w:lineRule="auto"/>
              <w:rPr>
                <w:rFonts w:ascii="Arial"/>
                <w:sz w:val="21"/>
              </w:rPr>
            </w:pPr>
          </w:p>
          <w:p w14:paraId="34A2F6DD">
            <w:pPr>
              <w:spacing w:line="246" w:lineRule="auto"/>
              <w:rPr>
                <w:rFonts w:ascii="Arial"/>
                <w:sz w:val="21"/>
              </w:rPr>
            </w:pPr>
          </w:p>
          <w:p w14:paraId="6F63AC2F">
            <w:pPr>
              <w:spacing w:line="246" w:lineRule="auto"/>
              <w:rPr>
                <w:rFonts w:ascii="Arial"/>
                <w:sz w:val="21"/>
              </w:rPr>
            </w:pPr>
          </w:p>
          <w:p w14:paraId="12166B2F">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C719A67">
            <w:pPr>
              <w:pStyle w:val="6"/>
              <w:spacing w:before="121" w:line="186" w:lineRule="auto"/>
              <w:ind w:left="112" w:right="105" w:firstLine="5"/>
            </w:pPr>
            <w:r>
              <w:rPr>
                <w:spacing w:val="26"/>
              </w:rPr>
              <w:t>未取得安全使用许</w:t>
            </w:r>
            <w:r>
              <w:rPr>
                <w:spacing w:val="-2"/>
              </w:rPr>
              <w:t>可证，擅自使用危险</w:t>
            </w:r>
            <w:r>
              <w:rPr>
                <w:spacing w:val="12"/>
              </w:rPr>
              <w:t>化学品从事生产</w:t>
            </w:r>
            <w:r>
              <w:rPr>
                <w:rFonts w:ascii="宋体" w:hAnsi="宋体" w:eastAsia="宋体" w:cs="宋体"/>
                <w:spacing w:val="12"/>
              </w:rPr>
              <w:t>10</w:t>
            </w:r>
            <w:r>
              <w:rPr>
                <w:spacing w:val="-4"/>
              </w:rPr>
              <w:t>日以上</w:t>
            </w:r>
            <w:r>
              <w:rPr>
                <w:rFonts w:ascii="宋体" w:hAnsi="宋体" w:eastAsia="宋体" w:cs="宋体"/>
                <w:spacing w:val="-4"/>
              </w:rPr>
              <w:t>20</w:t>
            </w:r>
            <w:r>
              <w:rPr>
                <w:spacing w:val="-4"/>
              </w:rPr>
              <w:t>日以内，</w:t>
            </w:r>
            <w:r>
              <w:rPr>
                <w:spacing w:val="26"/>
              </w:rPr>
              <w:t>且达到危险化学品使用量的数量标准</w:t>
            </w:r>
            <w:r>
              <w:rPr>
                <w:spacing w:val="6"/>
              </w:rPr>
              <w:t>规定的</w:t>
            </w:r>
          </w:p>
        </w:tc>
        <w:tc>
          <w:tcPr>
            <w:tcW w:w="2894" w:type="dxa"/>
            <w:vAlign w:val="top"/>
          </w:tcPr>
          <w:p w14:paraId="63A738F8">
            <w:pPr>
              <w:spacing w:line="467" w:lineRule="auto"/>
              <w:rPr>
                <w:rFonts w:ascii="Arial"/>
                <w:sz w:val="21"/>
              </w:rPr>
            </w:pPr>
          </w:p>
          <w:p w14:paraId="455B1924">
            <w:pPr>
              <w:pStyle w:val="6"/>
              <w:spacing w:before="99" w:line="189" w:lineRule="auto"/>
              <w:ind w:left="117" w:right="71" w:firstLine="10"/>
              <w:jc w:val="both"/>
            </w:pPr>
            <w:r>
              <w:rPr>
                <w:spacing w:val="-5"/>
              </w:rPr>
              <w:t>责令限期改正，处</w:t>
            </w:r>
            <w:r>
              <w:rPr>
                <w:rFonts w:ascii="宋体" w:hAnsi="宋体" w:eastAsia="宋体" w:cs="宋体"/>
                <w:spacing w:val="-5"/>
              </w:rPr>
              <w:t>13</w:t>
            </w:r>
            <w:r>
              <w:rPr>
                <w:spacing w:val="-5"/>
              </w:rPr>
              <w:t>万元</w:t>
            </w:r>
            <w:r>
              <w:rPr>
                <w:spacing w:val="-1"/>
              </w:rPr>
              <w:t>以上</w:t>
            </w:r>
            <w:r>
              <w:rPr>
                <w:rFonts w:ascii="宋体" w:hAnsi="宋体" w:eastAsia="宋体" w:cs="宋体"/>
                <w:spacing w:val="-1"/>
              </w:rPr>
              <w:t>17</w:t>
            </w:r>
            <w:r>
              <w:rPr>
                <w:spacing w:val="-1"/>
              </w:rPr>
              <w:t>万元以下的罚款；</w:t>
            </w:r>
            <w:r>
              <w:rPr>
                <w:spacing w:val="8"/>
              </w:rPr>
              <w:t>逾期不改正的，责令停产</w:t>
            </w:r>
            <w:r>
              <w:rPr>
                <w:spacing w:val="3"/>
              </w:rPr>
              <w:t>整顿</w:t>
            </w:r>
          </w:p>
        </w:tc>
        <w:tc>
          <w:tcPr>
            <w:tcW w:w="811" w:type="dxa"/>
            <w:vMerge w:val="continue"/>
            <w:tcBorders>
              <w:top w:val="nil"/>
              <w:bottom w:val="nil"/>
            </w:tcBorders>
            <w:vAlign w:val="top"/>
          </w:tcPr>
          <w:p w14:paraId="43C1317E">
            <w:pPr>
              <w:rPr>
                <w:rFonts w:ascii="Arial"/>
                <w:sz w:val="21"/>
              </w:rPr>
            </w:pPr>
          </w:p>
        </w:tc>
      </w:tr>
      <w:tr w14:paraId="0226C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4" w:hRule="atLeast"/>
        </w:trPr>
        <w:tc>
          <w:tcPr>
            <w:tcW w:w="818" w:type="dxa"/>
            <w:vMerge w:val="continue"/>
            <w:tcBorders>
              <w:top w:val="nil"/>
            </w:tcBorders>
            <w:vAlign w:val="top"/>
          </w:tcPr>
          <w:p w14:paraId="7354C896">
            <w:pPr>
              <w:rPr>
                <w:rFonts w:ascii="Arial"/>
                <w:sz w:val="21"/>
              </w:rPr>
            </w:pPr>
          </w:p>
        </w:tc>
        <w:tc>
          <w:tcPr>
            <w:tcW w:w="1440" w:type="dxa"/>
            <w:vMerge w:val="continue"/>
            <w:tcBorders>
              <w:top w:val="nil"/>
            </w:tcBorders>
            <w:vAlign w:val="top"/>
          </w:tcPr>
          <w:p w14:paraId="5F30E8B7">
            <w:pPr>
              <w:rPr>
                <w:rFonts w:ascii="Arial"/>
                <w:sz w:val="21"/>
              </w:rPr>
            </w:pPr>
          </w:p>
        </w:tc>
        <w:tc>
          <w:tcPr>
            <w:tcW w:w="3202" w:type="dxa"/>
            <w:vMerge w:val="continue"/>
            <w:tcBorders>
              <w:top w:val="nil"/>
            </w:tcBorders>
            <w:vAlign w:val="top"/>
          </w:tcPr>
          <w:p w14:paraId="5B04638A">
            <w:pPr>
              <w:rPr>
                <w:rFonts w:ascii="Arial"/>
                <w:sz w:val="21"/>
              </w:rPr>
            </w:pPr>
          </w:p>
        </w:tc>
        <w:tc>
          <w:tcPr>
            <w:tcW w:w="2859" w:type="dxa"/>
            <w:vMerge w:val="continue"/>
            <w:tcBorders>
              <w:top w:val="nil"/>
            </w:tcBorders>
            <w:vAlign w:val="top"/>
          </w:tcPr>
          <w:p w14:paraId="510A9DBB">
            <w:pPr>
              <w:rPr>
                <w:rFonts w:ascii="Arial"/>
                <w:sz w:val="21"/>
              </w:rPr>
            </w:pPr>
          </w:p>
        </w:tc>
        <w:tc>
          <w:tcPr>
            <w:tcW w:w="803" w:type="dxa"/>
            <w:vAlign w:val="top"/>
          </w:tcPr>
          <w:p w14:paraId="40C492DD">
            <w:pPr>
              <w:spacing w:line="285" w:lineRule="auto"/>
              <w:rPr>
                <w:rFonts w:ascii="Arial"/>
                <w:sz w:val="21"/>
              </w:rPr>
            </w:pPr>
          </w:p>
          <w:p w14:paraId="294794F2">
            <w:pPr>
              <w:spacing w:line="285" w:lineRule="auto"/>
              <w:rPr>
                <w:rFonts w:ascii="Arial"/>
                <w:sz w:val="21"/>
              </w:rPr>
            </w:pPr>
          </w:p>
          <w:p w14:paraId="40A123DF">
            <w:pPr>
              <w:spacing w:line="286" w:lineRule="auto"/>
              <w:rPr>
                <w:rFonts w:ascii="Arial"/>
                <w:sz w:val="21"/>
              </w:rPr>
            </w:pPr>
          </w:p>
          <w:p w14:paraId="30355B46">
            <w:pPr>
              <w:spacing w:line="286" w:lineRule="auto"/>
              <w:rPr>
                <w:rFonts w:ascii="Arial"/>
                <w:sz w:val="21"/>
              </w:rPr>
            </w:pPr>
          </w:p>
          <w:p w14:paraId="48EE9FD4">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B803434">
            <w:pPr>
              <w:pStyle w:val="6"/>
              <w:spacing w:before="283" w:line="186" w:lineRule="auto"/>
              <w:ind w:left="116" w:right="105" w:firstLine="1"/>
              <w:jc w:val="both"/>
            </w:pPr>
            <w:r>
              <w:rPr>
                <w:spacing w:val="26"/>
              </w:rPr>
              <w:t>未取得安全使用许</w:t>
            </w:r>
            <w:r>
              <w:rPr>
                <w:spacing w:val="-2"/>
              </w:rPr>
              <w:t>可证，擅自使用危险</w:t>
            </w:r>
            <w:r>
              <w:rPr>
                <w:spacing w:val="13"/>
              </w:rPr>
              <w:t>化学品从事生产</w:t>
            </w:r>
            <w:r>
              <w:rPr>
                <w:rFonts w:ascii="宋体" w:hAnsi="宋体" w:eastAsia="宋体" w:cs="宋体"/>
                <w:spacing w:val="13"/>
              </w:rPr>
              <w:t>20</w:t>
            </w:r>
            <w:r>
              <w:rPr>
                <w:spacing w:val="-2"/>
              </w:rPr>
              <w:t>日以上，且达到危险</w:t>
            </w:r>
            <w:r>
              <w:rPr>
                <w:spacing w:val="26"/>
              </w:rPr>
              <w:t>化学品使用量的数</w:t>
            </w:r>
            <w:r>
              <w:rPr>
                <w:spacing w:val="-2"/>
              </w:rPr>
              <w:t>量标准规定的，或者</w:t>
            </w:r>
            <w:r>
              <w:rPr>
                <w:spacing w:val="7"/>
              </w:rPr>
              <w:t>造成严重后果的</w:t>
            </w:r>
          </w:p>
        </w:tc>
        <w:tc>
          <w:tcPr>
            <w:tcW w:w="2894" w:type="dxa"/>
            <w:vAlign w:val="top"/>
          </w:tcPr>
          <w:p w14:paraId="2EC73389">
            <w:pPr>
              <w:spacing w:line="314" w:lineRule="auto"/>
              <w:rPr>
                <w:rFonts w:ascii="Arial"/>
                <w:sz w:val="21"/>
              </w:rPr>
            </w:pPr>
          </w:p>
          <w:p w14:paraId="7C3653A5">
            <w:pPr>
              <w:spacing w:line="314" w:lineRule="auto"/>
              <w:rPr>
                <w:rFonts w:ascii="Arial"/>
                <w:sz w:val="21"/>
              </w:rPr>
            </w:pPr>
          </w:p>
          <w:p w14:paraId="640DF902">
            <w:pPr>
              <w:pStyle w:val="6"/>
              <w:spacing w:before="99" w:line="189" w:lineRule="auto"/>
              <w:ind w:left="117" w:right="71" w:firstLine="10"/>
              <w:jc w:val="both"/>
            </w:pPr>
            <w:r>
              <w:rPr>
                <w:spacing w:val="-5"/>
              </w:rPr>
              <w:t>责令限期改正，处</w:t>
            </w:r>
            <w:r>
              <w:rPr>
                <w:rFonts w:ascii="宋体" w:hAnsi="宋体" w:eastAsia="宋体" w:cs="宋体"/>
                <w:spacing w:val="-5"/>
              </w:rPr>
              <w:t>17</w:t>
            </w:r>
            <w:r>
              <w:rPr>
                <w:spacing w:val="-5"/>
              </w:rPr>
              <w:t>万元</w:t>
            </w:r>
            <w:r>
              <w:rPr>
                <w:spacing w:val="1"/>
              </w:rPr>
              <w:t>以上</w:t>
            </w:r>
            <w:r>
              <w:rPr>
                <w:rFonts w:ascii="宋体" w:hAnsi="宋体" w:eastAsia="宋体" w:cs="宋体"/>
                <w:spacing w:val="1"/>
              </w:rPr>
              <w:t>20</w:t>
            </w:r>
            <w:r>
              <w:rPr>
                <w:spacing w:val="1"/>
              </w:rPr>
              <w:t>万元以下的罚款；</w:t>
            </w:r>
            <w:r>
              <w:rPr>
                <w:spacing w:val="8"/>
              </w:rPr>
              <w:t>逾期不改正的，责令停产</w:t>
            </w:r>
            <w:r>
              <w:rPr>
                <w:spacing w:val="3"/>
              </w:rPr>
              <w:t>整顿</w:t>
            </w:r>
          </w:p>
        </w:tc>
        <w:tc>
          <w:tcPr>
            <w:tcW w:w="811" w:type="dxa"/>
            <w:vMerge w:val="continue"/>
            <w:tcBorders>
              <w:top w:val="nil"/>
            </w:tcBorders>
            <w:vAlign w:val="top"/>
          </w:tcPr>
          <w:p w14:paraId="01F52B49">
            <w:pPr>
              <w:rPr>
                <w:rFonts w:ascii="Arial"/>
                <w:sz w:val="21"/>
              </w:rPr>
            </w:pPr>
          </w:p>
        </w:tc>
      </w:tr>
      <w:tr w14:paraId="74C11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818" w:type="dxa"/>
            <w:vAlign w:val="top"/>
          </w:tcPr>
          <w:p w14:paraId="4DE673C3">
            <w:pPr>
              <w:spacing w:line="250" w:lineRule="auto"/>
              <w:rPr>
                <w:rFonts w:ascii="Arial"/>
                <w:sz w:val="21"/>
              </w:rPr>
            </w:pPr>
          </w:p>
          <w:p w14:paraId="44E586C3">
            <w:pPr>
              <w:spacing w:line="250" w:lineRule="auto"/>
              <w:rPr>
                <w:rFonts w:ascii="Arial"/>
                <w:sz w:val="21"/>
              </w:rPr>
            </w:pPr>
          </w:p>
          <w:p w14:paraId="044CDADE">
            <w:pPr>
              <w:spacing w:line="251" w:lineRule="auto"/>
              <w:rPr>
                <w:rFonts w:ascii="Arial"/>
                <w:sz w:val="21"/>
              </w:rPr>
            </w:pPr>
          </w:p>
          <w:p w14:paraId="353848A1">
            <w:pPr>
              <w:spacing w:before="75" w:line="186" w:lineRule="auto"/>
              <w:ind w:left="161"/>
              <w:rPr>
                <w:rFonts w:ascii="仿宋" w:hAnsi="仿宋" w:eastAsia="仿宋" w:cs="仿宋"/>
                <w:sz w:val="23"/>
                <w:szCs w:val="23"/>
              </w:rPr>
            </w:pPr>
            <w:r>
              <w:rPr>
                <w:rFonts w:ascii="仿宋" w:hAnsi="仿宋" w:eastAsia="仿宋" w:cs="仿宋"/>
                <w:spacing w:val="-5"/>
                <w:sz w:val="23"/>
                <w:szCs w:val="23"/>
              </w:rPr>
              <w:t>107</w:t>
            </w:r>
          </w:p>
        </w:tc>
        <w:tc>
          <w:tcPr>
            <w:tcW w:w="1440" w:type="dxa"/>
            <w:vAlign w:val="top"/>
          </w:tcPr>
          <w:p w14:paraId="130E1413">
            <w:pPr>
              <w:pStyle w:val="6"/>
              <w:spacing w:before="31" w:line="179" w:lineRule="auto"/>
              <w:ind w:left="114" w:right="111" w:firstLine="7"/>
              <w:jc w:val="both"/>
            </w:pPr>
            <w:r>
              <w:rPr>
                <w:spacing w:val="10"/>
              </w:rPr>
              <w:t>化工企业在</w:t>
            </w:r>
            <w:r>
              <w:rPr>
                <w:spacing w:val="11"/>
              </w:rPr>
              <w:t>安全使用许可证有效期届满后未办</w:t>
            </w:r>
            <w:r>
              <w:rPr>
                <w:spacing w:val="-4"/>
                <w:w w:val="98"/>
              </w:rPr>
              <w:t>理延期手</w:t>
            </w:r>
            <w:r>
              <w:rPr>
                <w:spacing w:val="4"/>
              </w:rPr>
              <w:t>续，仍然使</w:t>
            </w:r>
          </w:p>
        </w:tc>
        <w:tc>
          <w:tcPr>
            <w:tcW w:w="3202" w:type="dxa"/>
            <w:vAlign w:val="top"/>
          </w:tcPr>
          <w:p w14:paraId="54F163ED">
            <w:pPr>
              <w:pStyle w:val="6"/>
              <w:spacing w:before="31" w:line="179" w:lineRule="auto"/>
              <w:ind w:left="117" w:right="111" w:firstLine="13"/>
              <w:jc w:val="both"/>
            </w:pPr>
            <w:r>
              <w:rPr>
                <w:rFonts w:ascii="宋体" w:hAnsi="宋体" w:eastAsia="宋体" w:cs="宋体"/>
                <w:spacing w:val="14"/>
              </w:rPr>
              <w:t>1.</w:t>
            </w:r>
            <w:r>
              <w:rPr>
                <w:spacing w:val="14"/>
              </w:rPr>
              <w:t>【行政法规】《危险化学</w:t>
            </w:r>
            <w:r>
              <w:rPr>
                <w:spacing w:val="17"/>
              </w:rPr>
              <w:t>品安全管理条例》第二十九</w:t>
            </w:r>
            <w:r>
              <w:rPr>
                <w:spacing w:val="14"/>
              </w:rPr>
              <w:t>条第一款：使用危险化学品</w:t>
            </w:r>
            <w:r>
              <w:rPr>
                <w:spacing w:val="17"/>
              </w:rPr>
              <w:t>从事生产并且使用量达到规定数量的化工企业（属于危</w:t>
            </w:r>
            <w:r>
              <w:rPr>
                <w:spacing w:val="15"/>
              </w:rPr>
              <w:t>险化学品生产企业的除外，</w:t>
            </w:r>
          </w:p>
        </w:tc>
        <w:tc>
          <w:tcPr>
            <w:tcW w:w="2859" w:type="dxa"/>
            <w:vAlign w:val="top"/>
          </w:tcPr>
          <w:p w14:paraId="09F5E11B">
            <w:pPr>
              <w:pStyle w:val="6"/>
              <w:spacing w:before="31" w:line="179" w:lineRule="auto"/>
              <w:ind w:left="117" w:right="110" w:firstLine="13"/>
              <w:jc w:val="both"/>
            </w:pPr>
            <w:r>
              <w:rPr>
                <w:rFonts w:ascii="宋体" w:hAnsi="宋体" w:eastAsia="宋体" w:cs="宋体"/>
                <w:spacing w:val="6"/>
              </w:rPr>
              <w:t>1.</w:t>
            </w:r>
            <w:r>
              <w:rPr>
                <w:spacing w:val="6"/>
              </w:rPr>
              <w:t>【行政法规】《危险化</w:t>
            </w:r>
            <w:r>
              <w:rPr>
                <w:spacing w:val="8"/>
              </w:rPr>
              <w:t>学品安全管理条例》第七十七条第二款：违反本条</w:t>
            </w:r>
            <w:r>
              <w:rPr>
                <w:spacing w:val="4"/>
              </w:rPr>
              <w:t>例规定，化工企业未取得</w:t>
            </w:r>
            <w:r>
              <w:rPr>
                <w:spacing w:val="8"/>
              </w:rPr>
              <w:t>危险化学品安全使用许可证，使用危险化学品从事</w:t>
            </w:r>
          </w:p>
        </w:tc>
        <w:tc>
          <w:tcPr>
            <w:tcW w:w="803" w:type="dxa"/>
            <w:vAlign w:val="top"/>
          </w:tcPr>
          <w:p w14:paraId="6DE671F8">
            <w:pPr>
              <w:spacing w:line="248" w:lineRule="auto"/>
              <w:rPr>
                <w:rFonts w:ascii="Arial"/>
                <w:sz w:val="21"/>
              </w:rPr>
            </w:pPr>
          </w:p>
          <w:p w14:paraId="7FB97A98">
            <w:pPr>
              <w:spacing w:line="249" w:lineRule="auto"/>
              <w:rPr>
                <w:rFonts w:ascii="Arial"/>
                <w:sz w:val="21"/>
              </w:rPr>
            </w:pPr>
          </w:p>
          <w:p w14:paraId="3FBF19AA">
            <w:pPr>
              <w:spacing w:line="249" w:lineRule="auto"/>
              <w:rPr>
                <w:rFonts w:ascii="Arial"/>
                <w:sz w:val="21"/>
              </w:rPr>
            </w:pPr>
          </w:p>
          <w:p w14:paraId="048A0392">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DA5753D">
            <w:pPr>
              <w:pStyle w:val="6"/>
              <w:spacing w:before="31" w:line="179" w:lineRule="auto"/>
              <w:ind w:left="118" w:right="105" w:firstLine="1"/>
              <w:jc w:val="both"/>
            </w:pPr>
            <w:r>
              <w:rPr>
                <w:spacing w:val="26"/>
              </w:rPr>
              <w:t>企业在安全使用许可证有效期届满后</w:t>
            </w:r>
            <w:r>
              <w:rPr>
                <w:spacing w:val="-3"/>
              </w:rPr>
              <w:t>未办理延期手续，仍</w:t>
            </w:r>
            <w:r>
              <w:rPr>
                <w:spacing w:val="26"/>
              </w:rPr>
              <w:t>然使用危险化学品</w:t>
            </w:r>
            <w:r>
              <w:rPr>
                <w:spacing w:val="-15"/>
              </w:rPr>
              <w:t>从事生产</w:t>
            </w:r>
            <w:r>
              <w:rPr>
                <w:rFonts w:ascii="宋体" w:hAnsi="宋体" w:eastAsia="宋体" w:cs="宋体"/>
                <w:spacing w:val="-15"/>
              </w:rPr>
              <w:t>10</w:t>
            </w:r>
            <w:r>
              <w:rPr>
                <w:spacing w:val="-15"/>
              </w:rPr>
              <w:t>日以</w:t>
            </w:r>
            <w:r>
              <w:rPr>
                <w:spacing w:val="-3"/>
              </w:rPr>
              <w:t>内，且达到危险化学</w:t>
            </w:r>
          </w:p>
        </w:tc>
        <w:tc>
          <w:tcPr>
            <w:tcW w:w="2894" w:type="dxa"/>
            <w:vAlign w:val="top"/>
          </w:tcPr>
          <w:p w14:paraId="1BC52053">
            <w:pPr>
              <w:pStyle w:val="6"/>
              <w:spacing w:before="332" w:line="189" w:lineRule="auto"/>
              <w:ind w:left="126" w:right="106"/>
              <w:jc w:val="both"/>
            </w:pPr>
            <w:r>
              <w:rPr>
                <w:spacing w:val="10"/>
              </w:rPr>
              <w:t>责令立即停止违法行为并</w:t>
            </w:r>
            <w:r>
              <w:rPr>
                <w:spacing w:val="-5"/>
              </w:rPr>
              <w:t>限期改正，处</w:t>
            </w:r>
            <w:r>
              <w:rPr>
                <w:rFonts w:ascii="宋体" w:hAnsi="宋体" w:eastAsia="宋体" w:cs="宋体"/>
                <w:spacing w:val="-5"/>
              </w:rPr>
              <w:t>10</w:t>
            </w:r>
            <w:r>
              <w:rPr>
                <w:spacing w:val="-5"/>
              </w:rPr>
              <w:t>万元以上</w:t>
            </w:r>
            <w:r>
              <w:rPr>
                <w:rFonts w:ascii="宋体" w:hAnsi="宋体" w:eastAsia="宋体" w:cs="宋体"/>
                <w:spacing w:val="-1"/>
              </w:rPr>
              <w:t>13</w:t>
            </w:r>
            <w:r>
              <w:rPr>
                <w:spacing w:val="-1"/>
              </w:rPr>
              <w:t>万元以下的罚款；逾期</w:t>
            </w:r>
            <w:r>
              <w:rPr>
                <w:spacing w:val="7"/>
              </w:rPr>
              <w:t>不改正的，责令停产整顿</w:t>
            </w:r>
          </w:p>
        </w:tc>
        <w:tc>
          <w:tcPr>
            <w:tcW w:w="811" w:type="dxa"/>
            <w:vAlign w:val="top"/>
          </w:tcPr>
          <w:p w14:paraId="44F4B074">
            <w:pPr>
              <w:spacing w:line="249" w:lineRule="auto"/>
              <w:rPr>
                <w:rFonts w:ascii="Arial"/>
                <w:sz w:val="21"/>
              </w:rPr>
            </w:pPr>
          </w:p>
          <w:p w14:paraId="0CFA5272">
            <w:pPr>
              <w:spacing w:line="250" w:lineRule="auto"/>
              <w:rPr>
                <w:rFonts w:ascii="Arial"/>
                <w:sz w:val="21"/>
              </w:rPr>
            </w:pPr>
          </w:p>
          <w:p w14:paraId="56CDD984">
            <w:pPr>
              <w:spacing w:line="250" w:lineRule="auto"/>
              <w:rPr>
                <w:rFonts w:ascii="Arial"/>
                <w:sz w:val="21"/>
              </w:rPr>
            </w:pPr>
          </w:p>
          <w:p w14:paraId="6250140C">
            <w:pPr>
              <w:spacing w:before="74" w:line="188" w:lineRule="auto"/>
              <w:ind w:left="296"/>
              <w:rPr>
                <w:rFonts w:ascii="宋体" w:hAnsi="宋体" w:eastAsia="宋体" w:cs="宋体"/>
                <w:sz w:val="23"/>
                <w:szCs w:val="23"/>
              </w:rPr>
            </w:pPr>
            <w:r>
              <w:rPr>
                <w:rFonts w:ascii="宋体" w:hAnsi="宋体" w:eastAsia="宋体" w:cs="宋体"/>
                <w:spacing w:val="-5"/>
                <w:sz w:val="23"/>
                <w:szCs w:val="23"/>
              </w:rPr>
              <w:t>79</w:t>
            </w:r>
          </w:p>
        </w:tc>
      </w:tr>
    </w:tbl>
    <w:p w14:paraId="6E3219A9">
      <w:pPr>
        <w:pStyle w:val="2"/>
      </w:pPr>
    </w:p>
    <w:p w14:paraId="4120A4F0">
      <w:pPr>
        <w:sectPr>
          <w:footerReference r:id="rId131" w:type="default"/>
          <w:pgSz w:w="16839" w:h="11906"/>
          <w:pgMar w:top="1012" w:right="821" w:bottom="667" w:left="901" w:header="0" w:footer="388" w:gutter="0"/>
          <w:cols w:space="720" w:num="1"/>
        </w:sectPr>
      </w:pPr>
    </w:p>
    <w:p w14:paraId="02963D8D">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F176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2F69098">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6240DA74">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8E9260E">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A30978E">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5F887EA">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0FC121FA">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1B46B9E7">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8D0C9BF">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5804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18" w:type="dxa"/>
            <w:vMerge w:val="restart"/>
            <w:tcBorders>
              <w:bottom w:val="nil"/>
            </w:tcBorders>
            <w:vAlign w:val="top"/>
          </w:tcPr>
          <w:p w14:paraId="0B2A9262">
            <w:pPr>
              <w:rPr>
                <w:rFonts w:ascii="Arial"/>
                <w:sz w:val="21"/>
              </w:rPr>
            </w:pPr>
          </w:p>
        </w:tc>
        <w:tc>
          <w:tcPr>
            <w:tcW w:w="1440" w:type="dxa"/>
            <w:vMerge w:val="restart"/>
            <w:tcBorders>
              <w:bottom w:val="nil"/>
            </w:tcBorders>
            <w:vAlign w:val="top"/>
          </w:tcPr>
          <w:p w14:paraId="6691D9E8">
            <w:pPr>
              <w:pStyle w:val="6"/>
              <w:spacing w:before="31" w:line="182" w:lineRule="auto"/>
              <w:ind w:left="115" w:right="111" w:firstLine="2"/>
              <w:jc w:val="both"/>
            </w:pPr>
            <w:r>
              <w:rPr>
                <w:spacing w:val="11"/>
              </w:rPr>
              <w:t>用危险化学</w:t>
            </w:r>
            <w:r>
              <w:rPr>
                <w:spacing w:val="-10"/>
              </w:rPr>
              <w:t>品从事生</w:t>
            </w:r>
            <w:r>
              <w:rPr>
                <w:spacing w:val="4"/>
              </w:rPr>
              <w:t>产，且达到</w:t>
            </w:r>
            <w:r>
              <w:rPr>
                <w:spacing w:val="11"/>
              </w:rPr>
              <w:t>危险化学品</w:t>
            </w:r>
          </w:p>
          <w:p w14:paraId="285E5DCE">
            <w:pPr>
              <w:pStyle w:val="6"/>
              <w:spacing w:line="182" w:lineRule="auto"/>
              <w:ind w:left="110"/>
              <w:outlineLvl w:val="0"/>
            </w:pPr>
            <w:r>
              <w:rPr>
                <w:spacing w:val="12"/>
              </w:rPr>
              <w:t>使用量的数</w:t>
            </w:r>
          </w:p>
          <w:p w14:paraId="5BBEE6BC">
            <w:pPr>
              <w:pStyle w:val="6"/>
              <w:spacing w:line="197" w:lineRule="auto"/>
              <w:ind w:left="136" w:right="111" w:hanging="17"/>
            </w:pPr>
            <w:r>
              <w:rPr>
                <w:spacing w:val="10"/>
              </w:rPr>
              <w:t>量标准规定</w:t>
            </w:r>
            <w:r>
              <w:t>的</w:t>
            </w:r>
          </w:p>
        </w:tc>
        <w:tc>
          <w:tcPr>
            <w:tcW w:w="3202" w:type="dxa"/>
            <w:vMerge w:val="restart"/>
            <w:tcBorders>
              <w:bottom w:val="nil"/>
            </w:tcBorders>
            <w:vAlign w:val="top"/>
          </w:tcPr>
          <w:p w14:paraId="2D2D6C09">
            <w:pPr>
              <w:pStyle w:val="6"/>
              <w:spacing w:before="30" w:line="182" w:lineRule="auto"/>
              <w:ind w:left="120" w:right="111" w:firstLine="2"/>
              <w:jc w:val="both"/>
            </w:pPr>
            <w:r>
              <w:rPr>
                <w:spacing w:val="13"/>
              </w:rPr>
              <w:t>下同</w:t>
            </w:r>
            <w:r>
              <w:rPr>
                <w:spacing w:val="-16"/>
              </w:rPr>
              <w:t>），</w:t>
            </w:r>
            <w:r>
              <w:rPr>
                <w:spacing w:val="13"/>
              </w:rPr>
              <w:t>应当依照本条例的</w:t>
            </w:r>
            <w:r>
              <w:rPr>
                <w:spacing w:val="17"/>
              </w:rPr>
              <w:t>规定取得危险化学品安全使</w:t>
            </w:r>
            <w:r>
              <w:rPr>
                <w:spacing w:val="-1"/>
              </w:rPr>
              <w:t>用许可证。</w:t>
            </w:r>
          </w:p>
          <w:p w14:paraId="2F4D4478">
            <w:pPr>
              <w:pStyle w:val="6"/>
              <w:spacing w:before="8" w:line="182" w:lineRule="auto"/>
              <w:ind w:left="116" w:right="109"/>
            </w:pPr>
            <w:r>
              <w:rPr>
                <w:rFonts w:ascii="宋体" w:hAnsi="宋体" w:eastAsia="宋体" w:cs="宋体"/>
                <w:spacing w:val="15"/>
              </w:rPr>
              <w:t>2.</w:t>
            </w:r>
            <w:r>
              <w:rPr>
                <w:spacing w:val="15"/>
              </w:rPr>
              <w:t>【部门规章】《危险化学</w:t>
            </w:r>
            <w:r>
              <w:rPr>
                <w:spacing w:val="39"/>
              </w:rPr>
              <w:t>品安全使用许可证实施办</w:t>
            </w:r>
            <w:r>
              <w:rPr>
                <w:spacing w:val="13"/>
              </w:rPr>
              <w:t>法》第二十六条：安全使用许可证有效期为</w:t>
            </w:r>
            <w:r>
              <w:rPr>
                <w:rFonts w:ascii="宋体" w:hAnsi="宋体" w:eastAsia="宋体" w:cs="宋体"/>
                <w:spacing w:val="13"/>
              </w:rPr>
              <w:t>3</w:t>
            </w:r>
            <w:r>
              <w:rPr>
                <w:spacing w:val="13"/>
              </w:rPr>
              <w:t>年。企业</w:t>
            </w:r>
            <w:bookmarkStart w:id="531" w:name="bookmark222"/>
            <w:bookmarkEnd w:id="531"/>
            <w:bookmarkStart w:id="532" w:name="bookmark536"/>
            <w:bookmarkEnd w:id="532"/>
            <w:r>
              <w:rPr>
                <w:spacing w:val="17"/>
              </w:rPr>
              <w:t>安全使用许可证有效期届满后需要继续使用危险化学品从事生产、且达到危险化学</w:t>
            </w:r>
            <w:r>
              <w:rPr>
                <w:spacing w:val="39"/>
              </w:rPr>
              <w:t>品使用量的数量标准规定</w:t>
            </w:r>
            <w:r>
              <w:rPr>
                <w:spacing w:val="13"/>
              </w:rPr>
              <w:t>的，应当在安全使用许可证有效期届满前</w:t>
            </w:r>
            <w:r>
              <w:rPr>
                <w:rFonts w:ascii="宋体" w:hAnsi="宋体" w:eastAsia="宋体" w:cs="宋体"/>
                <w:spacing w:val="13"/>
              </w:rPr>
              <w:t>3</w:t>
            </w:r>
            <w:r>
              <w:rPr>
                <w:spacing w:val="13"/>
              </w:rPr>
              <w:t>个月提出延期申请，并提交本办法第十</w:t>
            </w:r>
            <w:r>
              <w:rPr>
                <w:spacing w:val="5"/>
              </w:rPr>
              <w:t>八条规定的文件、资料。</w:t>
            </w:r>
          </w:p>
          <w:p w14:paraId="34912901">
            <w:pPr>
              <w:pStyle w:val="6"/>
              <w:spacing w:before="6" w:line="187" w:lineRule="auto"/>
              <w:ind w:left="118" w:right="111"/>
            </w:pPr>
            <w:r>
              <w:rPr>
                <w:spacing w:val="17"/>
              </w:rPr>
              <w:t>发证机关按照本办法第二十条、第二十一条、第二十二条、第二十三条的规定进行</w:t>
            </w:r>
            <w:r>
              <w:rPr>
                <w:spacing w:val="13"/>
              </w:rPr>
              <w:t>审查，并作出是否准予延期</w:t>
            </w:r>
            <w:r>
              <w:rPr>
                <w:spacing w:val="-2"/>
              </w:rPr>
              <w:t>的决定。</w:t>
            </w:r>
          </w:p>
        </w:tc>
        <w:tc>
          <w:tcPr>
            <w:tcW w:w="2859" w:type="dxa"/>
            <w:vMerge w:val="restart"/>
            <w:tcBorders>
              <w:bottom w:val="nil"/>
            </w:tcBorders>
            <w:vAlign w:val="top"/>
          </w:tcPr>
          <w:p w14:paraId="6833E43B">
            <w:pPr>
              <w:pStyle w:val="6"/>
              <w:spacing w:before="31" w:line="182" w:lineRule="auto"/>
              <w:ind w:left="117" w:right="38" w:firstLine="13"/>
            </w:pPr>
            <w:r>
              <w:rPr>
                <w:spacing w:val="1"/>
              </w:rPr>
              <w:t>生产的，由安全生产监督</w:t>
            </w:r>
            <w:r>
              <w:rPr>
                <w:spacing w:val="7"/>
              </w:rPr>
              <w:t>管理部门责令限期改正，</w:t>
            </w:r>
            <w:r>
              <w:rPr>
                <w:spacing w:val="-1"/>
              </w:rPr>
              <w:t>处</w:t>
            </w:r>
            <w:r>
              <w:rPr>
                <w:rFonts w:ascii="宋体" w:hAnsi="宋体" w:eastAsia="宋体" w:cs="宋体"/>
                <w:spacing w:val="-1"/>
              </w:rPr>
              <w:t>10</w:t>
            </w:r>
            <w:r>
              <w:rPr>
                <w:spacing w:val="-1"/>
              </w:rPr>
              <w:t>万元以上</w:t>
            </w:r>
            <w:r>
              <w:rPr>
                <w:rFonts w:ascii="宋体" w:hAnsi="宋体" w:eastAsia="宋体" w:cs="宋体"/>
                <w:spacing w:val="-1"/>
              </w:rPr>
              <w:t>20</w:t>
            </w:r>
            <w:r>
              <w:rPr>
                <w:spacing w:val="-1"/>
              </w:rPr>
              <w:t>万元以</w:t>
            </w:r>
            <w:r>
              <w:rPr>
                <w:spacing w:val="-6"/>
              </w:rPr>
              <w:t>下的罚款；逾期不改正的，</w:t>
            </w:r>
            <w:r>
              <w:rPr>
                <w:spacing w:val="2"/>
              </w:rPr>
              <w:t>责令停产整顿。</w:t>
            </w:r>
          </w:p>
          <w:p w14:paraId="1923E782">
            <w:pPr>
              <w:pStyle w:val="6"/>
              <w:spacing w:before="8" w:line="182" w:lineRule="auto"/>
              <w:ind w:left="112" w:right="38" w:firstLine="3"/>
            </w:pPr>
            <w:r>
              <w:rPr>
                <w:rFonts w:ascii="宋体" w:hAnsi="宋体" w:eastAsia="宋体" w:cs="宋体"/>
                <w:spacing w:val="7"/>
              </w:rPr>
              <w:t>2.</w:t>
            </w:r>
            <w:r>
              <w:rPr>
                <w:spacing w:val="7"/>
              </w:rPr>
              <w:t>【部门规章】《危险化</w:t>
            </w:r>
            <w:r>
              <w:rPr>
                <w:spacing w:val="9"/>
              </w:rPr>
              <w:t>学品安全使用许可证实施</w:t>
            </w:r>
            <w:r>
              <w:rPr>
                <w:spacing w:val="8"/>
              </w:rPr>
              <w:t>办法》第三十七条：企业未取得安全使用许可证，</w:t>
            </w:r>
            <w:r>
              <w:rPr>
                <w:spacing w:val="9"/>
              </w:rPr>
              <w:t>擅自使用危险化学品从事生产，且达到危险化学品</w:t>
            </w:r>
            <w:r>
              <w:rPr>
                <w:spacing w:val="33"/>
              </w:rPr>
              <w:t>使用量的数量标准规定</w:t>
            </w:r>
            <w:r>
              <w:rPr>
                <w:spacing w:val="9"/>
              </w:rPr>
              <w:t>的，责令立即停止违法行</w:t>
            </w:r>
            <w:r>
              <w:rPr>
                <w:spacing w:val="-7"/>
              </w:rPr>
              <w:t>为并限期改正，处</w:t>
            </w:r>
            <w:r>
              <w:rPr>
                <w:rFonts w:ascii="宋体" w:hAnsi="宋体" w:eastAsia="宋体" w:cs="宋体"/>
                <w:spacing w:val="-7"/>
              </w:rPr>
              <w:t>10</w:t>
            </w:r>
            <w:r>
              <w:rPr>
                <w:spacing w:val="-7"/>
              </w:rPr>
              <w:t>万元</w:t>
            </w:r>
            <w:r>
              <w:rPr>
                <w:spacing w:val="1"/>
              </w:rPr>
              <w:t>以上</w:t>
            </w:r>
            <w:r>
              <w:rPr>
                <w:rFonts w:ascii="宋体" w:hAnsi="宋体" w:eastAsia="宋体" w:cs="宋体"/>
                <w:spacing w:val="1"/>
              </w:rPr>
              <w:t>20</w:t>
            </w:r>
            <w:r>
              <w:rPr>
                <w:spacing w:val="1"/>
              </w:rPr>
              <w:t>万元以下的罚款；</w:t>
            </w:r>
            <w:r>
              <w:rPr>
                <w:spacing w:val="9"/>
              </w:rPr>
              <w:t>逾期不改正的，责令停产</w:t>
            </w:r>
            <w:r>
              <w:rPr>
                <w:spacing w:val="-3"/>
              </w:rPr>
              <w:t>整顿。</w:t>
            </w:r>
          </w:p>
          <w:p w14:paraId="6B076FCB">
            <w:pPr>
              <w:pStyle w:val="6"/>
              <w:spacing w:before="2" w:line="179" w:lineRule="auto"/>
              <w:ind w:left="117" w:right="110" w:firstLine="2"/>
              <w:jc w:val="both"/>
            </w:pPr>
            <w:r>
              <w:rPr>
                <w:spacing w:val="8"/>
              </w:rPr>
              <w:t>企业在安全使用许可证有效期届满后未办理延期手续，仍然使用危险化学品从事生产，且达到危险化学品使用量的数量标准规定的，依照前款规定给予</w:t>
            </w:r>
            <w:r>
              <w:rPr>
                <w:spacing w:val="-4"/>
              </w:rPr>
              <w:t>处罚。</w:t>
            </w:r>
          </w:p>
        </w:tc>
        <w:tc>
          <w:tcPr>
            <w:tcW w:w="803" w:type="dxa"/>
            <w:vAlign w:val="top"/>
          </w:tcPr>
          <w:p w14:paraId="2911A0FB">
            <w:pPr>
              <w:rPr>
                <w:rFonts w:ascii="Arial"/>
                <w:sz w:val="21"/>
              </w:rPr>
            </w:pPr>
          </w:p>
        </w:tc>
        <w:tc>
          <w:tcPr>
            <w:tcW w:w="2283" w:type="dxa"/>
            <w:vAlign w:val="top"/>
          </w:tcPr>
          <w:p w14:paraId="44E5D01D">
            <w:pPr>
              <w:pStyle w:val="6"/>
              <w:spacing w:before="29" w:line="172" w:lineRule="auto"/>
              <w:ind w:left="122" w:right="109" w:firstLine="23"/>
            </w:pPr>
            <w:r>
              <w:rPr>
                <w:spacing w:val="22"/>
              </w:rPr>
              <w:t>品使用量的数量标</w:t>
            </w:r>
            <w:r>
              <w:rPr>
                <w:spacing w:val="5"/>
              </w:rPr>
              <w:t>准规定的</w:t>
            </w:r>
          </w:p>
        </w:tc>
        <w:tc>
          <w:tcPr>
            <w:tcW w:w="2894" w:type="dxa"/>
            <w:vAlign w:val="top"/>
          </w:tcPr>
          <w:p w14:paraId="0B4EA0EC">
            <w:pPr>
              <w:rPr>
                <w:rFonts w:ascii="Arial"/>
                <w:sz w:val="21"/>
              </w:rPr>
            </w:pPr>
          </w:p>
        </w:tc>
        <w:tc>
          <w:tcPr>
            <w:tcW w:w="811" w:type="dxa"/>
            <w:vMerge w:val="restart"/>
            <w:tcBorders>
              <w:bottom w:val="nil"/>
            </w:tcBorders>
            <w:vAlign w:val="top"/>
          </w:tcPr>
          <w:p w14:paraId="4CED57D5">
            <w:pPr>
              <w:rPr>
                <w:rFonts w:ascii="Arial"/>
                <w:sz w:val="21"/>
              </w:rPr>
            </w:pPr>
          </w:p>
        </w:tc>
      </w:tr>
      <w:tr w14:paraId="7FF4D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2" w:hRule="atLeast"/>
        </w:trPr>
        <w:tc>
          <w:tcPr>
            <w:tcW w:w="818" w:type="dxa"/>
            <w:vMerge w:val="continue"/>
            <w:tcBorders>
              <w:top w:val="nil"/>
              <w:bottom w:val="nil"/>
            </w:tcBorders>
            <w:vAlign w:val="top"/>
          </w:tcPr>
          <w:p w14:paraId="2FF6657B">
            <w:pPr>
              <w:rPr>
                <w:rFonts w:ascii="Arial"/>
                <w:sz w:val="21"/>
              </w:rPr>
            </w:pPr>
          </w:p>
        </w:tc>
        <w:tc>
          <w:tcPr>
            <w:tcW w:w="1440" w:type="dxa"/>
            <w:vMerge w:val="continue"/>
            <w:tcBorders>
              <w:top w:val="nil"/>
              <w:bottom w:val="nil"/>
            </w:tcBorders>
            <w:vAlign w:val="top"/>
          </w:tcPr>
          <w:p w14:paraId="0A04D59F">
            <w:pPr>
              <w:rPr>
                <w:rFonts w:ascii="Arial"/>
                <w:sz w:val="21"/>
              </w:rPr>
            </w:pPr>
          </w:p>
        </w:tc>
        <w:tc>
          <w:tcPr>
            <w:tcW w:w="3202" w:type="dxa"/>
            <w:vMerge w:val="continue"/>
            <w:tcBorders>
              <w:top w:val="nil"/>
              <w:bottom w:val="nil"/>
            </w:tcBorders>
            <w:vAlign w:val="top"/>
          </w:tcPr>
          <w:p w14:paraId="44A221FE">
            <w:pPr>
              <w:rPr>
                <w:rFonts w:ascii="Arial"/>
                <w:sz w:val="21"/>
              </w:rPr>
            </w:pPr>
          </w:p>
        </w:tc>
        <w:tc>
          <w:tcPr>
            <w:tcW w:w="2859" w:type="dxa"/>
            <w:vMerge w:val="continue"/>
            <w:tcBorders>
              <w:top w:val="nil"/>
              <w:bottom w:val="nil"/>
            </w:tcBorders>
            <w:vAlign w:val="top"/>
          </w:tcPr>
          <w:p w14:paraId="43D661E4">
            <w:pPr>
              <w:rPr>
                <w:rFonts w:ascii="Arial"/>
                <w:sz w:val="21"/>
              </w:rPr>
            </w:pPr>
          </w:p>
        </w:tc>
        <w:tc>
          <w:tcPr>
            <w:tcW w:w="803" w:type="dxa"/>
            <w:vAlign w:val="top"/>
          </w:tcPr>
          <w:p w14:paraId="0A728610">
            <w:pPr>
              <w:spacing w:line="259" w:lineRule="auto"/>
              <w:rPr>
                <w:rFonts w:ascii="Arial"/>
                <w:sz w:val="21"/>
              </w:rPr>
            </w:pPr>
          </w:p>
          <w:p w14:paraId="1E32DB83">
            <w:pPr>
              <w:spacing w:line="259" w:lineRule="auto"/>
              <w:rPr>
                <w:rFonts w:ascii="Arial"/>
                <w:sz w:val="21"/>
              </w:rPr>
            </w:pPr>
          </w:p>
          <w:p w14:paraId="0F397BB5">
            <w:pPr>
              <w:spacing w:line="259" w:lineRule="auto"/>
              <w:rPr>
                <w:rFonts w:ascii="Arial"/>
                <w:sz w:val="21"/>
              </w:rPr>
            </w:pPr>
          </w:p>
          <w:p w14:paraId="739A64B8">
            <w:pPr>
              <w:spacing w:line="259" w:lineRule="auto"/>
              <w:rPr>
                <w:rFonts w:ascii="Arial"/>
                <w:sz w:val="21"/>
              </w:rPr>
            </w:pPr>
          </w:p>
          <w:p w14:paraId="2CDC5D8B">
            <w:pPr>
              <w:spacing w:line="259" w:lineRule="auto"/>
              <w:rPr>
                <w:rFonts w:ascii="Arial"/>
                <w:sz w:val="21"/>
              </w:rPr>
            </w:pPr>
          </w:p>
          <w:p w14:paraId="54B43148">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DFDF696">
            <w:pPr>
              <w:pStyle w:val="6"/>
              <w:spacing w:before="276" w:line="186" w:lineRule="auto"/>
              <w:ind w:left="116" w:right="109" w:firstLine="3"/>
              <w:jc w:val="both"/>
            </w:pPr>
            <w:r>
              <w:rPr>
                <w:spacing w:val="26"/>
              </w:rPr>
              <w:t>企业在安全使用许可证有效期届满后</w:t>
            </w:r>
            <w:r>
              <w:rPr>
                <w:spacing w:val="-2"/>
              </w:rPr>
              <w:t>未办理延期手续，仍</w:t>
            </w:r>
            <w:r>
              <w:rPr>
                <w:spacing w:val="26"/>
              </w:rPr>
              <w:t>然使用危险化学品</w:t>
            </w:r>
            <w:r>
              <w:rPr>
                <w:spacing w:val="-4"/>
              </w:rPr>
              <w:t>从事生产</w:t>
            </w:r>
            <w:r>
              <w:rPr>
                <w:rFonts w:ascii="宋体" w:hAnsi="宋体" w:eastAsia="宋体" w:cs="宋体"/>
                <w:spacing w:val="-4"/>
              </w:rPr>
              <w:t>10</w:t>
            </w:r>
            <w:r>
              <w:rPr>
                <w:spacing w:val="-4"/>
              </w:rPr>
              <w:t>日以上</w:t>
            </w:r>
            <w:r>
              <w:rPr>
                <w:rFonts w:ascii="宋体" w:hAnsi="宋体" w:eastAsia="宋体" w:cs="宋体"/>
                <w:spacing w:val="2"/>
              </w:rPr>
              <w:t>20</w:t>
            </w:r>
            <w:r>
              <w:rPr>
                <w:spacing w:val="2"/>
              </w:rPr>
              <w:t>日以内，且达到</w:t>
            </w:r>
            <w:r>
              <w:rPr>
                <w:spacing w:val="26"/>
              </w:rPr>
              <w:t>危险化学品使用量</w:t>
            </w:r>
            <w:r>
              <w:rPr>
                <w:spacing w:val="7"/>
              </w:rPr>
              <w:t>的数量标准规定的</w:t>
            </w:r>
          </w:p>
        </w:tc>
        <w:tc>
          <w:tcPr>
            <w:tcW w:w="2894" w:type="dxa"/>
            <w:vAlign w:val="top"/>
          </w:tcPr>
          <w:p w14:paraId="7D8CA732">
            <w:pPr>
              <w:spacing w:line="259" w:lineRule="auto"/>
              <w:rPr>
                <w:rFonts w:ascii="Arial"/>
                <w:sz w:val="21"/>
              </w:rPr>
            </w:pPr>
          </w:p>
          <w:p w14:paraId="48C99B22">
            <w:pPr>
              <w:spacing w:line="259" w:lineRule="auto"/>
              <w:rPr>
                <w:rFonts w:ascii="Arial"/>
                <w:sz w:val="21"/>
              </w:rPr>
            </w:pPr>
          </w:p>
          <w:p w14:paraId="361B47E4">
            <w:pPr>
              <w:spacing w:line="259" w:lineRule="auto"/>
              <w:rPr>
                <w:rFonts w:ascii="Arial"/>
                <w:sz w:val="21"/>
              </w:rPr>
            </w:pPr>
          </w:p>
          <w:p w14:paraId="42D474F8">
            <w:pPr>
              <w:pStyle w:val="6"/>
              <w:spacing w:before="99" w:line="189" w:lineRule="auto"/>
              <w:ind w:left="126" w:right="106"/>
              <w:jc w:val="both"/>
            </w:pPr>
            <w:r>
              <w:rPr>
                <w:spacing w:val="10"/>
              </w:rPr>
              <w:t>责令立即停止违法行为并</w:t>
            </w:r>
            <w:r>
              <w:rPr>
                <w:spacing w:val="-5"/>
              </w:rPr>
              <w:t>限期改正，处</w:t>
            </w:r>
            <w:r>
              <w:rPr>
                <w:rFonts w:ascii="宋体" w:hAnsi="宋体" w:eastAsia="宋体" w:cs="宋体"/>
                <w:spacing w:val="-5"/>
              </w:rPr>
              <w:t>13</w:t>
            </w:r>
            <w:r>
              <w:rPr>
                <w:spacing w:val="-5"/>
              </w:rPr>
              <w:t>万元以上</w:t>
            </w:r>
            <w:r>
              <w:rPr>
                <w:rFonts w:ascii="宋体" w:hAnsi="宋体" w:eastAsia="宋体" w:cs="宋体"/>
                <w:spacing w:val="-1"/>
              </w:rPr>
              <w:t>17</w:t>
            </w:r>
            <w:r>
              <w:rPr>
                <w:spacing w:val="-1"/>
              </w:rPr>
              <w:t>万元以下的罚款；逾期</w:t>
            </w:r>
            <w:r>
              <w:rPr>
                <w:spacing w:val="7"/>
              </w:rPr>
              <w:t>不改正的，责令停产整顿</w:t>
            </w:r>
          </w:p>
        </w:tc>
        <w:tc>
          <w:tcPr>
            <w:tcW w:w="811" w:type="dxa"/>
            <w:vMerge w:val="continue"/>
            <w:tcBorders>
              <w:top w:val="nil"/>
              <w:bottom w:val="nil"/>
            </w:tcBorders>
            <w:vAlign w:val="top"/>
          </w:tcPr>
          <w:p w14:paraId="265A4663">
            <w:pPr>
              <w:rPr>
                <w:rFonts w:ascii="Arial"/>
                <w:sz w:val="21"/>
              </w:rPr>
            </w:pPr>
          </w:p>
        </w:tc>
      </w:tr>
      <w:tr w14:paraId="5DB63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4" w:hRule="atLeast"/>
        </w:trPr>
        <w:tc>
          <w:tcPr>
            <w:tcW w:w="818" w:type="dxa"/>
            <w:vMerge w:val="continue"/>
            <w:tcBorders>
              <w:top w:val="nil"/>
            </w:tcBorders>
            <w:vAlign w:val="top"/>
          </w:tcPr>
          <w:p w14:paraId="101E4DC9">
            <w:pPr>
              <w:rPr>
                <w:rFonts w:ascii="Arial"/>
                <w:sz w:val="21"/>
              </w:rPr>
            </w:pPr>
          </w:p>
        </w:tc>
        <w:tc>
          <w:tcPr>
            <w:tcW w:w="1440" w:type="dxa"/>
            <w:vMerge w:val="continue"/>
            <w:tcBorders>
              <w:top w:val="nil"/>
            </w:tcBorders>
            <w:vAlign w:val="top"/>
          </w:tcPr>
          <w:p w14:paraId="561038D8">
            <w:pPr>
              <w:rPr>
                <w:rFonts w:ascii="Arial"/>
                <w:sz w:val="21"/>
              </w:rPr>
            </w:pPr>
          </w:p>
        </w:tc>
        <w:tc>
          <w:tcPr>
            <w:tcW w:w="3202" w:type="dxa"/>
            <w:vMerge w:val="continue"/>
            <w:tcBorders>
              <w:top w:val="nil"/>
            </w:tcBorders>
            <w:vAlign w:val="top"/>
          </w:tcPr>
          <w:p w14:paraId="770404F5">
            <w:pPr>
              <w:rPr>
                <w:rFonts w:ascii="Arial"/>
                <w:sz w:val="21"/>
              </w:rPr>
            </w:pPr>
          </w:p>
        </w:tc>
        <w:tc>
          <w:tcPr>
            <w:tcW w:w="2859" w:type="dxa"/>
            <w:vMerge w:val="continue"/>
            <w:tcBorders>
              <w:top w:val="nil"/>
            </w:tcBorders>
            <w:vAlign w:val="top"/>
          </w:tcPr>
          <w:p w14:paraId="046F42A6">
            <w:pPr>
              <w:rPr>
                <w:rFonts w:ascii="Arial"/>
                <w:sz w:val="21"/>
              </w:rPr>
            </w:pPr>
          </w:p>
        </w:tc>
        <w:tc>
          <w:tcPr>
            <w:tcW w:w="803" w:type="dxa"/>
            <w:vAlign w:val="top"/>
          </w:tcPr>
          <w:p w14:paraId="30FDF58F">
            <w:pPr>
              <w:spacing w:line="279" w:lineRule="auto"/>
              <w:rPr>
                <w:rFonts w:ascii="Arial"/>
                <w:sz w:val="21"/>
              </w:rPr>
            </w:pPr>
          </w:p>
          <w:p w14:paraId="6E96FFAD">
            <w:pPr>
              <w:spacing w:line="279" w:lineRule="auto"/>
              <w:rPr>
                <w:rFonts w:ascii="Arial"/>
                <w:sz w:val="21"/>
              </w:rPr>
            </w:pPr>
          </w:p>
          <w:p w14:paraId="2CAAB570">
            <w:pPr>
              <w:spacing w:line="279" w:lineRule="auto"/>
              <w:rPr>
                <w:rFonts w:ascii="Arial"/>
                <w:sz w:val="21"/>
              </w:rPr>
            </w:pPr>
          </w:p>
          <w:p w14:paraId="5EB73FC0">
            <w:pPr>
              <w:spacing w:line="279" w:lineRule="auto"/>
              <w:rPr>
                <w:rFonts w:ascii="Arial"/>
                <w:sz w:val="21"/>
              </w:rPr>
            </w:pPr>
          </w:p>
          <w:p w14:paraId="2FB35385">
            <w:pPr>
              <w:spacing w:line="279" w:lineRule="auto"/>
              <w:rPr>
                <w:rFonts w:ascii="Arial"/>
                <w:sz w:val="21"/>
              </w:rPr>
            </w:pPr>
          </w:p>
          <w:p w14:paraId="64C09E49">
            <w:pPr>
              <w:spacing w:line="279" w:lineRule="auto"/>
              <w:rPr>
                <w:rFonts w:ascii="Arial"/>
                <w:sz w:val="21"/>
              </w:rPr>
            </w:pPr>
          </w:p>
          <w:p w14:paraId="02E264F5">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B8F935B">
            <w:pPr>
              <w:spacing w:line="279" w:lineRule="auto"/>
              <w:rPr>
                <w:rFonts w:ascii="Arial"/>
                <w:sz w:val="21"/>
              </w:rPr>
            </w:pPr>
          </w:p>
          <w:p w14:paraId="7B272727">
            <w:pPr>
              <w:spacing w:line="280" w:lineRule="auto"/>
              <w:rPr>
                <w:rFonts w:ascii="Arial"/>
                <w:sz w:val="21"/>
              </w:rPr>
            </w:pPr>
          </w:p>
          <w:p w14:paraId="59EE8A6F">
            <w:pPr>
              <w:pStyle w:val="6"/>
              <w:spacing w:before="99" w:line="186" w:lineRule="auto"/>
              <w:ind w:left="118" w:right="105" w:firstLine="1"/>
              <w:jc w:val="both"/>
            </w:pPr>
            <w:r>
              <w:rPr>
                <w:spacing w:val="26"/>
              </w:rPr>
              <w:t>企业在安全使用许可证有效期届满后</w:t>
            </w:r>
            <w:r>
              <w:rPr>
                <w:spacing w:val="-3"/>
              </w:rPr>
              <w:t>未办理延期手续，仍</w:t>
            </w:r>
            <w:r>
              <w:rPr>
                <w:spacing w:val="26"/>
              </w:rPr>
              <w:t>然使用危险化学品</w:t>
            </w:r>
            <w:r>
              <w:rPr>
                <w:spacing w:val="-13"/>
              </w:rPr>
              <w:t>从事生产</w:t>
            </w:r>
            <w:r>
              <w:rPr>
                <w:rFonts w:ascii="宋体" w:hAnsi="宋体" w:eastAsia="宋体" w:cs="宋体"/>
                <w:spacing w:val="-13"/>
              </w:rPr>
              <w:t>20</w:t>
            </w:r>
            <w:r>
              <w:rPr>
                <w:spacing w:val="-13"/>
              </w:rPr>
              <w:t>日以</w:t>
            </w:r>
            <w:r>
              <w:rPr>
                <w:spacing w:val="-3"/>
              </w:rPr>
              <w:t>上，且达到危险化学</w:t>
            </w:r>
            <w:r>
              <w:rPr>
                <w:spacing w:val="26"/>
              </w:rPr>
              <w:t>品使用量的数量标</w:t>
            </w:r>
            <w:r>
              <w:rPr>
                <w:spacing w:val="5"/>
              </w:rPr>
              <w:t>准规定的</w:t>
            </w:r>
          </w:p>
        </w:tc>
        <w:tc>
          <w:tcPr>
            <w:tcW w:w="2894" w:type="dxa"/>
            <w:vAlign w:val="top"/>
          </w:tcPr>
          <w:p w14:paraId="48F468EF">
            <w:pPr>
              <w:spacing w:line="289" w:lineRule="auto"/>
              <w:rPr>
                <w:rFonts w:ascii="Arial"/>
                <w:sz w:val="21"/>
              </w:rPr>
            </w:pPr>
          </w:p>
          <w:p w14:paraId="3BADBDE8">
            <w:pPr>
              <w:spacing w:line="289" w:lineRule="auto"/>
              <w:rPr>
                <w:rFonts w:ascii="Arial"/>
                <w:sz w:val="21"/>
              </w:rPr>
            </w:pPr>
          </w:p>
          <w:p w14:paraId="3ABF5156">
            <w:pPr>
              <w:spacing w:line="290" w:lineRule="auto"/>
              <w:rPr>
                <w:rFonts w:ascii="Arial"/>
                <w:sz w:val="21"/>
              </w:rPr>
            </w:pPr>
          </w:p>
          <w:p w14:paraId="4B29BCD9">
            <w:pPr>
              <w:spacing w:line="290" w:lineRule="auto"/>
              <w:rPr>
                <w:rFonts w:ascii="Arial"/>
                <w:sz w:val="21"/>
              </w:rPr>
            </w:pPr>
          </w:p>
          <w:p w14:paraId="38618013">
            <w:pPr>
              <w:pStyle w:val="6"/>
              <w:spacing w:before="98" w:line="189" w:lineRule="auto"/>
              <w:ind w:left="118" w:right="106" w:firstLine="9"/>
              <w:jc w:val="both"/>
            </w:pPr>
            <w:r>
              <w:rPr>
                <w:spacing w:val="10"/>
              </w:rPr>
              <w:t>责令立即停止违法行为并</w:t>
            </w:r>
            <w:r>
              <w:rPr>
                <w:spacing w:val="-4"/>
              </w:rPr>
              <w:t>限期改正，处</w:t>
            </w:r>
            <w:r>
              <w:rPr>
                <w:rFonts w:ascii="宋体" w:hAnsi="宋体" w:eastAsia="宋体" w:cs="宋体"/>
                <w:spacing w:val="-4"/>
              </w:rPr>
              <w:t>17</w:t>
            </w:r>
            <w:r>
              <w:rPr>
                <w:spacing w:val="-4"/>
              </w:rPr>
              <w:t>万元以上</w:t>
            </w:r>
            <w:r>
              <w:rPr>
                <w:rFonts w:ascii="宋体" w:hAnsi="宋体" w:eastAsia="宋体" w:cs="宋体"/>
              </w:rPr>
              <w:t>20</w:t>
            </w:r>
            <w:r>
              <w:t>万元以下的罚款；逾期</w:t>
            </w:r>
            <w:r>
              <w:rPr>
                <w:spacing w:val="8"/>
              </w:rPr>
              <w:t>不改正的，责令停产整顿</w:t>
            </w:r>
          </w:p>
        </w:tc>
        <w:tc>
          <w:tcPr>
            <w:tcW w:w="811" w:type="dxa"/>
            <w:vMerge w:val="continue"/>
            <w:tcBorders>
              <w:top w:val="nil"/>
            </w:tcBorders>
            <w:vAlign w:val="top"/>
          </w:tcPr>
          <w:p w14:paraId="2D590DBB">
            <w:pPr>
              <w:rPr>
                <w:rFonts w:ascii="Arial"/>
                <w:sz w:val="21"/>
              </w:rPr>
            </w:pPr>
          </w:p>
        </w:tc>
      </w:tr>
      <w:tr w14:paraId="39153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1" w:hRule="atLeast"/>
        </w:trPr>
        <w:tc>
          <w:tcPr>
            <w:tcW w:w="818" w:type="dxa"/>
            <w:vAlign w:val="top"/>
          </w:tcPr>
          <w:p w14:paraId="1F75E0C9">
            <w:pPr>
              <w:spacing w:line="264" w:lineRule="auto"/>
              <w:rPr>
                <w:rFonts w:ascii="Arial"/>
                <w:sz w:val="21"/>
              </w:rPr>
            </w:pPr>
          </w:p>
          <w:p w14:paraId="6A8BB709">
            <w:pPr>
              <w:spacing w:line="264" w:lineRule="auto"/>
              <w:rPr>
                <w:rFonts w:ascii="Arial"/>
                <w:sz w:val="21"/>
              </w:rPr>
            </w:pPr>
          </w:p>
          <w:p w14:paraId="6A3EA7A6">
            <w:pPr>
              <w:spacing w:line="264" w:lineRule="auto"/>
              <w:rPr>
                <w:rFonts w:ascii="Arial"/>
                <w:sz w:val="21"/>
              </w:rPr>
            </w:pPr>
          </w:p>
          <w:p w14:paraId="01BABE7E">
            <w:pPr>
              <w:spacing w:before="75" w:line="186" w:lineRule="auto"/>
              <w:ind w:left="161"/>
              <w:rPr>
                <w:rFonts w:ascii="仿宋" w:hAnsi="仿宋" w:eastAsia="仿宋" w:cs="仿宋"/>
                <w:sz w:val="23"/>
                <w:szCs w:val="23"/>
              </w:rPr>
            </w:pPr>
            <w:r>
              <w:rPr>
                <w:rFonts w:ascii="仿宋" w:hAnsi="仿宋" w:eastAsia="仿宋" w:cs="仿宋"/>
                <w:spacing w:val="-5"/>
                <w:sz w:val="23"/>
                <w:szCs w:val="23"/>
              </w:rPr>
              <w:t>108</w:t>
            </w:r>
          </w:p>
        </w:tc>
        <w:tc>
          <w:tcPr>
            <w:tcW w:w="1440" w:type="dxa"/>
            <w:vAlign w:val="top"/>
          </w:tcPr>
          <w:p w14:paraId="56A31832">
            <w:pPr>
              <w:pStyle w:val="6"/>
              <w:spacing w:before="75" w:line="183" w:lineRule="auto"/>
              <w:ind w:left="117" w:right="111"/>
            </w:pPr>
            <w:r>
              <w:rPr>
                <w:spacing w:val="5"/>
              </w:rPr>
              <w:t>企业伪造、</w:t>
            </w:r>
            <w:r>
              <w:rPr>
                <w:spacing w:val="11"/>
              </w:rPr>
              <w:t>变造或者出</w:t>
            </w:r>
            <w:r>
              <w:rPr>
                <w:spacing w:val="5"/>
              </w:rPr>
              <w:t>租、出借、</w:t>
            </w:r>
            <w:r>
              <w:rPr>
                <w:spacing w:val="11"/>
              </w:rPr>
              <w:t>转让安全使</w:t>
            </w:r>
            <w:r>
              <w:rPr>
                <w:spacing w:val="1"/>
              </w:rPr>
              <w:t>用许可证，</w:t>
            </w:r>
            <w:r>
              <w:rPr>
                <w:spacing w:val="11"/>
              </w:rPr>
              <w:t>或者使用伪</w:t>
            </w:r>
          </w:p>
        </w:tc>
        <w:tc>
          <w:tcPr>
            <w:tcW w:w="3202" w:type="dxa"/>
            <w:vAlign w:val="top"/>
          </w:tcPr>
          <w:p w14:paraId="53B7A331">
            <w:pPr>
              <w:pStyle w:val="6"/>
              <w:spacing w:before="31" w:line="187" w:lineRule="auto"/>
              <w:ind w:left="123" w:right="21" w:hanging="25"/>
              <w:jc w:val="both"/>
            </w:pPr>
            <w:r>
              <w:rPr>
                <w:spacing w:val="18"/>
              </w:rPr>
              <w:t>【部门规章】《危险化学品安全使用许可证实施办法》</w:t>
            </w:r>
            <w:r>
              <w:rPr>
                <w:spacing w:val="1"/>
              </w:rPr>
              <w:t>第二十九条：企业不得伪造、</w:t>
            </w:r>
            <w:r>
              <w:rPr>
                <w:spacing w:val="12"/>
              </w:rPr>
              <w:t>变造安全使用许可证，或者</w:t>
            </w:r>
            <w:r>
              <w:rPr>
                <w:spacing w:val="16"/>
              </w:rPr>
              <w:t>出租、出借、转让其取得的</w:t>
            </w:r>
            <w:r>
              <w:rPr>
                <w:spacing w:val="13"/>
              </w:rPr>
              <w:t>安全使用许可证，或者使用</w:t>
            </w:r>
          </w:p>
        </w:tc>
        <w:tc>
          <w:tcPr>
            <w:tcW w:w="2859" w:type="dxa"/>
            <w:vAlign w:val="top"/>
          </w:tcPr>
          <w:p w14:paraId="0DB2EB79">
            <w:pPr>
              <w:pStyle w:val="6"/>
              <w:spacing w:before="31" w:line="187" w:lineRule="auto"/>
              <w:ind w:left="116" w:right="110" w:firstLine="14"/>
              <w:jc w:val="both"/>
            </w:pPr>
            <w:r>
              <w:rPr>
                <w:rFonts w:ascii="宋体" w:hAnsi="宋体" w:eastAsia="宋体" w:cs="宋体"/>
                <w:spacing w:val="6"/>
              </w:rPr>
              <w:t>1.</w:t>
            </w:r>
            <w:r>
              <w:rPr>
                <w:spacing w:val="6"/>
              </w:rPr>
              <w:t>【行政法规】《危险化</w:t>
            </w:r>
            <w:r>
              <w:rPr>
                <w:spacing w:val="8"/>
              </w:rPr>
              <w:t>学品安全管理条例》第九十三条第二款：伪造、变造或者出租、出借、转让</w:t>
            </w:r>
            <w:r>
              <w:rPr>
                <w:spacing w:val="32"/>
              </w:rPr>
              <w:t>本条例规定的其他许可</w:t>
            </w:r>
            <w:r>
              <w:rPr>
                <w:spacing w:val="8"/>
              </w:rPr>
              <w:t>证，或者使用伪造、变造</w:t>
            </w:r>
          </w:p>
        </w:tc>
        <w:tc>
          <w:tcPr>
            <w:tcW w:w="803" w:type="dxa"/>
            <w:vAlign w:val="top"/>
          </w:tcPr>
          <w:p w14:paraId="512676FB">
            <w:pPr>
              <w:spacing w:line="262" w:lineRule="auto"/>
              <w:rPr>
                <w:rFonts w:ascii="Arial"/>
                <w:sz w:val="21"/>
              </w:rPr>
            </w:pPr>
          </w:p>
          <w:p w14:paraId="55091E5E">
            <w:pPr>
              <w:spacing w:line="262" w:lineRule="auto"/>
              <w:rPr>
                <w:rFonts w:ascii="Arial"/>
                <w:sz w:val="21"/>
              </w:rPr>
            </w:pPr>
          </w:p>
          <w:p w14:paraId="70C96223">
            <w:pPr>
              <w:spacing w:line="263" w:lineRule="auto"/>
              <w:rPr>
                <w:rFonts w:ascii="Arial"/>
                <w:sz w:val="21"/>
              </w:rPr>
            </w:pPr>
          </w:p>
          <w:p w14:paraId="7B341915">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FA5F0BC">
            <w:pPr>
              <w:spacing w:line="426" w:lineRule="auto"/>
              <w:rPr>
                <w:rFonts w:ascii="Arial"/>
                <w:sz w:val="21"/>
              </w:rPr>
            </w:pPr>
          </w:p>
          <w:p w14:paraId="228D9D73">
            <w:pPr>
              <w:pStyle w:val="6"/>
              <w:spacing w:before="98" w:line="192" w:lineRule="auto"/>
              <w:ind w:left="128" w:right="106" w:hanging="1"/>
              <w:jc w:val="both"/>
            </w:pPr>
            <w:r>
              <w:rPr>
                <w:spacing w:val="25"/>
              </w:rPr>
              <w:t>没有违法所得或违</w:t>
            </w:r>
            <w:r>
              <w:rPr>
                <w:spacing w:val="1"/>
              </w:rPr>
              <w:t>法所得</w:t>
            </w:r>
            <w:r>
              <w:rPr>
                <w:rFonts w:ascii="宋体" w:hAnsi="宋体" w:eastAsia="宋体" w:cs="宋体"/>
                <w:spacing w:val="1"/>
              </w:rPr>
              <w:t>10</w:t>
            </w:r>
            <w:r>
              <w:rPr>
                <w:spacing w:val="1"/>
              </w:rPr>
              <w:t>万元以下</w:t>
            </w:r>
            <w:r>
              <w:t>的</w:t>
            </w:r>
          </w:p>
        </w:tc>
        <w:tc>
          <w:tcPr>
            <w:tcW w:w="2894" w:type="dxa"/>
            <w:vAlign w:val="top"/>
          </w:tcPr>
          <w:p w14:paraId="03DB2E01">
            <w:pPr>
              <w:spacing w:line="285" w:lineRule="auto"/>
              <w:rPr>
                <w:rFonts w:ascii="Arial"/>
                <w:sz w:val="21"/>
              </w:rPr>
            </w:pPr>
          </w:p>
          <w:p w14:paraId="47608C06">
            <w:pPr>
              <w:spacing w:line="286" w:lineRule="auto"/>
              <w:rPr>
                <w:rFonts w:ascii="Arial"/>
                <w:sz w:val="21"/>
              </w:rPr>
            </w:pPr>
          </w:p>
          <w:p w14:paraId="1A8C269F">
            <w:pPr>
              <w:pStyle w:val="6"/>
              <w:spacing w:before="99" w:line="196" w:lineRule="auto"/>
              <w:ind w:left="146" w:right="105" w:hanging="17"/>
            </w:pPr>
            <w:r>
              <w:rPr>
                <w:spacing w:val="-5"/>
              </w:rPr>
              <w:t>没收违法所得，处</w:t>
            </w:r>
            <w:r>
              <w:rPr>
                <w:rFonts w:ascii="宋体" w:hAnsi="宋体" w:eastAsia="宋体" w:cs="宋体"/>
                <w:spacing w:val="-5"/>
              </w:rPr>
              <w:t>10</w:t>
            </w:r>
            <w:r>
              <w:rPr>
                <w:spacing w:val="-5"/>
              </w:rPr>
              <w:t>万元</w:t>
            </w:r>
            <w:r>
              <w:rPr>
                <w:spacing w:val="-1"/>
              </w:rPr>
              <w:t>以上</w:t>
            </w:r>
            <w:r>
              <w:rPr>
                <w:rFonts w:ascii="宋体" w:hAnsi="宋体" w:eastAsia="宋体" w:cs="宋体"/>
                <w:spacing w:val="-1"/>
              </w:rPr>
              <w:t>13</w:t>
            </w:r>
            <w:r>
              <w:rPr>
                <w:spacing w:val="-1"/>
              </w:rPr>
              <w:t>万元以下的罚款</w:t>
            </w:r>
          </w:p>
        </w:tc>
        <w:tc>
          <w:tcPr>
            <w:tcW w:w="811" w:type="dxa"/>
            <w:vAlign w:val="top"/>
          </w:tcPr>
          <w:p w14:paraId="1F354289">
            <w:pPr>
              <w:spacing w:line="263" w:lineRule="auto"/>
              <w:rPr>
                <w:rFonts w:ascii="Arial"/>
                <w:sz w:val="21"/>
              </w:rPr>
            </w:pPr>
          </w:p>
          <w:p w14:paraId="53E1D4D9">
            <w:pPr>
              <w:spacing w:line="263" w:lineRule="auto"/>
              <w:rPr>
                <w:rFonts w:ascii="Arial"/>
                <w:sz w:val="21"/>
              </w:rPr>
            </w:pPr>
          </w:p>
          <w:p w14:paraId="384F4AC4">
            <w:pPr>
              <w:spacing w:line="264" w:lineRule="auto"/>
              <w:rPr>
                <w:rFonts w:ascii="Arial"/>
                <w:sz w:val="21"/>
              </w:rPr>
            </w:pPr>
          </w:p>
          <w:p w14:paraId="613F6BC4">
            <w:pPr>
              <w:spacing w:before="74" w:line="188" w:lineRule="auto"/>
              <w:ind w:left="292"/>
              <w:rPr>
                <w:rFonts w:ascii="宋体" w:hAnsi="宋体" w:eastAsia="宋体" w:cs="宋体"/>
                <w:sz w:val="23"/>
                <w:szCs w:val="23"/>
              </w:rPr>
            </w:pPr>
            <w:r>
              <w:rPr>
                <w:rFonts w:ascii="宋体" w:hAnsi="宋体" w:eastAsia="宋体" w:cs="宋体"/>
                <w:spacing w:val="-2"/>
                <w:sz w:val="23"/>
                <w:szCs w:val="23"/>
              </w:rPr>
              <w:t>80</w:t>
            </w:r>
          </w:p>
        </w:tc>
      </w:tr>
    </w:tbl>
    <w:p w14:paraId="6EF1906C">
      <w:pPr>
        <w:pStyle w:val="2"/>
      </w:pPr>
    </w:p>
    <w:p w14:paraId="4C0D5A5C">
      <w:pPr>
        <w:sectPr>
          <w:footerReference r:id="rId132" w:type="default"/>
          <w:pgSz w:w="16839" w:h="11906"/>
          <w:pgMar w:top="1012" w:right="821" w:bottom="667" w:left="901" w:header="0" w:footer="388" w:gutter="0"/>
          <w:cols w:space="720" w:num="1"/>
        </w:sectPr>
      </w:pPr>
    </w:p>
    <w:p w14:paraId="7EE25C9B">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138B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075CA57">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1B404D42">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13C9F5C">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E8BAF8E">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099D3742">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86BAB97">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DC9E749">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18D7D03">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162AE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6" w:hRule="atLeast"/>
        </w:trPr>
        <w:tc>
          <w:tcPr>
            <w:tcW w:w="818" w:type="dxa"/>
            <w:vMerge w:val="restart"/>
            <w:tcBorders>
              <w:bottom w:val="nil"/>
            </w:tcBorders>
            <w:vAlign w:val="top"/>
          </w:tcPr>
          <w:p w14:paraId="77E0CA35">
            <w:pPr>
              <w:rPr>
                <w:rFonts w:ascii="Arial"/>
                <w:sz w:val="21"/>
              </w:rPr>
            </w:pPr>
          </w:p>
        </w:tc>
        <w:tc>
          <w:tcPr>
            <w:tcW w:w="1440" w:type="dxa"/>
            <w:vMerge w:val="restart"/>
            <w:tcBorders>
              <w:bottom w:val="nil"/>
            </w:tcBorders>
            <w:vAlign w:val="top"/>
          </w:tcPr>
          <w:p w14:paraId="6558616A">
            <w:pPr>
              <w:pStyle w:val="6"/>
              <w:spacing w:before="28" w:line="182" w:lineRule="auto"/>
              <w:ind w:left="114"/>
            </w:pPr>
            <w:r>
              <w:rPr>
                <w:spacing w:val="11"/>
              </w:rPr>
              <w:t>造、变造的</w:t>
            </w:r>
          </w:p>
          <w:p w14:paraId="3801BD22">
            <w:pPr>
              <w:pStyle w:val="6"/>
              <w:spacing w:line="182" w:lineRule="auto"/>
              <w:ind w:left="120"/>
              <w:outlineLvl w:val="0"/>
            </w:pPr>
            <w:r>
              <w:rPr>
                <w:spacing w:val="10"/>
              </w:rPr>
              <w:t>安全使用许</w:t>
            </w:r>
          </w:p>
          <w:p w14:paraId="6E453ACA">
            <w:pPr>
              <w:pStyle w:val="6"/>
              <w:spacing w:before="1" w:line="211" w:lineRule="auto"/>
              <w:ind w:left="124"/>
            </w:pPr>
            <w:r>
              <w:rPr>
                <w:spacing w:val="1"/>
              </w:rPr>
              <w:t>可证的</w:t>
            </w:r>
          </w:p>
        </w:tc>
        <w:tc>
          <w:tcPr>
            <w:tcW w:w="3202" w:type="dxa"/>
            <w:vMerge w:val="restart"/>
            <w:tcBorders>
              <w:bottom w:val="nil"/>
            </w:tcBorders>
            <w:vAlign w:val="top"/>
          </w:tcPr>
          <w:p w14:paraId="712906F2">
            <w:pPr>
              <w:pStyle w:val="6"/>
              <w:spacing w:before="26" w:line="186" w:lineRule="auto"/>
              <w:ind w:left="119" w:right="111" w:firstLine="5"/>
            </w:pPr>
            <w:r>
              <w:rPr>
                <w:spacing w:val="16"/>
              </w:rPr>
              <w:t>伪造、变造的安全使用许可</w:t>
            </w:r>
            <w:r>
              <w:rPr>
                <w:spacing w:val="-8"/>
              </w:rPr>
              <w:t>证。</w:t>
            </w:r>
          </w:p>
        </w:tc>
        <w:tc>
          <w:tcPr>
            <w:tcW w:w="2859" w:type="dxa"/>
            <w:vMerge w:val="restart"/>
            <w:tcBorders>
              <w:bottom w:val="nil"/>
            </w:tcBorders>
            <w:vAlign w:val="top"/>
          </w:tcPr>
          <w:p w14:paraId="2DA5B321">
            <w:pPr>
              <w:pStyle w:val="6"/>
              <w:spacing w:before="34" w:line="182" w:lineRule="auto"/>
              <w:ind w:left="117" w:right="38" w:firstLine="22"/>
              <w:jc w:val="both"/>
            </w:pPr>
            <w:r>
              <w:rPr>
                <w:spacing w:val="6"/>
              </w:rPr>
              <w:t>的本条例规定的其他许可</w:t>
            </w:r>
            <w:r>
              <w:rPr>
                <w:spacing w:val="8"/>
              </w:rPr>
              <w:t>证的，分别由相关许可证</w:t>
            </w:r>
            <w:r>
              <w:rPr>
                <w:spacing w:val="11"/>
              </w:rPr>
              <w:t>的颁发管理机关处</w:t>
            </w:r>
            <w:r>
              <w:rPr>
                <w:rFonts w:ascii="宋体" w:hAnsi="宋体" w:eastAsia="宋体" w:cs="宋体"/>
                <w:spacing w:val="11"/>
              </w:rPr>
              <w:t>10</w:t>
            </w:r>
            <w:r>
              <w:rPr>
                <w:spacing w:val="11"/>
              </w:rPr>
              <w:t>万元以上</w:t>
            </w:r>
            <w:r>
              <w:rPr>
                <w:rFonts w:ascii="宋体" w:hAnsi="宋体" w:eastAsia="宋体" w:cs="宋体"/>
                <w:spacing w:val="11"/>
              </w:rPr>
              <w:t>20</w:t>
            </w:r>
            <w:r>
              <w:rPr>
                <w:spacing w:val="11"/>
              </w:rPr>
              <w:t>万元以下的罚</w:t>
            </w:r>
            <w:r>
              <w:rPr>
                <w:spacing w:val="8"/>
              </w:rPr>
              <w:t>款，有违法所得的，没收</w:t>
            </w:r>
            <w:bookmarkStart w:id="533" w:name="bookmark224"/>
            <w:bookmarkEnd w:id="533"/>
            <w:bookmarkStart w:id="534" w:name="bookmark537"/>
            <w:bookmarkEnd w:id="534"/>
            <w:r>
              <w:rPr>
                <w:spacing w:val="8"/>
              </w:rPr>
              <w:t>违法所得；构成违反治安管理行为的，依法给予治</w:t>
            </w:r>
            <w:r>
              <w:rPr>
                <w:spacing w:val="-6"/>
              </w:rPr>
              <w:t>安管理处罚；构成犯罪的，</w:t>
            </w:r>
            <w:r>
              <w:rPr>
                <w:spacing w:val="4"/>
              </w:rPr>
              <w:t>依法追究刑事责任。</w:t>
            </w:r>
          </w:p>
          <w:p w14:paraId="0A3F81C6">
            <w:pPr>
              <w:pStyle w:val="6"/>
              <w:spacing w:before="15" w:line="180" w:lineRule="auto"/>
              <w:ind w:left="115" w:right="38"/>
              <w:jc w:val="both"/>
            </w:pPr>
            <w:r>
              <w:rPr>
                <w:rFonts w:ascii="宋体" w:hAnsi="宋体" w:eastAsia="宋体" w:cs="宋体"/>
                <w:spacing w:val="7"/>
              </w:rPr>
              <w:t>2.</w:t>
            </w:r>
            <w:r>
              <w:rPr>
                <w:spacing w:val="7"/>
              </w:rPr>
              <w:t>【部门规章】《危险化</w:t>
            </w:r>
            <w:r>
              <w:rPr>
                <w:spacing w:val="8"/>
              </w:rPr>
              <w:t>学品安全使用许可证实施办法》第三十八条：企业伪造、变造或者出租、出</w:t>
            </w:r>
            <w:r>
              <w:rPr>
                <w:spacing w:val="-5"/>
              </w:rPr>
              <w:t>借、转让安全使用许可证，</w:t>
            </w:r>
            <w:r>
              <w:rPr>
                <w:spacing w:val="8"/>
              </w:rPr>
              <w:t>或者使用伪造、变造的安</w:t>
            </w:r>
            <w:r>
              <w:rPr>
                <w:spacing w:val="12"/>
              </w:rPr>
              <w:t>全使用许可证的，处</w:t>
            </w:r>
            <w:r>
              <w:rPr>
                <w:rFonts w:ascii="宋体" w:hAnsi="宋体" w:eastAsia="宋体" w:cs="宋体"/>
                <w:spacing w:val="12"/>
              </w:rPr>
              <w:t>10</w:t>
            </w:r>
            <w:r>
              <w:rPr>
                <w:spacing w:val="11"/>
              </w:rPr>
              <w:t>万元以上</w:t>
            </w:r>
            <w:r>
              <w:rPr>
                <w:rFonts w:ascii="宋体" w:hAnsi="宋体" w:eastAsia="宋体" w:cs="宋体"/>
                <w:spacing w:val="11"/>
              </w:rPr>
              <w:t>20</w:t>
            </w:r>
            <w:r>
              <w:rPr>
                <w:spacing w:val="11"/>
              </w:rPr>
              <w:t>万元以下的</w:t>
            </w:r>
            <w:r>
              <w:rPr>
                <w:spacing w:val="2"/>
              </w:rPr>
              <w:t>罚款，有违法所得的，没</w:t>
            </w:r>
            <w:r>
              <w:rPr>
                <w:spacing w:val="8"/>
              </w:rPr>
              <w:t>收违法所得；构成违反治安管理行为的，依法给予治安管理处罚；构成犯罪</w:t>
            </w:r>
            <w:r>
              <w:rPr>
                <w:spacing w:val="5"/>
              </w:rPr>
              <w:t>的，依法追究刑事责任。</w:t>
            </w:r>
          </w:p>
        </w:tc>
        <w:tc>
          <w:tcPr>
            <w:tcW w:w="803" w:type="dxa"/>
            <w:vAlign w:val="top"/>
          </w:tcPr>
          <w:p w14:paraId="4ABA3C40">
            <w:pPr>
              <w:spacing w:line="284" w:lineRule="auto"/>
              <w:rPr>
                <w:rFonts w:ascii="Arial"/>
                <w:sz w:val="21"/>
              </w:rPr>
            </w:pPr>
          </w:p>
          <w:p w14:paraId="0DBEAEAA">
            <w:pPr>
              <w:spacing w:line="284" w:lineRule="auto"/>
              <w:rPr>
                <w:rFonts w:ascii="Arial"/>
                <w:sz w:val="21"/>
              </w:rPr>
            </w:pPr>
          </w:p>
          <w:p w14:paraId="273112D0">
            <w:pPr>
              <w:spacing w:line="284" w:lineRule="auto"/>
              <w:rPr>
                <w:rFonts w:ascii="Arial"/>
                <w:sz w:val="21"/>
              </w:rPr>
            </w:pPr>
          </w:p>
          <w:p w14:paraId="62BAABAF">
            <w:pPr>
              <w:spacing w:line="285" w:lineRule="auto"/>
              <w:rPr>
                <w:rFonts w:ascii="Arial"/>
                <w:sz w:val="21"/>
              </w:rPr>
            </w:pPr>
          </w:p>
          <w:p w14:paraId="4713E010">
            <w:pPr>
              <w:spacing w:line="285" w:lineRule="auto"/>
              <w:rPr>
                <w:rFonts w:ascii="Arial"/>
                <w:sz w:val="21"/>
              </w:rPr>
            </w:pPr>
          </w:p>
          <w:p w14:paraId="596B63E7">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8934A42">
            <w:pPr>
              <w:rPr>
                <w:rFonts w:ascii="Arial"/>
                <w:sz w:val="21"/>
              </w:rPr>
            </w:pPr>
          </w:p>
          <w:p w14:paraId="2A04FE36">
            <w:pPr>
              <w:rPr>
                <w:rFonts w:ascii="Arial"/>
                <w:sz w:val="21"/>
              </w:rPr>
            </w:pPr>
          </w:p>
          <w:p w14:paraId="43003416">
            <w:pPr>
              <w:rPr>
                <w:rFonts w:ascii="Arial"/>
                <w:sz w:val="21"/>
              </w:rPr>
            </w:pPr>
          </w:p>
          <w:p w14:paraId="4AA557D6">
            <w:pPr>
              <w:spacing w:line="241" w:lineRule="auto"/>
              <w:rPr>
                <w:rFonts w:ascii="Arial"/>
                <w:sz w:val="21"/>
              </w:rPr>
            </w:pPr>
          </w:p>
          <w:p w14:paraId="12161842">
            <w:pPr>
              <w:spacing w:line="241" w:lineRule="auto"/>
              <w:rPr>
                <w:rFonts w:ascii="Arial"/>
                <w:sz w:val="21"/>
              </w:rPr>
            </w:pPr>
          </w:p>
          <w:p w14:paraId="7D89E537">
            <w:pPr>
              <w:pStyle w:val="6"/>
              <w:spacing w:before="99" w:line="196" w:lineRule="auto"/>
              <w:ind w:left="122" w:right="106" w:hanging="5"/>
            </w:pPr>
            <w:r>
              <w:rPr>
                <w:spacing w:val="3"/>
              </w:rPr>
              <w:t>违法所得</w:t>
            </w:r>
            <w:r>
              <w:rPr>
                <w:rFonts w:ascii="宋体" w:hAnsi="宋体" w:eastAsia="宋体" w:cs="宋体"/>
                <w:spacing w:val="3"/>
              </w:rPr>
              <w:t>10</w:t>
            </w:r>
            <w:r>
              <w:rPr>
                <w:spacing w:val="3"/>
              </w:rPr>
              <w:t>万元以</w:t>
            </w:r>
            <w:r>
              <w:rPr>
                <w:spacing w:val="1"/>
              </w:rPr>
              <w:t>上</w:t>
            </w:r>
            <w:r>
              <w:rPr>
                <w:rFonts w:ascii="宋体" w:hAnsi="宋体" w:eastAsia="宋体" w:cs="宋体"/>
                <w:spacing w:val="1"/>
              </w:rPr>
              <w:t>30</w:t>
            </w:r>
            <w:r>
              <w:rPr>
                <w:spacing w:val="1"/>
              </w:rPr>
              <w:t>万元以下的</w:t>
            </w:r>
          </w:p>
        </w:tc>
        <w:tc>
          <w:tcPr>
            <w:tcW w:w="2894" w:type="dxa"/>
            <w:vAlign w:val="top"/>
          </w:tcPr>
          <w:p w14:paraId="37A2236E">
            <w:pPr>
              <w:rPr>
                <w:rFonts w:ascii="Arial"/>
                <w:sz w:val="21"/>
              </w:rPr>
            </w:pPr>
          </w:p>
          <w:p w14:paraId="5352C2DE">
            <w:pPr>
              <w:rPr>
                <w:rFonts w:ascii="Arial"/>
                <w:sz w:val="21"/>
              </w:rPr>
            </w:pPr>
          </w:p>
          <w:p w14:paraId="066692A5">
            <w:pPr>
              <w:rPr>
                <w:rFonts w:ascii="Arial"/>
                <w:sz w:val="21"/>
              </w:rPr>
            </w:pPr>
          </w:p>
          <w:p w14:paraId="67E8F3FB">
            <w:pPr>
              <w:spacing w:line="241" w:lineRule="auto"/>
              <w:rPr>
                <w:rFonts w:ascii="Arial"/>
                <w:sz w:val="21"/>
              </w:rPr>
            </w:pPr>
          </w:p>
          <w:p w14:paraId="76B0E25C">
            <w:pPr>
              <w:spacing w:line="241" w:lineRule="auto"/>
              <w:rPr>
                <w:rFonts w:ascii="Arial"/>
                <w:sz w:val="21"/>
              </w:rPr>
            </w:pPr>
          </w:p>
          <w:p w14:paraId="67E8B74A">
            <w:pPr>
              <w:pStyle w:val="6"/>
              <w:spacing w:before="99" w:line="196" w:lineRule="auto"/>
              <w:ind w:left="146" w:right="105" w:hanging="17"/>
            </w:pPr>
            <w:r>
              <w:rPr>
                <w:spacing w:val="-5"/>
              </w:rPr>
              <w:t>没收违法所得，处</w:t>
            </w:r>
            <w:r>
              <w:rPr>
                <w:rFonts w:ascii="宋体" w:hAnsi="宋体" w:eastAsia="宋体" w:cs="宋体"/>
                <w:spacing w:val="-5"/>
              </w:rPr>
              <w:t>13</w:t>
            </w:r>
            <w:r>
              <w:rPr>
                <w:spacing w:val="-5"/>
              </w:rPr>
              <w:t>万元</w:t>
            </w:r>
            <w:r>
              <w:rPr>
                <w:spacing w:val="-1"/>
              </w:rPr>
              <w:t>以上</w:t>
            </w:r>
            <w:r>
              <w:rPr>
                <w:rFonts w:ascii="宋体" w:hAnsi="宋体" w:eastAsia="宋体" w:cs="宋体"/>
                <w:spacing w:val="-1"/>
              </w:rPr>
              <w:t>17</w:t>
            </w:r>
            <w:r>
              <w:rPr>
                <w:spacing w:val="-1"/>
              </w:rPr>
              <w:t>万元以下的罚款</w:t>
            </w:r>
          </w:p>
        </w:tc>
        <w:tc>
          <w:tcPr>
            <w:tcW w:w="811" w:type="dxa"/>
            <w:vMerge w:val="restart"/>
            <w:tcBorders>
              <w:bottom w:val="nil"/>
            </w:tcBorders>
            <w:vAlign w:val="top"/>
          </w:tcPr>
          <w:p w14:paraId="719197D0">
            <w:pPr>
              <w:rPr>
                <w:rFonts w:ascii="Arial"/>
                <w:sz w:val="21"/>
              </w:rPr>
            </w:pPr>
          </w:p>
        </w:tc>
      </w:tr>
      <w:tr w14:paraId="62539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0" w:hRule="atLeast"/>
        </w:trPr>
        <w:tc>
          <w:tcPr>
            <w:tcW w:w="818" w:type="dxa"/>
            <w:vMerge w:val="continue"/>
            <w:tcBorders>
              <w:top w:val="nil"/>
            </w:tcBorders>
            <w:vAlign w:val="top"/>
          </w:tcPr>
          <w:p w14:paraId="51BC27FA">
            <w:pPr>
              <w:rPr>
                <w:rFonts w:ascii="Arial"/>
                <w:sz w:val="21"/>
              </w:rPr>
            </w:pPr>
          </w:p>
        </w:tc>
        <w:tc>
          <w:tcPr>
            <w:tcW w:w="1440" w:type="dxa"/>
            <w:vMerge w:val="continue"/>
            <w:tcBorders>
              <w:top w:val="nil"/>
            </w:tcBorders>
            <w:vAlign w:val="top"/>
          </w:tcPr>
          <w:p w14:paraId="0D4D4B18">
            <w:pPr>
              <w:rPr>
                <w:rFonts w:ascii="Arial"/>
                <w:sz w:val="21"/>
              </w:rPr>
            </w:pPr>
          </w:p>
        </w:tc>
        <w:tc>
          <w:tcPr>
            <w:tcW w:w="3202" w:type="dxa"/>
            <w:vMerge w:val="continue"/>
            <w:tcBorders>
              <w:top w:val="nil"/>
            </w:tcBorders>
            <w:vAlign w:val="top"/>
          </w:tcPr>
          <w:p w14:paraId="525C7564">
            <w:pPr>
              <w:rPr>
                <w:rFonts w:ascii="Arial"/>
                <w:sz w:val="21"/>
              </w:rPr>
            </w:pPr>
          </w:p>
        </w:tc>
        <w:tc>
          <w:tcPr>
            <w:tcW w:w="2859" w:type="dxa"/>
            <w:vMerge w:val="continue"/>
            <w:tcBorders>
              <w:top w:val="nil"/>
            </w:tcBorders>
            <w:vAlign w:val="top"/>
          </w:tcPr>
          <w:p w14:paraId="695C11AD">
            <w:pPr>
              <w:rPr>
                <w:rFonts w:ascii="Arial"/>
                <w:sz w:val="21"/>
              </w:rPr>
            </w:pPr>
          </w:p>
        </w:tc>
        <w:tc>
          <w:tcPr>
            <w:tcW w:w="803" w:type="dxa"/>
            <w:vAlign w:val="top"/>
          </w:tcPr>
          <w:p w14:paraId="1F75894F">
            <w:pPr>
              <w:spacing w:line="258" w:lineRule="auto"/>
              <w:rPr>
                <w:rFonts w:ascii="Arial"/>
                <w:sz w:val="21"/>
              </w:rPr>
            </w:pPr>
          </w:p>
          <w:p w14:paraId="2B893C1F">
            <w:pPr>
              <w:spacing w:line="259" w:lineRule="auto"/>
              <w:rPr>
                <w:rFonts w:ascii="Arial"/>
                <w:sz w:val="21"/>
              </w:rPr>
            </w:pPr>
          </w:p>
          <w:p w14:paraId="0395DC67">
            <w:pPr>
              <w:spacing w:line="259" w:lineRule="auto"/>
              <w:rPr>
                <w:rFonts w:ascii="Arial"/>
                <w:sz w:val="21"/>
              </w:rPr>
            </w:pPr>
          </w:p>
          <w:p w14:paraId="7A4DBEE6">
            <w:pPr>
              <w:spacing w:line="259" w:lineRule="auto"/>
              <w:rPr>
                <w:rFonts w:ascii="Arial"/>
                <w:sz w:val="21"/>
              </w:rPr>
            </w:pPr>
          </w:p>
          <w:p w14:paraId="36670382">
            <w:pPr>
              <w:spacing w:line="259" w:lineRule="auto"/>
              <w:rPr>
                <w:rFonts w:ascii="Arial"/>
                <w:sz w:val="21"/>
              </w:rPr>
            </w:pPr>
          </w:p>
          <w:p w14:paraId="7B0A027F">
            <w:pPr>
              <w:spacing w:line="259" w:lineRule="auto"/>
              <w:rPr>
                <w:rFonts w:ascii="Arial"/>
                <w:sz w:val="21"/>
              </w:rPr>
            </w:pPr>
          </w:p>
          <w:p w14:paraId="197869B1">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5F1F763">
            <w:pPr>
              <w:spacing w:line="297" w:lineRule="auto"/>
              <w:rPr>
                <w:rFonts w:ascii="Arial"/>
                <w:sz w:val="21"/>
              </w:rPr>
            </w:pPr>
          </w:p>
          <w:p w14:paraId="35C55C93">
            <w:pPr>
              <w:spacing w:line="297" w:lineRule="auto"/>
              <w:rPr>
                <w:rFonts w:ascii="Arial"/>
                <w:sz w:val="21"/>
              </w:rPr>
            </w:pPr>
          </w:p>
          <w:p w14:paraId="66E982AD">
            <w:pPr>
              <w:spacing w:line="298" w:lineRule="auto"/>
              <w:rPr>
                <w:rFonts w:ascii="Arial"/>
                <w:sz w:val="21"/>
              </w:rPr>
            </w:pPr>
          </w:p>
          <w:p w14:paraId="2A15404F">
            <w:pPr>
              <w:spacing w:line="298" w:lineRule="auto"/>
              <w:rPr>
                <w:rFonts w:ascii="Arial"/>
                <w:sz w:val="21"/>
              </w:rPr>
            </w:pPr>
          </w:p>
          <w:p w14:paraId="5C1B0614">
            <w:pPr>
              <w:pStyle w:val="6"/>
              <w:spacing w:before="99" w:line="191" w:lineRule="auto"/>
              <w:ind w:left="122" w:right="106" w:hanging="5"/>
              <w:jc w:val="both"/>
            </w:pPr>
            <w:r>
              <w:rPr>
                <w:spacing w:val="5"/>
              </w:rPr>
              <w:t>违法所得</w:t>
            </w:r>
            <w:r>
              <w:rPr>
                <w:rFonts w:ascii="宋体" w:hAnsi="宋体" w:eastAsia="宋体" w:cs="宋体"/>
                <w:spacing w:val="5"/>
              </w:rPr>
              <w:t>30</w:t>
            </w:r>
            <w:r>
              <w:rPr>
                <w:spacing w:val="5"/>
              </w:rPr>
              <w:t>万元以</w:t>
            </w:r>
            <w:r>
              <w:rPr>
                <w:spacing w:val="-3"/>
              </w:rPr>
              <w:t>上的，或者造成严重</w:t>
            </w:r>
            <w:r>
              <w:rPr>
                <w:spacing w:val="3"/>
              </w:rPr>
              <w:t>后果的</w:t>
            </w:r>
          </w:p>
        </w:tc>
        <w:tc>
          <w:tcPr>
            <w:tcW w:w="2894" w:type="dxa"/>
            <w:vAlign w:val="top"/>
          </w:tcPr>
          <w:p w14:paraId="77B8B7BB">
            <w:pPr>
              <w:spacing w:line="267" w:lineRule="auto"/>
              <w:rPr>
                <w:rFonts w:ascii="Arial"/>
                <w:sz w:val="21"/>
              </w:rPr>
            </w:pPr>
          </w:p>
          <w:p w14:paraId="4376CAEE">
            <w:pPr>
              <w:spacing w:line="267" w:lineRule="auto"/>
              <w:rPr>
                <w:rFonts w:ascii="Arial"/>
                <w:sz w:val="21"/>
              </w:rPr>
            </w:pPr>
          </w:p>
          <w:p w14:paraId="60E563B5">
            <w:pPr>
              <w:spacing w:line="267" w:lineRule="auto"/>
              <w:rPr>
                <w:rFonts w:ascii="Arial"/>
                <w:sz w:val="21"/>
              </w:rPr>
            </w:pPr>
          </w:p>
          <w:p w14:paraId="3C68DE23">
            <w:pPr>
              <w:spacing w:line="267" w:lineRule="auto"/>
              <w:rPr>
                <w:rFonts w:ascii="Arial"/>
                <w:sz w:val="21"/>
              </w:rPr>
            </w:pPr>
          </w:p>
          <w:p w14:paraId="77B1BDF5">
            <w:pPr>
              <w:spacing w:line="267" w:lineRule="auto"/>
              <w:rPr>
                <w:rFonts w:ascii="Arial"/>
                <w:sz w:val="21"/>
              </w:rPr>
            </w:pPr>
          </w:p>
          <w:p w14:paraId="76BE789A">
            <w:pPr>
              <w:pStyle w:val="6"/>
              <w:spacing w:before="99" w:line="196" w:lineRule="auto"/>
              <w:ind w:left="146" w:right="105" w:hanging="17"/>
            </w:pPr>
            <w:r>
              <w:rPr>
                <w:spacing w:val="-5"/>
              </w:rPr>
              <w:t>没收违法所得，处</w:t>
            </w:r>
            <w:r>
              <w:rPr>
                <w:rFonts w:ascii="宋体" w:hAnsi="宋体" w:eastAsia="宋体" w:cs="宋体"/>
                <w:spacing w:val="-5"/>
              </w:rPr>
              <w:t>17</w:t>
            </w:r>
            <w:r>
              <w:rPr>
                <w:spacing w:val="-5"/>
              </w:rPr>
              <w:t>万元</w:t>
            </w:r>
            <w:r>
              <w:rPr>
                <w:spacing w:val="1"/>
              </w:rPr>
              <w:t>以上</w:t>
            </w:r>
            <w:r>
              <w:rPr>
                <w:rFonts w:ascii="宋体" w:hAnsi="宋体" w:eastAsia="宋体" w:cs="宋体"/>
                <w:spacing w:val="1"/>
              </w:rPr>
              <w:t>20</w:t>
            </w:r>
            <w:r>
              <w:rPr>
                <w:spacing w:val="1"/>
              </w:rPr>
              <w:t>万元以下的罚款</w:t>
            </w:r>
          </w:p>
        </w:tc>
        <w:tc>
          <w:tcPr>
            <w:tcW w:w="811" w:type="dxa"/>
            <w:vMerge w:val="continue"/>
            <w:tcBorders>
              <w:top w:val="nil"/>
            </w:tcBorders>
            <w:vAlign w:val="top"/>
          </w:tcPr>
          <w:p w14:paraId="420EFDEC">
            <w:pPr>
              <w:rPr>
                <w:rFonts w:ascii="Arial"/>
                <w:sz w:val="21"/>
              </w:rPr>
            </w:pPr>
          </w:p>
        </w:tc>
      </w:tr>
      <w:tr w14:paraId="4AF76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5" w:hRule="atLeast"/>
        </w:trPr>
        <w:tc>
          <w:tcPr>
            <w:tcW w:w="818" w:type="dxa"/>
            <w:vAlign w:val="top"/>
          </w:tcPr>
          <w:p w14:paraId="01B47134">
            <w:pPr>
              <w:spacing w:line="264" w:lineRule="auto"/>
              <w:rPr>
                <w:rFonts w:ascii="Arial"/>
                <w:sz w:val="21"/>
              </w:rPr>
            </w:pPr>
          </w:p>
          <w:p w14:paraId="2657B9CC">
            <w:pPr>
              <w:spacing w:line="264" w:lineRule="auto"/>
              <w:rPr>
                <w:rFonts w:ascii="Arial"/>
                <w:sz w:val="21"/>
              </w:rPr>
            </w:pPr>
          </w:p>
          <w:p w14:paraId="300BA552">
            <w:pPr>
              <w:spacing w:line="264" w:lineRule="auto"/>
              <w:rPr>
                <w:rFonts w:ascii="Arial"/>
                <w:sz w:val="21"/>
              </w:rPr>
            </w:pPr>
          </w:p>
          <w:p w14:paraId="1F8E7DC4">
            <w:pPr>
              <w:spacing w:line="265" w:lineRule="auto"/>
              <w:rPr>
                <w:rFonts w:ascii="Arial"/>
                <w:sz w:val="21"/>
              </w:rPr>
            </w:pPr>
          </w:p>
          <w:p w14:paraId="44E74EE7">
            <w:pPr>
              <w:spacing w:before="75" w:line="186" w:lineRule="auto"/>
              <w:ind w:left="161"/>
              <w:rPr>
                <w:rFonts w:ascii="仿宋" w:hAnsi="仿宋" w:eastAsia="仿宋" w:cs="仿宋"/>
                <w:sz w:val="23"/>
                <w:szCs w:val="23"/>
              </w:rPr>
            </w:pPr>
            <w:r>
              <w:rPr>
                <w:rFonts w:ascii="仿宋" w:hAnsi="仿宋" w:eastAsia="仿宋" w:cs="仿宋"/>
                <w:spacing w:val="-5"/>
                <w:sz w:val="23"/>
                <w:szCs w:val="23"/>
              </w:rPr>
              <w:t>109</w:t>
            </w:r>
          </w:p>
        </w:tc>
        <w:tc>
          <w:tcPr>
            <w:tcW w:w="1440" w:type="dxa"/>
            <w:vAlign w:val="top"/>
          </w:tcPr>
          <w:p w14:paraId="234586D6">
            <w:pPr>
              <w:pStyle w:val="6"/>
              <w:spacing w:before="47" w:line="180" w:lineRule="auto"/>
              <w:ind w:left="110" w:right="108" w:firstLine="7"/>
            </w:pPr>
            <w:r>
              <w:rPr>
                <w:spacing w:val="11"/>
              </w:rPr>
              <w:t>企业在安全</w:t>
            </w:r>
            <w:r>
              <w:rPr>
                <w:spacing w:val="12"/>
              </w:rPr>
              <w:t>使用许可证</w:t>
            </w:r>
            <w:r>
              <w:rPr>
                <w:spacing w:val="13"/>
              </w:rPr>
              <w:t>有效期内主</w:t>
            </w:r>
            <w:r>
              <w:rPr>
                <w:spacing w:val="7"/>
              </w:rPr>
              <w:t>要负责人、</w:t>
            </w:r>
            <w:r>
              <w:rPr>
                <w:spacing w:val="6"/>
              </w:rPr>
              <w:t>企业名称、注册地址、</w:t>
            </w:r>
            <w:r>
              <w:rPr>
                <w:spacing w:val="12"/>
              </w:rPr>
              <w:t>隶属关系发</w:t>
            </w:r>
            <w:r>
              <w:rPr>
                <w:spacing w:val="5"/>
              </w:rPr>
              <w:t>生变更，未</w:t>
            </w:r>
          </w:p>
        </w:tc>
        <w:tc>
          <w:tcPr>
            <w:tcW w:w="3202" w:type="dxa"/>
            <w:vAlign w:val="top"/>
          </w:tcPr>
          <w:p w14:paraId="3B145435">
            <w:pPr>
              <w:pStyle w:val="6"/>
              <w:spacing w:before="34" w:line="181" w:lineRule="auto"/>
              <w:ind w:left="114" w:right="97" w:hanging="16"/>
              <w:jc w:val="both"/>
            </w:pPr>
            <w:r>
              <w:rPr>
                <w:spacing w:val="18"/>
              </w:rPr>
              <w:t>【部门规章】《危险化学品安全使用许可证实施办法》</w:t>
            </w:r>
            <w:r>
              <w:rPr>
                <w:spacing w:val="13"/>
              </w:rPr>
              <w:t>第二十四条：企业在安全使</w:t>
            </w:r>
            <w:r>
              <w:rPr>
                <w:spacing w:val="17"/>
              </w:rPr>
              <w:t>用许可证有效期内变更主要负责人、企业名称或者注册</w:t>
            </w:r>
            <w:r>
              <w:rPr>
                <w:spacing w:val="13"/>
              </w:rPr>
              <w:t>地址的，应当自工商营业执</w:t>
            </w:r>
            <w:r>
              <w:rPr>
                <w:spacing w:val="5"/>
              </w:rPr>
              <w:t>照变更之日起</w:t>
            </w:r>
            <w:r>
              <w:rPr>
                <w:rFonts w:ascii="宋体" w:hAnsi="宋体" w:eastAsia="宋体" w:cs="宋体"/>
                <w:spacing w:val="5"/>
              </w:rPr>
              <w:t>10</w:t>
            </w:r>
            <w:r>
              <w:rPr>
                <w:spacing w:val="5"/>
              </w:rPr>
              <w:t>个工作日内</w:t>
            </w:r>
            <w:r>
              <w:rPr>
                <w:spacing w:val="13"/>
              </w:rPr>
              <w:t>提出变更申请，并提交下列</w:t>
            </w:r>
          </w:p>
        </w:tc>
        <w:tc>
          <w:tcPr>
            <w:tcW w:w="2859" w:type="dxa"/>
            <w:vAlign w:val="top"/>
          </w:tcPr>
          <w:p w14:paraId="1D79A22E">
            <w:pPr>
              <w:pStyle w:val="6"/>
              <w:spacing w:before="34" w:line="181" w:lineRule="auto"/>
              <w:ind w:left="120" w:right="110" w:hanging="23"/>
            </w:pPr>
            <w:r>
              <w:rPr>
                <w:spacing w:val="10"/>
              </w:rPr>
              <w:t>【部门规章】《危险化学</w:t>
            </w:r>
            <w:r>
              <w:rPr>
                <w:spacing w:val="8"/>
              </w:rPr>
              <w:t>品安全使用许可证实施办法》第三十九条：企业在安全使用许可证有效期内</w:t>
            </w:r>
            <w:r>
              <w:rPr>
                <w:spacing w:val="5"/>
              </w:rPr>
              <w:t>主要负责人、企业名称、</w:t>
            </w:r>
            <w:r>
              <w:rPr>
                <w:spacing w:val="8"/>
              </w:rPr>
              <w:t>注册地址、隶属关系发生</w:t>
            </w:r>
            <w:r>
              <w:rPr>
                <w:spacing w:val="5"/>
              </w:rPr>
              <w:t>变更，未按照本办法第二</w:t>
            </w:r>
            <w:r>
              <w:rPr>
                <w:spacing w:val="8"/>
              </w:rPr>
              <w:t>十四条规定的时限提出安</w:t>
            </w:r>
          </w:p>
        </w:tc>
        <w:tc>
          <w:tcPr>
            <w:tcW w:w="803" w:type="dxa"/>
            <w:vAlign w:val="top"/>
          </w:tcPr>
          <w:p w14:paraId="198EE750">
            <w:pPr>
              <w:spacing w:line="263" w:lineRule="auto"/>
              <w:rPr>
                <w:rFonts w:ascii="Arial"/>
                <w:sz w:val="21"/>
              </w:rPr>
            </w:pPr>
          </w:p>
          <w:p w14:paraId="0B4696F5">
            <w:pPr>
              <w:spacing w:line="263" w:lineRule="auto"/>
              <w:rPr>
                <w:rFonts w:ascii="Arial"/>
                <w:sz w:val="21"/>
              </w:rPr>
            </w:pPr>
          </w:p>
          <w:p w14:paraId="51C44BA4">
            <w:pPr>
              <w:spacing w:line="263" w:lineRule="auto"/>
              <w:rPr>
                <w:rFonts w:ascii="Arial"/>
                <w:sz w:val="21"/>
              </w:rPr>
            </w:pPr>
          </w:p>
          <w:p w14:paraId="306FFE28">
            <w:pPr>
              <w:spacing w:line="263" w:lineRule="auto"/>
              <w:rPr>
                <w:rFonts w:ascii="Arial"/>
                <w:sz w:val="21"/>
              </w:rPr>
            </w:pPr>
          </w:p>
          <w:p w14:paraId="6B304019">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67915DB">
            <w:pPr>
              <w:spacing w:line="278" w:lineRule="auto"/>
              <w:rPr>
                <w:rFonts w:ascii="Arial"/>
                <w:sz w:val="21"/>
              </w:rPr>
            </w:pPr>
          </w:p>
          <w:p w14:paraId="4D44586F">
            <w:pPr>
              <w:spacing w:line="279" w:lineRule="auto"/>
              <w:rPr>
                <w:rFonts w:ascii="Arial"/>
                <w:sz w:val="21"/>
              </w:rPr>
            </w:pPr>
          </w:p>
          <w:p w14:paraId="237194BA">
            <w:pPr>
              <w:spacing w:line="279" w:lineRule="auto"/>
              <w:rPr>
                <w:rFonts w:ascii="Arial"/>
                <w:sz w:val="21"/>
              </w:rPr>
            </w:pPr>
          </w:p>
          <w:p w14:paraId="78861E4D">
            <w:pPr>
              <w:pStyle w:val="6"/>
              <w:spacing w:before="98" w:line="196" w:lineRule="auto"/>
              <w:ind w:left="145" w:right="105" w:hanging="28"/>
            </w:pPr>
            <w:r>
              <w:rPr>
                <w:spacing w:val="-2"/>
              </w:rPr>
              <w:t>超出规定时限</w:t>
            </w:r>
            <w:r>
              <w:rPr>
                <w:rFonts w:ascii="宋体" w:hAnsi="宋体" w:eastAsia="宋体" w:cs="宋体"/>
                <w:spacing w:val="-2"/>
              </w:rPr>
              <w:t>10</w:t>
            </w:r>
            <w:r>
              <w:rPr>
                <w:spacing w:val="-2"/>
              </w:rPr>
              <w:t>日</w:t>
            </w:r>
            <w:r>
              <w:rPr>
                <w:spacing w:val="-3"/>
              </w:rPr>
              <w:t>以内的</w:t>
            </w:r>
          </w:p>
        </w:tc>
        <w:tc>
          <w:tcPr>
            <w:tcW w:w="2894" w:type="dxa"/>
            <w:vAlign w:val="top"/>
          </w:tcPr>
          <w:p w14:paraId="70F14B37">
            <w:pPr>
              <w:spacing w:line="345" w:lineRule="auto"/>
              <w:rPr>
                <w:rFonts w:ascii="Arial"/>
                <w:sz w:val="21"/>
              </w:rPr>
            </w:pPr>
          </w:p>
          <w:p w14:paraId="4FF3AC2E">
            <w:pPr>
              <w:spacing w:line="346" w:lineRule="auto"/>
              <w:rPr>
                <w:rFonts w:ascii="Arial"/>
                <w:sz w:val="21"/>
              </w:rPr>
            </w:pPr>
          </w:p>
          <w:p w14:paraId="68B224BB">
            <w:pPr>
              <w:pStyle w:val="6"/>
              <w:spacing w:before="99" w:line="191" w:lineRule="auto"/>
              <w:ind w:left="119" w:right="103" w:firstLine="8"/>
            </w:pPr>
            <w:r>
              <w:rPr>
                <w:spacing w:val="9"/>
              </w:rPr>
              <w:t>责令限期办理变更手续，</w:t>
            </w:r>
            <w:r>
              <w:t>处</w:t>
            </w:r>
            <w:r>
              <w:rPr>
                <w:rFonts w:ascii="宋体" w:hAnsi="宋体" w:eastAsia="宋体" w:cs="宋体"/>
              </w:rPr>
              <w:t>1</w:t>
            </w:r>
            <w:r>
              <w:t>万元以上</w:t>
            </w:r>
            <w:r>
              <w:rPr>
                <w:rFonts w:ascii="宋体" w:hAnsi="宋体" w:eastAsia="宋体" w:cs="宋体"/>
              </w:rPr>
              <w:t>1.5</w:t>
            </w:r>
            <w:r>
              <w:t>万元以</w:t>
            </w:r>
            <w:r>
              <w:rPr>
                <w:spacing w:val="6"/>
              </w:rPr>
              <w:t>下的罚款</w:t>
            </w:r>
          </w:p>
        </w:tc>
        <w:tc>
          <w:tcPr>
            <w:tcW w:w="811" w:type="dxa"/>
            <w:vAlign w:val="top"/>
          </w:tcPr>
          <w:p w14:paraId="0559768A">
            <w:pPr>
              <w:spacing w:line="263" w:lineRule="auto"/>
              <w:rPr>
                <w:rFonts w:ascii="Arial"/>
                <w:sz w:val="21"/>
              </w:rPr>
            </w:pPr>
          </w:p>
          <w:p w14:paraId="5654B46B">
            <w:pPr>
              <w:spacing w:line="263" w:lineRule="auto"/>
              <w:rPr>
                <w:rFonts w:ascii="Arial"/>
                <w:sz w:val="21"/>
              </w:rPr>
            </w:pPr>
          </w:p>
          <w:p w14:paraId="54475A7B">
            <w:pPr>
              <w:spacing w:line="263" w:lineRule="auto"/>
              <w:rPr>
                <w:rFonts w:ascii="Arial"/>
                <w:sz w:val="21"/>
              </w:rPr>
            </w:pPr>
          </w:p>
          <w:p w14:paraId="46C951AB">
            <w:pPr>
              <w:spacing w:line="264" w:lineRule="auto"/>
              <w:rPr>
                <w:rFonts w:ascii="Arial"/>
                <w:sz w:val="21"/>
              </w:rPr>
            </w:pPr>
          </w:p>
          <w:p w14:paraId="5F06EDBD">
            <w:pPr>
              <w:spacing w:before="75" w:line="189" w:lineRule="auto"/>
              <w:ind w:left="292"/>
              <w:rPr>
                <w:rFonts w:ascii="宋体" w:hAnsi="宋体" w:eastAsia="宋体" w:cs="宋体"/>
                <w:sz w:val="23"/>
                <w:szCs w:val="23"/>
              </w:rPr>
            </w:pPr>
            <w:r>
              <w:rPr>
                <w:rFonts w:ascii="宋体" w:hAnsi="宋体" w:eastAsia="宋体" w:cs="宋体"/>
                <w:spacing w:val="-2"/>
                <w:sz w:val="23"/>
                <w:szCs w:val="23"/>
              </w:rPr>
              <w:t>81</w:t>
            </w:r>
          </w:p>
        </w:tc>
      </w:tr>
    </w:tbl>
    <w:p w14:paraId="5062C781">
      <w:pPr>
        <w:pStyle w:val="2"/>
      </w:pPr>
    </w:p>
    <w:p w14:paraId="564AD762">
      <w:pPr>
        <w:sectPr>
          <w:footerReference r:id="rId133" w:type="default"/>
          <w:pgSz w:w="16839" w:h="11906"/>
          <w:pgMar w:top="1012" w:right="821" w:bottom="667" w:left="901" w:header="0" w:footer="388" w:gutter="0"/>
          <w:cols w:space="720" w:num="1"/>
        </w:sectPr>
      </w:pPr>
    </w:p>
    <w:p w14:paraId="5F9B3CC6">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1E14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3905F74A">
            <w:pPr>
              <w:spacing w:before="222" w:line="241" w:lineRule="auto"/>
              <w:ind w:left="131"/>
              <w:rPr>
                <w:rFonts w:ascii="黑体" w:hAnsi="黑体" w:eastAsia="黑体" w:cs="黑体"/>
                <w:sz w:val="28"/>
                <w:szCs w:val="28"/>
              </w:rPr>
            </w:pPr>
            <w:bookmarkStart w:id="535" w:name="bookmark538"/>
            <w:bookmarkEnd w:id="535"/>
            <w:r>
              <w:rPr>
                <w:rFonts w:ascii="黑体" w:hAnsi="黑体" w:eastAsia="黑体" w:cs="黑体"/>
                <w:spacing w:val="-2"/>
                <w:sz w:val="28"/>
                <w:szCs w:val="28"/>
              </w:rPr>
              <w:t>序号</w:t>
            </w:r>
          </w:p>
        </w:tc>
        <w:tc>
          <w:tcPr>
            <w:tcW w:w="1440" w:type="dxa"/>
            <w:vAlign w:val="top"/>
          </w:tcPr>
          <w:p w14:paraId="0FA5E196">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7AF2FB18">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D5C0717">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1566C5DD">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363E21E">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4A93E2C">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A190496">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B111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9" w:hRule="atLeast"/>
        </w:trPr>
        <w:tc>
          <w:tcPr>
            <w:tcW w:w="818" w:type="dxa"/>
            <w:vMerge w:val="restart"/>
            <w:tcBorders>
              <w:bottom w:val="nil"/>
            </w:tcBorders>
            <w:vAlign w:val="top"/>
          </w:tcPr>
          <w:p w14:paraId="6C4079A1">
            <w:pPr>
              <w:rPr>
                <w:rFonts w:ascii="Arial"/>
                <w:sz w:val="21"/>
              </w:rPr>
            </w:pPr>
          </w:p>
        </w:tc>
        <w:tc>
          <w:tcPr>
            <w:tcW w:w="1440" w:type="dxa"/>
            <w:vMerge w:val="restart"/>
            <w:tcBorders>
              <w:bottom w:val="nil"/>
            </w:tcBorders>
            <w:vAlign w:val="top"/>
          </w:tcPr>
          <w:p w14:paraId="4F8BED3B">
            <w:pPr>
              <w:pStyle w:val="6"/>
              <w:spacing w:before="29" w:line="182" w:lineRule="auto"/>
              <w:ind w:left="114" w:right="108"/>
            </w:pPr>
            <w:r>
              <w:rPr>
                <w:spacing w:val="12"/>
              </w:rPr>
              <w:t>按法定时限</w:t>
            </w:r>
            <w:bookmarkStart w:id="536" w:name="bookmark539"/>
            <w:bookmarkEnd w:id="536"/>
            <w:bookmarkStart w:id="537" w:name="bookmark226"/>
            <w:bookmarkEnd w:id="537"/>
            <w:r>
              <w:rPr>
                <w:spacing w:val="11"/>
              </w:rPr>
              <w:t>提出安全使</w:t>
            </w:r>
          </w:p>
          <w:p w14:paraId="3431A527">
            <w:pPr>
              <w:pStyle w:val="6"/>
              <w:spacing w:line="182" w:lineRule="auto"/>
              <w:ind w:left="117"/>
              <w:outlineLvl w:val="0"/>
            </w:pPr>
            <w:r>
              <w:rPr>
                <w:spacing w:val="11"/>
              </w:rPr>
              <w:t>用许可证变</w:t>
            </w:r>
          </w:p>
          <w:p w14:paraId="0D3A83F1">
            <w:pPr>
              <w:pStyle w:val="6"/>
              <w:spacing w:before="7" w:line="187" w:lineRule="auto"/>
              <w:ind w:left="115" w:right="111" w:firstLine="5"/>
              <w:jc w:val="both"/>
            </w:pPr>
            <w:r>
              <w:rPr>
                <w:spacing w:val="10"/>
              </w:rPr>
              <w:t>更申请或者</w:t>
            </w:r>
            <w:r>
              <w:rPr>
                <w:spacing w:val="11"/>
              </w:rPr>
              <w:t>将隶属关系变更证明材料报发证机</w:t>
            </w:r>
            <w:r>
              <w:rPr>
                <w:spacing w:val="2"/>
              </w:rPr>
              <w:t>关的</w:t>
            </w:r>
          </w:p>
        </w:tc>
        <w:tc>
          <w:tcPr>
            <w:tcW w:w="3202" w:type="dxa"/>
            <w:vMerge w:val="restart"/>
            <w:tcBorders>
              <w:bottom w:val="nil"/>
            </w:tcBorders>
            <w:vAlign w:val="top"/>
          </w:tcPr>
          <w:p w14:paraId="1C3E55C5">
            <w:pPr>
              <w:pStyle w:val="6"/>
              <w:spacing w:before="34" w:line="182" w:lineRule="auto"/>
              <w:ind w:left="98" w:firstLine="28"/>
            </w:pPr>
            <w:r>
              <w:rPr>
                <w:spacing w:val="3"/>
              </w:rPr>
              <w:t>文件、资料</w:t>
            </w:r>
            <w:r>
              <w:rPr>
                <w:spacing w:val="-11"/>
              </w:rPr>
              <w:t>：（</w:t>
            </w:r>
            <w:r>
              <w:rPr>
                <w:spacing w:val="3"/>
              </w:rPr>
              <w:t>一）变更申</w:t>
            </w:r>
            <w:r>
              <w:rPr>
                <w:spacing w:val="18"/>
              </w:rPr>
              <w:t>请书</w:t>
            </w:r>
            <w:r>
              <w:rPr>
                <w:spacing w:val="-13"/>
              </w:rPr>
              <w:t>；（</w:t>
            </w:r>
            <w:r>
              <w:rPr>
                <w:spacing w:val="18"/>
              </w:rPr>
              <w:t>二）变更后的工商</w:t>
            </w:r>
            <w:r>
              <w:rPr>
                <w:spacing w:val="7"/>
              </w:rPr>
              <w:t>营业执照副本复制件</w:t>
            </w:r>
            <w:r>
              <w:rPr>
                <w:spacing w:val="-4"/>
              </w:rPr>
              <w:t>；（</w:t>
            </w:r>
            <w:r>
              <w:rPr>
                <w:spacing w:val="7"/>
              </w:rPr>
              <w:t>三）</w:t>
            </w:r>
            <w:r>
              <w:rPr>
                <w:spacing w:val="14"/>
              </w:rPr>
              <w:t>变更主要负责人的，还应当</w:t>
            </w:r>
            <w:r>
              <w:rPr>
                <w:spacing w:val="17"/>
              </w:rPr>
              <w:t>提供主要负责人经安全生产监督管理部门考核合格后颁</w:t>
            </w:r>
            <w:r>
              <w:rPr>
                <w:spacing w:val="36"/>
              </w:rPr>
              <w:t>发的安全合格证复制件；</w:t>
            </w:r>
            <w:r>
              <w:rPr>
                <w:spacing w:val="9"/>
              </w:rPr>
              <w:t>（四）变更注册地址的，还</w:t>
            </w:r>
            <w:r>
              <w:rPr>
                <w:spacing w:val="6"/>
              </w:rPr>
              <w:t>应当提供相关证明材料。</w:t>
            </w:r>
          </w:p>
          <w:p w14:paraId="4F61DC26">
            <w:pPr>
              <w:pStyle w:val="6"/>
              <w:spacing w:before="2" w:line="182" w:lineRule="auto"/>
              <w:ind w:left="119" w:right="111" w:firstLine="1"/>
            </w:pPr>
            <w:r>
              <w:rPr>
                <w:spacing w:val="13"/>
              </w:rPr>
              <w:t>对已经受理的变更申请，发</w:t>
            </w:r>
            <w:r>
              <w:rPr>
                <w:spacing w:val="14"/>
              </w:rPr>
              <w:t>证机关对企业提交的文件、</w:t>
            </w:r>
            <w:r>
              <w:rPr>
                <w:spacing w:val="13"/>
              </w:rPr>
              <w:t>资料审查无误后，方可办理</w:t>
            </w:r>
            <w:r>
              <w:rPr>
                <w:spacing w:val="5"/>
              </w:rPr>
              <w:t>安全使用许可证变更手续。</w:t>
            </w:r>
          </w:p>
          <w:p w14:paraId="4B60C360">
            <w:pPr>
              <w:pStyle w:val="6"/>
              <w:spacing w:line="178" w:lineRule="auto"/>
              <w:ind w:left="117" w:right="107" w:firstLine="2"/>
            </w:pPr>
            <w:r>
              <w:rPr>
                <w:spacing w:val="17"/>
              </w:rPr>
              <w:t>企业在安全使用许可证有效</w:t>
            </w:r>
            <w:r>
              <w:rPr>
                <w:spacing w:val="13"/>
              </w:rPr>
              <w:t>期内变更隶属关系的，应当</w:t>
            </w:r>
            <w:r>
              <w:rPr>
                <w:spacing w:val="1"/>
              </w:rPr>
              <w:t>在隶属关系变更之日起</w:t>
            </w:r>
            <w:r>
              <w:rPr>
                <w:rFonts w:ascii="宋体" w:hAnsi="宋体" w:eastAsia="宋体" w:cs="宋体"/>
                <w:spacing w:val="1"/>
              </w:rPr>
              <w:t>10</w:t>
            </w:r>
            <w:r>
              <w:rPr>
                <w:spacing w:val="1"/>
              </w:rPr>
              <w:t>日</w:t>
            </w:r>
            <w:r>
              <w:rPr>
                <w:spacing w:val="39"/>
              </w:rPr>
              <w:t>内向发证机关提交证明材</w:t>
            </w:r>
            <w:r>
              <w:rPr>
                <w:spacing w:val="-7"/>
              </w:rPr>
              <w:t>料。</w:t>
            </w:r>
          </w:p>
        </w:tc>
        <w:tc>
          <w:tcPr>
            <w:tcW w:w="2859" w:type="dxa"/>
            <w:vMerge w:val="restart"/>
            <w:tcBorders>
              <w:bottom w:val="nil"/>
            </w:tcBorders>
            <w:vAlign w:val="top"/>
          </w:tcPr>
          <w:p w14:paraId="6142D7BA">
            <w:pPr>
              <w:pStyle w:val="6"/>
              <w:spacing w:before="27" w:line="187" w:lineRule="auto"/>
              <w:ind w:left="119" w:right="105" w:hanging="2"/>
              <w:jc w:val="both"/>
            </w:pPr>
            <w:r>
              <w:rPr>
                <w:spacing w:val="8"/>
              </w:rPr>
              <w:t>全使用许可证变更申请或者将隶属关系变更证明材料报发证机关的，责令限</w:t>
            </w:r>
            <w:r>
              <w:rPr>
                <w:spacing w:val="3"/>
              </w:rPr>
              <w:t>期办理变更手续，处</w:t>
            </w:r>
            <w:r>
              <w:rPr>
                <w:rFonts w:ascii="宋体" w:hAnsi="宋体" w:eastAsia="宋体" w:cs="宋体"/>
                <w:spacing w:val="3"/>
              </w:rPr>
              <w:t>1</w:t>
            </w:r>
            <w:r>
              <w:rPr>
                <w:spacing w:val="3"/>
              </w:rPr>
              <w:t>万</w:t>
            </w:r>
            <w:r>
              <w:rPr>
                <w:spacing w:val="20"/>
              </w:rPr>
              <w:t>元以上</w:t>
            </w:r>
            <w:r>
              <w:rPr>
                <w:rFonts w:ascii="宋体" w:hAnsi="宋体" w:eastAsia="宋体" w:cs="宋体"/>
                <w:spacing w:val="20"/>
              </w:rPr>
              <w:t>3</w:t>
            </w:r>
            <w:r>
              <w:rPr>
                <w:spacing w:val="20"/>
              </w:rPr>
              <w:t>万元以下的罚</w:t>
            </w:r>
            <w:r>
              <w:rPr>
                <w:spacing w:val="-8"/>
              </w:rPr>
              <w:t>款。</w:t>
            </w:r>
          </w:p>
        </w:tc>
        <w:tc>
          <w:tcPr>
            <w:tcW w:w="803" w:type="dxa"/>
            <w:vAlign w:val="top"/>
          </w:tcPr>
          <w:p w14:paraId="52085604">
            <w:pPr>
              <w:spacing w:line="288" w:lineRule="auto"/>
              <w:rPr>
                <w:rFonts w:ascii="Arial"/>
                <w:sz w:val="21"/>
              </w:rPr>
            </w:pPr>
          </w:p>
          <w:p w14:paraId="404F4976">
            <w:pPr>
              <w:spacing w:line="289" w:lineRule="auto"/>
              <w:rPr>
                <w:rFonts w:ascii="Arial"/>
                <w:sz w:val="21"/>
              </w:rPr>
            </w:pPr>
          </w:p>
          <w:p w14:paraId="24A4B895">
            <w:pPr>
              <w:spacing w:line="289" w:lineRule="auto"/>
              <w:rPr>
                <w:rFonts w:ascii="Arial"/>
                <w:sz w:val="21"/>
              </w:rPr>
            </w:pPr>
          </w:p>
          <w:p w14:paraId="1FFFE157">
            <w:pPr>
              <w:spacing w:line="289" w:lineRule="auto"/>
              <w:rPr>
                <w:rFonts w:ascii="Arial"/>
                <w:sz w:val="21"/>
              </w:rPr>
            </w:pPr>
          </w:p>
          <w:p w14:paraId="6AB02151">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1DCC766">
            <w:pPr>
              <w:spacing w:line="311" w:lineRule="auto"/>
              <w:rPr>
                <w:rFonts w:ascii="Arial"/>
                <w:sz w:val="21"/>
              </w:rPr>
            </w:pPr>
          </w:p>
          <w:p w14:paraId="2A428208">
            <w:pPr>
              <w:spacing w:line="312" w:lineRule="auto"/>
              <w:rPr>
                <w:rFonts w:ascii="Arial"/>
                <w:sz w:val="21"/>
              </w:rPr>
            </w:pPr>
          </w:p>
          <w:p w14:paraId="08A3FFAA">
            <w:pPr>
              <w:spacing w:line="312" w:lineRule="auto"/>
              <w:rPr>
                <w:rFonts w:ascii="Arial"/>
                <w:sz w:val="21"/>
              </w:rPr>
            </w:pPr>
          </w:p>
          <w:p w14:paraId="4191CEB1">
            <w:pPr>
              <w:pStyle w:val="6"/>
              <w:spacing w:before="99" w:line="196" w:lineRule="auto"/>
              <w:ind w:left="145" w:right="105" w:hanging="28"/>
            </w:pPr>
            <w:r>
              <w:rPr>
                <w:spacing w:val="-2"/>
              </w:rPr>
              <w:t>超出规定时限</w:t>
            </w:r>
            <w:r>
              <w:rPr>
                <w:rFonts w:ascii="宋体" w:hAnsi="宋体" w:eastAsia="宋体" w:cs="宋体"/>
                <w:spacing w:val="-2"/>
              </w:rPr>
              <w:t>10</w:t>
            </w:r>
            <w:r>
              <w:rPr>
                <w:spacing w:val="-2"/>
              </w:rPr>
              <w:t>日</w:t>
            </w:r>
            <w:r>
              <w:rPr>
                <w:spacing w:val="-5"/>
              </w:rPr>
              <w:t>以上</w:t>
            </w:r>
            <w:r>
              <w:rPr>
                <w:rFonts w:ascii="宋体" w:hAnsi="宋体" w:eastAsia="宋体" w:cs="宋体"/>
                <w:spacing w:val="-5"/>
              </w:rPr>
              <w:t>20</w:t>
            </w:r>
            <w:r>
              <w:rPr>
                <w:spacing w:val="-5"/>
              </w:rPr>
              <w:t>日以内的</w:t>
            </w:r>
          </w:p>
        </w:tc>
        <w:tc>
          <w:tcPr>
            <w:tcW w:w="2894" w:type="dxa"/>
            <w:vAlign w:val="top"/>
          </w:tcPr>
          <w:p w14:paraId="71C5C767">
            <w:pPr>
              <w:spacing w:line="263" w:lineRule="auto"/>
              <w:rPr>
                <w:rFonts w:ascii="Arial"/>
                <w:sz w:val="21"/>
              </w:rPr>
            </w:pPr>
          </w:p>
          <w:p w14:paraId="7551E88B">
            <w:pPr>
              <w:spacing w:line="263" w:lineRule="auto"/>
              <w:rPr>
                <w:rFonts w:ascii="Arial"/>
                <w:sz w:val="21"/>
              </w:rPr>
            </w:pPr>
          </w:p>
          <w:p w14:paraId="0C56148F">
            <w:pPr>
              <w:spacing w:line="264" w:lineRule="auto"/>
              <w:rPr>
                <w:rFonts w:ascii="Arial"/>
                <w:sz w:val="21"/>
              </w:rPr>
            </w:pPr>
          </w:p>
          <w:p w14:paraId="1AFCEBA1">
            <w:pPr>
              <w:pStyle w:val="6"/>
              <w:spacing w:before="99" w:line="191" w:lineRule="auto"/>
              <w:ind w:left="119" w:right="103" w:firstLine="8"/>
            </w:pPr>
            <w:r>
              <w:rPr>
                <w:spacing w:val="9"/>
              </w:rPr>
              <w:t>责令限期办理变更手续，</w:t>
            </w:r>
            <w:r>
              <w:rPr>
                <w:spacing w:val="2"/>
              </w:rPr>
              <w:t>处</w:t>
            </w:r>
            <w:r>
              <w:rPr>
                <w:rFonts w:ascii="宋体" w:hAnsi="宋体" w:eastAsia="宋体" w:cs="宋体"/>
                <w:spacing w:val="2"/>
              </w:rPr>
              <w:t>1.5</w:t>
            </w:r>
            <w:r>
              <w:rPr>
                <w:spacing w:val="2"/>
              </w:rPr>
              <w:t>万元以上</w:t>
            </w:r>
            <w:r>
              <w:rPr>
                <w:rFonts w:ascii="宋体" w:hAnsi="宋体" w:eastAsia="宋体" w:cs="宋体"/>
                <w:spacing w:val="2"/>
              </w:rPr>
              <w:t>2</w:t>
            </w:r>
            <w:r>
              <w:rPr>
                <w:spacing w:val="2"/>
              </w:rPr>
              <w:t>万元以</w:t>
            </w:r>
            <w:r>
              <w:rPr>
                <w:spacing w:val="6"/>
              </w:rPr>
              <w:t>下的罚款</w:t>
            </w:r>
          </w:p>
        </w:tc>
        <w:tc>
          <w:tcPr>
            <w:tcW w:w="811" w:type="dxa"/>
            <w:vMerge w:val="restart"/>
            <w:tcBorders>
              <w:bottom w:val="nil"/>
            </w:tcBorders>
            <w:vAlign w:val="top"/>
          </w:tcPr>
          <w:p w14:paraId="5D497541">
            <w:pPr>
              <w:rPr>
                <w:rFonts w:ascii="Arial"/>
                <w:sz w:val="21"/>
              </w:rPr>
            </w:pPr>
          </w:p>
        </w:tc>
      </w:tr>
      <w:tr w14:paraId="4D2A8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8" w:hRule="atLeast"/>
        </w:trPr>
        <w:tc>
          <w:tcPr>
            <w:tcW w:w="818" w:type="dxa"/>
            <w:vMerge w:val="continue"/>
            <w:tcBorders>
              <w:top w:val="nil"/>
            </w:tcBorders>
            <w:vAlign w:val="top"/>
          </w:tcPr>
          <w:p w14:paraId="36627CB3">
            <w:pPr>
              <w:rPr>
                <w:rFonts w:ascii="Arial"/>
                <w:sz w:val="21"/>
              </w:rPr>
            </w:pPr>
          </w:p>
        </w:tc>
        <w:tc>
          <w:tcPr>
            <w:tcW w:w="1440" w:type="dxa"/>
            <w:vMerge w:val="continue"/>
            <w:tcBorders>
              <w:top w:val="nil"/>
            </w:tcBorders>
            <w:vAlign w:val="top"/>
          </w:tcPr>
          <w:p w14:paraId="4C7886DA">
            <w:pPr>
              <w:rPr>
                <w:rFonts w:ascii="Arial"/>
                <w:sz w:val="21"/>
              </w:rPr>
            </w:pPr>
          </w:p>
        </w:tc>
        <w:tc>
          <w:tcPr>
            <w:tcW w:w="3202" w:type="dxa"/>
            <w:vMerge w:val="continue"/>
            <w:tcBorders>
              <w:top w:val="nil"/>
            </w:tcBorders>
            <w:vAlign w:val="top"/>
          </w:tcPr>
          <w:p w14:paraId="6D84D919">
            <w:pPr>
              <w:rPr>
                <w:rFonts w:ascii="Arial"/>
                <w:sz w:val="21"/>
              </w:rPr>
            </w:pPr>
          </w:p>
        </w:tc>
        <w:tc>
          <w:tcPr>
            <w:tcW w:w="2859" w:type="dxa"/>
            <w:vMerge w:val="continue"/>
            <w:tcBorders>
              <w:top w:val="nil"/>
            </w:tcBorders>
            <w:vAlign w:val="top"/>
          </w:tcPr>
          <w:p w14:paraId="5C1DA114">
            <w:pPr>
              <w:rPr>
                <w:rFonts w:ascii="Arial"/>
                <w:sz w:val="21"/>
              </w:rPr>
            </w:pPr>
          </w:p>
        </w:tc>
        <w:tc>
          <w:tcPr>
            <w:tcW w:w="803" w:type="dxa"/>
            <w:vAlign w:val="top"/>
          </w:tcPr>
          <w:p w14:paraId="7141368D">
            <w:pPr>
              <w:spacing w:line="244" w:lineRule="auto"/>
              <w:rPr>
                <w:rFonts w:ascii="Arial"/>
                <w:sz w:val="21"/>
              </w:rPr>
            </w:pPr>
          </w:p>
          <w:p w14:paraId="113E8D54">
            <w:pPr>
              <w:spacing w:line="245" w:lineRule="auto"/>
              <w:rPr>
                <w:rFonts w:ascii="Arial"/>
                <w:sz w:val="21"/>
              </w:rPr>
            </w:pPr>
          </w:p>
          <w:p w14:paraId="7138687C">
            <w:pPr>
              <w:spacing w:line="245" w:lineRule="auto"/>
              <w:rPr>
                <w:rFonts w:ascii="Arial"/>
                <w:sz w:val="21"/>
              </w:rPr>
            </w:pPr>
          </w:p>
          <w:p w14:paraId="5C805277">
            <w:pPr>
              <w:spacing w:line="245" w:lineRule="auto"/>
              <w:rPr>
                <w:rFonts w:ascii="Arial"/>
                <w:sz w:val="21"/>
              </w:rPr>
            </w:pPr>
          </w:p>
          <w:p w14:paraId="302006EB">
            <w:pPr>
              <w:spacing w:line="245" w:lineRule="auto"/>
              <w:rPr>
                <w:rFonts w:ascii="Arial"/>
                <w:sz w:val="21"/>
              </w:rPr>
            </w:pPr>
          </w:p>
          <w:p w14:paraId="0B0F40B9">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A4CAB69">
            <w:pPr>
              <w:spacing w:line="251" w:lineRule="auto"/>
              <w:rPr>
                <w:rFonts w:ascii="Arial"/>
                <w:sz w:val="21"/>
              </w:rPr>
            </w:pPr>
          </w:p>
          <w:p w14:paraId="2966F564">
            <w:pPr>
              <w:spacing w:line="251" w:lineRule="auto"/>
              <w:rPr>
                <w:rFonts w:ascii="Arial"/>
                <w:sz w:val="21"/>
              </w:rPr>
            </w:pPr>
          </w:p>
          <w:p w14:paraId="7EAA7443">
            <w:pPr>
              <w:spacing w:line="251" w:lineRule="auto"/>
              <w:rPr>
                <w:rFonts w:ascii="Arial"/>
                <w:sz w:val="21"/>
              </w:rPr>
            </w:pPr>
          </w:p>
          <w:p w14:paraId="0CAFBDA0">
            <w:pPr>
              <w:spacing w:line="252" w:lineRule="auto"/>
              <w:rPr>
                <w:rFonts w:ascii="Arial"/>
                <w:sz w:val="21"/>
              </w:rPr>
            </w:pPr>
          </w:p>
          <w:p w14:paraId="3D8C2EEE">
            <w:pPr>
              <w:pStyle w:val="6"/>
              <w:spacing w:before="99" w:line="196" w:lineRule="auto"/>
              <w:ind w:left="145" w:right="105" w:hanging="28"/>
            </w:pPr>
            <w:r>
              <w:rPr>
                <w:spacing w:val="1"/>
              </w:rPr>
              <w:t>超出规定时限</w:t>
            </w:r>
            <w:r>
              <w:rPr>
                <w:rFonts w:ascii="宋体" w:hAnsi="宋体" w:eastAsia="宋体" w:cs="宋体"/>
                <w:spacing w:val="1"/>
              </w:rPr>
              <w:t>20</w:t>
            </w:r>
            <w:r>
              <w:rPr>
                <w:spacing w:val="1"/>
              </w:rPr>
              <w:t>日</w:t>
            </w:r>
            <w:r>
              <w:rPr>
                <w:spacing w:val="-3"/>
              </w:rPr>
              <w:t>以上的</w:t>
            </w:r>
          </w:p>
        </w:tc>
        <w:tc>
          <w:tcPr>
            <w:tcW w:w="2894" w:type="dxa"/>
            <w:vAlign w:val="top"/>
          </w:tcPr>
          <w:p w14:paraId="568B54B4">
            <w:pPr>
              <w:spacing w:line="286" w:lineRule="auto"/>
              <w:rPr>
                <w:rFonts w:ascii="Arial"/>
                <w:sz w:val="21"/>
              </w:rPr>
            </w:pPr>
          </w:p>
          <w:p w14:paraId="09C4AD80">
            <w:pPr>
              <w:spacing w:line="287" w:lineRule="auto"/>
              <w:rPr>
                <w:rFonts w:ascii="Arial"/>
                <w:sz w:val="21"/>
              </w:rPr>
            </w:pPr>
          </w:p>
          <w:p w14:paraId="5500F0F9">
            <w:pPr>
              <w:spacing w:line="287" w:lineRule="auto"/>
              <w:rPr>
                <w:rFonts w:ascii="Arial"/>
                <w:sz w:val="21"/>
              </w:rPr>
            </w:pPr>
          </w:p>
          <w:p w14:paraId="0110578F">
            <w:pPr>
              <w:pStyle w:val="6"/>
              <w:spacing w:before="99" w:line="191" w:lineRule="auto"/>
              <w:ind w:left="119" w:right="106" w:firstLine="8"/>
            </w:pPr>
            <w:r>
              <w:rPr>
                <w:spacing w:val="9"/>
              </w:rPr>
              <w:t>责令限期办理变更手续，</w:t>
            </w:r>
            <w:r>
              <w:rPr>
                <w:spacing w:val="3"/>
              </w:rPr>
              <w:t>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万元以下</w:t>
            </w:r>
            <w:r>
              <w:rPr>
                <w:spacing w:val="5"/>
              </w:rPr>
              <w:t>的罚款</w:t>
            </w:r>
          </w:p>
        </w:tc>
        <w:tc>
          <w:tcPr>
            <w:tcW w:w="811" w:type="dxa"/>
            <w:vMerge w:val="continue"/>
            <w:tcBorders>
              <w:top w:val="nil"/>
            </w:tcBorders>
            <w:vAlign w:val="top"/>
          </w:tcPr>
          <w:p w14:paraId="4CCFE5AF">
            <w:pPr>
              <w:rPr>
                <w:rFonts w:ascii="Arial"/>
                <w:sz w:val="21"/>
              </w:rPr>
            </w:pPr>
          </w:p>
        </w:tc>
      </w:tr>
      <w:tr w14:paraId="25646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3" w:hRule="atLeast"/>
        </w:trPr>
        <w:tc>
          <w:tcPr>
            <w:tcW w:w="818" w:type="dxa"/>
            <w:vAlign w:val="top"/>
          </w:tcPr>
          <w:p w14:paraId="6D51BF0A">
            <w:pPr>
              <w:spacing w:line="264" w:lineRule="auto"/>
              <w:rPr>
                <w:rFonts w:ascii="Arial"/>
                <w:sz w:val="21"/>
              </w:rPr>
            </w:pPr>
          </w:p>
          <w:p w14:paraId="53F4543D">
            <w:pPr>
              <w:spacing w:line="264" w:lineRule="auto"/>
              <w:rPr>
                <w:rFonts w:ascii="Arial"/>
                <w:sz w:val="21"/>
              </w:rPr>
            </w:pPr>
          </w:p>
          <w:p w14:paraId="069D80C5">
            <w:pPr>
              <w:spacing w:line="265" w:lineRule="auto"/>
              <w:rPr>
                <w:rFonts w:ascii="Arial"/>
                <w:sz w:val="21"/>
              </w:rPr>
            </w:pPr>
          </w:p>
          <w:p w14:paraId="6B917BC3">
            <w:pPr>
              <w:spacing w:line="265" w:lineRule="auto"/>
              <w:rPr>
                <w:rFonts w:ascii="Arial"/>
                <w:sz w:val="21"/>
              </w:rPr>
            </w:pPr>
          </w:p>
          <w:p w14:paraId="6E42E12A">
            <w:pPr>
              <w:spacing w:line="265" w:lineRule="auto"/>
              <w:rPr>
                <w:rFonts w:ascii="Arial"/>
                <w:sz w:val="21"/>
              </w:rPr>
            </w:pPr>
          </w:p>
          <w:p w14:paraId="474B3859">
            <w:pPr>
              <w:spacing w:line="265" w:lineRule="auto"/>
              <w:rPr>
                <w:rFonts w:ascii="Arial"/>
                <w:sz w:val="21"/>
              </w:rPr>
            </w:pPr>
          </w:p>
          <w:p w14:paraId="168D3D53">
            <w:pPr>
              <w:spacing w:before="74" w:line="186" w:lineRule="auto"/>
              <w:ind w:left="161"/>
              <w:rPr>
                <w:rFonts w:ascii="仿宋" w:hAnsi="仿宋" w:eastAsia="仿宋" w:cs="仿宋"/>
                <w:sz w:val="23"/>
                <w:szCs w:val="23"/>
              </w:rPr>
            </w:pPr>
            <w:r>
              <w:rPr>
                <w:rFonts w:ascii="仿宋" w:hAnsi="仿宋" w:eastAsia="仿宋" w:cs="仿宋"/>
                <w:spacing w:val="-5"/>
                <w:sz w:val="23"/>
                <w:szCs w:val="23"/>
              </w:rPr>
              <w:t>110</w:t>
            </w:r>
          </w:p>
        </w:tc>
        <w:tc>
          <w:tcPr>
            <w:tcW w:w="1440" w:type="dxa"/>
            <w:vAlign w:val="top"/>
          </w:tcPr>
          <w:p w14:paraId="7AA4DBE7">
            <w:pPr>
              <w:pStyle w:val="6"/>
              <w:spacing w:before="121" w:line="185" w:lineRule="auto"/>
              <w:ind w:left="110" w:right="108" w:firstLine="7"/>
            </w:pPr>
            <w:r>
              <w:rPr>
                <w:spacing w:val="11"/>
              </w:rPr>
              <w:t>企业在安全</w:t>
            </w:r>
            <w:r>
              <w:rPr>
                <w:spacing w:val="12"/>
              </w:rPr>
              <w:t>使用许可证</w:t>
            </w:r>
            <w:r>
              <w:rPr>
                <w:spacing w:val="13"/>
              </w:rPr>
              <w:t>有效期内有</w:t>
            </w:r>
            <w:r>
              <w:rPr>
                <w:spacing w:val="12"/>
              </w:rPr>
              <w:t>增加使用的危险化学品</w:t>
            </w:r>
            <w:r>
              <w:rPr>
                <w:spacing w:val="5"/>
              </w:rPr>
              <w:t>品种，且达</w:t>
            </w:r>
            <w:r>
              <w:rPr>
                <w:spacing w:val="12"/>
              </w:rPr>
              <w:t>到危险化学品使用量的数量标准规</w:t>
            </w:r>
            <w:r>
              <w:rPr>
                <w:spacing w:val="3"/>
              </w:rPr>
              <w:t>定等情形，</w:t>
            </w:r>
            <w:r>
              <w:rPr>
                <w:spacing w:val="12"/>
              </w:rPr>
              <w:t>未按规定提</w:t>
            </w:r>
          </w:p>
        </w:tc>
        <w:tc>
          <w:tcPr>
            <w:tcW w:w="3202" w:type="dxa"/>
            <w:vAlign w:val="top"/>
          </w:tcPr>
          <w:p w14:paraId="0111D218">
            <w:pPr>
              <w:pStyle w:val="6"/>
              <w:spacing w:before="28" w:line="185" w:lineRule="auto"/>
              <w:ind w:left="98" w:right="97"/>
            </w:pPr>
            <w:r>
              <w:rPr>
                <w:spacing w:val="18"/>
              </w:rPr>
              <w:t>【部门规章】《危险化学品</w:t>
            </w:r>
            <w:r>
              <w:rPr>
                <w:spacing w:val="20"/>
              </w:rPr>
              <w:t>安全使用许可证实施办法》</w:t>
            </w:r>
            <w:r>
              <w:rPr>
                <w:spacing w:val="15"/>
              </w:rPr>
              <w:t>第二十五条：企业在安全使</w:t>
            </w:r>
            <w:r>
              <w:rPr>
                <w:spacing w:val="14"/>
              </w:rPr>
              <w:t>用许可证有效期内，有下列</w:t>
            </w:r>
            <w:r>
              <w:rPr>
                <w:spacing w:val="15"/>
              </w:rPr>
              <w:t>情形之一的，发证机关按照本办法第二十条、第二十一</w:t>
            </w:r>
            <w:r>
              <w:rPr>
                <w:spacing w:val="18"/>
              </w:rPr>
              <w:t>条、第二十二条、第二十三</w:t>
            </w:r>
            <w:r>
              <w:rPr>
                <w:spacing w:val="37"/>
              </w:rPr>
              <w:t>条的规定办理变更手续：</w:t>
            </w:r>
            <w:r>
              <w:rPr>
                <w:spacing w:val="6"/>
              </w:rPr>
              <w:t>（一）增加使用的危险化学</w:t>
            </w:r>
            <w:r>
              <w:rPr>
                <w:spacing w:val="15"/>
              </w:rPr>
              <w:t>品品种，且达到危险化学品</w:t>
            </w:r>
            <w:r>
              <w:rPr>
                <w:spacing w:val="17"/>
              </w:rPr>
              <w:t>使用量的数量标准规定的；</w:t>
            </w:r>
          </w:p>
        </w:tc>
        <w:tc>
          <w:tcPr>
            <w:tcW w:w="2859" w:type="dxa"/>
            <w:vAlign w:val="top"/>
          </w:tcPr>
          <w:p w14:paraId="19AFC22C">
            <w:pPr>
              <w:pStyle w:val="6"/>
              <w:spacing w:before="29" w:line="185" w:lineRule="auto"/>
              <w:ind w:left="116" w:right="107" w:hanging="19"/>
              <w:jc w:val="both"/>
            </w:pPr>
            <w:r>
              <w:rPr>
                <w:spacing w:val="10"/>
              </w:rPr>
              <w:t>【部门规章】《危险化学</w:t>
            </w:r>
            <w:r>
              <w:rPr>
                <w:spacing w:val="8"/>
              </w:rPr>
              <w:t>品安全使用许可证实施办法》第四十条：企业在安全使用许可证有效期内有下列情形之一，未按照本办法第二十五条的规定提出变更申请，继续从事生产的，责令限期改正，处</w:t>
            </w:r>
            <w:r>
              <w:rPr>
                <w:rFonts w:ascii="宋体" w:hAnsi="宋体" w:eastAsia="宋体" w:cs="宋体"/>
                <w:spacing w:val="6"/>
              </w:rPr>
              <w:t>1</w:t>
            </w:r>
            <w:r>
              <w:rPr>
                <w:spacing w:val="6"/>
              </w:rPr>
              <w:t>万元以上</w:t>
            </w:r>
            <w:r>
              <w:rPr>
                <w:rFonts w:ascii="宋体" w:hAnsi="宋体" w:eastAsia="宋体" w:cs="宋体"/>
                <w:spacing w:val="6"/>
              </w:rPr>
              <w:t>3</w:t>
            </w:r>
            <w:r>
              <w:rPr>
                <w:spacing w:val="6"/>
              </w:rPr>
              <w:t>万元以下的</w:t>
            </w:r>
            <w:r>
              <w:rPr>
                <w:spacing w:val="-2"/>
              </w:rPr>
              <w:t>罚款</w:t>
            </w:r>
            <w:r>
              <w:rPr>
                <w:spacing w:val="-4"/>
              </w:rPr>
              <w:t>：（</w:t>
            </w:r>
            <w:r>
              <w:rPr>
                <w:spacing w:val="-2"/>
              </w:rPr>
              <w:t>一）增加使用的</w:t>
            </w:r>
            <w:r>
              <w:rPr>
                <w:spacing w:val="8"/>
              </w:rPr>
              <w:t>危险化学品品种，且达到</w:t>
            </w:r>
          </w:p>
        </w:tc>
        <w:tc>
          <w:tcPr>
            <w:tcW w:w="803" w:type="dxa"/>
            <w:vAlign w:val="top"/>
          </w:tcPr>
          <w:p w14:paraId="4922C33A">
            <w:pPr>
              <w:spacing w:line="263" w:lineRule="auto"/>
              <w:rPr>
                <w:rFonts w:ascii="Arial"/>
                <w:sz w:val="21"/>
              </w:rPr>
            </w:pPr>
          </w:p>
          <w:p w14:paraId="326727AE">
            <w:pPr>
              <w:spacing w:line="264" w:lineRule="auto"/>
              <w:rPr>
                <w:rFonts w:ascii="Arial"/>
                <w:sz w:val="21"/>
              </w:rPr>
            </w:pPr>
          </w:p>
          <w:p w14:paraId="65ED7BDC">
            <w:pPr>
              <w:spacing w:line="264" w:lineRule="auto"/>
              <w:rPr>
                <w:rFonts w:ascii="Arial"/>
                <w:sz w:val="21"/>
              </w:rPr>
            </w:pPr>
          </w:p>
          <w:p w14:paraId="22C6D420">
            <w:pPr>
              <w:spacing w:line="264" w:lineRule="auto"/>
              <w:rPr>
                <w:rFonts w:ascii="Arial"/>
                <w:sz w:val="21"/>
              </w:rPr>
            </w:pPr>
          </w:p>
          <w:p w14:paraId="7758AE73">
            <w:pPr>
              <w:spacing w:line="264" w:lineRule="auto"/>
              <w:rPr>
                <w:rFonts w:ascii="Arial"/>
                <w:sz w:val="21"/>
              </w:rPr>
            </w:pPr>
          </w:p>
          <w:p w14:paraId="48C17300">
            <w:pPr>
              <w:spacing w:line="264" w:lineRule="auto"/>
              <w:rPr>
                <w:rFonts w:ascii="Arial"/>
                <w:sz w:val="21"/>
              </w:rPr>
            </w:pPr>
          </w:p>
          <w:p w14:paraId="74B94FF3">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4697FB9">
            <w:pPr>
              <w:spacing w:line="273" w:lineRule="auto"/>
              <w:rPr>
                <w:rFonts w:ascii="Arial"/>
                <w:sz w:val="21"/>
              </w:rPr>
            </w:pPr>
          </w:p>
          <w:p w14:paraId="751D71F2">
            <w:pPr>
              <w:spacing w:line="273" w:lineRule="auto"/>
              <w:rPr>
                <w:rFonts w:ascii="Arial"/>
                <w:sz w:val="21"/>
              </w:rPr>
            </w:pPr>
          </w:p>
          <w:p w14:paraId="65ED0CB9">
            <w:pPr>
              <w:spacing w:line="273" w:lineRule="auto"/>
              <w:rPr>
                <w:rFonts w:ascii="Arial"/>
                <w:sz w:val="21"/>
              </w:rPr>
            </w:pPr>
          </w:p>
          <w:p w14:paraId="549EE537">
            <w:pPr>
              <w:spacing w:line="274" w:lineRule="auto"/>
              <w:rPr>
                <w:rFonts w:ascii="Arial"/>
                <w:sz w:val="21"/>
              </w:rPr>
            </w:pPr>
          </w:p>
          <w:p w14:paraId="4F5F0BDA">
            <w:pPr>
              <w:spacing w:line="274" w:lineRule="auto"/>
              <w:rPr>
                <w:rFonts w:ascii="Arial"/>
                <w:sz w:val="21"/>
              </w:rPr>
            </w:pPr>
          </w:p>
          <w:p w14:paraId="658A2354">
            <w:pPr>
              <w:pStyle w:val="6"/>
              <w:spacing w:before="98" w:line="196" w:lineRule="auto"/>
              <w:ind w:left="145" w:right="105" w:hanging="28"/>
            </w:pPr>
            <w:r>
              <w:rPr>
                <w:spacing w:val="-2"/>
              </w:rPr>
              <w:t>超出规定时限</w:t>
            </w:r>
            <w:r>
              <w:rPr>
                <w:rFonts w:ascii="宋体" w:hAnsi="宋体" w:eastAsia="宋体" w:cs="宋体"/>
                <w:spacing w:val="-2"/>
              </w:rPr>
              <w:t>10</w:t>
            </w:r>
            <w:r>
              <w:rPr>
                <w:spacing w:val="-2"/>
              </w:rPr>
              <w:t>日</w:t>
            </w:r>
            <w:r>
              <w:rPr>
                <w:spacing w:val="-3"/>
              </w:rPr>
              <w:t>以内的</w:t>
            </w:r>
          </w:p>
        </w:tc>
        <w:tc>
          <w:tcPr>
            <w:tcW w:w="2894" w:type="dxa"/>
            <w:vAlign w:val="top"/>
          </w:tcPr>
          <w:p w14:paraId="6E927861">
            <w:pPr>
              <w:spacing w:line="273" w:lineRule="auto"/>
              <w:rPr>
                <w:rFonts w:ascii="Arial"/>
                <w:sz w:val="21"/>
              </w:rPr>
            </w:pPr>
          </w:p>
          <w:p w14:paraId="7774BEAB">
            <w:pPr>
              <w:spacing w:line="273" w:lineRule="auto"/>
              <w:rPr>
                <w:rFonts w:ascii="Arial"/>
                <w:sz w:val="21"/>
              </w:rPr>
            </w:pPr>
          </w:p>
          <w:p w14:paraId="31272ECE">
            <w:pPr>
              <w:spacing w:line="273" w:lineRule="auto"/>
              <w:rPr>
                <w:rFonts w:ascii="Arial"/>
                <w:sz w:val="21"/>
              </w:rPr>
            </w:pPr>
          </w:p>
          <w:p w14:paraId="356405DF">
            <w:pPr>
              <w:spacing w:line="274" w:lineRule="auto"/>
              <w:rPr>
                <w:rFonts w:ascii="Arial"/>
                <w:sz w:val="21"/>
              </w:rPr>
            </w:pPr>
          </w:p>
          <w:p w14:paraId="0A08D911">
            <w:pPr>
              <w:spacing w:line="274" w:lineRule="auto"/>
              <w:rPr>
                <w:rFonts w:ascii="Arial"/>
                <w:sz w:val="21"/>
              </w:rPr>
            </w:pPr>
          </w:p>
          <w:p w14:paraId="184D3313">
            <w:pPr>
              <w:pStyle w:val="6"/>
              <w:spacing w:before="98" w:line="196" w:lineRule="auto"/>
              <w:ind w:left="146" w:right="103" w:hanging="19"/>
            </w:pPr>
            <w:r>
              <w:rPr>
                <w:spacing w:val="2"/>
              </w:rPr>
              <w:t>责令限期改正，处</w:t>
            </w:r>
            <w:r>
              <w:rPr>
                <w:rFonts w:ascii="宋体" w:hAnsi="宋体" w:eastAsia="宋体" w:cs="宋体"/>
                <w:spacing w:val="2"/>
              </w:rPr>
              <w:t>1</w:t>
            </w:r>
            <w:r>
              <w:rPr>
                <w:spacing w:val="2"/>
              </w:rPr>
              <w:t>万元</w:t>
            </w:r>
            <w:r>
              <w:t>以上</w:t>
            </w:r>
            <w:r>
              <w:rPr>
                <w:rFonts w:ascii="宋体" w:hAnsi="宋体" w:eastAsia="宋体" w:cs="宋体"/>
              </w:rPr>
              <w:t>1.5</w:t>
            </w:r>
            <w:r>
              <w:t>万元以下的罚款</w:t>
            </w:r>
          </w:p>
        </w:tc>
        <w:tc>
          <w:tcPr>
            <w:tcW w:w="811" w:type="dxa"/>
            <w:vAlign w:val="top"/>
          </w:tcPr>
          <w:p w14:paraId="7ADBD6F9">
            <w:pPr>
              <w:spacing w:line="264" w:lineRule="auto"/>
              <w:rPr>
                <w:rFonts w:ascii="Arial"/>
                <w:sz w:val="21"/>
              </w:rPr>
            </w:pPr>
          </w:p>
          <w:p w14:paraId="29CD4CFA">
            <w:pPr>
              <w:spacing w:line="264" w:lineRule="auto"/>
              <w:rPr>
                <w:rFonts w:ascii="Arial"/>
                <w:sz w:val="21"/>
              </w:rPr>
            </w:pPr>
          </w:p>
          <w:p w14:paraId="3432FF40">
            <w:pPr>
              <w:spacing w:line="264" w:lineRule="auto"/>
              <w:rPr>
                <w:rFonts w:ascii="Arial"/>
                <w:sz w:val="21"/>
              </w:rPr>
            </w:pPr>
          </w:p>
          <w:p w14:paraId="221B62A4">
            <w:pPr>
              <w:spacing w:line="264" w:lineRule="auto"/>
              <w:rPr>
                <w:rFonts w:ascii="Arial"/>
                <w:sz w:val="21"/>
              </w:rPr>
            </w:pPr>
          </w:p>
          <w:p w14:paraId="17508F87">
            <w:pPr>
              <w:spacing w:line="264" w:lineRule="auto"/>
              <w:rPr>
                <w:rFonts w:ascii="Arial"/>
                <w:sz w:val="21"/>
              </w:rPr>
            </w:pPr>
          </w:p>
          <w:p w14:paraId="3267CCF5">
            <w:pPr>
              <w:spacing w:line="265" w:lineRule="auto"/>
              <w:rPr>
                <w:rFonts w:ascii="Arial"/>
                <w:sz w:val="21"/>
              </w:rPr>
            </w:pPr>
          </w:p>
          <w:p w14:paraId="6148382D">
            <w:pPr>
              <w:spacing w:before="75" w:line="188" w:lineRule="auto"/>
              <w:ind w:left="292"/>
              <w:rPr>
                <w:rFonts w:ascii="宋体" w:hAnsi="宋体" w:eastAsia="宋体" w:cs="宋体"/>
                <w:sz w:val="23"/>
                <w:szCs w:val="23"/>
              </w:rPr>
            </w:pPr>
            <w:r>
              <w:rPr>
                <w:rFonts w:ascii="宋体" w:hAnsi="宋体" w:eastAsia="宋体" w:cs="宋体"/>
                <w:spacing w:val="-2"/>
                <w:sz w:val="23"/>
                <w:szCs w:val="23"/>
              </w:rPr>
              <w:t>82</w:t>
            </w:r>
          </w:p>
        </w:tc>
      </w:tr>
    </w:tbl>
    <w:p w14:paraId="6D6402DD">
      <w:pPr>
        <w:pStyle w:val="2"/>
      </w:pPr>
    </w:p>
    <w:p w14:paraId="44D16CF0">
      <w:pPr>
        <w:sectPr>
          <w:footerReference r:id="rId134" w:type="default"/>
          <w:pgSz w:w="16839" w:h="11906"/>
          <w:pgMar w:top="1012" w:right="821" w:bottom="667" w:left="901" w:header="0" w:footer="388" w:gutter="0"/>
          <w:cols w:space="720" w:num="1"/>
        </w:sectPr>
      </w:pPr>
    </w:p>
    <w:p w14:paraId="6AF50B8A">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BFD5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3057E3A2">
            <w:pPr>
              <w:spacing w:before="222" w:line="241" w:lineRule="auto"/>
              <w:ind w:left="131"/>
              <w:rPr>
                <w:rFonts w:ascii="黑体" w:hAnsi="黑体" w:eastAsia="黑体" w:cs="黑体"/>
                <w:sz w:val="28"/>
                <w:szCs w:val="28"/>
              </w:rPr>
            </w:pPr>
            <w:bookmarkStart w:id="538" w:name="bookmark540"/>
            <w:bookmarkEnd w:id="538"/>
            <w:r>
              <w:rPr>
                <w:rFonts w:ascii="黑体" w:hAnsi="黑体" w:eastAsia="黑体" w:cs="黑体"/>
                <w:spacing w:val="-2"/>
                <w:sz w:val="28"/>
                <w:szCs w:val="28"/>
              </w:rPr>
              <w:t>序号</w:t>
            </w:r>
          </w:p>
        </w:tc>
        <w:tc>
          <w:tcPr>
            <w:tcW w:w="1440" w:type="dxa"/>
            <w:vAlign w:val="top"/>
          </w:tcPr>
          <w:p w14:paraId="76B5B87E">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4E38767">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3A678AB">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B9AE3DB">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6B6782A">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51840EB">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7EB3772">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8BD3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5" w:hRule="atLeast"/>
        </w:trPr>
        <w:tc>
          <w:tcPr>
            <w:tcW w:w="818" w:type="dxa"/>
            <w:vMerge w:val="restart"/>
            <w:tcBorders>
              <w:bottom w:val="nil"/>
            </w:tcBorders>
            <w:vAlign w:val="top"/>
          </w:tcPr>
          <w:p w14:paraId="72210303">
            <w:pPr>
              <w:rPr>
                <w:rFonts w:ascii="Arial"/>
                <w:sz w:val="21"/>
              </w:rPr>
            </w:pPr>
          </w:p>
        </w:tc>
        <w:tc>
          <w:tcPr>
            <w:tcW w:w="1440" w:type="dxa"/>
            <w:vMerge w:val="restart"/>
            <w:tcBorders>
              <w:bottom w:val="nil"/>
            </w:tcBorders>
            <w:vAlign w:val="top"/>
          </w:tcPr>
          <w:p w14:paraId="7446187B">
            <w:pPr>
              <w:pStyle w:val="6"/>
              <w:spacing w:before="29" w:line="182" w:lineRule="auto"/>
              <w:ind w:left="117" w:right="111" w:firstLine="28"/>
            </w:pPr>
            <w:r>
              <w:rPr>
                <w:spacing w:val="-25"/>
                <w:w w:val="99"/>
              </w:rPr>
              <w:t>出变更申</w:t>
            </w:r>
            <w:r>
              <w:rPr>
                <w:spacing w:val="3"/>
              </w:rPr>
              <w:t>请，继续从</w:t>
            </w:r>
          </w:p>
          <w:p w14:paraId="31994ABA">
            <w:pPr>
              <w:pStyle w:val="6"/>
              <w:spacing w:line="209" w:lineRule="auto"/>
              <w:ind w:left="120"/>
              <w:outlineLvl w:val="0"/>
            </w:pPr>
            <w:r>
              <w:rPr>
                <w:spacing w:val="4"/>
              </w:rPr>
              <w:t>事生产的</w:t>
            </w:r>
          </w:p>
        </w:tc>
        <w:tc>
          <w:tcPr>
            <w:tcW w:w="3202" w:type="dxa"/>
            <w:vMerge w:val="restart"/>
            <w:tcBorders>
              <w:bottom w:val="nil"/>
            </w:tcBorders>
            <w:vAlign w:val="top"/>
          </w:tcPr>
          <w:p w14:paraId="023F0B42">
            <w:pPr>
              <w:pStyle w:val="6"/>
              <w:spacing w:before="31" w:line="182" w:lineRule="auto"/>
              <w:ind w:left="111" w:right="21" w:hanging="13"/>
            </w:pPr>
            <w:r>
              <w:rPr>
                <w:spacing w:val="14"/>
              </w:rPr>
              <w:t>（二）涉及危险化学品安全</w:t>
            </w:r>
            <w:r>
              <w:rPr>
                <w:spacing w:val="5"/>
              </w:rPr>
              <w:t>使用许可范围的新建、改建、</w:t>
            </w:r>
            <w:r>
              <w:rPr>
                <w:spacing w:val="15"/>
              </w:rPr>
              <w:t>扩建建设项目的</w:t>
            </w:r>
            <w:r>
              <w:rPr>
                <w:spacing w:val="-12"/>
              </w:rPr>
              <w:t>；（</w:t>
            </w:r>
            <w:r>
              <w:rPr>
                <w:spacing w:val="15"/>
              </w:rPr>
              <w:t>三）改</w:t>
            </w:r>
            <w:r>
              <w:rPr>
                <w:spacing w:val="17"/>
              </w:rPr>
              <w:t>变工艺技术对企业的安全生</w:t>
            </w:r>
            <w:r>
              <w:rPr>
                <w:spacing w:val="5"/>
              </w:rPr>
              <w:t>产条件产生重大影响的。</w:t>
            </w:r>
          </w:p>
          <w:p w14:paraId="279C9206">
            <w:pPr>
              <w:pStyle w:val="6"/>
              <w:spacing w:before="2" w:line="182" w:lineRule="auto"/>
              <w:ind w:left="120" w:right="111" w:firstLine="2"/>
            </w:pPr>
            <w:r>
              <w:rPr>
                <w:spacing w:val="16"/>
              </w:rPr>
              <w:t>有本条第一款第一项规定情</w:t>
            </w:r>
            <w:bookmarkStart w:id="539" w:name="bookmark541"/>
            <w:bookmarkEnd w:id="539"/>
            <w:bookmarkStart w:id="540" w:name="bookmark228"/>
            <w:bookmarkEnd w:id="540"/>
            <w:r>
              <w:rPr>
                <w:spacing w:val="13"/>
              </w:rPr>
              <w:t>形的企业，应当在增加前提</w:t>
            </w:r>
            <w:r>
              <w:rPr>
                <w:spacing w:val="1"/>
              </w:rPr>
              <w:t>出变更申请。</w:t>
            </w:r>
          </w:p>
          <w:p w14:paraId="0ECC7BF4">
            <w:pPr>
              <w:pStyle w:val="6"/>
              <w:spacing w:before="5" w:line="182" w:lineRule="auto"/>
              <w:ind w:left="116" w:right="111" w:firstLine="6"/>
              <w:jc w:val="both"/>
            </w:pPr>
            <w:r>
              <w:rPr>
                <w:spacing w:val="16"/>
              </w:rPr>
              <w:t>有本条第一款第二项规定情</w:t>
            </w:r>
            <w:r>
              <w:rPr>
                <w:spacing w:val="13"/>
              </w:rPr>
              <w:t>形的企业，应当在建设项目</w:t>
            </w:r>
            <w:r>
              <w:rPr>
                <w:spacing w:val="17"/>
              </w:rPr>
              <w:t>安全设施竣工验收合格之日</w:t>
            </w:r>
            <w:r>
              <w:rPr>
                <w:spacing w:val="5"/>
              </w:rPr>
              <w:t>起</w:t>
            </w:r>
            <w:r>
              <w:rPr>
                <w:rFonts w:ascii="宋体" w:hAnsi="宋体" w:eastAsia="宋体" w:cs="宋体"/>
                <w:spacing w:val="5"/>
              </w:rPr>
              <w:t>10</w:t>
            </w:r>
            <w:r>
              <w:rPr>
                <w:spacing w:val="5"/>
              </w:rPr>
              <w:t>个工作日内向原发证机</w:t>
            </w:r>
            <w:r>
              <w:rPr>
                <w:spacing w:val="13"/>
              </w:rPr>
              <w:t>关提出变更申请，并提交建</w:t>
            </w:r>
            <w:r>
              <w:rPr>
                <w:spacing w:val="17"/>
              </w:rPr>
              <w:t>设项目安全设施竣工验收报</w:t>
            </w:r>
            <w:r>
              <w:rPr>
                <w:spacing w:val="4"/>
              </w:rPr>
              <w:t>告等相关文件、资料。</w:t>
            </w:r>
          </w:p>
          <w:p w14:paraId="44F1C0B2">
            <w:pPr>
              <w:pStyle w:val="6"/>
              <w:spacing w:before="2" w:line="179" w:lineRule="auto"/>
              <w:ind w:left="114" w:right="111" w:firstLine="8"/>
            </w:pPr>
            <w:r>
              <w:rPr>
                <w:spacing w:val="16"/>
              </w:rPr>
              <w:t>有本条第一款第一项、第三</w:t>
            </w:r>
            <w:r>
              <w:rPr>
                <w:spacing w:val="13"/>
              </w:rPr>
              <w:t>项规定情形的企业，应当进行专项安全验收评价，并对</w:t>
            </w:r>
            <w:r>
              <w:rPr>
                <w:spacing w:val="17"/>
              </w:rPr>
              <w:t>安全评价报告中提出的问题</w:t>
            </w:r>
            <w:r>
              <w:rPr>
                <w:spacing w:val="9"/>
              </w:rPr>
              <w:t>进行整改；在整改完成后，</w:t>
            </w:r>
            <w:r>
              <w:rPr>
                <w:spacing w:val="17"/>
              </w:rPr>
              <w:t>向原发证机关提出变更申请</w:t>
            </w:r>
            <w:r>
              <w:rPr>
                <w:spacing w:val="5"/>
              </w:rPr>
              <w:t>并提交安全验收评价报告。</w:t>
            </w:r>
          </w:p>
        </w:tc>
        <w:tc>
          <w:tcPr>
            <w:tcW w:w="2859" w:type="dxa"/>
            <w:vMerge w:val="restart"/>
            <w:tcBorders>
              <w:bottom w:val="nil"/>
            </w:tcBorders>
            <w:vAlign w:val="top"/>
          </w:tcPr>
          <w:p w14:paraId="5E1FFC27">
            <w:pPr>
              <w:pStyle w:val="6"/>
              <w:spacing w:before="23" w:line="186" w:lineRule="auto"/>
              <w:ind w:left="114" w:firstLine="2"/>
              <w:jc w:val="both"/>
            </w:pPr>
            <w:r>
              <w:rPr>
                <w:spacing w:val="7"/>
              </w:rPr>
              <w:t>危险化学品使用量的数量标准规定的</w:t>
            </w:r>
            <w:r>
              <w:rPr>
                <w:spacing w:val="9"/>
              </w:rPr>
              <w:t>；（</w:t>
            </w:r>
            <w:r>
              <w:rPr>
                <w:spacing w:val="7"/>
              </w:rPr>
              <w:t>二）涉及危险化学品安全使用许可范围的新建、改建、扩建建设项目，其安全设施已</w:t>
            </w:r>
            <w:r>
              <w:rPr>
                <w:spacing w:val="-4"/>
              </w:rPr>
              <w:t>经竣工验收合格的</w:t>
            </w:r>
            <w:r>
              <w:rPr>
                <w:spacing w:val="9"/>
              </w:rPr>
              <w:t>；（</w:t>
            </w:r>
            <w:r>
              <w:rPr>
                <w:spacing w:val="-4"/>
              </w:rPr>
              <w:t>三）</w:t>
            </w:r>
            <w:r>
              <w:rPr>
                <w:spacing w:val="7"/>
              </w:rPr>
              <w:t>改变工艺技术对企业的安全生产条件产生重大影响</w:t>
            </w:r>
            <w:r>
              <w:rPr>
                <w:spacing w:val="-7"/>
              </w:rPr>
              <w:t>的。</w:t>
            </w:r>
          </w:p>
        </w:tc>
        <w:tc>
          <w:tcPr>
            <w:tcW w:w="803" w:type="dxa"/>
            <w:vAlign w:val="top"/>
          </w:tcPr>
          <w:p w14:paraId="3B0DC7CE">
            <w:pPr>
              <w:spacing w:line="277" w:lineRule="auto"/>
              <w:rPr>
                <w:rFonts w:ascii="Arial"/>
                <w:sz w:val="21"/>
              </w:rPr>
            </w:pPr>
          </w:p>
          <w:p w14:paraId="6A399B17">
            <w:pPr>
              <w:spacing w:line="277" w:lineRule="auto"/>
              <w:rPr>
                <w:rFonts w:ascii="Arial"/>
                <w:sz w:val="21"/>
              </w:rPr>
            </w:pPr>
          </w:p>
          <w:p w14:paraId="64C2BD7E">
            <w:pPr>
              <w:spacing w:line="277" w:lineRule="auto"/>
              <w:rPr>
                <w:rFonts w:ascii="Arial"/>
                <w:sz w:val="21"/>
              </w:rPr>
            </w:pPr>
          </w:p>
          <w:p w14:paraId="241F441C">
            <w:pPr>
              <w:spacing w:line="277" w:lineRule="auto"/>
              <w:rPr>
                <w:rFonts w:ascii="Arial"/>
                <w:sz w:val="21"/>
              </w:rPr>
            </w:pPr>
          </w:p>
          <w:p w14:paraId="7165C3A8">
            <w:pPr>
              <w:spacing w:line="278" w:lineRule="auto"/>
              <w:rPr>
                <w:rFonts w:ascii="Arial"/>
                <w:sz w:val="21"/>
              </w:rPr>
            </w:pPr>
          </w:p>
          <w:p w14:paraId="4D84417F">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C3A5E03">
            <w:pPr>
              <w:spacing w:line="292" w:lineRule="auto"/>
              <w:rPr>
                <w:rFonts w:ascii="Arial"/>
                <w:sz w:val="21"/>
              </w:rPr>
            </w:pPr>
          </w:p>
          <w:p w14:paraId="6C520B21">
            <w:pPr>
              <w:spacing w:line="292" w:lineRule="auto"/>
              <w:rPr>
                <w:rFonts w:ascii="Arial"/>
                <w:sz w:val="21"/>
              </w:rPr>
            </w:pPr>
          </w:p>
          <w:p w14:paraId="202AA0FB">
            <w:pPr>
              <w:spacing w:line="292" w:lineRule="auto"/>
              <w:rPr>
                <w:rFonts w:ascii="Arial"/>
                <w:sz w:val="21"/>
              </w:rPr>
            </w:pPr>
          </w:p>
          <w:p w14:paraId="5771EFEB">
            <w:pPr>
              <w:spacing w:line="293" w:lineRule="auto"/>
              <w:rPr>
                <w:rFonts w:ascii="Arial"/>
                <w:sz w:val="21"/>
              </w:rPr>
            </w:pPr>
          </w:p>
          <w:p w14:paraId="773E819C">
            <w:pPr>
              <w:pStyle w:val="6"/>
              <w:spacing w:before="98" w:line="196" w:lineRule="auto"/>
              <w:ind w:left="145" w:right="105" w:hanging="28"/>
            </w:pPr>
            <w:r>
              <w:rPr>
                <w:spacing w:val="-2"/>
              </w:rPr>
              <w:t>超出规定时限</w:t>
            </w:r>
            <w:r>
              <w:rPr>
                <w:rFonts w:ascii="宋体" w:hAnsi="宋体" w:eastAsia="宋体" w:cs="宋体"/>
                <w:spacing w:val="-2"/>
              </w:rPr>
              <w:t>10</w:t>
            </w:r>
            <w:r>
              <w:rPr>
                <w:spacing w:val="-2"/>
              </w:rPr>
              <w:t>日</w:t>
            </w:r>
            <w:r>
              <w:rPr>
                <w:spacing w:val="-5"/>
              </w:rPr>
              <w:t>以上</w:t>
            </w:r>
            <w:r>
              <w:rPr>
                <w:rFonts w:ascii="宋体" w:hAnsi="宋体" w:eastAsia="宋体" w:cs="宋体"/>
                <w:spacing w:val="-5"/>
              </w:rPr>
              <w:t>20</w:t>
            </w:r>
            <w:r>
              <w:rPr>
                <w:spacing w:val="-5"/>
              </w:rPr>
              <w:t>日以内的</w:t>
            </w:r>
          </w:p>
        </w:tc>
        <w:tc>
          <w:tcPr>
            <w:tcW w:w="2894" w:type="dxa"/>
            <w:vAlign w:val="top"/>
          </w:tcPr>
          <w:p w14:paraId="31B94386">
            <w:pPr>
              <w:spacing w:line="292" w:lineRule="auto"/>
              <w:rPr>
                <w:rFonts w:ascii="Arial"/>
                <w:sz w:val="21"/>
              </w:rPr>
            </w:pPr>
          </w:p>
          <w:p w14:paraId="56B483CC">
            <w:pPr>
              <w:spacing w:line="292" w:lineRule="auto"/>
              <w:rPr>
                <w:rFonts w:ascii="Arial"/>
                <w:sz w:val="21"/>
              </w:rPr>
            </w:pPr>
          </w:p>
          <w:p w14:paraId="3F13F4CF">
            <w:pPr>
              <w:spacing w:line="292" w:lineRule="auto"/>
              <w:rPr>
                <w:rFonts w:ascii="Arial"/>
                <w:sz w:val="21"/>
              </w:rPr>
            </w:pPr>
          </w:p>
          <w:p w14:paraId="27F5EFCC">
            <w:pPr>
              <w:spacing w:line="293" w:lineRule="auto"/>
              <w:rPr>
                <w:rFonts w:ascii="Arial"/>
                <w:sz w:val="21"/>
              </w:rPr>
            </w:pPr>
          </w:p>
          <w:p w14:paraId="33E5E92A">
            <w:pPr>
              <w:pStyle w:val="6"/>
              <w:spacing w:before="98" w:line="196" w:lineRule="auto"/>
              <w:ind w:left="124" w:right="104" w:firstLine="2"/>
            </w:pPr>
            <w:r>
              <w:rPr>
                <w:spacing w:val="1"/>
              </w:rPr>
              <w:t>责令限期改正，处</w:t>
            </w:r>
            <w:r>
              <w:rPr>
                <w:rFonts w:ascii="宋体" w:hAnsi="宋体" w:eastAsia="宋体" w:cs="宋体"/>
                <w:spacing w:val="1"/>
              </w:rPr>
              <w:t>1.5</w:t>
            </w:r>
            <w:r>
              <w:rPr>
                <w:spacing w:val="1"/>
              </w:rPr>
              <w:t>万</w:t>
            </w:r>
            <w:r>
              <w:rPr>
                <w:spacing w:val="4"/>
              </w:rPr>
              <w:t>元以上</w:t>
            </w:r>
            <w:r>
              <w:rPr>
                <w:rFonts w:ascii="宋体" w:hAnsi="宋体" w:eastAsia="宋体" w:cs="宋体"/>
                <w:spacing w:val="4"/>
              </w:rPr>
              <w:t>2</w:t>
            </w:r>
            <w:r>
              <w:rPr>
                <w:spacing w:val="4"/>
              </w:rPr>
              <w:t>万元以下的罚款</w:t>
            </w:r>
          </w:p>
        </w:tc>
        <w:tc>
          <w:tcPr>
            <w:tcW w:w="811" w:type="dxa"/>
            <w:vMerge w:val="restart"/>
            <w:tcBorders>
              <w:bottom w:val="nil"/>
            </w:tcBorders>
            <w:vAlign w:val="top"/>
          </w:tcPr>
          <w:p w14:paraId="4C4F9DA6">
            <w:pPr>
              <w:rPr>
                <w:rFonts w:ascii="Arial"/>
                <w:sz w:val="21"/>
              </w:rPr>
            </w:pPr>
          </w:p>
        </w:tc>
      </w:tr>
      <w:tr w14:paraId="72F58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1" w:hRule="atLeast"/>
        </w:trPr>
        <w:tc>
          <w:tcPr>
            <w:tcW w:w="818" w:type="dxa"/>
            <w:vMerge w:val="continue"/>
            <w:tcBorders>
              <w:top w:val="nil"/>
            </w:tcBorders>
            <w:vAlign w:val="top"/>
          </w:tcPr>
          <w:p w14:paraId="75F25004">
            <w:pPr>
              <w:rPr>
                <w:rFonts w:ascii="Arial"/>
                <w:sz w:val="21"/>
              </w:rPr>
            </w:pPr>
          </w:p>
        </w:tc>
        <w:tc>
          <w:tcPr>
            <w:tcW w:w="1440" w:type="dxa"/>
            <w:vMerge w:val="continue"/>
            <w:tcBorders>
              <w:top w:val="nil"/>
            </w:tcBorders>
            <w:vAlign w:val="top"/>
          </w:tcPr>
          <w:p w14:paraId="69CBA15B">
            <w:pPr>
              <w:rPr>
                <w:rFonts w:ascii="Arial"/>
                <w:sz w:val="21"/>
              </w:rPr>
            </w:pPr>
          </w:p>
        </w:tc>
        <w:tc>
          <w:tcPr>
            <w:tcW w:w="3202" w:type="dxa"/>
            <w:vMerge w:val="continue"/>
            <w:tcBorders>
              <w:top w:val="nil"/>
            </w:tcBorders>
            <w:vAlign w:val="top"/>
          </w:tcPr>
          <w:p w14:paraId="4BA746B7">
            <w:pPr>
              <w:rPr>
                <w:rFonts w:ascii="Arial"/>
                <w:sz w:val="21"/>
              </w:rPr>
            </w:pPr>
          </w:p>
        </w:tc>
        <w:tc>
          <w:tcPr>
            <w:tcW w:w="2859" w:type="dxa"/>
            <w:vMerge w:val="continue"/>
            <w:tcBorders>
              <w:top w:val="nil"/>
            </w:tcBorders>
            <w:vAlign w:val="top"/>
          </w:tcPr>
          <w:p w14:paraId="416B93BA">
            <w:pPr>
              <w:rPr>
                <w:rFonts w:ascii="Arial"/>
                <w:sz w:val="21"/>
              </w:rPr>
            </w:pPr>
          </w:p>
        </w:tc>
        <w:tc>
          <w:tcPr>
            <w:tcW w:w="803" w:type="dxa"/>
            <w:vAlign w:val="top"/>
          </w:tcPr>
          <w:p w14:paraId="3F8F7095">
            <w:pPr>
              <w:spacing w:line="265" w:lineRule="auto"/>
              <w:rPr>
                <w:rFonts w:ascii="Arial"/>
                <w:sz w:val="21"/>
              </w:rPr>
            </w:pPr>
          </w:p>
          <w:p w14:paraId="11DE3FF3">
            <w:pPr>
              <w:spacing w:line="265" w:lineRule="auto"/>
              <w:rPr>
                <w:rFonts w:ascii="Arial"/>
                <w:sz w:val="21"/>
              </w:rPr>
            </w:pPr>
          </w:p>
          <w:p w14:paraId="0761A174">
            <w:pPr>
              <w:spacing w:line="265" w:lineRule="auto"/>
              <w:rPr>
                <w:rFonts w:ascii="Arial"/>
                <w:sz w:val="21"/>
              </w:rPr>
            </w:pPr>
          </w:p>
          <w:p w14:paraId="795F2F9A">
            <w:pPr>
              <w:spacing w:line="265" w:lineRule="auto"/>
              <w:rPr>
                <w:rFonts w:ascii="Arial"/>
                <w:sz w:val="21"/>
              </w:rPr>
            </w:pPr>
          </w:p>
          <w:p w14:paraId="7136DD35">
            <w:pPr>
              <w:spacing w:line="265" w:lineRule="auto"/>
              <w:rPr>
                <w:rFonts w:ascii="Arial"/>
                <w:sz w:val="21"/>
              </w:rPr>
            </w:pPr>
          </w:p>
          <w:p w14:paraId="37F00B8B">
            <w:pPr>
              <w:spacing w:line="266" w:lineRule="auto"/>
              <w:rPr>
                <w:rFonts w:ascii="Arial"/>
                <w:sz w:val="21"/>
              </w:rPr>
            </w:pPr>
          </w:p>
          <w:p w14:paraId="50331F19">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2A4BB963">
            <w:pPr>
              <w:spacing w:line="274" w:lineRule="auto"/>
              <w:rPr>
                <w:rFonts w:ascii="Arial"/>
                <w:sz w:val="21"/>
              </w:rPr>
            </w:pPr>
          </w:p>
          <w:p w14:paraId="5297A5D1">
            <w:pPr>
              <w:spacing w:line="274" w:lineRule="auto"/>
              <w:rPr>
                <w:rFonts w:ascii="Arial"/>
                <w:sz w:val="21"/>
              </w:rPr>
            </w:pPr>
          </w:p>
          <w:p w14:paraId="5553F6DF">
            <w:pPr>
              <w:spacing w:line="274" w:lineRule="auto"/>
              <w:rPr>
                <w:rFonts w:ascii="Arial"/>
                <w:sz w:val="21"/>
              </w:rPr>
            </w:pPr>
          </w:p>
          <w:p w14:paraId="0E3DB06C">
            <w:pPr>
              <w:spacing w:line="275" w:lineRule="auto"/>
              <w:rPr>
                <w:rFonts w:ascii="Arial"/>
                <w:sz w:val="21"/>
              </w:rPr>
            </w:pPr>
          </w:p>
          <w:p w14:paraId="0518178D">
            <w:pPr>
              <w:spacing w:line="275" w:lineRule="auto"/>
              <w:rPr>
                <w:rFonts w:ascii="Arial"/>
                <w:sz w:val="21"/>
              </w:rPr>
            </w:pPr>
          </w:p>
          <w:p w14:paraId="53386A25">
            <w:pPr>
              <w:pStyle w:val="6"/>
              <w:spacing w:before="99" w:line="196" w:lineRule="auto"/>
              <w:ind w:left="145" w:right="105" w:hanging="28"/>
            </w:pPr>
            <w:r>
              <w:rPr>
                <w:spacing w:val="1"/>
              </w:rPr>
              <w:t>超出规定时限</w:t>
            </w:r>
            <w:r>
              <w:rPr>
                <w:rFonts w:ascii="宋体" w:hAnsi="宋体" w:eastAsia="宋体" w:cs="宋体"/>
                <w:spacing w:val="1"/>
              </w:rPr>
              <w:t>20</w:t>
            </w:r>
            <w:r>
              <w:rPr>
                <w:spacing w:val="1"/>
              </w:rPr>
              <w:t>日</w:t>
            </w:r>
            <w:r>
              <w:rPr>
                <w:spacing w:val="-3"/>
              </w:rPr>
              <w:t>以上的</w:t>
            </w:r>
          </w:p>
        </w:tc>
        <w:tc>
          <w:tcPr>
            <w:tcW w:w="2894" w:type="dxa"/>
            <w:vAlign w:val="top"/>
          </w:tcPr>
          <w:p w14:paraId="54A4C242">
            <w:pPr>
              <w:spacing w:line="274" w:lineRule="auto"/>
              <w:rPr>
                <w:rFonts w:ascii="Arial"/>
                <w:sz w:val="21"/>
              </w:rPr>
            </w:pPr>
          </w:p>
          <w:p w14:paraId="04EB06D9">
            <w:pPr>
              <w:spacing w:line="274" w:lineRule="auto"/>
              <w:rPr>
                <w:rFonts w:ascii="Arial"/>
                <w:sz w:val="21"/>
              </w:rPr>
            </w:pPr>
          </w:p>
          <w:p w14:paraId="2F3932F4">
            <w:pPr>
              <w:spacing w:line="274" w:lineRule="auto"/>
              <w:rPr>
                <w:rFonts w:ascii="Arial"/>
                <w:sz w:val="21"/>
              </w:rPr>
            </w:pPr>
          </w:p>
          <w:p w14:paraId="7D271119">
            <w:pPr>
              <w:spacing w:line="275" w:lineRule="auto"/>
              <w:rPr>
                <w:rFonts w:ascii="Arial"/>
                <w:sz w:val="21"/>
              </w:rPr>
            </w:pPr>
          </w:p>
          <w:p w14:paraId="3255C3F4">
            <w:pPr>
              <w:spacing w:line="275" w:lineRule="auto"/>
              <w:rPr>
                <w:rFonts w:ascii="Arial"/>
                <w:sz w:val="21"/>
              </w:rPr>
            </w:pPr>
          </w:p>
          <w:p w14:paraId="6E8EB256">
            <w:pPr>
              <w:pStyle w:val="6"/>
              <w:spacing w:before="99" w:line="196" w:lineRule="auto"/>
              <w:ind w:left="146" w:right="103" w:hanging="19"/>
            </w:pPr>
            <w:r>
              <w:rPr>
                <w:spacing w:val="4"/>
              </w:rPr>
              <w:t>责令限期改正，处</w:t>
            </w:r>
            <w:r>
              <w:rPr>
                <w:rFonts w:ascii="宋体" w:hAnsi="宋体" w:eastAsia="宋体" w:cs="宋体"/>
                <w:spacing w:val="4"/>
              </w:rPr>
              <w:t>2</w:t>
            </w:r>
            <w:r>
              <w:rPr>
                <w:spacing w:val="4"/>
              </w:rPr>
              <w:t>万元</w:t>
            </w:r>
            <w:r>
              <w:rPr>
                <w:spacing w:val="1"/>
              </w:rPr>
              <w:t>以上</w:t>
            </w:r>
            <w:r>
              <w:rPr>
                <w:rFonts w:ascii="宋体" w:hAnsi="宋体" w:eastAsia="宋体" w:cs="宋体"/>
                <w:spacing w:val="1"/>
              </w:rPr>
              <w:t>3</w:t>
            </w:r>
            <w:r>
              <w:rPr>
                <w:spacing w:val="1"/>
              </w:rPr>
              <w:t>万元以下的罚款</w:t>
            </w:r>
          </w:p>
        </w:tc>
        <w:tc>
          <w:tcPr>
            <w:tcW w:w="811" w:type="dxa"/>
            <w:vMerge w:val="continue"/>
            <w:tcBorders>
              <w:top w:val="nil"/>
            </w:tcBorders>
            <w:vAlign w:val="top"/>
          </w:tcPr>
          <w:p w14:paraId="40A4129A">
            <w:pPr>
              <w:rPr>
                <w:rFonts w:ascii="Arial"/>
                <w:sz w:val="21"/>
              </w:rPr>
            </w:pPr>
          </w:p>
        </w:tc>
      </w:tr>
      <w:tr w14:paraId="3AE50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7" w:hRule="atLeast"/>
        </w:trPr>
        <w:tc>
          <w:tcPr>
            <w:tcW w:w="818" w:type="dxa"/>
            <w:vAlign w:val="top"/>
          </w:tcPr>
          <w:p w14:paraId="423DE4ED">
            <w:pPr>
              <w:spacing w:line="260" w:lineRule="auto"/>
              <w:rPr>
                <w:rFonts w:ascii="Arial"/>
                <w:sz w:val="21"/>
              </w:rPr>
            </w:pPr>
          </w:p>
          <w:p w14:paraId="2A3A2122">
            <w:pPr>
              <w:spacing w:line="261" w:lineRule="auto"/>
              <w:rPr>
                <w:rFonts w:ascii="Arial"/>
                <w:sz w:val="21"/>
              </w:rPr>
            </w:pPr>
          </w:p>
          <w:p w14:paraId="5FCD30DA">
            <w:pPr>
              <w:spacing w:line="261" w:lineRule="auto"/>
              <w:rPr>
                <w:rFonts w:ascii="Arial"/>
                <w:sz w:val="21"/>
              </w:rPr>
            </w:pPr>
          </w:p>
          <w:p w14:paraId="4A049EED">
            <w:pPr>
              <w:spacing w:line="261" w:lineRule="auto"/>
              <w:rPr>
                <w:rFonts w:ascii="Arial"/>
                <w:sz w:val="21"/>
              </w:rPr>
            </w:pPr>
          </w:p>
          <w:p w14:paraId="2F2F62EB">
            <w:pPr>
              <w:spacing w:before="74" w:line="186" w:lineRule="auto"/>
              <w:ind w:left="161"/>
              <w:rPr>
                <w:rFonts w:ascii="仿宋" w:hAnsi="仿宋" w:eastAsia="仿宋" w:cs="仿宋"/>
                <w:sz w:val="23"/>
                <w:szCs w:val="23"/>
              </w:rPr>
            </w:pPr>
            <w:r>
              <w:rPr>
                <w:rFonts w:ascii="仿宋" w:hAnsi="仿宋" w:eastAsia="仿宋" w:cs="仿宋"/>
                <w:spacing w:val="-5"/>
                <w:sz w:val="23"/>
                <w:szCs w:val="23"/>
              </w:rPr>
              <w:t>111</w:t>
            </w:r>
          </w:p>
        </w:tc>
        <w:tc>
          <w:tcPr>
            <w:tcW w:w="1440" w:type="dxa"/>
            <w:vAlign w:val="top"/>
          </w:tcPr>
          <w:p w14:paraId="394675CF">
            <w:pPr>
              <w:pStyle w:val="6"/>
              <w:spacing w:before="180" w:line="186" w:lineRule="auto"/>
              <w:ind w:left="114" w:right="17" w:firstLine="1"/>
            </w:pPr>
            <w:r>
              <w:rPr>
                <w:spacing w:val="11"/>
              </w:rPr>
              <w:t>未经安全条件审查或者安全条件审</w:t>
            </w:r>
            <w:r>
              <w:rPr>
                <w:spacing w:val="2"/>
              </w:rPr>
              <w:t>查未通过，</w:t>
            </w:r>
            <w:r>
              <w:rPr>
                <w:spacing w:val="-13"/>
              </w:rPr>
              <w:t>新建、改建、</w:t>
            </w:r>
            <w:r>
              <w:rPr>
                <w:spacing w:val="6"/>
              </w:rPr>
              <w:t>扩建生产、</w:t>
            </w:r>
            <w:r>
              <w:rPr>
                <w:spacing w:val="11"/>
              </w:rPr>
              <w:t>储存危险化</w:t>
            </w:r>
          </w:p>
        </w:tc>
        <w:tc>
          <w:tcPr>
            <w:tcW w:w="3202" w:type="dxa"/>
            <w:vAlign w:val="top"/>
          </w:tcPr>
          <w:p w14:paraId="12B97BE6">
            <w:pPr>
              <w:pStyle w:val="6"/>
              <w:spacing w:before="37" w:line="186" w:lineRule="auto"/>
              <w:ind w:left="116" w:right="110" w:firstLine="14"/>
              <w:jc w:val="both"/>
            </w:pPr>
            <w:r>
              <w:rPr>
                <w:rFonts w:ascii="宋体" w:hAnsi="宋体" w:eastAsia="宋体" w:cs="宋体"/>
                <w:spacing w:val="14"/>
              </w:rPr>
              <w:t>1.</w:t>
            </w:r>
            <w:r>
              <w:rPr>
                <w:spacing w:val="14"/>
              </w:rPr>
              <w:t>【行政法规】《危险化学</w:t>
            </w:r>
            <w:r>
              <w:rPr>
                <w:spacing w:val="17"/>
              </w:rPr>
              <w:t>品安全管理条例》第十二条</w:t>
            </w:r>
            <w:r>
              <w:rPr>
                <w:spacing w:val="13"/>
              </w:rPr>
              <w:t>第一款：新建、改建、扩建</w:t>
            </w:r>
            <w:r>
              <w:rPr>
                <w:spacing w:val="17"/>
              </w:rPr>
              <w:t>生产、储存危险化学品的建</w:t>
            </w:r>
            <w:r>
              <w:rPr>
                <w:spacing w:val="39"/>
              </w:rPr>
              <w:t>设项目（以下简称建设项</w:t>
            </w:r>
            <w:r>
              <w:rPr>
                <w:spacing w:val="14"/>
              </w:rPr>
              <w:t>目</w:t>
            </w:r>
            <w:r>
              <w:rPr>
                <w:spacing w:val="-17"/>
              </w:rPr>
              <w:t>），</w:t>
            </w:r>
            <w:r>
              <w:rPr>
                <w:spacing w:val="14"/>
              </w:rPr>
              <w:t>应当由安全生产监督</w:t>
            </w:r>
            <w:r>
              <w:rPr>
                <w:spacing w:val="39"/>
              </w:rPr>
              <w:t>管理部门进行安全条件审</w:t>
            </w:r>
          </w:p>
        </w:tc>
        <w:tc>
          <w:tcPr>
            <w:tcW w:w="2859" w:type="dxa"/>
            <w:vAlign w:val="top"/>
          </w:tcPr>
          <w:p w14:paraId="3DD3DBAD">
            <w:pPr>
              <w:pStyle w:val="6"/>
              <w:spacing w:before="35" w:line="186" w:lineRule="auto"/>
              <w:ind w:left="118" w:right="110" w:firstLine="12"/>
            </w:pPr>
            <w:r>
              <w:rPr>
                <w:rFonts w:ascii="宋体" w:hAnsi="宋体" w:eastAsia="宋体" w:cs="宋体"/>
                <w:spacing w:val="6"/>
              </w:rPr>
              <w:t>1.</w:t>
            </w:r>
            <w:r>
              <w:rPr>
                <w:spacing w:val="6"/>
              </w:rPr>
              <w:t>【行政法规】《危险化</w:t>
            </w:r>
            <w:r>
              <w:rPr>
                <w:spacing w:val="8"/>
              </w:rPr>
              <w:t>学品安全管理条例》第七十六条第一款：未经安全</w:t>
            </w:r>
            <w:r>
              <w:rPr>
                <w:spacing w:val="6"/>
              </w:rPr>
              <w:t>条件审查，新建、改建、</w:t>
            </w:r>
            <w:r>
              <w:rPr>
                <w:spacing w:val="8"/>
              </w:rPr>
              <w:t>扩建生产、储存危险化学品的建设项目的，由安全生产监督管理部门责令停</w:t>
            </w:r>
          </w:p>
        </w:tc>
        <w:tc>
          <w:tcPr>
            <w:tcW w:w="803" w:type="dxa"/>
            <w:vAlign w:val="top"/>
          </w:tcPr>
          <w:p w14:paraId="4A4CD4CD">
            <w:pPr>
              <w:spacing w:line="259" w:lineRule="auto"/>
              <w:rPr>
                <w:rFonts w:ascii="Arial"/>
                <w:sz w:val="21"/>
              </w:rPr>
            </w:pPr>
          </w:p>
          <w:p w14:paraId="13BED317">
            <w:pPr>
              <w:spacing w:line="259" w:lineRule="auto"/>
              <w:rPr>
                <w:rFonts w:ascii="Arial"/>
                <w:sz w:val="21"/>
              </w:rPr>
            </w:pPr>
          </w:p>
          <w:p w14:paraId="2C920B46">
            <w:pPr>
              <w:spacing w:line="259" w:lineRule="auto"/>
              <w:rPr>
                <w:rFonts w:ascii="Arial"/>
                <w:sz w:val="21"/>
              </w:rPr>
            </w:pPr>
          </w:p>
          <w:p w14:paraId="1108E60F">
            <w:pPr>
              <w:spacing w:line="260" w:lineRule="auto"/>
              <w:rPr>
                <w:rFonts w:ascii="Arial"/>
                <w:sz w:val="21"/>
              </w:rPr>
            </w:pPr>
          </w:p>
          <w:p w14:paraId="2F12FCCC">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9BAC779">
            <w:pPr>
              <w:spacing w:line="274" w:lineRule="auto"/>
              <w:rPr>
                <w:rFonts w:ascii="Arial"/>
                <w:sz w:val="21"/>
              </w:rPr>
            </w:pPr>
          </w:p>
          <w:p w14:paraId="116187D1">
            <w:pPr>
              <w:spacing w:line="274" w:lineRule="auto"/>
              <w:rPr>
                <w:rFonts w:ascii="Arial"/>
                <w:sz w:val="21"/>
              </w:rPr>
            </w:pPr>
          </w:p>
          <w:p w14:paraId="45D0C28B">
            <w:pPr>
              <w:spacing w:line="275" w:lineRule="auto"/>
              <w:rPr>
                <w:rFonts w:ascii="Arial"/>
                <w:sz w:val="21"/>
              </w:rPr>
            </w:pPr>
          </w:p>
          <w:p w14:paraId="6BDCCB0E">
            <w:pPr>
              <w:pStyle w:val="6"/>
              <w:spacing w:before="99" w:line="182" w:lineRule="auto"/>
              <w:ind w:left="117"/>
            </w:pPr>
            <w:r>
              <w:rPr>
                <w:spacing w:val="-9"/>
              </w:rPr>
              <w:t>建设项目投资额</w:t>
            </w:r>
          </w:p>
          <w:p w14:paraId="59C9FA51">
            <w:pPr>
              <w:pStyle w:val="6"/>
              <w:spacing w:before="1" w:line="208" w:lineRule="auto"/>
              <w:ind w:left="131"/>
            </w:pPr>
            <w:r>
              <w:rPr>
                <w:rFonts w:ascii="宋体" w:hAnsi="宋体" w:eastAsia="宋体" w:cs="宋体"/>
                <w:spacing w:val="1"/>
              </w:rPr>
              <w:t>1000</w:t>
            </w:r>
            <w:r>
              <w:rPr>
                <w:spacing w:val="1"/>
              </w:rPr>
              <w:t>万元以下的</w:t>
            </w:r>
          </w:p>
        </w:tc>
        <w:tc>
          <w:tcPr>
            <w:tcW w:w="2894" w:type="dxa"/>
            <w:vAlign w:val="top"/>
          </w:tcPr>
          <w:p w14:paraId="3D67DCD1">
            <w:pPr>
              <w:spacing w:line="338" w:lineRule="auto"/>
              <w:rPr>
                <w:rFonts w:ascii="Arial"/>
                <w:sz w:val="21"/>
              </w:rPr>
            </w:pPr>
          </w:p>
          <w:p w14:paraId="5A167A30">
            <w:pPr>
              <w:spacing w:line="338" w:lineRule="auto"/>
              <w:rPr>
                <w:rFonts w:ascii="Arial"/>
                <w:sz w:val="21"/>
              </w:rPr>
            </w:pPr>
          </w:p>
          <w:p w14:paraId="0332CA4D">
            <w:pPr>
              <w:pStyle w:val="6"/>
              <w:spacing w:before="99" w:line="191" w:lineRule="auto"/>
              <w:ind w:left="117" w:right="34" w:firstLine="10"/>
              <w:jc w:val="both"/>
            </w:pPr>
            <w:r>
              <w:rPr>
                <w:spacing w:val="-3"/>
              </w:rPr>
              <w:t>责令停止建设，限期改正；</w:t>
            </w:r>
            <w:r>
              <w:rPr>
                <w:spacing w:val="-2"/>
              </w:rPr>
              <w:t>逾期不改正的，处</w:t>
            </w:r>
            <w:r>
              <w:rPr>
                <w:rFonts w:ascii="宋体" w:hAnsi="宋体" w:eastAsia="宋体" w:cs="宋体"/>
                <w:spacing w:val="-2"/>
              </w:rPr>
              <w:t>50</w:t>
            </w:r>
            <w:r>
              <w:rPr>
                <w:spacing w:val="-2"/>
              </w:rPr>
              <w:t>万元</w:t>
            </w:r>
            <w:r>
              <w:rPr>
                <w:spacing w:val="4"/>
              </w:rPr>
              <w:t>以上</w:t>
            </w:r>
            <w:r>
              <w:rPr>
                <w:rFonts w:ascii="宋体" w:hAnsi="宋体" w:eastAsia="宋体" w:cs="宋体"/>
                <w:spacing w:val="4"/>
              </w:rPr>
              <w:t>70</w:t>
            </w:r>
            <w:r>
              <w:rPr>
                <w:spacing w:val="4"/>
              </w:rPr>
              <w:t>万元以下的罚款</w:t>
            </w:r>
          </w:p>
        </w:tc>
        <w:tc>
          <w:tcPr>
            <w:tcW w:w="811" w:type="dxa"/>
            <w:vAlign w:val="top"/>
          </w:tcPr>
          <w:p w14:paraId="38492F81">
            <w:pPr>
              <w:spacing w:line="260" w:lineRule="auto"/>
              <w:rPr>
                <w:rFonts w:ascii="Arial"/>
                <w:sz w:val="21"/>
              </w:rPr>
            </w:pPr>
          </w:p>
          <w:p w14:paraId="12CB247E">
            <w:pPr>
              <w:spacing w:line="260" w:lineRule="auto"/>
              <w:rPr>
                <w:rFonts w:ascii="Arial"/>
                <w:sz w:val="21"/>
              </w:rPr>
            </w:pPr>
          </w:p>
          <w:p w14:paraId="7D7E63AB">
            <w:pPr>
              <w:spacing w:line="260" w:lineRule="auto"/>
              <w:rPr>
                <w:rFonts w:ascii="Arial"/>
                <w:sz w:val="21"/>
              </w:rPr>
            </w:pPr>
          </w:p>
          <w:p w14:paraId="3769E96E">
            <w:pPr>
              <w:spacing w:line="260" w:lineRule="auto"/>
              <w:rPr>
                <w:rFonts w:ascii="Arial"/>
                <w:sz w:val="21"/>
              </w:rPr>
            </w:pPr>
          </w:p>
          <w:p w14:paraId="2347744E">
            <w:pPr>
              <w:spacing w:before="75" w:line="188" w:lineRule="auto"/>
              <w:ind w:left="292"/>
              <w:rPr>
                <w:rFonts w:ascii="宋体" w:hAnsi="宋体" w:eastAsia="宋体" w:cs="宋体"/>
                <w:sz w:val="23"/>
                <w:szCs w:val="23"/>
              </w:rPr>
            </w:pPr>
            <w:r>
              <w:rPr>
                <w:rFonts w:ascii="宋体" w:hAnsi="宋体" w:eastAsia="宋体" w:cs="宋体"/>
                <w:spacing w:val="-2"/>
                <w:sz w:val="23"/>
                <w:szCs w:val="23"/>
              </w:rPr>
              <w:t>83</w:t>
            </w:r>
          </w:p>
        </w:tc>
      </w:tr>
    </w:tbl>
    <w:p w14:paraId="6BEFFE60">
      <w:pPr>
        <w:pStyle w:val="2"/>
      </w:pPr>
    </w:p>
    <w:p w14:paraId="29206C6F">
      <w:pPr>
        <w:sectPr>
          <w:footerReference r:id="rId135" w:type="default"/>
          <w:pgSz w:w="16839" w:h="11906"/>
          <w:pgMar w:top="1012" w:right="821" w:bottom="667" w:left="901" w:header="0" w:footer="388" w:gutter="0"/>
          <w:cols w:space="720" w:num="1"/>
        </w:sectPr>
      </w:pPr>
    </w:p>
    <w:p w14:paraId="44CB2939">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6F89C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14AA24F">
            <w:pPr>
              <w:spacing w:before="222" w:line="241" w:lineRule="auto"/>
              <w:ind w:left="131"/>
              <w:rPr>
                <w:rFonts w:ascii="黑体" w:hAnsi="黑体" w:eastAsia="黑体" w:cs="黑体"/>
                <w:sz w:val="28"/>
                <w:szCs w:val="28"/>
              </w:rPr>
            </w:pPr>
            <w:bookmarkStart w:id="541" w:name="bookmark542"/>
            <w:bookmarkEnd w:id="541"/>
            <w:r>
              <w:rPr>
                <w:rFonts w:ascii="黑体" w:hAnsi="黑体" w:eastAsia="黑体" w:cs="黑体"/>
                <w:spacing w:val="-2"/>
                <w:sz w:val="28"/>
                <w:szCs w:val="28"/>
              </w:rPr>
              <w:t>序号</w:t>
            </w:r>
          </w:p>
        </w:tc>
        <w:tc>
          <w:tcPr>
            <w:tcW w:w="1440" w:type="dxa"/>
            <w:vAlign w:val="top"/>
          </w:tcPr>
          <w:p w14:paraId="6B6A5E61">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0760FCD">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2110B75">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A52E2D4">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1EB525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393F5AC">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193A32C">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4711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2" w:hRule="atLeast"/>
        </w:trPr>
        <w:tc>
          <w:tcPr>
            <w:tcW w:w="818" w:type="dxa"/>
            <w:vMerge w:val="restart"/>
            <w:tcBorders>
              <w:bottom w:val="nil"/>
            </w:tcBorders>
            <w:vAlign w:val="top"/>
          </w:tcPr>
          <w:p w14:paraId="3A77D0F3">
            <w:pPr>
              <w:rPr>
                <w:rFonts w:ascii="Arial"/>
                <w:sz w:val="21"/>
              </w:rPr>
            </w:pPr>
          </w:p>
        </w:tc>
        <w:tc>
          <w:tcPr>
            <w:tcW w:w="1440" w:type="dxa"/>
            <w:vMerge w:val="restart"/>
            <w:tcBorders>
              <w:bottom w:val="nil"/>
            </w:tcBorders>
            <w:vAlign w:val="top"/>
          </w:tcPr>
          <w:p w14:paraId="19650216">
            <w:pPr>
              <w:pStyle w:val="6"/>
              <w:spacing w:before="28" w:line="195" w:lineRule="auto"/>
              <w:ind w:left="117" w:right="111" w:firstLine="11"/>
            </w:pPr>
            <w:r>
              <w:rPr>
                <w:spacing w:val="9"/>
              </w:rPr>
              <w:t>学品的建设</w:t>
            </w:r>
            <w:r>
              <w:rPr>
                <w:spacing w:val="4"/>
              </w:rPr>
              <w:t>项目的</w:t>
            </w:r>
          </w:p>
        </w:tc>
        <w:tc>
          <w:tcPr>
            <w:tcW w:w="3202" w:type="dxa"/>
            <w:vMerge w:val="restart"/>
            <w:tcBorders>
              <w:bottom w:val="nil"/>
            </w:tcBorders>
            <w:vAlign w:val="top"/>
          </w:tcPr>
          <w:p w14:paraId="5FF1DDFA">
            <w:pPr>
              <w:pStyle w:val="6"/>
              <w:spacing w:before="40" w:line="175" w:lineRule="auto"/>
              <w:ind w:left="118"/>
            </w:pPr>
            <w:r>
              <w:rPr>
                <w:spacing w:val="-7"/>
              </w:rPr>
              <w:t>查。</w:t>
            </w:r>
          </w:p>
          <w:p w14:paraId="7CD0152A">
            <w:pPr>
              <w:pStyle w:val="6"/>
              <w:spacing w:before="4" w:line="182" w:lineRule="auto"/>
              <w:ind w:left="120" w:right="111" w:hanging="4"/>
            </w:pPr>
            <w:r>
              <w:rPr>
                <w:rFonts w:ascii="宋体" w:hAnsi="宋体" w:eastAsia="宋体" w:cs="宋体"/>
                <w:spacing w:val="15"/>
              </w:rPr>
              <w:t>2.</w:t>
            </w:r>
            <w:r>
              <w:rPr>
                <w:spacing w:val="15"/>
              </w:rPr>
              <w:t>【部门规章】《危险化学</w:t>
            </w:r>
            <w:r>
              <w:rPr>
                <w:spacing w:val="17"/>
              </w:rPr>
              <w:t>品建设项目安全监督管理办</w:t>
            </w:r>
            <w:r>
              <w:rPr>
                <w:spacing w:val="13"/>
              </w:rPr>
              <w:t>法》第三条第三款：建设项</w:t>
            </w:r>
            <w:r>
              <w:rPr>
                <w:spacing w:val="17"/>
              </w:rPr>
              <w:t>目未经安全审查和安全设施</w:t>
            </w:r>
            <w:r>
              <w:rPr>
                <w:spacing w:val="12"/>
              </w:rPr>
              <w:t>竣工验收的，不得开工建设</w:t>
            </w:r>
            <w:r>
              <w:rPr>
                <w:spacing w:val="4"/>
              </w:rPr>
              <w:t>或者投入生产（使用）。</w:t>
            </w:r>
          </w:p>
          <w:p w14:paraId="6FEDDA7A">
            <w:pPr>
              <w:pStyle w:val="6"/>
              <w:spacing w:line="185" w:lineRule="auto"/>
              <w:ind w:left="117" w:right="97"/>
            </w:pPr>
            <w:r>
              <w:rPr>
                <w:rFonts w:ascii="宋体" w:hAnsi="宋体" w:eastAsia="宋体" w:cs="宋体"/>
                <w:spacing w:val="15"/>
              </w:rPr>
              <w:t>3.</w:t>
            </w:r>
            <w:r>
              <w:rPr>
                <w:spacing w:val="15"/>
              </w:rPr>
              <w:t>【部门规章】《危险化学</w:t>
            </w:r>
            <w:r>
              <w:rPr>
                <w:spacing w:val="18"/>
              </w:rPr>
              <w:t>品输送管道安全管理规定》</w:t>
            </w:r>
            <w:r>
              <w:rPr>
                <w:spacing w:val="13"/>
              </w:rPr>
              <w:t>第九条：对新建、改建、扩建的危险化学品管道，建设</w:t>
            </w:r>
            <w:r>
              <w:rPr>
                <w:spacing w:val="17"/>
              </w:rPr>
              <w:t>单位应当依照国家安全生产监督管理总局有关危险化学品建设项目安全监督管理的</w:t>
            </w:r>
            <w:r>
              <w:rPr>
                <w:spacing w:val="13"/>
              </w:rPr>
              <w:t>规定，依法办理安全条件审</w:t>
            </w:r>
            <w:r>
              <w:rPr>
                <w:spacing w:val="17"/>
              </w:rPr>
              <w:t>查、安全设施设计审查和安</w:t>
            </w:r>
            <w:r>
              <w:rPr>
                <w:spacing w:val="4"/>
              </w:rPr>
              <w:t>全设施竣工验收手续。</w:t>
            </w:r>
          </w:p>
        </w:tc>
        <w:tc>
          <w:tcPr>
            <w:tcW w:w="2859" w:type="dxa"/>
            <w:vMerge w:val="restart"/>
            <w:tcBorders>
              <w:bottom w:val="nil"/>
            </w:tcBorders>
            <w:vAlign w:val="top"/>
          </w:tcPr>
          <w:p w14:paraId="0EC24D9C">
            <w:pPr>
              <w:pStyle w:val="6"/>
              <w:spacing w:before="31" w:line="182" w:lineRule="auto"/>
              <w:ind w:left="122" w:right="107" w:hanging="4"/>
              <w:jc w:val="both"/>
            </w:pPr>
            <w:r>
              <w:rPr>
                <w:spacing w:val="2"/>
              </w:rPr>
              <w:t>止建设，限期改正；逾期</w:t>
            </w:r>
            <w:r>
              <w:rPr>
                <w:spacing w:val="-5"/>
              </w:rPr>
              <w:t>不改正的，处</w:t>
            </w:r>
            <w:r>
              <w:rPr>
                <w:rFonts w:ascii="宋体" w:hAnsi="宋体" w:eastAsia="宋体" w:cs="宋体"/>
                <w:spacing w:val="-5"/>
              </w:rPr>
              <w:t>50</w:t>
            </w:r>
            <w:r>
              <w:rPr>
                <w:spacing w:val="-5"/>
              </w:rPr>
              <w:t>万元以上</w:t>
            </w:r>
            <w:r>
              <w:rPr>
                <w:rFonts w:ascii="宋体" w:hAnsi="宋体" w:eastAsia="宋体" w:cs="宋体"/>
                <w:spacing w:val="6"/>
              </w:rPr>
              <w:t>100</w:t>
            </w:r>
            <w:r>
              <w:rPr>
                <w:spacing w:val="6"/>
              </w:rPr>
              <w:t>万元以下的罚款；构</w:t>
            </w:r>
            <w:r>
              <w:rPr>
                <w:spacing w:val="8"/>
              </w:rPr>
              <w:t>成犯罪的，依法追究刑事</w:t>
            </w:r>
            <w:r>
              <w:rPr>
                <w:spacing w:val="-6"/>
              </w:rPr>
              <w:t>责任。</w:t>
            </w:r>
          </w:p>
          <w:p w14:paraId="3EB44F8B">
            <w:pPr>
              <w:pStyle w:val="6"/>
              <w:spacing w:before="8" w:line="182" w:lineRule="auto"/>
              <w:ind w:left="116" w:right="106"/>
            </w:pPr>
            <w:r>
              <w:rPr>
                <w:rFonts w:ascii="宋体" w:hAnsi="宋体" w:eastAsia="宋体" w:cs="宋体"/>
                <w:spacing w:val="7"/>
              </w:rPr>
              <w:t>2.</w:t>
            </w:r>
            <w:r>
              <w:rPr>
                <w:spacing w:val="7"/>
              </w:rPr>
              <w:t>【部门规章】《危险化</w:t>
            </w:r>
            <w:r>
              <w:rPr>
                <w:spacing w:val="8"/>
              </w:rPr>
              <w:t>学品建设项目安全监督管</w:t>
            </w:r>
            <w:r>
              <w:rPr>
                <w:spacing w:val="6"/>
              </w:rPr>
              <w:t>理办法》第三十五条第一</w:t>
            </w:r>
            <w:r>
              <w:rPr>
                <w:spacing w:val="8"/>
              </w:rPr>
              <w:t>款：未经安全条件审查或</w:t>
            </w:r>
            <w:r>
              <w:rPr>
                <w:spacing w:val="7"/>
              </w:rPr>
              <w:t>者安全条件审查未通过，</w:t>
            </w:r>
            <w:r>
              <w:rPr>
                <w:spacing w:val="6"/>
              </w:rPr>
              <w:t>新建、改建、扩建生产、</w:t>
            </w:r>
            <w:r>
              <w:rPr>
                <w:spacing w:val="8"/>
              </w:rPr>
              <w:t>储存危险化学品的建设项</w:t>
            </w:r>
            <w:r>
              <w:rPr>
                <w:spacing w:val="5"/>
              </w:rPr>
              <w:t>目的，责令停止建设，限</w:t>
            </w:r>
            <w:r>
              <w:t>期改正；逾期不改正的，</w:t>
            </w:r>
            <w:r>
              <w:rPr>
                <w:spacing w:val="13"/>
              </w:rPr>
              <w:t>处</w:t>
            </w:r>
            <w:r>
              <w:rPr>
                <w:rFonts w:ascii="宋体" w:hAnsi="宋体" w:eastAsia="宋体" w:cs="宋体"/>
                <w:spacing w:val="13"/>
              </w:rPr>
              <w:t>50</w:t>
            </w:r>
            <w:r>
              <w:rPr>
                <w:spacing w:val="13"/>
              </w:rPr>
              <w:t>万元以上</w:t>
            </w:r>
            <w:r>
              <w:rPr>
                <w:rFonts w:ascii="宋体" w:hAnsi="宋体" w:eastAsia="宋体" w:cs="宋体"/>
                <w:spacing w:val="13"/>
              </w:rPr>
              <w:t>100</w:t>
            </w:r>
            <w:r>
              <w:rPr>
                <w:spacing w:val="13"/>
              </w:rPr>
              <w:t>万元以</w:t>
            </w:r>
            <w:r>
              <w:rPr>
                <w:spacing w:val="4"/>
              </w:rPr>
              <w:t>下的罚款；构成犯罪的，依法追究刑事责任。</w:t>
            </w:r>
          </w:p>
          <w:p w14:paraId="7C80AB35">
            <w:pPr>
              <w:pStyle w:val="6"/>
              <w:spacing w:before="13" w:line="184" w:lineRule="auto"/>
              <w:ind w:left="117" w:right="109"/>
            </w:pPr>
            <w:r>
              <w:rPr>
                <w:rFonts w:ascii="宋体" w:hAnsi="宋体" w:eastAsia="宋体" w:cs="宋体"/>
                <w:spacing w:val="7"/>
              </w:rPr>
              <w:t>3.</w:t>
            </w:r>
            <w:r>
              <w:rPr>
                <w:spacing w:val="7"/>
              </w:rPr>
              <w:t>【部门规章】《危险化</w:t>
            </w:r>
            <w:r>
              <w:rPr>
                <w:spacing w:val="8"/>
              </w:rPr>
              <w:t>学品输送管道安全管理规</w:t>
            </w:r>
            <w:r>
              <w:rPr>
                <w:spacing w:val="7"/>
              </w:rPr>
              <w:t>定》第三十三条第一款：</w:t>
            </w:r>
            <w:r>
              <w:rPr>
                <w:spacing w:val="8"/>
              </w:rPr>
              <w:t>新建、改建、扩建危险化学品管道建设项目未经安全条件审查的，由安全生产监督管理部门责令停止</w:t>
            </w:r>
            <w:r>
              <w:rPr>
                <w:spacing w:val="1"/>
              </w:rPr>
              <w:t>建设，限期改正；逾期不</w:t>
            </w:r>
            <w:r>
              <w:rPr>
                <w:spacing w:val="5"/>
              </w:rPr>
              <w:t>改正的，处</w:t>
            </w:r>
            <w:r>
              <w:rPr>
                <w:rFonts w:ascii="宋体" w:hAnsi="宋体" w:eastAsia="宋体" w:cs="宋体"/>
                <w:spacing w:val="5"/>
              </w:rPr>
              <w:t>50</w:t>
            </w:r>
            <w:r>
              <w:rPr>
                <w:spacing w:val="5"/>
              </w:rPr>
              <w:t>万元以上</w:t>
            </w:r>
            <w:r>
              <w:rPr>
                <w:rFonts w:ascii="宋体" w:hAnsi="宋体" w:eastAsia="宋体" w:cs="宋体"/>
                <w:spacing w:val="6"/>
              </w:rPr>
              <w:t>100</w:t>
            </w:r>
            <w:r>
              <w:rPr>
                <w:spacing w:val="6"/>
              </w:rPr>
              <w:t>万元以下的罚款；构</w:t>
            </w:r>
            <w:r>
              <w:rPr>
                <w:spacing w:val="8"/>
              </w:rPr>
              <w:t>成犯罪的，依法追究刑事</w:t>
            </w:r>
            <w:r>
              <w:rPr>
                <w:spacing w:val="-4"/>
              </w:rPr>
              <w:t>责任。</w:t>
            </w:r>
          </w:p>
        </w:tc>
        <w:tc>
          <w:tcPr>
            <w:tcW w:w="803" w:type="dxa"/>
            <w:vAlign w:val="top"/>
          </w:tcPr>
          <w:p w14:paraId="1544E3D3">
            <w:pPr>
              <w:spacing w:line="258" w:lineRule="auto"/>
              <w:rPr>
                <w:rFonts w:ascii="Arial"/>
                <w:sz w:val="21"/>
              </w:rPr>
            </w:pPr>
          </w:p>
          <w:p w14:paraId="47FE523C">
            <w:pPr>
              <w:spacing w:line="258" w:lineRule="auto"/>
              <w:rPr>
                <w:rFonts w:ascii="Arial"/>
                <w:sz w:val="21"/>
              </w:rPr>
            </w:pPr>
          </w:p>
          <w:p w14:paraId="009A1881">
            <w:pPr>
              <w:spacing w:line="258" w:lineRule="auto"/>
              <w:rPr>
                <w:rFonts w:ascii="Arial"/>
                <w:sz w:val="21"/>
              </w:rPr>
            </w:pPr>
          </w:p>
          <w:p w14:paraId="1D87DB3A">
            <w:pPr>
              <w:spacing w:line="258" w:lineRule="auto"/>
              <w:rPr>
                <w:rFonts w:ascii="Arial"/>
                <w:sz w:val="21"/>
              </w:rPr>
            </w:pPr>
          </w:p>
          <w:p w14:paraId="3889B9F3">
            <w:pPr>
              <w:spacing w:line="258" w:lineRule="auto"/>
              <w:rPr>
                <w:rFonts w:ascii="Arial"/>
                <w:sz w:val="21"/>
              </w:rPr>
            </w:pPr>
          </w:p>
          <w:p w14:paraId="6242D050">
            <w:pPr>
              <w:spacing w:line="259" w:lineRule="auto"/>
              <w:rPr>
                <w:rFonts w:ascii="Arial"/>
                <w:sz w:val="21"/>
              </w:rPr>
            </w:pPr>
          </w:p>
          <w:p w14:paraId="528F1399">
            <w:pPr>
              <w:spacing w:line="259" w:lineRule="auto"/>
              <w:rPr>
                <w:rFonts w:ascii="Arial"/>
                <w:sz w:val="21"/>
              </w:rPr>
            </w:pPr>
          </w:p>
          <w:p w14:paraId="349B86FD">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36C2474">
            <w:pPr>
              <w:rPr>
                <w:rFonts w:ascii="Arial"/>
                <w:sz w:val="21"/>
              </w:rPr>
            </w:pPr>
          </w:p>
          <w:p w14:paraId="35A8FFB7">
            <w:pPr>
              <w:rPr>
                <w:rFonts w:ascii="Arial"/>
                <w:sz w:val="21"/>
              </w:rPr>
            </w:pPr>
          </w:p>
          <w:p w14:paraId="142C17D2">
            <w:pPr>
              <w:rPr>
                <w:rFonts w:ascii="Arial"/>
                <w:sz w:val="21"/>
              </w:rPr>
            </w:pPr>
          </w:p>
          <w:p w14:paraId="76C665EF">
            <w:pPr>
              <w:rPr>
                <w:rFonts w:ascii="Arial"/>
                <w:sz w:val="21"/>
              </w:rPr>
            </w:pPr>
          </w:p>
          <w:p w14:paraId="1338ABBF">
            <w:pPr>
              <w:rPr>
                <w:rFonts w:ascii="Arial"/>
                <w:sz w:val="21"/>
              </w:rPr>
            </w:pPr>
          </w:p>
          <w:p w14:paraId="01B44391">
            <w:pPr>
              <w:spacing w:line="241" w:lineRule="auto"/>
              <w:rPr>
                <w:rFonts w:ascii="Arial"/>
                <w:sz w:val="21"/>
              </w:rPr>
            </w:pPr>
          </w:p>
          <w:p w14:paraId="2C9730B6">
            <w:pPr>
              <w:pStyle w:val="6"/>
              <w:spacing w:before="98" w:line="191" w:lineRule="auto"/>
              <w:ind w:left="128" w:right="109" w:hanging="11"/>
              <w:jc w:val="both"/>
            </w:pPr>
            <w:r>
              <w:rPr>
                <w:spacing w:val="-10"/>
              </w:rPr>
              <w:t>建设项目投资额</w:t>
            </w:r>
            <w:r>
              <w:rPr>
                <w:rFonts w:ascii="宋体" w:hAnsi="宋体" w:eastAsia="宋体" w:cs="宋体"/>
                <w:spacing w:val="1"/>
              </w:rPr>
              <w:t>1000</w:t>
            </w:r>
            <w:r>
              <w:rPr>
                <w:spacing w:val="1"/>
              </w:rPr>
              <w:t>万元以上</w:t>
            </w:r>
            <w:r>
              <w:rPr>
                <w:rFonts w:ascii="宋体" w:hAnsi="宋体" w:eastAsia="宋体" w:cs="宋体"/>
                <w:spacing w:val="1"/>
              </w:rPr>
              <w:t>3000</w:t>
            </w:r>
            <w:r>
              <w:rPr>
                <w:spacing w:val="4"/>
              </w:rPr>
              <w:t>万元以下的</w:t>
            </w:r>
          </w:p>
        </w:tc>
        <w:tc>
          <w:tcPr>
            <w:tcW w:w="2894" w:type="dxa"/>
            <w:vAlign w:val="top"/>
          </w:tcPr>
          <w:p w14:paraId="374FE6B1">
            <w:pPr>
              <w:rPr>
                <w:rFonts w:ascii="Arial"/>
                <w:sz w:val="21"/>
              </w:rPr>
            </w:pPr>
          </w:p>
          <w:p w14:paraId="1692CCD6">
            <w:pPr>
              <w:rPr>
                <w:rFonts w:ascii="Arial"/>
                <w:sz w:val="21"/>
              </w:rPr>
            </w:pPr>
          </w:p>
          <w:p w14:paraId="689782A4">
            <w:pPr>
              <w:rPr>
                <w:rFonts w:ascii="Arial"/>
                <w:sz w:val="21"/>
              </w:rPr>
            </w:pPr>
          </w:p>
          <w:p w14:paraId="2C0456F6">
            <w:pPr>
              <w:rPr>
                <w:rFonts w:ascii="Arial"/>
                <w:sz w:val="21"/>
              </w:rPr>
            </w:pPr>
          </w:p>
          <w:p w14:paraId="5B33B17A">
            <w:pPr>
              <w:rPr>
                <w:rFonts w:ascii="Arial"/>
                <w:sz w:val="21"/>
              </w:rPr>
            </w:pPr>
          </w:p>
          <w:p w14:paraId="2B16BECC">
            <w:pPr>
              <w:spacing w:line="241" w:lineRule="auto"/>
              <w:rPr>
                <w:rFonts w:ascii="Arial"/>
                <w:sz w:val="21"/>
              </w:rPr>
            </w:pPr>
          </w:p>
          <w:p w14:paraId="6B969E4E">
            <w:pPr>
              <w:pStyle w:val="6"/>
              <w:spacing w:before="98" w:line="191" w:lineRule="auto"/>
              <w:ind w:left="117" w:right="34" w:firstLine="10"/>
              <w:jc w:val="both"/>
            </w:pPr>
            <w:r>
              <w:rPr>
                <w:spacing w:val="-3"/>
              </w:rPr>
              <w:t>责令停止建设，限期改正；</w:t>
            </w:r>
            <w:r>
              <w:rPr>
                <w:spacing w:val="-2"/>
              </w:rPr>
              <w:t>逾期不改正的，处</w:t>
            </w:r>
            <w:r>
              <w:rPr>
                <w:rFonts w:ascii="宋体" w:hAnsi="宋体" w:eastAsia="宋体" w:cs="宋体"/>
                <w:spacing w:val="-2"/>
              </w:rPr>
              <w:t>70</w:t>
            </w:r>
            <w:r>
              <w:rPr>
                <w:spacing w:val="-2"/>
              </w:rPr>
              <w:t>万元</w:t>
            </w:r>
            <w:r>
              <w:rPr>
                <w:spacing w:val="4"/>
              </w:rPr>
              <w:t>以上</w:t>
            </w:r>
            <w:r>
              <w:rPr>
                <w:rFonts w:ascii="宋体" w:hAnsi="宋体" w:eastAsia="宋体" w:cs="宋体"/>
                <w:spacing w:val="4"/>
              </w:rPr>
              <w:t>90</w:t>
            </w:r>
            <w:r>
              <w:rPr>
                <w:spacing w:val="4"/>
              </w:rPr>
              <w:t>万元以下的罚款</w:t>
            </w:r>
          </w:p>
        </w:tc>
        <w:tc>
          <w:tcPr>
            <w:tcW w:w="811" w:type="dxa"/>
            <w:vMerge w:val="restart"/>
            <w:tcBorders>
              <w:bottom w:val="nil"/>
            </w:tcBorders>
            <w:vAlign w:val="top"/>
          </w:tcPr>
          <w:p w14:paraId="6A8F5E87">
            <w:pPr>
              <w:rPr>
                <w:rFonts w:ascii="Arial"/>
                <w:sz w:val="21"/>
              </w:rPr>
            </w:pPr>
          </w:p>
        </w:tc>
      </w:tr>
      <w:tr w14:paraId="4CCB1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1" w:hRule="atLeast"/>
        </w:trPr>
        <w:tc>
          <w:tcPr>
            <w:tcW w:w="818" w:type="dxa"/>
            <w:vMerge w:val="continue"/>
            <w:tcBorders>
              <w:top w:val="nil"/>
            </w:tcBorders>
            <w:vAlign w:val="top"/>
          </w:tcPr>
          <w:p w14:paraId="33B186F0">
            <w:pPr>
              <w:rPr>
                <w:rFonts w:ascii="Arial"/>
                <w:sz w:val="21"/>
              </w:rPr>
            </w:pPr>
          </w:p>
        </w:tc>
        <w:tc>
          <w:tcPr>
            <w:tcW w:w="1440" w:type="dxa"/>
            <w:vMerge w:val="continue"/>
            <w:tcBorders>
              <w:top w:val="nil"/>
            </w:tcBorders>
            <w:vAlign w:val="top"/>
          </w:tcPr>
          <w:p w14:paraId="6885315C">
            <w:pPr>
              <w:rPr>
                <w:rFonts w:ascii="Arial"/>
                <w:sz w:val="21"/>
              </w:rPr>
            </w:pPr>
          </w:p>
        </w:tc>
        <w:tc>
          <w:tcPr>
            <w:tcW w:w="3202" w:type="dxa"/>
            <w:vMerge w:val="continue"/>
            <w:tcBorders>
              <w:top w:val="nil"/>
            </w:tcBorders>
            <w:vAlign w:val="top"/>
          </w:tcPr>
          <w:p w14:paraId="6FB96223">
            <w:pPr>
              <w:rPr>
                <w:rFonts w:ascii="Arial"/>
                <w:sz w:val="21"/>
              </w:rPr>
            </w:pPr>
          </w:p>
        </w:tc>
        <w:tc>
          <w:tcPr>
            <w:tcW w:w="2859" w:type="dxa"/>
            <w:vMerge w:val="continue"/>
            <w:tcBorders>
              <w:top w:val="nil"/>
            </w:tcBorders>
            <w:vAlign w:val="top"/>
          </w:tcPr>
          <w:p w14:paraId="4BF6F42F">
            <w:pPr>
              <w:rPr>
                <w:rFonts w:ascii="Arial"/>
                <w:sz w:val="21"/>
              </w:rPr>
            </w:pPr>
          </w:p>
        </w:tc>
        <w:tc>
          <w:tcPr>
            <w:tcW w:w="803" w:type="dxa"/>
            <w:vAlign w:val="top"/>
          </w:tcPr>
          <w:p w14:paraId="6E68F176">
            <w:pPr>
              <w:spacing w:line="244" w:lineRule="auto"/>
              <w:rPr>
                <w:rFonts w:ascii="Arial"/>
                <w:sz w:val="21"/>
              </w:rPr>
            </w:pPr>
          </w:p>
          <w:p w14:paraId="29CE9A29">
            <w:pPr>
              <w:spacing w:line="244" w:lineRule="auto"/>
              <w:rPr>
                <w:rFonts w:ascii="Arial"/>
                <w:sz w:val="21"/>
              </w:rPr>
            </w:pPr>
          </w:p>
          <w:p w14:paraId="79A4D19E">
            <w:pPr>
              <w:spacing w:line="244" w:lineRule="auto"/>
              <w:rPr>
                <w:rFonts w:ascii="Arial"/>
                <w:sz w:val="21"/>
              </w:rPr>
            </w:pPr>
          </w:p>
          <w:p w14:paraId="0EF2B0BF">
            <w:pPr>
              <w:spacing w:line="244" w:lineRule="auto"/>
              <w:rPr>
                <w:rFonts w:ascii="Arial"/>
                <w:sz w:val="21"/>
              </w:rPr>
            </w:pPr>
          </w:p>
          <w:p w14:paraId="3CE2A01B">
            <w:pPr>
              <w:spacing w:line="244" w:lineRule="auto"/>
              <w:rPr>
                <w:rFonts w:ascii="Arial"/>
                <w:sz w:val="21"/>
              </w:rPr>
            </w:pPr>
          </w:p>
          <w:p w14:paraId="50721D27">
            <w:pPr>
              <w:spacing w:line="244" w:lineRule="auto"/>
              <w:rPr>
                <w:rFonts w:ascii="Arial"/>
                <w:sz w:val="21"/>
              </w:rPr>
            </w:pPr>
          </w:p>
          <w:p w14:paraId="013D73AA">
            <w:pPr>
              <w:spacing w:line="244" w:lineRule="auto"/>
              <w:rPr>
                <w:rFonts w:ascii="Arial"/>
                <w:sz w:val="21"/>
              </w:rPr>
            </w:pPr>
          </w:p>
          <w:p w14:paraId="3A331272">
            <w:pPr>
              <w:spacing w:line="244" w:lineRule="auto"/>
              <w:rPr>
                <w:rFonts w:ascii="Arial"/>
                <w:sz w:val="21"/>
              </w:rPr>
            </w:pPr>
          </w:p>
          <w:p w14:paraId="2FD19933">
            <w:pPr>
              <w:spacing w:line="245" w:lineRule="auto"/>
              <w:rPr>
                <w:rFonts w:ascii="Arial"/>
                <w:sz w:val="21"/>
              </w:rPr>
            </w:pPr>
          </w:p>
          <w:p w14:paraId="31D3B031">
            <w:pPr>
              <w:spacing w:line="245" w:lineRule="auto"/>
              <w:rPr>
                <w:rFonts w:ascii="Arial"/>
                <w:sz w:val="21"/>
              </w:rPr>
            </w:pPr>
          </w:p>
          <w:p w14:paraId="3C5A065E">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EA0730C">
            <w:pPr>
              <w:spacing w:line="247" w:lineRule="auto"/>
              <w:rPr>
                <w:rFonts w:ascii="Arial"/>
                <w:sz w:val="21"/>
              </w:rPr>
            </w:pPr>
          </w:p>
          <w:p w14:paraId="17A4F3D9">
            <w:pPr>
              <w:spacing w:line="247" w:lineRule="auto"/>
              <w:rPr>
                <w:rFonts w:ascii="Arial"/>
                <w:sz w:val="21"/>
              </w:rPr>
            </w:pPr>
          </w:p>
          <w:p w14:paraId="550F1E91">
            <w:pPr>
              <w:spacing w:line="247" w:lineRule="auto"/>
              <w:rPr>
                <w:rFonts w:ascii="Arial"/>
                <w:sz w:val="21"/>
              </w:rPr>
            </w:pPr>
          </w:p>
          <w:p w14:paraId="70759761">
            <w:pPr>
              <w:spacing w:line="247" w:lineRule="auto"/>
              <w:rPr>
                <w:rFonts w:ascii="Arial"/>
                <w:sz w:val="21"/>
              </w:rPr>
            </w:pPr>
          </w:p>
          <w:p w14:paraId="0FBECFC6">
            <w:pPr>
              <w:spacing w:line="247" w:lineRule="auto"/>
              <w:rPr>
                <w:rFonts w:ascii="Arial"/>
                <w:sz w:val="21"/>
              </w:rPr>
            </w:pPr>
          </w:p>
          <w:p w14:paraId="2F2B6D7B">
            <w:pPr>
              <w:spacing w:line="247" w:lineRule="auto"/>
              <w:rPr>
                <w:rFonts w:ascii="Arial"/>
                <w:sz w:val="21"/>
              </w:rPr>
            </w:pPr>
          </w:p>
          <w:p w14:paraId="5E16D540">
            <w:pPr>
              <w:spacing w:line="247" w:lineRule="auto"/>
              <w:rPr>
                <w:rFonts w:ascii="Arial"/>
                <w:sz w:val="21"/>
              </w:rPr>
            </w:pPr>
          </w:p>
          <w:p w14:paraId="7B52FD8D">
            <w:pPr>
              <w:spacing w:line="247" w:lineRule="auto"/>
              <w:rPr>
                <w:rFonts w:ascii="Arial"/>
                <w:sz w:val="21"/>
              </w:rPr>
            </w:pPr>
          </w:p>
          <w:p w14:paraId="2A94073B">
            <w:pPr>
              <w:spacing w:line="248" w:lineRule="auto"/>
              <w:rPr>
                <w:rFonts w:ascii="Arial"/>
                <w:sz w:val="21"/>
              </w:rPr>
            </w:pPr>
          </w:p>
          <w:p w14:paraId="465E0442">
            <w:pPr>
              <w:pStyle w:val="6"/>
              <w:spacing w:before="99" w:line="196" w:lineRule="auto"/>
              <w:ind w:left="117" w:right="109"/>
            </w:pPr>
            <w:r>
              <w:rPr>
                <w:spacing w:val="-10"/>
              </w:rPr>
              <w:t>建设项目投资额</w:t>
            </w:r>
            <w:r>
              <w:rPr>
                <w:rFonts w:ascii="宋体" w:hAnsi="宋体" w:eastAsia="宋体" w:cs="宋体"/>
                <w:spacing w:val="2"/>
              </w:rPr>
              <w:t>3000</w:t>
            </w:r>
            <w:r>
              <w:rPr>
                <w:spacing w:val="2"/>
              </w:rPr>
              <w:t>万元以上的</w:t>
            </w:r>
          </w:p>
        </w:tc>
        <w:tc>
          <w:tcPr>
            <w:tcW w:w="2894" w:type="dxa"/>
            <w:vAlign w:val="top"/>
          </w:tcPr>
          <w:p w14:paraId="074BC871">
            <w:pPr>
              <w:spacing w:line="259" w:lineRule="auto"/>
              <w:rPr>
                <w:rFonts w:ascii="Arial"/>
                <w:sz w:val="21"/>
              </w:rPr>
            </w:pPr>
          </w:p>
          <w:p w14:paraId="1EFEF25A">
            <w:pPr>
              <w:spacing w:line="259" w:lineRule="auto"/>
              <w:rPr>
                <w:rFonts w:ascii="Arial"/>
                <w:sz w:val="21"/>
              </w:rPr>
            </w:pPr>
          </w:p>
          <w:p w14:paraId="22FD39F4">
            <w:pPr>
              <w:spacing w:line="260" w:lineRule="auto"/>
              <w:rPr>
                <w:rFonts w:ascii="Arial"/>
                <w:sz w:val="21"/>
              </w:rPr>
            </w:pPr>
          </w:p>
          <w:p w14:paraId="7AADDD57">
            <w:pPr>
              <w:spacing w:line="260" w:lineRule="auto"/>
              <w:rPr>
                <w:rFonts w:ascii="Arial"/>
                <w:sz w:val="21"/>
              </w:rPr>
            </w:pPr>
          </w:p>
          <w:p w14:paraId="579E973E">
            <w:pPr>
              <w:spacing w:line="260" w:lineRule="auto"/>
              <w:rPr>
                <w:rFonts w:ascii="Arial"/>
                <w:sz w:val="21"/>
              </w:rPr>
            </w:pPr>
          </w:p>
          <w:p w14:paraId="77BF5C3C">
            <w:pPr>
              <w:spacing w:line="260" w:lineRule="auto"/>
              <w:rPr>
                <w:rFonts w:ascii="Arial"/>
                <w:sz w:val="21"/>
              </w:rPr>
            </w:pPr>
          </w:p>
          <w:p w14:paraId="37B97F84">
            <w:pPr>
              <w:spacing w:line="260" w:lineRule="auto"/>
              <w:rPr>
                <w:rFonts w:ascii="Arial"/>
                <w:sz w:val="21"/>
              </w:rPr>
            </w:pPr>
          </w:p>
          <w:p w14:paraId="2542134F">
            <w:pPr>
              <w:spacing w:line="260" w:lineRule="auto"/>
              <w:rPr>
                <w:rFonts w:ascii="Arial"/>
                <w:sz w:val="21"/>
              </w:rPr>
            </w:pPr>
          </w:p>
          <w:p w14:paraId="7B2136B1">
            <w:pPr>
              <w:pStyle w:val="6"/>
              <w:spacing w:before="99" w:line="191" w:lineRule="auto"/>
              <w:ind w:left="117" w:right="34" w:firstLine="10"/>
              <w:jc w:val="both"/>
            </w:pPr>
            <w:r>
              <w:rPr>
                <w:spacing w:val="-3"/>
              </w:rPr>
              <w:t>责令停止建设，限期改正；</w:t>
            </w:r>
            <w:r>
              <w:rPr>
                <w:spacing w:val="-2"/>
              </w:rPr>
              <w:t>逾期不改正的，处</w:t>
            </w:r>
            <w:r>
              <w:rPr>
                <w:rFonts w:ascii="宋体" w:hAnsi="宋体" w:eastAsia="宋体" w:cs="宋体"/>
                <w:spacing w:val="-2"/>
              </w:rPr>
              <w:t>90</w:t>
            </w:r>
            <w:r>
              <w:rPr>
                <w:spacing w:val="-2"/>
              </w:rPr>
              <w:t>万元</w:t>
            </w:r>
            <w:r>
              <w:rPr>
                <w:spacing w:val="2"/>
              </w:rPr>
              <w:t>以上</w:t>
            </w:r>
            <w:r>
              <w:rPr>
                <w:rFonts w:ascii="宋体" w:hAnsi="宋体" w:eastAsia="宋体" w:cs="宋体"/>
                <w:spacing w:val="2"/>
              </w:rPr>
              <w:t>100</w:t>
            </w:r>
            <w:r>
              <w:rPr>
                <w:spacing w:val="2"/>
              </w:rPr>
              <w:t>万元以下的罚款</w:t>
            </w:r>
          </w:p>
        </w:tc>
        <w:tc>
          <w:tcPr>
            <w:tcW w:w="811" w:type="dxa"/>
            <w:vMerge w:val="continue"/>
            <w:tcBorders>
              <w:top w:val="nil"/>
            </w:tcBorders>
            <w:vAlign w:val="top"/>
          </w:tcPr>
          <w:p w14:paraId="2509C01E">
            <w:pPr>
              <w:rPr>
                <w:rFonts w:ascii="Arial"/>
                <w:sz w:val="21"/>
              </w:rPr>
            </w:pPr>
          </w:p>
        </w:tc>
      </w:tr>
    </w:tbl>
    <w:p w14:paraId="3CCAAF5B">
      <w:pPr>
        <w:pStyle w:val="2"/>
        <w:spacing w:line="182" w:lineRule="exact"/>
        <w:rPr>
          <w:sz w:val="15"/>
        </w:rPr>
      </w:pPr>
    </w:p>
    <w:p w14:paraId="538509BD">
      <w:pPr>
        <w:spacing w:line="182" w:lineRule="exact"/>
        <w:rPr>
          <w:sz w:val="15"/>
          <w:szCs w:val="15"/>
        </w:rPr>
        <w:sectPr>
          <w:footerReference r:id="rId136" w:type="default"/>
          <w:pgSz w:w="16839" w:h="11906"/>
          <w:pgMar w:top="1012" w:right="821" w:bottom="667" w:left="901" w:header="0" w:footer="388" w:gutter="0"/>
          <w:cols w:space="720" w:num="1"/>
        </w:sectPr>
      </w:pPr>
    </w:p>
    <w:p w14:paraId="00328ABE">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44D6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C2398FF">
            <w:pPr>
              <w:spacing w:before="222" w:line="241" w:lineRule="auto"/>
              <w:ind w:left="131"/>
              <w:rPr>
                <w:rFonts w:ascii="黑体" w:hAnsi="黑体" w:eastAsia="黑体" w:cs="黑体"/>
                <w:sz w:val="28"/>
                <w:szCs w:val="28"/>
              </w:rPr>
            </w:pPr>
            <w:bookmarkStart w:id="542" w:name="bookmark543"/>
            <w:bookmarkEnd w:id="542"/>
            <w:bookmarkStart w:id="543" w:name="bookmark230"/>
            <w:bookmarkEnd w:id="543"/>
            <w:r>
              <w:rPr>
                <w:rFonts w:ascii="黑体" w:hAnsi="黑体" w:eastAsia="黑体" w:cs="黑体"/>
                <w:spacing w:val="-2"/>
                <w:sz w:val="28"/>
                <w:szCs w:val="28"/>
              </w:rPr>
              <w:t>序号</w:t>
            </w:r>
          </w:p>
        </w:tc>
        <w:tc>
          <w:tcPr>
            <w:tcW w:w="1440" w:type="dxa"/>
            <w:vAlign w:val="top"/>
          </w:tcPr>
          <w:p w14:paraId="2064F2F8">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E0D3159">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66A175F">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9322D97">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E7A80EA">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43BE5A3">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5D4C5CD">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610DC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Merge w:val="restart"/>
            <w:tcBorders>
              <w:bottom w:val="nil"/>
            </w:tcBorders>
            <w:vAlign w:val="top"/>
          </w:tcPr>
          <w:p w14:paraId="1CE42B65">
            <w:pPr>
              <w:spacing w:line="241" w:lineRule="auto"/>
              <w:rPr>
                <w:rFonts w:ascii="Arial"/>
                <w:sz w:val="21"/>
              </w:rPr>
            </w:pPr>
          </w:p>
          <w:p w14:paraId="699B7E00">
            <w:pPr>
              <w:spacing w:line="241" w:lineRule="auto"/>
              <w:rPr>
                <w:rFonts w:ascii="Arial"/>
                <w:sz w:val="21"/>
              </w:rPr>
            </w:pPr>
          </w:p>
          <w:p w14:paraId="1616C774">
            <w:pPr>
              <w:spacing w:line="241" w:lineRule="auto"/>
              <w:rPr>
                <w:rFonts w:ascii="Arial"/>
                <w:sz w:val="21"/>
              </w:rPr>
            </w:pPr>
          </w:p>
          <w:p w14:paraId="579CBC77">
            <w:pPr>
              <w:spacing w:line="241" w:lineRule="auto"/>
              <w:rPr>
                <w:rFonts w:ascii="Arial"/>
                <w:sz w:val="21"/>
              </w:rPr>
            </w:pPr>
          </w:p>
          <w:p w14:paraId="7DF6D044">
            <w:pPr>
              <w:spacing w:line="241" w:lineRule="auto"/>
              <w:rPr>
                <w:rFonts w:ascii="Arial"/>
                <w:sz w:val="21"/>
              </w:rPr>
            </w:pPr>
          </w:p>
          <w:p w14:paraId="6BC9BFB4">
            <w:pPr>
              <w:spacing w:line="241" w:lineRule="auto"/>
              <w:rPr>
                <w:rFonts w:ascii="Arial"/>
                <w:sz w:val="21"/>
              </w:rPr>
            </w:pPr>
          </w:p>
          <w:p w14:paraId="110E8866">
            <w:pPr>
              <w:spacing w:line="241" w:lineRule="auto"/>
              <w:rPr>
                <w:rFonts w:ascii="Arial"/>
                <w:sz w:val="21"/>
              </w:rPr>
            </w:pPr>
          </w:p>
          <w:p w14:paraId="3CABDB52">
            <w:pPr>
              <w:spacing w:line="241" w:lineRule="auto"/>
              <w:rPr>
                <w:rFonts w:ascii="Arial"/>
                <w:sz w:val="21"/>
              </w:rPr>
            </w:pPr>
          </w:p>
          <w:p w14:paraId="73F3E2AB">
            <w:pPr>
              <w:spacing w:line="241" w:lineRule="auto"/>
              <w:rPr>
                <w:rFonts w:ascii="Arial"/>
                <w:sz w:val="21"/>
              </w:rPr>
            </w:pPr>
          </w:p>
          <w:p w14:paraId="72801C6C">
            <w:pPr>
              <w:spacing w:line="241" w:lineRule="auto"/>
              <w:rPr>
                <w:rFonts w:ascii="Arial"/>
                <w:sz w:val="21"/>
              </w:rPr>
            </w:pPr>
          </w:p>
          <w:p w14:paraId="66E7C09B">
            <w:pPr>
              <w:spacing w:line="241" w:lineRule="auto"/>
              <w:rPr>
                <w:rFonts w:ascii="Arial"/>
                <w:sz w:val="21"/>
              </w:rPr>
            </w:pPr>
          </w:p>
          <w:p w14:paraId="4C121349">
            <w:pPr>
              <w:spacing w:line="241" w:lineRule="auto"/>
              <w:rPr>
                <w:rFonts w:ascii="Arial"/>
                <w:sz w:val="21"/>
              </w:rPr>
            </w:pPr>
          </w:p>
          <w:p w14:paraId="7EAEEE11">
            <w:pPr>
              <w:spacing w:line="241" w:lineRule="auto"/>
              <w:rPr>
                <w:rFonts w:ascii="Arial"/>
                <w:sz w:val="21"/>
              </w:rPr>
            </w:pPr>
          </w:p>
          <w:p w14:paraId="5E004D94">
            <w:pPr>
              <w:spacing w:line="241" w:lineRule="auto"/>
              <w:rPr>
                <w:rFonts w:ascii="Arial"/>
                <w:sz w:val="21"/>
              </w:rPr>
            </w:pPr>
          </w:p>
          <w:p w14:paraId="41468522">
            <w:pPr>
              <w:spacing w:line="241" w:lineRule="auto"/>
              <w:rPr>
                <w:rFonts w:ascii="Arial"/>
                <w:sz w:val="21"/>
              </w:rPr>
            </w:pPr>
          </w:p>
          <w:p w14:paraId="6B025DBB">
            <w:pPr>
              <w:spacing w:line="241" w:lineRule="auto"/>
              <w:rPr>
                <w:rFonts w:ascii="Arial"/>
                <w:sz w:val="21"/>
              </w:rPr>
            </w:pPr>
          </w:p>
          <w:p w14:paraId="545F45EA">
            <w:pPr>
              <w:spacing w:line="242" w:lineRule="auto"/>
              <w:rPr>
                <w:rFonts w:ascii="Arial"/>
                <w:sz w:val="21"/>
              </w:rPr>
            </w:pPr>
          </w:p>
          <w:p w14:paraId="4575A88C">
            <w:pPr>
              <w:spacing w:line="242" w:lineRule="auto"/>
              <w:rPr>
                <w:rFonts w:ascii="Arial"/>
                <w:sz w:val="21"/>
              </w:rPr>
            </w:pPr>
          </w:p>
          <w:p w14:paraId="138D149D">
            <w:pPr>
              <w:spacing w:before="75" w:line="186" w:lineRule="auto"/>
              <w:ind w:left="161"/>
              <w:rPr>
                <w:rFonts w:ascii="仿宋" w:hAnsi="仿宋" w:eastAsia="仿宋" w:cs="仿宋"/>
                <w:sz w:val="23"/>
                <w:szCs w:val="23"/>
              </w:rPr>
            </w:pPr>
            <w:r>
              <w:rPr>
                <w:rFonts w:ascii="仿宋" w:hAnsi="仿宋" w:eastAsia="仿宋" w:cs="仿宋"/>
                <w:spacing w:val="-5"/>
                <w:sz w:val="23"/>
                <w:szCs w:val="23"/>
              </w:rPr>
              <w:t>112</w:t>
            </w:r>
          </w:p>
        </w:tc>
        <w:tc>
          <w:tcPr>
            <w:tcW w:w="1440" w:type="dxa"/>
            <w:vMerge w:val="restart"/>
            <w:tcBorders>
              <w:bottom w:val="nil"/>
            </w:tcBorders>
            <w:vAlign w:val="top"/>
          </w:tcPr>
          <w:p w14:paraId="7D6FF0A8">
            <w:pPr>
              <w:spacing w:line="252" w:lineRule="auto"/>
              <w:rPr>
                <w:rFonts w:ascii="Arial"/>
                <w:sz w:val="21"/>
              </w:rPr>
            </w:pPr>
          </w:p>
          <w:p w14:paraId="0678B770">
            <w:pPr>
              <w:spacing w:line="252" w:lineRule="auto"/>
              <w:rPr>
                <w:rFonts w:ascii="Arial"/>
                <w:sz w:val="21"/>
              </w:rPr>
            </w:pPr>
          </w:p>
          <w:p w14:paraId="1F43DB61">
            <w:pPr>
              <w:spacing w:line="252" w:lineRule="auto"/>
              <w:rPr>
                <w:rFonts w:ascii="Arial"/>
                <w:sz w:val="21"/>
              </w:rPr>
            </w:pPr>
          </w:p>
          <w:p w14:paraId="6689E664">
            <w:pPr>
              <w:spacing w:line="253" w:lineRule="auto"/>
              <w:rPr>
                <w:rFonts w:ascii="Arial"/>
                <w:sz w:val="21"/>
              </w:rPr>
            </w:pPr>
          </w:p>
          <w:p w14:paraId="052803BB">
            <w:pPr>
              <w:spacing w:line="253" w:lineRule="auto"/>
              <w:rPr>
                <w:rFonts w:ascii="Arial"/>
                <w:sz w:val="21"/>
              </w:rPr>
            </w:pPr>
          </w:p>
          <w:p w14:paraId="56D270EA">
            <w:pPr>
              <w:spacing w:line="253" w:lineRule="auto"/>
              <w:rPr>
                <w:rFonts w:ascii="Arial"/>
                <w:sz w:val="21"/>
              </w:rPr>
            </w:pPr>
          </w:p>
          <w:p w14:paraId="20EA5395">
            <w:pPr>
              <w:spacing w:line="253" w:lineRule="auto"/>
              <w:rPr>
                <w:rFonts w:ascii="Arial"/>
                <w:sz w:val="21"/>
              </w:rPr>
            </w:pPr>
          </w:p>
          <w:p w14:paraId="75195490">
            <w:pPr>
              <w:spacing w:line="253" w:lineRule="auto"/>
              <w:rPr>
                <w:rFonts w:ascii="Arial"/>
                <w:sz w:val="21"/>
              </w:rPr>
            </w:pPr>
          </w:p>
          <w:p w14:paraId="4490D32B">
            <w:pPr>
              <w:spacing w:line="253" w:lineRule="auto"/>
              <w:rPr>
                <w:rFonts w:ascii="Arial"/>
                <w:sz w:val="21"/>
              </w:rPr>
            </w:pPr>
          </w:p>
          <w:p w14:paraId="4F9DEDB0">
            <w:pPr>
              <w:spacing w:line="253" w:lineRule="auto"/>
              <w:rPr>
                <w:rFonts w:ascii="Arial"/>
                <w:sz w:val="21"/>
              </w:rPr>
            </w:pPr>
          </w:p>
          <w:p w14:paraId="218F8CCB">
            <w:pPr>
              <w:spacing w:line="253" w:lineRule="auto"/>
              <w:rPr>
                <w:rFonts w:ascii="Arial"/>
                <w:sz w:val="21"/>
              </w:rPr>
            </w:pPr>
          </w:p>
          <w:p w14:paraId="2764FC1F">
            <w:pPr>
              <w:pStyle w:val="6"/>
              <w:spacing w:before="98" w:line="185" w:lineRule="auto"/>
              <w:ind w:left="88" w:right="97" w:firstLine="27"/>
              <w:jc w:val="both"/>
            </w:pPr>
            <w:r>
              <w:rPr>
                <w:spacing w:val="11"/>
              </w:rPr>
              <w:t>危险化学品</w:t>
            </w:r>
            <w:r>
              <w:rPr>
                <w:spacing w:val="17"/>
              </w:rPr>
              <w:t>单位未按照《危险化学品重大危险源监督管理</w:t>
            </w:r>
            <w:r>
              <w:rPr>
                <w:spacing w:val="19"/>
              </w:rPr>
              <w:t>暂行规定》</w:t>
            </w:r>
            <w:r>
              <w:rPr>
                <w:spacing w:val="17"/>
              </w:rPr>
              <w:t>要求对重大危险源进行安全评估或者安全评价</w:t>
            </w:r>
            <w:r>
              <w:rPr>
                <w:spacing w:val="23"/>
              </w:rPr>
              <w:t>的</w:t>
            </w:r>
          </w:p>
        </w:tc>
        <w:tc>
          <w:tcPr>
            <w:tcW w:w="3202" w:type="dxa"/>
            <w:vMerge w:val="restart"/>
            <w:tcBorders>
              <w:bottom w:val="nil"/>
            </w:tcBorders>
            <w:vAlign w:val="top"/>
          </w:tcPr>
          <w:p w14:paraId="7DC1D1CB">
            <w:pPr>
              <w:pStyle w:val="6"/>
              <w:spacing w:before="28" w:line="182" w:lineRule="auto"/>
              <w:ind w:left="98"/>
            </w:pPr>
            <w:r>
              <w:rPr>
                <w:spacing w:val="17"/>
              </w:rPr>
              <w:t>【部门规章】《危险化学品</w:t>
            </w:r>
          </w:p>
          <w:p w14:paraId="18C39F57">
            <w:pPr>
              <w:pStyle w:val="6"/>
              <w:spacing w:line="182" w:lineRule="auto"/>
              <w:ind w:left="127"/>
              <w:outlineLvl w:val="0"/>
            </w:pPr>
            <w:r>
              <w:rPr>
                <w:spacing w:val="16"/>
              </w:rPr>
              <w:t>重大危险源监督管理暂行规</w:t>
            </w:r>
          </w:p>
          <w:p w14:paraId="3555F115">
            <w:pPr>
              <w:pStyle w:val="6"/>
              <w:spacing w:before="7" w:line="182" w:lineRule="auto"/>
              <w:ind w:left="117" w:right="39"/>
              <w:jc w:val="both"/>
            </w:pPr>
            <w:r>
              <w:rPr>
                <w:spacing w:val="3"/>
              </w:rPr>
              <w:t>定》第八条第一款、第二款：</w:t>
            </w:r>
            <w:r>
              <w:rPr>
                <w:spacing w:val="17"/>
              </w:rPr>
              <w:t>危险化学品单位应当对</w:t>
            </w:r>
            <w:r>
              <w:fldChar w:fldCharType="begin"/>
            </w:r>
            <w:r>
              <w:instrText xml:space="preserve"> HYPERLINK "https://baike.baidu.com/item/%E9%87%8D%E5%A4%A7%E5%8D%B1%E9%99%A9%E6%BA%90/10983922?fromModule=lemma_inlink" </w:instrText>
            </w:r>
            <w:r>
              <w:fldChar w:fldCharType="separate"/>
            </w:r>
            <w:r>
              <w:rPr>
                <w:spacing w:val="17"/>
              </w:rPr>
              <w:t>重大</w:t>
            </w:r>
            <w:r>
              <w:rPr>
                <w:spacing w:val="17"/>
              </w:rPr>
              <w:fldChar w:fldCharType="end"/>
            </w:r>
            <w:r>
              <w:rPr>
                <w:spacing w:val="17"/>
              </w:rPr>
              <w:t>危险源进行</w:t>
            </w:r>
            <w:r>
              <w:fldChar w:fldCharType="begin"/>
            </w:r>
            <w:r>
              <w:instrText xml:space="preserve"> HYPERLINK "https://baike.baidu.com/item/%E5%AE%89%E5%85%A8%E8%AF%84%E4%BC%B0/3971370?fromModule=lemma_inlink" </w:instrText>
            </w:r>
            <w:r>
              <w:fldChar w:fldCharType="separate"/>
            </w:r>
            <w:r>
              <w:rPr>
                <w:spacing w:val="17"/>
              </w:rPr>
              <w:t>安全评估</w:t>
            </w:r>
            <w:r>
              <w:rPr>
                <w:spacing w:val="17"/>
              </w:rPr>
              <w:fldChar w:fldCharType="end"/>
            </w:r>
            <w:r>
              <w:rPr>
                <w:spacing w:val="17"/>
              </w:rPr>
              <w:t>并确定重大危险源等级。危险化学品单位可以组织本单位的</w:t>
            </w:r>
            <w:r>
              <w:fldChar w:fldCharType="begin"/>
            </w:r>
            <w:r>
              <w:instrText xml:space="preserve"> HYPERLINK "https://baike.baidu.com/item/%E6%B3%A8%E5%86%8C%E5%AE%89%E5%85%A8%E5%B7%A5%E7%A8%8B%E5%B8%88?fromModule=lemma_inlink" </w:instrText>
            </w:r>
            <w:r>
              <w:fldChar w:fldCharType="separate"/>
            </w:r>
            <w:r>
              <w:rPr>
                <w:spacing w:val="17"/>
              </w:rPr>
              <w:t>注</w:t>
            </w:r>
            <w:r>
              <w:rPr>
                <w:spacing w:val="17"/>
              </w:rPr>
              <w:fldChar w:fldCharType="end"/>
            </w:r>
            <w:r>
              <w:rPr>
                <w:spacing w:val="17"/>
              </w:rPr>
              <w:t>册安全工程师、技术人员或者聘请有关专家进行安全评</w:t>
            </w:r>
            <w:r>
              <w:rPr>
                <w:spacing w:val="13"/>
              </w:rPr>
              <w:t>估，也可以委托具有相应资</w:t>
            </w:r>
            <w:r>
              <w:rPr>
                <w:spacing w:val="17"/>
              </w:rPr>
              <w:t>质的</w:t>
            </w:r>
            <w:r>
              <w:fldChar w:fldCharType="begin"/>
            </w:r>
            <w:r>
              <w:instrText xml:space="preserve"> HYPERLINK "https://baike.baidu.com/item/%E5%AE%89%E5%85%A8%E8%AF%84%E4%BB%B7%E6%9C%BA%E6%9E%84?fromModule=lemma_inlink" </w:instrText>
            </w:r>
            <w:r>
              <w:fldChar w:fldCharType="separate"/>
            </w:r>
            <w:r>
              <w:rPr>
                <w:spacing w:val="17"/>
              </w:rPr>
              <w:t>安全评价机构</w:t>
            </w:r>
            <w:r>
              <w:rPr>
                <w:spacing w:val="17"/>
              </w:rPr>
              <w:fldChar w:fldCharType="end"/>
            </w:r>
            <w:r>
              <w:rPr>
                <w:spacing w:val="17"/>
              </w:rPr>
              <w:t>进行安全</w:t>
            </w:r>
            <w:r>
              <w:rPr>
                <w:spacing w:val="-4"/>
              </w:rPr>
              <w:t>评估。</w:t>
            </w:r>
          </w:p>
          <w:p w14:paraId="6441A7D3">
            <w:pPr>
              <w:pStyle w:val="6"/>
              <w:spacing w:before="10" w:line="185" w:lineRule="auto"/>
              <w:ind w:left="116" w:right="40" w:firstLine="1"/>
              <w:jc w:val="both"/>
            </w:pPr>
            <w:r>
              <w:rPr>
                <w:spacing w:val="3"/>
              </w:rPr>
              <w:t>依照法律、行政法规的规定，</w:t>
            </w:r>
            <w:r>
              <w:rPr>
                <w:spacing w:val="17"/>
              </w:rPr>
              <w:t>危险化学品单位需要进行安</w:t>
            </w:r>
            <w:r>
              <w:rPr>
                <w:spacing w:val="13"/>
              </w:rPr>
              <w:t>全评价的，重大危险源安全</w:t>
            </w:r>
            <w:r>
              <w:rPr>
                <w:spacing w:val="17"/>
              </w:rPr>
              <w:t>评估可以与本单位的安全评</w:t>
            </w:r>
            <w:r>
              <w:rPr>
                <w:spacing w:val="10"/>
              </w:rPr>
              <w:t>价一起进行，以安全评价报</w:t>
            </w:r>
            <w:r>
              <w:rPr>
                <w:spacing w:val="13"/>
              </w:rPr>
              <w:t>告代替安全评估报告，也可</w:t>
            </w:r>
            <w:r>
              <w:rPr>
                <w:spacing w:val="17"/>
              </w:rPr>
              <w:t>以单独进行重大危险源安全</w:t>
            </w:r>
            <w:r>
              <w:rPr>
                <w:spacing w:val="-4"/>
              </w:rPr>
              <w:t>评估。</w:t>
            </w:r>
          </w:p>
        </w:tc>
        <w:tc>
          <w:tcPr>
            <w:tcW w:w="2859" w:type="dxa"/>
            <w:vMerge w:val="restart"/>
            <w:tcBorders>
              <w:bottom w:val="nil"/>
            </w:tcBorders>
            <w:vAlign w:val="top"/>
          </w:tcPr>
          <w:p w14:paraId="769DE64E">
            <w:pPr>
              <w:pStyle w:val="6"/>
              <w:spacing w:before="19" w:line="184" w:lineRule="auto"/>
              <w:ind w:left="117" w:right="107" w:hanging="20"/>
            </w:pPr>
            <w:r>
              <w:rPr>
                <w:spacing w:val="10"/>
              </w:rPr>
              <w:t>【部门规章】《危险化学</w:t>
            </w:r>
            <w:r>
              <w:rPr>
                <w:spacing w:val="8"/>
              </w:rPr>
              <w:t>品重大危险源监督管理暂行规定》第三十二条第一项：危险化学品单位有下列行为之一的，由县级以上人民政府安全生产监督</w:t>
            </w:r>
            <w:r>
              <w:rPr>
                <w:spacing w:val="7"/>
              </w:rPr>
              <w:t>管理部门责令限期改正，</w:t>
            </w:r>
            <w:r>
              <w:rPr>
                <w:spacing w:val="9"/>
              </w:rPr>
              <w:t>可以处</w:t>
            </w:r>
            <w:r>
              <w:rPr>
                <w:rFonts w:ascii="宋体" w:hAnsi="宋体" w:eastAsia="宋体" w:cs="宋体"/>
                <w:spacing w:val="9"/>
              </w:rPr>
              <w:t>10</w:t>
            </w:r>
            <w:r>
              <w:rPr>
                <w:spacing w:val="9"/>
              </w:rPr>
              <w:t>万元以下的罚</w:t>
            </w:r>
            <w:r>
              <w:rPr>
                <w:spacing w:val="8"/>
              </w:rPr>
              <w:t>款；逾期未改正的，责令</w:t>
            </w:r>
            <w:r>
              <w:rPr>
                <w:spacing w:val="12"/>
              </w:rPr>
              <w:t>停产停业整顿，并处</w:t>
            </w:r>
            <w:r>
              <w:rPr>
                <w:rFonts w:ascii="宋体" w:hAnsi="宋体" w:eastAsia="宋体" w:cs="宋体"/>
                <w:spacing w:val="12"/>
              </w:rPr>
              <w:t>10</w:t>
            </w:r>
            <w:r>
              <w:rPr>
                <w:spacing w:val="11"/>
              </w:rPr>
              <w:t>万元以上</w:t>
            </w:r>
            <w:r>
              <w:rPr>
                <w:rFonts w:ascii="宋体" w:hAnsi="宋体" w:eastAsia="宋体" w:cs="宋体"/>
                <w:spacing w:val="11"/>
              </w:rPr>
              <w:t>20</w:t>
            </w:r>
            <w:r>
              <w:rPr>
                <w:spacing w:val="11"/>
              </w:rPr>
              <w:t>万元以下的</w:t>
            </w:r>
            <w:r>
              <w:rPr>
                <w:spacing w:val="8"/>
              </w:rPr>
              <w:t>罚款，对其直接负责的主管人员和其他直接责任人</w:t>
            </w:r>
            <w:r>
              <w:rPr>
                <w:spacing w:val="1"/>
              </w:rPr>
              <w:t>员处</w:t>
            </w:r>
            <w:r>
              <w:rPr>
                <w:rFonts w:ascii="宋体" w:hAnsi="宋体" w:eastAsia="宋体" w:cs="宋体"/>
                <w:spacing w:val="1"/>
              </w:rPr>
              <w:t>2</w:t>
            </w:r>
            <w:r>
              <w:rPr>
                <w:spacing w:val="1"/>
              </w:rPr>
              <w:t>万元以上</w:t>
            </w:r>
            <w:r>
              <w:rPr>
                <w:rFonts w:ascii="宋体" w:hAnsi="宋体" w:eastAsia="宋体" w:cs="宋体"/>
                <w:spacing w:val="1"/>
              </w:rPr>
              <w:t>5</w:t>
            </w:r>
            <w:r>
              <w:rPr>
                <w:spacing w:val="1"/>
              </w:rPr>
              <w:t>万元以</w:t>
            </w:r>
            <w:r>
              <w:rPr>
                <w:spacing w:val="4"/>
              </w:rPr>
              <w:t>下的罚款；构成犯罪的，</w:t>
            </w:r>
            <w:r>
              <w:rPr>
                <w:spacing w:val="8"/>
              </w:rPr>
              <w:t>依照刑法有关规定追究刑</w:t>
            </w:r>
            <w:r>
              <w:rPr>
                <w:spacing w:val="3"/>
              </w:rPr>
              <w:t>事责任</w:t>
            </w:r>
            <w:r>
              <w:rPr>
                <w:spacing w:val="-13"/>
              </w:rPr>
              <w:t>：（</w:t>
            </w:r>
            <w:r>
              <w:rPr>
                <w:spacing w:val="3"/>
              </w:rPr>
              <w:t>一）未按照本</w:t>
            </w:r>
            <w:r>
              <w:rPr>
                <w:spacing w:val="8"/>
              </w:rPr>
              <w:t>规定要求对重大危险源进行安全评估或者安全评价</w:t>
            </w:r>
            <w:r>
              <w:rPr>
                <w:spacing w:val="-10"/>
              </w:rPr>
              <w:t>的；</w:t>
            </w:r>
          </w:p>
        </w:tc>
        <w:tc>
          <w:tcPr>
            <w:tcW w:w="803" w:type="dxa"/>
            <w:vAlign w:val="top"/>
          </w:tcPr>
          <w:p w14:paraId="63EDC2B4">
            <w:pPr>
              <w:spacing w:line="259" w:lineRule="auto"/>
              <w:rPr>
                <w:rFonts w:ascii="Arial"/>
                <w:sz w:val="21"/>
              </w:rPr>
            </w:pPr>
          </w:p>
          <w:p w14:paraId="7D85F766">
            <w:pPr>
              <w:spacing w:line="260" w:lineRule="auto"/>
              <w:rPr>
                <w:rFonts w:ascii="Arial"/>
                <w:sz w:val="21"/>
              </w:rPr>
            </w:pPr>
          </w:p>
          <w:p w14:paraId="61CA5479">
            <w:pPr>
              <w:spacing w:line="260" w:lineRule="auto"/>
              <w:rPr>
                <w:rFonts w:ascii="Arial"/>
                <w:sz w:val="21"/>
              </w:rPr>
            </w:pPr>
          </w:p>
          <w:p w14:paraId="63E4B577">
            <w:pPr>
              <w:spacing w:line="260" w:lineRule="auto"/>
              <w:rPr>
                <w:rFonts w:ascii="Arial"/>
                <w:sz w:val="21"/>
              </w:rPr>
            </w:pPr>
          </w:p>
          <w:p w14:paraId="7ED7B243">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12A263E">
            <w:pPr>
              <w:spacing w:line="262" w:lineRule="auto"/>
              <w:rPr>
                <w:rFonts w:ascii="Arial"/>
                <w:sz w:val="21"/>
              </w:rPr>
            </w:pPr>
          </w:p>
          <w:p w14:paraId="57DAE7C5">
            <w:pPr>
              <w:spacing w:line="263" w:lineRule="auto"/>
              <w:rPr>
                <w:rFonts w:ascii="Arial"/>
                <w:sz w:val="21"/>
              </w:rPr>
            </w:pPr>
          </w:p>
          <w:p w14:paraId="56EB3F34">
            <w:pPr>
              <w:pStyle w:val="6"/>
              <w:spacing w:before="99" w:line="189" w:lineRule="auto"/>
              <w:ind w:left="116" w:right="109" w:firstLine="1"/>
              <w:jc w:val="both"/>
            </w:pPr>
            <w:r>
              <w:rPr>
                <w:spacing w:val="26"/>
              </w:rPr>
              <w:t>未按照要求对四级重大危险源进行安全评估或者安全评</w:t>
            </w:r>
            <w:r>
              <w:rPr>
                <w:spacing w:val="3"/>
              </w:rPr>
              <w:t>价的</w:t>
            </w:r>
          </w:p>
        </w:tc>
        <w:tc>
          <w:tcPr>
            <w:tcW w:w="2894" w:type="dxa"/>
            <w:vAlign w:val="top"/>
          </w:tcPr>
          <w:p w14:paraId="14641C22">
            <w:pPr>
              <w:pStyle w:val="6"/>
              <w:spacing w:before="26" w:line="180" w:lineRule="auto"/>
              <w:ind w:left="120" w:right="104" w:firstLine="7"/>
              <w:jc w:val="both"/>
            </w:pPr>
            <w:r>
              <w:rPr>
                <w:spacing w:val="10"/>
              </w:rPr>
              <w:t>责令限期改正，可以处</w:t>
            </w:r>
            <w:r>
              <w:rPr>
                <w:rFonts w:ascii="宋体" w:hAnsi="宋体" w:eastAsia="宋体" w:cs="宋体"/>
                <w:spacing w:val="10"/>
              </w:rPr>
              <w:t>2</w:t>
            </w:r>
            <w:r>
              <w:rPr>
                <w:spacing w:val="9"/>
              </w:rPr>
              <w:t>万元以下的罚款；逾期未</w:t>
            </w:r>
            <w:r>
              <w:rPr>
                <w:spacing w:val="8"/>
              </w:rPr>
              <w:t>改正的，责令停产停业整</w:t>
            </w:r>
            <w:r>
              <w:rPr>
                <w:spacing w:val="-1"/>
              </w:rPr>
              <w:t>顿，并处</w:t>
            </w:r>
            <w:r>
              <w:rPr>
                <w:rFonts w:ascii="宋体" w:hAnsi="宋体" w:eastAsia="宋体" w:cs="宋体"/>
                <w:spacing w:val="-1"/>
              </w:rPr>
              <w:t>10</w:t>
            </w:r>
            <w:r>
              <w:rPr>
                <w:spacing w:val="-1"/>
              </w:rPr>
              <w:t>万元以上</w:t>
            </w:r>
            <w:r>
              <w:rPr>
                <w:rFonts w:ascii="宋体" w:hAnsi="宋体" w:eastAsia="宋体" w:cs="宋体"/>
                <w:spacing w:val="-1"/>
              </w:rPr>
              <w:t>12</w:t>
            </w:r>
            <w:r>
              <w:rPr>
                <w:spacing w:val="8"/>
              </w:rPr>
              <w:t>万元以下的罚款，对其直</w:t>
            </w:r>
            <w:r>
              <w:rPr>
                <w:spacing w:val="11"/>
              </w:rPr>
              <w:t>接负责的主管人员和其他</w:t>
            </w:r>
            <w:r>
              <w:rPr>
                <w:spacing w:val="7"/>
              </w:rPr>
              <w:t>直接责任人员处</w:t>
            </w:r>
            <w:r>
              <w:rPr>
                <w:rFonts w:ascii="宋体" w:hAnsi="宋体" w:eastAsia="宋体" w:cs="宋体"/>
                <w:spacing w:val="7"/>
              </w:rPr>
              <w:t>2</w:t>
            </w:r>
            <w:r>
              <w:rPr>
                <w:spacing w:val="7"/>
              </w:rPr>
              <w:t>万元以</w:t>
            </w:r>
            <w:r>
              <w:rPr>
                <w:spacing w:val="3"/>
              </w:rPr>
              <w:t>上</w:t>
            </w:r>
            <w:r>
              <w:rPr>
                <w:rFonts w:ascii="宋体" w:hAnsi="宋体" w:eastAsia="宋体" w:cs="宋体"/>
                <w:spacing w:val="3"/>
              </w:rPr>
              <w:t>2.5</w:t>
            </w:r>
            <w:r>
              <w:rPr>
                <w:spacing w:val="3"/>
              </w:rPr>
              <w:t>万元以下的罚款</w:t>
            </w:r>
          </w:p>
        </w:tc>
        <w:tc>
          <w:tcPr>
            <w:tcW w:w="811" w:type="dxa"/>
            <w:vMerge w:val="restart"/>
            <w:tcBorders>
              <w:bottom w:val="nil"/>
            </w:tcBorders>
            <w:vAlign w:val="top"/>
          </w:tcPr>
          <w:p w14:paraId="194D4D96">
            <w:pPr>
              <w:rPr>
                <w:rFonts w:ascii="Arial"/>
                <w:sz w:val="21"/>
              </w:rPr>
            </w:pPr>
          </w:p>
        </w:tc>
      </w:tr>
      <w:tr w14:paraId="077CF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trPr>
        <w:tc>
          <w:tcPr>
            <w:tcW w:w="818" w:type="dxa"/>
            <w:vMerge w:val="continue"/>
            <w:tcBorders>
              <w:top w:val="nil"/>
              <w:bottom w:val="nil"/>
            </w:tcBorders>
            <w:vAlign w:val="top"/>
          </w:tcPr>
          <w:p w14:paraId="0617F530">
            <w:pPr>
              <w:rPr>
                <w:rFonts w:ascii="Arial"/>
                <w:sz w:val="21"/>
              </w:rPr>
            </w:pPr>
          </w:p>
        </w:tc>
        <w:tc>
          <w:tcPr>
            <w:tcW w:w="1440" w:type="dxa"/>
            <w:vMerge w:val="continue"/>
            <w:tcBorders>
              <w:top w:val="nil"/>
              <w:bottom w:val="nil"/>
            </w:tcBorders>
            <w:vAlign w:val="top"/>
          </w:tcPr>
          <w:p w14:paraId="55D4F168">
            <w:pPr>
              <w:rPr>
                <w:rFonts w:ascii="Arial"/>
                <w:sz w:val="21"/>
              </w:rPr>
            </w:pPr>
          </w:p>
        </w:tc>
        <w:tc>
          <w:tcPr>
            <w:tcW w:w="3202" w:type="dxa"/>
            <w:vMerge w:val="continue"/>
            <w:tcBorders>
              <w:top w:val="nil"/>
              <w:bottom w:val="nil"/>
            </w:tcBorders>
            <w:vAlign w:val="top"/>
          </w:tcPr>
          <w:p w14:paraId="7C141D8F">
            <w:pPr>
              <w:rPr>
                <w:rFonts w:ascii="Arial"/>
                <w:sz w:val="21"/>
              </w:rPr>
            </w:pPr>
          </w:p>
        </w:tc>
        <w:tc>
          <w:tcPr>
            <w:tcW w:w="2859" w:type="dxa"/>
            <w:vMerge w:val="continue"/>
            <w:tcBorders>
              <w:top w:val="nil"/>
              <w:bottom w:val="nil"/>
            </w:tcBorders>
            <w:vAlign w:val="top"/>
          </w:tcPr>
          <w:p w14:paraId="127DA37C">
            <w:pPr>
              <w:rPr>
                <w:rFonts w:ascii="Arial"/>
                <w:sz w:val="21"/>
              </w:rPr>
            </w:pPr>
          </w:p>
        </w:tc>
        <w:tc>
          <w:tcPr>
            <w:tcW w:w="803" w:type="dxa"/>
            <w:vAlign w:val="top"/>
          </w:tcPr>
          <w:p w14:paraId="069302A1">
            <w:pPr>
              <w:spacing w:line="298" w:lineRule="auto"/>
              <w:rPr>
                <w:rFonts w:ascii="Arial"/>
                <w:sz w:val="21"/>
              </w:rPr>
            </w:pPr>
          </w:p>
          <w:p w14:paraId="343A3196">
            <w:pPr>
              <w:spacing w:line="298" w:lineRule="auto"/>
              <w:rPr>
                <w:rFonts w:ascii="Arial"/>
                <w:sz w:val="21"/>
              </w:rPr>
            </w:pPr>
          </w:p>
          <w:p w14:paraId="6A8DBF8D">
            <w:pPr>
              <w:spacing w:line="298" w:lineRule="auto"/>
              <w:rPr>
                <w:rFonts w:ascii="Arial"/>
                <w:sz w:val="21"/>
              </w:rPr>
            </w:pPr>
          </w:p>
          <w:p w14:paraId="6B87D03D">
            <w:pPr>
              <w:spacing w:line="299" w:lineRule="auto"/>
              <w:rPr>
                <w:rFonts w:ascii="Arial"/>
                <w:sz w:val="21"/>
              </w:rPr>
            </w:pPr>
          </w:p>
          <w:p w14:paraId="4B83C4AF">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195BD0A">
            <w:pPr>
              <w:spacing w:line="338" w:lineRule="auto"/>
              <w:rPr>
                <w:rFonts w:ascii="Arial"/>
                <w:sz w:val="21"/>
              </w:rPr>
            </w:pPr>
          </w:p>
          <w:p w14:paraId="671E70E6">
            <w:pPr>
              <w:spacing w:line="338" w:lineRule="auto"/>
              <w:rPr>
                <w:rFonts w:ascii="Arial"/>
                <w:sz w:val="21"/>
              </w:rPr>
            </w:pPr>
          </w:p>
          <w:p w14:paraId="337C7887">
            <w:pPr>
              <w:pStyle w:val="6"/>
              <w:spacing w:before="99" w:line="189" w:lineRule="auto"/>
              <w:ind w:left="116" w:right="109" w:firstLine="1"/>
              <w:jc w:val="both"/>
            </w:pPr>
            <w:r>
              <w:rPr>
                <w:spacing w:val="26"/>
              </w:rPr>
              <w:t>未按照要求对三级重大危险源进行安全评估或者安全评</w:t>
            </w:r>
            <w:r>
              <w:rPr>
                <w:spacing w:val="3"/>
              </w:rPr>
              <w:t>价的</w:t>
            </w:r>
          </w:p>
        </w:tc>
        <w:tc>
          <w:tcPr>
            <w:tcW w:w="2894" w:type="dxa"/>
            <w:vAlign w:val="top"/>
          </w:tcPr>
          <w:p w14:paraId="66491818">
            <w:pPr>
              <w:pStyle w:val="6"/>
              <w:spacing w:before="29" w:line="180" w:lineRule="auto"/>
              <w:ind w:left="119" w:right="103" w:firstLine="8"/>
              <w:jc w:val="both"/>
            </w:pPr>
            <w:r>
              <w:rPr>
                <w:spacing w:val="10"/>
              </w:rPr>
              <w:t>责令限期改正，可以处</w:t>
            </w:r>
            <w:r>
              <w:rPr>
                <w:rFonts w:ascii="宋体" w:hAnsi="宋体" w:eastAsia="宋体" w:cs="宋体"/>
                <w:spacing w:val="10"/>
              </w:rPr>
              <w:t>2</w:t>
            </w:r>
            <w:r>
              <w:rPr>
                <w:spacing w:val="7"/>
              </w:rPr>
              <w:t>万元以上</w:t>
            </w:r>
            <w:r>
              <w:rPr>
                <w:rFonts w:ascii="宋体" w:hAnsi="宋体" w:eastAsia="宋体" w:cs="宋体"/>
                <w:spacing w:val="7"/>
              </w:rPr>
              <w:t>5</w:t>
            </w:r>
            <w:r>
              <w:rPr>
                <w:spacing w:val="7"/>
              </w:rPr>
              <w:t>万元以下的罚</w:t>
            </w:r>
            <w:r>
              <w:rPr>
                <w:spacing w:val="5"/>
              </w:rPr>
              <w:t>款；逾期未改正的，责令</w:t>
            </w:r>
            <w:r>
              <w:rPr>
                <w:spacing w:val="-4"/>
              </w:rPr>
              <w:t>停产停业整顿，并处</w:t>
            </w:r>
            <w:r>
              <w:rPr>
                <w:rFonts w:ascii="宋体" w:hAnsi="宋体" w:eastAsia="宋体" w:cs="宋体"/>
                <w:spacing w:val="-4"/>
              </w:rPr>
              <w:t>12</w:t>
            </w:r>
            <w:r>
              <w:rPr>
                <w:spacing w:val="-4"/>
              </w:rPr>
              <w:t>万</w:t>
            </w:r>
            <w:r>
              <w:rPr>
                <w:spacing w:val="11"/>
              </w:rPr>
              <w:t>元以上</w:t>
            </w:r>
            <w:r>
              <w:rPr>
                <w:rFonts w:ascii="宋体" w:hAnsi="宋体" w:eastAsia="宋体" w:cs="宋体"/>
                <w:spacing w:val="11"/>
              </w:rPr>
              <w:t>15</w:t>
            </w:r>
            <w:r>
              <w:rPr>
                <w:spacing w:val="11"/>
              </w:rPr>
              <w:t>万元以下的罚</w:t>
            </w:r>
            <w:r>
              <w:rPr>
                <w:spacing w:val="8"/>
              </w:rPr>
              <w:t>款，对其直接负责的主管</w:t>
            </w:r>
            <w:r>
              <w:rPr>
                <w:spacing w:val="11"/>
              </w:rPr>
              <w:t>人员和其他直接责任人员</w:t>
            </w:r>
            <w:r>
              <w:rPr>
                <w:spacing w:val="2"/>
              </w:rPr>
              <w:t>处</w:t>
            </w:r>
            <w:r>
              <w:rPr>
                <w:rFonts w:ascii="宋体" w:hAnsi="宋体" w:eastAsia="宋体" w:cs="宋体"/>
                <w:spacing w:val="2"/>
              </w:rPr>
              <w:t>2.5</w:t>
            </w:r>
            <w:r>
              <w:rPr>
                <w:spacing w:val="2"/>
              </w:rPr>
              <w:t>万元以上</w:t>
            </w:r>
            <w:r>
              <w:rPr>
                <w:rFonts w:ascii="宋体" w:hAnsi="宋体" w:eastAsia="宋体" w:cs="宋体"/>
                <w:spacing w:val="2"/>
              </w:rPr>
              <w:t>3</w:t>
            </w:r>
            <w:r>
              <w:rPr>
                <w:spacing w:val="2"/>
              </w:rPr>
              <w:t>万元以</w:t>
            </w:r>
            <w:r>
              <w:rPr>
                <w:spacing w:val="6"/>
              </w:rPr>
              <w:t>下的罚款</w:t>
            </w:r>
          </w:p>
        </w:tc>
        <w:tc>
          <w:tcPr>
            <w:tcW w:w="811" w:type="dxa"/>
            <w:vMerge w:val="continue"/>
            <w:tcBorders>
              <w:top w:val="nil"/>
              <w:bottom w:val="nil"/>
            </w:tcBorders>
            <w:vAlign w:val="top"/>
          </w:tcPr>
          <w:p w14:paraId="18C7FC08">
            <w:pPr>
              <w:rPr>
                <w:rFonts w:ascii="Arial"/>
                <w:sz w:val="21"/>
              </w:rPr>
            </w:pPr>
          </w:p>
        </w:tc>
      </w:tr>
      <w:tr w14:paraId="745B4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818" w:type="dxa"/>
            <w:vMerge w:val="continue"/>
            <w:tcBorders>
              <w:top w:val="nil"/>
              <w:bottom w:val="nil"/>
            </w:tcBorders>
            <w:vAlign w:val="top"/>
          </w:tcPr>
          <w:p w14:paraId="77043A5B">
            <w:pPr>
              <w:rPr>
                <w:rFonts w:ascii="Arial"/>
                <w:sz w:val="21"/>
              </w:rPr>
            </w:pPr>
          </w:p>
        </w:tc>
        <w:tc>
          <w:tcPr>
            <w:tcW w:w="1440" w:type="dxa"/>
            <w:vMerge w:val="continue"/>
            <w:tcBorders>
              <w:top w:val="nil"/>
              <w:bottom w:val="nil"/>
            </w:tcBorders>
            <w:vAlign w:val="top"/>
          </w:tcPr>
          <w:p w14:paraId="2FCC4D59">
            <w:pPr>
              <w:rPr>
                <w:rFonts w:ascii="Arial"/>
                <w:sz w:val="21"/>
              </w:rPr>
            </w:pPr>
          </w:p>
        </w:tc>
        <w:tc>
          <w:tcPr>
            <w:tcW w:w="3202" w:type="dxa"/>
            <w:vMerge w:val="continue"/>
            <w:tcBorders>
              <w:top w:val="nil"/>
              <w:bottom w:val="nil"/>
            </w:tcBorders>
            <w:vAlign w:val="top"/>
          </w:tcPr>
          <w:p w14:paraId="3BFE929B">
            <w:pPr>
              <w:rPr>
                <w:rFonts w:ascii="Arial"/>
                <w:sz w:val="21"/>
              </w:rPr>
            </w:pPr>
          </w:p>
        </w:tc>
        <w:tc>
          <w:tcPr>
            <w:tcW w:w="2859" w:type="dxa"/>
            <w:vMerge w:val="continue"/>
            <w:tcBorders>
              <w:top w:val="nil"/>
              <w:bottom w:val="nil"/>
            </w:tcBorders>
            <w:vAlign w:val="top"/>
          </w:tcPr>
          <w:p w14:paraId="357BE146">
            <w:pPr>
              <w:rPr>
                <w:rFonts w:ascii="Arial"/>
                <w:sz w:val="21"/>
              </w:rPr>
            </w:pPr>
          </w:p>
        </w:tc>
        <w:tc>
          <w:tcPr>
            <w:tcW w:w="803" w:type="dxa"/>
            <w:vAlign w:val="top"/>
          </w:tcPr>
          <w:p w14:paraId="17877E93">
            <w:pPr>
              <w:spacing w:line="298" w:lineRule="auto"/>
              <w:rPr>
                <w:rFonts w:ascii="Arial"/>
                <w:sz w:val="21"/>
              </w:rPr>
            </w:pPr>
          </w:p>
          <w:p w14:paraId="5C8537D8">
            <w:pPr>
              <w:spacing w:line="298" w:lineRule="auto"/>
              <w:rPr>
                <w:rFonts w:ascii="Arial"/>
                <w:sz w:val="21"/>
              </w:rPr>
            </w:pPr>
          </w:p>
          <w:p w14:paraId="4E874597">
            <w:pPr>
              <w:spacing w:line="299" w:lineRule="auto"/>
              <w:rPr>
                <w:rFonts w:ascii="Arial"/>
                <w:sz w:val="21"/>
              </w:rPr>
            </w:pPr>
          </w:p>
          <w:p w14:paraId="59F3563E">
            <w:pPr>
              <w:spacing w:line="299" w:lineRule="auto"/>
              <w:rPr>
                <w:rFonts w:ascii="Arial"/>
                <w:sz w:val="21"/>
              </w:rPr>
            </w:pPr>
          </w:p>
          <w:p w14:paraId="32DDAEF3">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EA608B8">
            <w:pPr>
              <w:spacing w:line="339" w:lineRule="auto"/>
              <w:rPr>
                <w:rFonts w:ascii="Arial"/>
                <w:sz w:val="21"/>
              </w:rPr>
            </w:pPr>
          </w:p>
          <w:p w14:paraId="561740B3">
            <w:pPr>
              <w:spacing w:line="339" w:lineRule="auto"/>
              <w:rPr>
                <w:rFonts w:ascii="Arial"/>
                <w:sz w:val="21"/>
              </w:rPr>
            </w:pPr>
          </w:p>
          <w:p w14:paraId="492019C9">
            <w:pPr>
              <w:pStyle w:val="6"/>
              <w:spacing w:before="98" w:line="189" w:lineRule="auto"/>
              <w:ind w:left="116" w:right="109" w:firstLine="1"/>
              <w:jc w:val="both"/>
            </w:pPr>
            <w:r>
              <w:rPr>
                <w:spacing w:val="26"/>
              </w:rPr>
              <w:t>未按照要求对二级重大危险源进行安全评估或者安全评</w:t>
            </w:r>
            <w:r>
              <w:rPr>
                <w:spacing w:val="3"/>
              </w:rPr>
              <w:t>价的</w:t>
            </w:r>
          </w:p>
        </w:tc>
        <w:tc>
          <w:tcPr>
            <w:tcW w:w="2894" w:type="dxa"/>
            <w:vAlign w:val="top"/>
          </w:tcPr>
          <w:p w14:paraId="1D3E402E">
            <w:pPr>
              <w:pStyle w:val="6"/>
              <w:spacing w:before="30" w:line="180" w:lineRule="auto"/>
              <w:ind w:left="119" w:right="104" w:firstLine="8"/>
              <w:jc w:val="both"/>
            </w:pPr>
            <w:r>
              <w:rPr>
                <w:spacing w:val="10"/>
              </w:rPr>
              <w:t>责令限期改正，可以处</w:t>
            </w:r>
            <w:r>
              <w:rPr>
                <w:rFonts w:ascii="宋体" w:hAnsi="宋体" w:eastAsia="宋体" w:cs="宋体"/>
                <w:spacing w:val="10"/>
              </w:rPr>
              <w:t>5</w:t>
            </w:r>
            <w:r>
              <w:rPr>
                <w:spacing w:val="7"/>
              </w:rPr>
              <w:t>万元以上</w:t>
            </w:r>
            <w:r>
              <w:rPr>
                <w:rFonts w:ascii="宋体" w:hAnsi="宋体" w:eastAsia="宋体" w:cs="宋体"/>
                <w:spacing w:val="7"/>
              </w:rPr>
              <w:t>8</w:t>
            </w:r>
            <w:r>
              <w:rPr>
                <w:spacing w:val="7"/>
              </w:rPr>
              <w:t>万元以下的罚</w:t>
            </w:r>
            <w:r>
              <w:rPr>
                <w:spacing w:val="5"/>
              </w:rPr>
              <w:t>款；逾期未改正的，责令</w:t>
            </w:r>
            <w:r>
              <w:rPr>
                <w:spacing w:val="-4"/>
              </w:rPr>
              <w:t>停产停业整顿，并处</w:t>
            </w:r>
            <w:r>
              <w:rPr>
                <w:rFonts w:ascii="宋体" w:hAnsi="宋体" w:eastAsia="宋体" w:cs="宋体"/>
                <w:spacing w:val="-4"/>
              </w:rPr>
              <w:t>15</w:t>
            </w:r>
            <w:r>
              <w:rPr>
                <w:spacing w:val="-4"/>
              </w:rPr>
              <w:t>万</w:t>
            </w:r>
            <w:r>
              <w:rPr>
                <w:spacing w:val="11"/>
              </w:rPr>
              <w:t>元以上</w:t>
            </w:r>
            <w:r>
              <w:rPr>
                <w:rFonts w:ascii="宋体" w:hAnsi="宋体" w:eastAsia="宋体" w:cs="宋体"/>
                <w:spacing w:val="11"/>
              </w:rPr>
              <w:t>18</w:t>
            </w:r>
            <w:r>
              <w:rPr>
                <w:spacing w:val="11"/>
              </w:rPr>
              <w:t>万元以下的罚</w:t>
            </w:r>
            <w:r>
              <w:rPr>
                <w:spacing w:val="8"/>
              </w:rPr>
              <w:t>款，对其直接负责的主管</w:t>
            </w:r>
            <w:r>
              <w:rPr>
                <w:spacing w:val="11"/>
              </w:rPr>
              <w:t>人员和其他直接责任人员</w:t>
            </w:r>
            <w:r>
              <w:rPr>
                <w:spacing w:val="3"/>
              </w:rPr>
              <w:t>处</w:t>
            </w:r>
            <w:r>
              <w:rPr>
                <w:rFonts w:ascii="宋体" w:hAnsi="宋体" w:eastAsia="宋体" w:cs="宋体"/>
                <w:spacing w:val="3"/>
              </w:rPr>
              <w:t>3</w:t>
            </w:r>
            <w:r>
              <w:rPr>
                <w:spacing w:val="3"/>
              </w:rPr>
              <w:t>万元以上</w:t>
            </w:r>
            <w:r>
              <w:rPr>
                <w:rFonts w:ascii="宋体" w:hAnsi="宋体" w:eastAsia="宋体" w:cs="宋体"/>
                <w:spacing w:val="3"/>
              </w:rPr>
              <w:t>4</w:t>
            </w:r>
            <w:r>
              <w:rPr>
                <w:spacing w:val="3"/>
              </w:rPr>
              <w:t>万元以下</w:t>
            </w:r>
            <w:r>
              <w:rPr>
                <w:spacing w:val="5"/>
              </w:rPr>
              <w:t>的罚款</w:t>
            </w:r>
          </w:p>
        </w:tc>
        <w:tc>
          <w:tcPr>
            <w:tcW w:w="811" w:type="dxa"/>
            <w:vMerge w:val="continue"/>
            <w:tcBorders>
              <w:top w:val="nil"/>
              <w:bottom w:val="nil"/>
            </w:tcBorders>
            <w:vAlign w:val="top"/>
          </w:tcPr>
          <w:p w14:paraId="6271D8BB">
            <w:pPr>
              <w:rPr>
                <w:rFonts w:ascii="Arial"/>
                <w:sz w:val="21"/>
              </w:rPr>
            </w:pPr>
          </w:p>
        </w:tc>
      </w:tr>
      <w:tr w14:paraId="7DD14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818" w:type="dxa"/>
            <w:vMerge w:val="continue"/>
            <w:tcBorders>
              <w:top w:val="nil"/>
            </w:tcBorders>
            <w:vAlign w:val="top"/>
          </w:tcPr>
          <w:p w14:paraId="42594805">
            <w:pPr>
              <w:rPr>
                <w:rFonts w:ascii="Arial"/>
                <w:sz w:val="21"/>
              </w:rPr>
            </w:pPr>
          </w:p>
        </w:tc>
        <w:tc>
          <w:tcPr>
            <w:tcW w:w="1440" w:type="dxa"/>
            <w:vMerge w:val="continue"/>
            <w:tcBorders>
              <w:top w:val="nil"/>
            </w:tcBorders>
            <w:vAlign w:val="top"/>
          </w:tcPr>
          <w:p w14:paraId="4DAAAF45">
            <w:pPr>
              <w:rPr>
                <w:rFonts w:ascii="Arial"/>
                <w:sz w:val="21"/>
              </w:rPr>
            </w:pPr>
          </w:p>
        </w:tc>
        <w:tc>
          <w:tcPr>
            <w:tcW w:w="3202" w:type="dxa"/>
            <w:vMerge w:val="continue"/>
            <w:tcBorders>
              <w:top w:val="nil"/>
            </w:tcBorders>
            <w:vAlign w:val="top"/>
          </w:tcPr>
          <w:p w14:paraId="111B3022">
            <w:pPr>
              <w:rPr>
                <w:rFonts w:ascii="Arial"/>
                <w:sz w:val="21"/>
              </w:rPr>
            </w:pPr>
          </w:p>
        </w:tc>
        <w:tc>
          <w:tcPr>
            <w:tcW w:w="2859" w:type="dxa"/>
            <w:vMerge w:val="continue"/>
            <w:tcBorders>
              <w:top w:val="nil"/>
            </w:tcBorders>
            <w:vAlign w:val="top"/>
          </w:tcPr>
          <w:p w14:paraId="6B65F429">
            <w:pPr>
              <w:rPr>
                <w:rFonts w:ascii="Arial"/>
                <w:sz w:val="21"/>
              </w:rPr>
            </w:pPr>
          </w:p>
        </w:tc>
        <w:tc>
          <w:tcPr>
            <w:tcW w:w="803" w:type="dxa"/>
            <w:vAlign w:val="top"/>
          </w:tcPr>
          <w:p w14:paraId="3990AC33">
            <w:pPr>
              <w:spacing w:line="451" w:lineRule="auto"/>
              <w:rPr>
                <w:rFonts w:ascii="Arial"/>
                <w:sz w:val="21"/>
              </w:rPr>
            </w:pPr>
          </w:p>
          <w:p w14:paraId="1AB60F21">
            <w:pPr>
              <w:spacing w:before="75" w:line="187" w:lineRule="auto"/>
              <w:ind w:left="343"/>
              <w:rPr>
                <w:rFonts w:ascii="宋体" w:hAnsi="宋体" w:eastAsia="宋体" w:cs="宋体"/>
                <w:sz w:val="23"/>
                <w:szCs w:val="23"/>
              </w:rPr>
            </w:pPr>
            <w:r>
              <w:rPr>
                <w:rFonts w:ascii="宋体" w:hAnsi="宋体" w:eastAsia="宋体" w:cs="宋体"/>
                <w:sz w:val="23"/>
                <w:szCs w:val="23"/>
              </w:rPr>
              <w:t>D</w:t>
            </w:r>
          </w:p>
        </w:tc>
        <w:tc>
          <w:tcPr>
            <w:tcW w:w="2283" w:type="dxa"/>
            <w:vAlign w:val="top"/>
          </w:tcPr>
          <w:p w14:paraId="37840EA3">
            <w:pPr>
              <w:pStyle w:val="6"/>
              <w:spacing w:before="32" w:line="177" w:lineRule="auto"/>
              <w:ind w:left="116" w:right="109" w:firstLine="1"/>
              <w:jc w:val="both"/>
            </w:pPr>
            <w:r>
              <w:rPr>
                <w:spacing w:val="26"/>
              </w:rPr>
              <w:t>未按照要求对一级重大危险源进行安全评估或者安全评</w:t>
            </w:r>
            <w:r>
              <w:rPr>
                <w:spacing w:val="3"/>
              </w:rPr>
              <w:t>价的</w:t>
            </w:r>
          </w:p>
        </w:tc>
        <w:tc>
          <w:tcPr>
            <w:tcW w:w="2894" w:type="dxa"/>
            <w:vAlign w:val="top"/>
          </w:tcPr>
          <w:p w14:paraId="548FAFBD">
            <w:pPr>
              <w:pStyle w:val="6"/>
              <w:spacing w:before="32" w:line="177" w:lineRule="auto"/>
              <w:ind w:left="117" w:right="104" w:firstLine="10"/>
              <w:jc w:val="both"/>
              <w:rPr>
                <w:rFonts w:ascii="宋体" w:hAnsi="宋体" w:eastAsia="宋体" w:cs="宋体"/>
              </w:rPr>
            </w:pPr>
            <w:r>
              <w:rPr>
                <w:spacing w:val="10"/>
              </w:rPr>
              <w:t>责令限期改正，可以处</w:t>
            </w:r>
            <w:r>
              <w:rPr>
                <w:rFonts w:ascii="宋体" w:hAnsi="宋体" w:eastAsia="宋体" w:cs="宋体"/>
                <w:spacing w:val="10"/>
              </w:rPr>
              <w:t>8</w:t>
            </w:r>
            <w:r>
              <w:rPr>
                <w:spacing w:val="11"/>
              </w:rPr>
              <w:t>万元以上</w:t>
            </w:r>
            <w:r>
              <w:rPr>
                <w:rFonts w:ascii="宋体" w:hAnsi="宋体" w:eastAsia="宋体" w:cs="宋体"/>
                <w:spacing w:val="11"/>
              </w:rPr>
              <w:t>10</w:t>
            </w:r>
            <w:r>
              <w:rPr>
                <w:spacing w:val="11"/>
              </w:rPr>
              <w:t>万元以下的</w:t>
            </w:r>
            <w:r>
              <w:rPr>
                <w:spacing w:val="5"/>
              </w:rPr>
              <w:t>罚款；逾期未改正的，责</w:t>
            </w:r>
            <w:r>
              <w:rPr>
                <w:spacing w:val="-2"/>
              </w:rPr>
              <w:t>令停产停业整顿，并处</w:t>
            </w:r>
            <w:r>
              <w:rPr>
                <w:rFonts w:ascii="宋体" w:hAnsi="宋体" w:eastAsia="宋体" w:cs="宋体"/>
                <w:spacing w:val="-2"/>
              </w:rPr>
              <w:t>18</w:t>
            </w:r>
          </w:p>
        </w:tc>
        <w:tc>
          <w:tcPr>
            <w:tcW w:w="811" w:type="dxa"/>
            <w:vMerge w:val="continue"/>
            <w:tcBorders>
              <w:top w:val="nil"/>
            </w:tcBorders>
            <w:vAlign w:val="top"/>
          </w:tcPr>
          <w:p w14:paraId="74B8C5D1">
            <w:pPr>
              <w:rPr>
                <w:rFonts w:ascii="Arial"/>
                <w:sz w:val="21"/>
              </w:rPr>
            </w:pPr>
          </w:p>
        </w:tc>
      </w:tr>
    </w:tbl>
    <w:p w14:paraId="3AB546F1">
      <w:pPr>
        <w:pStyle w:val="2"/>
      </w:pPr>
    </w:p>
    <w:p w14:paraId="250B496C">
      <w:pPr>
        <w:sectPr>
          <w:footerReference r:id="rId137" w:type="default"/>
          <w:pgSz w:w="16839" w:h="11906"/>
          <w:pgMar w:top="1012" w:right="821" w:bottom="667" w:left="901" w:header="0" w:footer="388" w:gutter="0"/>
          <w:cols w:space="720" w:num="1"/>
        </w:sectPr>
      </w:pPr>
    </w:p>
    <w:p w14:paraId="083A43B0">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6F034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802CF0A">
            <w:pPr>
              <w:spacing w:before="222" w:line="241" w:lineRule="auto"/>
              <w:ind w:left="131"/>
              <w:outlineLvl w:val="0"/>
              <w:rPr>
                <w:rFonts w:ascii="黑体" w:hAnsi="黑体" w:eastAsia="黑体" w:cs="黑体"/>
                <w:sz w:val="28"/>
                <w:szCs w:val="28"/>
              </w:rPr>
            </w:pPr>
            <w:bookmarkStart w:id="544" w:name="bookmark232"/>
            <w:bookmarkEnd w:id="544"/>
            <w:r>
              <w:rPr>
                <w:rFonts w:ascii="黑体" w:hAnsi="黑体" w:eastAsia="黑体" w:cs="黑体"/>
                <w:spacing w:val="-2"/>
                <w:sz w:val="28"/>
                <w:szCs w:val="28"/>
              </w:rPr>
              <w:t>序号</w:t>
            </w:r>
          </w:p>
        </w:tc>
        <w:tc>
          <w:tcPr>
            <w:tcW w:w="1440" w:type="dxa"/>
            <w:vAlign w:val="top"/>
          </w:tcPr>
          <w:p w14:paraId="316675DD">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B821CC8">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B80630F">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84B9E0E">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205EE4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1853A265">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84CD8BB">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6C66E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Align w:val="top"/>
          </w:tcPr>
          <w:p w14:paraId="22F98504">
            <w:pPr>
              <w:rPr>
                <w:rFonts w:ascii="Arial"/>
                <w:sz w:val="21"/>
              </w:rPr>
            </w:pPr>
          </w:p>
        </w:tc>
        <w:tc>
          <w:tcPr>
            <w:tcW w:w="1440" w:type="dxa"/>
            <w:vAlign w:val="top"/>
          </w:tcPr>
          <w:p w14:paraId="4742D6E0">
            <w:pPr>
              <w:rPr>
                <w:rFonts w:ascii="Arial"/>
                <w:sz w:val="21"/>
              </w:rPr>
            </w:pPr>
          </w:p>
        </w:tc>
        <w:tc>
          <w:tcPr>
            <w:tcW w:w="3202" w:type="dxa"/>
            <w:vAlign w:val="top"/>
          </w:tcPr>
          <w:p w14:paraId="28C1FEC0">
            <w:pPr>
              <w:rPr>
                <w:rFonts w:ascii="Arial"/>
                <w:sz w:val="21"/>
              </w:rPr>
            </w:pPr>
          </w:p>
        </w:tc>
        <w:tc>
          <w:tcPr>
            <w:tcW w:w="2859" w:type="dxa"/>
            <w:vAlign w:val="top"/>
          </w:tcPr>
          <w:p w14:paraId="028FCD20">
            <w:pPr>
              <w:rPr>
                <w:rFonts w:ascii="Arial"/>
                <w:sz w:val="21"/>
              </w:rPr>
            </w:pPr>
          </w:p>
        </w:tc>
        <w:tc>
          <w:tcPr>
            <w:tcW w:w="803" w:type="dxa"/>
            <w:vAlign w:val="top"/>
          </w:tcPr>
          <w:p w14:paraId="0F62D055">
            <w:pPr>
              <w:rPr>
                <w:rFonts w:ascii="Arial"/>
                <w:sz w:val="21"/>
              </w:rPr>
            </w:pPr>
          </w:p>
        </w:tc>
        <w:tc>
          <w:tcPr>
            <w:tcW w:w="2283" w:type="dxa"/>
            <w:vAlign w:val="top"/>
          </w:tcPr>
          <w:p w14:paraId="4C187376">
            <w:pPr>
              <w:rPr>
                <w:rFonts w:ascii="Arial"/>
                <w:sz w:val="21"/>
              </w:rPr>
            </w:pPr>
          </w:p>
        </w:tc>
        <w:tc>
          <w:tcPr>
            <w:tcW w:w="2894" w:type="dxa"/>
            <w:vAlign w:val="top"/>
          </w:tcPr>
          <w:p w14:paraId="2A018B44">
            <w:pPr>
              <w:pStyle w:val="6"/>
              <w:spacing w:before="30" w:line="178" w:lineRule="auto"/>
              <w:ind w:left="124" w:right="105" w:firstLine="5"/>
              <w:jc w:val="both"/>
            </w:pPr>
            <w:r>
              <w:rPr>
                <w:spacing w:val="12"/>
              </w:rPr>
              <w:t>万元以上</w:t>
            </w:r>
            <w:r>
              <w:rPr>
                <w:rFonts w:ascii="宋体" w:hAnsi="宋体" w:eastAsia="宋体" w:cs="宋体"/>
                <w:spacing w:val="12"/>
              </w:rPr>
              <w:t>20</w:t>
            </w:r>
            <w:r>
              <w:rPr>
                <w:spacing w:val="12"/>
              </w:rPr>
              <w:t>万元以下的</w:t>
            </w:r>
            <w:r>
              <w:rPr>
                <w:spacing w:val="8"/>
              </w:rPr>
              <w:t>罚款，对其直接负责的主</w:t>
            </w:r>
            <w:r>
              <w:rPr>
                <w:spacing w:val="11"/>
              </w:rPr>
              <w:t>管人员和其他直接责任人</w:t>
            </w:r>
            <w:r>
              <w:rPr>
                <w:spacing w:val="3"/>
              </w:rPr>
              <w:t>员处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w:t>
            </w:r>
            <w:r>
              <w:rPr>
                <w:spacing w:val="4"/>
              </w:rPr>
              <w:t>下的罚款</w:t>
            </w:r>
          </w:p>
        </w:tc>
        <w:tc>
          <w:tcPr>
            <w:tcW w:w="811" w:type="dxa"/>
            <w:vAlign w:val="top"/>
          </w:tcPr>
          <w:p w14:paraId="70308E1B">
            <w:pPr>
              <w:rPr>
                <w:rFonts w:ascii="Arial"/>
                <w:sz w:val="21"/>
              </w:rPr>
            </w:pPr>
          </w:p>
        </w:tc>
      </w:tr>
      <w:tr w14:paraId="1A21D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trPr>
        <w:tc>
          <w:tcPr>
            <w:tcW w:w="818" w:type="dxa"/>
            <w:vMerge w:val="restart"/>
            <w:tcBorders>
              <w:bottom w:val="nil"/>
            </w:tcBorders>
            <w:vAlign w:val="top"/>
          </w:tcPr>
          <w:p w14:paraId="635A4853">
            <w:pPr>
              <w:spacing w:line="256" w:lineRule="auto"/>
              <w:rPr>
                <w:rFonts w:ascii="Arial"/>
                <w:sz w:val="21"/>
              </w:rPr>
            </w:pPr>
          </w:p>
          <w:p w14:paraId="35220CE8">
            <w:pPr>
              <w:spacing w:line="256" w:lineRule="auto"/>
              <w:rPr>
                <w:rFonts w:ascii="Arial"/>
                <w:sz w:val="21"/>
              </w:rPr>
            </w:pPr>
          </w:p>
          <w:p w14:paraId="1AA8A53C">
            <w:pPr>
              <w:spacing w:line="256" w:lineRule="auto"/>
              <w:rPr>
                <w:rFonts w:ascii="Arial"/>
                <w:sz w:val="21"/>
              </w:rPr>
            </w:pPr>
          </w:p>
          <w:p w14:paraId="7969A8E2">
            <w:pPr>
              <w:spacing w:line="256" w:lineRule="auto"/>
              <w:rPr>
                <w:rFonts w:ascii="Arial"/>
                <w:sz w:val="21"/>
              </w:rPr>
            </w:pPr>
          </w:p>
          <w:p w14:paraId="3BAB6148">
            <w:pPr>
              <w:spacing w:line="256" w:lineRule="auto"/>
              <w:rPr>
                <w:rFonts w:ascii="Arial"/>
                <w:sz w:val="21"/>
              </w:rPr>
            </w:pPr>
          </w:p>
          <w:p w14:paraId="49BE38EC">
            <w:pPr>
              <w:spacing w:line="256" w:lineRule="auto"/>
              <w:rPr>
                <w:rFonts w:ascii="Arial"/>
                <w:sz w:val="21"/>
              </w:rPr>
            </w:pPr>
          </w:p>
          <w:p w14:paraId="701457B1">
            <w:pPr>
              <w:spacing w:line="256" w:lineRule="auto"/>
              <w:rPr>
                <w:rFonts w:ascii="Arial"/>
                <w:sz w:val="21"/>
              </w:rPr>
            </w:pPr>
          </w:p>
          <w:p w14:paraId="30961C54">
            <w:pPr>
              <w:spacing w:line="256" w:lineRule="auto"/>
              <w:rPr>
                <w:rFonts w:ascii="Arial"/>
                <w:sz w:val="21"/>
              </w:rPr>
            </w:pPr>
          </w:p>
          <w:p w14:paraId="699AD98E">
            <w:pPr>
              <w:spacing w:line="256" w:lineRule="auto"/>
              <w:rPr>
                <w:rFonts w:ascii="Arial"/>
                <w:sz w:val="21"/>
              </w:rPr>
            </w:pPr>
          </w:p>
          <w:p w14:paraId="0B15F2AD">
            <w:pPr>
              <w:spacing w:line="257" w:lineRule="auto"/>
              <w:rPr>
                <w:rFonts w:ascii="Arial"/>
                <w:sz w:val="21"/>
              </w:rPr>
            </w:pPr>
          </w:p>
          <w:p w14:paraId="791AF43B">
            <w:pPr>
              <w:spacing w:line="257" w:lineRule="auto"/>
              <w:rPr>
                <w:rFonts w:ascii="Arial"/>
                <w:sz w:val="21"/>
              </w:rPr>
            </w:pPr>
          </w:p>
          <w:p w14:paraId="679BAFE5">
            <w:pPr>
              <w:spacing w:line="257" w:lineRule="auto"/>
              <w:rPr>
                <w:rFonts w:ascii="Arial"/>
                <w:sz w:val="21"/>
              </w:rPr>
            </w:pPr>
          </w:p>
          <w:p w14:paraId="7F3F63F3">
            <w:pPr>
              <w:spacing w:line="257" w:lineRule="auto"/>
              <w:rPr>
                <w:rFonts w:ascii="Arial"/>
                <w:sz w:val="21"/>
              </w:rPr>
            </w:pPr>
          </w:p>
          <w:p w14:paraId="25565F0A">
            <w:pPr>
              <w:spacing w:line="257" w:lineRule="auto"/>
              <w:rPr>
                <w:rFonts w:ascii="Arial"/>
                <w:sz w:val="21"/>
              </w:rPr>
            </w:pPr>
          </w:p>
          <w:p w14:paraId="4B50A870">
            <w:pPr>
              <w:spacing w:before="75" w:line="186" w:lineRule="auto"/>
              <w:ind w:left="161"/>
              <w:rPr>
                <w:rFonts w:ascii="仿宋" w:hAnsi="仿宋" w:eastAsia="仿宋" w:cs="仿宋"/>
                <w:sz w:val="23"/>
                <w:szCs w:val="23"/>
              </w:rPr>
            </w:pPr>
            <w:r>
              <w:rPr>
                <w:rFonts w:ascii="仿宋" w:hAnsi="仿宋" w:eastAsia="仿宋" w:cs="仿宋"/>
                <w:spacing w:val="-5"/>
                <w:sz w:val="23"/>
                <w:szCs w:val="23"/>
              </w:rPr>
              <w:t>113</w:t>
            </w:r>
          </w:p>
        </w:tc>
        <w:tc>
          <w:tcPr>
            <w:tcW w:w="1440" w:type="dxa"/>
            <w:vMerge w:val="restart"/>
            <w:tcBorders>
              <w:bottom w:val="nil"/>
            </w:tcBorders>
            <w:vAlign w:val="top"/>
          </w:tcPr>
          <w:p w14:paraId="46D03897">
            <w:pPr>
              <w:spacing w:line="262" w:lineRule="auto"/>
              <w:rPr>
                <w:rFonts w:ascii="Arial"/>
                <w:sz w:val="21"/>
              </w:rPr>
            </w:pPr>
          </w:p>
          <w:p w14:paraId="1A664208">
            <w:pPr>
              <w:spacing w:line="262" w:lineRule="auto"/>
              <w:rPr>
                <w:rFonts w:ascii="Arial"/>
                <w:sz w:val="21"/>
              </w:rPr>
            </w:pPr>
          </w:p>
          <w:p w14:paraId="67DC55BD">
            <w:pPr>
              <w:spacing w:line="262" w:lineRule="auto"/>
              <w:rPr>
                <w:rFonts w:ascii="Arial"/>
                <w:sz w:val="21"/>
              </w:rPr>
            </w:pPr>
          </w:p>
          <w:p w14:paraId="72E0F71B">
            <w:pPr>
              <w:spacing w:line="262" w:lineRule="auto"/>
              <w:rPr>
                <w:rFonts w:ascii="Arial"/>
                <w:sz w:val="21"/>
              </w:rPr>
            </w:pPr>
          </w:p>
          <w:p w14:paraId="1CC567E5">
            <w:pPr>
              <w:spacing w:line="263" w:lineRule="auto"/>
              <w:rPr>
                <w:rFonts w:ascii="Arial"/>
                <w:sz w:val="21"/>
              </w:rPr>
            </w:pPr>
          </w:p>
          <w:p w14:paraId="5048FDB4">
            <w:pPr>
              <w:spacing w:line="263" w:lineRule="auto"/>
              <w:rPr>
                <w:rFonts w:ascii="Arial"/>
                <w:sz w:val="21"/>
              </w:rPr>
            </w:pPr>
          </w:p>
          <w:p w14:paraId="46CEA1F9">
            <w:pPr>
              <w:spacing w:line="263" w:lineRule="auto"/>
              <w:rPr>
                <w:rFonts w:ascii="Arial"/>
                <w:sz w:val="21"/>
              </w:rPr>
            </w:pPr>
          </w:p>
          <w:p w14:paraId="02DC6453">
            <w:pPr>
              <w:spacing w:line="263" w:lineRule="auto"/>
              <w:rPr>
                <w:rFonts w:ascii="Arial"/>
                <w:sz w:val="21"/>
              </w:rPr>
            </w:pPr>
          </w:p>
          <w:p w14:paraId="4F0C7BF5">
            <w:pPr>
              <w:spacing w:line="263" w:lineRule="auto"/>
              <w:rPr>
                <w:rFonts w:ascii="Arial"/>
                <w:sz w:val="21"/>
              </w:rPr>
            </w:pPr>
          </w:p>
          <w:p w14:paraId="7FE53AEE">
            <w:pPr>
              <w:spacing w:line="263" w:lineRule="auto"/>
              <w:rPr>
                <w:rFonts w:ascii="Arial"/>
                <w:sz w:val="21"/>
              </w:rPr>
            </w:pPr>
          </w:p>
          <w:p w14:paraId="4ABC241E">
            <w:pPr>
              <w:pStyle w:val="6"/>
              <w:spacing w:before="99" w:line="182" w:lineRule="auto"/>
              <w:ind w:left="115"/>
              <w:outlineLvl w:val="0"/>
            </w:pPr>
            <w:bookmarkStart w:id="545" w:name="bookmark213"/>
            <w:bookmarkEnd w:id="545"/>
            <w:r>
              <w:rPr>
                <w:spacing w:val="11"/>
              </w:rPr>
              <w:t>危险化学品</w:t>
            </w:r>
          </w:p>
          <w:p w14:paraId="4D07184B">
            <w:pPr>
              <w:pStyle w:val="6"/>
              <w:spacing w:before="3" w:line="187" w:lineRule="auto"/>
              <w:ind w:left="115" w:right="111" w:firstLine="5"/>
              <w:jc w:val="both"/>
            </w:pPr>
            <w:r>
              <w:rPr>
                <w:spacing w:val="10"/>
              </w:rPr>
              <w:t>单位未在构</w:t>
            </w:r>
            <w:r>
              <w:rPr>
                <w:spacing w:val="11"/>
              </w:rPr>
              <w:t>成重大危险源的场所设置明显的安全警示标志</w:t>
            </w:r>
            <w:r>
              <w:t>的</w:t>
            </w:r>
          </w:p>
        </w:tc>
        <w:tc>
          <w:tcPr>
            <w:tcW w:w="3202" w:type="dxa"/>
            <w:vMerge w:val="restart"/>
            <w:tcBorders>
              <w:bottom w:val="nil"/>
            </w:tcBorders>
            <w:vAlign w:val="top"/>
          </w:tcPr>
          <w:p w14:paraId="72A6A5A3">
            <w:pPr>
              <w:pStyle w:val="6"/>
              <w:spacing w:before="35" w:line="182" w:lineRule="auto"/>
              <w:ind w:left="117" w:right="42" w:firstLine="13"/>
              <w:jc w:val="both"/>
            </w:pPr>
            <w:r>
              <w:rPr>
                <w:rFonts w:ascii="宋体" w:hAnsi="宋体" w:eastAsia="宋体" w:cs="宋体"/>
                <w:spacing w:val="14"/>
              </w:rPr>
              <w:t>1.</w:t>
            </w:r>
            <w:r>
              <w:rPr>
                <w:spacing w:val="14"/>
              </w:rPr>
              <w:t>【法律】《中华人民共和</w:t>
            </w:r>
            <w:r>
              <w:rPr>
                <w:spacing w:val="3"/>
              </w:rPr>
              <w:t>国安全生产法》第三十五条：</w:t>
            </w:r>
            <w:r>
              <w:rPr>
                <w:spacing w:val="17"/>
              </w:rPr>
              <w:t>生产经营单位应当在有较大危险因素的生产经营场所和</w:t>
            </w:r>
            <w:r>
              <w:rPr>
                <w:spacing w:val="13"/>
              </w:rPr>
              <w:t>有关设施、设备上，设置明</w:t>
            </w:r>
            <w:r>
              <w:rPr>
                <w:spacing w:val="4"/>
              </w:rPr>
              <w:t>显的安全警示标志。</w:t>
            </w:r>
          </w:p>
          <w:p w14:paraId="530EE617">
            <w:pPr>
              <w:pStyle w:val="6"/>
              <w:spacing w:before="1" w:line="186" w:lineRule="auto"/>
              <w:ind w:left="114" w:right="111" w:firstLine="1"/>
              <w:jc w:val="both"/>
            </w:pPr>
            <w:r>
              <w:rPr>
                <w:rFonts w:ascii="宋体" w:hAnsi="宋体" w:eastAsia="宋体" w:cs="宋体"/>
                <w:spacing w:val="15"/>
              </w:rPr>
              <w:t>2.</w:t>
            </w:r>
            <w:r>
              <w:rPr>
                <w:spacing w:val="15"/>
              </w:rPr>
              <w:t>【部门规章】《危险化学</w:t>
            </w:r>
            <w:r>
              <w:rPr>
                <w:spacing w:val="17"/>
              </w:rPr>
              <w:t>品重大危险源监督管理暂行</w:t>
            </w:r>
            <w:r>
              <w:rPr>
                <w:spacing w:val="14"/>
              </w:rPr>
              <w:t>规定》第十八条：危险化学</w:t>
            </w:r>
            <w:r>
              <w:rPr>
                <w:spacing w:val="17"/>
              </w:rPr>
              <w:t>品单位应当在</w:t>
            </w:r>
            <w:r>
              <w:fldChar w:fldCharType="begin"/>
            </w:r>
            <w:r>
              <w:instrText xml:space="preserve"> HYPERLINK "https://baike.baidu.com/item/%E9%87%8D%E5%A4%A7%E5%8D%B1%E9%99%A9%E6%BA%90/10983922?fromModule=lemma_inlink" </w:instrText>
            </w:r>
            <w:r>
              <w:fldChar w:fldCharType="separate"/>
            </w:r>
            <w:r>
              <w:rPr>
                <w:spacing w:val="17"/>
              </w:rPr>
              <w:t>重大危险源</w:t>
            </w:r>
            <w:r>
              <w:rPr>
                <w:spacing w:val="17"/>
              </w:rPr>
              <w:fldChar w:fldCharType="end"/>
            </w:r>
            <w:r>
              <w:rPr>
                <w:spacing w:val="17"/>
              </w:rPr>
              <w:t>所在场所设置明显的安全警示</w:t>
            </w:r>
            <w:r>
              <w:rPr>
                <w:spacing w:val="13"/>
              </w:rPr>
              <w:t>标志，写明紧急情况下的应</w:t>
            </w:r>
            <w:r>
              <w:rPr>
                <w:spacing w:val="2"/>
              </w:rPr>
              <w:t>急处置办法。</w:t>
            </w:r>
          </w:p>
        </w:tc>
        <w:tc>
          <w:tcPr>
            <w:tcW w:w="2859" w:type="dxa"/>
            <w:vMerge w:val="restart"/>
            <w:tcBorders>
              <w:bottom w:val="nil"/>
            </w:tcBorders>
            <w:vAlign w:val="top"/>
          </w:tcPr>
          <w:p w14:paraId="0CBA071A">
            <w:pPr>
              <w:pStyle w:val="6"/>
              <w:spacing w:before="44" w:line="182" w:lineRule="auto"/>
              <w:ind w:left="98" w:right="38" w:firstLine="32"/>
            </w:pPr>
            <w:r>
              <w:rPr>
                <w:rFonts w:ascii="宋体" w:hAnsi="宋体" w:eastAsia="宋体" w:cs="宋体"/>
                <w:spacing w:val="5"/>
              </w:rPr>
              <w:t>1.</w:t>
            </w:r>
            <w:r>
              <w:rPr>
                <w:spacing w:val="5"/>
              </w:rPr>
              <w:t>【法律】《中华人民共</w:t>
            </w:r>
            <w:r>
              <w:rPr>
                <w:spacing w:val="10"/>
              </w:rPr>
              <w:t>和国安全生产法》第九十九条第一项：生产经营单</w:t>
            </w:r>
            <w:r>
              <w:rPr>
                <w:spacing w:val="6"/>
              </w:rPr>
              <w:t>位有下列行为之一的，责</w:t>
            </w:r>
            <w:r>
              <w:rPr>
                <w:spacing w:val="10"/>
              </w:rPr>
              <w:t>令限期改正，处五万元以</w:t>
            </w:r>
            <w:r>
              <w:rPr>
                <w:spacing w:val="-4"/>
              </w:rPr>
              <w:t>下的罚款；逾期未改正的，</w:t>
            </w:r>
            <w:r>
              <w:rPr>
                <w:spacing w:val="10"/>
              </w:rPr>
              <w:t>处五万元以上二十万元以下的罚款，对其直接负责的主管人员和其他直接责任人员处一万元以上二万元以下的罚款；情节严重</w:t>
            </w:r>
            <w:r>
              <w:rPr>
                <w:spacing w:val="6"/>
              </w:rPr>
              <w:t>的，责令停产停业整顿；</w:t>
            </w:r>
            <w:r>
              <w:rPr>
                <w:spacing w:val="10"/>
              </w:rPr>
              <w:t>构成犯罪的，依照刑法有</w:t>
            </w:r>
            <w:r>
              <w:rPr>
                <w:spacing w:val="29"/>
              </w:rPr>
              <w:t>关规定追究刑事责任：</w:t>
            </w:r>
            <w:r>
              <w:t>（一）未在有较大危险因</w:t>
            </w:r>
            <w:r>
              <w:rPr>
                <w:spacing w:val="10"/>
              </w:rPr>
              <w:t>素的生产经营场所和有关设施、设备上设置明显的</w:t>
            </w:r>
            <w:r>
              <w:rPr>
                <w:spacing w:val="4"/>
              </w:rPr>
              <w:t>安全警示标志的；</w:t>
            </w:r>
          </w:p>
          <w:p w14:paraId="1AAF86ED">
            <w:pPr>
              <w:pStyle w:val="6"/>
              <w:spacing w:before="11" w:line="180" w:lineRule="auto"/>
              <w:ind w:left="120" w:right="110" w:hanging="4"/>
              <w:jc w:val="both"/>
            </w:pPr>
            <w:r>
              <w:rPr>
                <w:rFonts w:ascii="宋体" w:hAnsi="宋体" w:eastAsia="宋体" w:cs="宋体"/>
                <w:spacing w:val="7"/>
              </w:rPr>
              <w:t>2.</w:t>
            </w:r>
            <w:r>
              <w:rPr>
                <w:spacing w:val="7"/>
              </w:rPr>
              <w:t>【部门规章】《危险化</w:t>
            </w:r>
            <w:r>
              <w:rPr>
                <w:spacing w:val="8"/>
              </w:rPr>
              <w:t>学品重大危险源监督管理暂行规定》第三十三条第一项：危险化学品单位有下列行为之一的，由县级以上人民政府安全生产监</w:t>
            </w:r>
            <w:r>
              <w:rPr>
                <w:spacing w:val="32"/>
              </w:rPr>
              <w:t>督管理部门责令限期改</w:t>
            </w:r>
          </w:p>
        </w:tc>
        <w:tc>
          <w:tcPr>
            <w:tcW w:w="803" w:type="dxa"/>
            <w:vAlign w:val="top"/>
          </w:tcPr>
          <w:p w14:paraId="3C6CFA62">
            <w:pPr>
              <w:spacing w:line="297" w:lineRule="auto"/>
              <w:rPr>
                <w:rFonts w:ascii="Arial"/>
                <w:sz w:val="21"/>
              </w:rPr>
            </w:pPr>
          </w:p>
          <w:p w14:paraId="6B189357">
            <w:pPr>
              <w:spacing w:line="297" w:lineRule="auto"/>
              <w:rPr>
                <w:rFonts w:ascii="Arial"/>
                <w:sz w:val="21"/>
              </w:rPr>
            </w:pPr>
          </w:p>
          <w:p w14:paraId="28830F54">
            <w:pPr>
              <w:spacing w:line="298" w:lineRule="auto"/>
              <w:rPr>
                <w:rFonts w:ascii="Arial"/>
                <w:sz w:val="21"/>
              </w:rPr>
            </w:pPr>
          </w:p>
          <w:p w14:paraId="2730E8AD">
            <w:pPr>
              <w:spacing w:line="298" w:lineRule="auto"/>
              <w:rPr>
                <w:rFonts w:ascii="Arial"/>
                <w:sz w:val="21"/>
              </w:rPr>
            </w:pPr>
          </w:p>
          <w:p w14:paraId="77A23D0E">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CC376B4">
            <w:pPr>
              <w:spacing w:line="337" w:lineRule="auto"/>
              <w:rPr>
                <w:rFonts w:ascii="Arial"/>
                <w:sz w:val="21"/>
              </w:rPr>
            </w:pPr>
          </w:p>
          <w:p w14:paraId="4A04F14D">
            <w:pPr>
              <w:spacing w:line="338" w:lineRule="auto"/>
              <w:rPr>
                <w:rFonts w:ascii="Arial"/>
                <w:sz w:val="21"/>
              </w:rPr>
            </w:pPr>
          </w:p>
          <w:p w14:paraId="1F1788BF">
            <w:pPr>
              <w:pStyle w:val="6"/>
              <w:spacing w:before="99" w:line="190" w:lineRule="auto"/>
              <w:ind w:left="117" w:right="109"/>
              <w:jc w:val="both"/>
            </w:pPr>
            <w:r>
              <w:rPr>
                <w:spacing w:val="26"/>
              </w:rPr>
              <w:t>未在构成四级重大危险源的场所设置明显的安全警示标</w:t>
            </w:r>
            <w:r>
              <w:rPr>
                <w:spacing w:val="2"/>
              </w:rPr>
              <w:t>志的</w:t>
            </w:r>
          </w:p>
        </w:tc>
        <w:tc>
          <w:tcPr>
            <w:tcW w:w="2894" w:type="dxa"/>
            <w:vAlign w:val="top"/>
          </w:tcPr>
          <w:p w14:paraId="5B7EF006">
            <w:pPr>
              <w:pStyle w:val="6"/>
              <w:spacing w:before="29" w:line="180" w:lineRule="auto"/>
              <w:ind w:left="120" w:right="104" w:firstLine="7"/>
              <w:jc w:val="both"/>
            </w:pPr>
            <w:r>
              <w:rPr>
                <w:spacing w:val="8"/>
              </w:rPr>
              <w:t>责令限期改正，可以处</w:t>
            </w:r>
            <w:r>
              <w:rPr>
                <w:rFonts w:ascii="宋体" w:hAnsi="宋体" w:eastAsia="宋体" w:cs="宋体"/>
                <w:spacing w:val="8"/>
              </w:rPr>
              <w:t>1</w:t>
            </w:r>
            <w:r>
              <w:rPr>
                <w:spacing w:val="9"/>
              </w:rPr>
              <w:t>万元以下的罚款；逾期未</w:t>
            </w:r>
            <w:r>
              <w:t>改正的，处</w:t>
            </w:r>
            <w:r>
              <w:rPr>
                <w:rFonts w:ascii="宋体" w:hAnsi="宋体" w:eastAsia="宋体" w:cs="宋体"/>
              </w:rPr>
              <w:t>5</w:t>
            </w:r>
            <w:r>
              <w:t>万元以上</w:t>
            </w:r>
            <w:r>
              <w:rPr>
                <w:rFonts w:ascii="宋体" w:hAnsi="宋体" w:eastAsia="宋体" w:cs="宋体"/>
              </w:rPr>
              <w:t>10</w:t>
            </w:r>
            <w:r>
              <w:rPr>
                <w:spacing w:val="8"/>
              </w:rPr>
              <w:t>万元以下的罚款，对其直</w:t>
            </w:r>
            <w:r>
              <w:rPr>
                <w:spacing w:val="11"/>
              </w:rPr>
              <w:t>接负责的主管人员和其他</w:t>
            </w:r>
            <w:r>
              <w:rPr>
                <w:spacing w:val="5"/>
              </w:rPr>
              <w:t>直接责任人员处</w:t>
            </w:r>
            <w:r>
              <w:rPr>
                <w:rFonts w:ascii="宋体" w:hAnsi="宋体" w:eastAsia="宋体" w:cs="宋体"/>
                <w:spacing w:val="5"/>
              </w:rPr>
              <w:t>1</w:t>
            </w:r>
            <w:r>
              <w:rPr>
                <w:spacing w:val="5"/>
              </w:rPr>
              <w:t>万元以</w:t>
            </w:r>
            <w:r>
              <w:rPr>
                <w:spacing w:val="3"/>
              </w:rPr>
              <w:t>上</w:t>
            </w:r>
            <w:r>
              <w:rPr>
                <w:rFonts w:ascii="宋体" w:hAnsi="宋体" w:eastAsia="宋体" w:cs="宋体"/>
                <w:spacing w:val="3"/>
              </w:rPr>
              <w:t>2</w:t>
            </w:r>
            <w:r>
              <w:rPr>
                <w:spacing w:val="3"/>
              </w:rPr>
              <w:t>万元以下的罚款；情</w:t>
            </w:r>
            <w:r>
              <w:rPr>
                <w:spacing w:val="8"/>
              </w:rPr>
              <w:t>节严重的，责令停产停业</w:t>
            </w:r>
            <w:r>
              <w:rPr>
                <w:spacing w:val="2"/>
              </w:rPr>
              <w:t>整顿</w:t>
            </w:r>
          </w:p>
        </w:tc>
        <w:tc>
          <w:tcPr>
            <w:tcW w:w="811" w:type="dxa"/>
            <w:vMerge w:val="restart"/>
            <w:tcBorders>
              <w:bottom w:val="nil"/>
            </w:tcBorders>
            <w:vAlign w:val="top"/>
          </w:tcPr>
          <w:p w14:paraId="03E8CC96">
            <w:pPr>
              <w:rPr>
                <w:rFonts w:ascii="Arial"/>
                <w:sz w:val="21"/>
              </w:rPr>
            </w:pPr>
          </w:p>
        </w:tc>
      </w:tr>
      <w:tr w14:paraId="5D439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818" w:type="dxa"/>
            <w:vMerge w:val="continue"/>
            <w:tcBorders>
              <w:top w:val="nil"/>
              <w:bottom w:val="nil"/>
            </w:tcBorders>
            <w:vAlign w:val="top"/>
          </w:tcPr>
          <w:p w14:paraId="7EA34A85">
            <w:pPr>
              <w:rPr>
                <w:rFonts w:ascii="Arial"/>
                <w:sz w:val="21"/>
              </w:rPr>
            </w:pPr>
          </w:p>
        </w:tc>
        <w:tc>
          <w:tcPr>
            <w:tcW w:w="1440" w:type="dxa"/>
            <w:vMerge w:val="continue"/>
            <w:tcBorders>
              <w:top w:val="nil"/>
              <w:bottom w:val="nil"/>
            </w:tcBorders>
            <w:vAlign w:val="top"/>
          </w:tcPr>
          <w:p w14:paraId="39A01231">
            <w:pPr>
              <w:rPr>
                <w:rFonts w:ascii="Arial"/>
                <w:sz w:val="21"/>
              </w:rPr>
            </w:pPr>
          </w:p>
        </w:tc>
        <w:tc>
          <w:tcPr>
            <w:tcW w:w="3202" w:type="dxa"/>
            <w:vMerge w:val="continue"/>
            <w:tcBorders>
              <w:top w:val="nil"/>
              <w:bottom w:val="nil"/>
            </w:tcBorders>
            <w:vAlign w:val="top"/>
          </w:tcPr>
          <w:p w14:paraId="3D1EBED9">
            <w:pPr>
              <w:rPr>
                <w:rFonts w:ascii="Arial"/>
                <w:sz w:val="21"/>
              </w:rPr>
            </w:pPr>
          </w:p>
        </w:tc>
        <w:tc>
          <w:tcPr>
            <w:tcW w:w="2859" w:type="dxa"/>
            <w:vMerge w:val="continue"/>
            <w:tcBorders>
              <w:top w:val="nil"/>
              <w:bottom w:val="nil"/>
            </w:tcBorders>
            <w:vAlign w:val="top"/>
          </w:tcPr>
          <w:p w14:paraId="773852A5">
            <w:pPr>
              <w:rPr>
                <w:rFonts w:ascii="Arial"/>
                <w:sz w:val="21"/>
              </w:rPr>
            </w:pPr>
          </w:p>
        </w:tc>
        <w:tc>
          <w:tcPr>
            <w:tcW w:w="803" w:type="dxa"/>
            <w:vAlign w:val="top"/>
          </w:tcPr>
          <w:p w14:paraId="318ECDDD">
            <w:pPr>
              <w:spacing w:line="298" w:lineRule="auto"/>
              <w:rPr>
                <w:rFonts w:ascii="Arial"/>
                <w:sz w:val="21"/>
              </w:rPr>
            </w:pPr>
          </w:p>
          <w:p w14:paraId="08A12FCD">
            <w:pPr>
              <w:spacing w:line="299" w:lineRule="auto"/>
              <w:rPr>
                <w:rFonts w:ascii="Arial"/>
                <w:sz w:val="21"/>
              </w:rPr>
            </w:pPr>
          </w:p>
          <w:p w14:paraId="53E20423">
            <w:pPr>
              <w:spacing w:line="299" w:lineRule="auto"/>
              <w:rPr>
                <w:rFonts w:ascii="Arial"/>
                <w:sz w:val="21"/>
              </w:rPr>
            </w:pPr>
          </w:p>
          <w:p w14:paraId="47F956C0">
            <w:pPr>
              <w:spacing w:line="299" w:lineRule="auto"/>
              <w:rPr>
                <w:rFonts w:ascii="Arial"/>
                <w:sz w:val="21"/>
              </w:rPr>
            </w:pPr>
          </w:p>
          <w:p w14:paraId="01FDB0B9">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C3A5C57">
            <w:pPr>
              <w:spacing w:line="338" w:lineRule="auto"/>
              <w:rPr>
                <w:rFonts w:ascii="Arial"/>
                <w:sz w:val="21"/>
              </w:rPr>
            </w:pPr>
          </w:p>
          <w:p w14:paraId="2ABB4D4B">
            <w:pPr>
              <w:spacing w:line="339" w:lineRule="auto"/>
              <w:rPr>
                <w:rFonts w:ascii="Arial"/>
                <w:sz w:val="21"/>
              </w:rPr>
            </w:pPr>
          </w:p>
          <w:p w14:paraId="2110B247">
            <w:pPr>
              <w:pStyle w:val="6"/>
              <w:spacing w:before="99" w:line="190" w:lineRule="auto"/>
              <w:ind w:left="117" w:right="109"/>
              <w:jc w:val="both"/>
            </w:pPr>
            <w:r>
              <w:rPr>
                <w:spacing w:val="26"/>
              </w:rPr>
              <w:t>未在构成三级重大危险源的场所设置明显的安全警示标</w:t>
            </w:r>
            <w:r>
              <w:rPr>
                <w:spacing w:val="2"/>
              </w:rPr>
              <w:t>志的</w:t>
            </w:r>
          </w:p>
        </w:tc>
        <w:tc>
          <w:tcPr>
            <w:tcW w:w="2894" w:type="dxa"/>
            <w:vAlign w:val="top"/>
          </w:tcPr>
          <w:p w14:paraId="72FE9F7F">
            <w:pPr>
              <w:pStyle w:val="6"/>
              <w:spacing w:before="30" w:line="180" w:lineRule="auto"/>
              <w:ind w:left="122" w:right="104" w:firstLine="4"/>
            </w:pPr>
            <w:r>
              <w:rPr>
                <w:spacing w:val="8"/>
              </w:rPr>
              <w:t>责令限期改正，可以处</w:t>
            </w:r>
            <w:r>
              <w:rPr>
                <w:rFonts w:ascii="宋体" w:hAnsi="宋体" w:eastAsia="宋体" w:cs="宋体"/>
                <w:spacing w:val="8"/>
              </w:rPr>
              <w:t>1</w:t>
            </w:r>
            <w:r>
              <w:rPr>
                <w:spacing w:val="7"/>
              </w:rPr>
              <w:t>万元以上</w:t>
            </w:r>
            <w:r>
              <w:rPr>
                <w:rFonts w:ascii="宋体" w:hAnsi="宋体" w:eastAsia="宋体" w:cs="宋体"/>
                <w:spacing w:val="7"/>
              </w:rPr>
              <w:t>2</w:t>
            </w:r>
            <w:r>
              <w:rPr>
                <w:spacing w:val="7"/>
              </w:rPr>
              <w:t>万元以下的罚</w:t>
            </w:r>
            <w:r>
              <w:rPr>
                <w:spacing w:val="-3"/>
              </w:rPr>
              <w:t>款；逾期未改正的，处</w:t>
            </w:r>
            <w:r>
              <w:rPr>
                <w:rFonts w:ascii="宋体" w:hAnsi="宋体" w:eastAsia="宋体" w:cs="宋体"/>
                <w:spacing w:val="-3"/>
              </w:rPr>
              <w:t>10</w:t>
            </w:r>
            <w:r>
              <w:rPr>
                <w:spacing w:val="11"/>
              </w:rPr>
              <w:t>万元以上</w:t>
            </w:r>
            <w:r>
              <w:rPr>
                <w:rFonts w:ascii="宋体" w:hAnsi="宋体" w:eastAsia="宋体" w:cs="宋体"/>
                <w:spacing w:val="11"/>
              </w:rPr>
              <w:t>13</w:t>
            </w:r>
            <w:r>
              <w:rPr>
                <w:spacing w:val="11"/>
              </w:rPr>
              <w:t>万元以下的</w:t>
            </w:r>
            <w:r>
              <w:rPr>
                <w:spacing w:val="8"/>
              </w:rPr>
              <w:t>罚款，对其直接负责的主</w:t>
            </w:r>
            <w:r>
              <w:rPr>
                <w:spacing w:val="11"/>
              </w:rPr>
              <w:t>管人员和其他直接责任人</w:t>
            </w:r>
            <w:r>
              <w:rPr>
                <w:spacing w:val="1"/>
              </w:rPr>
              <w:t>员处</w:t>
            </w:r>
            <w:r>
              <w:rPr>
                <w:rFonts w:ascii="宋体" w:hAnsi="宋体" w:eastAsia="宋体" w:cs="宋体"/>
                <w:spacing w:val="1"/>
              </w:rPr>
              <w:t>1</w:t>
            </w:r>
            <w:r>
              <w:rPr>
                <w:spacing w:val="1"/>
              </w:rPr>
              <w:t>万元以上</w:t>
            </w:r>
            <w:r>
              <w:rPr>
                <w:rFonts w:ascii="宋体" w:hAnsi="宋体" w:eastAsia="宋体" w:cs="宋体"/>
                <w:spacing w:val="1"/>
              </w:rPr>
              <w:t>2</w:t>
            </w:r>
            <w:r>
              <w:rPr>
                <w:spacing w:val="1"/>
              </w:rPr>
              <w:t>万元以</w:t>
            </w:r>
            <w:r>
              <w:rPr>
                <w:spacing w:val="3"/>
              </w:rPr>
              <w:t>下的罚款；情节严重的，</w:t>
            </w:r>
            <w:r>
              <w:rPr>
                <w:spacing w:val="7"/>
              </w:rPr>
              <w:t>责令停产停业整顿</w:t>
            </w:r>
          </w:p>
        </w:tc>
        <w:tc>
          <w:tcPr>
            <w:tcW w:w="811" w:type="dxa"/>
            <w:vMerge w:val="continue"/>
            <w:tcBorders>
              <w:top w:val="nil"/>
              <w:bottom w:val="nil"/>
            </w:tcBorders>
            <w:vAlign w:val="top"/>
          </w:tcPr>
          <w:p w14:paraId="5CF3E173">
            <w:pPr>
              <w:rPr>
                <w:rFonts w:ascii="Arial"/>
                <w:sz w:val="21"/>
              </w:rPr>
            </w:pPr>
          </w:p>
        </w:tc>
      </w:tr>
      <w:tr w14:paraId="74842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7" w:hRule="atLeast"/>
        </w:trPr>
        <w:tc>
          <w:tcPr>
            <w:tcW w:w="818" w:type="dxa"/>
            <w:vMerge w:val="continue"/>
            <w:tcBorders>
              <w:top w:val="nil"/>
            </w:tcBorders>
            <w:vAlign w:val="top"/>
          </w:tcPr>
          <w:p w14:paraId="70C79AEC">
            <w:pPr>
              <w:rPr>
                <w:rFonts w:ascii="Arial"/>
                <w:sz w:val="21"/>
              </w:rPr>
            </w:pPr>
          </w:p>
        </w:tc>
        <w:tc>
          <w:tcPr>
            <w:tcW w:w="1440" w:type="dxa"/>
            <w:vMerge w:val="continue"/>
            <w:tcBorders>
              <w:top w:val="nil"/>
            </w:tcBorders>
            <w:vAlign w:val="top"/>
          </w:tcPr>
          <w:p w14:paraId="37E8D934">
            <w:pPr>
              <w:rPr>
                <w:rFonts w:ascii="Arial"/>
                <w:sz w:val="21"/>
              </w:rPr>
            </w:pPr>
          </w:p>
        </w:tc>
        <w:tc>
          <w:tcPr>
            <w:tcW w:w="3202" w:type="dxa"/>
            <w:vMerge w:val="continue"/>
            <w:tcBorders>
              <w:top w:val="nil"/>
            </w:tcBorders>
            <w:vAlign w:val="top"/>
          </w:tcPr>
          <w:p w14:paraId="47A4B028">
            <w:pPr>
              <w:rPr>
                <w:rFonts w:ascii="Arial"/>
                <w:sz w:val="21"/>
              </w:rPr>
            </w:pPr>
          </w:p>
        </w:tc>
        <w:tc>
          <w:tcPr>
            <w:tcW w:w="2859" w:type="dxa"/>
            <w:vMerge w:val="continue"/>
            <w:tcBorders>
              <w:top w:val="nil"/>
            </w:tcBorders>
            <w:vAlign w:val="top"/>
          </w:tcPr>
          <w:p w14:paraId="41ADB7FD">
            <w:pPr>
              <w:rPr>
                <w:rFonts w:ascii="Arial"/>
                <w:sz w:val="21"/>
              </w:rPr>
            </w:pPr>
          </w:p>
        </w:tc>
        <w:tc>
          <w:tcPr>
            <w:tcW w:w="803" w:type="dxa"/>
            <w:vAlign w:val="top"/>
          </w:tcPr>
          <w:p w14:paraId="2AC45481">
            <w:pPr>
              <w:spacing w:line="298" w:lineRule="auto"/>
              <w:rPr>
                <w:rFonts w:ascii="Arial"/>
                <w:sz w:val="21"/>
              </w:rPr>
            </w:pPr>
          </w:p>
          <w:p w14:paraId="68DBBB8F">
            <w:pPr>
              <w:spacing w:line="299" w:lineRule="auto"/>
              <w:rPr>
                <w:rFonts w:ascii="Arial"/>
                <w:sz w:val="21"/>
              </w:rPr>
            </w:pPr>
          </w:p>
          <w:p w14:paraId="76852F63">
            <w:pPr>
              <w:spacing w:line="299" w:lineRule="auto"/>
              <w:rPr>
                <w:rFonts w:ascii="Arial"/>
                <w:sz w:val="21"/>
              </w:rPr>
            </w:pPr>
          </w:p>
          <w:p w14:paraId="7B73E56C">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583CA1C">
            <w:pPr>
              <w:spacing w:line="379" w:lineRule="auto"/>
              <w:rPr>
                <w:rFonts w:ascii="Arial"/>
                <w:sz w:val="21"/>
              </w:rPr>
            </w:pPr>
          </w:p>
          <w:p w14:paraId="77813CF5">
            <w:pPr>
              <w:pStyle w:val="6"/>
              <w:spacing w:before="99" w:line="190" w:lineRule="auto"/>
              <w:ind w:left="117" w:right="109"/>
              <w:jc w:val="both"/>
            </w:pPr>
            <w:r>
              <w:rPr>
                <w:spacing w:val="26"/>
              </w:rPr>
              <w:t>未在构成二级重大危险源的场所设置明显的安全警示标</w:t>
            </w:r>
            <w:r>
              <w:rPr>
                <w:spacing w:val="2"/>
              </w:rPr>
              <w:t>志的</w:t>
            </w:r>
          </w:p>
        </w:tc>
        <w:tc>
          <w:tcPr>
            <w:tcW w:w="2894" w:type="dxa"/>
            <w:vAlign w:val="top"/>
          </w:tcPr>
          <w:p w14:paraId="75460AC6">
            <w:pPr>
              <w:pStyle w:val="6"/>
              <w:spacing w:before="36" w:line="179" w:lineRule="auto"/>
              <w:ind w:left="122" w:right="104" w:firstLine="4"/>
              <w:jc w:val="both"/>
            </w:pPr>
            <w:r>
              <w:rPr>
                <w:spacing w:val="10"/>
              </w:rPr>
              <w:t>责令限期改正，可以处</w:t>
            </w:r>
            <w:r>
              <w:rPr>
                <w:rFonts w:ascii="宋体" w:hAnsi="宋体" w:eastAsia="宋体" w:cs="宋体"/>
                <w:spacing w:val="10"/>
              </w:rPr>
              <w:t>2</w:t>
            </w:r>
            <w:r>
              <w:rPr>
                <w:spacing w:val="7"/>
              </w:rPr>
              <w:t>万元以上</w:t>
            </w:r>
            <w:r>
              <w:rPr>
                <w:rFonts w:ascii="宋体" w:hAnsi="宋体" w:eastAsia="宋体" w:cs="宋体"/>
                <w:spacing w:val="7"/>
              </w:rPr>
              <w:t>3</w:t>
            </w:r>
            <w:r>
              <w:rPr>
                <w:spacing w:val="7"/>
              </w:rPr>
              <w:t>万元以下的罚</w:t>
            </w:r>
            <w:r>
              <w:rPr>
                <w:spacing w:val="-3"/>
              </w:rPr>
              <w:t>款；逾期未改正的，处</w:t>
            </w:r>
            <w:r>
              <w:rPr>
                <w:rFonts w:ascii="宋体" w:hAnsi="宋体" w:eastAsia="宋体" w:cs="宋体"/>
                <w:spacing w:val="-3"/>
              </w:rPr>
              <w:t>13</w:t>
            </w:r>
            <w:r>
              <w:rPr>
                <w:spacing w:val="11"/>
              </w:rPr>
              <w:t>万元以上</w:t>
            </w:r>
            <w:r>
              <w:rPr>
                <w:rFonts w:ascii="宋体" w:hAnsi="宋体" w:eastAsia="宋体" w:cs="宋体"/>
                <w:spacing w:val="11"/>
              </w:rPr>
              <w:t>17</w:t>
            </w:r>
            <w:r>
              <w:rPr>
                <w:spacing w:val="11"/>
              </w:rPr>
              <w:t>万元以下的</w:t>
            </w:r>
            <w:r>
              <w:rPr>
                <w:spacing w:val="8"/>
              </w:rPr>
              <w:t>罚款，对其直接负责的主</w:t>
            </w:r>
            <w:r>
              <w:rPr>
                <w:spacing w:val="11"/>
              </w:rPr>
              <w:t>管人员和其他直接责任人</w:t>
            </w:r>
            <w:r>
              <w:rPr>
                <w:spacing w:val="1"/>
              </w:rPr>
              <w:t>员处</w:t>
            </w:r>
            <w:r>
              <w:rPr>
                <w:rFonts w:ascii="宋体" w:hAnsi="宋体" w:eastAsia="宋体" w:cs="宋体"/>
                <w:spacing w:val="1"/>
              </w:rPr>
              <w:t>1</w:t>
            </w:r>
            <w:r>
              <w:rPr>
                <w:spacing w:val="1"/>
              </w:rPr>
              <w:t>万元以上</w:t>
            </w:r>
            <w:r>
              <w:rPr>
                <w:rFonts w:ascii="宋体" w:hAnsi="宋体" w:eastAsia="宋体" w:cs="宋体"/>
                <w:spacing w:val="1"/>
              </w:rPr>
              <w:t>2</w:t>
            </w:r>
            <w:r>
              <w:rPr>
                <w:spacing w:val="1"/>
              </w:rPr>
              <w:t>万元以</w:t>
            </w:r>
          </w:p>
        </w:tc>
        <w:tc>
          <w:tcPr>
            <w:tcW w:w="811" w:type="dxa"/>
            <w:vMerge w:val="continue"/>
            <w:tcBorders>
              <w:top w:val="nil"/>
            </w:tcBorders>
            <w:vAlign w:val="top"/>
          </w:tcPr>
          <w:p w14:paraId="556FFD31">
            <w:pPr>
              <w:rPr>
                <w:rFonts w:ascii="Arial"/>
                <w:sz w:val="21"/>
              </w:rPr>
            </w:pPr>
          </w:p>
        </w:tc>
      </w:tr>
    </w:tbl>
    <w:p w14:paraId="49750EF9">
      <w:pPr>
        <w:pStyle w:val="2"/>
      </w:pPr>
    </w:p>
    <w:p w14:paraId="7D40A4DA">
      <w:pPr>
        <w:sectPr>
          <w:footerReference r:id="rId138" w:type="default"/>
          <w:pgSz w:w="16839" w:h="11906"/>
          <w:pgMar w:top="1012" w:right="821" w:bottom="667" w:left="901" w:header="0" w:footer="388" w:gutter="0"/>
          <w:cols w:space="720" w:num="1"/>
        </w:sectPr>
      </w:pPr>
    </w:p>
    <w:p w14:paraId="0209B408">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B200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851B658">
            <w:pPr>
              <w:spacing w:before="222" w:line="241" w:lineRule="auto"/>
              <w:ind w:left="131"/>
              <w:outlineLvl w:val="0"/>
              <w:rPr>
                <w:rFonts w:ascii="黑体" w:hAnsi="黑体" w:eastAsia="黑体" w:cs="黑体"/>
                <w:sz w:val="28"/>
                <w:szCs w:val="28"/>
              </w:rPr>
            </w:pPr>
            <w:bookmarkStart w:id="546" w:name="bookmark234"/>
            <w:bookmarkEnd w:id="546"/>
            <w:r>
              <w:rPr>
                <w:rFonts w:ascii="黑体" w:hAnsi="黑体" w:eastAsia="黑体" w:cs="黑体"/>
                <w:spacing w:val="-2"/>
                <w:sz w:val="28"/>
                <w:szCs w:val="28"/>
              </w:rPr>
              <w:t>序号</w:t>
            </w:r>
          </w:p>
        </w:tc>
        <w:tc>
          <w:tcPr>
            <w:tcW w:w="1440" w:type="dxa"/>
            <w:vAlign w:val="top"/>
          </w:tcPr>
          <w:p w14:paraId="6349F4DE">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CB3BD66">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45004A3F">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A329572">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C852ED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A41568B">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176CF18">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2E9E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818" w:type="dxa"/>
            <w:vMerge w:val="restart"/>
            <w:tcBorders>
              <w:bottom w:val="nil"/>
            </w:tcBorders>
            <w:vAlign w:val="top"/>
          </w:tcPr>
          <w:p w14:paraId="610E6219">
            <w:pPr>
              <w:rPr>
                <w:rFonts w:ascii="Arial"/>
                <w:sz w:val="21"/>
              </w:rPr>
            </w:pPr>
          </w:p>
        </w:tc>
        <w:tc>
          <w:tcPr>
            <w:tcW w:w="1440" w:type="dxa"/>
            <w:vMerge w:val="restart"/>
            <w:tcBorders>
              <w:bottom w:val="nil"/>
            </w:tcBorders>
            <w:vAlign w:val="top"/>
          </w:tcPr>
          <w:p w14:paraId="33A8F738">
            <w:pPr>
              <w:rPr>
                <w:rFonts w:ascii="Arial"/>
                <w:sz w:val="21"/>
              </w:rPr>
            </w:pPr>
          </w:p>
        </w:tc>
        <w:tc>
          <w:tcPr>
            <w:tcW w:w="3202" w:type="dxa"/>
            <w:vMerge w:val="restart"/>
            <w:tcBorders>
              <w:bottom w:val="nil"/>
            </w:tcBorders>
            <w:vAlign w:val="top"/>
          </w:tcPr>
          <w:p w14:paraId="2CD55783">
            <w:pPr>
              <w:rPr>
                <w:rFonts w:ascii="Arial"/>
                <w:sz w:val="21"/>
              </w:rPr>
            </w:pPr>
          </w:p>
        </w:tc>
        <w:tc>
          <w:tcPr>
            <w:tcW w:w="2859" w:type="dxa"/>
            <w:vMerge w:val="restart"/>
            <w:tcBorders>
              <w:bottom w:val="nil"/>
            </w:tcBorders>
            <w:vAlign w:val="top"/>
          </w:tcPr>
          <w:p w14:paraId="3C6CD5FC">
            <w:pPr>
              <w:pStyle w:val="6"/>
              <w:spacing w:before="23" w:line="181" w:lineRule="auto"/>
              <w:ind w:left="117" w:right="106" w:firstLine="8"/>
            </w:pPr>
            <w:r>
              <w:rPr>
                <w:spacing w:val="4"/>
              </w:rPr>
              <w:t>正，可以处</w:t>
            </w:r>
            <w:r>
              <w:rPr>
                <w:rFonts w:ascii="宋体" w:hAnsi="宋体" w:eastAsia="宋体" w:cs="宋体"/>
                <w:spacing w:val="4"/>
              </w:rPr>
              <w:t>5</w:t>
            </w:r>
            <w:r>
              <w:rPr>
                <w:spacing w:val="4"/>
              </w:rPr>
              <w:t>万元以下的</w:t>
            </w:r>
            <w:r>
              <w:rPr>
                <w:spacing w:val="8"/>
              </w:rPr>
              <w:t>罚款；逾期未改正的，处</w:t>
            </w:r>
            <w:r>
              <w:rPr>
                <w:rFonts w:ascii="宋体" w:hAnsi="宋体" w:eastAsia="宋体" w:cs="宋体"/>
                <w:spacing w:val="7"/>
              </w:rPr>
              <w:t>5</w:t>
            </w:r>
            <w:r>
              <w:rPr>
                <w:spacing w:val="7"/>
              </w:rPr>
              <w:t>万元以上</w:t>
            </w:r>
            <w:r>
              <w:rPr>
                <w:rFonts w:ascii="宋体" w:hAnsi="宋体" w:eastAsia="宋体" w:cs="宋体"/>
                <w:spacing w:val="7"/>
              </w:rPr>
              <w:t>20</w:t>
            </w:r>
            <w:r>
              <w:rPr>
                <w:spacing w:val="7"/>
              </w:rPr>
              <w:t>万元以下的</w:t>
            </w:r>
            <w:r>
              <w:rPr>
                <w:spacing w:val="8"/>
              </w:rPr>
              <w:t>罚款，对其直接负责的主管人员和其他直接责任人</w:t>
            </w:r>
            <w:r>
              <w:rPr>
                <w:spacing w:val="-1"/>
              </w:rPr>
              <w:t>员处</w:t>
            </w:r>
            <w:r>
              <w:rPr>
                <w:rFonts w:ascii="宋体" w:hAnsi="宋体" w:eastAsia="宋体" w:cs="宋体"/>
                <w:spacing w:val="-1"/>
              </w:rPr>
              <w:t>1</w:t>
            </w:r>
            <w:r>
              <w:rPr>
                <w:spacing w:val="-1"/>
              </w:rPr>
              <w:t>万元以上</w:t>
            </w:r>
            <w:r>
              <w:rPr>
                <w:rFonts w:ascii="宋体" w:hAnsi="宋体" w:eastAsia="宋体" w:cs="宋体"/>
                <w:spacing w:val="-1"/>
              </w:rPr>
              <w:t>2</w:t>
            </w:r>
            <w:r>
              <w:rPr>
                <w:spacing w:val="-1"/>
              </w:rPr>
              <w:t>万元以</w:t>
            </w:r>
            <w:r>
              <w:rPr>
                <w:spacing w:val="4"/>
              </w:rPr>
              <w:t>下的罚款；情节严重的，</w:t>
            </w:r>
            <w:r>
              <w:rPr>
                <w:spacing w:val="8"/>
              </w:rPr>
              <w:t>责令停产停业整顿；构成</w:t>
            </w:r>
            <w:r>
              <w:rPr>
                <w:spacing w:val="4"/>
              </w:rPr>
              <w:t>犯罪的，依照刑法有关规</w:t>
            </w:r>
            <w:r>
              <w:rPr>
                <w:spacing w:val="-4"/>
              </w:rPr>
              <w:t>定追究刑事责任</w:t>
            </w:r>
            <w:r>
              <w:rPr>
                <w:spacing w:val="-3"/>
              </w:rPr>
              <w:t>：（</w:t>
            </w:r>
            <w:r>
              <w:rPr>
                <w:spacing w:val="-4"/>
              </w:rPr>
              <w:t>一）</w:t>
            </w:r>
            <w:r>
              <w:rPr>
                <w:spacing w:val="8"/>
              </w:rPr>
              <w:t>未在构成重大危险源的场所设置明显的安全警示标</w:t>
            </w:r>
            <w:r>
              <w:rPr>
                <w:spacing w:val="-7"/>
              </w:rPr>
              <w:t>志的；</w:t>
            </w:r>
          </w:p>
        </w:tc>
        <w:tc>
          <w:tcPr>
            <w:tcW w:w="803" w:type="dxa"/>
            <w:vAlign w:val="top"/>
          </w:tcPr>
          <w:p w14:paraId="4AAAB818">
            <w:pPr>
              <w:rPr>
                <w:rFonts w:ascii="Arial"/>
                <w:sz w:val="21"/>
              </w:rPr>
            </w:pPr>
          </w:p>
        </w:tc>
        <w:tc>
          <w:tcPr>
            <w:tcW w:w="2283" w:type="dxa"/>
            <w:vAlign w:val="top"/>
          </w:tcPr>
          <w:p w14:paraId="75F3B503">
            <w:pPr>
              <w:rPr>
                <w:rFonts w:ascii="Arial"/>
                <w:sz w:val="21"/>
              </w:rPr>
            </w:pPr>
          </w:p>
        </w:tc>
        <w:tc>
          <w:tcPr>
            <w:tcW w:w="2894" w:type="dxa"/>
            <w:vAlign w:val="top"/>
          </w:tcPr>
          <w:p w14:paraId="6146FF05">
            <w:pPr>
              <w:pStyle w:val="6"/>
              <w:spacing w:before="28" w:line="195" w:lineRule="auto"/>
              <w:ind w:left="126" w:right="156" w:hanging="2"/>
            </w:pPr>
            <w:r>
              <w:rPr>
                <w:spacing w:val="3"/>
              </w:rPr>
              <w:t>下的罚款；情节严重的，</w:t>
            </w:r>
            <w:r>
              <w:rPr>
                <w:spacing w:val="6"/>
              </w:rPr>
              <w:t>责令停产停业整顿</w:t>
            </w:r>
          </w:p>
        </w:tc>
        <w:tc>
          <w:tcPr>
            <w:tcW w:w="811" w:type="dxa"/>
            <w:vMerge w:val="restart"/>
            <w:tcBorders>
              <w:bottom w:val="nil"/>
            </w:tcBorders>
            <w:vAlign w:val="top"/>
          </w:tcPr>
          <w:p w14:paraId="48C50A2B">
            <w:pPr>
              <w:rPr>
                <w:rFonts w:ascii="Arial"/>
                <w:sz w:val="21"/>
              </w:rPr>
            </w:pPr>
          </w:p>
        </w:tc>
      </w:tr>
      <w:tr w14:paraId="71EF5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5" w:hRule="atLeast"/>
        </w:trPr>
        <w:tc>
          <w:tcPr>
            <w:tcW w:w="818" w:type="dxa"/>
            <w:vMerge w:val="continue"/>
            <w:tcBorders>
              <w:top w:val="nil"/>
            </w:tcBorders>
            <w:vAlign w:val="top"/>
          </w:tcPr>
          <w:p w14:paraId="40150950">
            <w:pPr>
              <w:rPr>
                <w:rFonts w:ascii="Arial"/>
                <w:sz w:val="21"/>
              </w:rPr>
            </w:pPr>
          </w:p>
        </w:tc>
        <w:tc>
          <w:tcPr>
            <w:tcW w:w="1440" w:type="dxa"/>
            <w:vMerge w:val="continue"/>
            <w:tcBorders>
              <w:top w:val="nil"/>
            </w:tcBorders>
            <w:vAlign w:val="top"/>
          </w:tcPr>
          <w:p w14:paraId="3D91A81C">
            <w:pPr>
              <w:rPr>
                <w:rFonts w:ascii="Arial"/>
                <w:sz w:val="21"/>
              </w:rPr>
            </w:pPr>
          </w:p>
        </w:tc>
        <w:tc>
          <w:tcPr>
            <w:tcW w:w="3202" w:type="dxa"/>
            <w:vMerge w:val="continue"/>
            <w:tcBorders>
              <w:top w:val="nil"/>
            </w:tcBorders>
            <w:vAlign w:val="top"/>
          </w:tcPr>
          <w:p w14:paraId="54A44388">
            <w:pPr>
              <w:rPr>
                <w:rFonts w:ascii="Arial"/>
                <w:sz w:val="21"/>
              </w:rPr>
            </w:pPr>
          </w:p>
        </w:tc>
        <w:tc>
          <w:tcPr>
            <w:tcW w:w="2859" w:type="dxa"/>
            <w:vMerge w:val="continue"/>
            <w:tcBorders>
              <w:top w:val="nil"/>
            </w:tcBorders>
            <w:vAlign w:val="top"/>
          </w:tcPr>
          <w:p w14:paraId="24B83859">
            <w:pPr>
              <w:rPr>
                <w:rFonts w:ascii="Arial"/>
                <w:sz w:val="21"/>
              </w:rPr>
            </w:pPr>
          </w:p>
        </w:tc>
        <w:tc>
          <w:tcPr>
            <w:tcW w:w="803" w:type="dxa"/>
            <w:vAlign w:val="top"/>
          </w:tcPr>
          <w:p w14:paraId="57F8FC6A">
            <w:pPr>
              <w:spacing w:line="266" w:lineRule="auto"/>
              <w:rPr>
                <w:rFonts w:ascii="Arial"/>
                <w:sz w:val="21"/>
              </w:rPr>
            </w:pPr>
          </w:p>
          <w:p w14:paraId="22CADF8D">
            <w:pPr>
              <w:spacing w:line="266" w:lineRule="auto"/>
              <w:rPr>
                <w:rFonts w:ascii="Arial"/>
                <w:sz w:val="21"/>
              </w:rPr>
            </w:pPr>
          </w:p>
          <w:p w14:paraId="1E6A00A8">
            <w:pPr>
              <w:spacing w:line="267" w:lineRule="auto"/>
              <w:rPr>
                <w:rFonts w:ascii="Arial"/>
                <w:sz w:val="21"/>
              </w:rPr>
            </w:pPr>
          </w:p>
          <w:p w14:paraId="0759ABC8">
            <w:pPr>
              <w:spacing w:line="267" w:lineRule="auto"/>
              <w:rPr>
                <w:rFonts w:ascii="Arial"/>
                <w:sz w:val="21"/>
              </w:rPr>
            </w:pPr>
          </w:p>
          <w:p w14:paraId="4A99CD4A">
            <w:pPr>
              <w:spacing w:line="267" w:lineRule="auto"/>
              <w:rPr>
                <w:rFonts w:ascii="Arial"/>
                <w:sz w:val="21"/>
              </w:rPr>
            </w:pPr>
          </w:p>
          <w:p w14:paraId="1ACFDC68">
            <w:pPr>
              <w:spacing w:before="75" w:line="187" w:lineRule="auto"/>
              <w:ind w:left="343"/>
              <w:rPr>
                <w:rFonts w:ascii="宋体" w:hAnsi="宋体" w:eastAsia="宋体" w:cs="宋体"/>
                <w:sz w:val="23"/>
                <w:szCs w:val="23"/>
              </w:rPr>
            </w:pPr>
            <w:r>
              <w:rPr>
                <w:rFonts w:ascii="宋体" w:hAnsi="宋体" w:eastAsia="宋体" w:cs="宋体"/>
                <w:sz w:val="23"/>
                <w:szCs w:val="23"/>
              </w:rPr>
              <w:t>D</w:t>
            </w:r>
          </w:p>
        </w:tc>
        <w:tc>
          <w:tcPr>
            <w:tcW w:w="2283" w:type="dxa"/>
            <w:vAlign w:val="top"/>
          </w:tcPr>
          <w:p w14:paraId="2CDC4B89">
            <w:pPr>
              <w:spacing w:line="271" w:lineRule="auto"/>
              <w:rPr>
                <w:rFonts w:ascii="Arial"/>
                <w:sz w:val="21"/>
              </w:rPr>
            </w:pPr>
          </w:p>
          <w:p w14:paraId="34891DED">
            <w:pPr>
              <w:spacing w:line="272" w:lineRule="auto"/>
              <w:rPr>
                <w:rFonts w:ascii="Arial"/>
                <w:sz w:val="21"/>
              </w:rPr>
            </w:pPr>
          </w:p>
          <w:p w14:paraId="20EDEA5B">
            <w:pPr>
              <w:spacing w:line="272" w:lineRule="auto"/>
              <w:rPr>
                <w:rFonts w:ascii="Arial"/>
                <w:sz w:val="21"/>
              </w:rPr>
            </w:pPr>
          </w:p>
          <w:p w14:paraId="01E94AC2">
            <w:pPr>
              <w:pStyle w:val="6"/>
              <w:spacing w:before="99" w:line="190" w:lineRule="auto"/>
              <w:ind w:left="117" w:right="109"/>
              <w:jc w:val="both"/>
            </w:pPr>
            <w:r>
              <w:rPr>
                <w:spacing w:val="26"/>
              </w:rPr>
              <w:t>未在构成一级重大危险源的场所设置明显的安全警示标</w:t>
            </w:r>
            <w:r>
              <w:rPr>
                <w:spacing w:val="2"/>
              </w:rPr>
              <w:t>志的</w:t>
            </w:r>
          </w:p>
        </w:tc>
        <w:tc>
          <w:tcPr>
            <w:tcW w:w="2894" w:type="dxa"/>
            <w:vAlign w:val="top"/>
          </w:tcPr>
          <w:p w14:paraId="3A86CB31">
            <w:pPr>
              <w:pStyle w:val="6"/>
              <w:spacing w:before="176" w:line="185" w:lineRule="auto"/>
              <w:ind w:left="122" w:right="104" w:firstLine="4"/>
            </w:pPr>
            <w:r>
              <w:rPr>
                <w:spacing w:val="10"/>
              </w:rPr>
              <w:t>责令限期改正，可以处</w:t>
            </w:r>
            <w:r>
              <w:rPr>
                <w:rFonts w:ascii="宋体" w:hAnsi="宋体" w:eastAsia="宋体" w:cs="宋体"/>
                <w:spacing w:val="10"/>
              </w:rPr>
              <w:t>3</w:t>
            </w:r>
            <w:r>
              <w:rPr>
                <w:spacing w:val="7"/>
              </w:rPr>
              <w:t>万元以上</w:t>
            </w:r>
            <w:r>
              <w:rPr>
                <w:rFonts w:ascii="宋体" w:hAnsi="宋体" w:eastAsia="宋体" w:cs="宋体"/>
                <w:spacing w:val="7"/>
              </w:rPr>
              <w:t>5</w:t>
            </w:r>
            <w:r>
              <w:rPr>
                <w:spacing w:val="7"/>
              </w:rPr>
              <w:t>万元以下的罚</w:t>
            </w:r>
            <w:r>
              <w:rPr>
                <w:spacing w:val="-3"/>
              </w:rPr>
              <w:t>款；逾期未改正的，处</w:t>
            </w:r>
            <w:r>
              <w:rPr>
                <w:rFonts w:ascii="宋体" w:hAnsi="宋体" w:eastAsia="宋体" w:cs="宋体"/>
                <w:spacing w:val="-3"/>
              </w:rPr>
              <w:t>17</w:t>
            </w:r>
            <w:r>
              <w:rPr>
                <w:spacing w:val="13"/>
              </w:rPr>
              <w:t>万元以上</w:t>
            </w:r>
            <w:r>
              <w:rPr>
                <w:rFonts w:ascii="宋体" w:hAnsi="宋体" w:eastAsia="宋体" w:cs="宋体"/>
                <w:spacing w:val="13"/>
              </w:rPr>
              <w:t>20</w:t>
            </w:r>
            <w:r>
              <w:rPr>
                <w:spacing w:val="13"/>
              </w:rPr>
              <w:t>万元以下的</w:t>
            </w:r>
            <w:r>
              <w:rPr>
                <w:spacing w:val="8"/>
              </w:rPr>
              <w:t>罚款，对其直接负责的主</w:t>
            </w:r>
            <w:r>
              <w:rPr>
                <w:spacing w:val="11"/>
              </w:rPr>
              <w:t>管人员和其他直接责任人</w:t>
            </w:r>
            <w:r>
              <w:rPr>
                <w:spacing w:val="1"/>
              </w:rPr>
              <w:t>员处</w:t>
            </w:r>
            <w:r>
              <w:rPr>
                <w:rFonts w:ascii="宋体" w:hAnsi="宋体" w:eastAsia="宋体" w:cs="宋体"/>
                <w:spacing w:val="1"/>
              </w:rPr>
              <w:t>1</w:t>
            </w:r>
            <w:r>
              <w:rPr>
                <w:spacing w:val="1"/>
              </w:rPr>
              <w:t>万元以上</w:t>
            </w:r>
            <w:r>
              <w:rPr>
                <w:rFonts w:ascii="宋体" w:hAnsi="宋体" w:eastAsia="宋体" w:cs="宋体"/>
                <w:spacing w:val="1"/>
              </w:rPr>
              <w:t>2</w:t>
            </w:r>
            <w:r>
              <w:rPr>
                <w:spacing w:val="1"/>
              </w:rPr>
              <w:t>万元以</w:t>
            </w:r>
            <w:r>
              <w:rPr>
                <w:spacing w:val="3"/>
              </w:rPr>
              <w:t>下的罚款；情节严重的，</w:t>
            </w:r>
            <w:r>
              <w:rPr>
                <w:spacing w:val="7"/>
              </w:rPr>
              <w:t>责令停产停业整顿</w:t>
            </w:r>
          </w:p>
        </w:tc>
        <w:tc>
          <w:tcPr>
            <w:tcW w:w="811" w:type="dxa"/>
            <w:vMerge w:val="continue"/>
            <w:tcBorders>
              <w:top w:val="nil"/>
            </w:tcBorders>
            <w:vAlign w:val="top"/>
          </w:tcPr>
          <w:p w14:paraId="7852766C">
            <w:pPr>
              <w:rPr>
                <w:rFonts w:ascii="Arial"/>
                <w:sz w:val="21"/>
              </w:rPr>
            </w:pPr>
          </w:p>
        </w:tc>
      </w:tr>
      <w:tr w14:paraId="45908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818" w:type="dxa"/>
            <w:vMerge w:val="restart"/>
            <w:tcBorders>
              <w:bottom w:val="nil"/>
            </w:tcBorders>
            <w:vAlign w:val="top"/>
          </w:tcPr>
          <w:p w14:paraId="698DE358">
            <w:pPr>
              <w:spacing w:line="266" w:lineRule="auto"/>
              <w:rPr>
                <w:rFonts w:ascii="Arial"/>
                <w:sz w:val="21"/>
              </w:rPr>
            </w:pPr>
          </w:p>
          <w:p w14:paraId="533B38AF">
            <w:pPr>
              <w:spacing w:line="266" w:lineRule="auto"/>
              <w:rPr>
                <w:rFonts w:ascii="Arial"/>
                <w:sz w:val="21"/>
              </w:rPr>
            </w:pPr>
          </w:p>
          <w:p w14:paraId="055C34EE">
            <w:pPr>
              <w:spacing w:line="266" w:lineRule="auto"/>
              <w:rPr>
                <w:rFonts w:ascii="Arial"/>
                <w:sz w:val="21"/>
              </w:rPr>
            </w:pPr>
          </w:p>
          <w:p w14:paraId="66413490">
            <w:pPr>
              <w:spacing w:line="266" w:lineRule="auto"/>
              <w:rPr>
                <w:rFonts w:ascii="Arial"/>
                <w:sz w:val="21"/>
              </w:rPr>
            </w:pPr>
          </w:p>
          <w:p w14:paraId="3A10283C">
            <w:pPr>
              <w:spacing w:line="266" w:lineRule="auto"/>
              <w:rPr>
                <w:rFonts w:ascii="Arial"/>
                <w:sz w:val="21"/>
              </w:rPr>
            </w:pPr>
          </w:p>
          <w:p w14:paraId="77D3A3EA">
            <w:pPr>
              <w:spacing w:line="266" w:lineRule="auto"/>
              <w:rPr>
                <w:rFonts w:ascii="Arial"/>
                <w:sz w:val="21"/>
              </w:rPr>
            </w:pPr>
          </w:p>
          <w:p w14:paraId="60FFCD5B">
            <w:pPr>
              <w:spacing w:line="266" w:lineRule="auto"/>
              <w:rPr>
                <w:rFonts w:ascii="Arial"/>
                <w:sz w:val="21"/>
              </w:rPr>
            </w:pPr>
          </w:p>
          <w:p w14:paraId="2732F3A7">
            <w:pPr>
              <w:spacing w:line="266" w:lineRule="auto"/>
              <w:rPr>
                <w:rFonts w:ascii="Arial"/>
                <w:sz w:val="21"/>
              </w:rPr>
            </w:pPr>
          </w:p>
          <w:p w14:paraId="6F30B7EB">
            <w:pPr>
              <w:spacing w:line="266" w:lineRule="auto"/>
              <w:rPr>
                <w:rFonts w:ascii="Arial"/>
                <w:sz w:val="21"/>
              </w:rPr>
            </w:pPr>
          </w:p>
          <w:p w14:paraId="292A25B4">
            <w:pPr>
              <w:spacing w:before="75" w:line="186" w:lineRule="auto"/>
              <w:ind w:left="161"/>
              <w:rPr>
                <w:rFonts w:ascii="仿宋" w:hAnsi="仿宋" w:eastAsia="仿宋" w:cs="仿宋"/>
                <w:sz w:val="23"/>
                <w:szCs w:val="23"/>
              </w:rPr>
            </w:pPr>
            <w:r>
              <w:rPr>
                <w:rFonts w:ascii="仿宋" w:hAnsi="仿宋" w:eastAsia="仿宋" w:cs="仿宋"/>
                <w:spacing w:val="-5"/>
                <w:sz w:val="23"/>
                <w:szCs w:val="23"/>
              </w:rPr>
              <w:t>114</w:t>
            </w:r>
          </w:p>
        </w:tc>
        <w:tc>
          <w:tcPr>
            <w:tcW w:w="1440" w:type="dxa"/>
            <w:vMerge w:val="restart"/>
            <w:tcBorders>
              <w:bottom w:val="nil"/>
            </w:tcBorders>
            <w:vAlign w:val="top"/>
          </w:tcPr>
          <w:p w14:paraId="5F5C7AB1">
            <w:pPr>
              <w:spacing w:line="285" w:lineRule="auto"/>
              <w:rPr>
                <w:rFonts w:ascii="Arial"/>
                <w:sz w:val="21"/>
              </w:rPr>
            </w:pPr>
          </w:p>
          <w:p w14:paraId="46570E20">
            <w:pPr>
              <w:spacing w:line="285" w:lineRule="auto"/>
              <w:rPr>
                <w:rFonts w:ascii="Arial"/>
                <w:sz w:val="21"/>
              </w:rPr>
            </w:pPr>
          </w:p>
          <w:p w14:paraId="2D35F61C">
            <w:pPr>
              <w:spacing w:line="285" w:lineRule="auto"/>
              <w:rPr>
                <w:rFonts w:ascii="Arial"/>
                <w:sz w:val="21"/>
              </w:rPr>
            </w:pPr>
          </w:p>
          <w:p w14:paraId="2EFB76FC">
            <w:pPr>
              <w:spacing w:line="285" w:lineRule="auto"/>
              <w:rPr>
                <w:rFonts w:ascii="Arial"/>
                <w:sz w:val="21"/>
              </w:rPr>
            </w:pPr>
          </w:p>
          <w:p w14:paraId="7F8818D0">
            <w:pPr>
              <w:spacing w:line="286" w:lineRule="auto"/>
              <w:rPr>
                <w:rFonts w:ascii="Arial"/>
                <w:sz w:val="21"/>
              </w:rPr>
            </w:pPr>
          </w:p>
          <w:p w14:paraId="5FC5954E">
            <w:pPr>
              <w:pStyle w:val="6"/>
              <w:spacing w:before="99" w:line="187" w:lineRule="auto"/>
              <w:ind w:left="115" w:right="111"/>
              <w:jc w:val="both"/>
            </w:pPr>
            <w:r>
              <w:rPr>
                <w:spacing w:val="11"/>
              </w:rPr>
              <w:t>危险化学品单位未对重大危险源中的设备、设施等进行定期检测、检</w:t>
            </w:r>
            <w:r>
              <w:rPr>
                <w:spacing w:val="2"/>
              </w:rPr>
              <w:t>验的</w:t>
            </w:r>
          </w:p>
        </w:tc>
        <w:tc>
          <w:tcPr>
            <w:tcW w:w="3202" w:type="dxa"/>
            <w:vMerge w:val="restart"/>
            <w:tcBorders>
              <w:bottom w:val="nil"/>
            </w:tcBorders>
            <w:vAlign w:val="top"/>
          </w:tcPr>
          <w:p w14:paraId="0C3C1333">
            <w:pPr>
              <w:pStyle w:val="6"/>
              <w:spacing w:before="24" w:line="185" w:lineRule="auto"/>
              <w:ind w:left="114" w:right="26" w:hanging="16"/>
              <w:jc w:val="both"/>
            </w:pPr>
            <w:r>
              <w:rPr>
                <w:spacing w:val="18"/>
              </w:rPr>
              <w:t>【部门规章】《危险化学品</w:t>
            </w:r>
            <w:r>
              <w:rPr>
                <w:spacing w:val="17"/>
              </w:rPr>
              <w:t>重大危险源监督管理暂行规</w:t>
            </w:r>
            <w:r>
              <w:rPr>
                <w:spacing w:val="14"/>
              </w:rPr>
              <w:t>定》第十五条：危险化学品</w:t>
            </w:r>
            <w:r>
              <w:rPr>
                <w:spacing w:val="40"/>
              </w:rPr>
              <w:t>单位应当按照国家有关规</w:t>
            </w:r>
            <w:r>
              <w:rPr>
                <w:spacing w:val="14"/>
              </w:rPr>
              <w:t>定，定期对重大危险源的安</w:t>
            </w:r>
            <w:r>
              <w:rPr>
                <w:spacing w:val="17"/>
              </w:rPr>
              <w:t>全设施和安全监测监控系统</w:t>
            </w:r>
            <w:r>
              <w:rPr>
                <w:spacing w:val="13"/>
              </w:rPr>
              <w:t>进行检测、检验，并进行经</w:t>
            </w:r>
            <w:r>
              <w:rPr>
                <w:spacing w:val="14"/>
              </w:rPr>
              <w:t>常性维护、保养，保证重大</w:t>
            </w:r>
            <w:r>
              <w:rPr>
                <w:spacing w:val="17"/>
              </w:rPr>
              <w:t>危险源的安全设施和安全监</w:t>
            </w:r>
            <w:r>
              <w:rPr>
                <w:spacing w:val="5"/>
              </w:rPr>
              <w:t>测监控系统有效、可靠运行。</w:t>
            </w:r>
            <w:r>
              <w:rPr>
                <w:spacing w:val="17"/>
              </w:rPr>
              <w:t>维护、保养、检测应当作好</w:t>
            </w:r>
            <w:r>
              <w:rPr>
                <w:spacing w:val="5"/>
              </w:rPr>
              <w:t>记录，并由有关人员签字。</w:t>
            </w:r>
          </w:p>
        </w:tc>
        <w:tc>
          <w:tcPr>
            <w:tcW w:w="2859" w:type="dxa"/>
            <w:vMerge w:val="restart"/>
            <w:tcBorders>
              <w:bottom w:val="nil"/>
            </w:tcBorders>
            <w:vAlign w:val="top"/>
          </w:tcPr>
          <w:p w14:paraId="2ACB6031">
            <w:pPr>
              <w:pStyle w:val="6"/>
              <w:spacing w:before="46" w:line="181" w:lineRule="auto"/>
              <w:ind w:left="116" w:right="105" w:hanging="19"/>
            </w:pPr>
            <w:r>
              <w:rPr>
                <w:spacing w:val="10"/>
              </w:rPr>
              <w:t>【部门规章】《危险化学</w:t>
            </w:r>
            <w:r>
              <w:rPr>
                <w:spacing w:val="8"/>
              </w:rPr>
              <w:t>品重大危险源监督管理暂行规定》第三十三条第二项：危险化学品单位有下列行为之一的，由县级以上人民政府安全生产监督</w:t>
            </w:r>
            <w:r>
              <w:rPr>
                <w:spacing w:val="7"/>
              </w:rPr>
              <w:t>管理部门责令限期改正，</w:t>
            </w:r>
            <w:r>
              <w:rPr>
                <w:spacing w:val="20"/>
              </w:rPr>
              <w:t>可以处</w:t>
            </w:r>
            <w:r>
              <w:rPr>
                <w:rFonts w:ascii="宋体" w:hAnsi="宋体" w:eastAsia="宋体" w:cs="宋体"/>
                <w:spacing w:val="20"/>
              </w:rPr>
              <w:t>5</w:t>
            </w:r>
            <w:r>
              <w:rPr>
                <w:spacing w:val="20"/>
              </w:rPr>
              <w:t>万元以下的罚</w:t>
            </w:r>
            <w:r>
              <w:rPr>
                <w:spacing w:val="6"/>
              </w:rPr>
              <w:t>款；逾期未改正的，处</w:t>
            </w:r>
            <w:r>
              <w:rPr>
                <w:rFonts w:ascii="宋体" w:hAnsi="宋体" w:eastAsia="宋体" w:cs="宋体"/>
                <w:spacing w:val="6"/>
              </w:rPr>
              <w:t>5</w:t>
            </w:r>
            <w:r>
              <w:rPr>
                <w:spacing w:val="11"/>
              </w:rPr>
              <w:t>万元以上</w:t>
            </w:r>
            <w:r>
              <w:rPr>
                <w:rFonts w:ascii="宋体" w:hAnsi="宋体" w:eastAsia="宋体" w:cs="宋体"/>
                <w:spacing w:val="11"/>
              </w:rPr>
              <w:t>20</w:t>
            </w:r>
            <w:r>
              <w:rPr>
                <w:spacing w:val="11"/>
              </w:rPr>
              <w:t>万元以下的</w:t>
            </w:r>
            <w:r>
              <w:rPr>
                <w:spacing w:val="8"/>
              </w:rPr>
              <w:t>罚款，对其直接负责的主管人员和其他直接责任人</w:t>
            </w:r>
            <w:r>
              <w:rPr>
                <w:spacing w:val="-1"/>
              </w:rPr>
              <w:t>员处</w:t>
            </w:r>
            <w:r>
              <w:rPr>
                <w:rFonts w:ascii="宋体" w:hAnsi="宋体" w:eastAsia="宋体" w:cs="宋体"/>
                <w:spacing w:val="-1"/>
              </w:rPr>
              <w:t>1</w:t>
            </w:r>
            <w:r>
              <w:rPr>
                <w:spacing w:val="-1"/>
              </w:rPr>
              <w:t>万元以上</w:t>
            </w:r>
            <w:r>
              <w:rPr>
                <w:rFonts w:ascii="宋体" w:hAnsi="宋体" w:eastAsia="宋体" w:cs="宋体"/>
                <w:spacing w:val="-1"/>
              </w:rPr>
              <w:t>2</w:t>
            </w:r>
            <w:r>
              <w:rPr>
                <w:spacing w:val="-1"/>
              </w:rPr>
              <w:t>万元以</w:t>
            </w:r>
            <w:r>
              <w:rPr>
                <w:spacing w:val="4"/>
              </w:rPr>
              <w:t>下的罚款；情节严重的，</w:t>
            </w:r>
            <w:r>
              <w:rPr>
                <w:spacing w:val="8"/>
              </w:rPr>
              <w:t>责令停产停业整顿；构成</w:t>
            </w:r>
            <w:r>
              <w:rPr>
                <w:spacing w:val="4"/>
              </w:rPr>
              <w:t>犯罪的，依照刑法有关规</w:t>
            </w:r>
            <w:r>
              <w:rPr>
                <w:spacing w:val="8"/>
              </w:rPr>
              <w:t>定追究刑事责任</w:t>
            </w:r>
            <w:r>
              <w:rPr>
                <w:spacing w:val="13"/>
              </w:rPr>
              <w:t>：（</w:t>
            </w:r>
            <w:r>
              <w:rPr>
                <w:spacing w:val="8"/>
              </w:rPr>
              <w:t>二）</w:t>
            </w:r>
          </w:p>
        </w:tc>
        <w:tc>
          <w:tcPr>
            <w:tcW w:w="803" w:type="dxa"/>
            <w:vAlign w:val="top"/>
          </w:tcPr>
          <w:p w14:paraId="0EE657A6">
            <w:pPr>
              <w:spacing w:line="298" w:lineRule="auto"/>
              <w:rPr>
                <w:rFonts w:ascii="Arial"/>
                <w:sz w:val="21"/>
              </w:rPr>
            </w:pPr>
          </w:p>
          <w:p w14:paraId="36CB1B1A">
            <w:pPr>
              <w:spacing w:line="298" w:lineRule="auto"/>
              <w:rPr>
                <w:rFonts w:ascii="Arial"/>
                <w:sz w:val="21"/>
              </w:rPr>
            </w:pPr>
          </w:p>
          <w:p w14:paraId="26E21C13">
            <w:pPr>
              <w:spacing w:line="298" w:lineRule="auto"/>
              <w:rPr>
                <w:rFonts w:ascii="Arial"/>
                <w:sz w:val="21"/>
              </w:rPr>
            </w:pPr>
          </w:p>
          <w:p w14:paraId="1790B0E4">
            <w:pPr>
              <w:spacing w:line="298" w:lineRule="auto"/>
              <w:rPr>
                <w:rFonts w:ascii="Arial"/>
                <w:sz w:val="21"/>
              </w:rPr>
            </w:pPr>
          </w:p>
          <w:p w14:paraId="75D850C9">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5A5DB79">
            <w:pPr>
              <w:spacing w:line="338" w:lineRule="auto"/>
              <w:rPr>
                <w:rFonts w:ascii="Arial"/>
                <w:sz w:val="21"/>
              </w:rPr>
            </w:pPr>
          </w:p>
          <w:p w14:paraId="63CC8C68">
            <w:pPr>
              <w:spacing w:line="339" w:lineRule="auto"/>
              <w:rPr>
                <w:rFonts w:ascii="Arial"/>
                <w:sz w:val="21"/>
              </w:rPr>
            </w:pPr>
          </w:p>
          <w:p w14:paraId="535DD576">
            <w:pPr>
              <w:pStyle w:val="6"/>
              <w:spacing w:before="99" w:line="190" w:lineRule="auto"/>
              <w:ind w:left="114" w:right="109" w:firstLine="3"/>
              <w:jc w:val="both"/>
            </w:pPr>
            <w:r>
              <w:rPr>
                <w:spacing w:val="26"/>
              </w:rPr>
              <w:t>未对四级重大危险</w:t>
            </w:r>
            <w:r>
              <w:rPr>
                <w:spacing w:val="-2"/>
              </w:rPr>
              <w:t>源中的设备、设施等进行定期检测、检验</w:t>
            </w:r>
            <w:r>
              <w:t>的</w:t>
            </w:r>
          </w:p>
        </w:tc>
        <w:tc>
          <w:tcPr>
            <w:tcW w:w="2894" w:type="dxa"/>
            <w:vAlign w:val="top"/>
          </w:tcPr>
          <w:p w14:paraId="52E0D74B">
            <w:pPr>
              <w:pStyle w:val="6"/>
              <w:spacing w:before="30" w:line="180" w:lineRule="auto"/>
              <w:ind w:left="120" w:right="104" w:firstLine="7"/>
              <w:jc w:val="both"/>
            </w:pPr>
            <w:r>
              <w:rPr>
                <w:spacing w:val="8"/>
              </w:rPr>
              <w:t>责令限期改正，可以处</w:t>
            </w:r>
            <w:r>
              <w:rPr>
                <w:rFonts w:ascii="宋体" w:hAnsi="宋体" w:eastAsia="宋体" w:cs="宋体"/>
                <w:spacing w:val="8"/>
              </w:rPr>
              <w:t>1</w:t>
            </w:r>
            <w:r>
              <w:rPr>
                <w:spacing w:val="9"/>
              </w:rPr>
              <w:t>万元以下的罚款；逾期未</w:t>
            </w:r>
            <w:r>
              <w:t>改正的，处</w:t>
            </w:r>
            <w:r>
              <w:rPr>
                <w:rFonts w:ascii="宋体" w:hAnsi="宋体" w:eastAsia="宋体" w:cs="宋体"/>
              </w:rPr>
              <w:t>5</w:t>
            </w:r>
            <w:r>
              <w:t>万元以上</w:t>
            </w:r>
            <w:r>
              <w:rPr>
                <w:rFonts w:ascii="宋体" w:hAnsi="宋体" w:eastAsia="宋体" w:cs="宋体"/>
              </w:rPr>
              <w:t>10</w:t>
            </w:r>
            <w:r>
              <w:rPr>
                <w:spacing w:val="8"/>
              </w:rPr>
              <w:t>万元以下的罚款，对其直</w:t>
            </w:r>
            <w:r>
              <w:rPr>
                <w:spacing w:val="11"/>
              </w:rPr>
              <w:t>接负责的主管人员和其他</w:t>
            </w:r>
            <w:r>
              <w:rPr>
                <w:spacing w:val="5"/>
              </w:rPr>
              <w:t>直接责任人员处</w:t>
            </w:r>
            <w:r>
              <w:rPr>
                <w:rFonts w:ascii="宋体" w:hAnsi="宋体" w:eastAsia="宋体" w:cs="宋体"/>
                <w:spacing w:val="5"/>
              </w:rPr>
              <w:t>1</w:t>
            </w:r>
            <w:r>
              <w:rPr>
                <w:spacing w:val="5"/>
              </w:rPr>
              <w:t>万元以</w:t>
            </w:r>
            <w:r>
              <w:rPr>
                <w:spacing w:val="3"/>
              </w:rPr>
              <w:t>上</w:t>
            </w:r>
            <w:r>
              <w:rPr>
                <w:rFonts w:ascii="宋体" w:hAnsi="宋体" w:eastAsia="宋体" w:cs="宋体"/>
                <w:spacing w:val="3"/>
              </w:rPr>
              <w:t>2</w:t>
            </w:r>
            <w:r>
              <w:rPr>
                <w:spacing w:val="3"/>
              </w:rPr>
              <w:t>万元以下的罚款；情</w:t>
            </w:r>
            <w:r>
              <w:rPr>
                <w:spacing w:val="8"/>
              </w:rPr>
              <w:t>节严重的，责令停产停业</w:t>
            </w:r>
            <w:r>
              <w:rPr>
                <w:spacing w:val="2"/>
              </w:rPr>
              <w:t>整顿</w:t>
            </w:r>
          </w:p>
        </w:tc>
        <w:tc>
          <w:tcPr>
            <w:tcW w:w="811" w:type="dxa"/>
            <w:vMerge w:val="restart"/>
            <w:tcBorders>
              <w:bottom w:val="nil"/>
            </w:tcBorders>
            <w:vAlign w:val="top"/>
          </w:tcPr>
          <w:p w14:paraId="2426B8BD">
            <w:pPr>
              <w:rPr>
                <w:rFonts w:ascii="Arial"/>
                <w:sz w:val="21"/>
              </w:rPr>
            </w:pPr>
          </w:p>
        </w:tc>
      </w:tr>
      <w:tr w14:paraId="4B35A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7" w:hRule="atLeast"/>
        </w:trPr>
        <w:tc>
          <w:tcPr>
            <w:tcW w:w="818" w:type="dxa"/>
            <w:vMerge w:val="continue"/>
            <w:tcBorders>
              <w:top w:val="nil"/>
            </w:tcBorders>
            <w:vAlign w:val="top"/>
          </w:tcPr>
          <w:p w14:paraId="3DAD2E3A">
            <w:pPr>
              <w:rPr>
                <w:rFonts w:ascii="Arial"/>
                <w:sz w:val="21"/>
              </w:rPr>
            </w:pPr>
          </w:p>
        </w:tc>
        <w:tc>
          <w:tcPr>
            <w:tcW w:w="1440" w:type="dxa"/>
            <w:vMerge w:val="continue"/>
            <w:tcBorders>
              <w:top w:val="nil"/>
            </w:tcBorders>
            <w:vAlign w:val="top"/>
          </w:tcPr>
          <w:p w14:paraId="3DB1AC19">
            <w:pPr>
              <w:rPr>
                <w:rFonts w:ascii="Arial"/>
                <w:sz w:val="21"/>
              </w:rPr>
            </w:pPr>
          </w:p>
        </w:tc>
        <w:tc>
          <w:tcPr>
            <w:tcW w:w="3202" w:type="dxa"/>
            <w:vMerge w:val="continue"/>
            <w:tcBorders>
              <w:top w:val="nil"/>
            </w:tcBorders>
            <w:vAlign w:val="top"/>
          </w:tcPr>
          <w:p w14:paraId="09788526">
            <w:pPr>
              <w:rPr>
                <w:rFonts w:ascii="Arial"/>
                <w:sz w:val="21"/>
              </w:rPr>
            </w:pPr>
          </w:p>
        </w:tc>
        <w:tc>
          <w:tcPr>
            <w:tcW w:w="2859" w:type="dxa"/>
            <w:vMerge w:val="continue"/>
            <w:tcBorders>
              <w:top w:val="nil"/>
            </w:tcBorders>
            <w:vAlign w:val="top"/>
          </w:tcPr>
          <w:p w14:paraId="6E9947CC">
            <w:pPr>
              <w:rPr>
                <w:rFonts w:ascii="Arial"/>
                <w:sz w:val="21"/>
              </w:rPr>
            </w:pPr>
          </w:p>
        </w:tc>
        <w:tc>
          <w:tcPr>
            <w:tcW w:w="803" w:type="dxa"/>
            <w:vAlign w:val="top"/>
          </w:tcPr>
          <w:p w14:paraId="353F39B8">
            <w:pPr>
              <w:spacing w:line="262" w:lineRule="auto"/>
              <w:rPr>
                <w:rFonts w:ascii="Arial"/>
                <w:sz w:val="21"/>
              </w:rPr>
            </w:pPr>
          </w:p>
          <w:p w14:paraId="26028F41">
            <w:pPr>
              <w:spacing w:line="262" w:lineRule="auto"/>
              <w:rPr>
                <w:rFonts w:ascii="Arial"/>
                <w:sz w:val="21"/>
              </w:rPr>
            </w:pPr>
          </w:p>
          <w:p w14:paraId="75C3C60D">
            <w:pPr>
              <w:spacing w:line="262" w:lineRule="auto"/>
              <w:rPr>
                <w:rFonts w:ascii="Arial"/>
                <w:sz w:val="21"/>
              </w:rPr>
            </w:pPr>
          </w:p>
          <w:p w14:paraId="472C38A1">
            <w:pPr>
              <w:spacing w:line="262" w:lineRule="auto"/>
              <w:rPr>
                <w:rFonts w:ascii="Arial"/>
                <w:sz w:val="21"/>
              </w:rPr>
            </w:pPr>
          </w:p>
          <w:p w14:paraId="44F0847A">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C05033A">
            <w:pPr>
              <w:spacing w:line="265" w:lineRule="auto"/>
              <w:rPr>
                <w:rFonts w:ascii="Arial"/>
                <w:sz w:val="21"/>
              </w:rPr>
            </w:pPr>
          </w:p>
          <w:p w14:paraId="3805474B">
            <w:pPr>
              <w:spacing w:line="265" w:lineRule="auto"/>
              <w:rPr>
                <w:rFonts w:ascii="Arial"/>
                <w:sz w:val="21"/>
              </w:rPr>
            </w:pPr>
          </w:p>
          <w:p w14:paraId="5FF4BBD0">
            <w:pPr>
              <w:pStyle w:val="6"/>
              <w:spacing w:before="99" w:line="190" w:lineRule="auto"/>
              <w:ind w:left="114" w:right="108" w:firstLine="3"/>
              <w:jc w:val="both"/>
            </w:pPr>
            <w:r>
              <w:rPr>
                <w:spacing w:val="26"/>
              </w:rPr>
              <w:t>未对三级重大危险</w:t>
            </w:r>
            <w:r>
              <w:rPr>
                <w:spacing w:val="-2"/>
              </w:rPr>
              <w:t>源中的设备、设施等进行定期检测、检验</w:t>
            </w:r>
            <w:r>
              <w:t>的</w:t>
            </w:r>
          </w:p>
        </w:tc>
        <w:tc>
          <w:tcPr>
            <w:tcW w:w="2894" w:type="dxa"/>
            <w:vAlign w:val="top"/>
          </w:tcPr>
          <w:p w14:paraId="778EB3C9">
            <w:pPr>
              <w:pStyle w:val="6"/>
              <w:spacing w:before="29" w:line="180" w:lineRule="auto"/>
              <w:ind w:left="122" w:right="104" w:firstLine="4"/>
              <w:jc w:val="both"/>
            </w:pPr>
            <w:r>
              <w:rPr>
                <w:spacing w:val="8"/>
              </w:rPr>
              <w:t>责令限期改正，可以处</w:t>
            </w:r>
            <w:r>
              <w:rPr>
                <w:rFonts w:ascii="宋体" w:hAnsi="宋体" w:eastAsia="宋体" w:cs="宋体"/>
                <w:spacing w:val="8"/>
              </w:rPr>
              <w:t>1</w:t>
            </w:r>
            <w:r>
              <w:rPr>
                <w:spacing w:val="7"/>
              </w:rPr>
              <w:t>万元以上</w:t>
            </w:r>
            <w:r>
              <w:rPr>
                <w:rFonts w:ascii="宋体" w:hAnsi="宋体" w:eastAsia="宋体" w:cs="宋体"/>
                <w:spacing w:val="7"/>
              </w:rPr>
              <w:t>2</w:t>
            </w:r>
            <w:r>
              <w:rPr>
                <w:spacing w:val="7"/>
              </w:rPr>
              <w:t>万元以下的罚</w:t>
            </w:r>
            <w:r>
              <w:rPr>
                <w:spacing w:val="-3"/>
              </w:rPr>
              <w:t>款；逾期未改正的，处</w:t>
            </w:r>
            <w:r>
              <w:rPr>
                <w:rFonts w:ascii="宋体" w:hAnsi="宋体" w:eastAsia="宋体" w:cs="宋体"/>
                <w:spacing w:val="-3"/>
              </w:rPr>
              <w:t>10</w:t>
            </w:r>
            <w:r>
              <w:rPr>
                <w:spacing w:val="11"/>
              </w:rPr>
              <w:t>万元以上</w:t>
            </w:r>
            <w:r>
              <w:rPr>
                <w:rFonts w:ascii="宋体" w:hAnsi="宋体" w:eastAsia="宋体" w:cs="宋体"/>
                <w:spacing w:val="11"/>
              </w:rPr>
              <w:t>13</w:t>
            </w:r>
            <w:r>
              <w:rPr>
                <w:spacing w:val="11"/>
              </w:rPr>
              <w:t>万元以下的</w:t>
            </w:r>
            <w:r>
              <w:rPr>
                <w:spacing w:val="8"/>
              </w:rPr>
              <w:t>罚款，对其直接负责的主</w:t>
            </w:r>
            <w:r>
              <w:rPr>
                <w:spacing w:val="11"/>
              </w:rPr>
              <w:t>管人员和其他直接责任人</w:t>
            </w:r>
            <w:r>
              <w:rPr>
                <w:spacing w:val="1"/>
              </w:rPr>
              <w:t>员处</w:t>
            </w:r>
            <w:r>
              <w:rPr>
                <w:rFonts w:ascii="宋体" w:hAnsi="宋体" w:eastAsia="宋体" w:cs="宋体"/>
                <w:spacing w:val="1"/>
              </w:rPr>
              <w:t>1</w:t>
            </w:r>
            <w:r>
              <w:rPr>
                <w:spacing w:val="1"/>
              </w:rPr>
              <w:t>万元以上</w:t>
            </w:r>
            <w:r>
              <w:rPr>
                <w:rFonts w:ascii="宋体" w:hAnsi="宋体" w:eastAsia="宋体" w:cs="宋体"/>
                <w:spacing w:val="1"/>
              </w:rPr>
              <w:t>2</w:t>
            </w:r>
            <w:r>
              <w:rPr>
                <w:spacing w:val="1"/>
              </w:rPr>
              <w:t>万元以</w:t>
            </w:r>
            <w:r>
              <w:rPr>
                <w:spacing w:val="6"/>
              </w:rPr>
              <w:t>下的罚款；情节严重的，</w:t>
            </w:r>
          </w:p>
        </w:tc>
        <w:tc>
          <w:tcPr>
            <w:tcW w:w="811" w:type="dxa"/>
            <w:vMerge w:val="continue"/>
            <w:tcBorders>
              <w:top w:val="nil"/>
            </w:tcBorders>
            <w:vAlign w:val="top"/>
          </w:tcPr>
          <w:p w14:paraId="3E1D45A5">
            <w:pPr>
              <w:rPr>
                <w:rFonts w:ascii="Arial"/>
                <w:sz w:val="21"/>
              </w:rPr>
            </w:pPr>
          </w:p>
        </w:tc>
      </w:tr>
    </w:tbl>
    <w:p w14:paraId="6C163F8F">
      <w:pPr>
        <w:pStyle w:val="2"/>
      </w:pPr>
    </w:p>
    <w:p w14:paraId="6C69034C">
      <w:pPr>
        <w:sectPr>
          <w:footerReference r:id="rId139" w:type="default"/>
          <w:pgSz w:w="16839" w:h="11906"/>
          <w:pgMar w:top="1012" w:right="821" w:bottom="667" w:left="901" w:header="0" w:footer="388" w:gutter="0"/>
          <w:cols w:space="720" w:num="1"/>
        </w:sectPr>
      </w:pPr>
    </w:p>
    <w:p w14:paraId="34E06B78">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606E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8021EC8">
            <w:pPr>
              <w:spacing w:before="222" w:line="241" w:lineRule="auto"/>
              <w:ind w:left="131"/>
              <w:outlineLvl w:val="0"/>
              <w:rPr>
                <w:rFonts w:ascii="黑体" w:hAnsi="黑体" w:eastAsia="黑体" w:cs="黑体"/>
                <w:sz w:val="28"/>
                <w:szCs w:val="28"/>
              </w:rPr>
            </w:pPr>
            <w:bookmarkStart w:id="547" w:name="bookmark544"/>
            <w:bookmarkEnd w:id="547"/>
            <w:r>
              <w:rPr>
                <w:rFonts w:ascii="黑体" w:hAnsi="黑体" w:eastAsia="黑体" w:cs="黑体"/>
                <w:spacing w:val="-2"/>
                <w:sz w:val="28"/>
                <w:szCs w:val="28"/>
              </w:rPr>
              <w:t>序号</w:t>
            </w:r>
          </w:p>
        </w:tc>
        <w:tc>
          <w:tcPr>
            <w:tcW w:w="1440" w:type="dxa"/>
            <w:vAlign w:val="top"/>
          </w:tcPr>
          <w:p w14:paraId="412D1998">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1689841">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4DA4EF64">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0CB7CA8C">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8E2CB09">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4073794">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AE492C0">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FCC2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818" w:type="dxa"/>
            <w:vMerge w:val="restart"/>
            <w:tcBorders>
              <w:bottom w:val="nil"/>
            </w:tcBorders>
            <w:vAlign w:val="top"/>
          </w:tcPr>
          <w:p w14:paraId="7F81CB69">
            <w:pPr>
              <w:rPr>
                <w:rFonts w:ascii="Arial"/>
                <w:sz w:val="21"/>
              </w:rPr>
            </w:pPr>
          </w:p>
        </w:tc>
        <w:tc>
          <w:tcPr>
            <w:tcW w:w="1440" w:type="dxa"/>
            <w:vMerge w:val="restart"/>
            <w:tcBorders>
              <w:bottom w:val="nil"/>
            </w:tcBorders>
            <w:vAlign w:val="top"/>
          </w:tcPr>
          <w:p w14:paraId="44033DC4">
            <w:pPr>
              <w:rPr>
                <w:rFonts w:ascii="Arial"/>
                <w:sz w:val="21"/>
              </w:rPr>
            </w:pPr>
          </w:p>
        </w:tc>
        <w:tc>
          <w:tcPr>
            <w:tcW w:w="3202" w:type="dxa"/>
            <w:vMerge w:val="restart"/>
            <w:tcBorders>
              <w:bottom w:val="nil"/>
            </w:tcBorders>
            <w:vAlign w:val="top"/>
          </w:tcPr>
          <w:p w14:paraId="6B33228F">
            <w:pPr>
              <w:rPr>
                <w:rFonts w:ascii="Arial"/>
                <w:sz w:val="21"/>
              </w:rPr>
            </w:pPr>
          </w:p>
        </w:tc>
        <w:tc>
          <w:tcPr>
            <w:tcW w:w="2859" w:type="dxa"/>
            <w:vMerge w:val="restart"/>
            <w:tcBorders>
              <w:bottom w:val="nil"/>
            </w:tcBorders>
            <w:vAlign w:val="top"/>
          </w:tcPr>
          <w:p w14:paraId="0C544AD8">
            <w:pPr>
              <w:pStyle w:val="6"/>
              <w:spacing w:before="25" w:line="192" w:lineRule="auto"/>
              <w:ind w:left="116" w:right="19" w:firstLine="1"/>
              <w:jc w:val="both"/>
            </w:pPr>
            <w:r>
              <w:rPr>
                <w:spacing w:val="32"/>
              </w:rPr>
              <w:t>未对重大危险源中的设</w:t>
            </w:r>
            <w:r>
              <w:rPr>
                <w:spacing w:val="-4"/>
              </w:rPr>
              <w:t>备、设施等进行定期检测、</w:t>
            </w:r>
            <w:r>
              <w:rPr>
                <w:spacing w:val="-2"/>
              </w:rPr>
              <w:t>检验的。</w:t>
            </w:r>
          </w:p>
        </w:tc>
        <w:tc>
          <w:tcPr>
            <w:tcW w:w="803" w:type="dxa"/>
            <w:vAlign w:val="top"/>
          </w:tcPr>
          <w:p w14:paraId="67EA09C9">
            <w:pPr>
              <w:rPr>
                <w:rFonts w:ascii="Arial"/>
                <w:sz w:val="21"/>
              </w:rPr>
            </w:pPr>
          </w:p>
        </w:tc>
        <w:tc>
          <w:tcPr>
            <w:tcW w:w="2283" w:type="dxa"/>
            <w:vAlign w:val="top"/>
          </w:tcPr>
          <w:p w14:paraId="4E9851D0">
            <w:pPr>
              <w:rPr>
                <w:rFonts w:ascii="Arial"/>
                <w:sz w:val="21"/>
              </w:rPr>
            </w:pPr>
          </w:p>
        </w:tc>
        <w:tc>
          <w:tcPr>
            <w:tcW w:w="2894" w:type="dxa"/>
            <w:vAlign w:val="top"/>
          </w:tcPr>
          <w:p w14:paraId="597F8AB2">
            <w:pPr>
              <w:pStyle w:val="6"/>
              <w:spacing w:before="28" w:line="162" w:lineRule="auto"/>
              <w:ind w:left="127"/>
            </w:pPr>
            <w:r>
              <w:rPr>
                <w:spacing w:val="6"/>
              </w:rPr>
              <w:t>责令停产停业整顿</w:t>
            </w:r>
          </w:p>
        </w:tc>
        <w:tc>
          <w:tcPr>
            <w:tcW w:w="811" w:type="dxa"/>
            <w:vMerge w:val="restart"/>
            <w:tcBorders>
              <w:bottom w:val="nil"/>
            </w:tcBorders>
            <w:vAlign w:val="top"/>
          </w:tcPr>
          <w:p w14:paraId="3B7CF1CE">
            <w:pPr>
              <w:rPr>
                <w:rFonts w:ascii="Arial"/>
                <w:sz w:val="21"/>
              </w:rPr>
            </w:pPr>
          </w:p>
        </w:tc>
      </w:tr>
      <w:tr w14:paraId="255C7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818" w:type="dxa"/>
            <w:vMerge w:val="continue"/>
            <w:tcBorders>
              <w:top w:val="nil"/>
              <w:bottom w:val="nil"/>
            </w:tcBorders>
            <w:vAlign w:val="top"/>
          </w:tcPr>
          <w:p w14:paraId="24C9D4FD">
            <w:pPr>
              <w:rPr>
                <w:rFonts w:ascii="Arial"/>
                <w:sz w:val="21"/>
              </w:rPr>
            </w:pPr>
          </w:p>
        </w:tc>
        <w:tc>
          <w:tcPr>
            <w:tcW w:w="1440" w:type="dxa"/>
            <w:vMerge w:val="continue"/>
            <w:tcBorders>
              <w:top w:val="nil"/>
              <w:bottom w:val="nil"/>
            </w:tcBorders>
            <w:vAlign w:val="top"/>
          </w:tcPr>
          <w:p w14:paraId="572AB200">
            <w:pPr>
              <w:rPr>
                <w:rFonts w:ascii="Arial"/>
                <w:sz w:val="21"/>
              </w:rPr>
            </w:pPr>
          </w:p>
        </w:tc>
        <w:tc>
          <w:tcPr>
            <w:tcW w:w="3202" w:type="dxa"/>
            <w:vMerge w:val="continue"/>
            <w:tcBorders>
              <w:top w:val="nil"/>
              <w:bottom w:val="nil"/>
            </w:tcBorders>
            <w:vAlign w:val="top"/>
          </w:tcPr>
          <w:p w14:paraId="7D6D5404">
            <w:pPr>
              <w:rPr>
                <w:rFonts w:ascii="Arial"/>
                <w:sz w:val="21"/>
              </w:rPr>
            </w:pPr>
          </w:p>
        </w:tc>
        <w:tc>
          <w:tcPr>
            <w:tcW w:w="2859" w:type="dxa"/>
            <w:vMerge w:val="continue"/>
            <w:tcBorders>
              <w:top w:val="nil"/>
              <w:bottom w:val="nil"/>
            </w:tcBorders>
            <w:vAlign w:val="top"/>
          </w:tcPr>
          <w:p w14:paraId="50736A9E">
            <w:pPr>
              <w:rPr>
                <w:rFonts w:ascii="Arial"/>
                <w:sz w:val="21"/>
              </w:rPr>
            </w:pPr>
          </w:p>
        </w:tc>
        <w:tc>
          <w:tcPr>
            <w:tcW w:w="803" w:type="dxa"/>
            <w:vAlign w:val="top"/>
          </w:tcPr>
          <w:p w14:paraId="28198E6F">
            <w:pPr>
              <w:spacing w:line="297" w:lineRule="auto"/>
              <w:rPr>
                <w:rFonts w:ascii="Arial"/>
                <w:sz w:val="21"/>
              </w:rPr>
            </w:pPr>
          </w:p>
          <w:p w14:paraId="0A2C8DFA">
            <w:pPr>
              <w:spacing w:line="298" w:lineRule="auto"/>
              <w:rPr>
                <w:rFonts w:ascii="Arial"/>
                <w:sz w:val="21"/>
              </w:rPr>
            </w:pPr>
          </w:p>
          <w:p w14:paraId="751D30BB">
            <w:pPr>
              <w:spacing w:line="298" w:lineRule="auto"/>
              <w:rPr>
                <w:rFonts w:ascii="Arial"/>
                <w:sz w:val="21"/>
              </w:rPr>
            </w:pPr>
          </w:p>
          <w:p w14:paraId="49F776B0">
            <w:pPr>
              <w:spacing w:line="298" w:lineRule="auto"/>
              <w:rPr>
                <w:rFonts w:ascii="Arial"/>
                <w:sz w:val="21"/>
              </w:rPr>
            </w:pPr>
          </w:p>
          <w:p w14:paraId="1F0B5098">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C24E293">
            <w:pPr>
              <w:spacing w:line="337" w:lineRule="auto"/>
              <w:rPr>
                <w:rFonts w:ascii="Arial"/>
                <w:sz w:val="21"/>
              </w:rPr>
            </w:pPr>
          </w:p>
          <w:p w14:paraId="7026D5F7">
            <w:pPr>
              <w:spacing w:line="337" w:lineRule="auto"/>
              <w:rPr>
                <w:rFonts w:ascii="Arial"/>
                <w:sz w:val="21"/>
              </w:rPr>
            </w:pPr>
          </w:p>
          <w:p w14:paraId="75269373">
            <w:pPr>
              <w:pStyle w:val="6"/>
              <w:spacing w:before="99" w:line="190" w:lineRule="auto"/>
              <w:ind w:left="114" w:right="108" w:firstLine="3"/>
              <w:jc w:val="both"/>
            </w:pPr>
            <w:r>
              <w:rPr>
                <w:spacing w:val="26"/>
              </w:rPr>
              <w:t>未对二级重大危险</w:t>
            </w:r>
            <w:r>
              <w:rPr>
                <w:spacing w:val="-2"/>
              </w:rPr>
              <w:t>源中的设备、设施等</w:t>
            </w:r>
            <w:bookmarkStart w:id="548" w:name="bookmark236"/>
            <w:bookmarkEnd w:id="548"/>
            <w:r>
              <w:rPr>
                <w:spacing w:val="-2"/>
              </w:rPr>
              <w:t>进行定期检测、检验</w:t>
            </w:r>
            <w:r>
              <w:t>的</w:t>
            </w:r>
          </w:p>
        </w:tc>
        <w:tc>
          <w:tcPr>
            <w:tcW w:w="2894" w:type="dxa"/>
            <w:vAlign w:val="top"/>
          </w:tcPr>
          <w:p w14:paraId="0A20D778">
            <w:pPr>
              <w:pStyle w:val="6"/>
              <w:spacing w:before="30" w:line="180" w:lineRule="auto"/>
              <w:ind w:left="122" w:right="104" w:firstLine="4"/>
            </w:pPr>
            <w:r>
              <w:rPr>
                <w:spacing w:val="10"/>
              </w:rPr>
              <w:t>责令限期改正，可以处</w:t>
            </w:r>
            <w:r>
              <w:rPr>
                <w:rFonts w:ascii="宋体" w:hAnsi="宋体" w:eastAsia="宋体" w:cs="宋体"/>
                <w:spacing w:val="10"/>
              </w:rPr>
              <w:t>2</w:t>
            </w:r>
            <w:r>
              <w:rPr>
                <w:spacing w:val="7"/>
              </w:rPr>
              <w:t>万元以上</w:t>
            </w:r>
            <w:r>
              <w:rPr>
                <w:rFonts w:ascii="宋体" w:hAnsi="宋体" w:eastAsia="宋体" w:cs="宋体"/>
                <w:spacing w:val="7"/>
              </w:rPr>
              <w:t>3</w:t>
            </w:r>
            <w:r>
              <w:rPr>
                <w:spacing w:val="7"/>
              </w:rPr>
              <w:t>万元以下的罚</w:t>
            </w:r>
            <w:r>
              <w:rPr>
                <w:spacing w:val="-3"/>
              </w:rPr>
              <w:t>款；逾期未改正的，处</w:t>
            </w:r>
            <w:r>
              <w:rPr>
                <w:rFonts w:ascii="宋体" w:hAnsi="宋体" w:eastAsia="宋体" w:cs="宋体"/>
                <w:spacing w:val="-3"/>
              </w:rPr>
              <w:t>13</w:t>
            </w:r>
            <w:r>
              <w:rPr>
                <w:spacing w:val="11"/>
              </w:rPr>
              <w:t>万元以上</w:t>
            </w:r>
            <w:r>
              <w:rPr>
                <w:rFonts w:ascii="宋体" w:hAnsi="宋体" w:eastAsia="宋体" w:cs="宋体"/>
                <w:spacing w:val="11"/>
              </w:rPr>
              <w:t>17</w:t>
            </w:r>
            <w:r>
              <w:rPr>
                <w:spacing w:val="11"/>
              </w:rPr>
              <w:t>万元以下的</w:t>
            </w:r>
            <w:r>
              <w:rPr>
                <w:spacing w:val="8"/>
              </w:rPr>
              <w:t>罚款，对其直接负责的主</w:t>
            </w:r>
            <w:r>
              <w:rPr>
                <w:spacing w:val="11"/>
              </w:rPr>
              <w:t>管人员和其他直接责任人</w:t>
            </w:r>
            <w:r>
              <w:rPr>
                <w:spacing w:val="1"/>
              </w:rPr>
              <w:t>员处</w:t>
            </w:r>
            <w:r>
              <w:rPr>
                <w:rFonts w:ascii="宋体" w:hAnsi="宋体" w:eastAsia="宋体" w:cs="宋体"/>
                <w:spacing w:val="1"/>
              </w:rPr>
              <w:t>1</w:t>
            </w:r>
            <w:r>
              <w:rPr>
                <w:spacing w:val="1"/>
              </w:rPr>
              <w:t>万元以上</w:t>
            </w:r>
            <w:r>
              <w:rPr>
                <w:rFonts w:ascii="宋体" w:hAnsi="宋体" w:eastAsia="宋体" w:cs="宋体"/>
                <w:spacing w:val="1"/>
              </w:rPr>
              <w:t>2</w:t>
            </w:r>
            <w:r>
              <w:rPr>
                <w:spacing w:val="1"/>
              </w:rPr>
              <w:t>万元以</w:t>
            </w:r>
            <w:r>
              <w:rPr>
                <w:spacing w:val="3"/>
              </w:rPr>
              <w:t>下的罚款；情节严重的，</w:t>
            </w:r>
            <w:r>
              <w:rPr>
                <w:spacing w:val="7"/>
              </w:rPr>
              <w:t>责令停产停业整顿</w:t>
            </w:r>
          </w:p>
        </w:tc>
        <w:tc>
          <w:tcPr>
            <w:tcW w:w="811" w:type="dxa"/>
            <w:vMerge w:val="continue"/>
            <w:tcBorders>
              <w:top w:val="nil"/>
              <w:bottom w:val="nil"/>
            </w:tcBorders>
            <w:vAlign w:val="top"/>
          </w:tcPr>
          <w:p w14:paraId="0B1BA434">
            <w:pPr>
              <w:rPr>
                <w:rFonts w:ascii="Arial"/>
                <w:sz w:val="21"/>
              </w:rPr>
            </w:pPr>
          </w:p>
        </w:tc>
      </w:tr>
      <w:tr w14:paraId="20AC0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818" w:type="dxa"/>
            <w:vMerge w:val="continue"/>
            <w:tcBorders>
              <w:top w:val="nil"/>
            </w:tcBorders>
            <w:vAlign w:val="top"/>
          </w:tcPr>
          <w:p w14:paraId="7F4055C4">
            <w:pPr>
              <w:rPr>
                <w:rFonts w:ascii="Arial"/>
                <w:sz w:val="21"/>
              </w:rPr>
            </w:pPr>
          </w:p>
        </w:tc>
        <w:tc>
          <w:tcPr>
            <w:tcW w:w="1440" w:type="dxa"/>
            <w:vMerge w:val="continue"/>
            <w:tcBorders>
              <w:top w:val="nil"/>
            </w:tcBorders>
            <w:vAlign w:val="top"/>
          </w:tcPr>
          <w:p w14:paraId="4B663441">
            <w:pPr>
              <w:rPr>
                <w:rFonts w:ascii="Arial"/>
                <w:sz w:val="21"/>
              </w:rPr>
            </w:pPr>
          </w:p>
        </w:tc>
        <w:tc>
          <w:tcPr>
            <w:tcW w:w="3202" w:type="dxa"/>
            <w:vMerge w:val="continue"/>
            <w:tcBorders>
              <w:top w:val="nil"/>
            </w:tcBorders>
            <w:vAlign w:val="top"/>
          </w:tcPr>
          <w:p w14:paraId="5CE6BCCB">
            <w:pPr>
              <w:rPr>
                <w:rFonts w:ascii="Arial"/>
                <w:sz w:val="21"/>
              </w:rPr>
            </w:pPr>
          </w:p>
        </w:tc>
        <w:tc>
          <w:tcPr>
            <w:tcW w:w="2859" w:type="dxa"/>
            <w:vMerge w:val="continue"/>
            <w:tcBorders>
              <w:top w:val="nil"/>
            </w:tcBorders>
            <w:vAlign w:val="top"/>
          </w:tcPr>
          <w:p w14:paraId="73B2ABAC">
            <w:pPr>
              <w:rPr>
                <w:rFonts w:ascii="Arial"/>
                <w:sz w:val="21"/>
              </w:rPr>
            </w:pPr>
          </w:p>
        </w:tc>
        <w:tc>
          <w:tcPr>
            <w:tcW w:w="803" w:type="dxa"/>
            <w:vAlign w:val="top"/>
          </w:tcPr>
          <w:p w14:paraId="10071BF9">
            <w:pPr>
              <w:spacing w:line="298" w:lineRule="auto"/>
              <w:rPr>
                <w:rFonts w:ascii="Arial"/>
                <w:sz w:val="21"/>
              </w:rPr>
            </w:pPr>
          </w:p>
          <w:p w14:paraId="7625353D">
            <w:pPr>
              <w:spacing w:line="298" w:lineRule="auto"/>
              <w:rPr>
                <w:rFonts w:ascii="Arial"/>
                <w:sz w:val="21"/>
              </w:rPr>
            </w:pPr>
          </w:p>
          <w:p w14:paraId="2B2D9FDB">
            <w:pPr>
              <w:spacing w:line="298" w:lineRule="auto"/>
              <w:rPr>
                <w:rFonts w:ascii="Arial"/>
                <w:sz w:val="21"/>
              </w:rPr>
            </w:pPr>
          </w:p>
          <w:p w14:paraId="3E9C176F">
            <w:pPr>
              <w:spacing w:line="299" w:lineRule="auto"/>
              <w:rPr>
                <w:rFonts w:ascii="Arial"/>
                <w:sz w:val="21"/>
              </w:rPr>
            </w:pPr>
          </w:p>
          <w:p w14:paraId="70AB409F">
            <w:pPr>
              <w:spacing w:before="75" w:line="187" w:lineRule="auto"/>
              <w:ind w:left="343"/>
              <w:rPr>
                <w:rFonts w:ascii="宋体" w:hAnsi="宋体" w:eastAsia="宋体" w:cs="宋体"/>
                <w:sz w:val="23"/>
                <w:szCs w:val="23"/>
              </w:rPr>
            </w:pPr>
            <w:r>
              <w:rPr>
                <w:rFonts w:ascii="宋体" w:hAnsi="宋体" w:eastAsia="宋体" w:cs="宋体"/>
                <w:sz w:val="23"/>
                <w:szCs w:val="23"/>
              </w:rPr>
              <w:t>D</w:t>
            </w:r>
          </w:p>
        </w:tc>
        <w:tc>
          <w:tcPr>
            <w:tcW w:w="2283" w:type="dxa"/>
            <w:vAlign w:val="top"/>
          </w:tcPr>
          <w:p w14:paraId="20761948">
            <w:pPr>
              <w:spacing w:line="337" w:lineRule="auto"/>
              <w:rPr>
                <w:rFonts w:ascii="Arial"/>
                <w:sz w:val="21"/>
              </w:rPr>
            </w:pPr>
          </w:p>
          <w:p w14:paraId="1049042A">
            <w:pPr>
              <w:spacing w:line="338" w:lineRule="auto"/>
              <w:rPr>
                <w:rFonts w:ascii="Arial"/>
                <w:sz w:val="21"/>
              </w:rPr>
            </w:pPr>
          </w:p>
          <w:p w14:paraId="74E7C698">
            <w:pPr>
              <w:pStyle w:val="6"/>
              <w:spacing w:before="99" w:line="190" w:lineRule="auto"/>
              <w:ind w:left="114" w:right="108" w:firstLine="3"/>
              <w:jc w:val="both"/>
            </w:pPr>
            <w:r>
              <w:rPr>
                <w:spacing w:val="26"/>
              </w:rPr>
              <w:t>未对一级重大危险</w:t>
            </w:r>
            <w:r>
              <w:rPr>
                <w:spacing w:val="-2"/>
              </w:rPr>
              <w:t>源中的设备、设施等进行定期检测、检验</w:t>
            </w:r>
            <w:r>
              <w:t>的</w:t>
            </w:r>
          </w:p>
        </w:tc>
        <w:tc>
          <w:tcPr>
            <w:tcW w:w="2894" w:type="dxa"/>
            <w:vAlign w:val="top"/>
          </w:tcPr>
          <w:p w14:paraId="7E521B45">
            <w:pPr>
              <w:pStyle w:val="6"/>
              <w:spacing w:before="30" w:line="180" w:lineRule="auto"/>
              <w:ind w:left="122" w:right="104" w:firstLine="4"/>
            </w:pPr>
            <w:r>
              <w:rPr>
                <w:spacing w:val="10"/>
              </w:rPr>
              <w:t>责令限期改正，可以处</w:t>
            </w:r>
            <w:r>
              <w:rPr>
                <w:rFonts w:ascii="宋体" w:hAnsi="宋体" w:eastAsia="宋体" w:cs="宋体"/>
                <w:spacing w:val="10"/>
              </w:rPr>
              <w:t>3</w:t>
            </w:r>
            <w:r>
              <w:rPr>
                <w:spacing w:val="7"/>
              </w:rPr>
              <w:t>万元以上</w:t>
            </w:r>
            <w:r>
              <w:rPr>
                <w:rFonts w:ascii="宋体" w:hAnsi="宋体" w:eastAsia="宋体" w:cs="宋体"/>
                <w:spacing w:val="7"/>
              </w:rPr>
              <w:t>5</w:t>
            </w:r>
            <w:r>
              <w:rPr>
                <w:spacing w:val="7"/>
              </w:rPr>
              <w:t>万元以下的罚</w:t>
            </w:r>
            <w:r>
              <w:rPr>
                <w:spacing w:val="-3"/>
              </w:rPr>
              <w:t>款；逾期未改正的，处</w:t>
            </w:r>
            <w:r>
              <w:rPr>
                <w:rFonts w:ascii="宋体" w:hAnsi="宋体" w:eastAsia="宋体" w:cs="宋体"/>
                <w:spacing w:val="-3"/>
              </w:rPr>
              <w:t>17</w:t>
            </w:r>
            <w:r>
              <w:rPr>
                <w:spacing w:val="13"/>
              </w:rPr>
              <w:t>万元以上</w:t>
            </w:r>
            <w:r>
              <w:rPr>
                <w:rFonts w:ascii="宋体" w:hAnsi="宋体" w:eastAsia="宋体" w:cs="宋体"/>
                <w:spacing w:val="13"/>
              </w:rPr>
              <w:t>20</w:t>
            </w:r>
            <w:r>
              <w:rPr>
                <w:spacing w:val="13"/>
              </w:rPr>
              <w:t>万元以下的</w:t>
            </w:r>
            <w:r>
              <w:rPr>
                <w:spacing w:val="8"/>
              </w:rPr>
              <w:t>罚款，对其直接负责的主</w:t>
            </w:r>
            <w:r>
              <w:rPr>
                <w:spacing w:val="11"/>
              </w:rPr>
              <w:t>管人员和其他直接责任人</w:t>
            </w:r>
            <w:r>
              <w:rPr>
                <w:spacing w:val="1"/>
              </w:rPr>
              <w:t>员处</w:t>
            </w:r>
            <w:r>
              <w:rPr>
                <w:rFonts w:ascii="宋体" w:hAnsi="宋体" w:eastAsia="宋体" w:cs="宋体"/>
                <w:spacing w:val="1"/>
              </w:rPr>
              <w:t>1</w:t>
            </w:r>
            <w:r>
              <w:rPr>
                <w:spacing w:val="1"/>
              </w:rPr>
              <w:t>万元以上</w:t>
            </w:r>
            <w:r>
              <w:rPr>
                <w:rFonts w:ascii="宋体" w:hAnsi="宋体" w:eastAsia="宋体" w:cs="宋体"/>
                <w:spacing w:val="1"/>
              </w:rPr>
              <w:t>2</w:t>
            </w:r>
            <w:r>
              <w:rPr>
                <w:spacing w:val="1"/>
              </w:rPr>
              <w:t>万元以</w:t>
            </w:r>
            <w:r>
              <w:rPr>
                <w:spacing w:val="3"/>
              </w:rPr>
              <w:t>下的罚款；情节严重的，</w:t>
            </w:r>
            <w:r>
              <w:rPr>
                <w:spacing w:val="7"/>
              </w:rPr>
              <w:t>责令停产停业整顿</w:t>
            </w:r>
          </w:p>
        </w:tc>
        <w:tc>
          <w:tcPr>
            <w:tcW w:w="811" w:type="dxa"/>
            <w:vMerge w:val="continue"/>
            <w:tcBorders>
              <w:top w:val="nil"/>
            </w:tcBorders>
            <w:vAlign w:val="top"/>
          </w:tcPr>
          <w:p w14:paraId="4561BC66">
            <w:pPr>
              <w:rPr>
                <w:rFonts w:ascii="Arial"/>
                <w:sz w:val="21"/>
              </w:rPr>
            </w:pPr>
          </w:p>
        </w:tc>
      </w:tr>
      <w:tr w14:paraId="3D33D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18" w:type="dxa"/>
            <w:vMerge w:val="restart"/>
            <w:tcBorders>
              <w:bottom w:val="nil"/>
            </w:tcBorders>
            <w:vAlign w:val="top"/>
          </w:tcPr>
          <w:p w14:paraId="770C96A3">
            <w:pPr>
              <w:spacing w:line="248" w:lineRule="auto"/>
              <w:rPr>
                <w:rFonts w:ascii="Arial"/>
                <w:sz w:val="21"/>
              </w:rPr>
            </w:pPr>
          </w:p>
          <w:p w14:paraId="2BF52695">
            <w:pPr>
              <w:spacing w:line="249" w:lineRule="auto"/>
              <w:rPr>
                <w:rFonts w:ascii="Arial"/>
                <w:sz w:val="21"/>
              </w:rPr>
            </w:pPr>
          </w:p>
          <w:p w14:paraId="59DE433C">
            <w:pPr>
              <w:spacing w:line="249" w:lineRule="auto"/>
              <w:rPr>
                <w:rFonts w:ascii="Arial"/>
                <w:sz w:val="21"/>
              </w:rPr>
            </w:pPr>
          </w:p>
          <w:p w14:paraId="7D157A0B">
            <w:pPr>
              <w:spacing w:line="249" w:lineRule="auto"/>
              <w:rPr>
                <w:rFonts w:ascii="Arial"/>
                <w:sz w:val="21"/>
              </w:rPr>
            </w:pPr>
          </w:p>
          <w:p w14:paraId="76F06964">
            <w:pPr>
              <w:spacing w:line="249" w:lineRule="auto"/>
              <w:rPr>
                <w:rFonts w:ascii="Arial"/>
                <w:sz w:val="21"/>
              </w:rPr>
            </w:pPr>
          </w:p>
          <w:p w14:paraId="41EC8609">
            <w:pPr>
              <w:spacing w:line="249" w:lineRule="auto"/>
              <w:rPr>
                <w:rFonts w:ascii="Arial"/>
                <w:sz w:val="21"/>
              </w:rPr>
            </w:pPr>
          </w:p>
          <w:p w14:paraId="00F7C853">
            <w:pPr>
              <w:spacing w:before="75" w:line="186" w:lineRule="auto"/>
              <w:ind w:left="161"/>
              <w:rPr>
                <w:rFonts w:ascii="仿宋" w:hAnsi="仿宋" w:eastAsia="仿宋" w:cs="仿宋"/>
                <w:sz w:val="23"/>
                <w:szCs w:val="23"/>
              </w:rPr>
            </w:pPr>
            <w:r>
              <w:rPr>
                <w:rFonts w:ascii="仿宋" w:hAnsi="仿宋" w:eastAsia="仿宋" w:cs="仿宋"/>
                <w:spacing w:val="-5"/>
                <w:sz w:val="23"/>
                <w:szCs w:val="23"/>
              </w:rPr>
              <w:t>115</w:t>
            </w:r>
          </w:p>
        </w:tc>
        <w:tc>
          <w:tcPr>
            <w:tcW w:w="1440" w:type="dxa"/>
            <w:vMerge w:val="restart"/>
            <w:tcBorders>
              <w:bottom w:val="nil"/>
            </w:tcBorders>
            <w:vAlign w:val="top"/>
          </w:tcPr>
          <w:p w14:paraId="05504A60">
            <w:pPr>
              <w:spacing w:line="275" w:lineRule="auto"/>
              <w:rPr>
                <w:rFonts w:ascii="Arial"/>
                <w:sz w:val="21"/>
              </w:rPr>
            </w:pPr>
          </w:p>
          <w:p w14:paraId="6A2AAAAA">
            <w:pPr>
              <w:spacing w:line="275" w:lineRule="auto"/>
              <w:rPr>
                <w:rFonts w:ascii="Arial"/>
                <w:sz w:val="21"/>
              </w:rPr>
            </w:pPr>
          </w:p>
          <w:p w14:paraId="16919BEB">
            <w:pPr>
              <w:spacing w:line="276" w:lineRule="auto"/>
              <w:rPr>
                <w:rFonts w:ascii="Arial"/>
                <w:sz w:val="21"/>
              </w:rPr>
            </w:pPr>
          </w:p>
          <w:p w14:paraId="2AC86794">
            <w:pPr>
              <w:pStyle w:val="6"/>
              <w:spacing w:before="98" w:line="188" w:lineRule="auto"/>
              <w:ind w:left="112" w:right="111" w:firstLine="2"/>
              <w:jc w:val="both"/>
            </w:pPr>
            <w:r>
              <w:rPr>
                <w:spacing w:val="11"/>
              </w:rPr>
              <w:t>危险化学品</w:t>
            </w:r>
            <w:r>
              <w:rPr>
                <w:spacing w:val="12"/>
              </w:rPr>
              <w:t>单位未按照标准对重大危险源进行</w:t>
            </w:r>
            <w:r>
              <w:rPr>
                <w:spacing w:val="6"/>
              </w:rPr>
              <w:t>辨识的</w:t>
            </w:r>
          </w:p>
        </w:tc>
        <w:tc>
          <w:tcPr>
            <w:tcW w:w="3202" w:type="dxa"/>
            <w:vMerge w:val="restart"/>
            <w:tcBorders>
              <w:bottom w:val="nil"/>
            </w:tcBorders>
            <w:vAlign w:val="top"/>
          </w:tcPr>
          <w:p w14:paraId="092FF83A">
            <w:pPr>
              <w:pStyle w:val="6"/>
              <w:spacing w:before="36" w:line="185" w:lineRule="auto"/>
              <w:ind w:left="117" w:right="26" w:hanging="19"/>
              <w:jc w:val="both"/>
            </w:pPr>
            <w:r>
              <w:rPr>
                <w:spacing w:val="18"/>
              </w:rPr>
              <w:t>【部门规章】《危险化学品</w:t>
            </w:r>
            <w:r>
              <w:rPr>
                <w:spacing w:val="17"/>
              </w:rPr>
              <w:t>重大危险源监督管理暂行规</w:t>
            </w:r>
            <w:r>
              <w:rPr>
                <w:spacing w:val="13"/>
              </w:rPr>
              <w:t>定》第七条：危险化学品单</w:t>
            </w:r>
            <w:r>
              <w:rPr>
                <w:spacing w:val="12"/>
              </w:rPr>
              <w:t>位应当按照《</w:t>
            </w:r>
            <w:r>
              <w:fldChar w:fldCharType="begin"/>
            </w:r>
            <w:r>
              <w:instrText xml:space="preserve"> HYPERLINK "https://baike.baidu.com/item/%E5%8D%B1%E9%99%A9%E5%8C%96%E5%AD%A6%E5%93%81%E9%87%8D%E5%A4%A7%E5%8D%B1%E9%99%A9%E6%BA%90%E8%BE%A8%E8%AF%86/6438883?fromModule=lemma_inlink" </w:instrText>
            </w:r>
            <w:r>
              <w:fldChar w:fldCharType="separate"/>
            </w:r>
            <w:r>
              <w:rPr>
                <w:spacing w:val="12"/>
              </w:rPr>
              <w:t>危险化学品重</w:t>
            </w:r>
            <w:r>
              <w:rPr>
                <w:spacing w:val="12"/>
              </w:rPr>
              <w:fldChar w:fldCharType="end"/>
            </w:r>
            <w:r>
              <w:rPr>
                <w:spacing w:val="13"/>
              </w:rPr>
              <w:t>大危险源辨识》标准，对本</w:t>
            </w:r>
            <w:r>
              <w:rPr>
                <w:spacing w:val="17"/>
              </w:rPr>
              <w:t>单位的危险化学品生产、经营、储存和使用装置、设施或者场所进行重大危险源辨</w:t>
            </w:r>
            <w:r>
              <w:rPr>
                <w:spacing w:val="4"/>
              </w:rPr>
              <w:t>识，并记录辨识过程与结果。</w:t>
            </w:r>
          </w:p>
        </w:tc>
        <w:tc>
          <w:tcPr>
            <w:tcW w:w="2859" w:type="dxa"/>
            <w:vMerge w:val="restart"/>
            <w:tcBorders>
              <w:bottom w:val="nil"/>
            </w:tcBorders>
            <w:vAlign w:val="top"/>
          </w:tcPr>
          <w:p w14:paraId="5D3F0DCF">
            <w:pPr>
              <w:pStyle w:val="6"/>
              <w:spacing w:before="39" w:line="180" w:lineRule="auto"/>
              <w:ind w:left="113" w:right="106" w:hanging="16"/>
              <w:jc w:val="both"/>
            </w:pPr>
            <w:r>
              <w:rPr>
                <w:spacing w:val="10"/>
              </w:rPr>
              <w:t>【部门规章】《危险化学</w:t>
            </w:r>
            <w:r>
              <w:rPr>
                <w:spacing w:val="8"/>
              </w:rPr>
              <w:t>品重大危险源监督管理暂行规定》第三十四条第一项：危险化学品单位有下列情形之一的，由县级以上人民政府安全生产监督管理部门给予警告，可以</w:t>
            </w:r>
            <w:r>
              <w:rPr>
                <w:spacing w:val="13"/>
              </w:rPr>
              <w:t>并处</w:t>
            </w:r>
            <w:r>
              <w:rPr>
                <w:rFonts w:ascii="宋体" w:hAnsi="宋体" w:eastAsia="宋体" w:cs="宋体"/>
                <w:spacing w:val="13"/>
              </w:rPr>
              <w:t>5000</w:t>
            </w:r>
            <w:r>
              <w:rPr>
                <w:spacing w:val="13"/>
              </w:rPr>
              <w:t>元以上</w:t>
            </w:r>
            <w:r>
              <w:rPr>
                <w:rFonts w:ascii="宋体" w:hAnsi="宋体" w:eastAsia="宋体" w:cs="宋体"/>
                <w:spacing w:val="13"/>
              </w:rPr>
              <w:t>3</w:t>
            </w:r>
            <w:r>
              <w:rPr>
                <w:spacing w:val="13"/>
              </w:rPr>
              <w:t>万元以</w:t>
            </w:r>
            <w:r>
              <w:t>下的罚款</w:t>
            </w:r>
            <w:r>
              <w:rPr>
                <w:spacing w:val="-10"/>
              </w:rPr>
              <w:t>：（</w:t>
            </w:r>
            <w:r>
              <w:t>一）未按照</w:t>
            </w:r>
            <w:r>
              <w:rPr>
                <w:spacing w:val="8"/>
              </w:rPr>
              <w:t>标准对重大危险源进行辨</w:t>
            </w:r>
            <w:r>
              <w:rPr>
                <w:spacing w:val="-6"/>
              </w:rPr>
              <w:t>识的；</w:t>
            </w:r>
          </w:p>
        </w:tc>
        <w:tc>
          <w:tcPr>
            <w:tcW w:w="803" w:type="dxa"/>
            <w:vAlign w:val="top"/>
          </w:tcPr>
          <w:p w14:paraId="0C56B109">
            <w:pPr>
              <w:spacing w:line="329" w:lineRule="auto"/>
              <w:rPr>
                <w:rFonts w:ascii="Arial"/>
                <w:sz w:val="21"/>
              </w:rPr>
            </w:pPr>
          </w:p>
          <w:p w14:paraId="17CB55D9">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837CC74">
            <w:pPr>
              <w:pStyle w:val="6"/>
              <w:spacing w:before="61" w:line="182" w:lineRule="auto"/>
              <w:ind w:left="116" w:right="109" w:firstLine="1"/>
              <w:jc w:val="both"/>
            </w:pPr>
            <w:r>
              <w:rPr>
                <w:spacing w:val="26"/>
              </w:rPr>
              <w:t>未按照标准对重大</w:t>
            </w:r>
            <w:r>
              <w:rPr>
                <w:spacing w:val="-2"/>
              </w:rPr>
              <w:t>危险源进行辨识，缺</w:t>
            </w:r>
            <w:r>
              <w:rPr>
                <w:spacing w:val="-5"/>
              </w:rPr>
              <w:t>少</w:t>
            </w:r>
            <w:r>
              <w:rPr>
                <w:rFonts w:ascii="宋体" w:hAnsi="宋体" w:eastAsia="宋体" w:cs="宋体"/>
                <w:spacing w:val="-5"/>
              </w:rPr>
              <w:t>1</w:t>
            </w:r>
            <w:r>
              <w:rPr>
                <w:spacing w:val="-5"/>
              </w:rPr>
              <w:t>处的</w:t>
            </w:r>
          </w:p>
        </w:tc>
        <w:tc>
          <w:tcPr>
            <w:tcW w:w="2894" w:type="dxa"/>
            <w:vAlign w:val="top"/>
          </w:tcPr>
          <w:p w14:paraId="12A6E2D0">
            <w:pPr>
              <w:pStyle w:val="6"/>
              <w:spacing w:before="212" w:line="196" w:lineRule="auto"/>
              <w:ind w:left="124" w:right="105" w:firstLine="1"/>
            </w:pPr>
            <w:r>
              <w:rPr>
                <w:spacing w:val="2"/>
              </w:rPr>
              <w:t>给予警告，可以并处</w:t>
            </w:r>
            <w:r>
              <w:rPr>
                <w:rFonts w:ascii="宋体" w:hAnsi="宋体" w:eastAsia="宋体" w:cs="宋体"/>
                <w:spacing w:val="2"/>
              </w:rPr>
              <w:t>5000</w:t>
            </w:r>
            <w:r>
              <w:rPr>
                <w:spacing w:val="2"/>
              </w:rPr>
              <w:t>元以上</w:t>
            </w:r>
            <w:r>
              <w:rPr>
                <w:rFonts w:ascii="宋体" w:hAnsi="宋体" w:eastAsia="宋体" w:cs="宋体"/>
                <w:spacing w:val="2"/>
              </w:rPr>
              <w:t>1</w:t>
            </w:r>
            <w:r>
              <w:rPr>
                <w:spacing w:val="2"/>
              </w:rPr>
              <w:t>万元以下的罚款</w:t>
            </w:r>
          </w:p>
        </w:tc>
        <w:tc>
          <w:tcPr>
            <w:tcW w:w="811" w:type="dxa"/>
            <w:vMerge w:val="restart"/>
            <w:tcBorders>
              <w:bottom w:val="nil"/>
            </w:tcBorders>
            <w:vAlign w:val="top"/>
          </w:tcPr>
          <w:p w14:paraId="5DE44C27">
            <w:pPr>
              <w:spacing w:line="248" w:lineRule="auto"/>
              <w:rPr>
                <w:rFonts w:ascii="Arial"/>
                <w:sz w:val="21"/>
              </w:rPr>
            </w:pPr>
          </w:p>
          <w:p w14:paraId="136DC6EE">
            <w:pPr>
              <w:spacing w:line="248" w:lineRule="auto"/>
              <w:rPr>
                <w:rFonts w:ascii="Arial"/>
                <w:sz w:val="21"/>
              </w:rPr>
            </w:pPr>
          </w:p>
          <w:p w14:paraId="4ED2DF68">
            <w:pPr>
              <w:spacing w:line="248" w:lineRule="auto"/>
              <w:rPr>
                <w:rFonts w:ascii="Arial"/>
                <w:sz w:val="21"/>
              </w:rPr>
            </w:pPr>
          </w:p>
          <w:p w14:paraId="5B5255AF">
            <w:pPr>
              <w:spacing w:line="248" w:lineRule="auto"/>
              <w:rPr>
                <w:rFonts w:ascii="Arial"/>
                <w:sz w:val="21"/>
              </w:rPr>
            </w:pPr>
          </w:p>
          <w:p w14:paraId="046B71DB">
            <w:pPr>
              <w:spacing w:line="249" w:lineRule="auto"/>
              <w:rPr>
                <w:rFonts w:ascii="Arial"/>
                <w:sz w:val="21"/>
              </w:rPr>
            </w:pPr>
          </w:p>
          <w:p w14:paraId="6B8ABFCA">
            <w:pPr>
              <w:spacing w:line="249" w:lineRule="auto"/>
              <w:rPr>
                <w:rFonts w:ascii="Arial"/>
                <w:sz w:val="21"/>
              </w:rPr>
            </w:pPr>
          </w:p>
          <w:p w14:paraId="5F902E1A">
            <w:pPr>
              <w:spacing w:before="75" w:line="188" w:lineRule="auto"/>
              <w:ind w:left="292"/>
              <w:rPr>
                <w:rFonts w:ascii="宋体" w:hAnsi="宋体" w:eastAsia="宋体" w:cs="宋体"/>
                <w:sz w:val="23"/>
                <w:szCs w:val="23"/>
              </w:rPr>
            </w:pPr>
            <w:r>
              <w:rPr>
                <w:rFonts w:ascii="宋体" w:hAnsi="宋体" w:eastAsia="宋体" w:cs="宋体"/>
                <w:spacing w:val="-2"/>
                <w:sz w:val="23"/>
                <w:szCs w:val="23"/>
              </w:rPr>
              <w:t>85</w:t>
            </w:r>
          </w:p>
        </w:tc>
      </w:tr>
      <w:tr w14:paraId="68919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4" w:hRule="atLeast"/>
        </w:trPr>
        <w:tc>
          <w:tcPr>
            <w:tcW w:w="818" w:type="dxa"/>
            <w:vMerge w:val="continue"/>
            <w:tcBorders>
              <w:top w:val="nil"/>
              <w:bottom w:val="nil"/>
            </w:tcBorders>
            <w:vAlign w:val="top"/>
          </w:tcPr>
          <w:p w14:paraId="72690AA0">
            <w:pPr>
              <w:rPr>
                <w:rFonts w:ascii="Arial"/>
                <w:sz w:val="21"/>
              </w:rPr>
            </w:pPr>
          </w:p>
        </w:tc>
        <w:tc>
          <w:tcPr>
            <w:tcW w:w="1440" w:type="dxa"/>
            <w:vMerge w:val="continue"/>
            <w:tcBorders>
              <w:top w:val="nil"/>
              <w:bottom w:val="nil"/>
            </w:tcBorders>
            <w:vAlign w:val="top"/>
          </w:tcPr>
          <w:p w14:paraId="06FDFFC0">
            <w:pPr>
              <w:rPr>
                <w:rFonts w:ascii="Arial"/>
                <w:sz w:val="21"/>
              </w:rPr>
            </w:pPr>
          </w:p>
        </w:tc>
        <w:tc>
          <w:tcPr>
            <w:tcW w:w="3202" w:type="dxa"/>
            <w:vMerge w:val="continue"/>
            <w:tcBorders>
              <w:top w:val="nil"/>
              <w:bottom w:val="nil"/>
            </w:tcBorders>
            <w:vAlign w:val="top"/>
          </w:tcPr>
          <w:p w14:paraId="095E7FD3">
            <w:pPr>
              <w:rPr>
                <w:rFonts w:ascii="Arial"/>
                <w:sz w:val="21"/>
              </w:rPr>
            </w:pPr>
          </w:p>
        </w:tc>
        <w:tc>
          <w:tcPr>
            <w:tcW w:w="2859" w:type="dxa"/>
            <w:vMerge w:val="continue"/>
            <w:tcBorders>
              <w:top w:val="nil"/>
              <w:bottom w:val="nil"/>
            </w:tcBorders>
            <w:vAlign w:val="top"/>
          </w:tcPr>
          <w:p w14:paraId="13371816">
            <w:pPr>
              <w:rPr>
                <w:rFonts w:ascii="Arial"/>
                <w:sz w:val="21"/>
              </w:rPr>
            </w:pPr>
          </w:p>
        </w:tc>
        <w:tc>
          <w:tcPr>
            <w:tcW w:w="803" w:type="dxa"/>
            <w:vAlign w:val="top"/>
          </w:tcPr>
          <w:p w14:paraId="3FEFD1E2">
            <w:pPr>
              <w:spacing w:line="445" w:lineRule="auto"/>
              <w:rPr>
                <w:rFonts w:ascii="Arial"/>
                <w:sz w:val="21"/>
              </w:rPr>
            </w:pPr>
          </w:p>
          <w:p w14:paraId="52F5EA42">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581AB901">
            <w:pPr>
              <w:pStyle w:val="6"/>
              <w:spacing w:before="178" w:line="191" w:lineRule="auto"/>
              <w:ind w:left="116" w:right="109" w:firstLine="1"/>
              <w:jc w:val="both"/>
            </w:pPr>
            <w:r>
              <w:rPr>
                <w:spacing w:val="26"/>
              </w:rPr>
              <w:t>未按照标准对重大</w:t>
            </w:r>
            <w:r>
              <w:rPr>
                <w:spacing w:val="-2"/>
              </w:rPr>
              <w:t>危险源进行辨识，缺</w:t>
            </w:r>
            <w:r>
              <w:rPr>
                <w:spacing w:val="2"/>
              </w:rPr>
              <w:t>少</w:t>
            </w:r>
            <w:r>
              <w:rPr>
                <w:rFonts w:ascii="宋体" w:hAnsi="宋体" w:eastAsia="宋体" w:cs="宋体"/>
                <w:spacing w:val="2"/>
              </w:rPr>
              <w:t>2</w:t>
            </w:r>
            <w:r>
              <w:rPr>
                <w:spacing w:val="2"/>
              </w:rPr>
              <w:t>处以上的</w:t>
            </w:r>
          </w:p>
        </w:tc>
        <w:tc>
          <w:tcPr>
            <w:tcW w:w="2894" w:type="dxa"/>
            <w:vAlign w:val="top"/>
          </w:tcPr>
          <w:p w14:paraId="649B1E68">
            <w:pPr>
              <w:pStyle w:val="6"/>
              <w:spacing w:before="325" w:line="196" w:lineRule="auto"/>
              <w:ind w:left="124" w:right="104" w:firstLine="1"/>
            </w:pPr>
            <w:r>
              <w:rPr>
                <w:spacing w:val="1"/>
              </w:rPr>
              <w:t>给予警告，可以并处</w:t>
            </w:r>
            <w:r>
              <w:rPr>
                <w:rFonts w:ascii="宋体" w:hAnsi="宋体" w:eastAsia="宋体" w:cs="宋体"/>
                <w:spacing w:val="1"/>
              </w:rPr>
              <w:t>1</w:t>
            </w:r>
            <w:r>
              <w:rPr>
                <w:spacing w:val="1"/>
              </w:rPr>
              <w:t>万</w:t>
            </w:r>
            <w:r>
              <w:rPr>
                <w:spacing w:val="4"/>
              </w:rPr>
              <w:t>元以上</w:t>
            </w:r>
            <w:r>
              <w:rPr>
                <w:rFonts w:ascii="宋体" w:hAnsi="宋体" w:eastAsia="宋体" w:cs="宋体"/>
                <w:spacing w:val="4"/>
              </w:rPr>
              <w:t>2</w:t>
            </w:r>
            <w:r>
              <w:rPr>
                <w:spacing w:val="4"/>
              </w:rPr>
              <w:t>万元以下的罚款</w:t>
            </w:r>
          </w:p>
        </w:tc>
        <w:tc>
          <w:tcPr>
            <w:tcW w:w="811" w:type="dxa"/>
            <w:vMerge w:val="continue"/>
            <w:tcBorders>
              <w:top w:val="nil"/>
              <w:bottom w:val="nil"/>
            </w:tcBorders>
            <w:vAlign w:val="top"/>
          </w:tcPr>
          <w:p w14:paraId="4F161535">
            <w:pPr>
              <w:rPr>
                <w:rFonts w:ascii="Arial"/>
                <w:sz w:val="21"/>
              </w:rPr>
            </w:pPr>
          </w:p>
        </w:tc>
      </w:tr>
      <w:tr w14:paraId="7A066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818" w:type="dxa"/>
            <w:vMerge w:val="continue"/>
            <w:tcBorders>
              <w:top w:val="nil"/>
            </w:tcBorders>
            <w:vAlign w:val="top"/>
          </w:tcPr>
          <w:p w14:paraId="5A5F8CE9">
            <w:pPr>
              <w:rPr>
                <w:rFonts w:ascii="Arial"/>
                <w:sz w:val="21"/>
              </w:rPr>
            </w:pPr>
          </w:p>
        </w:tc>
        <w:tc>
          <w:tcPr>
            <w:tcW w:w="1440" w:type="dxa"/>
            <w:vMerge w:val="continue"/>
            <w:tcBorders>
              <w:top w:val="nil"/>
            </w:tcBorders>
            <w:vAlign w:val="top"/>
          </w:tcPr>
          <w:p w14:paraId="5D8083AF">
            <w:pPr>
              <w:rPr>
                <w:rFonts w:ascii="Arial"/>
                <w:sz w:val="21"/>
              </w:rPr>
            </w:pPr>
          </w:p>
        </w:tc>
        <w:tc>
          <w:tcPr>
            <w:tcW w:w="3202" w:type="dxa"/>
            <w:vMerge w:val="continue"/>
            <w:tcBorders>
              <w:top w:val="nil"/>
            </w:tcBorders>
            <w:vAlign w:val="top"/>
          </w:tcPr>
          <w:p w14:paraId="420E2840">
            <w:pPr>
              <w:rPr>
                <w:rFonts w:ascii="Arial"/>
                <w:sz w:val="21"/>
              </w:rPr>
            </w:pPr>
          </w:p>
        </w:tc>
        <w:tc>
          <w:tcPr>
            <w:tcW w:w="2859" w:type="dxa"/>
            <w:vMerge w:val="continue"/>
            <w:tcBorders>
              <w:top w:val="nil"/>
            </w:tcBorders>
            <w:vAlign w:val="top"/>
          </w:tcPr>
          <w:p w14:paraId="535AB674">
            <w:pPr>
              <w:rPr>
                <w:rFonts w:ascii="Arial"/>
                <w:sz w:val="21"/>
              </w:rPr>
            </w:pPr>
          </w:p>
        </w:tc>
        <w:tc>
          <w:tcPr>
            <w:tcW w:w="803" w:type="dxa"/>
            <w:vAlign w:val="top"/>
          </w:tcPr>
          <w:p w14:paraId="1DA61477">
            <w:pPr>
              <w:spacing w:line="411" w:lineRule="auto"/>
              <w:rPr>
                <w:rFonts w:ascii="Arial"/>
                <w:sz w:val="21"/>
              </w:rPr>
            </w:pPr>
          </w:p>
          <w:p w14:paraId="457B84D5">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B31D651">
            <w:pPr>
              <w:pStyle w:val="6"/>
              <w:spacing w:before="293" w:line="196" w:lineRule="auto"/>
              <w:ind w:left="118" w:right="108"/>
            </w:pPr>
            <w:r>
              <w:rPr>
                <w:spacing w:val="26"/>
              </w:rPr>
              <w:t>未对重大危险源进</w:t>
            </w:r>
            <w:r>
              <w:rPr>
                <w:spacing w:val="5"/>
              </w:rPr>
              <w:t>行辨识的</w:t>
            </w:r>
          </w:p>
        </w:tc>
        <w:tc>
          <w:tcPr>
            <w:tcW w:w="2894" w:type="dxa"/>
            <w:vAlign w:val="top"/>
          </w:tcPr>
          <w:p w14:paraId="7E14E538">
            <w:pPr>
              <w:pStyle w:val="6"/>
              <w:spacing w:before="293" w:line="196" w:lineRule="auto"/>
              <w:ind w:left="124" w:right="104" w:firstLine="1"/>
            </w:pPr>
            <w:r>
              <w:rPr>
                <w:spacing w:val="3"/>
              </w:rPr>
              <w:t>给予警告，可以并处</w:t>
            </w:r>
            <w:r>
              <w:rPr>
                <w:rFonts w:ascii="宋体" w:hAnsi="宋体" w:eastAsia="宋体" w:cs="宋体"/>
                <w:spacing w:val="3"/>
              </w:rPr>
              <w:t>2</w:t>
            </w:r>
            <w:r>
              <w:rPr>
                <w:spacing w:val="3"/>
              </w:rPr>
              <w:t>万</w:t>
            </w:r>
            <w:r>
              <w:rPr>
                <w:spacing w:val="4"/>
              </w:rPr>
              <w:t>元以上</w:t>
            </w:r>
            <w:r>
              <w:rPr>
                <w:rFonts w:ascii="宋体" w:hAnsi="宋体" w:eastAsia="宋体" w:cs="宋体"/>
                <w:spacing w:val="4"/>
              </w:rPr>
              <w:t>3</w:t>
            </w:r>
            <w:r>
              <w:rPr>
                <w:spacing w:val="4"/>
              </w:rPr>
              <w:t>万元以下的罚款</w:t>
            </w:r>
          </w:p>
        </w:tc>
        <w:tc>
          <w:tcPr>
            <w:tcW w:w="811" w:type="dxa"/>
            <w:vMerge w:val="continue"/>
            <w:tcBorders>
              <w:top w:val="nil"/>
            </w:tcBorders>
            <w:vAlign w:val="top"/>
          </w:tcPr>
          <w:p w14:paraId="1BF946E6">
            <w:pPr>
              <w:rPr>
                <w:rFonts w:ascii="Arial"/>
                <w:sz w:val="21"/>
              </w:rPr>
            </w:pPr>
          </w:p>
        </w:tc>
      </w:tr>
    </w:tbl>
    <w:p w14:paraId="7FA8E6CA">
      <w:pPr>
        <w:pStyle w:val="2"/>
      </w:pPr>
    </w:p>
    <w:p w14:paraId="5E1644F2">
      <w:pPr>
        <w:sectPr>
          <w:footerReference r:id="rId140" w:type="default"/>
          <w:pgSz w:w="16839" w:h="11906"/>
          <w:pgMar w:top="1012" w:right="821" w:bottom="667" w:left="901" w:header="0" w:footer="388" w:gutter="0"/>
          <w:cols w:space="720" w:num="1"/>
        </w:sectPr>
      </w:pPr>
    </w:p>
    <w:p w14:paraId="7F71B93E">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3472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57CBF47">
            <w:pPr>
              <w:spacing w:before="222" w:line="241" w:lineRule="auto"/>
              <w:ind w:left="131"/>
              <w:rPr>
                <w:rFonts w:ascii="黑体" w:hAnsi="黑体" w:eastAsia="黑体" w:cs="黑体"/>
                <w:sz w:val="28"/>
                <w:szCs w:val="28"/>
              </w:rPr>
            </w:pPr>
            <w:bookmarkStart w:id="549" w:name="bookmark545"/>
            <w:bookmarkEnd w:id="549"/>
            <w:bookmarkStart w:id="550" w:name="bookmark238"/>
            <w:bookmarkEnd w:id="550"/>
            <w:r>
              <w:rPr>
                <w:rFonts w:ascii="黑体" w:hAnsi="黑体" w:eastAsia="黑体" w:cs="黑体"/>
                <w:spacing w:val="-2"/>
                <w:sz w:val="28"/>
                <w:szCs w:val="28"/>
              </w:rPr>
              <w:t>序号</w:t>
            </w:r>
          </w:p>
        </w:tc>
        <w:tc>
          <w:tcPr>
            <w:tcW w:w="1440" w:type="dxa"/>
            <w:vAlign w:val="top"/>
          </w:tcPr>
          <w:p w14:paraId="3850986C">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BF6E4E3">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2DFF660">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EB9D0BD">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299067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9E4E3BD">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5ADF54B">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AB85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restart"/>
            <w:tcBorders>
              <w:bottom w:val="nil"/>
            </w:tcBorders>
            <w:vAlign w:val="top"/>
          </w:tcPr>
          <w:p w14:paraId="3D77E4BA">
            <w:pPr>
              <w:spacing w:line="241" w:lineRule="auto"/>
              <w:rPr>
                <w:rFonts w:ascii="Arial"/>
                <w:sz w:val="21"/>
              </w:rPr>
            </w:pPr>
          </w:p>
          <w:p w14:paraId="5DCBAE6E">
            <w:pPr>
              <w:spacing w:line="241" w:lineRule="auto"/>
              <w:rPr>
                <w:rFonts w:ascii="Arial"/>
                <w:sz w:val="21"/>
              </w:rPr>
            </w:pPr>
          </w:p>
          <w:p w14:paraId="5962EB17">
            <w:pPr>
              <w:spacing w:line="241" w:lineRule="auto"/>
              <w:rPr>
                <w:rFonts w:ascii="Arial"/>
                <w:sz w:val="21"/>
              </w:rPr>
            </w:pPr>
          </w:p>
          <w:p w14:paraId="551C05D6">
            <w:pPr>
              <w:spacing w:line="241" w:lineRule="auto"/>
              <w:rPr>
                <w:rFonts w:ascii="Arial"/>
                <w:sz w:val="21"/>
              </w:rPr>
            </w:pPr>
          </w:p>
          <w:p w14:paraId="07F5767A">
            <w:pPr>
              <w:spacing w:line="241" w:lineRule="auto"/>
              <w:rPr>
                <w:rFonts w:ascii="Arial"/>
                <w:sz w:val="21"/>
              </w:rPr>
            </w:pPr>
          </w:p>
          <w:p w14:paraId="3AAE0ACF">
            <w:pPr>
              <w:spacing w:line="241" w:lineRule="auto"/>
              <w:rPr>
                <w:rFonts w:ascii="Arial"/>
                <w:sz w:val="21"/>
              </w:rPr>
            </w:pPr>
          </w:p>
          <w:p w14:paraId="756267D0">
            <w:pPr>
              <w:spacing w:line="241" w:lineRule="auto"/>
              <w:rPr>
                <w:rFonts w:ascii="Arial"/>
                <w:sz w:val="21"/>
              </w:rPr>
            </w:pPr>
          </w:p>
          <w:p w14:paraId="5B0BBB81">
            <w:pPr>
              <w:spacing w:line="241" w:lineRule="auto"/>
              <w:rPr>
                <w:rFonts w:ascii="Arial"/>
                <w:sz w:val="21"/>
              </w:rPr>
            </w:pPr>
          </w:p>
          <w:p w14:paraId="68DF401C">
            <w:pPr>
              <w:spacing w:line="241" w:lineRule="auto"/>
              <w:rPr>
                <w:rFonts w:ascii="Arial"/>
                <w:sz w:val="21"/>
              </w:rPr>
            </w:pPr>
          </w:p>
          <w:p w14:paraId="2D0E0FB5">
            <w:pPr>
              <w:spacing w:line="242" w:lineRule="auto"/>
              <w:rPr>
                <w:rFonts w:ascii="Arial"/>
                <w:sz w:val="21"/>
              </w:rPr>
            </w:pPr>
          </w:p>
          <w:p w14:paraId="38F99745">
            <w:pPr>
              <w:spacing w:line="242" w:lineRule="auto"/>
              <w:rPr>
                <w:rFonts w:ascii="Arial"/>
                <w:sz w:val="21"/>
              </w:rPr>
            </w:pPr>
          </w:p>
          <w:p w14:paraId="5C6174A9">
            <w:pPr>
              <w:spacing w:line="242" w:lineRule="auto"/>
              <w:rPr>
                <w:rFonts w:ascii="Arial"/>
                <w:sz w:val="21"/>
              </w:rPr>
            </w:pPr>
          </w:p>
          <w:p w14:paraId="3CDA6314">
            <w:pPr>
              <w:spacing w:before="74" w:line="186" w:lineRule="auto"/>
              <w:ind w:left="161"/>
              <w:rPr>
                <w:rFonts w:ascii="仿宋" w:hAnsi="仿宋" w:eastAsia="仿宋" w:cs="仿宋"/>
                <w:sz w:val="23"/>
                <w:szCs w:val="23"/>
              </w:rPr>
            </w:pPr>
            <w:r>
              <w:rPr>
                <w:rFonts w:ascii="仿宋" w:hAnsi="仿宋" w:eastAsia="仿宋" w:cs="仿宋"/>
                <w:spacing w:val="-5"/>
                <w:sz w:val="23"/>
                <w:szCs w:val="23"/>
              </w:rPr>
              <w:t>116</w:t>
            </w:r>
          </w:p>
        </w:tc>
        <w:tc>
          <w:tcPr>
            <w:tcW w:w="1440" w:type="dxa"/>
            <w:vMerge w:val="restart"/>
            <w:tcBorders>
              <w:bottom w:val="nil"/>
            </w:tcBorders>
            <w:vAlign w:val="top"/>
          </w:tcPr>
          <w:p w14:paraId="02DD451C">
            <w:pPr>
              <w:spacing w:line="254" w:lineRule="auto"/>
              <w:rPr>
                <w:rFonts w:ascii="Arial"/>
                <w:sz w:val="21"/>
              </w:rPr>
            </w:pPr>
          </w:p>
          <w:p w14:paraId="00A9A6D8">
            <w:pPr>
              <w:spacing w:line="254" w:lineRule="auto"/>
              <w:rPr>
                <w:rFonts w:ascii="Arial"/>
                <w:sz w:val="21"/>
              </w:rPr>
            </w:pPr>
          </w:p>
          <w:p w14:paraId="4402D5EB">
            <w:pPr>
              <w:spacing w:line="254" w:lineRule="auto"/>
              <w:rPr>
                <w:rFonts w:ascii="Arial"/>
                <w:sz w:val="21"/>
              </w:rPr>
            </w:pPr>
          </w:p>
          <w:p w14:paraId="6275E020">
            <w:pPr>
              <w:spacing w:line="254" w:lineRule="auto"/>
              <w:rPr>
                <w:rFonts w:ascii="Arial"/>
                <w:sz w:val="21"/>
              </w:rPr>
            </w:pPr>
          </w:p>
          <w:p w14:paraId="1B223798">
            <w:pPr>
              <w:spacing w:line="255" w:lineRule="auto"/>
              <w:rPr>
                <w:rFonts w:ascii="Arial"/>
                <w:sz w:val="21"/>
              </w:rPr>
            </w:pPr>
          </w:p>
          <w:p w14:paraId="199D10FE">
            <w:pPr>
              <w:spacing w:line="255" w:lineRule="auto"/>
              <w:rPr>
                <w:rFonts w:ascii="Arial"/>
                <w:sz w:val="21"/>
              </w:rPr>
            </w:pPr>
          </w:p>
          <w:p w14:paraId="1F6E0951">
            <w:pPr>
              <w:spacing w:line="255" w:lineRule="auto"/>
              <w:rPr>
                <w:rFonts w:ascii="Arial"/>
                <w:sz w:val="21"/>
              </w:rPr>
            </w:pPr>
          </w:p>
          <w:p w14:paraId="4E7E7232">
            <w:pPr>
              <w:pStyle w:val="6"/>
              <w:spacing w:before="99" w:line="182" w:lineRule="auto"/>
              <w:ind w:left="115"/>
              <w:outlineLvl w:val="0"/>
            </w:pPr>
            <w:bookmarkStart w:id="551" w:name="bookmark240"/>
            <w:bookmarkEnd w:id="551"/>
            <w:r>
              <w:rPr>
                <w:spacing w:val="11"/>
              </w:rPr>
              <w:t>危险化学品</w:t>
            </w:r>
          </w:p>
          <w:p w14:paraId="2DFF2441">
            <w:pPr>
              <w:pStyle w:val="6"/>
              <w:spacing w:before="2" w:line="186" w:lineRule="auto"/>
              <w:ind w:left="113" w:right="111" w:firstLine="7"/>
              <w:jc w:val="both"/>
            </w:pPr>
            <w:r>
              <w:rPr>
                <w:spacing w:val="10"/>
              </w:rPr>
              <w:t>单位未按规</w:t>
            </w:r>
            <w:r>
              <w:rPr>
                <w:spacing w:val="12"/>
              </w:rPr>
              <w:t>定明确重大危险源中关键装置、重点部位的责任人或者责</w:t>
            </w:r>
            <w:r>
              <w:rPr>
                <w:spacing w:val="6"/>
              </w:rPr>
              <w:t>任机构的</w:t>
            </w:r>
          </w:p>
        </w:tc>
        <w:tc>
          <w:tcPr>
            <w:tcW w:w="3202" w:type="dxa"/>
            <w:vMerge w:val="restart"/>
            <w:tcBorders>
              <w:bottom w:val="nil"/>
            </w:tcBorders>
            <w:vAlign w:val="top"/>
          </w:tcPr>
          <w:p w14:paraId="55302584">
            <w:pPr>
              <w:pStyle w:val="6"/>
              <w:spacing w:before="27" w:line="182" w:lineRule="auto"/>
              <w:ind w:left="117" w:right="111" w:hanging="19"/>
              <w:jc w:val="both"/>
            </w:pPr>
            <w:r>
              <w:rPr>
                <w:spacing w:val="18"/>
              </w:rPr>
              <w:t>【部门规章】《危险化学品</w:t>
            </w:r>
            <w:r>
              <w:rPr>
                <w:spacing w:val="17"/>
              </w:rPr>
              <w:t>重大危险源监督管理暂行规</w:t>
            </w:r>
            <w:r>
              <w:rPr>
                <w:spacing w:val="13"/>
              </w:rPr>
              <w:t>定》第十六条：危险化学品</w:t>
            </w:r>
            <w:r>
              <w:rPr>
                <w:spacing w:val="17"/>
              </w:rPr>
              <w:t>单位应当明确</w:t>
            </w:r>
            <w:r>
              <w:fldChar w:fldCharType="begin"/>
            </w:r>
            <w:r>
              <w:instrText xml:space="preserve"> HYPERLINK "https://baike.baidu.com/item/%E9%87%8D%E5%A4%A7%E5%8D%B1%E9%99%A9%E6%BA%90/10983922?fromModule=lemma_inlink" </w:instrText>
            </w:r>
            <w:r>
              <w:fldChar w:fldCharType="separate"/>
            </w:r>
            <w:r>
              <w:rPr>
                <w:spacing w:val="17"/>
              </w:rPr>
              <w:t>重大危险源</w:t>
            </w:r>
            <w:r>
              <w:rPr>
                <w:spacing w:val="17"/>
              </w:rPr>
              <w:fldChar w:fldCharType="end"/>
            </w:r>
            <w:r>
              <w:rPr>
                <w:spacing w:val="17"/>
              </w:rPr>
              <w:t>中</w:t>
            </w:r>
          </w:p>
          <w:p w14:paraId="6A5B8DB7">
            <w:pPr>
              <w:pStyle w:val="6"/>
              <w:spacing w:before="4" w:line="182" w:lineRule="auto"/>
              <w:ind w:left="125"/>
              <w:outlineLvl w:val="0"/>
            </w:pPr>
            <w:r>
              <w:rPr>
                <w:spacing w:val="16"/>
              </w:rPr>
              <w:t>关键装置、重点部位的责任</w:t>
            </w:r>
          </w:p>
          <w:p w14:paraId="7E769998">
            <w:pPr>
              <w:pStyle w:val="6"/>
              <w:spacing w:before="1" w:line="186" w:lineRule="auto"/>
              <w:ind w:left="117" w:right="111" w:firstLine="2"/>
            </w:pPr>
            <w:r>
              <w:rPr>
                <w:spacing w:val="13"/>
              </w:rPr>
              <w:t>人或者责任机构，并对重大</w:t>
            </w:r>
            <w:r>
              <w:rPr>
                <w:spacing w:val="17"/>
              </w:rPr>
              <w:t>危险源的安全生产状况进行</w:t>
            </w:r>
            <w:r>
              <w:rPr>
                <w:spacing w:val="14"/>
              </w:rPr>
              <w:t>定期检查，及时采取措施消</w:t>
            </w:r>
            <w:r>
              <w:rPr>
                <w:spacing w:val="17"/>
              </w:rPr>
              <w:t>除</w:t>
            </w:r>
            <w:r>
              <w:fldChar w:fldCharType="begin"/>
            </w:r>
            <w:r>
              <w:instrText xml:space="preserve"> HYPERLINK "https://baike.baidu.com/item/%E4%BA%8B%E6%95%85%E9%9A%90%E6%82%A3/3059259?fromModule=lemma_inlink" </w:instrText>
            </w:r>
            <w:r>
              <w:fldChar w:fldCharType="separate"/>
            </w:r>
            <w:r>
              <w:rPr>
                <w:spacing w:val="17"/>
              </w:rPr>
              <w:t>事故隐患</w:t>
            </w:r>
            <w:r>
              <w:rPr>
                <w:spacing w:val="17"/>
              </w:rPr>
              <w:fldChar w:fldCharType="end"/>
            </w:r>
            <w:r>
              <w:rPr>
                <w:spacing w:val="17"/>
              </w:rPr>
              <w:t>。事故隐患难以</w:t>
            </w:r>
            <w:r>
              <w:rPr>
                <w:spacing w:val="13"/>
              </w:rPr>
              <w:t>立即排除的，应当及时制定</w:t>
            </w:r>
            <w:r>
              <w:rPr>
                <w:spacing w:val="10"/>
              </w:rPr>
              <w:t>治理方案，落实整改措施、</w:t>
            </w:r>
            <w:r>
              <w:rPr>
                <w:spacing w:val="5"/>
              </w:rPr>
              <w:t>责任、资金、时限和预案。</w:t>
            </w:r>
          </w:p>
        </w:tc>
        <w:tc>
          <w:tcPr>
            <w:tcW w:w="2859" w:type="dxa"/>
            <w:vMerge w:val="restart"/>
            <w:tcBorders>
              <w:bottom w:val="nil"/>
            </w:tcBorders>
            <w:vAlign w:val="top"/>
          </w:tcPr>
          <w:p w14:paraId="1C3CEDB8">
            <w:pPr>
              <w:pStyle w:val="6"/>
              <w:spacing w:before="20" w:line="185" w:lineRule="auto"/>
              <w:ind w:left="116" w:right="106" w:hanging="19"/>
              <w:jc w:val="both"/>
            </w:pPr>
            <w:r>
              <w:rPr>
                <w:spacing w:val="10"/>
              </w:rPr>
              <w:t>【部门规章】《危险化学</w:t>
            </w:r>
            <w:r>
              <w:rPr>
                <w:spacing w:val="8"/>
              </w:rPr>
              <w:t>品重大危险源监督管理暂行规定》第三十四条第二项：危险化学品单位有下列情形之一的，由县级以上人民政府安全生产监督管理部门给予警告，可以</w:t>
            </w:r>
            <w:r>
              <w:rPr>
                <w:spacing w:val="12"/>
              </w:rPr>
              <w:t>并处</w:t>
            </w:r>
            <w:r>
              <w:rPr>
                <w:rFonts w:ascii="宋体" w:hAnsi="宋体" w:eastAsia="宋体" w:cs="宋体"/>
                <w:spacing w:val="12"/>
              </w:rPr>
              <w:t>5000</w:t>
            </w:r>
            <w:r>
              <w:rPr>
                <w:spacing w:val="12"/>
              </w:rPr>
              <w:t>元以上</w:t>
            </w:r>
            <w:r>
              <w:rPr>
                <w:rFonts w:ascii="宋体" w:hAnsi="宋体" w:eastAsia="宋体" w:cs="宋体"/>
                <w:spacing w:val="12"/>
              </w:rPr>
              <w:t>3</w:t>
            </w:r>
            <w:r>
              <w:rPr>
                <w:spacing w:val="12"/>
              </w:rPr>
              <w:t>万元以</w:t>
            </w:r>
            <w:r>
              <w:rPr>
                <w:spacing w:val="9"/>
              </w:rPr>
              <w:t>下的罚款</w:t>
            </w:r>
            <w:r>
              <w:rPr>
                <w:spacing w:val="6"/>
              </w:rPr>
              <w:t>：（</w:t>
            </w:r>
            <w:r>
              <w:rPr>
                <w:spacing w:val="9"/>
              </w:rPr>
              <w:t>二）未按照</w:t>
            </w:r>
            <w:r>
              <w:rPr>
                <w:spacing w:val="8"/>
              </w:rPr>
              <w:t>本规定明确重大危险源中关键装置、重点部位的责</w:t>
            </w:r>
            <w:r>
              <w:rPr>
                <w:spacing w:val="3"/>
              </w:rPr>
              <w:t>任人或者责任机构的；</w:t>
            </w:r>
          </w:p>
        </w:tc>
        <w:tc>
          <w:tcPr>
            <w:tcW w:w="803" w:type="dxa"/>
            <w:vAlign w:val="top"/>
          </w:tcPr>
          <w:p w14:paraId="02CEE61C">
            <w:pPr>
              <w:spacing w:line="296" w:lineRule="auto"/>
              <w:rPr>
                <w:rFonts w:ascii="Arial"/>
                <w:sz w:val="21"/>
              </w:rPr>
            </w:pPr>
          </w:p>
          <w:p w14:paraId="77C92ED6">
            <w:pPr>
              <w:spacing w:line="297" w:lineRule="auto"/>
              <w:rPr>
                <w:rFonts w:ascii="Arial"/>
                <w:sz w:val="21"/>
              </w:rPr>
            </w:pPr>
          </w:p>
          <w:p w14:paraId="02ED15D3">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63EF886">
            <w:pPr>
              <w:pStyle w:val="6"/>
              <w:spacing w:before="30" w:line="178" w:lineRule="auto"/>
              <w:ind w:left="115" w:right="109" w:firstLine="2"/>
              <w:jc w:val="both"/>
            </w:pPr>
            <w:r>
              <w:rPr>
                <w:spacing w:val="26"/>
              </w:rPr>
              <w:t>未按照规定明确四级重大危险源中关</w:t>
            </w:r>
            <w:r>
              <w:rPr>
                <w:spacing w:val="-2"/>
              </w:rPr>
              <w:t>键装置、重点部位的</w:t>
            </w:r>
            <w:r>
              <w:rPr>
                <w:spacing w:val="26"/>
              </w:rPr>
              <w:t>责任人或者责任机</w:t>
            </w:r>
            <w:r>
              <w:rPr>
                <w:spacing w:val="3"/>
              </w:rPr>
              <w:t>构的</w:t>
            </w:r>
          </w:p>
        </w:tc>
        <w:tc>
          <w:tcPr>
            <w:tcW w:w="2894" w:type="dxa"/>
            <w:vAlign w:val="top"/>
          </w:tcPr>
          <w:p w14:paraId="5C9F2816">
            <w:pPr>
              <w:spacing w:line="377" w:lineRule="auto"/>
              <w:rPr>
                <w:rFonts w:ascii="Arial"/>
                <w:sz w:val="21"/>
              </w:rPr>
            </w:pPr>
          </w:p>
          <w:p w14:paraId="6A0C69A4">
            <w:pPr>
              <w:pStyle w:val="6"/>
              <w:spacing w:before="98" w:line="196" w:lineRule="auto"/>
              <w:ind w:left="124" w:right="105" w:firstLine="1"/>
            </w:pPr>
            <w:r>
              <w:rPr>
                <w:spacing w:val="2"/>
              </w:rPr>
              <w:t>给予警告，可以并处</w:t>
            </w:r>
            <w:r>
              <w:rPr>
                <w:rFonts w:ascii="宋体" w:hAnsi="宋体" w:eastAsia="宋体" w:cs="宋体"/>
                <w:spacing w:val="2"/>
              </w:rPr>
              <w:t>5000</w:t>
            </w:r>
            <w:r>
              <w:rPr>
                <w:spacing w:val="2"/>
              </w:rPr>
              <w:t>元以上</w:t>
            </w:r>
            <w:r>
              <w:rPr>
                <w:rFonts w:ascii="宋体" w:hAnsi="宋体" w:eastAsia="宋体" w:cs="宋体"/>
                <w:spacing w:val="2"/>
              </w:rPr>
              <w:t>1</w:t>
            </w:r>
            <w:r>
              <w:rPr>
                <w:spacing w:val="2"/>
              </w:rPr>
              <w:t>万元以下的罚款</w:t>
            </w:r>
          </w:p>
        </w:tc>
        <w:tc>
          <w:tcPr>
            <w:tcW w:w="811" w:type="dxa"/>
            <w:vMerge w:val="restart"/>
            <w:tcBorders>
              <w:bottom w:val="nil"/>
            </w:tcBorders>
            <w:vAlign w:val="top"/>
          </w:tcPr>
          <w:p w14:paraId="77853A6C">
            <w:pPr>
              <w:spacing w:line="241" w:lineRule="auto"/>
              <w:rPr>
                <w:rFonts w:ascii="Arial"/>
                <w:sz w:val="21"/>
              </w:rPr>
            </w:pPr>
          </w:p>
          <w:p w14:paraId="200F6334">
            <w:pPr>
              <w:spacing w:line="241" w:lineRule="auto"/>
              <w:rPr>
                <w:rFonts w:ascii="Arial"/>
                <w:sz w:val="21"/>
              </w:rPr>
            </w:pPr>
          </w:p>
          <w:p w14:paraId="43120C4F">
            <w:pPr>
              <w:spacing w:line="241" w:lineRule="auto"/>
              <w:rPr>
                <w:rFonts w:ascii="Arial"/>
                <w:sz w:val="21"/>
              </w:rPr>
            </w:pPr>
          </w:p>
          <w:p w14:paraId="16C853FA">
            <w:pPr>
              <w:spacing w:line="241" w:lineRule="auto"/>
              <w:rPr>
                <w:rFonts w:ascii="Arial"/>
                <w:sz w:val="21"/>
              </w:rPr>
            </w:pPr>
          </w:p>
          <w:p w14:paraId="1ACBE24F">
            <w:pPr>
              <w:spacing w:line="241" w:lineRule="auto"/>
              <w:rPr>
                <w:rFonts w:ascii="Arial"/>
                <w:sz w:val="21"/>
              </w:rPr>
            </w:pPr>
          </w:p>
          <w:p w14:paraId="3CC7A4B7">
            <w:pPr>
              <w:spacing w:line="241" w:lineRule="auto"/>
              <w:rPr>
                <w:rFonts w:ascii="Arial"/>
                <w:sz w:val="21"/>
              </w:rPr>
            </w:pPr>
          </w:p>
          <w:p w14:paraId="1F0B63F1">
            <w:pPr>
              <w:spacing w:line="241" w:lineRule="auto"/>
              <w:rPr>
                <w:rFonts w:ascii="Arial"/>
                <w:sz w:val="21"/>
              </w:rPr>
            </w:pPr>
          </w:p>
          <w:p w14:paraId="522C46AD">
            <w:pPr>
              <w:spacing w:line="241" w:lineRule="auto"/>
              <w:rPr>
                <w:rFonts w:ascii="Arial"/>
                <w:sz w:val="21"/>
              </w:rPr>
            </w:pPr>
          </w:p>
          <w:p w14:paraId="5A7BD2C0">
            <w:pPr>
              <w:spacing w:line="241" w:lineRule="auto"/>
              <w:rPr>
                <w:rFonts w:ascii="Arial"/>
                <w:sz w:val="21"/>
              </w:rPr>
            </w:pPr>
          </w:p>
          <w:p w14:paraId="48F8C197">
            <w:pPr>
              <w:spacing w:line="241" w:lineRule="auto"/>
              <w:rPr>
                <w:rFonts w:ascii="Arial"/>
                <w:sz w:val="21"/>
              </w:rPr>
            </w:pPr>
          </w:p>
          <w:p w14:paraId="6F7AAFAC">
            <w:pPr>
              <w:spacing w:line="241" w:lineRule="auto"/>
              <w:rPr>
                <w:rFonts w:ascii="Arial"/>
                <w:sz w:val="21"/>
              </w:rPr>
            </w:pPr>
          </w:p>
          <w:p w14:paraId="3F3531B6">
            <w:pPr>
              <w:spacing w:line="241" w:lineRule="auto"/>
              <w:rPr>
                <w:rFonts w:ascii="Arial"/>
                <w:sz w:val="21"/>
              </w:rPr>
            </w:pPr>
          </w:p>
          <w:p w14:paraId="6AF128C3">
            <w:pPr>
              <w:spacing w:before="75" w:line="188" w:lineRule="auto"/>
              <w:ind w:left="292"/>
              <w:rPr>
                <w:rFonts w:ascii="宋体" w:hAnsi="宋体" w:eastAsia="宋体" w:cs="宋体"/>
                <w:sz w:val="23"/>
                <w:szCs w:val="23"/>
              </w:rPr>
            </w:pPr>
            <w:r>
              <w:rPr>
                <w:rFonts w:ascii="宋体" w:hAnsi="宋体" w:eastAsia="宋体" w:cs="宋体"/>
                <w:spacing w:val="-2"/>
                <w:sz w:val="23"/>
                <w:szCs w:val="23"/>
              </w:rPr>
              <w:t>85</w:t>
            </w:r>
          </w:p>
        </w:tc>
      </w:tr>
      <w:tr w14:paraId="52AC3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6" w:hRule="atLeast"/>
        </w:trPr>
        <w:tc>
          <w:tcPr>
            <w:tcW w:w="818" w:type="dxa"/>
            <w:vMerge w:val="continue"/>
            <w:tcBorders>
              <w:top w:val="nil"/>
              <w:bottom w:val="nil"/>
            </w:tcBorders>
            <w:vAlign w:val="top"/>
          </w:tcPr>
          <w:p w14:paraId="0F4B6467">
            <w:pPr>
              <w:rPr>
                <w:rFonts w:ascii="Arial"/>
                <w:sz w:val="21"/>
              </w:rPr>
            </w:pPr>
          </w:p>
        </w:tc>
        <w:tc>
          <w:tcPr>
            <w:tcW w:w="1440" w:type="dxa"/>
            <w:vMerge w:val="continue"/>
            <w:tcBorders>
              <w:top w:val="nil"/>
              <w:bottom w:val="nil"/>
            </w:tcBorders>
            <w:vAlign w:val="top"/>
          </w:tcPr>
          <w:p w14:paraId="0DB86DEA">
            <w:pPr>
              <w:rPr>
                <w:rFonts w:ascii="Arial"/>
                <w:sz w:val="21"/>
              </w:rPr>
            </w:pPr>
          </w:p>
        </w:tc>
        <w:tc>
          <w:tcPr>
            <w:tcW w:w="3202" w:type="dxa"/>
            <w:vMerge w:val="continue"/>
            <w:tcBorders>
              <w:top w:val="nil"/>
              <w:bottom w:val="nil"/>
            </w:tcBorders>
            <w:vAlign w:val="top"/>
          </w:tcPr>
          <w:p w14:paraId="6BF79FF3">
            <w:pPr>
              <w:rPr>
                <w:rFonts w:ascii="Arial"/>
                <w:sz w:val="21"/>
              </w:rPr>
            </w:pPr>
          </w:p>
        </w:tc>
        <w:tc>
          <w:tcPr>
            <w:tcW w:w="2859" w:type="dxa"/>
            <w:vMerge w:val="continue"/>
            <w:tcBorders>
              <w:top w:val="nil"/>
              <w:bottom w:val="nil"/>
            </w:tcBorders>
            <w:vAlign w:val="top"/>
          </w:tcPr>
          <w:p w14:paraId="0F67CF7C">
            <w:pPr>
              <w:rPr>
                <w:rFonts w:ascii="Arial"/>
                <w:sz w:val="21"/>
              </w:rPr>
            </w:pPr>
          </w:p>
        </w:tc>
        <w:tc>
          <w:tcPr>
            <w:tcW w:w="803" w:type="dxa"/>
            <w:vAlign w:val="top"/>
          </w:tcPr>
          <w:p w14:paraId="0C871D32">
            <w:pPr>
              <w:spacing w:line="321" w:lineRule="auto"/>
              <w:rPr>
                <w:rFonts w:ascii="Arial"/>
                <w:sz w:val="21"/>
              </w:rPr>
            </w:pPr>
          </w:p>
          <w:p w14:paraId="3F70CFDC">
            <w:pPr>
              <w:spacing w:line="321" w:lineRule="auto"/>
              <w:rPr>
                <w:rFonts w:ascii="Arial"/>
                <w:sz w:val="21"/>
              </w:rPr>
            </w:pPr>
          </w:p>
          <w:p w14:paraId="24FF04EF">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00F624A">
            <w:pPr>
              <w:pStyle w:val="6"/>
              <w:spacing w:before="73" w:line="184" w:lineRule="auto"/>
              <w:ind w:left="115" w:right="109" w:firstLine="2"/>
              <w:jc w:val="both"/>
            </w:pPr>
            <w:r>
              <w:rPr>
                <w:spacing w:val="26"/>
              </w:rPr>
              <w:t>未按照规定明确三级重大危险源中关</w:t>
            </w:r>
            <w:r>
              <w:rPr>
                <w:spacing w:val="-2"/>
              </w:rPr>
              <w:t>键装置、重点部位的</w:t>
            </w:r>
            <w:r>
              <w:rPr>
                <w:spacing w:val="26"/>
              </w:rPr>
              <w:t>责任人或者责任机</w:t>
            </w:r>
            <w:r>
              <w:rPr>
                <w:spacing w:val="3"/>
              </w:rPr>
              <w:t>构的</w:t>
            </w:r>
          </w:p>
        </w:tc>
        <w:tc>
          <w:tcPr>
            <w:tcW w:w="2894" w:type="dxa"/>
            <w:vAlign w:val="top"/>
          </w:tcPr>
          <w:p w14:paraId="33CF1574">
            <w:pPr>
              <w:spacing w:line="278" w:lineRule="auto"/>
              <w:rPr>
                <w:rFonts w:ascii="Arial"/>
                <w:sz w:val="21"/>
              </w:rPr>
            </w:pPr>
          </w:p>
          <w:p w14:paraId="01A5A611">
            <w:pPr>
              <w:pStyle w:val="6"/>
              <w:spacing w:before="98" w:line="191" w:lineRule="auto"/>
              <w:ind w:left="122" w:right="104" w:firstLine="3"/>
              <w:jc w:val="both"/>
            </w:pPr>
            <w:r>
              <w:rPr>
                <w:spacing w:val="1"/>
              </w:rPr>
              <w:t>给予警告，可以并处</w:t>
            </w:r>
            <w:r>
              <w:rPr>
                <w:rFonts w:ascii="宋体" w:hAnsi="宋体" w:eastAsia="宋体" w:cs="宋体"/>
                <w:spacing w:val="1"/>
              </w:rPr>
              <w:t>1</w:t>
            </w:r>
            <w:r>
              <w:rPr>
                <w:spacing w:val="1"/>
              </w:rPr>
              <w:t>万</w:t>
            </w:r>
            <w:r>
              <w:rPr>
                <w:spacing w:val="4"/>
              </w:rPr>
              <w:t>元以上</w:t>
            </w:r>
            <w:r>
              <w:rPr>
                <w:rFonts w:ascii="宋体" w:hAnsi="宋体" w:eastAsia="宋体" w:cs="宋体"/>
                <w:spacing w:val="4"/>
              </w:rPr>
              <w:t>1.5</w:t>
            </w:r>
            <w:r>
              <w:rPr>
                <w:spacing w:val="4"/>
              </w:rPr>
              <w:t>万元以下的罚</w:t>
            </w:r>
            <w:r>
              <w:t>款</w:t>
            </w:r>
          </w:p>
        </w:tc>
        <w:tc>
          <w:tcPr>
            <w:tcW w:w="811" w:type="dxa"/>
            <w:vMerge w:val="continue"/>
            <w:tcBorders>
              <w:top w:val="nil"/>
              <w:bottom w:val="nil"/>
            </w:tcBorders>
            <w:vAlign w:val="top"/>
          </w:tcPr>
          <w:p w14:paraId="4D0569AB">
            <w:pPr>
              <w:rPr>
                <w:rFonts w:ascii="Arial"/>
                <w:sz w:val="21"/>
              </w:rPr>
            </w:pPr>
          </w:p>
        </w:tc>
      </w:tr>
      <w:tr w14:paraId="064C0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continue"/>
            <w:tcBorders>
              <w:top w:val="nil"/>
              <w:bottom w:val="nil"/>
            </w:tcBorders>
            <w:vAlign w:val="top"/>
          </w:tcPr>
          <w:p w14:paraId="55CF9BCF">
            <w:pPr>
              <w:rPr>
                <w:rFonts w:ascii="Arial"/>
                <w:sz w:val="21"/>
              </w:rPr>
            </w:pPr>
          </w:p>
        </w:tc>
        <w:tc>
          <w:tcPr>
            <w:tcW w:w="1440" w:type="dxa"/>
            <w:vMerge w:val="continue"/>
            <w:tcBorders>
              <w:top w:val="nil"/>
              <w:bottom w:val="nil"/>
            </w:tcBorders>
            <w:vAlign w:val="top"/>
          </w:tcPr>
          <w:p w14:paraId="11A9E570">
            <w:pPr>
              <w:rPr>
                <w:rFonts w:ascii="Arial"/>
                <w:sz w:val="21"/>
              </w:rPr>
            </w:pPr>
          </w:p>
        </w:tc>
        <w:tc>
          <w:tcPr>
            <w:tcW w:w="3202" w:type="dxa"/>
            <w:vMerge w:val="continue"/>
            <w:tcBorders>
              <w:top w:val="nil"/>
              <w:bottom w:val="nil"/>
            </w:tcBorders>
            <w:vAlign w:val="top"/>
          </w:tcPr>
          <w:p w14:paraId="679C19EC">
            <w:pPr>
              <w:rPr>
                <w:rFonts w:ascii="Arial"/>
                <w:sz w:val="21"/>
              </w:rPr>
            </w:pPr>
          </w:p>
        </w:tc>
        <w:tc>
          <w:tcPr>
            <w:tcW w:w="2859" w:type="dxa"/>
            <w:vMerge w:val="continue"/>
            <w:tcBorders>
              <w:top w:val="nil"/>
              <w:bottom w:val="nil"/>
            </w:tcBorders>
            <w:vAlign w:val="top"/>
          </w:tcPr>
          <w:p w14:paraId="5D49CBF7">
            <w:pPr>
              <w:rPr>
                <w:rFonts w:ascii="Arial"/>
                <w:sz w:val="21"/>
              </w:rPr>
            </w:pPr>
          </w:p>
        </w:tc>
        <w:tc>
          <w:tcPr>
            <w:tcW w:w="803" w:type="dxa"/>
            <w:vAlign w:val="top"/>
          </w:tcPr>
          <w:p w14:paraId="7828BF93">
            <w:pPr>
              <w:spacing w:line="298" w:lineRule="auto"/>
              <w:rPr>
                <w:rFonts w:ascii="Arial"/>
                <w:sz w:val="21"/>
              </w:rPr>
            </w:pPr>
          </w:p>
          <w:p w14:paraId="4365C1D8">
            <w:pPr>
              <w:spacing w:line="298" w:lineRule="auto"/>
              <w:rPr>
                <w:rFonts w:ascii="Arial"/>
                <w:sz w:val="21"/>
              </w:rPr>
            </w:pPr>
          </w:p>
          <w:p w14:paraId="1952934F">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289F0DE8">
            <w:pPr>
              <w:pStyle w:val="6"/>
              <w:spacing w:before="30" w:line="178" w:lineRule="auto"/>
              <w:ind w:left="115" w:right="109" w:firstLine="2"/>
              <w:jc w:val="both"/>
            </w:pPr>
            <w:r>
              <w:rPr>
                <w:spacing w:val="26"/>
              </w:rPr>
              <w:t>未按照规定明确二级重大危险源中关</w:t>
            </w:r>
            <w:r>
              <w:rPr>
                <w:spacing w:val="-2"/>
              </w:rPr>
              <w:t>键装置、重点部位的</w:t>
            </w:r>
            <w:r>
              <w:rPr>
                <w:spacing w:val="26"/>
              </w:rPr>
              <w:t>责任人或者责任机</w:t>
            </w:r>
            <w:r>
              <w:rPr>
                <w:spacing w:val="3"/>
              </w:rPr>
              <w:t>构的</w:t>
            </w:r>
          </w:p>
        </w:tc>
        <w:tc>
          <w:tcPr>
            <w:tcW w:w="2894" w:type="dxa"/>
            <w:vAlign w:val="top"/>
          </w:tcPr>
          <w:p w14:paraId="0CDFD172">
            <w:pPr>
              <w:pStyle w:val="6"/>
              <w:spacing w:before="332" w:line="191" w:lineRule="auto"/>
              <w:ind w:left="122" w:right="104" w:firstLine="3"/>
              <w:jc w:val="both"/>
            </w:pPr>
            <w:r>
              <w:rPr>
                <w:spacing w:val="7"/>
              </w:rPr>
              <w:t>给予警告，可以并处</w:t>
            </w:r>
            <w:r>
              <w:rPr>
                <w:rFonts w:ascii="宋体" w:hAnsi="宋体" w:eastAsia="宋体" w:cs="宋体"/>
                <w:spacing w:val="7"/>
              </w:rPr>
              <w:t>1.5</w:t>
            </w:r>
            <w:r>
              <w:rPr>
                <w:spacing w:val="7"/>
              </w:rPr>
              <w:t>万元以上</w:t>
            </w:r>
            <w:r>
              <w:rPr>
                <w:rFonts w:ascii="宋体" w:hAnsi="宋体" w:eastAsia="宋体" w:cs="宋体"/>
                <w:spacing w:val="7"/>
              </w:rPr>
              <w:t>2</w:t>
            </w:r>
            <w:r>
              <w:rPr>
                <w:spacing w:val="7"/>
              </w:rPr>
              <w:t>万元以下的罚</w:t>
            </w:r>
            <w:r>
              <w:t>款</w:t>
            </w:r>
          </w:p>
        </w:tc>
        <w:tc>
          <w:tcPr>
            <w:tcW w:w="811" w:type="dxa"/>
            <w:vMerge w:val="continue"/>
            <w:tcBorders>
              <w:top w:val="nil"/>
              <w:bottom w:val="nil"/>
            </w:tcBorders>
            <w:vAlign w:val="top"/>
          </w:tcPr>
          <w:p w14:paraId="5F0AD10C">
            <w:pPr>
              <w:rPr>
                <w:rFonts w:ascii="Arial"/>
                <w:sz w:val="21"/>
              </w:rPr>
            </w:pPr>
          </w:p>
        </w:tc>
      </w:tr>
      <w:tr w14:paraId="5DE25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continue"/>
            <w:tcBorders>
              <w:top w:val="nil"/>
            </w:tcBorders>
            <w:vAlign w:val="top"/>
          </w:tcPr>
          <w:p w14:paraId="1B1A8266">
            <w:pPr>
              <w:rPr>
                <w:rFonts w:ascii="Arial"/>
                <w:sz w:val="21"/>
              </w:rPr>
            </w:pPr>
          </w:p>
        </w:tc>
        <w:tc>
          <w:tcPr>
            <w:tcW w:w="1440" w:type="dxa"/>
            <w:vMerge w:val="continue"/>
            <w:tcBorders>
              <w:top w:val="nil"/>
            </w:tcBorders>
            <w:vAlign w:val="top"/>
          </w:tcPr>
          <w:p w14:paraId="4558118C">
            <w:pPr>
              <w:rPr>
                <w:rFonts w:ascii="Arial"/>
                <w:sz w:val="21"/>
              </w:rPr>
            </w:pPr>
          </w:p>
        </w:tc>
        <w:tc>
          <w:tcPr>
            <w:tcW w:w="3202" w:type="dxa"/>
            <w:vMerge w:val="continue"/>
            <w:tcBorders>
              <w:top w:val="nil"/>
            </w:tcBorders>
            <w:vAlign w:val="top"/>
          </w:tcPr>
          <w:p w14:paraId="46D4B335">
            <w:pPr>
              <w:rPr>
                <w:rFonts w:ascii="Arial"/>
                <w:sz w:val="21"/>
              </w:rPr>
            </w:pPr>
          </w:p>
        </w:tc>
        <w:tc>
          <w:tcPr>
            <w:tcW w:w="2859" w:type="dxa"/>
            <w:vMerge w:val="continue"/>
            <w:tcBorders>
              <w:top w:val="nil"/>
            </w:tcBorders>
            <w:vAlign w:val="top"/>
          </w:tcPr>
          <w:p w14:paraId="29466F02">
            <w:pPr>
              <w:rPr>
                <w:rFonts w:ascii="Arial"/>
                <w:sz w:val="21"/>
              </w:rPr>
            </w:pPr>
          </w:p>
        </w:tc>
        <w:tc>
          <w:tcPr>
            <w:tcW w:w="803" w:type="dxa"/>
            <w:vAlign w:val="top"/>
          </w:tcPr>
          <w:p w14:paraId="25EE2C63">
            <w:pPr>
              <w:spacing w:line="300" w:lineRule="auto"/>
              <w:rPr>
                <w:rFonts w:ascii="Arial"/>
                <w:sz w:val="21"/>
              </w:rPr>
            </w:pPr>
          </w:p>
          <w:p w14:paraId="53B7C02B">
            <w:pPr>
              <w:spacing w:line="300" w:lineRule="auto"/>
              <w:rPr>
                <w:rFonts w:ascii="Arial"/>
                <w:sz w:val="21"/>
              </w:rPr>
            </w:pPr>
          </w:p>
          <w:p w14:paraId="11AA3297">
            <w:pPr>
              <w:spacing w:before="74" w:line="187" w:lineRule="auto"/>
              <w:ind w:left="343"/>
              <w:rPr>
                <w:rFonts w:ascii="宋体" w:hAnsi="宋体" w:eastAsia="宋体" w:cs="宋体"/>
                <w:sz w:val="23"/>
                <w:szCs w:val="23"/>
              </w:rPr>
            </w:pPr>
            <w:r>
              <w:rPr>
                <w:rFonts w:ascii="宋体" w:hAnsi="宋体" w:eastAsia="宋体" w:cs="宋体"/>
                <w:sz w:val="23"/>
                <w:szCs w:val="23"/>
              </w:rPr>
              <w:t>D</w:t>
            </w:r>
          </w:p>
        </w:tc>
        <w:tc>
          <w:tcPr>
            <w:tcW w:w="2283" w:type="dxa"/>
            <w:vAlign w:val="top"/>
          </w:tcPr>
          <w:p w14:paraId="25D61587">
            <w:pPr>
              <w:pStyle w:val="6"/>
              <w:spacing w:before="30" w:line="178" w:lineRule="auto"/>
              <w:ind w:left="115" w:right="109" w:firstLine="2"/>
              <w:jc w:val="both"/>
            </w:pPr>
            <w:r>
              <w:rPr>
                <w:spacing w:val="20"/>
              </w:rPr>
              <w:t>未按照规定明确一</w:t>
            </w:r>
            <w:r>
              <w:rPr>
                <w:spacing w:val="26"/>
              </w:rPr>
              <w:t>级重大危险源中关</w:t>
            </w:r>
            <w:r>
              <w:rPr>
                <w:spacing w:val="-2"/>
              </w:rPr>
              <w:t>键装置、重点部位的</w:t>
            </w:r>
            <w:r>
              <w:rPr>
                <w:spacing w:val="26"/>
              </w:rPr>
              <w:t>责任人或者责任机</w:t>
            </w:r>
            <w:r>
              <w:rPr>
                <w:spacing w:val="3"/>
              </w:rPr>
              <w:t>构的</w:t>
            </w:r>
          </w:p>
        </w:tc>
        <w:tc>
          <w:tcPr>
            <w:tcW w:w="2894" w:type="dxa"/>
            <w:vAlign w:val="top"/>
          </w:tcPr>
          <w:p w14:paraId="4CC23079">
            <w:pPr>
              <w:spacing w:line="380" w:lineRule="auto"/>
              <w:rPr>
                <w:rFonts w:ascii="Arial"/>
                <w:sz w:val="21"/>
              </w:rPr>
            </w:pPr>
          </w:p>
          <w:p w14:paraId="717567C6">
            <w:pPr>
              <w:pStyle w:val="6"/>
              <w:spacing w:before="99" w:line="196" w:lineRule="auto"/>
              <w:ind w:left="124" w:right="104" w:firstLine="1"/>
            </w:pPr>
            <w:r>
              <w:rPr>
                <w:spacing w:val="3"/>
              </w:rPr>
              <w:t>给予警告，可以并处</w:t>
            </w:r>
            <w:r>
              <w:rPr>
                <w:rFonts w:ascii="宋体" w:hAnsi="宋体" w:eastAsia="宋体" w:cs="宋体"/>
                <w:spacing w:val="3"/>
              </w:rPr>
              <w:t>2</w:t>
            </w:r>
            <w:r>
              <w:rPr>
                <w:spacing w:val="3"/>
              </w:rPr>
              <w:t>万</w:t>
            </w:r>
            <w:r>
              <w:rPr>
                <w:spacing w:val="4"/>
              </w:rPr>
              <w:t>元以上</w:t>
            </w:r>
            <w:r>
              <w:rPr>
                <w:rFonts w:ascii="宋体" w:hAnsi="宋体" w:eastAsia="宋体" w:cs="宋体"/>
                <w:spacing w:val="4"/>
              </w:rPr>
              <w:t>3</w:t>
            </w:r>
            <w:r>
              <w:rPr>
                <w:spacing w:val="4"/>
              </w:rPr>
              <w:t>万元以下的罚款</w:t>
            </w:r>
          </w:p>
        </w:tc>
        <w:tc>
          <w:tcPr>
            <w:tcW w:w="811" w:type="dxa"/>
            <w:vMerge w:val="continue"/>
            <w:tcBorders>
              <w:top w:val="nil"/>
            </w:tcBorders>
            <w:vAlign w:val="top"/>
          </w:tcPr>
          <w:p w14:paraId="2E0002F9">
            <w:pPr>
              <w:rPr>
                <w:rFonts w:ascii="Arial"/>
                <w:sz w:val="21"/>
              </w:rPr>
            </w:pPr>
          </w:p>
        </w:tc>
      </w:tr>
      <w:tr w14:paraId="26EA2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3" w:hRule="atLeast"/>
        </w:trPr>
        <w:tc>
          <w:tcPr>
            <w:tcW w:w="818" w:type="dxa"/>
            <w:vMerge w:val="restart"/>
            <w:tcBorders>
              <w:bottom w:val="nil"/>
            </w:tcBorders>
            <w:vAlign w:val="top"/>
          </w:tcPr>
          <w:p w14:paraId="30831EA7">
            <w:pPr>
              <w:spacing w:line="261" w:lineRule="auto"/>
              <w:rPr>
                <w:rFonts w:ascii="Arial"/>
                <w:sz w:val="21"/>
              </w:rPr>
            </w:pPr>
          </w:p>
          <w:p w14:paraId="6D8DDF82">
            <w:pPr>
              <w:spacing w:line="261" w:lineRule="auto"/>
              <w:rPr>
                <w:rFonts w:ascii="Arial"/>
                <w:sz w:val="21"/>
              </w:rPr>
            </w:pPr>
          </w:p>
          <w:p w14:paraId="77601A29">
            <w:pPr>
              <w:spacing w:line="261" w:lineRule="auto"/>
              <w:rPr>
                <w:rFonts w:ascii="Arial"/>
                <w:sz w:val="21"/>
              </w:rPr>
            </w:pPr>
          </w:p>
          <w:p w14:paraId="0A172F5E">
            <w:pPr>
              <w:spacing w:line="261" w:lineRule="auto"/>
              <w:rPr>
                <w:rFonts w:ascii="Arial"/>
                <w:sz w:val="21"/>
              </w:rPr>
            </w:pPr>
          </w:p>
          <w:p w14:paraId="4891101D">
            <w:pPr>
              <w:spacing w:line="261" w:lineRule="auto"/>
              <w:rPr>
                <w:rFonts w:ascii="Arial"/>
                <w:sz w:val="21"/>
              </w:rPr>
            </w:pPr>
          </w:p>
          <w:p w14:paraId="3AA61161">
            <w:pPr>
              <w:spacing w:before="75" w:line="186" w:lineRule="auto"/>
              <w:ind w:left="161"/>
              <w:rPr>
                <w:rFonts w:ascii="仿宋" w:hAnsi="仿宋" w:eastAsia="仿宋" w:cs="仿宋"/>
                <w:sz w:val="23"/>
                <w:szCs w:val="23"/>
              </w:rPr>
            </w:pPr>
            <w:r>
              <w:rPr>
                <w:rFonts w:ascii="仿宋" w:hAnsi="仿宋" w:eastAsia="仿宋" w:cs="仿宋"/>
                <w:spacing w:val="-5"/>
                <w:sz w:val="23"/>
                <w:szCs w:val="23"/>
              </w:rPr>
              <w:t>117</w:t>
            </w:r>
          </w:p>
        </w:tc>
        <w:tc>
          <w:tcPr>
            <w:tcW w:w="1440" w:type="dxa"/>
            <w:vMerge w:val="restart"/>
            <w:tcBorders>
              <w:bottom w:val="nil"/>
            </w:tcBorders>
            <w:vAlign w:val="top"/>
          </w:tcPr>
          <w:p w14:paraId="571F2129">
            <w:pPr>
              <w:spacing w:line="318" w:lineRule="auto"/>
              <w:rPr>
                <w:rFonts w:ascii="Arial"/>
                <w:sz w:val="21"/>
              </w:rPr>
            </w:pPr>
          </w:p>
          <w:p w14:paraId="73537D60">
            <w:pPr>
              <w:spacing w:line="319" w:lineRule="auto"/>
              <w:rPr>
                <w:rFonts w:ascii="Arial"/>
                <w:sz w:val="21"/>
              </w:rPr>
            </w:pPr>
          </w:p>
          <w:p w14:paraId="6B9C790B">
            <w:pPr>
              <w:pStyle w:val="6"/>
              <w:spacing w:before="98" w:line="188" w:lineRule="auto"/>
              <w:ind w:left="115" w:right="111"/>
              <w:jc w:val="both"/>
            </w:pPr>
            <w:r>
              <w:rPr>
                <w:spacing w:val="11"/>
              </w:rPr>
              <w:t>危险化学品单位未按规定进行重大危险源备案</w:t>
            </w:r>
            <w:r>
              <w:rPr>
                <w:spacing w:val="6"/>
              </w:rPr>
              <w:t>或者核销的</w:t>
            </w:r>
          </w:p>
        </w:tc>
        <w:tc>
          <w:tcPr>
            <w:tcW w:w="3202" w:type="dxa"/>
            <w:vMerge w:val="restart"/>
            <w:tcBorders>
              <w:bottom w:val="nil"/>
            </w:tcBorders>
            <w:vAlign w:val="top"/>
          </w:tcPr>
          <w:p w14:paraId="0130A3FA">
            <w:pPr>
              <w:pStyle w:val="6"/>
              <w:spacing w:before="29" w:line="185" w:lineRule="auto"/>
              <w:ind w:left="117" w:right="111" w:hanging="19"/>
              <w:jc w:val="both"/>
            </w:pPr>
            <w:r>
              <w:rPr>
                <w:spacing w:val="18"/>
              </w:rPr>
              <w:t>【部门规章】《危险化学品</w:t>
            </w:r>
            <w:r>
              <w:rPr>
                <w:spacing w:val="17"/>
              </w:rPr>
              <w:t>重大危险源监督管理暂行规</w:t>
            </w:r>
            <w:r>
              <w:rPr>
                <w:spacing w:val="13"/>
              </w:rPr>
              <w:t>定》第二十三条：危险化学</w:t>
            </w:r>
            <w:r>
              <w:rPr>
                <w:spacing w:val="17"/>
              </w:rPr>
              <w:t>品单位在完成重大危险源安全评估报告或者安全评价报</w:t>
            </w:r>
            <w:r>
              <w:t>告后</w:t>
            </w:r>
            <w:r>
              <w:rPr>
                <w:rFonts w:ascii="宋体" w:hAnsi="宋体" w:eastAsia="宋体" w:cs="宋体"/>
              </w:rPr>
              <w:t>15</w:t>
            </w:r>
            <w:r>
              <w:t>日内，应当填写重大</w:t>
            </w:r>
            <w:r>
              <w:rPr>
                <w:spacing w:val="14"/>
              </w:rPr>
              <w:t>危险源备案申请表，连同本</w:t>
            </w:r>
            <w:r>
              <w:rPr>
                <w:spacing w:val="17"/>
              </w:rPr>
              <w:t>规定第二十二条规定的重大危险源档案材料（其中第二</w:t>
            </w:r>
          </w:p>
        </w:tc>
        <w:tc>
          <w:tcPr>
            <w:tcW w:w="2859" w:type="dxa"/>
            <w:vMerge w:val="restart"/>
            <w:tcBorders>
              <w:bottom w:val="nil"/>
            </w:tcBorders>
            <w:vAlign w:val="top"/>
          </w:tcPr>
          <w:p w14:paraId="678DED91">
            <w:pPr>
              <w:pStyle w:val="6"/>
              <w:spacing w:before="29" w:line="185" w:lineRule="auto"/>
              <w:ind w:left="117" w:right="106" w:hanging="20"/>
              <w:jc w:val="both"/>
            </w:pPr>
            <w:r>
              <w:rPr>
                <w:spacing w:val="10"/>
              </w:rPr>
              <w:t>【部门规章】《危险化学</w:t>
            </w:r>
            <w:r>
              <w:rPr>
                <w:spacing w:val="8"/>
              </w:rPr>
              <w:t>品重大危险源监督管理暂行规定》第三十四条第四项：危险化学品单位有下列情形之一的，由县级以上人民政府安全生产监督管理部门给予警告，可以</w:t>
            </w:r>
            <w:r>
              <w:rPr>
                <w:spacing w:val="12"/>
              </w:rPr>
              <w:t>并处</w:t>
            </w:r>
            <w:r>
              <w:rPr>
                <w:rFonts w:ascii="宋体" w:hAnsi="宋体" w:eastAsia="宋体" w:cs="宋体"/>
                <w:spacing w:val="12"/>
              </w:rPr>
              <w:t>5000</w:t>
            </w:r>
            <w:r>
              <w:rPr>
                <w:spacing w:val="12"/>
              </w:rPr>
              <w:t>元以上</w:t>
            </w:r>
            <w:r>
              <w:rPr>
                <w:rFonts w:ascii="宋体" w:hAnsi="宋体" w:eastAsia="宋体" w:cs="宋体"/>
                <w:spacing w:val="12"/>
              </w:rPr>
              <w:t>3</w:t>
            </w:r>
            <w:r>
              <w:rPr>
                <w:spacing w:val="12"/>
              </w:rPr>
              <w:t>万元以</w:t>
            </w:r>
            <w:r>
              <w:rPr>
                <w:spacing w:val="9"/>
              </w:rPr>
              <w:t>下的罚款</w:t>
            </w:r>
            <w:r>
              <w:rPr>
                <w:spacing w:val="6"/>
              </w:rPr>
              <w:t>：（</w:t>
            </w:r>
            <w:r>
              <w:rPr>
                <w:spacing w:val="9"/>
              </w:rPr>
              <w:t>四）未按照</w:t>
            </w:r>
          </w:p>
        </w:tc>
        <w:tc>
          <w:tcPr>
            <w:tcW w:w="803" w:type="dxa"/>
            <w:vAlign w:val="top"/>
          </w:tcPr>
          <w:p w14:paraId="235CCB5B">
            <w:pPr>
              <w:spacing w:line="297" w:lineRule="auto"/>
              <w:rPr>
                <w:rFonts w:ascii="Arial"/>
                <w:sz w:val="21"/>
              </w:rPr>
            </w:pPr>
          </w:p>
          <w:p w14:paraId="4EA61931">
            <w:pPr>
              <w:spacing w:line="297" w:lineRule="auto"/>
              <w:rPr>
                <w:rFonts w:ascii="Arial"/>
                <w:sz w:val="21"/>
              </w:rPr>
            </w:pPr>
          </w:p>
          <w:p w14:paraId="38529C1B">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E538480">
            <w:pPr>
              <w:pStyle w:val="6"/>
              <w:spacing w:before="332" w:line="191" w:lineRule="auto"/>
              <w:ind w:left="120" w:right="109" w:hanging="2"/>
              <w:jc w:val="both"/>
            </w:pPr>
            <w:r>
              <w:rPr>
                <w:spacing w:val="26"/>
              </w:rPr>
              <w:t>未按照规定进行四</w:t>
            </w:r>
            <w:r>
              <w:rPr>
                <w:spacing w:val="25"/>
              </w:rPr>
              <w:t>级重大危险源备案</w:t>
            </w:r>
            <w:r>
              <w:rPr>
                <w:spacing w:val="6"/>
              </w:rPr>
              <w:t>或者核销的</w:t>
            </w:r>
          </w:p>
        </w:tc>
        <w:tc>
          <w:tcPr>
            <w:tcW w:w="2894" w:type="dxa"/>
            <w:vAlign w:val="top"/>
          </w:tcPr>
          <w:p w14:paraId="23CAA130">
            <w:pPr>
              <w:spacing w:line="378" w:lineRule="auto"/>
              <w:rPr>
                <w:rFonts w:ascii="Arial"/>
                <w:sz w:val="21"/>
              </w:rPr>
            </w:pPr>
          </w:p>
          <w:p w14:paraId="54FDD75F">
            <w:pPr>
              <w:pStyle w:val="6"/>
              <w:spacing w:before="99" w:line="196" w:lineRule="auto"/>
              <w:ind w:left="124" w:right="105" w:firstLine="1"/>
            </w:pPr>
            <w:r>
              <w:rPr>
                <w:spacing w:val="2"/>
              </w:rPr>
              <w:t>给予警告，可以并处</w:t>
            </w:r>
            <w:r>
              <w:rPr>
                <w:rFonts w:ascii="宋体" w:hAnsi="宋体" w:eastAsia="宋体" w:cs="宋体"/>
                <w:spacing w:val="2"/>
              </w:rPr>
              <w:t>5000</w:t>
            </w:r>
            <w:r>
              <w:rPr>
                <w:spacing w:val="2"/>
              </w:rPr>
              <w:t>元以上</w:t>
            </w:r>
            <w:r>
              <w:rPr>
                <w:rFonts w:ascii="宋体" w:hAnsi="宋体" w:eastAsia="宋体" w:cs="宋体"/>
                <w:spacing w:val="2"/>
              </w:rPr>
              <w:t>1</w:t>
            </w:r>
            <w:r>
              <w:rPr>
                <w:spacing w:val="2"/>
              </w:rPr>
              <w:t>万元以下的罚款</w:t>
            </w:r>
          </w:p>
        </w:tc>
        <w:tc>
          <w:tcPr>
            <w:tcW w:w="811" w:type="dxa"/>
            <w:vMerge w:val="restart"/>
            <w:tcBorders>
              <w:bottom w:val="nil"/>
            </w:tcBorders>
            <w:vAlign w:val="top"/>
          </w:tcPr>
          <w:p w14:paraId="4CE86C5C">
            <w:pPr>
              <w:spacing w:line="260" w:lineRule="auto"/>
              <w:rPr>
                <w:rFonts w:ascii="Arial"/>
                <w:sz w:val="21"/>
              </w:rPr>
            </w:pPr>
          </w:p>
          <w:p w14:paraId="15273C29">
            <w:pPr>
              <w:spacing w:line="260" w:lineRule="auto"/>
              <w:rPr>
                <w:rFonts w:ascii="Arial"/>
                <w:sz w:val="21"/>
              </w:rPr>
            </w:pPr>
          </w:p>
          <w:p w14:paraId="487816CC">
            <w:pPr>
              <w:spacing w:line="261" w:lineRule="auto"/>
              <w:rPr>
                <w:rFonts w:ascii="Arial"/>
                <w:sz w:val="21"/>
              </w:rPr>
            </w:pPr>
          </w:p>
          <w:p w14:paraId="5563F1FD">
            <w:pPr>
              <w:spacing w:line="261" w:lineRule="auto"/>
              <w:rPr>
                <w:rFonts w:ascii="Arial"/>
                <w:sz w:val="21"/>
              </w:rPr>
            </w:pPr>
          </w:p>
          <w:p w14:paraId="172E3D7C">
            <w:pPr>
              <w:spacing w:line="261" w:lineRule="auto"/>
              <w:rPr>
                <w:rFonts w:ascii="Arial"/>
                <w:sz w:val="21"/>
              </w:rPr>
            </w:pPr>
          </w:p>
          <w:p w14:paraId="0BAD80B8">
            <w:pPr>
              <w:spacing w:before="75" w:line="188" w:lineRule="auto"/>
              <w:ind w:left="292"/>
              <w:rPr>
                <w:rFonts w:ascii="宋体" w:hAnsi="宋体" w:eastAsia="宋体" w:cs="宋体"/>
                <w:sz w:val="23"/>
                <w:szCs w:val="23"/>
              </w:rPr>
            </w:pPr>
            <w:r>
              <w:rPr>
                <w:rFonts w:ascii="宋体" w:hAnsi="宋体" w:eastAsia="宋体" w:cs="宋体"/>
                <w:spacing w:val="-2"/>
                <w:sz w:val="23"/>
                <w:szCs w:val="23"/>
              </w:rPr>
              <w:t>85</w:t>
            </w:r>
          </w:p>
        </w:tc>
      </w:tr>
      <w:tr w14:paraId="5AC1A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8" w:hRule="atLeast"/>
        </w:trPr>
        <w:tc>
          <w:tcPr>
            <w:tcW w:w="818" w:type="dxa"/>
            <w:vMerge w:val="continue"/>
            <w:tcBorders>
              <w:top w:val="nil"/>
            </w:tcBorders>
            <w:vAlign w:val="top"/>
          </w:tcPr>
          <w:p w14:paraId="4A8E15C8">
            <w:pPr>
              <w:rPr>
                <w:rFonts w:ascii="Arial"/>
                <w:sz w:val="21"/>
              </w:rPr>
            </w:pPr>
          </w:p>
        </w:tc>
        <w:tc>
          <w:tcPr>
            <w:tcW w:w="1440" w:type="dxa"/>
            <w:vMerge w:val="continue"/>
            <w:tcBorders>
              <w:top w:val="nil"/>
            </w:tcBorders>
            <w:vAlign w:val="top"/>
          </w:tcPr>
          <w:p w14:paraId="32FBC0F0">
            <w:pPr>
              <w:rPr>
                <w:rFonts w:ascii="Arial"/>
                <w:sz w:val="21"/>
              </w:rPr>
            </w:pPr>
          </w:p>
        </w:tc>
        <w:tc>
          <w:tcPr>
            <w:tcW w:w="3202" w:type="dxa"/>
            <w:vMerge w:val="continue"/>
            <w:tcBorders>
              <w:top w:val="nil"/>
            </w:tcBorders>
            <w:vAlign w:val="top"/>
          </w:tcPr>
          <w:p w14:paraId="68A23BE9">
            <w:pPr>
              <w:rPr>
                <w:rFonts w:ascii="Arial"/>
                <w:sz w:val="21"/>
              </w:rPr>
            </w:pPr>
          </w:p>
        </w:tc>
        <w:tc>
          <w:tcPr>
            <w:tcW w:w="2859" w:type="dxa"/>
            <w:vMerge w:val="continue"/>
            <w:tcBorders>
              <w:top w:val="nil"/>
            </w:tcBorders>
            <w:vAlign w:val="top"/>
          </w:tcPr>
          <w:p w14:paraId="00ED9B9C">
            <w:pPr>
              <w:rPr>
                <w:rFonts w:ascii="Arial"/>
                <w:sz w:val="21"/>
              </w:rPr>
            </w:pPr>
          </w:p>
        </w:tc>
        <w:tc>
          <w:tcPr>
            <w:tcW w:w="803" w:type="dxa"/>
            <w:vAlign w:val="top"/>
          </w:tcPr>
          <w:p w14:paraId="0E9531C2">
            <w:pPr>
              <w:spacing w:line="278" w:lineRule="auto"/>
              <w:rPr>
                <w:rFonts w:ascii="Arial"/>
                <w:sz w:val="21"/>
              </w:rPr>
            </w:pPr>
          </w:p>
          <w:p w14:paraId="4D695FC8">
            <w:pPr>
              <w:spacing w:line="278" w:lineRule="auto"/>
              <w:rPr>
                <w:rFonts w:ascii="Arial"/>
                <w:sz w:val="21"/>
              </w:rPr>
            </w:pPr>
          </w:p>
          <w:p w14:paraId="29A6B914">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C74A6F6">
            <w:pPr>
              <w:pStyle w:val="6"/>
              <w:spacing w:before="288" w:line="191" w:lineRule="auto"/>
              <w:ind w:left="120" w:right="109" w:hanging="2"/>
              <w:jc w:val="both"/>
            </w:pPr>
            <w:r>
              <w:rPr>
                <w:spacing w:val="26"/>
              </w:rPr>
              <w:t>未按照规定进行三</w:t>
            </w:r>
            <w:r>
              <w:rPr>
                <w:spacing w:val="25"/>
              </w:rPr>
              <w:t>级重大危险源备案</w:t>
            </w:r>
            <w:r>
              <w:rPr>
                <w:spacing w:val="6"/>
              </w:rPr>
              <w:t>或者核销的</w:t>
            </w:r>
          </w:p>
        </w:tc>
        <w:tc>
          <w:tcPr>
            <w:tcW w:w="2894" w:type="dxa"/>
            <w:vAlign w:val="top"/>
          </w:tcPr>
          <w:p w14:paraId="70F46E5D">
            <w:pPr>
              <w:pStyle w:val="6"/>
              <w:spacing w:before="289" w:line="191" w:lineRule="auto"/>
              <w:ind w:left="122" w:right="104" w:firstLine="3"/>
              <w:jc w:val="both"/>
            </w:pPr>
            <w:r>
              <w:rPr>
                <w:spacing w:val="1"/>
              </w:rPr>
              <w:t>给予警告，可以并处</w:t>
            </w:r>
            <w:r>
              <w:rPr>
                <w:rFonts w:ascii="宋体" w:hAnsi="宋体" w:eastAsia="宋体" w:cs="宋体"/>
                <w:spacing w:val="1"/>
              </w:rPr>
              <w:t>1</w:t>
            </w:r>
            <w:r>
              <w:rPr>
                <w:spacing w:val="1"/>
              </w:rPr>
              <w:t>万</w:t>
            </w:r>
            <w:r>
              <w:rPr>
                <w:spacing w:val="4"/>
              </w:rPr>
              <w:t>元以上</w:t>
            </w:r>
            <w:r>
              <w:rPr>
                <w:rFonts w:ascii="宋体" w:hAnsi="宋体" w:eastAsia="宋体" w:cs="宋体"/>
                <w:spacing w:val="4"/>
              </w:rPr>
              <w:t>1.5</w:t>
            </w:r>
            <w:r>
              <w:rPr>
                <w:spacing w:val="4"/>
              </w:rPr>
              <w:t>万元以下的罚</w:t>
            </w:r>
            <w:r>
              <w:t>款</w:t>
            </w:r>
          </w:p>
        </w:tc>
        <w:tc>
          <w:tcPr>
            <w:tcW w:w="811" w:type="dxa"/>
            <w:vMerge w:val="continue"/>
            <w:tcBorders>
              <w:top w:val="nil"/>
            </w:tcBorders>
            <w:vAlign w:val="top"/>
          </w:tcPr>
          <w:p w14:paraId="4D6702E7">
            <w:pPr>
              <w:rPr>
                <w:rFonts w:ascii="Arial"/>
                <w:sz w:val="21"/>
              </w:rPr>
            </w:pPr>
          </w:p>
        </w:tc>
      </w:tr>
    </w:tbl>
    <w:p w14:paraId="1B7A01BC">
      <w:pPr>
        <w:pStyle w:val="2"/>
      </w:pPr>
    </w:p>
    <w:p w14:paraId="322338EE">
      <w:pPr>
        <w:sectPr>
          <w:footerReference r:id="rId141" w:type="default"/>
          <w:pgSz w:w="16839" w:h="11906"/>
          <w:pgMar w:top="1012" w:right="821" w:bottom="667" w:left="901" w:header="0" w:footer="388" w:gutter="0"/>
          <w:cols w:space="720" w:num="1"/>
        </w:sectPr>
      </w:pPr>
    </w:p>
    <w:p w14:paraId="5BA07171">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4B4E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E322E6D">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1BFB3934">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C130A2F">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4C655943">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01B572D9">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D95C5B2">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128724D8">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780A0E5F">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D411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0" w:hRule="atLeast"/>
        </w:trPr>
        <w:tc>
          <w:tcPr>
            <w:tcW w:w="818" w:type="dxa"/>
            <w:vMerge w:val="restart"/>
            <w:tcBorders>
              <w:bottom w:val="nil"/>
            </w:tcBorders>
            <w:vAlign w:val="top"/>
          </w:tcPr>
          <w:p w14:paraId="2026C071">
            <w:pPr>
              <w:rPr>
                <w:rFonts w:ascii="Arial"/>
                <w:sz w:val="21"/>
              </w:rPr>
            </w:pPr>
          </w:p>
        </w:tc>
        <w:tc>
          <w:tcPr>
            <w:tcW w:w="1440" w:type="dxa"/>
            <w:vMerge w:val="restart"/>
            <w:tcBorders>
              <w:bottom w:val="nil"/>
            </w:tcBorders>
            <w:vAlign w:val="top"/>
          </w:tcPr>
          <w:p w14:paraId="5BABB4DB">
            <w:pPr>
              <w:rPr>
                <w:rFonts w:ascii="Arial"/>
                <w:sz w:val="21"/>
              </w:rPr>
            </w:pPr>
          </w:p>
        </w:tc>
        <w:tc>
          <w:tcPr>
            <w:tcW w:w="3202" w:type="dxa"/>
            <w:vMerge w:val="restart"/>
            <w:tcBorders>
              <w:bottom w:val="nil"/>
            </w:tcBorders>
            <w:vAlign w:val="top"/>
          </w:tcPr>
          <w:p w14:paraId="03A32807">
            <w:pPr>
              <w:pStyle w:val="6"/>
              <w:spacing w:before="31" w:line="182" w:lineRule="auto"/>
              <w:ind w:left="121" w:right="111"/>
              <w:jc w:val="both"/>
            </w:pPr>
            <w:r>
              <w:rPr>
                <w:spacing w:val="17"/>
              </w:rPr>
              <w:t>款第五项规定的文件资料只</w:t>
            </w:r>
            <w:r>
              <w:rPr>
                <w:spacing w:val="13"/>
              </w:rPr>
              <w:t>需提供清单</w:t>
            </w:r>
            <w:r>
              <w:rPr>
                <w:spacing w:val="-13"/>
              </w:rPr>
              <w:t>），</w:t>
            </w:r>
            <w:r>
              <w:rPr>
                <w:spacing w:val="13"/>
              </w:rPr>
              <w:t>报送所在地</w:t>
            </w:r>
            <w:r>
              <w:rPr>
                <w:spacing w:val="16"/>
              </w:rPr>
              <w:t>县级人民政府安全生产监督</w:t>
            </w:r>
            <w:r>
              <w:rPr>
                <w:spacing w:val="2"/>
              </w:rPr>
              <w:t>管理部门备案。</w:t>
            </w:r>
          </w:p>
          <w:p w14:paraId="6AD5A051">
            <w:pPr>
              <w:pStyle w:val="6"/>
              <w:spacing w:before="8" w:line="182" w:lineRule="auto"/>
              <w:ind w:left="113" w:right="111" w:firstLine="8"/>
              <w:jc w:val="both"/>
            </w:pPr>
            <w:r>
              <w:rPr>
                <w:spacing w:val="16"/>
              </w:rPr>
              <w:t>县级人民政府安全生产监督</w:t>
            </w:r>
            <w:r>
              <w:rPr>
                <w:spacing w:val="17"/>
              </w:rPr>
              <w:t>管理部门应当每季度将辖区内的一级、二级重大危险源备案材料报送至设区的市级人民政府安全生产监督管理部门。设区的市级人民政府安全生产监督管理部门应当每半年将辖区内的一级重大危险源备案材料报送至省级人民政府安全生产监督管理</w:t>
            </w:r>
            <w:r>
              <w:rPr>
                <w:spacing w:val="-4"/>
              </w:rPr>
              <w:t>部门。</w:t>
            </w:r>
          </w:p>
          <w:p w14:paraId="14E5F978">
            <w:pPr>
              <w:pStyle w:val="6"/>
              <w:spacing w:before="4" w:line="182" w:lineRule="auto"/>
              <w:ind w:left="117" w:right="111" w:firstLine="9"/>
              <w:jc w:val="both"/>
            </w:pPr>
            <w:r>
              <w:rPr>
                <w:spacing w:val="16"/>
              </w:rPr>
              <w:t>重大危险源出现本规定第十</w:t>
            </w:r>
            <w:r>
              <w:rPr>
                <w:spacing w:val="13"/>
              </w:rPr>
              <w:t>一条所列情形之一的，危险</w:t>
            </w:r>
            <w:r>
              <w:rPr>
                <w:spacing w:val="17"/>
              </w:rPr>
              <w:t>化学品单位应当及时更新档</w:t>
            </w:r>
            <w:r>
              <w:rPr>
                <w:spacing w:val="13"/>
              </w:rPr>
              <w:t>案，并向所在地县级人民政</w:t>
            </w:r>
            <w:r>
              <w:rPr>
                <w:spacing w:val="17"/>
              </w:rPr>
              <w:t>府安全生产监督管理部门重</w:t>
            </w:r>
            <w:r>
              <w:rPr>
                <w:spacing w:val="-2"/>
              </w:rPr>
              <w:t>新备案。</w:t>
            </w:r>
          </w:p>
          <w:p w14:paraId="30C36948">
            <w:pPr>
              <w:pStyle w:val="6"/>
              <w:spacing w:before="5" w:line="182" w:lineRule="auto"/>
              <w:ind w:left="117" w:right="111" w:firstLine="10"/>
              <w:jc w:val="both"/>
            </w:pPr>
            <w:r>
              <w:rPr>
                <w:spacing w:val="12"/>
              </w:rPr>
              <w:t>第二十四条：危险化学品单</w:t>
            </w:r>
            <w:r>
              <w:rPr>
                <w:spacing w:val="17"/>
              </w:rPr>
              <w:t>位新建、改建和扩建危险化</w:t>
            </w:r>
            <w:r>
              <w:rPr>
                <w:spacing w:val="13"/>
              </w:rPr>
              <w:t>学品建设项目，应当在建设</w:t>
            </w:r>
            <w:r>
              <w:rPr>
                <w:spacing w:val="17"/>
              </w:rPr>
              <w:t>项目竣工验收前完成重大危险源的辨识、安全评估和分</w:t>
            </w:r>
            <w:r>
              <w:rPr>
                <w:spacing w:val="13"/>
              </w:rPr>
              <w:t>级、登记建档工作，并向所</w:t>
            </w:r>
            <w:r>
              <w:rPr>
                <w:spacing w:val="17"/>
              </w:rPr>
              <w:t>在地县级人民政府安全生产</w:t>
            </w:r>
            <w:r>
              <w:rPr>
                <w:spacing w:val="4"/>
              </w:rPr>
              <w:t>监督管理部门备案。</w:t>
            </w:r>
          </w:p>
          <w:p w14:paraId="16143854">
            <w:pPr>
              <w:pStyle w:val="6"/>
              <w:spacing w:line="161" w:lineRule="auto"/>
              <w:ind w:left="128"/>
            </w:pPr>
            <w:r>
              <w:rPr>
                <w:spacing w:val="12"/>
              </w:rPr>
              <w:t>第二十七条：重大危险源经</w:t>
            </w:r>
          </w:p>
        </w:tc>
        <w:tc>
          <w:tcPr>
            <w:tcW w:w="2859" w:type="dxa"/>
            <w:vMerge w:val="restart"/>
            <w:tcBorders>
              <w:bottom w:val="nil"/>
            </w:tcBorders>
            <w:vAlign w:val="top"/>
          </w:tcPr>
          <w:p w14:paraId="49799C49">
            <w:pPr>
              <w:pStyle w:val="6"/>
              <w:spacing w:before="29" w:line="195" w:lineRule="auto"/>
              <w:ind w:left="123" w:right="110" w:hanging="6"/>
            </w:pPr>
            <w:r>
              <w:rPr>
                <w:spacing w:val="8"/>
              </w:rPr>
              <w:t>本规定进行重大危险源备</w:t>
            </w:r>
            <w:r>
              <w:t>案或者核销的；</w:t>
            </w:r>
          </w:p>
        </w:tc>
        <w:tc>
          <w:tcPr>
            <w:tcW w:w="803" w:type="dxa"/>
            <w:vAlign w:val="top"/>
          </w:tcPr>
          <w:p w14:paraId="6E671C46">
            <w:pPr>
              <w:spacing w:line="266" w:lineRule="auto"/>
              <w:rPr>
                <w:rFonts w:ascii="Arial"/>
                <w:sz w:val="21"/>
              </w:rPr>
            </w:pPr>
          </w:p>
          <w:p w14:paraId="7017E8D8">
            <w:pPr>
              <w:spacing w:line="266" w:lineRule="auto"/>
              <w:rPr>
                <w:rFonts w:ascii="Arial"/>
                <w:sz w:val="21"/>
              </w:rPr>
            </w:pPr>
          </w:p>
          <w:p w14:paraId="1B0737FB">
            <w:pPr>
              <w:spacing w:line="266" w:lineRule="auto"/>
              <w:rPr>
                <w:rFonts w:ascii="Arial"/>
                <w:sz w:val="21"/>
              </w:rPr>
            </w:pPr>
          </w:p>
          <w:p w14:paraId="060439FB">
            <w:pPr>
              <w:spacing w:line="266" w:lineRule="auto"/>
              <w:rPr>
                <w:rFonts w:ascii="Arial"/>
                <w:sz w:val="21"/>
              </w:rPr>
            </w:pPr>
          </w:p>
          <w:p w14:paraId="200B529C">
            <w:pPr>
              <w:spacing w:line="266" w:lineRule="auto"/>
              <w:rPr>
                <w:rFonts w:ascii="Arial"/>
                <w:sz w:val="21"/>
              </w:rPr>
            </w:pPr>
          </w:p>
          <w:p w14:paraId="5B4058D2">
            <w:pPr>
              <w:spacing w:line="267" w:lineRule="auto"/>
              <w:rPr>
                <w:rFonts w:ascii="Arial"/>
                <w:sz w:val="21"/>
              </w:rPr>
            </w:pPr>
          </w:p>
          <w:p w14:paraId="173C0464">
            <w:pPr>
              <w:spacing w:line="267" w:lineRule="auto"/>
              <w:rPr>
                <w:rFonts w:ascii="Arial"/>
                <w:sz w:val="21"/>
              </w:rPr>
            </w:pPr>
          </w:p>
          <w:p w14:paraId="13B26CEC">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4E6DC3F">
            <w:pPr>
              <w:spacing w:line="250" w:lineRule="auto"/>
              <w:rPr>
                <w:rFonts w:ascii="Arial"/>
                <w:sz w:val="21"/>
              </w:rPr>
            </w:pPr>
          </w:p>
          <w:p w14:paraId="746B063F">
            <w:pPr>
              <w:spacing w:line="250" w:lineRule="auto"/>
              <w:rPr>
                <w:rFonts w:ascii="Arial"/>
                <w:sz w:val="21"/>
              </w:rPr>
            </w:pPr>
          </w:p>
          <w:p w14:paraId="204A2DED">
            <w:pPr>
              <w:spacing w:line="250" w:lineRule="auto"/>
              <w:rPr>
                <w:rFonts w:ascii="Arial"/>
                <w:sz w:val="21"/>
              </w:rPr>
            </w:pPr>
          </w:p>
          <w:p w14:paraId="6F4AFE49">
            <w:pPr>
              <w:spacing w:line="250" w:lineRule="auto"/>
              <w:rPr>
                <w:rFonts w:ascii="Arial"/>
                <w:sz w:val="21"/>
              </w:rPr>
            </w:pPr>
          </w:p>
          <w:p w14:paraId="57AD0FFA">
            <w:pPr>
              <w:spacing w:line="250" w:lineRule="auto"/>
              <w:rPr>
                <w:rFonts w:ascii="Arial"/>
                <w:sz w:val="21"/>
              </w:rPr>
            </w:pPr>
          </w:p>
          <w:p w14:paraId="188861E6">
            <w:pPr>
              <w:spacing w:line="250" w:lineRule="auto"/>
              <w:rPr>
                <w:rFonts w:ascii="Arial"/>
                <w:sz w:val="21"/>
              </w:rPr>
            </w:pPr>
          </w:p>
          <w:p w14:paraId="123283FF">
            <w:pPr>
              <w:pStyle w:val="6"/>
              <w:spacing w:before="98" w:line="191" w:lineRule="auto"/>
              <w:ind w:left="120" w:right="109" w:hanging="2"/>
              <w:jc w:val="both"/>
            </w:pPr>
            <w:r>
              <w:rPr>
                <w:spacing w:val="26"/>
              </w:rPr>
              <w:t>未按照规定进行二</w:t>
            </w:r>
            <w:r>
              <w:rPr>
                <w:spacing w:val="25"/>
              </w:rPr>
              <w:t>级重大危险源备案</w:t>
            </w:r>
            <w:r>
              <w:rPr>
                <w:spacing w:val="6"/>
              </w:rPr>
              <w:t>或者核销的</w:t>
            </w:r>
          </w:p>
        </w:tc>
        <w:tc>
          <w:tcPr>
            <w:tcW w:w="2894" w:type="dxa"/>
            <w:vAlign w:val="top"/>
          </w:tcPr>
          <w:p w14:paraId="5997F717">
            <w:pPr>
              <w:spacing w:line="250" w:lineRule="auto"/>
              <w:rPr>
                <w:rFonts w:ascii="Arial"/>
                <w:sz w:val="21"/>
              </w:rPr>
            </w:pPr>
          </w:p>
          <w:p w14:paraId="58FD69E6">
            <w:pPr>
              <w:spacing w:line="250" w:lineRule="auto"/>
              <w:rPr>
                <w:rFonts w:ascii="Arial"/>
                <w:sz w:val="21"/>
              </w:rPr>
            </w:pPr>
          </w:p>
          <w:p w14:paraId="2F262B64">
            <w:pPr>
              <w:spacing w:line="250" w:lineRule="auto"/>
              <w:rPr>
                <w:rFonts w:ascii="Arial"/>
                <w:sz w:val="21"/>
              </w:rPr>
            </w:pPr>
          </w:p>
          <w:p w14:paraId="20DADD1E">
            <w:pPr>
              <w:spacing w:line="250" w:lineRule="auto"/>
              <w:rPr>
                <w:rFonts w:ascii="Arial"/>
                <w:sz w:val="21"/>
              </w:rPr>
            </w:pPr>
          </w:p>
          <w:p w14:paraId="4FE58C67">
            <w:pPr>
              <w:spacing w:line="250" w:lineRule="auto"/>
              <w:rPr>
                <w:rFonts w:ascii="Arial"/>
                <w:sz w:val="21"/>
              </w:rPr>
            </w:pPr>
          </w:p>
          <w:p w14:paraId="58A7AAEB">
            <w:pPr>
              <w:spacing w:line="251" w:lineRule="auto"/>
              <w:rPr>
                <w:rFonts w:ascii="Arial"/>
                <w:sz w:val="21"/>
              </w:rPr>
            </w:pPr>
          </w:p>
          <w:p w14:paraId="7AA1CB62">
            <w:pPr>
              <w:pStyle w:val="6"/>
              <w:spacing w:before="99" w:line="191" w:lineRule="auto"/>
              <w:ind w:left="122" w:right="104" w:firstLine="3"/>
              <w:jc w:val="both"/>
            </w:pPr>
            <w:r>
              <w:rPr>
                <w:spacing w:val="7"/>
              </w:rPr>
              <w:t>给予警告，可以并处</w:t>
            </w:r>
            <w:r>
              <w:rPr>
                <w:rFonts w:ascii="宋体" w:hAnsi="宋体" w:eastAsia="宋体" w:cs="宋体"/>
                <w:spacing w:val="7"/>
              </w:rPr>
              <w:t>1.5</w:t>
            </w:r>
            <w:r>
              <w:rPr>
                <w:spacing w:val="7"/>
              </w:rPr>
              <w:t>万元以上</w:t>
            </w:r>
            <w:r>
              <w:rPr>
                <w:rFonts w:ascii="宋体" w:hAnsi="宋体" w:eastAsia="宋体" w:cs="宋体"/>
                <w:spacing w:val="7"/>
              </w:rPr>
              <w:t>2</w:t>
            </w:r>
            <w:r>
              <w:rPr>
                <w:spacing w:val="7"/>
              </w:rPr>
              <w:t>万元以下的罚</w:t>
            </w:r>
            <w:r>
              <w:t>款</w:t>
            </w:r>
          </w:p>
        </w:tc>
        <w:tc>
          <w:tcPr>
            <w:tcW w:w="811" w:type="dxa"/>
            <w:vMerge w:val="restart"/>
            <w:tcBorders>
              <w:bottom w:val="nil"/>
            </w:tcBorders>
            <w:vAlign w:val="top"/>
          </w:tcPr>
          <w:p w14:paraId="70DC3F3E">
            <w:pPr>
              <w:rPr>
                <w:rFonts w:ascii="Arial"/>
                <w:sz w:val="21"/>
              </w:rPr>
            </w:pPr>
          </w:p>
        </w:tc>
      </w:tr>
      <w:tr w14:paraId="26A79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8" w:hRule="atLeast"/>
        </w:trPr>
        <w:tc>
          <w:tcPr>
            <w:tcW w:w="818" w:type="dxa"/>
            <w:vMerge w:val="continue"/>
            <w:tcBorders>
              <w:top w:val="nil"/>
            </w:tcBorders>
            <w:vAlign w:val="top"/>
          </w:tcPr>
          <w:p w14:paraId="66E4C621">
            <w:pPr>
              <w:rPr>
                <w:rFonts w:ascii="Arial"/>
                <w:sz w:val="21"/>
              </w:rPr>
            </w:pPr>
          </w:p>
        </w:tc>
        <w:tc>
          <w:tcPr>
            <w:tcW w:w="1440" w:type="dxa"/>
            <w:vMerge w:val="continue"/>
            <w:tcBorders>
              <w:top w:val="nil"/>
            </w:tcBorders>
            <w:vAlign w:val="top"/>
          </w:tcPr>
          <w:p w14:paraId="387085A3">
            <w:pPr>
              <w:rPr>
                <w:rFonts w:ascii="Arial"/>
                <w:sz w:val="21"/>
              </w:rPr>
            </w:pPr>
          </w:p>
        </w:tc>
        <w:tc>
          <w:tcPr>
            <w:tcW w:w="3202" w:type="dxa"/>
            <w:vMerge w:val="continue"/>
            <w:tcBorders>
              <w:top w:val="nil"/>
            </w:tcBorders>
            <w:vAlign w:val="top"/>
          </w:tcPr>
          <w:p w14:paraId="01D69FFB">
            <w:pPr>
              <w:rPr>
                <w:rFonts w:ascii="Arial"/>
                <w:sz w:val="21"/>
              </w:rPr>
            </w:pPr>
          </w:p>
        </w:tc>
        <w:tc>
          <w:tcPr>
            <w:tcW w:w="2859" w:type="dxa"/>
            <w:vMerge w:val="continue"/>
            <w:tcBorders>
              <w:top w:val="nil"/>
            </w:tcBorders>
            <w:vAlign w:val="top"/>
          </w:tcPr>
          <w:p w14:paraId="7A9A9E61">
            <w:pPr>
              <w:rPr>
                <w:rFonts w:ascii="Arial"/>
                <w:sz w:val="21"/>
              </w:rPr>
            </w:pPr>
          </w:p>
        </w:tc>
        <w:tc>
          <w:tcPr>
            <w:tcW w:w="803" w:type="dxa"/>
            <w:vAlign w:val="top"/>
          </w:tcPr>
          <w:p w14:paraId="011E1CA0">
            <w:pPr>
              <w:spacing w:line="255" w:lineRule="auto"/>
              <w:rPr>
                <w:rFonts w:ascii="Arial"/>
                <w:sz w:val="21"/>
              </w:rPr>
            </w:pPr>
          </w:p>
          <w:p w14:paraId="33010E7F">
            <w:pPr>
              <w:spacing w:line="255" w:lineRule="auto"/>
              <w:rPr>
                <w:rFonts w:ascii="Arial"/>
                <w:sz w:val="21"/>
              </w:rPr>
            </w:pPr>
          </w:p>
          <w:p w14:paraId="23B0C37D">
            <w:pPr>
              <w:spacing w:line="256" w:lineRule="auto"/>
              <w:rPr>
                <w:rFonts w:ascii="Arial"/>
                <w:sz w:val="21"/>
              </w:rPr>
            </w:pPr>
          </w:p>
          <w:p w14:paraId="149C720E">
            <w:pPr>
              <w:spacing w:line="256" w:lineRule="auto"/>
              <w:rPr>
                <w:rFonts w:ascii="Arial"/>
                <w:sz w:val="21"/>
              </w:rPr>
            </w:pPr>
          </w:p>
          <w:p w14:paraId="792B092D">
            <w:pPr>
              <w:spacing w:line="256" w:lineRule="auto"/>
              <w:rPr>
                <w:rFonts w:ascii="Arial"/>
                <w:sz w:val="21"/>
              </w:rPr>
            </w:pPr>
          </w:p>
          <w:p w14:paraId="3CAE3E9A">
            <w:pPr>
              <w:spacing w:line="256" w:lineRule="auto"/>
              <w:rPr>
                <w:rFonts w:ascii="Arial"/>
                <w:sz w:val="21"/>
              </w:rPr>
            </w:pPr>
          </w:p>
          <w:p w14:paraId="3EA17562">
            <w:pPr>
              <w:spacing w:line="256" w:lineRule="auto"/>
              <w:rPr>
                <w:rFonts w:ascii="Arial"/>
                <w:sz w:val="21"/>
              </w:rPr>
            </w:pPr>
          </w:p>
          <w:p w14:paraId="7311EFA2">
            <w:pPr>
              <w:spacing w:line="256" w:lineRule="auto"/>
              <w:rPr>
                <w:rFonts w:ascii="Arial"/>
                <w:sz w:val="21"/>
              </w:rPr>
            </w:pPr>
          </w:p>
          <w:p w14:paraId="6318FDC7">
            <w:pPr>
              <w:spacing w:line="256" w:lineRule="auto"/>
              <w:rPr>
                <w:rFonts w:ascii="Arial"/>
                <w:sz w:val="21"/>
              </w:rPr>
            </w:pPr>
          </w:p>
          <w:p w14:paraId="3497159C">
            <w:pPr>
              <w:spacing w:before="75" w:line="187" w:lineRule="auto"/>
              <w:ind w:left="343"/>
              <w:rPr>
                <w:rFonts w:ascii="宋体" w:hAnsi="宋体" w:eastAsia="宋体" w:cs="宋体"/>
                <w:sz w:val="23"/>
                <w:szCs w:val="23"/>
              </w:rPr>
            </w:pPr>
            <w:r>
              <w:rPr>
                <w:rFonts w:ascii="宋体" w:hAnsi="宋体" w:eastAsia="宋体" w:cs="宋体"/>
                <w:sz w:val="23"/>
                <w:szCs w:val="23"/>
              </w:rPr>
              <w:t>D</w:t>
            </w:r>
          </w:p>
        </w:tc>
        <w:tc>
          <w:tcPr>
            <w:tcW w:w="2283" w:type="dxa"/>
            <w:vAlign w:val="top"/>
          </w:tcPr>
          <w:p w14:paraId="72000ABB">
            <w:pPr>
              <w:spacing w:line="242" w:lineRule="auto"/>
              <w:rPr>
                <w:rFonts w:ascii="Arial"/>
                <w:sz w:val="21"/>
              </w:rPr>
            </w:pPr>
          </w:p>
          <w:p w14:paraId="3608240D">
            <w:pPr>
              <w:spacing w:line="242" w:lineRule="auto"/>
              <w:rPr>
                <w:rFonts w:ascii="Arial"/>
                <w:sz w:val="21"/>
              </w:rPr>
            </w:pPr>
          </w:p>
          <w:p w14:paraId="1D8F57A2">
            <w:pPr>
              <w:spacing w:line="242" w:lineRule="auto"/>
              <w:rPr>
                <w:rFonts w:ascii="Arial"/>
                <w:sz w:val="21"/>
              </w:rPr>
            </w:pPr>
          </w:p>
          <w:p w14:paraId="286C10A4">
            <w:pPr>
              <w:spacing w:line="242" w:lineRule="auto"/>
              <w:rPr>
                <w:rFonts w:ascii="Arial"/>
                <w:sz w:val="21"/>
              </w:rPr>
            </w:pPr>
          </w:p>
          <w:p w14:paraId="53AF0255">
            <w:pPr>
              <w:spacing w:line="242" w:lineRule="auto"/>
              <w:rPr>
                <w:rFonts w:ascii="Arial"/>
                <w:sz w:val="21"/>
              </w:rPr>
            </w:pPr>
          </w:p>
          <w:p w14:paraId="725DDEDD">
            <w:pPr>
              <w:spacing w:line="242" w:lineRule="auto"/>
              <w:rPr>
                <w:rFonts w:ascii="Arial"/>
                <w:sz w:val="21"/>
              </w:rPr>
            </w:pPr>
          </w:p>
          <w:p w14:paraId="55B6981B">
            <w:pPr>
              <w:spacing w:line="242" w:lineRule="auto"/>
              <w:rPr>
                <w:rFonts w:ascii="Arial"/>
                <w:sz w:val="21"/>
              </w:rPr>
            </w:pPr>
          </w:p>
          <w:p w14:paraId="7B238F5E">
            <w:pPr>
              <w:spacing w:line="243" w:lineRule="auto"/>
              <w:rPr>
                <w:rFonts w:ascii="Arial"/>
                <w:sz w:val="21"/>
              </w:rPr>
            </w:pPr>
          </w:p>
          <w:p w14:paraId="2B1407A2">
            <w:pPr>
              <w:pStyle w:val="6"/>
              <w:spacing w:before="98" w:line="191" w:lineRule="auto"/>
              <w:ind w:left="120" w:right="109" w:hanging="2"/>
              <w:jc w:val="both"/>
            </w:pPr>
            <w:r>
              <w:rPr>
                <w:spacing w:val="20"/>
              </w:rPr>
              <w:t>未按照规定进行一</w:t>
            </w:r>
            <w:r>
              <w:rPr>
                <w:spacing w:val="25"/>
              </w:rPr>
              <w:t>级重大危险源备案</w:t>
            </w:r>
            <w:r>
              <w:rPr>
                <w:spacing w:val="6"/>
              </w:rPr>
              <w:t>或者核销的</w:t>
            </w:r>
          </w:p>
        </w:tc>
        <w:tc>
          <w:tcPr>
            <w:tcW w:w="2894" w:type="dxa"/>
            <w:vAlign w:val="top"/>
          </w:tcPr>
          <w:p w14:paraId="7612F1E5">
            <w:pPr>
              <w:spacing w:line="260" w:lineRule="auto"/>
              <w:rPr>
                <w:rFonts w:ascii="Arial"/>
                <w:sz w:val="21"/>
              </w:rPr>
            </w:pPr>
          </w:p>
          <w:p w14:paraId="17776450">
            <w:pPr>
              <w:spacing w:line="260" w:lineRule="auto"/>
              <w:rPr>
                <w:rFonts w:ascii="Arial"/>
                <w:sz w:val="21"/>
              </w:rPr>
            </w:pPr>
          </w:p>
          <w:p w14:paraId="2722FD17">
            <w:pPr>
              <w:spacing w:line="260" w:lineRule="auto"/>
              <w:rPr>
                <w:rFonts w:ascii="Arial"/>
                <w:sz w:val="21"/>
              </w:rPr>
            </w:pPr>
          </w:p>
          <w:p w14:paraId="1B64710F">
            <w:pPr>
              <w:spacing w:line="260" w:lineRule="auto"/>
              <w:rPr>
                <w:rFonts w:ascii="Arial"/>
                <w:sz w:val="21"/>
              </w:rPr>
            </w:pPr>
          </w:p>
          <w:p w14:paraId="501D5292">
            <w:pPr>
              <w:spacing w:line="260" w:lineRule="auto"/>
              <w:rPr>
                <w:rFonts w:ascii="Arial"/>
                <w:sz w:val="21"/>
              </w:rPr>
            </w:pPr>
          </w:p>
          <w:p w14:paraId="391AEADE">
            <w:pPr>
              <w:spacing w:line="261" w:lineRule="auto"/>
              <w:rPr>
                <w:rFonts w:ascii="Arial"/>
                <w:sz w:val="21"/>
              </w:rPr>
            </w:pPr>
          </w:p>
          <w:p w14:paraId="64443AD6">
            <w:pPr>
              <w:spacing w:line="261" w:lineRule="auto"/>
              <w:rPr>
                <w:rFonts w:ascii="Arial"/>
                <w:sz w:val="21"/>
              </w:rPr>
            </w:pPr>
          </w:p>
          <w:p w14:paraId="5DD45799">
            <w:pPr>
              <w:spacing w:line="261" w:lineRule="auto"/>
              <w:rPr>
                <w:rFonts w:ascii="Arial"/>
                <w:sz w:val="21"/>
              </w:rPr>
            </w:pPr>
          </w:p>
          <w:p w14:paraId="14881CFE">
            <w:pPr>
              <w:pStyle w:val="6"/>
              <w:spacing w:before="98" w:line="196" w:lineRule="auto"/>
              <w:ind w:left="124" w:right="104" w:firstLine="1"/>
            </w:pPr>
            <w:r>
              <w:rPr>
                <w:spacing w:val="3"/>
              </w:rPr>
              <w:t>给予警告，可以并处</w:t>
            </w:r>
            <w:r>
              <w:rPr>
                <w:rFonts w:ascii="宋体" w:hAnsi="宋体" w:eastAsia="宋体" w:cs="宋体"/>
                <w:spacing w:val="3"/>
              </w:rPr>
              <w:t>2</w:t>
            </w:r>
            <w:r>
              <w:rPr>
                <w:spacing w:val="3"/>
              </w:rPr>
              <w:t>万</w:t>
            </w:r>
            <w:r>
              <w:rPr>
                <w:spacing w:val="4"/>
              </w:rPr>
              <w:t>元以上</w:t>
            </w:r>
            <w:r>
              <w:rPr>
                <w:rFonts w:ascii="宋体" w:hAnsi="宋体" w:eastAsia="宋体" w:cs="宋体"/>
                <w:spacing w:val="4"/>
              </w:rPr>
              <w:t>3</w:t>
            </w:r>
            <w:r>
              <w:rPr>
                <w:spacing w:val="4"/>
              </w:rPr>
              <w:t>万元以下的罚款</w:t>
            </w:r>
          </w:p>
        </w:tc>
        <w:tc>
          <w:tcPr>
            <w:tcW w:w="811" w:type="dxa"/>
            <w:vMerge w:val="continue"/>
            <w:tcBorders>
              <w:top w:val="nil"/>
            </w:tcBorders>
            <w:vAlign w:val="top"/>
          </w:tcPr>
          <w:p w14:paraId="5FCC20E4">
            <w:pPr>
              <w:rPr>
                <w:rFonts w:ascii="Arial"/>
                <w:sz w:val="21"/>
              </w:rPr>
            </w:pPr>
          </w:p>
        </w:tc>
      </w:tr>
    </w:tbl>
    <w:p w14:paraId="0D7BAE93">
      <w:pPr>
        <w:pStyle w:val="2"/>
      </w:pPr>
    </w:p>
    <w:p w14:paraId="6C637495">
      <w:pPr>
        <w:sectPr>
          <w:footerReference r:id="rId142" w:type="default"/>
          <w:pgSz w:w="16839" w:h="11906"/>
          <w:pgMar w:top="1012" w:right="821" w:bottom="667" w:left="901" w:header="0" w:footer="388" w:gutter="0"/>
          <w:cols w:space="720" w:num="1"/>
        </w:sectPr>
      </w:pPr>
    </w:p>
    <w:p w14:paraId="084F5275">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0C00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E550BD7">
            <w:pPr>
              <w:spacing w:before="222" w:line="241" w:lineRule="auto"/>
              <w:ind w:left="131"/>
              <w:outlineLvl w:val="0"/>
              <w:rPr>
                <w:rFonts w:ascii="黑体" w:hAnsi="黑体" w:eastAsia="黑体" w:cs="黑体"/>
                <w:sz w:val="28"/>
                <w:szCs w:val="28"/>
              </w:rPr>
            </w:pPr>
            <w:bookmarkStart w:id="552" w:name="bookmark546"/>
            <w:bookmarkEnd w:id="552"/>
            <w:bookmarkStart w:id="553" w:name="bookmark242"/>
            <w:bookmarkEnd w:id="553"/>
            <w:r>
              <w:rPr>
                <w:rFonts w:ascii="黑体" w:hAnsi="黑体" w:eastAsia="黑体" w:cs="黑体"/>
                <w:spacing w:val="-2"/>
                <w:sz w:val="28"/>
                <w:szCs w:val="28"/>
              </w:rPr>
              <w:t>序号</w:t>
            </w:r>
          </w:p>
        </w:tc>
        <w:tc>
          <w:tcPr>
            <w:tcW w:w="1440" w:type="dxa"/>
            <w:vAlign w:val="top"/>
          </w:tcPr>
          <w:p w14:paraId="7861BE62">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488472A">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8EE2D69">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D4FBC6B">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72EABAA">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05590C2">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7D5177C">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952E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trPr>
        <w:tc>
          <w:tcPr>
            <w:tcW w:w="818" w:type="dxa"/>
            <w:vAlign w:val="top"/>
          </w:tcPr>
          <w:p w14:paraId="21EF404D">
            <w:pPr>
              <w:rPr>
                <w:rFonts w:ascii="Arial"/>
                <w:sz w:val="21"/>
              </w:rPr>
            </w:pPr>
          </w:p>
        </w:tc>
        <w:tc>
          <w:tcPr>
            <w:tcW w:w="1440" w:type="dxa"/>
            <w:vAlign w:val="top"/>
          </w:tcPr>
          <w:p w14:paraId="058233B9">
            <w:pPr>
              <w:rPr>
                <w:rFonts w:ascii="Arial"/>
                <w:sz w:val="21"/>
              </w:rPr>
            </w:pPr>
          </w:p>
        </w:tc>
        <w:tc>
          <w:tcPr>
            <w:tcW w:w="3202" w:type="dxa"/>
            <w:vAlign w:val="top"/>
          </w:tcPr>
          <w:p w14:paraId="1B260B86">
            <w:pPr>
              <w:pStyle w:val="6"/>
              <w:spacing w:before="31" w:line="182" w:lineRule="auto"/>
              <w:ind w:left="116" w:right="111" w:firstLine="3"/>
              <w:jc w:val="both"/>
            </w:pPr>
            <w:r>
              <w:rPr>
                <w:spacing w:val="17"/>
              </w:rPr>
              <w:t>过安全评价或者安全评估不</w:t>
            </w:r>
            <w:r>
              <w:rPr>
                <w:spacing w:val="13"/>
              </w:rPr>
              <w:t>再构成重大危险源的，危险</w:t>
            </w:r>
            <w:r>
              <w:rPr>
                <w:spacing w:val="17"/>
              </w:rPr>
              <w:t>化学品单位应当向所在地县级人民政府安全生产监督管</w:t>
            </w:r>
            <w:r>
              <w:rPr>
                <w:spacing w:val="3"/>
              </w:rPr>
              <w:t>理部门申请核销。</w:t>
            </w:r>
          </w:p>
          <w:p w14:paraId="351FFF16">
            <w:pPr>
              <w:pStyle w:val="6"/>
              <w:spacing w:before="4" w:line="179" w:lineRule="auto"/>
              <w:ind w:left="98" w:right="106" w:firstLine="58"/>
            </w:pPr>
            <w:r>
              <w:rPr>
                <w:spacing w:val="14"/>
              </w:rPr>
              <w:t>申请核销重大危险源应当提</w:t>
            </w:r>
            <w:r>
              <w:rPr>
                <w:spacing w:val="10"/>
              </w:rPr>
              <w:t>交下列文件、资料</w:t>
            </w:r>
            <w:r>
              <w:rPr>
                <w:spacing w:val="-14"/>
              </w:rPr>
              <w:t>：（</w:t>
            </w:r>
            <w:r>
              <w:rPr>
                <w:spacing w:val="10"/>
              </w:rPr>
              <w:t>一）</w:t>
            </w:r>
            <w:r>
              <w:rPr>
                <w:spacing w:val="37"/>
              </w:rPr>
              <w:t>载明核销理由的申请书；</w:t>
            </w:r>
            <w:r>
              <w:rPr>
                <w:spacing w:val="14"/>
              </w:rPr>
              <w:t>（二）单位名称、法定代表</w:t>
            </w:r>
            <w:r>
              <w:rPr>
                <w:spacing w:val="18"/>
              </w:rPr>
              <w:t>人、住所、联系人、联系方</w:t>
            </w:r>
            <w:r>
              <w:rPr>
                <w:spacing w:val="20"/>
              </w:rPr>
              <w:t>式</w:t>
            </w:r>
            <w:r>
              <w:rPr>
                <w:spacing w:val="-11"/>
              </w:rPr>
              <w:t>；（</w:t>
            </w:r>
            <w:r>
              <w:rPr>
                <w:spacing w:val="20"/>
              </w:rPr>
              <w:t>三）安全评价报告或</w:t>
            </w:r>
            <w:r>
              <w:rPr>
                <w:spacing w:val="6"/>
              </w:rPr>
              <w:t>者安全评估报告。</w:t>
            </w:r>
          </w:p>
        </w:tc>
        <w:tc>
          <w:tcPr>
            <w:tcW w:w="2859" w:type="dxa"/>
            <w:vAlign w:val="top"/>
          </w:tcPr>
          <w:p w14:paraId="4D7E2A23">
            <w:pPr>
              <w:rPr>
                <w:rFonts w:ascii="Arial"/>
                <w:sz w:val="21"/>
              </w:rPr>
            </w:pPr>
          </w:p>
        </w:tc>
        <w:tc>
          <w:tcPr>
            <w:tcW w:w="803" w:type="dxa"/>
            <w:vAlign w:val="top"/>
          </w:tcPr>
          <w:p w14:paraId="61BDE404">
            <w:pPr>
              <w:rPr>
                <w:rFonts w:ascii="Arial"/>
                <w:sz w:val="21"/>
              </w:rPr>
            </w:pPr>
          </w:p>
        </w:tc>
        <w:tc>
          <w:tcPr>
            <w:tcW w:w="2283" w:type="dxa"/>
            <w:vAlign w:val="top"/>
          </w:tcPr>
          <w:p w14:paraId="10185AB2">
            <w:pPr>
              <w:rPr>
                <w:rFonts w:ascii="Arial"/>
                <w:sz w:val="21"/>
              </w:rPr>
            </w:pPr>
          </w:p>
        </w:tc>
        <w:tc>
          <w:tcPr>
            <w:tcW w:w="2894" w:type="dxa"/>
            <w:vAlign w:val="top"/>
          </w:tcPr>
          <w:p w14:paraId="19A21256">
            <w:pPr>
              <w:rPr>
                <w:rFonts w:ascii="Arial"/>
                <w:sz w:val="21"/>
              </w:rPr>
            </w:pPr>
          </w:p>
        </w:tc>
        <w:tc>
          <w:tcPr>
            <w:tcW w:w="811" w:type="dxa"/>
            <w:vAlign w:val="top"/>
          </w:tcPr>
          <w:p w14:paraId="3A078911">
            <w:pPr>
              <w:rPr>
                <w:rFonts w:ascii="Arial"/>
                <w:sz w:val="21"/>
              </w:rPr>
            </w:pPr>
          </w:p>
        </w:tc>
      </w:tr>
      <w:tr w14:paraId="3ECFA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trPr>
        <w:tc>
          <w:tcPr>
            <w:tcW w:w="818" w:type="dxa"/>
            <w:vMerge w:val="restart"/>
            <w:tcBorders>
              <w:bottom w:val="nil"/>
            </w:tcBorders>
            <w:vAlign w:val="top"/>
          </w:tcPr>
          <w:p w14:paraId="7A6CCF70">
            <w:pPr>
              <w:spacing w:line="254" w:lineRule="auto"/>
              <w:rPr>
                <w:rFonts w:ascii="Arial"/>
                <w:sz w:val="21"/>
              </w:rPr>
            </w:pPr>
          </w:p>
          <w:p w14:paraId="5868F3B8">
            <w:pPr>
              <w:spacing w:line="254" w:lineRule="auto"/>
              <w:rPr>
                <w:rFonts w:ascii="Arial"/>
                <w:sz w:val="21"/>
              </w:rPr>
            </w:pPr>
          </w:p>
          <w:p w14:paraId="5D1FDBAF">
            <w:pPr>
              <w:spacing w:line="254" w:lineRule="auto"/>
              <w:rPr>
                <w:rFonts w:ascii="Arial"/>
                <w:sz w:val="21"/>
              </w:rPr>
            </w:pPr>
          </w:p>
          <w:p w14:paraId="475DEE54">
            <w:pPr>
              <w:spacing w:line="254" w:lineRule="auto"/>
              <w:rPr>
                <w:rFonts w:ascii="Arial"/>
                <w:sz w:val="21"/>
              </w:rPr>
            </w:pPr>
          </w:p>
          <w:p w14:paraId="06AE4387">
            <w:pPr>
              <w:spacing w:line="254" w:lineRule="auto"/>
              <w:rPr>
                <w:rFonts w:ascii="Arial"/>
                <w:sz w:val="21"/>
              </w:rPr>
            </w:pPr>
          </w:p>
          <w:p w14:paraId="2E716DDD">
            <w:pPr>
              <w:spacing w:line="254" w:lineRule="auto"/>
              <w:rPr>
                <w:rFonts w:ascii="Arial"/>
                <w:sz w:val="21"/>
              </w:rPr>
            </w:pPr>
          </w:p>
          <w:p w14:paraId="3C3E886D">
            <w:pPr>
              <w:spacing w:line="254" w:lineRule="auto"/>
              <w:rPr>
                <w:rFonts w:ascii="Arial"/>
                <w:sz w:val="21"/>
              </w:rPr>
            </w:pPr>
          </w:p>
          <w:p w14:paraId="3CA5DD75">
            <w:pPr>
              <w:spacing w:line="255" w:lineRule="auto"/>
              <w:rPr>
                <w:rFonts w:ascii="Arial"/>
                <w:sz w:val="21"/>
              </w:rPr>
            </w:pPr>
          </w:p>
          <w:p w14:paraId="02901A5B">
            <w:pPr>
              <w:spacing w:line="255" w:lineRule="auto"/>
              <w:rPr>
                <w:rFonts w:ascii="Arial"/>
                <w:sz w:val="21"/>
              </w:rPr>
            </w:pPr>
          </w:p>
          <w:p w14:paraId="537E9C11">
            <w:pPr>
              <w:spacing w:line="255" w:lineRule="auto"/>
              <w:rPr>
                <w:rFonts w:ascii="Arial"/>
                <w:sz w:val="21"/>
              </w:rPr>
            </w:pPr>
          </w:p>
          <w:p w14:paraId="2F53ED0E">
            <w:pPr>
              <w:spacing w:before="75" w:line="186" w:lineRule="auto"/>
              <w:ind w:left="161"/>
              <w:rPr>
                <w:rFonts w:ascii="仿宋" w:hAnsi="仿宋" w:eastAsia="仿宋" w:cs="仿宋"/>
                <w:sz w:val="23"/>
                <w:szCs w:val="23"/>
              </w:rPr>
            </w:pPr>
            <w:r>
              <w:rPr>
                <w:rFonts w:ascii="仿宋" w:hAnsi="仿宋" w:eastAsia="仿宋" w:cs="仿宋"/>
                <w:spacing w:val="-5"/>
                <w:sz w:val="23"/>
                <w:szCs w:val="23"/>
              </w:rPr>
              <w:t>118</w:t>
            </w:r>
          </w:p>
        </w:tc>
        <w:tc>
          <w:tcPr>
            <w:tcW w:w="1440" w:type="dxa"/>
            <w:vMerge w:val="restart"/>
            <w:tcBorders>
              <w:bottom w:val="nil"/>
            </w:tcBorders>
            <w:vAlign w:val="top"/>
          </w:tcPr>
          <w:p w14:paraId="3FCE8E95">
            <w:pPr>
              <w:spacing w:line="276" w:lineRule="auto"/>
              <w:rPr>
                <w:rFonts w:ascii="Arial"/>
                <w:sz w:val="21"/>
              </w:rPr>
            </w:pPr>
          </w:p>
          <w:p w14:paraId="422952F6">
            <w:pPr>
              <w:spacing w:line="277" w:lineRule="auto"/>
              <w:rPr>
                <w:rFonts w:ascii="Arial"/>
                <w:sz w:val="21"/>
              </w:rPr>
            </w:pPr>
          </w:p>
          <w:p w14:paraId="7F683457">
            <w:pPr>
              <w:spacing w:line="277" w:lineRule="auto"/>
              <w:rPr>
                <w:rFonts w:ascii="Arial"/>
                <w:sz w:val="21"/>
              </w:rPr>
            </w:pPr>
          </w:p>
          <w:p w14:paraId="26F8A071">
            <w:pPr>
              <w:pStyle w:val="6"/>
              <w:spacing w:before="99" w:line="185" w:lineRule="auto"/>
              <w:ind w:left="114" w:right="36"/>
            </w:pPr>
            <w:r>
              <w:rPr>
                <w:spacing w:val="11"/>
              </w:rPr>
              <w:t>危险化学品单位未按规定建立应急救援组织或者配备应急</w:t>
            </w:r>
            <w:r>
              <w:rPr>
                <w:spacing w:val="2"/>
              </w:rPr>
              <w:t>救援人员，</w:t>
            </w:r>
            <w:r>
              <w:rPr>
                <w:spacing w:val="11"/>
              </w:rPr>
              <w:t>以及配备必要的防护装</w:t>
            </w:r>
            <w:r>
              <w:rPr>
                <w:spacing w:val="6"/>
              </w:rPr>
              <w:t>备及器材、</w:t>
            </w:r>
            <w:r>
              <w:rPr>
                <w:spacing w:val="-16"/>
              </w:rPr>
              <w:t>设备、物资，</w:t>
            </w:r>
            <w:r>
              <w:rPr>
                <w:spacing w:val="11"/>
              </w:rPr>
              <w:t>并保障其完</w:t>
            </w:r>
            <w:r>
              <w:rPr>
                <w:spacing w:val="3"/>
              </w:rPr>
              <w:t>好的</w:t>
            </w:r>
          </w:p>
        </w:tc>
        <w:tc>
          <w:tcPr>
            <w:tcW w:w="3202" w:type="dxa"/>
            <w:vMerge w:val="restart"/>
            <w:tcBorders>
              <w:bottom w:val="nil"/>
            </w:tcBorders>
            <w:vAlign w:val="top"/>
          </w:tcPr>
          <w:p w14:paraId="55FF0916">
            <w:pPr>
              <w:pStyle w:val="6"/>
              <w:spacing w:before="41" w:line="184" w:lineRule="auto"/>
              <w:ind w:left="116" w:right="111" w:hanging="18"/>
              <w:jc w:val="both"/>
            </w:pPr>
            <w:r>
              <w:rPr>
                <w:spacing w:val="18"/>
              </w:rPr>
              <w:t>【部门规章】《危险化学品</w:t>
            </w:r>
            <w:r>
              <w:rPr>
                <w:spacing w:val="17"/>
              </w:rPr>
              <w:t>重大危险源监督管理暂行规</w:t>
            </w:r>
            <w:r>
              <w:rPr>
                <w:spacing w:val="13"/>
              </w:rPr>
              <w:t>定》第二十条第一款：危险</w:t>
            </w:r>
            <w:r>
              <w:rPr>
                <w:spacing w:val="17"/>
              </w:rPr>
              <w:t>化学品单位应当依法制定重</w:t>
            </w:r>
            <w:r>
              <w:rPr>
                <w:spacing w:val="13"/>
              </w:rPr>
              <w:t>大危险源事故</w:t>
            </w:r>
            <w:r>
              <w:fldChar w:fldCharType="begin"/>
            </w:r>
            <w:r>
              <w:instrText xml:space="preserve"> HYPERLINK "https://baike.baidu.com/item/%E5%BA%94%E6%80%A5%E9%A2%84%E6%A1%88/2955453?fromModule=lemma_inlink" </w:instrText>
            </w:r>
            <w:r>
              <w:fldChar w:fldCharType="separate"/>
            </w:r>
            <w:r>
              <w:rPr>
                <w:spacing w:val="13"/>
              </w:rPr>
              <w:t>应急预案</w:t>
            </w:r>
            <w:r>
              <w:rPr>
                <w:spacing w:val="13"/>
              </w:rPr>
              <w:fldChar w:fldCharType="end"/>
            </w:r>
            <w:r>
              <w:rPr>
                <w:spacing w:val="13"/>
              </w:rPr>
              <w:t>，建</w:t>
            </w:r>
            <w:r>
              <w:rPr>
                <w:spacing w:val="17"/>
              </w:rPr>
              <w:t>立应急救援组织或者配备应</w:t>
            </w:r>
            <w:r>
              <w:rPr>
                <w:spacing w:val="13"/>
              </w:rPr>
              <w:t>急救援人员，配备必要的防</w:t>
            </w:r>
            <w:r>
              <w:rPr>
                <w:spacing w:val="17"/>
              </w:rPr>
              <w:t>护装备及应急救援器材、设</w:t>
            </w:r>
            <w:r>
              <w:rPr>
                <w:spacing w:val="13"/>
              </w:rPr>
              <w:t>备、物资，并保障其完好和方便使用；配合地方人民政</w:t>
            </w:r>
            <w:r>
              <w:rPr>
                <w:spacing w:val="17"/>
              </w:rPr>
              <w:t>府安全生产监督管理部门制定所在地区涉及本单位的危</w:t>
            </w:r>
            <w:r>
              <w:rPr>
                <w:spacing w:val="5"/>
              </w:rPr>
              <w:t>险化学品事故应急预案。</w:t>
            </w:r>
          </w:p>
        </w:tc>
        <w:tc>
          <w:tcPr>
            <w:tcW w:w="2859" w:type="dxa"/>
            <w:vMerge w:val="restart"/>
            <w:tcBorders>
              <w:bottom w:val="nil"/>
            </w:tcBorders>
            <w:vAlign w:val="top"/>
          </w:tcPr>
          <w:p w14:paraId="60A5FBB0">
            <w:pPr>
              <w:pStyle w:val="6"/>
              <w:spacing w:before="39" w:line="184" w:lineRule="auto"/>
              <w:ind w:left="113" w:right="106" w:hanging="16"/>
            </w:pPr>
            <w:r>
              <w:rPr>
                <w:spacing w:val="10"/>
              </w:rPr>
              <w:t>【部门规章】《危险化学</w:t>
            </w:r>
            <w:r>
              <w:rPr>
                <w:spacing w:val="8"/>
              </w:rPr>
              <w:t>品重大危险源监督管理暂行规定》第三十四条第三项：危险化学品单位有下列情形之一的，由县级以上人民政府安全生产监督管理部门给予警告，可以</w:t>
            </w:r>
            <w:r>
              <w:rPr>
                <w:spacing w:val="13"/>
              </w:rPr>
              <w:t>并处</w:t>
            </w:r>
            <w:r>
              <w:rPr>
                <w:rFonts w:ascii="宋体" w:hAnsi="宋体" w:eastAsia="宋体" w:cs="宋体"/>
                <w:spacing w:val="13"/>
              </w:rPr>
              <w:t>5000</w:t>
            </w:r>
            <w:r>
              <w:rPr>
                <w:spacing w:val="13"/>
              </w:rPr>
              <w:t>元以上</w:t>
            </w:r>
            <w:r>
              <w:rPr>
                <w:rFonts w:ascii="宋体" w:hAnsi="宋体" w:eastAsia="宋体" w:cs="宋体"/>
                <w:spacing w:val="13"/>
              </w:rPr>
              <w:t>3</w:t>
            </w:r>
            <w:r>
              <w:rPr>
                <w:spacing w:val="13"/>
              </w:rPr>
              <w:t>万元以</w:t>
            </w:r>
            <w:r>
              <w:rPr>
                <w:spacing w:val="9"/>
              </w:rPr>
              <w:t>下的罚款</w:t>
            </w:r>
            <w:r>
              <w:rPr>
                <w:spacing w:val="8"/>
              </w:rPr>
              <w:t>：（</w:t>
            </w:r>
            <w:r>
              <w:rPr>
                <w:spacing w:val="9"/>
              </w:rPr>
              <w:t>三）未按照</w:t>
            </w:r>
            <w:r>
              <w:rPr>
                <w:spacing w:val="8"/>
              </w:rPr>
              <w:t>本规定建立应急救援组织</w:t>
            </w:r>
            <w:r>
              <w:rPr>
                <w:spacing w:val="7"/>
              </w:rPr>
              <w:t>或者配备应急救援人员，</w:t>
            </w:r>
            <w:r>
              <w:rPr>
                <w:spacing w:val="8"/>
              </w:rPr>
              <w:t>以及配备必要的防护装备</w:t>
            </w:r>
            <w:r>
              <w:rPr>
                <w:spacing w:val="-8"/>
              </w:rPr>
              <w:t>及器材、设备、物资，并</w:t>
            </w:r>
            <w:r>
              <w:rPr>
                <w:spacing w:val="1"/>
              </w:rPr>
              <w:t>保障其完好的；</w:t>
            </w:r>
          </w:p>
        </w:tc>
        <w:tc>
          <w:tcPr>
            <w:tcW w:w="803" w:type="dxa"/>
            <w:vAlign w:val="top"/>
          </w:tcPr>
          <w:p w14:paraId="3C399589">
            <w:pPr>
              <w:spacing w:line="297" w:lineRule="auto"/>
              <w:rPr>
                <w:rFonts w:ascii="Arial"/>
                <w:sz w:val="21"/>
              </w:rPr>
            </w:pPr>
          </w:p>
          <w:p w14:paraId="42074996">
            <w:pPr>
              <w:spacing w:line="298" w:lineRule="auto"/>
              <w:rPr>
                <w:rFonts w:ascii="Arial"/>
                <w:sz w:val="21"/>
              </w:rPr>
            </w:pPr>
          </w:p>
          <w:p w14:paraId="0801F5C9">
            <w:pPr>
              <w:spacing w:line="298" w:lineRule="auto"/>
              <w:rPr>
                <w:rFonts w:ascii="Arial"/>
                <w:sz w:val="21"/>
              </w:rPr>
            </w:pPr>
          </w:p>
          <w:p w14:paraId="6C0C7CA7">
            <w:pPr>
              <w:spacing w:line="298" w:lineRule="auto"/>
              <w:rPr>
                <w:rFonts w:ascii="Arial"/>
                <w:sz w:val="21"/>
              </w:rPr>
            </w:pPr>
          </w:p>
          <w:p w14:paraId="5A133976">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2127547">
            <w:pPr>
              <w:pStyle w:val="6"/>
              <w:spacing w:before="29" w:line="180" w:lineRule="auto"/>
              <w:ind w:left="115" w:right="36" w:firstLine="2"/>
              <w:jc w:val="both"/>
            </w:pPr>
            <w:r>
              <w:rPr>
                <w:spacing w:val="26"/>
              </w:rPr>
              <w:t>未按照规定建立应</w:t>
            </w:r>
            <w:r>
              <w:rPr>
                <w:spacing w:val="-2"/>
              </w:rPr>
              <w:t>急救援组织，未配备应急救援人员，未配</w:t>
            </w:r>
            <w:r>
              <w:rPr>
                <w:spacing w:val="26"/>
              </w:rPr>
              <w:t>备必要的防护装备</w:t>
            </w:r>
            <w:r>
              <w:rPr>
                <w:spacing w:val="-14"/>
                <w:w w:val="98"/>
              </w:rPr>
              <w:t>及器材、设备、物资，</w:t>
            </w:r>
            <w:r>
              <w:rPr>
                <w:spacing w:val="26"/>
              </w:rPr>
              <w:t>未保障防护装备及</w:t>
            </w:r>
            <w:r>
              <w:rPr>
                <w:spacing w:val="-2"/>
              </w:rPr>
              <w:t>器材、设备、物资完</w:t>
            </w:r>
            <w:r>
              <w:rPr>
                <w:spacing w:val="-8"/>
              </w:rPr>
              <w:t>好，有上述</w:t>
            </w:r>
            <w:r>
              <w:rPr>
                <w:rFonts w:ascii="宋体" w:hAnsi="宋体" w:eastAsia="宋体" w:cs="宋体"/>
                <w:spacing w:val="-8"/>
              </w:rPr>
              <w:t>1</w:t>
            </w:r>
            <w:r>
              <w:rPr>
                <w:spacing w:val="-8"/>
              </w:rPr>
              <w:t>种情形</w:t>
            </w:r>
            <w:r>
              <w:t>的</w:t>
            </w:r>
          </w:p>
        </w:tc>
        <w:tc>
          <w:tcPr>
            <w:tcW w:w="2894" w:type="dxa"/>
            <w:vAlign w:val="top"/>
          </w:tcPr>
          <w:p w14:paraId="150F2734">
            <w:pPr>
              <w:spacing w:line="243" w:lineRule="auto"/>
              <w:rPr>
                <w:rFonts w:ascii="Arial"/>
                <w:sz w:val="21"/>
              </w:rPr>
            </w:pPr>
          </w:p>
          <w:p w14:paraId="110B35A4">
            <w:pPr>
              <w:spacing w:line="244" w:lineRule="auto"/>
              <w:rPr>
                <w:rFonts w:ascii="Arial"/>
                <w:sz w:val="21"/>
              </w:rPr>
            </w:pPr>
          </w:p>
          <w:p w14:paraId="0BB0A16B">
            <w:pPr>
              <w:spacing w:line="244" w:lineRule="auto"/>
              <w:rPr>
                <w:rFonts w:ascii="Arial"/>
                <w:sz w:val="21"/>
              </w:rPr>
            </w:pPr>
          </w:p>
          <w:p w14:paraId="4313386D">
            <w:pPr>
              <w:spacing w:line="244" w:lineRule="auto"/>
              <w:rPr>
                <w:rFonts w:ascii="Arial"/>
                <w:sz w:val="21"/>
              </w:rPr>
            </w:pPr>
          </w:p>
          <w:p w14:paraId="4285DCC3">
            <w:pPr>
              <w:pStyle w:val="6"/>
              <w:spacing w:before="98" w:line="196" w:lineRule="auto"/>
              <w:ind w:left="124" w:right="105" w:firstLine="1"/>
            </w:pPr>
            <w:r>
              <w:rPr>
                <w:spacing w:val="2"/>
              </w:rPr>
              <w:t>给予警告，可以并处</w:t>
            </w:r>
            <w:r>
              <w:rPr>
                <w:rFonts w:ascii="宋体" w:hAnsi="宋体" w:eastAsia="宋体" w:cs="宋体"/>
                <w:spacing w:val="2"/>
              </w:rPr>
              <w:t>5000</w:t>
            </w:r>
            <w:r>
              <w:rPr>
                <w:spacing w:val="2"/>
              </w:rPr>
              <w:t>元以上</w:t>
            </w:r>
            <w:r>
              <w:rPr>
                <w:rFonts w:ascii="宋体" w:hAnsi="宋体" w:eastAsia="宋体" w:cs="宋体"/>
                <w:spacing w:val="2"/>
              </w:rPr>
              <w:t>1</w:t>
            </w:r>
            <w:r>
              <w:rPr>
                <w:spacing w:val="2"/>
              </w:rPr>
              <w:t>万元以下的罚款</w:t>
            </w:r>
          </w:p>
        </w:tc>
        <w:tc>
          <w:tcPr>
            <w:tcW w:w="811" w:type="dxa"/>
            <w:vMerge w:val="restart"/>
            <w:tcBorders>
              <w:bottom w:val="nil"/>
            </w:tcBorders>
            <w:vAlign w:val="top"/>
          </w:tcPr>
          <w:p w14:paraId="06D659E8">
            <w:pPr>
              <w:rPr>
                <w:rFonts w:ascii="Arial"/>
                <w:sz w:val="21"/>
              </w:rPr>
            </w:pPr>
          </w:p>
        </w:tc>
      </w:tr>
      <w:tr w14:paraId="5FD16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7" w:hRule="atLeast"/>
        </w:trPr>
        <w:tc>
          <w:tcPr>
            <w:tcW w:w="818" w:type="dxa"/>
            <w:vMerge w:val="continue"/>
            <w:tcBorders>
              <w:top w:val="nil"/>
            </w:tcBorders>
            <w:vAlign w:val="top"/>
          </w:tcPr>
          <w:p w14:paraId="5706A88C">
            <w:pPr>
              <w:rPr>
                <w:rFonts w:ascii="Arial"/>
                <w:sz w:val="21"/>
              </w:rPr>
            </w:pPr>
          </w:p>
        </w:tc>
        <w:tc>
          <w:tcPr>
            <w:tcW w:w="1440" w:type="dxa"/>
            <w:vMerge w:val="continue"/>
            <w:tcBorders>
              <w:top w:val="nil"/>
            </w:tcBorders>
            <w:vAlign w:val="top"/>
          </w:tcPr>
          <w:p w14:paraId="04B22758">
            <w:pPr>
              <w:rPr>
                <w:rFonts w:ascii="Arial"/>
                <w:sz w:val="21"/>
              </w:rPr>
            </w:pPr>
          </w:p>
        </w:tc>
        <w:tc>
          <w:tcPr>
            <w:tcW w:w="3202" w:type="dxa"/>
            <w:vMerge w:val="continue"/>
            <w:tcBorders>
              <w:top w:val="nil"/>
            </w:tcBorders>
            <w:vAlign w:val="top"/>
          </w:tcPr>
          <w:p w14:paraId="652C7F7B">
            <w:pPr>
              <w:rPr>
                <w:rFonts w:ascii="Arial"/>
                <w:sz w:val="21"/>
              </w:rPr>
            </w:pPr>
          </w:p>
        </w:tc>
        <w:tc>
          <w:tcPr>
            <w:tcW w:w="2859" w:type="dxa"/>
            <w:vMerge w:val="continue"/>
            <w:tcBorders>
              <w:top w:val="nil"/>
            </w:tcBorders>
            <w:vAlign w:val="top"/>
          </w:tcPr>
          <w:p w14:paraId="114D9C1B">
            <w:pPr>
              <w:rPr>
                <w:rFonts w:ascii="Arial"/>
                <w:sz w:val="21"/>
              </w:rPr>
            </w:pPr>
          </w:p>
        </w:tc>
        <w:tc>
          <w:tcPr>
            <w:tcW w:w="803" w:type="dxa"/>
            <w:vAlign w:val="top"/>
          </w:tcPr>
          <w:p w14:paraId="6B4ACEFC">
            <w:pPr>
              <w:spacing w:line="299" w:lineRule="auto"/>
              <w:rPr>
                <w:rFonts w:ascii="Arial"/>
                <w:sz w:val="21"/>
              </w:rPr>
            </w:pPr>
          </w:p>
          <w:p w14:paraId="635EAD39">
            <w:pPr>
              <w:spacing w:line="299" w:lineRule="auto"/>
              <w:rPr>
                <w:rFonts w:ascii="Arial"/>
                <w:sz w:val="21"/>
              </w:rPr>
            </w:pPr>
          </w:p>
          <w:p w14:paraId="5990CD14">
            <w:pPr>
              <w:spacing w:line="299" w:lineRule="auto"/>
              <w:rPr>
                <w:rFonts w:ascii="Arial"/>
                <w:sz w:val="21"/>
              </w:rPr>
            </w:pPr>
          </w:p>
          <w:p w14:paraId="03B98ABC">
            <w:pPr>
              <w:spacing w:line="299" w:lineRule="auto"/>
              <w:rPr>
                <w:rFonts w:ascii="Arial"/>
                <w:sz w:val="21"/>
              </w:rPr>
            </w:pPr>
          </w:p>
          <w:p w14:paraId="0D4AD59C">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56694AC">
            <w:pPr>
              <w:pStyle w:val="6"/>
              <w:spacing w:before="33" w:line="180" w:lineRule="auto"/>
              <w:ind w:left="115" w:right="36" w:firstLine="2"/>
              <w:jc w:val="both"/>
            </w:pPr>
            <w:r>
              <w:rPr>
                <w:spacing w:val="26"/>
              </w:rPr>
              <w:t>未按照规定建立应</w:t>
            </w:r>
            <w:r>
              <w:rPr>
                <w:spacing w:val="-2"/>
              </w:rPr>
              <w:t>急救援组织，未配备应急救援人员，未配</w:t>
            </w:r>
            <w:r>
              <w:rPr>
                <w:spacing w:val="26"/>
              </w:rPr>
              <w:t>备必要的防护装备</w:t>
            </w:r>
            <w:r>
              <w:rPr>
                <w:spacing w:val="-14"/>
                <w:w w:val="98"/>
              </w:rPr>
              <w:t>及器材、设备、物资，</w:t>
            </w:r>
            <w:r>
              <w:rPr>
                <w:spacing w:val="26"/>
              </w:rPr>
              <w:t>未保障防护装备及</w:t>
            </w:r>
            <w:r>
              <w:rPr>
                <w:spacing w:val="-2"/>
              </w:rPr>
              <w:t>器材、设备、物资完</w:t>
            </w:r>
            <w:r>
              <w:rPr>
                <w:spacing w:val="-5"/>
              </w:rPr>
              <w:t>好，有上述</w:t>
            </w:r>
            <w:r>
              <w:rPr>
                <w:rFonts w:ascii="宋体" w:hAnsi="宋体" w:eastAsia="宋体" w:cs="宋体"/>
                <w:spacing w:val="-5"/>
              </w:rPr>
              <w:t>2</w:t>
            </w:r>
            <w:r>
              <w:rPr>
                <w:spacing w:val="-5"/>
              </w:rPr>
              <w:t>种情形</w:t>
            </w:r>
            <w:r>
              <w:t>的</w:t>
            </w:r>
          </w:p>
        </w:tc>
        <w:tc>
          <w:tcPr>
            <w:tcW w:w="2894" w:type="dxa"/>
            <w:vAlign w:val="top"/>
          </w:tcPr>
          <w:p w14:paraId="23CA4ABA">
            <w:pPr>
              <w:spacing w:line="244" w:lineRule="auto"/>
              <w:rPr>
                <w:rFonts w:ascii="Arial"/>
                <w:sz w:val="21"/>
              </w:rPr>
            </w:pPr>
          </w:p>
          <w:p w14:paraId="65D46A65">
            <w:pPr>
              <w:spacing w:line="244" w:lineRule="auto"/>
              <w:rPr>
                <w:rFonts w:ascii="Arial"/>
                <w:sz w:val="21"/>
              </w:rPr>
            </w:pPr>
          </w:p>
          <w:p w14:paraId="44658F0E">
            <w:pPr>
              <w:spacing w:line="244" w:lineRule="auto"/>
              <w:rPr>
                <w:rFonts w:ascii="Arial"/>
                <w:sz w:val="21"/>
              </w:rPr>
            </w:pPr>
          </w:p>
          <w:p w14:paraId="68739EB5">
            <w:pPr>
              <w:spacing w:line="244" w:lineRule="auto"/>
              <w:rPr>
                <w:rFonts w:ascii="Arial"/>
                <w:sz w:val="21"/>
              </w:rPr>
            </w:pPr>
          </w:p>
          <w:p w14:paraId="1E0CC18A">
            <w:pPr>
              <w:pStyle w:val="6"/>
              <w:spacing w:before="99" w:line="196" w:lineRule="auto"/>
              <w:ind w:left="124" w:right="104" w:firstLine="1"/>
            </w:pPr>
            <w:r>
              <w:rPr>
                <w:spacing w:val="1"/>
              </w:rPr>
              <w:t>给予警告，可以并处</w:t>
            </w:r>
            <w:r>
              <w:rPr>
                <w:rFonts w:ascii="宋体" w:hAnsi="宋体" w:eastAsia="宋体" w:cs="宋体"/>
                <w:spacing w:val="1"/>
              </w:rPr>
              <w:t>1</w:t>
            </w:r>
            <w:r>
              <w:rPr>
                <w:spacing w:val="1"/>
              </w:rPr>
              <w:t>万</w:t>
            </w:r>
            <w:r>
              <w:rPr>
                <w:spacing w:val="4"/>
              </w:rPr>
              <w:t>元以上</w:t>
            </w:r>
            <w:r>
              <w:rPr>
                <w:rFonts w:ascii="宋体" w:hAnsi="宋体" w:eastAsia="宋体" w:cs="宋体"/>
                <w:spacing w:val="4"/>
              </w:rPr>
              <w:t>2</w:t>
            </w:r>
            <w:r>
              <w:rPr>
                <w:spacing w:val="4"/>
              </w:rPr>
              <w:t>万元以下的罚款</w:t>
            </w:r>
          </w:p>
        </w:tc>
        <w:tc>
          <w:tcPr>
            <w:tcW w:w="811" w:type="dxa"/>
            <w:vMerge w:val="continue"/>
            <w:tcBorders>
              <w:top w:val="nil"/>
            </w:tcBorders>
            <w:vAlign w:val="top"/>
          </w:tcPr>
          <w:p w14:paraId="0361CB96">
            <w:pPr>
              <w:rPr>
                <w:rFonts w:ascii="Arial"/>
                <w:sz w:val="21"/>
              </w:rPr>
            </w:pPr>
          </w:p>
        </w:tc>
      </w:tr>
    </w:tbl>
    <w:p w14:paraId="5E962E0F">
      <w:pPr>
        <w:pStyle w:val="2"/>
      </w:pPr>
    </w:p>
    <w:p w14:paraId="1118A1D7">
      <w:pPr>
        <w:sectPr>
          <w:footerReference r:id="rId143" w:type="default"/>
          <w:pgSz w:w="16839" w:h="11906"/>
          <w:pgMar w:top="1012" w:right="821" w:bottom="667" w:left="901" w:header="0" w:footer="388" w:gutter="0"/>
          <w:cols w:space="720" w:num="1"/>
        </w:sectPr>
      </w:pPr>
    </w:p>
    <w:p w14:paraId="3A39FCAC">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9312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B37692E">
            <w:pPr>
              <w:spacing w:before="222" w:line="241" w:lineRule="auto"/>
              <w:ind w:left="131"/>
              <w:outlineLvl w:val="0"/>
              <w:rPr>
                <w:rFonts w:ascii="黑体" w:hAnsi="黑体" w:eastAsia="黑体" w:cs="黑体"/>
                <w:sz w:val="28"/>
                <w:szCs w:val="28"/>
              </w:rPr>
            </w:pPr>
            <w:bookmarkStart w:id="554" w:name="bookmark244"/>
            <w:bookmarkEnd w:id="554"/>
            <w:bookmarkStart w:id="555" w:name="bookmark547"/>
            <w:bookmarkEnd w:id="555"/>
            <w:r>
              <w:rPr>
                <w:rFonts w:ascii="黑体" w:hAnsi="黑体" w:eastAsia="黑体" w:cs="黑体"/>
                <w:spacing w:val="-2"/>
                <w:sz w:val="28"/>
                <w:szCs w:val="28"/>
              </w:rPr>
              <w:t>序号</w:t>
            </w:r>
          </w:p>
        </w:tc>
        <w:tc>
          <w:tcPr>
            <w:tcW w:w="1440" w:type="dxa"/>
            <w:vAlign w:val="top"/>
          </w:tcPr>
          <w:p w14:paraId="5DF50B08">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AB8474A">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BBFD067">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889ABA8">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580E17C">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A2D72D5">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739831E">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4F76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1" w:hRule="atLeast"/>
        </w:trPr>
        <w:tc>
          <w:tcPr>
            <w:tcW w:w="818" w:type="dxa"/>
            <w:vAlign w:val="top"/>
          </w:tcPr>
          <w:p w14:paraId="1CF917DA">
            <w:pPr>
              <w:rPr>
                <w:rFonts w:ascii="Arial"/>
                <w:sz w:val="21"/>
              </w:rPr>
            </w:pPr>
          </w:p>
        </w:tc>
        <w:tc>
          <w:tcPr>
            <w:tcW w:w="1440" w:type="dxa"/>
            <w:vAlign w:val="top"/>
          </w:tcPr>
          <w:p w14:paraId="6CB7BB82">
            <w:pPr>
              <w:rPr>
                <w:rFonts w:ascii="Arial"/>
                <w:sz w:val="21"/>
              </w:rPr>
            </w:pPr>
          </w:p>
        </w:tc>
        <w:tc>
          <w:tcPr>
            <w:tcW w:w="3202" w:type="dxa"/>
            <w:vAlign w:val="top"/>
          </w:tcPr>
          <w:p w14:paraId="6CDAD996">
            <w:pPr>
              <w:rPr>
                <w:rFonts w:ascii="Arial"/>
                <w:sz w:val="21"/>
              </w:rPr>
            </w:pPr>
          </w:p>
        </w:tc>
        <w:tc>
          <w:tcPr>
            <w:tcW w:w="2859" w:type="dxa"/>
            <w:vAlign w:val="top"/>
          </w:tcPr>
          <w:p w14:paraId="3635B1BE">
            <w:pPr>
              <w:rPr>
                <w:rFonts w:ascii="Arial"/>
                <w:sz w:val="21"/>
              </w:rPr>
            </w:pPr>
          </w:p>
        </w:tc>
        <w:tc>
          <w:tcPr>
            <w:tcW w:w="803" w:type="dxa"/>
            <w:vAlign w:val="top"/>
          </w:tcPr>
          <w:p w14:paraId="0A51FFE2">
            <w:pPr>
              <w:spacing w:line="256" w:lineRule="auto"/>
              <w:rPr>
                <w:rFonts w:ascii="Arial"/>
                <w:sz w:val="21"/>
              </w:rPr>
            </w:pPr>
          </w:p>
          <w:p w14:paraId="23C0BB61">
            <w:pPr>
              <w:spacing w:line="256" w:lineRule="auto"/>
              <w:rPr>
                <w:rFonts w:ascii="Arial"/>
                <w:sz w:val="21"/>
              </w:rPr>
            </w:pPr>
          </w:p>
          <w:p w14:paraId="3D70D5C7">
            <w:pPr>
              <w:spacing w:line="256" w:lineRule="auto"/>
              <w:rPr>
                <w:rFonts w:ascii="Arial"/>
                <w:sz w:val="21"/>
              </w:rPr>
            </w:pPr>
          </w:p>
          <w:p w14:paraId="38A577EB">
            <w:pPr>
              <w:spacing w:line="256" w:lineRule="auto"/>
              <w:rPr>
                <w:rFonts w:ascii="Arial"/>
                <w:sz w:val="21"/>
              </w:rPr>
            </w:pPr>
          </w:p>
          <w:p w14:paraId="1556EDC3">
            <w:pPr>
              <w:spacing w:line="256" w:lineRule="auto"/>
              <w:rPr>
                <w:rFonts w:ascii="Arial"/>
                <w:sz w:val="21"/>
              </w:rPr>
            </w:pPr>
          </w:p>
          <w:p w14:paraId="2A3ED30F">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CE1A037">
            <w:pPr>
              <w:pStyle w:val="6"/>
              <w:spacing w:before="123" w:line="185" w:lineRule="auto"/>
              <w:ind w:left="115" w:right="36" w:firstLine="2"/>
              <w:jc w:val="both"/>
            </w:pPr>
            <w:r>
              <w:rPr>
                <w:spacing w:val="26"/>
              </w:rPr>
              <w:t>未按照规定建立应</w:t>
            </w:r>
            <w:r>
              <w:rPr>
                <w:spacing w:val="-2"/>
              </w:rPr>
              <w:t>急救援组织，未配备应急救援人员，未配</w:t>
            </w:r>
            <w:r>
              <w:rPr>
                <w:spacing w:val="26"/>
              </w:rPr>
              <w:t>备必要的防护装备</w:t>
            </w:r>
            <w:r>
              <w:rPr>
                <w:spacing w:val="-14"/>
                <w:w w:val="98"/>
              </w:rPr>
              <w:t>及器材、设备、物资，</w:t>
            </w:r>
            <w:r>
              <w:rPr>
                <w:spacing w:val="26"/>
              </w:rPr>
              <w:t>未保障防护装备及</w:t>
            </w:r>
            <w:r>
              <w:rPr>
                <w:spacing w:val="-2"/>
              </w:rPr>
              <w:t>器材、设备、物资完</w:t>
            </w:r>
            <w:r>
              <w:rPr>
                <w:spacing w:val="-5"/>
              </w:rPr>
              <w:t>好，有上述</w:t>
            </w:r>
            <w:r>
              <w:rPr>
                <w:rFonts w:ascii="宋体" w:hAnsi="宋体" w:eastAsia="宋体" w:cs="宋体"/>
                <w:spacing w:val="-5"/>
              </w:rPr>
              <w:t>3</w:t>
            </w:r>
            <w:r>
              <w:rPr>
                <w:spacing w:val="-5"/>
              </w:rPr>
              <w:t>种以上</w:t>
            </w:r>
            <w:r>
              <w:rPr>
                <w:spacing w:val="5"/>
              </w:rPr>
              <w:t>情形的</w:t>
            </w:r>
          </w:p>
        </w:tc>
        <w:tc>
          <w:tcPr>
            <w:tcW w:w="2894" w:type="dxa"/>
            <w:vAlign w:val="top"/>
          </w:tcPr>
          <w:p w14:paraId="49F13146">
            <w:pPr>
              <w:spacing w:line="265" w:lineRule="auto"/>
              <w:rPr>
                <w:rFonts w:ascii="Arial"/>
                <w:sz w:val="21"/>
              </w:rPr>
            </w:pPr>
          </w:p>
          <w:p w14:paraId="38382992">
            <w:pPr>
              <w:spacing w:line="265" w:lineRule="auto"/>
              <w:rPr>
                <w:rFonts w:ascii="Arial"/>
                <w:sz w:val="21"/>
              </w:rPr>
            </w:pPr>
          </w:p>
          <w:p w14:paraId="60F3B526">
            <w:pPr>
              <w:spacing w:line="265" w:lineRule="auto"/>
              <w:rPr>
                <w:rFonts w:ascii="Arial"/>
                <w:sz w:val="21"/>
              </w:rPr>
            </w:pPr>
          </w:p>
          <w:p w14:paraId="79744FDD">
            <w:pPr>
              <w:spacing w:line="266" w:lineRule="auto"/>
              <w:rPr>
                <w:rFonts w:ascii="Arial"/>
                <w:sz w:val="21"/>
              </w:rPr>
            </w:pPr>
          </w:p>
          <w:p w14:paraId="41620541">
            <w:pPr>
              <w:pStyle w:val="6"/>
              <w:spacing w:before="99" w:line="196" w:lineRule="auto"/>
              <w:ind w:left="124" w:right="104" w:firstLine="1"/>
            </w:pPr>
            <w:r>
              <w:rPr>
                <w:spacing w:val="3"/>
              </w:rPr>
              <w:t>给予警告，可以并处</w:t>
            </w:r>
            <w:r>
              <w:rPr>
                <w:rFonts w:ascii="宋体" w:hAnsi="宋体" w:eastAsia="宋体" w:cs="宋体"/>
                <w:spacing w:val="3"/>
              </w:rPr>
              <w:t>2</w:t>
            </w:r>
            <w:r>
              <w:rPr>
                <w:spacing w:val="3"/>
              </w:rPr>
              <w:t>万</w:t>
            </w:r>
            <w:r>
              <w:rPr>
                <w:spacing w:val="4"/>
              </w:rPr>
              <w:t>元以上</w:t>
            </w:r>
            <w:r>
              <w:rPr>
                <w:rFonts w:ascii="宋体" w:hAnsi="宋体" w:eastAsia="宋体" w:cs="宋体"/>
                <w:spacing w:val="4"/>
              </w:rPr>
              <w:t>3</w:t>
            </w:r>
            <w:r>
              <w:rPr>
                <w:spacing w:val="4"/>
              </w:rPr>
              <w:t>万元以下的罚款</w:t>
            </w:r>
          </w:p>
        </w:tc>
        <w:tc>
          <w:tcPr>
            <w:tcW w:w="811" w:type="dxa"/>
            <w:vAlign w:val="top"/>
          </w:tcPr>
          <w:p w14:paraId="350A791F">
            <w:pPr>
              <w:rPr>
                <w:rFonts w:ascii="Arial"/>
                <w:sz w:val="21"/>
              </w:rPr>
            </w:pPr>
          </w:p>
        </w:tc>
      </w:tr>
      <w:tr w14:paraId="579DC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1" w:hRule="atLeast"/>
        </w:trPr>
        <w:tc>
          <w:tcPr>
            <w:tcW w:w="818" w:type="dxa"/>
            <w:vMerge w:val="restart"/>
            <w:tcBorders>
              <w:bottom w:val="nil"/>
            </w:tcBorders>
            <w:vAlign w:val="top"/>
          </w:tcPr>
          <w:p w14:paraId="65AA3203">
            <w:pPr>
              <w:spacing w:line="260" w:lineRule="auto"/>
              <w:rPr>
                <w:rFonts w:ascii="Arial"/>
                <w:sz w:val="21"/>
              </w:rPr>
            </w:pPr>
          </w:p>
          <w:p w14:paraId="63F32007">
            <w:pPr>
              <w:spacing w:line="260" w:lineRule="auto"/>
              <w:rPr>
                <w:rFonts w:ascii="Arial"/>
                <w:sz w:val="21"/>
              </w:rPr>
            </w:pPr>
          </w:p>
          <w:p w14:paraId="369C0254">
            <w:pPr>
              <w:spacing w:line="260" w:lineRule="auto"/>
              <w:rPr>
                <w:rFonts w:ascii="Arial"/>
                <w:sz w:val="21"/>
              </w:rPr>
            </w:pPr>
          </w:p>
          <w:p w14:paraId="711F98A2">
            <w:pPr>
              <w:spacing w:line="260" w:lineRule="auto"/>
              <w:rPr>
                <w:rFonts w:ascii="Arial"/>
                <w:sz w:val="21"/>
              </w:rPr>
            </w:pPr>
          </w:p>
          <w:p w14:paraId="7F452008">
            <w:pPr>
              <w:spacing w:line="260" w:lineRule="auto"/>
              <w:rPr>
                <w:rFonts w:ascii="Arial"/>
                <w:sz w:val="21"/>
              </w:rPr>
            </w:pPr>
          </w:p>
          <w:p w14:paraId="1DC63A40">
            <w:pPr>
              <w:spacing w:line="260" w:lineRule="auto"/>
              <w:rPr>
                <w:rFonts w:ascii="Arial"/>
                <w:sz w:val="21"/>
              </w:rPr>
            </w:pPr>
          </w:p>
          <w:p w14:paraId="32A47027">
            <w:pPr>
              <w:spacing w:line="260" w:lineRule="auto"/>
              <w:rPr>
                <w:rFonts w:ascii="Arial"/>
                <w:sz w:val="21"/>
              </w:rPr>
            </w:pPr>
          </w:p>
          <w:p w14:paraId="7E75643A">
            <w:pPr>
              <w:spacing w:line="260" w:lineRule="auto"/>
              <w:rPr>
                <w:rFonts w:ascii="Arial"/>
                <w:sz w:val="21"/>
              </w:rPr>
            </w:pPr>
          </w:p>
          <w:p w14:paraId="587A9197">
            <w:pPr>
              <w:spacing w:line="260" w:lineRule="auto"/>
              <w:rPr>
                <w:rFonts w:ascii="Arial"/>
                <w:sz w:val="21"/>
              </w:rPr>
            </w:pPr>
          </w:p>
          <w:p w14:paraId="2D4C2101">
            <w:pPr>
              <w:spacing w:line="260" w:lineRule="auto"/>
              <w:rPr>
                <w:rFonts w:ascii="Arial"/>
                <w:sz w:val="21"/>
              </w:rPr>
            </w:pPr>
          </w:p>
          <w:p w14:paraId="6B1C3CC1">
            <w:pPr>
              <w:spacing w:line="260" w:lineRule="auto"/>
              <w:rPr>
                <w:rFonts w:ascii="Arial"/>
                <w:sz w:val="21"/>
              </w:rPr>
            </w:pPr>
          </w:p>
          <w:p w14:paraId="285E457E">
            <w:pPr>
              <w:spacing w:before="75" w:line="186" w:lineRule="auto"/>
              <w:ind w:left="161"/>
              <w:rPr>
                <w:rFonts w:ascii="仿宋" w:hAnsi="仿宋" w:eastAsia="仿宋" w:cs="仿宋"/>
                <w:sz w:val="23"/>
                <w:szCs w:val="23"/>
              </w:rPr>
            </w:pPr>
            <w:r>
              <w:rPr>
                <w:rFonts w:ascii="仿宋" w:hAnsi="仿宋" w:eastAsia="仿宋" w:cs="仿宋"/>
                <w:spacing w:val="-5"/>
                <w:sz w:val="23"/>
                <w:szCs w:val="23"/>
              </w:rPr>
              <w:t>119</w:t>
            </w:r>
          </w:p>
        </w:tc>
        <w:tc>
          <w:tcPr>
            <w:tcW w:w="1440" w:type="dxa"/>
            <w:vMerge w:val="restart"/>
            <w:tcBorders>
              <w:bottom w:val="nil"/>
            </w:tcBorders>
            <w:vAlign w:val="top"/>
          </w:tcPr>
          <w:p w14:paraId="5C9A0B52">
            <w:pPr>
              <w:spacing w:line="241" w:lineRule="auto"/>
              <w:rPr>
                <w:rFonts w:ascii="Arial"/>
                <w:sz w:val="21"/>
              </w:rPr>
            </w:pPr>
          </w:p>
          <w:p w14:paraId="53BF0BAD">
            <w:pPr>
              <w:spacing w:line="241" w:lineRule="auto"/>
              <w:rPr>
                <w:rFonts w:ascii="Arial"/>
                <w:sz w:val="21"/>
              </w:rPr>
            </w:pPr>
          </w:p>
          <w:p w14:paraId="3F2E7F9A">
            <w:pPr>
              <w:spacing w:line="242" w:lineRule="auto"/>
              <w:rPr>
                <w:rFonts w:ascii="Arial"/>
                <w:sz w:val="21"/>
              </w:rPr>
            </w:pPr>
          </w:p>
          <w:p w14:paraId="48EADAD4">
            <w:pPr>
              <w:spacing w:line="242" w:lineRule="auto"/>
              <w:rPr>
                <w:rFonts w:ascii="Arial"/>
                <w:sz w:val="21"/>
              </w:rPr>
            </w:pPr>
          </w:p>
          <w:p w14:paraId="11C22835">
            <w:pPr>
              <w:spacing w:line="242" w:lineRule="auto"/>
              <w:rPr>
                <w:rFonts w:ascii="Arial"/>
                <w:sz w:val="21"/>
              </w:rPr>
            </w:pPr>
          </w:p>
          <w:p w14:paraId="64A88964">
            <w:pPr>
              <w:spacing w:line="242" w:lineRule="auto"/>
              <w:rPr>
                <w:rFonts w:ascii="Arial"/>
                <w:sz w:val="21"/>
              </w:rPr>
            </w:pPr>
          </w:p>
          <w:p w14:paraId="196EEFE1">
            <w:pPr>
              <w:pStyle w:val="6"/>
              <w:spacing w:before="99" w:line="185" w:lineRule="auto"/>
              <w:ind w:left="115" w:right="111"/>
              <w:jc w:val="both"/>
            </w:pPr>
            <w:r>
              <w:rPr>
                <w:spacing w:val="11"/>
              </w:rPr>
              <w:t>危险化学品单位未将重大危险源可能引发的事故后果、应急措施等信息告知可能受影响的单位、区域及</w:t>
            </w:r>
            <w:r>
              <w:rPr>
                <w:spacing w:val="5"/>
              </w:rPr>
              <w:t>人员的</w:t>
            </w:r>
          </w:p>
        </w:tc>
        <w:tc>
          <w:tcPr>
            <w:tcW w:w="3202" w:type="dxa"/>
            <w:vMerge w:val="restart"/>
            <w:tcBorders>
              <w:bottom w:val="nil"/>
            </w:tcBorders>
            <w:vAlign w:val="top"/>
          </w:tcPr>
          <w:p w14:paraId="28F5BA83">
            <w:pPr>
              <w:pStyle w:val="6"/>
              <w:spacing w:before="27" w:line="186" w:lineRule="auto"/>
              <w:ind w:left="117" w:right="111" w:hanging="19"/>
              <w:jc w:val="both"/>
            </w:pPr>
            <w:r>
              <w:rPr>
                <w:spacing w:val="18"/>
              </w:rPr>
              <w:t>【部门规章】《危险化学品</w:t>
            </w:r>
            <w:r>
              <w:rPr>
                <w:spacing w:val="17"/>
              </w:rPr>
              <w:t>重大危险源监督管理暂行规</w:t>
            </w:r>
            <w:r>
              <w:rPr>
                <w:spacing w:val="13"/>
              </w:rPr>
              <w:t>定》第十九条：危险化学品</w:t>
            </w:r>
            <w:r>
              <w:rPr>
                <w:spacing w:val="17"/>
              </w:rPr>
              <w:t>单位应当将重大危险源可能发生的事故后果和应急措施</w:t>
            </w:r>
            <w:r>
              <w:rPr>
                <w:spacing w:val="10"/>
              </w:rPr>
              <w:t>等信息，以适当方式告知可</w:t>
            </w:r>
            <w:r>
              <w:rPr>
                <w:spacing w:val="17"/>
              </w:rPr>
              <w:t>能受影响的单位、区域及人</w:t>
            </w:r>
            <w:r>
              <w:rPr>
                <w:spacing w:val="-7"/>
              </w:rPr>
              <w:t>员。</w:t>
            </w:r>
          </w:p>
        </w:tc>
        <w:tc>
          <w:tcPr>
            <w:tcW w:w="2859" w:type="dxa"/>
            <w:vMerge w:val="restart"/>
            <w:tcBorders>
              <w:bottom w:val="nil"/>
            </w:tcBorders>
            <w:vAlign w:val="top"/>
          </w:tcPr>
          <w:p w14:paraId="1FBEE028">
            <w:pPr>
              <w:pStyle w:val="6"/>
              <w:spacing w:before="40" w:line="184" w:lineRule="auto"/>
              <w:ind w:left="113" w:right="106" w:hanging="16"/>
              <w:jc w:val="both"/>
            </w:pPr>
            <w:r>
              <w:rPr>
                <w:spacing w:val="10"/>
              </w:rPr>
              <w:t>【部门规章】《危险化学</w:t>
            </w:r>
            <w:r>
              <w:rPr>
                <w:spacing w:val="8"/>
              </w:rPr>
              <w:t>品重大危险源监督管理暂行规定》第三十四条第五项：危险化学品单位有下列情形之一的，由县级以上人民政府安全生产监督管理部门给予警告，可以</w:t>
            </w:r>
            <w:r>
              <w:rPr>
                <w:spacing w:val="13"/>
              </w:rPr>
              <w:t>并处</w:t>
            </w:r>
            <w:r>
              <w:rPr>
                <w:rFonts w:ascii="宋体" w:hAnsi="宋体" w:eastAsia="宋体" w:cs="宋体"/>
                <w:spacing w:val="13"/>
              </w:rPr>
              <w:t>5000</w:t>
            </w:r>
            <w:r>
              <w:rPr>
                <w:spacing w:val="13"/>
              </w:rPr>
              <w:t>元以上</w:t>
            </w:r>
            <w:r>
              <w:rPr>
                <w:rFonts w:ascii="宋体" w:hAnsi="宋体" w:eastAsia="宋体" w:cs="宋体"/>
                <w:spacing w:val="13"/>
              </w:rPr>
              <w:t>3</w:t>
            </w:r>
            <w:r>
              <w:rPr>
                <w:spacing w:val="13"/>
              </w:rPr>
              <w:t>万元以</w:t>
            </w:r>
            <w:r>
              <w:rPr>
                <w:spacing w:val="9"/>
              </w:rPr>
              <w:t>下的罚款</w:t>
            </w:r>
            <w:r>
              <w:rPr>
                <w:spacing w:val="8"/>
              </w:rPr>
              <w:t>：（</w:t>
            </w:r>
            <w:r>
              <w:rPr>
                <w:spacing w:val="9"/>
              </w:rPr>
              <w:t>五）未将重</w:t>
            </w:r>
            <w:r>
              <w:rPr>
                <w:spacing w:val="8"/>
              </w:rPr>
              <w:t>大危险源可能引发的事故后果、应急措施等信息告知可能受影响的单位、区</w:t>
            </w:r>
            <w:r>
              <w:t>域及人员的；</w:t>
            </w:r>
          </w:p>
        </w:tc>
        <w:tc>
          <w:tcPr>
            <w:tcW w:w="803" w:type="dxa"/>
            <w:vAlign w:val="top"/>
          </w:tcPr>
          <w:p w14:paraId="6ADA0E1C">
            <w:pPr>
              <w:spacing w:line="281" w:lineRule="auto"/>
              <w:rPr>
                <w:rFonts w:ascii="Arial"/>
                <w:sz w:val="21"/>
              </w:rPr>
            </w:pPr>
          </w:p>
          <w:p w14:paraId="4E4E37AF">
            <w:pPr>
              <w:spacing w:line="281" w:lineRule="auto"/>
              <w:rPr>
                <w:rFonts w:ascii="Arial"/>
                <w:sz w:val="21"/>
              </w:rPr>
            </w:pPr>
          </w:p>
          <w:p w14:paraId="7411D811">
            <w:pPr>
              <w:spacing w:line="281" w:lineRule="auto"/>
              <w:rPr>
                <w:rFonts w:ascii="Arial"/>
                <w:sz w:val="21"/>
              </w:rPr>
            </w:pPr>
          </w:p>
          <w:p w14:paraId="237E71AE">
            <w:pPr>
              <w:spacing w:line="282" w:lineRule="auto"/>
              <w:rPr>
                <w:rFonts w:ascii="Arial"/>
                <w:sz w:val="21"/>
              </w:rPr>
            </w:pPr>
          </w:p>
          <w:p w14:paraId="7B6A53B4">
            <w:pPr>
              <w:spacing w:line="282" w:lineRule="auto"/>
              <w:rPr>
                <w:rFonts w:ascii="Arial"/>
                <w:sz w:val="21"/>
              </w:rPr>
            </w:pPr>
          </w:p>
          <w:p w14:paraId="2F97BFAF">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3D245DA">
            <w:pPr>
              <w:spacing w:line="296" w:lineRule="auto"/>
              <w:rPr>
                <w:rFonts w:ascii="Arial"/>
                <w:sz w:val="21"/>
              </w:rPr>
            </w:pPr>
          </w:p>
          <w:p w14:paraId="786E52A9">
            <w:pPr>
              <w:spacing w:line="297" w:lineRule="auto"/>
              <w:rPr>
                <w:rFonts w:ascii="Arial"/>
                <w:sz w:val="21"/>
              </w:rPr>
            </w:pPr>
          </w:p>
          <w:p w14:paraId="112196B5">
            <w:pPr>
              <w:pStyle w:val="6"/>
              <w:spacing w:before="99" w:line="187" w:lineRule="auto"/>
              <w:ind w:left="115" w:right="109" w:firstLine="17"/>
              <w:jc w:val="both"/>
            </w:pPr>
            <w:r>
              <w:rPr>
                <w:spacing w:val="24"/>
              </w:rPr>
              <w:t>涉及四级重大危险</w:t>
            </w:r>
            <w:r>
              <w:rPr>
                <w:spacing w:val="-2"/>
              </w:rPr>
              <w:t>源的，未将可能引发的事故后果、应急措</w:t>
            </w:r>
            <w:r>
              <w:rPr>
                <w:spacing w:val="26"/>
              </w:rPr>
              <w:t>施等信息告知可能</w:t>
            </w:r>
            <w:r>
              <w:rPr>
                <w:spacing w:val="-2"/>
              </w:rPr>
              <w:t>受影响的单位、区域</w:t>
            </w:r>
            <w:r>
              <w:rPr>
                <w:spacing w:val="6"/>
              </w:rPr>
              <w:t>及人员的</w:t>
            </w:r>
          </w:p>
        </w:tc>
        <w:tc>
          <w:tcPr>
            <w:tcW w:w="2894" w:type="dxa"/>
            <w:vAlign w:val="top"/>
          </w:tcPr>
          <w:p w14:paraId="46364DAE">
            <w:pPr>
              <w:spacing w:line="297" w:lineRule="auto"/>
              <w:rPr>
                <w:rFonts w:ascii="Arial"/>
                <w:sz w:val="21"/>
              </w:rPr>
            </w:pPr>
          </w:p>
          <w:p w14:paraId="1DDDF7D1">
            <w:pPr>
              <w:spacing w:line="298" w:lineRule="auto"/>
              <w:rPr>
                <w:rFonts w:ascii="Arial"/>
                <w:sz w:val="21"/>
              </w:rPr>
            </w:pPr>
          </w:p>
          <w:p w14:paraId="53095845">
            <w:pPr>
              <w:spacing w:line="298" w:lineRule="auto"/>
              <w:rPr>
                <w:rFonts w:ascii="Arial"/>
                <w:sz w:val="21"/>
              </w:rPr>
            </w:pPr>
          </w:p>
          <w:p w14:paraId="044AC1C2">
            <w:pPr>
              <w:spacing w:line="298" w:lineRule="auto"/>
              <w:rPr>
                <w:rFonts w:ascii="Arial"/>
                <w:sz w:val="21"/>
              </w:rPr>
            </w:pPr>
          </w:p>
          <w:p w14:paraId="6CD7EE8B">
            <w:pPr>
              <w:pStyle w:val="6"/>
              <w:spacing w:before="99" w:line="196" w:lineRule="auto"/>
              <w:ind w:left="124" w:right="105" w:firstLine="1"/>
            </w:pPr>
            <w:r>
              <w:rPr>
                <w:spacing w:val="2"/>
              </w:rPr>
              <w:t>给予警告，可以并处</w:t>
            </w:r>
            <w:r>
              <w:rPr>
                <w:rFonts w:ascii="宋体" w:hAnsi="宋体" w:eastAsia="宋体" w:cs="宋体"/>
                <w:spacing w:val="2"/>
              </w:rPr>
              <w:t>5000</w:t>
            </w:r>
            <w:r>
              <w:rPr>
                <w:spacing w:val="2"/>
              </w:rPr>
              <w:t>元以上</w:t>
            </w:r>
            <w:r>
              <w:rPr>
                <w:rFonts w:ascii="宋体" w:hAnsi="宋体" w:eastAsia="宋体" w:cs="宋体"/>
                <w:spacing w:val="2"/>
              </w:rPr>
              <w:t>1</w:t>
            </w:r>
            <w:r>
              <w:rPr>
                <w:spacing w:val="2"/>
              </w:rPr>
              <w:t>万元以下的罚款</w:t>
            </w:r>
          </w:p>
        </w:tc>
        <w:tc>
          <w:tcPr>
            <w:tcW w:w="811" w:type="dxa"/>
            <w:vMerge w:val="restart"/>
            <w:tcBorders>
              <w:bottom w:val="nil"/>
            </w:tcBorders>
            <w:vAlign w:val="top"/>
          </w:tcPr>
          <w:p w14:paraId="0D234708">
            <w:pPr>
              <w:rPr>
                <w:rFonts w:ascii="Arial"/>
                <w:sz w:val="21"/>
              </w:rPr>
            </w:pPr>
          </w:p>
        </w:tc>
      </w:tr>
      <w:tr w14:paraId="709F5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1" w:hRule="atLeast"/>
        </w:trPr>
        <w:tc>
          <w:tcPr>
            <w:tcW w:w="818" w:type="dxa"/>
            <w:vMerge w:val="continue"/>
            <w:tcBorders>
              <w:top w:val="nil"/>
            </w:tcBorders>
            <w:vAlign w:val="top"/>
          </w:tcPr>
          <w:p w14:paraId="27A29DC9">
            <w:pPr>
              <w:rPr>
                <w:rFonts w:ascii="Arial"/>
                <w:sz w:val="21"/>
              </w:rPr>
            </w:pPr>
          </w:p>
        </w:tc>
        <w:tc>
          <w:tcPr>
            <w:tcW w:w="1440" w:type="dxa"/>
            <w:vMerge w:val="continue"/>
            <w:tcBorders>
              <w:top w:val="nil"/>
            </w:tcBorders>
            <w:vAlign w:val="top"/>
          </w:tcPr>
          <w:p w14:paraId="4E2C0FEF">
            <w:pPr>
              <w:rPr>
                <w:rFonts w:ascii="Arial"/>
                <w:sz w:val="21"/>
              </w:rPr>
            </w:pPr>
          </w:p>
        </w:tc>
        <w:tc>
          <w:tcPr>
            <w:tcW w:w="3202" w:type="dxa"/>
            <w:vMerge w:val="continue"/>
            <w:tcBorders>
              <w:top w:val="nil"/>
            </w:tcBorders>
            <w:vAlign w:val="top"/>
          </w:tcPr>
          <w:p w14:paraId="7B537ECB">
            <w:pPr>
              <w:rPr>
                <w:rFonts w:ascii="Arial"/>
                <w:sz w:val="21"/>
              </w:rPr>
            </w:pPr>
          </w:p>
        </w:tc>
        <w:tc>
          <w:tcPr>
            <w:tcW w:w="2859" w:type="dxa"/>
            <w:vMerge w:val="continue"/>
            <w:tcBorders>
              <w:top w:val="nil"/>
            </w:tcBorders>
            <w:vAlign w:val="top"/>
          </w:tcPr>
          <w:p w14:paraId="2C1586B9">
            <w:pPr>
              <w:rPr>
                <w:rFonts w:ascii="Arial"/>
                <w:sz w:val="21"/>
              </w:rPr>
            </w:pPr>
          </w:p>
        </w:tc>
        <w:tc>
          <w:tcPr>
            <w:tcW w:w="803" w:type="dxa"/>
            <w:vAlign w:val="top"/>
          </w:tcPr>
          <w:p w14:paraId="09F91D5D">
            <w:pPr>
              <w:spacing w:line="259" w:lineRule="auto"/>
              <w:rPr>
                <w:rFonts w:ascii="Arial"/>
                <w:sz w:val="21"/>
              </w:rPr>
            </w:pPr>
          </w:p>
          <w:p w14:paraId="74CF09D9">
            <w:pPr>
              <w:spacing w:line="259" w:lineRule="auto"/>
              <w:rPr>
                <w:rFonts w:ascii="Arial"/>
                <w:sz w:val="21"/>
              </w:rPr>
            </w:pPr>
          </w:p>
          <w:p w14:paraId="554B07B4">
            <w:pPr>
              <w:spacing w:line="259" w:lineRule="auto"/>
              <w:rPr>
                <w:rFonts w:ascii="Arial"/>
                <w:sz w:val="21"/>
              </w:rPr>
            </w:pPr>
          </w:p>
          <w:p w14:paraId="09D55E06">
            <w:pPr>
              <w:spacing w:line="260" w:lineRule="auto"/>
              <w:rPr>
                <w:rFonts w:ascii="Arial"/>
                <w:sz w:val="21"/>
              </w:rPr>
            </w:pPr>
          </w:p>
          <w:p w14:paraId="5B35E367">
            <w:pPr>
              <w:spacing w:line="260" w:lineRule="auto"/>
              <w:rPr>
                <w:rFonts w:ascii="Arial"/>
                <w:sz w:val="21"/>
              </w:rPr>
            </w:pPr>
          </w:p>
          <w:p w14:paraId="37B81A32">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5DD5D1F5">
            <w:pPr>
              <w:spacing w:line="479" w:lineRule="auto"/>
              <w:rPr>
                <w:rFonts w:ascii="Arial"/>
                <w:sz w:val="21"/>
              </w:rPr>
            </w:pPr>
          </w:p>
          <w:p w14:paraId="2EBEA873">
            <w:pPr>
              <w:pStyle w:val="6"/>
              <w:spacing w:before="99" w:line="187" w:lineRule="auto"/>
              <w:ind w:left="115" w:right="109" w:firstLine="17"/>
              <w:jc w:val="both"/>
            </w:pPr>
            <w:r>
              <w:rPr>
                <w:spacing w:val="24"/>
              </w:rPr>
              <w:t>涉及三级重大危险</w:t>
            </w:r>
            <w:r>
              <w:rPr>
                <w:spacing w:val="-2"/>
              </w:rPr>
              <w:t>源的，未将可能引发的事故后果、应急措</w:t>
            </w:r>
            <w:r>
              <w:rPr>
                <w:spacing w:val="26"/>
              </w:rPr>
              <w:t>施等信息告知可能</w:t>
            </w:r>
            <w:r>
              <w:rPr>
                <w:spacing w:val="-2"/>
              </w:rPr>
              <w:t>受影响的单位、区域</w:t>
            </w:r>
            <w:r>
              <w:rPr>
                <w:spacing w:val="6"/>
              </w:rPr>
              <w:t>及人员的</w:t>
            </w:r>
          </w:p>
        </w:tc>
        <w:tc>
          <w:tcPr>
            <w:tcW w:w="2894" w:type="dxa"/>
            <w:vAlign w:val="top"/>
          </w:tcPr>
          <w:p w14:paraId="2251ED1D">
            <w:pPr>
              <w:spacing w:line="310" w:lineRule="auto"/>
              <w:rPr>
                <w:rFonts w:ascii="Arial"/>
                <w:sz w:val="21"/>
              </w:rPr>
            </w:pPr>
          </w:p>
          <w:p w14:paraId="5DD21BED">
            <w:pPr>
              <w:spacing w:line="311" w:lineRule="auto"/>
              <w:rPr>
                <w:rFonts w:ascii="Arial"/>
                <w:sz w:val="21"/>
              </w:rPr>
            </w:pPr>
          </w:p>
          <w:p w14:paraId="58D7AF5D">
            <w:pPr>
              <w:spacing w:line="311" w:lineRule="auto"/>
              <w:rPr>
                <w:rFonts w:ascii="Arial"/>
                <w:sz w:val="21"/>
              </w:rPr>
            </w:pPr>
          </w:p>
          <w:p w14:paraId="61D35C94">
            <w:pPr>
              <w:pStyle w:val="6"/>
              <w:spacing w:before="99" w:line="191" w:lineRule="auto"/>
              <w:ind w:left="122" w:right="104" w:firstLine="3"/>
              <w:jc w:val="both"/>
            </w:pPr>
            <w:r>
              <w:rPr>
                <w:spacing w:val="1"/>
              </w:rPr>
              <w:t>给予警告，可以并处</w:t>
            </w:r>
            <w:r>
              <w:rPr>
                <w:rFonts w:ascii="宋体" w:hAnsi="宋体" w:eastAsia="宋体" w:cs="宋体"/>
                <w:spacing w:val="1"/>
              </w:rPr>
              <w:t>1</w:t>
            </w:r>
            <w:r>
              <w:rPr>
                <w:spacing w:val="1"/>
              </w:rPr>
              <w:t>万</w:t>
            </w:r>
            <w:r>
              <w:rPr>
                <w:spacing w:val="4"/>
              </w:rPr>
              <w:t>元以上</w:t>
            </w:r>
            <w:r>
              <w:rPr>
                <w:rFonts w:ascii="宋体" w:hAnsi="宋体" w:eastAsia="宋体" w:cs="宋体"/>
                <w:spacing w:val="4"/>
              </w:rPr>
              <w:t>1.5</w:t>
            </w:r>
            <w:r>
              <w:rPr>
                <w:spacing w:val="4"/>
              </w:rPr>
              <w:t>万元以下的罚</w:t>
            </w:r>
            <w:r>
              <w:t>款</w:t>
            </w:r>
          </w:p>
        </w:tc>
        <w:tc>
          <w:tcPr>
            <w:tcW w:w="811" w:type="dxa"/>
            <w:vMerge w:val="continue"/>
            <w:tcBorders>
              <w:top w:val="nil"/>
            </w:tcBorders>
            <w:vAlign w:val="top"/>
          </w:tcPr>
          <w:p w14:paraId="0B077F9B">
            <w:pPr>
              <w:rPr>
                <w:rFonts w:ascii="Arial"/>
                <w:sz w:val="21"/>
              </w:rPr>
            </w:pPr>
          </w:p>
        </w:tc>
      </w:tr>
    </w:tbl>
    <w:p w14:paraId="4F6350CC">
      <w:pPr>
        <w:pStyle w:val="2"/>
      </w:pPr>
    </w:p>
    <w:p w14:paraId="7A0BBCD4">
      <w:pPr>
        <w:sectPr>
          <w:footerReference r:id="rId144" w:type="default"/>
          <w:pgSz w:w="16839" w:h="11906"/>
          <w:pgMar w:top="1012" w:right="821" w:bottom="667" w:left="901" w:header="0" w:footer="388" w:gutter="0"/>
          <w:cols w:space="720" w:num="1"/>
        </w:sectPr>
      </w:pPr>
    </w:p>
    <w:p w14:paraId="41CDB4EC">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6D395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2513D03">
            <w:pPr>
              <w:spacing w:before="222" w:line="241" w:lineRule="auto"/>
              <w:ind w:left="131"/>
              <w:outlineLvl w:val="0"/>
              <w:rPr>
                <w:rFonts w:ascii="黑体" w:hAnsi="黑体" w:eastAsia="黑体" w:cs="黑体"/>
                <w:sz w:val="28"/>
                <w:szCs w:val="28"/>
              </w:rPr>
            </w:pPr>
            <w:bookmarkStart w:id="556" w:name="bookmark548"/>
            <w:bookmarkEnd w:id="556"/>
            <w:bookmarkStart w:id="557" w:name="bookmark246"/>
            <w:bookmarkEnd w:id="557"/>
            <w:r>
              <w:rPr>
                <w:rFonts w:ascii="黑体" w:hAnsi="黑体" w:eastAsia="黑体" w:cs="黑体"/>
                <w:spacing w:val="-2"/>
                <w:sz w:val="28"/>
                <w:szCs w:val="28"/>
              </w:rPr>
              <w:t>序号</w:t>
            </w:r>
          </w:p>
        </w:tc>
        <w:tc>
          <w:tcPr>
            <w:tcW w:w="1440" w:type="dxa"/>
            <w:vAlign w:val="top"/>
          </w:tcPr>
          <w:p w14:paraId="2A7212B1">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CD42E06">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E32F9C0">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F4E5234">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FB1E9CA">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BB55782">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657658D">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1E23F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8" w:hRule="atLeast"/>
        </w:trPr>
        <w:tc>
          <w:tcPr>
            <w:tcW w:w="818" w:type="dxa"/>
            <w:vMerge w:val="restart"/>
            <w:tcBorders>
              <w:bottom w:val="nil"/>
            </w:tcBorders>
            <w:vAlign w:val="top"/>
          </w:tcPr>
          <w:p w14:paraId="6C0626E6">
            <w:pPr>
              <w:rPr>
                <w:rFonts w:ascii="Arial"/>
                <w:sz w:val="21"/>
              </w:rPr>
            </w:pPr>
          </w:p>
        </w:tc>
        <w:tc>
          <w:tcPr>
            <w:tcW w:w="1440" w:type="dxa"/>
            <w:vMerge w:val="restart"/>
            <w:tcBorders>
              <w:bottom w:val="nil"/>
            </w:tcBorders>
            <w:vAlign w:val="top"/>
          </w:tcPr>
          <w:p w14:paraId="6EA6C368">
            <w:pPr>
              <w:rPr>
                <w:rFonts w:ascii="Arial"/>
                <w:sz w:val="21"/>
              </w:rPr>
            </w:pPr>
          </w:p>
        </w:tc>
        <w:tc>
          <w:tcPr>
            <w:tcW w:w="3202" w:type="dxa"/>
            <w:vMerge w:val="restart"/>
            <w:tcBorders>
              <w:bottom w:val="nil"/>
            </w:tcBorders>
            <w:vAlign w:val="top"/>
          </w:tcPr>
          <w:p w14:paraId="722A02F1">
            <w:pPr>
              <w:rPr>
                <w:rFonts w:ascii="Arial"/>
                <w:sz w:val="21"/>
              </w:rPr>
            </w:pPr>
          </w:p>
        </w:tc>
        <w:tc>
          <w:tcPr>
            <w:tcW w:w="2859" w:type="dxa"/>
            <w:vMerge w:val="restart"/>
            <w:tcBorders>
              <w:bottom w:val="nil"/>
            </w:tcBorders>
            <w:vAlign w:val="top"/>
          </w:tcPr>
          <w:p w14:paraId="4DA3C37C">
            <w:pPr>
              <w:rPr>
                <w:rFonts w:ascii="Arial"/>
                <w:sz w:val="21"/>
              </w:rPr>
            </w:pPr>
          </w:p>
        </w:tc>
        <w:tc>
          <w:tcPr>
            <w:tcW w:w="803" w:type="dxa"/>
            <w:vAlign w:val="top"/>
          </w:tcPr>
          <w:p w14:paraId="6DBE9006">
            <w:pPr>
              <w:spacing w:line="286" w:lineRule="auto"/>
              <w:rPr>
                <w:rFonts w:ascii="Arial"/>
                <w:sz w:val="21"/>
              </w:rPr>
            </w:pPr>
          </w:p>
          <w:p w14:paraId="30FA95FE">
            <w:pPr>
              <w:spacing w:line="287" w:lineRule="auto"/>
              <w:rPr>
                <w:rFonts w:ascii="Arial"/>
                <w:sz w:val="21"/>
              </w:rPr>
            </w:pPr>
          </w:p>
          <w:p w14:paraId="66802D44">
            <w:pPr>
              <w:spacing w:line="287" w:lineRule="auto"/>
              <w:rPr>
                <w:rFonts w:ascii="Arial"/>
                <w:sz w:val="21"/>
              </w:rPr>
            </w:pPr>
          </w:p>
          <w:p w14:paraId="7DB6DBC3">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38C9FF8">
            <w:pPr>
              <w:pStyle w:val="6"/>
              <w:spacing w:before="142" w:line="187" w:lineRule="auto"/>
              <w:ind w:left="115" w:right="109" w:firstLine="17"/>
              <w:jc w:val="both"/>
            </w:pPr>
            <w:r>
              <w:rPr>
                <w:spacing w:val="24"/>
              </w:rPr>
              <w:t>涉及二级重大危险</w:t>
            </w:r>
            <w:r>
              <w:rPr>
                <w:spacing w:val="-2"/>
              </w:rPr>
              <w:t>源的，未将可能引发的事故后果、应急措</w:t>
            </w:r>
            <w:r>
              <w:rPr>
                <w:spacing w:val="26"/>
              </w:rPr>
              <w:t>施等信息告知可能</w:t>
            </w:r>
            <w:r>
              <w:rPr>
                <w:spacing w:val="-2"/>
              </w:rPr>
              <w:t>受影响的单位、区域</w:t>
            </w:r>
            <w:r>
              <w:rPr>
                <w:spacing w:val="6"/>
              </w:rPr>
              <w:t>及人员的</w:t>
            </w:r>
          </w:p>
        </w:tc>
        <w:tc>
          <w:tcPr>
            <w:tcW w:w="2894" w:type="dxa"/>
            <w:vAlign w:val="top"/>
          </w:tcPr>
          <w:p w14:paraId="0305A1C5">
            <w:pPr>
              <w:spacing w:line="248" w:lineRule="auto"/>
              <w:rPr>
                <w:rFonts w:ascii="Arial"/>
                <w:sz w:val="21"/>
              </w:rPr>
            </w:pPr>
          </w:p>
          <w:p w14:paraId="6F06FDDB">
            <w:pPr>
              <w:spacing w:line="249" w:lineRule="auto"/>
              <w:rPr>
                <w:rFonts w:ascii="Arial"/>
                <w:sz w:val="21"/>
              </w:rPr>
            </w:pPr>
          </w:p>
          <w:p w14:paraId="46ED5914">
            <w:pPr>
              <w:pStyle w:val="6"/>
              <w:spacing w:before="98" w:line="191" w:lineRule="auto"/>
              <w:ind w:left="122" w:right="105" w:firstLine="3"/>
              <w:jc w:val="both"/>
            </w:pPr>
            <w:r>
              <w:rPr>
                <w:spacing w:val="7"/>
              </w:rPr>
              <w:t>给予警告，可以并处</w:t>
            </w:r>
            <w:r>
              <w:rPr>
                <w:rFonts w:ascii="宋体" w:hAnsi="宋体" w:eastAsia="宋体" w:cs="宋体"/>
                <w:spacing w:val="7"/>
              </w:rPr>
              <w:t>1.5</w:t>
            </w:r>
            <w:r>
              <w:rPr>
                <w:spacing w:val="7"/>
              </w:rPr>
              <w:t>万元以上</w:t>
            </w:r>
            <w:r>
              <w:rPr>
                <w:rFonts w:ascii="宋体" w:hAnsi="宋体" w:eastAsia="宋体" w:cs="宋体"/>
                <w:spacing w:val="7"/>
              </w:rPr>
              <w:t>2</w:t>
            </w:r>
            <w:r>
              <w:rPr>
                <w:spacing w:val="7"/>
              </w:rPr>
              <w:t>万元以下的罚</w:t>
            </w:r>
            <w:r>
              <w:t>款</w:t>
            </w:r>
          </w:p>
        </w:tc>
        <w:tc>
          <w:tcPr>
            <w:tcW w:w="811" w:type="dxa"/>
            <w:vMerge w:val="restart"/>
            <w:tcBorders>
              <w:bottom w:val="nil"/>
            </w:tcBorders>
            <w:vAlign w:val="top"/>
          </w:tcPr>
          <w:p w14:paraId="4BC0F5DA">
            <w:pPr>
              <w:rPr>
                <w:rFonts w:ascii="Arial"/>
                <w:sz w:val="21"/>
              </w:rPr>
            </w:pPr>
          </w:p>
        </w:tc>
      </w:tr>
      <w:tr w14:paraId="5121B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6" w:hRule="atLeast"/>
        </w:trPr>
        <w:tc>
          <w:tcPr>
            <w:tcW w:w="818" w:type="dxa"/>
            <w:vMerge w:val="continue"/>
            <w:tcBorders>
              <w:top w:val="nil"/>
            </w:tcBorders>
            <w:vAlign w:val="top"/>
          </w:tcPr>
          <w:p w14:paraId="2B689F7B">
            <w:pPr>
              <w:rPr>
                <w:rFonts w:ascii="Arial"/>
                <w:sz w:val="21"/>
              </w:rPr>
            </w:pPr>
          </w:p>
        </w:tc>
        <w:tc>
          <w:tcPr>
            <w:tcW w:w="1440" w:type="dxa"/>
            <w:vMerge w:val="continue"/>
            <w:tcBorders>
              <w:top w:val="nil"/>
            </w:tcBorders>
            <w:vAlign w:val="top"/>
          </w:tcPr>
          <w:p w14:paraId="1AE27C40">
            <w:pPr>
              <w:rPr>
                <w:rFonts w:ascii="Arial"/>
                <w:sz w:val="21"/>
              </w:rPr>
            </w:pPr>
          </w:p>
        </w:tc>
        <w:tc>
          <w:tcPr>
            <w:tcW w:w="3202" w:type="dxa"/>
            <w:vMerge w:val="continue"/>
            <w:tcBorders>
              <w:top w:val="nil"/>
            </w:tcBorders>
            <w:vAlign w:val="top"/>
          </w:tcPr>
          <w:p w14:paraId="53B01765">
            <w:pPr>
              <w:rPr>
                <w:rFonts w:ascii="Arial"/>
                <w:sz w:val="21"/>
              </w:rPr>
            </w:pPr>
          </w:p>
        </w:tc>
        <w:tc>
          <w:tcPr>
            <w:tcW w:w="2859" w:type="dxa"/>
            <w:vMerge w:val="continue"/>
            <w:tcBorders>
              <w:top w:val="nil"/>
            </w:tcBorders>
            <w:vAlign w:val="top"/>
          </w:tcPr>
          <w:p w14:paraId="65A5CC02">
            <w:pPr>
              <w:rPr>
                <w:rFonts w:ascii="Arial"/>
                <w:sz w:val="21"/>
              </w:rPr>
            </w:pPr>
          </w:p>
        </w:tc>
        <w:tc>
          <w:tcPr>
            <w:tcW w:w="803" w:type="dxa"/>
            <w:vAlign w:val="top"/>
          </w:tcPr>
          <w:p w14:paraId="2CFB81CF">
            <w:pPr>
              <w:spacing w:line="294" w:lineRule="auto"/>
              <w:rPr>
                <w:rFonts w:ascii="Arial"/>
                <w:sz w:val="21"/>
              </w:rPr>
            </w:pPr>
          </w:p>
          <w:p w14:paraId="74312E05">
            <w:pPr>
              <w:spacing w:line="294" w:lineRule="auto"/>
              <w:rPr>
                <w:rFonts w:ascii="Arial"/>
                <w:sz w:val="21"/>
              </w:rPr>
            </w:pPr>
          </w:p>
          <w:p w14:paraId="0ADF326D">
            <w:pPr>
              <w:spacing w:line="294" w:lineRule="auto"/>
              <w:rPr>
                <w:rFonts w:ascii="Arial"/>
                <w:sz w:val="21"/>
              </w:rPr>
            </w:pPr>
          </w:p>
          <w:p w14:paraId="5ADD83E5">
            <w:pPr>
              <w:spacing w:before="75" w:line="187" w:lineRule="auto"/>
              <w:ind w:left="343"/>
              <w:rPr>
                <w:rFonts w:ascii="宋体" w:hAnsi="宋体" w:eastAsia="宋体" w:cs="宋体"/>
                <w:sz w:val="23"/>
                <w:szCs w:val="23"/>
              </w:rPr>
            </w:pPr>
            <w:r>
              <w:rPr>
                <w:rFonts w:ascii="宋体" w:hAnsi="宋体" w:eastAsia="宋体" w:cs="宋体"/>
                <w:sz w:val="23"/>
                <w:szCs w:val="23"/>
              </w:rPr>
              <w:t>D</w:t>
            </w:r>
          </w:p>
        </w:tc>
        <w:tc>
          <w:tcPr>
            <w:tcW w:w="2283" w:type="dxa"/>
            <w:vAlign w:val="top"/>
          </w:tcPr>
          <w:p w14:paraId="7412DE7F">
            <w:pPr>
              <w:pStyle w:val="6"/>
              <w:spacing w:before="163" w:line="187" w:lineRule="auto"/>
              <w:ind w:left="115" w:right="109" w:firstLine="17"/>
              <w:jc w:val="both"/>
            </w:pPr>
            <w:r>
              <w:rPr>
                <w:spacing w:val="24"/>
              </w:rPr>
              <w:t>涉及一级重大危险</w:t>
            </w:r>
            <w:r>
              <w:rPr>
                <w:spacing w:val="-2"/>
              </w:rPr>
              <w:t>源的，未将可能引发的事故后果、应急措</w:t>
            </w:r>
            <w:r>
              <w:rPr>
                <w:spacing w:val="26"/>
              </w:rPr>
              <w:t>施等信息告知可能</w:t>
            </w:r>
            <w:r>
              <w:rPr>
                <w:spacing w:val="-2"/>
              </w:rPr>
              <w:t>受影响的单位、区域</w:t>
            </w:r>
            <w:r>
              <w:rPr>
                <w:spacing w:val="6"/>
              </w:rPr>
              <w:t>及人员的</w:t>
            </w:r>
          </w:p>
        </w:tc>
        <w:tc>
          <w:tcPr>
            <w:tcW w:w="2894" w:type="dxa"/>
            <w:vAlign w:val="top"/>
          </w:tcPr>
          <w:p w14:paraId="42A5BF91">
            <w:pPr>
              <w:spacing w:line="331" w:lineRule="auto"/>
              <w:rPr>
                <w:rFonts w:ascii="Arial"/>
                <w:sz w:val="21"/>
              </w:rPr>
            </w:pPr>
          </w:p>
          <w:p w14:paraId="50B39280">
            <w:pPr>
              <w:spacing w:line="331" w:lineRule="auto"/>
              <w:rPr>
                <w:rFonts w:ascii="Arial"/>
                <w:sz w:val="21"/>
              </w:rPr>
            </w:pPr>
          </w:p>
          <w:p w14:paraId="3662CEA3">
            <w:pPr>
              <w:pStyle w:val="6"/>
              <w:spacing w:before="99" w:line="196" w:lineRule="auto"/>
              <w:ind w:left="124" w:right="104" w:firstLine="1"/>
            </w:pPr>
            <w:r>
              <w:rPr>
                <w:spacing w:val="3"/>
              </w:rPr>
              <w:t>给予警告，可以并处</w:t>
            </w:r>
            <w:r>
              <w:rPr>
                <w:rFonts w:ascii="宋体" w:hAnsi="宋体" w:eastAsia="宋体" w:cs="宋体"/>
                <w:spacing w:val="3"/>
              </w:rPr>
              <w:t>2</w:t>
            </w:r>
            <w:r>
              <w:rPr>
                <w:spacing w:val="3"/>
              </w:rPr>
              <w:t>万</w:t>
            </w:r>
            <w:r>
              <w:rPr>
                <w:spacing w:val="4"/>
              </w:rPr>
              <w:t>元以上</w:t>
            </w:r>
            <w:r>
              <w:rPr>
                <w:rFonts w:ascii="宋体" w:hAnsi="宋体" w:eastAsia="宋体" w:cs="宋体"/>
                <w:spacing w:val="4"/>
              </w:rPr>
              <w:t>3</w:t>
            </w:r>
            <w:r>
              <w:rPr>
                <w:spacing w:val="4"/>
              </w:rPr>
              <w:t>万元以下的罚款</w:t>
            </w:r>
          </w:p>
        </w:tc>
        <w:tc>
          <w:tcPr>
            <w:tcW w:w="811" w:type="dxa"/>
            <w:vMerge w:val="continue"/>
            <w:tcBorders>
              <w:top w:val="nil"/>
            </w:tcBorders>
            <w:vAlign w:val="top"/>
          </w:tcPr>
          <w:p w14:paraId="11853D1D">
            <w:pPr>
              <w:rPr>
                <w:rFonts w:ascii="Arial"/>
                <w:sz w:val="21"/>
              </w:rPr>
            </w:pPr>
          </w:p>
        </w:tc>
      </w:tr>
      <w:tr w14:paraId="3B855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4" w:hRule="atLeast"/>
        </w:trPr>
        <w:tc>
          <w:tcPr>
            <w:tcW w:w="818" w:type="dxa"/>
            <w:vAlign w:val="top"/>
          </w:tcPr>
          <w:p w14:paraId="308D288D">
            <w:pPr>
              <w:spacing w:line="265" w:lineRule="auto"/>
              <w:rPr>
                <w:rFonts w:ascii="Arial"/>
                <w:sz w:val="21"/>
              </w:rPr>
            </w:pPr>
          </w:p>
          <w:p w14:paraId="412731CE">
            <w:pPr>
              <w:spacing w:line="265" w:lineRule="auto"/>
              <w:rPr>
                <w:rFonts w:ascii="Arial"/>
                <w:sz w:val="21"/>
              </w:rPr>
            </w:pPr>
          </w:p>
          <w:p w14:paraId="1E3852EC">
            <w:pPr>
              <w:spacing w:line="265" w:lineRule="auto"/>
              <w:rPr>
                <w:rFonts w:ascii="Arial"/>
                <w:sz w:val="21"/>
              </w:rPr>
            </w:pPr>
          </w:p>
          <w:p w14:paraId="320EA2EA">
            <w:pPr>
              <w:spacing w:line="265" w:lineRule="auto"/>
              <w:rPr>
                <w:rFonts w:ascii="Arial"/>
                <w:sz w:val="21"/>
              </w:rPr>
            </w:pPr>
          </w:p>
          <w:p w14:paraId="27600E62">
            <w:pPr>
              <w:spacing w:line="265" w:lineRule="auto"/>
              <w:rPr>
                <w:rFonts w:ascii="Arial"/>
                <w:sz w:val="21"/>
              </w:rPr>
            </w:pPr>
          </w:p>
          <w:p w14:paraId="59C802EA">
            <w:pPr>
              <w:spacing w:line="266" w:lineRule="auto"/>
              <w:rPr>
                <w:rFonts w:ascii="Arial"/>
                <w:sz w:val="21"/>
              </w:rPr>
            </w:pPr>
          </w:p>
          <w:p w14:paraId="4BED7F08">
            <w:pPr>
              <w:spacing w:line="266" w:lineRule="auto"/>
              <w:rPr>
                <w:rFonts w:ascii="Arial"/>
                <w:sz w:val="21"/>
              </w:rPr>
            </w:pPr>
          </w:p>
          <w:p w14:paraId="01AAC585">
            <w:pPr>
              <w:spacing w:line="266" w:lineRule="auto"/>
              <w:rPr>
                <w:rFonts w:ascii="Arial"/>
                <w:sz w:val="21"/>
              </w:rPr>
            </w:pPr>
          </w:p>
          <w:p w14:paraId="79763A75">
            <w:pPr>
              <w:spacing w:before="75" w:line="186" w:lineRule="auto"/>
              <w:ind w:left="161"/>
              <w:rPr>
                <w:rFonts w:ascii="仿宋" w:hAnsi="仿宋" w:eastAsia="仿宋" w:cs="仿宋"/>
                <w:sz w:val="23"/>
                <w:szCs w:val="23"/>
              </w:rPr>
            </w:pPr>
            <w:r>
              <w:rPr>
                <w:rFonts w:ascii="仿宋" w:hAnsi="仿宋" w:eastAsia="仿宋" w:cs="仿宋"/>
                <w:spacing w:val="-5"/>
                <w:sz w:val="23"/>
                <w:szCs w:val="23"/>
              </w:rPr>
              <w:t>120</w:t>
            </w:r>
          </w:p>
        </w:tc>
        <w:tc>
          <w:tcPr>
            <w:tcW w:w="1440" w:type="dxa"/>
            <w:vAlign w:val="top"/>
          </w:tcPr>
          <w:p w14:paraId="1A7AE677">
            <w:pPr>
              <w:spacing w:line="289" w:lineRule="auto"/>
              <w:rPr>
                <w:rFonts w:ascii="Arial"/>
                <w:sz w:val="21"/>
              </w:rPr>
            </w:pPr>
          </w:p>
          <w:p w14:paraId="59BE59E8">
            <w:pPr>
              <w:spacing w:line="289" w:lineRule="auto"/>
              <w:rPr>
                <w:rFonts w:ascii="Arial"/>
                <w:sz w:val="21"/>
              </w:rPr>
            </w:pPr>
          </w:p>
          <w:p w14:paraId="15DEE185">
            <w:pPr>
              <w:spacing w:line="289" w:lineRule="auto"/>
              <w:rPr>
                <w:rFonts w:ascii="Arial"/>
                <w:sz w:val="21"/>
              </w:rPr>
            </w:pPr>
          </w:p>
          <w:p w14:paraId="0C244B45">
            <w:pPr>
              <w:pStyle w:val="6"/>
              <w:spacing w:before="99" w:line="185" w:lineRule="auto"/>
              <w:ind w:left="110" w:right="17" w:firstLine="18"/>
              <w:jc w:val="both"/>
            </w:pPr>
            <w:r>
              <w:rPr>
                <w:spacing w:val="-12"/>
                <w:w w:val="98"/>
              </w:rPr>
              <w:t>生产、储存、</w:t>
            </w:r>
            <w:r>
              <w:rPr>
                <w:spacing w:val="12"/>
              </w:rPr>
              <w:t>使用危险化</w:t>
            </w:r>
            <w:r>
              <w:rPr>
                <w:spacing w:val="-11"/>
              </w:rPr>
              <w:t>学品的单</w:t>
            </w:r>
            <w:r>
              <w:rPr>
                <w:spacing w:val="5"/>
              </w:rPr>
              <w:t>位，危险化</w:t>
            </w:r>
            <w:r>
              <w:rPr>
                <w:spacing w:val="12"/>
              </w:rPr>
              <w:t>学品的储存方式、方法或者储存数量不符合规</w:t>
            </w:r>
            <w:r>
              <w:rPr>
                <w:spacing w:val="5"/>
              </w:rPr>
              <w:t>定的</w:t>
            </w:r>
          </w:p>
        </w:tc>
        <w:tc>
          <w:tcPr>
            <w:tcW w:w="3202" w:type="dxa"/>
            <w:vAlign w:val="top"/>
          </w:tcPr>
          <w:p w14:paraId="0E7EA514">
            <w:pPr>
              <w:pStyle w:val="6"/>
              <w:spacing w:before="36" w:line="182" w:lineRule="auto"/>
              <w:ind w:left="117" w:right="111" w:firstLine="13"/>
              <w:jc w:val="both"/>
            </w:pPr>
            <w:r>
              <w:rPr>
                <w:rFonts w:ascii="宋体" w:hAnsi="宋体" w:eastAsia="宋体" w:cs="宋体"/>
                <w:spacing w:val="14"/>
              </w:rPr>
              <w:t>1.</w:t>
            </w:r>
            <w:r>
              <w:rPr>
                <w:spacing w:val="14"/>
              </w:rPr>
              <w:t>【行政法规】《危险化学</w:t>
            </w:r>
            <w:r>
              <w:rPr>
                <w:spacing w:val="17"/>
              </w:rPr>
              <w:t>品安全管理条例》第二十四</w:t>
            </w:r>
            <w:r>
              <w:rPr>
                <w:spacing w:val="13"/>
              </w:rPr>
              <w:t>条第二款：危险化学品的储</w:t>
            </w:r>
            <w:r>
              <w:rPr>
                <w:spacing w:val="17"/>
              </w:rPr>
              <w:t>存方式、方法以及储存数量应当符合国家标准或者国家</w:t>
            </w:r>
            <w:r>
              <w:t>有关规定。</w:t>
            </w:r>
          </w:p>
          <w:p w14:paraId="211084CE">
            <w:pPr>
              <w:pStyle w:val="6"/>
              <w:spacing w:before="9" w:line="184" w:lineRule="auto"/>
              <w:ind w:left="116" w:right="99"/>
              <w:jc w:val="both"/>
            </w:pPr>
            <w:r>
              <w:rPr>
                <w:rFonts w:ascii="宋体" w:hAnsi="宋体" w:eastAsia="宋体" w:cs="宋体"/>
                <w:spacing w:val="15"/>
              </w:rPr>
              <w:t>2.</w:t>
            </w:r>
            <w:r>
              <w:rPr>
                <w:spacing w:val="15"/>
              </w:rPr>
              <w:t>【部门规章】《危险化学</w:t>
            </w:r>
            <w:r>
              <w:rPr>
                <w:spacing w:val="17"/>
              </w:rPr>
              <w:t>品经营许可证管理办法》第</w:t>
            </w:r>
            <w:r>
              <w:rPr>
                <w:spacing w:val="13"/>
              </w:rPr>
              <w:t>六条第一款第一项：从事危</w:t>
            </w:r>
            <w:r>
              <w:rPr>
                <w:spacing w:val="17"/>
              </w:rPr>
              <w:t>险化学品经营的单位（以下</w:t>
            </w:r>
            <w:r>
              <w:rPr>
                <w:spacing w:val="13"/>
              </w:rPr>
              <w:t>统称申请人）应当依法登记注册为企业，并具备下列</w:t>
            </w:r>
            <w:r>
              <w:fldChar w:fldCharType="begin"/>
            </w:r>
            <w:r>
              <w:instrText xml:space="preserve"> HYPERLINK "https://baike.baidu.com/item/%E5%9F%BA%E6%9C%AC%E6%9D%A1%E4%BB%B6/10788106?fromModule=lemma_inlink" </w:instrText>
            </w:r>
            <w:r>
              <w:fldChar w:fldCharType="separate"/>
            </w:r>
            <w:r>
              <w:rPr>
                <w:spacing w:val="13"/>
              </w:rPr>
              <w:t>基</w:t>
            </w:r>
            <w:r>
              <w:rPr>
                <w:spacing w:val="13"/>
              </w:rPr>
              <w:fldChar w:fldCharType="end"/>
            </w:r>
            <w:r>
              <w:rPr>
                <w:spacing w:val="5"/>
              </w:rPr>
              <w:t>本条件</w:t>
            </w:r>
            <w:r>
              <w:rPr>
                <w:spacing w:val="-11"/>
              </w:rPr>
              <w:t>：（</w:t>
            </w:r>
            <w:r>
              <w:rPr>
                <w:spacing w:val="5"/>
              </w:rPr>
              <w:t>一）经营和储存</w:t>
            </w:r>
            <w:r>
              <w:rPr>
                <w:spacing w:val="-5"/>
              </w:rPr>
              <w:t>场所、设施、建筑物符合《</w:t>
            </w:r>
            <w:r>
              <w:fldChar w:fldCharType="begin"/>
            </w:r>
            <w:r>
              <w:instrText xml:space="preserve"> HYPERLINK "https://baike.baidu.com/item/%E5%BB%BA%E7%AD%91%E8%AE%BE%E8%AE%A1%E9%98%B2%E7%81%AB%E8%A7%84%E8%8C%83/5016517?fromModule=lemma_inlink" </w:instrText>
            </w:r>
            <w:r>
              <w:fldChar w:fldCharType="separate"/>
            </w:r>
            <w:r>
              <w:rPr>
                <w:spacing w:val="-5"/>
              </w:rPr>
              <w:t>建</w:t>
            </w:r>
            <w:r>
              <w:rPr>
                <w:spacing w:val="-5"/>
              </w:rPr>
              <w:fldChar w:fldCharType="end"/>
            </w:r>
            <w:r>
              <w:rPr>
                <w:spacing w:val="-8"/>
                <w:w w:val="97"/>
              </w:rPr>
              <w:t>筑设计防火规范》</w:t>
            </w:r>
          </w:p>
        </w:tc>
        <w:tc>
          <w:tcPr>
            <w:tcW w:w="2859" w:type="dxa"/>
            <w:vAlign w:val="top"/>
          </w:tcPr>
          <w:p w14:paraId="64C9181F">
            <w:pPr>
              <w:pStyle w:val="6"/>
              <w:spacing w:before="25" w:line="184" w:lineRule="auto"/>
              <w:ind w:left="115" w:right="19" w:firstLine="15"/>
            </w:pPr>
            <w:r>
              <w:rPr>
                <w:rFonts w:ascii="宋体" w:hAnsi="宋体" w:eastAsia="宋体" w:cs="宋体"/>
                <w:spacing w:val="6"/>
              </w:rPr>
              <w:t>1.</w:t>
            </w:r>
            <w:r>
              <w:rPr>
                <w:spacing w:val="6"/>
              </w:rPr>
              <w:t>【行政法规】《危险化</w:t>
            </w:r>
            <w:r>
              <w:rPr>
                <w:spacing w:val="8"/>
              </w:rPr>
              <w:t>学品安全管理条例》第八</w:t>
            </w:r>
            <w:r>
              <w:rPr>
                <w:spacing w:val="-4"/>
              </w:rPr>
              <w:t>十条第一款第五项：生产、</w:t>
            </w:r>
            <w:r>
              <w:rPr>
                <w:spacing w:val="8"/>
              </w:rPr>
              <w:t>储存、使用危险化学品的</w:t>
            </w:r>
            <w:r>
              <w:rPr>
                <w:spacing w:val="7"/>
              </w:rPr>
              <w:t>单位有下列情形之一的，</w:t>
            </w:r>
            <w:r>
              <w:rPr>
                <w:spacing w:val="8"/>
              </w:rPr>
              <w:t>由安全生产监督管理部门</w:t>
            </w:r>
            <w:r>
              <w:rPr>
                <w:spacing w:val="4"/>
              </w:rPr>
              <w:t>责令改正，处</w:t>
            </w:r>
            <w:r>
              <w:rPr>
                <w:rFonts w:ascii="宋体" w:hAnsi="宋体" w:eastAsia="宋体" w:cs="宋体"/>
                <w:spacing w:val="4"/>
              </w:rPr>
              <w:t>5</w:t>
            </w:r>
            <w:r>
              <w:rPr>
                <w:spacing w:val="4"/>
              </w:rPr>
              <w:t>万元以上</w:t>
            </w:r>
            <w:r>
              <w:rPr>
                <w:rFonts w:ascii="宋体" w:hAnsi="宋体" w:eastAsia="宋体" w:cs="宋体"/>
              </w:rPr>
              <w:t>10</w:t>
            </w:r>
            <w:r>
              <w:t>万元以下的罚款；拒不</w:t>
            </w:r>
            <w:r>
              <w:rPr>
                <w:spacing w:val="4"/>
              </w:rPr>
              <w:t>改正的，责令停产停业整</w:t>
            </w:r>
            <w:r>
              <w:rPr>
                <w:spacing w:val="8"/>
              </w:rPr>
              <w:t>顿直至由原发证机关吊销其相关许可证件，并由工商行政管理部门责令其办理经营范围变更登记或者吊销其营业执照；有关责任人员构成犯罪的，依法</w:t>
            </w:r>
          </w:p>
        </w:tc>
        <w:tc>
          <w:tcPr>
            <w:tcW w:w="803" w:type="dxa"/>
            <w:vAlign w:val="top"/>
          </w:tcPr>
          <w:p w14:paraId="29F93DAD">
            <w:pPr>
              <w:spacing w:line="264" w:lineRule="auto"/>
              <w:rPr>
                <w:rFonts w:ascii="Arial"/>
                <w:sz w:val="21"/>
              </w:rPr>
            </w:pPr>
          </w:p>
          <w:p w14:paraId="7D913D05">
            <w:pPr>
              <w:spacing w:line="264" w:lineRule="auto"/>
              <w:rPr>
                <w:rFonts w:ascii="Arial"/>
                <w:sz w:val="21"/>
              </w:rPr>
            </w:pPr>
          </w:p>
          <w:p w14:paraId="29B4D417">
            <w:pPr>
              <w:spacing w:line="265" w:lineRule="auto"/>
              <w:rPr>
                <w:rFonts w:ascii="Arial"/>
                <w:sz w:val="21"/>
              </w:rPr>
            </w:pPr>
          </w:p>
          <w:p w14:paraId="3EF3C39F">
            <w:pPr>
              <w:spacing w:line="265" w:lineRule="auto"/>
              <w:rPr>
                <w:rFonts w:ascii="Arial"/>
                <w:sz w:val="21"/>
              </w:rPr>
            </w:pPr>
          </w:p>
          <w:p w14:paraId="79E147DC">
            <w:pPr>
              <w:spacing w:line="265" w:lineRule="auto"/>
              <w:rPr>
                <w:rFonts w:ascii="Arial"/>
                <w:sz w:val="21"/>
              </w:rPr>
            </w:pPr>
          </w:p>
          <w:p w14:paraId="07D5A266">
            <w:pPr>
              <w:spacing w:line="265" w:lineRule="auto"/>
              <w:rPr>
                <w:rFonts w:ascii="Arial"/>
                <w:sz w:val="21"/>
              </w:rPr>
            </w:pPr>
          </w:p>
          <w:p w14:paraId="0DDB58B3">
            <w:pPr>
              <w:spacing w:line="265" w:lineRule="auto"/>
              <w:rPr>
                <w:rFonts w:ascii="Arial"/>
                <w:sz w:val="21"/>
              </w:rPr>
            </w:pPr>
          </w:p>
          <w:p w14:paraId="0CAF3087">
            <w:pPr>
              <w:spacing w:line="265" w:lineRule="auto"/>
              <w:rPr>
                <w:rFonts w:ascii="Arial"/>
                <w:sz w:val="21"/>
              </w:rPr>
            </w:pPr>
          </w:p>
          <w:p w14:paraId="0597E735">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ACF05B7">
            <w:pPr>
              <w:spacing w:line="242" w:lineRule="auto"/>
              <w:rPr>
                <w:rFonts w:ascii="Arial"/>
                <w:sz w:val="21"/>
              </w:rPr>
            </w:pPr>
          </w:p>
          <w:p w14:paraId="0B11A2B7">
            <w:pPr>
              <w:spacing w:line="242" w:lineRule="auto"/>
              <w:rPr>
                <w:rFonts w:ascii="Arial"/>
                <w:sz w:val="21"/>
              </w:rPr>
            </w:pPr>
          </w:p>
          <w:p w14:paraId="19EFB904">
            <w:pPr>
              <w:spacing w:line="242" w:lineRule="auto"/>
              <w:rPr>
                <w:rFonts w:ascii="Arial"/>
                <w:sz w:val="21"/>
              </w:rPr>
            </w:pPr>
          </w:p>
          <w:p w14:paraId="2FB208EF">
            <w:pPr>
              <w:spacing w:line="243" w:lineRule="auto"/>
              <w:rPr>
                <w:rFonts w:ascii="Arial"/>
                <w:sz w:val="21"/>
              </w:rPr>
            </w:pPr>
          </w:p>
          <w:p w14:paraId="71929537">
            <w:pPr>
              <w:spacing w:line="243" w:lineRule="auto"/>
              <w:rPr>
                <w:rFonts w:ascii="Arial"/>
                <w:sz w:val="21"/>
              </w:rPr>
            </w:pPr>
          </w:p>
          <w:p w14:paraId="3AA5809E">
            <w:pPr>
              <w:spacing w:line="243" w:lineRule="auto"/>
              <w:rPr>
                <w:rFonts w:ascii="Arial"/>
                <w:sz w:val="21"/>
              </w:rPr>
            </w:pPr>
          </w:p>
          <w:p w14:paraId="1A70153B">
            <w:pPr>
              <w:pStyle w:val="6"/>
              <w:spacing w:before="99" w:line="188" w:lineRule="auto"/>
              <w:ind w:left="118" w:right="109" w:firstLine="12"/>
              <w:jc w:val="both"/>
            </w:pPr>
            <w:r>
              <w:rPr>
                <w:spacing w:val="24"/>
              </w:rPr>
              <w:t>一般危险化学品仓</w:t>
            </w:r>
            <w:r>
              <w:rPr>
                <w:spacing w:val="-3"/>
              </w:rPr>
              <w:t>库的储存方式、方法</w:t>
            </w:r>
            <w:r>
              <w:rPr>
                <w:spacing w:val="26"/>
              </w:rPr>
              <w:t>或者储存数量不符合国家标准或者国</w:t>
            </w:r>
            <w:r>
              <w:rPr>
                <w:spacing w:val="7"/>
              </w:rPr>
              <w:t>家有关规定的</w:t>
            </w:r>
          </w:p>
        </w:tc>
        <w:tc>
          <w:tcPr>
            <w:tcW w:w="2894" w:type="dxa"/>
            <w:vAlign w:val="top"/>
          </w:tcPr>
          <w:p w14:paraId="7D6EFBD6">
            <w:pPr>
              <w:spacing w:line="242" w:lineRule="auto"/>
              <w:rPr>
                <w:rFonts w:ascii="Arial"/>
                <w:sz w:val="21"/>
              </w:rPr>
            </w:pPr>
          </w:p>
          <w:p w14:paraId="7171718D">
            <w:pPr>
              <w:spacing w:line="242" w:lineRule="auto"/>
              <w:rPr>
                <w:rFonts w:ascii="Arial"/>
                <w:sz w:val="21"/>
              </w:rPr>
            </w:pPr>
          </w:p>
          <w:p w14:paraId="0E4F6ECF">
            <w:pPr>
              <w:spacing w:line="242" w:lineRule="auto"/>
              <w:rPr>
                <w:rFonts w:ascii="Arial"/>
                <w:sz w:val="21"/>
              </w:rPr>
            </w:pPr>
          </w:p>
          <w:p w14:paraId="1D3909D0">
            <w:pPr>
              <w:spacing w:line="243" w:lineRule="auto"/>
              <w:rPr>
                <w:rFonts w:ascii="Arial"/>
                <w:sz w:val="21"/>
              </w:rPr>
            </w:pPr>
          </w:p>
          <w:p w14:paraId="063EE052">
            <w:pPr>
              <w:spacing w:line="243" w:lineRule="auto"/>
              <w:rPr>
                <w:rFonts w:ascii="Arial"/>
                <w:sz w:val="21"/>
              </w:rPr>
            </w:pPr>
          </w:p>
          <w:p w14:paraId="135EBC07">
            <w:pPr>
              <w:spacing w:line="243" w:lineRule="auto"/>
              <w:rPr>
                <w:rFonts w:ascii="Arial"/>
                <w:sz w:val="21"/>
              </w:rPr>
            </w:pPr>
          </w:p>
          <w:p w14:paraId="64F63514">
            <w:pPr>
              <w:pStyle w:val="6"/>
              <w:spacing w:before="99" w:line="188" w:lineRule="auto"/>
              <w:ind w:left="117" w:right="109" w:firstLine="10"/>
              <w:jc w:val="both"/>
            </w:pPr>
            <w:r>
              <w:rPr>
                <w:spacing w:val="4"/>
              </w:rPr>
              <w:t>责令改正，处</w:t>
            </w:r>
            <w:r>
              <w:rPr>
                <w:rFonts w:ascii="宋体" w:hAnsi="宋体" w:eastAsia="宋体" w:cs="宋体"/>
                <w:spacing w:val="4"/>
              </w:rPr>
              <w:t>5</w:t>
            </w:r>
            <w:r>
              <w:rPr>
                <w:spacing w:val="4"/>
              </w:rPr>
              <w:t>万元以上</w:t>
            </w:r>
            <w:r>
              <w:rPr>
                <w:rFonts w:ascii="宋体" w:hAnsi="宋体" w:eastAsia="宋体" w:cs="宋体"/>
                <w:spacing w:val="9"/>
              </w:rPr>
              <w:t>7</w:t>
            </w:r>
            <w:r>
              <w:rPr>
                <w:spacing w:val="9"/>
              </w:rPr>
              <w:t>万元以下的罚款；拒不</w:t>
            </w:r>
            <w:r>
              <w:rPr>
                <w:spacing w:val="8"/>
              </w:rPr>
              <w:t>改正的，责令停产停业整</w:t>
            </w:r>
            <w:r>
              <w:rPr>
                <w:spacing w:val="11"/>
              </w:rPr>
              <w:t>顿直至由原发证机关吊销</w:t>
            </w:r>
            <w:r>
              <w:rPr>
                <w:spacing w:val="7"/>
              </w:rPr>
              <w:t>其相关许可证件</w:t>
            </w:r>
          </w:p>
        </w:tc>
        <w:tc>
          <w:tcPr>
            <w:tcW w:w="811" w:type="dxa"/>
            <w:vAlign w:val="top"/>
          </w:tcPr>
          <w:p w14:paraId="3FC8222F">
            <w:pPr>
              <w:spacing w:line="265" w:lineRule="auto"/>
              <w:rPr>
                <w:rFonts w:ascii="Arial"/>
                <w:sz w:val="21"/>
              </w:rPr>
            </w:pPr>
          </w:p>
          <w:p w14:paraId="0F4FBDED">
            <w:pPr>
              <w:spacing w:line="265" w:lineRule="auto"/>
              <w:rPr>
                <w:rFonts w:ascii="Arial"/>
                <w:sz w:val="21"/>
              </w:rPr>
            </w:pPr>
          </w:p>
          <w:p w14:paraId="182E4B11">
            <w:pPr>
              <w:spacing w:line="265" w:lineRule="auto"/>
              <w:rPr>
                <w:rFonts w:ascii="Arial"/>
                <w:sz w:val="21"/>
              </w:rPr>
            </w:pPr>
          </w:p>
          <w:p w14:paraId="23395090">
            <w:pPr>
              <w:spacing w:line="265" w:lineRule="auto"/>
              <w:rPr>
                <w:rFonts w:ascii="Arial"/>
                <w:sz w:val="21"/>
              </w:rPr>
            </w:pPr>
          </w:p>
          <w:p w14:paraId="4008F996">
            <w:pPr>
              <w:spacing w:line="265" w:lineRule="auto"/>
              <w:rPr>
                <w:rFonts w:ascii="Arial"/>
                <w:sz w:val="21"/>
              </w:rPr>
            </w:pPr>
          </w:p>
          <w:p w14:paraId="6F54F79B">
            <w:pPr>
              <w:spacing w:line="265" w:lineRule="auto"/>
              <w:rPr>
                <w:rFonts w:ascii="Arial"/>
                <w:sz w:val="21"/>
              </w:rPr>
            </w:pPr>
          </w:p>
          <w:p w14:paraId="0E6D0C77">
            <w:pPr>
              <w:spacing w:line="265" w:lineRule="auto"/>
              <w:rPr>
                <w:rFonts w:ascii="Arial"/>
                <w:sz w:val="21"/>
              </w:rPr>
            </w:pPr>
          </w:p>
          <w:p w14:paraId="76C432B9">
            <w:pPr>
              <w:spacing w:line="266" w:lineRule="auto"/>
              <w:rPr>
                <w:rFonts w:ascii="Arial"/>
                <w:sz w:val="21"/>
              </w:rPr>
            </w:pPr>
          </w:p>
          <w:p w14:paraId="7BCDDE6D">
            <w:pPr>
              <w:spacing w:before="75" w:line="188" w:lineRule="auto"/>
              <w:ind w:left="292"/>
              <w:rPr>
                <w:rFonts w:ascii="宋体" w:hAnsi="宋体" w:eastAsia="宋体" w:cs="宋体"/>
                <w:sz w:val="23"/>
                <w:szCs w:val="23"/>
              </w:rPr>
            </w:pPr>
            <w:r>
              <w:rPr>
                <w:rFonts w:ascii="宋体" w:hAnsi="宋体" w:eastAsia="宋体" w:cs="宋体"/>
                <w:spacing w:val="-2"/>
                <w:sz w:val="23"/>
                <w:szCs w:val="23"/>
              </w:rPr>
              <w:t>88</w:t>
            </w:r>
          </w:p>
        </w:tc>
      </w:tr>
    </w:tbl>
    <w:p w14:paraId="0EA7FDB7">
      <w:pPr>
        <w:pStyle w:val="2"/>
      </w:pPr>
    </w:p>
    <w:p w14:paraId="7ADDFDD9">
      <w:pPr>
        <w:sectPr>
          <w:footerReference r:id="rId145" w:type="default"/>
          <w:pgSz w:w="16839" w:h="11906"/>
          <w:pgMar w:top="1012" w:right="821" w:bottom="667" w:left="901" w:header="0" w:footer="388" w:gutter="0"/>
          <w:cols w:space="720" w:num="1"/>
        </w:sectPr>
      </w:pPr>
    </w:p>
    <w:p w14:paraId="1ACC2C17">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11E8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1B05B9C">
            <w:pPr>
              <w:spacing w:before="222" w:line="241" w:lineRule="auto"/>
              <w:ind w:left="131"/>
              <w:rPr>
                <w:rFonts w:ascii="黑体" w:hAnsi="黑体" w:eastAsia="黑体" w:cs="黑体"/>
                <w:sz w:val="28"/>
                <w:szCs w:val="28"/>
              </w:rPr>
            </w:pPr>
            <w:bookmarkStart w:id="558" w:name="bookmark549"/>
            <w:bookmarkEnd w:id="558"/>
            <w:r>
              <w:rPr>
                <w:rFonts w:ascii="黑体" w:hAnsi="黑体" w:eastAsia="黑体" w:cs="黑体"/>
                <w:spacing w:val="-2"/>
                <w:sz w:val="28"/>
                <w:szCs w:val="28"/>
              </w:rPr>
              <w:t>序号</w:t>
            </w:r>
          </w:p>
        </w:tc>
        <w:tc>
          <w:tcPr>
            <w:tcW w:w="1440" w:type="dxa"/>
            <w:vAlign w:val="top"/>
          </w:tcPr>
          <w:p w14:paraId="2325CA8A">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E0FEA43">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2111AA7">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AF710BA">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73336BF">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2E3A299">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BD06861">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1018A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0" w:hRule="atLeast"/>
        </w:trPr>
        <w:tc>
          <w:tcPr>
            <w:tcW w:w="818" w:type="dxa"/>
            <w:vMerge w:val="restart"/>
            <w:tcBorders>
              <w:bottom w:val="nil"/>
            </w:tcBorders>
            <w:vAlign w:val="top"/>
          </w:tcPr>
          <w:p w14:paraId="2050C743">
            <w:pPr>
              <w:rPr>
                <w:rFonts w:ascii="Arial"/>
                <w:sz w:val="21"/>
              </w:rPr>
            </w:pPr>
          </w:p>
        </w:tc>
        <w:tc>
          <w:tcPr>
            <w:tcW w:w="1440" w:type="dxa"/>
            <w:vMerge w:val="restart"/>
            <w:tcBorders>
              <w:bottom w:val="nil"/>
            </w:tcBorders>
            <w:vAlign w:val="top"/>
          </w:tcPr>
          <w:p w14:paraId="2138021A">
            <w:pPr>
              <w:rPr>
                <w:rFonts w:ascii="Arial"/>
                <w:sz w:val="21"/>
              </w:rPr>
            </w:pPr>
          </w:p>
        </w:tc>
        <w:tc>
          <w:tcPr>
            <w:tcW w:w="3202" w:type="dxa"/>
            <w:vMerge w:val="restart"/>
            <w:tcBorders>
              <w:bottom w:val="nil"/>
            </w:tcBorders>
            <w:vAlign w:val="top"/>
          </w:tcPr>
          <w:p w14:paraId="77794201">
            <w:pPr>
              <w:pStyle w:val="6"/>
              <w:spacing w:before="3" w:line="182" w:lineRule="auto"/>
              <w:ind w:left="98" w:right="97"/>
              <w:jc w:val="both"/>
            </w:pPr>
            <w:r>
              <w:rPr>
                <w:spacing w:val="-2"/>
              </w:rPr>
              <w:t>（</w:t>
            </w:r>
            <w:r>
              <w:rPr>
                <w:rFonts w:ascii="宋体" w:hAnsi="宋体" w:eastAsia="宋体" w:cs="宋体"/>
                <w:spacing w:val="-2"/>
              </w:rPr>
              <w:t>GB50016</w:t>
            </w:r>
            <w:r>
              <w:rPr>
                <w:spacing w:val="-2"/>
              </w:rPr>
              <w:t>）、《</w:t>
            </w:r>
            <w:r>
              <w:fldChar w:fldCharType="begin"/>
            </w:r>
            <w:r>
              <w:instrText xml:space="preserve"> HYPERLINK "https://baike.baidu.com/item/%E7%9F%B3%E6%B2%B9%E5%8C%96%E5%B7%A5%E4%BC%81%E4%B8%9A%E8%AE%BE%E8%AE%A1%E9%98%B2%E7%81%AB%E8%A7%84%E8%8C%83/7425871?fromModule=lemma_inlink" </w:instrText>
            </w:r>
            <w:r>
              <w:fldChar w:fldCharType="separate"/>
            </w:r>
            <w:r>
              <w:rPr>
                <w:spacing w:val="-2"/>
              </w:rPr>
              <w:t>石油化工企</w:t>
            </w:r>
            <w:r>
              <w:rPr>
                <w:spacing w:val="-2"/>
              </w:rPr>
              <w:fldChar w:fldCharType="end"/>
            </w:r>
            <w:r>
              <w:rPr>
                <w:spacing w:val="-8"/>
                <w:w w:val="99"/>
              </w:rPr>
              <w:t>业设计防火规范》</w:t>
            </w:r>
            <w:r>
              <w:rPr>
                <w:spacing w:val="-1"/>
              </w:rPr>
              <w:t>（</w:t>
            </w:r>
            <w:r>
              <w:rPr>
                <w:rFonts w:ascii="宋体" w:hAnsi="宋体" w:eastAsia="宋体" w:cs="宋体"/>
                <w:spacing w:val="-1"/>
              </w:rPr>
              <w:t>GB50160</w:t>
            </w:r>
            <w:r>
              <w:rPr>
                <w:spacing w:val="-1"/>
              </w:rPr>
              <w:t>）、《汽车加油加</w:t>
            </w:r>
            <w:r>
              <w:rPr>
                <w:spacing w:val="-8"/>
              </w:rPr>
              <w:t>气站设计与施工规范》</w:t>
            </w:r>
          </w:p>
          <w:p w14:paraId="6F1C2A41">
            <w:pPr>
              <w:pStyle w:val="6"/>
              <w:spacing w:line="182" w:lineRule="auto"/>
              <w:ind w:left="98"/>
              <w:outlineLvl w:val="0"/>
            </w:pPr>
            <w:r>
              <w:rPr>
                <w:spacing w:val="-2"/>
              </w:rPr>
              <w:t>（</w:t>
            </w:r>
            <w:r>
              <w:rPr>
                <w:rFonts w:ascii="宋体" w:hAnsi="宋体" w:eastAsia="宋体" w:cs="宋体"/>
                <w:spacing w:val="-2"/>
              </w:rPr>
              <w:t>GB50156</w:t>
            </w:r>
            <w:r>
              <w:rPr>
                <w:spacing w:val="-2"/>
              </w:rPr>
              <w:t>）、《</w:t>
            </w:r>
            <w:r>
              <w:fldChar w:fldCharType="begin"/>
            </w:r>
            <w:r>
              <w:instrText xml:space="preserve"> HYPERLINK "https://baike.baidu.com/item/%E7%9F%B3%E6%B2%B9%E5%BA%93%E8%AE%BE%E8%AE%A1%E8%A7%84%E8%8C%83/2120933?fromModule=lemma_inlink" </w:instrText>
            </w:r>
            <w:r>
              <w:fldChar w:fldCharType="separate"/>
            </w:r>
            <w:r>
              <w:rPr>
                <w:spacing w:val="-2"/>
              </w:rPr>
              <w:t>石油库设计</w:t>
            </w:r>
            <w:r>
              <w:rPr>
                <w:spacing w:val="-2"/>
              </w:rPr>
              <w:fldChar w:fldCharType="end"/>
            </w:r>
          </w:p>
          <w:p w14:paraId="6746FCBD">
            <w:pPr>
              <w:pStyle w:val="6"/>
              <w:spacing w:before="2" w:line="204" w:lineRule="auto"/>
              <w:ind w:left="126" w:right="106" w:hanging="4"/>
            </w:pPr>
            <w:r>
              <w:rPr>
                <w:spacing w:val="-2"/>
              </w:rPr>
              <w:t>规范》（</w:t>
            </w:r>
            <w:r>
              <w:rPr>
                <w:rFonts w:ascii="宋体" w:hAnsi="宋体" w:eastAsia="宋体" w:cs="宋体"/>
                <w:spacing w:val="-2"/>
              </w:rPr>
              <w:t>GB50074</w:t>
            </w:r>
            <w:r>
              <w:rPr>
                <w:spacing w:val="-2"/>
              </w:rPr>
              <w:t>）等相关</w:t>
            </w:r>
            <w:r>
              <w:fldChar w:fldCharType="begin"/>
            </w:r>
            <w:r>
              <w:instrText xml:space="preserve"> HYPERLINK "https://baike.baidu.com/item/%E5%9B%BD%E5%AE%B6%E6%A0%87%E5%87%86/596584?fromModule=lemma_inlink" </w:instrText>
            </w:r>
            <w:r>
              <w:fldChar w:fldCharType="separate"/>
            </w:r>
            <w:r>
              <w:rPr>
                <w:spacing w:val="-2"/>
              </w:rPr>
              <w:t>国</w:t>
            </w:r>
            <w:r>
              <w:rPr>
                <w:spacing w:val="-2"/>
              </w:rPr>
              <w:fldChar w:fldCharType="end"/>
            </w:r>
            <w:bookmarkStart w:id="559" w:name="bookmark250"/>
            <w:bookmarkEnd w:id="559"/>
            <w:bookmarkStart w:id="560" w:name="bookmark248"/>
            <w:bookmarkEnd w:id="560"/>
            <w:r>
              <w:rPr>
                <w:spacing w:val="4"/>
              </w:rPr>
              <w:t>家标准、</w:t>
            </w:r>
            <w:r>
              <w:fldChar w:fldCharType="begin"/>
            </w:r>
            <w:r>
              <w:instrText xml:space="preserve"> HYPERLINK "https://baike.baidu.com/item/%E8%A1%8C%E4%B8%9A%E6%A0%87%E5%87%86/3567971?fromModule=lemma_inlink" </w:instrText>
            </w:r>
            <w:r>
              <w:fldChar w:fldCharType="separate"/>
            </w:r>
            <w:r>
              <w:rPr>
                <w:spacing w:val="4"/>
              </w:rPr>
              <w:t>行业标准</w:t>
            </w:r>
            <w:r>
              <w:rPr>
                <w:spacing w:val="4"/>
              </w:rPr>
              <w:fldChar w:fldCharType="end"/>
            </w:r>
            <w:r>
              <w:rPr>
                <w:spacing w:val="4"/>
              </w:rPr>
              <w:t>的规定；</w:t>
            </w:r>
          </w:p>
        </w:tc>
        <w:tc>
          <w:tcPr>
            <w:tcW w:w="2859" w:type="dxa"/>
            <w:vMerge w:val="restart"/>
            <w:tcBorders>
              <w:bottom w:val="nil"/>
            </w:tcBorders>
            <w:vAlign w:val="top"/>
          </w:tcPr>
          <w:p w14:paraId="62D59DBC">
            <w:pPr>
              <w:pStyle w:val="6"/>
              <w:spacing w:before="31" w:line="182" w:lineRule="auto"/>
              <w:ind w:left="126" w:right="110" w:hanging="10"/>
              <w:jc w:val="both"/>
            </w:pPr>
            <w:r>
              <w:rPr>
                <w:spacing w:val="8"/>
              </w:rPr>
              <w:t>追究刑事责任</w:t>
            </w:r>
            <w:r>
              <w:rPr>
                <w:spacing w:val="10"/>
              </w:rPr>
              <w:t>：（</w:t>
            </w:r>
            <w:r>
              <w:rPr>
                <w:spacing w:val="8"/>
              </w:rPr>
              <w:t>五）危</w:t>
            </w:r>
            <w:r>
              <w:rPr>
                <w:spacing w:val="7"/>
              </w:rPr>
              <w:t>险化学品的储存方式、方法或者储存数量不符合国家标准或者国家有关规定</w:t>
            </w:r>
            <w:r>
              <w:rPr>
                <w:spacing w:val="-12"/>
              </w:rPr>
              <w:t>的；</w:t>
            </w:r>
          </w:p>
          <w:p w14:paraId="78980995">
            <w:pPr>
              <w:pStyle w:val="6"/>
              <w:spacing w:before="5" w:line="181" w:lineRule="auto"/>
              <w:ind w:left="90" w:right="19" w:firstLine="26"/>
            </w:pPr>
            <w:r>
              <w:rPr>
                <w:rFonts w:ascii="宋体" w:hAnsi="宋体" w:eastAsia="宋体" w:cs="宋体"/>
                <w:spacing w:val="7"/>
              </w:rPr>
              <w:t>2.</w:t>
            </w:r>
            <w:r>
              <w:rPr>
                <w:spacing w:val="7"/>
              </w:rPr>
              <w:t>【部门规章】《危险化</w:t>
            </w:r>
            <w:r>
              <w:rPr>
                <w:spacing w:val="35"/>
              </w:rPr>
              <w:t>学品经营许可证管理办</w:t>
            </w:r>
            <w:r>
              <w:rPr>
                <w:spacing w:val="10"/>
              </w:rPr>
              <w:t>法》第三十条第五项：带</w:t>
            </w:r>
            <w:r>
              <w:rPr>
                <w:spacing w:val="35"/>
              </w:rPr>
              <w:t>有储存设施的企业违反</w:t>
            </w:r>
            <w:r>
              <w:rPr>
                <w:spacing w:val="11"/>
              </w:rPr>
              <w:t>《危险化学品安全管理条例》规定，有下列情形之</w:t>
            </w:r>
            <w:r>
              <w:rPr>
                <w:spacing w:val="1"/>
              </w:rPr>
              <w:t>一的，责令改正，处</w:t>
            </w:r>
            <w:r>
              <w:rPr>
                <w:rFonts w:ascii="宋体" w:hAnsi="宋体" w:eastAsia="宋体" w:cs="宋体"/>
                <w:spacing w:val="1"/>
              </w:rPr>
              <w:t>5</w:t>
            </w:r>
            <w:r>
              <w:rPr>
                <w:spacing w:val="1"/>
              </w:rPr>
              <w:t>万</w:t>
            </w:r>
            <w:r>
              <w:rPr>
                <w:spacing w:val="11"/>
              </w:rPr>
              <w:t>元以上</w:t>
            </w:r>
            <w:r>
              <w:rPr>
                <w:rFonts w:ascii="宋体" w:hAnsi="宋体" w:eastAsia="宋体" w:cs="宋体"/>
                <w:spacing w:val="11"/>
              </w:rPr>
              <w:t>10</w:t>
            </w:r>
            <w:r>
              <w:rPr>
                <w:spacing w:val="11"/>
              </w:rPr>
              <w:t>万元以下的罚</w:t>
            </w:r>
            <w:r>
              <w:rPr>
                <w:spacing w:val="10"/>
              </w:rPr>
              <w:t>款；拒不改正的，责令停</w:t>
            </w:r>
            <w:r>
              <w:rPr>
                <w:spacing w:val="11"/>
              </w:rPr>
              <w:t>产停业整顿；经停产停业</w:t>
            </w:r>
            <w:r>
              <w:rPr>
                <w:spacing w:val="-2"/>
              </w:rPr>
              <w:t>整顿仍不具备法律、法规、</w:t>
            </w:r>
            <w:r>
              <w:rPr>
                <w:spacing w:val="11"/>
              </w:rPr>
              <w:t>规章、国家标准和行业标</w:t>
            </w:r>
            <w:r>
              <w:rPr>
                <w:spacing w:val="35"/>
              </w:rPr>
              <w:t>准规定的安全生产条件</w:t>
            </w:r>
            <w:r>
              <w:rPr>
                <w:spacing w:val="10"/>
              </w:rPr>
              <w:t>的，吊销其经营许可证：</w:t>
            </w:r>
            <w:r>
              <w:rPr>
                <w:spacing w:val="11"/>
              </w:rPr>
              <w:t>（五）危险化学品的储存方式、方法或者储存数量不符合国家标准或者国家</w:t>
            </w:r>
            <w:r>
              <w:rPr>
                <w:spacing w:val="4"/>
              </w:rPr>
              <w:t>有关规定的；</w:t>
            </w:r>
          </w:p>
        </w:tc>
        <w:tc>
          <w:tcPr>
            <w:tcW w:w="803" w:type="dxa"/>
            <w:vAlign w:val="top"/>
          </w:tcPr>
          <w:p w14:paraId="795411B1">
            <w:pPr>
              <w:spacing w:line="249" w:lineRule="auto"/>
              <w:rPr>
                <w:rFonts w:ascii="Arial"/>
                <w:sz w:val="21"/>
              </w:rPr>
            </w:pPr>
          </w:p>
          <w:p w14:paraId="33EA4FA9">
            <w:pPr>
              <w:spacing w:line="249" w:lineRule="auto"/>
              <w:rPr>
                <w:rFonts w:ascii="Arial"/>
                <w:sz w:val="21"/>
              </w:rPr>
            </w:pPr>
          </w:p>
          <w:p w14:paraId="453601E0">
            <w:pPr>
              <w:spacing w:line="250" w:lineRule="auto"/>
              <w:rPr>
                <w:rFonts w:ascii="Arial"/>
                <w:sz w:val="21"/>
              </w:rPr>
            </w:pPr>
          </w:p>
          <w:p w14:paraId="102E0D7E">
            <w:pPr>
              <w:spacing w:line="250" w:lineRule="auto"/>
              <w:rPr>
                <w:rFonts w:ascii="Arial"/>
                <w:sz w:val="21"/>
              </w:rPr>
            </w:pPr>
          </w:p>
          <w:p w14:paraId="686B5A75">
            <w:pPr>
              <w:spacing w:line="250" w:lineRule="auto"/>
              <w:rPr>
                <w:rFonts w:ascii="Arial"/>
                <w:sz w:val="21"/>
              </w:rPr>
            </w:pPr>
          </w:p>
          <w:p w14:paraId="516987AF">
            <w:pPr>
              <w:spacing w:line="250" w:lineRule="auto"/>
              <w:rPr>
                <w:rFonts w:ascii="Arial"/>
                <w:sz w:val="21"/>
              </w:rPr>
            </w:pPr>
          </w:p>
          <w:p w14:paraId="2CE6998B">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9C8498E">
            <w:pPr>
              <w:spacing w:line="265" w:lineRule="auto"/>
              <w:rPr>
                <w:rFonts w:ascii="Arial"/>
                <w:sz w:val="21"/>
              </w:rPr>
            </w:pPr>
          </w:p>
          <w:p w14:paraId="272E0E7D">
            <w:pPr>
              <w:spacing w:line="266" w:lineRule="auto"/>
              <w:rPr>
                <w:rFonts w:ascii="Arial"/>
                <w:sz w:val="21"/>
              </w:rPr>
            </w:pPr>
          </w:p>
          <w:p w14:paraId="619147ED">
            <w:pPr>
              <w:pStyle w:val="6"/>
              <w:spacing w:before="99" w:line="187" w:lineRule="auto"/>
              <w:ind w:left="120" w:right="109" w:hanging="4"/>
              <w:jc w:val="both"/>
            </w:pPr>
            <w:r>
              <w:rPr>
                <w:spacing w:val="26"/>
              </w:rPr>
              <w:t>储存重点监管危险</w:t>
            </w:r>
            <w:r>
              <w:rPr>
                <w:spacing w:val="-3"/>
              </w:rPr>
              <w:t>化学品、剧毒化学品</w:t>
            </w:r>
            <w:r>
              <w:rPr>
                <w:spacing w:val="25"/>
              </w:rPr>
              <w:t>的专用仓库储存方</w:t>
            </w:r>
            <w:r>
              <w:rPr>
                <w:spacing w:val="-3"/>
              </w:rPr>
              <w:t>式、方法或者储存数</w:t>
            </w:r>
            <w:r>
              <w:rPr>
                <w:spacing w:val="25"/>
              </w:rPr>
              <w:t>量不符合国家标准或者国家有关规定</w:t>
            </w:r>
            <w:r>
              <w:t>的</w:t>
            </w:r>
          </w:p>
        </w:tc>
        <w:tc>
          <w:tcPr>
            <w:tcW w:w="2894" w:type="dxa"/>
            <w:vAlign w:val="top"/>
          </w:tcPr>
          <w:p w14:paraId="6A2548F7">
            <w:pPr>
              <w:spacing w:line="277" w:lineRule="auto"/>
              <w:rPr>
                <w:rFonts w:ascii="Arial"/>
                <w:sz w:val="21"/>
              </w:rPr>
            </w:pPr>
          </w:p>
          <w:p w14:paraId="3CAB6CD0">
            <w:pPr>
              <w:spacing w:line="277" w:lineRule="auto"/>
              <w:rPr>
                <w:rFonts w:ascii="Arial"/>
                <w:sz w:val="21"/>
              </w:rPr>
            </w:pPr>
          </w:p>
          <w:p w14:paraId="6A9609A0">
            <w:pPr>
              <w:spacing w:line="277" w:lineRule="auto"/>
              <w:rPr>
                <w:rFonts w:ascii="Arial"/>
                <w:sz w:val="21"/>
              </w:rPr>
            </w:pPr>
          </w:p>
          <w:p w14:paraId="64D0827F">
            <w:pPr>
              <w:pStyle w:val="6"/>
              <w:spacing w:before="99" w:line="188" w:lineRule="auto"/>
              <w:ind w:left="116" w:right="109" w:firstLine="11"/>
              <w:jc w:val="both"/>
            </w:pPr>
            <w:r>
              <w:rPr>
                <w:spacing w:val="4"/>
              </w:rPr>
              <w:t>责令改正，处</w:t>
            </w:r>
            <w:r>
              <w:rPr>
                <w:rFonts w:ascii="宋体" w:hAnsi="宋体" w:eastAsia="宋体" w:cs="宋体"/>
                <w:spacing w:val="4"/>
              </w:rPr>
              <w:t>7</w:t>
            </w:r>
            <w:r>
              <w:rPr>
                <w:spacing w:val="4"/>
              </w:rPr>
              <w:t>万元以上</w:t>
            </w:r>
            <w:r>
              <w:rPr>
                <w:rFonts w:ascii="宋体" w:hAnsi="宋体" w:eastAsia="宋体" w:cs="宋体"/>
                <w:spacing w:val="9"/>
              </w:rPr>
              <w:t>9</w:t>
            </w:r>
            <w:r>
              <w:rPr>
                <w:spacing w:val="9"/>
              </w:rPr>
              <w:t>万元以下的罚款；拒不</w:t>
            </w:r>
            <w:r>
              <w:rPr>
                <w:spacing w:val="8"/>
              </w:rPr>
              <w:t>改正的，责令停产停业整</w:t>
            </w:r>
            <w:r>
              <w:rPr>
                <w:spacing w:val="12"/>
              </w:rPr>
              <w:t>顿直至由原发证机关吊销</w:t>
            </w:r>
            <w:r>
              <w:rPr>
                <w:spacing w:val="7"/>
              </w:rPr>
              <w:t>其相关许可证件</w:t>
            </w:r>
          </w:p>
        </w:tc>
        <w:tc>
          <w:tcPr>
            <w:tcW w:w="811" w:type="dxa"/>
            <w:vMerge w:val="restart"/>
            <w:tcBorders>
              <w:bottom w:val="nil"/>
            </w:tcBorders>
            <w:vAlign w:val="top"/>
          </w:tcPr>
          <w:p w14:paraId="6C37C51E">
            <w:pPr>
              <w:rPr>
                <w:rFonts w:ascii="Arial"/>
                <w:sz w:val="21"/>
              </w:rPr>
            </w:pPr>
          </w:p>
        </w:tc>
      </w:tr>
      <w:tr w14:paraId="7C6B0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6" w:hRule="atLeast"/>
        </w:trPr>
        <w:tc>
          <w:tcPr>
            <w:tcW w:w="818" w:type="dxa"/>
            <w:vMerge w:val="continue"/>
            <w:tcBorders>
              <w:top w:val="nil"/>
            </w:tcBorders>
            <w:vAlign w:val="top"/>
          </w:tcPr>
          <w:p w14:paraId="106B473D">
            <w:pPr>
              <w:rPr>
                <w:rFonts w:ascii="Arial"/>
                <w:sz w:val="21"/>
              </w:rPr>
            </w:pPr>
          </w:p>
        </w:tc>
        <w:tc>
          <w:tcPr>
            <w:tcW w:w="1440" w:type="dxa"/>
            <w:vMerge w:val="continue"/>
            <w:tcBorders>
              <w:top w:val="nil"/>
            </w:tcBorders>
            <w:vAlign w:val="top"/>
          </w:tcPr>
          <w:p w14:paraId="772BC9D5">
            <w:pPr>
              <w:rPr>
                <w:rFonts w:ascii="Arial"/>
                <w:sz w:val="21"/>
              </w:rPr>
            </w:pPr>
          </w:p>
        </w:tc>
        <w:tc>
          <w:tcPr>
            <w:tcW w:w="3202" w:type="dxa"/>
            <w:vMerge w:val="continue"/>
            <w:tcBorders>
              <w:top w:val="nil"/>
            </w:tcBorders>
            <w:vAlign w:val="top"/>
          </w:tcPr>
          <w:p w14:paraId="0AB05080">
            <w:pPr>
              <w:rPr>
                <w:rFonts w:ascii="Arial"/>
                <w:sz w:val="21"/>
              </w:rPr>
            </w:pPr>
          </w:p>
        </w:tc>
        <w:tc>
          <w:tcPr>
            <w:tcW w:w="2859" w:type="dxa"/>
            <w:vMerge w:val="continue"/>
            <w:tcBorders>
              <w:top w:val="nil"/>
            </w:tcBorders>
            <w:vAlign w:val="top"/>
          </w:tcPr>
          <w:p w14:paraId="16C79B43">
            <w:pPr>
              <w:rPr>
                <w:rFonts w:ascii="Arial"/>
                <w:sz w:val="21"/>
              </w:rPr>
            </w:pPr>
          </w:p>
        </w:tc>
        <w:tc>
          <w:tcPr>
            <w:tcW w:w="803" w:type="dxa"/>
            <w:vAlign w:val="top"/>
          </w:tcPr>
          <w:p w14:paraId="152F265B">
            <w:pPr>
              <w:spacing w:line="271" w:lineRule="auto"/>
              <w:rPr>
                <w:rFonts w:ascii="Arial"/>
                <w:sz w:val="21"/>
              </w:rPr>
            </w:pPr>
          </w:p>
          <w:p w14:paraId="7F8DA923">
            <w:pPr>
              <w:spacing w:line="271" w:lineRule="auto"/>
              <w:rPr>
                <w:rFonts w:ascii="Arial"/>
                <w:sz w:val="21"/>
              </w:rPr>
            </w:pPr>
          </w:p>
          <w:p w14:paraId="326DC65D">
            <w:pPr>
              <w:spacing w:line="271" w:lineRule="auto"/>
              <w:rPr>
                <w:rFonts w:ascii="Arial"/>
                <w:sz w:val="21"/>
              </w:rPr>
            </w:pPr>
          </w:p>
          <w:p w14:paraId="538A13B3">
            <w:pPr>
              <w:spacing w:line="271" w:lineRule="auto"/>
              <w:rPr>
                <w:rFonts w:ascii="Arial"/>
                <w:sz w:val="21"/>
              </w:rPr>
            </w:pPr>
          </w:p>
          <w:p w14:paraId="7DC3822F">
            <w:pPr>
              <w:spacing w:line="271" w:lineRule="auto"/>
              <w:rPr>
                <w:rFonts w:ascii="Arial"/>
                <w:sz w:val="21"/>
              </w:rPr>
            </w:pPr>
          </w:p>
          <w:p w14:paraId="54B61901">
            <w:pPr>
              <w:spacing w:line="272" w:lineRule="auto"/>
              <w:rPr>
                <w:rFonts w:ascii="Arial"/>
                <w:sz w:val="21"/>
              </w:rPr>
            </w:pPr>
          </w:p>
          <w:p w14:paraId="6A75E808">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D273D65">
            <w:pPr>
              <w:spacing w:line="319" w:lineRule="auto"/>
              <w:rPr>
                <w:rFonts w:ascii="Arial"/>
                <w:sz w:val="21"/>
              </w:rPr>
            </w:pPr>
          </w:p>
          <w:p w14:paraId="48F0342E">
            <w:pPr>
              <w:spacing w:line="320" w:lineRule="auto"/>
              <w:rPr>
                <w:rFonts w:ascii="Arial"/>
                <w:sz w:val="21"/>
              </w:rPr>
            </w:pPr>
          </w:p>
          <w:p w14:paraId="0D384342">
            <w:pPr>
              <w:spacing w:line="320" w:lineRule="auto"/>
              <w:rPr>
                <w:rFonts w:ascii="Arial"/>
                <w:sz w:val="21"/>
              </w:rPr>
            </w:pPr>
          </w:p>
          <w:p w14:paraId="5335E9CB">
            <w:pPr>
              <w:pStyle w:val="6"/>
              <w:spacing w:before="98" w:line="188" w:lineRule="auto"/>
              <w:ind w:left="119" w:right="46"/>
              <w:jc w:val="both"/>
            </w:pPr>
            <w:r>
              <w:rPr>
                <w:spacing w:val="26"/>
              </w:rPr>
              <w:t>构成重大危险源的</w:t>
            </w:r>
            <w:r>
              <w:rPr>
                <w:spacing w:val="4"/>
              </w:rPr>
              <w:t>专用仓库储存方式、</w:t>
            </w:r>
            <w:r>
              <w:rPr>
                <w:spacing w:val="26"/>
              </w:rPr>
              <w:t>方法或者储存数量不符合国家标准或</w:t>
            </w:r>
            <w:r>
              <w:rPr>
                <w:spacing w:val="7"/>
              </w:rPr>
              <w:t>者国家有关规定的</w:t>
            </w:r>
          </w:p>
        </w:tc>
        <w:tc>
          <w:tcPr>
            <w:tcW w:w="2894" w:type="dxa"/>
            <w:vAlign w:val="top"/>
          </w:tcPr>
          <w:p w14:paraId="128719A4">
            <w:pPr>
              <w:spacing w:line="319" w:lineRule="auto"/>
              <w:rPr>
                <w:rFonts w:ascii="Arial"/>
                <w:sz w:val="21"/>
              </w:rPr>
            </w:pPr>
          </w:p>
          <w:p w14:paraId="58D384D7">
            <w:pPr>
              <w:spacing w:line="320" w:lineRule="auto"/>
              <w:rPr>
                <w:rFonts w:ascii="Arial"/>
                <w:sz w:val="21"/>
              </w:rPr>
            </w:pPr>
          </w:p>
          <w:p w14:paraId="445B4B81">
            <w:pPr>
              <w:spacing w:line="320" w:lineRule="auto"/>
              <w:rPr>
                <w:rFonts w:ascii="Arial"/>
                <w:sz w:val="21"/>
              </w:rPr>
            </w:pPr>
          </w:p>
          <w:p w14:paraId="47761B55">
            <w:pPr>
              <w:pStyle w:val="6"/>
              <w:spacing w:before="99" w:line="188" w:lineRule="auto"/>
              <w:ind w:left="117" w:right="109" w:firstLine="10"/>
              <w:jc w:val="both"/>
            </w:pPr>
            <w:r>
              <w:rPr>
                <w:spacing w:val="4"/>
              </w:rPr>
              <w:t>责令改正，处</w:t>
            </w:r>
            <w:r>
              <w:rPr>
                <w:rFonts w:ascii="宋体" w:hAnsi="宋体" w:eastAsia="宋体" w:cs="宋体"/>
                <w:spacing w:val="4"/>
              </w:rPr>
              <w:t>9</w:t>
            </w:r>
            <w:r>
              <w:rPr>
                <w:spacing w:val="4"/>
              </w:rPr>
              <w:t>万元以上</w:t>
            </w:r>
            <w:r>
              <w:rPr>
                <w:rFonts w:ascii="宋体" w:hAnsi="宋体" w:eastAsia="宋体" w:cs="宋体"/>
                <w:spacing w:val="-1"/>
              </w:rPr>
              <w:t>10</w:t>
            </w:r>
            <w:r>
              <w:rPr>
                <w:spacing w:val="-1"/>
              </w:rPr>
              <w:t>万元以下的罚款；拒不</w:t>
            </w:r>
            <w:r>
              <w:rPr>
                <w:spacing w:val="8"/>
              </w:rPr>
              <w:t>改正的，责令停产停业整</w:t>
            </w:r>
            <w:r>
              <w:rPr>
                <w:spacing w:val="11"/>
              </w:rPr>
              <w:t>顿直至由原发证机关吊销</w:t>
            </w:r>
            <w:r>
              <w:rPr>
                <w:spacing w:val="7"/>
              </w:rPr>
              <w:t>其相关许可证件</w:t>
            </w:r>
          </w:p>
        </w:tc>
        <w:tc>
          <w:tcPr>
            <w:tcW w:w="811" w:type="dxa"/>
            <w:vMerge w:val="continue"/>
            <w:tcBorders>
              <w:top w:val="nil"/>
            </w:tcBorders>
            <w:vAlign w:val="top"/>
          </w:tcPr>
          <w:p w14:paraId="0D7C033D">
            <w:pPr>
              <w:rPr>
                <w:rFonts w:ascii="Arial"/>
                <w:sz w:val="21"/>
              </w:rPr>
            </w:pPr>
          </w:p>
        </w:tc>
      </w:tr>
      <w:tr w14:paraId="65F22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7" w:hRule="atLeast"/>
        </w:trPr>
        <w:tc>
          <w:tcPr>
            <w:tcW w:w="818" w:type="dxa"/>
            <w:vAlign w:val="top"/>
          </w:tcPr>
          <w:p w14:paraId="165F47AC">
            <w:pPr>
              <w:spacing w:line="248" w:lineRule="auto"/>
              <w:rPr>
                <w:rFonts w:ascii="Arial"/>
                <w:sz w:val="21"/>
              </w:rPr>
            </w:pPr>
          </w:p>
          <w:p w14:paraId="4132BBD9">
            <w:pPr>
              <w:spacing w:line="248" w:lineRule="auto"/>
              <w:rPr>
                <w:rFonts w:ascii="Arial"/>
                <w:sz w:val="21"/>
              </w:rPr>
            </w:pPr>
          </w:p>
          <w:p w14:paraId="4B810F8C">
            <w:pPr>
              <w:spacing w:line="248" w:lineRule="auto"/>
              <w:rPr>
                <w:rFonts w:ascii="Arial"/>
                <w:sz w:val="21"/>
              </w:rPr>
            </w:pPr>
          </w:p>
          <w:p w14:paraId="5707FA11">
            <w:pPr>
              <w:spacing w:before="75" w:line="186" w:lineRule="auto"/>
              <w:ind w:left="161"/>
              <w:rPr>
                <w:rFonts w:ascii="仿宋" w:hAnsi="仿宋" w:eastAsia="仿宋" w:cs="仿宋"/>
                <w:sz w:val="23"/>
                <w:szCs w:val="23"/>
              </w:rPr>
            </w:pPr>
            <w:r>
              <w:rPr>
                <w:rFonts w:ascii="仿宋" w:hAnsi="仿宋" w:eastAsia="仿宋" w:cs="仿宋"/>
                <w:spacing w:val="-5"/>
                <w:sz w:val="23"/>
                <w:szCs w:val="23"/>
              </w:rPr>
              <w:t>121</w:t>
            </w:r>
          </w:p>
        </w:tc>
        <w:tc>
          <w:tcPr>
            <w:tcW w:w="1440" w:type="dxa"/>
            <w:vAlign w:val="top"/>
          </w:tcPr>
          <w:p w14:paraId="4E6F9583">
            <w:pPr>
              <w:pStyle w:val="6"/>
              <w:spacing w:before="175" w:line="188" w:lineRule="auto"/>
              <w:ind w:left="114" w:right="111"/>
              <w:jc w:val="both"/>
            </w:pPr>
            <w:r>
              <w:rPr>
                <w:spacing w:val="11"/>
              </w:rPr>
              <w:t>危险化学品生产企业未提供化学品安全技术说</w:t>
            </w:r>
            <w:r>
              <w:rPr>
                <w:spacing w:val="4"/>
              </w:rPr>
              <w:t>明书，或者</w:t>
            </w:r>
          </w:p>
        </w:tc>
        <w:tc>
          <w:tcPr>
            <w:tcW w:w="3202" w:type="dxa"/>
            <w:vAlign w:val="top"/>
          </w:tcPr>
          <w:p w14:paraId="0A707930">
            <w:pPr>
              <w:pStyle w:val="6"/>
              <w:spacing w:before="31" w:line="188" w:lineRule="auto"/>
              <w:ind w:left="123" w:right="111" w:hanging="25"/>
              <w:jc w:val="both"/>
            </w:pPr>
            <w:r>
              <w:rPr>
                <w:spacing w:val="18"/>
              </w:rPr>
              <w:t>【行政法规】《危险化学品</w:t>
            </w:r>
            <w:r>
              <w:rPr>
                <w:spacing w:val="16"/>
              </w:rPr>
              <w:t>安全管理条例》第十五条第</w:t>
            </w:r>
            <w:r>
              <w:rPr>
                <w:spacing w:val="13"/>
              </w:rPr>
              <w:t>一款：危险化学品生产企业</w:t>
            </w:r>
            <w:r>
              <w:rPr>
                <w:spacing w:val="16"/>
              </w:rPr>
              <w:t>应当提供与其生产的危险化学品相符的化学品安全技术</w:t>
            </w:r>
          </w:p>
        </w:tc>
        <w:tc>
          <w:tcPr>
            <w:tcW w:w="2859" w:type="dxa"/>
            <w:vAlign w:val="top"/>
          </w:tcPr>
          <w:p w14:paraId="4D0ECC65">
            <w:pPr>
              <w:pStyle w:val="6"/>
              <w:spacing w:before="30" w:line="188" w:lineRule="auto"/>
              <w:ind w:left="116" w:right="110" w:hanging="19"/>
              <w:jc w:val="both"/>
            </w:pPr>
            <w:r>
              <w:rPr>
                <w:spacing w:val="10"/>
              </w:rPr>
              <w:t>【行政法规】《危险化学</w:t>
            </w:r>
            <w:r>
              <w:rPr>
                <w:spacing w:val="8"/>
              </w:rPr>
              <w:t>品安全管理条例》第七十八条第一款第三项：有下列情形之一的，由安全生</w:t>
            </w:r>
            <w:r>
              <w:rPr>
                <w:spacing w:val="32"/>
              </w:rPr>
              <w:t>产监督管理部门责令改</w:t>
            </w:r>
          </w:p>
        </w:tc>
        <w:tc>
          <w:tcPr>
            <w:tcW w:w="803" w:type="dxa"/>
            <w:vAlign w:val="top"/>
          </w:tcPr>
          <w:p w14:paraId="4AECF15D">
            <w:pPr>
              <w:spacing w:line="246" w:lineRule="auto"/>
              <w:rPr>
                <w:rFonts w:ascii="Arial"/>
                <w:sz w:val="21"/>
              </w:rPr>
            </w:pPr>
          </w:p>
          <w:p w14:paraId="5D3ACEF7">
            <w:pPr>
              <w:spacing w:line="246" w:lineRule="auto"/>
              <w:rPr>
                <w:rFonts w:ascii="Arial"/>
                <w:sz w:val="21"/>
              </w:rPr>
            </w:pPr>
          </w:p>
          <w:p w14:paraId="2BE3AEFD">
            <w:pPr>
              <w:spacing w:line="247" w:lineRule="auto"/>
              <w:rPr>
                <w:rFonts w:ascii="Arial"/>
                <w:sz w:val="21"/>
              </w:rPr>
            </w:pPr>
          </w:p>
          <w:p w14:paraId="24A97908">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61519B0">
            <w:pPr>
              <w:pStyle w:val="6"/>
              <w:spacing w:before="177" w:line="188" w:lineRule="auto"/>
              <w:ind w:left="114" w:right="109" w:firstLine="1"/>
              <w:jc w:val="both"/>
            </w:pPr>
            <w:r>
              <w:rPr>
                <w:spacing w:val="26"/>
              </w:rPr>
              <w:t>提供了化学品安全</w:t>
            </w:r>
            <w:r>
              <w:rPr>
                <w:spacing w:val="-2"/>
              </w:rPr>
              <w:t>技术说明书，但未在</w:t>
            </w:r>
            <w:r>
              <w:rPr>
                <w:spacing w:val="26"/>
              </w:rPr>
              <w:t>包装（包括外包装</w:t>
            </w:r>
            <w:r>
              <w:rPr>
                <w:spacing w:val="-2"/>
              </w:rPr>
              <w:t>件）上粘贴、拴挂化</w:t>
            </w:r>
            <w:r>
              <w:rPr>
                <w:spacing w:val="7"/>
              </w:rPr>
              <w:t>学品安全标签的</w:t>
            </w:r>
          </w:p>
        </w:tc>
        <w:tc>
          <w:tcPr>
            <w:tcW w:w="2894" w:type="dxa"/>
            <w:vAlign w:val="top"/>
          </w:tcPr>
          <w:p w14:paraId="6DA16472">
            <w:pPr>
              <w:pStyle w:val="6"/>
              <w:spacing w:before="174" w:line="188" w:lineRule="auto"/>
              <w:ind w:left="117" w:right="37" w:firstLine="10"/>
              <w:jc w:val="both"/>
            </w:pPr>
            <w:r>
              <w:rPr>
                <w:spacing w:val="3"/>
              </w:rPr>
              <w:t>责令改正，可以处</w:t>
            </w:r>
            <w:r>
              <w:rPr>
                <w:rFonts w:ascii="宋体" w:hAnsi="宋体" w:eastAsia="宋体" w:cs="宋体"/>
                <w:spacing w:val="3"/>
              </w:rPr>
              <w:t>2</w:t>
            </w:r>
            <w:r>
              <w:rPr>
                <w:spacing w:val="3"/>
              </w:rPr>
              <w:t>万元</w:t>
            </w:r>
            <w:r>
              <w:rPr>
                <w:spacing w:val="-3"/>
              </w:rPr>
              <w:t>以下的罚款；拒不改正的，</w:t>
            </w:r>
            <w:r>
              <w:rPr>
                <w:spacing w:val="4"/>
              </w:rPr>
              <w:t>处</w:t>
            </w:r>
            <w:r>
              <w:rPr>
                <w:rFonts w:ascii="宋体" w:hAnsi="宋体" w:eastAsia="宋体" w:cs="宋体"/>
                <w:spacing w:val="4"/>
              </w:rPr>
              <w:t>5</w:t>
            </w:r>
            <w:r>
              <w:rPr>
                <w:spacing w:val="4"/>
              </w:rPr>
              <w:t>万元以上</w:t>
            </w:r>
            <w:r>
              <w:rPr>
                <w:rFonts w:ascii="宋体" w:hAnsi="宋体" w:eastAsia="宋体" w:cs="宋体"/>
                <w:spacing w:val="4"/>
              </w:rPr>
              <w:t>7</w:t>
            </w:r>
            <w:r>
              <w:rPr>
                <w:spacing w:val="4"/>
              </w:rPr>
              <w:t>万元以下的罚款；情节严重的，责</w:t>
            </w:r>
            <w:r>
              <w:rPr>
                <w:spacing w:val="7"/>
              </w:rPr>
              <w:t>令停产停业整顿</w:t>
            </w:r>
          </w:p>
        </w:tc>
        <w:tc>
          <w:tcPr>
            <w:tcW w:w="811" w:type="dxa"/>
            <w:vAlign w:val="top"/>
          </w:tcPr>
          <w:p w14:paraId="44BDD860">
            <w:pPr>
              <w:spacing w:line="247" w:lineRule="auto"/>
              <w:rPr>
                <w:rFonts w:ascii="Arial"/>
                <w:sz w:val="21"/>
              </w:rPr>
            </w:pPr>
          </w:p>
          <w:p w14:paraId="59785037">
            <w:pPr>
              <w:spacing w:line="247" w:lineRule="auto"/>
              <w:rPr>
                <w:rFonts w:ascii="Arial"/>
                <w:sz w:val="21"/>
              </w:rPr>
            </w:pPr>
          </w:p>
          <w:p w14:paraId="50B32CEC">
            <w:pPr>
              <w:spacing w:line="248" w:lineRule="auto"/>
              <w:rPr>
                <w:rFonts w:ascii="Arial"/>
                <w:sz w:val="21"/>
              </w:rPr>
            </w:pPr>
          </w:p>
          <w:p w14:paraId="31396C4F">
            <w:pPr>
              <w:spacing w:before="75" w:line="188" w:lineRule="auto"/>
              <w:ind w:left="292"/>
              <w:rPr>
                <w:rFonts w:ascii="宋体" w:hAnsi="宋体" w:eastAsia="宋体" w:cs="宋体"/>
                <w:sz w:val="23"/>
                <w:szCs w:val="23"/>
              </w:rPr>
            </w:pPr>
            <w:r>
              <w:rPr>
                <w:rFonts w:ascii="宋体" w:hAnsi="宋体" w:eastAsia="宋体" w:cs="宋体"/>
                <w:spacing w:val="-2"/>
                <w:sz w:val="23"/>
                <w:szCs w:val="23"/>
              </w:rPr>
              <w:t>89</w:t>
            </w:r>
          </w:p>
        </w:tc>
      </w:tr>
    </w:tbl>
    <w:p w14:paraId="54C1D297">
      <w:pPr>
        <w:pStyle w:val="2"/>
      </w:pPr>
    </w:p>
    <w:p w14:paraId="515E4934">
      <w:pPr>
        <w:sectPr>
          <w:footerReference r:id="rId146" w:type="default"/>
          <w:pgSz w:w="16839" w:h="11906"/>
          <w:pgMar w:top="1012" w:right="821" w:bottom="667" w:left="901" w:header="0" w:footer="388" w:gutter="0"/>
          <w:cols w:space="720" w:num="1"/>
        </w:sectPr>
      </w:pPr>
    </w:p>
    <w:p w14:paraId="65CBA057">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1F6D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1E9A838">
            <w:pPr>
              <w:spacing w:before="222" w:line="241" w:lineRule="auto"/>
              <w:ind w:left="131"/>
              <w:rPr>
                <w:rFonts w:ascii="黑体" w:hAnsi="黑体" w:eastAsia="黑体" w:cs="黑体"/>
                <w:sz w:val="28"/>
                <w:szCs w:val="28"/>
              </w:rPr>
            </w:pPr>
            <w:bookmarkStart w:id="561" w:name="bookmark550"/>
            <w:bookmarkEnd w:id="561"/>
            <w:bookmarkStart w:id="562" w:name="bookmark252"/>
            <w:bookmarkEnd w:id="562"/>
            <w:r>
              <w:rPr>
                <w:rFonts w:ascii="黑体" w:hAnsi="黑体" w:eastAsia="黑体" w:cs="黑体"/>
                <w:spacing w:val="-2"/>
                <w:sz w:val="28"/>
                <w:szCs w:val="28"/>
              </w:rPr>
              <w:t>序号</w:t>
            </w:r>
          </w:p>
        </w:tc>
        <w:tc>
          <w:tcPr>
            <w:tcW w:w="1440" w:type="dxa"/>
            <w:vAlign w:val="top"/>
          </w:tcPr>
          <w:p w14:paraId="38BB09FA">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E5D3226">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49E1908">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DAF97E1">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58B0BB4">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171AA7C">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2CDDA6F">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0E82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restart"/>
            <w:tcBorders>
              <w:bottom w:val="nil"/>
            </w:tcBorders>
            <w:vAlign w:val="top"/>
          </w:tcPr>
          <w:p w14:paraId="427ABF4A">
            <w:pPr>
              <w:rPr>
                <w:rFonts w:ascii="Arial"/>
                <w:sz w:val="21"/>
              </w:rPr>
            </w:pPr>
          </w:p>
        </w:tc>
        <w:tc>
          <w:tcPr>
            <w:tcW w:w="1440" w:type="dxa"/>
            <w:vMerge w:val="restart"/>
            <w:tcBorders>
              <w:bottom w:val="nil"/>
            </w:tcBorders>
            <w:vAlign w:val="top"/>
          </w:tcPr>
          <w:p w14:paraId="512FF312">
            <w:pPr>
              <w:pStyle w:val="6"/>
              <w:spacing w:before="28" w:line="182" w:lineRule="auto"/>
              <w:ind w:left="116"/>
            </w:pPr>
            <w:r>
              <w:rPr>
                <w:spacing w:val="-3"/>
              </w:rPr>
              <w:t>未在包装</w:t>
            </w:r>
          </w:p>
          <w:p w14:paraId="5780A6E9">
            <w:pPr>
              <w:pStyle w:val="6"/>
              <w:spacing w:line="182" w:lineRule="auto"/>
              <w:ind w:left="96"/>
              <w:outlineLvl w:val="0"/>
            </w:pPr>
            <w:r>
              <w:rPr>
                <w:spacing w:val="12"/>
              </w:rPr>
              <w:t>（包括外包</w:t>
            </w:r>
          </w:p>
          <w:p w14:paraId="2F0E87E2">
            <w:pPr>
              <w:pStyle w:val="6"/>
              <w:spacing w:before="5" w:line="189" w:lineRule="auto"/>
              <w:ind w:left="118" w:right="108" w:hanging="2"/>
              <w:jc w:val="both"/>
            </w:pPr>
            <w:r>
              <w:rPr>
                <w:spacing w:val="3"/>
              </w:rPr>
              <w:t>装件）上粘</w:t>
            </w:r>
            <w:r>
              <w:rPr>
                <w:spacing w:val="11"/>
              </w:rPr>
              <w:t>贴、拴挂化</w:t>
            </w:r>
            <w:r>
              <w:rPr>
                <w:spacing w:val="10"/>
              </w:rPr>
              <w:t>学品安全标</w:t>
            </w:r>
            <w:r>
              <w:rPr>
                <w:spacing w:val="1"/>
              </w:rPr>
              <w:t>签的</w:t>
            </w:r>
          </w:p>
        </w:tc>
        <w:tc>
          <w:tcPr>
            <w:tcW w:w="3202" w:type="dxa"/>
            <w:vMerge w:val="restart"/>
            <w:tcBorders>
              <w:bottom w:val="nil"/>
            </w:tcBorders>
            <w:vAlign w:val="top"/>
          </w:tcPr>
          <w:p w14:paraId="706BBC00">
            <w:pPr>
              <w:pStyle w:val="6"/>
              <w:spacing w:before="30" w:line="186" w:lineRule="auto"/>
              <w:ind w:left="117" w:right="111"/>
            </w:pPr>
            <w:r>
              <w:rPr>
                <w:spacing w:val="13"/>
              </w:rPr>
              <w:t>说明书，并在危险化学品包装（包括外包装件）上粘贴</w:t>
            </w:r>
            <w:r>
              <w:rPr>
                <w:spacing w:val="17"/>
              </w:rPr>
              <w:t>或者拴挂与包装内危险化学</w:t>
            </w:r>
            <w:r>
              <w:rPr>
                <w:spacing w:val="14"/>
              </w:rPr>
              <w:t>品相符的化学品安全标签。</w:t>
            </w:r>
            <w:r>
              <w:rPr>
                <w:spacing w:val="17"/>
              </w:rPr>
              <w:t>化学品安全技术说明书和化学品安全标签所载明的内容</w:t>
            </w:r>
            <w:r>
              <w:rPr>
                <w:spacing w:val="5"/>
              </w:rPr>
              <w:t>应当符合国家标准的要求。</w:t>
            </w:r>
          </w:p>
        </w:tc>
        <w:tc>
          <w:tcPr>
            <w:tcW w:w="2859" w:type="dxa"/>
            <w:vMerge w:val="restart"/>
            <w:tcBorders>
              <w:bottom w:val="nil"/>
            </w:tcBorders>
            <w:vAlign w:val="top"/>
          </w:tcPr>
          <w:p w14:paraId="329CB6A8">
            <w:pPr>
              <w:pStyle w:val="6"/>
              <w:spacing w:before="28" w:line="185" w:lineRule="auto"/>
              <w:ind w:left="118" w:right="105" w:firstLine="7"/>
            </w:pPr>
            <w:r>
              <w:rPr>
                <w:spacing w:val="4"/>
              </w:rPr>
              <w:t>正，可以处</w:t>
            </w:r>
            <w:r>
              <w:rPr>
                <w:rFonts w:ascii="宋体" w:hAnsi="宋体" w:eastAsia="宋体" w:cs="宋体"/>
                <w:spacing w:val="4"/>
              </w:rPr>
              <w:t>5</w:t>
            </w:r>
            <w:r>
              <w:rPr>
                <w:spacing w:val="4"/>
              </w:rPr>
              <w:t>万元以下的</w:t>
            </w:r>
            <w:r>
              <w:rPr>
                <w:spacing w:val="6"/>
              </w:rPr>
              <w:t>罚款；拒不改正的，处</w:t>
            </w:r>
            <w:r>
              <w:rPr>
                <w:rFonts w:ascii="宋体" w:hAnsi="宋体" w:eastAsia="宋体" w:cs="宋体"/>
                <w:spacing w:val="6"/>
              </w:rPr>
              <w:t>5</w:t>
            </w:r>
            <w:r>
              <w:rPr>
                <w:spacing w:val="9"/>
              </w:rPr>
              <w:t>万元以上</w:t>
            </w:r>
            <w:r>
              <w:rPr>
                <w:rFonts w:ascii="宋体" w:hAnsi="宋体" w:eastAsia="宋体" w:cs="宋体"/>
                <w:spacing w:val="9"/>
              </w:rPr>
              <w:t>10</w:t>
            </w:r>
            <w:r>
              <w:rPr>
                <w:spacing w:val="9"/>
              </w:rPr>
              <w:t>万元以下的</w:t>
            </w:r>
            <w:r>
              <w:rPr>
                <w:spacing w:val="8"/>
              </w:rPr>
              <w:t>罚款；情节严重的，责令停产停业整顿</w:t>
            </w:r>
            <w:r>
              <w:rPr>
                <w:spacing w:val="9"/>
              </w:rPr>
              <w:t>：（</w:t>
            </w:r>
            <w:r>
              <w:rPr>
                <w:spacing w:val="8"/>
              </w:rPr>
              <w:t>三）危险化学品生产企业未提供</w:t>
            </w:r>
            <w:r>
              <w:rPr>
                <w:spacing w:val="7"/>
              </w:rPr>
              <w:t>化学品安全技术说明书，</w:t>
            </w:r>
            <w:r>
              <w:rPr>
                <w:spacing w:val="8"/>
              </w:rPr>
              <w:t>或者未在包装（包括外包装件）上粘贴、拴挂化学</w:t>
            </w:r>
            <w:r>
              <w:rPr>
                <w:spacing w:val="1"/>
              </w:rPr>
              <w:t>品安全标签的；</w:t>
            </w:r>
          </w:p>
        </w:tc>
        <w:tc>
          <w:tcPr>
            <w:tcW w:w="803" w:type="dxa"/>
            <w:vAlign w:val="top"/>
          </w:tcPr>
          <w:p w14:paraId="6913F181">
            <w:pPr>
              <w:spacing w:line="248" w:lineRule="auto"/>
              <w:rPr>
                <w:rFonts w:ascii="Arial"/>
                <w:sz w:val="21"/>
              </w:rPr>
            </w:pPr>
          </w:p>
          <w:p w14:paraId="12D898B5">
            <w:pPr>
              <w:spacing w:line="248" w:lineRule="auto"/>
              <w:rPr>
                <w:rFonts w:ascii="Arial"/>
                <w:sz w:val="21"/>
              </w:rPr>
            </w:pPr>
          </w:p>
          <w:p w14:paraId="34FE194B">
            <w:pPr>
              <w:spacing w:line="248" w:lineRule="auto"/>
              <w:rPr>
                <w:rFonts w:ascii="Arial"/>
                <w:sz w:val="21"/>
              </w:rPr>
            </w:pPr>
          </w:p>
          <w:p w14:paraId="6EBF86E2">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14FFB8E">
            <w:pPr>
              <w:pStyle w:val="6"/>
              <w:spacing w:before="176" w:line="188" w:lineRule="auto"/>
              <w:ind w:left="117" w:right="109"/>
              <w:jc w:val="both"/>
            </w:pPr>
            <w:r>
              <w:rPr>
                <w:spacing w:val="-5"/>
              </w:rPr>
              <w:t>在包装（包括外包装</w:t>
            </w:r>
            <w:r>
              <w:rPr>
                <w:spacing w:val="-3"/>
              </w:rPr>
              <w:t>件）上粘贴、拴挂了化学品安全标签，但</w:t>
            </w:r>
            <w:r>
              <w:rPr>
                <w:spacing w:val="26"/>
              </w:rPr>
              <w:t>未提供化学品安全</w:t>
            </w:r>
            <w:r>
              <w:rPr>
                <w:spacing w:val="7"/>
              </w:rPr>
              <w:t>技术说明书的</w:t>
            </w:r>
          </w:p>
        </w:tc>
        <w:tc>
          <w:tcPr>
            <w:tcW w:w="2894" w:type="dxa"/>
            <w:vAlign w:val="top"/>
          </w:tcPr>
          <w:p w14:paraId="44F0396B">
            <w:pPr>
              <w:pStyle w:val="6"/>
              <w:spacing w:before="28" w:line="179" w:lineRule="auto"/>
              <w:ind w:left="122" w:right="103" w:firstLine="5"/>
            </w:pPr>
            <w:r>
              <w:rPr>
                <w:spacing w:val="3"/>
              </w:rPr>
              <w:t>责令改正，可以处</w:t>
            </w:r>
            <w:r>
              <w:rPr>
                <w:rFonts w:ascii="宋体" w:hAnsi="宋体" w:eastAsia="宋体" w:cs="宋体"/>
                <w:spacing w:val="3"/>
              </w:rPr>
              <w:t>2</w:t>
            </w:r>
            <w:r>
              <w:rPr>
                <w:spacing w:val="3"/>
              </w:rPr>
              <w:t>万元以上</w:t>
            </w:r>
            <w:r>
              <w:rPr>
                <w:rFonts w:ascii="宋体" w:hAnsi="宋体" w:eastAsia="宋体" w:cs="宋体"/>
                <w:spacing w:val="3"/>
              </w:rPr>
              <w:t>4</w:t>
            </w:r>
            <w:r>
              <w:rPr>
                <w:spacing w:val="3"/>
              </w:rPr>
              <w:t>万元以下的罚款；</w:t>
            </w:r>
            <w:r>
              <w:rPr>
                <w:spacing w:val="4"/>
              </w:rPr>
              <w:t>拒不改正的，处</w:t>
            </w:r>
            <w:r>
              <w:rPr>
                <w:rFonts w:ascii="宋体" w:hAnsi="宋体" w:eastAsia="宋体" w:cs="宋体"/>
                <w:spacing w:val="4"/>
              </w:rPr>
              <w:t>7</w:t>
            </w:r>
            <w:r>
              <w:rPr>
                <w:spacing w:val="4"/>
              </w:rPr>
              <w:t>万元以</w:t>
            </w:r>
            <w:r>
              <w:rPr>
                <w:spacing w:val="3"/>
              </w:rPr>
              <w:t>上</w:t>
            </w:r>
            <w:r>
              <w:rPr>
                <w:rFonts w:ascii="宋体" w:hAnsi="宋体" w:eastAsia="宋体" w:cs="宋体"/>
                <w:spacing w:val="3"/>
              </w:rPr>
              <w:t>9</w:t>
            </w:r>
            <w:r>
              <w:rPr>
                <w:spacing w:val="3"/>
              </w:rPr>
              <w:t>万元以下的罚款；情</w:t>
            </w:r>
            <w:r>
              <w:rPr>
                <w:spacing w:val="8"/>
              </w:rPr>
              <w:t>节严重的，责令停产停业</w:t>
            </w:r>
            <w:r>
              <w:rPr>
                <w:spacing w:val="1"/>
              </w:rPr>
              <w:t>整顿</w:t>
            </w:r>
          </w:p>
        </w:tc>
        <w:tc>
          <w:tcPr>
            <w:tcW w:w="811" w:type="dxa"/>
            <w:vMerge w:val="restart"/>
            <w:tcBorders>
              <w:bottom w:val="nil"/>
            </w:tcBorders>
            <w:vAlign w:val="top"/>
          </w:tcPr>
          <w:p w14:paraId="3DBE5418">
            <w:pPr>
              <w:rPr>
                <w:rFonts w:ascii="Arial"/>
                <w:sz w:val="21"/>
              </w:rPr>
            </w:pPr>
          </w:p>
        </w:tc>
      </w:tr>
      <w:tr w14:paraId="48404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tcBorders>
            <w:vAlign w:val="top"/>
          </w:tcPr>
          <w:p w14:paraId="6D1E9B0D">
            <w:pPr>
              <w:rPr>
                <w:rFonts w:ascii="Arial"/>
                <w:sz w:val="21"/>
              </w:rPr>
            </w:pPr>
          </w:p>
        </w:tc>
        <w:tc>
          <w:tcPr>
            <w:tcW w:w="1440" w:type="dxa"/>
            <w:vMerge w:val="continue"/>
            <w:tcBorders>
              <w:top w:val="nil"/>
            </w:tcBorders>
            <w:vAlign w:val="top"/>
          </w:tcPr>
          <w:p w14:paraId="18BB2754">
            <w:pPr>
              <w:rPr>
                <w:rFonts w:ascii="Arial"/>
                <w:sz w:val="21"/>
              </w:rPr>
            </w:pPr>
          </w:p>
        </w:tc>
        <w:tc>
          <w:tcPr>
            <w:tcW w:w="3202" w:type="dxa"/>
            <w:vMerge w:val="continue"/>
            <w:tcBorders>
              <w:top w:val="nil"/>
            </w:tcBorders>
            <w:vAlign w:val="top"/>
          </w:tcPr>
          <w:p w14:paraId="7D752AD0">
            <w:pPr>
              <w:rPr>
                <w:rFonts w:ascii="Arial"/>
                <w:sz w:val="21"/>
              </w:rPr>
            </w:pPr>
          </w:p>
        </w:tc>
        <w:tc>
          <w:tcPr>
            <w:tcW w:w="2859" w:type="dxa"/>
            <w:vMerge w:val="continue"/>
            <w:tcBorders>
              <w:top w:val="nil"/>
            </w:tcBorders>
            <w:vAlign w:val="top"/>
          </w:tcPr>
          <w:p w14:paraId="006D8C6C">
            <w:pPr>
              <w:rPr>
                <w:rFonts w:ascii="Arial"/>
                <w:sz w:val="21"/>
              </w:rPr>
            </w:pPr>
          </w:p>
        </w:tc>
        <w:tc>
          <w:tcPr>
            <w:tcW w:w="803" w:type="dxa"/>
            <w:vAlign w:val="top"/>
          </w:tcPr>
          <w:p w14:paraId="082FDB6E">
            <w:pPr>
              <w:spacing w:line="248" w:lineRule="auto"/>
              <w:rPr>
                <w:rFonts w:ascii="Arial"/>
                <w:sz w:val="21"/>
              </w:rPr>
            </w:pPr>
          </w:p>
          <w:p w14:paraId="54D8A351">
            <w:pPr>
              <w:spacing w:line="248" w:lineRule="auto"/>
              <w:rPr>
                <w:rFonts w:ascii="Arial"/>
                <w:sz w:val="21"/>
              </w:rPr>
            </w:pPr>
          </w:p>
          <w:p w14:paraId="1206D7AA">
            <w:pPr>
              <w:spacing w:line="248" w:lineRule="auto"/>
              <w:rPr>
                <w:rFonts w:ascii="Arial"/>
                <w:sz w:val="21"/>
              </w:rPr>
            </w:pPr>
          </w:p>
          <w:p w14:paraId="0188490E">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D140D2F">
            <w:pPr>
              <w:pStyle w:val="6"/>
              <w:spacing w:before="179" w:line="188" w:lineRule="auto"/>
              <w:ind w:left="114" w:right="109" w:firstLine="3"/>
              <w:jc w:val="both"/>
            </w:pPr>
            <w:r>
              <w:rPr>
                <w:spacing w:val="26"/>
              </w:rPr>
              <w:t>未提供化学品安全</w:t>
            </w:r>
            <w:r>
              <w:rPr>
                <w:spacing w:val="-2"/>
              </w:rPr>
              <w:t>技术说明书，且未在</w:t>
            </w:r>
            <w:r>
              <w:rPr>
                <w:spacing w:val="26"/>
              </w:rPr>
              <w:t>包装（包括外包装</w:t>
            </w:r>
            <w:r>
              <w:rPr>
                <w:spacing w:val="-2"/>
              </w:rPr>
              <w:t>件）上粘贴、拴挂化</w:t>
            </w:r>
            <w:r>
              <w:rPr>
                <w:spacing w:val="7"/>
              </w:rPr>
              <w:t>学品安全标签的</w:t>
            </w:r>
          </w:p>
        </w:tc>
        <w:tc>
          <w:tcPr>
            <w:tcW w:w="2894" w:type="dxa"/>
            <w:vAlign w:val="top"/>
          </w:tcPr>
          <w:p w14:paraId="7265BEAC">
            <w:pPr>
              <w:pStyle w:val="6"/>
              <w:spacing w:before="28" w:line="179" w:lineRule="auto"/>
              <w:ind w:left="122" w:right="103" w:firstLine="5"/>
            </w:pPr>
            <w:r>
              <w:rPr>
                <w:spacing w:val="3"/>
              </w:rPr>
              <w:t>责令改正，可以处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万元以下的罚款；</w:t>
            </w:r>
            <w:r>
              <w:rPr>
                <w:spacing w:val="4"/>
              </w:rPr>
              <w:t>拒不改正的，处</w:t>
            </w:r>
            <w:r>
              <w:rPr>
                <w:rFonts w:ascii="宋体" w:hAnsi="宋体" w:eastAsia="宋体" w:cs="宋体"/>
                <w:spacing w:val="4"/>
              </w:rPr>
              <w:t>9</w:t>
            </w:r>
            <w:r>
              <w:rPr>
                <w:spacing w:val="4"/>
              </w:rPr>
              <w:t>万元以</w:t>
            </w:r>
            <w:r>
              <w:rPr>
                <w:spacing w:val="-4"/>
              </w:rPr>
              <w:t>上</w:t>
            </w:r>
            <w:r>
              <w:rPr>
                <w:rFonts w:ascii="宋体" w:hAnsi="宋体" w:eastAsia="宋体" w:cs="宋体"/>
                <w:spacing w:val="-4"/>
              </w:rPr>
              <w:t>10</w:t>
            </w:r>
            <w:r>
              <w:rPr>
                <w:spacing w:val="-4"/>
              </w:rPr>
              <w:t>万元以下的罚款；情</w:t>
            </w:r>
            <w:r>
              <w:rPr>
                <w:spacing w:val="8"/>
              </w:rPr>
              <w:t>节严重的，责令停产停业</w:t>
            </w:r>
            <w:r>
              <w:rPr>
                <w:spacing w:val="1"/>
              </w:rPr>
              <w:t>整顿</w:t>
            </w:r>
          </w:p>
        </w:tc>
        <w:tc>
          <w:tcPr>
            <w:tcW w:w="811" w:type="dxa"/>
            <w:vMerge w:val="continue"/>
            <w:tcBorders>
              <w:top w:val="nil"/>
            </w:tcBorders>
            <w:vAlign w:val="top"/>
          </w:tcPr>
          <w:p w14:paraId="141B8A7B">
            <w:pPr>
              <w:rPr>
                <w:rFonts w:ascii="Arial"/>
                <w:sz w:val="21"/>
              </w:rPr>
            </w:pPr>
          </w:p>
        </w:tc>
      </w:tr>
      <w:tr w14:paraId="31CF4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5" w:hRule="atLeast"/>
        </w:trPr>
        <w:tc>
          <w:tcPr>
            <w:tcW w:w="818" w:type="dxa"/>
            <w:vAlign w:val="top"/>
          </w:tcPr>
          <w:p w14:paraId="7B53A1E7">
            <w:pPr>
              <w:spacing w:line="242" w:lineRule="auto"/>
              <w:rPr>
                <w:rFonts w:ascii="Arial"/>
                <w:sz w:val="21"/>
              </w:rPr>
            </w:pPr>
          </w:p>
          <w:p w14:paraId="67EFA76A">
            <w:pPr>
              <w:spacing w:line="242" w:lineRule="auto"/>
              <w:rPr>
                <w:rFonts w:ascii="Arial"/>
                <w:sz w:val="21"/>
              </w:rPr>
            </w:pPr>
          </w:p>
          <w:p w14:paraId="08F42014">
            <w:pPr>
              <w:spacing w:line="243" w:lineRule="auto"/>
              <w:rPr>
                <w:rFonts w:ascii="Arial"/>
                <w:sz w:val="21"/>
              </w:rPr>
            </w:pPr>
          </w:p>
          <w:p w14:paraId="2E39F885">
            <w:pPr>
              <w:spacing w:line="243" w:lineRule="auto"/>
              <w:rPr>
                <w:rFonts w:ascii="Arial"/>
                <w:sz w:val="21"/>
              </w:rPr>
            </w:pPr>
          </w:p>
          <w:p w14:paraId="035DBF3B">
            <w:pPr>
              <w:spacing w:line="243" w:lineRule="auto"/>
              <w:rPr>
                <w:rFonts w:ascii="Arial"/>
                <w:sz w:val="21"/>
              </w:rPr>
            </w:pPr>
          </w:p>
          <w:p w14:paraId="61DAB0F1">
            <w:pPr>
              <w:spacing w:line="243" w:lineRule="auto"/>
              <w:rPr>
                <w:rFonts w:ascii="Arial"/>
                <w:sz w:val="21"/>
              </w:rPr>
            </w:pPr>
          </w:p>
          <w:p w14:paraId="59685C84">
            <w:pPr>
              <w:spacing w:line="243" w:lineRule="auto"/>
              <w:rPr>
                <w:rFonts w:ascii="Arial"/>
                <w:sz w:val="21"/>
              </w:rPr>
            </w:pPr>
          </w:p>
          <w:p w14:paraId="3036CD85">
            <w:pPr>
              <w:spacing w:line="243" w:lineRule="auto"/>
              <w:rPr>
                <w:rFonts w:ascii="Arial"/>
                <w:sz w:val="21"/>
              </w:rPr>
            </w:pPr>
          </w:p>
          <w:p w14:paraId="0A252D80">
            <w:pPr>
              <w:spacing w:before="75" w:line="186" w:lineRule="auto"/>
              <w:ind w:left="161"/>
              <w:rPr>
                <w:rFonts w:ascii="仿宋" w:hAnsi="仿宋" w:eastAsia="仿宋" w:cs="仿宋"/>
                <w:sz w:val="23"/>
                <w:szCs w:val="23"/>
              </w:rPr>
            </w:pPr>
            <w:r>
              <w:rPr>
                <w:rFonts w:ascii="仿宋" w:hAnsi="仿宋" w:eastAsia="仿宋" w:cs="仿宋"/>
                <w:spacing w:val="-5"/>
                <w:sz w:val="23"/>
                <w:szCs w:val="23"/>
              </w:rPr>
              <w:t>122</w:t>
            </w:r>
          </w:p>
        </w:tc>
        <w:tc>
          <w:tcPr>
            <w:tcW w:w="1440" w:type="dxa"/>
            <w:vAlign w:val="top"/>
          </w:tcPr>
          <w:p w14:paraId="3A2830B3">
            <w:pPr>
              <w:pStyle w:val="6"/>
              <w:spacing w:before="28" w:line="181" w:lineRule="auto"/>
              <w:ind w:left="112" w:right="106" w:firstLine="2"/>
              <w:jc w:val="both"/>
            </w:pPr>
            <w:r>
              <w:rPr>
                <w:spacing w:val="11"/>
              </w:rPr>
              <w:t>危险化学品</w:t>
            </w:r>
            <w:r>
              <w:rPr>
                <w:spacing w:val="12"/>
              </w:rPr>
              <w:t>生产企业提供的化学品安全技术说明书与其生产的危险化</w:t>
            </w:r>
            <w:r>
              <w:rPr>
                <w:spacing w:val="-10"/>
              </w:rPr>
              <w:t>学品不相</w:t>
            </w:r>
            <w:r>
              <w:rPr>
                <w:spacing w:val="4"/>
              </w:rPr>
              <w:t>符，或者在</w:t>
            </w:r>
            <w:r>
              <w:rPr>
                <w:spacing w:val="12"/>
              </w:rPr>
              <w:t>包装（包括</w:t>
            </w:r>
            <w:r>
              <w:rPr>
                <w:spacing w:val="13"/>
              </w:rPr>
              <w:t>外包装件）</w:t>
            </w:r>
            <w:r>
              <w:rPr>
                <w:spacing w:val="12"/>
              </w:rPr>
              <w:t>粘贴、拴挂的化学品安全标签与包装内危险化</w:t>
            </w:r>
          </w:p>
        </w:tc>
        <w:tc>
          <w:tcPr>
            <w:tcW w:w="3202" w:type="dxa"/>
            <w:vAlign w:val="top"/>
          </w:tcPr>
          <w:p w14:paraId="14E2BEA6">
            <w:pPr>
              <w:pStyle w:val="6"/>
              <w:spacing w:before="24" w:line="185" w:lineRule="auto"/>
              <w:ind w:left="117" w:right="111" w:hanging="19"/>
            </w:pPr>
            <w:r>
              <w:rPr>
                <w:spacing w:val="18"/>
              </w:rPr>
              <w:t>【行政法规】《危险化学品</w:t>
            </w:r>
            <w:r>
              <w:rPr>
                <w:spacing w:val="17"/>
              </w:rPr>
              <w:t>安全管理条例》第十五条第</w:t>
            </w:r>
            <w:r>
              <w:rPr>
                <w:spacing w:val="13"/>
              </w:rPr>
              <w:t>一款：危险化学品生产企业</w:t>
            </w:r>
            <w:r>
              <w:rPr>
                <w:spacing w:val="17"/>
              </w:rPr>
              <w:t>应当提供与其生产的危险化学品相符的化学品安全技术</w:t>
            </w:r>
            <w:r>
              <w:rPr>
                <w:spacing w:val="13"/>
              </w:rPr>
              <w:t>说明书，并在危险化学品包装（包括外包装件）上粘贴</w:t>
            </w:r>
            <w:r>
              <w:rPr>
                <w:spacing w:val="17"/>
              </w:rPr>
              <w:t>或者拴挂与包装内危险化学</w:t>
            </w:r>
            <w:r>
              <w:rPr>
                <w:spacing w:val="14"/>
              </w:rPr>
              <w:t>品相符的化学品安全标签。</w:t>
            </w:r>
            <w:r>
              <w:rPr>
                <w:spacing w:val="17"/>
              </w:rPr>
              <w:t>化学品安全技术说明书和化学品安全标签所载明的内容</w:t>
            </w:r>
            <w:r>
              <w:rPr>
                <w:spacing w:val="5"/>
              </w:rPr>
              <w:t>应当符合国家标准的要求。</w:t>
            </w:r>
          </w:p>
        </w:tc>
        <w:tc>
          <w:tcPr>
            <w:tcW w:w="2859" w:type="dxa"/>
            <w:vAlign w:val="top"/>
          </w:tcPr>
          <w:p w14:paraId="61B8EF05">
            <w:pPr>
              <w:pStyle w:val="6"/>
              <w:spacing w:before="28" w:line="181" w:lineRule="auto"/>
              <w:ind w:left="114" w:right="105" w:hanging="17"/>
              <w:jc w:val="both"/>
            </w:pPr>
            <w:r>
              <w:rPr>
                <w:spacing w:val="10"/>
              </w:rPr>
              <w:t>【行政法规】《危险化学</w:t>
            </w:r>
            <w:r>
              <w:rPr>
                <w:spacing w:val="8"/>
              </w:rPr>
              <w:t>品安全管理条例》第七十八条第一款第四项：有下列情形之一的，由安全生</w:t>
            </w:r>
            <w:r>
              <w:rPr>
                <w:spacing w:val="32"/>
              </w:rPr>
              <w:t>产监督管理部门责令改</w:t>
            </w:r>
            <w:r>
              <w:rPr>
                <w:spacing w:val="5"/>
              </w:rPr>
              <w:t>正，可以处</w:t>
            </w:r>
            <w:r>
              <w:rPr>
                <w:rFonts w:ascii="宋体" w:hAnsi="宋体" w:eastAsia="宋体" w:cs="宋体"/>
                <w:spacing w:val="5"/>
              </w:rPr>
              <w:t>5</w:t>
            </w:r>
            <w:r>
              <w:rPr>
                <w:spacing w:val="5"/>
              </w:rPr>
              <w:t>万元以下的</w:t>
            </w:r>
            <w:r>
              <w:rPr>
                <w:spacing w:val="6"/>
              </w:rPr>
              <w:t>罚款；拒不改正的，处</w:t>
            </w:r>
            <w:r>
              <w:rPr>
                <w:rFonts w:ascii="宋体" w:hAnsi="宋体" w:eastAsia="宋体" w:cs="宋体"/>
                <w:spacing w:val="6"/>
              </w:rPr>
              <w:t>5</w:t>
            </w:r>
            <w:r>
              <w:rPr>
                <w:spacing w:val="9"/>
              </w:rPr>
              <w:t>万元以上</w:t>
            </w:r>
            <w:r>
              <w:rPr>
                <w:rFonts w:ascii="宋体" w:hAnsi="宋体" w:eastAsia="宋体" w:cs="宋体"/>
                <w:spacing w:val="9"/>
              </w:rPr>
              <w:t>10</w:t>
            </w:r>
            <w:r>
              <w:rPr>
                <w:spacing w:val="9"/>
              </w:rPr>
              <w:t>万元以下的</w:t>
            </w:r>
            <w:r>
              <w:rPr>
                <w:spacing w:val="8"/>
              </w:rPr>
              <w:t>罚款；情节严重的，责令停产停业整顿</w:t>
            </w:r>
            <w:r>
              <w:rPr>
                <w:spacing w:val="11"/>
              </w:rPr>
              <w:t>：（</w:t>
            </w:r>
            <w:r>
              <w:rPr>
                <w:spacing w:val="8"/>
              </w:rPr>
              <w:t>四）危险化学品生产企业提供的化学品安全技术说明书与其生产的危险化学品不相符，或者在包装（包括外</w:t>
            </w:r>
          </w:p>
        </w:tc>
        <w:tc>
          <w:tcPr>
            <w:tcW w:w="803" w:type="dxa"/>
            <w:vAlign w:val="top"/>
          </w:tcPr>
          <w:p w14:paraId="3DC327D5">
            <w:pPr>
              <w:spacing w:line="242" w:lineRule="auto"/>
              <w:rPr>
                <w:rFonts w:ascii="Arial"/>
                <w:sz w:val="21"/>
              </w:rPr>
            </w:pPr>
          </w:p>
          <w:p w14:paraId="6D5F5DAC">
            <w:pPr>
              <w:spacing w:line="242" w:lineRule="auto"/>
              <w:rPr>
                <w:rFonts w:ascii="Arial"/>
                <w:sz w:val="21"/>
              </w:rPr>
            </w:pPr>
          </w:p>
          <w:p w14:paraId="47D13D61">
            <w:pPr>
              <w:spacing w:line="242" w:lineRule="auto"/>
              <w:rPr>
                <w:rFonts w:ascii="Arial"/>
                <w:sz w:val="21"/>
              </w:rPr>
            </w:pPr>
          </w:p>
          <w:p w14:paraId="5F5C361F">
            <w:pPr>
              <w:spacing w:line="242" w:lineRule="auto"/>
              <w:rPr>
                <w:rFonts w:ascii="Arial"/>
                <w:sz w:val="21"/>
              </w:rPr>
            </w:pPr>
          </w:p>
          <w:p w14:paraId="2AFC475C">
            <w:pPr>
              <w:spacing w:line="242" w:lineRule="auto"/>
              <w:rPr>
                <w:rFonts w:ascii="Arial"/>
                <w:sz w:val="21"/>
              </w:rPr>
            </w:pPr>
          </w:p>
          <w:p w14:paraId="52BF890C">
            <w:pPr>
              <w:spacing w:line="242" w:lineRule="auto"/>
              <w:rPr>
                <w:rFonts w:ascii="Arial"/>
                <w:sz w:val="21"/>
              </w:rPr>
            </w:pPr>
          </w:p>
          <w:p w14:paraId="60F56120">
            <w:pPr>
              <w:spacing w:line="242" w:lineRule="auto"/>
              <w:rPr>
                <w:rFonts w:ascii="Arial"/>
                <w:sz w:val="21"/>
              </w:rPr>
            </w:pPr>
          </w:p>
          <w:p w14:paraId="13E1DDDF">
            <w:pPr>
              <w:spacing w:line="243" w:lineRule="auto"/>
              <w:rPr>
                <w:rFonts w:ascii="Arial"/>
                <w:sz w:val="21"/>
              </w:rPr>
            </w:pPr>
          </w:p>
          <w:p w14:paraId="17FD5E39">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1C10E10">
            <w:pPr>
              <w:pStyle w:val="6"/>
              <w:spacing w:before="28" w:line="181" w:lineRule="auto"/>
              <w:ind w:left="114" w:right="46" w:firstLine="2"/>
              <w:jc w:val="both"/>
            </w:pPr>
            <w:r>
              <w:rPr>
                <w:spacing w:val="26"/>
              </w:rPr>
              <w:t>危险化学品生产企业提供的化学品安全技术说明书与其生产的危险化学品</w:t>
            </w:r>
            <w:r>
              <w:rPr>
                <w:spacing w:val="-5"/>
              </w:rPr>
              <w:t>不相符，在包装（包</w:t>
            </w:r>
            <w:r>
              <w:rPr>
                <w:spacing w:val="5"/>
              </w:rPr>
              <w:t>括外包装件）粘贴、</w:t>
            </w:r>
            <w:r>
              <w:rPr>
                <w:spacing w:val="26"/>
              </w:rPr>
              <w:t>拴挂的化学品安全标签与包装内危险</w:t>
            </w:r>
            <w:r>
              <w:rPr>
                <w:spacing w:val="-2"/>
              </w:rPr>
              <w:t>化学品不相符，化学</w:t>
            </w:r>
            <w:r>
              <w:rPr>
                <w:spacing w:val="5"/>
              </w:rPr>
              <w:t>品安全技术说明书、</w:t>
            </w:r>
            <w:r>
              <w:rPr>
                <w:spacing w:val="26"/>
              </w:rPr>
              <w:t>化学品安全标签所载明的内容不符合</w:t>
            </w:r>
            <w:r>
              <w:rPr>
                <w:spacing w:val="-2"/>
              </w:rPr>
              <w:t>国家标准要求，有上</w:t>
            </w:r>
            <w:r>
              <w:rPr>
                <w:spacing w:val="-1"/>
              </w:rPr>
              <w:t>述</w:t>
            </w:r>
            <w:r>
              <w:rPr>
                <w:rFonts w:ascii="宋体" w:hAnsi="宋体" w:eastAsia="宋体" w:cs="宋体"/>
                <w:spacing w:val="-1"/>
              </w:rPr>
              <w:t>1</w:t>
            </w:r>
            <w:r>
              <w:rPr>
                <w:spacing w:val="-1"/>
              </w:rPr>
              <w:t>种情形的</w:t>
            </w:r>
          </w:p>
        </w:tc>
        <w:tc>
          <w:tcPr>
            <w:tcW w:w="2894" w:type="dxa"/>
            <w:vAlign w:val="top"/>
          </w:tcPr>
          <w:p w14:paraId="709751D9">
            <w:pPr>
              <w:spacing w:line="254" w:lineRule="auto"/>
              <w:rPr>
                <w:rFonts w:ascii="Arial"/>
                <w:sz w:val="21"/>
              </w:rPr>
            </w:pPr>
          </w:p>
          <w:p w14:paraId="3583A522">
            <w:pPr>
              <w:spacing w:line="254" w:lineRule="auto"/>
              <w:rPr>
                <w:rFonts w:ascii="Arial"/>
                <w:sz w:val="21"/>
              </w:rPr>
            </w:pPr>
          </w:p>
          <w:p w14:paraId="6E381259">
            <w:pPr>
              <w:spacing w:line="254" w:lineRule="auto"/>
              <w:rPr>
                <w:rFonts w:ascii="Arial"/>
                <w:sz w:val="21"/>
              </w:rPr>
            </w:pPr>
          </w:p>
          <w:p w14:paraId="114EF8F1">
            <w:pPr>
              <w:spacing w:line="254" w:lineRule="auto"/>
              <w:rPr>
                <w:rFonts w:ascii="Arial"/>
                <w:sz w:val="21"/>
              </w:rPr>
            </w:pPr>
          </w:p>
          <w:p w14:paraId="610FB63D">
            <w:pPr>
              <w:spacing w:line="254" w:lineRule="auto"/>
              <w:rPr>
                <w:rFonts w:ascii="Arial"/>
                <w:sz w:val="21"/>
              </w:rPr>
            </w:pPr>
          </w:p>
          <w:p w14:paraId="0E72A0FA">
            <w:pPr>
              <w:pStyle w:val="6"/>
              <w:spacing w:before="98" w:line="188" w:lineRule="auto"/>
              <w:ind w:left="117" w:right="37" w:firstLine="10"/>
              <w:jc w:val="both"/>
            </w:pPr>
            <w:r>
              <w:rPr>
                <w:spacing w:val="3"/>
              </w:rPr>
              <w:t>责令改正，可以处</w:t>
            </w:r>
            <w:r>
              <w:rPr>
                <w:rFonts w:ascii="宋体" w:hAnsi="宋体" w:eastAsia="宋体" w:cs="宋体"/>
                <w:spacing w:val="3"/>
              </w:rPr>
              <w:t>2</w:t>
            </w:r>
            <w:r>
              <w:rPr>
                <w:spacing w:val="3"/>
              </w:rPr>
              <w:t>万元</w:t>
            </w:r>
            <w:r>
              <w:rPr>
                <w:spacing w:val="-3"/>
              </w:rPr>
              <w:t>以下的罚款；拒不改正的，</w:t>
            </w:r>
            <w:r>
              <w:rPr>
                <w:spacing w:val="4"/>
              </w:rPr>
              <w:t>处</w:t>
            </w:r>
            <w:r>
              <w:rPr>
                <w:rFonts w:ascii="宋体" w:hAnsi="宋体" w:eastAsia="宋体" w:cs="宋体"/>
                <w:spacing w:val="4"/>
              </w:rPr>
              <w:t>5</w:t>
            </w:r>
            <w:r>
              <w:rPr>
                <w:spacing w:val="4"/>
              </w:rPr>
              <w:t>万元以上</w:t>
            </w:r>
            <w:r>
              <w:rPr>
                <w:rFonts w:ascii="宋体" w:hAnsi="宋体" w:eastAsia="宋体" w:cs="宋体"/>
                <w:spacing w:val="4"/>
              </w:rPr>
              <w:t>7</w:t>
            </w:r>
            <w:r>
              <w:rPr>
                <w:spacing w:val="4"/>
              </w:rPr>
              <w:t>万元以下的罚款；情节严重的，责</w:t>
            </w:r>
            <w:r>
              <w:rPr>
                <w:spacing w:val="7"/>
              </w:rPr>
              <w:t>令停产停业整顿</w:t>
            </w:r>
          </w:p>
        </w:tc>
        <w:tc>
          <w:tcPr>
            <w:tcW w:w="811" w:type="dxa"/>
            <w:vAlign w:val="top"/>
          </w:tcPr>
          <w:p w14:paraId="5D15EF87">
            <w:pPr>
              <w:spacing w:line="242" w:lineRule="auto"/>
              <w:rPr>
                <w:rFonts w:ascii="Arial"/>
                <w:sz w:val="21"/>
              </w:rPr>
            </w:pPr>
          </w:p>
          <w:p w14:paraId="7483ADCB">
            <w:pPr>
              <w:spacing w:line="242" w:lineRule="auto"/>
              <w:rPr>
                <w:rFonts w:ascii="Arial"/>
                <w:sz w:val="21"/>
              </w:rPr>
            </w:pPr>
          </w:p>
          <w:p w14:paraId="72BF26D3">
            <w:pPr>
              <w:spacing w:line="242" w:lineRule="auto"/>
              <w:rPr>
                <w:rFonts w:ascii="Arial"/>
                <w:sz w:val="21"/>
              </w:rPr>
            </w:pPr>
          </w:p>
          <w:p w14:paraId="5AB0B7CB">
            <w:pPr>
              <w:spacing w:line="242" w:lineRule="auto"/>
              <w:rPr>
                <w:rFonts w:ascii="Arial"/>
                <w:sz w:val="21"/>
              </w:rPr>
            </w:pPr>
          </w:p>
          <w:p w14:paraId="654D5685">
            <w:pPr>
              <w:spacing w:line="242" w:lineRule="auto"/>
              <w:rPr>
                <w:rFonts w:ascii="Arial"/>
                <w:sz w:val="21"/>
              </w:rPr>
            </w:pPr>
          </w:p>
          <w:p w14:paraId="2718A0B7">
            <w:pPr>
              <w:spacing w:line="243" w:lineRule="auto"/>
              <w:rPr>
                <w:rFonts w:ascii="Arial"/>
                <w:sz w:val="21"/>
              </w:rPr>
            </w:pPr>
          </w:p>
          <w:p w14:paraId="536BB7AB">
            <w:pPr>
              <w:spacing w:line="243" w:lineRule="auto"/>
              <w:rPr>
                <w:rFonts w:ascii="Arial"/>
                <w:sz w:val="21"/>
              </w:rPr>
            </w:pPr>
          </w:p>
          <w:p w14:paraId="3FD5AB90">
            <w:pPr>
              <w:spacing w:line="243" w:lineRule="auto"/>
              <w:rPr>
                <w:rFonts w:ascii="Arial"/>
                <w:sz w:val="21"/>
              </w:rPr>
            </w:pPr>
          </w:p>
          <w:p w14:paraId="5187C02B">
            <w:pPr>
              <w:spacing w:before="75" w:line="188" w:lineRule="auto"/>
              <w:ind w:left="292"/>
              <w:rPr>
                <w:rFonts w:ascii="宋体" w:hAnsi="宋体" w:eastAsia="宋体" w:cs="宋体"/>
                <w:sz w:val="23"/>
                <w:szCs w:val="23"/>
              </w:rPr>
            </w:pPr>
            <w:r>
              <w:rPr>
                <w:rFonts w:ascii="宋体" w:hAnsi="宋体" w:eastAsia="宋体" w:cs="宋体"/>
                <w:spacing w:val="-2"/>
                <w:sz w:val="23"/>
                <w:szCs w:val="23"/>
              </w:rPr>
              <w:t>89</w:t>
            </w:r>
          </w:p>
        </w:tc>
      </w:tr>
    </w:tbl>
    <w:p w14:paraId="6479C38E">
      <w:pPr>
        <w:pStyle w:val="2"/>
      </w:pPr>
    </w:p>
    <w:p w14:paraId="32392A88">
      <w:pPr>
        <w:sectPr>
          <w:footerReference r:id="rId147" w:type="default"/>
          <w:pgSz w:w="16839" w:h="11906"/>
          <w:pgMar w:top="1012" w:right="821" w:bottom="667" w:left="901" w:header="0" w:footer="388" w:gutter="0"/>
          <w:cols w:space="720" w:num="1"/>
        </w:sectPr>
      </w:pPr>
    </w:p>
    <w:p w14:paraId="78061310">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1110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165F44C">
            <w:pPr>
              <w:spacing w:before="222" w:line="241" w:lineRule="auto"/>
              <w:ind w:left="131"/>
              <w:rPr>
                <w:rFonts w:ascii="黑体" w:hAnsi="黑体" w:eastAsia="黑体" w:cs="黑体"/>
                <w:sz w:val="28"/>
                <w:szCs w:val="28"/>
              </w:rPr>
            </w:pPr>
            <w:bookmarkStart w:id="563" w:name="bookmark551"/>
            <w:bookmarkEnd w:id="563"/>
            <w:r>
              <w:rPr>
                <w:rFonts w:ascii="黑体" w:hAnsi="黑体" w:eastAsia="黑体" w:cs="黑体"/>
                <w:spacing w:val="-2"/>
                <w:sz w:val="28"/>
                <w:szCs w:val="28"/>
              </w:rPr>
              <w:t>序号</w:t>
            </w:r>
          </w:p>
        </w:tc>
        <w:tc>
          <w:tcPr>
            <w:tcW w:w="1440" w:type="dxa"/>
            <w:vAlign w:val="top"/>
          </w:tcPr>
          <w:p w14:paraId="7D3FC801">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166646F">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3D810E5">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15BE353B">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001171C1">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96D6D81">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826F761">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82EC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3" w:hRule="atLeast"/>
        </w:trPr>
        <w:tc>
          <w:tcPr>
            <w:tcW w:w="818" w:type="dxa"/>
            <w:vMerge w:val="restart"/>
            <w:tcBorders>
              <w:bottom w:val="nil"/>
            </w:tcBorders>
            <w:vAlign w:val="top"/>
          </w:tcPr>
          <w:p w14:paraId="30C49D4D">
            <w:pPr>
              <w:rPr>
                <w:rFonts w:ascii="Arial"/>
                <w:sz w:val="21"/>
              </w:rPr>
            </w:pPr>
          </w:p>
        </w:tc>
        <w:tc>
          <w:tcPr>
            <w:tcW w:w="1440" w:type="dxa"/>
            <w:vMerge w:val="restart"/>
            <w:tcBorders>
              <w:bottom w:val="nil"/>
            </w:tcBorders>
            <w:vAlign w:val="top"/>
          </w:tcPr>
          <w:p w14:paraId="2ECC0188">
            <w:pPr>
              <w:pStyle w:val="6"/>
              <w:spacing w:before="31" w:line="182" w:lineRule="auto"/>
              <w:ind w:left="119" w:right="111" w:firstLine="8"/>
              <w:jc w:val="both"/>
            </w:pPr>
            <w:r>
              <w:rPr>
                <w:spacing w:val="-13"/>
              </w:rPr>
              <w:t>学品不相</w:t>
            </w:r>
            <w:r>
              <w:rPr>
                <w:spacing w:val="3"/>
              </w:rPr>
              <w:t>符，或者化</w:t>
            </w:r>
            <w:r>
              <w:rPr>
                <w:spacing w:val="10"/>
              </w:rPr>
              <w:t>学品安全技</w:t>
            </w:r>
            <w:r>
              <w:rPr>
                <w:spacing w:val="7"/>
              </w:rPr>
              <w:t>术说明书、</w:t>
            </w:r>
          </w:p>
          <w:p w14:paraId="30F1A2AC">
            <w:pPr>
              <w:pStyle w:val="6"/>
              <w:spacing w:line="182" w:lineRule="auto"/>
              <w:ind w:left="121"/>
              <w:outlineLvl w:val="0"/>
            </w:pPr>
            <w:r>
              <w:rPr>
                <w:spacing w:val="10"/>
              </w:rPr>
              <w:t>化学品安全</w:t>
            </w:r>
          </w:p>
          <w:p w14:paraId="0466ECC9">
            <w:pPr>
              <w:pStyle w:val="6"/>
              <w:spacing w:line="189" w:lineRule="auto"/>
              <w:ind w:left="115" w:right="111" w:hanging="3"/>
              <w:jc w:val="both"/>
            </w:pPr>
            <w:r>
              <w:rPr>
                <w:spacing w:val="12"/>
              </w:rPr>
              <w:t>标签所载明</w:t>
            </w:r>
            <w:r>
              <w:rPr>
                <w:spacing w:val="11"/>
              </w:rPr>
              <w:t>的内容不符合国家标准</w:t>
            </w:r>
            <w:bookmarkStart w:id="564" w:name="bookmark552"/>
            <w:bookmarkEnd w:id="564"/>
            <w:bookmarkStart w:id="565" w:name="bookmark254"/>
            <w:bookmarkEnd w:id="565"/>
            <w:r>
              <w:rPr>
                <w:spacing w:val="4"/>
              </w:rPr>
              <w:t>要求的</w:t>
            </w:r>
          </w:p>
        </w:tc>
        <w:tc>
          <w:tcPr>
            <w:tcW w:w="3202" w:type="dxa"/>
            <w:vMerge w:val="restart"/>
            <w:tcBorders>
              <w:bottom w:val="nil"/>
            </w:tcBorders>
            <w:vAlign w:val="top"/>
          </w:tcPr>
          <w:p w14:paraId="67994C69">
            <w:pPr>
              <w:rPr>
                <w:rFonts w:ascii="Arial"/>
                <w:sz w:val="21"/>
              </w:rPr>
            </w:pPr>
          </w:p>
        </w:tc>
        <w:tc>
          <w:tcPr>
            <w:tcW w:w="2859" w:type="dxa"/>
            <w:vMerge w:val="restart"/>
            <w:tcBorders>
              <w:bottom w:val="nil"/>
            </w:tcBorders>
            <w:vAlign w:val="top"/>
          </w:tcPr>
          <w:p w14:paraId="3C793398">
            <w:pPr>
              <w:pStyle w:val="6"/>
              <w:spacing w:before="30" w:line="186" w:lineRule="auto"/>
              <w:ind w:left="118" w:right="110" w:hanging="4"/>
              <w:jc w:val="both"/>
            </w:pPr>
            <w:r>
              <w:rPr>
                <w:spacing w:val="4"/>
              </w:rPr>
              <w:t>包装件）粘贴、拴挂的化</w:t>
            </w:r>
            <w:r>
              <w:rPr>
                <w:spacing w:val="8"/>
              </w:rPr>
              <w:t>学品安全标签与包装内危险化学品不相符，或者化学品安全技术说明书、化学品安全标签所载明的内</w:t>
            </w:r>
            <w:r>
              <w:rPr>
                <w:spacing w:val="32"/>
              </w:rPr>
              <w:t>容不符合国家标准要求</w:t>
            </w:r>
            <w:r>
              <w:rPr>
                <w:spacing w:val="-11"/>
              </w:rPr>
              <w:t>的；</w:t>
            </w:r>
          </w:p>
        </w:tc>
        <w:tc>
          <w:tcPr>
            <w:tcW w:w="803" w:type="dxa"/>
            <w:vAlign w:val="top"/>
          </w:tcPr>
          <w:p w14:paraId="7F1845EF">
            <w:pPr>
              <w:spacing w:line="242" w:lineRule="auto"/>
              <w:rPr>
                <w:rFonts w:ascii="Arial"/>
                <w:sz w:val="21"/>
              </w:rPr>
            </w:pPr>
          </w:p>
          <w:p w14:paraId="4E911465">
            <w:pPr>
              <w:spacing w:line="242" w:lineRule="auto"/>
              <w:rPr>
                <w:rFonts w:ascii="Arial"/>
                <w:sz w:val="21"/>
              </w:rPr>
            </w:pPr>
          </w:p>
          <w:p w14:paraId="65C77C89">
            <w:pPr>
              <w:spacing w:line="242" w:lineRule="auto"/>
              <w:rPr>
                <w:rFonts w:ascii="Arial"/>
                <w:sz w:val="21"/>
              </w:rPr>
            </w:pPr>
          </w:p>
          <w:p w14:paraId="022B2076">
            <w:pPr>
              <w:spacing w:line="242" w:lineRule="auto"/>
              <w:rPr>
                <w:rFonts w:ascii="Arial"/>
                <w:sz w:val="21"/>
              </w:rPr>
            </w:pPr>
          </w:p>
          <w:p w14:paraId="666B1B8F">
            <w:pPr>
              <w:spacing w:line="242" w:lineRule="auto"/>
              <w:rPr>
                <w:rFonts w:ascii="Arial"/>
                <w:sz w:val="21"/>
              </w:rPr>
            </w:pPr>
          </w:p>
          <w:p w14:paraId="010A28F0">
            <w:pPr>
              <w:spacing w:line="242" w:lineRule="auto"/>
              <w:rPr>
                <w:rFonts w:ascii="Arial"/>
                <w:sz w:val="21"/>
              </w:rPr>
            </w:pPr>
          </w:p>
          <w:p w14:paraId="2BA75BE1">
            <w:pPr>
              <w:spacing w:line="242" w:lineRule="auto"/>
              <w:rPr>
                <w:rFonts w:ascii="Arial"/>
                <w:sz w:val="21"/>
              </w:rPr>
            </w:pPr>
          </w:p>
          <w:p w14:paraId="5BDA9659">
            <w:pPr>
              <w:spacing w:line="243" w:lineRule="auto"/>
              <w:rPr>
                <w:rFonts w:ascii="Arial"/>
                <w:sz w:val="21"/>
              </w:rPr>
            </w:pPr>
          </w:p>
          <w:p w14:paraId="11EB7F80">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1FD4A9C">
            <w:pPr>
              <w:pStyle w:val="6"/>
              <w:spacing w:before="26" w:line="181" w:lineRule="auto"/>
              <w:ind w:left="114" w:right="46" w:firstLine="2"/>
              <w:jc w:val="both"/>
            </w:pPr>
            <w:r>
              <w:rPr>
                <w:spacing w:val="26"/>
              </w:rPr>
              <w:t>危险化学品生产企业提供的化学品安全技术说明书与其生产的危险化学品</w:t>
            </w:r>
            <w:r>
              <w:rPr>
                <w:spacing w:val="-5"/>
              </w:rPr>
              <w:t>不相符，在包装（包</w:t>
            </w:r>
            <w:r>
              <w:rPr>
                <w:spacing w:val="5"/>
              </w:rPr>
              <w:t>括外包装件）粘贴、</w:t>
            </w:r>
            <w:r>
              <w:rPr>
                <w:spacing w:val="26"/>
              </w:rPr>
              <w:t>拴挂的化学品安全标签与包装内危险</w:t>
            </w:r>
            <w:r>
              <w:rPr>
                <w:spacing w:val="-2"/>
              </w:rPr>
              <w:t>化学品不相符，化学</w:t>
            </w:r>
            <w:r>
              <w:rPr>
                <w:spacing w:val="5"/>
              </w:rPr>
              <w:t>品安全技术说明书、</w:t>
            </w:r>
            <w:r>
              <w:rPr>
                <w:spacing w:val="26"/>
              </w:rPr>
              <w:t>化学品安全标签所载明的内容不符合</w:t>
            </w:r>
            <w:r>
              <w:rPr>
                <w:spacing w:val="-2"/>
              </w:rPr>
              <w:t>国家标准要求，有上</w:t>
            </w:r>
            <w:r>
              <w:rPr>
                <w:spacing w:val="2"/>
              </w:rPr>
              <w:t>述</w:t>
            </w:r>
            <w:r>
              <w:rPr>
                <w:rFonts w:ascii="宋体" w:hAnsi="宋体" w:eastAsia="宋体" w:cs="宋体"/>
                <w:spacing w:val="2"/>
              </w:rPr>
              <w:t>2</w:t>
            </w:r>
            <w:r>
              <w:rPr>
                <w:spacing w:val="2"/>
              </w:rPr>
              <w:t>种情形的</w:t>
            </w:r>
          </w:p>
        </w:tc>
        <w:tc>
          <w:tcPr>
            <w:tcW w:w="2894" w:type="dxa"/>
            <w:vAlign w:val="top"/>
          </w:tcPr>
          <w:p w14:paraId="3646DADF">
            <w:pPr>
              <w:spacing w:line="280" w:lineRule="auto"/>
              <w:rPr>
                <w:rFonts w:ascii="Arial"/>
                <w:sz w:val="21"/>
              </w:rPr>
            </w:pPr>
          </w:p>
          <w:p w14:paraId="2CB4F330">
            <w:pPr>
              <w:spacing w:line="280" w:lineRule="auto"/>
              <w:rPr>
                <w:rFonts w:ascii="Arial"/>
                <w:sz w:val="21"/>
              </w:rPr>
            </w:pPr>
          </w:p>
          <w:p w14:paraId="6725A48E">
            <w:pPr>
              <w:spacing w:line="281" w:lineRule="auto"/>
              <w:rPr>
                <w:rFonts w:ascii="Arial"/>
                <w:sz w:val="21"/>
              </w:rPr>
            </w:pPr>
          </w:p>
          <w:p w14:paraId="36038E38">
            <w:pPr>
              <w:spacing w:line="281" w:lineRule="auto"/>
              <w:rPr>
                <w:rFonts w:ascii="Arial"/>
                <w:sz w:val="21"/>
              </w:rPr>
            </w:pPr>
          </w:p>
          <w:p w14:paraId="7D8AD0BF">
            <w:pPr>
              <w:pStyle w:val="6"/>
              <w:spacing w:before="98" w:line="187" w:lineRule="auto"/>
              <w:ind w:left="122" w:right="103" w:firstLine="5"/>
            </w:pPr>
            <w:r>
              <w:rPr>
                <w:spacing w:val="3"/>
              </w:rPr>
              <w:t>责令改正，可以处</w:t>
            </w:r>
            <w:r>
              <w:rPr>
                <w:rFonts w:ascii="宋体" w:hAnsi="宋体" w:eastAsia="宋体" w:cs="宋体"/>
                <w:spacing w:val="3"/>
              </w:rPr>
              <w:t>2</w:t>
            </w:r>
            <w:r>
              <w:rPr>
                <w:spacing w:val="3"/>
              </w:rPr>
              <w:t>万元以上</w:t>
            </w:r>
            <w:r>
              <w:rPr>
                <w:rFonts w:ascii="宋体" w:hAnsi="宋体" w:eastAsia="宋体" w:cs="宋体"/>
                <w:spacing w:val="3"/>
              </w:rPr>
              <w:t>4</w:t>
            </w:r>
            <w:r>
              <w:rPr>
                <w:spacing w:val="3"/>
              </w:rPr>
              <w:t>万元以下的罚款；</w:t>
            </w:r>
            <w:r>
              <w:rPr>
                <w:spacing w:val="4"/>
              </w:rPr>
              <w:t>拒不改正的，处</w:t>
            </w:r>
            <w:r>
              <w:rPr>
                <w:rFonts w:ascii="宋体" w:hAnsi="宋体" w:eastAsia="宋体" w:cs="宋体"/>
                <w:spacing w:val="4"/>
              </w:rPr>
              <w:t>7</w:t>
            </w:r>
            <w:r>
              <w:rPr>
                <w:spacing w:val="4"/>
              </w:rPr>
              <w:t>万元以</w:t>
            </w:r>
            <w:r>
              <w:rPr>
                <w:spacing w:val="3"/>
              </w:rPr>
              <w:t>上</w:t>
            </w:r>
            <w:r>
              <w:rPr>
                <w:rFonts w:ascii="宋体" w:hAnsi="宋体" w:eastAsia="宋体" w:cs="宋体"/>
                <w:spacing w:val="3"/>
              </w:rPr>
              <w:t>9</w:t>
            </w:r>
            <w:r>
              <w:rPr>
                <w:spacing w:val="3"/>
              </w:rPr>
              <w:t>万元以下的罚款；情</w:t>
            </w:r>
            <w:r>
              <w:rPr>
                <w:spacing w:val="8"/>
              </w:rPr>
              <w:t>节严重的，责令停产停业</w:t>
            </w:r>
            <w:r>
              <w:rPr>
                <w:spacing w:val="1"/>
              </w:rPr>
              <w:t>整顿</w:t>
            </w:r>
          </w:p>
        </w:tc>
        <w:tc>
          <w:tcPr>
            <w:tcW w:w="811" w:type="dxa"/>
            <w:vMerge w:val="restart"/>
            <w:tcBorders>
              <w:bottom w:val="nil"/>
            </w:tcBorders>
            <w:vAlign w:val="top"/>
          </w:tcPr>
          <w:p w14:paraId="174B3A7C">
            <w:pPr>
              <w:rPr>
                <w:rFonts w:ascii="Arial"/>
                <w:sz w:val="21"/>
              </w:rPr>
            </w:pPr>
          </w:p>
        </w:tc>
      </w:tr>
      <w:tr w14:paraId="01767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3" w:hRule="atLeast"/>
        </w:trPr>
        <w:tc>
          <w:tcPr>
            <w:tcW w:w="818" w:type="dxa"/>
            <w:vMerge w:val="continue"/>
            <w:tcBorders>
              <w:top w:val="nil"/>
            </w:tcBorders>
            <w:vAlign w:val="top"/>
          </w:tcPr>
          <w:p w14:paraId="02475381">
            <w:pPr>
              <w:rPr>
                <w:rFonts w:ascii="Arial"/>
                <w:sz w:val="21"/>
              </w:rPr>
            </w:pPr>
          </w:p>
        </w:tc>
        <w:tc>
          <w:tcPr>
            <w:tcW w:w="1440" w:type="dxa"/>
            <w:vMerge w:val="continue"/>
            <w:tcBorders>
              <w:top w:val="nil"/>
            </w:tcBorders>
            <w:vAlign w:val="top"/>
          </w:tcPr>
          <w:p w14:paraId="61538BEF">
            <w:pPr>
              <w:rPr>
                <w:rFonts w:ascii="Arial"/>
                <w:sz w:val="21"/>
              </w:rPr>
            </w:pPr>
          </w:p>
        </w:tc>
        <w:tc>
          <w:tcPr>
            <w:tcW w:w="3202" w:type="dxa"/>
            <w:vMerge w:val="continue"/>
            <w:tcBorders>
              <w:top w:val="nil"/>
            </w:tcBorders>
            <w:vAlign w:val="top"/>
          </w:tcPr>
          <w:p w14:paraId="25CFBC9C">
            <w:pPr>
              <w:rPr>
                <w:rFonts w:ascii="Arial"/>
                <w:sz w:val="21"/>
              </w:rPr>
            </w:pPr>
          </w:p>
        </w:tc>
        <w:tc>
          <w:tcPr>
            <w:tcW w:w="2859" w:type="dxa"/>
            <w:vMerge w:val="continue"/>
            <w:tcBorders>
              <w:top w:val="nil"/>
            </w:tcBorders>
            <w:vAlign w:val="top"/>
          </w:tcPr>
          <w:p w14:paraId="6B87445A">
            <w:pPr>
              <w:rPr>
                <w:rFonts w:ascii="Arial"/>
                <w:sz w:val="21"/>
              </w:rPr>
            </w:pPr>
          </w:p>
        </w:tc>
        <w:tc>
          <w:tcPr>
            <w:tcW w:w="803" w:type="dxa"/>
            <w:vAlign w:val="top"/>
          </w:tcPr>
          <w:p w14:paraId="3639CD84">
            <w:pPr>
              <w:spacing w:line="242" w:lineRule="auto"/>
              <w:rPr>
                <w:rFonts w:ascii="Arial"/>
                <w:sz w:val="21"/>
              </w:rPr>
            </w:pPr>
          </w:p>
          <w:p w14:paraId="072D58AF">
            <w:pPr>
              <w:spacing w:line="242" w:lineRule="auto"/>
              <w:rPr>
                <w:rFonts w:ascii="Arial"/>
                <w:sz w:val="21"/>
              </w:rPr>
            </w:pPr>
          </w:p>
          <w:p w14:paraId="3A7065C0">
            <w:pPr>
              <w:spacing w:line="242" w:lineRule="auto"/>
              <w:rPr>
                <w:rFonts w:ascii="Arial"/>
                <w:sz w:val="21"/>
              </w:rPr>
            </w:pPr>
          </w:p>
          <w:p w14:paraId="052E4AAE">
            <w:pPr>
              <w:spacing w:line="242" w:lineRule="auto"/>
              <w:rPr>
                <w:rFonts w:ascii="Arial"/>
                <w:sz w:val="21"/>
              </w:rPr>
            </w:pPr>
          </w:p>
          <w:p w14:paraId="4A973827">
            <w:pPr>
              <w:spacing w:line="242" w:lineRule="auto"/>
              <w:rPr>
                <w:rFonts w:ascii="Arial"/>
                <w:sz w:val="21"/>
              </w:rPr>
            </w:pPr>
          </w:p>
          <w:p w14:paraId="7F333BBF">
            <w:pPr>
              <w:spacing w:line="242" w:lineRule="auto"/>
              <w:rPr>
                <w:rFonts w:ascii="Arial"/>
                <w:sz w:val="21"/>
              </w:rPr>
            </w:pPr>
          </w:p>
          <w:p w14:paraId="71B7026A">
            <w:pPr>
              <w:spacing w:line="242" w:lineRule="auto"/>
              <w:rPr>
                <w:rFonts w:ascii="Arial"/>
                <w:sz w:val="21"/>
              </w:rPr>
            </w:pPr>
          </w:p>
          <w:p w14:paraId="588FF507">
            <w:pPr>
              <w:spacing w:line="243" w:lineRule="auto"/>
              <w:rPr>
                <w:rFonts w:ascii="Arial"/>
                <w:sz w:val="21"/>
              </w:rPr>
            </w:pPr>
          </w:p>
          <w:p w14:paraId="050289D0">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8A334BB">
            <w:pPr>
              <w:pStyle w:val="6"/>
              <w:spacing w:before="26" w:line="181" w:lineRule="auto"/>
              <w:ind w:left="114" w:right="46" w:firstLine="2"/>
              <w:jc w:val="both"/>
            </w:pPr>
            <w:r>
              <w:rPr>
                <w:spacing w:val="26"/>
              </w:rPr>
              <w:t>危险化学品生产企业提供的化学品安全技术说明书与其生产的危险化学品</w:t>
            </w:r>
            <w:r>
              <w:rPr>
                <w:spacing w:val="-5"/>
              </w:rPr>
              <w:t>不相符，在包装（包</w:t>
            </w:r>
            <w:r>
              <w:rPr>
                <w:spacing w:val="5"/>
              </w:rPr>
              <w:t>括外包装件）粘贴、</w:t>
            </w:r>
            <w:r>
              <w:rPr>
                <w:spacing w:val="26"/>
              </w:rPr>
              <w:t>拴挂的化学品安全标签与包装内危险</w:t>
            </w:r>
            <w:r>
              <w:rPr>
                <w:spacing w:val="-2"/>
              </w:rPr>
              <w:t>化学品不相符，化学</w:t>
            </w:r>
            <w:r>
              <w:rPr>
                <w:spacing w:val="5"/>
              </w:rPr>
              <w:t>品安全技术说明书、</w:t>
            </w:r>
            <w:r>
              <w:rPr>
                <w:spacing w:val="26"/>
              </w:rPr>
              <w:t>化学品安全标签所载明的内容不符合</w:t>
            </w:r>
            <w:r>
              <w:rPr>
                <w:spacing w:val="-2"/>
              </w:rPr>
              <w:t>国家标准要求，有上</w:t>
            </w:r>
            <w:r>
              <w:rPr>
                <w:spacing w:val="2"/>
              </w:rPr>
              <w:t>述</w:t>
            </w:r>
            <w:r>
              <w:rPr>
                <w:rFonts w:ascii="宋体" w:hAnsi="宋体" w:eastAsia="宋体" w:cs="宋体"/>
                <w:spacing w:val="2"/>
              </w:rPr>
              <w:t>3</w:t>
            </w:r>
            <w:r>
              <w:rPr>
                <w:spacing w:val="2"/>
              </w:rPr>
              <w:t>种情形的</w:t>
            </w:r>
          </w:p>
        </w:tc>
        <w:tc>
          <w:tcPr>
            <w:tcW w:w="2894" w:type="dxa"/>
            <w:vAlign w:val="top"/>
          </w:tcPr>
          <w:p w14:paraId="3826835B">
            <w:pPr>
              <w:spacing w:line="281" w:lineRule="auto"/>
              <w:rPr>
                <w:rFonts w:ascii="Arial"/>
                <w:sz w:val="21"/>
              </w:rPr>
            </w:pPr>
          </w:p>
          <w:p w14:paraId="5B42B501">
            <w:pPr>
              <w:spacing w:line="281" w:lineRule="auto"/>
              <w:rPr>
                <w:rFonts w:ascii="Arial"/>
                <w:sz w:val="21"/>
              </w:rPr>
            </w:pPr>
          </w:p>
          <w:p w14:paraId="2325AC3C">
            <w:pPr>
              <w:spacing w:line="281" w:lineRule="auto"/>
              <w:rPr>
                <w:rFonts w:ascii="Arial"/>
                <w:sz w:val="21"/>
              </w:rPr>
            </w:pPr>
          </w:p>
          <w:p w14:paraId="204E8C6E">
            <w:pPr>
              <w:spacing w:line="282" w:lineRule="auto"/>
              <w:rPr>
                <w:rFonts w:ascii="Arial"/>
                <w:sz w:val="21"/>
              </w:rPr>
            </w:pPr>
          </w:p>
          <w:p w14:paraId="487CDDAF">
            <w:pPr>
              <w:pStyle w:val="6"/>
              <w:spacing w:before="99" w:line="187" w:lineRule="auto"/>
              <w:ind w:left="122" w:right="103" w:firstLine="5"/>
            </w:pPr>
            <w:r>
              <w:rPr>
                <w:spacing w:val="3"/>
              </w:rPr>
              <w:t>责令改正，可以处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万元以下的罚款；</w:t>
            </w:r>
            <w:r>
              <w:rPr>
                <w:spacing w:val="4"/>
              </w:rPr>
              <w:t>拒不改正的，处</w:t>
            </w:r>
            <w:r>
              <w:rPr>
                <w:rFonts w:ascii="宋体" w:hAnsi="宋体" w:eastAsia="宋体" w:cs="宋体"/>
                <w:spacing w:val="4"/>
              </w:rPr>
              <w:t>9</w:t>
            </w:r>
            <w:r>
              <w:rPr>
                <w:spacing w:val="4"/>
              </w:rPr>
              <w:t>万元以</w:t>
            </w:r>
            <w:r>
              <w:rPr>
                <w:spacing w:val="-4"/>
              </w:rPr>
              <w:t>上</w:t>
            </w:r>
            <w:r>
              <w:rPr>
                <w:rFonts w:ascii="宋体" w:hAnsi="宋体" w:eastAsia="宋体" w:cs="宋体"/>
                <w:spacing w:val="-4"/>
              </w:rPr>
              <w:t>10</w:t>
            </w:r>
            <w:r>
              <w:rPr>
                <w:spacing w:val="-4"/>
              </w:rPr>
              <w:t>万元以下的罚款；情</w:t>
            </w:r>
            <w:r>
              <w:rPr>
                <w:spacing w:val="8"/>
              </w:rPr>
              <w:t>节严重的，责令停产停业</w:t>
            </w:r>
            <w:r>
              <w:rPr>
                <w:spacing w:val="1"/>
              </w:rPr>
              <w:t>整顿</w:t>
            </w:r>
          </w:p>
        </w:tc>
        <w:tc>
          <w:tcPr>
            <w:tcW w:w="811" w:type="dxa"/>
            <w:vMerge w:val="continue"/>
            <w:tcBorders>
              <w:top w:val="nil"/>
            </w:tcBorders>
            <w:vAlign w:val="top"/>
          </w:tcPr>
          <w:p w14:paraId="736B0320">
            <w:pPr>
              <w:rPr>
                <w:rFonts w:ascii="Arial"/>
                <w:sz w:val="21"/>
              </w:rPr>
            </w:pPr>
          </w:p>
        </w:tc>
      </w:tr>
      <w:tr w14:paraId="2E212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18" w:type="dxa"/>
            <w:vAlign w:val="top"/>
          </w:tcPr>
          <w:p w14:paraId="677F7F75">
            <w:pPr>
              <w:spacing w:before="230" w:line="186" w:lineRule="auto"/>
              <w:ind w:left="161"/>
              <w:rPr>
                <w:rFonts w:ascii="仿宋" w:hAnsi="仿宋" w:eastAsia="仿宋" w:cs="仿宋"/>
                <w:sz w:val="23"/>
                <w:szCs w:val="23"/>
              </w:rPr>
            </w:pPr>
            <w:r>
              <w:rPr>
                <w:rFonts w:ascii="仿宋" w:hAnsi="仿宋" w:eastAsia="仿宋" w:cs="仿宋"/>
                <w:spacing w:val="-5"/>
                <w:sz w:val="23"/>
                <w:szCs w:val="23"/>
              </w:rPr>
              <w:t>123</w:t>
            </w:r>
          </w:p>
        </w:tc>
        <w:tc>
          <w:tcPr>
            <w:tcW w:w="1440" w:type="dxa"/>
            <w:vAlign w:val="top"/>
          </w:tcPr>
          <w:p w14:paraId="29AE75B0">
            <w:pPr>
              <w:pStyle w:val="6"/>
              <w:spacing w:before="34" w:line="171" w:lineRule="auto"/>
              <w:ind w:left="128" w:right="111" w:hanging="13"/>
            </w:pPr>
            <w:r>
              <w:rPr>
                <w:spacing w:val="11"/>
              </w:rPr>
              <w:t>危险化学品</w:t>
            </w:r>
            <w:r>
              <w:rPr>
                <w:spacing w:val="8"/>
              </w:rPr>
              <w:t>生产企业发</w:t>
            </w:r>
          </w:p>
        </w:tc>
        <w:tc>
          <w:tcPr>
            <w:tcW w:w="3202" w:type="dxa"/>
            <w:vAlign w:val="top"/>
          </w:tcPr>
          <w:p w14:paraId="3EA97672">
            <w:pPr>
              <w:pStyle w:val="6"/>
              <w:spacing w:before="34" w:line="171" w:lineRule="auto"/>
              <w:ind w:left="123" w:right="111" w:hanging="25"/>
            </w:pPr>
            <w:r>
              <w:rPr>
                <w:spacing w:val="18"/>
              </w:rPr>
              <w:t>【行政法规】《危险化学品</w:t>
            </w:r>
            <w:r>
              <w:rPr>
                <w:spacing w:val="16"/>
              </w:rPr>
              <w:t>安全管理条例》第十五条第</w:t>
            </w:r>
          </w:p>
        </w:tc>
        <w:tc>
          <w:tcPr>
            <w:tcW w:w="2859" w:type="dxa"/>
            <w:vAlign w:val="top"/>
          </w:tcPr>
          <w:p w14:paraId="22D9FD87">
            <w:pPr>
              <w:pStyle w:val="6"/>
              <w:spacing w:before="34" w:line="171" w:lineRule="auto"/>
              <w:ind w:left="144" w:right="110" w:hanging="47"/>
            </w:pPr>
            <w:r>
              <w:rPr>
                <w:spacing w:val="10"/>
              </w:rPr>
              <w:t>【行政法规】《危险化学</w:t>
            </w:r>
            <w:r>
              <w:rPr>
                <w:spacing w:val="6"/>
              </w:rPr>
              <w:t>品安全管理条例》第七十</w:t>
            </w:r>
          </w:p>
        </w:tc>
        <w:tc>
          <w:tcPr>
            <w:tcW w:w="803" w:type="dxa"/>
            <w:vAlign w:val="top"/>
          </w:tcPr>
          <w:p w14:paraId="136DBAD9">
            <w:pPr>
              <w:spacing w:before="22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D640B2A">
            <w:pPr>
              <w:pStyle w:val="6"/>
              <w:spacing w:before="34" w:line="171" w:lineRule="auto"/>
              <w:ind w:left="127" w:right="109" w:hanging="10"/>
            </w:pPr>
            <w:r>
              <w:rPr>
                <w:spacing w:val="26"/>
              </w:rPr>
              <w:t>危险化学品生产企</w:t>
            </w:r>
            <w:r>
              <w:rPr>
                <w:spacing w:val="25"/>
              </w:rPr>
              <w:t>业发现其生产的危</w:t>
            </w:r>
          </w:p>
        </w:tc>
        <w:tc>
          <w:tcPr>
            <w:tcW w:w="2894" w:type="dxa"/>
            <w:vAlign w:val="top"/>
          </w:tcPr>
          <w:p w14:paraId="7E466F41">
            <w:pPr>
              <w:pStyle w:val="6"/>
              <w:spacing w:before="34" w:line="171" w:lineRule="auto"/>
              <w:ind w:left="146" w:right="37" w:hanging="19"/>
            </w:pPr>
            <w:r>
              <w:rPr>
                <w:spacing w:val="3"/>
              </w:rPr>
              <w:t>责令改正，可以处</w:t>
            </w:r>
            <w:r>
              <w:rPr>
                <w:rFonts w:ascii="宋体" w:hAnsi="宋体" w:eastAsia="宋体" w:cs="宋体"/>
                <w:spacing w:val="3"/>
              </w:rPr>
              <w:t>2</w:t>
            </w:r>
            <w:r>
              <w:rPr>
                <w:spacing w:val="3"/>
              </w:rPr>
              <w:t>万元</w:t>
            </w:r>
            <w:r>
              <w:rPr>
                <w:spacing w:val="-5"/>
              </w:rPr>
              <w:t>以下的罚款；拒不改正的，</w:t>
            </w:r>
          </w:p>
        </w:tc>
        <w:tc>
          <w:tcPr>
            <w:tcW w:w="811" w:type="dxa"/>
            <w:vAlign w:val="top"/>
          </w:tcPr>
          <w:p w14:paraId="02D1E642">
            <w:pPr>
              <w:spacing w:before="228" w:line="188" w:lineRule="auto"/>
              <w:ind w:left="292"/>
              <w:rPr>
                <w:rFonts w:ascii="宋体" w:hAnsi="宋体" w:eastAsia="宋体" w:cs="宋体"/>
                <w:sz w:val="23"/>
                <w:szCs w:val="23"/>
              </w:rPr>
            </w:pPr>
            <w:r>
              <w:rPr>
                <w:rFonts w:ascii="宋体" w:hAnsi="宋体" w:eastAsia="宋体" w:cs="宋体"/>
                <w:spacing w:val="-2"/>
                <w:sz w:val="23"/>
                <w:szCs w:val="23"/>
              </w:rPr>
              <w:t>89</w:t>
            </w:r>
          </w:p>
        </w:tc>
      </w:tr>
    </w:tbl>
    <w:p w14:paraId="493B2158">
      <w:pPr>
        <w:pStyle w:val="2"/>
      </w:pPr>
    </w:p>
    <w:p w14:paraId="76ACE8AC">
      <w:pPr>
        <w:sectPr>
          <w:footerReference r:id="rId148" w:type="default"/>
          <w:pgSz w:w="16839" w:h="11906"/>
          <w:pgMar w:top="1012" w:right="821" w:bottom="667" w:left="901" w:header="0" w:footer="388" w:gutter="0"/>
          <w:cols w:space="720" w:num="1"/>
        </w:sectPr>
      </w:pPr>
    </w:p>
    <w:p w14:paraId="23CCEFDC">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E92A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68E54CC">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360B8637">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7F7BD589">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3B79BB0">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5D01782">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656562E">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D8F5B31">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14D12EC">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DB9E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restart"/>
            <w:tcBorders>
              <w:bottom w:val="nil"/>
            </w:tcBorders>
            <w:vAlign w:val="top"/>
          </w:tcPr>
          <w:p w14:paraId="1621CC8E">
            <w:pPr>
              <w:rPr>
                <w:rFonts w:ascii="Arial"/>
                <w:sz w:val="21"/>
              </w:rPr>
            </w:pPr>
          </w:p>
        </w:tc>
        <w:tc>
          <w:tcPr>
            <w:tcW w:w="1440" w:type="dxa"/>
            <w:vMerge w:val="restart"/>
            <w:tcBorders>
              <w:bottom w:val="nil"/>
            </w:tcBorders>
            <w:vAlign w:val="top"/>
          </w:tcPr>
          <w:p w14:paraId="2282A4CF">
            <w:pPr>
              <w:pStyle w:val="6"/>
              <w:spacing w:before="28" w:line="182" w:lineRule="auto"/>
              <w:ind w:left="117"/>
            </w:pPr>
            <w:r>
              <w:rPr>
                <w:spacing w:val="11"/>
              </w:rPr>
              <w:t>现其生产的</w:t>
            </w:r>
          </w:p>
          <w:p w14:paraId="10383A17">
            <w:pPr>
              <w:pStyle w:val="6"/>
              <w:spacing w:line="182" w:lineRule="auto"/>
              <w:ind w:left="115"/>
              <w:outlineLvl w:val="0"/>
            </w:pPr>
            <w:bookmarkStart w:id="566" w:name="bookmark235"/>
            <w:bookmarkEnd w:id="566"/>
            <w:r>
              <w:rPr>
                <w:spacing w:val="11"/>
              </w:rPr>
              <w:t>危险化学品</w:t>
            </w:r>
          </w:p>
          <w:p w14:paraId="6ADE92E8">
            <w:pPr>
              <w:pStyle w:val="6"/>
              <w:spacing w:before="11" w:line="185" w:lineRule="auto"/>
              <w:ind w:left="113" w:right="111" w:firstLine="7"/>
              <w:jc w:val="both"/>
            </w:pPr>
            <w:r>
              <w:rPr>
                <w:spacing w:val="10"/>
              </w:rPr>
              <w:t>有新的危险</w:t>
            </w:r>
            <w:r>
              <w:rPr>
                <w:spacing w:val="12"/>
              </w:rPr>
              <w:t>特性不立即</w:t>
            </w:r>
            <w:r>
              <w:rPr>
                <w:spacing w:val="4"/>
              </w:rPr>
              <w:t>公告，或者</w:t>
            </w:r>
            <w:r>
              <w:rPr>
                <w:spacing w:val="12"/>
              </w:rPr>
              <w:t>不及时修订其化学品安全技术说明书和化学品</w:t>
            </w:r>
            <w:bookmarkStart w:id="567" w:name="bookmark256"/>
            <w:bookmarkEnd w:id="567"/>
            <w:bookmarkStart w:id="568" w:name="bookmark553"/>
            <w:bookmarkEnd w:id="568"/>
            <w:r>
              <w:rPr>
                <w:spacing w:val="7"/>
              </w:rPr>
              <w:t>安全标签的</w:t>
            </w:r>
          </w:p>
        </w:tc>
        <w:tc>
          <w:tcPr>
            <w:tcW w:w="3202" w:type="dxa"/>
            <w:vMerge w:val="restart"/>
            <w:tcBorders>
              <w:bottom w:val="nil"/>
            </w:tcBorders>
            <w:vAlign w:val="top"/>
          </w:tcPr>
          <w:p w14:paraId="6FA8C168">
            <w:pPr>
              <w:pStyle w:val="6"/>
              <w:spacing w:before="31" w:line="182" w:lineRule="auto"/>
              <w:ind w:left="118" w:right="111" w:firstLine="9"/>
              <w:jc w:val="both"/>
            </w:pPr>
            <w:r>
              <w:rPr>
                <w:spacing w:val="13"/>
              </w:rPr>
              <w:t>二款：危险化学品生产企业</w:t>
            </w:r>
            <w:r>
              <w:rPr>
                <w:spacing w:val="17"/>
              </w:rPr>
              <w:t>发现其生产的危险化学品有</w:t>
            </w:r>
            <w:r>
              <w:rPr>
                <w:spacing w:val="13"/>
              </w:rPr>
              <w:t>新的危险特性的，应当立即公告，并及时修订其化学品</w:t>
            </w:r>
          </w:p>
          <w:p w14:paraId="01649D5E">
            <w:pPr>
              <w:pStyle w:val="6"/>
              <w:spacing w:line="182" w:lineRule="auto"/>
              <w:ind w:left="123"/>
              <w:outlineLvl w:val="0"/>
            </w:pPr>
            <w:r>
              <w:rPr>
                <w:spacing w:val="16"/>
              </w:rPr>
              <w:t>安全技术说明书和化学品安</w:t>
            </w:r>
          </w:p>
          <w:p w14:paraId="7CB46C7B">
            <w:pPr>
              <w:pStyle w:val="6"/>
              <w:spacing w:line="210" w:lineRule="auto"/>
              <w:ind w:left="117"/>
            </w:pPr>
            <w:r>
              <w:rPr>
                <w:spacing w:val="-2"/>
              </w:rPr>
              <w:t>全标签。</w:t>
            </w:r>
          </w:p>
        </w:tc>
        <w:tc>
          <w:tcPr>
            <w:tcW w:w="2859" w:type="dxa"/>
            <w:vMerge w:val="restart"/>
            <w:tcBorders>
              <w:bottom w:val="nil"/>
            </w:tcBorders>
            <w:vAlign w:val="top"/>
          </w:tcPr>
          <w:p w14:paraId="7C7C0EC8">
            <w:pPr>
              <w:pStyle w:val="6"/>
              <w:spacing w:before="33" w:line="182" w:lineRule="auto"/>
              <w:ind w:left="118" w:right="105" w:hanging="1"/>
            </w:pPr>
            <w:r>
              <w:rPr>
                <w:spacing w:val="8"/>
              </w:rPr>
              <w:t>八条第一款第五项：有下列情形之一的，由安全生</w:t>
            </w:r>
            <w:r>
              <w:rPr>
                <w:spacing w:val="32"/>
              </w:rPr>
              <w:t>产监督管理部门责令改</w:t>
            </w:r>
            <w:r>
              <w:rPr>
                <w:spacing w:val="4"/>
              </w:rPr>
              <w:t>正，可以处</w:t>
            </w:r>
            <w:r>
              <w:rPr>
                <w:rFonts w:ascii="宋体" w:hAnsi="宋体" w:eastAsia="宋体" w:cs="宋体"/>
                <w:spacing w:val="4"/>
              </w:rPr>
              <w:t>5</w:t>
            </w:r>
            <w:r>
              <w:rPr>
                <w:spacing w:val="4"/>
              </w:rPr>
              <w:t>万元以下的</w:t>
            </w:r>
            <w:r>
              <w:rPr>
                <w:spacing w:val="6"/>
              </w:rPr>
              <w:t>罚款；拒不改正的，处</w:t>
            </w:r>
            <w:r>
              <w:rPr>
                <w:rFonts w:ascii="宋体" w:hAnsi="宋体" w:eastAsia="宋体" w:cs="宋体"/>
                <w:spacing w:val="6"/>
              </w:rPr>
              <w:t>5</w:t>
            </w:r>
            <w:r>
              <w:rPr>
                <w:spacing w:val="9"/>
              </w:rPr>
              <w:t>万元以上</w:t>
            </w:r>
            <w:r>
              <w:rPr>
                <w:rFonts w:ascii="宋体" w:hAnsi="宋体" w:eastAsia="宋体" w:cs="宋体"/>
                <w:spacing w:val="9"/>
              </w:rPr>
              <w:t>10</w:t>
            </w:r>
            <w:r>
              <w:rPr>
                <w:spacing w:val="9"/>
              </w:rPr>
              <w:t>万元以下的</w:t>
            </w:r>
            <w:r>
              <w:rPr>
                <w:spacing w:val="8"/>
              </w:rPr>
              <w:t>罚款；情节严重的，责令</w:t>
            </w:r>
          </w:p>
          <w:p w14:paraId="74657C1B">
            <w:pPr>
              <w:pStyle w:val="6"/>
              <w:spacing w:before="2" w:line="186" w:lineRule="auto"/>
              <w:ind w:left="117" w:right="110"/>
            </w:pPr>
            <w:r>
              <w:rPr>
                <w:spacing w:val="8"/>
              </w:rPr>
              <w:t>停产停业整顿</w:t>
            </w:r>
            <w:r>
              <w:rPr>
                <w:spacing w:val="9"/>
              </w:rPr>
              <w:t>：（</w:t>
            </w:r>
            <w:r>
              <w:rPr>
                <w:spacing w:val="8"/>
              </w:rPr>
              <w:t>五）危险化学品生产企业发现其生产的危险化学品有新的</w:t>
            </w:r>
            <w:r>
              <w:rPr>
                <w:spacing w:val="2"/>
              </w:rPr>
              <w:t>危险特性不立即公告，或</w:t>
            </w:r>
            <w:r>
              <w:rPr>
                <w:spacing w:val="8"/>
              </w:rPr>
              <w:t>者不及时修订其化学品安全技术说明书和化学品安</w:t>
            </w:r>
            <w:r>
              <w:rPr>
                <w:spacing w:val="-2"/>
              </w:rPr>
              <w:t>全标签的；</w:t>
            </w:r>
          </w:p>
        </w:tc>
        <w:tc>
          <w:tcPr>
            <w:tcW w:w="803" w:type="dxa"/>
            <w:vAlign w:val="top"/>
          </w:tcPr>
          <w:p w14:paraId="4839D732">
            <w:pPr>
              <w:rPr>
                <w:rFonts w:ascii="Arial"/>
                <w:sz w:val="21"/>
              </w:rPr>
            </w:pPr>
          </w:p>
        </w:tc>
        <w:tc>
          <w:tcPr>
            <w:tcW w:w="2283" w:type="dxa"/>
            <w:vAlign w:val="top"/>
          </w:tcPr>
          <w:p w14:paraId="034AD18C">
            <w:pPr>
              <w:pStyle w:val="6"/>
              <w:spacing w:before="33" w:line="179" w:lineRule="auto"/>
              <w:ind w:left="125" w:right="65" w:firstLine="13"/>
              <w:jc w:val="both"/>
            </w:pPr>
            <w:r>
              <w:rPr>
                <w:spacing w:val="23"/>
              </w:rPr>
              <w:t>险化学品有新的危</w:t>
            </w:r>
            <w:r>
              <w:rPr>
                <w:spacing w:val="1"/>
              </w:rPr>
              <w:t>险特性不立即公告，</w:t>
            </w:r>
            <w:r>
              <w:rPr>
                <w:spacing w:val="25"/>
              </w:rPr>
              <w:t>不及时修订其化学</w:t>
            </w:r>
            <w:r>
              <w:rPr>
                <w:spacing w:val="1"/>
              </w:rPr>
              <w:t>品安全技术说明书，</w:t>
            </w:r>
            <w:r>
              <w:rPr>
                <w:spacing w:val="25"/>
              </w:rPr>
              <w:t>不及时修订其化学</w:t>
            </w:r>
            <w:r>
              <w:rPr>
                <w:spacing w:val="-3"/>
              </w:rPr>
              <w:t>品安全标签，有上述</w:t>
            </w:r>
            <w:r>
              <w:rPr>
                <w:rFonts w:ascii="宋体" w:hAnsi="宋体" w:eastAsia="宋体" w:cs="宋体"/>
                <w:spacing w:val="1"/>
              </w:rPr>
              <w:t>1</w:t>
            </w:r>
            <w:r>
              <w:rPr>
                <w:spacing w:val="1"/>
              </w:rPr>
              <w:t>种情形的</w:t>
            </w:r>
          </w:p>
        </w:tc>
        <w:tc>
          <w:tcPr>
            <w:tcW w:w="2894" w:type="dxa"/>
            <w:vAlign w:val="top"/>
          </w:tcPr>
          <w:p w14:paraId="349F9C3A">
            <w:pPr>
              <w:pStyle w:val="6"/>
              <w:spacing w:before="27" w:line="191" w:lineRule="auto"/>
              <w:ind w:left="117" w:right="106" w:firstLine="1"/>
              <w:jc w:val="both"/>
            </w:pPr>
            <w:r>
              <w:rPr>
                <w:spacing w:val="3"/>
              </w:rPr>
              <w:t>处</w:t>
            </w:r>
            <w:r>
              <w:rPr>
                <w:rFonts w:ascii="宋体" w:hAnsi="宋体" w:eastAsia="宋体" w:cs="宋体"/>
                <w:spacing w:val="3"/>
              </w:rPr>
              <w:t>5</w:t>
            </w:r>
            <w:r>
              <w:rPr>
                <w:spacing w:val="3"/>
              </w:rPr>
              <w:t>万元以上</w:t>
            </w:r>
            <w:r>
              <w:rPr>
                <w:rFonts w:ascii="宋体" w:hAnsi="宋体" w:eastAsia="宋体" w:cs="宋体"/>
                <w:spacing w:val="3"/>
              </w:rPr>
              <w:t>7</w:t>
            </w:r>
            <w:r>
              <w:rPr>
                <w:spacing w:val="3"/>
              </w:rPr>
              <w:t>万元以下</w:t>
            </w:r>
            <w:r>
              <w:rPr>
                <w:spacing w:val="4"/>
              </w:rPr>
              <w:t>的罚款；情节严重的，责</w:t>
            </w:r>
            <w:r>
              <w:rPr>
                <w:spacing w:val="7"/>
              </w:rPr>
              <w:t>令停产停业整顿</w:t>
            </w:r>
          </w:p>
        </w:tc>
        <w:tc>
          <w:tcPr>
            <w:tcW w:w="811" w:type="dxa"/>
            <w:vMerge w:val="restart"/>
            <w:tcBorders>
              <w:bottom w:val="nil"/>
            </w:tcBorders>
            <w:vAlign w:val="top"/>
          </w:tcPr>
          <w:p w14:paraId="109A5525">
            <w:pPr>
              <w:rPr>
                <w:rFonts w:ascii="Arial"/>
                <w:sz w:val="21"/>
              </w:rPr>
            </w:pPr>
          </w:p>
        </w:tc>
      </w:tr>
      <w:tr w14:paraId="3330E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818" w:type="dxa"/>
            <w:vMerge w:val="continue"/>
            <w:tcBorders>
              <w:top w:val="nil"/>
              <w:bottom w:val="nil"/>
            </w:tcBorders>
            <w:vAlign w:val="top"/>
          </w:tcPr>
          <w:p w14:paraId="4213D37B">
            <w:pPr>
              <w:rPr>
                <w:rFonts w:ascii="Arial"/>
                <w:sz w:val="21"/>
              </w:rPr>
            </w:pPr>
          </w:p>
        </w:tc>
        <w:tc>
          <w:tcPr>
            <w:tcW w:w="1440" w:type="dxa"/>
            <w:vMerge w:val="continue"/>
            <w:tcBorders>
              <w:top w:val="nil"/>
              <w:bottom w:val="nil"/>
            </w:tcBorders>
            <w:vAlign w:val="top"/>
          </w:tcPr>
          <w:p w14:paraId="79D49140">
            <w:pPr>
              <w:rPr>
                <w:rFonts w:ascii="Arial"/>
                <w:sz w:val="21"/>
              </w:rPr>
            </w:pPr>
          </w:p>
        </w:tc>
        <w:tc>
          <w:tcPr>
            <w:tcW w:w="3202" w:type="dxa"/>
            <w:vMerge w:val="continue"/>
            <w:tcBorders>
              <w:top w:val="nil"/>
              <w:bottom w:val="nil"/>
            </w:tcBorders>
            <w:vAlign w:val="top"/>
          </w:tcPr>
          <w:p w14:paraId="4557F015">
            <w:pPr>
              <w:rPr>
                <w:rFonts w:ascii="Arial"/>
                <w:sz w:val="21"/>
              </w:rPr>
            </w:pPr>
          </w:p>
        </w:tc>
        <w:tc>
          <w:tcPr>
            <w:tcW w:w="2859" w:type="dxa"/>
            <w:vMerge w:val="continue"/>
            <w:tcBorders>
              <w:top w:val="nil"/>
              <w:bottom w:val="nil"/>
            </w:tcBorders>
            <w:vAlign w:val="top"/>
          </w:tcPr>
          <w:p w14:paraId="1E49F2C9">
            <w:pPr>
              <w:rPr>
                <w:rFonts w:ascii="Arial"/>
                <w:sz w:val="21"/>
              </w:rPr>
            </w:pPr>
          </w:p>
        </w:tc>
        <w:tc>
          <w:tcPr>
            <w:tcW w:w="803" w:type="dxa"/>
            <w:vAlign w:val="top"/>
          </w:tcPr>
          <w:p w14:paraId="0908C8CA">
            <w:pPr>
              <w:spacing w:line="298" w:lineRule="auto"/>
              <w:rPr>
                <w:rFonts w:ascii="Arial"/>
                <w:sz w:val="21"/>
              </w:rPr>
            </w:pPr>
          </w:p>
          <w:p w14:paraId="2B1BBFD1">
            <w:pPr>
              <w:spacing w:line="298" w:lineRule="auto"/>
              <w:rPr>
                <w:rFonts w:ascii="Arial"/>
                <w:sz w:val="21"/>
              </w:rPr>
            </w:pPr>
          </w:p>
          <w:p w14:paraId="4B4467D7">
            <w:pPr>
              <w:spacing w:line="298" w:lineRule="auto"/>
              <w:rPr>
                <w:rFonts w:ascii="Arial"/>
                <w:sz w:val="21"/>
              </w:rPr>
            </w:pPr>
          </w:p>
          <w:p w14:paraId="13676DD0">
            <w:pPr>
              <w:spacing w:line="299" w:lineRule="auto"/>
              <w:rPr>
                <w:rFonts w:ascii="Arial"/>
                <w:sz w:val="21"/>
              </w:rPr>
            </w:pPr>
          </w:p>
          <w:p w14:paraId="0104578B">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85622BC">
            <w:pPr>
              <w:pStyle w:val="6"/>
              <w:spacing w:before="30" w:line="180" w:lineRule="auto"/>
              <w:ind w:left="116" w:right="65"/>
              <w:jc w:val="both"/>
            </w:pPr>
            <w:r>
              <w:rPr>
                <w:spacing w:val="26"/>
              </w:rPr>
              <w:t>危险化学品生产企业发现其生产的危险化学品有新的危</w:t>
            </w:r>
            <w:r>
              <w:rPr>
                <w:spacing w:val="2"/>
              </w:rPr>
              <w:t>险特性不立即公告，</w:t>
            </w:r>
            <w:r>
              <w:rPr>
                <w:spacing w:val="26"/>
              </w:rPr>
              <w:t>不及时修订其化学</w:t>
            </w:r>
            <w:r>
              <w:rPr>
                <w:spacing w:val="2"/>
              </w:rPr>
              <w:t>品安全技术说明书，</w:t>
            </w:r>
            <w:r>
              <w:rPr>
                <w:spacing w:val="26"/>
              </w:rPr>
              <w:t>不及时修订其化学</w:t>
            </w:r>
            <w:r>
              <w:rPr>
                <w:spacing w:val="-2"/>
              </w:rPr>
              <w:t>品安全标签，有上述</w:t>
            </w:r>
            <w:r>
              <w:rPr>
                <w:rFonts w:ascii="宋体" w:hAnsi="宋体" w:eastAsia="宋体" w:cs="宋体"/>
                <w:spacing w:val="2"/>
              </w:rPr>
              <w:t>2</w:t>
            </w:r>
            <w:r>
              <w:rPr>
                <w:spacing w:val="2"/>
              </w:rPr>
              <w:t>种情形的</w:t>
            </w:r>
          </w:p>
        </w:tc>
        <w:tc>
          <w:tcPr>
            <w:tcW w:w="2894" w:type="dxa"/>
            <w:vAlign w:val="top"/>
          </w:tcPr>
          <w:p w14:paraId="04C76223">
            <w:pPr>
              <w:spacing w:line="378" w:lineRule="auto"/>
              <w:rPr>
                <w:rFonts w:ascii="Arial"/>
                <w:sz w:val="21"/>
              </w:rPr>
            </w:pPr>
          </w:p>
          <w:p w14:paraId="1D39E888">
            <w:pPr>
              <w:pStyle w:val="6"/>
              <w:spacing w:before="99" w:line="187" w:lineRule="auto"/>
              <w:ind w:left="122" w:right="103" w:firstLine="5"/>
            </w:pPr>
            <w:r>
              <w:rPr>
                <w:spacing w:val="3"/>
              </w:rPr>
              <w:t>责令改正，可以处</w:t>
            </w:r>
            <w:r>
              <w:rPr>
                <w:rFonts w:ascii="宋体" w:hAnsi="宋体" w:eastAsia="宋体" w:cs="宋体"/>
                <w:spacing w:val="3"/>
              </w:rPr>
              <w:t>2</w:t>
            </w:r>
            <w:r>
              <w:rPr>
                <w:spacing w:val="3"/>
              </w:rPr>
              <w:t>万元以上</w:t>
            </w:r>
            <w:r>
              <w:rPr>
                <w:rFonts w:ascii="宋体" w:hAnsi="宋体" w:eastAsia="宋体" w:cs="宋体"/>
                <w:spacing w:val="3"/>
              </w:rPr>
              <w:t>4</w:t>
            </w:r>
            <w:r>
              <w:rPr>
                <w:spacing w:val="3"/>
              </w:rPr>
              <w:t>万元以下的罚款；</w:t>
            </w:r>
            <w:r>
              <w:rPr>
                <w:spacing w:val="4"/>
              </w:rPr>
              <w:t>拒不改正的，处</w:t>
            </w:r>
            <w:r>
              <w:rPr>
                <w:rFonts w:ascii="宋体" w:hAnsi="宋体" w:eastAsia="宋体" w:cs="宋体"/>
                <w:spacing w:val="4"/>
              </w:rPr>
              <w:t>7</w:t>
            </w:r>
            <w:r>
              <w:rPr>
                <w:spacing w:val="4"/>
              </w:rPr>
              <w:t>万元以</w:t>
            </w:r>
            <w:r>
              <w:rPr>
                <w:spacing w:val="3"/>
              </w:rPr>
              <w:t>上</w:t>
            </w:r>
            <w:r>
              <w:rPr>
                <w:rFonts w:ascii="宋体" w:hAnsi="宋体" w:eastAsia="宋体" w:cs="宋体"/>
                <w:spacing w:val="3"/>
              </w:rPr>
              <w:t>9</w:t>
            </w:r>
            <w:r>
              <w:rPr>
                <w:spacing w:val="3"/>
              </w:rPr>
              <w:t>万元以下的罚款；情</w:t>
            </w:r>
            <w:r>
              <w:rPr>
                <w:spacing w:val="8"/>
              </w:rPr>
              <w:t>节严重的，责令停产停业</w:t>
            </w:r>
            <w:r>
              <w:rPr>
                <w:spacing w:val="1"/>
              </w:rPr>
              <w:t>整顿</w:t>
            </w:r>
          </w:p>
        </w:tc>
        <w:tc>
          <w:tcPr>
            <w:tcW w:w="811" w:type="dxa"/>
            <w:vMerge w:val="continue"/>
            <w:tcBorders>
              <w:top w:val="nil"/>
              <w:bottom w:val="nil"/>
            </w:tcBorders>
            <w:vAlign w:val="top"/>
          </w:tcPr>
          <w:p w14:paraId="376A2553">
            <w:pPr>
              <w:rPr>
                <w:rFonts w:ascii="Arial"/>
                <w:sz w:val="21"/>
              </w:rPr>
            </w:pPr>
          </w:p>
        </w:tc>
      </w:tr>
      <w:tr w14:paraId="247E5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5" w:hRule="atLeast"/>
        </w:trPr>
        <w:tc>
          <w:tcPr>
            <w:tcW w:w="818" w:type="dxa"/>
            <w:vMerge w:val="continue"/>
            <w:tcBorders>
              <w:top w:val="nil"/>
            </w:tcBorders>
            <w:vAlign w:val="top"/>
          </w:tcPr>
          <w:p w14:paraId="6E05028D">
            <w:pPr>
              <w:rPr>
                <w:rFonts w:ascii="Arial"/>
                <w:sz w:val="21"/>
              </w:rPr>
            </w:pPr>
          </w:p>
        </w:tc>
        <w:tc>
          <w:tcPr>
            <w:tcW w:w="1440" w:type="dxa"/>
            <w:vMerge w:val="continue"/>
            <w:tcBorders>
              <w:top w:val="nil"/>
            </w:tcBorders>
            <w:vAlign w:val="top"/>
          </w:tcPr>
          <w:p w14:paraId="353003DC">
            <w:pPr>
              <w:rPr>
                <w:rFonts w:ascii="Arial"/>
                <w:sz w:val="21"/>
              </w:rPr>
            </w:pPr>
          </w:p>
        </w:tc>
        <w:tc>
          <w:tcPr>
            <w:tcW w:w="3202" w:type="dxa"/>
            <w:vMerge w:val="continue"/>
            <w:tcBorders>
              <w:top w:val="nil"/>
            </w:tcBorders>
            <w:vAlign w:val="top"/>
          </w:tcPr>
          <w:p w14:paraId="7096E145">
            <w:pPr>
              <w:rPr>
                <w:rFonts w:ascii="Arial"/>
                <w:sz w:val="21"/>
              </w:rPr>
            </w:pPr>
          </w:p>
        </w:tc>
        <w:tc>
          <w:tcPr>
            <w:tcW w:w="2859" w:type="dxa"/>
            <w:vMerge w:val="continue"/>
            <w:tcBorders>
              <w:top w:val="nil"/>
            </w:tcBorders>
            <w:vAlign w:val="top"/>
          </w:tcPr>
          <w:p w14:paraId="134CC174">
            <w:pPr>
              <w:rPr>
                <w:rFonts w:ascii="Arial"/>
                <w:sz w:val="21"/>
              </w:rPr>
            </w:pPr>
          </w:p>
        </w:tc>
        <w:tc>
          <w:tcPr>
            <w:tcW w:w="803" w:type="dxa"/>
            <w:vAlign w:val="top"/>
          </w:tcPr>
          <w:p w14:paraId="54D81979">
            <w:pPr>
              <w:spacing w:line="266" w:lineRule="auto"/>
              <w:rPr>
                <w:rFonts w:ascii="Arial"/>
                <w:sz w:val="21"/>
              </w:rPr>
            </w:pPr>
          </w:p>
          <w:p w14:paraId="78FB0B22">
            <w:pPr>
              <w:spacing w:line="266" w:lineRule="auto"/>
              <w:rPr>
                <w:rFonts w:ascii="Arial"/>
                <w:sz w:val="21"/>
              </w:rPr>
            </w:pPr>
          </w:p>
          <w:p w14:paraId="580678FA">
            <w:pPr>
              <w:spacing w:line="267" w:lineRule="auto"/>
              <w:rPr>
                <w:rFonts w:ascii="Arial"/>
                <w:sz w:val="21"/>
              </w:rPr>
            </w:pPr>
          </w:p>
          <w:p w14:paraId="3B56CCF0">
            <w:pPr>
              <w:spacing w:line="267" w:lineRule="auto"/>
              <w:rPr>
                <w:rFonts w:ascii="Arial"/>
                <w:sz w:val="21"/>
              </w:rPr>
            </w:pPr>
          </w:p>
          <w:p w14:paraId="495997B3">
            <w:pPr>
              <w:spacing w:line="267" w:lineRule="auto"/>
              <w:rPr>
                <w:rFonts w:ascii="Arial"/>
                <w:sz w:val="21"/>
              </w:rPr>
            </w:pPr>
          </w:p>
          <w:p w14:paraId="56C0F995">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CB55F39">
            <w:pPr>
              <w:pStyle w:val="6"/>
              <w:spacing w:before="177" w:line="185" w:lineRule="auto"/>
              <w:ind w:left="117" w:right="65"/>
              <w:jc w:val="both"/>
            </w:pPr>
            <w:r>
              <w:rPr>
                <w:spacing w:val="26"/>
              </w:rPr>
              <w:t>危险化学品生产企业发现其生产的危险化学品有新的危</w:t>
            </w:r>
            <w:r>
              <w:rPr>
                <w:spacing w:val="2"/>
              </w:rPr>
              <w:t>险特性不立即公告，</w:t>
            </w:r>
            <w:r>
              <w:rPr>
                <w:spacing w:val="26"/>
              </w:rPr>
              <w:t>不及时修订其化学</w:t>
            </w:r>
            <w:r>
              <w:rPr>
                <w:spacing w:val="2"/>
              </w:rPr>
              <w:t>品安全技术说明书，</w:t>
            </w:r>
            <w:r>
              <w:rPr>
                <w:spacing w:val="26"/>
              </w:rPr>
              <w:t>不及时修订其化学</w:t>
            </w:r>
            <w:r>
              <w:rPr>
                <w:spacing w:val="-3"/>
              </w:rPr>
              <w:t>品安全标签，有上述</w:t>
            </w:r>
            <w:r>
              <w:rPr>
                <w:rFonts w:ascii="宋体" w:hAnsi="宋体" w:eastAsia="宋体" w:cs="宋体"/>
                <w:spacing w:val="2"/>
              </w:rPr>
              <w:t>3</w:t>
            </w:r>
            <w:r>
              <w:rPr>
                <w:spacing w:val="2"/>
              </w:rPr>
              <w:t>种情形的</w:t>
            </w:r>
          </w:p>
        </w:tc>
        <w:tc>
          <w:tcPr>
            <w:tcW w:w="2894" w:type="dxa"/>
            <w:vAlign w:val="top"/>
          </w:tcPr>
          <w:p w14:paraId="6AD83FC7">
            <w:pPr>
              <w:spacing w:line="259" w:lineRule="auto"/>
              <w:rPr>
                <w:rFonts w:ascii="Arial"/>
                <w:sz w:val="21"/>
              </w:rPr>
            </w:pPr>
          </w:p>
          <w:p w14:paraId="6BAF8EA1">
            <w:pPr>
              <w:spacing w:line="260" w:lineRule="auto"/>
              <w:rPr>
                <w:rFonts w:ascii="Arial"/>
                <w:sz w:val="21"/>
              </w:rPr>
            </w:pPr>
          </w:p>
          <w:p w14:paraId="38DCDE7D">
            <w:pPr>
              <w:pStyle w:val="6"/>
              <w:spacing w:before="99" w:line="187" w:lineRule="auto"/>
              <w:ind w:left="122" w:right="103" w:firstLine="5"/>
            </w:pPr>
            <w:r>
              <w:rPr>
                <w:spacing w:val="3"/>
              </w:rPr>
              <w:t>责令改正，可以处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万元以下的罚款；</w:t>
            </w:r>
            <w:r>
              <w:rPr>
                <w:spacing w:val="4"/>
              </w:rPr>
              <w:t>拒不改正的，处</w:t>
            </w:r>
            <w:r>
              <w:rPr>
                <w:rFonts w:ascii="宋体" w:hAnsi="宋体" w:eastAsia="宋体" w:cs="宋体"/>
                <w:spacing w:val="4"/>
              </w:rPr>
              <w:t>9</w:t>
            </w:r>
            <w:r>
              <w:rPr>
                <w:spacing w:val="4"/>
              </w:rPr>
              <w:t>万元以</w:t>
            </w:r>
            <w:r>
              <w:rPr>
                <w:spacing w:val="-4"/>
              </w:rPr>
              <w:t>上</w:t>
            </w:r>
            <w:r>
              <w:rPr>
                <w:rFonts w:ascii="宋体" w:hAnsi="宋体" w:eastAsia="宋体" w:cs="宋体"/>
                <w:spacing w:val="-4"/>
              </w:rPr>
              <w:t>10</w:t>
            </w:r>
            <w:r>
              <w:rPr>
                <w:spacing w:val="-4"/>
              </w:rPr>
              <w:t>万元以下的罚款；情</w:t>
            </w:r>
            <w:r>
              <w:rPr>
                <w:spacing w:val="8"/>
              </w:rPr>
              <w:t>节严重的，责令停产停业</w:t>
            </w:r>
            <w:r>
              <w:rPr>
                <w:spacing w:val="1"/>
              </w:rPr>
              <w:t>整顿</w:t>
            </w:r>
          </w:p>
        </w:tc>
        <w:tc>
          <w:tcPr>
            <w:tcW w:w="811" w:type="dxa"/>
            <w:vMerge w:val="continue"/>
            <w:tcBorders>
              <w:top w:val="nil"/>
            </w:tcBorders>
            <w:vAlign w:val="top"/>
          </w:tcPr>
          <w:p w14:paraId="16BB5AA6">
            <w:pPr>
              <w:rPr>
                <w:rFonts w:ascii="Arial"/>
                <w:sz w:val="21"/>
              </w:rPr>
            </w:pPr>
          </w:p>
        </w:tc>
      </w:tr>
      <w:tr w14:paraId="2CFB7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818" w:type="dxa"/>
            <w:vAlign w:val="top"/>
          </w:tcPr>
          <w:p w14:paraId="7BE9D02F">
            <w:pPr>
              <w:spacing w:line="451" w:lineRule="auto"/>
              <w:rPr>
                <w:rFonts w:ascii="Arial"/>
                <w:sz w:val="21"/>
              </w:rPr>
            </w:pPr>
          </w:p>
          <w:p w14:paraId="24FE93A6">
            <w:pPr>
              <w:spacing w:before="75" w:line="186" w:lineRule="auto"/>
              <w:ind w:left="161"/>
              <w:rPr>
                <w:rFonts w:ascii="仿宋" w:hAnsi="仿宋" w:eastAsia="仿宋" w:cs="仿宋"/>
                <w:sz w:val="23"/>
                <w:szCs w:val="23"/>
              </w:rPr>
            </w:pPr>
            <w:r>
              <w:rPr>
                <w:rFonts w:ascii="仿宋" w:hAnsi="仿宋" w:eastAsia="仿宋" w:cs="仿宋"/>
                <w:spacing w:val="-5"/>
                <w:sz w:val="23"/>
                <w:szCs w:val="23"/>
              </w:rPr>
              <w:t>124</w:t>
            </w:r>
          </w:p>
        </w:tc>
        <w:tc>
          <w:tcPr>
            <w:tcW w:w="1440" w:type="dxa"/>
            <w:vAlign w:val="top"/>
          </w:tcPr>
          <w:p w14:paraId="462CCE6A">
            <w:pPr>
              <w:pStyle w:val="6"/>
              <w:spacing w:before="32" w:line="177" w:lineRule="auto"/>
              <w:ind w:left="120" w:right="111" w:hanging="5"/>
              <w:jc w:val="both"/>
            </w:pPr>
            <w:r>
              <w:rPr>
                <w:spacing w:val="11"/>
              </w:rPr>
              <w:t>危险化学品</w:t>
            </w:r>
            <w:r>
              <w:rPr>
                <w:spacing w:val="10"/>
              </w:rPr>
              <w:t>经营企业经营没有化学品安全技术</w:t>
            </w:r>
          </w:p>
        </w:tc>
        <w:tc>
          <w:tcPr>
            <w:tcW w:w="3202" w:type="dxa"/>
            <w:vAlign w:val="top"/>
          </w:tcPr>
          <w:p w14:paraId="71E5FC88">
            <w:pPr>
              <w:pStyle w:val="6"/>
              <w:spacing w:before="32" w:line="177" w:lineRule="auto"/>
              <w:ind w:left="117" w:right="42" w:hanging="19"/>
              <w:jc w:val="both"/>
            </w:pPr>
            <w:r>
              <w:rPr>
                <w:spacing w:val="18"/>
              </w:rPr>
              <w:t>【行政法规】《危险化学品</w:t>
            </w:r>
            <w:r>
              <w:rPr>
                <w:spacing w:val="3"/>
              </w:rPr>
              <w:t>安全管理条例》第三十七条：</w:t>
            </w:r>
            <w:r>
              <w:rPr>
                <w:spacing w:val="17"/>
              </w:rPr>
              <w:t>危险化学品经营企业不得向未经许可从事危险化学品生</w:t>
            </w:r>
          </w:p>
        </w:tc>
        <w:tc>
          <w:tcPr>
            <w:tcW w:w="2859" w:type="dxa"/>
            <w:vAlign w:val="top"/>
          </w:tcPr>
          <w:p w14:paraId="439A35AC">
            <w:pPr>
              <w:pStyle w:val="6"/>
              <w:spacing w:before="32" w:line="177" w:lineRule="auto"/>
              <w:ind w:left="116" w:right="110" w:hanging="19"/>
              <w:jc w:val="both"/>
            </w:pPr>
            <w:r>
              <w:rPr>
                <w:spacing w:val="10"/>
              </w:rPr>
              <w:t>【行政法规】《危险化学</w:t>
            </w:r>
            <w:r>
              <w:rPr>
                <w:spacing w:val="8"/>
              </w:rPr>
              <w:t>品安全管理条例》第七十八条第一款第六项：有下列情形之一的，由安全生</w:t>
            </w:r>
          </w:p>
        </w:tc>
        <w:tc>
          <w:tcPr>
            <w:tcW w:w="803" w:type="dxa"/>
            <w:vAlign w:val="top"/>
          </w:tcPr>
          <w:p w14:paraId="6B4CE7D3">
            <w:pPr>
              <w:spacing w:line="446" w:lineRule="auto"/>
              <w:rPr>
                <w:rFonts w:ascii="Arial"/>
                <w:sz w:val="21"/>
              </w:rPr>
            </w:pPr>
          </w:p>
          <w:p w14:paraId="5EC210CD">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A5D4474">
            <w:pPr>
              <w:pStyle w:val="6"/>
              <w:spacing w:before="32" w:line="177" w:lineRule="auto"/>
              <w:ind w:left="122" w:right="109" w:hanging="5"/>
              <w:jc w:val="both"/>
            </w:pPr>
            <w:r>
              <w:rPr>
                <w:spacing w:val="26"/>
              </w:rPr>
              <w:t>危险化学品经营企</w:t>
            </w:r>
            <w:r>
              <w:rPr>
                <w:spacing w:val="25"/>
              </w:rPr>
              <w:t>业经营没有化学品安全技术说明书和化学品安全标签的</w:t>
            </w:r>
          </w:p>
        </w:tc>
        <w:tc>
          <w:tcPr>
            <w:tcW w:w="2894" w:type="dxa"/>
            <w:vAlign w:val="top"/>
          </w:tcPr>
          <w:p w14:paraId="570934E5">
            <w:pPr>
              <w:pStyle w:val="6"/>
              <w:spacing w:before="32" w:line="177" w:lineRule="auto"/>
              <w:ind w:left="119" w:right="37" w:firstLine="8"/>
              <w:jc w:val="both"/>
            </w:pPr>
            <w:r>
              <w:rPr>
                <w:spacing w:val="3"/>
              </w:rPr>
              <w:t>责令改正，可以处</w:t>
            </w:r>
            <w:r>
              <w:rPr>
                <w:rFonts w:ascii="宋体" w:hAnsi="宋体" w:eastAsia="宋体" w:cs="宋体"/>
                <w:spacing w:val="3"/>
              </w:rPr>
              <w:t>2</w:t>
            </w:r>
            <w:r>
              <w:rPr>
                <w:spacing w:val="3"/>
              </w:rPr>
              <w:t>万元</w:t>
            </w:r>
            <w:r>
              <w:rPr>
                <w:spacing w:val="-3"/>
              </w:rPr>
              <w:t>以下的罚款；拒不改正的，</w:t>
            </w:r>
            <w:r>
              <w:rPr>
                <w:spacing w:val="3"/>
              </w:rPr>
              <w:t>处</w:t>
            </w:r>
            <w:r>
              <w:rPr>
                <w:rFonts w:ascii="宋体" w:hAnsi="宋体" w:eastAsia="宋体" w:cs="宋体"/>
                <w:spacing w:val="3"/>
              </w:rPr>
              <w:t>5</w:t>
            </w:r>
            <w:r>
              <w:rPr>
                <w:spacing w:val="3"/>
              </w:rPr>
              <w:t>万元以上</w:t>
            </w:r>
            <w:r>
              <w:rPr>
                <w:rFonts w:ascii="宋体" w:hAnsi="宋体" w:eastAsia="宋体" w:cs="宋体"/>
                <w:spacing w:val="3"/>
              </w:rPr>
              <w:t>7</w:t>
            </w:r>
            <w:r>
              <w:rPr>
                <w:spacing w:val="3"/>
              </w:rPr>
              <w:t>万元以下</w:t>
            </w:r>
            <w:r>
              <w:rPr>
                <w:spacing w:val="5"/>
              </w:rPr>
              <w:t>的罚款；情节严重的，责</w:t>
            </w:r>
          </w:p>
        </w:tc>
        <w:tc>
          <w:tcPr>
            <w:tcW w:w="811" w:type="dxa"/>
            <w:vAlign w:val="top"/>
          </w:tcPr>
          <w:p w14:paraId="3F048418">
            <w:pPr>
              <w:spacing w:line="449" w:lineRule="auto"/>
              <w:rPr>
                <w:rFonts w:ascii="Arial"/>
                <w:sz w:val="21"/>
              </w:rPr>
            </w:pPr>
          </w:p>
          <w:p w14:paraId="6C0FB51F">
            <w:pPr>
              <w:spacing w:before="75" w:line="188" w:lineRule="auto"/>
              <w:ind w:left="292"/>
              <w:rPr>
                <w:rFonts w:ascii="宋体" w:hAnsi="宋体" w:eastAsia="宋体" w:cs="宋体"/>
                <w:sz w:val="23"/>
                <w:szCs w:val="23"/>
              </w:rPr>
            </w:pPr>
            <w:r>
              <w:rPr>
                <w:rFonts w:ascii="宋体" w:hAnsi="宋体" w:eastAsia="宋体" w:cs="宋体"/>
                <w:spacing w:val="-2"/>
                <w:sz w:val="23"/>
                <w:szCs w:val="23"/>
              </w:rPr>
              <w:t>89</w:t>
            </w:r>
          </w:p>
        </w:tc>
      </w:tr>
    </w:tbl>
    <w:p w14:paraId="3C31E483">
      <w:pPr>
        <w:pStyle w:val="2"/>
      </w:pPr>
    </w:p>
    <w:p w14:paraId="1665970E">
      <w:pPr>
        <w:sectPr>
          <w:footerReference r:id="rId149" w:type="default"/>
          <w:pgSz w:w="16839" w:h="11906"/>
          <w:pgMar w:top="1012" w:right="821" w:bottom="667" w:left="901" w:header="0" w:footer="388" w:gutter="0"/>
          <w:cols w:space="720" w:num="1"/>
        </w:sectPr>
      </w:pPr>
    </w:p>
    <w:p w14:paraId="213AA9E0">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4FA0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7C5D58F">
            <w:pPr>
              <w:spacing w:before="222" w:line="241" w:lineRule="auto"/>
              <w:ind w:left="131"/>
              <w:rPr>
                <w:rFonts w:ascii="黑体" w:hAnsi="黑体" w:eastAsia="黑体" w:cs="黑体"/>
                <w:sz w:val="28"/>
                <w:szCs w:val="28"/>
              </w:rPr>
            </w:pPr>
            <w:bookmarkStart w:id="569" w:name="bookmark554"/>
            <w:bookmarkEnd w:id="569"/>
            <w:bookmarkStart w:id="570" w:name="bookmark258"/>
            <w:bookmarkEnd w:id="570"/>
            <w:r>
              <w:rPr>
                <w:rFonts w:ascii="黑体" w:hAnsi="黑体" w:eastAsia="黑体" w:cs="黑体"/>
                <w:spacing w:val="-2"/>
                <w:sz w:val="28"/>
                <w:szCs w:val="28"/>
              </w:rPr>
              <w:t>序号</w:t>
            </w:r>
          </w:p>
        </w:tc>
        <w:tc>
          <w:tcPr>
            <w:tcW w:w="1440" w:type="dxa"/>
            <w:vAlign w:val="top"/>
          </w:tcPr>
          <w:p w14:paraId="7A792FAD">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6E464F7">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139A512">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02F9D98E">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255B2B0">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4289C9D">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08F25D1">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D892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18" w:type="dxa"/>
            <w:vMerge w:val="restart"/>
            <w:tcBorders>
              <w:bottom w:val="nil"/>
            </w:tcBorders>
            <w:vAlign w:val="top"/>
          </w:tcPr>
          <w:p w14:paraId="49AC0A78">
            <w:pPr>
              <w:rPr>
                <w:rFonts w:ascii="Arial"/>
                <w:sz w:val="21"/>
              </w:rPr>
            </w:pPr>
          </w:p>
        </w:tc>
        <w:tc>
          <w:tcPr>
            <w:tcW w:w="1440" w:type="dxa"/>
            <w:vMerge w:val="restart"/>
            <w:tcBorders>
              <w:bottom w:val="nil"/>
            </w:tcBorders>
            <w:vAlign w:val="top"/>
          </w:tcPr>
          <w:p w14:paraId="4BE3B0D0">
            <w:pPr>
              <w:pStyle w:val="6"/>
              <w:spacing w:before="30" w:line="182" w:lineRule="auto"/>
              <w:ind w:left="122" w:right="111" w:hanging="7"/>
              <w:jc w:val="both"/>
            </w:pPr>
            <w:r>
              <w:rPr>
                <w:spacing w:val="11"/>
              </w:rPr>
              <w:t>说明书和化</w:t>
            </w:r>
            <w:r>
              <w:rPr>
                <w:spacing w:val="10"/>
              </w:rPr>
              <w:t>学品安全标签的危险化</w:t>
            </w:r>
          </w:p>
          <w:p w14:paraId="7F057A2B">
            <w:pPr>
              <w:pStyle w:val="6"/>
              <w:spacing w:before="1" w:line="209" w:lineRule="auto"/>
              <w:ind w:left="128"/>
              <w:outlineLvl w:val="0"/>
            </w:pPr>
            <w:r>
              <w:t>学品的</w:t>
            </w:r>
          </w:p>
        </w:tc>
        <w:tc>
          <w:tcPr>
            <w:tcW w:w="3202" w:type="dxa"/>
            <w:vMerge w:val="restart"/>
            <w:tcBorders>
              <w:bottom w:val="nil"/>
            </w:tcBorders>
            <w:vAlign w:val="top"/>
          </w:tcPr>
          <w:p w14:paraId="1C73B8C7">
            <w:pPr>
              <w:pStyle w:val="6"/>
              <w:spacing w:before="30" w:line="183" w:lineRule="auto"/>
              <w:ind w:left="130" w:right="110" w:hanging="11"/>
              <w:jc w:val="both"/>
            </w:pPr>
            <w:r>
              <w:rPr>
                <w:spacing w:val="17"/>
              </w:rPr>
              <w:t>产、经营活动的企业采购危</w:t>
            </w:r>
            <w:r>
              <w:rPr>
                <w:spacing w:val="12"/>
              </w:rPr>
              <w:t>险化学品，不得经营没有化</w:t>
            </w:r>
            <w:r>
              <w:rPr>
                <w:spacing w:val="16"/>
              </w:rPr>
              <w:t>学品安全技术说明书或者化</w:t>
            </w:r>
            <w:r>
              <w:rPr>
                <w:spacing w:val="38"/>
              </w:rPr>
              <w:t>学品安全标签的危险化学</w:t>
            </w:r>
            <w:r>
              <w:rPr>
                <w:spacing w:val="-10"/>
              </w:rPr>
              <w:t>品。</w:t>
            </w:r>
          </w:p>
        </w:tc>
        <w:tc>
          <w:tcPr>
            <w:tcW w:w="2859" w:type="dxa"/>
            <w:vMerge w:val="restart"/>
            <w:tcBorders>
              <w:bottom w:val="nil"/>
            </w:tcBorders>
            <w:vAlign w:val="top"/>
          </w:tcPr>
          <w:p w14:paraId="7E1FC8AC">
            <w:pPr>
              <w:pStyle w:val="6"/>
              <w:spacing w:before="28" w:line="185" w:lineRule="auto"/>
              <w:ind w:left="118" w:right="105"/>
              <w:jc w:val="both"/>
            </w:pPr>
            <w:r>
              <w:rPr>
                <w:spacing w:val="32"/>
              </w:rPr>
              <w:t>产监督管理部门责令改</w:t>
            </w:r>
            <w:r>
              <w:rPr>
                <w:spacing w:val="5"/>
              </w:rPr>
              <w:t>正，可以处</w:t>
            </w:r>
            <w:r>
              <w:rPr>
                <w:rFonts w:ascii="宋体" w:hAnsi="宋体" w:eastAsia="宋体" w:cs="宋体"/>
                <w:spacing w:val="5"/>
              </w:rPr>
              <w:t>5</w:t>
            </w:r>
            <w:r>
              <w:rPr>
                <w:spacing w:val="5"/>
              </w:rPr>
              <w:t>万元以下的</w:t>
            </w:r>
            <w:r>
              <w:rPr>
                <w:spacing w:val="6"/>
              </w:rPr>
              <w:t>罚款；拒不改正的，处</w:t>
            </w:r>
            <w:r>
              <w:rPr>
                <w:rFonts w:ascii="宋体" w:hAnsi="宋体" w:eastAsia="宋体" w:cs="宋体"/>
                <w:spacing w:val="6"/>
              </w:rPr>
              <w:t>5</w:t>
            </w:r>
            <w:r>
              <w:rPr>
                <w:spacing w:val="9"/>
              </w:rPr>
              <w:t>万元以上</w:t>
            </w:r>
            <w:r>
              <w:rPr>
                <w:rFonts w:ascii="宋体" w:hAnsi="宋体" w:eastAsia="宋体" w:cs="宋体"/>
                <w:spacing w:val="9"/>
              </w:rPr>
              <w:t>10</w:t>
            </w:r>
            <w:r>
              <w:rPr>
                <w:spacing w:val="9"/>
              </w:rPr>
              <w:t>万元以下的</w:t>
            </w:r>
            <w:r>
              <w:rPr>
                <w:spacing w:val="8"/>
              </w:rPr>
              <w:t>罚款；情节严重的，责令停产停业整顿</w:t>
            </w:r>
            <w:r>
              <w:rPr>
                <w:spacing w:val="9"/>
              </w:rPr>
              <w:t>：（</w:t>
            </w:r>
            <w:r>
              <w:rPr>
                <w:spacing w:val="8"/>
              </w:rPr>
              <w:t>六）危险化学品经营企业经营没有化学品安全技术说明书和化学品安全标签的危险</w:t>
            </w:r>
            <w:r>
              <w:rPr>
                <w:spacing w:val="-2"/>
              </w:rPr>
              <w:t>化学品的；</w:t>
            </w:r>
          </w:p>
        </w:tc>
        <w:tc>
          <w:tcPr>
            <w:tcW w:w="803" w:type="dxa"/>
            <w:vAlign w:val="top"/>
          </w:tcPr>
          <w:p w14:paraId="3726CC8B">
            <w:pPr>
              <w:rPr>
                <w:rFonts w:ascii="Arial"/>
                <w:sz w:val="21"/>
              </w:rPr>
            </w:pPr>
          </w:p>
        </w:tc>
        <w:tc>
          <w:tcPr>
            <w:tcW w:w="2283" w:type="dxa"/>
            <w:vAlign w:val="top"/>
          </w:tcPr>
          <w:p w14:paraId="5BF8C639">
            <w:pPr>
              <w:pStyle w:val="6"/>
              <w:spacing w:before="28" w:line="172" w:lineRule="auto"/>
              <w:ind w:left="120" w:right="105" w:hanging="3"/>
            </w:pPr>
            <w:r>
              <w:rPr>
                <w:spacing w:val="16"/>
              </w:rPr>
              <w:t>危险化学品，有</w:t>
            </w:r>
            <w:r>
              <w:rPr>
                <w:rFonts w:ascii="宋体" w:hAnsi="宋体" w:eastAsia="宋体" w:cs="宋体"/>
                <w:spacing w:val="16"/>
              </w:rPr>
              <w:t>3</w:t>
            </w:r>
            <w:r>
              <w:rPr>
                <w:spacing w:val="5"/>
              </w:rPr>
              <w:t>种以下的</w:t>
            </w:r>
          </w:p>
        </w:tc>
        <w:tc>
          <w:tcPr>
            <w:tcW w:w="2894" w:type="dxa"/>
            <w:vAlign w:val="top"/>
          </w:tcPr>
          <w:p w14:paraId="0F5307E2">
            <w:pPr>
              <w:pStyle w:val="6"/>
              <w:spacing w:before="28" w:line="208" w:lineRule="auto"/>
              <w:ind w:left="117"/>
            </w:pPr>
            <w:r>
              <w:rPr>
                <w:spacing w:val="7"/>
              </w:rPr>
              <w:t>令停产停业整顿</w:t>
            </w:r>
          </w:p>
        </w:tc>
        <w:tc>
          <w:tcPr>
            <w:tcW w:w="811" w:type="dxa"/>
            <w:vMerge w:val="restart"/>
            <w:tcBorders>
              <w:bottom w:val="nil"/>
            </w:tcBorders>
            <w:vAlign w:val="top"/>
          </w:tcPr>
          <w:p w14:paraId="4ECCADAF">
            <w:pPr>
              <w:rPr>
                <w:rFonts w:ascii="Arial"/>
                <w:sz w:val="21"/>
              </w:rPr>
            </w:pPr>
          </w:p>
        </w:tc>
      </w:tr>
      <w:tr w14:paraId="3501C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bottom w:val="nil"/>
            </w:tcBorders>
            <w:vAlign w:val="top"/>
          </w:tcPr>
          <w:p w14:paraId="2CE33CB2">
            <w:pPr>
              <w:rPr>
                <w:rFonts w:ascii="Arial"/>
                <w:sz w:val="21"/>
              </w:rPr>
            </w:pPr>
          </w:p>
        </w:tc>
        <w:tc>
          <w:tcPr>
            <w:tcW w:w="1440" w:type="dxa"/>
            <w:vMerge w:val="continue"/>
            <w:tcBorders>
              <w:top w:val="nil"/>
              <w:bottom w:val="nil"/>
            </w:tcBorders>
            <w:vAlign w:val="top"/>
          </w:tcPr>
          <w:p w14:paraId="3D22B109">
            <w:pPr>
              <w:rPr>
                <w:rFonts w:ascii="Arial"/>
                <w:sz w:val="21"/>
              </w:rPr>
            </w:pPr>
          </w:p>
        </w:tc>
        <w:tc>
          <w:tcPr>
            <w:tcW w:w="3202" w:type="dxa"/>
            <w:vMerge w:val="continue"/>
            <w:tcBorders>
              <w:top w:val="nil"/>
              <w:bottom w:val="nil"/>
            </w:tcBorders>
            <w:vAlign w:val="top"/>
          </w:tcPr>
          <w:p w14:paraId="004DC3EB">
            <w:pPr>
              <w:rPr>
                <w:rFonts w:ascii="Arial"/>
                <w:sz w:val="21"/>
              </w:rPr>
            </w:pPr>
          </w:p>
        </w:tc>
        <w:tc>
          <w:tcPr>
            <w:tcW w:w="2859" w:type="dxa"/>
            <w:vMerge w:val="continue"/>
            <w:tcBorders>
              <w:top w:val="nil"/>
              <w:bottom w:val="nil"/>
            </w:tcBorders>
            <w:vAlign w:val="top"/>
          </w:tcPr>
          <w:p w14:paraId="583AE6DE">
            <w:pPr>
              <w:rPr>
                <w:rFonts w:ascii="Arial"/>
                <w:sz w:val="21"/>
              </w:rPr>
            </w:pPr>
          </w:p>
        </w:tc>
        <w:tc>
          <w:tcPr>
            <w:tcW w:w="803" w:type="dxa"/>
            <w:vAlign w:val="top"/>
          </w:tcPr>
          <w:p w14:paraId="641E636D">
            <w:pPr>
              <w:spacing w:line="248" w:lineRule="auto"/>
              <w:rPr>
                <w:rFonts w:ascii="Arial"/>
                <w:sz w:val="21"/>
              </w:rPr>
            </w:pPr>
          </w:p>
          <w:p w14:paraId="1C6D72C1">
            <w:pPr>
              <w:spacing w:line="248" w:lineRule="auto"/>
              <w:rPr>
                <w:rFonts w:ascii="Arial"/>
                <w:sz w:val="21"/>
              </w:rPr>
            </w:pPr>
          </w:p>
          <w:p w14:paraId="7624847C">
            <w:pPr>
              <w:spacing w:line="249" w:lineRule="auto"/>
              <w:rPr>
                <w:rFonts w:ascii="Arial"/>
                <w:sz w:val="21"/>
              </w:rPr>
            </w:pPr>
          </w:p>
          <w:p w14:paraId="640D36AD">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D38F742">
            <w:pPr>
              <w:pStyle w:val="6"/>
              <w:spacing w:before="28" w:line="179" w:lineRule="auto"/>
              <w:ind w:left="117" w:right="105"/>
              <w:jc w:val="both"/>
            </w:pPr>
            <w:r>
              <w:rPr>
                <w:spacing w:val="26"/>
              </w:rPr>
              <w:t>危险化学品经营企业经营没有化学品安全技术说明书和化学品安全标签的</w:t>
            </w:r>
            <w:r>
              <w:rPr>
                <w:spacing w:val="17"/>
              </w:rPr>
              <w:t>危险化学品，有</w:t>
            </w:r>
            <w:r>
              <w:rPr>
                <w:rFonts w:ascii="宋体" w:hAnsi="宋体" w:eastAsia="宋体" w:cs="宋体"/>
                <w:spacing w:val="17"/>
              </w:rPr>
              <w:t>3</w:t>
            </w:r>
            <w:r>
              <w:rPr>
                <w:spacing w:val="3"/>
              </w:rPr>
              <w:t>种以上</w:t>
            </w:r>
            <w:r>
              <w:rPr>
                <w:rFonts w:ascii="宋体" w:hAnsi="宋体" w:eastAsia="宋体" w:cs="宋体"/>
                <w:spacing w:val="3"/>
              </w:rPr>
              <w:t>7</w:t>
            </w:r>
            <w:r>
              <w:rPr>
                <w:spacing w:val="3"/>
              </w:rPr>
              <w:t>种以下的</w:t>
            </w:r>
          </w:p>
        </w:tc>
        <w:tc>
          <w:tcPr>
            <w:tcW w:w="2894" w:type="dxa"/>
            <w:vAlign w:val="top"/>
          </w:tcPr>
          <w:p w14:paraId="0702A7EF">
            <w:pPr>
              <w:pStyle w:val="6"/>
              <w:spacing w:before="28" w:line="179" w:lineRule="auto"/>
              <w:ind w:left="122" w:right="103" w:firstLine="5"/>
            </w:pPr>
            <w:r>
              <w:rPr>
                <w:spacing w:val="3"/>
              </w:rPr>
              <w:t>责令改正，可以处</w:t>
            </w:r>
            <w:r>
              <w:rPr>
                <w:rFonts w:ascii="宋体" w:hAnsi="宋体" w:eastAsia="宋体" w:cs="宋体"/>
                <w:spacing w:val="3"/>
              </w:rPr>
              <w:t>2</w:t>
            </w:r>
            <w:r>
              <w:rPr>
                <w:spacing w:val="3"/>
              </w:rPr>
              <w:t>万元以上</w:t>
            </w:r>
            <w:r>
              <w:rPr>
                <w:rFonts w:ascii="宋体" w:hAnsi="宋体" w:eastAsia="宋体" w:cs="宋体"/>
                <w:spacing w:val="3"/>
              </w:rPr>
              <w:t>4</w:t>
            </w:r>
            <w:r>
              <w:rPr>
                <w:spacing w:val="3"/>
              </w:rPr>
              <w:t>万元以下的罚款；</w:t>
            </w:r>
            <w:r>
              <w:rPr>
                <w:spacing w:val="4"/>
              </w:rPr>
              <w:t>拒不改正的，处</w:t>
            </w:r>
            <w:r>
              <w:rPr>
                <w:rFonts w:ascii="宋体" w:hAnsi="宋体" w:eastAsia="宋体" w:cs="宋体"/>
                <w:spacing w:val="4"/>
              </w:rPr>
              <w:t>7</w:t>
            </w:r>
            <w:r>
              <w:rPr>
                <w:spacing w:val="4"/>
              </w:rPr>
              <w:t>万元以</w:t>
            </w:r>
            <w:r>
              <w:rPr>
                <w:spacing w:val="3"/>
              </w:rPr>
              <w:t>上</w:t>
            </w:r>
            <w:r>
              <w:rPr>
                <w:rFonts w:ascii="宋体" w:hAnsi="宋体" w:eastAsia="宋体" w:cs="宋体"/>
                <w:spacing w:val="3"/>
              </w:rPr>
              <w:t>9</w:t>
            </w:r>
            <w:r>
              <w:rPr>
                <w:spacing w:val="3"/>
              </w:rPr>
              <w:t>万元以下的罚款；情</w:t>
            </w:r>
            <w:r>
              <w:rPr>
                <w:spacing w:val="8"/>
              </w:rPr>
              <w:t>节严重的，责令停产停业</w:t>
            </w:r>
            <w:r>
              <w:rPr>
                <w:spacing w:val="1"/>
              </w:rPr>
              <w:t>整顿</w:t>
            </w:r>
          </w:p>
        </w:tc>
        <w:tc>
          <w:tcPr>
            <w:tcW w:w="811" w:type="dxa"/>
            <w:vMerge w:val="continue"/>
            <w:tcBorders>
              <w:top w:val="nil"/>
              <w:bottom w:val="nil"/>
            </w:tcBorders>
            <w:vAlign w:val="top"/>
          </w:tcPr>
          <w:p w14:paraId="7625BBDB">
            <w:pPr>
              <w:rPr>
                <w:rFonts w:ascii="Arial"/>
                <w:sz w:val="21"/>
              </w:rPr>
            </w:pPr>
          </w:p>
        </w:tc>
      </w:tr>
      <w:tr w14:paraId="34230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tcBorders>
            <w:vAlign w:val="top"/>
          </w:tcPr>
          <w:p w14:paraId="01B019EB">
            <w:pPr>
              <w:rPr>
                <w:rFonts w:ascii="Arial"/>
                <w:sz w:val="21"/>
              </w:rPr>
            </w:pPr>
          </w:p>
        </w:tc>
        <w:tc>
          <w:tcPr>
            <w:tcW w:w="1440" w:type="dxa"/>
            <w:vMerge w:val="continue"/>
            <w:tcBorders>
              <w:top w:val="nil"/>
            </w:tcBorders>
            <w:vAlign w:val="top"/>
          </w:tcPr>
          <w:p w14:paraId="5C7C8FA1">
            <w:pPr>
              <w:rPr>
                <w:rFonts w:ascii="Arial"/>
                <w:sz w:val="21"/>
              </w:rPr>
            </w:pPr>
          </w:p>
        </w:tc>
        <w:tc>
          <w:tcPr>
            <w:tcW w:w="3202" w:type="dxa"/>
            <w:vMerge w:val="continue"/>
            <w:tcBorders>
              <w:top w:val="nil"/>
            </w:tcBorders>
            <w:vAlign w:val="top"/>
          </w:tcPr>
          <w:p w14:paraId="281695E1">
            <w:pPr>
              <w:rPr>
                <w:rFonts w:ascii="Arial"/>
                <w:sz w:val="21"/>
              </w:rPr>
            </w:pPr>
          </w:p>
        </w:tc>
        <w:tc>
          <w:tcPr>
            <w:tcW w:w="2859" w:type="dxa"/>
            <w:vMerge w:val="continue"/>
            <w:tcBorders>
              <w:top w:val="nil"/>
            </w:tcBorders>
            <w:vAlign w:val="top"/>
          </w:tcPr>
          <w:p w14:paraId="3C782B37">
            <w:pPr>
              <w:rPr>
                <w:rFonts w:ascii="Arial"/>
                <w:sz w:val="21"/>
              </w:rPr>
            </w:pPr>
          </w:p>
        </w:tc>
        <w:tc>
          <w:tcPr>
            <w:tcW w:w="803" w:type="dxa"/>
            <w:vAlign w:val="top"/>
          </w:tcPr>
          <w:p w14:paraId="2723CBE2">
            <w:pPr>
              <w:spacing w:line="249" w:lineRule="auto"/>
              <w:rPr>
                <w:rFonts w:ascii="Arial"/>
                <w:sz w:val="21"/>
              </w:rPr>
            </w:pPr>
          </w:p>
          <w:p w14:paraId="3322D2CD">
            <w:pPr>
              <w:spacing w:line="249" w:lineRule="auto"/>
              <w:rPr>
                <w:rFonts w:ascii="Arial"/>
                <w:sz w:val="21"/>
              </w:rPr>
            </w:pPr>
          </w:p>
          <w:p w14:paraId="61DF6150">
            <w:pPr>
              <w:spacing w:line="249" w:lineRule="auto"/>
              <w:rPr>
                <w:rFonts w:ascii="Arial"/>
                <w:sz w:val="21"/>
              </w:rPr>
            </w:pPr>
          </w:p>
          <w:p w14:paraId="4E9043A3">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7B56C2C">
            <w:pPr>
              <w:pStyle w:val="6"/>
              <w:spacing w:before="28" w:line="179" w:lineRule="auto"/>
              <w:ind w:left="117" w:right="105"/>
              <w:jc w:val="both"/>
            </w:pPr>
            <w:r>
              <w:rPr>
                <w:spacing w:val="26"/>
              </w:rPr>
              <w:t>危险化学品经营企业经营没有化学品安全技术说明书和化学品安全标签的</w:t>
            </w:r>
            <w:r>
              <w:rPr>
                <w:spacing w:val="17"/>
              </w:rPr>
              <w:t>危险化学品，有</w:t>
            </w:r>
            <w:r>
              <w:rPr>
                <w:rFonts w:ascii="宋体" w:hAnsi="宋体" w:eastAsia="宋体" w:cs="宋体"/>
                <w:spacing w:val="17"/>
              </w:rPr>
              <w:t>7</w:t>
            </w:r>
            <w:r>
              <w:rPr>
                <w:spacing w:val="6"/>
              </w:rPr>
              <w:t>种以上的</w:t>
            </w:r>
          </w:p>
        </w:tc>
        <w:tc>
          <w:tcPr>
            <w:tcW w:w="2894" w:type="dxa"/>
            <w:vAlign w:val="top"/>
          </w:tcPr>
          <w:p w14:paraId="19E77B9B">
            <w:pPr>
              <w:pStyle w:val="6"/>
              <w:spacing w:before="28" w:line="179" w:lineRule="auto"/>
              <w:ind w:left="122" w:right="103" w:firstLine="5"/>
            </w:pPr>
            <w:r>
              <w:rPr>
                <w:spacing w:val="3"/>
              </w:rPr>
              <w:t>责令改正，可以处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万元以下的罚款；</w:t>
            </w:r>
            <w:r>
              <w:rPr>
                <w:spacing w:val="4"/>
              </w:rPr>
              <w:t>拒不改正的，处</w:t>
            </w:r>
            <w:r>
              <w:rPr>
                <w:rFonts w:ascii="宋体" w:hAnsi="宋体" w:eastAsia="宋体" w:cs="宋体"/>
                <w:spacing w:val="4"/>
              </w:rPr>
              <w:t>9</w:t>
            </w:r>
            <w:r>
              <w:rPr>
                <w:spacing w:val="4"/>
              </w:rPr>
              <w:t>万元以</w:t>
            </w:r>
            <w:r>
              <w:rPr>
                <w:spacing w:val="-4"/>
              </w:rPr>
              <w:t>上</w:t>
            </w:r>
            <w:r>
              <w:rPr>
                <w:rFonts w:ascii="宋体" w:hAnsi="宋体" w:eastAsia="宋体" w:cs="宋体"/>
                <w:spacing w:val="-4"/>
              </w:rPr>
              <w:t>10</w:t>
            </w:r>
            <w:r>
              <w:rPr>
                <w:spacing w:val="-4"/>
              </w:rPr>
              <w:t>万元以下的罚款；情</w:t>
            </w:r>
            <w:r>
              <w:rPr>
                <w:spacing w:val="8"/>
              </w:rPr>
              <w:t>节严重的，责令停产停业</w:t>
            </w:r>
            <w:r>
              <w:rPr>
                <w:spacing w:val="1"/>
              </w:rPr>
              <w:t>整顿</w:t>
            </w:r>
          </w:p>
        </w:tc>
        <w:tc>
          <w:tcPr>
            <w:tcW w:w="811" w:type="dxa"/>
            <w:vMerge w:val="continue"/>
            <w:tcBorders>
              <w:top w:val="nil"/>
            </w:tcBorders>
            <w:vAlign w:val="top"/>
          </w:tcPr>
          <w:p w14:paraId="4E5016F3">
            <w:pPr>
              <w:rPr>
                <w:rFonts w:ascii="Arial"/>
                <w:sz w:val="21"/>
              </w:rPr>
            </w:pPr>
          </w:p>
        </w:tc>
      </w:tr>
      <w:tr w14:paraId="7B400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Merge w:val="restart"/>
            <w:tcBorders>
              <w:bottom w:val="nil"/>
            </w:tcBorders>
            <w:vAlign w:val="top"/>
          </w:tcPr>
          <w:p w14:paraId="140DBB9D">
            <w:pPr>
              <w:spacing w:line="249" w:lineRule="auto"/>
              <w:rPr>
                <w:rFonts w:ascii="Arial"/>
                <w:sz w:val="21"/>
              </w:rPr>
            </w:pPr>
          </w:p>
          <w:p w14:paraId="40E8F879">
            <w:pPr>
              <w:spacing w:line="249" w:lineRule="auto"/>
              <w:rPr>
                <w:rFonts w:ascii="Arial"/>
                <w:sz w:val="21"/>
              </w:rPr>
            </w:pPr>
          </w:p>
          <w:p w14:paraId="5A4F5433">
            <w:pPr>
              <w:spacing w:line="249" w:lineRule="auto"/>
              <w:rPr>
                <w:rFonts w:ascii="Arial"/>
                <w:sz w:val="21"/>
              </w:rPr>
            </w:pPr>
          </w:p>
          <w:p w14:paraId="61B81D47">
            <w:pPr>
              <w:spacing w:line="249" w:lineRule="auto"/>
              <w:rPr>
                <w:rFonts w:ascii="Arial"/>
                <w:sz w:val="21"/>
              </w:rPr>
            </w:pPr>
          </w:p>
          <w:p w14:paraId="08D6D8F2">
            <w:pPr>
              <w:spacing w:line="249" w:lineRule="auto"/>
              <w:rPr>
                <w:rFonts w:ascii="Arial"/>
                <w:sz w:val="21"/>
              </w:rPr>
            </w:pPr>
          </w:p>
          <w:p w14:paraId="695BC85F">
            <w:pPr>
              <w:spacing w:line="250" w:lineRule="auto"/>
              <w:rPr>
                <w:rFonts w:ascii="Arial"/>
                <w:sz w:val="21"/>
              </w:rPr>
            </w:pPr>
          </w:p>
          <w:p w14:paraId="60C1DFCD">
            <w:pPr>
              <w:spacing w:line="250" w:lineRule="auto"/>
              <w:rPr>
                <w:rFonts w:ascii="Arial"/>
                <w:sz w:val="21"/>
              </w:rPr>
            </w:pPr>
          </w:p>
          <w:p w14:paraId="7B09F3D9">
            <w:pPr>
              <w:spacing w:line="250" w:lineRule="auto"/>
              <w:rPr>
                <w:rFonts w:ascii="Arial"/>
                <w:sz w:val="21"/>
              </w:rPr>
            </w:pPr>
          </w:p>
          <w:p w14:paraId="24CCF36E">
            <w:pPr>
              <w:spacing w:line="250" w:lineRule="auto"/>
              <w:rPr>
                <w:rFonts w:ascii="Arial"/>
                <w:sz w:val="21"/>
              </w:rPr>
            </w:pPr>
          </w:p>
          <w:p w14:paraId="50237D37">
            <w:pPr>
              <w:spacing w:before="75" w:line="186" w:lineRule="auto"/>
              <w:ind w:left="161"/>
              <w:rPr>
                <w:rFonts w:ascii="仿宋" w:hAnsi="仿宋" w:eastAsia="仿宋" w:cs="仿宋"/>
                <w:sz w:val="23"/>
                <w:szCs w:val="23"/>
              </w:rPr>
            </w:pPr>
            <w:r>
              <w:rPr>
                <w:rFonts w:ascii="仿宋" w:hAnsi="仿宋" w:eastAsia="仿宋" w:cs="仿宋"/>
                <w:spacing w:val="-5"/>
                <w:sz w:val="23"/>
                <w:szCs w:val="23"/>
              </w:rPr>
              <w:t>125</w:t>
            </w:r>
          </w:p>
        </w:tc>
        <w:tc>
          <w:tcPr>
            <w:tcW w:w="1440" w:type="dxa"/>
            <w:vMerge w:val="restart"/>
            <w:tcBorders>
              <w:bottom w:val="nil"/>
            </w:tcBorders>
            <w:vAlign w:val="top"/>
          </w:tcPr>
          <w:p w14:paraId="15DF780A">
            <w:pPr>
              <w:spacing w:line="266" w:lineRule="auto"/>
              <w:rPr>
                <w:rFonts w:ascii="Arial"/>
                <w:sz w:val="21"/>
              </w:rPr>
            </w:pPr>
          </w:p>
          <w:p w14:paraId="1958BE30">
            <w:pPr>
              <w:spacing w:line="267" w:lineRule="auto"/>
              <w:rPr>
                <w:rFonts w:ascii="Arial"/>
                <w:sz w:val="21"/>
              </w:rPr>
            </w:pPr>
          </w:p>
          <w:p w14:paraId="143098E5">
            <w:pPr>
              <w:pStyle w:val="6"/>
              <w:spacing w:before="98" w:line="185" w:lineRule="auto"/>
              <w:ind w:left="112" w:firstLine="2"/>
            </w:pPr>
            <w:r>
              <w:rPr>
                <w:spacing w:val="8"/>
              </w:rPr>
              <w:t>危险化学品</w:t>
            </w:r>
            <w:r>
              <w:rPr>
                <w:spacing w:val="9"/>
              </w:rPr>
              <w:t>包装物、容器的材质以及包装的型</w:t>
            </w:r>
            <w:r>
              <w:rPr>
                <w:spacing w:val="4"/>
              </w:rPr>
              <w:t>式、规格、</w:t>
            </w:r>
            <w:r>
              <w:rPr>
                <w:spacing w:val="9"/>
              </w:rPr>
              <w:t>方法和单件</w:t>
            </w:r>
            <w:r>
              <w:rPr>
                <w:spacing w:val="-10"/>
              </w:rPr>
              <w:t>质量（重量）</w:t>
            </w:r>
            <w:r>
              <w:rPr>
                <w:spacing w:val="9"/>
              </w:rPr>
              <w:t>与所包装的危险化学品的性质和用途不相适应</w:t>
            </w:r>
            <w:r>
              <w:t>的</w:t>
            </w:r>
          </w:p>
        </w:tc>
        <w:tc>
          <w:tcPr>
            <w:tcW w:w="3202" w:type="dxa"/>
            <w:vMerge w:val="restart"/>
            <w:tcBorders>
              <w:bottom w:val="nil"/>
            </w:tcBorders>
            <w:vAlign w:val="top"/>
          </w:tcPr>
          <w:p w14:paraId="32FE9E6B">
            <w:pPr>
              <w:pStyle w:val="6"/>
              <w:spacing w:before="36" w:line="182" w:lineRule="auto"/>
              <w:ind w:left="117" w:right="111" w:hanging="19"/>
            </w:pPr>
            <w:r>
              <w:rPr>
                <w:spacing w:val="18"/>
              </w:rPr>
              <w:t>【行政法规】《危险化学品</w:t>
            </w:r>
            <w:r>
              <w:rPr>
                <w:spacing w:val="13"/>
              </w:rPr>
              <w:t>安全管理条例》第十七条：</w:t>
            </w:r>
            <w:r>
              <w:rPr>
                <w:spacing w:val="17"/>
              </w:rPr>
              <w:t>危险化学品的包装应当符合法律、行政法规、规章的规定以及国家标准、行业标准</w:t>
            </w:r>
            <w:r>
              <w:rPr>
                <w:spacing w:val="-2"/>
              </w:rPr>
              <w:t>的要求。</w:t>
            </w:r>
          </w:p>
          <w:p w14:paraId="65E28D90">
            <w:pPr>
              <w:pStyle w:val="6"/>
              <w:spacing w:before="9" w:line="186" w:lineRule="auto"/>
              <w:ind w:left="118" w:right="111" w:hanging="1"/>
              <w:jc w:val="both"/>
            </w:pPr>
            <w:r>
              <w:rPr>
                <w:spacing w:val="17"/>
              </w:rPr>
              <w:t>危险化学品包装物、容器的材质以及危险化学品包装的型式、规格、方法和单件质</w:t>
            </w:r>
            <w:r>
              <w:rPr>
                <w:spacing w:val="13"/>
              </w:rPr>
              <w:t>量（重量</w:t>
            </w:r>
            <w:r>
              <w:rPr>
                <w:spacing w:val="-13"/>
              </w:rPr>
              <w:t>），</w:t>
            </w:r>
            <w:r>
              <w:rPr>
                <w:spacing w:val="13"/>
              </w:rPr>
              <w:t>应当与所包装</w:t>
            </w:r>
            <w:r>
              <w:rPr>
                <w:spacing w:val="17"/>
              </w:rPr>
              <w:t>的危险化学品的性质和用途</w:t>
            </w:r>
            <w:r>
              <w:rPr>
                <w:spacing w:val="-2"/>
              </w:rPr>
              <w:t>相适应。</w:t>
            </w:r>
          </w:p>
        </w:tc>
        <w:tc>
          <w:tcPr>
            <w:tcW w:w="2859" w:type="dxa"/>
            <w:vMerge w:val="restart"/>
            <w:tcBorders>
              <w:bottom w:val="nil"/>
            </w:tcBorders>
            <w:vAlign w:val="top"/>
          </w:tcPr>
          <w:p w14:paraId="59E68998">
            <w:pPr>
              <w:pStyle w:val="6"/>
              <w:spacing w:before="44" w:line="181" w:lineRule="auto"/>
              <w:ind w:left="115" w:right="105" w:hanging="18"/>
              <w:jc w:val="both"/>
            </w:pPr>
            <w:r>
              <w:rPr>
                <w:spacing w:val="10"/>
              </w:rPr>
              <w:t>【行政法规】《危险化学</w:t>
            </w:r>
            <w:r>
              <w:rPr>
                <w:spacing w:val="8"/>
              </w:rPr>
              <w:t>品安全管理条例》第七十八条第一款第七项：有下列情形之一的，由安全生</w:t>
            </w:r>
            <w:r>
              <w:rPr>
                <w:spacing w:val="32"/>
              </w:rPr>
              <w:t>产监督管理部门责令改</w:t>
            </w:r>
            <w:r>
              <w:rPr>
                <w:spacing w:val="5"/>
              </w:rPr>
              <w:t>正，可以处</w:t>
            </w:r>
            <w:r>
              <w:rPr>
                <w:rFonts w:ascii="宋体" w:hAnsi="宋体" w:eastAsia="宋体" w:cs="宋体"/>
                <w:spacing w:val="5"/>
              </w:rPr>
              <w:t>5</w:t>
            </w:r>
            <w:r>
              <w:rPr>
                <w:spacing w:val="5"/>
              </w:rPr>
              <w:t>万元以下的</w:t>
            </w:r>
            <w:r>
              <w:rPr>
                <w:spacing w:val="6"/>
              </w:rPr>
              <w:t>罚款；拒不改正的，处</w:t>
            </w:r>
            <w:r>
              <w:rPr>
                <w:rFonts w:ascii="宋体" w:hAnsi="宋体" w:eastAsia="宋体" w:cs="宋体"/>
                <w:spacing w:val="6"/>
              </w:rPr>
              <w:t>5</w:t>
            </w:r>
            <w:r>
              <w:rPr>
                <w:spacing w:val="9"/>
              </w:rPr>
              <w:t>万元以上</w:t>
            </w:r>
            <w:r>
              <w:rPr>
                <w:rFonts w:ascii="宋体" w:hAnsi="宋体" w:eastAsia="宋体" w:cs="宋体"/>
                <w:spacing w:val="9"/>
              </w:rPr>
              <w:t>10</w:t>
            </w:r>
            <w:r>
              <w:rPr>
                <w:spacing w:val="9"/>
              </w:rPr>
              <w:t>万元以下的</w:t>
            </w:r>
            <w:r>
              <w:rPr>
                <w:spacing w:val="8"/>
              </w:rPr>
              <w:t>罚款；情节严重的，责令停产停业整顿</w:t>
            </w:r>
            <w:r>
              <w:rPr>
                <w:spacing w:val="10"/>
              </w:rPr>
              <w:t>：（</w:t>
            </w:r>
            <w:r>
              <w:rPr>
                <w:spacing w:val="8"/>
              </w:rPr>
              <w:t>七）危险化学品包装物、容器的材质以及包装的型式、规格、方法和单件质量（重量）与所包装的危险化学品的性质和用途不相适应</w:t>
            </w:r>
            <w:r>
              <w:rPr>
                <w:spacing w:val="-10"/>
              </w:rPr>
              <w:t>的；</w:t>
            </w:r>
          </w:p>
        </w:tc>
        <w:tc>
          <w:tcPr>
            <w:tcW w:w="803" w:type="dxa"/>
            <w:vAlign w:val="top"/>
          </w:tcPr>
          <w:p w14:paraId="1C308A1F">
            <w:pPr>
              <w:spacing w:line="260" w:lineRule="auto"/>
              <w:rPr>
                <w:rFonts w:ascii="Arial"/>
                <w:sz w:val="21"/>
              </w:rPr>
            </w:pPr>
          </w:p>
          <w:p w14:paraId="7BD262B4">
            <w:pPr>
              <w:spacing w:line="261" w:lineRule="auto"/>
              <w:rPr>
                <w:rFonts w:ascii="Arial"/>
                <w:sz w:val="21"/>
              </w:rPr>
            </w:pPr>
          </w:p>
          <w:p w14:paraId="75C70118">
            <w:pPr>
              <w:spacing w:line="261" w:lineRule="auto"/>
              <w:rPr>
                <w:rFonts w:ascii="Arial"/>
                <w:sz w:val="21"/>
              </w:rPr>
            </w:pPr>
          </w:p>
          <w:p w14:paraId="49A01AAD">
            <w:pPr>
              <w:spacing w:line="261" w:lineRule="auto"/>
              <w:rPr>
                <w:rFonts w:ascii="Arial"/>
                <w:sz w:val="21"/>
              </w:rPr>
            </w:pPr>
          </w:p>
          <w:p w14:paraId="732116FD">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BA2CEE5">
            <w:pPr>
              <w:pStyle w:val="6"/>
              <w:spacing w:before="26" w:line="180" w:lineRule="auto"/>
              <w:ind w:left="117" w:right="46"/>
              <w:jc w:val="both"/>
            </w:pPr>
            <w:r>
              <w:rPr>
                <w:spacing w:val="4"/>
              </w:rPr>
              <w:t>危险化学品包装物、</w:t>
            </w:r>
            <w:r>
              <w:rPr>
                <w:spacing w:val="26"/>
              </w:rPr>
              <w:t>容器的材质以及包</w:t>
            </w:r>
            <w:r>
              <w:rPr>
                <w:spacing w:val="-3"/>
              </w:rPr>
              <w:t>装的型式、规格、方</w:t>
            </w:r>
            <w:r>
              <w:rPr>
                <w:spacing w:val="26"/>
              </w:rPr>
              <w:t>法和单件质量（重</w:t>
            </w:r>
            <w:r>
              <w:rPr>
                <w:spacing w:val="-3"/>
              </w:rPr>
              <w:t>量）与所包装的危险</w:t>
            </w:r>
            <w:r>
              <w:rPr>
                <w:spacing w:val="26"/>
              </w:rPr>
              <w:t>化学品的性质和用</w:t>
            </w:r>
            <w:r>
              <w:rPr>
                <w:spacing w:val="15"/>
              </w:rPr>
              <w:t>途有</w:t>
            </w:r>
            <w:r>
              <w:rPr>
                <w:rFonts w:ascii="宋体" w:hAnsi="宋体" w:eastAsia="宋体" w:cs="宋体"/>
                <w:spacing w:val="15"/>
              </w:rPr>
              <w:t>1</w:t>
            </w:r>
            <w:r>
              <w:rPr>
                <w:spacing w:val="15"/>
              </w:rPr>
              <w:t>项不相适应</w:t>
            </w:r>
            <w:r>
              <w:t>的</w:t>
            </w:r>
          </w:p>
        </w:tc>
        <w:tc>
          <w:tcPr>
            <w:tcW w:w="2894" w:type="dxa"/>
            <w:vAlign w:val="top"/>
          </w:tcPr>
          <w:p w14:paraId="09DDE1F7">
            <w:pPr>
              <w:spacing w:line="376" w:lineRule="auto"/>
              <w:rPr>
                <w:rFonts w:ascii="Arial"/>
                <w:sz w:val="21"/>
              </w:rPr>
            </w:pPr>
          </w:p>
          <w:p w14:paraId="4A4AFB7F">
            <w:pPr>
              <w:pStyle w:val="6"/>
              <w:spacing w:before="99" w:line="188" w:lineRule="auto"/>
              <w:ind w:left="117" w:right="37" w:firstLine="10"/>
              <w:jc w:val="both"/>
            </w:pPr>
            <w:r>
              <w:rPr>
                <w:spacing w:val="3"/>
              </w:rPr>
              <w:t>责令改正，可以处</w:t>
            </w:r>
            <w:r>
              <w:rPr>
                <w:rFonts w:ascii="宋体" w:hAnsi="宋体" w:eastAsia="宋体" w:cs="宋体"/>
                <w:spacing w:val="3"/>
              </w:rPr>
              <w:t>2</w:t>
            </w:r>
            <w:r>
              <w:rPr>
                <w:spacing w:val="3"/>
              </w:rPr>
              <w:t>万元</w:t>
            </w:r>
            <w:r>
              <w:rPr>
                <w:spacing w:val="-3"/>
              </w:rPr>
              <w:t>以下的罚款；拒不改正的，</w:t>
            </w:r>
            <w:r>
              <w:rPr>
                <w:spacing w:val="4"/>
              </w:rPr>
              <w:t>处</w:t>
            </w:r>
            <w:r>
              <w:rPr>
                <w:rFonts w:ascii="宋体" w:hAnsi="宋体" w:eastAsia="宋体" w:cs="宋体"/>
                <w:spacing w:val="4"/>
              </w:rPr>
              <w:t>5</w:t>
            </w:r>
            <w:r>
              <w:rPr>
                <w:spacing w:val="4"/>
              </w:rPr>
              <w:t>万元以上</w:t>
            </w:r>
            <w:r>
              <w:rPr>
                <w:rFonts w:ascii="宋体" w:hAnsi="宋体" w:eastAsia="宋体" w:cs="宋体"/>
                <w:spacing w:val="4"/>
              </w:rPr>
              <w:t>7</w:t>
            </w:r>
            <w:r>
              <w:rPr>
                <w:spacing w:val="4"/>
              </w:rPr>
              <w:t>万元以下的罚款；情节严重的，责</w:t>
            </w:r>
            <w:r>
              <w:rPr>
                <w:spacing w:val="7"/>
              </w:rPr>
              <w:t>令停产停业整顿</w:t>
            </w:r>
          </w:p>
        </w:tc>
        <w:tc>
          <w:tcPr>
            <w:tcW w:w="811" w:type="dxa"/>
            <w:vMerge w:val="restart"/>
            <w:tcBorders>
              <w:bottom w:val="nil"/>
            </w:tcBorders>
            <w:vAlign w:val="top"/>
          </w:tcPr>
          <w:p w14:paraId="1F7081C7">
            <w:pPr>
              <w:spacing w:line="249" w:lineRule="auto"/>
              <w:rPr>
                <w:rFonts w:ascii="Arial"/>
                <w:sz w:val="21"/>
              </w:rPr>
            </w:pPr>
          </w:p>
          <w:p w14:paraId="1CF64A5B">
            <w:pPr>
              <w:spacing w:line="249" w:lineRule="auto"/>
              <w:rPr>
                <w:rFonts w:ascii="Arial"/>
                <w:sz w:val="21"/>
              </w:rPr>
            </w:pPr>
          </w:p>
          <w:p w14:paraId="3D0BD2F6">
            <w:pPr>
              <w:spacing w:line="249" w:lineRule="auto"/>
              <w:rPr>
                <w:rFonts w:ascii="Arial"/>
                <w:sz w:val="21"/>
              </w:rPr>
            </w:pPr>
          </w:p>
          <w:p w14:paraId="13BEFB3E">
            <w:pPr>
              <w:spacing w:line="249" w:lineRule="auto"/>
              <w:rPr>
                <w:rFonts w:ascii="Arial"/>
                <w:sz w:val="21"/>
              </w:rPr>
            </w:pPr>
          </w:p>
          <w:p w14:paraId="7076F851">
            <w:pPr>
              <w:spacing w:line="249" w:lineRule="auto"/>
              <w:rPr>
                <w:rFonts w:ascii="Arial"/>
                <w:sz w:val="21"/>
              </w:rPr>
            </w:pPr>
          </w:p>
          <w:p w14:paraId="5F06A908">
            <w:pPr>
              <w:spacing w:line="249" w:lineRule="auto"/>
              <w:rPr>
                <w:rFonts w:ascii="Arial"/>
                <w:sz w:val="21"/>
              </w:rPr>
            </w:pPr>
          </w:p>
          <w:p w14:paraId="51B79243">
            <w:pPr>
              <w:spacing w:line="249" w:lineRule="auto"/>
              <w:rPr>
                <w:rFonts w:ascii="Arial"/>
                <w:sz w:val="21"/>
              </w:rPr>
            </w:pPr>
          </w:p>
          <w:p w14:paraId="55071B01">
            <w:pPr>
              <w:spacing w:line="250" w:lineRule="auto"/>
              <w:rPr>
                <w:rFonts w:ascii="Arial"/>
                <w:sz w:val="21"/>
              </w:rPr>
            </w:pPr>
          </w:p>
          <w:p w14:paraId="027009AE">
            <w:pPr>
              <w:spacing w:line="250" w:lineRule="auto"/>
              <w:rPr>
                <w:rFonts w:ascii="Arial"/>
                <w:sz w:val="21"/>
              </w:rPr>
            </w:pPr>
          </w:p>
          <w:p w14:paraId="74C8D956">
            <w:pPr>
              <w:spacing w:before="75" w:line="188" w:lineRule="auto"/>
              <w:ind w:left="292"/>
              <w:rPr>
                <w:rFonts w:ascii="宋体" w:hAnsi="宋体" w:eastAsia="宋体" w:cs="宋体"/>
                <w:sz w:val="23"/>
                <w:szCs w:val="23"/>
              </w:rPr>
            </w:pPr>
            <w:r>
              <w:rPr>
                <w:rFonts w:ascii="宋体" w:hAnsi="宋体" w:eastAsia="宋体" w:cs="宋体"/>
                <w:spacing w:val="-2"/>
                <w:sz w:val="23"/>
                <w:szCs w:val="23"/>
              </w:rPr>
              <w:t>89</w:t>
            </w:r>
          </w:p>
        </w:tc>
      </w:tr>
      <w:tr w14:paraId="07A68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7" w:hRule="atLeast"/>
        </w:trPr>
        <w:tc>
          <w:tcPr>
            <w:tcW w:w="818" w:type="dxa"/>
            <w:vMerge w:val="continue"/>
            <w:tcBorders>
              <w:top w:val="nil"/>
            </w:tcBorders>
            <w:vAlign w:val="top"/>
          </w:tcPr>
          <w:p w14:paraId="28938228">
            <w:pPr>
              <w:rPr>
                <w:rFonts w:ascii="Arial"/>
                <w:sz w:val="21"/>
              </w:rPr>
            </w:pPr>
          </w:p>
        </w:tc>
        <w:tc>
          <w:tcPr>
            <w:tcW w:w="1440" w:type="dxa"/>
            <w:vMerge w:val="continue"/>
            <w:tcBorders>
              <w:top w:val="nil"/>
            </w:tcBorders>
            <w:vAlign w:val="top"/>
          </w:tcPr>
          <w:p w14:paraId="38B28F7B">
            <w:pPr>
              <w:rPr>
                <w:rFonts w:ascii="Arial"/>
                <w:sz w:val="21"/>
              </w:rPr>
            </w:pPr>
          </w:p>
        </w:tc>
        <w:tc>
          <w:tcPr>
            <w:tcW w:w="3202" w:type="dxa"/>
            <w:vMerge w:val="continue"/>
            <w:tcBorders>
              <w:top w:val="nil"/>
            </w:tcBorders>
            <w:vAlign w:val="top"/>
          </w:tcPr>
          <w:p w14:paraId="081AB574">
            <w:pPr>
              <w:rPr>
                <w:rFonts w:ascii="Arial"/>
                <w:sz w:val="21"/>
              </w:rPr>
            </w:pPr>
          </w:p>
        </w:tc>
        <w:tc>
          <w:tcPr>
            <w:tcW w:w="2859" w:type="dxa"/>
            <w:vMerge w:val="continue"/>
            <w:tcBorders>
              <w:top w:val="nil"/>
            </w:tcBorders>
            <w:vAlign w:val="top"/>
          </w:tcPr>
          <w:p w14:paraId="0A936428">
            <w:pPr>
              <w:rPr>
                <w:rFonts w:ascii="Arial"/>
                <w:sz w:val="21"/>
              </w:rPr>
            </w:pPr>
          </w:p>
        </w:tc>
        <w:tc>
          <w:tcPr>
            <w:tcW w:w="803" w:type="dxa"/>
            <w:vAlign w:val="top"/>
          </w:tcPr>
          <w:p w14:paraId="017AA8D4">
            <w:pPr>
              <w:spacing w:line="261" w:lineRule="auto"/>
              <w:rPr>
                <w:rFonts w:ascii="Arial"/>
                <w:sz w:val="21"/>
              </w:rPr>
            </w:pPr>
          </w:p>
          <w:p w14:paraId="67243707">
            <w:pPr>
              <w:spacing w:line="262" w:lineRule="auto"/>
              <w:rPr>
                <w:rFonts w:ascii="Arial"/>
                <w:sz w:val="21"/>
              </w:rPr>
            </w:pPr>
          </w:p>
          <w:p w14:paraId="1813F005">
            <w:pPr>
              <w:spacing w:line="262" w:lineRule="auto"/>
              <w:rPr>
                <w:rFonts w:ascii="Arial"/>
                <w:sz w:val="21"/>
              </w:rPr>
            </w:pPr>
          </w:p>
          <w:p w14:paraId="083D6E3F">
            <w:pPr>
              <w:spacing w:line="262" w:lineRule="auto"/>
              <w:rPr>
                <w:rFonts w:ascii="Arial"/>
                <w:sz w:val="21"/>
              </w:rPr>
            </w:pPr>
          </w:p>
          <w:p w14:paraId="065DF637">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756CCDD">
            <w:pPr>
              <w:pStyle w:val="6"/>
              <w:spacing w:before="29" w:line="180" w:lineRule="auto"/>
              <w:ind w:left="117" w:right="46"/>
              <w:jc w:val="both"/>
            </w:pPr>
            <w:r>
              <w:rPr>
                <w:spacing w:val="4"/>
              </w:rPr>
              <w:t>危险化学品包装物、</w:t>
            </w:r>
            <w:r>
              <w:rPr>
                <w:spacing w:val="26"/>
              </w:rPr>
              <w:t>容器的材质以及包</w:t>
            </w:r>
            <w:r>
              <w:rPr>
                <w:spacing w:val="-3"/>
              </w:rPr>
              <w:t>装的型式、规格、方</w:t>
            </w:r>
            <w:r>
              <w:rPr>
                <w:spacing w:val="26"/>
              </w:rPr>
              <w:t>法和单件质量（重</w:t>
            </w:r>
            <w:r>
              <w:rPr>
                <w:spacing w:val="-3"/>
              </w:rPr>
              <w:t>量）与所包装的危险</w:t>
            </w:r>
            <w:r>
              <w:rPr>
                <w:spacing w:val="26"/>
              </w:rPr>
              <w:t>化学品的性质和用</w:t>
            </w:r>
            <w:r>
              <w:rPr>
                <w:spacing w:val="16"/>
              </w:rPr>
              <w:t>途有</w:t>
            </w:r>
            <w:r>
              <w:rPr>
                <w:rFonts w:ascii="宋体" w:hAnsi="宋体" w:eastAsia="宋体" w:cs="宋体"/>
                <w:spacing w:val="16"/>
              </w:rPr>
              <w:t>2</w:t>
            </w:r>
            <w:r>
              <w:rPr>
                <w:spacing w:val="16"/>
              </w:rPr>
              <w:t>项不相适应</w:t>
            </w:r>
            <w:r>
              <w:t>的</w:t>
            </w:r>
          </w:p>
        </w:tc>
        <w:tc>
          <w:tcPr>
            <w:tcW w:w="2894" w:type="dxa"/>
            <w:vAlign w:val="top"/>
          </w:tcPr>
          <w:p w14:paraId="5AFBEA64">
            <w:pPr>
              <w:pStyle w:val="6"/>
              <w:spacing w:before="332" w:line="187" w:lineRule="auto"/>
              <w:ind w:left="122" w:right="103" w:firstLine="5"/>
            </w:pPr>
            <w:r>
              <w:rPr>
                <w:spacing w:val="3"/>
              </w:rPr>
              <w:t>责令改正，可以处</w:t>
            </w:r>
            <w:r>
              <w:rPr>
                <w:rFonts w:ascii="宋体" w:hAnsi="宋体" w:eastAsia="宋体" w:cs="宋体"/>
                <w:spacing w:val="3"/>
              </w:rPr>
              <w:t>2</w:t>
            </w:r>
            <w:r>
              <w:rPr>
                <w:spacing w:val="3"/>
              </w:rPr>
              <w:t>万元以上</w:t>
            </w:r>
            <w:r>
              <w:rPr>
                <w:rFonts w:ascii="宋体" w:hAnsi="宋体" w:eastAsia="宋体" w:cs="宋体"/>
                <w:spacing w:val="3"/>
              </w:rPr>
              <w:t>4</w:t>
            </w:r>
            <w:r>
              <w:rPr>
                <w:spacing w:val="3"/>
              </w:rPr>
              <w:t>万元以下的罚款；</w:t>
            </w:r>
            <w:r>
              <w:rPr>
                <w:spacing w:val="4"/>
              </w:rPr>
              <w:t>拒不改正的，处</w:t>
            </w:r>
            <w:r>
              <w:rPr>
                <w:rFonts w:ascii="宋体" w:hAnsi="宋体" w:eastAsia="宋体" w:cs="宋体"/>
                <w:spacing w:val="4"/>
              </w:rPr>
              <w:t>7</w:t>
            </w:r>
            <w:r>
              <w:rPr>
                <w:spacing w:val="4"/>
              </w:rPr>
              <w:t>万元以</w:t>
            </w:r>
            <w:r>
              <w:rPr>
                <w:spacing w:val="3"/>
              </w:rPr>
              <w:t>上</w:t>
            </w:r>
            <w:r>
              <w:rPr>
                <w:rFonts w:ascii="宋体" w:hAnsi="宋体" w:eastAsia="宋体" w:cs="宋体"/>
                <w:spacing w:val="3"/>
              </w:rPr>
              <w:t>9</w:t>
            </w:r>
            <w:r>
              <w:rPr>
                <w:spacing w:val="3"/>
              </w:rPr>
              <w:t>万元以下的罚款；情</w:t>
            </w:r>
            <w:r>
              <w:rPr>
                <w:spacing w:val="8"/>
              </w:rPr>
              <w:t>节严重的，责令停产停业</w:t>
            </w:r>
            <w:r>
              <w:rPr>
                <w:spacing w:val="1"/>
              </w:rPr>
              <w:t>整顿</w:t>
            </w:r>
          </w:p>
        </w:tc>
        <w:tc>
          <w:tcPr>
            <w:tcW w:w="811" w:type="dxa"/>
            <w:vMerge w:val="continue"/>
            <w:tcBorders>
              <w:top w:val="nil"/>
            </w:tcBorders>
            <w:vAlign w:val="top"/>
          </w:tcPr>
          <w:p w14:paraId="1541B4F4">
            <w:pPr>
              <w:rPr>
                <w:rFonts w:ascii="Arial"/>
                <w:sz w:val="21"/>
              </w:rPr>
            </w:pPr>
          </w:p>
        </w:tc>
      </w:tr>
    </w:tbl>
    <w:p w14:paraId="185B9980">
      <w:pPr>
        <w:pStyle w:val="2"/>
      </w:pPr>
    </w:p>
    <w:p w14:paraId="25EC4ECA">
      <w:pPr>
        <w:sectPr>
          <w:footerReference r:id="rId150" w:type="default"/>
          <w:pgSz w:w="16839" w:h="11906"/>
          <w:pgMar w:top="1012" w:right="821" w:bottom="667" w:left="901" w:header="0" w:footer="388" w:gutter="0"/>
          <w:cols w:space="720" w:num="1"/>
        </w:sectPr>
      </w:pPr>
    </w:p>
    <w:p w14:paraId="3554D0C9">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D882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B268C41">
            <w:pPr>
              <w:spacing w:before="222" w:line="241" w:lineRule="auto"/>
              <w:ind w:left="131"/>
              <w:outlineLvl w:val="0"/>
              <w:rPr>
                <w:rFonts w:ascii="黑体" w:hAnsi="黑体" w:eastAsia="黑体" w:cs="黑体"/>
                <w:sz w:val="28"/>
                <w:szCs w:val="28"/>
              </w:rPr>
            </w:pPr>
            <w:bookmarkStart w:id="571" w:name="bookmark260"/>
            <w:bookmarkEnd w:id="571"/>
            <w:bookmarkStart w:id="572" w:name="bookmark555"/>
            <w:bookmarkEnd w:id="572"/>
            <w:r>
              <w:rPr>
                <w:rFonts w:ascii="黑体" w:hAnsi="黑体" w:eastAsia="黑体" w:cs="黑体"/>
                <w:spacing w:val="-2"/>
                <w:sz w:val="28"/>
                <w:szCs w:val="28"/>
              </w:rPr>
              <w:t>序号</w:t>
            </w:r>
          </w:p>
        </w:tc>
        <w:tc>
          <w:tcPr>
            <w:tcW w:w="1440" w:type="dxa"/>
            <w:vAlign w:val="top"/>
          </w:tcPr>
          <w:p w14:paraId="0A4F095F">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ADFDFBC">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AEB48E1">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453E2E44">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53A8200">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9167A7F">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AE00C00">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E0B7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Align w:val="top"/>
          </w:tcPr>
          <w:p w14:paraId="46C747D5">
            <w:pPr>
              <w:rPr>
                <w:rFonts w:ascii="Arial"/>
                <w:sz w:val="21"/>
              </w:rPr>
            </w:pPr>
          </w:p>
        </w:tc>
        <w:tc>
          <w:tcPr>
            <w:tcW w:w="1440" w:type="dxa"/>
            <w:vAlign w:val="top"/>
          </w:tcPr>
          <w:p w14:paraId="0E49A441">
            <w:pPr>
              <w:rPr>
                <w:rFonts w:ascii="Arial"/>
                <w:sz w:val="21"/>
              </w:rPr>
            </w:pPr>
          </w:p>
        </w:tc>
        <w:tc>
          <w:tcPr>
            <w:tcW w:w="3202" w:type="dxa"/>
            <w:vAlign w:val="top"/>
          </w:tcPr>
          <w:p w14:paraId="21A34717">
            <w:pPr>
              <w:rPr>
                <w:rFonts w:ascii="Arial"/>
                <w:sz w:val="21"/>
              </w:rPr>
            </w:pPr>
          </w:p>
        </w:tc>
        <w:tc>
          <w:tcPr>
            <w:tcW w:w="2859" w:type="dxa"/>
            <w:vAlign w:val="top"/>
          </w:tcPr>
          <w:p w14:paraId="57AD87CD">
            <w:pPr>
              <w:rPr>
                <w:rFonts w:ascii="Arial"/>
                <w:sz w:val="21"/>
              </w:rPr>
            </w:pPr>
          </w:p>
        </w:tc>
        <w:tc>
          <w:tcPr>
            <w:tcW w:w="803" w:type="dxa"/>
            <w:vAlign w:val="top"/>
          </w:tcPr>
          <w:p w14:paraId="4B3BBA36">
            <w:pPr>
              <w:spacing w:line="260" w:lineRule="auto"/>
              <w:rPr>
                <w:rFonts w:ascii="Arial"/>
                <w:sz w:val="21"/>
              </w:rPr>
            </w:pPr>
          </w:p>
          <w:p w14:paraId="42E63789">
            <w:pPr>
              <w:spacing w:line="260" w:lineRule="auto"/>
              <w:rPr>
                <w:rFonts w:ascii="Arial"/>
                <w:sz w:val="21"/>
              </w:rPr>
            </w:pPr>
          </w:p>
          <w:p w14:paraId="5C9BEA14">
            <w:pPr>
              <w:spacing w:line="260" w:lineRule="auto"/>
              <w:rPr>
                <w:rFonts w:ascii="Arial"/>
                <w:sz w:val="21"/>
              </w:rPr>
            </w:pPr>
          </w:p>
          <w:p w14:paraId="52E6D3D6">
            <w:pPr>
              <w:spacing w:line="261" w:lineRule="auto"/>
              <w:rPr>
                <w:rFonts w:ascii="Arial"/>
                <w:sz w:val="21"/>
              </w:rPr>
            </w:pPr>
          </w:p>
          <w:p w14:paraId="220E0328">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B4C143A">
            <w:pPr>
              <w:pStyle w:val="6"/>
              <w:spacing w:before="26" w:line="180" w:lineRule="auto"/>
              <w:ind w:left="117" w:right="46"/>
              <w:jc w:val="both"/>
            </w:pPr>
            <w:r>
              <w:rPr>
                <w:spacing w:val="4"/>
              </w:rPr>
              <w:t>危险化学品包装物、</w:t>
            </w:r>
            <w:r>
              <w:rPr>
                <w:spacing w:val="26"/>
              </w:rPr>
              <w:t>容器的材质以及包</w:t>
            </w:r>
            <w:r>
              <w:rPr>
                <w:spacing w:val="-3"/>
              </w:rPr>
              <w:t>装的型式、规格、方</w:t>
            </w:r>
            <w:r>
              <w:rPr>
                <w:spacing w:val="26"/>
              </w:rPr>
              <w:t>法和单件质量（重</w:t>
            </w:r>
            <w:r>
              <w:rPr>
                <w:spacing w:val="-3"/>
              </w:rPr>
              <w:t>量）与所包装的危险</w:t>
            </w:r>
            <w:r>
              <w:rPr>
                <w:spacing w:val="26"/>
              </w:rPr>
              <w:t>化学品的性质和用</w:t>
            </w:r>
            <w:r>
              <w:rPr>
                <w:spacing w:val="16"/>
              </w:rPr>
              <w:t>途有</w:t>
            </w:r>
            <w:r>
              <w:rPr>
                <w:rFonts w:ascii="宋体" w:hAnsi="宋体" w:eastAsia="宋体" w:cs="宋体"/>
                <w:spacing w:val="16"/>
              </w:rPr>
              <w:t>3</w:t>
            </w:r>
            <w:r>
              <w:rPr>
                <w:spacing w:val="16"/>
              </w:rPr>
              <w:t>项以上不相</w:t>
            </w:r>
            <w:r>
              <w:rPr>
                <w:spacing w:val="5"/>
              </w:rPr>
              <w:t>适应的</w:t>
            </w:r>
          </w:p>
        </w:tc>
        <w:tc>
          <w:tcPr>
            <w:tcW w:w="2894" w:type="dxa"/>
            <w:vAlign w:val="top"/>
          </w:tcPr>
          <w:p w14:paraId="7866EAEB">
            <w:pPr>
              <w:pStyle w:val="6"/>
              <w:spacing w:before="327" w:line="187" w:lineRule="auto"/>
              <w:ind w:left="122" w:right="103" w:firstLine="5"/>
            </w:pPr>
            <w:r>
              <w:rPr>
                <w:spacing w:val="3"/>
              </w:rPr>
              <w:t>责令改正，可以处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万元以下的罚款；</w:t>
            </w:r>
            <w:r>
              <w:rPr>
                <w:spacing w:val="4"/>
              </w:rPr>
              <w:t>拒不改正的，处</w:t>
            </w:r>
            <w:r>
              <w:rPr>
                <w:rFonts w:ascii="宋体" w:hAnsi="宋体" w:eastAsia="宋体" w:cs="宋体"/>
                <w:spacing w:val="4"/>
              </w:rPr>
              <w:t>9</w:t>
            </w:r>
            <w:r>
              <w:rPr>
                <w:spacing w:val="4"/>
              </w:rPr>
              <w:t>万元以</w:t>
            </w:r>
            <w:r>
              <w:rPr>
                <w:spacing w:val="-4"/>
              </w:rPr>
              <w:t>上</w:t>
            </w:r>
            <w:r>
              <w:rPr>
                <w:rFonts w:ascii="宋体" w:hAnsi="宋体" w:eastAsia="宋体" w:cs="宋体"/>
                <w:spacing w:val="-4"/>
              </w:rPr>
              <w:t>10</w:t>
            </w:r>
            <w:r>
              <w:rPr>
                <w:spacing w:val="-4"/>
              </w:rPr>
              <w:t>万元以下的罚款；情</w:t>
            </w:r>
            <w:r>
              <w:rPr>
                <w:spacing w:val="8"/>
              </w:rPr>
              <w:t>节严重的，责令停产停业</w:t>
            </w:r>
            <w:r>
              <w:rPr>
                <w:spacing w:val="1"/>
              </w:rPr>
              <w:t>整顿</w:t>
            </w:r>
          </w:p>
        </w:tc>
        <w:tc>
          <w:tcPr>
            <w:tcW w:w="811" w:type="dxa"/>
            <w:vAlign w:val="top"/>
          </w:tcPr>
          <w:p w14:paraId="6218C3E5">
            <w:pPr>
              <w:rPr>
                <w:rFonts w:ascii="Arial"/>
                <w:sz w:val="21"/>
              </w:rPr>
            </w:pPr>
          </w:p>
        </w:tc>
      </w:tr>
      <w:tr w14:paraId="71AF1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5" w:hRule="atLeast"/>
        </w:trPr>
        <w:tc>
          <w:tcPr>
            <w:tcW w:w="818" w:type="dxa"/>
            <w:vMerge w:val="restart"/>
            <w:tcBorders>
              <w:bottom w:val="nil"/>
            </w:tcBorders>
            <w:vAlign w:val="top"/>
          </w:tcPr>
          <w:p w14:paraId="6192C071">
            <w:pPr>
              <w:rPr>
                <w:rFonts w:ascii="Arial"/>
                <w:sz w:val="21"/>
              </w:rPr>
            </w:pPr>
          </w:p>
          <w:p w14:paraId="0D71AA1D">
            <w:pPr>
              <w:rPr>
                <w:rFonts w:ascii="Arial"/>
                <w:sz w:val="21"/>
              </w:rPr>
            </w:pPr>
          </w:p>
          <w:p w14:paraId="24D0DF56">
            <w:pPr>
              <w:rPr>
                <w:rFonts w:ascii="Arial"/>
                <w:sz w:val="21"/>
              </w:rPr>
            </w:pPr>
          </w:p>
          <w:p w14:paraId="1102275F">
            <w:pPr>
              <w:rPr>
                <w:rFonts w:ascii="Arial"/>
                <w:sz w:val="21"/>
              </w:rPr>
            </w:pPr>
          </w:p>
          <w:p w14:paraId="4AB6C042">
            <w:pPr>
              <w:rPr>
                <w:rFonts w:ascii="Arial"/>
                <w:sz w:val="21"/>
              </w:rPr>
            </w:pPr>
          </w:p>
          <w:p w14:paraId="77EFF9C1">
            <w:pPr>
              <w:rPr>
                <w:rFonts w:ascii="Arial"/>
                <w:sz w:val="21"/>
              </w:rPr>
            </w:pPr>
          </w:p>
          <w:p w14:paraId="60954C2D">
            <w:pPr>
              <w:spacing w:line="241" w:lineRule="auto"/>
              <w:rPr>
                <w:rFonts w:ascii="Arial"/>
                <w:sz w:val="21"/>
              </w:rPr>
            </w:pPr>
          </w:p>
          <w:p w14:paraId="25B4A356">
            <w:pPr>
              <w:spacing w:line="241" w:lineRule="auto"/>
              <w:rPr>
                <w:rFonts w:ascii="Arial"/>
                <w:sz w:val="21"/>
              </w:rPr>
            </w:pPr>
          </w:p>
          <w:p w14:paraId="628F6B56">
            <w:pPr>
              <w:spacing w:line="241" w:lineRule="auto"/>
              <w:rPr>
                <w:rFonts w:ascii="Arial"/>
                <w:sz w:val="21"/>
              </w:rPr>
            </w:pPr>
          </w:p>
          <w:p w14:paraId="27C5A736">
            <w:pPr>
              <w:spacing w:line="241" w:lineRule="auto"/>
              <w:rPr>
                <w:rFonts w:ascii="Arial"/>
                <w:sz w:val="21"/>
              </w:rPr>
            </w:pPr>
          </w:p>
          <w:p w14:paraId="56DC1D7B">
            <w:pPr>
              <w:spacing w:line="241" w:lineRule="auto"/>
              <w:rPr>
                <w:rFonts w:ascii="Arial"/>
                <w:sz w:val="21"/>
              </w:rPr>
            </w:pPr>
          </w:p>
          <w:p w14:paraId="36B4120B">
            <w:pPr>
              <w:spacing w:line="241" w:lineRule="auto"/>
              <w:rPr>
                <w:rFonts w:ascii="Arial"/>
                <w:sz w:val="21"/>
              </w:rPr>
            </w:pPr>
          </w:p>
          <w:p w14:paraId="494F7576">
            <w:pPr>
              <w:spacing w:line="241" w:lineRule="auto"/>
              <w:rPr>
                <w:rFonts w:ascii="Arial"/>
                <w:sz w:val="21"/>
              </w:rPr>
            </w:pPr>
          </w:p>
          <w:p w14:paraId="062352CC">
            <w:pPr>
              <w:spacing w:before="74" w:line="186" w:lineRule="auto"/>
              <w:ind w:left="161"/>
              <w:rPr>
                <w:rFonts w:ascii="仿宋" w:hAnsi="仿宋" w:eastAsia="仿宋" w:cs="仿宋"/>
                <w:sz w:val="23"/>
                <w:szCs w:val="23"/>
              </w:rPr>
            </w:pPr>
            <w:r>
              <w:rPr>
                <w:rFonts w:ascii="仿宋" w:hAnsi="仿宋" w:eastAsia="仿宋" w:cs="仿宋"/>
                <w:spacing w:val="-5"/>
                <w:sz w:val="23"/>
                <w:szCs w:val="23"/>
              </w:rPr>
              <w:t>126</w:t>
            </w:r>
          </w:p>
        </w:tc>
        <w:tc>
          <w:tcPr>
            <w:tcW w:w="1440" w:type="dxa"/>
            <w:vMerge w:val="restart"/>
            <w:tcBorders>
              <w:bottom w:val="nil"/>
            </w:tcBorders>
            <w:vAlign w:val="top"/>
          </w:tcPr>
          <w:p w14:paraId="18F69C1A">
            <w:pPr>
              <w:spacing w:line="255" w:lineRule="auto"/>
              <w:rPr>
                <w:rFonts w:ascii="Arial"/>
                <w:sz w:val="21"/>
              </w:rPr>
            </w:pPr>
          </w:p>
          <w:p w14:paraId="15592D49">
            <w:pPr>
              <w:spacing w:line="255" w:lineRule="auto"/>
              <w:rPr>
                <w:rFonts w:ascii="Arial"/>
                <w:sz w:val="21"/>
              </w:rPr>
            </w:pPr>
          </w:p>
          <w:p w14:paraId="3E4391FD">
            <w:pPr>
              <w:spacing w:line="256" w:lineRule="auto"/>
              <w:rPr>
                <w:rFonts w:ascii="Arial"/>
                <w:sz w:val="21"/>
              </w:rPr>
            </w:pPr>
          </w:p>
          <w:p w14:paraId="41321836">
            <w:pPr>
              <w:spacing w:line="256" w:lineRule="auto"/>
              <w:rPr>
                <w:rFonts w:ascii="Arial"/>
                <w:sz w:val="21"/>
              </w:rPr>
            </w:pPr>
          </w:p>
          <w:p w14:paraId="1D065460">
            <w:pPr>
              <w:spacing w:line="256" w:lineRule="auto"/>
              <w:rPr>
                <w:rFonts w:ascii="Arial"/>
                <w:sz w:val="21"/>
              </w:rPr>
            </w:pPr>
          </w:p>
          <w:p w14:paraId="699B5E40">
            <w:pPr>
              <w:pStyle w:val="6"/>
              <w:spacing w:before="99" w:line="184" w:lineRule="auto"/>
              <w:ind w:left="112" w:right="111" w:firstLine="2"/>
              <w:jc w:val="both"/>
            </w:pPr>
            <w:r>
              <w:rPr>
                <w:spacing w:val="11"/>
              </w:rPr>
              <w:t>危险化学品</w:t>
            </w:r>
            <w:r>
              <w:rPr>
                <w:spacing w:val="12"/>
              </w:rPr>
              <w:t>专用仓库未设专人负责</w:t>
            </w:r>
            <w:r>
              <w:rPr>
                <w:spacing w:val="4"/>
              </w:rPr>
              <w:t>管理，或者</w:t>
            </w:r>
            <w:r>
              <w:rPr>
                <w:spacing w:val="12"/>
              </w:rPr>
              <w:t>对储存的剧毒化学品以及储存数量构成重大危险源的其他危险化学品未实行双人收发、双人</w:t>
            </w:r>
            <w:r>
              <w:rPr>
                <w:spacing w:val="7"/>
              </w:rPr>
              <w:t>保管制度的</w:t>
            </w:r>
          </w:p>
        </w:tc>
        <w:tc>
          <w:tcPr>
            <w:tcW w:w="3202" w:type="dxa"/>
            <w:vMerge w:val="restart"/>
            <w:tcBorders>
              <w:bottom w:val="nil"/>
            </w:tcBorders>
            <w:vAlign w:val="top"/>
          </w:tcPr>
          <w:p w14:paraId="1269F1F7">
            <w:pPr>
              <w:pStyle w:val="6"/>
              <w:spacing w:before="28" w:line="185" w:lineRule="auto"/>
              <w:ind w:left="117" w:right="111" w:hanging="19"/>
              <w:jc w:val="both"/>
            </w:pPr>
            <w:r>
              <w:rPr>
                <w:spacing w:val="18"/>
              </w:rPr>
              <w:t>【行政法规】《危险化学品</w:t>
            </w:r>
            <w:r>
              <w:rPr>
                <w:spacing w:val="17"/>
              </w:rPr>
              <w:t>安全管理条例》第二十四条</w:t>
            </w:r>
            <w:r>
              <w:rPr>
                <w:spacing w:val="13"/>
              </w:rPr>
              <w:t>第一款：危险化学品应当储</w:t>
            </w:r>
            <w:r>
              <w:rPr>
                <w:spacing w:val="17"/>
              </w:rPr>
              <w:t>存在专用仓库、专用场地或者专用储存室（以下统称专</w:t>
            </w:r>
            <w:r>
              <w:rPr>
                <w:spacing w:val="6"/>
              </w:rPr>
              <w:t>用仓库）内，并由专人负责</w:t>
            </w:r>
            <w:r>
              <w:rPr>
                <w:spacing w:val="13"/>
              </w:rPr>
              <w:t>管理；剧毒化学品以及储存</w:t>
            </w:r>
            <w:r>
              <w:rPr>
                <w:spacing w:val="17"/>
              </w:rPr>
              <w:t>数量构成重大危险源的其他</w:t>
            </w:r>
            <w:r>
              <w:rPr>
                <w:spacing w:val="13"/>
              </w:rPr>
              <w:t>危险化学品，应当在专用仓库内单独存放，并实行双人</w:t>
            </w:r>
            <w:r>
              <w:rPr>
                <w:spacing w:val="4"/>
              </w:rPr>
              <w:t>收发、双人保管制度。</w:t>
            </w:r>
          </w:p>
        </w:tc>
        <w:tc>
          <w:tcPr>
            <w:tcW w:w="2859" w:type="dxa"/>
            <w:vMerge w:val="restart"/>
            <w:tcBorders>
              <w:bottom w:val="nil"/>
            </w:tcBorders>
            <w:vAlign w:val="top"/>
          </w:tcPr>
          <w:p w14:paraId="1595EF17">
            <w:pPr>
              <w:pStyle w:val="6"/>
              <w:spacing w:before="33" w:line="184" w:lineRule="auto"/>
              <w:ind w:left="116" w:right="105" w:hanging="19"/>
              <w:jc w:val="both"/>
            </w:pPr>
            <w:r>
              <w:rPr>
                <w:spacing w:val="10"/>
              </w:rPr>
              <w:t>【行政法规】《危险化学</w:t>
            </w:r>
            <w:r>
              <w:rPr>
                <w:spacing w:val="8"/>
              </w:rPr>
              <w:t>品安全管理条例》第七十八条第一款第九项：有下列情形之一的，由安全生</w:t>
            </w:r>
            <w:r>
              <w:rPr>
                <w:spacing w:val="32"/>
              </w:rPr>
              <w:t>产监督管理部门责令改</w:t>
            </w:r>
            <w:r>
              <w:rPr>
                <w:spacing w:val="5"/>
              </w:rPr>
              <w:t>正，可以处</w:t>
            </w:r>
            <w:r>
              <w:rPr>
                <w:rFonts w:ascii="宋体" w:hAnsi="宋体" w:eastAsia="宋体" w:cs="宋体"/>
                <w:spacing w:val="5"/>
              </w:rPr>
              <w:t>5</w:t>
            </w:r>
            <w:r>
              <w:rPr>
                <w:spacing w:val="5"/>
              </w:rPr>
              <w:t>万元以下的</w:t>
            </w:r>
            <w:r>
              <w:rPr>
                <w:spacing w:val="6"/>
              </w:rPr>
              <w:t>罚款；拒不改正的，处</w:t>
            </w:r>
            <w:r>
              <w:rPr>
                <w:rFonts w:ascii="宋体" w:hAnsi="宋体" w:eastAsia="宋体" w:cs="宋体"/>
                <w:spacing w:val="6"/>
              </w:rPr>
              <w:t>5</w:t>
            </w:r>
            <w:r>
              <w:rPr>
                <w:spacing w:val="9"/>
              </w:rPr>
              <w:t>万元以上</w:t>
            </w:r>
            <w:r>
              <w:rPr>
                <w:rFonts w:ascii="宋体" w:hAnsi="宋体" w:eastAsia="宋体" w:cs="宋体"/>
                <w:spacing w:val="9"/>
              </w:rPr>
              <w:t>10</w:t>
            </w:r>
            <w:r>
              <w:rPr>
                <w:spacing w:val="9"/>
              </w:rPr>
              <w:t>万元以下的</w:t>
            </w:r>
            <w:r>
              <w:rPr>
                <w:spacing w:val="8"/>
              </w:rPr>
              <w:t>罚款；情节严重的，责令停产停业整顿</w:t>
            </w:r>
            <w:r>
              <w:rPr>
                <w:spacing w:val="10"/>
              </w:rPr>
              <w:t>：（</w:t>
            </w:r>
            <w:r>
              <w:rPr>
                <w:spacing w:val="8"/>
              </w:rPr>
              <w:t>九）危险化学品专用仓库未设专人负责管理，或者对储存的剧毒化学品以及储存数量构成重大危险源的其他危险化学品未实行双人收</w:t>
            </w:r>
            <w:r>
              <w:rPr>
                <w:spacing w:val="3"/>
              </w:rPr>
              <w:t>发、双人保管制度的；</w:t>
            </w:r>
          </w:p>
        </w:tc>
        <w:tc>
          <w:tcPr>
            <w:tcW w:w="803" w:type="dxa"/>
            <w:vAlign w:val="top"/>
          </w:tcPr>
          <w:p w14:paraId="714B1536">
            <w:pPr>
              <w:spacing w:line="242" w:lineRule="auto"/>
              <w:rPr>
                <w:rFonts w:ascii="Arial"/>
                <w:sz w:val="21"/>
              </w:rPr>
            </w:pPr>
          </w:p>
          <w:p w14:paraId="3B4D9140">
            <w:pPr>
              <w:spacing w:line="242" w:lineRule="auto"/>
              <w:rPr>
                <w:rFonts w:ascii="Arial"/>
                <w:sz w:val="21"/>
              </w:rPr>
            </w:pPr>
          </w:p>
          <w:p w14:paraId="1DA44857">
            <w:pPr>
              <w:spacing w:line="243" w:lineRule="auto"/>
              <w:rPr>
                <w:rFonts w:ascii="Arial"/>
                <w:sz w:val="21"/>
              </w:rPr>
            </w:pPr>
          </w:p>
          <w:p w14:paraId="0353E1BE">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5B3F1B8">
            <w:pPr>
              <w:spacing w:line="365" w:lineRule="auto"/>
              <w:rPr>
                <w:rFonts w:ascii="Arial"/>
                <w:sz w:val="21"/>
              </w:rPr>
            </w:pPr>
          </w:p>
          <w:p w14:paraId="3729FB17">
            <w:pPr>
              <w:pStyle w:val="6"/>
              <w:spacing w:before="99" w:line="192" w:lineRule="auto"/>
              <w:ind w:left="116" w:right="109"/>
              <w:jc w:val="both"/>
            </w:pPr>
            <w:r>
              <w:rPr>
                <w:spacing w:val="26"/>
              </w:rPr>
              <w:t>危险化学品专用仓库未设专人负责管</w:t>
            </w:r>
            <w:r>
              <w:rPr>
                <w:spacing w:val="3"/>
              </w:rPr>
              <w:t>理的</w:t>
            </w:r>
          </w:p>
        </w:tc>
        <w:tc>
          <w:tcPr>
            <w:tcW w:w="2894" w:type="dxa"/>
            <w:vAlign w:val="top"/>
          </w:tcPr>
          <w:p w14:paraId="06E176BF">
            <w:pPr>
              <w:pStyle w:val="6"/>
              <w:spacing w:before="161" w:line="188" w:lineRule="auto"/>
              <w:ind w:left="117" w:right="37" w:firstLine="10"/>
              <w:jc w:val="both"/>
            </w:pPr>
            <w:r>
              <w:rPr>
                <w:spacing w:val="3"/>
              </w:rPr>
              <w:t>责令改正，可以处</w:t>
            </w:r>
            <w:r>
              <w:rPr>
                <w:rFonts w:ascii="宋体" w:hAnsi="宋体" w:eastAsia="宋体" w:cs="宋体"/>
                <w:spacing w:val="3"/>
              </w:rPr>
              <w:t>2</w:t>
            </w:r>
            <w:r>
              <w:rPr>
                <w:spacing w:val="3"/>
              </w:rPr>
              <w:t>万元</w:t>
            </w:r>
            <w:r>
              <w:rPr>
                <w:spacing w:val="-3"/>
              </w:rPr>
              <w:t>以下的罚款；拒不改正的，</w:t>
            </w:r>
            <w:r>
              <w:rPr>
                <w:spacing w:val="4"/>
              </w:rPr>
              <w:t>处</w:t>
            </w:r>
            <w:r>
              <w:rPr>
                <w:rFonts w:ascii="宋体" w:hAnsi="宋体" w:eastAsia="宋体" w:cs="宋体"/>
                <w:spacing w:val="4"/>
              </w:rPr>
              <w:t>5</w:t>
            </w:r>
            <w:r>
              <w:rPr>
                <w:spacing w:val="4"/>
              </w:rPr>
              <w:t>万元以上</w:t>
            </w:r>
            <w:r>
              <w:rPr>
                <w:rFonts w:ascii="宋体" w:hAnsi="宋体" w:eastAsia="宋体" w:cs="宋体"/>
                <w:spacing w:val="4"/>
              </w:rPr>
              <w:t>7</w:t>
            </w:r>
            <w:r>
              <w:rPr>
                <w:spacing w:val="4"/>
              </w:rPr>
              <w:t>万元以下的罚款；情节严重的，责</w:t>
            </w:r>
            <w:r>
              <w:rPr>
                <w:spacing w:val="7"/>
              </w:rPr>
              <w:t>令停产停业整顿</w:t>
            </w:r>
          </w:p>
        </w:tc>
        <w:tc>
          <w:tcPr>
            <w:tcW w:w="811" w:type="dxa"/>
            <w:vMerge w:val="restart"/>
            <w:tcBorders>
              <w:bottom w:val="nil"/>
            </w:tcBorders>
            <w:vAlign w:val="top"/>
          </w:tcPr>
          <w:p w14:paraId="1D37AA5B">
            <w:pPr>
              <w:rPr>
                <w:rFonts w:ascii="Arial"/>
                <w:sz w:val="21"/>
              </w:rPr>
            </w:pPr>
          </w:p>
          <w:p w14:paraId="6B388AD6">
            <w:pPr>
              <w:rPr>
                <w:rFonts w:ascii="Arial"/>
                <w:sz w:val="21"/>
              </w:rPr>
            </w:pPr>
          </w:p>
          <w:p w14:paraId="55A1627E">
            <w:pPr>
              <w:rPr>
                <w:rFonts w:ascii="Arial"/>
                <w:sz w:val="21"/>
              </w:rPr>
            </w:pPr>
          </w:p>
          <w:p w14:paraId="69EF5467">
            <w:pPr>
              <w:rPr>
                <w:rFonts w:ascii="Arial"/>
                <w:sz w:val="21"/>
              </w:rPr>
            </w:pPr>
          </w:p>
          <w:p w14:paraId="44E08B1B">
            <w:pPr>
              <w:rPr>
                <w:rFonts w:ascii="Arial"/>
                <w:sz w:val="21"/>
              </w:rPr>
            </w:pPr>
          </w:p>
          <w:p w14:paraId="7DE3AA4E">
            <w:pPr>
              <w:rPr>
                <w:rFonts w:ascii="Arial"/>
                <w:sz w:val="21"/>
              </w:rPr>
            </w:pPr>
          </w:p>
          <w:p w14:paraId="039ACF1E">
            <w:pPr>
              <w:rPr>
                <w:rFonts w:ascii="Arial"/>
                <w:sz w:val="21"/>
              </w:rPr>
            </w:pPr>
          </w:p>
          <w:p w14:paraId="50B5483F">
            <w:pPr>
              <w:rPr>
                <w:rFonts w:ascii="Arial"/>
                <w:sz w:val="21"/>
              </w:rPr>
            </w:pPr>
          </w:p>
          <w:p w14:paraId="4AAEB92D">
            <w:pPr>
              <w:rPr>
                <w:rFonts w:ascii="Arial"/>
                <w:sz w:val="21"/>
              </w:rPr>
            </w:pPr>
          </w:p>
          <w:p w14:paraId="607802AD">
            <w:pPr>
              <w:spacing w:line="241" w:lineRule="auto"/>
              <w:rPr>
                <w:rFonts w:ascii="Arial"/>
                <w:sz w:val="21"/>
              </w:rPr>
            </w:pPr>
          </w:p>
          <w:p w14:paraId="2BACA0A5">
            <w:pPr>
              <w:spacing w:line="241" w:lineRule="auto"/>
              <w:rPr>
                <w:rFonts w:ascii="Arial"/>
                <w:sz w:val="21"/>
              </w:rPr>
            </w:pPr>
          </w:p>
          <w:p w14:paraId="537A7432">
            <w:pPr>
              <w:spacing w:line="241" w:lineRule="auto"/>
              <w:rPr>
                <w:rFonts w:ascii="Arial"/>
                <w:sz w:val="21"/>
              </w:rPr>
            </w:pPr>
          </w:p>
          <w:p w14:paraId="53E6FF0B">
            <w:pPr>
              <w:spacing w:line="241" w:lineRule="auto"/>
              <w:rPr>
                <w:rFonts w:ascii="Arial"/>
                <w:sz w:val="21"/>
              </w:rPr>
            </w:pPr>
          </w:p>
          <w:p w14:paraId="0E67E05A">
            <w:pPr>
              <w:spacing w:before="75" w:line="188" w:lineRule="auto"/>
              <w:ind w:left="292"/>
              <w:rPr>
                <w:rFonts w:ascii="宋体" w:hAnsi="宋体" w:eastAsia="宋体" w:cs="宋体"/>
                <w:sz w:val="23"/>
                <w:szCs w:val="23"/>
              </w:rPr>
            </w:pPr>
            <w:r>
              <w:rPr>
                <w:rFonts w:ascii="宋体" w:hAnsi="宋体" w:eastAsia="宋体" w:cs="宋体"/>
                <w:spacing w:val="-2"/>
                <w:sz w:val="23"/>
                <w:szCs w:val="23"/>
              </w:rPr>
              <w:t>89</w:t>
            </w:r>
          </w:p>
        </w:tc>
      </w:tr>
      <w:tr w14:paraId="0D2E4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trPr>
        <w:tc>
          <w:tcPr>
            <w:tcW w:w="818" w:type="dxa"/>
            <w:vMerge w:val="continue"/>
            <w:tcBorders>
              <w:top w:val="nil"/>
              <w:bottom w:val="nil"/>
            </w:tcBorders>
            <w:vAlign w:val="top"/>
          </w:tcPr>
          <w:p w14:paraId="7CA0D31E">
            <w:pPr>
              <w:rPr>
                <w:rFonts w:ascii="Arial"/>
                <w:sz w:val="21"/>
              </w:rPr>
            </w:pPr>
          </w:p>
        </w:tc>
        <w:tc>
          <w:tcPr>
            <w:tcW w:w="1440" w:type="dxa"/>
            <w:vMerge w:val="continue"/>
            <w:tcBorders>
              <w:top w:val="nil"/>
              <w:bottom w:val="nil"/>
            </w:tcBorders>
            <w:vAlign w:val="top"/>
          </w:tcPr>
          <w:p w14:paraId="361BEAC0">
            <w:pPr>
              <w:rPr>
                <w:rFonts w:ascii="Arial"/>
                <w:sz w:val="21"/>
              </w:rPr>
            </w:pPr>
          </w:p>
        </w:tc>
        <w:tc>
          <w:tcPr>
            <w:tcW w:w="3202" w:type="dxa"/>
            <w:vMerge w:val="continue"/>
            <w:tcBorders>
              <w:top w:val="nil"/>
              <w:bottom w:val="nil"/>
            </w:tcBorders>
            <w:vAlign w:val="top"/>
          </w:tcPr>
          <w:p w14:paraId="21268744">
            <w:pPr>
              <w:rPr>
                <w:rFonts w:ascii="Arial"/>
                <w:sz w:val="21"/>
              </w:rPr>
            </w:pPr>
          </w:p>
        </w:tc>
        <w:tc>
          <w:tcPr>
            <w:tcW w:w="2859" w:type="dxa"/>
            <w:vMerge w:val="continue"/>
            <w:tcBorders>
              <w:top w:val="nil"/>
              <w:bottom w:val="nil"/>
            </w:tcBorders>
            <w:vAlign w:val="top"/>
          </w:tcPr>
          <w:p w14:paraId="0B679656">
            <w:pPr>
              <w:rPr>
                <w:rFonts w:ascii="Arial"/>
                <w:sz w:val="21"/>
              </w:rPr>
            </w:pPr>
          </w:p>
        </w:tc>
        <w:tc>
          <w:tcPr>
            <w:tcW w:w="803" w:type="dxa"/>
            <w:vAlign w:val="top"/>
          </w:tcPr>
          <w:p w14:paraId="03421E95">
            <w:pPr>
              <w:spacing w:line="298" w:lineRule="auto"/>
              <w:rPr>
                <w:rFonts w:ascii="Arial"/>
                <w:sz w:val="21"/>
              </w:rPr>
            </w:pPr>
          </w:p>
          <w:p w14:paraId="3F09BCB2">
            <w:pPr>
              <w:spacing w:line="298" w:lineRule="auto"/>
              <w:rPr>
                <w:rFonts w:ascii="Arial"/>
                <w:sz w:val="21"/>
              </w:rPr>
            </w:pPr>
          </w:p>
          <w:p w14:paraId="356AC17F">
            <w:pPr>
              <w:spacing w:line="299" w:lineRule="auto"/>
              <w:rPr>
                <w:rFonts w:ascii="Arial"/>
                <w:sz w:val="21"/>
              </w:rPr>
            </w:pPr>
          </w:p>
          <w:p w14:paraId="00640FB2">
            <w:pPr>
              <w:spacing w:line="299" w:lineRule="auto"/>
              <w:rPr>
                <w:rFonts w:ascii="Arial"/>
                <w:sz w:val="21"/>
              </w:rPr>
            </w:pPr>
          </w:p>
          <w:p w14:paraId="624BE1AA">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078A4EE">
            <w:pPr>
              <w:pStyle w:val="6"/>
              <w:spacing w:before="29" w:line="180" w:lineRule="auto"/>
              <w:ind w:left="115" w:right="13" w:firstLine="1"/>
              <w:jc w:val="both"/>
            </w:pPr>
            <w:r>
              <w:rPr>
                <w:spacing w:val="26"/>
              </w:rPr>
              <w:t>危险化学品专用仓库对储存的剧毒化学品以及储存数量构成重大危险源的其他危险化学品未</w:t>
            </w:r>
            <w:r>
              <w:rPr>
                <w:spacing w:val="5"/>
              </w:rPr>
              <w:t>严格落实双人收发、</w:t>
            </w:r>
            <w:r>
              <w:rPr>
                <w:spacing w:val="-7"/>
              </w:rPr>
              <w:t>双人保管制度的（已</w:t>
            </w:r>
            <w:r>
              <w:rPr>
                <w:spacing w:val="26"/>
              </w:rPr>
              <w:t>建立相应的双人收</w:t>
            </w:r>
            <w:r>
              <w:rPr>
                <w:spacing w:val="8"/>
              </w:rPr>
              <w:t>发、双人保管制度）</w:t>
            </w:r>
          </w:p>
        </w:tc>
        <w:tc>
          <w:tcPr>
            <w:tcW w:w="2894" w:type="dxa"/>
            <w:vAlign w:val="top"/>
          </w:tcPr>
          <w:p w14:paraId="5C0F861F">
            <w:pPr>
              <w:spacing w:line="379" w:lineRule="auto"/>
              <w:rPr>
                <w:rFonts w:ascii="Arial"/>
                <w:sz w:val="21"/>
              </w:rPr>
            </w:pPr>
          </w:p>
          <w:p w14:paraId="6E254D24">
            <w:pPr>
              <w:pStyle w:val="6"/>
              <w:spacing w:before="98" w:line="187" w:lineRule="auto"/>
              <w:ind w:left="122" w:right="103" w:firstLine="5"/>
            </w:pPr>
            <w:r>
              <w:rPr>
                <w:spacing w:val="3"/>
              </w:rPr>
              <w:t>责令改正，可以处</w:t>
            </w:r>
            <w:r>
              <w:rPr>
                <w:rFonts w:ascii="宋体" w:hAnsi="宋体" w:eastAsia="宋体" w:cs="宋体"/>
                <w:spacing w:val="3"/>
              </w:rPr>
              <w:t>2</w:t>
            </w:r>
            <w:r>
              <w:rPr>
                <w:spacing w:val="3"/>
              </w:rPr>
              <w:t>万元以上</w:t>
            </w:r>
            <w:r>
              <w:rPr>
                <w:rFonts w:ascii="宋体" w:hAnsi="宋体" w:eastAsia="宋体" w:cs="宋体"/>
                <w:spacing w:val="3"/>
              </w:rPr>
              <w:t>4</w:t>
            </w:r>
            <w:r>
              <w:rPr>
                <w:spacing w:val="3"/>
              </w:rPr>
              <w:t>万元以下的罚款；</w:t>
            </w:r>
            <w:r>
              <w:rPr>
                <w:spacing w:val="4"/>
              </w:rPr>
              <w:t>拒不改正的，处</w:t>
            </w:r>
            <w:r>
              <w:rPr>
                <w:rFonts w:ascii="宋体" w:hAnsi="宋体" w:eastAsia="宋体" w:cs="宋体"/>
                <w:spacing w:val="4"/>
              </w:rPr>
              <w:t>7</w:t>
            </w:r>
            <w:r>
              <w:rPr>
                <w:spacing w:val="4"/>
              </w:rPr>
              <w:t>万元以</w:t>
            </w:r>
            <w:r>
              <w:rPr>
                <w:spacing w:val="3"/>
              </w:rPr>
              <w:t>上</w:t>
            </w:r>
            <w:r>
              <w:rPr>
                <w:rFonts w:ascii="宋体" w:hAnsi="宋体" w:eastAsia="宋体" w:cs="宋体"/>
                <w:spacing w:val="3"/>
              </w:rPr>
              <w:t>9</w:t>
            </w:r>
            <w:r>
              <w:rPr>
                <w:spacing w:val="3"/>
              </w:rPr>
              <w:t>万元以下的罚款；情</w:t>
            </w:r>
            <w:r>
              <w:rPr>
                <w:spacing w:val="8"/>
              </w:rPr>
              <w:t>节严重的，责令停产停业</w:t>
            </w:r>
            <w:r>
              <w:rPr>
                <w:spacing w:val="1"/>
              </w:rPr>
              <w:t>整顿</w:t>
            </w:r>
          </w:p>
        </w:tc>
        <w:tc>
          <w:tcPr>
            <w:tcW w:w="811" w:type="dxa"/>
            <w:vMerge w:val="continue"/>
            <w:tcBorders>
              <w:top w:val="nil"/>
              <w:bottom w:val="nil"/>
            </w:tcBorders>
            <w:vAlign w:val="top"/>
          </w:tcPr>
          <w:p w14:paraId="7BFE8CB5">
            <w:pPr>
              <w:rPr>
                <w:rFonts w:ascii="Arial"/>
                <w:sz w:val="21"/>
              </w:rPr>
            </w:pPr>
          </w:p>
        </w:tc>
      </w:tr>
      <w:tr w14:paraId="27A36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7" w:hRule="atLeast"/>
        </w:trPr>
        <w:tc>
          <w:tcPr>
            <w:tcW w:w="818" w:type="dxa"/>
            <w:vMerge w:val="continue"/>
            <w:tcBorders>
              <w:top w:val="nil"/>
            </w:tcBorders>
            <w:vAlign w:val="top"/>
          </w:tcPr>
          <w:p w14:paraId="77447E6C">
            <w:pPr>
              <w:rPr>
                <w:rFonts w:ascii="Arial"/>
                <w:sz w:val="21"/>
              </w:rPr>
            </w:pPr>
          </w:p>
        </w:tc>
        <w:tc>
          <w:tcPr>
            <w:tcW w:w="1440" w:type="dxa"/>
            <w:vMerge w:val="continue"/>
            <w:tcBorders>
              <w:top w:val="nil"/>
            </w:tcBorders>
            <w:vAlign w:val="top"/>
          </w:tcPr>
          <w:p w14:paraId="120EC130">
            <w:pPr>
              <w:rPr>
                <w:rFonts w:ascii="Arial"/>
                <w:sz w:val="21"/>
              </w:rPr>
            </w:pPr>
          </w:p>
        </w:tc>
        <w:tc>
          <w:tcPr>
            <w:tcW w:w="3202" w:type="dxa"/>
            <w:vMerge w:val="continue"/>
            <w:tcBorders>
              <w:top w:val="nil"/>
            </w:tcBorders>
            <w:vAlign w:val="top"/>
          </w:tcPr>
          <w:p w14:paraId="6EAC1E7E">
            <w:pPr>
              <w:rPr>
                <w:rFonts w:ascii="Arial"/>
                <w:sz w:val="21"/>
              </w:rPr>
            </w:pPr>
          </w:p>
        </w:tc>
        <w:tc>
          <w:tcPr>
            <w:tcW w:w="2859" w:type="dxa"/>
            <w:vMerge w:val="continue"/>
            <w:tcBorders>
              <w:top w:val="nil"/>
            </w:tcBorders>
            <w:vAlign w:val="top"/>
          </w:tcPr>
          <w:p w14:paraId="50B5754C">
            <w:pPr>
              <w:rPr>
                <w:rFonts w:ascii="Arial"/>
                <w:sz w:val="21"/>
              </w:rPr>
            </w:pPr>
          </w:p>
        </w:tc>
        <w:tc>
          <w:tcPr>
            <w:tcW w:w="803" w:type="dxa"/>
            <w:vAlign w:val="top"/>
          </w:tcPr>
          <w:p w14:paraId="6934F81D">
            <w:pPr>
              <w:spacing w:line="298" w:lineRule="auto"/>
              <w:rPr>
                <w:rFonts w:ascii="Arial"/>
                <w:sz w:val="21"/>
              </w:rPr>
            </w:pPr>
          </w:p>
          <w:p w14:paraId="08E00FE9">
            <w:pPr>
              <w:spacing w:line="299" w:lineRule="auto"/>
              <w:rPr>
                <w:rFonts w:ascii="Arial"/>
                <w:sz w:val="21"/>
              </w:rPr>
            </w:pPr>
          </w:p>
          <w:p w14:paraId="2576FAD0">
            <w:pPr>
              <w:spacing w:line="299" w:lineRule="auto"/>
              <w:rPr>
                <w:rFonts w:ascii="Arial"/>
                <w:sz w:val="21"/>
              </w:rPr>
            </w:pPr>
          </w:p>
          <w:p w14:paraId="4291B028">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9D7F3AB">
            <w:pPr>
              <w:pStyle w:val="6"/>
              <w:spacing w:before="36" w:line="179" w:lineRule="auto"/>
              <w:ind w:left="114" w:right="109" w:firstLine="2"/>
              <w:jc w:val="both"/>
            </w:pPr>
            <w:r>
              <w:rPr>
                <w:spacing w:val="26"/>
              </w:rPr>
              <w:t>危险化学品专用仓库对储存的剧毒化学品以及储存数量构成重大危险源的其他危险化学品未</w:t>
            </w:r>
            <w:r>
              <w:rPr>
                <w:spacing w:val="-2"/>
              </w:rPr>
              <w:t>实行双人收发、双人保管制度的（未建立</w:t>
            </w:r>
          </w:p>
        </w:tc>
        <w:tc>
          <w:tcPr>
            <w:tcW w:w="2894" w:type="dxa"/>
            <w:vAlign w:val="top"/>
          </w:tcPr>
          <w:p w14:paraId="21232D46">
            <w:pPr>
              <w:pStyle w:val="6"/>
              <w:spacing w:before="181" w:line="187" w:lineRule="auto"/>
              <w:ind w:left="122" w:right="103" w:firstLine="5"/>
            </w:pPr>
            <w:r>
              <w:rPr>
                <w:spacing w:val="3"/>
              </w:rPr>
              <w:t>责令改正，可以处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万元以下的罚款；</w:t>
            </w:r>
            <w:r>
              <w:rPr>
                <w:spacing w:val="4"/>
              </w:rPr>
              <w:t>拒不改正的，处</w:t>
            </w:r>
            <w:r>
              <w:rPr>
                <w:rFonts w:ascii="宋体" w:hAnsi="宋体" w:eastAsia="宋体" w:cs="宋体"/>
                <w:spacing w:val="4"/>
              </w:rPr>
              <w:t>9</w:t>
            </w:r>
            <w:r>
              <w:rPr>
                <w:spacing w:val="4"/>
              </w:rPr>
              <w:t>万元以</w:t>
            </w:r>
            <w:r>
              <w:rPr>
                <w:spacing w:val="-4"/>
              </w:rPr>
              <w:t>上</w:t>
            </w:r>
            <w:r>
              <w:rPr>
                <w:rFonts w:ascii="宋体" w:hAnsi="宋体" w:eastAsia="宋体" w:cs="宋体"/>
                <w:spacing w:val="-4"/>
              </w:rPr>
              <w:t>10</w:t>
            </w:r>
            <w:r>
              <w:rPr>
                <w:spacing w:val="-4"/>
              </w:rPr>
              <w:t>万元以下的罚款；情</w:t>
            </w:r>
            <w:r>
              <w:rPr>
                <w:spacing w:val="8"/>
              </w:rPr>
              <w:t>节严重的，责令停产停业</w:t>
            </w:r>
            <w:r>
              <w:rPr>
                <w:spacing w:val="1"/>
              </w:rPr>
              <w:t>整顿</w:t>
            </w:r>
          </w:p>
        </w:tc>
        <w:tc>
          <w:tcPr>
            <w:tcW w:w="811" w:type="dxa"/>
            <w:vMerge w:val="continue"/>
            <w:tcBorders>
              <w:top w:val="nil"/>
            </w:tcBorders>
            <w:vAlign w:val="top"/>
          </w:tcPr>
          <w:p w14:paraId="48ED33DF">
            <w:pPr>
              <w:rPr>
                <w:rFonts w:ascii="Arial"/>
                <w:sz w:val="21"/>
              </w:rPr>
            </w:pPr>
          </w:p>
        </w:tc>
      </w:tr>
    </w:tbl>
    <w:p w14:paraId="21AA9F2D">
      <w:pPr>
        <w:pStyle w:val="2"/>
      </w:pPr>
    </w:p>
    <w:p w14:paraId="296CC6D4">
      <w:pPr>
        <w:sectPr>
          <w:footerReference r:id="rId151" w:type="default"/>
          <w:pgSz w:w="16839" w:h="11906"/>
          <w:pgMar w:top="1012" w:right="821" w:bottom="667" w:left="901" w:header="0" w:footer="388" w:gutter="0"/>
          <w:cols w:space="720" w:num="1"/>
        </w:sectPr>
      </w:pPr>
    </w:p>
    <w:p w14:paraId="6024DFF9">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6A9E8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37A2B968">
            <w:pPr>
              <w:spacing w:before="222" w:line="241" w:lineRule="auto"/>
              <w:ind w:left="131"/>
              <w:rPr>
                <w:rFonts w:ascii="黑体" w:hAnsi="黑体" w:eastAsia="黑体" w:cs="黑体"/>
                <w:sz w:val="28"/>
                <w:szCs w:val="28"/>
              </w:rPr>
            </w:pPr>
            <w:bookmarkStart w:id="573" w:name="bookmark262"/>
            <w:bookmarkEnd w:id="573"/>
            <w:r>
              <w:rPr>
                <w:rFonts w:ascii="黑体" w:hAnsi="黑体" w:eastAsia="黑体" w:cs="黑体"/>
                <w:spacing w:val="-2"/>
                <w:sz w:val="28"/>
                <w:szCs w:val="28"/>
              </w:rPr>
              <w:t>序号</w:t>
            </w:r>
          </w:p>
        </w:tc>
        <w:tc>
          <w:tcPr>
            <w:tcW w:w="1440" w:type="dxa"/>
            <w:vAlign w:val="top"/>
          </w:tcPr>
          <w:p w14:paraId="50FE2835">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5E8BA3C">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AFBA522">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6BB6766">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852D2FE">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1C86954E">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2B9B038">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28DB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18" w:type="dxa"/>
            <w:vAlign w:val="top"/>
          </w:tcPr>
          <w:p w14:paraId="29FFCF05">
            <w:pPr>
              <w:rPr>
                <w:rFonts w:ascii="Arial"/>
                <w:sz w:val="21"/>
              </w:rPr>
            </w:pPr>
          </w:p>
        </w:tc>
        <w:tc>
          <w:tcPr>
            <w:tcW w:w="1440" w:type="dxa"/>
            <w:vAlign w:val="top"/>
          </w:tcPr>
          <w:p w14:paraId="5D19078B">
            <w:pPr>
              <w:rPr>
                <w:rFonts w:ascii="Arial"/>
                <w:sz w:val="21"/>
              </w:rPr>
            </w:pPr>
          </w:p>
        </w:tc>
        <w:tc>
          <w:tcPr>
            <w:tcW w:w="3202" w:type="dxa"/>
            <w:vAlign w:val="top"/>
          </w:tcPr>
          <w:p w14:paraId="237072ED">
            <w:pPr>
              <w:rPr>
                <w:rFonts w:ascii="Arial"/>
                <w:sz w:val="21"/>
              </w:rPr>
            </w:pPr>
          </w:p>
        </w:tc>
        <w:tc>
          <w:tcPr>
            <w:tcW w:w="2859" w:type="dxa"/>
            <w:vAlign w:val="top"/>
          </w:tcPr>
          <w:p w14:paraId="253095A9">
            <w:pPr>
              <w:rPr>
                <w:rFonts w:ascii="Arial"/>
                <w:sz w:val="21"/>
              </w:rPr>
            </w:pPr>
          </w:p>
        </w:tc>
        <w:tc>
          <w:tcPr>
            <w:tcW w:w="803" w:type="dxa"/>
            <w:vAlign w:val="top"/>
          </w:tcPr>
          <w:p w14:paraId="3A002CF4">
            <w:pPr>
              <w:rPr>
                <w:rFonts w:ascii="Arial"/>
                <w:sz w:val="21"/>
              </w:rPr>
            </w:pPr>
          </w:p>
        </w:tc>
        <w:tc>
          <w:tcPr>
            <w:tcW w:w="2283" w:type="dxa"/>
            <w:vAlign w:val="top"/>
          </w:tcPr>
          <w:p w14:paraId="69BEDB33">
            <w:pPr>
              <w:pStyle w:val="6"/>
              <w:spacing w:before="29" w:line="172" w:lineRule="auto"/>
              <w:ind w:left="120" w:right="109" w:firstLine="1"/>
            </w:pPr>
            <w:r>
              <w:rPr>
                <w:spacing w:val="-3"/>
              </w:rPr>
              <w:t>相应的双人收发、双</w:t>
            </w:r>
            <w:r>
              <w:rPr>
                <w:spacing w:val="7"/>
              </w:rPr>
              <w:t>人保管制度）</w:t>
            </w:r>
          </w:p>
        </w:tc>
        <w:tc>
          <w:tcPr>
            <w:tcW w:w="2894" w:type="dxa"/>
            <w:vAlign w:val="top"/>
          </w:tcPr>
          <w:p w14:paraId="0412D3CA">
            <w:pPr>
              <w:rPr>
                <w:rFonts w:ascii="Arial"/>
                <w:sz w:val="21"/>
              </w:rPr>
            </w:pPr>
          </w:p>
        </w:tc>
        <w:tc>
          <w:tcPr>
            <w:tcW w:w="811" w:type="dxa"/>
            <w:vAlign w:val="top"/>
          </w:tcPr>
          <w:p w14:paraId="05C018A2">
            <w:pPr>
              <w:rPr>
                <w:rFonts w:ascii="Arial"/>
                <w:sz w:val="21"/>
              </w:rPr>
            </w:pPr>
          </w:p>
        </w:tc>
      </w:tr>
      <w:tr w14:paraId="03522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0" w:hRule="atLeast"/>
        </w:trPr>
        <w:tc>
          <w:tcPr>
            <w:tcW w:w="818" w:type="dxa"/>
            <w:vMerge w:val="restart"/>
            <w:tcBorders>
              <w:bottom w:val="nil"/>
            </w:tcBorders>
            <w:vAlign w:val="top"/>
          </w:tcPr>
          <w:p w14:paraId="29D7A716">
            <w:pPr>
              <w:spacing w:line="256" w:lineRule="auto"/>
              <w:rPr>
                <w:rFonts w:ascii="Arial"/>
                <w:sz w:val="21"/>
              </w:rPr>
            </w:pPr>
          </w:p>
          <w:p w14:paraId="032A0A85">
            <w:pPr>
              <w:spacing w:line="256" w:lineRule="auto"/>
              <w:rPr>
                <w:rFonts w:ascii="Arial"/>
                <w:sz w:val="21"/>
              </w:rPr>
            </w:pPr>
          </w:p>
          <w:p w14:paraId="07CDD4B0">
            <w:pPr>
              <w:spacing w:line="257" w:lineRule="auto"/>
              <w:rPr>
                <w:rFonts w:ascii="Arial"/>
                <w:sz w:val="21"/>
              </w:rPr>
            </w:pPr>
          </w:p>
          <w:p w14:paraId="57CD281E">
            <w:pPr>
              <w:spacing w:line="257" w:lineRule="auto"/>
              <w:rPr>
                <w:rFonts w:ascii="Arial"/>
                <w:sz w:val="21"/>
              </w:rPr>
            </w:pPr>
          </w:p>
          <w:p w14:paraId="2AD2973E">
            <w:pPr>
              <w:spacing w:line="257" w:lineRule="auto"/>
              <w:rPr>
                <w:rFonts w:ascii="Arial"/>
                <w:sz w:val="21"/>
              </w:rPr>
            </w:pPr>
          </w:p>
          <w:p w14:paraId="213E5EBE">
            <w:pPr>
              <w:spacing w:line="257" w:lineRule="auto"/>
              <w:rPr>
                <w:rFonts w:ascii="Arial"/>
                <w:sz w:val="21"/>
              </w:rPr>
            </w:pPr>
          </w:p>
          <w:p w14:paraId="6EA85292">
            <w:pPr>
              <w:spacing w:line="257" w:lineRule="auto"/>
              <w:rPr>
                <w:rFonts w:ascii="Arial"/>
                <w:sz w:val="21"/>
              </w:rPr>
            </w:pPr>
          </w:p>
          <w:p w14:paraId="3050C5BB">
            <w:pPr>
              <w:spacing w:line="257" w:lineRule="auto"/>
              <w:rPr>
                <w:rFonts w:ascii="Arial"/>
                <w:sz w:val="21"/>
              </w:rPr>
            </w:pPr>
          </w:p>
          <w:p w14:paraId="50C7FDB5">
            <w:pPr>
              <w:spacing w:line="257" w:lineRule="auto"/>
              <w:rPr>
                <w:rFonts w:ascii="Arial"/>
                <w:sz w:val="21"/>
              </w:rPr>
            </w:pPr>
          </w:p>
          <w:p w14:paraId="57F983BD">
            <w:pPr>
              <w:spacing w:line="257" w:lineRule="auto"/>
              <w:rPr>
                <w:rFonts w:ascii="Arial"/>
                <w:sz w:val="21"/>
              </w:rPr>
            </w:pPr>
          </w:p>
          <w:p w14:paraId="47C9F48C">
            <w:pPr>
              <w:spacing w:before="74" w:line="186" w:lineRule="auto"/>
              <w:ind w:left="161"/>
              <w:rPr>
                <w:rFonts w:ascii="仿宋" w:hAnsi="仿宋" w:eastAsia="仿宋" w:cs="仿宋"/>
                <w:sz w:val="23"/>
                <w:szCs w:val="23"/>
              </w:rPr>
            </w:pPr>
            <w:r>
              <w:rPr>
                <w:rFonts w:ascii="仿宋" w:hAnsi="仿宋" w:eastAsia="仿宋" w:cs="仿宋"/>
                <w:spacing w:val="-5"/>
                <w:sz w:val="23"/>
                <w:szCs w:val="23"/>
              </w:rPr>
              <w:t>127</w:t>
            </w:r>
          </w:p>
        </w:tc>
        <w:tc>
          <w:tcPr>
            <w:tcW w:w="1440" w:type="dxa"/>
            <w:vMerge w:val="restart"/>
            <w:tcBorders>
              <w:bottom w:val="nil"/>
            </w:tcBorders>
            <w:vAlign w:val="top"/>
          </w:tcPr>
          <w:p w14:paraId="0AE6EE4E">
            <w:pPr>
              <w:spacing w:line="250" w:lineRule="auto"/>
              <w:rPr>
                <w:rFonts w:ascii="Arial"/>
                <w:sz w:val="21"/>
              </w:rPr>
            </w:pPr>
          </w:p>
          <w:p w14:paraId="00EECBE5">
            <w:pPr>
              <w:spacing w:line="250" w:lineRule="auto"/>
              <w:rPr>
                <w:rFonts w:ascii="Arial"/>
                <w:sz w:val="21"/>
              </w:rPr>
            </w:pPr>
          </w:p>
          <w:p w14:paraId="54C61044">
            <w:pPr>
              <w:spacing w:line="250" w:lineRule="auto"/>
              <w:rPr>
                <w:rFonts w:ascii="Arial"/>
                <w:sz w:val="21"/>
              </w:rPr>
            </w:pPr>
          </w:p>
          <w:p w14:paraId="32E11A6F">
            <w:pPr>
              <w:spacing w:line="250" w:lineRule="auto"/>
              <w:rPr>
                <w:rFonts w:ascii="Arial"/>
                <w:sz w:val="21"/>
              </w:rPr>
            </w:pPr>
          </w:p>
          <w:p w14:paraId="086409EB">
            <w:pPr>
              <w:spacing w:line="250" w:lineRule="auto"/>
              <w:rPr>
                <w:rFonts w:ascii="Arial"/>
                <w:sz w:val="21"/>
              </w:rPr>
            </w:pPr>
          </w:p>
          <w:p w14:paraId="56FC117D">
            <w:pPr>
              <w:spacing w:line="250" w:lineRule="auto"/>
              <w:rPr>
                <w:rFonts w:ascii="Arial"/>
                <w:sz w:val="21"/>
              </w:rPr>
            </w:pPr>
          </w:p>
          <w:p w14:paraId="2A604FCC">
            <w:pPr>
              <w:spacing w:line="250" w:lineRule="auto"/>
              <w:rPr>
                <w:rFonts w:ascii="Arial"/>
                <w:sz w:val="21"/>
              </w:rPr>
            </w:pPr>
          </w:p>
          <w:p w14:paraId="58A9C414">
            <w:pPr>
              <w:pStyle w:val="6"/>
              <w:spacing w:before="99" w:line="187" w:lineRule="auto"/>
              <w:ind w:left="115" w:right="111" w:hanging="1"/>
              <w:jc w:val="both"/>
            </w:pPr>
            <w:r>
              <w:rPr>
                <w:spacing w:val="11"/>
              </w:rPr>
              <w:t>储存危险化学品的单位未建立危险化学品出入库核查、登</w:t>
            </w:r>
            <w:r>
              <w:rPr>
                <w:spacing w:val="5"/>
              </w:rPr>
              <w:t>记制度的</w:t>
            </w:r>
          </w:p>
        </w:tc>
        <w:tc>
          <w:tcPr>
            <w:tcW w:w="3202" w:type="dxa"/>
            <w:vMerge w:val="restart"/>
            <w:tcBorders>
              <w:bottom w:val="nil"/>
            </w:tcBorders>
            <w:vAlign w:val="top"/>
          </w:tcPr>
          <w:p w14:paraId="2E9D34F4">
            <w:pPr>
              <w:pStyle w:val="6"/>
              <w:spacing w:before="31" w:line="182" w:lineRule="auto"/>
              <w:ind w:left="123" w:right="111" w:hanging="25"/>
            </w:pPr>
            <w:r>
              <w:rPr>
                <w:spacing w:val="18"/>
              </w:rPr>
              <w:t>【行政法规】《危险化学品</w:t>
            </w:r>
            <w:r>
              <w:rPr>
                <w:spacing w:val="16"/>
              </w:rPr>
              <w:t>安全管理条例》第二十五条</w:t>
            </w:r>
          </w:p>
          <w:p w14:paraId="4599EBCB">
            <w:pPr>
              <w:pStyle w:val="6"/>
              <w:spacing w:line="182" w:lineRule="auto"/>
              <w:ind w:left="128"/>
              <w:outlineLvl w:val="0"/>
            </w:pPr>
            <w:r>
              <w:rPr>
                <w:spacing w:val="13"/>
              </w:rPr>
              <w:t>第一款：储存危险化学品的</w:t>
            </w:r>
          </w:p>
          <w:p w14:paraId="3262A776">
            <w:pPr>
              <w:pStyle w:val="6"/>
              <w:spacing w:before="1" w:line="195" w:lineRule="auto"/>
              <w:ind w:left="119" w:right="111" w:firstLine="3"/>
            </w:pPr>
            <w:r>
              <w:rPr>
                <w:spacing w:val="16"/>
              </w:rPr>
              <w:t>单位应当建立危险化学品出</w:t>
            </w:r>
            <w:bookmarkStart w:id="574" w:name="bookmark264"/>
            <w:bookmarkEnd w:id="574"/>
            <w:r>
              <w:rPr>
                <w:spacing w:val="4"/>
              </w:rPr>
              <w:t>入库核查、登记制度。</w:t>
            </w:r>
          </w:p>
        </w:tc>
        <w:tc>
          <w:tcPr>
            <w:tcW w:w="2859" w:type="dxa"/>
            <w:vMerge w:val="restart"/>
            <w:tcBorders>
              <w:bottom w:val="nil"/>
            </w:tcBorders>
            <w:vAlign w:val="top"/>
          </w:tcPr>
          <w:p w14:paraId="36BDD824">
            <w:pPr>
              <w:pStyle w:val="6"/>
              <w:spacing w:before="39" w:line="184" w:lineRule="auto"/>
              <w:ind w:left="116" w:right="105" w:hanging="19"/>
              <w:jc w:val="both"/>
            </w:pPr>
            <w:r>
              <w:rPr>
                <w:spacing w:val="10"/>
              </w:rPr>
              <w:t>【行政法规】《危险化学</w:t>
            </w:r>
            <w:r>
              <w:rPr>
                <w:spacing w:val="8"/>
              </w:rPr>
              <w:t>品安全管理条例》第七十八条第一款第十项：有下列情形之一的，由安全生</w:t>
            </w:r>
            <w:r>
              <w:rPr>
                <w:spacing w:val="32"/>
              </w:rPr>
              <w:t>产监督管理部门责令改</w:t>
            </w:r>
            <w:r>
              <w:rPr>
                <w:spacing w:val="5"/>
              </w:rPr>
              <w:t>正，可以处</w:t>
            </w:r>
            <w:r>
              <w:rPr>
                <w:rFonts w:ascii="宋体" w:hAnsi="宋体" w:eastAsia="宋体" w:cs="宋体"/>
                <w:spacing w:val="5"/>
              </w:rPr>
              <w:t>5</w:t>
            </w:r>
            <w:r>
              <w:rPr>
                <w:spacing w:val="5"/>
              </w:rPr>
              <w:t>万元以下的</w:t>
            </w:r>
            <w:r>
              <w:rPr>
                <w:spacing w:val="6"/>
              </w:rPr>
              <w:t>罚款；拒不改正的，处</w:t>
            </w:r>
            <w:r>
              <w:rPr>
                <w:rFonts w:ascii="宋体" w:hAnsi="宋体" w:eastAsia="宋体" w:cs="宋体"/>
                <w:spacing w:val="6"/>
              </w:rPr>
              <w:t>5</w:t>
            </w:r>
            <w:r>
              <w:rPr>
                <w:spacing w:val="9"/>
              </w:rPr>
              <w:t>万元以上</w:t>
            </w:r>
            <w:r>
              <w:rPr>
                <w:rFonts w:ascii="宋体" w:hAnsi="宋体" w:eastAsia="宋体" w:cs="宋体"/>
                <w:spacing w:val="9"/>
              </w:rPr>
              <w:t>10</w:t>
            </w:r>
            <w:r>
              <w:rPr>
                <w:spacing w:val="9"/>
              </w:rPr>
              <w:t>万元以下的</w:t>
            </w:r>
            <w:r>
              <w:rPr>
                <w:spacing w:val="8"/>
              </w:rPr>
              <w:t>罚款；情节严重的，责令停产停业整顿</w:t>
            </w:r>
            <w:r>
              <w:rPr>
                <w:spacing w:val="10"/>
              </w:rPr>
              <w:t>：（</w:t>
            </w:r>
            <w:r>
              <w:rPr>
                <w:spacing w:val="8"/>
              </w:rPr>
              <w:t>十）储存危险化学品的单位未建</w:t>
            </w:r>
            <w:r>
              <w:rPr>
                <w:spacing w:val="32"/>
              </w:rPr>
              <w:t>立危险化学品出入库核</w:t>
            </w:r>
            <w:r>
              <w:rPr>
                <w:spacing w:val="2"/>
              </w:rPr>
              <w:t>查、登记制度的；</w:t>
            </w:r>
          </w:p>
        </w:tc>
        <w:tc>
          <w:tcPr>
            <w:tcW w:w="803" w:type="dxa"/>
            <w:vAlign w:val="top"/>
          </w:tcPr>
          <w:p w14:paraId="523455E5">
            <w:pPr>
              <w:spacing w:line="345" w:lineRule="auto"/>
              <w:rPr>
                <w:rFonts w:ascii="Arial"/>
                <w:sz w:val="21"/>
              </w:rPr>
            </w:pPr>
          </w:p>
          <w:p w14:paraId="2798A6C6">
            <w:pPr>
              <w:spacing w:line="345" w:lineRule="auto"/>
              <w:rPr>
                <w:rFonts w:ascii="Arial"/>
                <w:sz w:val="21"/>
              </w:rPr>
            </w:pPr>
          </w:p>
          <w:p w14:paraId="5C9413BF">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22CC995">
            <w:pPr>
              <w:spacing w:line="476" w:lineRule="auto"/>
              <w:rPr>
                <w:rFonts w:ascii="Arial"/>
                <w:sz w:val="21"/>
              </w:rPr>
            </w:pPr>
          </w:p>
          <w:p w14:paraId="1F774C16">
            <w:pPr>
              <w:pStyle w:val="6"/>
              <w:spacing w:before="99" w:line="182" w:lineRule="auto"/>
              <w:ind w:left="118"/>
              <w:outlineLvl w:val="0"/>
            </w:pPr>
            <w:r>
              <w:rPr>
                <w:spacing w:val="26"/>
              </w:rPr>
              <w:t>未建立危险化学品</w:t>
            </w:r>
          </w:p>
          <w:p w14:paraId="4E1836B9">
            <w:pPr>
              <w:pStyle w:val="6"/>
              <w:spacing w:before="1" w:line="208" w:lineRule="auto"/>
              <w:ind w:left="148"/>
            </w:pPr>
            <w:r>
              <w:rPr>
                <w:spacing w:val="3"/>
              </w:rPr>
              <w:t>出入库核查制度的</w:t>
            </w:r>
          </w:p>
        </w:tc>
        <w:tc>
          <w:tcPr>
            <w:tcW w:w="2894" w:type="dxa"/>
            <w:vAlign w:val="top"/>
          </w:tcPr>
          <w:p w14:paraId="220A5A88">
            <w:pPr>
              <w:pStyle w:val="6"/>
              <w:spacing w:before="122" w:line="188" w:lineRule="auto"/>
              <w:ind w:left="117" w:right="37" w:firstLine="10"/>
              <w:jc w:val="both"/>
            </w:pPr>
            <w:r>
              <w:rPr>
                <w:spacing w:val="3"/>
              </w:rPr>
              <w:t>责令改正，可以处</w:t>
            </w:r>
            <w:r>
              <w:rPr>
                <w:rFonts w:ascii="宋体" w:hAnsi="宋体" w:eastAsia="宋体" w:cs="宋体"/>
                <w:spacing w:val="3"/>
              </w:rPr>
              <w:t>2</w:t>
            </w:r>
            <w:r>
              <w:rPr>
                <w:spacing w:val="3"/>
              </w:rPr>
              <w:t>万元</w:t>
            </w:r>
            <w:r>
              <w:rPr>
                <w:spacing w:val="-3"/>
              </w:rPr>
              <w:t>以下的罚款；拒不改正的，</w:t>
            </w:r>
            <w:r>
              <w:rPr>
                <w:spacing w:val="4"/>
              </w:rPr>
              <w:t>处</w:t>
            </w:r>
            <w:r>
              <w:rPr>
                <w:rFonts w:ascii="宋体" w:hAnsi="宋体" w:eastAsia="宋体" w:cs="宋体"/>
                <w:spacing w:val="4"/>
              </w:rPr>
              <w:t>5</w:t>
            </w:r>
            <w:r>
              <w:rPr>
                <w:spacing w:val="4"/>
              </w:rPr>
              <w:t>万元以上</w:t>
            </w:r>
            <w:r>
              <w:rPr>
                <w:rFonts w:ascii="宋体" w:hAnsi="宋体" w:eastAsia="宋体" w:cs="宋体"/>
                <w:spacing w:val="4"/>
              </w:rPr>
              <w:t>7</w:t>
            </w:r>
            <w:r>
              <w:rPr>
                <w:spacing w:val="4"/>
              </w:rPr>
              <w:t>万元以下的罚款；情节严重的，责</w:t>
            </w:r>
            <w:r>
              <w:rPr>
                <w:spacing w:val="7"/>
              </w:rPr>
              <w:t>令停产停业整顿</w:t>
            </w:r>
          </w:p>
        </w:tc>
        <w:tc>
          <w:tcPr>
            <w:tcW w:w="811" w:type="dxa"/>
            <w:vMerge w:val="restart"/>
            <w:tcBorders>
              <w:bottom w:val="nil"/>
            </w:tcBorders>
            <w:vAlign w:val="top"/>
          </w:tcPr>
          <w:p w14:paraId="24E5237B">
            <w:pPr>
              <w:spacing w:line="256" w:lineRule="auto"/>
              <w:rPr>
                <w:rFonts w:ascii="Arial"/>
                <w:sz w:val="21"/>
              </w:rPr>
            </w:pPr>
          </w:p>
          <w:p w14:paraId="2066E453">
            <w:pPr>
              <w:spacing w:line="256" w:lineRule="auto"/>
              <w:rPr>
                <w:rFonts w:ascii="Arial"/>
                <w:sz w:val="21"/>
              </w:rPr>
            </w:pPr>
          </w:p>
          <w:p w14:paraId="36A1EA73">
            <w:pPr>
              <w:spacing w:line="256" w:lineRule="auto"/>
              <w:rPr>
                <w:rFonts w:ascii="Arial"/>
                <w:sz w:val="21"/>
              </w:rPr>
            </w:pPr>
          </w:p>
          <w:p w14:paraId="6015E09C">
            <w:pPr>
              <w:spacing w:line="256" w:lineRule="auto"/>
              <w:rPr>
                <w:rFonts w:ascii="Arial"/>
                <w:sz w:val="21"/>
              </w:rPr>
            </w:pPr>
          </w:p>
          <w:p w14:paraId="61CE8769">
            <w:pPr>
              <w:spacing w:line="256" w:lineRule="auto"/>
              <w:rPr>
                <w:rFonts w:ascii="Arial"/>
                <w:sz w:val="21"/>
              </w:rPr>
            </w:pPr>
          </w:p>
          <w:p w14:paraId="67F4D106">
            <w:pPr>
              <w:spacing w:line="257" w:lineRule="auto"/>
              <w:rPr>
                <w:rFonts w:ascii="Arial"/>
                <w:sz w:val="21"/>
              </w:rPr>
            </w:pPr>
          </w:p>
          <w:p w14:paraId="2E6416C2">
            <w:pPr>
              <w:spacing w:line="257" w:lineRule="auto"/>
              <w:rPr>
                <w:rFonts w:ascii="Arial"/>
                <w:sz w:val="21"/>
              </w:rPr>
            </w:pPr>
          </w:p>
          <w:p w14:paraId="0D6C0D71">
            <w:pPr>
              <w:spacing w:line="257" w:lineRule="auto"/>
              <w:rPr>
                <w:rFonts w:ascii="Arial"/>
                <w:sz w:val="21"/>
              </w:rPr>
            </w:pPr>
          </w:p>
          <w:p w14:paraId="61213480">
            <w:pPr>
              <w:spacing w:line="257" w:lineRule="auto"/>
              <w:rPr>
                <w:rFonts w:ascii="Arial"/>
                <w:sz w:val="21"/>
              </w:rPr>
            </w:pPr>
          </w:p>
          <w:p w14:paraId="5F72D7BC">
            <w:pPr>
              <w:spacing w:line="257" w:lineRule="auto"/>
              <w:rPr>
                <w:rFonts w:ascii="Arial"/>
                <w:sz w:val="21"/>
              </w:rPr>
            </w:pPr>
          </w:p>
          <w:p w14:paraId="7F42C520">
            <w:pPr>
              <w:spacing w:before="75" w:line="188" w:lineRule="auto"/>
              <w:ind w:left="292"/>
              <w:rPr>
                <w:rFonts w:ascii="宋体" w:hAnsi="宋体" w:eastAsia="宋体" w:cs="宋体"/>
                <w:sz w:val="23"/>
                <w:szCs w:val="23"/>
              </w:rPr>
            </w:pPr>
            <w:r>
              <w:rPr>
                <w:rFonts w:ascii="宋体" w:hAnsi="宋体" w:eastAsia="宋体" w:cs="宋体"/>
                <w:spacing w:val="-2"/>
                <w:sz w:val="23"/>
                <w:szCs w:val="23"/>
              </w:rPr>
              <w:t>89</w:t>
            </w:r>
          </w:p>
        </w:tc>
      </w:tr>
      <w:tr w14:paraId="4B673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3" w:hRule="atLeast"/>
        </w:trPr>
        <w:tc>
          <w:tcPr>
            <w:tcW w:w="818" w:type="dxa"/>
            <w:vMerge w:val="continue"/>
            <w:tcBorders>
              <w:top w:val="nil"/>
              <w:bottom w:val="nil"/>
            </w:tcBorders>
            <w:vAlign w:val="top"/>
          </w:tcPr>
          <w:p w14:paraId="786D298B">
            <w:pPr>
              <w:rPr>
                <w:rFonts w:ascii="Arial"/>
                <w:sz w:val="21"/>
              </w:rPr>
            </w:pPr>
          </w:p>
        </w:tc>
        <w:tc>
          <w:tcPr>
            <w:tcW w:w="1440" w:type="dxa"/>
            <w:vMerge w:val="continue"/>
            <w:tcBorders>
              <w:top w:val="nil"/>
              <w:bottom w:val="nil"/>
            </w:tcBorders>
            <w:vAlign w:val="top"/>
          </w:tcPr>
          <w:p w14:paraId="0337D15A">
            <w:pPr>
              <w:rPr>
                <w:rFonts w:ascii="Arial"/>
                <w:sz w:val="21"/>
              </w:rPr>
            </w:pPr>
          </w:p>
        </w:tc>
        <w:tc>
          <w:tcPr>
            <w:tcW w:w="3202" w:type="dxa"/>
            <w:vMerge w:val="continue"/>
            <w:tcBorders>
              <w:top w:val="nil"/>
              <w:bottom w:val="nil"/>
            </w:tcBorders>
            <w:vAlign w:val="top"/>
          </w:tcPr>
          <w:p w14:paraId="2514B813">
            <w:pPr>
              <w:rPr>
                <w:rFonts w:ascii="Arial"/>
                <w:sz w:val="21"/>
              </w:rPr>
            </w:pPr>
          </w:p>
        </w:tc>
        <w:tc>
          <w:tcPr>
            <w:tcW w:w="2859" w:type="dxa"/>
            <w:vMerge w:val="continue"/>
            <w:tcBorders>
              <w:top w:val="nil"/>
              <w:bottom w:val="nil"/>
            </w:tcBorders>
            <w:vAlign w:val="top"/>
          </w:tcPr>
          <w:p w14:paraId="0E696614">
            <w:pPr>
              <w:rPr>
                <w:rFonts w:ascii="Arial"/>
                <w:sz w:val="21"/>
              </w:rPr>
            </w:pPr>
          </w:p>
        </w:tc>
        <w:tc>
          <w:tcPr>
            <w:tcW w:w="803" w:type="dxa"/>
            <w:vAlign w:val="top"/>
          </w:tcPr>
          <w:p w14:paraId="085E1EF2">
            <w:pPr>
              <w:spacing w:line="273" w:lineRule="auto"/>
              <w:rPr>
                <w:rFonts w:ascii="Arial"/>
                <w:sz w:val="21"/>
              </w:rPr>
            </w:pPr>
          </w:p>
          <w:p w14:paraId="0B290C38">
            <w:pPr>
              <w:spacing w:line="273" w:lineRule="auto"/>
              <w:rPr>
                <w:rFonts w:ascii="Arial"/>
                <w:sz w:val="21"/>
              </w:rPr>
            </w:pPr>
          </w:p>
          <w:p w14:paraId="56569EA9">
            <w:pPr>
              <w:spacing w:line="273" w:lineRule="auto"/>
              <w:rPr>
                <w:rFonts w:ascii="Arial"/>
                <w:sz w:val="21"/>
              </w:rPr>
            </w:pPr>
          </w:p>
          <w:p w14:paraId="3890DD9B">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B8E60F0">
            <w:pPr>
              <w:spacing w:line="299" w:lineRule="auto"/>
              <w:rPr>
                <w:rFonts w:ascii="Arial"/>
                <w:sz w:val="21"/>
              </w:rPr>
            </w:pPr>
          </w:p>
          <w:p w14:paraId="04681C77">
            <w:pPr>
              <w:spacing w:line="300" w:lineRule="auto"/>
              <w:rPr>
                <w:rFonts w:ascii="Arial"/>
                <w:sz w:val="21"/>
              </w:rPr>
            </w:pPr>
          </w:p>
          <w:p w14:paraId="6D671145">
            <w:pPr>
              <w:pStyle w:val="6"/>
              <w:spacing w:before="99" w:line="196" w:lineRule="auto"/>
              <w:ind w:left="147" w:right="109" w:hanging="29"/>
            </w:pPr>
            <w:r>
              <w:rPr>
                <w:spacing w:val="26"/>
              </w:rPr>
              <w:t>未建立危险化学品</w:t>
            </w:r>
            <w:r>
              <w:rPr>
                <w:spacing w:val="3"/>
              </w:rPr>
              <w:t>出入库登记制度的</w:t>
            </w:r>
          </w:p>
        </w:tc>
        <w:tc>
          <w:tcPr>
            <w:tcW w:w="2894" w:type="dxa"/>
            <w:vAlign w:val="top"/>
          </w:tcPr>
          <w:p w14:paraId="441AD4B2">
            <w:pPr>
              <w:pStyle w:val="6"/>
              <w:spacing w:before="107" w:line="186" w:lineRule="auto"/>
              <w:ind w:left="122" w:right="103" w:firstLine="5"/>
            </w:pPr>
            <w:r>
              <w:rPr>
                <w:spacing w:val="3"/>
              </w:rPr>
              <w:t>责令改正，可以处</w:t>
            </w:r>
            <w:r>
              <w:rPr>
                <w:rFonts w:ascii="宋体" w:hAnsi="宋体" w:eastAsia="宋体" w:cs="宋体"/>
                <w:spacing w:val="3"/>
              </w:rPr>
              <w:t>2</w:t>
            </w:r>
            <w:r>
              <w:rPr>
                <w:spacing w:val="3"/>
              </w:rPr>
              <w:t>万元以上</w:t>
            </w:r>
            <w:r>
              <w:rPr>
                <w:rFonts w:ascii="宋体" w:hAnsi="宋体" w:eastAsia="宋体" w:cs="宋体"/>
                <w:spacing w:val="3"/>
              </w:rPr>
              <w:t>4</w:t>
            </w:r>
            <w:r>
              <w:rPr>
                <w:spacing w:val="3"/>
              </w:rPr>
              <w:t>万元以下的罚款；</w:t>
            </w:r>
            <w:r>
              <w:rPr>
                <w:spacing w:val="4"/>
              </w:rPr>
              <w:t>拒不改正的，处</w:t>
            </w:r>
            <w:r>
              <w:rPr>
                <w:rFonts w:ascii="宋体" w:hAnsi="宋体" w:eastAsia="宋体" w:cs="宋体"/>
                <w:spacing w:val="4"/>
              </w:rPr>
              <w:t>7</w:t>
            </w:r>
            <w:r>
              <w:rPr>
                <w:spacing w:val="4"/>
              </w:rPr>
              <w:t>万元以</w:t>
            </w:r>
            <w:r>
              <w:rPr>
                <w:spacing w:val="3"/>
              </w:rPr>
              <w:t>上</w:t>
            </w:r>
            <w:r>
              <w:rPr>
                <w:rFonts w:ascii="宋体" w:hAnsi="宋体" w:eastAsia="宋体" w:cs="宋体"/>
                <w:spacing w:val="3"/>
              </w:rPr>
              <w:t>9</w:t>
            </w:r>
            <w:r>
              <w:rPr>
                <w:spacing w:val="3"/>
              </w:rPr>
              <w:t>万元以下的罚款；情</w:t>
            </w:r>
            <w:r>
              <w:rPr>
                <w:spacing w:val="8"/>
              </w:rPr>
              <w:t>节严重的，责令停产停业</w:t>
            </w:r>
            <w:r>
              <w:rPr>
                <w:spacing w:val="1"/>
              </w:rPr>
              <w:t>整顿</w:t>
            </w:r>
          </w:p>
        </w:tc>
        <w:tc>
          <w:tcPr>
            <w:tcW w:w="811" w:type="dxa"/>
            <w:vMerge w:val="continue"/>
            <w:tcBorders>
              <w:top w:val="nil"/>
              <w:bottom w:val="nil"/>
            </w:tcBorders>
            <w:vAlign w:val="top"/>
          </w:tcPr>
          <w:p w14:paraId="25375F2F">
            <w:pPr>
              <w:rPr>
                <w:rFonts w:ascii="Arial"/>
                <w:sz w:val="21"/>
              </w:rPr>
            </w:pPr>
          </w:p>
        </w:tc>
      </w:tr>
      <w:tr w14:paraId="4C5E4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tcBorders>
            <w:vAlign w:val="top"/>
          </w:tcPr>
          <w:p w14:paraId="66324E15">
            <w:pPr>
              <w:rPr>
                <w:rFonts w:ascii="Arial"/>
                <w:sz w:val="21"/>
              </w:rPr>
            </w:pPr>
          </w:p>
        </w:tc>
        <w:tc>
          <w:tcPr>
            <w:tcW w:w="1440" w:type="dxa"/>
            <w:vMerge w:val="continue"/>
            <w:tcBorders>
              <w:top w:val="nil"/>
            </w:tcBorders>
            <w:vAlign w:val="top"/>
          </w:tcPr>
          <w:p w14:paraId="2898D38A">
            <w:pPr>
              <w:rPr>
                <w:rFonts w:ascii="Arial"/>
                <w:sz w:val="21"/>
              </w:rPr>
            </w:pPr>
          </w:p>
        </w:tc>
        <w:tc>
          <w:tcPr>
            <w:tcW w:w="3202" w:type="dxa"/>
            <w:vMerge w:val="continue"/>
            <w:tcBorders>
              <w:top w:val="nil"/>
            </w:tcBorders>
            <w:vAlign w:val="top"/>
          </w:tcPr>
          <w:p w14:paraId="51779A07">
            <w:pPr>
              <w:rPr>
                <w:rFonts w:ascii="Arial"/>
                <w:sz w:val="21"/>
              </w:rPr>
            </w:pPr>
          </w:p>
        </w:tc>
        <w:tc>
          <w:tcPr>
            <w:tcW w:w="2859" w:type="dxa"/>
            <w:vMerge w:val="continue"/>
            <w:tcBorders>
              <w:top w:val="nil"/>
            </w:tcBorders>
            <w:vAlign w:val="top"/>
          </w:tcPr>
          <w:p w14:paraId="47259682">
            <w:pPr>
              <w:rPr>
                <w:rFonts w:ascii="Arial"/>
                <w:sz w:val="21"/>
              </w:rPr>
            </w:pPr>
          </w:p>
        </w:tc>
        <w:tc>
          <w:tcPr>
            <w:tcW w:w="803" w:type="dxa"/>
            <w:vAlign w:val="top"/>
          </w:tcPr>
          <w:p w14:paraId="67BCE27D">
            <w:pPr>
              <w:spacing w:line="249" w:lineRule="auto"/>
              <w:rPr>
                <w:rFonts w:ascii="Arial"/>
                <w:sz w:val="21"/>
              </w:rPr>
            </w:pPr>
          </w:p>
          <w:p w14:paraId="270B45B7">
            <w:pPr>
              <w:spacing w:line="249" w:lineRule="auto"/>
              <w:rPr>
                <w:rFonts w:ascii="Arial"/>
                <w:sz w:val="21"/>
              </w:rPr>
            </w:pPr>
          </w:p>
          <w:p w14:paraId="0DAE9D6D">
            <w:pPr>
              <w:spacing w:line="249" w:lineRule="auto"/>
              <w:rPr>
                <w:rFonts w:ascii="Arial"/>
                <w:sz w:val="21"/>
              </w:rPr>
            </w:pPr>
          </w:p>
          <w:p w14:paraId="24B0F5A6">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AB304FE">
            <w:pPr>
              <w:spacing w:line="380" w:lineRule="auto"/>
              <w:rPr>
                <w:rFonts w:ascii="Arial"/>
                <w:sz w:val="21"/>
              </w:rPr>
            </w:pPr>
          </w:p>
          <w:p w14:paraId="61B6BD1C">
            <w:pPr>
              <w:pStyle w:val="6"/>
              <w:spacing w:before="99" w:line="191" w:lineRule="auto"/>
              <w:ind w:left="122" w:right="108" w:hanging="4"/>
              <w:jc w:val="both"/>
            </w:pPr>
            <w:r>
              <w:rPr>
                <w:spacing w:val="26"/>
              </w:rPr>
              <w:t>未建立危险化学品</w:t>
            </w:r>
            <w:r>
              <w:rPr>
                <w:spacing w:val="25"/>
              </w:rPr>
              <w:t>出入库核查和登记</w:t>
            </w:r>
            <w:r>
              <w:rPr>
                <w:spacing w:val="3"/>
              </w:rPr>
              <w:t>制度的</w:t>
            </w:r>
          </w:p>
        </w:tc>
        <w:tc>
          <w:tcPr>
            <w:tcW w:w="2894" w:type="dxa"/>
            <w:vAlign w:val="top"/>
          </w:tcPr>
          <w:p w14:paraId="374212B8">
            <w:pPr>
              <w:pStyle w:val="6"/>
              <w:spacing w:before="28" w:line="179" w:lineRule="auto"/>
              <w:ind w:left="122" w:right="103" w:firstLine="5"/>
            </w:pPr>
            <w:r>
              <w:rPr>
                <w:spacing w:val="3"/>
              </w:rPr>
              <w:t>责令改正，可以处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万元以下的罚款；</w:t>
            </w:r>
            <w:r>
              <w:rPr>
                <w:spacing w:val="4"/>
              </w:rPr>
              <w:t>拒不改正的，处</w:t>
            </w:r>
            <w:r>
              <w:rPr>
                <w:rFonts w:ascii="宋体" w:hAnsi="宋体" w:eastAsia="宋体" w:cs="宋体"/>
                <w:spacing w:val="4"/>
              </w:rPr>
              <w:t>9</w:t>
            </w:r>
            <w:r>
              <w:rPr>
                <w:spacing w:val="4"/>
              </w:rPr>
              <w:t>万元以</w:t>
            </w:r>
            <w:r>
              <w:rPr>
                <w:spacing w:val="-4"/>
              </w:rPr>
              <w:t>上</w:t>
            </w:r>
            <w:r>
              <w:rPr>
                <w:rFonts w:ascii="宋体" w:hAnsi="宋体" w:eastAsia="宋体" w:cs="宋体"/>
                <w:spacing w:val="-4"/>
              </w:rPr>
              <w:t>10</w:t>
            </w:r>
            <w:r>
              <w:rPr>
                <w:spacing w:val="-4"/>
              </w:rPr>
              <w:t>万元以下的罚款；情</w:t>
            </w:r>
            <w:r>
              <w:rPr>
                <w:spacing w:val="8"/>
              </w:rPr>
              <w:t>节严重的，责令停产停业</w:t>
            </w:r>
            <w:r>
              <w:rPr>
                <w:spacing w:val="1"/>
              </w:rPr>
              <w:t>整顿</w:t>
            </w:r>
          </w:p>
        </w:tc>
        <w:tc>
          <w:tcPr>
            <w:tcW w:w="811" w:type="dxa"/>
            <w:vMerge w:val="continue"/>
            <w:tcBorders>
              <w:top w:val="nil"/>
            </w:tcBorders>
            <w:vAlign w:val="top"/>
          </w:tcPr>
          <w:p w14:paraId="084A405F">
            <w:pPr>
              <w:rPr>
                <w:rFonts w:ascii="Arial"/>
                <w:sz w:val="21"/>
              </w:rPr>
            </w:pPr>
          </w:p>
        </w:tc>
      </w:tr>
      <w:tr w14:paraId="5CF75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restart"/>
            <w:tcBorders>
              <w:bottom w:val="nil"/>
            </w:tcBorders>
            <w:vAlign w:val="top"/>
          </w:tcPr>
          <w:p w14:paraId="3FEE7802">
            <w:pPr>
              <w:spacing w:line="270" w:lineRule="auto"/>
              <w:rPr>
                <w:rFonts w:ascii="Arial"/>
                <w:sz w:val="21"/>
              </w:rPr>
            </w:pPr>
          </w:p>
          <w:p w14:paraId="2BB19EDE">
            <w:pPr>
              <w:spacing w:line="270" w:lineRule="auto"/>
              <w:rPr>
                <w:rFonts w:ascii="Arial"/>
                <w:sz w:val="21"/>
              </w:rPr>
            </w:pPr>
          </w:p>
          <w:p w14:paraId="4B80F792">
            <w:pPr>
              <w:spacing w:line="270" w:lineRule="auto"/>
              <w:rPr>
                <w:rFonts w:ascii="Arial"/>
                <w:sz w:val="21"/>
              </w:rPr>
            </w:pPr>
          </w:p>
          <w:p w14:paraId="10ABCB23">
            <w:pPr>
              <w:spacing w:line="270" w:lineRule="auto"/>
              <w:rPr>
                <w:rFonts w:ascii="Arial"/>
                <w:sz w:val="21"/>
              </w:rPr>
            </w:pPr>
          </w:p>
          <w:p w14:paraId="63077B24">
            <w:pPr>
              <w:spacing w:line="271" w:lineRule="auto"/>
              <w:rPr>
                <w:rFonts w:ascii="Arial"/>
                <w:sz w:val="21"/>
              </w:rPr>
            </w:pPr>
          </w:p>
          <w:p w14:paraId="4459066C">
            <w:pPr>
              <w:spacing w:before="75" w:line="186" w:lineRule="auto"/>
              <w:ind w:left="161"/>
              <w:rPr>
                <w:rFonts w:ascii="仿宋" w:hAnsi="仿宋" w:eastAsia="仿宋" w:cs="仿宋"/>
                <w:sz w:val="23"/>
                <w:szCs w:val="23"/>
              </w:rPr>
            </w:pPr>
            <w:r>
              <w:rPr>
                <w:rFonts w:ascii="仿宋" w:hAnsi="仿宋" w:eastAsia="仿宋" w:cs="仿宋"/>
                <w:spacing w:val="-5"/>
                <w:sz w:val="23"/>
                <w:szCs w:val="23"/>
              </w:rPr>
              <w:t>128</w:t>
            </w:r>
          </w:p>
        </w:tc>
        <w:tc>
          <w:tcPr>
            <w:tcW w:w="1440" w:type="dxa"/>
            <w:vMerge w:val="restart"/>
            <w:tcBorders>
              <w:bottom w:val="nil"/>
            </w:tcBorders>
            <w:vAlign w:val="top"/>
          </w:tcPr>
          <w:p w14:paraId="54CE6348">
            <w:pPr>
              <w:spacing w:line="277" w:lineRule="auto"/>
              <w:rPr>
                <w:rFonts w:ascii="Arial"/>
                <w:sz w:val="21"/>
              </w:rPr>
            </w:pPr>
          </w:p>
          <w:p w14:paraId="4204EBE5">
            <w:pPr>
              <w:spacing w:line="277" w:lineRule="auto"/>
              <w:rPr>
                <w:rFonts w:ascii="Arial"/>
                <w:sz w:val="21"/>
              </w:rPr>
            </w:pPr>
          </w:p>
          <w:p w14:paraId="3C0F4D0D">
            <w:pPr>
              <w:spacing w:line="278" w:lineRule="auto"/>
              <w:rPr>
                <w:rFonts w:ascii="Arial"/>
                <w:sz w:val="21"/>
              </w:rPr>
            </w:pPr>
          </w:p>
          <w:p w14:paraId="6F0CD310">
            <w:pPr>
              <w:pStyle w:val="6"/>
              <w:spacing w:before="98" w:line="190" w:lineRule="auto"/>
              <w:ind w:left="114" w:right="111"/>
              <w:jc w:val="both"/>
            </w:pPr>
            <w:r>
              <w:rPr>
                <w:spacing w:val="11"/>
              </w:rPr>
              <w:t>危险化学品专用仓库未设置明显标</w:t>
            </w:r>
            <w:r>
              <w:rPr>
                <w:spacing w:val="3"/>
              </w:rPr>
              <w:t>志的</w:t>
            </w:r>
          </w:p>
        </w:tc>
        <w:tc>
          <w:tcPr>
            <w:tcW w:w="3202" w:type="dxa"/>
            <w:vMerge w:val="restart"/>
            <w:tcBorders>
              <w:bottom w:val="nil"/>
            </w:tcBorders>
            <w:vAlign w:val="top"/>
          </w:tcPr>
          <w:p w14:paraId="2C3CB2DF">
            <w:pPr>
              <w:pStyle w:val="6"/>
              <w:spacing w:before="37" w:line="185" w:lineRule="auto"/>
              <w:ind w:left="114" w:right="110" w:hanging="16"/>
              <w:jc w:val="both"/>
            </w:pPr>
            <w:r>
              <w:rPr>
                <w:spacing w:val="18"/>
              </w:rPr>
              <w:t>【行政法规】《危险化学品</w:t>
            </w:r>
            <w:r>
              <w:rPr>
                <w:spacing w:val="17"/>
              </w:rPr>
              <w:t>安全管理条例》第二十六条</w:t>
            </w:r>
            <w:r>
              <w:rPr>
                <w:spacing w:val="14"/>
              </w:rPr>
              <w:t>第一款：危险化学品专用仓</w:t>
            </w:r>
            <w:r>
              <w:rPr>
                <w:spacing w:val="17"/>
              </w:rPr>
              <w:t>库应当符合国家标准、行业</w:t>
            </w:r>
            <w:r>
              <w:rPr>
                <w:spacing w:val="13"/>
              </w:rPr>
              <w:t>标准的要求，并设置明显的</w:t>
            </w:r>
            <w:r>
              <w:rPr>
                <w:spacing w:val="17"/>
              </w:rPr>
              <w:t>标志。储存剧毒化学品、易</w:t>
            </w:r>
            <w:r>
              <w:rPr>
                <w:spacing w:val="40"/>
              </w:rPr>
              <w:t>制爆危险化学品的专用仓</w:t>
            </w:r>
            <w:r>
              <w:rPr>
                <w:spacing w:val="13"/>
              </w:rPr>
              <w:t>库，应当按照国家有关规定</w:t>
            </w:r>
            <w:r>
              <w:rPr>
                <w:spacing w:val="5"/>
              </w:rPr>
              <w:t>设置相应的技术防范设施。</w:t>
            </w:r>
          </w:p>
        </w:tc>
        <w:tc>
          <w:tcPr>
            <w:tcW w:w="2859" w:type="dxa"/>
            <w:vMerge w:val="restart"/>
            <w:tcBorders>
              <w:bottom w:val="nil"/>
            </w:tcBorders>
            <w:vAlign w:val="top"/>
          </w:tcPr>
          <w:p w14:paraId="625AB615">
            <w:pPr>
              <w:pStyle w:val="6"/>
              <w:spacing w:before="29" w:line="181" w:lineRule="auto"/>
              <w:ind w:left="116" w:right="105" w:hanging="19"/>
              <w:jc w:val="both"/>
            </w:pPr>
            <w:r>
              <w:rPr>
                <w:spacing w:val="10"/>
              </w:rPr>
              <w:t>【行政法规】《危险化学</w:t>
            </w:r>
            <w:r>
              <w:rPr>
                <w:spacing w:val="8"/>
              </w:rPr>
              <w:t>品安全管理条例》第七十八条第一款第十一项：有下列情形之一的，由安全生产监督管理部门责令改</w:t>
            </w:r>
            <w:r>
              <w:rPr>
                <w:spacing w:val="5"/>
              </w:rPr>
              <w:t>正，可以处</w:t>
            </w:r>
            <w:r>
              <w:rPr>
                <w:rFonts w:ascii="宋体" w:hAnsi="宋体" w:eastAsia="宋体" w:cs="宋体"/>
                <w:spacing w:val="5"/>
              </w:rPr>
              <w:t>5</w:t>
            </w:r>
            <w:r>
              <w:rPr>
                <w:spacing w:val="5"/>
              </w:rPr>
              <w:t>万元以下的</w:t>
            </w:r>
            <w:r>
              <w:rPr>
                <w:spacing w:val="6"/>
              </w:rPr>
              <w:t>罚款；拒不改正的，处</w:t>
            </w:r>
            <w:r>
              <w:rPr>
                <w:rFonts w:ascii="宋体" w:hAnsi="宋体" w:eastAsia="宋体" w:cs="宋体"/>
                <w:spacing w:val="6"/>
              </w:rPr>
              <w:t>5</w:t>
            </w:r>
            <w:r>
              <w:rPr>
                <w:spacing w:val="9"/>
              </w:rPr>
              <w:t>万元以上</w:t>
            </w:r>
            <w:r>
              <w:rPr>
                <w:rFonts w:ascii="宋体" w:hAnsi="宋体" w:eastAsia="宋体" w:cs="宋体"/>
                <w:spacing w:val="9"/>
              </w:rPr>
              <w:t>10</w:t>
            </w:r>
            <w:r>
              <w:rPr>
                <w:spacing w:val="9"/>
              </w:rPr>
              <w:t>万元以下的</w:t>
            </w:r>
            <w:r>
              <w:rPr>
                <w:spacing w:val="8"/>
              </w:rPr>
              <w:t>罚款；情节严重的，责令</w:t>
            </w:r>
            <w:r>
              <w:rPr>
                <w:spacing w:val="3"/>
              </w:rPr>
              <w:t>停产停业整顿</w:t>
            </w:r>
            <w:r>
              <w:rPr>
                <w:spacing w:val="12"/>
              </w:rPr>
              <w:t>：（</w:t>
            </w:r>
            <w:r>
              <w:rPr>
                <w:spacing w:val="3"/>
              </w:rPr>
              <w:t>十一）</w:t>
            </w:r>
          </w:p>
        </w:tc>
        <w:tc>
          <w:tcPr>
            <w:tcW w:w="803" w:type="dxa"/>
            <w:vAlign w:val="top"/>
          </w:tcPr>
          <w:p w14:paraId="5CE1EEF2">
            <w:pPr>
              <w:spacing w:line="297" w:lineRule="auto"/>
              <w:rPr>
                <w:rFonts w:ascii="Arial"/>
                <w:sz w:val="21"/>
              </w:rPr>
            </w:pPr>
          </w:p>
          <w:p w14:paraId="309B61D0">
            <w:pPr>
              <w:spacing w:line="298" w:lineRule="auto"/>
              <w:rPr>
                <w:rFonts w:ascii="Arial"/>
                <w:sz w:val="21"/>
              </w:rPr>
            </w:pPr>
          </w:p>
          <w:p w14:paraId="20A7728F">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0A1FAE4">
            <w:pPr>
              <w:pStyle w:val="6"/>
              <w:spacing w:before="333" w:line="191" w:lineRule="auto"/>
              <w:ind w:left="119" w:right="107" w:hanging="2"/>
              <w:jc w:val="both"/>
            </w:pPr>
            <w:r>
              <w:rPr>
                <w:spacing w:val="26"/>
              </w:rPr>
              <w:t>危险化学品专用仓</w:t>
            </w:r>
            <w:r>
              <w:rPr>
                <w:spacing w:val="16"/>
              </w:rPr>
              <w:t>库有</w:t>
            </w:r>
            <w:r>
              <w:rPr>
                <w:rFonts w:ascii="宋体" w:hAnsi="宋体" w:eastAsia="宋体" w:cs="宋体"/>
                <w:spacing w:val="16"/>
              </w:rPr>
              <w:t>3</w:t>
            </w:r>
            <w:r>
              <w:rPr>
                <w:spacing w:val="16"/>
              </w:rPr>
              <w:t>处以下未设</w:t>
            </w:r>
            <w:r>
              <w:rPr>
                <w:spacing w:val="6"/>
              </w:rPr>
              <w:t>置明显标志的</w:t>
            </w:r>
          </w:p>
        </w:tc>
        <w:tc>
          <w:tcPr>
            <w:tcW w:w="2894" w:type="dxa"/>
            <w:vAlign w:val="top"/>
          </w:tcPr>
          <w:p w14:paraId="21B1A0EE">
            <w:pPr>
              <w:pStyle w:val="6"/>
              <w:spacing w:before="30" w:line="178" w:lineRule="auto"/>
              <w:ind w:left="117" w:right="37" w:firstLine="10"/>
              <w:jc w:val="both"/>
            </w:pPr>
            <w:r>
              <w:rPr>
                <w:spacing w:val="3"/>
              </w:rPr>
              <w:t>责令改正，可以处</w:t>
            </w:r>
            <w:r>
              <w:rPr>
                <w:rFonts w:ascii="宋体" w:hAnsi="宋体" w:eastAsia="宋体" w:cs="宋体"/>
                <w:spacing w:val="3"/>
              </w:rPr>
              <w:t>2</w:t>
            </w:r>
            <w:r>
              <w:rPr>
                <w:spacing w:val="3"/>
              </w:rPr>
              <w:t>万元</w:t>
            </w:r>
            <w:r>
              <w:rPr>
                <w:spacing w:val="-3"/>
              </w:rPr>
              <w:t>以下的罚款；拒不改正的，</w:t>
            </w:r>
            <w:r>
              <w:rPr>
                <w:spacing w:val="4"/>
              </w:rPr>
              <w:t>处</w:t>
            </w:r>
            <w:r>
              <w:rPr>
                <w:rFonts w:ascii="宋体" w:hAnsi="宋体" w:eastAsia="宋体" w:cs="宋体"/>
                <w:spacing w:val="4"/>
              </w:rPr>
              <w:t>5</w:t>
            </w:r>
            <w:r>
              <w:rPr>
                <w:spacing w:val="4"/>
              </w:rPr>
              <w:t>万元以上</w:t>
            </w:r>
            <w:r>
              <w:rPr>
                <w:rFonts w:ascii="宋体" w:hAnsi="宋体" w:eastAsia="宋体" w:cs="宋体"/>
                <w:spacing w:val="4"/>
              </w:rPr>
              <w:t>7</w:t>
            </w:r>
            <w:r>
              <w:rPr>
                <w:spacing w:val="4"/>
              </w:rPr>
              <w:t>万元以下的罚款；情节严重的，责</w:t>
            </w:r>
            <w:r>
              <w:rPr>
                <w:spacing w:val="7"/>
              </w:rPr>
              <w:t>令停产停业整顿</w:t>
            </w:r>
          </w:p>
        </w:tc>
        <w:tc>
          <w:tcPr>
            <w:tcW w:w="811" w:type="dxa"/>
            <w:vMerge w:val="restart"/>
            <w:tcBorders>
              <w:bottom w:val="nil"/>
            </w:tcBorders>
            <w:vAlign w:val="top"/>
          </w:tcPr>
          <w:p w14:paraId="142534F8">
            <w:pPr>
              <w:spacing w:line="269" w:lineRule="auto"/>
              <w:rPr>
                <w:rFonts w:ascii="Arial"/>
                <w:sz w:val="21"/>
              </w:rPr>
            </w:pPr>
          </w:p>
          <w:p w14:paraId="53670E65">
            <w:pPr>
              <w:spacing w:line="270" w:lineRule="auto"/>
              <w:rPr>
                <w:rFonts w:ascii="Arial"/>
                <w:sz w:val="21"/>
              </w:rPr>
            </w:pPr>
          </w:p>
          <w:p w14:paraId="7A5A8ED0">
            <w:pPr>
              <w:spacing w:line="270" w:lineRule="auto"/>
              <w:rPr>
                <w:rFonts w:ascii="Arial"/>
                <w:sz w:val="21"/>
              </w:rPr>
            </w:pPr>
          </w:p>
          <w:p w14:paraId="11886B9A">
            <w:pPr>
              <w:spacing w:line="270" w:lineRule="auto"/>
              <w:rPr>
                <w:rFonts w:ascii="Arial"/>
                <w:sz w:val="21"/>
              </w:rPr>
            </w:pPr>
          </w:p>
          <w:p w14:paraId="4237A9D8">
            <w:pPr>
              <w:spacing w:line="270" w:lineRule="auto"/>
              <w:rPr>
                <w:rFonts w:ascii="Arial"/>
                <w:sz w:val="21"/>
              </w:rPr>
            </w:pPr>
          </w:p>
          <w:p w14:paraId="7B4D9D74">
            <w:pPr>
              <w:spacing w:before="74" w:line="188" w:lineRule="auto"/>
              <w:ind w:left="292"/>
              <w:rPr>
                <w:rFonts w:ascii="宋体" w:hAnsi="宋体" w:eastAsia="宋体" w:cs="宋体"/>
                <w:sz w:val="23"/>
                <w:szCs w:val="23"/>
              </w:rPr>
            </w:pPr>
            <w:r>
              <w:rPr>
                <w:rFonts w:ascii="宋体" w:hAnsi="宋体" w:eastAsia="宋体" w:cs="宋体"/>
                <w:spacing w:val="-2"/>
                <w:sz w:val="23"/>
                <w:szCs w:val="23"/>
              </w:rPr>
              <w:t>89</w:t>
            </w:r>
          </w:p>
        </w:tc>
      </w:tr>
      <w:tr w14:paraId="3C689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818" w:type="dxa"/>
            <w:vMerge w:val="continue"/>
            <w:tcBorders>
              <w:top w:val="nil"/>
            </w:tcBorders>
            <w:vAlign w:val="top"/>
          </w:tcPr>
          <w:p w14:paraId="764ADBB5">
            <w:pPr>
              <w:rPr>
                <w:rFonts w:ascii="Arial"/>
                <w:sz w:val="21"/>
              </w:rPr>
            </w:pPr>
          </w:p>
        </w:tc>
        <w:tc>
          <w:tcPr>
            <w:tcW w:w="1440" w:type="dxa"/>
            <w:vMerge w:val="continue"/>
            <w:tcBorders>
              <w:top w:val="nil"/>
            </w:tcBorders>
            <w:vAlign w:val="top"/>
          </w:tcPr>
          <w:p w14:paraId="0757E235">
            <w:pPr>
              <w:rPr>
                <w:rFonts w:ascii="Arial"/>
                <w:sz w:val="21"/>
              </w:rPr>
            </w:pPr>
          </w:p>
        </w:tc>
        <w:tc>
          <w:tcPr>
            <w:tcW w:w="3202" w:type="dxa"/>
            <w:vMerge w:val="continue"/>
            <w:tcBorders>
              <w:top w:val="nil"/>
            </w:tcBorders>
            <w:vAlign w:val="top"/>
          </w:tcPr>
          <w:p w14:paraId="687872AD">
            <w:pPr>
              <w:rPr>
                <w:rFonts w:ascii="Arial"/>
                <w:sz w:val="21"/>
              </w:rPr>
            </w:pPr>
          </w:p>
        </w:tc>
        <w:tc>
          <w:tcPr>
            <w:tcW w:w="2859" w:type="dxa"/>
            <w:vMerge w:val="continue"/>
            <w:tcBorders>
              <w:top w:val="nil"/>
            </w:tcBorders>
            <w:vAlign w:val="top"/>
          </w:tcPr>
          <w:p w14:paraId="5968A95E">
            <w:pPr>
              <w:rPr>
                <w:rFonts w:ascii="Arial"/>
                <w:sz w:val="21"/>
              </w:rPr>
            </w:pPr>
          </w:p>
        </w:tc>
        <w:tc>
          <w:tcPr>
            <w:tcW w:w="803" w:type="dxa"/>
            <w:vAlign w:val="top"/>
          </w:tcPr>
          <w:p w14:paraId="71F8C098">
            <w:pPr>
              <w:spacing w:line="299" w:lineRule="auto"/>
              <w:rPr>
                <w:rFonts w:ascii="Arial"/>
                <w:sz w:val="21"/>
              </w:rPr>
            </w:pPr>
          </w:p>
          <w:p w14:paraId="58D3FA43">
            <w:pPr>
              <w:spacing w:line="300" w:lineRule="auto"/>
              <w:rPr>
                <w:rFonts w:ascii="Arial"/>
                <w:sz w:val="21"/>
              </w:rPr>
            </w:pPr>
          </w:p>
          <w:p w14:paraId="33B9CDA3">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700F911">
            <w:pPr>
              <w:pStyle w:val="6"/>
              <w:spacing w:before="180" w:line="190" w:lineRule="auto"/>
              <w:ind w:left="122" w:right="105" w:hanging="5"/>
              <w:jc w:val="both"/>
            </w:pPr>
            <w:r>
              <w:rPr>
                <w:spacing w:val="26"/>
              </w:rPr>
              <w:t>危险化学品专用仓</w:t>
            </w:r>
            <w:r>
              <w:t>库有</w:t>
            </w:r>
            <w:r>
              <w:rPr>
                <w:rFonts w:ascii="宋体" w:hAnsi="宋体" w:eastAsia="宋体" w:cs="宋体"/>
              </w:rPr>
              <w:t>3</w:t>
            </w:r>
            <w:r>
              <w:t>处以上</w:t>
            </w:r>
            <w:r>
              <w:rPr>
                <w:rFonts w:ascii="宋体" w:hAnsi="宋体" w:eastAsia="宋体" w:cs="宋体"/>
              </w:rPr>
              <w:t>7</w:t>
            </w:r>
            <w:r>
              <w:t>处以</w:t>
            </w:r>
            <w:r>
              <w:rPr>
                <w:spacing w:val="25"/>
              </w:rPr>
              <w:t>下未设置明显标志</w:t>
            </w:r>
            <w:r>
              <w:t>的</w:t>
            </w:r>
          </w:p>
        </w:tc>
        <w:tc>
          <w:tcPr>
            <w:tcW w:w="2894" w:type="dxa"/>
            <w:vAlign w:val="top"/>
          </w:tcPr>
          <w:p w14:paraId="1AE52D6A">
            <w:pPr>
              <w:pStyle w:val="6"/>
              <w:spacing w:before="33" w:line="178" w:lineRule="auto"/>
              <w:ind w:left="122" w:right="103" w:firstLine="4"/>
            </w:pPr>
            <w:r>
              <w:rPr>
                <w:spacing w:val="3"/>
              </w:rPr>
              <w:t>责令改正，可以处</w:t>
            </w:r>
            <w:r>
              <w:rPr>
                <w:rFonts w:ascii="宋体" w:hAnsi="宋体" w:eastAsia="宋体" w:cs="宋体"/>
                <w:spacing w:val="3"/>
              </w:rPr>
              <w:t>2</w:t>
            </w:r>
            <w:r>
              <w:rPr>
                <w:spacing w:val="3"/>
              </w:rPr>
              <w:t>万元以上</w:t>
            </w:r>
            <w:r>
              <w:rPr>
                <w:rFonts w:ascii="宋体" w:hAnsi="宋体" w:eastAsia="宋体" w:cs="宋体"/>
                <w:spacing w:val="3"/>
              </w:rPr>
              <w:t>4</w:t>
            </w:r>
            <w:r>
              <w:rPr>
                <w:spacing w:val="3"/>
              </w:rPr>
              <w:t>万元以下的罚款；</w:t>
            </w:r>
            <w:r>
              <w:rPr>
                <w:spacing w:val="4"/>
              </w:rPr>
              <w:t>拒不改正的，处</w:t>
            </w:r>
            <w:r>
              <w:rPr>
                <w:rFonts w:ascii="宋体" w:hAnsi="宋体" w:eastAsia="宋体" w:cs="宋体"/>
                <w:spacing w:val="4"/>
              </w:rPr>
              <w:t>7</w:t>
            </w:r>
            <w:r>
              <w:rPr>
                <w:spacing w:val="4"/>
              </w:rPr>
              <w:t>万元以</w:t>
            </w:r>
            <w:r>
              <w:rPr>
                <w:spacing w:val="3"/>
              </w:rPr>
              <w:t>上</w:t>
            </w:r>
            <w:r>
              <w:rPr>
                <w:rFonts w:ascii="宋体" w:hAnsi="宋体" w:eastAsia="宋体" w:cs="宋体"/>
                <w:spacing w:val="3"/>
              </w:rPr>
              <w:t>9</w:t>
            </w:r>
            <w:r>
              <w:rPr>
                <w:spacing w:val="3"/>
              </w:rPr>
              <w:t>万元以下的罚款；情</w:t>
            </w:r>
            <w:r>
              <w:rPr>
                <w:spacing w:val="7"/>
              </w:rPr>
              <w:t>节严重的，责令停产停业</w:t>
            </w:r>
          </w:p>
        </w:tc>
        <w:tc>
          <w:tcPr>
            <w:tcW w:w="811" w:type="dxa"/>
            <w:vMerge w:val="continue"/>
            <w:tcBorders>
              <w:top w:val="nil"/>
            </w:tcBorders>
            <w:vAlign w:val="top"/>
          </w:tcPr>
          <w:p w14:paraId="7E555B65">
            <w:pPr>
              <w:rPr>
                <w:rFonts w:ascii="Arial"/>
                <w:sz w:val="21"/>
              </w:rPr>
            </w:pPr>
          </w:p>
        </w:tc>
      </w:tr>
    </w:tbl>
    <w:p w14:paraId="2F4BD1EB">
      <w:pPr>
        <w:pStyle w:val="2"/>
      </w:pPr>
    </w:p>
    <w:p w14:paraId="02909815">
      <w:pPr>
        <w:sectPr>
          <w:footerReference r:id="rId152" w:type="default"/>
          <w:pgSz w:w="16839" w:h="11906"/>
          <w:pgMar w:top="1012" w:right="821" w:bottom="667" w:left="901" w:header="0" w:footer="388" w:gutter="0"/>
          <w:cols w:space="720" w:num="1"/>
        </w:sectPr>
      </w:pPr>
    </w:p>
    <w:p w14:paraId="46B0F36C">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38D4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3385A9C1">
            <w:pPr>
              <w:spacing w:before="222" w:line="241" w:lineRule="auto"/>
              <w:ind w:left="131"/>
              <w:rPr>
                <w:rFonts w:ascii="黑体" w:hAnsi="黑体" w:eastAsia="黑体" w:cs="黑体"/>
                <w:sz w:val="28"/>
                <w:szCs w:val="28"/>
              </w:rPr>
            </w:pPr>
            <w:bookmarkStart w:id="575" w:name="bookmark266"/>
            <w:bookmarkEnd w:id="575"/>
            <w:r>
              <w:rPr>
                <w:rFonts w:ascii="黑体" w:hAnsi="黑体" w:eastAsia="黑体" w:cs="黑体"/>
                <w:spacing w:val="-2"/>
                <w:sz w:val="28"/>
                <w:szCs w:val="28"/>
              </w:rPr>
              <w:t>序号</w:t>
            </w:r>
          </w:p>
        </w:tc>
        <w:tc>
          <w:tcPr>
            <w:tcW w:w="1440" w:type="dxa"/>
            <w:vAlign w:val="top"/>
          </w:tcPr>
          <w:p w14:paraId="29461066">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009BB67">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0A57BE4">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18C13A97">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CB3984D">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97CE633">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6BBAD181">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126C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818" w:type="dxa"/>
            <w:vMerge w:val="restart"/>
            <w:tcBorders>
              <w:bottom w:val="nil"/>
            </w:tcBorders>
            <w:vAlign w:val="top"/>
          </w:tcPr>
          <w:p w14:paraId="2B8665D2">
            <w:pPr>
              <w:rPr>
                <w:rFonts w:ascii="Arial"/>
                <w:sz w:val="21"/>
              </w:rPr>
            </w:pPr>
          </w:p>
        </w:tc>
        <w:tc>
          <w:tcPr>
            <w:tcW w:w="1440" w:type="dxa"/>
            <w:vMerge w:val="restart"/>
            <w:tcBorders>
              <w:bottom w:val="nil"/>
            </w:tcBorders>
            <w:vAlign w:val="top"/>
          </w:tcPr>
          <w:p w14:paraId="2BE5D988">
            <w:pPr>
              <w:rPr>
                <w:rFonts w:ascii="Arial"/>
                <w:sz w:val="21"/>
              </w:rPr>
            </w:pPr>
          </w:p>
        </w:tc>
        <w:tc>
          <w:tcPr>
            <w:tcW w:w="3202" w:type="dxa"/>
            <w:vMerge w:val="restart"/>
            <w:tcBorders>
              <w:bottom w:val="nil"/>
            </w:tcBorders>
            <w:vAlign w:val="top"/>
          </w:tcPr>
          <w:p w14:paraId="6958E273">
            <w:pPr>
              <w:rPr>
                <w:rFonts w:ascii="Arial"/>
                <w:sz w:val="21"/>
              </w:rPr>
            </w:pPr>
          </w:p>
        </w:tc>
        <w:tc>
          <w:tcPr>
            <w:tcW w:w="2859" w:type="dxa"/>
            <w:vMerge w:val="restart"/>
            <w:tcBorders>
              <w:bottom w:val="nil"/>
            </w:tcBorders>
            <w:vAlign w:val="top"/>
          </w:tcPr>
          <w:p w14:paraId="2F54BFBD">
            <w:pPr>
              <w:pStyle w:val="6"/>
              <w:spacing w:before="29" w:line="195" w:lineRule="auto"/>
              <w:ind w:left="119" w:right="110" w:hanging="2"/>
            </w:pPr>
            <w:r>
              <w:rPr>
                <w:spacing w:val="8"/>
              </w:rPr>
              <w:t>危险化学品专用仓库未设</w:t>
            </w:r>
            <w:r>
              <w:t>置明显标志的；</w:t>
            </w:r>
          </w:p>
        </w:tc>
        <w:tc>
          <w:tcPr>
            <w:tcW w:w="803" w:type="dxa"/>
            <w:vAlign w:val="top"/>
          </w:tcPr>
          <w:p w14:paraId="2D8319E7">
            <w:pPr>
              <w:rPr>
                <w:rFonts w:ascii="Arial"/>
                <w:sz w:val="21"/>
              </w:rPr>
            </w:pPr>
          </w:p>
        </w:tc>
        <w:tc>
          <w:tcPr>
            <w:tcW w:w="2283" w:type="dxa"/>
            <w:vAlign w:val="top"/>
          </w:tcPr>
          <w:p w14:paraId="6E33EA6B">
            <w:pPr>
              <w:rPr>
                <w:rFonts w:ascii="Arial"/>
                <w:sz w:val="21"/>
              </w:rPr>
            </w:pPr>
          </w:p>
        </w:tc>
        <w:tc>
          <w:tcPr>
            <w:tcW w:w="2894" w:type="dxa"/>
            <w:vAlign w:val="top"/>
          </w:tcPr>
          <w:p w14:paraId="09445A19">
            <w:pPr>
              <w:pStyle w:val="6"/>
              <w:spacing w:before="28" w:line="162" w:lineRule="auto"/>
              <w:ind w:left="122"/>
            </w:pPr>
            <w:r>
              <w:rPr>
                <w:spacing w:val="1"/>
              </w:rPr>
              <w:t>整顿</w:t>
            </w:r>
          </w:p>
        </w:tc>
        <w:tc>
          <w:tcPr>
            <w:tcW w:w="811" w:type="dxa"/>
            <w:vMerge w:val="restart"/>
            <w:tcBorders>
              <w:bottom w:val="nil"/>
            </w:tcBorders>
            <w:vAlign w:val="top"/>
          </w:tcPr>
          <w:p w14:paraId="4AAE6C12">
            <w:pPr>
              <w:rPr>
                <w:rFonts w:ascii="Arial"/>
                <w:sz w:val="21"/>
              </w:rPr>
            </w:pPr>
          </w:p>
        </w:tc>
      </w:tr>
      <w:tr w14:paraId="4E4DA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tcBorders>
            <w:vAlign w:val="top"/>
          </w:tcPr>
          <w:p w14:paraId="7A67C22D">
            <w:pPr>
              <w:rPr>
                <w:rFonts w:ascii="Arial"/>
                <w:sz w:val="21"/>
              </w:rPr>
            </w:pPr>
          </w:p>
        </w:tc>
        <w:tc>
          <w:tcPr>
            <w:tcW w:w="1440" w:type="dxa"/>
            <w:vMerge w:val="continue"/>
            <w:tcBorders>
              <w:top w:val="nil"/>
            </w:tcBorders>
            <w:vAlign w:val="top"/>
          </w:tcPr>
          <w:p w14:paraId="6BF48FA7">
            <w:pPr>
              <w:rPr>
                <w:rFonts w:ascii="Arial"/>
                <w:sz w:val="21"/>
              </w:rPr>
            </w:pPr>
          </w:p>
        </w:tc>
        <w:tc>
          <w:tcPr>
            <w:tcW w:w="3202" w:type="dxa"/>
            <w:vMerge w:val="continue"/>
            <w:tcBorders>
              <w:top w:val="nil"/>
            </w:tcBorders>
            <w:vAlign w:val="top"/>
          </w:tcPr>
          <w:p w14:paraId="386E0656">
            <w:pPr>
              <w:rPr>
                <w:rFonts w:ascii="Arial"/>
                <w:sz w:val="21"/>
              </w:rPr>
            </w:pPr>
          </w:p>
        </w:tc>
        <w:tc>
          <w:tcPr>
            <w:tcW w:w="2859" w:type="dxa"/>
            <w:vMerge w:val="continue"/>
            <w:tcBorders>
              <w:top w:val="nil"/>
            </w:tcBorders>
            <w:vAlign w:val="top"/>
          </w:tcPr>
          <w:p w14:paraId="6C610552">
            <w:pPr>
              <w:rPr>
                <w:rFonts w:ascii="Arial"/>
                <w:sz w:val="21"/>
              </w:rPr>
            </w:pPr>
          </w:p>
        </w:tc>
        <w:tc>
          <w:tcPr>
            <w:tcW w:w="803" w:type="dxa"/>
            <w:vAlign w:val="top"/>
          </w:tcPr>
          <w:p w14:paraId="5BE67040">
            <w:pPr>
              <w:spacing w:line="247" w:lineRule="auto"/>
              <w:rPr>
                <w:rFonts w:ascii="Arial"/>
                <w:sz w:val="21"/>
              </w:rPr>
            </w:pPr>
          </w:p>
          <w:p w14:paraId="2A563323">
            <w:pPr>
              <w:spacing w:line="248" w:lineRule="auto"/>
              <w:rPr>
                <w:rFonts w:ascii="Arial"/>
                <w:sz w:val="21"/>
              </w:rPr>
            </w:pPr>
          </w:p>
          <w:p w14:paraId="2CCB84EF">
            <w:pPr>
              <w:spacing w:line="248" w:lineRule="auto"/>
              <w:rPr>
                <w:rFonts w:ascii="Arial"/>
                <w:sz w:val="21"/>
              </w:rPr>
            </w:pPr>
          </w:p>
          <w:p w14:paraId="76FC8577">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ECB670D">
            <w:pPr>
              <w:spacing w:line="379" w:lineRule="auto"/>
              <w:rPr>
                <w:rFonts w:ascii="Arial"/>
                <w:sz w:val="21"/>
              </w:rPr>
            </w:pPr>
          </w:p>
          <w:p w14:paraId="343D232C">
            <w:pPr>
              <w:pStyle w:val="6"/>
              <w:spacing w:before="98" w:line="191" w:lineRule="auto"/>
              <w:ind w:left="119" w:right="107" w:hanging="2"/>
              <w:jc w:val="both"/>
            </w:pPr>
            <w:r>
              <w:rPr>
                <w:spacing w:val="26"/>
              </w:rPr>
              <w:t>危险化学品专用仓</w:t>
            </w:r>
            <w:r>
              <w:rPr>
                <w:spacing w:val="16"/>
              </w:rPr>
              <w:t>库有</w:t>
            </w:r>
            <w:r>
              <w:rPr>
                <w:rFonts w:ascii="宋体" w:hAnsi="宋体" w:eastAsia="宋体" w:cs="宋体"/>
                <w:spacing w:val="16"/>
              </w:rPr>
              <w:t>7</w:t>
            </w:r>
            <w:r>
              <w:rPr>
                <w:spacing w:val="16"/>
              </w:rPr>
              <w:t>处以上未设</w:t>
            </w:r>
            <w:r>
              <w:rPr>
                <w:spacing w:val="6"/>
              </w:rPr>
              <w:t>置明显标志的</w:t>
            </w:r>
          </w:p>
        </w:tc>
        <w:tc>
          <w:tcPr>
            <w:tcW w:w="2894" w:type="dxa"/>
            <w:vAlign w:val="top"/>
          </w:tcPr>
          <w:p w14:paraId="460EBC5B">
            <w:pPr>
              <w:pStyle w:val="6"/>
              <w:spacing w:before="28" w:line="179" w:lineRule="auto"/>
              <w:ind w:left="122" w:right="103" w:firstLine="5"/>
            </w:pPr>
            <w:r>
              <w:rPr>
                <w:spacing w:val="3"/>
              </w:rPr>
              <w:t>责令改正，可以处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万元以下的罚款；</w:t>
            </w:r>
            <w:r>
              <w:rPr>
                <w:spacing w:val="4"/>
              </w:rPr>
              <w:t>拒不改正的，处</w:t>
            </w:r>
            <w:r>
              <w:rPr>
                <w:rFonts w:ascii="宋体" w:hAnsi="宋体" w:eastAsia="宋体" w:cs="宋体"/>
                <w:spacing w:val="4"/>
              </w:rPr>
              <w:t>9</w:t>
            </w:r>
            <w:r>
              <w:rPr>
                <w:spacing w:val="4"/>
              </w:rPr>
              <w:t>万元以</w:t>
            </w:r>
            <w:r>
              <w:rPr>
                <w:spacing w:val="-4"/>
              </w:rPr>
              <w:t>上</w:t>
            </w:r>
            <w:r>
              <w:rPr>
                <w:rFonts w:ascii="宋体" w:hAnsi="宋体" w:eastAsia="宋体" w:cs="宋体"/>
                <w:spacing w:val="-4"/>
              </w:rPr>
              <w:t>10</w:t>
            </w:r>
            <w:r>
              <w:rPr>
                <w:spacing w:val="-4"/>
              </w:rPr>
              <w:t>万元以下的罚款；情</w:t>
            </w:r>
            <w:r>
              <w:rPr>
                <w:spacing w:val="8"/>
              </w:rPr>
              <w:t>节严重的，责令停产停业</w:t>
            </w:r>
            <w:r>
              <w:rPr>
                <w:spacing w:val="1"/>
              </w:rPr>
              <w:t>整顿</w:t>
            </w:r>
          </w:p>
        </w:tc>
        <w:tc>
          <w:tcPr>
            <w:tcW w:w="811" w:type="dxa"/>
            <w:vMerge w:val="continue"/>
            <w:tcBorders>
              <w:top w:val="nil"/>
            </w:tcBorders>
            <w:vAlign w:val="top"/>
          </w:tcPr>
          <w:p w14:paraId="1E1FC2EF">
            <w:pPr>
              <w:rPr>
                <w:rFonts w:ascii="Arial"/>
                <w:sz w:val="21"/>
              </w:rPr>
            </w:pPr>
          </w:p>
        </w:tc>
      </w:tr>
      <w:tr w14:paraId="31747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3" w:hRule="atLeast"/>
        </w:trPr>
        <w:tc>
          <w:tcPr>
            <w:tcW w:w="818" w:type="dxa"/>
            <w:vMerge w:val="restart"/>
            <w:tcBorders>
              <w:bottom w:val="nil"/>
            </w:tcBorders>
            <w:vAlign w:val="top"/>
          </w:tcPr>
          <w:p w14:paraId="3152B9DF">
            <w:pPr>
              <w:spacing w:line="245" w:lineRule="auto"/>
              <w:rPr>
                <w:rFonts w:ascii="Arial"/>
                <w:sz w:val="21"/>
              </w:rPr>
            </w:pPr>
          </w:p>
          <w:p w14:paraId="688A408F">
            <w:pPr>
              <w:spacing w:line="245" w:lineRule="auto"/>
              <w:rPr>
                <w:rFonts w:ascii="Arial"/>
                <w:sz w:val="21"/>
              </w:rPr>
            </w:pPr>
          </w:p>
          <w:p w14:paraId="5CEC4884">
            <w:pPr>
              <w:spacing w:line="245" w:lineRule="auto"/>
              <w:rPr>
                <w:rFonts w:ascii="Arial"/>
                <w:sz w:val="21"/>
              </w:rPr>
            </w:pPr>
          </w:p>
          <w:p w14:paraId="00CA3137">
            <w:pPr>
              <w:spacing w:line="245" w:lineRule="auto"/>
              <w:rPr>
                <w:rFonts w:ascii="Arial"/>
                <w:sz w:val="21"/>
              </w:rPr>
            </w:pPr>
          </w:p>
          <w:p w14:paraId="3494352B">
            <w:pPr>
              <w:spacing w:line="245" w:lineRule="auto"/>
              <w:rPr>
                <w:rFonts w:ascii="Arial"/>
                <w:sz w:val="21"/>
              </w:rPr>
            </w:pPr>
          </w:p>
          <w:p w14:paraId="63C888C4">
            <w:pPr>
              <w:spacing w:line="245" w:lineRule="auto"/>
              <w:rPr>
                <w:rFonts w:ascii="Arial"/>
                <w:sz w:val="21"/>
              </w:rPr>
            </w:pPr>
          </w:p>
          <w:p w14:paraId="1D7C67D7">
            <w:pPr>
              <w:spacing w:line="245" w:lineRule="auto"/>
              <w:rPr>
                <w:rFonts w:ascii="Arial"/>
                <w:sz w:val="21"/>
              </w:rPr>
            </w:pPr>
          </w:p>
          <w:p w14:paraId="743C633A">
            <w:pPr>
              <w:spacing w:line="245" w:lineRule="auto"/>
              <w:rPr>
                <w:rFonts w:ascii="Arial"/>
                <w:sz w:val="21"/>
              </w:rPr>
            </w:pPr>
          </w:p>
          <w:p w14:paraId="448581A3">
            <w:pPr>
              <w:spacing w:line="245" w:lineRule="auto"/>
              <w:rPr>
                <w:rFonts w:ascii="Arial"/>
                <w:sz w:val="21"/>
              </w:rPr>
            </w:pPr>
          </w:p>
          <w:p w14:paraId="5E32942B">
            <w:pPr>
              <w:spacing w:line="245" w:lineRule="auto"/>
              <w:rPr>
                <w:rFonts w:ascii="Arial"/>
                <w:sz w:val="21"/>
              </w:rPr>
            </w:pPr>
          </w:p>
          <w:p w14:paraId="660BB869">
            <w:pPr>
              <w:spacing w:line="246" w:lineRule="auto"/>
              <w:rPr>
                <w:rFonts w:ascii="Arial"/>
                <w:sz w:val="21"/>
              </w:rPr>
            </w:pPr>
          </w:p>
          <w:p w14:paraId="3672D313">
            <w:pPr>
              <w:spacing w:line="246" w:lineRule="auto"/>
              <w:rPr>
                <w:rFonts w:ascii="Arial"/>
                <w:sz w:val="21"/>
              </w:rPr>
            </w:pPr>
          </w:p>
          <w:p w14:paraId="01A5C526">
            <w:pPr>
              <w:spacing w:line="246" w:lineRule="auto"/>
              <w:rPr>
                <w:rFonts w:ascii="Arial"/>
                <w:sz w:val="21"/>
              </w:rPr>
            </w:pPr>
          </w:p>
          <w:p w14:paraId="0C29D9D0">
            <w:pPr>
              <w:spacing w:before="75" w:line="186" w:lineRule="auto"/>
              <w:ind w:left="161"/>
              <w:rPr>
                <w:rFonts w:ascii="仿宋" w:hAnsi="仿宋" w:eastAsia="仿宋" w:cs="仿宋"/>
                <w:sz w:val="23"/>
                <w:szCs w:val="23"/>
              </w:rPr>
            </w:pPr>
            <w:r>
              <w:rPr>
                <w:rFonts w:ascii="仿宋" w:hAnsi="仿宋" w:eastAsia="仿宋" w:cs="仿宋"/>
                <w:spacing w:val="-5"/>
                <w:sz w:val="23"/>
                <w:szCs w:val="23"/>
              </w:rPr>
              <w:t>129</w:t>
            </w:r>
          </w:p>
        </w:tc>
        <w:tc>
          <w:tcPr>
            <w:tcW w:w="1440" w:type="dxa"/>
            <w:vMerge w:val="restart"/>
            <w:tcBorders>
              <w:bottom w:val="nil"/>
            </w:tcBorders>
            <w:vAlign w:val="top"/>
          </w:tcPr>
          <w:p w14:paraId="61ED41D8">
            <w:pPr>
              <w:spacing w:line="263" w:lineRule="auto"/>
              <w:rPr>
                <w:rFonts w:ascii="Arial"/>
                <w:sz w:val="21"/>
              </w:rPr>
            </w:pPr>
          </w:p>
          <w:p w14:paraId="57332E11">
            <w:pPr>
              <w:spacing w:line="263" w:lineRule="auto"/>
              <w:rPr>
                <w:rFonts w:ascii="Arial"/>
                <w:sz w:val="21"/>
              </w:rPr>
            </w:pPr>
          </w:p>
          <w:p w14:paraId="23DAF164">
            <w:pPr>
              <w:spacing w:line="263" w:lineRule="auto"/>
              <w:rPr>
                <w:rFonts w:ascii="Arial"/>
                <w:sz w:val="21"/>
              </w:rPr>
            </w:pPr>
          </w:p>
          <w:p w14:paraId="382CCA58">
            <w:pPr>
              <w:spacing w:line="263" w:lineRule="auto"/>
              <w:rPr>
                <w:rFonts w:ascii="Arial"/>
                <w:sz w:val="21"/>
              </w:rPr>
            </w:pPr>
          </w:p>
          <w:p w14:paraId="1B559473">
            <w:pPr>
              <w:spacing w:line="263" w:lineRule="auto"/>
              <w:rPr>
                <w:rFonts w:ascii="Arial"/>
                <w:sz w:val="21"/>
              </w:rPr>
            </w:pPr>
          </w:p>
          <w:p w14:paraId="4E7FDBB6">
            <w:pPr>
              <w:spacing w:line="264" w:lineRule="auto"/>
              <w:rPr>
                <w:rFonts w:ascii="Arial"/>
                <w:sz w:val="21"/>
              </w:rPr>
            </w:pPr>
          </w:p>
          <w:p w14:paraId="3AAE41B2">
            <w:pPr>
              <w:spacing w:line="264" w:lineRule="auto"/>
              <w:rPr>
                <w:rFonts w:ascii="Arial"/>
                <w:sz w:val="21"/>
              </w:rPr>
            </w:pPr>
          </w:p>
          <w:p w14:paraId="09CA36A9">
            <w:pPr>
              <w:spacing w:line="264" w:lineRule="auto"/>
              <w:rPr>
                <w:rFonts w:ascii="Arial"/>
                <w:sz w:val="21"/>
              </w:rPr>
            </w:pPr>
          </w:p>
          <w:p w14:paraId="029D7E7D">
            <w:pPr>
              <w:spacing w:line="264" w:lineRule="auto"/>
              <w:rPr>
                <w:rFonts w:ascii="Arial"/>
                <w:sz w:val="21"/>
              </w:rPr>
            </w:pPr>
          </w:p>
          <w:p w14:paraId="79AFBC12">
            <w:pPr>
              <w:pStyle w:val="6"/>
              <w:spacing w:before="98" w:line="187" w:lineRule="auto"/>
              <w:ind w:left="115" w:right="111" w:firstLine="13"/>
              <w:jc w:val="both"/>
            </w:pPr>
            <w:r>
              <w:rPr>
                <w:spacing w:val="8"/>
              </w:rPr>
              <w:t>生产、储存</w:t>
            </w:r>
            <w:r>
              <w:rPr>
                <w:spacing w:val="11"/>
              </w:rPr>
              <w:t>危险化学品的单位未在作业场所设置通信、报</w:t>
            </w:r>
            <w:r>
              <w:rPr>
                <w:spacing w:val="6"/>
              </w:rPr>
              <w:t>警装置的</w:t>
            </w:r>
          </w:p>
        </w:tc>
        <w:tc>
          <w:tcPr>
            <w:tcW w:w="3202" w:type="dxa"/>
            <w:vMerge w:val="restart"/>
            <w:tcBorders>
              <w:bottom w:val="nil"/>
            </w:tcBorders>
            <w:vAlign w:val="top"/>
          </w:tcPr>
          <w:p w14:paraId="2B77D11B">
            <w:pPr>
              <w:pStyle w:val="6"/>
              <w:spacing w:before="32" w:line="182" w:lineRule="auto"/>
              <w:ind w:left="123" w:right="42" w:hanging="25"/>
            </w:pPr>
            <w:r>
              <w:rPr>
                <w:spacing w:val="18"/>
              </w:rPr>
              <w:t>【行政法规】《危险化学品</w:t>
            </w:r>
            <w:r>
              <w:rPr>
                <w:spacing w:val="3"/>
              </w:rPr>
              <w:t>安全管理条例》第二十一条：</w:t>
            </w:r>
          </w:p>
          <w:p w14:paraId="6AAC35AB">
            <w:pPr>
              <w:pStyle w:val="6"/>
              <w:spacing w:line="182" w:lineRule="auto"/>
              <w:ind w:left="131"/>
              <w:outlineLvl w:val="0"/>
            </w:pPr>
            <w:r>
              <w:rPr>
                <w:spacing w:val="16"/>
              </w:rPr>
              <w:t>生产、储存危险化学品的单</w:t>
            </w:r>
          </w:p>
          <w:p w14:paraId="72EF4C85">
            <w:pPr>
              <w:pStyle w:val="6"/>
              <w:spacing w:line="191" w:lineRule="auto"/>
              <w:ind w:left="118" w:right="111" w:hanging="1"/>
              <w:jc w:val="both"/>
            </w:pPr>
            <w:r>
              <w:rPr>
                <w:spacing w:val="13"/>
              </w:rPr>
              <w:t>位，应当在其作业场所设置通信、报警装置，并保证处</w:t>
            </w:r>
            <w:r>
              <w:rPr>
                <w:spacing w:val="1"/>
              </w:rPr>
              <w:t>于适用状态。</w:t>
            </w:r>
          </w:p>
        </w:tc>
        <w:tc>
          <w:tcPr>
            <w:tcW w:w="2859" w:type="dxa"/>
            <w:vMerge w:val="restart"/>
            <w:tcBorders>
              <w:bottom w:val="nil"/>
            </w:tcBorders>
            <w:vAlign w:val="top"/>
          </w:tcPr>
          <w:p w14:paraId="59F42720">
            <w:pPr>
              <w:pStyle w:val="6"/>
              <w:spacing w:before="32" w:line="184" w:lineRule="auto"/>
              <w:ind w:left="116" w:right="105" w:hanging="19"/>
              <w:jc w:val="both"/>
            </w:pPr>
            <w:r>
              <w:rPr>
                <w:spacing w:val="10"/>
              </w:rPr>
              <w:t>【行政法规】《危险化学</w:t>
            </w:r>
            <w:r>
              <w:rPr>
                <w:spacing w:val="8"/>
              </w:rPr>
              <w:t>品安全管理条例》第七十八条第一款第八项：有下列情形之一的，由安全生</w:t>
            </w:r>
            <w:r>
              <w:rPr>
                <w:spacing w:val="32"/>
              </w:rPr>
              <w:t>产监督管理部门责令改</w:t>
            </w:r>
            <w:r>
              <w:rPr>
                <w:spacing w:val="5"/>
              </w:rPr>
              <w:t>正，可以处</w:t>
            </w:r>
            <w:r>
              <w:rPr>
                <w:rFonts w:ascii="宋体" w:hAnsi="宋体" w:eastAsia="宋体" w:cs="宋体"/>
                <w:spacing w:val="5"/>
              </w:rPr>
              <w:t>5</w:t>
            </w:r>
            <w:r>
              <w:rPr>
                <w:spacing w:val="5"/>
              </w:rPr>
              <w:t>万元以下的</w:t>
            </w:r>
            <w:r>
              <w:rPr>
                <w:spacing w:val="6"/>
              </w:rPr>
              <w:t>罚款；拒不改正的，处</w:t>
            </w:r>
            <w:r>
              <w:rPr>
                <w:rFonts w:ascii="宋体" w:hAnsi="宋体" w:eastAsia="宋体" w:cs="宋体"/>
                <w:spacing w:val="6"/>
              </w:rPr>
              <w:t>5</w:t>
            </w:r>
            <w:r>
              <w:rPr>
                <w:spacing w:val="9"/>
              </w:rPr>
              <w:t>万元以上</w:t>
            </w:r>
            <w:r>
              <w:rPr>
                <w:rFonts w:ascii="宋体" w:hAnsi="宋体" w:eastAsia="宋体" w:cs="宋体"/>
                <w:spacing w:val="9"/>
              </w:rPr>
              <w:t>10</w:t>
            </w:r>
            <w:r>
              <w:rPr>
                <w:spacing w:val="9"/>
              </w:rPr>
              <w:t>万元以下的</w:t>
            </w:r>
            <w:r>
              <w:rPr>
                <w:spacing w:val="8"/>
              </w:rPr>
              <w:t>罚款；情节严重的，责令</w:t>
            </w:r>
            <w:r>
              <w:t>停产停业整顿</w:t>
            </w:r>
            <w:r>
              <w:rPr>
                <w:spacing w:val="3"/>
              </w:rPr>
              <w:t>：（</w:t>
            </w:r>
            <w:r>
              <w:t>八）生</w:t>
            </w:r>
            <w:r>
              <w:rPr>
                <w:spacing w:val="8"/>
              </w:rPr>
              <w:t>产、储存危险化学品的单位未在作业场所和安全设施、设备上设置明显的安全警示标志，或者未在作业场所设置通信、报警装</w:t>
            </w:r>
            <w:r>
              <w:rPr>
                <w:spacing w:val="-7"/>
              </w:rPr>
              <w:t>置的；</w:t>
            </w:r>
          </w:p>
        </w:tc>
        <w:tc>
          <w:tcPr>
            <w:tcW w:w="803" w:type="dxa"/>
            <w:vAlign w:val="top"/>
          </w:tcPr>
          <w:p w14:paraId="3265CC6C">
            <w:pPr>
              <w:spacing w:line="297" w:lineRule="auto"/>
              <w:rPr>
                <w:rFonts w:ascii="Arial"/>
                <w:sz w:val="21"/>
              </w:rPr>
            </w:pPr>
          </w:p>
          <w:p w14:paraId="477D891F">
            <w:pPr>
              <w:spacing w:line="297" w:lineRule="auto"/>
              <w:rPr>
                <w:rFonts w:ascii="Arial"/>
                <w:sz w:val="21"/>
              </w:rPr>
            </w:pPr>
          </w:p>
          <w:p w14:paraId="460089EE">
            <w:pPr>
              <w:spacing w:line="297" w:lineRule="auto"/>
              <w:rPr>
                <w:rFonts w:ascii="Arial"/>
                <w:sz w:val="21"/>
              </w:rPr>
            </w:pPr>
          </w:p>
          <w:p w14:paraId="2F50B776">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1315656">
            <w:pPr>
              <w:spacing w:line="262" w:lineRule="auto"/>
              <w:rPr>
                <w:rFonts w:ascii="Arial"/>
                <w:sz w:val="21"/>
              </w:rPr>
            </w:pPr>
          </w:p>
          <w:p w14:paraId="015D568A">
            <w:pPr>
              <w:spacing w:line="262" w:lineRule="auto"/>
              <w:rPr>
                <w:rFonts w:ascii="Arial"/>
                <w:sz w:val="21"/>
              </w:rPr>
            </w:pPr>
          </w:p>
          <w:p w14:paraId="2255D1EA">
            <w:pPr>
              <w:pStyle w:val="6"/>
              <w:spacing w:before="99" w:line="190" w:lineRule="auto"/>
              <w:ind w:left="118" w:right="109"/>
              <w:jc w:val="both"/>
            </w:pPr>
            <w:r>
              <w:rPr>
                <w:spacing w:val="26"/>
              </w:rPr>
              <w:t>未在作业场所设置</w:t>
            </w:r>
            <w:r>
              <w:rPr>
                <w:spacing w:val="-15"/>
              </w:rPr>
              <w:t>通信、报警装置，有</w:t>
            </w:r>
            <w:r>
              <w:rPr>
                <w:rFonts w:ascii="宋体" w:hAnsi="宋体" w:eastAsia="宋体" w:cs="宋体"/>
              </w:rPr>
              <w:t>1</w:t>
            </w:r>
            <w:r>
              <w:t>台（套、种）的</w:t>
            </w:r>
          </w:p>
        </w:tc>
        <w:tc>
          <w:tcPr>
            <w:tcW w:w="2894" w:type="dxa"/>
            <w:vAlign w:val="top"/>
          </w:tcPr>
          <w:p w14:paraId="10A3D60E">
            <w:pPr>
              <w:pStyle w:val="6"/>
              <w:spacing w:before="324" w:line="188" w:lineRule="auto"/>
              <w:ind w:left="117" w:right="37" w:firstLine="10"/>
              <w:jc w:val="both"/>
            </w:pPr>
            <w:r>
              <w:rPr>
                <w:spacing w:val="3"/>
              </w:rPr>
              <w:t>责令改正，可以处</w:t>
            </w:r>
            <w:r>
              <w:rPr>
                <w:rFonts w:ascii="宋体" w:hAnsi="宋体" w:eastAsia="宋体" w:cs="宋体"/>
                <w:spacing w:val="3"/>
              </w:rPr>
              <w:t>2</w:t>
            </w:r>
            <w:r>
              <w:rPr>
                <w:spacing w:val="3"/>
              </w:rPr>
              <w:t>万元</w:t>
            </w:r>
            <w:r>
              <w:rPr>
                <w:spacing w:val="-3"/>
              </w:rPr>
              <w:t>以下的罚款；拒不改正的，</w:t>
            </w:r>
            <w:r>
              <w:rPr>
                <w:spacing w:val="4"/>
              </w:rPr>
              <w:t>处</w:t>
            </w:r>
            <w:r>
              <w:rPr>
                <w:rFonts w:ascii="宋体" w:hAnsi="宋体" w:eastAsia="宋体" w:cs="宋体"/>
                <w:spacing w:val="4"/>
              </w:rPr>
              <w:t>5</w:t>
            </w:r>
            <w:r>
              <w:rPr>
                <w:spacing w:val="4"/>
              </w:rPr>
              <w:t>万元以上</w:t>
            </w:r>
            <w:r>
              <w:rPr>
                <w:rFonts w:ascii="宋体" w:hAnsi="宋体" w:eastAsia="宋体" w:cs="宋体"/>
                <w:spacing w:val="4"/>
              </w:rPr>
              <w:t>7</w:t>
            </w:r>
            <w:r>
              <w:rPr>
                <w:spacing w:val="4"/>
              </w:rPr>
              <w:t>万元以下的罚款；情节严重的，责</w:t>
            </w:r>
            <w:r>
              <w:rPr>
                <w:spacing w:val="7"/>
              </w:rPr>
              <w:t>令停产停业整顿</w:t>
            </w:r>
          </w:p>
        </w:tc>
        <w:tc>
          <w:tcPr>
            <w:tcW w:w="811" w:type="dxa"/>
            <w:vMerge w:val="restart"/>
            <w:tcBorders>
              <w:bottom w:val="nil"/>
            </w:tcBorders>
            <w:vAlign w:val="top"/>
          </w:tcPr>
          <w:p w14:paraId="0CBA9CDD">
            <w:pPr>
              <w:spacing w:line="245" w:lineRule="auto"/>
              <w:rPr>
                <w:rFonts w:ascii="Arial"/>
                <w:sz w:val="21"/>
              </w:rPr>
            </w:pPr>
          </w:p>
          <w:p w14:paraId="3B0DAD5E">
            <w:pPr>
              <w:spacing w:line="245" w:lineRule="auto"/>
              <w:rPr>
                <w:rFonts w:ascii="Arial"/>
                <w:sz w:val="21"/>
              </w:rPr>
            </w:pPr>
          </w:p>
          <w:p w14:paraId="1D2B6DCF">
            <w:pPr>
              <w:spacing w:line="245" w:lineRule="auto"/>
              <w:rPr>
                <w:rFonts w:ascii="Arial"/>
                <w:sz w:val="21"/>
              </w:rPr>
            </w:pPr>
          </w:p>
          <w:p w14:paraId="1CAA90FE">
            <w:pPr>
              <w:spacing w:line="245" w:lineRule="auto"/>
              <w:rPr>
                <w:rFonts w:ascii="Arial"/>
                <w:sz w:val="21"/>
              </w:rPr>
            </w:pPr>
          </w:p>
          <w:p w14:paraId="143F9B8B">
            <w:pPr>
              <w:spacing w:line="245" w:lineRule="auto"/>
              <w:rPr>
                <w:rFonts w:ascii="Arial"/>
                <w:sz w:val="21"/>
              </w:rPr>
            </w:pPr>
          </w:p>
          <w:p w14:paraId="329A9D8E">
            <w:pPr>
              <w:spacing w:line="245" w:lineRule="auto"/>
              <w:rPr>
                <w:rFonts w:ascii="Arial"/>
                <w:sz w:val="21"/>
              </w:rPr>
            </w:pPr>
          </w:p>
          <w:p w14:paraId="05405642">
            <w:pPr>
              <w:spacing w:line="245" w:lineRule="auto"/>
              <w:rPr>
                <w:rFonts w:ascii="Arial"/>
                <w:sz w:val="21"/>
              </w:rPr>
            </w:pPr>
          </w:p>
          <w:p w14:paraId="6D5A6D65">
            <w:pPr>
              <w:spacing w:line="245" w:lineRule="auto"/>
              <w:rPr>
                <w:rFonts w:ascii="Arial"/>
                <w:sz w:val="21"/>
              </w:rPr>
            </w:pPr>
          </w:p>
          <w:p w14:paraId="5F2BB9C7">
            <w:pPr>
              <w:spacing w:line="245" w:lineRule="auto"/>
              <w:rPr>
                <w:rFonts w:ascii="Arial"/>
                <w:sz w:val="21"/>
              </w:rPr>
            </w:pPr>
          </w:p>
          <w:p w14:paraId="226BB8C4">
            <w:pPr>
              <w:spacing w:line="245" w:lineRule="auto"/>
              <w:rPr>
                <w:rFonts w:ascii="Arial"/>
                <w:sz w:val="21"/>
              </w:rPr>
            </w:pPr>
          </w:p>
          <w:p w14:paraId="34BA48B9">
            <w:pPr>
              <w:spacing w:line="245" w:lineRule="auto"/>
              <w:rPr>
                <w:rFonts w:ascii="Arial"/>
                <w:sz w:val="21"/>
              </w:rPr>
            </w:pPr>
          </w:p>
          <w:p w14:paraId="66162679">
            <w:pPr>
              <w:spacing w:line="245" w:lineRule="auto"/>
              <w:rPr>
                <w:rFonts w:ascii="Arial"/>
                <w:sz w:val="21"/>
              </w:rPr>
            </w:pPr>
          </w:p>
          <w:p w14:paraId="37E483F8">
            <w:pPr>
              <w:spacing w:line="246" w:lineRule="auto"/>
              <w:rPr>
                <w:rFonts w:ascii="Arial"/>
                <w:sz w:val="21"/>
              </w:rPr>
            </w:pPr>
          </w:p>
          <w:p w14:paraId="6ABDC147">
            <w:pPr>
              <w:spacing w:before="75" w:line="188" w:lineRule="auto"/>
              <w:ind w:left="292"/>
              <w:rPr>
                <w:rFonts w:ascii="宋体" w:hAnsi="宋体" w:eastAsia="宋体" w:cs="宋体"/>
                <w:sz w:val="23"/>
                <w:szCs w:val="23"/>
              </w:rPr>
            </w:pPr>
            <w:r>
              <w:rPr>
                <w:rFonts w:ascii="宋体" w:hAnsi="宋体" w:eastAsia="宋体" w:cs="宋体"/>
                <w:spacing w:val="-2"/>
                <w:sz w:val="23"/>
                <w:szCs w:val="23"/>
              </w:rPr>
              <w:t>90</w:t>
            </w:r>
          </w:p>
        </w:tc>
      </w:tr>
      <w:tr w14:paraId="4BAF8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3" w:hRule="atLeast"/>
        </w:trPr>
        <w:tc>
          <w:tcPr>
            <w:tcW w:w="818" w:type="dxa"/>
            <w:vMerge w:val="continue"/>
            <w:tcBorders>
              <w:top w:val="nil"/>
              <w:bottom w:val="nil"/>
            </w:tcBorders>
            <w:vAlign w:val="top"/>
          </w:tcPr>
          <w:p w14:paraId="35DE9CFA">
            <w:pPr>
              <w:rPr>
                <w:rFonts w:ascii="Arial"/>
                <w:sz w:val="21"/>
              </w:rPr>
            </w:pPr>
          </w:p>
        </w:tc>
        <w:tc>
          <w:tcPr>
            <w:tcW w:w="1440" w:type="dxa"/>
            <w:vMerge w:val="continue"/>
            <w:tcBorders>
              <w:top w:val="nil"/>
              <w:bottom w:val="nil"/>
            </w:tcBorders>
            <w:vAlign w:val="top"/>
          </w:tcPr>
          <w:p w14:paraId="1C6AAB3D">
            <w:pPr>
              <w:rPr>
                <w:rFonts w:ascii="Arial"/>
                <w:sz w:val="21"/>
              </w:rPr>
            </w:pPr>
          </w:p>
        </w:tc>
        <w:tc>
          <w:tcPr>
            <w:tcW w:w="3202" w:type="dxa"/>
            <w:vMerge w:val="continue"/>
            <w:tcBorders>
              <w:top w:val="nil"/>
              <w:bottom w:val="nil"/>
            </w:tcBorders>
            <w:vAlign w:val="top"/>
          </w:tcPr>
          <w:p w14:paraId="5CCF5CDC">
            <w:pPr>
              <w:rPr>
                <w:rFonts w:ascii="Arial"/>
                <w:sz w:val="21"/>
              </w:rPr>
            </w:pPr>
          </w:p>
        </w:tc>
        <w:tc>
          <w:tcPr>
            <w:tcW w:w="2859" w:type="dxa"/>
            <w:vMerge w:val="continue"/>
            <w:tcBorders>
              <w:top w:val="nil"/>
              <w:bottom w:val="nil"/>
            </w:tcBorders>
            <w:vAlign w:val="top"/>
          </w:tcPr>
          <w:p w14:paraId="13445095">
            <w:pPr>
              <w:rPr>
                <w:rFonts w:ascii="Arial"/>
                <w:sz w:val="21"/>
              </w:rPr>
            </w:pPr>
          </w:p>
        </w:tc>
        <w:tc>
          <w:tcPr>
            <w:tcW w:w="803" w:type="dxa"/>
            <w:vAlign w:val="top"/>
          </w:tcPr>
          <w:p w14:paraId="504F7765">
            <w:pPr>
              <w:spacing w:line="300" w:lineRule="auto"/>
              <w:rPr>
                <w:rFonts w:ascii="Arial"/>
                <w:sz w:val="21"/>
              </w:rPr>
            </w:pPr>
          </w:p>
          <w:p w14:paraId="7BFB82E3">
            <w:pPr>
              <w:spacing w:line="300" w:lineRule="auto"/>
              <w:rPr>
                <w:rFonts w:ascii="Arial"/>
                <w:sz w:val="21"/>
              </w:rPr>
            </w:pPr>
          </w:p>
          <w:p w14:paraId="57C5FFE1">
            <w:pPr>
              <w:spacing w:line="301" w:lineRule="auto"/>
              <w:rPr>
                <w:rFonts w:ascii="Arial"/>
                <w:sz w:val="21"/>
              </w:rPr>
            </w:pPr>
          </w:p>
          <w:p w14:paraId="308CDA62">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8DBEC69">
            <w:pPr>
              <w:spacing w:line="265" w:lineRule="auto"/>
              <w:rPr>
                <w:rFonts w:ascii="Arial"/>
                <w:sz w:val="21"/>
              </w:rPr>
            </w:pPr>
          </w:p>
          <w:p w14:paraId="2122A72E">
            <w:pPr>
              <w:spacing w:line="265" w:lineRule="auto"/>
              <w:rPr>
                <w:rFonts w:ascii="Arial"/>
                <w:sz w:val="21"/>
              </w:rPr>
            </w:pPr>
          </w:p>
          <w:p w14:paraId="388AAE08">
            <w:pPr>
              <w:pStyle w:val="6"/>
              <w:spacing w:before="99" w:line="190" w:lineRule="auto"/>
              <w:ind w:left="116" w:right="109" w:firstLine="1"/>
              <w:jc w:val="both"/>
            </w:pPr>
            <w:r>
              <w:rPr>
                <w:spacing w:val="26"/>
              </w:rPr>
              <w:t>未在作业场所设置</w:t>
            </w:r>
            <w:r>
              <w:rPr>
                <w:spacing w:val="-14"/>
              </w:rPr>
              <w:t>通信、报警装置，有</w:t>
            </w:r>
            <w:r>
              <w:rPr>
                <w:rFonts w:ascii="宋体" w:hAnsi="宋体" w:eastAsia="宋体" w:cs="宋体"/>
              </w:rPr>
              <w:t>2</w:t>
            </w:r>
            <w:r>
              <w:t>台（套、种）的</w:t>
            </w:r>
          </w:p>
        </w:tc>
        <w:tc>
          <w:tcPr>
            <w:tcW w:w="2894" w:type="dxa"/>
            <w:vAlign w:val="top"/>
          </w:tcPr>
          <w:p w14:paraId="67670C0A">
            <w:pPr>
              <w:pStyle w:val="6"/>
              <w:spacing w:before="185" w:line="187" w:lineRule="auto"/>
              <w:ind w:left="122" w:right="103" w:firstLine="5"/>
            </w:pPr>
            <w:r>
              <w:rPr>
                <w:spacing w:val="3"/>
              </w:rPr>
              <w:t>责令改正，可以处</w:t>
            </w:r>
            <w:r>
              <w:rPr>
                <w:rFonts w:ascii="宋体" w:hAnsi="宋体" w:eastAsia="宋体" w:cs="宋体"/>
                <w:spacing w:val="3"/>
              </w:rPr>
              <w:t>2</w:t>
            </w:r>
            <w:r>
              <w:rPr>
                <w:spacing w:val="3"/>
              </w:rPr>
              <w:t>万元以上</w:t>
            </w:r>
            <w:r>
              <w:rPr>
                <w:rFonts w:ascii="宋体" w:hAnsi="宋体" w:eastAsia="宋体" w:cs="宋体"/>
                <w:spacing w:val="3"/>
              </w:rPr>
              <w:t>4</w:t>
            </w:r>
            <w:r>
              <w:rPr>
                <w:spacing w:val="3"/>
              </w:rPr>
              <w:t>万元以下的罚款；</w:t>
            </w:r>
            <w:r>
              <w:rPr>
                <w:spacing w:val="4"/>
              </w:rPr>
              <w:t>拒不改正的，处</w:t>
            </w:r>
            <w:r>
              <w:rPr>
                <w:rFonts w:ascii="宋体" w:hAnsi="宋体" w:eastAsia="宋体" w:cs="宋体"/>
                <w:spacing w:val="4"/>
              </w:rPr>
              <w:t>7</w:t>
            </w:r>
            <w:r>
              <w:rPr>
                <w:spacing w:val="4"/>
              </w:rPr>
              <w:t>万元以</w:t>
            </w:r>
            <w:r>
              <w:rPr>
                <w:spacing w:val="3"/>
              </w:rPr>
              <w:t>上</w:t>
            </w:r>
            <w:r>
              <w:rPr>
                <w:rFonts w:ascii="宋体" w:hAnsi="宋体" w:eastAsia="宋体" w:cs="宋体"/>
                <w:spacing w:val="3"/>
              </w:rPr>
              <w:t>9</w:t>
            </w:r>
            <w:r>
              <w:rPr>
                <w:spacing w:val="3"/>
              </w:rPr>
              <w:t>万元以下的罚款；情</w:t>
            </w:r>
            <w:r>
              <w:rPr>
                <w:spacing w:val="8"/>
              </w:rPr>
              <w:t>节严重的，责令停产停业</w:t>
            </w:r>
            <w:r>
              <w:rPr>
                <w:spacing w:val="1"/>
              </w:rPr>
              <w:t>整顿</w:t>
            </w:r>
          </w:p>
        </w:tc>
        <w:tc>
          <w:tcPr>
            <w:tcW w:w="811" w:type="dxa"/>
            <w:vMerge w:val="continue"/>
            <w:tcBorders>
              <w:top w:val="nil"/>
              <w:bottom w:val="nil"/>
            </w:tcBorders>
            <w:vAlign w:val="top"/>
          </w:tcPr>
          <w:p w14:paraId="27354A2F">
            <w:pPr>
              <w:rPr>
                <w:rFonts w:ascii="Arial"/>
                <w:sz w:val="21"/>
              </w:rPr>
            </w:pPr>
          </w:p>
        </w:tc>
      </w:tr>
      <w:tr w14:paraId="4741E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0" w:hRule="atLeast"/>
        </w:trPr>
        <w:tc>
          <w:tcPr>
            <w:tcW w:w="818" w:type="dxa"/>
            <w:vMerge w:val="continue"/>
            <w:tcBorders>
              <w:top w:val="nil"/>
            </w:tcBorders>
            <w:vAlign w:val="top"/>
          </w:tcPr>
          <w:p w14:paraId="5BB02B2E">
            <w:pPr>
              <w:rPr>
                <w:rFonts w:ascii="Arial"/>
                <w:sz w:val="21"/>
              </w:rPr>
            </w:pPr>
          </w:p>
        </w:tc>
        <w:tc>
          <w:tcPr>
            <w:tcW w:w="1440" w:type="dxa"/>
            <w:vMerge w:val="continue"/>
            <w:tcBorders>
              <w:top w:val="nil"/>
            </w:tcBorders>
            <w:vAlign w:val="top"/>
          </w:tcPr>
          <w:p w14:paraId="4FA03ED3">
            <w:pPr>
              <w:rPr>
                <w:rFonts w:ascii="Arial"/>
                <w:sz w:val="21"/>
              </w:rPr>
            </w:pPr>
          </w:p>
        </w:tc>
        <w:tc>
          <w:tcPr>
            <w:tcW w:w="3202" w:type="dxa"/>
            <w:vMerge w:val="continue"/>
            <w:tcBorders>
              <w:top w:val="nil"/>
            </w:tcBorders>
            <w:vAlign w:val="top"/>
          </w:tcPr>
          <w:p w14:paraId="0A76C8F4">
            <w:pPr>
              <w:rPr>
                <w:rFonts w:ascii="Arial"/>
                <w:sz w:val="21"/>
              </w:rPr>
            </w:pPr>
          </w:p>
        </w:tc>
        <w:tc>
          <w:tcPr>
            <w:tcW w:w="2859" w:type="dxa"/>
            <w:vMerge w:val="continue"/>
            <w:tcBorders>
              <w:top w:val="nil"/>
            </w:tcBorders>
            <w:vAlign w:val="top"/>
          </w:tcPr>
          <w:p w14:paraId="011DCF95">
            <w:pPr>
              <w:rPr>
                <w:rFonts w:ascii="Arial"/>
                <w:sz w:val="21"/>
              </w:rPr>
            </w:pPr>
          </w:p>
        </w:tc>
        <w:tc>
          <w:tcPr>
            <w:tcW w:w="803" w:type="dxa"/>
            <w:vAlign w:val="top"/>
          </w:tcPr>
          <w:p w14:paraId="12D42C60">
            <w:pPr>
              <w:spacing w:line="271" w:lineRule="auto"/>
              <w:rPr>
                <w:rFonts w:ascii="Arial"/>
                <w:sz w:val="21"/>
              </w:rPr>
            </w:pPr>
          </w:p>
          <w:p w14:paraId="28D47D3A">
            <w:pPr>
              <w:spacing w:line="272" w:lineRule="auto"/>
              <w:rPr>
                <w:rFonts w:ascii="Arial"/>
                <w:sz w:val="21"/>
              </w:rPr>
            </w:pPr>
          </w:p>
          <w:p w14:paraId="2F2016D3">
            <w:pPr>
              <w:spacing w:line="272" w:lineRule="auto"/>
              <w:rPr>
                <w:rFonts w:ascii="Arial"/>
                <w:sz w:val="21"/>
              </w:rPr>
            </w:pPr>
          </w:p>
          <w:p w14:paraId="065653EB">
            <w:pPr>
              <w:spacing w:line="272" w:lineRule="auto"/>
              <w:rPr>
                <w:rFonts w:ascii="Arial"/>
                <w:sz w:val="21"/>
              </w:rPr>
            </w:pPr>
          </w:p>
          <w:p w14:paraId="58E9FFA4">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CEE6EBF">
            <w:pPr>
              <w:spacing w:line="285" w:lineRule="auto"/>
              <w:rPr>
                <w:rFonts w:ascii="Arial"/>
                <w:sz w:val="21"/>
              </w:rPr>
            </w:pPr>
          </w:p>
          <w:p w14:paraId="147A4D5D">
            <w:pPr>
              <w:spacing w:line="285" w:lineRule="auto"/>
              <w:rPr>
                <w:rFonts w:ascii="Arial"/>
                <w:sz w:val="21"/>
              </w:rPr>
            </w:pPr>
          </w:p>
          <w:p w14:paraId="3575B51A">
            <w:pPr>
              <w:pStyle w:val="6"/>
              <w:spacing w:before="99" w:line="190" w:lineRule="auto"/>
              <w:ind w:left="118" w:right="108"/>
              <w:jc w:val="both"/>
            </w:pPr>
            <w:r>
              <w:rPr>
                <w:spacing w:val="26"/>
              </w:rPr>
              <w:t>未在作业场所设置</w:t>
            </w:r>
            <w:r>
              <w:rPr>
                <w:spacing w:val="-15"/>
              </w:rPr>
              <w:t>通信、报警装置，有</w:t>
            </w:r>
            <w:r>
              <w:rPr>
                <w:rFonts w:ascii="宋体" w:hAnsi="宋体" w:eastAsia="宋体" w:cs="宋体"/>
                <w:spacing w:val="-2"/>
              </w:rPr>
              <w:t>3</w:t>
            </w:r>
            <w:r>
              <w:rPr>
                <w:spacing w:val="-2"/>
              </w:rPr>
              <w:t>台（套、种）以上</w:t>
            </w:r>
            <w:r>
              <w:t>的</w:t>
            </w:r>
          </w:p>
        </w:tc>
        <w:tc>
          <w:tcPr>
            <w:tcW w:w="2894" w:type="dxa"/>
            <w:vAlign w:val="top"/>
          </w:tcPr>
          <w:p w14:paraId="6F1F0032">
            <w:pPr>
              <w:spacing w:line="273" w:lineRule="auto"/>
              <w:rPr>
                <w:rFonts w:ascii="Arial"/>
                <w:sz w:val="21"/>
              </w:rPr>
            </w:pPr>
          </w:p>
          <w:p w14:paraId="10B96012">
            <w:pPr>
              <w:pStyle w:val="6"/>
              <w:spacing w:before="98" w:line="187" w:lineRule="auto"/>
              <w:ind w:left="122" w:right="103" w:firstLine="5"/>
            </w:pPr>
            <w:r>
              <w:rPr>
                <w:spacing w:val="3"/>
              </w:rPr>
              <w:t>责令改正，可以处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万元以下的罚款；</w:t>
            </w:r>
            <w:r>
              <w:rPr>
                <w:spacing w:val="4"/>
              </w:rPr>
              <w:t>拒不改正的，处</w:t>
            </w:r>
            <w:r>
              <w:rPr>
                <w:rFonts w:ascii="宋体" w:hAnsi="宋体" w:eastAsia="宋体" w:cs="宋体"/>
                <w:spacing w:val="4"/>
              </w:rPr>
              <w:t>9</w:t>
            </w:r>
            <w:r>
              <w:rPr>
                <w:spacing w:val="4"/>
              </w:rPr>
              <w:t>万元以</w:t>
            </w:r>
            <w:r>
              <w:rPr>
                <w:spacing w:val="-4"/>
              </w:rPr>
              <w:t>上</w:t>
            </w:r>
            <w:r>
              <w:rPr>
                <w:rFonts w:ascii="宋体" w:hAnsi="宋体" w:eastAsia="宋体" w:cs="宋体"/>
                <w:spacing w:val="-4"/>
              </w:rPr>
              <w:t>10</w:t>
            </w:r>
            <w:r>
              <w:rPr>
                <w:spacing w:val="-4"/>
              </w:rPr>
              <w:t>万元以下的罚款；情</w:t>
            </w:r>
            <w:r>
              <w:rPr>
                <w:spacing w:val="8"/>
              </w:rPr>
              <w:t>节严重的，责令停产停业</w:t>
            </w:r>
            <w:r>
              <w:rPr>
                <w:spacing w:val="1"/>
              </w:rPr>
              <w:t>整顿</w:t>
            </w:r>
          </w:p>
        </w:tc>
        <w:tc>
          <w:tcPr>
            <w:tcW w:w="811" w:type="dxa"/>
            <w:vMerge w:val="continue"/>
            <w:tcBorders>
              <w:top w:val="nil"/>
            </w:tcBorders>
            <w:vAlign w:val="top"/>
          </w:tcPr>
          <w:p w14:paraId="2E374D95">
            <w:pPr>
              <w:rPr>
                <w:rFonts w:ascii="Arial"/>
                <w:sz w:val="21"/>
              </w:rPr>
            </w:pPr>
          </w:p>
        </w:tc>
      </w:tr>
    </w:tbl>
    <w:p w14:paraId="17ECCF1E">
      <w:pPr>
        <w:pStyle w:val="2"/>
      </w:pPr>
    </w:p>
    <w:p w14:paraId="465F64BD">
      <w:pPr>
        <w:sectPr>
          <w:footerReference r:id="rId153" w:type="default"/>
          <w:pgSz w:w="16839" w:h="11906"/>
          <w:pgMar w:top="1012" w:right="821" w:bottom="667" w:left="901" w:header="0" w:footer="388" w:gutter="0"/>
          <w:cols w:space="720" w:num="1"/>
        </w:sectPr>
      </w:pPr>
    </w:p>
    <w:p w14:paraId="5F07B548">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65CB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5D13F47">
            <w:pPr>
              <w:spacing w:before="222" w:line="241" w:lineRule="auto"/>
              <w:ind w:left="131"/>
              <w:outlineLvl w:val="0"/>
              <w:rPr>
                <w:rFonts w:ascii="黑体" w:hAnsi="黑体" w:eastAsia="黑体" w:cs="黑体"/>
                <w:sz w:val="28"/>
                <w:szCs w:val="28"/>
              </w:rPr>
            </w:pPr>
            <w:bookmarkStart w:id="576" w:name="bookmark268"/>
            <w:bookmarkEnd w:id="576"/>
            <w:r>
              <w:rPr>
                <w:rFonts w:ascii="黑体" w:hAnsi="黑体" w:eastAsia="黑体" w:cs="黑体"/>
                <w:spacing w:val="-2"/>
                <w:sz w:val="28"/>
                <w:szCs w:val="28"/>
              </w:rPr>
              <w:t>序号</w:t>
            </w:r>
          </w:p>
        </w:tc>
        <w:tc>
          <w:tcPr>
            <w:tcW w:w="1440" w:type="dxa"/>
            <w:vAlign w:val="top"/>
          </w:tcPr>
          <w:p w14:paraId="16662591">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9C02953">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754B08B">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4352A7FC">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0F93671">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5D5C273A">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60E07629">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2BB4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5" w:hRule="atLeast"/>
        </w:trPr>
        <w:tc>
          <w:tcPr>
            <w:tcW w:w="818" w:type="dxa"/>
            <w:vMerge w:val="restart"/>
            <w:tcBorders>
              <w:bottom w:val="nil"/>
            </w:tcBorders>
            <w:vAlign w:val="top"/>
          </w:tcPr>
          <w:p w14:paraId="35578D01">
            <w:pPr>
              <w:spacing w:line="248" w:lineRule="auto"/>
              <w:rPr>
                <w:rFonts w:ascii="Arial"/>
                <w:sz w:val="21"/>
              </w:rPr>
            </w:pPr>
          </w:p>
          <w:p w14:paraId="232819F9">
            <w:pPr>
              <w:spacing w:line="248" w:lineRule="auto"/>
              <w:rPr>
                <w:rFonts w:ascii="Arial"/>
                <w:sz w:val="21"/>
              </w:rPr>
            </w:pPr>
          </w:p>
          <w:p w14:paraId="1CCA8035">
            <w:pPr>
              <w:spacing w:line="248" w:lineRule="auto"/>
              <w:rPr>
                <w:rFonts w:ascii="Arial"/>
                <w:sz w:val="21"/>
              </w:rPr>
            </w:pPr>
          </w:p>
          <w:p w14:paraId="6F93F9A9">
            <w:pPr>
              <w:spacing w:line="248" w:lineRule="auto"/>
              <w:rPr>
                <w:rFonts w:ascii="Arial"/>
                <w:sz w:val="21"/>
              </w:rPr>
            </w:pPr>
          </w:p>
          <w:p w14:paraId="6F58F5CA">
            <w:pPr>
              <w:spacing w:line="248" w:lineRule="auto"/>
              <w:rPr>
                <w:rFonts w:ascii="Arial"/>
                <w:sz w:val="21"/>
              </w:rPr>
            </w:pPr>
          </w:p>
          <w:p w14:paraId="536B214A">
            <w:pPr>
              <w:spacing w:line="248" w:lineRule="auto"/>
              <w:rPr>
                <w:rFonts w:ascii="Arial"/>
                <w:sz w:val="21"/>
              </w:rPr>
            </w:pPr>
          </w:p>
          <w:p w14:paraId="1AF35015">
            <w:pPr>
              <w:spacing w:line="248" w:lineRule="auto"/>
              <w:rPr>
                <w:rFonts w:ascii="Arial"/>
                <w:sz w:val="21"/>
              </w:rPr>
            </w:pPr>
          </w:p>
          <w:p w14:paraId="59CC4090">
            <w:pPr>
              <w:spacing w:line="248" w:lineRule="auto"/>
              <w:rPr>
                <w:rFonts w:ascii="Arial"/>
                <w:sz w:val="21"/>
              </w:rPr>
            </w:pPr>
          </w:p>
          <w:p w14:paraId="753FFA23">
            <w:pPr>
              <w:spacing w:line="248" w:lineRule="auto"/>
              <w:rPr>
                <w:rFonts w:ascii="Arial"/>
                <w:sz w:val="21"/>
              </w:rPr>
            </w:pPr>
          </w:p>
          <w:p w14:paraId="30F179FA">
            <w:pPr>
              <w:spacing w:line="248" w:lineRule="auto"/>
              <w:rPr>
                <w:rFonts w:ascii="Arial"/>
                <w:sz w:val="21"/>
              </w:rPr>
            </w:pPr>
          </w:p>
          <w:p w14:paraId="7ED4E26A">
            <w:pPr>
              <w:spacing w:line="248" w:lineRule="auto"/>
              <w:rPr>
                <w:rFonts w:ascii="Arial"/>
                <w:sz w:val="21"/>
              </w:rPr>
            </w:pPr>
          </w:p>
          <w:p w14:paraId="357955B9">
            <w:pPr>
              <w:spacing w:line="248" w:lineRule="auto"/>
              <w:rPr>
                <w:rFonts w:ascii="Arial"/>
                <w:sz w:val="21"/>
              </w:rPr>
            </w:pPr>
          </w:p>
          <w:p w14:paraId="6E20F69E">
            <w:pPr>
              <w:spacing w:line="248" w:lineRule="auto"/>
              <w:rPr>
                <w:rFonts w:ascii="Arial"/>
                <w:sz w:val="21"/>
              </w:rPr>
            </w:pPr>
          </w:p>
          <w:p w14:paraId="282E67D8">
            <w:pPr>
              <w:spacing w:line="248" w:lineRule="auto"/>
              <w:rPr>
                <w:rFonts w:ascii="Arial"/>
                <w:sz w:val="21"/>
              </w:rPr>
            </w:pPr>
          </w:p>
          <w:p w14:paraId="0F29445F">
            <w:pPr>
              <w:spacing w:line="248" w:lineRule="auto"/>
              <w:rPr>
                <w:rFonts w:ascii="Arial"/>
                <w:sz w:val="21"/>
              </w:rPr>
            </w:pPr>
          </w:p>
          <w:p w14:paraId="565A7B0C">
            <w:pPr>
              <w:spacing w:line="248" w:lineRule="auto"/>
              <w:rPr>
                <w:rFonts w:ascii="Arial"/>
                <w:sz w:val="21"/>
              </w:rPr>
            </w:pPr>
          </w:p>
          <w:p w14:paraId="1E97DCE9">
            <w:pPr>
              <w:spacing w:line="248" w:lineRule="auto"/>
              <w:rPr>
                <w:rFonts w:ascii="Arial"/>
                <w:sz w:val="21"/>
              </w:rPr>
            </w:pPr>
          </w:p>
          <w:p w14:paraId="076C62AD">
            <w:pPr>
              <w:spacing w:before="75" w:line="186" w:lineRule="auto"/>
              <w:ind w:left="161"/>
              <w:rPr>
                <w:rFonts w:ascii="仿宋" w:hAnsi="仿宋" w:eastAsia="仿宋" w:cs="仿宋"/>
                <w:sz w:val="23"/>
                <w:szCs w:val="23"/>
              </w:rPr>
            </w:pPr>
            <w:r>
              <w:rPr>
                <w:rFonts w:ascii="仿宋" w:hAnsi="仿宋" w:eastAsia="仿宋" w:cs="仿宋"/>
                <w:spacing w:val="-5"/>
                <w:sz w:val="23"/>
                <w:szCs w:val="23"/>
              </w:rPr>
              <w:t>130</w:t>
            </w:r>
          </w:p>
        </w:tc>
        <w:tc>
          <w:tcPr>
            <w:tcW w:w="1440" w:type="dxa"/>
            <w:vMerge w:val="restart"/>
            <w:tcBorders>
              <w:bottom w:val="nil"/>
            </w:tcBorders>
            <w:vAlign w:val="top"/>
          </w:tcPr>
          <w:p w14:paraId="7951A556">
            <w:pPr>
              <w:spacing w:line="250" w:lineRule="auto"/>
              <w:rPr>
                <w:rFonts w:ascii="Arial"/>
                <w:sz w:val="21"/>
              </w:rPr>
            </w:pPr>
          </w:p>
          <w:p w14:paraId="012956D6">
            <w:pPr>
              <w:spacing w:line="250" w:lineRule="auto"/>
              <w:rPr>
                <w:rFonts w:ascii="Arial"/>
                <w:sz w:val="21"/>
              </w:rPr>
            </w:pPr>
          </w:p>
          <w:p w14:paraId="1D611513">
            <w:pPr>
              <w:spacing w:line="250" w:lineRule="auto"/>
              <w:rPr>
                <w:rFonts w:ascii="Arial"/>
                <w:sz w:val="21"/>
              </w:rPr>
            </w:pPr>
          </w:p>
          <w:p w14:paraId="389BEBA4">
            <w:pPr>
              <w:spacing w:line="250" w:lineRule="auto"/>
              <w:rPr>
                <w:rFonts w:ascii="Arial"/>
                <w:sz w:val="21"/>
              </w:rPr>
            </w:pPr>
          </w:p>
          <w:p w14:paraId="27A945EE">
            <w:pPr>
              <w:spacing w:line="250" w:lineRule="auto"/>
              <w:rPr>
                <w:rFonts w:ascii="Arial"/>
                <w:sz w:val="21"/>
              </w:rPr>
            </w:pPr>
          </w:p>
          <w:p w14:paraId="1EB43F7C">
            <w:pPr>
              <w:spacing w:line="250" w:lineRule="auto"/>
              <w:rPr>
                <w:rFonts w:ascii="Arial"/>
                <w:sz w:val="21"/>
              </w:rPr>
            </w:pPr>
          </w:p>
          <w:p w14:paraId="04EE49FD">
            <w:pPr>
              <w:spacing w:line="250" w:lineRule="auto"/>
              <w:rPr>
                <w:rFonts w:ascii="Arial"/>
                <w:sz w:val="21"/>
              </w:rPr>
            </w:pPr>
          </w:p>
          <w:p w14:paraId="64780806">
            <w:pPr>
              <w:spacing w:line="250" w:lineRule="auto"/>
              <w:rPr>
                <w:rFonts w:ascii="Arial"/>
                <w:sz w:val="21"/>
              </w:rPr>
            </w:pPr>
          </w:p>
          <w:p w14:paraId="19D2811A">
            <w:pPr>
              <w:spacing w:line="250" w:lineRule="auto"/>
              <w:rPr>
                <w:rFonts w:ascii="Arial"/>
                <w:sz w:val="21"/>
              </w:rPr>
            </w:pPr>
          </w:p>
          <w:p w14:paraId="448D42E3">
            <w:pPr>
              <w:spacing w:line="251" w:lineRule="auto"/>
              <w:rPr>
                <w:rFonts w:ascii="Arial"/>
                <w:sz w:val="21"/>
              </w:rPr>
            </w:pPr>
          </w:p>
          <w:p w14:paraId="2061E937">
            <w:pPr>
              <w:spacing w:line="251" w:lineRule="auto"/>
              <w:rPr>
                <w:rFonts w:ascii="Arial"/>
                <w:sz w:val="21"/>
              </w:rPr>
            </w:pPr>
          </w:p>
          <w:p w14:paraId="42531B48">
            <w:pPr>
              <w:spacing w:line="251" w:lineRule="auto"/>
              <w:rPr>
                <w:rFonts w:ascii="Arial"/>
                <w:sz w:val="21"/>
              </w:rPr>
            </w:pPr>
          </w:p>
          <w:p w14:paraId="0F537CE3">
            <w:pPr>
              <w:spacing w:line="251" w:lineRule="auto"/>
              <w:rPr>
                <w:rFonts w:ascii="Arial"/>
                <w:sz w:val="21"/>
              </w:rPr>
            </w:pPr>
          </w:p>
          <w:p w14:paraId="4F7BB19B">
            <w:pPr>
              <w:pStyle w:val="6"/>
              <w:spacing w:before="99" w:line="186" w:lineRule="auto"/>
              <w:ind w:left="115" w:right="111" w:firstLine="13"/>
            </w:pPr>
            <w:r>
              <w:rPr>
                <w:spacing w:val="8"/>
              </w:rPr>
              <w:t>生产、储存</w:t>
            </w:r>
            <w:r>
              <w:rPr>
                <w:spacing w:val="11"/>
              </w:rPr>
              <w:t>危险化学品的单位未按规定对危险化学品管道</w:t>
            </w:r>
            <w:r>
              <w:rPr>
                <w:spacing w:val="5"/>
              </w:rPr>
              <w:t>定期检查、检测的</w:t>
            </w:r>
          </w:p>
        </w:tc>
        <w:tc>
          <w:tcPr>
            <w:tcW w:w="3202" w:type="dxa"/>
            <w:vMerge w:val="restart"/>
            <w:tcBorders>
              <w:bottom w:val="nil"/>
            </w:tcBorders>
            <w:vAlign w:val="top"/>
          </w:tcPr>
          <w:p w14:paraId="13744155">
            <w:pPr>
              <w:pStyle w:val="6"/>
              <w:spacing w:before="33" w:line="182" w:lineRule="auto"/>
              <w:ind w:left="114" w:right="111" w:firstLine="16"/>
              <w:jc w:val="both"/>
            </w:pPr>
            <w:r>
              <w:rPr>
                <w:rFonts w:ascii="宋体" w:hAnsi="宋体" w:eastAsia="宋体" w:cs="宋体"/>
                <w:spacing w:val="14"/>
              </w:rPr>
              <w:t>1.</w:t>
            </w:r>
            <w:r>
              <w:rPr>
                <w:spacing w:val="14"/>
              </w:rPr>
              <w:t>【行政法规】《危险化学</w:t>
            </w:r>
            <w:r>
              <w:rPr>
                <w:spacing w:val="17"/>
              </w:rPr>
              <w:t>品安全管理条例》第十三条</w:t>
            </w:r>
            <w:r>
              <w:rPr>
                <w:spacing w:val="12"/>
              </w:rPr>
              <w:t>第一款：生产、储存危险化</w:t>
            </w:r>
            <w:r>
              <w:rPr>
                <w:spacing w:val="13"/>
              </w:rPr>
              <w:t>学品的单位，应当对其铺设</w:t>
            </w:r>
            <w:r>
              <w:rPr>
                <w:spacing w:val="17"/>
              </w:rPr>
              <w:t>的危险化学品管道设置明显</w:t>
            </w:r>
            <w:r>
              <w:rPr>
                <w:spacing w:val="13"/>
              </w:rPr>
              <w:t>标志，并对危险化学品管道</w:t>
            </w:r>
            <w:r>
              <w:rPr>
                <w:spacing w:val="4"/>
              </w:rPr>
              <w:t>定期检查、检测。</w:t>
            </w:r>
          </w:p>
          <w:p w14:paraId="307BA523">
            <w:pPr>
              <w:pStyle w:val="6"/>
              <w:spacing w:before="26" w:line="183" w:lineRule="auto"/>
              <w:ind w:left="114" w:right="97" w:firstLine="1"/>
              <w:jc w:val="both"/>
            </w:pPr>
            <w:r>
              <w:rPr>
                <w:rFonts w:ascii="宋体" w:hAnsi="宋体" w:eastAsia="宋体" w:cs="宋体"/>
                <w:spacing w:val="15"/>
              </w:rPr>
              <w:t>2.</w:t>
            </w:r>
            <w:r>
              <w:rPr>
                <w:spacing w:val="15"/>
              </w:rPr>
              <w:t>【部门规章】《危险化学</w:t>
            </w:r>
            <w:r>
              <w:rPr>
                <w:spacing w:val="18"/>
              </w:rPr>
              <w:t>品输送管道安全管理规定》</w:t>
            </w:r>
            <w:r>
              <w:rPr>
                <w:spacing w:val="13"/>
              </w:rPr>
              <w:t>第十八条：管道单位应当按</w:t>
            </w:r>
            <w:r>
              <w:rPr>
                <w:spacing w:val="17"/>
              </w:rPr>
              <w:t>照有关国家标准、行业标准和技术规范对危险化学品管</w:t>
            </w:r>
            <w:r>
              <w:rPr>
                <w:spacing w:val="13"/>
              </w:rPr>
              <w:t>道进行定期检测、维护，确保其处于完好状态；对安全风险较大的区段和场所，应当进行重点监测、监控；对</w:t>
            </w:r>
            <w:r>
              <w:rPr>
                <w:spacing w:val="17"/>
              </w:rPr>
              <w:t>不符合安全标准的危险化学</w:t>
            </w:r>
            <w:r>
              <w:rPr>
                <w:spacing w:val="13"/>
              </w:rPr>
              <w:t>品管道，应当及时更新、改造或者停止使用，并向当地</w:t>
            </w:r>
            <w:r>
              <w:rPr>
                <w:spacing w:val="40"/>
              </w:rPr>
              <w:t>安全生产监督管理部门报</w:t>
            </w:r>
            <w:r>
              <w:rPr>
                <w:spacing w:val="17"/>
              </w:rPr>
              <w:t>告。对涉及更新、改造的危</w:t>
            </w:r>
            <w:r>
              <w:rPr>
                <w:spacing w:val="14"/>
              </w:rPr>
              <w:t>险化学品管道，还应当按照</w:t>
            </w:r>
            <w:r>
              <w:rPr>
                <w:spacing w:val="17"/>
              </w:rPr>
              <w:t>本办法第九条的规定办理安</w:t>
            </w:r>
            <w:r>
              <w:rPr>
                <w:spacing w:val="4"/>
              </w:rPr>
              <w:t>全条件审查手续。</w:t>
            </w:r>
          </w:p>
        </w:tc>
        <w:tc>
          <w:tcPr>
            <w:tcW w:w="2859" w:type="dxa"/>
            <w:vMerge w:val="restart"/>
            <w:tcBorders>
              <w:bottom w:val="nil"/>
            </w:tcBorders>
            <w:vAlign w:val="top"/>
          </w:tcPr>
          <w:p w14:paraId="250C2984">
            <w:pPr>
              <w:pStyle w:val="6"/>
              <w:spacing w:before="39" w:line="182" w:lineRule="auto"/>
              <w:ind w:left="117" w:right="105" w:firstLine="13"/>
            </w:pPr>
            <w:r>
              <w:rPr>
                <w:rFonts w:ascii="宋体" w:hAnsi="宋体" w:eastAsia="宋体" w:cs="宋体"/>
                <w:spacing w:val="6"/>
              </w:rPr>
              <w:t>1.</w:t>
            </w:r>
            <w:r>
              <w:rPr>
                <w:spacing w:val="6"/>
              </w:rPr>
              <w:t>【行政法规】《危险化</w:t>
            </w:r>
            <w:r>
              <w:rPr>
                <w:spacing w:val="8"/>
              </w:rPr>
              <w:t>学品安全管理条例》第七十八条第一款第一项：有下列情形之一的，由安全生产监督管理部门责令改</w:t>
            </w:r>
            <w:r>
              <w:rPr>
                <w:spacing w:val="5"/>
              </w:rPr>
              <w:t>正，可以处</w:t>
            </w:r>
            <w:r>
              <w:rPr>
                <w:rFonts w:ascii="宋体" w:hAnsi="宋体" w:eastAsia="宋体" w:cs="宋体"/>
                <w:spacing w:val="5"/>
              </w:rPr>
              <w:t>5</w:t>
            </w:r>
            <w:r>
              <w:rPr>
                <w:spacing w:val="5"/>
              </w:rPr>
              <w:t>万元以下的</w:t>
            </w:r>
            <w:r>
              <w:rPr>
                <w:spacing w:val="6"/>
              </w:rPr>
              <w:t>罚款；拒不改正的，处</w:t>
            </w:r>
            <w:r>
              <w:rPr>
                <w:rFonts w:ascii="宋体" w:hAnsi="宋体" w:eastAsia="宋体" w:cs="宋体"/>
                <w:spacing w:val="6"/>
              </w:rPr>
              <w:t>5</w:t>
            </w:r>
            <w:r>
              <w:rPr>
                <w:spacing w:val="9"/>
              </w:rPr>
              <w:t>万元以上</w:t>
            </w:r>
            <w:r>
              <w:rPr>
                <w:rFonts w:ascii="宋体" w:hAnsi="宋体" w:eastAsia="宋体" w:cs="宋体"/>
                <w:spacing w:val="9"/>
              </w:rPr>
              <w:t>10</w:t>
            </w:r>
            <w:r>
              <w:rPr>
                <w:spacing w:val="9"/>
              </w:rPr>
              <w:t>万元以下的</w:t>
            </w:r>
            <w:r>
              <w:rPr>
                <w:spacing w:val="8"/>
              </w:rPr>
              <w:t>罚款；情节严重的，责令</w:t>
            </w:r>
            <w:r>
              <w:rPr>
                <w:spacing w:val="-6"/>
              </w:rPr>
              <w:t>停产停业整顿</w:t>
            </w:r>
            <w:r>
              <w:rPr>
                <w:spacing w:val="-3"/>
              </w:rPr>
              <w:t>：（</w:t>
            </w:r>
            <w:r>
              <w:rPr>
                <w:spacing w:val="-6"/>
              </w:rPr>
              <w:t>一）生</w:t>
            </w:r>
            <w:r>
              <w:rPr>
                <w:spacing w:val="8"/>
              </w:rPr>
              <w:t>产、储存危险化学品的单位未对其铺设的危险化学</w:t>
            </w:r>
            <w:r>
              <w:rPr>
                <w:spacing w:val="7"/>
              </w:rPr>
              <w:t>品管道设置明显的标志，</w:t>
            </w:r>
            <w:r>
              <w:rPr>
                <w:spacing w:val="8"/>
              </w:rPr>
              <w:t>或者未对危险化学品管道</w:t>
            </w:r>
            <w:r>
              <w:rPr>
                <w:spacing w:val="3"/>
              </w:rPr>
              <w:t>定期检查、检测的；</w:t>
            </w:r>
          </w:p>
          <w:p w14:paraId="4E517C58">
            <w:pPr>
              <w:pStyle w:val="6"/>
              <w:spacing w:before="12" w:line="184" w:lineRule="auto"/>
              <w:ind w:left="116" w:right="107"/>
            </w:pPr>
            <w:r>
              <w:rPr>
                <w:rFonts w:ascii="宋体" w:hAnsi="宋体" w:eastAsia="宋体" w:cs="宋体"/>
                <w:spacing w:val="7"/>
              </w:rPr>
              <w:t>2.</w:t>
            </w:r>
            <w:r>
              <w:rPr>
                <w:spacing w:val="7"/>
              </w:rPr>
              <w:t>【部门规章】《危险化</w:t>
            </w:r>
            <w:r>
              <w:rPr>
                <w:spacing w:val="8"/>
              </w:rPr>
              <w:t>学品输送管道安全管理规</w:t>
            </w:r>
            <w:r>
              <w:rPr>
                <w:spacing w:val="7"/>
              </w:rPr>
              <w:t>定》第三十五条第一项：</w:t>
            </w:r>
            <w:r>
              <w:rPr>
                <w:spacing w:val="8"/>
              </w:rPr>
              <w:t>有下列情形之一的，由安全生产监督管理部门责令</w:t>
            </w:r>
            <w:r>
              <w:rPr>
                <w:spacing w:val="4"/>
              </w:rPr>
              <w:t>改正，可以处</w:t>
            </w:r>
            <w:r>
              <w:rPr>
                <w:rFonts w:ascii="宋体" w:hAnsi="宋体" w:eastAsia="宋体" w:cs="宋体"/>
                <w:spacing w:val="4"/>
              </w:rPr>
              <w:t>5</w:t>
            </w:r>
            <w:r>
              <w:rPr>
                <w:spacing w:val="4"/>
              </w:rPr>
              <w:t>万元以下</w:t>
            </w:r>
            <w:r>
              <w:rPr>
                <w:spacing w:val="8"/>
              </w:rPr>
              <w:t>的罚款；拒不改正的，处</w:t>
            </w:r>
            <w:r>
              <w:rPr>
                <w:rFonts w:ascii="宋体" w:hAnsi="宋体" w:eastAsia="宋体" w:cs="宋体"/>
                <w:spacing w:val="6"/>
              </w:rPr>
              <w:t>5</w:t>
            </w:r>
            <w:r>
              <w:rPr>
                <w:spacing w:val="6"/>
              </w:rPr>
              <w:t>万元以上</w:t>
            </w:r>
            <w:r>
              <w:rPr>
                <w:rFonts w:ascii="宋体" w:hAnsi="宋体" w:eastAsia="宋体" w:cs="宋体"/>
                <w:spacing w:val="6"/>
              </w:rPr>
              <w:t>10</w:t>
            </w:r>
            <w:r>
              <w:rPr>
                <w:spacing w:val="6"/>
              </w:rPr>
              <w:t>万元以下的</w:t>
            </w:r>
            <w:r>
              <w:rPr>
                <w:spacing w:val="8"/>
              </w:rPr>
              <w:t>罚款；情节严重的，责令</w:t>
            </w:r>
            <w:r>
              <w:rPr>
                <w:spacing w:val="-3"/>
              </w:rPr>
              <w:t>停产停业整顿：（一）管</w:t>
            </w:r>
            <w:r>
              <w:rPr>
                <w:spacing w:val="8"/>
              </w:rPr>
              <w:t>道单位未按照本规定对管</w:t>
            </w:r>
            <w:r>
              <w:rPr>
                <w:spacing w:val="3"/>
              </w:rPr>
              <w:t>道进行检测、维护的；</w:t>
            </w:r>
          </w:p>
        </w:tc>
        <w:tc>
          <w:tcPr>
            <w:tcW w:w="803" w:type="dxa"/>
            <w:vAlign w:val="top"/>
          </w:tcPr>
          <w:p w14:paraId="0AB9E503">
            <w:pPr>
              <w:spacing w:line="281" w:lineRule="auto"/>
              <w:rPr>
                <w:rFonts w:ascii="Arial"/>
                <w:sz w:val="21"/>
              </w:rPr>
            </w:pPr>
          </w:p>
          <w:p w14:paraId="05EC6755">
            <w:pPr>
              <w:spacing w:line="281" w:lineRule="auto"/>
              <w:rPr>
                <w:rFonts w:ascii="Arial"/>
                <w:sz w:val="21"/>
              </w:rPr>
            </w:pPr>
          </w:p>
          <w:p w14:paraId="52A419ED">
            <w:pPr>
              <w:spacing w:line="281" w:lineRule="auto"/>
              <w:rPr>
                <w:rFonts w:ascii="Arial"/>
                <w:sz w:val="21"/>
              </w:rPr>
            </w:pPr>
          </w:p>
          <w:p w14:paraId="49FDEA49">
            <w:pPr>
              <w:spacing w:line="282" w:lineRule="auto"/>
              <w:rPr>
                <w:rFonts w:ascii="Arial"/>
                <w:sz w:val="21"/>
              </w:rPr>
            </w:pPr>
          </w:p>
          <w:p w14:paraId="12F9398F">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A2876B5">
            <w:pPr>
              <w:spacing w:line="253" w:lineRule="auto"/>
              <w:rPr>
                <w:rFonts w:ascii="Arial"/>
                <w:sz w:val="21"/>
              </w:rPr>
            </w:pPr>
          </w:p>
          <w:p w14:paraId="15CAF68F">
            <w:pPr>
              <w:spacing w:line="253" w:lineRule="auto"/>
              <w:rPr>
                <w:rFonts w:ascii="Arial"/>
                <w:sz w:val="21"/>
              </w:rPr>
            </w:pPr>
          </w:p>
          <w:p w14:paraId="3B0F50BE">
            <w:pPr>
              <w:spacing w:line="254" w:lineRule="auto"/>
              <w:rPr>
                <w:rFonts w:ascii="Arial"/>
                <w:sz w:val="21"/>
              </w:rPr>
            </w:pPr>
          </w:p>
          <w:p w14:paraId="30DDEDC7">
            <w:pPr>
              <w:pStyle w:val="6"/>
              <w:spacing w:before="99" w:line="191" w:lineRule="auto"/>
              <w:ind w:left="118" w:right="107"/>
              <w:jc w:val="both"/>
            </w:pPr>
            <w:r>
              <w:rPr>
                <w:spacing w:val="16"/>
              </w:rPr>
              <w:t>未对</w:t>
            </w:r>
            <w:r>
              <w:rPr>
                <w:rFonts w:ascii="宋体" w:hAnsi="宋体" w:eastAsia="宋体" w:cs="宋体"/>
                <w:spacing w:val="16"/>
              </w:rPr>
              <w:t>3</w:t>
            </w:r>
            <w:r>
              <w:rPr>
                <w:spacing w:val="16"/>
              </w:rPr>
              <w:t>处以下危险</w:t>
            </w:r>
            <w:r>
              <w:rPr>
                <w:spacing w:val="26"/>
              </w:rPr>
              <w:t>化学品管道定期检</w:t>
            </w:r>
            <w:r>
              <w:rPr>
                <w:spacing w:val="6"/>
              </w:rPr>
              <w:t>查、检测的</w:t>
            </w:r>
          </w:p>
        </w:tc>
        <w:tc>
          <w:tcPr>
            <w:tcW w:w="2894" w:type="dxa"/>
            <w:vAlign w:val="top"/>
          </w:tcPr>
          <w:p w14:paraId="49C8C97E">
            <w:pPr>
              <w:spacing w:line="458" w:lineRule="auto"/>
              <w:rPr>
                <w:rFonts w:ascii="Arial"/>
                <w:sz w:val="21"/>
              </w:rPr>
            </w:pPr>
          </w:p>
          <w:p w14:paraId="0E804C8B">
            <w:pPr>
              <w:pStyle w:val="6"/>
              <w:spacing w:before="98" w:line="188" w:lineRule="auto"/>
              <w:ind w:left="117" w:right="37" w:firstLine="10"/>
              <w:jc w:val="both"/>
            </w:pPr>
            <w:r>
              <w:rPr>
                <w:spacing w:val="3"/>
              </w:rPr>
              <w:t>责令改正，可以处</w:t>
            </w:r>
            <w:r>
              <w:rPr>
                <w:rFonts w:ascii="宋体" w:hAnsi="宋体" w:eastAsia="宋体" w:cs="宋体"/>
                <w:spacing w:val="3"/>
              </w:rPr>
              <w:t>2</w:t>
            </w:r>
            <w:r>
              <w:rPr>
                <w:spacing w:val="3"/>
              </w:rPr>
              <w:t>万元</w:t>
            </w:r>
            <w:r>
              <w:rPr>
                <w:spacing w:val="-3"/>
              </w:rPr>
              <w:t>以下的罚款；拒不改正的，</w:t>
            </w:r>
            <w:r>
              <w:rPr>
                <w:spacing w:val="4"/>
              </w:rPr>
              <w:t>处</w:t>
            </w:r>
            <w:r>
              <w:rPr>
                <w:rFonts w:ascii="宋体" w:hAnsi="宋体" w:eastAsia="宋体" w:cs="宋体"/>
                <w:spacing w:val="4"/>
              </w:rPr>
              <w:t>5</w:t>
            </w:r>
            <w:r>
              <w:rPr>
                <w:spacing w:val="4"/>
              </w:rPr>
              <w:t>万元以上</w:t>
            </w:r>
            <w:r>
              <w:rPr>
                <w:rFonts w:ascii="宋体" w:hAnsi="宋体" w:eastAsia="宋体" w:cs="宋体"/>
                <w:spacing w:val="4"/>
              </w:rPr>
              <w:t>7</w:t>
            </w:r>
            <w:r>
              <w:rPr>
                <w:spacing w:val="4"/>
              </w:rPr>
              <w:t>万元以下的罚款；情节严重的，责</w:t>
            </w:r>
            <w:r>
              <w:rPr>
                <w:spacing w:val="7"/>
              </w:rPr>
              <w:t>令停产停业整顿</w:t>
            </w:r>
          </w:p>
        </w:tc>
        <w:tc>
          <w:tcPr>
            <w:tcW w:w="811" w:type="dxa"/>
            <w:vMerge w:val="restart"/>
            <w:tcBorders>
              <w:bottom w:val="nil"/>
            </w:tcBorders>
            <w:vAlign w:val="top"/>
          </w:tcPr>
          <w:p w14:paraId="7D3A6F06">
            <w:pPr>
              <w:spacing w:line="247" w:lineRule="auto"/>
              <w:rPr>
                <w:rFonts w:ascii="Arial"/>
                <w:sz w:val="21"/>
              </w:rPr>
            </w:pPr>
          </w:p>
          <w:p w14:paraId="714C8404">
            <w:pPr>
              <w:spacing w:line="247" w:lineRule="auto"/>
              <w:rPr>
                <w:rFonts w:ascii="Arial"/>
                <w:sz w:val="21"/>
              </w:rPr>
            </w:pPr>
          </w:p>
          <w:p w14:paraId="784135A1">
            <w:pPr>
              <w:spacing w:line="247" w:lineRule="auto"/>
              <w:rPr>
                <w:rFonts w:ascii="Arial"/>
                <w:sz w:val="21"/>
              </w:rPr>
            </w:pPr>
          </w:p>
          <w:p w14:paraId="42F571FB">
            <w:pPr>
              <w:spacing w:line="247" w:lineRule="auto"/>
              <w:rPr>
                <w:rFonts w:ascii="Arial"/>
                <w:sz w:val="21"/>
              </w:rPr>
            </w:pPr>
          </w:p>
          <w:p w14:paraId="706D7F50">
            <w:pPr>
              <w:spacing w:line="248" w:lineRule="auto"/>
              <w:rPr>
                <w:rFonts w:ascii="Arial"/>
                <w:sz w:val="21"/>
              </w:rPr>
            </w:pPr>
          </w:p>
          <w:p w14:paraId="260355DE">
            <w:pPr>
              <w:spacing w:line="248" w:lineRule="auto"/>
              <w:rPr>
                <w:rFonts w:ascii="Arial"/>
                <w:sz w:val="21"/>
              </w:rPr>
            </w:pPr>
          </w:p>
          <w:p w14:paraId="18C82162">
            <w:pPr>
              <w:spacing w:line="248" w:lineRule="auto"/>
              <w:rPr>
                <w:rFonts w:ascii="Arial"/>
                <w:sz w:val="21"/>
              </w:rPr>
            </w:pPr>
          </w:p>
          <w:p w14:paraId="6554D78F">
            <w:pPr>
              <w:spacing w:line="248" w:lineRule="auto"/>
              <w:rPr>
                <w:rFonts w:ascii="Arial"/>
                <w:sz w:val="21"/>
              </w:rPr>
            </w:pPr>
          </w:p>
          <w:p w14:paraId="01BF0F27">
            <w:pPr>
              <w:spacing w:line="248" w:lineRule="auto"/>
              <w:rPr>
                <w:rFonts w:ascii="Arial"/>
                <w:sz w:val="21"/>
              </w:rPr>
            </w:pPr>
          </w:p>
          <w:p w14:paraId="20025ADB">
            <w:pPr>
              <w:spacing w:line="248" w:lineRule="auto"/>
              <w:rPr>
                <w:rFonts w:ascii="Arial"/>
                <w:sz w:val="21"/>
              </w:rPr>
            </w:pPr>
          </w:p>
          <w:p w14:paraId="70E7522B">
            <w:pPr>
              <w:spacing w:line="248" w:lineRule="auto"/>
              <w:rPr>
                <w:rFonts w:ascii="Arial"/>
                <w:sz w:val="21"/>
              </w:rPr>
            </w:pPr>
          </w:p>
          <w:p w14:paraId="12316C37">
            <w:pPr>
              <w:spacing w:line="248" w:lineRule="auto"/>
              <w:rPr>
                <w:rFonts w:ascii="Arial"/>
                <w:sz w:val="21"/>
              </w:rPr>
            </w:pPr>
          </w:p>
          <w:p w14:paraId="54E7A931">
            <w:pPr>
              <w:spacing w:line="248" w:lineRule="auto"/>
              <w:rPr>
                <w:rFonts w:ascii="Arial"/>
                <w:sz w:val="21"/>
              </w:rPr>
            </w:pPr>
          </w:p>
          <w:p w14:paraId="21A8D334">
            <w:pPr>
              <w:spacing w:line="248" w:lineRule="auto"/>
              <w:rPr>
                <w:rFonts w:ascii="Arial"/>
                <w:sz w:val="21"/>
              </w:rPr>
            </w:pPr>
          </w:p>
          <w:p w14:paraId="22BC1055">
            <w:pPr>
              <w:spacing w:line="248" w:lineRule="auto"/>
              <w:rPr>
                <w:rFonts w:ascii="Arial"/>
                <w:sz w:val="21"/>
              </w:rPr>
            </w:pPr>
          </w:p>
          <w:p w14:paraId="01EA1054">
            <w:pPr>
              <w:spacing w:line="248" w:lineRule="auto"/>
              <w:rPr>
                <w:rFonts w:ascii="Arial"/>
                <w:sz w:val="21"/>
              </w:rPr>
            </w:pPr>
          </w:p>
          <w:p w14:paraId="7A8F90E3">
            <w:pPr>
              <w:spacing w:line="248" w:lineRule="auto"/>
              <w:rPr>
                <w:rFonts w:ascii="Arial"/>
                <w:sz w:val="21"/>
              </w:rPr>
            </w:pPr>
          </w:p>
          <w:p w14:paraId="1E5B80B9">
            <w:pPr>
              <w:spacing w:before="75" w:line="189" w:lineRule="auto"/>
              <w:ind w:left="292"/>
              <w:rPr>
                <w:rFonts w:ascii="宋体" w:hAnsi="宋体" w:eastAsia="宋体" w:cs="宋体"/>
                <w:sz w:val="23"/>
                <w:szCs w:val="23"/>
              </w:rPr>
            </w:pPr>
            <w:r>
              <w:rPr>
                <w:rFonts w:ascii="宋体" w:hAnsi="宋体" w:eastAsia="宋体" w:cs="宋体"/>
                <w:spacing w:val="-2"/>
                <w:sz w:val="23"/>
                <w:szCs w:val="23"/>
              </w:rPr>
              <w:t>91</w:t>
            </w:r>
          </w:p>
        </w:tc>
      </w:tr>
      <w:tr w14:paraId="7C0C0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5" w:hRule="atLeast"/>
        </w:trPr>
        <w:tc>
          <w:tcPr>
            <w:tcW w:w="818" w:type="dxa"/>
            <w:vMerge w:val="continue"/>
            <w:tcBorders>
              <w:top w:val="nil"/>
              <w:bottom w:val="nil"/>
            </w:tcBorders>
            <w:vAlign w:val="top"/>
          </w:tcPr>
          <w:p w14:paraId="28AE6F8A">
            <w:pPr>
              <w:rPr>
                <w:rFonts w:ascii="Arial"/>
                <w:sz w:val="21"/>
              </w:rPr>
            </w:pPr>
          </w:p>
        </w:tc>
        <w:tc>
          <w:tcPr>
            <w:tcW w:w="1440" w:type="dxa"/>
            <w:vMerge w:val="continue"/>
            <w:tcBorders>
              <w:top w:val="nil"/>
              <w:bottom w:val="nil"/>
            </w:tcBorders>
            <w:vAlign w:val="top"/>
          </w:tcPr>
          <w:p w14:paraId="2F52BD6A">
            <w:pPr>
              <w:rPr>
                <w:rFonts w:ascii="Arial"/>
                <w:sz w:val="21"/>
              </w:rPr>
            </w:pPr>
          </w:p>
        </w:tc>
        <w:tc>
          <w:tcPr>
            <w:tcW w:w="3202" w:type="dxa"/>
            <w:vMerge w:val="continue"/>
            <w:tcBorders>
              <w:top w:val="nil"/>
              <w:bottom w:val="nil"/>
            </w:tcBorders>
            <w:vAlign w:val="top"/>
          </w:tcPr>
          <w:p w14:paraId="70EB536D">
            <w:pPr>
              <w:rPr>
                <w:rFonts w:ascii="Arial"/>
                <w:sz w:val="21"/>
              </w:rPr>
            </w:pPr>
          </w:p>
        </w:tc>
        <w:tc>
          <w:tcPr>
            <w:tcW w:w="2859" w:type="dxa"/>
            <w:vMerge w:val="continue"/>
            <w:tcBorders>
              <w:top w:val="nil"/>
              <w:bottom w:val="nil"/>
            </w:tcBorders>
            <w:vAlign w:val="top"/>
          </w:tcPr>
          <w:p w14:paraId="071B946B">
            <w:pPr>
              <w:rPr>
                <w:rFonts w:ascii="Arial"/>
                <w:sz w:val="21"/>
              </w:rPr>
            </w:pPr>
          </w:p>
        </w:tc>
        <w:tc>
          <w:tcPr>
            <w:tcW w:w="803" w:type="dxa"/>
            <w:vAlign w:val="top"/>
          </w:tcPr>
          <w:p w14:paraId="7B3965EA">
            <w:pPr>
              <w:spacing w:line="283" w:lineRule="auto"/>
              <w:rPr>
                <w:rFonts w:ascii="Arial"/>
                <w:sz w:val="21"/>
              </w:rPr>
            </w:pPr>
          </w:p>
          <w:p w14:paraId="5DD04F4E">
            <w:pPr>
              <w:spacing w:line="283" w:lineRule="auto"/>
              <w:rPr>
                <w:rFonts w:ascii="Arial"/>
                <w:sz w:val="21"/>
              </w:rPr>
            </w:pPr>
          </w:p>
          <w:p w14:paraId="1A7E7559">
            <w:pPr>
              <w:spacing w:line="283" w:lineRule="auto"/>
              <w:rPr>
                <w:rFonts w:ascii="Arial"/>
                <w:sz w:val="21"/>
              </w:rPr>
            </w:pPr>
          </w:p>
          <w:p w14:paraId="2F9F7136">
            <w:pPr>
              <w:spacing w:line="284" w:lineRule="auto"/>
              <w:rPr>
                <w:rFonts w:ascii="Arial"/>
                <w:sz w:val="21"/>
              </w:rPr>
            </w:pPr>
          </w:p>
          <w:p w14:paraId="702CAA80">
            <w:pPr>
              <w:spacing w:line="284" w:lineRule="auto"/>
              <w:rPr>
                <w:rFonts w:ascii="Arial"/>
                <w:sz w:val="21"/>
              </w:rPr>
            </w:pPr>
          </w:p>
          <w:p w14:paraId="709560B2">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39BD496">
            <w:pPr>
              <w:spacing w:line="262" w:lineRule="auto"/>
              <w:rPr>
                <w:rFonts w:ascii="Arial"/>
                <w:sz w:val="21"/>
              </w:rPr>
            </w:pPr>
          </w:p>
          <w:p w14:paraId="6E1AE0DC">
            <w:pPr>
              <w:spacing w:line="263" w:lineRule="auto"/>
              <w:rPr>
                <w:rFonts w:ascii="Arial"/>
                <w:sz w:val="21"/>
              </w:rPr>
            </w:pPr>
          </w:p>
          <w:p w14:paraId="31F70EC8">
            <w:pPr>
              <w:spacing w:line="263" w:lineRule="auto"/>
              <w:rPr>
                <w:rFonts w:ascii="Arial"/>
                <w:sz w:val="21"/>
              </w:rPr>
            </w:pPr>
          </w:p>
          <w:p w14:paraId="0F420A43">
            <w:pPr>
              <w:spacing w:line="263" w:lineRule="auto"/>
              <w:rPr>
                <w:rFonts w:ascii="Arial"/>
                <w:sz w:val="21"/>
              </w:rPr>
            </w:pPr>
          </w:p>
          <w:p w14:paraId="65688C4F">
            <w:pPr>
              <w:pStyle w:val="6"/>
              <w:spacing w:before="98" w:line="191" w:lineRule="auto"/>
              <w:ind w:left="117" w:right="105"/>
              <w:jc w:val="both"/>
            </w:pPr>
            <w:r>
              <w:t>未对</w:t>
            </w:r>
            <w:r>
              <w:rPr>
                <w:rFonts w:ascii="宋体" w:hAnsi="宋体" w:eastAsia="宋体" w:cs="宋体"/>
              </w:rPr>
              <w:t>3</w:t>
            </w:r>
            <w:r>
              <w:t>处以上</w:t>
            </w:r>
            <w:r>
              <w:rPr>
                <w:rFonts w:ascii="宋体" w:hAnsi="宋体" w:eastAsia="宋体" w:cs="宋体"/>
              </w:rPr>
              <w:t>7</w:t>
            </w:r>
            <w:r>
              <w:t>处以</w:t>
            </w:r>
            <w:r>
              <w:rPr>
                <w:spacing w:val="26"/>
              </w:rPr>
              <w:t>下危险化学品管道</w:t>
            </w:r>
            <w:r>
              <w:rPr>
                <w:spacing w:val="7"/>
              </w:rPr>
              <w:t>定期检查、检测的</w:t>
            </w:r>
          </w:p>
        </w:tc>
        <w:tc>
          <w:tcPr>
            <w:tcW w:w="2894" w:type="dxa"/>
            <w:vAlign w:val="top"/>
          </w:tcPr>
          <w:p w14:paraId="1B394AFF">
            <w:pPr>
              <w:spacing w:line="300" w:lineRule="auto"/>
              <w:rPr>
                <w:rFonts w:ascii="Arial"/>
                <w:sz w:val="21"/>
              </w:rPr>
            </w:pPr>
          </w:p>
          <w:p w14:paraId="57B90523">
            <w:pPr>
              <w:spacing w:line="301" w:lineRule="auto"/>
              <w:rPr>
                <w:rFonts w:ascii="Arial"/>
                <w:sz w:val="21"/>
              </w:rPr>
            </w:pPr>
          </w:p>
          <w:p w14:paraId="56872F18">
            <w:pPr>
              <w:pStyle w:val="6"/>
              <w:spacing w:before="99" w:line="187" w:lineRule="auto"/>
              <w:ind w:left="122" w:right="103" w:firstLine="5"/>
            </w:pPr>
            <w:r>
              <w:rPr>
                <w:spacing w:val="3"/>
              </w:rPr>
              <w:t>责令改正，可以处</w:t>
            </w:r>
            <w:r>
              <w:rPr>
                <w:rFonts w:ascii="宋体" w:hAnsi="宋体" w:eastAsia="宋体" w:cs="宋体"/>
                <w:spacing w:val="3"/>
              </w:rPr>
              <w:t>2</w:t>
            </w:r>
            <w:r>
              <w:rPr>
                <w:spacing w:val="3"/>
              </w:rPr>
              <w:t>万元以上</w:t>
            </w:r>
            <w:r>
              <w:rPr>
                <w:rFonts w:ascii="宋体" w:hAnsi="宋体" w:eastAsia="宋体" w:cs="宋体"/>
                <w:spacing w:val="3"/>
              </w:rPr>
              <w:t>4</w:t>
            </w:r>
            <w:r>
              <w:rPr>
                <w:spacing w:val="3"/>
              </w:rPr>
              <w:t>万元以下的罚款；</w:t>
            </w:r>
            <w:r>
              <w:rPr>
                <w:spacing w:val="4"/>
              </w:rPr>
              <w:t>拒不改正的，处</w:t>
            </w:r>
            <w:r>
              <w:rPr>
                <w:rFonts w:ascii="宋体" w:hAnsi="宋体" w:eastAsia="宋体" w:cs="宋体"/>
                <w:spacing w:val="4"/>
              </w:rPr>
              <w:t>7</w:t>
            </w:r>
            <w:r>
              <w:rPr>
                <w:spacing w:val="4"/>
              </w:rPr>
              <w:t>万元以</w:t>
            </w:r>
            <w:r>
              <w:rPr>
                <w:spacing w:val="3"/>
              </w:rPr>
              <w:t>上</w:t>
            </w:r>
            <w:r>
              <w:rPr>
                <w:rFonts w:ascii="宋体" w:hAnsi="宋体" w:eastAsia="宋体" w:cs="宋体"/>
                <w:spacing w:val="3"/>
              </w:rPr>
              <w:t>9</w:t>
            </w:r>
            <w:r>
              <w:rPr>
                <w:spacing w:val="3"/>
              </w:rPr>
              <w:t>万元以下的罚款；情</w:t>
            </w:r>
            <w:r>
              <w:rPr>
                <w:spacing w:val="8"/>
              </w:rPr>
              <w:t>节严重的，责令停产停业</w:t>
            </w:r>
            <w:r>
              <w:rPr>
                <w:spacing w:val="1"/>
              </w:rPr>
              <w:t>整顿</w:t>
            </w:r>
          </w:p>
        </w:tc>
        <w:tc>
          <w:tcPr>
            <w:tcW w:w="811" w:type="dxa"/>
            <w:vMerge w:val="continue"/>
            <w:tcBorders>
              <w:top w:val="nil"/>
              <w:bottom w:val="nil"/>
            </w:tcBorders>
            <w:vAlign w:val="top"/>
          </w:tcPr>
          <w:p w14:paraId="292CDB84">
            <w:pPr>
              <w:rPr>
                <w:rFonts w:ascii="Arial"/>
                <w:sz w:val="21"/>
              </w:rPr>
            </w:pPr>
          </w:p>
        </w:tc>
      </w:tr>
      <w:tr w14:paraId="255A1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7" w:hRule="atLeast"/>
        </w:trPr>
        <w:tc>
          <w:tcPr>
            <w:tcW w:w="818" w:type="dxa"/>
            <w:vMerge w:val="continue"/>
            <w:tcBorders>
              <w:top w:val="nil"/>
            </w:tcBorders>
            <w:vAlign w:val="top"/>
          </w:tcPr>
          <w:p w14:paraId="1CF0C93D">
            <w:pPr>
              <w:rPr>
                <w:rFonts w:ascii="Arial"/>
                <w:sz w:val="21"/>
              </w:rPr>
            </w:pPr>
          </w:p>
        </w:tc>
        <w:tc>
          <w:tcPr>
            <w:tcW w:w="1440" w:type="dxa"/>
            <w:vMerge w:val="continue"/>
            <w:tcBorders>
              <w:top w:val="nil"/>
            </w:tcBorders>
            <w:vAlign w:val="top"/>
          </w:tcPr>
          <w:p w14:paraId="355F3317">
            <w:pPr>
              <w:rPr>
                <w:rFonts w:ascii="Arial"/>
                <w:sz w:val="21"/>
              </w:rPr>
            </w:pPr>
          </w:p>
        </w:tc>
        <w:tc>
          <w:tcPr>
            <w:tcW w:w="3202" w:type="dxa"/>
            <w:vMerge w:val="continue"/>
            <w:tcBorders>
              <w:top w:val="nil"/>
            </w:tcBorders>
            <w:vAlign w:val="top"/>
          </w:tcPr>
          <w:p w14:paraId="460CC2BA">
            <w:pPr>
              <w:rPr>
                <w:rFonts w:ascii="Arial"/>
                <w:sz w:val="21"/>
              </w:rPr>
            </w:pPr>
          </w:p>
        </w:tc>
        <w:tc>
          <w:tcPr>
            <w:tcW w:w="2859" w:type="dxa"/>
            <w:vMerge w:val="continue"/>
            <w:tcBorders>
              <w:top w:val="nil"/>
            </w:tcBorders>
            <w:vAlign w:val="top"/>
          </w:tcPr>
          <w:p w14:paraId="28BB998E">
            <w:pPr>
              <w:rPr>
                <w:rFonts w:ascii="Arial"/>
                <w:sz w:val="21"/>
              </w:rPr>
            </w:pPr>
          </w:p>
        </w:tc>
        <w:tc>
          <w:tcPr>
            <w:tcW w:w="803" w:type="dxa"/>
            <w:vAlign w:val="top"/>
          </w:tcPr>
          <w:p w14:paraId="1E9D9BD4">
            <w:pPr>
              <w:spacing w:line="272" w:lineRule="auto"/>
              <w:rPr>
                <w:rFonts w:ascii="Arial"/>
                <w:sz w:val="21"/>
              </w:rPr>
            </w:pPr>
          </w:p>
          <w:p w14:paraId="01326287">
            <w:pPr>
              <w:spacing w:line="273" w:lineRule="auto"/>
              <w:rPr>
                <w:rFonts w:ascii="Arial"/>
                <w:sz w:val="21"/>
              </w:rPr>
            </w:pPr>
          </w:p>
          <w:p w14:paraId="098E9C8C">
            <w:pPr>
              <w:spacing w:line="273" w:lineRule="auto"/>
              <w:rPr>
                <w:rFonts w:ascii="Arial"/>
                <w:sz w:val="21"/>
              </w:rPr>
            </w:pPr>
          </w:p>
          <w:p w14:paraId="3C302985">
            <w:pPr>
              <w:spacing w:line="273" w:lineRule="auto"/>
              <w:rPr>
                <w:rFonts w:ascii="Arial"/>
                <w:sz w:val="21"/>
              </w:rPr>
            </w:pPr>
          </w:p>
          <w:p w14:paraId="1F610EED">
            <w:pPr>
              <w:spacing w:line="273" w:lineRule="auto"/>
              <w:rPr>
                <w:rFonts w:ascii="Arial"/>
                <w:sz w:val="21"/>
              </w:rPr>
            </w:pPr>
          </w:p>
          <w:p w14:paraId="126E055D">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04A34CB">
            <w:pPr>
              <w:spacing w:line="249" w:lineRule="auto"/>
              <w:rPr>
                <w:rFonts w:ascii="Arial"/>
                <w:sz w:val="21"/>
              </w:rPr>
            </w:pPr>
          </w:p>
          <w:p w14:paraId="4F75F555">
            <w:pPr>
              <w:spacing w:line="249" w:lineRule="auto"/>
              <w:rPr>
                <w:rFonts w:ascii="Arial"/>
                <w:sz w:val="21"/>
              </w:rPr>
            </w:pPr>
          </w:p>
          <w:p w14:paraId="0B2E4782">
            <w:pPr>
              <w:spacing w:line="249" w:lineRule="auto"/>
              <w:rPr>
                <w:rFonts w:ascii="Arial"/>
                <w:sz w:val="21"/>
              </w:rPr>
            </w:pPr>
          </w:p>
          <w:p w14:paraId="243944DE">
            <w:pPr>
              <w:spacing w:line="250" w:lineRule="auto"/>
              <w:rPr>
                <w:rFonts w:ascii="Arial"/>
                <w:sz w:val="21"/>
              </w:rPr>
            </w:pPr>
          </w:p>
          <w:p w14:paraId="2BDBBC3C">
            <w:pPr>
              <w:pStyle w:val="6"/>
              <w:spacing w:before="99" w:line="191" w:lineRule="auto"/>
              <w:ind w:left="118" w:right="107"/>
              <w:jc w:val="both"/>
            </w:pPr>
            <w:r>
              <w:rPr>
                <w:spacing w:val="16"/>
              </w:rPr>
              <w:t>未对</w:t>
            </w:r>
            <w:r>
              <w:rPr>
                <w:rFonts w:ascii="宋体" w:hAnsi="宋体" w:eastAsia="宋体" w:cs="宋体"/>
                <w:spacing w:val="16"/>
              </w:rPr>
              <w:t>7</w:t>
            </w:r>
            <w:r>
              <w:rPr>
                <w:spacing w:val="16"/>
              </w:rPr>
              <w:t>处以上危险</w:t>
            </w:r>
            <w:r>
              <w:rPr>
                <w:spacing w:val="26"/>
              </w:rPr>
              <w:t>化学品管道定期检</w:t>
            </w:r>
            <w:r>
              <w:rPr>
                <w:spacing w:val="6"/>
              </w:rPr>
              <w:t>查、检测的</w:t>
            </w:r>
          </w:p>
        </w:tc>
        <w:tc>
          <w:tcPr>
            <w:tcW w:w="2894" w:type="dxa"/>
            <w:vAlign w:val="top"/>
          </w:tcPr>
          <w:p w14:paraId="3DCD6C77">
            <w:pPr>
              <w:spacing w:line="275" w:lineRule="auto"/>
              <w:rPr>
                <w:rFonts w:ascii="Arial"/>
                <w:sz w:val="21"/>
              </w:rPr>
            </w:pPr>
          </w:p>
          <w:p w14:paraId="723923C8">
            <w:pPr>
              <w:spacing w:line="275" w:lineRule="auto"/>
              <w:rPr>
                <w:rFonts w:ascii="Arial"/>
                <w:sz w:val="21"/>
              </w:rPr>
            </w:pPr>
          </w:p>
          <w:p w14:paraId="12D7BA01">
            <w:pPr>
              <w:pStyle w:val="6"/>
              <w:spacing w:before="98" w:line="187" w:lineRule="auto"/>
              <w:ind w:left="122" w:right="103" w:firstLine="5"/>
            </w:pPr>
            <w:r>
              <w:rPr>
                <w:spacing w:val="3"/>
              </w:rPr>
              <w:t>责令改正，可以处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万元以下的罚款；</w:t>
            </w:r>
            <w:r>
              <w:rPr>
                <w:spacing w:val="4"/>
              </w:rPr>
              <w:t>拒不改正的，处</w:t>
            </w:r>
            <w:r>
              <w:rPr>
                <w:rFonts w:ascii="宋体" w:hAnsi="宋体" w:eastAsia="宋体" w:cs="宋体"/>
                <w:spacing w:val="4"/>
              </w:rPr>
              <w:t>9</w:t>
            </w:r>
            <w:r>
              <w:rPr>
                <w:spacing w:val="4"/>
              </w:rPr>
              <w:t>万元以</w:t>
            </w:r>
            <w:r>
              <w:rPr>
                <w:spacing w:val="-4"/>
              </w:rPr>
              <w:t>上</w:t>
            </w:r>
            <w:r>
              <w:rPr>
                <w:rFonts w:ascii="宋体" w:hAnsi="宋体" w:eastAsia="宋体" w:cs="宋体"/>
                <w:spacing w:val="-4"/>
              </w:rPr>
              <w:t>10</w:t>
            </w:r>
            <w:r>
              <w:rPr>
                <w:spacing w:val="-4"/>
              </w:rPr>
              <w:t>万元以下的罚款；情</w:t>
            </w:r>
            <w:r>
              <w:rPr>
                <w:spacing w:val="8"/>
              </w:rPr>
              <w:t>节严重的，责令停产停业</w:t>
            </w:r>
            <w:r>
              <w:rPr>
                <w:spacing w:val="1"/>
              </w:rPr>
              <w:t>整顿</w:t>
            </w:r>
          </w:p>
        </w:tc>
        <w:tc>
          <w:tcPr>
            <w:tcW w:w="811" w:type="dxa"/>
            <w:vMerge w:val="continue"/>
            <w:tcBorders>
              <w:top w:val="nil"/>
            </w:tcBorders>
            <w:vAlign w:val="top"/>
          </w:tcPr>
          <w:p w14:paraId="74206237">
            <w:pPr>
              <w:rPr>
                <w:rFonts w:ascii="Arial"/>
                <w:sz w:val="21"/>
              </w:rPr>
            </w:pPr>
          </w:p>
        </w:tc>
      </w:tr>
    </w:tbl>
    <w:p w14:paraId="2A1EEA63">
      <w:pPr>
        <w:pStyle w:val="2"/>
      </w:pPr>
    </w:p>
    <w:p w14:paraId="05A4B9E1">
      <w:pPr>
        <w:sectPr>
          <w:footerReference r:id="rId154" w:type="default"/>
          <w:pgSz w:w="16839" w:h="11906"/>
          <w:pgMar w:top="1012" w:right="821" w:bottom="667" w:left="901" w:header="0" w:footer="388" w:gutter="0"/>
          <w:cols w:space="720" w:num="1"/>
        </w:sectPr>
      </w:pPr>
    </w:p>
    <w:p w14:paraId="5F2F28DB">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A129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3E703D1">
            <w:pPr>
              <w:spacing w:before="222" w:line="241" w:lineRule="auto"/>
              <w:ind w:left="131"/>
              <w:rPr>
                <w:rFonts w:ascii="黑体" w:hAnsi="黑体" w:eastAsia="黑体" w:cs="黑体"/>
                <w:sz w:val="28"/>
                <w:szCs w:val="28"/>
              </w:rPr>
            </w:pPr>
            <w:bookmarkStart w:id="577" w:name="bookmark556"/>
            <w:bookmarkEnd w:id="577"/>
            <w:bookmarkStart w:id="578" w:name="bookmark270"/>
            <w:bookmarkEnd w:id="578"/>
            <w:r>
              <w:rPr>
                <w:rFonts w:ascii="黑体" w:hAnsi="黑体" w:eastAsia="黑体" w:cs="黑体"/>
                <w:spacing w:val="-2"/>
                <w:sz w:val="28"/>
                <w:szCs w:val="28"/>
              </w:rPr>
              <w:t>序号</w:t>
            </w:r>
          </w:p>
        </w:tc>
        <w:tc>
          <w:tcPr>
            <w:tcW w:w="1440" w:type="dxa"/>
            <w:vAlign w:val="top"/>
          </w:tcPr>
          <w:p w14:paraId="337954B8">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17DED4F">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4D8816E">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1F6F010A">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36A5C6E">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FACEFDE">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1D970EC">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EB07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2" w:hRule="atLeast"/>
        </w:trPr>
        <w:tc>
          <w:tcPr>
            <w:tcW w:w="818" w:type="dxa"/>
            <w:vMerge w:val="restart"/>
            <w:tcBorders>
              <w:bottom w:val="nil"/>
            </w:tcBorders>
            <w:vAlign w:val="top"/>
          </w:tcPr>
          <w:p w14:paraId="3FDE7109">
            <w:pPr>
              <w:spacing w:line="244" w:lineRule="auto"/>
              <w:rPr>
                <w:rFonts w:ascii="Arial"/>
                <w:sz w:val="21"/>
              </w:rPr>
            </w:pPr>
          </w:p>
          <w:p w14:paraId="20D9FADC">
            <w:pPr>
              <w:spacing w:line="244" w:lineRule="auto"/>
              <w:rPr>
                <w:rFonts w:ascii="Arial"/>
                <w:sz w:val="21"/>
              </w:rPr>
            </w:pPr>
          </w:p>
          <w:p w14:paraId="4E380D63">
            <w:pPr>
              <w:spacing w:line="244" w:lineRule="auto"/>
              <w:rPr>
                <w:rFonts w:ascii="Arial"/>
                <w:sz w:val="21"/>
              </w:rPr>
            </w:pPr>
          </w:p>
          <w:p w14:paraId="2046B44B">
            <w:pPr>
              <w:spacing w:line="244" w:lineRule="auto"/>
              <w:rPr>
                <w:rFonts w:ascii="Arial"/>
                <w:sz w:val="21"/>
              </w:rPr>
            </w:pPr>
          </w:p>
          <w:p w14:paraId="3B9FE735">
            <w:pPr>
              <w:spacing w:line="244" w:lineRule="auto"/>
              <w:rPr>
                <w:rFonts w:ascii="Arial"/>
                <w:sz w:val="21"/>
              </w:rPr>
            </w:pPr>
          </w:p>
          <w:p w14:paraId="50BDD02B">
            <w:pPr>
              <w:spacing w:line="244" w:lineRule="auto"/>
              <w:rPr>
                <w:rFonts w:ascii="Arial"/>
                <w:sz w:val="21"/>
              </w:rPr>
            </w:pPr>
          </w:p>
          <w:p w14:paraId="03B93605">
            <w:pPr>
              <w:spacing w:line="244" w:lineRule="auto"/>
              <w:rPr>
                <w:rFonts w:ascii="Arial"/>
                <w:sz w:val="21"/>
              </w:rPr>
            </w:pPr>
          </w:p>
          <w:p w14:paraId="6EDE6444">
            <w:pPr>
              <w:spacing w:line="244" w:lineRule="auto"/>
              <w:rPr>
                <w:rFonts w:ascii="Arial"/>
                <w:sz w:val="21"/>
              </w:rPr>
            </w:pPr>
          </w:p>
          <w:p w14:paraId="5AB02D65">
            <w:pPr>
              <w:spacing w:line="245" w:lineRule="auto"/>
              <w:rPr>
                <w:rFonts w:ascii="Arial"/>
                <w:sz w:val="21"/>
              </w:rPr>
            </w:pPr>
          </w:p>
          <w:p w14:paraId="3F90CB52">
            <w:pPr>
              <w:spacing w:line="245" w:lineRule="auto"/>
              <w:rPr>
                <w:rFonts w:ascii="Arial"/>
                <w:sz w:val="21"/>
              </w:rPr>
            </w:pPr>
          </w:p>
          <w:p w14:paraId="2F6CEC2D">
            <w:pPr>
              <w:spacing w:line="245" w:lineRule="auto"/>
              <w:rPr>
                <w:rFonts w:ascii="Arial"/>
                <w:sz w:val="21"/>
              </w:rPr>
            </w:pPr>
          </w:p>
          <w:p w14:paraId="1A938BAF">
            <w:pPr>
              <w:spacing w:line="245" w:lineRule="auto"/>
              <w:rPr>
                <w:rFonts w:ascii="Arial"/>
                <w:sz w:val="21"/>
              </w:rPr>
            </w:pPr>
          </w:p>
          <w:p w14:paraId="167C8FA1">
            <w:pPr>
              <w:spacing w:line="245" w:lineRule="auto"/>
              <w:rPr>
                <w:rFonts w:ascii="Arial"/>
                <w:sz w:val="21"/>
              </w:rPr>
            </w:pPr>
          </w:p>
          <w:p w14:paraId="6B748CBC">
            <w:pPr>
              <w:spacing w:line="245" w:lineRule="auto"/>
              <w:rPr>
                <w:rFonts w:ascii="Arial"/>
                <w:sz w:val="21"/>
              </w:rPr>
            </w:pPr>
          </w:p>
          <w:p w14:paraId="65BCD760">
            <w:pPr>
              <w:spacing w:line="245" w:lineRule="auto"/>
              <w:rPr>
                <w:rFonts w:ascii="Arial"/>
                <w:sz w:val="21"/>
              </w:rPr>
            </w:pPr>
          </w:p>
          <w:p w14:paraId="06040892">
            <w:pPr>
              <w:spacing w:line="245" w:lineRule="auto"/>
              <w:rPr>
                <w:rFonts w:ascii="Arial"/>
                <w:sz w:val="21"/>
              </w:rPr>
            </w:pPr>
          </w:p>
          <w:p w14:paraId="0659DF2E">
            <w:pPr>
              <w:spacing w:line="245" w:lineRule="auto"/>
              <w:rPr>
                <w:rFonts w:ascii="Arial"/>
                <w:sz w:val="21"/>
              </w:rPr>
            </w:pPr>
          </w:p>
          <w:p w14:paraId="7DFD981C">
            <w:pPr>
              <w:spacing w:line="245" w:lineRule="auto"/>
              <w:rPr>
                <w:rFonts w:ascii="Arial"/>
                <w:sz w:val="21"/>
              </w:rPr>
            </w:pPr>
          </w:p>
          <w:p w14:paraId="2345EDF0">
            <w:pPr>
              <w:spacing w:before="75" w:line="186" w:lineRule="auto"/>
              <w:ind w:left="161"/>
              <w:rPr>
                <w:rFonts w:ascii="仿宋" w:hAnsi="仿宋" w:eastAsia="仿宋" w:cs="仿宋"/>
                <w:sz w:val="23"/>
                <w:szCs w:val="23"/>
              </w:rPr>
            </w:pPr>
            <w:r>
              <w:rPr>
                <w:rFonts w:ascii="仿宋" w:hAnsi="仿宋" w:eastAsia="仿宋" w:cs="仿宋"/>
                <w:spacing w:val="-5"/>
                <w:sz w:val="23"/>
                <w:szCs w:val="23"/>
              </w:rPr>
              <w:t>131</w:t>
            </w:r>
          </w:p>
        </w:tc>
        <w:tc>
          <w:tcPr>
            <w:tcW w:w="1440" w:type="dxa"/>
            <w:vMerge w:val="restart"/>
            <w:tcBorders>
              <w:bottom w:val="nil"/>
            </w:tcBorders>
            <w:vAlign w:val="top"/>
          </w:tcPr>
          <w:p w14:paraId="4F325A70">
            <w:pPr>
              <w:spacing w:line="241" w:lineRule="auto"/>
              <w:rPr>
                <w:rFonts w:ascii="Arial"/>
                <w:sz w:val="21"/>
              </w:rPr>
            </w:pPr>
          </w:p>
          <w:p w14:paraId="2202C322">
            <w:pPr>
              <w:spacing w:line="242" w:lineRule="auto"/>
              <w:rPr>
                <w:rFonts w:ascii="Arial"/>
                <w:sz w:val="21"/>
              </w:rPr>
            </w:pPr>
          </w:p>
          <w:p w14:paraId="7A126CA9">
            <w:pPr>
              <w:spacing w:line="242" w:lineRule="auto"/>
              <w:rPr>
                <w:rFonts w:ascii="Arial"/>
                <w:sz w:val="21"/>
              </w:rPr>
            </w:pPr>
          </w:p>
          <w:p w14:paraId="22FF0D6C">
            <w:pPr>
              <w:spacing w:line="242" w:lineRule="auto"/>
              <w:rPr>
                <w:rFonts w:ascii="Arial"/>
                <w:sz w:val="21"/>
              </w:rPr>
            </w:pPr>
          </w:p>
          <w:p w14:paraId="481420D7">
            <w:pPr>
              <w:spacing w:line="242" w:lineRule="auto"/>
              <w:rPr>
                <w:rFonts w:ascii="Arial"/>
                <w:sz w:val="21"/>
              </w:rPr>
            </w:pPr>
          </w:p>
          <w:p w14:paraId="6AB3FE85">
            <w:pPr>
              <w:spacing w:line="242" w:lineRule="auto"/>
              <w:rPr>
                <w:rFonts w:ascii="Arial"/>
                <w:sz w:val="21"/>
              </w:rPr>
            </w:pPr>
          </w:p>
          <w:p w14:paraId="0833000B">
            <w:pPr>
              <w:spacing w:line="242" w:lineRule="auto"/>
              <w:rPr>
                <w:rFonts w:ascii="Arial"/>
                <w:sz w:val="21"/>
              </w:rPr>
            </w:pPr>
          </w:p>
          <w:p w14:paraId="1299FE62">
            <w:pPr>
              <w:spacing w:line="242" w:lineRule="auto"/>
              <w:rPr>
                <w:rFonts w:ascii="Arial"/>
                <w:sz w:val="21"/>
              </w:rPr>
            </w:pPr>
          </w:p>
          <w:p w14:paraId="67A7FDC4">
            <w:pPr>
              <w:spacing w:line="242" w:lineRule="auto"/>
              <w:rPr>
                <w:rFonts w:ascii="Arial"/>
                <w:sz w:val="21"/>
              </w:rPr>
            </w:pPr>
          </w:p>
          <w:p w14:paraId="34D22E02">
            <w:pPr>
              <w:spacing w:line="242" w:lineRule="auto"/>
              <w:rPr>
                <w:rFonts w:ascii="Arial"/>
                <w:sz w:val="21"/>
              </w:rPr>
            </w:pPr>
          </w:p>
          <w:p w14:paraId="6B7425E7">
            <w:pPr>
              <w:spacing w:line="242" w:lineRule="auto"/>
              <w:rPr>
                <w:rFonts w:ascii="Arial"/>
                <w:sz w:val="21"/>
              </w:rPr>
            </w:pPr>
          </w:p>
          <w:p w14:paraId="45D07EEC">
            <w:pPr>
              <w:spacing w:line="242" w:lineRule="auto"/>
              <w:rPr>
                <w:rFonts w:ascii="Arial"/>
                <w:sz w:val="21"/>
              </w:rPr>
            </w:pPr>
          </w:p>
          <w:p w14:paraId="66FBA0E3">
            <w:pPr>
              <w:spacing w:line="242" w:lineRule="auto"/>
              <w:rPr>
                <w:rFonts w:ascii="Arial"/>
                <w:sz w:val="21"/>
              </w:rPr>
            </w:pPr>
          </w:p>
          <w:p w14:paraId="6D295FF5">
            <w:pPr>
              <w:pStyle w:val="6"/>
              <w:spacing w:before="98" w:line="185" w:lineRule="auto"/>
              <w:ind w:left="112" w:right="111"/>
              <w:jc w:val="both"/>
            </w:pPr>
            <w:r>
              <w:rPr>
                <w:spacing w:val="12"/>
              </w:rPr>
              <w:t>进行可能危及危险化学品管道安全</w:t>
            </w:r>
            <w:r>
              <w:rPr>
                <w:spacing w:val="-6"/>
              </w:rPr>
              <w:t>的施工作</w:t>
            </w:r>
            <w:r>
              <w:rPr>
                <w:spacing w:val="4"/>
              </w:rPr>
              <w:t>业，施工单</w:t>
            </w:r>
            <w:r>
              <w:rPr>
                <w:spacing w:val="12"/>
              </w:rPr>
              <w:t>位存在未按照规定书面通知管道单</w:t>
            </w:r>
            <w:r>
              <w:rPr>
                <w:spacing w:val="7"/>
              </w:rPr>
              <w:t>位等行为的</w:t>
            </w:r>
          </w:p>
        </w:tc>
        <w:tc>
          <w:tcPr>
            <w:tcW w:w="3202" w:type="dxa"/>
            <w:vMerge w:val="restart"/>
            <w:tcBorders>
              <w:bottom w:val="nil"/>
            </w:tcBorders>
            <w:vAlign w:val="top"/>
          </w:tcPr>
          <w:p w14:paraId="3EF6925C">
            <w:pPr>
              <w:pStyle w:val="6"/>
              <w:spacing w:before="30" w:line="182" w:lineRule="auto"/>
              <w:ind w:left="128" w:right="111" w:firstLine="3"/>
              <w:jc w:val="both"/>
            </w:pPr>
            <w:r>
              <w:rPr>
                <w:rFonts w:ascii="宋体" w:hAnsi="宋体" w:eastAsia="宋体" w:cs="宋体"/>
                <w:spacing w:val="14"/>
              </w:rPr>
              <w:t>1.</w:t>
            </w:r>
            <w:r>
              <w:rPr>
                <w:spacing w:val="14"/>
              </w:rPr>
              <w:t>【行政法规】《危险化学</w:t>
            </w:r>
            <w:r>
              <w:rPr>
                <w:spacing w:val="16"/>
              </w:rPr>
              <w:t>品安全管理条例》第十三条</w:t>
            </w:r>
            <w:r>
              <w:rPr>
                <w:spacing w:val="13"/>
              </w:rPr>
              <w:t>第二款：进行可能危及危险</w:t>
            </w:r>
          </w:p>
          <w:p w14:paraId="4126F8D8">
            <w:pPr>
              <w:pStyle w:val="6"/>
              <w:spacing w:line="182" w:lineRule="auto"/>
              <w:ind w:left="124"/>
              <w:outlineLvl w:val="0"/>
            </w:pPr>
            <w:r>
              <w:rPr>
                <w:spacing w:val="39"/>
              </w:rPr>
              <w:t>化学品管道安全的施工作</w:t>
            </w:r>
          </w:p>
          <w:p w14:paraId="7A3ED951">
            <w:pPr>
              <w:pStyle w:val="6"/>
              <w:spacing w:before="5" w:line="182" w:lineRule="auto"/>
              <w:ind w:left="114" w:right="107" w:firstLine="13"/>
            </w:pPr>
            <w:r>
              <w:rPr>
                <w:spacing w:val="1"/>
              </w:rPr>
              <w:t>业，施工单位应当在开工的</w:t>
            </w:r>
            <w:r>
              <w:rPr>
                <w:rFonts w:ascii="宋体" w:hAnsi="宋体" w:eastAsia="宋体" w:cs="宋体"/>
                <w:spacing w:val="1"/>
              </w:rPr>
              <w:t>7</w:t>
            </w:r>
            <w:r>
              <w:rPr>
                <w:spacing w:val="40"/>
              </w:rPr>
              <w:t>日前书面通知管道所属单</w:t>
            </w:r>
            <w:r>
              <w:rPr>
                <w:spacing w:val="13"/>
              </w:rPr>
              <w:t>位，并与管道所属单位共同制定应急预案，采取相应的</w:t>
            </w:r>
            <w:r>
              <w:rPr>
                <w:spacing w:val="17"/>
              </w:rPr>
              <w:t>安全防护措施。管道所属单位应当指派专门人员到现场</w:t>
            </w:r>
            <w:r>
              <w:rPr>
                <w:spacing w:val="5"/>
              </w:rPr>
              <w:t>进行管道安全保护指导。</w:t>
            </w:r>
          </w:p>
          <w:p w14:paraId="5C002F64">
            <w:pPr>
              <w:pStyle w:val="6"/>
              <w:spacing w:before="25" w:line="183" w:lineRule="auto"/>
              <w:ind w:left="98" w:firstLine="17"/>
            </w:pPr>
            <w:r>
              <w:rPr>
                <w:rFonts w:ascii="宋体" w:hAnsi="宋体" w:eastAsia="宋体" w:cs="宋体"/>
                <w:spacing w:val="14"/>
              </w:rPr>
              <w:t>2.</w:t>
            </w:r>
            <w:r>
              <w:rPr>
                <w:spacing w:val="14"/>
              </w:rPr>
              <w:t>【部门规章】《危险化学</w:t>
            </w:r>
            <w:r>
              <w:rPr>
                <w:spacing w:val="19"/>
              </w:rPr>
              <w:t>品输送管道安全管理规定》</w:t>
            </w:r>
            <w:r>
              <w:rPr>
                <w:spacing w:val="13"/>
              </w:rPr>
              <w:t>第二十五条：实施下列可能</w:t>
            </w:r>
            <w:r>
              <w:rPr>
                <w:spacing w:val="17"/>
              </w:rPr>
              <w:t>危及危险化学品管道安全运</w:t>
            </w:r>
            <w:r>
              <w:rPr>
                <w:spacing w:val="14"/>
              </w:rPr>
              <w:t>行的施工作业的，施工单位</w:t>
            </w:r>
            <w:r>
              <w:rPr>
                <w:spacing w:val="9"/>
              </w:rPr>
              <w:t>应当在开工的</w:t>
            </w:r>
            <w:r>
              <w:rPr>
                <w:rFonts w:ascii="宋体" w:hAnsi="宋体" w:eastAsia="宋体" w:cs="宋体"/>
                <w:spacing w:val="9"/>
              </w:rPr>
              <w:t>7</w:t>
            </w:r>
            <w:r>
              <w:rPr>
                <w:spacing w:val="9"/>
              </w:rPr>
              <w:t>日前书面通</w:t>
            </w:r>
            <w:r>
              <w:rPr>
                <w:spacing w:val="14"/>
              </w:rPr>
              <w:t>知管道单位，将施工作业方</w:t>
            </w:r>
            <w:r>
              <w:rPr>
                <w:spacing w:val="13"/>
              </w:rPr>
              <w:t>案报管道单位，并与管道单</w:t>
            </w:r>
            <w:r>
              <w:rPr>
                <w:spacing w:val="14"/>
              </w:rPr>
              <w:t>位共同制定应急预案，采取</w:t>
            </w:r>
            <w:r>
              <w:rPr>
                <w:spacing w:val="13"/>
              </w:rPr>
              <w:t>相应的安全防护措施，管道</w:t>
            </w:r>
            <w:r>
              <w:rPr>
                <w:spacing w:val="17"/>
              </w:rPr>
              <w:t>单位应当指派专人到现场进</w:t>
            </w:r>
            <w:r>
              <w:rPr>
                <w:spacing w:val="-5"/>
              </w:rPr>
              <w:t>行管道安全保护指导</w:t>
            </w:r>
            <w:r>
              <w:rPr>
                <w:spacing w:val="-6"/>
              </w:rPr>
              <w:t>：（</w:t>
            </w:r>
            <w:r>
              <w:rPr>
                <w:spacing w:val="-5"/>
              </w:rPr>
              <w:t>一）</w:t>
            </w:r>
            <w:r>
              <w:rPr>
                <w:spacing w:val="4"/>
              </w:rPr>
              <w:t>穿（跨）越管道的施工作业；</w:t>
            </w:r>
            <w:r>
              <w:rPr>
                <w:spacing w:val="14"/>
              </w:rPr>
              <w:t>（二）在管道线路中心线两</w:t>
            </w:r>
            <w:r>
              <w:rPr>
                <w:spacing w:val="3"/>
              </w:rPr>
              <w:t>侧</w:t>
            </w:r>
            <w:r>
              <w:rPr>
                <w:rFonts w:ascii="宋体" w:hAnsi="宋体" w:eastAsia="宋体" w:cs="宋体"/>
                <w:spacing w:val="3"/>
              </w:rPr>
              <w:t>5</w:t>
            </w:r>
            <w:r>
              <w:rPr>
                <w:spacing w:val="3"/>
              </w:rPr>
              <w:t>米至</w:t>
            </w:r>
            <w:r>
              <w:rPr>
                <w:rFonts w:ascii="宋体" w:hAnsi="宋体" w:eastAsia="宋体" w:cs="宋体"/>
                <w:spacing w:val="3"/>
              </w:rPr>
              <w:t>50</w:t>
            </w:r>
            <w:r>
              <w:rPr>
                <w:spacing w:val="3"/>
              </w:rPr>
              <w:t>米和管道附属设</w:t>
            </w:r>
            <w:r>
              <w:rPr>
                <w:spacing w:val="7"/>
              </w:rPr>
              <w:t>施周边</w:t>
            </w:r>
            <w:r>
              <w:rPr>
                <w:rFonts w:ascii="宋体" w:hAnsi="宋体" w:eastAsia="宋体" w:cs="宋体"/>
                <w:spacing w:val="7"/>
              </w:rPr>
              <w:t>100</w:t>
            </w:r>
            <w:r>
              <w:rPr>
                <w:spacing w:val="7"/>
              </w:rPr>
              <w:t>米地域范围内，</w:t>
            </w:r>
            <w:r>
              <w:rPr>
                <w:spacing w:val="17"/>
              </w:rPr>
              <w:t>新建、改建、扩建铁路、公</w:t>
            </w:r>
            <w:r>
              <w:rPr>
                <w:spacing w:val="9"/>
              </w:rPr>
              <w:t>路、河渠，架设电力线路，</w:t>
            </w:r>
            <w:r>
              <w:rPr>
                <w:spacing w:val="14"/>
              </w:rPr>
              <w:t>埋设地下电缆、光缆，设置</w:t>
            </w:r>
          </w:p>
        </w:tc>
        <w:tc>
          <w:tcPr>
            <w:tcW w:w="2859" w:type="dxa"/>
            <w:vMerge w:val="restart"/>
            <w:tcBorders>
              <w:bottom w:val="nil"/>
            </w:tcBorders>
            <w:vAlign w:val="top"/>
          </w:tcPr>
          <w:p w14:paraId="43A45FCA">
            <w:pPr>
              <w:pStyle w:val="6"/>
              <w:spacing w:before="42" w:line="182" w:lineRule="auto"/>
              <w:ind w:left="117" w:right="105" w:firstLine="13"/>
              <w:jc w:val="both"/>
            </w:pPr>
            <w:r>
              <w:rPr>
                <w:rFonts w:ascii="宋体" w:hAnsi="宋体" w:eastAsia="宋体" w:cs="宋体"/>
                <w:spacing w:val="6"/>
              </w:rPr>
              <w:t>1.</w:t>
            </w:r>
            <w:r>
              <w:rPr>
                <w:spacing w:val="6"/>
              </w:rPr>
              <w:t>【行政法规】《危险化</w:t>
            </w:r>
            <w:r>
              <w:rPr>
                <w:spacing w:val="8"/>
              </w:rPr>
              <w:t>学品安全管理条例》第七十八条第一款第二项：有下列情形之一的，由安全生产监督管理部门责令改</w:t>
            </w:r>
            <w:r>
              <w:rPr>
                <w:spacing w:val="5"/>
              </w:rPr>
              <w:t>正，可以处</w:t>
            </w:r>
            <w:r>
              <w:rPr>
                <w:rFonts w:ascii="宋体" w:hAnsi="宋体" w:eastAsia="宋体" w:cs="宋体"/>
                <w:spacing w:val="5"/>
              </w:rPr>
              <w:t>5</w:t>
            </w:r>
            <w:r>
              <w:rPr>
                <w:spacing w:val="5"/>
              </w:rPr>
              <w:t>万元以下的</w:t>
            </w:r>
            <w:r>
              <w:rPr>
                <w:spacing w:val="6"/>
              </w:rPr>
              <w:t>罚款；拒不改正的，处</w:t>
            </w:r>
            <w:r>
              <w:rPr>
                <w:rFonts w:ascii="宋体" w:hAnsi="宋体" w:eastAsia="宋体" w:cs="宋体"/>
                <w:spacing w:val="6"/>
              </w:rPr>
              <w:t>5</w:t>
            </w:r>
            <w:r>
              <w:rPr>
                <w:spacing w:val="9"/>
              </w:rPr>
              <w:t>万元以上</w:t>
            </w:r>
            <w:r>
              <w:rPr>
                <w:rFonts w:ascii="宋体" w:hAnsi="宋体" w:eastAsia="宋体" w:cs="宋体"/>
                <w:spacing w:val="9"/>
              </w:rPr>
              <w:t>10</w:t>
            </w:r>
            <w:r>
              <w:rPr>
                <w:spacing w:val="9"/>
              </w:rPr>
              <w:t>万元以下的</w:t>
            </w:r>
            <w:r>
              <w:rPr>
                <w:spacing w:val="8"/>
              </w:rPr>
              <w:t>罚款；情节严重的，责令停产停业整顿</w:t>
            </w:r>
            <w:r>
              <w:rPr>
                <w:spacing w:val="10"/>
              </w:rPr>
              <w:t>：（</w:t>
            </w:r>
            <w:r>
              <w:rPr>
                <w:spacing w:val="8"/>
              </w:rPr>
              <w:t>二）进行可能危及危险化学品管道安全的施工作业，施工单位未按照规定书面通知管道所属单位，或者未与管道所属单位共同制定应急预案、采取相应的安全防护措施，或者管道所属单位未指派专门人员到现场进行管道安全保护指导</w:t>
            </w:r>
            <w:r>
              <w:rPr>
                <w:spacing w:val="-10"/>
              </w:rPr>
              <w:t>的；</w:t>
            </w:r>
          </w:p>
          <w:p w14:paraId="0EACFA0E">
            <w:pPr>
              <w:pStyle w:val="6"/>
              <w:spacing w:before="9" w:line="184" w:lineRule="auto"/>
              <w:ind w:left="116" w:right="107"/>
            </w:pPr>
            <w:r>
              <w:rPr>
                <w:rFonts w:ascii="宋体" w:hAnsi="宋体" w:eastAsia="宋体" w:cs="宋体"/>
                <w:spacing w:val="7"/>
              </w:rPr>
              <w:t>2.</w:t>
            </w:r>
            <w:r>
              <w:rPr>
                <w:spacing w:val="7"/>
              </w:rPr>
              <w:t>【部门规章】《危险化</w:t>
            </w:r>
            <w:r>
              <w:rPr>
                <w:spacing w:val="8"/>
              </w:rPr>
              <w:t>学品输送管道安全管理规</w:t>
            </w:r>
            <w:r>
              <w:rPr>
                <w:spacing w:val="7"/>
              </w:rPr>
              <w:t>定》第三十五条第二项：</w:t>
            </w:r>
            <w:r>
              <w:rPr>
                <w:spacing w:val="8"/>
              </w:rPr>
              <w:t>有下列情形之一的，由安全生产监督管理部门责令</w:t>
            </w:r>
            <w:r>
              <w:rPr>
                <w:spacing w:val="4"/>
              </w:rPr>
              <w:t>改正，可以处</w:t>
            </w:r>
            <w:r>
              <w:rPr>
                <w:rFonts w:ascii="宋体" w:hAnsi="宋体" w:eastAsia="宋体" w:cs="宋体"/>
                <w:spacing w:val="4"/>
              </w:rPr>
              <w:t>5</w:t>
            </w:r>
            <w:r>
              <w:rPr>
                <w:spacing w:val="4"/>
              </w:rPr>
              <w:t>万元以下</w:t>
            </w:r>
            <w:r>
              <w:rPr>
                <w:spacing w:val="8"/>
              </w:rPr>
              <w:t>的罚款；拒不改正的，处</w:t>
            </w:r>
            <w:r>
              <w:rPr>
                <w:rFonts w:ascii="宋体" w:hAnsi="宋体" w:eastAsia="宋体" w:cs="宋体"/>
                <w:spacing w:val="6"/>
              </w:rPr>
              <w:t>5</w:t>
            </w:r>
            <w:r>
              <w:rPr>
                <w:spacing w:val="6"/>
              </w:rPr>
              <w:t>万元以上</w:t>
            </w:r>
            <w:r>
              <w:rPr>
                <w:rFonts w:ascii="宋体" w:hAnsi="宋体" w:eastAsia="宋体" w:cs="宋体"/>
                <w:spacing w:val="6"/>
              </w:rPr>
              <w:t>10</w:t>
            </w:r>
            <w:r>
              <w:rPr>
                <w:spacing w:val="6"/>
              </w:rPr>
              <w:t>万元以下的</w:t>
            </w:r>
            <w:r>
              <w:rPr>
                <w:spacing w:val="8"/>
              </w:rPr>
              <w:t>罚款；情节严重的，责令</w:t>
            </w:r>
            <w:r>
              <w:rPr>
                <w:spacing w:val="2"/>
              </w:rPr>
              <w:t>停产停业整顿</w:t>
            </w:r>
            <w:r>
              <w:rPr>
                <w:spacing w:val="3"/>
              </w:rPr>
              <w:t>：（</w:t>
            </w:r>
            <w:r>
              <w:rPr>
                <w:spacing w:val="2"/>
              </w:rPr>
              <w:t>二）进</w:t>
            </w:r>
          </w:p>
        </w:tc>
        <w:tc>
          <w:tcPr>
            <w:tcW w:w="803" w:type="dxa"/>
            <w:vAlign w:val="top"/>
          </w:tcPr>
          <w:p w14:paraId="649D34DB">
            <w:pPr>
              <w:spacing w:line="264" w:lineRule="auto"/>
              <w:rPr>
                <w:rFonts w:ascii="Arial"/>
                <w:sz w:val="21"/>
              </w:rPr>
            </w:pPr>
          </w:p>
          <w:p w14:paraId="23B694A6">
            <w:pPr>
              <w:spacing w:line="265" w:lineRule="auto"/>
              <w:rPr>
                <w:rFonts w:ascii="Arial"/>
                <w:sz w:val="21"/>
              </w:rPr>
            </w:pPr>
          </w:p>
          <w:p w14:paraId="44F75FDC">
            <w:pPr>
              <w:spacing w:line="265" w:lineRule="auto"/>
              <w:rPr>
                <w:rFonts w:ascii="Arial"/>
                <w:sz w:val="21"/>
              </w:rPr>
            </w:pPr>
          </w:p>
          <w:p w14:paraId="3981205B">
            <w:pPr>
              <w:spacing w:line="265" w:lineRule="auto"/>
              <w:rPr>
                <w:rFonts w:ascii="Arial"/>
                <w:sz w:val="21"/>
              </w:rPr>
            </w:pPr>
          </w:p>
          <w:p w14:paraId="4B7B09EB">
            <w:pPr>
              <w:spacing w:line="265" w:lineRule="auto"/>
              <w:rPr>
                <w:rFonts w:ascii="Arial"/>
                <w:sz w:val="21"/>
              </w:rPr>
            </w:pPr>
          </w:p>
          <w:p w14:paraId="46EFAFB8">
            <w:pPr>
              <w:spacing w:line="265" w:lineRule="auto"/>
              <w:rPr>
                <w:rFonts w:ascii="Arial"/>
                <w:sz w:val="21"/>
              </w:rPr>
            </w:pPr>
          </w:p>
          <w:p w14:paraId="494D8727">
            <w:pPr>
              <w:spacing w:line="265" w:lineRule="auto"/>
              <w:rPr>
                <w:rFonts w:ascii="Arial"/>
                <w:sz w:val="21"/>
              </w:rPr>
            </w:pPr>
          </w:p>
          <w:p w14:paraId="45456903">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F56A421">
            <w:pPr>
              <w:pStyle w:val="6"/>
              <w:spacing w:before="98" w:line="184" w:lineRule="auto"/>
              <w:ind w:left="116" w:right="65" w:hanging="2"/>
              <w:jc w:val="both"/>
            </w:pPr>
            <w:r>
              <w:rPr>
                <w:spacing w:val="26"/>
              </w:rPr>
              <w:t>进行可能危及危险化学品管道安全的</w:t>
            </w:r>
            <w:r>
              <w:rPr>
                <w:spacing w:val="-3"/>
              </w:rPr>
              <w:t>施工作业，施工单位</w:t>
            </w:r>
            <w:r>
              <w:rPr>
                <w:spacing w:val="26"/>
              </w:rPr>
              <w:t>未按照规定书面通</w:t>
            </w:r>
            <w:r>
              <w:rPr>
                <w:spacing w:val="-3"/>
              </w:rPr>
              <w:t>知管道所属单位，或</w:t>
            </w:r>
            <w:r>
              <w:rPr>
                <w:spacing w:val="26"/>
              </w:rPr>
              <w:t>者未与管道所属单位共同制定应急预</w:t>
            </w:r>
            <w:r>
              <w:rPr>
                <w:spacing w:val="-3"/>
              </w:rPr>
              <w:t>案、采取相应的安全防护措施，或者管道</w:t>
            </w:r>
            <w:r>
              <w:rPr>
                <w:spacing w:val="26"/>
              </w:rPr>
              <w:t>所属单位未指派专门人员到现场进行</w:t>
            </w:r>
            <w:r>
              <w:rPr>
                <w:spacing w:val="2"/>
              </w:rPr>
              <w:t>管道安全保护指导，</w:t>
            </w:r>
            <w:r>
              <w:rPr>
                <w:spacing w:val="1"/>
              </w:rPr>
              <w:t>有上述</w:t>
            </w:r>
            <w:r>
              <w:rPr>
                <w:rFonts w:ascii="宋体" w:hAnsi="宋体" w:eastAsia="宋体" w:cs="宋体"/>
                <w:spacing w:val="1"/>
              </w:rPr>
              <w:t>1</w:t>
            </w:r>
            <w:r>
              <w:rPr>
                <w:spacing w:val="1"/>
              </w:rPr>
              <w:t>种情形的</w:t>
            </w:r>
          </w:p>
        </w:tc>
        <w:tc>
          <w:tcPr>
            <w:tcW w:w="2894" w:type="dxa"/>
            <w:vAlign w:val="top"/>
          </w:tcPr>
          <w:p w14:paraId="3A6B0ABE">
            <w:pPr>
              <w:spacing w:line="297" w:lineRule="auto"/>
              <w:rPr>
                <w:rFonts w:ascii="Arial"/>
                <w:sz w:val="21"/>
              </w:rPr>
            </w:pPr>
          </w:p>
          <w:p w14:paraId="2D8333F9">
            <w:pPr>
              <w:spacing w:line="297" w:lineRule="auto"/>
              <w:rPr>
                <w:rFonts w:ascii="Arial"/>
                <w:sz w:val="21"/>
              </w:rPr>
            </w:pPr>
          </w:p>
          <w:p w14:paraId="1CA3E7CF">
            <w:pPr>
              <w:spacing w:line="297" w:lineRule="auto"/>
              <w:rPr>
                <w:rFonts w:ascii="Arial"/>
                <w:sz w:val="21"/>
              </w:rPr>
            </w:pPr>
          </w:p>
          <w:p w14:paraId="5BBBC8C2">
            <w:pPr>
              <w:spacing w:line="297" w:lineRule="auto"/>
              <w:rPr>
                <w:rFonts w:ascii="Arial"/>
                <w:sz w:val="21"/>
              </w:rPr>
            </w:pPr>
          </w:p>
          <w:p w14:paraId="5E2A7181">
            <w:pPr>
              <w:pStyle w:val="6"/>
              <w:spacing w:before="98" w:line="188" w:lineRule="auto"/>
              <w:ind w:left="117" w:right="37" w:firstLine="10"/>
              <w:jc w:val="both"/>
            </w:pPr>
            <w:r>
              <w:rPr>
                <w:spacing w:val="3"/>
              </w:rPr>
              <w:t>责令改正，可以处</w:t>
            </w:r>
            <w:r>
              <w:rPr>
                <w:rFonts w:ascii="宋体" w:hAnsi="宋体" w:eastAsia="宋体" w:cs="宋体"/>
                <w:spacing w:val="3"/>
              </w:rPr>
              <w:t>2</w:t>
            </w:r>
            <w:r>
              <w:rPr>
                <w:spacing w:val="3"/>
              </w:rPr>
              <w:t>万元</w:t>
            </w:r>
            <w:r>
              <w:rPr>
                <w:spacing w:val="-3"/>
              </w:rPr>
              <w:t>以下的罚款；拒不改正的，</w:t>
            </w:r>
            <w:r>
              <w:rPr>
                <w:spacing w:val="4"/>
              </w:rPr>
              <w:t>处</w:t>
            </w:r>
            <w:r>
              <w:rPr>
                <w:rFonts w:ascii="宋体" w:hAnsi="宋体" w:eastAsia="宋体" w:cs="宋体"/>
                <w:spacing w:val="4"/>
              </w:rPr>
              <w:t>5</w:t>
            </w:r>
            <w:r>
              <w:rPr>
                <w:spacing w:val="4"/>
              </w:rPr>
              <w:t>万元以上</w:t>
            </w:r>
            <w:r>
              <w:rPr>
                <w:rFonts w:ascii="宋体" w:hAnsi="宋体" w:eastAsia="宋体" w:cs="宋体"/>
                <w:spacing w:val="4"/>
              </w:rPr>
              <w:t>7</w:t>
            </w:r>
            <w:r>
              <w:rPr>
                <w:spacing w:val="4"/>
              </w:rPr>
              <w:t>万元以下的罚款；情节严重的，责</w:t>
            </w:r>
            <w:r>
              <w:rPr>
                <w:spacing w:val="7"/>
              </w:rPr>
              <w:t>令停产停业整顿</w:t>
            </w:r>
          </w:p>
        </w:tc>
        <w:tc>
          <w:tcPr>
            <w:tcW w:w="811" w:type="dxa"/>
            <w:vMerge w:val="restart"/>
            <w:tcBorders>
              <w:bottom w:val="nil"/>
            </w:tcBorders>
            <w:vAlign w:val="top"/>
          </w:tcPr>
          <w:p w14:paraId="37DFA3FA">
            <w:pPr>
              <w:spacing w:line="244" w:lineRule="auto"/>
              <w:rPr>
                <w:rFonts w:ascii="Arial"/>
                <w:sz w:val="21"/>
              </w:rPr>
            </w:pPr>
          </w:p>
          <w:p w14:paraId="64308D8C">
            <w:pPr>
              <w:spacing w:line="244" w:lineRule="auto"/>
              <w:rPr>
                <w:rFonts w:ascii="Arial"/>
                <w:sz w:val="21"/>
              </w:rPr>
            </w:pPr>
          </w:p>
          <w:p w14:paraId="72690B60">
            <w:pPr>
              <w:spacing w:line="244" w:lineRule="auto"/>
              <w:rPr>
                <w:rFonts w:ascii="Arial"/>
                <w:sz w:val="21"/>
              </w:rPr>
            </w:pPr>
          </w:p>
          <w:p w14:paraId="75943848">
            <w:pPr>
              <w:spacing w:line="244" w:lineRule="auto"/>
              <w:rPr>
                <w:rFonts w:ascii="Arial"/>
                <w:sz w:val="21"/>
              </w:rPr>
            </w:pPr>
          </w:p>
          <w:p w14:paraId="7846EA00">
            <w:pPr>
              <w:spacing w:line="244" w:lineRule="auto"/>
              <w:rPr>
                <w:rFonts w:ascii="Arial"/>
                <w:sz w:val="21"/>
              </w:rPr>
            </w:pPr>
          </w:p>
          <w:p w14:paraId="13848611">
            <w:pPr>
              <w:spacing w:line="244" w:lineRule="auto"/>
              <w:rPr>
                <w:rFonts w:ascii="Arial"/>
                <w:sz w:val="21"/>
              </w:rPr>
            </w:pPr>
          </w:p>
          <w:p w14:paraId="1006DEC8">
            <w:pPr>
              <w:spacing w:line="244" w:lineRule="auto"/>
              <w:rPr>
                <w:rFonts w:ascii="Arial"/>
                <w:sz w:val="21"/>
              </w:rPr>
            </w:pPr>
          </w:p>
          <w:p w14:paraId="60F5FD3D">
            <w:pPr>
              <w:spacing w:line="244" w:lineRule="auto"/>
              <w:rPr>
                <w:rFonts w:ascii="Arial"/>
                <w:sz w:val="21"/>
              </w:rPr>
            </w:pPr>
          </w:p>
          <w:p w14:paraId="7D87ADD3">
            <w:pPr>
              <w:spacing w:line="244" w:lineRule="auto"/>
              <w:rPr>
                <w:rFonts w:ascii="Arial"/>
                <w:sz w:val="21"/>
              </w:rPr>
            </w:pPr>
          </w:p>
          <w:p w14:paraId="2C38EDA0">
            <w:pPr>
              <w:spacing w:line="244" w:lineRule="auto"/>
              <w:rPr>
                <w:rFonts w:ascii="Arial"/>
                <w:sz w:val="21"/>
              </w:rPr>
            </w:pPr>
          </w:p>
          <w:p w14:paraId="4E37F828">
            <w:pPr>
              <w:spacing w:line="245" w:lineRule="auto"/>
              <w:rPr>
                <w:rFonts w:ascii="Arial"/>
                <w:sz w:val="21"/>
              </w:rPr>
            </w:pPr>
          </w:p>
          <w:p w14:paraId="39878C80">
            <w:pPr>
              <w:spacing w:line="245" w:lineRule="auto"/>
              <w:rPr>
                <w:rFonts w:ascii="Arial"/>
                <w:sz w:val="21"/>
              </w:rPr>
            </w:pPr>
          </w:p>
          <w:p w14:paraId="320D135D">
            <w:pPr>
              <w:spacing w:line="245" w:lineRule="auto"/>
              <w:rPr>
                <w:rFonts w:ascii="Arial"/>
                <w:sz w:val="21"/>
              </w:rPr>
            </w:pPr>
          </w:p>
          <w:p w14:paraId="612BA180">
            <w:pPr>
              <w:spacing w:line="245" w:lineRule="auto"/>
              <w:rPr>
                <w:rFonts w:ascii="Arial"/>
                <w:sz w:val="21"/>
              </w:rPr>
            </w:pPr>
          </w:p>
          <w:p w14:paraId="5A3C9652">
            <w:pPr>
              <w:spacing w:line="245" w:lineRule="auto"/>
              <w:rPr>
                <w:rFonts w:ascii="Arial"/>
                <w:sz w:val="21"/>
              </w:rPr>
            </w:pPr>
          </w:p>
          <w:p w14:paraId="562E5EA9">
            <w:pPr>
              <w:spacing w:line="245" w:lineRule="auto"/>
              <w:rPr>
                <w:rFonts w:ascii="Arial"/>
                <w:sz w:val="21"/>
              </w:rPr>
            </w:pPr>
          </w:p>
          <w:p w14:paraId="63D87257">
            <w:pPr>
              <w:spacing w:line="245" w:lineRule="auto"/>
              <w:rPr>
                <w:rFonts w:ascii="Arial"/>
                <w:sz w:val="21"/>
              </w:rPr>
            </w:pPr>
          </w:p>
          <w:p w14:paraId="45A04F25">
            <w:pPr>
              <w:spacing w:line="245" w:lineRule="auto"/>
              <w:rPr>
                <w:rFonts w:ascii="Arial"/>
                <w:sz w:val="21"/>
              </w:rPr>
            </w:pPr>
          </w:p>
          <w:p w14:paraId="3F06EBD6">
            <w:pPr>
              <w:spacing w:before="74" w:line="188" w:lineRule="auto"/>
              <w:ind w:left="292"/>
              <w:rPr>
                <w:rFonts w:ascii="宋体" w:hAnsi="宋体" w:eastAsia="宋体" w:cs="宋体"/>
                <w:sz w:val="23"/>
                <w:szCs w:val="23"/>
              </w:rPr>
            </w:pPr>
            <w:r>
              <w:rPr>
                <w:rFonts w:ascii="宋体" w:hAnsi="宋体" w:eastAsia="宋体" w:cs="宋体"/>
                <w:spacing w:val="-2"/>
                <w:sz w:val="23"/>
                <w:szCs w:val="23"/>
              </w:rPr>
              <w:t>92</w:t>
            </w:r>
          </w:p>
        </w:tc>
      </w:tr>
      <w:tr w14:paraId="4A55D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3" w:hRule="atLeast"/>
        </w:trPr>
        <w:tc>
          <w:tcPr>
            <w:tcW w:w="818" w:type="dxa"/>
            <w:vMerge w:val="continue"/>
            <w:tcBorders>
              <w:top w:val="nil"/>
              <w:bottom w:val="nil"/>
            </w:tcBorders>
            <w:vAlign w:val="top"/>
          </w:tcPr>
          <w:p w14:paraId="77BA4239">
            <w:pPr>
              <w:rPr>
                <w:rFonts w:ascii="Arial"/>
                <w:sz w:val="21"/>
              </w:rPr>
            </w:pPr>
          </w:p>
        </w:tc>
        <w:tc>
          <w:tcPr>
            <w:tcW w:w="1440" w:type="dxa"/>
            <w:vMerge w:val="continue"/>
            <w:tcBorders>
              <w:top w:val="nil"/>
              <w:bottom w:val="nil"/>
            </w:tcBorders>
            <w:vAlign w:val="top"/>
          </w:tcPr>
          <w:p w14:paraId="172F68A3">
            <w:pPr>
              <w:rPr>
                <w:rFonts w:ascii="Arial"/>
                <w:sz w:val="21"/>
              </w:rPr>
            </w:pPr>
          </w:p>
        </w:tc>
        <w:tc>
          <w:tcPr>
            <w:tcW w:w="3202" w:type="dxa"/>
            <w:vMerge w:val="continue"/>
            <w:tcBorders>
              <w:top w:val="nil"/>
              <w:bottom w:val="nil"/>
            </w:tcBorders>
            <w:vAlign w:val="top"/>
          </w:tcPr>
          <w:p w14:paraId="6C29D5F5">
            <w:pPr>
              <w:rPr>
                <w:rFonts w:ascii="Arial"/>
                <w:sz w:val="21"/>
              </w:rPr>
            </w:pPr>
          </w:p>
        </w:tc>
        <w:tc>
          <w:tcPr>
            <w:tcW w:w="2859" w:type="dxa"/>
            <w:vMerge w:val="continue"/>
            <w:tcBorders>
              <w:top w:val="nil"/>
              <w:bottom w:val="nil"/>
            </w:tcBorders>
            <w:vAlign w:val="top"/>
          </w:tcPr>
          <w:p w14:paraId="28332DFA">
            <w:pPr>
              <w:rPr>
                <w:rFonts w:ascii="Arial"/>
                <w:sz w:val="21"/>
              </w:rPr>
            </w:pPr>
          </w:p>
        </w:tc>
        <w:tc>
          <w:tcPr>
            <w:tcW w:w="803" w:type="dxa"/>
            <w:vAlign w:val="top"/>
          </w:tcPr>
          <w:p w14:paraId="49A14868">
            <w:pPr>
              <w:spacing w:line="255" w:lineRule="auto"/>
              <w:rPr>
                <w:rFonts w:ascii="Arial"/>
                <w:sz w:val="21"/>
              </w:rPr>
            </w:pPr>
          </w:p>
          <w:p w14:paraId="0AB0E030">
            <w:pPr>
              <w:spacing w:line="256" w:lineRule="auto"/>
              <w:rPr>
                <w:rFonts w:ascii="Arial"/>
                <w:sz w:val="21"/>
              </w:rPr>
            </w:pPr>
          </w:p>
          <w:p w14:paraId="463B3BF2">
            <w:pPr>
              <w:spacing w:line="256" w:lineRule="auto"/>
              <w:rPr>
                <w:rFonts w:ascii="Arial"/>
                <w:sz w:val="21"/>
              </w:rPr>
            </w:pPr>
          </w:p>
          <w:p w14:paraId="6B57FC85">
            <w:pPr>
              <w:spacing w:line="256" w:lineRule="auto"/>
              <w:rPr>
                <w:rFonts w:ascii="Arial"/>
                <w:sz w:val="21"/>
              </w:rPr>
            </w:pPr>
          </w:p>
          <w:p w14:paraId="0F48F7F0">
            <w:pPr>
              <w:spacing w:line="256" w:lineRule="auto"/>
              <w:rPr>
                <w:rFonts w:ascii="Arial"/>
                <w:sz w:val="21"/>
              </w:rPr>
            </w:pPr>
          </w:p>
          <w:p w14:paraId="47D49760">
            <w:pPr>
              <w:spacing w:line="256" w:lineRule="auto"/>
              <w:rPr>
                <w:rFonts w:ascii="Arial"/>
                <w:sz w:val="21"/>
              </w:rPr>
            </w:pPr>
          </w:p>
          <w:p w14:paraId="2A6D5318">
            <w:pPr>
              <w:spacing w:line="256" w:lineRule="auto"/>
              <w:rPr>
                <w:rFonts w:ascii="Arial"/>
                <w:sz w:val="21"/>
              </w:rPr>
            </w:pPr>
          </w:p>
          <w:p w14:paraId="47CD2FC6">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41CF993">
            <w:pPr>
              <w:pStyle w:val="6"/>
              <w:spacing w:before="24" w:line="181" w:lineRule="auto"/>
              <w:ind w:left="116" w:right="65" w:hanging="2"/>
              <w:jc w:val="both"/>
            </w:pPr>
            <w:r>
              <w:rPr>
                <w:spacing w:val="26"/>
              </w:rPr>
              <w:t>进行可能危及危险化学品管道安全的</w:t>
            </w:r>
            <w:r>
              <w:rPr>
                <w:spacing w:val="-3"/>
              </w:rPr>
              <w:t>施工作业，施工单位</w:t>
            </w:r>
            <w:r>
              <w:rPr>
                <w:spacing w:val="26"/>
              </w:rPr>
              <w:t>未按照规定书面通</w:t>
            </w:r>
            <w:r>
              <w:rPr>
                <w:spacing w:val="-3"/>
              </w:rPr>
              <w:t>知管道所属单位，或</w:t>
            </w:r>
            <w:r>
              <w:rPr>
                <w:spacing w:val="26"/>
              </w:rPr>
              <w:t>者未与管道所属单位共同制定应急预</w:t>
            </w:r>
            <w:r>
              <w:rPr>
                <w:spacing w:val="-3"/>
              </w:rPr>
              <w:t>案、采取相应的安全防护措施，或者管道</w:t>
            </w:r>
            <w:r>
              <w:rPr>
                <w:spacing w:val="26"/>
              </w:rPr>
              <w:t>所属单位未指派专门人员到现场进行</w:t>
            </w:r>
            <w:r>
              <w:rPr>
                <w:spacing w:val="2"/>
              </w:rPr>
              <w:t>管道安全保护指导，</w:t>
            </w:r>
            <w:r>
              <w:rPr>
                <w:spacing w:val="3"/>
              </w:rPr>
              <w:t>有上述</w:t>
            </w:r>
            <w:r>
              <w:rPr>
                <w:rFonts w:ascii="宋体" w:hAnsi="宋体" w:eastAsia="宋体" w:cs="宋体"/>
                <w:spacing w:val="3"/>
              </w:rPr>
              <w:t>2</w:t>
            </w:r>
            <w:r>
              <w:rPr>
                <w:spacing w:val="3"/>
              </w:rPr>
              <w:t>种情形的</w:t>
            </w:r>
          </w:p>
        </w:tc>
        <w:tc>
          <w:tcPr>
            <w:tcW w:w="2894" w:type="dxa"/>
            <w:vAlign w:val="top"/>
          </w:tcPr>
          <w:p w14:paraId="0E114CE3">
            <w:pPr>
              <w:spacing w:line="243" w:lineRule="auto"/>
              <w:rPr>
                <w:rFonts w:ascii="Arial"/>
                <w:sz w:val="21"/>
              </w:rPr>
            </w:pPr>
          </w:p>
          <w:p w14:paraId="56B1539A">
            <w:pPr>
              <w:spacing w:line="244" w:lineRule="auto"/>
              <w:rPr>
                <w:rFonts w:ascii="Arial"/>
                <w:sz w:val="21"/>
              </w:rPr>
            </w:pPr>
          </w:p>
          <w:p w14:paraId="4DF1A940">
            <w:pPr>
              <w:spacing w:line="244" w:lineRule="auto"/>
              <w:rPr>
                <w:rFonts w:ascii="Arial"/>
                <w:sz w:val="21"/>
              </w:rPr>
            </w:pPr>
          </w:p>
          <w:p w14:paraId="33158D26">
            <w:pPr>
              <w:spacing w:line="244" w:lineRule="auto"/>
              <w:rPr>
                <w:rFonts w:ascii="Arial"/>
                <w:sz w:val="21"/>
              </w:rPr>
            </w:pPr>
          </w:p>
          <w:p w14:paraId="1769E475">
            <w:pPr>
              <w:pStyle w:val="6"/>
              <w:spacing w:before="99" w:line="187" w:lineRule="auto"/>
              <w:ind w:left="122" w:right="103" w:firstLine="5"/>
            </w:pPr>
            <w:r>
              <w:rPr>
                <w:spacing w:val="3"/>
              </w:rPr>
              <w:t>责令改正，可以处</w:t>
            </w:r>
            <w:r>
              <w:rPr>
                <w:rFonts w:ascii="宋体" w:hAnsi="宋体" w:eastAsia="宋体" w:cs="宋体"/>
                <w:spacing w:val="3"/>
              </w:rPr>
              <w:t>2</w:t>
            </w:r>
            <w:r>
              <w:rPr>
                <w:spacing w:val="3"/>
              </w:rPr>
              <w:t>万元以上</w:t>
            </w:r>
            <w:r>
              <w:rPr>
                <w:rFonts w:ascii="宋体" w:hAnsi="宋体" w:eastAsia="宋体" w:cs="宋体"/>
                <w:spacing w:val="3"/>
              </w:rPr>
              <w:t>4</w:t>
            </w:r>
            <w:r>
              <w:rPr>
                <w:spacing w:val="3"/>
              </w:rPr>
              <w:t>万元以下的罚款；</w:t>
            </w:r>
            <w:r>
              <w:rPr>
                <w:spacing w:val="4"/>
              </w:rPr>
              <w:t>拒不改正的，处</w:t>
            </w:r>
            <w:r>
              <w:rPr>
                <w:rFonts w:ascii="宋体" w:hAnsi="宋体" w:eastAsia="宋体" w:cs="宋体"/>
                <w:spacing w:val="4"/>
              </w:rPr>
              <w:t>7</w:t>
            </w:r>
            <w:r>
              <w:rPr>
                <w:spacing w:val="4"/>
              </w:rPr>
              <w:t>万元以</w:t>
            </w:r>
            <w:r>
              <w:rPr>
                <w:spacing w:val="3"/>
              </w:rPr>
              <w:t>上</w:t>
            </w:r>
            <w:r>
              <w:rPr>
                <w:rFonts w:ascii="宋体" w:hAnsi="宋体" w:eastAsia="宋体" w:cs="宋体"/>
                <w:spacing w:val="3"/>
              </w:rPr>
              <w:t>9</w:t>
            </w:r>
            <w:r>
              <w:rPr>
                <w:spacing w:val="3"/>
              </w:rPr>
              <w:t>万元以下的罚款；情</w:t>
            </w:r>
            <w:r>
              <w:rPr>
                <w:spacing w:val="8"/>
              </w:rPr>
              <w:t>节严重的，责令停产停业</w:t>
            </w:r>
            <w:r>
              <w:rPr>
                <w:spacing w:val="1"/>
              </w:rPr>
              <w:t>整顿</w:t>
            </w:r>
          </w:p>
        </w:tc>
        <w:tc>
          <w:tcPr>
            <w:tcW w:w="811" w:type="dxa"/>
            <w:vMerge w:val="continue"/>
            <w:tcBorders>
              <w:top w:val="nil"/>
              <w:bottom w:val="nil"/>
            </w:tcBorders>
            <w:vAlign w:val="top"/>
          </w:tcPr>
          <w:p w14:paraId="3A7B1077">
            <w:pPr>
              <w:rPr>
                <w:rFonts w:ascii="Arial"/>
                <w:sz w:val="21"/>
              </w:rPr>
            </w:pPr>
          </w:p>
        </w:tc>
      </w:tr>
      <w:tr w14:paraId="1BA34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818" w:type="dxa"/>
            <w:vMerge w:val="continue"/>
            <w:tcBorders>
              <w:top w:val="nil"/>
            </w:tcBorders>
            <w:vAlign w:val="top"/>
          </w:tcPr>
          <w:p w14:paraId="3BDDAB60">
            <w:pPr>
              <w:rPr>
                <w:rFonts w:ascii="Arial"/>
                <w:sz w:val="21"/>
              </w:rPr>
            </w:pPr>
          </w:p>
        </w:tc>
        <w:tc>
          <w:tcPr>
            <w:tcW w:w="1440" w:type="dxa"/>
            <w:vMerge w:val="continue"/>
            <w:tcBorders>
              <w:top w:val="nil"/>
            </w:tcBorders>
            <w:vAlign w:val="top"/>
          </w:tcPr>
          <w:p w14:paraId="3FD69809">
            <w:pPr>
              <w:rPr>
                <w:rFonts w:ascii="Arial"/>
                <w:sz w:val="21"/>
              </w:rPr>
            </w:pPr>
          </w:p>
        </w:tc>
        <w:tc>
          <w:tcPr>
            <w:tcW w:w="3202" w:type="dxa"/>
            <w:vMerge w:val="continue"/>
            <w:tcBorders>
              <w:top w:val="nil"/>
            </w:tcBorders>
            <w:vAlign w:val="top"/>
          </w:tcPr>
          <w:p w14:paraId="56631283">
            <w:pPr>
              <w:rPr>
                <w:rFonts w:ascii="Arial"/>
                <w:sz w:val="21"/>
              </w:rPr>
            </w:pPr>
          </w:p>
        </w:tc>
        <w:tc>
          <w:tcPr>
            <w:tcW w:w="2859" w:type="dxa"/>
            <w:vMerge w:val="continue"/>
            <w:tcBorders>
              <w:top w:val="nil"/>
            </w:tcBorders>
            <w:vAlign w:val="top"/>
          </w:tcPr>
          <w:p w14:paraId="4926AC3C">
            <w:pPr>
              <w:rPr>
                <w:rFonts w:ascii="Arial"/>
                <w:sz w:val="21"/>
              </w:rPr>
            </w:pPr>
          </w:p>
        </w:tc>
        <w:tc>
          <w:tcPr>
            <w:tcW w:w="803" w:type="dxa"/>
            <w:vAlign w:val="top"/>
          </w:tcPr>
          <w:p w14:paraId="02C9DEFB">
            <w:pPr>
              <w:spacing w:line="451" w:lineRule="auto"/>
              <w:rPr>
                <w:rFonts w:ascii="Arial"/>
                <w:sz w:val="21"/>
              </w:rPr>
            </w:pPr>
          </w:p>
          <w:p w14:paraId="3A94CCC7">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703A3EE">
            <w:pPr>
              <w:pStyle w:val="6"/>
              <w:spacing w:before="32" w:line="177" w:lineRule="auto"/>
              <w:ind w:left="117" w:right="109" w:hanging="3"/>
              <w:jc w:val="both"/>
            </w:pPr>
            <w:r>
              <w:rPr>
                <w:spacing w:val="26"/>
              </w:rPr>
              <w:t>进行可能危及危险化学品管道安全的</w:t>
            </w:r>
            <w:r>
              <w:rPr>
                <w:spacing w:val="-3"/>
              </w:rPr>
              <w:t>施工作业，施工单位</w:t>
            </w:r>
            <w:r>
              <w:rPr>
                <w:spacing w:val="26"/>
              </w:rPr>
              <w:t>未按照规定书面通</w:t>
            </w:r>
          </w:p>
        </w:tc>
        <w:tc>
          <w:tcPr>
            <w:tcW w:w="2894" w:type="dxa"/>
            <w:vAlign w:val="top"/>
          </w:tcPr>
          <w:p w14:paraId="15875D4F">
            <w:pPr>
              <w:pStyle w:val="6"/>
              <w:spacing w:before="32" w:line="177" w:lineRule="auto"/>
              <w:ind w:left="122" w:right="103" w:firstLine="4"/>
            </w:pPr>
            <w:r>
              <w:rPr>
                <w:spacing w:val="3"/>
              </w:rPr>
              <w:t>责令改正，可以处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万元以下的罚款；</w:t>
            </w:r>
            <w:r>
              <w:rPr>
                <w:spacing w:val="4"/>
              </w:rPr>
              <w:t>拒不改正的，处</w:t>
            </w:r>
            <w:r>
              <w:rPr>
                <w:rFonts w:ascii="宋体" w:hAnsi="宋体" w:eastAsia="宋体" w:cs="宋体"/>
                <w:spacing w:val="4"/>
              </w:rPr>
              <w:t>9</w:t>
            </w:r>
            <w:r>
              <w:rPr>
                <w:spacing w:val="4"/>
              </w:rPr>
              <w:t>万元以</w:t>
            </w:r>
            <w:r>
              <w:rPr>
                <w:spacing w:val="-4"/>
              </w:rPr>
              <w:t>上</w:t>
            </w:r>
            <w:r>
              <w:rPr>
                <w:rFonts w:ascii="宋体" w:hAnsi="宋体" w:eastAsia="宋体" w:cs="宋体"/>
                <w:spacing w:val="-4"/>
              </w:rPr>
              <w:t>10</w:t>
            </w:r>
            <w:r>
              <w:rPr>
                <w:spacing w:val="-4"/>
              </w:rPr>
              <w:t>万元以下的罚款；情</w:t>
            </w:r>
          </w:p>
        </w:tc>
        <w:tc>
          <w:tcPr>
            <w:tcW w:w="811" w:type="dxa"/>
            <w:vMerge w:val="continue"/>
            <w:tcBorders>
              <w:top w:val="nil"/>
            </w:tcBorders>
            <w:vAlign w:val="top"/>
          </w:tcPr>
          <w:p w14:paraId="0673BF73">
            <w:pPr>
              <w:rPr>
                <w:rFonts w:ascii="Arial"/>
                <w:sz w:val="21"/>
              </w:rPr>
            </w:pPr>
          </w:p>
        </w:tc>
      </w:tr>
    </w:tbl>
    <w:p w14:paraId="1DF40C53">
      <w:pPr>
        <w:pStyle w:val="2"/>
        <w:spacing w:line="188" w:lineRule="exact"/>
        <w:rPr>
          <w:sz w:val="16"/>
        </w:rPr>
      </w:pPr>
    </w:p>
    <w:p w14:paraId="704A5966">
      <w:pPr>
        <w:spacing w:line="188" w:lineRule="exact"/>
        <w:rPr>
          <w:sz w:val="16"/>
          <w:szCs w:val="16"/>
        </w:rPr>
        <w:sectPr>
          <w:footerReference r:id="rId155" w:type="default"/>
          <w:pgSz w:w="16839" w:h="11906"/>
          <w:pgMar w:top="1012" w:right="821" w:bottom="667" w:left="901" w:header="0" w:footer="388" w:gutter="0"/>
          <w:cols w:space="720" w:num="1"/>
        </w:sectPr>
      </w:pPr>
    </w:p>
    <w:p w14:paraId="0C0321D0">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42ED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264EC46">
            <w:pPr>
              <w:spacing w:before="222" w:line="241" w:lineRule="auto"/>
              <w:ind w:left="131"/>
              <w:outlineLvl w:val="0"/>
              <w:rPr>
                <w:rFonts w:ascii="黑体" w:hAnsi="黑体" w:eastAsia="黑体" w:cs="黑体"/>
                <w:sz w:val="28"/>
                <w:szCs w:val="28"/>
              </w:rPr>
            </w:pPr>
            <w:bookmarkStart w:id="579" w:name="bookmark272"/>
            <w:bookmarkEnd w:id="579"/>
            <w:bookmarkStart w:id="580" w:name="bookmark557"/>
            <w:bookmarkEnd w:id="580"/>
            <w:r>
              <w:rPr>
                <w:rFonts w:ascii="黑体" w:hAnsi="黑体" w:eastAsia="黑体" w:cs="黑体"/>
                <w:spacing w:val="-2"/>
                <w:sz w:val="28"/>
                <w:szCs w:val="28"/>
              </w:rPr>
              <w:t>序号</w:t>
            </w:r>
          </w:p>
        </w:tc>
        <w:tc>
          <w:tcPr>
            <w:tcW w:w="1440" w:type="dxa"/>
            <w:vAlign w:val="top"/>
          </w:tcPr>
          <w:p w14:paraId="5C8C8E79">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7524E2A">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C732FA0">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DC07C83">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09312D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12308127">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6E5CA7D">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3E85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818" w:type="dxa"/>
            <w:vAlign w:val="top"/>
          </w:tcPr>
          <w:p w14:paraId="524BA033">
            <w:pPr>
              <w:rPr>
                <w:rFonts w:ascii="Arial"/>
                <w:sz w:val="21"/>
              </w:rPr>
            </w:pPr>
          </w:p>
        </w:tc>
        <w:tc>
          <w:tcPr>
            <w:tcW w:w="1440" w:type="dxa"/>
            <w:vAlign w:val="top"/>
          </w:tcPr>
          <w:p w14:paraId="675CB260">
            <w:pPr>
              <w:rPr>
                <w:rFonts w:ascii="Arial"/>
                <w:sz w:val="21"/>
              </w:rPr>
            </w:pPr>
          </w:p>
        </w:tc>
        <w:tc>
          <w:tcPr>
            <w:tcW w:w="3202" w:type="dxa"/>
            <w:vAlign w:val="top"/>
          </w:tcPr>
          <w:p w14:paraId="4C08B765">
            <w:pPr>
              <w:pStyle w:val="6"/>
              <w:spacing w:before="30" w:line="182" w:lineRule="auto"/>
              <w:ind w:left="98" w:right="111" w:firstLine="24"/>
            </w:pPr>
            <w:r>
              <w:rPr>
                <w:spacing w:val="13"/>
              </w:rPr>
              <w:t>安全接地体、避雷接地体；</w:t>
            </w:r>
            <w:r>
              <w:rPr>
                <w:spacing w:val="15"/>
              </w:rPr>
              <w:t>（三）在管道线路中心线两</w:t>
            </w:r>
            <w:r>
              <w:rPr>
                <w:spacing w:val="12"/>
              </w:rPr>
              <w:t>侧</w:t>
            </w:r>
            <w:r>
              <w:rPr>
                <w:rFonts w:ascii="宋体" w:hAnsi="宋体" w:eastAsia="宋体" w:cs="宋体"/>
                <w:spacing w:val="12"/>
              </w:rPr>
              <w:t>200</w:t>
            </w:r>
            <w:r>
              <w:rPr>
                <w:spacing w:val="12"/>
              </w:rPr>
              <w:t>米和管道附属设施周</w:t>
            </w:r>
          </w:p>
          <w:p w14:paraId="4EBF9930">
            <w:pPr>
              <w:pStyle w:val="6"/>
              <w:spacing w:line="182" w:lineRule="auto"/>
              <w:ind w:left="115"/>
              <w:outlineLvl w:val="0"/>
            </w:pPr>
            <w:r>
              <w:rPr>
                <w:spacing w:val="7"/>
              </w:rPr>
              <w:t>边</w:t>
            </w:r>
            <w:r>
              <w:rPr>
                <w:rFonts w:ascii="宋体" w:hAnsi="宋体" w:eastAsia="宋体" w:cs="宋体"/>
                <w:spacing w:val="7"/>
              </w:rPr>
              <w:t>500</w:t>
            </w:r>
            <w:r>
              <w:rPr>
                <w:spacing w:val="7"/>
              </w:rPr>
              <w:t>米地域范围内，实施</w:t>
            </w:r>
          </w:p>
          <w:p w14:paraId="1D64AFB7">
            <w:pPr>
              <w:pStyle w:val="6"/>
              <w:spacing w:before="2" w:line="184" w:lineRule="auto"/>
              <w:ind w:left="116" w:right="111"/>
              <w:jc w:val="both"/>
            </w:pPr>
            <w:r>
              <w:rPr>
                <w:spacing w:val="17"/>
              </w:rPr>
              <w:t>爆破、地震法勘探或者工程</w:t>
            </w:r>
            <w:bookmarkStart w:id="581" w:name="bookmark274"/>
            <w:bookmarkEnd w:id="581"/>
            <w:r>
              <w:rPr>
                <w:spacing w:val="17"/>
              </w:rPr>
              <w:t>挖掘、工程钻探、采矿等作</w:t>
            </w:r>
            <w:r>
              <w:rPr>
                <w:spacing w:val="-7"/>
              </w:rPr>
              <w:t>业。</w:t>
            </w:r>
          </w:p>
        </w:tc>
        <w:tc>
          <w:tcPr>
            <w:tcW w:w="2859" w:type="dxa"/>
            <w:vAlign w:val="top"/>
          </w:tcPr>
          <w:p w14:paraId="10AD10F6">
            <w:pPr>
              <w:pStyle w:val="6"/>
              <w:spacing w:before="30" w:line="180" w:lineRule="auto"/>
              <w:ind w:left="117" w:right="110"/>
              <w:jc w:val="both"/>
            </w:pPr>
            <w:r>
              <w:rPr>
                <w:spacing w:val="8"/>
              </w:rPr>
              <w:t>行可能危及危险化学品管道安全的施工作业，施工单位未按照规定书面通知管道单位，或者未与管道单位共同制定应急预案并</w:t>
            </w:r>
            <w:r>
              <w:rPr>
                <w:spacing w:val="2"/>
              </w:rPr>
              <w:t>采取相应的防护措施，或</w:t>
            </w:r>
            <w:r>
              <w:rPr>
                <w:spacing w:val="8"/>
              </w:rPr>
              <w:t>者管道单位未指派专人到现场进行管道安全保护指</w:t>
            </w:r>
            <w:r>
              <w:rPr>
                <w:spacing w:val="-4"/>
              </w:rPr>
              <w:t>导的。</w:t>
            </w:r>
          </w:p>
        </w:tc>
        <w:tc>
          <w:tcPr>
            <w:tcW w:w="803" w:type="dxa"/>
            <w:vAlign w:val="top"/>
          </w:tcPr>
          <w:p w14:paraId="08D693FA">
            <w:pPr>
              <w:rPr>
                <w:rFonts w:ascii="Arial"/>
                <w:sz w:val="21"/>
              </w:rPr>
            </w:pPr>
          </w:p>
        </w:tc>
        <w:tc>
          <w:tcPr>
            <w:tcW w:w="2283" w:type="dxa"/>
            <w:vAlign w:val="top"/>
          </w:tcPr>
          <w:p w14:paraId="7AA598B0">
            <w:pPr>
              <w:pStyle w:val="6"/>
              <w:spacing w:before="30" w:line="180" w:lineRule="auto"/>
              <w:ind w:left="117" w:right="65" w:firstLine="6"/>
              <w:jc w:val="both"/>
            </w:pPr>
            <w:r>
              <w:rPr>
                <w:spacing w:val="-3"/>
              </w:rPr>
              <w:t>知管道所属单位，或</w:t>
            </w:r>
            <w:r>
              <w:rPr>
                <w:spacing w:val="26"/>
              </w:rPr>
              <w:t>者未与管道所属单位共同制定应急预</w:t>
            </w:r>
            <w:r>
              <w:rPr>
                <w:spacing w:val="-3"/>
              </w:rPr>
              <w:t>案、采取相应的安全防护措施，或者管道</w:t>
            </w:r>
            <w:r>
              <w:rPr>
                <w:spacing w:val="26"/>
              </w:rPr>
              <w:t>所属单位未指派专门人员到现场进行</w:t>
            </w:r>
            <w:r>
              <w:rPr>
                <w:spacing w:val="2"/>
              </w:rPr>
              <w:t>管道安全保护指导，</w:t>
            </w:r>
            <w:r>
              <w:rPr>
                <w:spacing w:val="3"/>
              </w:rPr>
              <w:t>有上述</w:t>
            </w:r>
            <w:r>
              <w:rPr>
                <w:rFonts w:ascii="宋体" w:hAnsi="宋体" w:eastAsia="宋体" w:cs="宋体"/>
                <w:spacing w:val="3"/>
              </w:rPr>
              <w:t>3</w:t>
            </w:r>
            <w:r>
              <w:rPr>
                <w:spacing w:val="3"/>
              </w:rPr>
              <w:t>种情形的</w:t>
            </w:r>
          </w:p>
        </w:tc>
        <w:tc>
          <w:tcPr>
            <w:tcW w:w="2894" w:type="dxa"/>
            <w:vAlign w:val="top"/>
          </w:tcPr>
          <w:p w14:paraId="6868BBE6">
            <w:pPr>
              <w:pStyle w:val="6"/>
              <w:spacing w:before="27" w:line="196" w:lineRule="auto"/>
              <w:ind w:left="122" w:right="110" w:firstLine="7"/>
            </w:pPr>
            <w:r>
              <w:rPr>
                <w:spacing w:val="7"/>
              </w:rPr>
              <w:t>节严重的，责令停产停业</w:t>
            </w:r>
            <w:r>
              <w:rPr>
                <w:spacing w:val="1"/>
              </w:rPr>
              <w:t>整顿</w:t>
            </w:r>
          </w:p>
        </w:tc>
        <w:tc>
          <w:tcPr>
            <w:tcW w:w="811" w:type="dxa"/>
            <w:vAlign w:val="top"/>
          </w:tcPr>
          <w:p w14:paraId="5CB3D97A">
            <w:pPr>
              <w:rPr>
                <w:rFonts w:ascii="Arial"/>
                <w:sz w:val="21"/>
              </w:rPr>
            </w:pPr>
          </w:p>
        </w:tc>
      </w:tr>
      <w:tr w14:paraId="3D99C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8" w:hRule="atLeast"/>
        </w:trPr>
        <w:tc>
          <w:tcPr>
            <w:tcW w:w="818" w:type="dxa"/>
            <w:vMerge w:val="restart"/>
            <w:tcBorders>
              <w:bottom w:val="nil"/>
            </w:tcBorders>
            <w:vAlign w:val="top"/>
          </w:tcPr>
          <w:p w14:paraId="181A9F3C">
            <w:pPr>
              <w:spacing w:line="248" w:lineRule="auto"/>
              <w:rPr>
                <w:rFonts w:ascii="Arial"/>
                <w:sz w:val="21"/>
              </w:rPr>
            </w:pPr>
          </w:p>
          <w:p w14:paraId="0B74F849">
            <w:pPr>
              <w:spacing w:line="249" w:lineRule="auto"/>
              <w:rPr>
                <w:rFonts w:ascii="Arial"/>
                <w:sz w:val="21"/>
              </w:rPr>
            </w:pPr>
          </w:p>
          <w:p w14:paraId="5271AED1">
            <w:pPr>
              <w:spacing w:line="249" w:lineRule="auto"/>
              <w:rPr>
                <w:rFonts w:ascii="Arial"/>
                <w:sz w:val="21"/>
              </w:rPr>
            </w:pPr>
          </w:p>
          <w:p w14:paraId="22C2BD6B">
            <w:pPr>
              <w:spacing w:line="249" w:lineRule="auto"/>
              <w:rPr>
                <w:rFonts w:ascii="Arial"/>
                <w:sz w:val="21"/>
              </w:rPr>
            </w:pPr>
          </w:p>
          <w:p w14:paraId="5C079555">
            <w:pPr>
              <w:spacing w:line="249" w:lineRule="auto"/>
              <w:rPr>
                <w:rFonts w:ascii="Arial"/>
                <w:sz w:val="21"/>
              </w:rPr>
            </w:pPr>
          </w:p>
          <w:p w14:paraId="44074264">
            <w:pPr>
              <w:spacing w:line="249" w:lineRule="auto"/>
              <w:rPr>
                <w:rFonts w:ascii="Arial"/>
                <w:sz w:val="21"/>
              </w:rPr>
            </w:pPr>
          </w:p>
          <w:p w14:paraId="6203BC7D">
            <w:pPr>
              <w:spacing w:before="75" w:line="186" w:lineRule="auto"/>
              <w:ind w:left="161"/>
              <w:rPr>
                <w:rFonts w:ascii="仿宋" w:hAnsi="仿宋" w:eastAsia="仿宋" w:cs="仿宋"/>
                <w:sz w:val="23"/>
                <w:szCs w:val="23"/>
              </w:rPr>
            </w:pPr>
            <w:r>
              <w:rPr>
                <w:rFonts w:ascii="仿宋" w:hAnsi="仿宋" w:eastAsia="仿宋" w:cs="仿宋"/>
                <w:spacing w:val="-5"/>
                <w:sz w:val="23"/>
                <w:szCs w:val="23"/>
              </w:rPr>
              <w:t>132</w:t>
            </w:r>
          </w:p>
        </w:tc>
        <w:tc>
          <w:tcPr>
            <w:tcW w:w="1440" w:type="dxa"/>
            <w:vMerge w:val="restart"/>
            <w:tcBorders>
              <w:bottom w:val="nil"/>
            </w:tcBorders>
            <w:vAlign w:val="top"/>
          </w:tcPr>
          <w:p w14:paraId="12E7BB9D">
            <w:pPr>
              <w:spacing w:line="380" w:lineRule="auto"/>
              <w:rPr>
                <w:rFonts w:ascii="Arial"/>
                <w:sz w:val="21"/>
              </w:rPr>
            </w:pPr>
          </w:p>
          <w:p w14:paraId="49DE203B">
            <w:pPr>
              <w:pStyle w:val="6"/>
              <w:spacing w:before="99" w:line="186" w:lineRule="auto"/>
              <w:ind w:left="115" w:right="17" w:firstLine="11"/>
              <w:jc w:val="both"/>
            </w:pPr>
            <w:r>
              <w:rPr>
                <w:spacing w:val="-12"/>
                <w:w w:val="98"/>
              </w:rPr>
              <w:t>转产、停产、</w:t>
            </w:r>
            <w:r>
              <w:rPr>
                <w:spacing w:val="11"/>
              </w:rPr>
              <w:t>停止使用的危险化学品</w:t>
            </w:r>
            <w:r>
              <w:rPr>
                <w:spacing w:val="2"/>
              </w:rPr>
              <w:t>管道，管道</w:t>
            </w:r>
            <w:r>
              <w:rPr>
                <w:spacing w:val="11"/>
              </w:rPr>
              <w:t>单位未采取有效措施及时、妥善处</w:t>
            </w:r>
            <w:r>
              <w:rPr>
                <w:spacing w:val="2"/>
              </w:rPr>
              <w:t>置的</w:t>
            </w:r>
          </w:p>
        </w:tc>
        <w:tc>
          <w:tcPr>
            <w:tcW w:w="3202" w:type="dxa"/>
            <w:vMerge w:val="restart"/>
            <w:tcBorders>
              <w:bottom w:val="nil"/>
            </w:tcBorders>
            <w:vAlign w:val="top"/>
          </w:tcPr>
          <w:p w14:paraId="74C9A005">
            <w:pPr>
              <w:pStyle w:val="6"/>
              <w:spacing w:before="28" w:line="186" w:lineRule="auto"/>
              <w:ind w:left="117" w:right="110" w:hanging="19"/>
            </w:pPr>
            <w:r>
              <w:rPr>
                <w:spacing w:val="18"/>
              </w:rPr>
              <w:t>【部门规章】《危险化学品</w:t>
            </w:r>
            <w:r>
              <w:rPr>
                <w:spacing w:val="17"/>
              </w:rPr>
              <w:t>输送管道安全管理规定》第</w:t>
            </w:r>
            <w:r>
              <w:rPr>
                <w:spacing w:val="11"/>
              </w:rPr>
              <w:t>二十九条：对转产、停产、</w:t>
            </w:r>
            <w:r>
              <w:rPr>
                <w:spacing w:val="39"/>
              </w:rPr>
              <w:t>停止使用的危险化学品管</w:t>
            </w:r>
            <w:r>
              <w:rPr>
                <w:spacing w:val="13"/>
              </w:rPr>
              <w:t>道，管道单位应当采取有效措施及时妥善处置，并将处</w:t>
            </w:r>
            <w:r>
              <w:rPr>
                <w:spacing w:val="17"/>
              </w:rPr>
              <w:t>置方案报县级以上安全生产</w:t>
            </w:r>
            <w:r>
              <w:rPr>
                <w:spacing w:val="2"/>
              </w:rPr>
              <w:t>监督管理部门。</w:t>
            </w:r>
          </w:p>
        </w:tc>
        <w:tc>
          <w:tcPr>
            <w:tcW w:w="2859" w:type="dxa"/>
            <w:vMerge w:val="restart"/>
            <w:tcBorders>
              <w:bottom w:val="nil"/>
            </w:tcBorders>
            <w:vAlign w:val="top"/>
          </w:tcPr>
          <w:p w14:paraId="5C9B0B2E">
            <w:pPr>
              <w:pStyle w:val="6"/>
              <w:spacing w:before="37" w:line="180" w:lineRule="auto"/>
              <w:ind w:left="116" w:right="38" w:hanging="19"/>
            </w:pPr>
            <w:r>
              <w:rPr>
                <w:spacing w:val="10"/>
              </w:rPr>
              <w:t>【部门规章】《危险化学</w:t>
            </w:r>
            <w:r>
              <w:rPr>
                <w:spacing w:val="32"/>
              </w:rPr>
              <w:t>品输送管道安全管理规</w:t>
            </w:r>
            <w:r>
              <w:rPr>
                <w:spacing w:val="7"/>
              </w:rPr>
              <w:t>定》第三十六条第一款：</w:t>
            </w:r>
            <w:r>
              <w:rPr>
                <w:spacing w:val="8"/>
              </w:rPr>
              <w:t>对转产、停产、停止使用的危险化学品管道，管道</w:t>
            </w:r>
            <w:r>
              <w:rPr>
                <w:spacing w:val="32"/>
              </w:rPr>
              <w:t>单位未采取有效措施及</w:t>
            </w:r>
            <w:r>
              <w:rPr>
                <w:spacing w:val="8"/>
              </w:rPr>
              <w:t>时、妥善处置的，由安全生产监督管理部门责令改</w:t>
            </w:r>
            <w:r>
              <w:rPr>
                <w:spacing w:val="-9"/>
              </w:rPr>
              <w:t>正，处</w:t>
            </w:r>
            <w:r>
              <w:rPr>
                <w:rFonts w:ascii="宋体" w:hAnsi="宋体" w:eastAsia="宋体" w:cs="宋体"/>
                <w:spacing w:val="-9"/>
              </w:rPr>
              <w:t>5</w:t>
            </w:r>
            <w:r>
              <w:rPr>
                <w:spacing w:val="-9"/>
              </w:rPr>
              <w:t>万元以上</w:t>
            </w:r>
            <w:r>
              <w:rPr>
                <w:rFonts w:ascii="宋体" w:hAnsi="宋体" w:eastAsia="宋体" w:cs="宋体"/>
                <w:spacing w:val="-9"/>
              </w:rPr>
              <w:t>10</w:t>
            </w:r>
            <w:r>
              <w:rPr>
                <w:spacing w:val="-9"/>
              </w:rPr>
              <w:t>万元</w:t>
            </w:r>
            <w:r>
              <w:rPr>
                <w:spacing w:val="-6"/>
              </w:rPr>
              <w:t>以下的罚款；构成犯罪的，</w:t>
            </w:r>
            <w:r>
              <w:rPr>
                <w:spacing w:val="4"/>
              </w:rPr>
              <w:t>依法追究刑事责任。</w:t>
            </w:r>
          </w:p>
        </w:tc>
        <w:tc>
          <w:tcPr>
            <w:tcW w:w="803" w:type="dxa"/>
            <w:vAlign w:val="top"/>
          </w:tcPr>
          <w:p w14:paraId="2720B4A4">
            <w:pPr>
              <w:spacing w:line="331" w:lineRule="auto"/>
              <w:rPr>
                <w:rFonts w:ascii="Arial"/>
                <w:sz w:val="21"/>
              </w:rPr>
            </w:pPr>
          </w:p>
          <w:p w14:paraId="4D5CA897">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3E70BC8">
            <w:pPr>
              <w:pStyle w:val="6"/>
              <w:spacing w:before="65" w:line="183" w:lineRule="auto"/>
              <w:ind w:left="116" w:right="109" w:firstLine="1"/>
              <w:jc w:val="both"/>
            </w:pPr>
            <w:r>
              <w:rPr>
                <w:spacing w:val="26"/>
              </w:rPr>
              <w:t>未采取有效措施及</w:t>
            </w:r>
            <w:r>
              <w:rPr>
                <w:spacing w:val="-20"/>
              </w:rPr>
              <w:t>时、妥善处置，尚未</w:t>
            </w:r>
            <w:r>
              <w:rPr>
                <w:spacing w:val="7"/>
              </w:rPr>
              <w:t>造成影响的</w:t>
            </w:r>
          </w:p>
        </w:tc>
        <w:tc>
          <w:tcPr>
            <w:tcW w:w="2894" w:type="dxa"/>
            <w:vAlign w:val="top"/>
          </w:tcPr>
          <w:p w14:paraId="7DADE69A">
            <w:pPr>
              <w:pStyle w:val="6"/>
              <w:spacing w:before="216" w:line="182" w:lineRule="auto"/>
              <w:ind w:left="127"/>
            </w:pPr>
            <w:r>
              <w:rPr>
                <w:spacing w:val="4"/>
              </w:rPr>
              <w:t>责令改正，处</w:t>
            </w:r>
            <w:r>
              <w:rPr>
                <w:rFonts w:ascii="宋体" w:hAnsi="宋体" w:eastAsia="宋体" w:cs="宋体"/>
                <w:spacing w:val="4"/>
              </w:rPr>
              <w:t>5</w:t>
            </w:r>
            <w:r>
              <w:rPr>
                <w:spacing w:val="4"/>
              </w:rPr>
              <w:t>万元以上</w:t>
            </w:r>
          </w:p>
          <w:p w14:paraId="5E2E8B35">
            <w:pPr>
              <w:pStyle w:val="6"/>
              <w:spacing w:before="1" w:line="208" w:lineRule="auto"/>
              <w:ind w:left="121"/>
            </w:pPr>
            <w:r>
              <w:rPr>
                <w:rFonts w:ascii="宋体" w:hAnsi="宋体" w:eastAsia="宋体" w:cs="宋体"/>
                <w:spacing w:val="3"/>
              </w:rPr>
              <w:t>7</w:t>
            </w:r>
            <w:r>
              <w:rPr>
                <w:spacing w:val="3"/>
              </w:rPr>
              <w:t>万元以下的罚款</w:t>
            </w:r>
          </w:p>
        </w:tc>
        <w:tc>
          <w:tcPr>
            <w:tcW w:w="811" w:type="dxa"/>
            <w:vMerge w:val="restart"/>
            <w:tcBorders>
              <w:bottom w:val="nil"/>
            </w:tcBorders>
            <w:vAlign w:val="top"/>
          </w:tcPr>
          <w:p w14:paraId="7874E192">
            <w:pPr>
              <w:spacing w:line="248" w:lineRule="auto"/>
              <w:rPr>
                <w:rFonts w:ascii="Arial"/>
                <w:sz w:val="21"/>
              </w:rPr>
            </w:pPr>
          </w:p>
          <w:p w14:paraId="07F5B824">
            <w:pPr>
              <w:spacing w:line="248" w:lineRule="auto"/>
              <w:rPr>
                <w:rFonts w:ascii="Arial"/>
                <w:sz w:val="21"/>
              </w:rPr>
            </w:pPr>
          </w:p>
          <w:p w14:paraId="61F0E932">
            <w:pPr>
              <w:spacing w:line="248" w:lineRule="auto"/>
              <w:rPr>
                <w:rFonts w:ascii="Arial"/>
                <w:sz w:val="21"/>
              </w:rPr>
            </w:pPr>
          </w:p>
          <w:p w14:paraId="670CC668">
            <w:pPr>
              <w:spacing w:line="248" w:lineRule="auto"/>
              <w:rPr>
                <w:rFonts w:ascii="Arial"/>
                <w:sz w:val="21"/>
              </w:rPr>
            </w:pPr>
          </w:p>
          <w:p w14:paraId="7873B589">
            <w:pPr>
              <w:spacing w:line="249" w:lineRule="auto"/>
              <w:rPr>
                <w:rFonts w:ascii="Arial"/>
                <w:sz w:val="21"/>
              </w:rPr>
            </w:pPr>
          </w:p>
          <w:p w14:paraId="6F627222">
            <w:pPr>
              <w:spacing w:line="249" w:lineRule="auto"/>
              <w:rPr>
                <w:rFonts w:ascii="Arial"/>
                <w:sz w:val="21"/>
              </w:rPr>
            </w:pPr>
          </w:p>
          <w:p w14:paraId="613DC8A1">
            <w:pPr>
              <w:spacing w:before="75" w:line="188" w:lineRule="auto"/>
              <w:ind w:left="292"/>
              <w:rPr>
                <w:rFonts w:ascii="宋体" w:hAnsi="宋体" w:eastAsia="宋体" w:cs="宋体"/>
                <w:sz w:val="23"/>
                <w:szCs w:val="23"/>
              </w:rPr>
            </w:pPr>
            <w:r>
              <w:rPr>
                <w:rFonts w:ascii="宋体" w:hAnsi="宋体" w:eastAsia="宋体" w:cs="宋体"/>
                <w:spacing w:val="-2"/>
                <w:sz w:val="23"/>
                <w:szCs w:val="23"/>
              </w:rPr>
              <w:t>93</w:t>
            </w:r>
          </w:p>
        </w:tc>
      </w:tr>
      <w:tr w14:paraId="025FE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2" w:hRule="atLeast"/>
        </w:trPr>
        <w:tc>
          <w:tcPr>
            <w:tcW w:w="818" w:type="dxa"/>
            <w:vMerge w:val="continue"/>
            <w:tcBorders>
              <w:top w:val="nil"/>
              <w:bottom w:val="nil"/>
            </w:tcBorders>
            <w:vAlign w:val="top"/>
          </w:tcPr>
          <w:p w14:paraId="7A3629A0">
            <w:pPr>
              <w:rPr>
                <w:rFonts w:ascii="Arial"/>
                <w:sz w:val="21"/>
              </w:rPr>
            </w:pPr>
          </w:p>
        </w:tc>
        <w:tc>
          <w:tcPr>
            <w:tcW w:w="1440" w:type="dxa"/>
            <w:vMerge w:val="continue"/>
            <w:tcBorders>
              <w:top w:val="nil"/>
              <w:bottom w:val="nil"/>
            </w:tcBorders>
            <w:vAlign w:val="top"/>
          </w:tcPr>
          <w:p w14:paraId="0F9BAC83">
            <w:pPr>
              <w:rPr>
                <w:rFonts w:ascii="Arial"/>
                <w:sz w:val="21"/>
              </w:rPr>
            </w:pPr>
          </w:p>
        </w:tc>
        <w:tc>
          <w:tcPr>
            <w:tcW w:w="3202" w:type="dxa"/>
            <w:vMerge w:val="continue"/>
            <w:tcBorders>
              <w:top w:val="nil"/>
              <w:bottom w:val="nil"/>
            </w:tcBorders>
            <w:vAlign w:val="top"/>
          </w:tcPr>
          <w:p w14:paraId="4660705E">
            <w:pPr>
              <w:rPr>
                <w:rFonts w:ascii="Arial"/>
                <w:sz w:val="21"/>
              </w:rPr>
            </w:pPr>
          </w:p>
        </w:tc>
        <w:tc>
          <w:tcPr>
            <w:tcW w:w="2859" w:type="dxa"/>
            <w:vMerge w:val="continue"/>
            <w:tcBorders>
              <w:top w:val="nil"/>
              <w:bottom w:val="nil"/>
            </w:tcBorders>
            <w:vAlign w:val="top"/>
          </w:tcPr>
          <w:p w14:paraId="54F4F9C6">
            <w:pPr>
              <w:rPr>
                <w:rFonts w:ascii="Arial"/>
                <w:sz w:val="21"/>
              </w:rPr>
            </w:pPr>
          </w:p>
        </w:tc>
        <w:tc>
          <w:tcPr>
            <w:tcW w:w="803" w:type="dxa"/>
            <w:vAlign w:val="top"/>
          </w:tcPr>
          <w:p w14:paraId="70FE0274">
            <w:pPr>
              <w:spacing w:line="388" w:lineRule="auto"/>
              <w:rPr>
                <w:rFonts w:ascii="Arial"/>
                <w:sz w:val="21"/>
              </w:rPr>
            </w:pPr>
          </w:p>
          <w:p w14:paraId="425D7D2F">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00C92B5">
            <w:pPr>
              <w:pStyle w:val="6"/>
              <w:spacing w:before="119" w:line="191" w:lineRule="auto"/>
              <w:ind w:left="123" w:right="109" w:hanging="5"/>
              <w:jc w:val="both"/>
            </w:pPr>
            <w:r>
              <w:rPr>
                <w:spacing w:val="26"/>
              </w:rPr>
              <w:t>未采取有效措施及</w:t>
            </w:r>
            <w:r>
              <w:rPr>
                <w:spacing w:val="-15"/>
              </w:rPr>
              <w:t>时、妥善处置，造成</w:t>
            </w:r>
            <w:r>
              <w:rPr>
                <w:spacing w:val="5"/>
              </w:rPr>
              <w:t>轻微影响的</w:t>
            </w:r>
          </w:p>
        </w:tc>
        <w:tc>
          <w:tcPr>
            <w:tcW w:w="2894" w:type="dxa"/>
            <w:vAlign w:val="top"/>
          </w:tcPr>
          <w:p w14:paraId="6B40A871">
            <w:pPr>
              <w:pStyle w:val="6"/>
              <w:spacing w:before="270" w:line="182" w:lineRule="auto"/>
              <w:ind w:left="127"/>
            </w:pPr>
            <w:r>
              <w:rPr>
                <w:spacing w:val="4"/>
              </w:rPr>
              <w:t>责令改正，处</w:t>
            </w:r>
            <w:r>
              <w:rPr>
                <w:rFonts w:ascii="宋体" w:hAnsi="宋体" w:eastAsia="宋体" w:cs="宋体"/>
                <w:spacing w:val="4"/>
              </w:rPr>
              <w:t>7</w:t>
            </w:r>
            <w:r>
              <w:rPr>
                <w:spacing w:val="4"/>
              </w:rPr>
              <w:t>万元以上</w:t>
            </w:r>
          </w:p>
          <w:p w14:paraId="005F9729">
            <w:pPr>
              <w:pStyle w:val="6"/>
              <w:spacing w:before="1" w:line="208" w:lineRule="auto"/>
              <w:ind w:left="116"/>
            </w:pPr>
            <w:r>
              <w:rPr>
                <w:rFonts w:ascii="宋体" w:hAnsi="宋体" w:eastAsia="宋体" w:cs="宋体"/>
                <w:spacing w:val="4"/>
              </w:rPr>
              <w:t>9</w:t>
            </w:r>
            <w:r>
              <w:rPr>
                <w:spacing w:val="4"/>
              </w:rPr>
              <w:t>万元以下的罚款</w:t>
            </w:r>
          </w:p>
        </w:tc>
        <w:tc>
          <w:tcPr>
            <w:tcW w:w="811" w:type="dxa"/>
            <w:vMerge w:val="continue"/>
            <w:tcBorders>
              <w:top w:val="nil"/>
              <w:bottom w:val="nil"/>
            </w:tcBorders>
            <w:vAlign w:val="top"/>
          </w:tcPr>
          <w:p w14:paraId="377C6DDA">
            <w:pPr>
              <w:rPr>
                <w:rFonts w:ascii="Arial"/>
                <w:sz w:val="21"/>
              </w:rPr>
            </w:pPr>
          </w:p>
        </w:tc>
      </w:tr>
      <w:tr w14:paraId="7FCB6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3" w:hRule="atLeast"/>
        </w:trPr>
        <w:tc>
          <w:tcPr>
            <w:tcW w:w="818" w:type="dxa"/>
            <w:vMerge w:val="continue"/>
            <w:tcBorders>
              <w:top w:val="nil"/>
            </w:tcBorders>
            <w:vAlign w:val="top"/>
          </w:tcPr>
          <w:p w14:paraId="1EAE48F4">
            <w:pPr>
              <w:rPr>
                <w:rFonts w:ascii="Arial"/>
                <w:sz w:val="21"/>
              </w:rPr>
            </w:pPr>
          </w:p>
        </w:tc>
        <w:tc>
          <w:tcPr>
            <w:tcW w:w="1440" w:type="dxa"/>
            <w:vMerge w:val="continue"/>
            <w:tcBorders>
              <w:top w:val="nil"/>
            </w:tcBorders>
            <w:vAlign w:val="top"/>
          </w:tcPr>
          <w:p w14:paraId="08FB2186">
            <w:pPr>
              <w:rPr>
                <w:rFonts w:ascii="Arial"/>
                <w:sz w:val="21"/>
              </w:rPr>
            </w:pPr>
          </w:p>
        </w:tc>
        <w:tc>
          <w:tcPr>
            <w:tcW w:w="3202" w:type="dxa"/>
            <w:vMerge w:val="continue"/>
            <w:tcBorders>
              <w:top w:val="nil"/>
            </w:tcBorders>
            <w:vAlign w:val="top"/>
          </w:tcPr>
          <w:p w14:paraId="6F7F280A">
            <w:pPr>
              <w:rPr>
                <w:rFonts w:ascii="Arial"/>
                <w:sz w:val="21"/>
              </w:rPr>
            </w:pPr>
          </w:p>
        </w:tc>
        <w:tc>
          <w:tcPr>
            <w:tcW w:w="2859" w:type="dxa"/>
            <w:vMerge w:val="continue"/>
            <w:tcBorders>
              <w:top w:val="nil"/>
            </w:tcBorders>
            <w:vAlign w:val="top"/>
          </w:tcPr>
          <w:p w14:paraId="371D4738">
            <w:pPr>
              <w:rPr>
                <w:rFonts w:ascii="Arial"/>
                <w:sz w:val="21"/>
              </w:rPr>
            </w:pPr>
          </w:p>
        </w:tc>
        <w:tc>
          <w:tcPr>
            <w:tcW w:w="803" w:type="dxa"/>
            <w:vAlign w:val="top"/>
          </w:tcPr>
          <w:p w14:paraId="4CB5BBD8">
            <w:pPr>
              <w:spacing w:line="461" w:lineRule="auto"/>
              <w:rPr>
                <w:rFonts w:ascii="Arial"/>
                <w:sz w:val="21"/>
              </w:rPr>
            </w:pPr>
          </w:p>
          <w:p w14:paraId="0A1142C3">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67A4D7E">
            <w:pPr>
              <w:pStyle w:val="6"/>
              <w:spacing w:before="196" w:line="191" w:lineRule="auto"/>
              <w:ind w:left="118" w:right="109"/>
              <w:jc w:val="both"/>
            </w:pPr>
            <w:r>
              <w:rPr>
                <w:spacing w:val="26"/>
              </w:rPr>
              <w:t>未采取有效措施及</w:t>
            </w:r>
            <w:r>
              <w:rPr>
                <w:spacing w:val="-15"/>
              </w:rPr>
              <w:t>时、妥善处置，造成</w:t>
            </w:r>
            <w:r>
              <w:rPr>
                <w:spacing w:val="6"/>
              </w:rPr>
              <w:t>严重影响的</w:t>
            </w:r>
          </w:p>
        </w:tc>
        <w:tc>
          <w:tcPr>
            <w:tcW w:w="2894" w:type="dxa"/>
            <w:vAlign w:val="top"/>
          </w:tcPr>
          <w:p w14:paraId="25BD9580">
            <w:pPr>
              <w:spacing w:line="244" w:lineRule="auto"/>
              <w:rPr>
                <w:rFonts w:ascii="Arial"/>
                <w:sz w:val="21"/>
              </w:rPr>
            </w:pPr>
          </w:p>
          <w:p w14:paraId="5258420C">
            <w:pPr>
              <w:pStyle w:val="6"/>
              <w:spacing w:before="99" w:line="182" w:lineRule="auto"/>
              <w:ind w:left="127"/>
            </w:pPr>
            <w:r>
              <w:rPr>
                <w:spacing w:val="4"/>
              </w:rPr>
              <w:t>责令改正，处</w:t>
            </w:r>
            <w:r>
              <w:rPr>
                <w:rFonts w:ascii="宋体" w:hAnsi="宋体" w:eastAsia="宋体" w:cs="宋体"/>
                <w:spacing w:val="4"/>
              </w:rPr>
              <w:t>9</w:t>
            </w:r>
            <w:r>
              <w:rPr>
                <w:spacing w:val="4"/>
              </w:rPr>
              <w:t>万元以上</w:t>
            </w:r>
          </w:p>
          <w:p w14:paraId="2F8F9257">
            <w:pPr>
              <w:pStyle w:val="6"/>
              <w:spacing w:before="1" w:line="208" w:lineRule="auto"/>
              <w:ind w:left="133"/>
            </w:pPr>
            <w:r>
              <w:rPr>
                <w:rFonts w:ascii="宋体" w:hAnsi="宋体" w:eastAsia="宋体" w:cs="宋体"/>
                <w:spacing w:val="2"/>
              </w:rPr>
              <w:t>10</w:t>
            </w:r>
            <w:r>
              <w:rPr>
                <w:spacing w:val="2"/>
              </w:rPr>
              <w:t>万元以下的罚款</w:t>
            </w:r>
          </w:p>
        </w:tc>
        <w:tc>
          <w:tcPr>
            <w:tcW w:w="811" w:type="dxa"/>
            <w:vMerge w:val="continue"/>
            <w:tcBorders>
              <w:top w:val="nil"/>
            </w:tcBorders>
            <w:vAlign w:val="top"/>
          </w:tcPr>
          <w:p w14:paraId="451B2DBC">
            <w:pPr>
              <w:rPr>
                <w:rFonts w:ascii="Arial"/>
                <w:sz w:val="21"/>
              </w:rPr>
            </w:pPr>
          </w:p>
        </w:tc>
      </w:tr>
      <w:tr w14:paraId="69EF2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restart"/>
            <w:tcBorders>
              <w:bottom w:val="nil"/>
            </w:tcBorders>
            <w:vAlign w:val="top"/>
          </w:tcPr>
          <w:p w14:paraId="771F91DE">
            <w:pPr>
              <w:spacing w:line="271" w:lineRule="auto"/>
              <w:rPr>
                <w:rFonts w:ascii="Arial"/>
                <w:sz w:val="21"/>
              </w:rPr>
            </w:pPr>
          </w:p>
          <w:p w14:paraId="7A086821">
            <w:pPr>
              <w:spacing w:line="271" w:lineRule="auto"/>
              <w:rPr>
                <w:rFonts w:ascii="Arial"/>
                <w:sz w:val="21"/>
              </w:rPr>
            </w:pPr>
          </w:p>
          <w:p w14:paraId="46C627A8">
            <w:pPr>
              <w:spacing w:line="271" w:lineRule="auto"/>
              <w:rPr>
                <w:rFonts w:ascii="Arial"/>
                <w:sz w:val="21"/>
              </w:rPr>
            </w:pPr>
          </w:p>
          <w:p w14:paraId="0FCF2F7C">
            <w:pPr>
              <w:spacing w:line="271" w:lineRule="auto"/>
              <w:rPr>
                <w:rFonts w:ascii="Arial"/>
                <w:sz w:val="21"/>
              </w:rPr>
            </w:pPr>
          </w:p>
          <w:p w14:paraId="395F59D5">
            <w:pPr>
              <w:spacing w:line="272" w:lineRule="auto"/>
              <w:rPr>
                <w:rFonts w:ascii="Arial"/>
                <w:sz w:val="21"/>
              </w:rPr>
            </w:pPr>
          </w:p>
          <w:p w14:paraId="7DADCFD7">
            <w:pPr>
              <w:spacing w:before="75" w:line="186" w:lineRule="auto"/>
              <w:ind w:left="161"/>
              <w:rPr>
                <w:rFonts w:ascii="仿宋" w:hAnsi="仿宋" w:eastAsia="仿宋" w:cs="仿宋"/>
                <w:sz w:val="23"/>
                <w:szCs w:val="23"/>
              </w:rPr>
            </w:pPr>
            <w:r>
              <w:rPr>
                <w:rFonts w:ascii="仿宋" w:hAnsi="仿宋" w:eastAsia="仿宋" w:cs="仿宋"/>
                <w:spacing w:val="-5"/>
                <w:sz w:val="23"/>
                <w:szCs w:val="23"/>
              </w:rPr>
              <w:t>133</w:t>
            </w:r>
          </w:p>
        </w:tc>
        <w:tc>
          <w:tcPr>
            <w:tcW w:w="1440" w:type="dxa"/>
            <w:vMerge w:val="restart"/>
            <w:tcBorders>
              <w:bottom w:val="nil"/>
            </w:tcBorders>
            <w:vAlign w:val="top"/>
          </w:tcPr>
          <w:p w14:paraId="3880EAB4">
            <w:pPr>
              <w:spacing w:line="392" w:lineRule="auto"/>
              <w:rPr>
                <w:rFonts w:ascii="Arial"/>
                <w:sz w:val="21"/>
              </w:rPr>
            </w:pPr>
          </w:p>
          <w:p w14:paraId="32CB8115">
            <w:pPr>
              <w:pStyle w:val="6"/>
              <w:spacing w:before="99" w:line="186" w:lineRule="auto"/>
              <w:ind w:left="115" w:right="17" w:firstLine="11"/>
              <w:jc w:val="both"/>
            </w:pPr>
            <w:r>
              <w:rPr>
                <w:spacing w:val="-12"/>
                <w:w w:val="98"/>
              </w:rPr>
              <w:t>转产、停产、</w:t>
            </w:r>
            <w:r>
              <w:rPr>
                <w:spacing w:val="11"/>
              </w:rPr>
              <w:t>停止使用的危险化学品</w:t>
            </w:r>
            <w:r>
              <w:rPr>
                <w:spacing w:val="3"/>
              </w:rPr>
              <w:t>管道，管道</w:t>
            </w:r>
            <w:r>
              <w:rPr>
                <w:spacing w:val="11"/>
              </w:rPr>
              <w:t>单位未按规定将处置方</w:t>
            </w:r>
            <w:r>
              <w:rPr>
                <w:spacing w:val="6"/>
              </w:rPr>
              <w:t>案报备的</w:t>
            </w:r>
          </w:p>
        </w:tc>
        <w:tc>
          <w:tcPr>
            <w:tcW w:w="3202" w:type="dxa"/>
            <w:vMerge w:val="restart"/>
            <w:tcBorders>
              <w:bottom w:val="nil"/>
            </w:tcBorders>
            <w:vAlign w:val="top"/>
          </w:tcPr>
          <w:p w14:paraId="13F70E91">
            <w:pPr>
              <w:pStyle w:val="6"/>
              <w:spacing w:before="39" w:line="181" w:lineRule="auto"/>
              <w:ind w:left="118" w:right="111" w:firstLine="12"/>
              <w:jc w:val="both"/>
            </w:pPr>
            <w:r>
              <w:rPr>
                <w:rFonts w:ascii="宋体" w:hAnsi="宋体" w:eastAsia="宋体" w:cs="宋体"/>
                <w:spacing w:val="14"/>
              </w:rPr>
              <w:t>1.</w:t>
            </w:r>
            <w:r>
              <w:rPr>
                <w:spacing w:val="14"/>
              </w:rPr>
              <w:t>【行政法规】《危险化学</w:t>
            </w:r>
            <w:r>
              <w:rPr>
                <w:spacing w:val="17"/>
              </w:rPr>
              <w:t>品安全管理条例》第二十七</w:t>
            </w:r>
            <w:r>
              <w:rPr>
                <w:spacing w:val="12"/>
              </w:rPr>
              <w:t>条：生产、储存危险化学品</w:t>
            </w:r>
            <w:r>
              <w:rPr>
                <w:spacing w:val="17"/>
              </w:rPr>
              <w:t>的单位转产、停产、停业或</w:t>
            </w:r>
            <w:r>
              <w:rPr>
                <w:spacing w:val="13"/>
              </w:rPr>
              <w:t>者解散的，应当采取有效措施，及时、妥善处置其危险</w:t>
            </w:r>
            <w:r>
              <w:rPr>
                <w:spacing w:val="17"/>
              </w:rPr>
              <w:t>化学品生产装置、储存设施</w:t>
            </w:r>
            <w:r>
              <w:rPr>
                <w:spacing w:val="12"/>
              </w:rPr>
              <w:t>以及库存的危险化学品，不</w:t>
            </w:r>
            <w:r>
              <w:rPr>
                <w:spacing w:val="13"/>
              </w:rPr>
              <w:t>得丢弃危险化学品；处置方</w:t>
            </w:r>
            <w:r>
              <w:rPr>
                <w:spacing w:val="17"/>
              </w:rPr>
              <w:t>案应当报所在地县级人民政</w:t>
            </w:r>
          </w:p>
        </w:tc>
        <w:tc>
          <w:tcPr>
            <w:tcW w:w="2859" w:type="dxa"/>
            <w:vMerge w:val="restart"/>
            <w:tcBorders>
              <w:bottom w:val="nil"/>
            </w:tcBorders>
            <w:vAlign w:val="top"/>
          </w:tcPr>
          <w:p w14:paraId="3BA84DAB">
            <w:pPr>
              <w:pStyle w:val="6"/>
              <w:spacing w:before="39" w:line="181" w:lineRule="auto"/>
              <w:ind w:left="117" w:right="110" w:firstLine="13"/>
              <w:jc w:val="both"/>
            </w:pPr>
            <w:r>
              <w:rPr>
                <w:rFonts w:ascii="宋体" w:hAnsi="宋体" w:eastAsia="宋体" w:cs="宋体"/>
                <w:spacing w:val="6"/>
              </w:rPr>
              <w:t>1.</w:t>
            </w:r>
            <w:r>
              <w:rPr>
                <w:spacing w:val="6"/>
              </w:rPr>
              <w:t>【行政法规】《危险化</w:t>
            </w:r>
            <w:r>
              <w:rPr>
                <w:spacing w:val="8"/>
              </w:rPr>
              <w:t>学品安全管理条例》第八十二条第二款：生产、储存、使用危险化学品的单位转产、停产、停业或者</w:t>
            </w:r>
            <w:r>
              <w:rPr>
                <w:spacing w:val="5"/>
              </w:rPr>
              <w:t>解散，未依照本条例规定</w:t>
            </w:r>
            <w:r>
              <w:rPr>
                <w:spacing w:val="32"/>
              </w:rPr>
              <w:t>将其危险化学品生产装</w:t>
            </w:r>
            <w:r>
              <w:rPr>
                <w:spacing w:val="8"/>
              </w:rPr>
              <w:t>置、储存设施以及库存危险化学品的处置方案报有关部门备案的，分别由有</w:t>
            </w:r>
          </w:p>
        </w:tc>
        <w:tc>
          <w:tcPr>
            <w:tcW w:w="803" w:type="dxa"/>
            <w:vAlign w:val="top"/>
          </w:tcPr>
          <w:p w14:paraId="284E8951">
            <w:pPr>
              <w:spacing w:line="447" w:lineRule="auto"/>
              <w:rPr>
                <w:rFonts w:ascii="Arial"/>
                <w:sz w:val="21"/>
              </w:rPr>
            </w:pPr>
          </w:p>
          <w:p w14:paraId="18639A01">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1A77BD6">
            <w:pPr>
              <w:pStyle w:val="6"/>
              <w:spacing w:before="331" w:line="196" w:lineRule="auto"/>
              <w:ind w:left="145" w:right="105" w:hanging="28"/>
            </w:pPr>
            <w:r>
              <w:rPr>
                <w:spacing w:val="-2"/>
              </w:rPr>
              <w:t>超出规定时限</w:t>
            </w:r>
            <w:r>
              <w:rPr>
                <w:rFonts w:ascii="宋体" w:hAnsi="宋体" w:eastAsia="宋体" w:cs="宋体"/>
                <w:spacing w:val="-2"/>
              </w:rPr>
              <w:t>10</w:t>
            </w:r>
            <w:r>
              <w:rPr>
                <w:spacing w:val="-2"/>
              </w:rPr>
              <w:t>日</w:t>
            </w:r>
            <w:r>
              <w:rPr>
                <w:spacing w:val="2"/>
              </w:rPr>
              <w:t>以内未备案的</w:t>
            </w:r>
          </w:p>
        </w:tc>
        <w:tc>
          <w:tcPr>
            <w:tcW w:w="2894" w:type="dxa"/>
            <w:vAlign w:val="top"/>
          </w:tcPr>
          <w:p w14:paraId="01ADCFE1">
            <w:pPr>
              <w:pStyle w:val="6"/>
              <w:spacing w:before="29" w:line="177" w:lineRule="auto"/>
              <w:ind w:left="119" w:right="37" w:firstLine="8"/>
              <w:jc w:val="both"/>
            </w:pPr>
            <w:r>
              <w:rPr>
                <w:spacing w:val="1"/>
              </w:rPr>
              <w:t>责令改正，可以处</w:t>
            </w:r>
            <w:r>
              <w:rPr>
                <w:rFonts w:ascii="宋体" w:hAnsi="宋体" w:eastAsia="宋体" w:cs="宋体"/>
                <w:spacing w:val="1"/>
              </w:rPr>
              <w:t>1</w:t>
            </w:r>
            <w:r>
              <w:rPr>
                <w:spacing w:val="1"/>
              </w:rPr>
              <w:t>万元</w:t>
            </w:r>
            <w:r>
              <w:rPr>
                <w:spacing w:val="-3"/>
              </w:rPr>
              <w:t>以下的罚款；拒不改正的，</w:t>
            </w:r>
            <w:r>
              <w:rPr>
                <w:spacing w:val="2"/>
              </w:rPr>
              <w:t>处</w:t>
            </w:r>
            <w:r>
              <w:rPr>
                <w:rFonts w:ascii="宋体" w:hAnsi="宋体" w:eastAsia="宋体" w:cs="宋体"/>
                <w:spacing w:val="2"/>
              </w:rPr>
              <w:t>1</w:t>
            </w:r>
            <w:r>
              <w:rPr>
                <w:spacing w:val="2"/>
              </w:rPr>
              <w:t>万元以上</w:t>
            </w:r>
            <w:r>
              <w:rPr>
                <w:rFonts w:ascii="宋体" w:hAnsi="宋体" w:eastAsia="宋体" w:cs="宋体"/>
                <w:spacing w:val="2"/>
              </w:rPr>
              <w:t>2</w:t>
            </w:r>
            <w:r>
              <w:rPr>
                <w:spacing w:val="2"/>
              </w:rPr>
              <w:t>万元以下</w:t>
            </w:r>
            <w:r>
              <w:rPr>
                <w:spacing w:val="5"/>
              </w:rPr>
              <w:t>的罚款</w:t>
            </w:r>
          </w:p>
        </w:tc>
        <w:tc>
          <w:tcPr>
            <w:tcW w:w="811" w:type="dxa"/>
            <w:vMerge w:val="restart"/>
            <w:tcBorders>
              <w:bottom w:val="nil"/>
            </w:tcBorders>
            <w:vAlign w:val="top"/>
          </w:tcPr>
          <w:p w14:paraId="06E7B4CE">
            <w:pPr>
              <w:spacing w:line="270" w:lineRule="auto"/>
              <w:rPr>
                <w:rFonts w:ascii="Arial"/>
                <w:sz w:val="21"/>
              </w:rPr>
            </w:pPr>
          </w:p>
          <w:p w14:paraId="7857DCB1">
            <w:pPr>
              <w:spacing w:line="270" w:lineRule="auto"/>
              <w:rPr>
                <w:rFonts w:ascii="Arial"/>
                <w:sz w:val="21"/>
              </w:rPr>
            </w:pPr>
          </w:p>
          <w:p w14:paraId="21F10624">
            <w:pPr>
              <w:spacing w:line="271" w:lineRule="auto"/>
              <w:rPr>
                <w:rFonts w:ascii="Arial"/>
                <w:sz w:val="21"/>
              </w:rPr>
            </w:pPr>
          </w:p>
          <w:p w14:paraId="1FF33073">
            <w:pPr>
              <w:spacing w:line="271" w:lineRule="auto"/>
              <w:rPr>
                <w:rFonts w:ascii="Arial"/>
                <w:sz w:val="21"/>
              </w:rPr>
            </w:pPr>
          </w:p>
          <w:p w14:paraId="001E7B94">
            <w:pPr>
              <w:spacing w:line="271" w:lineRule="auto"/>
              <w:rPr>
                <w:rFonts w:ascii="Arial"/>
                <w:sz w:val="21"/>
              </w:rPr>
            </w:pPr>
          </w:p>
          <w:p w14:paraId="29E1E7FF">
            <w:pPr>
              <w:spacing w:before="75" w:line="188" w:lineRule="auto"/>
              <w:ind w:left="292"/>
              <w:rPr>
                <w:rFonts w:ascii="宋体" w:hAnsi="宋体" w:eastAsia="宋体" w:cs="宋体"/>
                <w:sz w:val="23"/>
                <w:szCs w:val="23"/>
              </w:rPr>
            </w:pPr>
            <w:r>
              <w:rPr>
                <w:rFonts w:ascii="宋体" w:hAnsi="宋体" w:eastAsia="宋体" w:cs="宋体"/>
                <w:spacing w:val="-2"/>
                <w:sz w:val="23"/>
                <w:szCs w:val="23"/>
              </w:rPr>
              <w:t>93</w:t>
            </w:r>
          </w:p>
        </w:tc>
      </w:tr>
      <w:tr w14:paraId="6CD65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continue"/>
            <w:tcBorders>
              <w:top w:val="nil"/>
              <w:bottom w:val="nil"/>
            </w:tcBorders>
            <w:vAlign w:val="top"/>
          </w:tcPr>
          <w:p w14:paraId="0394AA19">
            <w:pPr>
              <w:rPr>
                <w:rFonts w:ascii="Arial"/>
                <w:sz w:val="21"/>
              </w:rPr>
            </w:pPr>
          </w:p>
        </w:tc>
        <w:tc>
          <w:tcPr>
            <w:tcW w:w="1440" w:type="dxa"/>
            <w:vMerge w:val="continue"/>
            <w:tcBorders>
              <w:top w:val="nil"/>
              <w:bottom w:val="nil"/>
            </w:tcBorders>
            <w:vAlign w:val="top"/>
          </w:tcPr>
          <w:p w14:paraId="16AAAAFB">
            <w:pPr>
              <w:rPr>
                <w:rFonts w:ascii="Arial"/>
                <w:sz w:val="21"/>
              </w:rPr>
            </w:pPr>
          </w:p>
        </w:tc>
        <w:tc>
          <w:tcPr>
            <w:tcW w:w="3202" w:type="dxa"/>
            <w:vMerge w:val="continue"/>
            <w:tcBorders>
              <w:top w:val="nil"/>
              <w:bottom w:val="nil"/>
            </w:tcBorders>
            <w:vAlign w:val="top"/>
          </w:tcPr>
          <w:p w14:paraId="0D045B10">
            <w:pPr>
              <w:rPr>
                <w:rFonts w:ascii="Arial"/>
                <w:sz w:val="21"/>
              </w:rPr>
            </w:pPr>
          </w:p>
        </w:tc>
        <w:tc>
          <w:tcPr>
            <w:tcW w:w="2859" w:type="dxa"/>
            <w:vMerge w:val="continue"/>
            <w:tcBorders>
              <w:top w:val="nil"/>
              <w:bottom w:val="nil"/>
            </w:tcBorders>
            <w:vAlign w:val="top"/>
          </w:tcPr>
          <w:p w14:paraId="316505FA">
            <w:pPr>
              <w:rPr>
                <w:rFonts w:ascii="Arial"/>
                <w:sz w:val="21"/>
              </w:rPr>
            </w:pPr>
          </w:p>
        </w:tc>
        <w:tc>
          <w:tcPr>
            <w:tcW w:w="803" w:type="dxa"/>
            <w:vAlign w:val="top"/>
          </w:tcPr>
          <w:p w14:paraId="67445898">
            <w:pPr>
              <w:spacing w:line="451" w:lineRule="auto"/>
              <w:rPr>
                <w:rFonts w:ascii="Arial"/>
                <w:sz w:val="21"/>
              </w:rPr>
            </w:pPr>
          </w:p>
          <w:p w14:paraId="5F3EE7EE">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B4779D6">
            <w:pPr>
              <w:pStyle w:val="6"/>
              <w:spacing w:before="183" w:line="191" w:lineRule="auto"/>
              <w:ind w:left="123" w:right="105" w:hanging="6"/>
              <w:jc w:val="both"/>
            </w:pPr>
            <w:r>
              <w:rPr>
                <w:spacing w:val="-2"/>
              </w:rPr>
              <w:t>超出规定时限</w:t>
            </w:r>
            <w:r>
              <w:rPr>
                <w:rFonts w:ascii="宋体" w:hAnsi="宋体" w:eastAsia="宋体" w:cs="宋体"/>
                <w:spacing w:val="-2"/>
              </w:rPr>
              <w:t>10</w:t>
            </w:r>
            <w:r>
              <w:rPr>
                <w:spacing w:val="-2"/>
              </w:rPr>
              <w:t>日</w:t>
            </w:r>
            <w:r>
              <w:t>以上</w:t>
            </w:r>
            <w:r>
              <w:rPr>
                <w:rFonts w:ascii="宋体" w:hAnsi="宋体" w:eastAsia="宋体" w:cs="宋体"/>
              </w:rPr>
              <w:t>20</w:t>
            </w:r>
            <w:r>
              <w:t>日以内未备</w:t>
            </w:r>
            <w:r>
              <w:rPr>
                <w:spacing w:val="-1"/>
              </w:rPr>
              <w:t>案的</w:t>
            </w:r>
          </w:p>
        </w:tc>
        <w:tc>
          <w:tcPr>
            <w:tcW w:w="2894" w:type="dxa"/>
            <w:vAlign w:val="top"/>
          </w:tcPr>
          <w:p w14:paraId="398E03AA">
            <w:pPr>
              <w:pStyle w:val="6"/>
              <w:spacing w:before="29" w:line="177" w:lineRule="auto"/>
              <w:ind w:left="119" w:right="37" w:firstLine="8"/>
              <w:jc w:val="both"/>
            </w:pPr>
            <w:r>
              <w:rPr>
                <w:spacing w:val="1"/>
              </w:rPr>
              <w:t>责令改正，可以处</w:t>
            </w:r>
            <w:r>
              <w:rPr>
                <w:rFonts w:ascii="宋体" w:hAnsi="宋体" w:eastAsia="宋体" w:cs="宋体"/>
                <w:spacing w:val="1"/>
              </w:rPr>
              <w:t>1</w:t>
            </w:r>
            <w:r>
              <w:rPr>
                <w:spacing w:val="1"/>
              </w:rPr>
              <w:t>万元</w:t>
            </w:r>
            <w:r>
              <w:rPr>
                <w:spacing w:val="-3"/>
              </w:rPr>
              <w:t>以下的罚款；拒不改正的，</w:t>
            </w:r>
            <w:r>
              <w:rPr>
                <w:spacing w:val="3"/>
              </w:rPr>
              <w:t>处</w:t>
            </w:r>
            <w:r>
              <w:rPr>
                <w:rFonts w:ascii="宋体" w:hAnsi="宋体" w:eastAsia="宋体" w:cs="宋体"/>
                <w:spacing w:val="3"/>
              </w:rPr>
              <w:t>2</w:t>
            </w:r>
            <w:r>
              <w:rPr>
                <w:spacing w:val="3"/>
              </w:rPr>
              <w:t>万元以上</w:t>
            </w:r>
            <w:r>
              <w:rPr>
                <w:rFonts w:ascii="宋体" w:hAnsi="宋体" w:eastAsia="宋体" w:cs="宋体"/>
                <w:spacing w:val="3"/>
              </w:rPr>
              <w:t>4</w:t>
            </w:r>
            <w:r>
              <w:rPr>
                <w:spacing w:val="3"/>
              </w:rPr>
              <w:t>万元以下</w:t>
            </w:r>
            <w:r>
              <w:rPr>
                <w:spacing w:val="5"/>
              </w:rPr>
              <w:t>的罚款</w:t>
            </w:r>
          </w:p>
        </w:tc>
        <w:tc>
          <w:tcPr>
            <w:tcW w:w="811" w:type="dxa"/>
            <w:vMerge w:val="continue"/>
            <w:tcBorders>
              <w:top w:val="nil"/>
              <w:bottom w:val="nil"/>
            </w:tcBorders>
            <w:vAlign w:val="top"/>
          </w:tcPr>
          <w:p w14:paraId="59080829">
            <w:pPr>
              <w:rPr>
                <w:rFonts w:ascii="Arial"/>
                <w:sz w:val="21"/>
              </w:rPr>
            </w:pPr>
          </w:p>
        </w:tc>
      </w:tr>
      <w:tr w14:paraId="01CC7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18" w:type="dxa"/>
            <w:vMerge w:val="continue"/>
            <w:tcBorders>
              <w:top w:val="nil"/>
            </w:tcBorders>
            <w:vAlign w:val="top"/>
          </w:tcPr>
          <w:p w14:paraId="0D1DE80D">
            <w:pPr>
              <w:rPr>
                <w:rFonts w:ascii="Arial"/>
                <w:sz w:val="21"/>
              </w:rPr>
            </w:pPr>
          </w:p>
        </w:tc>
        <w:tc>
          <w:tcPr>
            <w:tcW w:w="1440" w:type="dxa"/>
            <w:vMerge w:val="continue"/>
            <w:tcBorders>
              <w:top w:val="nil"/>
            </w:tcBorders>
            <w:vAlign w:val="top"/>
          </w:tcPr>
          <w:p w14:paraId="1C67561A">
            <w:pPr>
              <w:rPr>
                <w:rFonts w:ascii="Arial"/>
                <w:sz w:val="21"/>
              </w:rPr>
            </w:pPr>
          </w:p>
        </w:tc>
        <w:tc>
          <w:tcPr>
            <w:tcW w:w="3202" w:type="dxa"/>
            <w:vMerge w:val="continue"/>
            <w:tcBorders>
              <w:top w:val="nil"/>
            </w:tcBorders>
            <w:vAlign w:val="top"/>
          </w:tcPr>
          <w:p w14:paraId="5266CF27">
            <w:pPr>
              <w:rPr>
                <w:rFonts w:ascii="Arial"/>
                <w:sz w:val="21"/>
              </w:rPr>
            </w:pPr>
          </w:p>
        </w:tc>
        <w:tc>
          <w:tcPr>
            <w:tcW w:w="2859" w:type="dxa"/>
            <w:vMerge w:val="continue"/>
            <w:tcBorders>
              <w:top w:val="nil"/>
            </w:tcBorders>
            <w:vAlign w:val="top"/>
          </w:tcPr>
          <w:p w14:paraId="4D3F1AF4">
            <w:pPr>
              <w:rPr>
                <w:rFonts w:ascii="Arial"/>
                <w:sz w:val="21"/>
              </w:rPr>
            </w:pPr>
          </w:p>
        </w:tc>
        <w:tc>
          <w:tcPr>
            <w:tcW w:w="803" w:type="dxa"/>
            <w:vAlign w:val="top"/>
          </w:tcPr>
          <w:p w14:paraId="03B53752">
            <w:pPr>
              <w:spacing w:before="228"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28ED70B2">
            <w:pPr>
              <w:pStyle w:val="6"/>
              <w:spacing w:before="32" w:line="172" w:lineRule="auto"/>
              <w:ind w:left="145" w:right="105" w:hanging="28"/>
            </w:pPr>
            <w:r>
              <w:rPr>
                <w:spacing w:val="1"/>
              </w:rPr>
              <w:t>超出规定时限</w:t>
            </w:r>
            <w:r>
              <w:rPr>
                <w:rFonts w:ascii="宋体" w:hAnsi="宋体" w:eastAsia="宋体" w:cs="宋体"/>
                <w:spacing w:val="1"/>
              </w:rPr>
              <w:t>20</w:t>
            </w:r>
            <w:r>
              <w:rPr>
                <w:spacing w:val="1"/>
              </w:rPr>
              <w:t>日</w:t>
            </w:r>
            <w:r>
              <w:rPr>
                <w:spacing w:val="2"/>
              </w:rPr>
              <w:t>以上未备案的</w:t>
            </w:r>
          </w:p>
        </w:tc>
        <w:tc>
          <w:tcPr>
            <w:tcW w:w="2894" w:type="dxa"/>
            <w:vAlign w:val="top"/>
          </w:tcPr>
          <w:p w14:paraId="538E10ED">
            <w:pPr>
              <w:pStyle w:val="6"/>
              <w:spacing w:before="32" w:line="172" w:lineRule="auto"/>
              <w:ind w:left="146" w:right="37" w:hanging="19"/>
            </w:pPr>
            <w:r>
              <w:rPr>
                <w:spacing w:val="1"/>
              </w:rPr>
              <w:t>责令改正，可以处</w:t>
            </w:r>
            <w:r>
              <w:rPr>
                <w:rFonts w:ascii="宋体" w:hAnsi="宋体" w:eastAsia="宋体" w:cs="宋体"/>
                <w:spacing w:val="1"/>
              </w:rPr>
              <w:t>1</w:t>
            </w:r>
            <w:r>
              <w:rPr>
                <w:spacing w:val="1"/>
              </w:rPr>
              <w:t>万元</w:t>
            </w:r>
            <w:r>
              <w:rPr>
                <w:spacing w:val="-5"/>
              </w:rPr>
              <w:t>以下的罚款；拒不改正的，</w:t>
            </w:r>
          </w:p>
        </w:tc>
        <w:tc>
          <w:tcPr>
            <w:tcW w:w="811" w:type="dxa"/>
            <w:vMerge w:val="continue"/>
            <w:tcBorders>
              <w:top w:val="nil"/>
            </w:tcBorders>
            <w:vAlign w:val="top"/>
          </w:tcPr>
          <w:p w14:paraId="57F38DC3">
            <w:pPr>
              <w:rPr>
                <w:rFonts w:ascii="Arial"/>
                <w:sz w:val="21"/>
              </w:rPr>
            </w:pPr>
          </w:p>
        </w:tc>
      </w:tr>
    </w:tbl>
    <w:p w14:paraId="2126717D">
      <w:pPr>
        <w:pStyle w:val="2"/>
      </w:pPr>
    </w:p>
    <w:p w14:paraId="3E83C11F">
      <w:pPr>
        <w:sectPr>
          <w:footerReference r:id="rId156" w:type="default"/>
          <w:pgSz w:w="16839" w:h="11906"/>
          <w:pgMar w:top="1012" w:right="821" w:bottom="667" w:left="901" w:header="0" w:footer="388" w:gutter="0"/>
          <w:cols w:space="720" w:num="1"/>
        </w:sectPr>
      </w:pPr>
    </w:p>
    <w:p w14:paraId="47882CBE">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E3BC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83A706E">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6FA5063D">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9D26AB8">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3937BF9">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A61E29B">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B0129EE">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7E684CC">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C6DD970">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623AD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2" w:hRule="atLeast"/>
        </w:trPr>
        <w:tc>
          <w:tcPr>
            <w:tcW w:w="818" w:type="dxa"/>
            <w:vAlign w:val="top"/>
          </w:tcPr>
          <w:p w14:paraId="1DE73F44">
            <w:pPr>
              <w:rPr>
                <w:rFonts w:ascii="Arial"/>
                <w:sz w:val="21"/>
              </w:rPr>
            </w:pPr>
          </w:p>
        </w:tc>
        <w:tc>
          <w:tcPr>
            <w:tcW w:w="1440" w:type="dxa"/>
            <w:vAlign w:val="top"/>
          </w:tcPr>
          <w:p w14:paraId="50DC66BE">
            <w:pPr>
              <w:rPr>
                <w:rFonts w:ascii="Arial"/>
                <w:sz w:val="21"/>
              </w:rPr>
            </w:pPr>
          </w:p>
        </w:tc>
        <w:tc>
          <w:tcPr>
            <w:tcW w:w="3202" w:type="dxa"/>
            <w:vAlign w:val="top"/>
          </w:tcPr>
          <w:p w14:paraId="6593DE7A">
            <w:pPr>
              <w:pStyle w:val="6"/>
              <w:spacing w:before="34" w:line="182" w:lineRule="auto"/>
              <w:ind w:left="114" w:right="111" w:firstLine="2"/>
            </w:pPr>
            <w:r>
              <w:rPr>
                <w:spacing w:val="14"/>
              </w:rPr>
              <w:t>府安全生产监督管理部门、</w:t>
            </w:r>
            <w:r>
              <w:rPr>
                <w:spacing w:val="17"/>
              </w:rPr>
              <w:t>工业和信息化主管部门、环境保护主管部门和公安机关备案。安全生产监督管理部</w:t>
            </w:r>
            <w:bookmarkStart w:id="582" w:name="bookmark276"/>
            <w:bookmarkEnd w:id="582"/>
            <w:r>
              <w:rPr>
                <w:spacing w:val="17"/>
              </w:rPr>
              <w:t>门应当会同环境保护主管部门和公安机关对处置情况进</w:t>
            </w:r>
            <w:r>
              <w:rPr>
                <w:spacing w:val="13"/>
              </w:rPr>
              <w:t>行监督检查，发现未依照规定处置的，应当责令其立即</w:t>
            </w:r>
            <w:r>
              <w:rPr>
                <w:spacing w:val="-4"/>
              </w:rPr>
              <w:t>处置。</w:t>
            </w:r>
          </w:p>
          <w:p w14:paraId="30A06DFB">
            <w:pPr>
              <w:pStyle w:val="6"/>
              <w:spacing w:before="9" w:line="179" w:lineRule="auto"/>
              <w:ind w:left="116" w:right="19"/>
              <w:jc w:val="both"/>
            </w:pPr>
            <w:r>
              <w:rPr>
                <w:rFonts w:ascii="宋体" w:hAnsi="宋体" w:eastAsia="宋体" w:cs="宋体"/>
                <w:spacing w:val="15"/>
              </w:rPr>
              <w:t>2.</w:t>
            </w:r>
            <w:r>
              <w:rPr>
                <w:spacing w:val="15"/>
              </w:rPr>
              <w:t>【部门规章】《危险化学</w:t>
            </w:r>
            <w:r>
              <w:rPr>
                <w:spacing w:val="18"/>
              </w:rPr>
              <w:t>品输送管道安全管理规定》</w:t>
            </w:r>
            <w:r>
              <w:rPr>
                <w:spacing w:val="1"/>
              </w:rPr>
              <w:t>第二十九条：对转产、停产、</w:t>
            </w:r>
            <w:r>
              <w:rPr>
                <w:spacing w:val="39"/>
              </w:rPr>
              <w:t>停止使用的危险化学品管</w:t>
            </w:r>
            <w:r>
              <w:rPr>
                <w:spacing w:val="13"/>
              </w:rPr>
              <w:t>道，管道单位应当采取有效措施及时妥善处置，并将处</w:t>
            </w:r>
            <w:r>
              <w:rPr>
                <w:spacing w:val="17"/>
              </w:rPr>
              <w:t>置方案报县级以上安全生产</w:t>
            </w:r>
            <w:r>
              <w:rPr>
                <w:spacing w:val="2"/>
              </w:rPr>
              <w:t>监督管理部门。</w:t>
            </w:r>
          </w:p>
        </w:tc>
        <w:tc>
          <w:tcPr>
            <w:tcW w:w="2859" w:type="dxa"/>
            <w:vAlign w:val="top"/>
          </w:tcPr>
          <w:p w14:paraId="0C391404">
            <w:pPr>
              <w:pStyle w:val="6"/>
              <w:spacing w:before="31" w:line="182" w:lineRule="auto"/>
              <w:ind w:left="127" w:right="105" w:hanging="3"/>
              <w:jc w:val="both"/>
            </w:pPr>
            <w:r>
              <w:rPr>
                <w:spacing w:val="7"/>
              </w:rPr>
              <w:t>关部门责令改正，可以处</w:t>
            </w:r>
            <w:r>
              <w:rPr>
                <w:rFonts w:ascii="宋体" w:hAnsi="宋体" w:eastAsia="宋体" w:cs="宋体"/>
                <w:spacing w:val="6"/>
              </w:rPr>
              <w:t>1</w:t>
            </w:r>
            <w:r>
              <w:rPr>
                <w:spacing w:val="6"/>
              </w:rPr>
              <w:t>万元以下的罚款；拒不</w:t>
            </w:r>
            <w:r>
              <w:rPr>
                <w:spacing w:val="2"/>
              </w:rPr>
              <w:t>改正的，处</w:t>
            </w:r>
            <w:r>
              <w:rPr>
                <w:rFonts w:ascii="宋体" w:hAnsi="宋体" w:eastAsia="宋体" w:cs="宋体"/>
                <w:spacing w:val="2"/>
              </w:rPr>
              <w:t>1</w:t>
            </w:r>
            <w:r>
              <w:rPr>
                <w:spacing w:val="2"/>
              </w:rPr>
              <w:t>万元以上</w:t>
            </w:r>
            <w:r>
              <w:rPr>
                <w:rFonts w:ascii="宋体" w:hAnsi="宋体" w:eastAsia="宋体" w:cs="宋体"/>
                <w:spacing w:val="2"/>
              </w:rPr>
              <w:t>5</w:t>
            </w:r>
            <w:r>
              <w:rPr>
                <w:spacing w:val="2"/>
              </w:rPr>
              <w:t>万元以下的罚款。</w:t>
            </w:r>
          </w:p>
          <w:p w14:paraId="23524E68">
            <w:pPr>
              <w:pStyle w:val="6"/>
              <w:spacing w:before="16" w:line="180" w:lineRule="auto"/>
              <w:ind w:left="116" w:right="105"/>
            </w:pPr>
            <w:r>
              <w:rPr>
                <w:rFonts w:ascii="宋体" w:hAnsi="宋体" w:eastAsia="宋体" w:cs="宋体"/>
                <w:spacing w:val="7"/>
              </w:rPr>
              <w:t>2.</w:t>
            </w:r>
            <w:r>
              <w:rPr>
                <w:spacing w:val="7"/>
              </w:rPr>
              <w:t>【部门规章】《危险化</w:t>
            </w:r>
            <w:r>
              <w:rPr>
                <w:spacing w:val="8"/>
              </w:rPr>
              <w:t>学品输送管道安全管理规</w:t>
            </w:r>
            <w:r>
              <w:rPr>
                <w:spacing w:val="7"/>
              </w:rPr>
              <w:t>定》第三十六条第二款：</w:t>
            </w:r>
            <w:r>
              <w:rPr>
                <w:spacing w:val="8"/>
              </w:rPr>
              <w:t>对转产、停产、停止使用的危险化学品管道，管道单位未按照本规定将处置方案报县级以上安全生产监督管理部门的，由安全生产监督管理部门责令改</w:t>
            </w:r>
            <w:r>
              <w:rPr>
                <w:spacing w:val="3"/>
              </w:rPr>
              <w:t>正，可以处</w:t>
            </w:r>
            <w:r>
              <w:rPr>
                <w:rFonts w:ascii="宋体" w:hAnsi="宋体" w:eastAsia="宋体" w:cs="宋体"/>
                <w:spacing w:val="3"/>
              </w:rPr>
              <w:t>1</w:t>
            </w:r>
            <w:r>
              <w:rPr>
                <w:spacing w:val="3"/>
              </w:rPr>
              <w:t>万元以下的罚款；拒不改正的，处</w:t>
            </w:r>
            <w:r>
              <w:rPr>
                <w:rFonts w:ascii="宋体" w:hAnsi="宋体" w:eastAsia="宋体" w:cs="宋体"/>
                <w:spacing w:val="3"/>
              </w:rPr>
              <w:t>1</w:t>
            </w:r>
            <w:r>
              <w:rPr>
                <w:spacing w:val="5"/>
              </w:rPr>
              <w:t>万元以上</w:t>
            </w:r>
            <w:r>
              <w:rPr>
                <w:rFonts w:ascii="宋体" w:hAnsi="宋体" w:eastAsia="宋体" w:cs="宋体"/>
                <w:spacing w:val="5"/>
              </w:rPr>
              <w:t>5</w:t>
            </w:r>
            <w:r>
              <w:rPr>
                <w:spacing w:val="5"/>
              </w:rPr>
              <w:t>万元以下的罚</w:t>
            </w:r>
            <w:r>
              <w:rPr>
                <w:spacing w:val="-7"/>
              </w:rPr>
              <w:t>款。</w:t>
            </w:r>
          </w:p>
        </w:tc>
        <w:tc>
          <w:tcPr>
            <w:tcW w:w="803" w:type="dxa"/>
            <w:vAlign w:val="top"/>
          </w:tcPr>
          <w:p w14:paraId="3DC32441">
            <w:pPr>
              <w:rPr>
                <w:rFonts w:ascii="Arial"/>
                <w:sz w:val="21"/>
              </w:rPr>
            </w:pPr>
          </w:p>
        </w:tc>
        <w:tc>
          <w:tcPr>
            <w:tcW w:w="2283" w:type="dxa"/>
            <w:vAlign w:val="top"/>
          </w:tcPr>
          <w:p w14:paraId="23A891CD">
            <w:pPr>
              <w:rPr>
                <w:rFonts w:ascii="Arial"/>
                <w:sz w:val="21"/>
              </w:rPr>
            </w:pPr>
          </w:p>
        </w:tc>
        <w:tc>
          <w:tcPr>
            <w:tcW w:w="2894" w:type="dxa"/>
            <w:vAlign w:val="top"/>
          </w:tcPr>
          <w:p w14:paraId="15872F37">
            <w:pPr>
              <w:pStyle w:val="6"/>
              <w:spacing w:before="27" w:line="196" w:lineRule="auto"/>
              <w:ind w:left="141" w:right="106" w:hanging="22"/>
            </w:pPr>
            <w:r>
              <w:rPr>
                <w:spacing w:val="3"/>
              </w:rPr>
              <w:t>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万元以下</w:t>
            </w:r>
            <w:r>
              <w:rPr>
                <w:spacing w:val="-2"/>
              </w:rPr>
              <w:t>的罚款</w:t>
            </w:r>
          </w:p>
        </w:tc>
        <w:tc>
          <w:tcPr>
            <w:tcW w:w="811" w:type="dxa"/>
            <w:vAlign w:val="top"/>
          </w:tcPr>
          <w:p w14:paraId="2315BB88">
            <w:pPr>
              <w:rPr>
                <w:rFonts w:ascii="Arial"/>
                <w:sz w:val="21"/>
              </w:rPr>
            </w:pPr>
          </w:p>
        </w:tc>
      </w:tr>
      <w:tr w14:paraId="052FD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18" w:type="dxa"/>
            <w:vMerge w:val="restart"/>
            <w:tcBorders>
              <w:bottom w:val="nil"/>
            </w:tcBorders>
            <w:vAlign w:val="top"/>
          </w:tcPr>
          <w:p w14:paraId="0570A5E2">
            <w:pPr>
              <w:spacing w:line="254" w:lineRule="auto"/>
              <w:rPr>
                <w:rFonts w:ascii="Arial"/>
                <w:sz w:val="21"/>
              </w:rPr>
            </w:pPr>
          </w:p>
          <w:p w14:paraId="6945D496">
            <w:pPr>
              <w:spacing w:line="254" w:lineRule="auto"/>
              <w:rPr>
                <w:rFonts w:ascii="Arial"/>
                <w:sz w:val="21"/>
              </w:rPr>
            </w:pPr>
          </w:p>
          <w:p w14:paraId="767BBDB0">
            <w:pPr>
              <w:spacing w:line="254" w:lineRule="auto"/>
              <w:rPr>
                <w:rFonts w:ascii="Arial"/>
                <w:sz w:val="21"/>
              </w:rPr>
            </w:pPr>
          </w:p>
          <w:p w14:paraId="19004C00">
            <w:pPr>
              <w:spacing w:line="254" w:lineRule="auto"/>
              <w:rPr>
                <w:rFonts w:ascii="Arial"/>
                <w:sz w:val="21"/>
              </w:rPr>
            </w:pPr>
          </w:p>
          <w:p w14:paraId="24CCB500">
            <w:pPr>
              <w:spacing w:line="254" w:lineRule="auto"/>
              <w:rPr>
                <w:rFonts w:ascii="Arial"/>
                <w:sz w:val="21"/>
              </w:rPr>
            </w:pPr>
          </w:p>
          <w:p w14:paraId="46DC34B9">
            <w:pPr>
              <w:spacing w:line="254" w:lineRule="auto"/>
              <w:rPr>
                <w:rFonts w:ascii="Arial"/>
                <w:sz w:val="21"/>
              </w:rPr>
            </w:pPr>
          </w:p>
          <w:p w14:paraId="1ADFC066">
            <w:pPr>
              <w:spacing w:line="255" w:lineRule="auto"/>
              <w:rPr>
                <w:rFonts w:ascii="Arial"/>
                <w:sz w:val="21"/>
              </w:rPr>
            </w:pPr>
          </w:p>
          <w:p w14:paraId="79C7DCED">
            <w:pPr>
              <w:spacing w:before="74" w:line="186" w:lineRule="auto"/>
              <w:ind w:left="161"/>
              <w:rPr>
                <w:rFonts w:ascii="仿宋" w:hAnsi="仿宋" w:eastAsia="仿宋" w:cs="仿宋"/>
                <w:sz w:val="23"/>
                <w:szCs w:val="23"/>
              </w:rPr>
            </w:pPr>
            <w:r>
              <w:rPr>
                <w:rFonts w:ascii="仿宋" w:hAnsi="仿宋" w:eastAsia="仿宋" w:cs="仿宋"/>
                <w:spacing w:val="-5"/>
                <w:sz w:val="23"/>
                <w:szCs w:val="23"/>
              </w:rPr>
              <w:t>134</w:t>
            </w:r>
          </w:p>
        </w:tc>
        <w:tc>
          <w:tcPr>
            <w:tcW w:w="1440" w:type="dxa"/>
            <w:vMerge w:val="restart"/>
            <w:tcBorders>
              <w:bottom w:val="nil"/>
            </w:tcBorders>
            <w:vAlign w:val="top"/>
          </w:tcPr>
          <w:p w14:paraId="7E357868">
            <w:pPr>
              <w:spacing w:line="277" w:lineRule="auto"/>
              <w:rPr>
                <w:rFonts w:ascii="Arial"/>
                <w:sz w:val="21"/>
              </w:rPr>
            </w:pPr>
          </w:p>
          <w:p w14:paraId="5F7FE45A">
            <w:pPr>
              <w:spacing w:line="277" w:lineRule="auto"/>
              <w:rPr>
                <w:rFonts w:ascii="Arial"/>
                <w:sz w:val="21"/>
              </w:rPr>
            </w:pPr>
          </w:p>
          <w:p w14:paraId="2D9CA63A">
            <w:pPr>
              <w:spacing w:line="278" w:lineRule="auto"/>
              <w:rPr>
                <w:rFonts w:ascii="Arial"/>
                <w:sz w:val="21"/>
              </w:rPr>
            </w:pPr>
          </w:p>
          <w:p w14:paraId="01D7ED88">
            <w:pPr>
              <w:spacing w:line="278" w:lineRule="auto"/>
              <w:rPr>
                <w:rFonts w:ascii="Arial"/>
                <w:sz w:val="21"/>
              </w:rPr>
            </w:pPr>
          </w:p>
          <w:p w14:paraId="7ED32B2E">
            <w:pPr>
              <w:pStyle w:val="6"/>
              <w:spacing w:before="99" w:line="188" w:lineRule="auto"/>
              <w:ind w:left="115" w:right="111"/>
              <w:jc w:val="both"/>
            </w:pPr>
            <w:r>
              <w:rPr>
                <w:spacing w:val="11"/>
              </w:rPr>
              <w:t>危险化学品建设项目安全设施竣工后未进行检</w:t>
            </w:r>
            <w:r>
              <w:rPr>
                <w:spacing w:val="6"/>
              </w:rPr>
              <w:t>验、检测的</w:t>
            </w:r>
          </w:p>
        </w:tc>
        <w:tc>
          <w:tcPr>
            <w:tcW w:w="3202" w:type="dxa"/>
            <w:vMerge w:val="restart"/>
            <w:tcBorders>
              <w:bottom w:val="nil"/>
            </w:tcBorders>
            <w:vAlign w:val="top"/>
          </w:tcPr>
          <w:p w14:paraId="31B008D6">
            <w:pPr>
              <w:pStyle w:val="6"/>
              <w:spacing w:before="38" w:line="182" w:lineRule="auto"/>
              <w:ind w:left="117" w:right="110" w:hanging="19"/>
              <w:jc w:val="both"/>
            </w:pPr>
            <w:r>
              <w:rPr>
                <w:spacing w:val="18"/>
              </w:rPr>
              <w:t>【部门规章】《危险化学品</w:t>
            </w:r>
            <w:r>
              <w:rPr>
                <w:spacing w:val="39"/>
              </w:rPr>
              <w:t>建设项目安全监督管理办</w:t>
            </w:r>
            <w:r>
              <w:rPr>
                <w:spacing w:val="13"/>
              </w:rPr>
              <w:t>法》第二十一条：建设项目安全设施施工完成后，建设</w:t>
            </w:r>
            <w:r>
              <w:rPr>
                <w:spacing w:val="17"/>
              </w:rPr>
              <w:t>单位应当按照有关安全生产法律、法规、规章和国家标</w:t>
            </w:r>
            <w:r>
              <w:rPr>
                <w:spacing w:val="13"/>
              </w:rPr>
              <w:t>准、行业标准的规定，对建</w:t>
            </w:r>
          </w:p>
          <w:p w14:paraId="5D45EF2D">
            <w:pPr>
              <w:pStyle w:val="6"/>
              <w:spacing w:line="182" w:lineRule="auto"/>
              <w:ind w:left="116"/>
              <w:outlineLvl w:val="0"/>
            </w:pPr>
            <w:r>
              <w:rPr>
                <w:spacing w:val="15"/>
              </w:rPr>
              <w:t>设项目安全设施进行检验、</w:t>
            </w:r>
          </w:p>
          <w:p w14:paraId="413A944D">
            <w:pPr>
              <w:pStyle w:val="6"/>
              <w:spacing w:before="5" w:line="188" w:lineRule="auto"/>
              <w:ind w:left="117" w:right="111"/>
              <w:jc w:val="both"/>
            </w:pPr>
            <w:r>
              <w:rPr>
                <w:spacing w:val="14"/>
              </w:rPr>
              <w:t>检测，保证建设项目安全设</w:t>
            </w:r>
            <w:r>
              <w:rPr>
                <w:spacing w:val="17"/>
              </w:rPr>
              <w:t>施满足危险化学品生产、储</w:t>
            </w:r>
            <w:r>
              <w:rPr>
                <w:spacing w:val="13"/>
              </w:rPr>
              <w:t>存的安全要求，并处于正常</w:t>
            </w:r>
            <w:r>
              <w:t>适用状态。</w:t>
            </w:r>
          </w:p>
        </w:tc>
        <w:tc>
          <w:tcPr>
            <w:tcW w:w="2859" w:type="dxa"/>
            <w:vMerge w:val="restart"/>
            <w:tcBorders>
              <w:bottom w:val="nil"/>
            </w:tcBorders>
            <w:vAlign w:val="top"/>
          </w:tcPr>
          <w:p w14:paraId="6E66FFAF">
            <w:pPr>
              <w:pStyle w:val="6"/>
              <w:spacing w:before="33" w:line="185" w:lineRule="auto"/>
              <w:ind w:left="116" w:right="40" w:hanging="19"/>
              <w:jc w:val="both"/>
            </w:pPr>
            <w:r>
              <w:rPr>
                <w:spacing w:val="10"/>
              </w:rPr>
              <w:t>【部门规章】《危险化学</w:t>
            </w:r>
            <w:r>
              <w:rPr>
                <w:spacing w:val="8"/>
              </w:rPr>
              <w:t>品建设项目安全监督管理</w:t>
            </w:r>
            <w:r>
              <w:rPr>
                <w:spacing w:val="-6"/>
              </w:rPr>
              <w:t>办法》第三十七条第一项：</w:t>
            </w:r>
            <w:r>
              <w:rPr>
                <w:spacing w:val="6"/>
              </w:rPr>
              <w:t>建设单位有下列行为之一</w:t>
            </w:r>
            <w:r>
              <w:rPr>
                <w:spacing w:val="2"/>
              </w:rPr>
              <w:t>的，责令改正，可以处</w:t>
            </w:r>
            <w:r>
              <w:rPr>
                <w:rFonts w:ascii="宋体" w:hAnsi="宋体" w:eastAsia="宋体" w:cs="宋体"/>
                <w:spacing w:val="2"/>
              </w:rPr>
              <w:t>1</w:t>
            </w:r>
            <w:r>
              <w:rPr>
                <w:spacing w:val="8"/>
              </w:rPr>
              <w:t>万元以下的罚款；逾期未</w:t>
            </w:r>
            <w:r>
              <w:rPr>
                <w:spacing w:val="3"/>
              </w:rPr>
              <w:t>改正的，处</w:t>
            </w:r>
            <w:r>
              <w:rPr>
                <w:rFonts w:ascii="宋体" w:hAnsi="宋体" w:eastAsia="宋体" w:cs="宋体"/>
                <w:spacing w:val="3"/>
              </w:rPr>
              <w:t>1</w:t>
            </w:r>
            <w:r>
              <w:rPr>
                <w:spacing w:val="3"/>
              </w:rPr>
              <w:t>万元以上</w:t>
            </w:r>
            <w:r>
              <w:rPr>
                <w:rFonts w:ascii="宋体" w:hAnsi="宋体" w:eastAsia="宋体" w:cs="宋体"/>
                <w:spacing w:val="3"/>
              </w:rPr>
              <w:t>3</w:t>
            </w:r>
            <w:r>
              <w:rPr>
                <w:spacing w:val="-1"/>
              </w:rPr>
              <w:t>万元以下的罚款</w:t>
            </w:r>
            <w:r>
              <w:rPr>
                <w:spacing w:val="-2"/>
              </w:rPr>
              <w:t>：（</w:t>
            </w:r>
            <w:r>
              <w:rPr>
                <w:spacing w:val="-1"/>
              </w:rPr>
              <w:t>一）</w:t>
            </w:r>
            <w:r>
              <w:rPr>
                <w:spacing w:val="8"/>
              </w:rPr>
              <w:t>建设项目安全设施竣工后</w:t>
            </w:r>
            <w:r>
              <w:rPr>
                <w:spacing w:val="3"/>
              </w:rPr>
              <w:t>未进行检验、检测的；</w:t>
            </w:r>
          </w:p>
        </w:tc>
        <w:tc>
          <w:tcPr>
            <w:tcW w:w="803" w:type="dxa"/>
            <w:vAlign w:val="top"/>
          </w:tcPr>
          <w:p w14:paraId="3ABC1783">
            <w:pPr>
              <w:spacing w:line="445" w:lineRule="auto"/>
              <w:rPr>
                <w:rFonts w:ascii="Arial"/>
                <w:sz w:val="21"/>
              </w:rPr>
            </w:pPr>
          </w:p>
          <w:p w14:paraId="73E24FA8">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76E10BA">
            <w:pPr>
              <w:pStyle w:val="6"/>
              <w:spacing w:before="331" w:line="196" w:lineRule="auto"/>
              <w:ind w:left="117" w:right="108" w:firstLine="5"/>
            </w:pPr>
            <w:r>
              <w:rPr>
                <w:spacing w:val="-12"/>
              </w:rPr>
              <w:t>有</w:t>
            </w:r>
            <w:r>
              <w:rPr>
                <w:rFonts w:ascii="宋体" w:hAnsi="宋体" w:eastAsia="宋体" w:cs="宋体"/>
                <w:spacing w:val="-12"/>
              </w:rPr>
              <w:t>1</w:t>
            </w:r>
            <w:r>
              <w:rPr>
                <w:spacing w:val="-12"/>
              </w:rPr>
              <w:t>台（处）未进行</w:t>
            </w:r>
            <w:r>
              <w:rPr>
                <w:spacing w:val="7"/>
              </w:rPr>
              <w:t>检验、检测的</w:t>
            </w:r>
          </w:p>
        </w:tc>
        <w:tc>
          <w:tcPr>
            <w:tcW w:w="2894" w:type="dxa"/>
            <w:vAlign w:val="top"/>
          </w:tcPr>
          <w:p w14:paraId="30249058">
            <w:pPr>
              <w:pStyle w:val="6"/>
              <w:spacing w:before="30" w:line="177" w:lineRule="auto"/>
              <w:ind w:left="124" w:right="103" w:firstLine="2"/>
              <w:jc w:val="both"/>
            </w:pPr>
            <w:r>
              <w:rPr>
                <w:spacing w:val="1"/>
              </w:rPr>
              <w:t>责令改正，可以处</w:t>
            </w:r>
            <w:r>
              <w:rPr>
                <w:rFonts w:ascii="宋体" w:hAnsi="宋体" w:eastAsia="宋体" w:cs="宋体"/>
                <w:spacing w:val="1"/>
              </w:rPr>
              <w:t>1</w:t>
            </w:r>
            <w:r>
              <w:rPr>
                <w:spacing w:val="1"/>
              </w:rPr>
              <w:t>万元</w:t>
            </w:r>
            <w:r>
              <w:rPr>
                <w:spacing w:val="8"/>
              </w:rPr>
              <w:t>以下的罚款；逾期未改正</w:t>
            </w:r>
            <w:r>
              <w:rPr>
                <w:spacing w:val="-4"/>
              </w:rPr>
              <w:t>的，处</w:t>
            </w:r>
            <w:r>
              <w:rPr>
                <w:rFonts w:ascii="宋体" w:hAnsi="宋体" w:eastAsia="宋体" w:cs="宋体"/>
                <w:spacing w:val="-4"/>
              </w:rPr>
              <w:t>1</w:t>
            </w:r>
            <w:r>
              <w:rPr>
                <w:spacing w:val="-4"/>
              </w:rPr>
              <w:t>万元以上</w:t>
            </w:r>
            <w:r>
              <w:rPr>
                <w:rFonts w:ascii="宋体" w:hAnsi="宋体" w:eastAsia="宋体" w:cs="宋体"/>
                <w:spacing w:val="-4"/>
              </w:rPr>
              <w:t>1.5</w:t>
            </w:r>
            <w:r>
              <w:rPr>
                <w:spacing w:val="-4"/>
              </w:rPr>
              <w:t>万</w:t>
            </w:r>
            <w:r>
              <w:rPr>
                <w:spacing w:val="6"/>
              </w:rPr>
              <w:t>元以下的罚款</w:t>
            </w:r>
          </w:p>
        </w:tc>
        <w:tc>
          <w:tcPr>
            <w:tcW w:w="811" w:type="dxa"/>
            <w:vMerge w:val="restart"/>
            <w:tcBorders>
              <w:bottom w:val="nil"/>
            </w:tcBorders>
            <w:vAlign w:val="top"/>
          </w:tcPr>
          <w:p w14:paraId="6A09F639">
            <w:pPr>
              <w:spacing w:line="253" w:lineRule="auto"/>
              <w:rPr>
                <w:rFonts w:ascii="Arial"/>
                <w:sz w:val="21"/>
              </w:rPr>
            </w:pPr>
          </w:p>
          <w:p w14:paraId="3FBE7358">
            <w:pPr>
              <w:spacing w:line="253" w:lineRule="auto"/>
              <w:rPr>
                <w:rFonts w:ascii="Arial"/>
                <w:sz w:val="21"/>
              </w:rPr>
            </w:pPr>
          </w:p>
          <w:p w14:paraId="7069500E">
            <w:pPr>
              <w:spacing w:line="254" w:lineRule="auto"/>
              <w:rPr>
                <w:rFonts w:ascii="Arial"/>
                <w:sz w:val="21"/>
              </w:rPr>
            </w:pPr>
          </w:p>
          <w:p w14:paraId="4891AD85">
            <w:pPr>
              <w:spacing w:line="254" w:lineRule="auto"/>
              <w:rPr>
                <w:rFonts w:ascii="Arial"/>
                <w:sz w:val="21"/>
              </w:rPr>
            </w:pPr>
          </w:p>
          <w:p w14:paraId="18D42DD5">
            <w:pPr>
              <w:spacing w:line="254" w:lineRule="auto"/>
              <w:rPr>
                <w:rFonts w:ascii="Arial"/>
                <w:sz w:val="21"/>
              </w:rPr>
            </w:pPr>
          </w:p>
          <w:p w14:paraId="003283A1">
            <w:pPr>
              <w:spacing w:line="254" w:lineRule="auto"/>
              <w:rPr>
                <w:rFonts w:ascii="Arial"/>
                <w:sz w:val="21"/>
              </w:rPr>
            </w:pPr>
          </w:p>
          <w:p w14:paraId="1D8D33DF">
            <w:pPr>
              <w:spacing w:line="254" w:lineRule="auto"/>
              <w:rPr>
                <w:rFonts w:ascii="Arial"/>
                <w:sz w:val="21"/>
              </w:rPr>
            </w:pPr>
          </w:p>
          <w:p w14:paraId="156A1C23">
            <w:pPr>
              <w:spacing w:before="75" w:line="188" w:lineRule="auto"/>
              <w:ind w:left="292"/>
              <w:rPr>
                <w:rFonts w:ascii="宋体" w:hAnsi="宋体" w:eastAsia="宋体" w:cs="宋体"/>
                <w:sz w:val="23"/>
                <w:szCs w:val="23"/>
              </w:rPr>
            </w:pPr>
            <w:r>
              <w:rPr>
                <w:rFonts w:ascii="宋体" w:hAnsi="宋体" w:eastAsia="宋体" w:cs="宋体"/>
                <w:spacing w:val="-2"/>
                <w:sz w:val="23"/>
                <w:szCs w:val="23"/>
              </w:rPr>
              <w:t>94</w:t>
            </w:r>
          </w:p>
        </w:tc>
      </w:tr>
      <w:tr w14:paraId="77B69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continue"/>
            <w:tcBorders>
              <w:top w:val="nil"/>
              <w:bottom w:val="nil"/>
            </w:tcBorders>
            <w:vAlign w:val="top"/>
          </w:tcPr>
          <w:p w14:paraId="31FC7C1C">
            <w:pPr>
              <w:rPr>
                <w:rFonts w:ascii="Arial"/>
                <w:sz w:val="21"/>
              </w:rPr>
            </w:pPr>
          </w:p>
        </w:tc>
        <w:tc>
          <w:tcPr>
            <w:tcW w:w="1440" w:type="dxa"/>
            <w:vMerge w:val="continue"/>
            <w:tcBorders>
              <w:top w:val="nil"/>
              <w:bottom w:val="nil"/>
            </w:tcBorders>
            <w:vAlign w:val="top"/>
          </w:tcPr>
          <w:p w14:paraId="343B4960">
            <w:pPr>
              <w:rPr>
                <w:rFonts w:ascii="Arial"/>
                <w:sz w:val="21"/>
              </w:rPr>
            </w:pPr>
          </w:p>
        </w:tc>
        <w:tc>
          <w:tcPr>
            <w:tcW w:w="3202" w:type="dxa"/>
            <w:vMerge w:val="continue"/>
            <w:tcBorders>
              <w:top w:val="nil"/>
              <w:bottom w:val="nil"/>
            </w:tcBorders>
            <w:vAlign w:val="top"/>
          </w:tcPr>
          <w:p w14:paraId="66B7DB0D">
            <w:pPr>
              <w:rPr>
                <w:rFonts w:ascii="Arial"/>
                <w:sz w:val="21"/>
              </w:rPr>
            </w:pPr>
          </w:p>
        </w:tc>
        <w:tc>
          <w:tcPr>
            <w:tcW w:w="2859" w:type="dxa"/>
            <w:vMerge w:val="continue"/>
            <w:tcBorders>
              <w:top w:val="nil"/>
              <w:bottom w:val="nil"/>
            </w:tcBorders>
            <w:vAlign w:val="top"/>
          </w:tcPr>
          <w:p w14:paraId="2E3B6480">
            <w:pPr>
              <w:rPr>
                <w:rFonts w:ascii="Arial"/>
                <w:sz w:val="21"/>
              </w:rPr>
            </w:pPr>
          </w:p>
        </w:tc>
        <w:tc>
          <w:tcPr>
            <w:tcW w:w="803" w:type="dxa"/>
            <w:vAlign w:val="top"/>
          </w:tcPr>
          <w:p w14:paraId="6285BF3F">
            <w:pPr>
              <w:spacing w:line="451" w:lineRule="auto"/>
              <w:rPr>
                <w:rFonts w:ascii="Arial"/>
                <w:sz w:val="21"/>
              </w:rPr>
            </w:pPr>
          </w:p>
          <w:p w14:paraId="467D12C0">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477FD17">
            <w:pPr>
              <w:pStyle w:val="6"/>
              <w:spacing w:before="331" w:line="196" w:lineRule="auto"/>
              <w:ind w:left="117" w:right="108" w:firstLine="5"/>
            </w:pPr>
            <w:r>
              <w:rPr>
                <w:spacing w:val="-9"/>
              </w:rPr>
              <w:t>有</w:t>
            </w:r>
            <w:r>
              <w:rPr>
                <w:rFonts w:ascii="宋体" w:hAnsi="宋体" w:eastAsia="宋体" w:cs="宋体"/>
                <w:spacing w:val="-9"/>
              </w:rPr>
              <w:t>2</w:t>
            </w:r>
            <w:r>
              <w:rPr>
                <w:spacing w:val="-9"/>
              </w:rPr>
              <w:t>台（处）未进行</w:t>
            </w:r>
            <w:r>
              <w:rPr>
                <w:spacing w:val="7"/>
              </w:rPr>
              <w:t>检验、检测的</w:t>
            </w:r>
          </w:p>
        </w:tc>
        <w:tc>
          <w:tcPr>
            <w:tcW w:w="2894" w:type="dxa"/>
            <w:vAlign w:val="top"/>
          </w:tcPr>
          <w:p w14:paraId="0A0683B8">
            <w:pPr>
              <w:pStyle w:val="6"/>
              <w:spacing w:before="29" w:line="177" w:lineRule="auto"/>
              <w:ind w:left="124" w:right="103" w:firstLine="2"/>
              <w:jc w:val="both"/>
            </w:pPr>
            <w:r>
              <w:rPr>
                <w:spacing w:val="1"/>
              </w:rPr>
              <w:t>责令改正，可以处</w:t>
            </w:r>
            <w:r>
              <w:rPr>
                <w:rFonts w:ascii="宋体" w:hAnsi="宋体" w:eastAsia="宋体" w:cs="宋体"/>
                <w:spacing w:val="1"/>
              </w:rPr>
              <w:t>1</w:t>
            </w:r>
            <w:r>
              <w:rPr>
                <w:spacing w:val="1"/>
              </w:rPr>
              <w:t>万元</w:t>
            </w:r>
            <w:r>
              <w:rPr>
                <w:spacing w:val="8"/>
              </w:rPr>
              <w:t>以下的罚款；逾期未改正</w:t>
            </w:r>
            <w:r>
              <w:rPr>
                <w:spacing w:val="-2"/>
              </w:rPr>
              <w:t>的，处</w:t>
            </w:r>
            <w:r>
              <w:rPr>
                <w:rFonts w:ascii="宋体" w:hAnsi="宋体" w:eastAsia="宋体" w:cs="宋体"/>
                <w:spacing w:val="-2"/>
              </w:rPr>
              <w:t>1.5</w:t>
            </w:r>
            <w:r>
              <w:rPr>
                <w:spacing w:val="-2"/>
              </w:rPr>
              <w:t>万元以上</w:t>
            </w:r>
            <w:r>
              <w:rPr>
                <w:rFonts w:ascii="宋体" w:hAnsi="宋体" w:eastAsia="宋体" w:cs="宋体"/>
                <w:spacing w:val="-2"/>
              </w:rPr>
              <w:t>2</w:t>
            </w:r>
            <w:r>
              <w:rPr>
                <w:spacing w:val="-2"/>
              </w:rPr>
              <w:t>万</w:t>
            </w:r>
            <w:r>
              <w:rPr>
                <w:spacing w:val="6"/>
              </w:rPr>
              <w:t>元以下的罚款</w:t>
            </w:r>
          </w:p>
        </w:tc>
        <w:tc>
          <w:tcPr>
            <w:tcW w:w="811" w:type="dxa"/>
            <w:vMerge w:val="continue"/>
            <w:tcBorders>
              <w:top w:val="nil"/>
              <w:bottom w:val="nil"/>
            </w:tcBorders>
            <w:vAlign w:val="top"/>
          </w:tcPr>
          <w:p w14:paraId="758038C5">
            <w:pPr>
              <w:rPr>
                <w:rFonts w:ascii="Arial"/>
                <w:sz w:val="21"/>
              </w:rPr>
            </w:pPr>
          </w:p>
        </w:tc>
      </w:tr>
      <w:tr w14:paraId="4818C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9" w:hRule="atLeast"/>
        </w:trPr>
        <w:tc>
          <w:tcPr>
            <w:tcW w:w="818" w:type="dxa"/>
            <w:vMerge w:val="continue"/>
            <w:tcBorders>
              <w:top w:val="nil"/>
            </w:tcBorders>
            <w:vAlign w:val="top"/>
          </w:tcPr>
          <w:p w14:paraId="08337B42">
            <w:pPr>
              <w:rPr>
                <w:rFonts w:ascii="Arial"/>
                <w:sz w:val="21"/>
              </w:rPr>
            </w:pPr>
          </w:p>
        </w:tc>
        <w:tc>
          <w:tcPr>
            <w:tcW w:w="1440" w:type="dxa"/>
            <w:vMerge w:val="continue"/>
            <w:tcBorders>
              <w:top w:val="nil"/>
            </w:tcBorders>
            <w:vAlign w:val="top"/>
          </w:tcPr>
          <w:p w14:paraId="0DD9566C">
            <w:pPr>
              <w:rPr>
                <w:rFonts w:ascii="Arial"/>
                <w:sz w:val="21"/>
              </w:rPr>
            </w:pPr>
          </w:p>
        </w:tc>
        <w:tc>
          <w:tcPr>
            <w:tcW w:w="3202" w:type="dxa"/>
            <w:vMerge w:val="continue"/>
            <w:tcBorders>
              <w:top w:val="nil"/>
            </w:tcBorders>
            <w:vAlign w:val="top"/>
          </w:tcPr>
          <w:p w14:paraId="7EBAC6E6">
            <w:pPr>
              <w:rPr>
                <w:rFonts w:ascii="Arial"/>
                <w:sz w:val="21"/>
              </w:rPr>
            </w:pPr>
          </w:p>
        </w:tc>
        <w:tc>
          <w:tcPr>
            <w:tcW w:w="2859" w:type="dxa"/>
            <w:vMerge w:val="continue"/>
            <w:tcBorders>
              <w:top w:val="nil"/>
            </w:tcBorders>
            <w:vAlign w:val="top"/>
          </w:tcPr>
          <w:p w14:paraId="203B3239">
            <w:pPr>
              <w:rPr>
                <w:rFonts w:ascii="Arial"/>
                <w:sz w:val="21"/>
              </w:rPr>
            </w:pPr>
          </w:p>
        </w:tc>
        <w:tc>
          <w:tcPr>
            <w:tcW w:w="803" w:type="dxa"/>
            <w:vAlign w:val="top"/>
          </w:tcPr>
          <w:p w14:paraId="3C99408A">
            <w:pPr>
              <w:spacing w:line="287" w:lineRule="auto"/>
              <w:rPr>
                <w:rFonts w:ascii="Arial"/>
                <w:sz w:val="21"/>
              </w:rPr>
            </w:pPr>
          </w:p>
          <w:p w14:paraId="0BD13786">
            <w:pPr>
              <w:spacing w:line="287" w:lineRule="auto"/>
              <w:rPr>
                <w:rFonts w:ascii="Arial"/>
                <w:sz w:val="21"/>
              </w:rPr>
            </w:pPr>
          </w:p>
          <w:p w14:paraId="6CE28237">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901F4D7">
            <w:pPr>
              <w:spacing w:line="355" w:lineRule="auto"/>
              <w:rPr>
                <w:rFonts w:ascii="Arial"/>
                <w:sz w:val="21"/>
              </w:rPr>
            </w:pPr>
          </w:p>
          <w:p w14:paraId="6DAC310C">
            <w:pPr>
              <w:pStyle w:val="6"/>
              <w:spacing w:before="99" w:line="196" w:lineRule="auto"/>
              <w:ind w:left="114" w:right="108" w:firstLine="8"/>
            </w:pPr>
            <w:r>
              <w:rPr>
                <w:spacing w:val="-9"/>
              </w:rPr>
              <w:t>有</w:t>
            </w:r>
            <w:r>
              <w:rPr>
                <w:rFonts w:ascii="宋体" w:hAnsi="宋体" w:eastAsia="宋体" w:cs="宋体"/>
                <w:spacing w:val="-9"/>
              </w:rPr>
              <w:t>3</w:t>
            </w:r>
            <w:r>
              <w:rPr>
                <w:spacing w:val="-9"/>
              </w:rPr>
              <w:t>台（处）以上未</w:t>
            </w:r>
            <w:r>
              <w:rPr>
                <w:spacing w:val="8"/>
              </w:rPr>
              <w:t>进行检验、检测的</w:t>
            </w:r>
          </w:p>
        </w:tc>
        <w:tc>
          <w:tcPr>
            <w:tcW w:w="2894" w:type="dxa"/>
            <w:vAlign w:val="top"/>
          </w:tcPr>
          <w:p w14:paraId="079B6EF9">
            <w:pPr>
              <w:pStyle w:val="6"/>
              <w:spacing w:before="158" w:line="189" w:lineRule="auto"/>
              <w:ind w:left="140" w:right="103" w:hanging="13"/>
              <w:jc w:val="both"/>
            </w:pPr>
            <w:r>
              <w:rPr>
                <w:spacing w:val="1"/>
              </w:rPr>
              <w:t>责令改正，可以处</w:t>
            </w:r>
            <w:r>
              <w:rPr>
                <w:rFonts w:ascii="宋体" w:hAnsi="宋体" w:eastAsia="宋体" w:cs="宋体"/>
                <w:spacing w:val="1"/>
              </w:rPr>
              <w:t>1</w:t>
            </w:r>
            <w:r>
              <w:rPr>
                <w:spacing w:val="1"/>
              </w:rPr>
              <w:t>万元</w:t>
            </w:r>
            <w:r>
              <w:rPr>
                <w:spacing w:val="6"/>
              </w:rPr>
              <w:t>以下的罚款；逾期未改正</w:t>
            </w:r>
            <w:r>
              <w:rPr>
                <w:spacing w:val="-1"/>
              </w:rPr>
              <w:t>的，处</w:t>
            </w:r>
            <w:r>
              <w:rPr>
                <w:rFonts w:ascii="宋体" w:hAnsi="宋体" w:eastAsia="宋体" w:cs="宋体"/>
                <w:spacing w:val="-1"/>
              </w:rPr>
              <w:t>2</w:t>
            </w:r>
            <w:r>
              <w:rPr>
                <w:spacing w:val="-1"/>
              </w:rPr>
              <w:t>万元以上</w:t>
            </w:r>
            <w:r>
              <w:rPr>
                <w:rFonts w:ascii="宋体" w:hAnsi="宋体" w:eastAsia="宋体" w:cs="宋体"/>
                <w:spacing w:val="-1"/>
              </w:rPr>
              <w:t>3</w:t>
            </w:r>
            <w:r>
              <w:rPr>
                <w:spacing w:val="-1"/>
              </w:rPr>
              <w:t>万元</w:t>
            </w:r>
            <w:r>
              <w:rPr>
                <w:spacing w:val="2"/>
              </w:rPr>
              <w:t>以下的罚款</w:t>
            </w:r>
          </w:p>
        </w:tc>
        <w:tc>
          <w:tcPr>
            <w:tcW w:w="811" w:type="dxa"/>
            <w:vMerge w:val="continue"/>
            <w:tcBorders>
              <w:top w:val="nil"/>
            </w:tcBorders>
            <w:vAlign w:val="top"/>
          </w:tcPr>
          <w:p w14:paraId="4353E85E">
            <w:pPr>
              <w:rPr>
                <w:rFonts w:ascii="Arial"/>
                <w:sz w:val="21"/>
              </w:rPr>
            </w:pPr>
          </w:p>
        </w:tc>
      </w:tr>
    </w:tbl>
    <w:p w14:paraId="72BFEDFF">
      <w:pPr>
        <w:pStyle w:val="2"/>
      </w:pPr>
    </w:p>
    <w:p w14:paraId="1FBEA8A7">
      <w:pPr>
        <w:sectPr>
          <w:footerReference r:id="rId157" w:type="default"/>
          <w:pgSz w:w="16839" w:h="11906"/>
          <w:pgMar w:top="1012" w:right="821" w:bottom="667" w:left="901" w:header="0" w:footer="388" w:gutter="0"/>
          <w:cols w:space="720" w:num="1"/>
        </w:sectPr>
      </w:pPr>
    </w:p>
    <w:p w14:paraId="444CBC2D">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C5DE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E38C55B">
            <w:pPr>
              <w:spacing w:before="222" w:line="241" w:lineRule="auto"/>
              <w:ind w:left="131"/>
              <w:rPr>
                <w:rFonts w:ascii="黑体" w:hAnsi="黑体" w:eastAsia="黑体" w:cs="黑体"/>
                <w:sz w:val="28"/>
                <w:szCs w:val="28"/>
              </w:rPr>
            </w:pPr>
            <w:bookmarkStart w:id="583" w:name="bookmark278"/>
            <w:bookmarkEnd w:id="583"/>
            <w:bookmarkStart w:id="584" w:name="bookmark280"/>
            <w:bookmarkEnd w:id="584"/>
            <w:r>
              <w:rPr>
                <w:rFonts w:ascii="黑体" w:hAnsi="黑体" w:eastAsia="黑体" w:cs="黑体"/>
                <w:spacing w:val="-2"/>
                <w:sz w:val="28"/>
                <w:szCs w:val="28"/>
              </w:rPr>
              <w:t>序号</w:t>
            </w:r>
          </w:p>
        </w:tc>
        <w:tc>
          <w:tcPr>
            <w:tcW w:w="1440" w:type="dxa"/>
            <w:vAlign w:val="top"/>
          </w:tcPr>
          <w:p w14:paraId="1E5CFBA7">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AD8E0C2">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4081B021">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09D35661">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2805160">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3753332F">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72143BD">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8562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restart"/>
            <w:tcBorders>
              <w:bottom w:val="nil"/>
            </w:tcBorders>
            <w:vAlign w:val="top"/>
          </w:tcPr>
          <w:p w14:paraId="1D95FC5F">
            <w:pPr>
              <w:spacing w:line="243" w:lineRule="auto"/>
              <w:rPr>
                <w:rFonts w:ascii="Arial"/>
                <w:sz w:val="21"/>
              </w:rPr>
            </w:pPr>
          </w:p>
          <w:p w14:paraId="4ABAD525">
            <w:pPr>
              <w:spacing w:line="243" w:lineRule="auto"/>
              <w:rPr>
                <w:rFonts w:ascii="Arial"/>
                <w:sz w:val="21"/>
              </w:rPr>
            </w:pPr>
          </w:p>
          <w:p w14:paraId="53DA4FC7">
            <w:pPr>
              <w:spacing w:line="243" w:lineRule="auto"/>
              <w:rPr>
                <w:rFonts w:ascii="Arial"/>
                <w:sz w:val="21"/>
              </w:rPr>
            </w:pPr>
          </w:p>
          <w:p w14:paraId="7D325F9D">
            <w:pPr>
              <w:spacing w:line="243" w:lineRule="auto"/>
              <w:rPr>
                <w:rFonts w:ascii="Arial"/>
                <w:sz w:val="21"/>
              </w:rPr>
            </w:pPr>
          </w:p>
          <w:p w14:paraId="47D76E8A">
            <w:pPr>
              <w:spacing w:line="243" w:lineRule="auto"/>
              <w:rPr>
                <w:rFonts w:ascii="Arial"/>
                <w:sz w:val="21"/>
              </w:rPr>
            </w:pPr>
          </w:p>
          <w:p w14:paraId="4D2B1E80">
            <w:pPr>
              <w:spacing w:line="243" w:lineRule="auto"/>
              <w:rPr>
                <w:rFonts w:ascii="Arial"/>
                <w:sz w:val="21"/>
              </w:rPr>
            </w:pPr>
          </w:p>
          <w:p w14:paraId="0062CE90">
            <w:pPr>
              <w:spacing w:line="244" w:lineRule="auto"/>
              <w:rPr>
                <w:rFonts w:ascii="Arial"/>
                <w:sz w:val="21"/>
              </w:rPr>
            </w:pPr>
          </w:p>
          <w:p w14:paraId="6C0C66C2">
            <w:pPr>
              <w:spacing w:before="75" w:line="186" w:lineRule="auto"/>
              <w:ind w:left="161"/>
              <w:rPr>
                <w:rFonts w:ascii="仿宋" w:hAnsi="仿宋" w:eastAsia="仿宋" w:cs="仿宋"/>
                <w:sz w:val="23"/>
                <w:szCs w:val="23"/>
              </w:rPr>
            </w:pPr>
            <w:r>
              <w:rPr>
                <w:rFonts w:ascii="仿宋" w:hAnsi="仿宋" w:eastAsia="仿宋" w:cs="仿宋"/>
                <w:spacing w:val="-5"/>
                <w:sz w:val="23"/>
                <w:szCs w:val="23"/>
              </w:rPr>
              <w:t>135</w:t>
            </w:r>
          </w:p>
        </w:tc>
        <w:tc>
          <w:tcPr>
            <w:tcW w:w="1440" w:type="dxa"/>
            <w:vMerge w:val="restart"/>
            <w:tcBorders>
              <w:bottom w:val="nil"/>
            </w:tcBorders>
            <w:vAlign w:val="top"/>
          </w:tcPr>
          <w:p w14:paraId="78988A5A">
            <w:pPr>
              <w:spacing w:line="244" w:lineRule="auto"/>
              <w:rPr>
                <w:rFonts w:ascii="Arial"/>
                <w:sz w:val="21"/>
              </w:rPr>
            </w:pPr>
          </w:p>
          <w:p w14:paraId="57FD08CF">
            <w:pPr>
              <w:spacing w:line="245" w:lineRule="auto"/>
              <w:rPr>
                <w:rFonts w:ascii="Arial"/>
                <w:sz w:val="21"/>
              </w:rPr>
            </w:pPr>
          </w:p>
          <w:p w14:paraId="232112B0">
            <w:pPr>
              <w:spacing w:line="245" w:lineRule="auto"/>
              <w:rPr>
                <w:rFonts w:ascii="Arial"/>
                <w:sz w:val="21"/>
              </w:rPr>
            </w:pPr>
          </w:p>
          <w:p w14:paraId="3A174674">
            <w:pPr>
              <w:pStyle w:val="6"/>
              <w:spacing w:before="99" w:line="187" w:lineRule="auto"/>
              <w:ind w:left="115" w:right="111"/>
              <w:outlineLvl w:val="0"/>
            </w:pPr>
            <w:r>
              <w:rPr>
                <w:spacing w:val="11"/>
              </w:rPr>
              <w:t>危险化学品建设单位在申请建设项目安全审查时提供虚假文件、资料</w:t>
            </w:r>
            <w:r>
              <w:t>的</w:t>
            </w:r>
          </w:p>
        </w:tc>
        <w:tc>
          <w:tcPr>
            <w:tcW w:w="3202" w:type="dxa"/>
            <w:vMerge w:val="restart"/>
            <w:tcBorders>
              <w:bottom w:val="nil"/>
            </w:tcBorders>
            <w:vAlign w:val="top"/>
          </w:tcPr>
          <w:p w14:paraId="4A118A59">
            <w:pPr>
              <w:pStyle w:val="6"/>
              <w:spacing w:before="30" w:line="186" w:lineRule="auto"/>
              <w:ind w:left="98" w:right="42"/>
              <w:jc w:val="both"/>
            </w:pPr>
            <w:r>
              <w:rPr>
                <w:spacing w:val="18"/>
              </w:rPr>
              <w:t>【部门规章】《危险化学品</w:t>
            </w:r>
            <w:r>
              <w:rPr>
                <w:spacing w:val="41"/>
              </w:rPr>
              <w:t>建设项目安全监督管理办</w:t>
            </w:r>
            <w:r>
              <w:rPr>
                <w:spacing w:val="5"/>
              </w:rPr>
              <w:t>法》第十三条第一款第七项：</w:t>
            </w:r>
            <w:r>
              <w:rPr>
                <w:spacing w:val="35"/>
              </w:rPr>
              <w:t>建设项目有下列情形之一</w:t>
            </w:r>
            <w:r>
              <w:rPr>
                <w:spacing w:val="2"/>
              </w:rPr>
              <w:t>的，安全条件审查不予通过：</w:t>
            </w:r>
            <w:r>
              <w:rPr>
                <w:spacing w:val="12"/>
              </w:rPr>
              <w:t>（七）隐瞒有关情况或者提</w:t>
            </w:r>
            <w:r>
              <w:rPr>
                <w:spacing w:val="6"/>
              </w:rPr>
              <w:t>供虚假文件、资料的。</w:t>
            </w:r>
          </w:p>
        </w:tc>
        <w:tc>
          <w:tcPr>
            <w:tcW w:w="2859" w:type="dxa"/>
            <w:vMerge w:val="restart"/>
            <w:tcBorders>
              <w:bottom w:val="nil"/>
            </w:tcBorders>
            <w:vAlign w:val="top"/>
          </w:tcPr>
          <w:p w14:paraId="3A0330E5">
            <w:pPr>
              <w:pStyle w:val="6"/>
              <w:spacing w:before="28" w:line="185" w:lineRule="auto"/>
              <w:ind w:left="116" w:right="35" w:hanging="19"/>
              <w:jc w:val="both"/>
            </w:pPr>
            <w:r>
              <w:rPr>
                <w:spacing w:val="10"/>
              </w:rPr>
              <w:t>【部门规章】《危险化学</w:t>
            </w:r>
            <w:r>
              <w:rPr>
                <w:spacing w:val="8"/>
              </w:rPr>
              <w:t>品建设项目安全监督管理</w:t>
            </w:r>
            <w:r>
              <w:rPr>
                <w:spacing w:val="-6"/>
              </w:rPr>
              <w:t>办法》第三十七条第二项：</w:t>
            </w:r>
            <w:r>
              <w:rPr>
                <w:spacing w:val="6"/>
              </w:rPr>
              <w:t>建设单位有下列行为之一</w:t>
            </w:r>
            <w:r>
              <w:rPr>
                <w:spacing w:val="2"/>
              </w:rPr>
              <w:t>的，责令改正，可以处</w:t>
            </w:r>
            <w:r>
              <w:rPr>
                <w:rFonts w:ascii="宋体" w:hAnsi="宋体" w:eastAsia="宋体" w:cs="宋体"/>
                <w:spacing w:val="2"/>
              </w:rPr>
              <w:t>1</w:t>
            </w:r>
            <w:r>
              <w:rPr>
                <w:spacing w:val="8"/>
              </w:rPr>
              <w:t>万元以下的罚款；逾期未</w:t>
            </w:r>
            <w:r>
              <w:rPr>
                <w:spacing w:val="3"/>
              </w:rPr>
              <w:t>改正的，处</w:t>
            </w:r>
            <w:r>
              <w:rPr>
                <w:rFonts w:ascii="宋体" w:hAnsi="宋体" w:eastAsia="宋体" w:cs="宋体"/>
                <w:spacing w:val="3"/>
              </w:rPr>
              <w:t>1</w:t>
            </w:r>
            <w:r>
              <w:rPr>
                <w:spacing w:val="3"/>
              </w:rPr>
              <w:t>万元以上</w:t>
            </w:r>
            <w:r>
              <w:rPr>
                <w:rFonts w:ascii="宋体" w:hAnsi="宋体" w:eastAsia="宋体" w:cs="宋体"/>
                <w:spacing w:val="3"/>
              </w:rPr>
              <w:t>3</w:t>
            </w:r>
            <w:r>
              <w:rPr>
                <w:spacing w:val="8"/>
              </w:rPr>
              <w:t>万元以下的罚款</w:t>
            </w:r>
            <w:r>
              <w:rPr>
                <w:spacing w:val="13"/>
              </w:rPr>
              <w:t>：（</w:t>
            </w:r>
            <w:r>
              <w:rPr>
                <w:spacing w:val="8"/>
              </w:rPr>
              <w:t>二）在申请建设项目安全审查</w:t>
            </w:r>
            <w:r>
              <w:rPr>
                <w:spacing w:val="-5"/>
              </w:rPr>
              <w:t>时提供虚假文件、资料的；</w:t>
            </w:r>
          </w:p>
        </w:tc>
        <w:tc>
          <w:tcPr>
            <w:tcW w:w="803" w:type="dxa"/>
            <w:vAlign w:val="top"/>
          </w:tcPr>
          <w:p w14:paraId="74793228">
            <w:pPr>
              <w:spacing w:line="442" w:lineRule="auto"/>
              <w:rPr>
                <w:rFonts w:ascii="Arial"/>
                <w:sz w:val="21"/>
              </w:rPr>
            </w:pPr>
          </w:p>
          <w:p w14:paraId="49811FFF">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6DC4F4E">
            <w:pPr>
              <w:pStyle w:val="6"/>
              <w:spacing w:before="328" w:line="182" w:lineRule="auto"/>
              <w:ind w:left="117"/>
            </w:pPr>
            <w:r>
              <w:rPr>
                <w:spacing w:val="26"/>
              </w:rPr>
              <w:t>建设项目总投资额</w:t>
            </w:r>
          </w:p>
          <w:p w14:paraId="710E7C11">
            <w:pPr>
              <w:pStyle w:val="6"/>
              <w:spacing w:before="1" w:line="208" w:lineRule="auto"/>
              <w:ind w:left="131"/>
            </w:pPr>
            <w:r>
              <w:rPr>
                <w:rFonts w:ascii="宋体" w:hAnsi="宋体" w:eastAsia="宋体" w:cs="宋体"/>
                <w:spacing w:val="1"/>
              </w:rPr>
              <w:t>1000</w:t>
            </w:r>
            <w:r>
              <w:rPr>
                <w:spacing w:val="1"/>
              </w:rPr>
              <w:t>万元以下的</w:t>
            </w:r>
          </w:p>
        </w:tc>
        <w:tc>
          <w:tcPr>
            <w:tcW w:w="2894" w:type="dxa"/>
            <w:vAlign w:val="top"/>
          </w:tcPr>
          <w:p w14:paraId="52413D81">
            <w:pPr>
              <w:pStyle w:val="6"/>
              <w:spacing w:before="29" w:line="177" w:lineRule="auto"/>
              <w:ind w:left="124" w:right="103" w:firstLine="2"/>
              <w:jc w:val="both"/>
            </w:pPr>
            <w:r>
              <w:rPr>
                <w:spacing w:val="1"/>
              </w:rPr>
              <w:t>责令改正，可以处</w:t>
            </w:r>
            <w:r>
              <w:rPr>
                <w:rFonts w:ascii="宋体" w:hAnsi="宋体" w:eastAsia="宋体" w:cs="宋体"/>
                <w:spacing w:val="1"/>
              </w:rPr>
              <w:t>1</w:t>
            </w:r>
            <w:r>
              <w:rPr>
                <w:spacing w:val="1"/>
              </w:rPr>
              <w:t>万元</w:t>
            </w:r>
            <w:r>
              <w:rPr>
                <w:spacing w:val="8"/>
              </w:rPr>
              <w:t>以下的罚款；逾期未改正</w:t>
            </w:r>
            <w:r>
              <w:rPr>
                <w:spacing w:val="-4"/>
              </w:rPr>
              <w:t>的，处</w:t>
            </w:r>
            <w:r>
              <w:rPr>
                <w:rFonts w:ascii="宋体" w:hAnsi="宋体" w:eastAsia="宋体" w:cs="宋体"/>
                <w:spacing w:val="-4"/>
              </w:rPr>
              <w:t>1</w:t>
            </w:r>
            <w:r>
              <w:rPr>
                <w:spacing w:val="-4"/>
              </w:rPr>
              <w:t>万元以上</w:t>
            </w:r>
            <w:r>
              <w:rPr>
                <w:rFonts w:ascii="宋体" w:hAnsi="宋体" w:eastAsia="宋体" w:cs="宋体"/>
                <w:spacing w:val="-4"/>
              </w:rPr>
              <w:t>1.5</w:t>
            </w:r>
            <w:r>
              <w:rPr>
                <w:spacing w:val="-4"/>
              </w:rPr>
              <w:t>万</w:t>
            </w:r>
            <w:r>
              <w:rPr>
                <w:spacing w:val="6"/>
              </w:rPr>
              <w:t>元以下的罚款</w:t>
            </w:r>
          </w:p>
        </w:tc>
        <w:tc>
          <w:tcPr>
            <w:tcW w:w="811" w:type="dxa"/>
            <w:vMerge w:val="restart"/>
            <w:tcBorders>
              <w:bottom w:val="nil"/>
            </w:tcBorders>
            <w:vAlign w:val="top"/>
          </w:tcPr>
          <w:p w14:paraId="6FA4CAE3">
            <w:pPr>
              <w:spacing w:line="242" w:lineRule="auto"/>
              <w:rPr>
                <w:rFonts w:ascii="Arial"/>
                <w:sz w:val="21"/>
              </w:rPr>
            </w:pPr>
          </w:p>
          <w:p w14:paraId="3ADBDC25">
            <w:pPr>
              <w:spacing w:line="243" w:lineRule="auto"/>
              <w:rPr>
                <w:rFonts w:ascii="Arial"/>
                <w:sz w:val="21"/>
              </w:rPr>
            </w:pPr>
          </w:p>
          <w:p w14:paraId="2971A71A">
            <w:pPr>
              <w:spacing w:line="243" w:lineRule="auto"/>
              <w:rPr>
                <w:rFonts w:ascii="Arial"/>
                <w:sz w:val="21"/>
              </w:rPr>
            </w:pPr>
          </w:p>
          <w:p w14:paraId="5D7A7A2E">
            <w:pPr>
              <w:spacing w:line="243" w:lineRule="auto"/>
              <w:rPr>
                <w:rFonts w:ascii="Arial"/>
                <w:sz w:val="21"/>
              </w:rPr>
            </w:pPr>
          </w:p>
          <w:p w14:paraId="1F2929AC">
            <w:pPr>
              <w:spacing w:line="243" w:lineRule="auto"/>
              <w:rPr>
                <w:rFonts w:ascii="Arial"/>
                <w:sz w:val="21"/>
              </w:rPr>
            </w:pPr>
          </w:p>
          <w:p w14:paraId="66914C3A">
            <w:pPr>
              <w:spacing w:line="243" w:lineRule="auto"/>
              <w:rPr>
                <w:rFonts w:ascii="Arial"/>
                <w:sz w:val="21"/>
              </w:rPr>
            </w:pPr>
          </w:p>
          <w:p w14:paraId="1DFAFFAC">
            <w:pPr>
              <w:spacing w:line="243" w:lineRule="auto"/>
              <w:rPr>
                <w:rFonts w:ascii="Arial"/>
                <w:sz w:val="21"/>
              </w:rPr>
            </w:pPr>
          </w:p>
          <w:p w14:paraId="46EB9370">
            <w:pPr>
              <w:spacing w:before="74" w:line="188" w:lineRule="auto"/>
              <w:ind w:left="292"/>
              <w:rPr>
                <w:rFonts w:ascii="宋体" w:hAnsi="宋体" w:eastAsia="宋体" w:cs="宋体"/>
                <w:sz w:val="23"/>
                <w:szCs w:val="23"/>
              </w:rPr>
            </w:pPr>
            <w:r>
              <w:rPr>
                <w:rFonts w:ascii="宋体" w:hAnsi="宋体" w:eastAsia="宋体" w:cs="宋体"/>
                <w:spacing w:val="-2"/>
                <w:sz w:val="23"/>
                <w:szCs w:val="23"/>
              </w:rPr>
              <w:t>94</w:t>
            </w:r>
          </w:p>
        </w:tc>
      </w:tr>
      <w:tr w14:paraId="0996B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818" w:type="dxa"/>
            <w:vMerge w:val="continue"/>
            <w:tcBorders>
              <w:top w:val="nil"/>
              <w:bottom w:val="nil"/>
            </w:tcBorders>
            <w:vAlign w:val="top"/>
          </w:tcPr>
          <w:p w14:paraId="354078CC">
            <w:pPr>
              <w:rPr>
                <w:rFonts w:ascii="Arial"/>
                <w:sz w:val="21"/>
              </w:rPr>
            </w:pPr>
          </w:p>
        </w:tc>
        <w:tc>
          <w:tcPr>
            <w:tcW w:w="1440" w:type="dxa"/>
            <w:vMerge w:val="continue"/>
            <w:tcBorders>
              <w:top w:val="nil"/>
              <w:bottom w:val="nil"/>
            </w:tcBorders>
            <w:vAlign w:val="top"/>
          </w:tcPr>
          <w:p w14:paraId="558E13BA">
            <w:pPr>
              <w:rPr>
                <w:rFonts w:ascii="Arial"/>
                <w:sz w:val="21"/>
              </w:rPr>
            </w:pPr>
          </w:p>
        </w:tc>
        <w:tc>
          <w:tcPr>
            <w:tcW w:w="3202" w:type="dxa"/>
            <w:vMerge w:val="continue"/>
            <w:tcBorders>
              <w:top w:val="nil"/>
              <w:bottom w:val="nil"/>
            </w:tcBorders>
            <w:vAlign w:val="top"/>
          </w:tcPr>
          <w:p w14:paraId="7A8F78F5">
            <w:pPr>
              <w:rPr>
                <w:rFonts w:ascii="Arial"/>
                <w:sz w:val="21"/>
              </w:rPr>
            </w:pPr>
          </w:p>
        </w:tc>
        <w:tc>
          <w:tcPr>
            <w:tcW w:w="2859" w:type="dxa"/>
            <w:vMerge w:val="continue"/>
            <w:tcBorders>
              <w:top w:val="nil"/>
              <w:bottom w:val="nil"/>
            </w:tcBorders>
            <w:vAlign w:val="top"/>
          </w:tcPr>
          <w:p w14:paraId="12839B9A">
            <w:pPr>
              <w:rPr>
                <w:rFonts w:ascii="Arial"/>
                <w:sz w:val="21"/>
              </w:rPr>
            </w:pPr>
          </w:p>
        </w:tc>
        <w:tc>
          <w:tcPr>
            <w:tcW w:w="803" w:type="dxa"/>
            <w:vAlign w:val="top"/>
          </w:tcPr>
          <w:p w14:paraId="02564002">
            <w:pPr>
              <w:spacing w:line="249" w:lineRule="auto"/>
              <w:rPr>
                <w:rFonts w:ascii="Arial"/>
                <w:sz w:val="21"/>
              </w:rPr>
            </w:pPr>
          </w:p>
          <w:p w14:paraId="2AE90FE5">
            <w:pPr>
              <w:spacing w:line="250" w:lineRule="auto"/>
              <w:rPr>
                <w:rFonts w:ascii="Arial"/>
                <w:sz w:val="21"/>
              </w:rPr>
            </w:pPr>
          </w:p>
          <w:p w14:paraId="152FDC47">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60ABD63">
            <w:pPr>
              <w:pStyle w:val="6"/>
              <w:spacing w:before="234" w:line="191" w:lineRule="auto"/>
              <w:ind w:left="128" w:right="109" w:hanging="11"/>
              <w:jc w:val="both"/>
            </w:pPr>
            <w:r>
              <w:rPr>
                <w:spacing w:val="26"/>
              </w:rPr>
              <w:t>建设项目总投资额</w:t>
            </w:r>
            <w:r>
              <w:rPr>
                <w:rFonts w:ascii="宋体" w:hAnsi="宋体" w:eastAsia="宋体" w:cs="宋体"/>
                <w:spacing w:val="1"/>
              </w:rPr>
              <w:t>1000</w:t>
            </w:r>
            <w:r>
              <w:rPr>
                <w:spacing w:val="1"/>
              </w:rPr>
              <w:t>万元以上</w:t>
            </w:r>
            <w:r>
              <w:rPr>
                <w:rFonts w:ascii="宋体" w:hAnsi="宋体" w:eastAsia="宋体" w:cs="宋体"/>
                <w:spacing w:val="1"/>
              </w:rPr>
              <w:t>3000</w:t>
            </w:r>
            <w:r>
              <w:rPr>
                <w:spacing w:val="4"/>
              </w:rPr>
              <w:t>万元以下的</w:t>
            </w:r>
          </w:p>
        </w:tc>
        <w:tc>
          <w:tcPr>
            <w:tcW w:w="2894" w:type="dxa"/>
            <w:vAlign w:val="top"/>
          </w:tcPr>
          <w:p w14:paraId="1DD6301A">
            <w:pPr>
              <w:pStyle w:val="6"/>
              <w:spacing w:before="82" w:line="185" w:lineRule="auto"/>
              <w:ind w:left="124" w:right="103" w:firstLine="2"/>
              <w:jc w:val="both"/>
            </w:pPr>
            <w:r>
              <w:rPr>
                <w:spacing w:val="1"/>
              </w:rPr>
              <w:t>责令改正，可以处</w:t>
            </w:r>
            <w:r>
              <w:rPr>
                <w:rFonts w:ascii="宋体" w:hAnsi="宋体" w:eastAsia="宋体" w:cs="宋体"/>
                <w:spacing w:val="1"/>
              </w:rPr>
              <w:t>1</w:t>
            </w:r>
            <w:r>
              <w:rPr>
                <w:spacing w:val="1"/>
              </w:rPr>
              <w:t>万元</w:t>
            </w:r>
            <w:r>
              <w:rPr>
                <w:spacing w:val="8"/>
              </w:rPr>
              <w:t>以下的罚款；逾期未改正</w:t>
            </w:r>
            <w:r>
              <w:rPr>
                <w:spacing w:val="-2"/>
              </w:rPr>
              <w:t>的，处</w:t>
            </w:r>
            <w:r>
              <w:rPr>
                <w:rFonts w:ascii="宋体" w:hAnsi="宋体" w:eastAsia="宋体" w:cs="宋体"/>
                <w:spacing w:val="-2"/>
              </w:rPr>
              <w:t>1.5</w:t>
            </w:r>
            <w:r>
              <w:rPr>
                <w:spacing w:val="-2"/>
              </w:rPr>
              <w:t>万元以上</w:t>
            </w:r>
            <w:r>
              <w:rPr>
                <w:rFonts w:ascii="宋体" w:hAnsi="宋体" w:eastAsia="宋体" w:cs="宋体"/>
                <w:spacing w:val="-2"/>
              </w:rPr>
              <w:t>2</w:t>
            </w:r>
            <w:r>
              <w:rPr>
                <w:spacing w:val="-2"/>
              </w:rPr>
              <w:t>万</w:t>
            </w:r>
            <w:r>
              <w:rPr>
                <w:spacing w:val="6"/>
              </w:rPr>
              <w:t>元以下的罚款</w:t>
            </w:r>
          </w:p>
        </w:tc>
        <w:tc>
          <w:tcPr>
            <w:tcW w:w="811" w:type="dxa"/>
            <w:vMerge w:val="continue"/>
            <w:tcBorders>
              <w:top w:val="nil"/>
              <w:bottom w:val="nil"/>
            </w:tcBorders>
            <w:vAlign w:val="top"/>
          </w:tcPr>
          <w:p w14:paraId="775FE5ED">
            <w:pPr>
              <w:rPr>
                <w:rFonts w:ascii="Arial"/>
                <w:sz w:val="21"/>
              </w:rPr>
            </w:pPr>
          </w:p>
        </w:tc>
      </w:tr>
      <w:tr w14:paraId="12BF8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continue"/>
            <w:tcBorders>
              <w:top w:val="nil"/>
            </w:tcBorders>
            <w:vAlign w:val="top"/>
          </w:tcPr>
          <w:p w14:paraId="1BF9EBC9">
            <w:pPr>
              <w:rPr>
                <w:rFonts w:ascii="Arial"/>
                <w:sz w:val="21"/>
              </w:rPr>
            </w:pPr>
          </w:p>
        </w:tc>
        <w:tc>
          <w:tcPr>
            <w:tcW w:w="1440" w:type="dxa"/>
            <w:vMerge w:val="continue"/>
            <w:tcBorders>
              <w:top w:val="nil"/>
            </w:tcBorders>
            <w:vAlign w:val="top"/>
          </w:tcPr>
          <w:p w14:paraId="0FAD2363">
            <w:pPr>
              <w:rPr>
                <w:rFonts w:ascii="Arial"/>
                <w:sz w:val="21"/>
              </w:rPr>
            </w:pPr>
          </w:p>
        </w:tc>
        <w:tc>
          <w:tcPr>
            <w:tcW w:w="3202" w:type="dxa"/>
            <w:vMerge w:val="continue"/>
            <w:tcBorders>
              <w:top w:val="nil"/>
            </w:tcBorders>
            <w:vAlign w:val="top"/>
          </w:tcPr>
          <w:p w14:paraId="71D45D96">
            <w:pPr>
              <w:rPr>
                <w:rFonts w:ascii="Arial"/>
                <w:sz w:val="21"/>
              </w:rPr>
            </w:pPr>
          </w:p>
        </w:tc>
        <w:tc>
          <w:tcPr>
            <w:tcW w:w="2859" w:type="dxa"/>
            <w:vMerge w:val="continue"/>
            <w:tcBorders>
              <w:top w:val="nil"/>
            </w:tcBorders>
            <w:vAlign w:val="top"/>
          </w:tcPr>
          <w:p w14:paraId="61190A0B">
            <w:pPr>
              <w:rPr>
                <w:rFonts w:ascii="Arial"/>
                <w:sz w:val="21"/>
              </w:rPr>
            </w:pPr>
          </w:p>
        </w:tc>
        <w:tc>
          <w:tcPr>
            <w:tcW w:w="803" w:type="dxa"/>
            <w:vAlign w:val="top"/>
          </w:tcPr>
          <w:p w14:paraId="34519489">
            <w:pPr>
              <w:spacing w:line="447" w:lineRule="auto"/>
              <w:rPr>
                <w:rFonts w:ascii="Arial"/>
                <w:sz w:val="21"/>
              </w:rPr>
            </w:pPr>
          </w:p>
          <w:p w14:paraId="30FCF877">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EB0A4D4">
            <w:pPr>
              <w:pStyle w:val="6"/>
              <w:spacing w:before="328" w:line="196" w:lineRule="auto"/>
              <w:ind w:left="117" w:right="109"/>
            </w:pPr>
            <w:r>
              <w:rPr>
                <w:spacing w:val="26"/>
              </w:rPr>
              <w:t>建设项目总投资额</w:t>
            </w:r>
            <w:r>
              <w:rPr>
                <w:rFonts w:ascii="宋体" w:hAnsi="宋体" w:eastAsia="宋体" w:cs="宋体"/>
                <w:spacing w:val="2"/>
              </w:rPr>
              <w:t>3000</w:t>
            </w:r>
            <w:r>
              <w:rPr>
                <w:spacing w:val="2"/>
              </w:rPr>
              <w:t>万元以上的</w:t>
            </w:r>
          </w:p>
        </w:tc>
        <w:tc>
          <w:tcPr>
            <w:tcW w:w="2894" w:type="dxa"/>
            <w:vAlign w:val="top"/>
          </w:tcPr>
          <w:p w14:paraId="15C9E730">
            <w:pPr>
              <w:pStyle w:val="6"/>
              <w:spacing w:before="29" w:line="177" w:lineRule="auto"/>
              <w:ind w:left="140" w:right="103" w:hanging="13"/>
              <w:jc w:val="both"/>
            </w:pPr>
            <w:r>
              <w:rPr>
                <w:spacing w:val="1"/>
              </w:rPr>
              <w:t>责令改正，可以处</w:t>
            </w:r>
            <w:r>
              <w:rPr>
                <w:rFonts w:ascii="宋体" w:hAnsi="宋体" w:eastAsia="宋体" w:cs="宋体"/>
                <w:spacing w:val="1"/>
              </w:rPr>
              <w:t>1</w:t>
            </w:r>
            <w:r>
              <w:rPr>
                <w:spacing w:val="1"/>
              </w:rPr>
              <w:t>万元</w:t>
            </w:r>
            <w:r>
              <w:rPr>
                <w:spacing w:val="6"/>
              </w:rPr>
              <w:t>以下的罚款；逾期未改正</w:t>
            </w:r>
            <w:r>
              <w:rPr>
                <w:spacing w:val="-1"/>
              </w:rPr>
              <w:t>的，处</w:t>
            </w:r>
            <w:r>
              <w:rPr>
                <w:rFonts w:ascii="宋体" w:hAnsi="宋体" w:eastAsia="宋体" w:cs="宋体"/>
                <w:spacing w:val="-1"/>
              </w:rPr>
              <w:t>2</w:t>
            </w:r>
            <w:r>
              <w:rPr>
                <w:spacing w:val="-1"/>
              </w:rPr>
              <w:t>万元以上</w:t>
            </w:r>
            <w:r>
              <w:rPr>
                <w:rFonts w:ascii="宋体" w:hAnsi="宋体" w:eastAsia="宋体" w:cs="宋体"/>
                <w:spacing w:val="-1"/>
              </w:rPr>
              <w:t>3</w:t>
            </w:r>
            <w:r>
              <w:rPr>
                <w:spacing w:val="-1"/>
              </w:rPr>
              <w:t>万元</w:t>
            </w:r>
            <w:r>
              <w:rPr>
                <w:spacing w:val="2"/>
              </w:rPr>
              <w:t>以下的罚款</w:t>
            </w:r>
          </w:p>
        </w:tc>
        <w:tc>
          <w:tcPr>
            <w:tcW w:w="811" w:type="dxa"/>
            <w:vMerge w:val="continue"/>
            <w:tcBorders>
              <w:top w:val="nil"/>
            </w:tcBorders>
            <w:vAlign w:val="top"/>
          </w:tcPr>
          <w:p w14:paraId="4F8227DF">
            <w:pPr>
              <w:rPr>
                <w:rFonts w:ascii="Arial"/>
                <w:sz w:val="21"/>
              </w:rPr>
            </w:pPr>
          </w:p>
        </w:tc>
      </w:tr>
      <w:tr w14:paraId="17C3D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2" w:hRule="atLeast"/>
        </w:trPr>
        <w:tc>
          <w:tcPr>
            <w:tcW w:w="818" w:type="dxa"/>
            <w:vMerge w:val="restart"/>
            <w:tcBorders>
              <w:bottom w:val="nil"/>
            </w:tcBorders>
            <w:vAlign w:val="top"/>
          </w:tcPr>
          <w:p w14:paraId="63870918">
            <w:pPr>
              <w:spacing w:line="255" w:lineRule="auto"/>
              <w:rPr>
                <w:rFonts w:ascii="Arial"/>
                <w:sz w:val="21"/>
              </w:rPr>
            </w:pPr>
          </w:p>
          <w:p w14:paraId="53E46E13">
            <w:pPr>
              <w:spacing w:line="255" w:lineRule="auto"/>
              <w:rPr>
                <w:rFonts w:ascii="Arial"/>
                <w:sz w:val="21"/>
              </w:rPr>
            </w:pPr>
          </w:p>
          <w:p w14:paraId="69FA99D3">
            <w:pPr>
              <w:spacing w:line="255" w:lineRule="auto"/>
              <w:rPr>
                <w:rFonts w:ascii="Arial"/>
                <w:sz w:val="21"/>
              </w:rPr>
            </w:pPr>
          </w:p>
          <w:p w14:paraId="4E158740">
            <w:pPr>
              <w:spacing w:line="255" w:lineRule="auto"/>
              <w:rPr>
                <w:rFonts w:ascii="Arial"/>
                <w:sz w:val="21"/>
              </w:rPr>
            </w:pPr>
          </w:p>
          <w:p w14:paraId="64DD050F">
            <w:pPr>
              <w:spacing w:line="255" w:lineRule="auto"/>
              <w:rPr>
                <w:rFonts w:ascii="Arial"/>
                <w:sz w:val="21"/>
              </w:rPr>
            </w:pPr>
          </w:p>
          <w:p w14:paraId="526DE533">
            <w:pPr>
              <w:spacing w:line="255" w:lineRule="auto"/>
              <w:rPr>
                <w:rFonts w:ascii="Arial"/>
                <w:sz w:val="21"/>
              </w:rPr>
            </w:pPr>
          </w:p>
          <w:p w14:paraId="316D41C7">
            <w:pPr>
              <w:spacing w:line="255" w:lineRule="auto"/>
              <w:rPr>
                <w:rFonts w:ascii="Arial"/>
                <w:sz w:val="21"/>
              </w:rPr>
            </w:pPr>
          </w:p>
          <w:p w14:paraId="101836B9">
            <w:pPr>
              <w:spacing w:line="255" w:lineRule="auto"/>
              <w:rPr>
                <w:rFonts w:ascii="Arial"/>
                <w:sz w:val="21"/>
              </w:rPr>
            </w:pPr>
          </w:p>
          <w:p w14:paraId="4D3A91B3">
            <w:pPr>
              <w:spacing w:line="255" w:lineRule="auto"/>
              <w:rPr>
                <w:rFonts w:ascii="Arial"/>
                <w:sz w:val="21"/>
              </w:rPr>
            </w:pPr>
          </w:p>
          <w:p w14:paraId="51B9831A">
            <w:pPr>
              <w:spacing w:line="256" w:lineRule="auto"/>
              <w:rPr>
                <w:rFonts w:ascii="Arial"/>
                <w:sz w:val="21"/>
              </w:rPr>
            </w:pPr>
          </w:p>
          <w:p w14:paraId="57C63EC8">
            <w:pPr>
              <w:spacing w:before="75" w:line="186" w:lineRule="auto"/>
              <w:ind w:left="161"/>
              <w:rPr>
                <w:rFonts w:ascii="仿宋" w:hAnsi="仿宋" w:eastAsia="仿宋" w:cs="仿宋"/>
                <w:sz w:val="23"/>
                <w:szCs w:val="23"/>
              </w:rPr>
            </w:pPr>
            <w:r>
              <w:rPr>
                <w:rFonts w:ascii="仿宋" w:hAnsi="仿宋" w:eastAsia="仿宋" w:cs="仿宋"/>
                <w:spacing w:val="-5"/>
                <w:sz w:val="23"/>
                <w:szCs w:val="23"/>
              </w:rPr>
              <w:t>136</w:t>
            </w:r>
          </w:p>
        </w:tc>
        <w:tc>
          <w:tcPr>
            <w:tcW w:w="1440" w:type="dxa"/>
            <w:vMerge w:val="restart"/>
            <w:tcBorders>
              <w:bottom w:val="nil"/>
            </w:tcBorders>
            <w:vAlign w:val="top"/>
          </w:tcPr>
          <w:p w14:paraId="094CFC60">
            <w:pPr>
              <w:spacing w:line="405" w:lineRule="auto"/>
              <w:rPr>
                <w:rFonts w:ascii="Arial"/>
                <w:sz w:val="21"/>
              </w:rPr>
            </w:pPr>
          </w:p>
          <w:p w14:paraId="1446DBF9">
            <w:pPr>
              <w:pStyle w:val="6"/>
              <w:spacing w:before="98" w:line="184" w:lineRule="auto"/>
              <w:ind w:left="96" w:firstLine="18"/>
              <w:jc w:val="both"/>
            </w:pPr>
            <w:r>
              <w:rPr>
                <w:spacing w:val="8"/>
              </w:rPr>
              <w:t>危险化学品</w:t>
            </w:r>
            <w:r>
              <w:rPr>
                <w:spacing w:val="12"/>
              </w:rPr>
              <w:t>建设单位未组织有关单位和专家研究提出试生</w:t>
            </w:r>
            <w:r>
              <w:rPr>
                <w:spacing w:val="13"/>
              </w:rPr>
              <w:t>产（使用）</w:t>
            </w:r>
            <w:r>
              <w:rPr>
                <w:spacing w:val="12"/>
              </w:rPr>
              <w:t>可能出现的安全问题及</w:t>
            </w:r>
            <w:r>
              <w:rPr>
                <w:spacing w:val="5"/>
              </w:rPr>
              <w:t>对策，或者</w:t>
            </w:r>
            <w:r>
              <w:rPr>
                <w:spacing w:val="12"/>
              </w:rPr>
              <w:t>未制定周密</w:t>
            </w:r>
            <w:r>
              <w:rPr>
                <w:spacing w:val="-6"/>
              </w:rPr>
              <w:t>的试生产</w:t>
            </w:r>
            <w:r>
              <w:rPr>
                <w:spacing w:val="5"/>
              </w:rPr>
              <w:t>（使用）方</w:t>
            </w:r>
            <w:r>
              <w:rPr>
                <w:spacing w:val="6"/>
              </w:rPr>
              <w:t>案，进行试</w:t>
            </w:r>
            <w:r>
              <w:rPr>
                <w:spacing w:val="-7"/>
              </w:rPr>
              <w:t>生产（使用）</w:t>
            </w:r>
            <w:r>
              <w:rPr>
                <w:spacing w:val="12"/>
              </w:rPr>
              <w:t>的</w:t>
            </w:r>
          </w:p>
        </w:tc>
        <w:tc>
          <w:tcPr>
            <w:tcW w:w="3202" w:type="dxa"/>
            <w:vMerge w:val="restart"/>
            <w:tcBorders>
              <w:bottom w:val="nil"/>
            </w:tcBorders>
            <w:vAlign w:val="top"/>
          </w:tcPr>
          <w:p w14:paraId="7B49AE8C">
            <w:pPr>
              <w:pStyle w:val="6"/>
              <w:spacing w:before="36" w:line="182" w:lineRule="auto"/>
              <w:ind w:left="115" w:right="19" w:hanging="17"/>
            </w:pPr>
            <w:r>
              <w:rPr>
                <w:spacing w:val="18"/>
              </w:rPr>
              <w:t>【部门规章】《危险化学品</w:t>
            </w:r>
            <w:r>
              <w:rPr>
                <w:spacing w:val="40"/>
              </w:rPr>
              <w:t>建设项目安全监督管理办</w:t>
            </w:r>
            <w:r>
              <w:rPr>
                <w:spacing w:val="14"/>
              </w:rPr>
              <w:t>法》第二十二条：建设单位</w:t>
            </w:r>
            <w:r>
              <w:rPr>
                <w:spacing w:val="15"/>
              </w:rPr>
              <w:t>应当组织建设项目的设计、</w:t>
            </w:r>
            <w:r>
              <w:rPr>
                <w:spacing w:val="17"/>
              </w:rPr>
              <w:t>施工、监理等有关单位和专</w:t>
            </w:r>
            <w:r>
              <w:rPr>
                <w:spacing w:val="14"/>
              </w:rPr>
              <w:t>家，研究提出建设项目试生</w:t>
            </w:r>
            <w:r>
              <w:rPr>
                <w:spacing w:val="23"/>
              </w:rPr>
              <w:t>产（使用</w:t>
            </w:r>
            <w:r>
              <w:rPr>
                <w:spacing w:val="-11"/>
              </w:rPr>
              <w:t>）（</w:t>
            </w:r>
            <w:r>
              <w:rPr>
                <w:spacing w:val="23"/>
              </w:rPr>
              <w:t>以下简称试生</w:t>
            </w:r>
            <w:r>
              <w:rPr>
                <w:spacing w:val="5"/>
              </w:rPr>
              <w:t>产〈使用〉）可能出现的安</w:t>
            </w:r>
            <w:r>
              <w:rPr>
                <w:spacing w:val="13"/>
              </w:rPr>
              <w:t>全问题及对策，并按照有关</w:t>
            </w:r>
            <w:r>
              <w:rPr>
                <w:spacing w:val="17"/>
              </w:rPr>
              <w:t>安全生产法律、法规、规章和国家标准、行业标准的规</w:t>
            </w:r>
            <w:r>
              <w:rPr>
                <w:spacing w:val="13"/>
              </w:rPr>
              <w:t>定，制定周密的试生产（使用）方案。试生产（使用）</w:t>
            </w:r>
            <w:r>
              <w:rPr>
                <w:spacing w:val="17"/>
              </w:rPr>
              <w:t>方案应当包括下列有关安全</w:t>
            </w:r>
            <w:r>
              <w:rPr>
                <w:spacing w:val="6"/>
              </w:rPr>
              <w:t>生产的内容</w:t>
            </w:r>
            <w:r>
              <w:rPr>
                <w:spacing w:val="-14"/>
              </w:rPr>
              <w:t>：（</w:t>
            </w:r>
            <w:r>
              <w:rPr>
                <w:spacing w:val="6"/>
              </w:rPr>
              <w:t>一）建设项</w:t>
            </w:r>
            <w:r>
              <w:rPr>
                <w:spacing w:val="15"/>
              </w:rPr>
              <w:t>目设备及管道试压、吹扫、</w:t>
            </w:r>
            <w:r>
              <w:rPr>
                <w:spacing w:val="5"/>
              </w:rPr>
              <w:t>气密、单机试车、仪表调校、</w:t>
            </w:r>
            <w:r>
              <w:rPr>
                <w:spacing w:val="17"/>
              </w:rPr>
              <w:t>联动试车等生产准备的完成</w:t>
            </w:r>
          </w:p>
        </w:tc>
        <w:tc>
          <w:tcPr>
            <w:tcW w:w="2859" w:type="dxa"/>
            <w:vMerge w:val="restart"/>
            <w:tcBorders>
              <w:bottom w:val="nil"/>
            </w:tcBorders>
            <w:vAlign w:val="top"/>
          </w:tcPr>
          <w:p w14:paraId="3FB75B9E">
            <w:pPr>
              <w:pStyle w:val="6"/>
              <w:spacing w:before="32" w:line="184" w:lineRule="auto"/>
              <w:ind w:left="115" w:right="40" w:hanging="18"/>
              <w:jc w:val="both"/>
            </w:pPr>
            <w:r>
              <w:rPr>
                <w:spacing w:val="10"/>
              </w:rPr>
              <w:t>【部门规章】《危险化学</w:t>
            </w:r>
            <w:r>
              <w:rPr>
                <w:spacing w:val="8"/>
              </w:rPr>
              <w:t>品建设项目安全监督管理</w:t>
            </w:r>
            <w:r>
              <w:rPr>
                <w:spacing w:val="-6"/>
              </w:rPr>
              <w:t>办法》第三十七条第三项：</w:t>
            </w:r>
            <w:r>
              <w:rPr>
                <w:spacing w:val="6"/>
              </w:rPr>
              <w:t>建设单位有下列行为之一</w:t>
            </w:r>
            <w:r>
              <w:rPr>
                <w:spacing w:val="2"/>
              </w:rPr>
              <w:t>的，责令改正，可以处</w:t>
            </w:r>
            <w:r>
              <w:rPr>
                <w:rFonts w:ascii="宋体" w:hAnsi="宋体" w:eastAsia="宋体" w:cs="宋体"/>
                <w:spacing w:val="2"/>
              </w:rPr>
              <w:t>1</w:t>
            </w:r>
            <w:r>
              <w:rPr>
                <w:spacing w:val="8"/>
              </w:rPr>
              <w:t>万元以下的罚款；逾期未</w:t>
            </w:r>
            <w:r>
              <w:rPr>
                <w:spacing w:val="3"/>
              </w:rPr>
              <w:t>改正的，处</w:t>
            </w:r>
            <w:r>
              <w:rPr>
                <w:rFonts w:ascii="宋体" w:hAnsi="宋体" w:eastAsia="宋体" w:cs="宋体"/>
                <w:spacing w:val="3"/>
              </w:rPr>
              <w:t>1</w:t>
            </w:r>
            <w:r>
              <w:rPr>
                <w:spacing w:val="3"/>
              </w:rPr>
              <w:t>万元以上</w:t>
            </w:r>
            <w:r>
              <w:rPr>
                <w:rFonts w:ascii="宋体" w:hAnsi="宋体" w:eastAsia="宋体" w:cs="宋体"/>
                <w:spacing w:val="3"/>
              </w:rPr>
              <w:t>3</w:t>
            </w:r>
            <w:r>
              <w:rPr>
                <w:spacing w:val="8"/>
              </w:rPr>
              <w:t>万元以下的罚款</w:t>
            </w:r>
            <w:r>
              <w:rPr>
                <w:spacing w:val="12"/>
              </w:rPr>
              <w:t>：（</w:t>
            </w:r>
            <w:r>
              <w:rPr>
                <w:spacing w:val="8"/>
              </w:rPr>
              <w:t>三）未组织有关单位和专家研</w:t>
            </w:r>
            <w:r>
              <w:rPr>
                <w:spacing w:val="2"/>
              </w:rPr>
              <w:t>究提出试生产（使用）可</w:t>
            </w:r>
            <w:r>
              <w:rPr>
                <w:spacing w:val="32"/>
              </w:rPr>
              <w:t>能出现的安全问题及对</w:t>
            </w:r>
            <w:r>
              <w:rPr>
                <w:spacing w:val="8"/>
              </w:rPr>
              <w:t>策，或者未制定周密的试生产（使用）方案，进行</w:t>
            </w:r>
            <w:r>
              <w:rPr>
                <w:spacing w:val="3"/>
              </w:rPr>
              <w:t>试生产（使用）的；</w:t>
            </w:r>
          </w:p>
        </w:tc>
        <w:tc>
          <w:tcPr>
            <w:tcW w:w="803" w:type="dxa"/>
            <w:vAlign w:val="top"/>
          </w:tcPr>
          <w:p w14:paraId="7C7B02CC">
            <w:pPr>
              <w:spacing w:line="449" w:lineRule="auto"/>
              <w:rPr>
                <w:rFonts w:ascii="Arial"/>
                <w:sz w:val="21"/>
              </w:rPr>
            </w:pPr>
          </w:p>
          <w:p w14:paraId="3AA6C090">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767F160">
            <w:pPr>
              <w:pStyle w:val="6"/>
              <w:spacing w:before="182" w:line="190" w:lineRule="auto"/>
              <w:ind w:left="118" w:right="108"/>
              <w:jc w:val="both"/>
            </w:pPr>
            <w:r>
              <w:rPr>
                <w:spacing w:val="26"/>
              </w:rPr>
              <w:t>未制定周密的试生</w:t>
            </w:r>
            <w:r>
              <w:rPr>
                <w:spacing w:val="-12"/>
              </w:rPr>
              <w:t>产（使用）方案，进</w:t>
            </w:r>
            <w:r>
              <w:rPr>
                <w:spacing w:val="-3"/>
              </w:rPr>
              <w:t>行试生产（使用）的</w:t>
            </w:r>
          </w:p>
        </w:tc>
        <w:tc>
          <w:tcPr>
            <w:tcW w:w="2894" w:type="dxa"/>
            <w:vAlign w:val="top"/>
          </w:tcPr>
          <w:p w14:paraId="5B30A90B">
            <w:pPr>
              <w:pStyle w:val="6"/>
              <w:spacing w:before="37" w:line="177" w:lineRule="auto"/>
              <w:ind w:left="124" w:right="103" w:firstLine="2"/>
              <w:jc w:val="both"/>
            </w:pPr>
            <w:r>
              <w:rPr>
                <w:spacing w:val="1"/>
              </w:rPr>
              <w:t>责令改正，可以处</w:t>
            </w:r>
            <w:r>
              <w:rPr>
                <w:rFonts w:ascii="宋体" w:hAnsi="宋体" w:eastAsia="宋体" w:cs="宋体"/>
                <w:spacing w:val="1"/>
              </w:rPr>
              <w:t>1</w:t>
            </w:r>
            <w:r>
              <w:rPr>
                <w:spacing w:val="1"/>
              </w:rPr>
              <w:t>万元</w:t>
            </w:r>
            <w:r>
              <w:rPr>
                <w:spacing w:val="8"/>
              </w:rPr>
              <w:t>以下的罚款；逾期未改正</w:t>
            </w:r>
            <w:r>
              <w:rPr>
                <w:spacing w:val="-4"/>
              </w:rPr>
              <w:t>的，处</w:t>
            </w:r>
            <w:r>
              <w:rPr>
                <w:rFonts w:ascii="宋体" w:hAnsi="宋体" w:eastAsia="宋体" w:cs="宋体"/>
                <w:spacing w:val="-4"/>
              </w:rPr>
              <w:t>1</w:t>
            </w:r>
            <w:r>
              <w:rPr>
                <w:spacing w:val="-4"/>
              </w:rPr>
              <w:t>万元以上</w:t>
            </w:r>
            <w:r>
              <w:rPr>
                <w:rFonts w:ascii="宋体" w:hAnsi="宋体" w:eastAsia="宋体" w:cs="宋体"/>
                <w:spacing w:val="-4"/>
              </w:rPr>
              <w:t>1.5</w:t>
            </w:r>
            <w:r>
              <w:rPr>
                <w:spacing w:val="-4"/>
              </w:rPr>
              <w:t>万</w:t>
            </w:r>
            <w:r>
              <w:rPr>
                <w:spacing w:val="6"/>
              </w:rPr>
              <w:t>元以下的罚款</w:t>
            </w:r>
          </w:p>
        </w:tc>
        <w:tc>
          <w:tcPr>
            <w:tcW w:w="811" w:type="dxa"/>
            <w:vMerge w:val="restart"/>
            <w:tcBorders>
              <w:bottom w:val="nil"/>
            </w:tcBorders>
            <w:vAlign w:val="top"/>
          </w:tcPr>
          <w:p w14:paraId="73A08B2E">
            <w:pPr>
              <w:spacing w:line="254" w:lineRule="auto"/>
              <w:rPr>
                <w:rFonts w:ascii="Arial"/>
                <w:sz w:val="21"/>
              </w:rPr>
            </w:pPr>
          </w:p>
          <w:p w14:paraId="4B6DC057">
            <w:pPr>
              <w:spacing w:line="255" w:lineRule="auto"/>
              <w:rPr>
                <w:rFonts w:ascii="Arial"/>
                <w:sz w:val="21"/>
              </w:rPr>
            </w:pPr>
          </w:p>
          <w:p w14:paraId="38071DF1">
            <w:pPr>
              <w:spacing w:line="255" w:lineRule="auto"/>
              <w:rPr>
                <w:rFonts w:ascii="Arial"/>
                <w:sz w:val="21"/>
              </w:rPr>
            </w:pPr>
          </w:p>
          <w:p w14:paraId="6A8F1B68">
            <w:pPr>
              <w:spacing w:line="255" w:lineRule="auto"/>
              <w:rPr>
                <w:rFonts w:ascii="Arial"/>
                <w:sz w:val="21"/>
              </w:rPr>
            </w:pPr>
          </w:p>
          <w:p w14:paraId="70744E6C">
            <w:pPr>
              <w:spacing w:line="255" w:lineRule="auto"/>
              <w:rPr>
                <w:rFonts w:ascii="Arial"/>
                <w:sz w:val="21"/>
              </w:rPr>
            </w:pPr>
          </w:p>
          <w:p w14:paraId="1FE35BF6">
            <w:pPr>
              <w:spacing w:line="255" w:lineRule="auto"/>
              <w:rPr>
                <w:rFonts w:ascii="Arial"/>
                <w:sz w:val="21"/>
              </w:rPr>
            </w:pPr>
          </w:p>
          <w:p w14:paraId="1B1E0947">
            <w:pPr>
              <w:spacing w:line="255" w:lineRule="auto"/>
              <w:rPr>
                <w:rFonts w:ascii="Arial"/>
                <w:sz w:val="21"/>
              </w:rPr>
            </w:pPr>
          </w:p>
          <w:p w14:paraId="68202049">
            <w:pPr>
              <w:spacing w:line="255" w:lineRule="auto"/>
              <w:rPr>
                <w:rFonts w:ascii="Arial"/>
                <w:sz w:val="21"/>
              </w:rPr>
            </w:pPr>
          </w:p>
          <w:p w14:paraId="40A91343">
            <w:pPr>
              <w:spacing w:line="255" w:lineRule="auto"/>
              <w:rPr>
                <w:rFonts w:ascii="Arial"/>
                <w:sz w:val="21"/>
              </w:rPr>
            </w:pPr>
          </w:p>
          <w:p w14:paraId="2E58378E">
            <w:pPr>
              <w:spacing w:line="255" w:lineRule="auto"/>
              <w:rPr>
                <w:rFonts w:ascii="Arial"/>
                <w:sz w:val="21"/>
              </w:rPr>
            </w:pPr>
          </w:p>
          <w:p w14:paraId="78EE8ED6">
            <w:pPr>
              <w:spacing w:before="74" w:line="188" w:lineRule="auto"/>
              <w:ind w:left="292"/>
              <w:rPr>
                <w:rFonts w:ascii="宋体" w:hAnsi="宋体" w:eastAsia="宋体" w:cs="宋体"/>
                <w:sz w:val="23"/>
                <w:szCs w:val="23"/>
              </w:rPr>
            </w:pPr>
            <w:r>
              <w:rPr>
                <w:rFonts w:ascii="宋体" w:hAnsi="宋体" w:eastAsia="宋体" w:cs="宋体"/>
                <w:spacing w:val="-2"/>
                <w:sz w:val="23"/>
                <w:szCs w:val="23"/>
              </w:rPr>
              <w:t>94</w:t>
            </w:r>
          </w:p>
        </w:tc>
      </w:tr>
      <w:tr w14:paraId="53EE2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bottom w:val="nil"/>
            </w:tcBorders>
            <w:vAlign w:val="top"/>
          </w:tcPr>
          <w:p w14:paraId="53EA307A">
            <w:pPr>
              <w:rPr>
                <w:rFonts w:ascii="Arial"/>
                <w:sz w:val="21"/>
              </w:rPr>
            </w:pPr>
          </w:p>
        </w:tc>
        <w:tc>
          <w:tcPr>
            <w:tcW w:w="1440" w:type="dxa"/>
            <w:vMerge w:val="continue"/>
            <w:tcBorders>
              <w:top w:val="nil"/>
              <w:bottom w:val="nil"/>
            </w:tcBorders>
            <w:vAlign w:val="top"/>
          </w:tcPr>
          <w:p w14:paraId="6CD6A526">
            <w:pPr>
              <w:rPr>
                <w:rFonts w:ascii="Arial"/>
                <w:sz w:val="21"/>
              </w:rPr>
            </w:pPr>
          </w:p>
        </w:tc>
        <w:tc>
          <w:tcPr>
            <w:tcW w:w="3202" w:type="dxa"/>
            <w:vMerge w:val="continue"/>
            <w:tcBorders>
              <w:top w:val="nil"/>
              <w:bottom w:val="nil"/>
            </w:tcBorders>
            <w:vAlign w:val="top"/>
          </w:tcPr>
          <w:p w14:paraId="551FB2B5">
            <w:pPr>
              <w:rPr>
                <w:rFonts w:ascii="Arial"/>
                <w:sz w:val="21"/>
              </w:rPr>
            </w:pPr>
          </w:p>
        </w:tc>
        <w:tc>
          <w:tcPr>
            <w:tcW w:w="2859" w:type="dxa"/>
            <w:vMerge w:val="continue"/>
            <w:tcBorders>
              <w:top w:val="nil"/>
              <w:bottom w:val="nil"/>
            </w:tcBorders>
            <w:vAlign w:val="top"/>
          </w:tcPr>
          <w:p w14:paraId="7CFCEB93">
            <w:pPr>
              <w:rPr>
                <w:rFonts w:ascii="Arial"/>
                <w:sz w:val="21"/>
              </w:rPr>
            </w:pPr>
          </w:p>
        </w:tc>
        <w:tc>
          <w:tcPr>
            <w:tcW w:w="803" w:type="dxa"/>
            <w:vAlign w:val="top"/>
          </w:tcPr>
          <w:p w14:paraId="317ED880">
            <w:pPr>
              <w:spacing w:line="249" w:lineRule="auto"/>
              <w:rPr>
                <w:rFonts w:ascii="Arial"/>
                <w:sz w:val="21"/>
              </w:rPr>
            </w:pPr>
          </w:p>
          <w:p w14:paraId="6F6E71BB">
            <w:pPr>
              <w:spacing w:line="250" w:lineRule="auto"/>
              <w:rPr>
                <w:rFonts w:ascii="Arial"/>
                <w:sz w:val="21"/>
              </w:rPr>
            </w:pPr>
          </w:p>
          <w:p w14:paraId="31F0A572">
            <w:pPr>
              <w:spacing w:line="250" w:lineRule="auto"/>
              <w:rPr>
                <w:rFonts w:ascii="Arial"/>
                <w:sz w:val="21"/>
              </w:rPr>
            </w:pPr>
          </w:p>
          <w:p w14:paraId="592328F7">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51B6792">
            <w:pPr>
              <w:pStyle w:val="6"/>
              <w:spacing w:before="28" w:line="179" w:lineRule="auto"/>
              <w:ind w:left="114" w:right="13" w:firstLine="3"/>
              <w:jc w:val="both"/>
            </w:pPr>
            <w:r>
              <w:rPr>
                <w:spacing w:val="26"/>
              </w:rPr>
              <w:t>未组织有关单位和专家研究提出试生</w:t>
            </w:r>
            <w:r>
              <w:rPr>
                <w:spacing w:val="-2"/>
              </w:rPr>
              <w:t>产（使用）可能出现</w:t>
            </w:r>
            <w:r>
              <w:rPr>
                <w:spacing w:val="3"/>
              </w:rPr>
              <w:t>的安全问题及对策，</w:t>
            </w:r>
            <w:r>
              <w:rPr>
                <w:spacing w:val="8"/>
              </w:rPr>
              <w:t>进行试生产（使用）</w:t>
            </w:r>
            <w:r>
              <w:t>的</w:t>
            </w:r>
          </w:p>
        </w:tc>
        <w:tc>
          <w:tcPr>
            <w:tcW w:w="2894" w:type="dxa"/>
            <w:vAlign w:val="top"/>
          </w:tcPr>
          <w:p w14:paraId="0A7C6439">
            <w:pPr>
              <w:pStyle w:val="6"/>
              <w:spacing w:before="333" w:line="189" w:lineRule="auto"/>
              <w:ind w:left="124" w:right="103" w:firstLine="2"/>
              <w:jc w:val="both"/>
            </w:pPr>
            <w:r>
              <w:rPr>
                <w:spacing w:val="1"/>
              </w:rPr>
              <w:t>责令改正，可以处</w:t>
            </w:r>
            <w:r>
              <w:rPr>
                <w:rFonts w:ascii="宋体" w:hAnsi="宋体" w:eastAsia="宋体" w:cs="宋体"/>
                <w:spacing w:val="1"/>
              </w:rPr>
              <w:t>1</w:t>
            </w:r>
            <w:r>
              <w:rPr>
                <w:spacing w:val="1"/>
              </w:rPr>
              <w:t>万元</w:t>
            </w:r>
            <w:r>
              <w:rPr>
                <w:spacing w:val="8"/>
              </w:rPr>
              <w:t>以下的罚款；逾期未改正</w:t>
            </w:r>
            <w:r>
              <w:rPr>
                <w:spacing w:val="-2"/>
              </w:rPr>
              <w:t>的，处</w:t>
            </w:r>
            <w:r>
              <w:rPr>
                <w:rFonts w:ascii="宋体" w:hAnsi="宋体" w:eastAsia="宋体" w:cs="宋体"/>
                <w:spacing w:val="-2"/>
              </w:rPr>
              <w:t>1.5</w:t>
            </w:r>
            <w:r>
              <w:rPr>
                <w:spacing w:val="-2"/>
              </w:rPr>
              <w:t>万元以上</w:t>
            </w:r>
            <w:r>
              <w:rPr>
                <w:rFonts w:ascii="宋体" w:hAnsi="宋体" w:eastAsia="宋体" w:cs="宋体"/>
                <w:spacing w:val="-2"/>
              </w:rPr>
              <w:t>2</w:t>
            </w:r>
            <w:r>
              <w:rPr>
                <w:spacing w:val="-2"/>
              </w:rPr>
              <w:t>万</w:t>
            </w:r>
            <w:r>
              <w:rPr>
                <w:spacing w:val="6"/>
              </w:rPr>
              <w:t>元以下的罚款</w:t>
            </w:r>
          </w:p>
        </w:tc>
        <w:tc>
          <w:tcPr>
            <w:tcW w:w="811" w:type="dxa"/>
            <w:vMerge w:val="continue"/>
            <w:tcBorders>
              <w:top w:val="nil"/>
              <w:bottom w:val="nil"/>
            </w:tcBorders>
            <w:vAlign w:val="top"/>
          </w:tcPr>
          <w:p w14:paraId="3994332C">
            <w:pPr>
              <w:rPr>
                <w:rFonts w:ascii="Arial"/>
                <w:sz w:val="21"/>
              </w:rPr>
            </w:pPr>
          </w:p>
        </w:tc>
      </w:tr>
      <w:tr w14:paraId="0B49A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7" w:hRule="atLeast"/>
        </w:trPr>
        <w:tc>
          <w:tcPr>
            <w:tcW w:w="818" w:type="dxa"/>
            <w:vMerge w:val="continue"/>
            <w:tcBorders>
              <w:top w:val="nil"/>
            </w:tcBorders>
            <w:vAlign w:val="top"/>
          </w:tcPr>
          <w:p w14:paraId="4E34705C">
            <w:pPr>
              <w:rPr>
                <w:rFonts w:ascii="Arial"/>
                <w:sz w:val="21"/>
              </w:rPr>
            </w:pPr>
          </w:p>
        </w:tc>
        <w:tc>
          <w:tcPr>
            <w:tcW w:w="1440" w:type="dxa"/>
            <w:vMerge w:val="continue"/>
            <w:tcBorders>
              <w:top w:val="nil"/>
            </w:tcBorders>
            <w:vAlign w:val="top"/>
          </w:tcPr>
          <w:p w14:paraId="132900E2">
            <w:pPr>
              <w:rPr>
                <w:rFonts w:ascii="Arial"/>
                <w:sz w:val="21"/>
              </w:rPr>
            </w:pPr>
          </w:p>
        </w:tc>
        <w:tc>
          <w:tcPr>
            <w:tcW w:w="3202" w:type="dxa"/>
            <w:vMerge w:val="continue"/>
            <w:tcBorders>
              <w:top w:val="nil"/>
            </w:tcBorders>
            <w:vAlign w:val="top"/>
          </w:tcPr>
          <w:p w14:paraId="550F70CE">
            <w:pPr>
              <w:rPr>
                <w:rFonts w:ascii="Arial"/>
                <w:sz w:val="21"/>
              </w:rPr>
            </w:pPr>
          </w:p>
        </w:tc>
        <w:tc>
          <w:tcPr>
            <w:tcW w:w="2859" w:type="dxa"/>
            <w:vMerge w:val="continue"/>
            <w:tcBorders>
              <w:top w:val="nil"/>
            </w:tcBorders>
            <w:vAlign w:val="top"/>
          </w:tcPr>
          <w:p w14:paraId="7F796EE9">
            <w:pPr>
              <w:rPr>
                <w:rFonts w:ascii="Arial"/>
                <w:sz w:val="21"/>
              </w:rPr>
            </w:pPr>
          </w:p>
        </w:tc>
        <w:tc>
          <w:tcPr>
            <w:tcW w:w="803" w:type="dxa"/>
            <w:vAlign w:val="top"/>
          </w:tcPr>
          <w:p w14:paraId="6A7C7CB0">
            <w:pPr>
              <w:spacing w:line="261" w:lineRule="auto"/>
              <w:rPr>
                <w:rFonts w:ascii="Arial"/>
                <w:sz w:val="21"/>
              </w:rPr>
            </w:pPr>
          </w:p>
          <w:p w14:paraId="00898906">
            <w:pPr>
              <w:spacing w:line="261" w:lineRule="auto"/>
              <w:rPr>
                <w:rFonts w:ascii="Arial"/>
                <w:sz w:val="21"/>
              </w:rPr>
            </w:pPr>
          </w:p>
          <w:p w14:paraId="1C839E62">
            <w:pPr>
              <w:spacing w:line="262" w:lineRule="auto"/>
              <w:rPr>
                <w:rFonts w:ascii="Arial"/>
                <w:sz w:val="21"/>
              </w:rPr>
            </w:pPr>
          </w:p>
          <w:p w14:paraId="789ABF63">
            <w:pPr>
              <w:spacing w:line="262" w:lineRule="auto"/>
              <w:rPr>
                <w:rFonts w:ascii="Arial"/>
                <w:sz w:val="21"/>
              </w:rPr>
            </w:pPr>
          </w:p>
          <w:p w14:paraId="2701D97B">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732EC34">
            <w:pPr>
              <w:pStyle w:val="6"/>
              <w:spacing w:before="29" w:line="180" w:lineRule="auto"/>
              <w:ind w:left="114" w:right="13" w:firstLine="3"/>
              <w:jc w:val="both"/>
            </w:pPr>
            <w:r>
              <w:rPr>
                <w:spacing w:val="26"/>
              </w:rPr>
              <w:t>未组织有关单位和专家研究提出试生</w:t>
            </w:r>
            <w:r>
              <w:rPr>
                <w:spacing w:val="-2"/>
              </w:rPr>
              <w:t>产（使用）可能出现</w:t>
            </w:r>
            <w:r>
              <w:rPr>
                <w:spacing w:val="3"/>
              </w:rPr>
              <w:t>的安全问题及对策，</w:t>
            </w:r>
            <w:r>
              <w:rPr>
                <w:spacing w:val="26"/>
              </w:rPr>
              <w:t>且未制定周密的试</w:t>
            </w:r>
            <w:r>
              <w:rPr>
                <w:spacing w:val="3"/>
              </w:rPr>
              <w:t>生产（使用）方案，</w:t>
            </w:r>
            <w:r>
              <w:rPr>
                <w:spacing w:val="8"/>
              </w:rPr>
              <w:t>进行试生产（使用）</w:t>
            </w:r>
            <w:r>
              <w:t>的</w:t>
            </w:r>
          </w:p>
        </w:tc>
        <w:tc>
          <w:tcPr>
            <w:tcW w:w="2894" w:type="dxa"/>
            <w:vAlign w:val="top"/>
          </w:tcPr>
          <w:p w14:paraId="640CD9A7">
            <w:pPr>
              <w:spacing w:line="265" w:lineRule="auto"/>
              <w:rPr>
                <w:rFonts w:ascii="Arial"/>
                <w:sz w:val="21"/>
              </w:rPr>
            </w:pPr>
          </w:p>
          <w:p w14:paraId="271463F7">
            <w:pPr>
              <w:spacing w:line="266" w:lineRule="auto"/>
              <w:rPr>
                <w:rFonts w:ascii="Arial"/>
                <w:sz w:val="21"/>
              </w:rPr>
            </w:pPr>
          </w:p>
          <w:p w14:paraId="2E34D4B5">
            <w:pPr>
              <w:pStyle w:val="6"/>
              <w:spacing w:before="99" w:line="189" w:lineRule="auto"/>
              <w:ind w:left="140" w:right="103" w:hanging="13"/>
              <w:jc w:val="both"/>
            </w:pPr>
            <w:r>
              <w:rPr>
                <w:spacing w:val="1"/>
              </w:rPr>
              <w:t>责令改正，可以处</w:t>
            </w:r>
            <w:r>
              <w:rPr>
                <w:rFonts w:ascii="宋体" w:hAnsi="宋体" w:eastAsia="宋体" w:cs="宋体"/>
                <w:spacing w:val="1"/>
              </w:rPr>
              <w:t>1</w:t>
            </w:r>
            <w:r>
              <w:rPr>
                <w:spacing w:val="1"/>
              </w:rPr>
              <w:t>万元</w:t>
            </w:r>
            <w:r>
              <w:rPr>
                <w:spacing w:val="6"/>
              </w:rPr>
              <w:t>以下的罚款；逾期未改正</w:t>
            </w:r>
            <w:r>
              <w:rPr>
                <w:spacing w:val="-1"/>
              </w:rPr>
              <w:t>的，处</w:t>
            </w:r>
            <w:r>
              <w:rPr>
                <w:rFonts w:ascii="宋体" w:hAnsi="宋体" w:eastAsia="宋体" w:cs="宋体"/>
                <w:spacing w:val="-1"/>
              </w:rPr>
              <w:t>2</w:t>
            </w:r>
            <w:r>
              <w:rPr>
                <w:spacing w:val="-1"/>
              </w:rPr>
              <w:t>万元以上</w:t>
            </w:r>
            <w:r>
              <w:rPr>
                <w:rFonts w:ascii="宋体" w:hAnsi="宋体" w:eastAsia="宋体" w:cs="宋体"/>
                <w:spacing w:val="-1"/>
              </w:rPr>
              <w:t>3</w:t>
            </w:r>
            <w:r>
              <w:rPr>
                <w:spacing w:val="-1"/>
              </w:rPr>
              <w:t>万元</w:t>
            </w:r>
            <w:r>
              <w:rPr>
                <w:spacing w:val="2"/>
              </w:rPr>
              <w:t>以下的罚款</w:t>
            </w:r>
          </w:p>
        </w:tc>
        <w:tc>
          <w:tcPr>
            <w:tcW w:w="811" w:type="dxa"/>
            <w:vMerge w:val="continue"/>
            <w:tcBorders>
              <w:top w:val="nil"/>
            </w:tcBorders>
            <w:vAlign w:val="top"/>
          </w:tcPr>
          <w:p w14:paraId="576E5F2D">
            <w:pPr>
              <w:rPr>
                <w:rFonts w:ascii="Arial"/>
                <w:sz w:val="21"/>
              </w:rPr>
            </w:pPr>
          </w:p>
        </w:tc>
      </w:tr>
    </w:tbl>
    <w:p w14:paraId="7671073C">
      <w:pPr>
        <w:pStyle w:val="2"/>
        <w:spacing w:line="185" w:lineRule="exact"/>
        <w:rPr>
          <w:sz w:val="16"/>
        </w:rPr>
      </w:pPr>
    </w:p>
    <w:p w14:paraId="15262C82">
      <w:pPr>
        <w:spacing w:line="185" w:lineRule="exact"/>
        <w:rPr>
          <w:sz w:val="16"/>
          <w:szCs w:val="16"/>
        </w:rPr>
        <w:sectPr>
          <w:footerReference r:id="rId158" w:type="default"/>
          <w:pgSz w:w="16839" w:h="11906"/>
          <w:pgMar w:top="1012" w:right="821" w:bottom="667" w:left="901" w:header="0" w:footer="388" w:gutter="0"/>
          <w:cols w:space="720" w:num="1"/>
        </w:sectPr>
      </w:pPr>
    </w:p>
    <w:p w14:paraId="34C1FF73">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AD70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059EA3C">
            <w:pPr>
              <w:spacing w:before="222" w:line="241" w:lineRule="auto"/>
              <w:ind w:left="131"/>
              <w:outlineLvl w:val="0"/>
              <w:rPr>
                <w:rFonts w:ascii="黑体" w:hAnsi="黑体" w:eastAsia="黑体" w:cs="黑体"/>
                <w:sz w:val="28"/>
                <w:szCs w:val="28"/>
              </w:rPr>
            </w:pPr>
            <w:bookmarkStart w:id="585" w:name="bookmark282"/>
            <w:bookmarkEnd w:id="585"/>
            <w:bookmarkStart w:id="586" w:name="bookmark558"/>
            <w:bookmarkEnd w:id="586"/>
            <w:r>
              <w:rPr>
                <w:rFonts w:ascii="黑体" w:hAnsi="黑体" w:eastAsia="黑体" w:cs="黑体"/>
                <w:spacing w:val="-2"/>
                <w:sz w:val="28"/>
                <w:szCs w:val="28"/>
              </w:rPr>
              <w:t>序号</w:t>
            </w:r>
          </w:p>
        </w:tc>
        <w:tc>
          <w:tcPr>
            <w:tcW w:w="1440" w:type="dxa"/>
            <w:vAlign w:val="top"/>
          </w:tcPr>
          <w:p w14:paraId="45B238F5">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F79C1FD">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DF7DF57">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1D59D7D">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2C7012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0313E72">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876D2E6">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6F95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3" w:hRule="atLeast"/>
        </w:trPr>
        <w:tc>
          <w:tcPr>
            <w:tcW w:w="818" w:type="dxa"/>
            <w:vAlign w:val="top"/>
          </w:tcPr>
          <w:p w14:paraId="50729794">
            <w:pPr>
              <w:rPr>
                <w:rFonts w:ascii="Arial"/>
                <w:sz w:val="21"/>
              </w:rPr>
            </w:pPr>
          </w:p>
        </w:tc>
        <w:tc>
          <w:tcPr>
            <w:tcW w:w="1440" w:type="dxa"/>
            <w:vAlign w:val="top"/>
          </w:tcPr>
          <w:p w14:paraId="2023D83B">
            <w:pPr>
              <w:rPr>
                <w:rFonts w:ascii="Arial"/>
                <w:sz w:val="21"/>
              </w:rPr>
            </w:pPr>
          </w:p>
        </w:tc>
        <w:tc>
          <w:tcPr>
            <w:tcW w:w="3202" w:type="dxa"/>
            <w:vAlign w:val="top"/>
          </w:tcPr>
          <w:p w14:paraId="33A76E40">
            <w:pPr>
              <w:pStyle w:val="6"/>
              <w:spacing w:before="36" w:line="182" w:lineRule="auto"/>
              <w:ind w:left="98" w:right="35" w:firstLine="28"/>
              <w:jc w:val="both"/>
            </w:pPr>
            <w:r>
              <w:t>情况</w:t>
            </w:r>
            <w:r>
              <w:rPr>
                <w:spacing w:val="4"/>
              </w:rPr>
              <w:t>；（</w:t>
            </w:r>
            <w:r>
              <w:t>二）投料试车方案；</w:t>
            </w:r>
            <w:r>
              <w:rPr>
                <w:spacing w:val="11"/>
              </w:rPr>
              <w:t>（三）试生产（使用）过程</w:t>
            </w:r>
            <w:r>
              <w:rPr>
                <w:spacing w:val="18"/>
              </w:rPr>
              <w:t>中可能出现的安全问题、对</w:t>
            </w:r>
            <w:r>
              <w:rPr>
                <w:spacing w:val="21"/>
              </w:rPr>
              <w:t>策及应急预案</w:t>
            </w:r>
            <w:r>
              <w:rPr>
                <w:spacing w:val="-14"/>
              </w:rPr>
              <w:t>；（</w:t>
            </w:r>
            <w:r>
              <w:rPr>
                <w:spacing w:val="21"/>
              </w:rPr>
              <w:t>四）建设</w:t>
            </w:r>
            <w:r>
              <w:rPr>
                <w:spacing w:val="18"/>
              </w:rPr>
              <w:t>项目周边环境与建设项目安</w:t>
            </w:r>
            <w:r>
              <w:rPr>
                <w:spacing w:val="15"/>
              </w:rPr>
              <w:t>全试生产（使用）相互影响</w:t>
            </w:r>
            <w:r>
              <w:rPr>
                <w:spacing w:val="21"/>
              </w:rPr>
              <w:t>的确认情况</w:t>
            </w:r>
            <w:r>
              <w:rPr>
                <w:spacing w:val="-13"/>
              </w:rPr>
              <w:t>；（</w:t>
            </w:r>
            <w:r>
              <w:rPr>
                <w:spacing w:val="21"/>
              </w:rPr>
              <w:t>五）危险化</w:t>
            </w:r>
            <w:r>
              <w:rPr>
                <w:spacing w:val="18"/>
              </w:rPr>
              <w:t>学品重大危险源监控措施的</w:t>
            </w:r>
            <w:r>
              <w:rPr>
                <w:spacing w:val="20"/>
              </w:rPr>
              <w:t>落实情况</w:t>
            </w:r>
            <w:r>
              <w:rPr>
                <w:spacing w:val="-10"/>
              </w:rPr>
              <w:t>；（</w:t>
            </w:r>
            <w:r>
              <w:rPr>
                <w:spacing w:val="20"/>
              </w:rPr>
              <w:t>六）人力资源</w:t>
            </w:r>
            <w:r>
              <w:rPr>
                <w:spacing w:val="1"/>
              </w:rPr>
              <w:t>配置情况</w:t>
            </w:r>
            <w:r>
              <w:rPr>
                <w:spacing w:val="-14"/>
              </w:rPr>
              <w:t>；（</w:t>
            </w:r>
            <w:r>
              <w:rPr>
                <w:spacing w:val="1"/>
              </w:rPr>
              <w:t>七）试生产（使</w:t>
            </w:r>
            <w:r>
              <w:rPr>
                <w:spacing w:val="5"/>
              </w:rPr>
              <w:t>用）起止日期。</w:t>
            </w:r>
          </w:p>
          <w:p w14:paraId="585BD4C2">
            <w:pPr>
              <w:pStyle w:val="6"/>
              <w:spacing w:before="2" w:line="171" w:lineRule="auto"/>
              <w:ind w:left="116" w:right="111"/>
            </w:pPr>
            <w:r>
              <w:rPr>
                <w:spacing w:val="17"/>
              </w:rPr>
              <w:t>建设项目试生产期限应当不</w:t>
            </w:r>
            <w:r>
              <w:rPr>
                <w:spacing w:val="-4"/>
              </w:rPr>
              <w:t>少于</w:t>
            </w:r>
            <w:r>
              <w:rPr>
                <w:rFonts w:ascii="宋体" w:hAnsi="宋体" w:eastAsia="宋体" w:cs="宋体"/>
                <w:spacing w:val="-4"/>
              </w:rPr>
              <w:t>30</w:t>
            </w:r>
            <w:r>
              <w:rPr>
                <w:spacing w:val="-4"/>
              </w:rPr>
              <w:t>日，不超过</w:t>
            </w:r>
            <w:r>
              <w:rPr>
                <w:rFonts w:ascii="宋体" w:hAnsi="宋体" w:eastAsia="宋体" w:cs="宋体"/>
                <w:spacing w:val="-4"/>
              </w:rPr>
              <w:t>1</w:t>
            </w:r>
            <w:r>
              <w:rPr>
                <w:spacing w:val="-4"/>
              </w:rPr>
              <w:t>年。</w:t>
            </w:r>
          </w:p>
        </w:tc>
        <w:tc>
          <w:tcPr>
            <w:tcW w:w="2859" w:type="dxa"/>
            <w:vAlign w:val="top"/>
          </w:tcPr>
          <w:p w14:paraId="52FFE331">
            <w:pPr>
              <w:rPr>
                <w:rFonts w:ascii="Arial"/>
                <w:sz w:val="21"/>
              </w:rPr>
            </w:pPr>
          </w:p>
        </w:tc>
        <w:tc>
          <w:tcPr>
            <w:tcW w:w="803" w:type="dxa"/>
            <w:vAlign w:val="top"/>
          </w:tcPr>
          <w:p w14:paraId="634F6741">
            <w:pPr>
              <w:rPr>
                <w:rFonts w:ascii="Arial"/>
                <w:sz w:val="21"/>
              </w:rPr>
            </w:pPr>
          </w:p>
        </w:tc>
        <w:tc>
          <w:tcPr>
            <w:tcW w:w="2283" w:type="dxa"/>
            <w:vAlign w:val="top"/>
          </w:tcPr>
          <w:p w14:paraId="5725A16F">
            <w:pPr>
              <w:rPr>
                <w:rFonts w:ascii="Arial"/>
                <w:sz w:val="21"/>
              </w:rPr>
            </w:pPr>
          </w:p>
        </w:tc>
        <w:tc>
          <w:tcPr>
            <w:tcW w:w="2894" w:type="dxa"/>
            <w:vAlign w:val="top"/>
          </w:tcPr>
          <w:p w14:paraId="3B06C93F">
            <w:pPr>
              <w:rPr>
                <w:rFonts w:ascii="Arial"/>
                <w:sz w:val="21"/>
              </w:rPr>
            </w:pPr>
          </w:p>
        </w:tc>
        <w:tc>
          <w:tcPr>
            <w:tcW w:w="811" w:type="dxa"/>
            <w:vAlign w:val="top"/>
          </w:tcPr>
          <w:p w14:paraId="48E24EC8">
            <w:pPr>
              <w:rPr>
                <w:rFonts w:ascii="Arial"/>
                <w:sz w:val="21"/>
              </w:rPr>
            </w:pPr>
          </w:p>
        </w:tc>
      </w:tr>
      <w:tr w14:paraId="790C9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0" w:hRule="atLeast"/>
        </w:trPr>
        <w:tc>
          <w:tcPr>
            <w:tcW w:w="818" w:type="dxa"/>
            <w:vMerge w:val="restart"/>
            <w:tcBorders>
              <w:bottom w:val="nil"/>
            </w:tcBorders>
            <w:vAlign w:val="top"/>
          </w:tcPr>
          <w:p w14:paraId="1918CD00">
            <w:pPr>
              <w:spacing w:line="263" w:lineRule="auto"/>
              <w:rPr>
                <w:rFonts w:ascii="Arial"/>
                <w:sz w:val="21"/>
              </w:rPr>
            </w:pPr>
          </w:p>
          <w:p w14:paraId="40B3BF11">
            <w:pPr>
              <w:spacing w:line="263" w:lineRule="auto"/>
              <w:rPr>
                <w:rFonts w:ascii="Arial"/>
                <w:sz w:val="21"/>
              </w:rPr>
            </w:pPr>
          </w:p>
          <w:p w14:paraId="593047C7">
            <w:pPr>
              <w:spacing w:line="264" w:lineRule="auto"/>
              <w:rPr>
                <w:rFonts w:ascii="Arial"/>
                <w:sz w:val="21"/>
              </w:rPr>
            </w:pPr>
          </w:p>
          <w:p w14:paraId="57A7F7AC">
            <w:pPr>
              <w:spacing w:line="264" w:lineRule="auto"/>
              <w:rPr>
                <w:rFonts w:ascii="Arial"/>
                <w:sz w:val="21"/>
              </w:rPr>
            </w:pPr>
          </w:p>
          <w:p w14:paraId="0925AEB8">
            <w:pPr>
              <w:spacing w:line="264" w:lineRule="auto"/>
              <w:rPr>
                <w:rFonts w:ascii="Arial"/>
                <w:sz w:val="21"/>
              </w:rPr>
            </w:pPr>
          </w:p>
          <w:p w14:paraId="23C27AB4">
            <w:pPr>
              <w:spacing w:line="264" w:lineRule="auto"/>
              <w:rPr>
                <w:rFonts w:ascii="Arial"/>
                <w:sz w:val="21"/>
              </w:rPr>
            </w:pPr>
          </w:p>
          <w:p w14:paraId="0CA1F0DA">
            <w:pPr>
              <w:spacing w:line="264" w:lineRule="auto"/>
              <w:rPr>
                <w:rFonts w:ascii="Arial"/>
                <w:sz w:val="21"/>
              </w:rPr>
            </w:pPr>
          </w:p>
          <w:p w14:paraId="76FF55AA">
            <w:pPr>
              <w:spacing w:line="264" w:lineRule="auto"/>
              <w:rPr>
                <w:rFonts w:ascii="Arial"/>
                <w:sz w:val="21"/>
              </w:rPr>
            </w:pPr>
          </w:p>
          <w:p w14:paraId="29C48830">
            <w:pPr>
              <w:spacing w:line="264" w:lineRule="auto"/>
              <w:rPr>
                <w:rFonts w:ascii="Arial"/>
                <w:sz w:val="21"/>
              </w:rPr>
            </w:pPr>
          </w:p>
          <w:p w14:paraId="2D2AF2F7">
            <w:pPr>
              <w:spacing w:before="75" w:line="186" w:lineRule="auto"/>
              <w:ind w:left="161"/>
              <w:rPr>
                <w:rFonts w:ascii="仿宋" w:hAnsi="仿宋" w:eastAsia="仿宋" w:cs="仿宋"/>
                <w:sz w:val="23"/>
                <w:szCs w:val="23"/>
              </w:rPr>
            </w:pPr>
            <w:r>
              <w:rPr>
                <w:rFonts w:ascii="仿宋" w:hAnsi="仿宋" w:eastAsia="仿宋" w:cs="仿宋"/>
                <w:spacing w:val="-5"/>
                <w:sz w:val="23"/>
                <w:szCs w:val="23"/>
              </w:rPr>
              <w:t>137</w:t>
            </w:r>
          </w:p>
        </w:tc>
        <w:tc>
          <w:tcPr>
            <w:tcW w:w="1440" w:type="dxa"/>
            <w:vMerge w:val="restart"/>
            <w:tcBorders>
              <w:bottom w:val="nil"/>
            </w:tcBorders>
            <w:vAlign w:val="top"/>
          </w:tcPr>
          <w:p w14:paraId="08D60D2B">
            <w:pPr>
              <w:rPr>
                <w:rFonts w:ascii="Arial"/>
                <w:sz w:val="21"/>
              </w:rPr>
            </w:pPr>
          </w:p>
          <w:p w14:paraId="2D838D47">
            <w:pPr>
              <w:rPr>
                <w:rFonts w:ascii="Arial"/>
                <w:sz w:val="21"/>
              </w:rPr>
            </w:pPr>
          </w:p>
          <w:p w14:paraId="5097501E">
            <w:pPr>
              <w:spacing w:line="241" w:lineRule="auto"/>
              <w:rPr>
                <w:rFonts w:ascii="Arial"/>
                <w:sz w:val="21"/>
              </w:rPr>
            </w:pPr>
          </w:p>
          <w:p w14:paraId="2449B99C">
            <w:pPr>
              <w:spacing w:line="241" w:lineRule="auto"/>
              <w:rPr>
                <w:rFonts w:ascii="Arial"/>
                <w:sz w:val="21"/>
              </w:rPr>
            </w:pPr>
          </w:p>
          <w:p w14:paraId="339CB31C">
            <w:pPr>
              <w:pStyle w:val="6"/>
              <w:spacing w:before="99" w:line="185" w:lineRule="auto"/>
              <w:ind w:left="96" w:right="106" w:firstLine="18"/>
              <w:jc w:val="both"/>
            </w:pPr>
            <w:r>
              <w:rPr>
                <w:spacing w:val="11"/>
              </w:rPr>
              <w:t>危险化学品</w:t>
            </w:r>
            <w:r>
              <w:rPr>
                <w:spacing w:val="15"/>
              </w:rPr>
              <w:t>建设单位未组织有关专家对试生产</w:t>
            </w:r>
            <w:r>
              <w:rPr>
                <w:spacing w:val="7"/>
              </w:rPr>
              <w:t>（使用）方</w:t>
            </w:r>
            <w:r>
              <w:rPr>
                <w:spacing w:val="-3"/>
              </w:rPr>
              <w:t>案进行审</w:t>
            </w:r>
            <w:r>
              <w:rPr>
                <w:spacing w:val="15"/>
              </w:rPr>
              <w:t>查、对试生</w:t>
            </w:r>
            <w:r>
              <w:rPr>
                <w:spacing w:val="16"/>
              </w:rPr>
              <w:t>产（使用）</w:t>
            </w:r>
            <w:r>
              <w:rPr>
                <w:spacing w:val="15"/>
              </w:rPr>
              <w:t>条件进行检</w:t>
            </w:r>
            <w:r>
              <w:rPr>
                <w:spacing w:val="10"/>
              </w:rPr>
              <w:t>查确认的</w:t>
            </w:r>
          </w:p>
        </w:tc>
        <w:tc>
          <w:tcPr>
            <w:tcW w:w="3202" w:type="dxa"/>
            <w:vMerge w:val="restart"/>
            <w:tcBorders>
              <w:bottom w:val="nil"/>
            </w:tcBorders>
            <w:vAlign w:val="top"/>
          </w:tcPr>
          <w:p w14:paraId="041A29BE">
            <w:pPr>
              <w:pStyle w:val="6"/>
              <w:spacing w:before="37" w:line="182" w:lineRule="auto"/>
              <w:ind w:left="115" w:right="110" w:hanging="17"/>
              <w:jc w:val="both"/>
            </w:pPr>
            <w:r>
              <w:rPr>
                <w:spacing w:val="18"/>
              </w:rPr>
              <w:t>【部门规章】《危险化学品</w:t>
            </w:r>
            <w:r>
              <w:rPr>
                <w:spacing w:val="40"/>
              </w:rPr>
              <w:t>建设项目安全监督管理办</w:t>
            </w:r>
            <w:r>
              <w:rPr>
                <w:spacing w:val="14"/>
              </w:rPr>
              <w:t>法》第二十三条：建设单位</w:t>
            </w:r>
            <w:r>
              <w:rPr>
                <w:spacing w:val="40"/>
              </w:rPr>
              <w:t>在采取有效安全生产措施</w:t>
            </w:r>
            <w:r>
              <w:rPr>
                <w:spacing w:val="13"/>
              </w:rPr>
              <w:t>后，方可将建设项目安全设</w:t>
            </w:r>
            <w:r>
              <w:rPr>
                <w:spacing w:val="17"/>
              </w:rPr>
              <w:t>施与生产、储存、使用的主体装置、设施同时进行试生</w:t>
            </w:r>
            <w:r>
              <w:rPr>
                <w:spacing w:val="2"/>
              </w:rPr>
              <w:t>产（使用）。</w:t>
            </w:r>
          </w:p>
          <w:p w14:paraId="3664101D">
            <w:pPr>
              <w:pStyle w:val="6"/>
              <w:spacing w:before="2" w:line="182" w:lineRule="auto"/>
              <w:ind w:left="98" w:right="110" w:firstLine="17"/>
            </w:pPr>
            <w:r>
              <w:rPr>
                <w:spacing w:val="10"/>
              </w:rPr>
              <w:t>试生产（使用）前，建设单</w:t>
            </w:r>
            <w:r>
              <w:rPr>
                <w:spacing w:val="41"/>
              </w:rPr>
              <w:t>位应当组织专家对试生产</w:t>
            </w:r>
            <w:r>
              <w:rPr>
                <w:spacing w:val="6"/>
              </w:rPr>
              <w:t>（使用）方案进行审查。</w:t>
            </w:r>
          </w:p>
          <w:p w14:paraId="22D7AEE8">
            <w:pPr>
              <w:pStyle w:val="6"/>
              <w:spacing w:before="7" w:line="187" w:lineRule="auto"/>
              <w:ind w:left="98" w:right="110" w:firstLine="17"/>
            </w:pPr>
            <w:r>
              <w:rPr>
                <w:spacing w:val="7"/>
              </w:rPr>
              <w:t>试生产（使用）时，建设单</w:t>
            </w:r>
            <w:r>
              <w:rPr>
                <w:spacing w:val="41"/>
              </w:rPr>
              <w:t>位应当组织专家对试生产</w:t>
            </w:r>
            <w:r>
              <w:rPr>
                <w:spacing w:val="11"/>
              </w:rPr>
              <w:t>（使用）条件进行确认，对</w:t>
            </w:r>
            <w:r>
              <w:rPr>
                <w:spacing w:val="15"/>
              </w:rPr>
              <w:t>试生产（使用）过程进行技</w:t>
            </w:r>
            <w:r>
              <w:rPr>
                <w:spacing w:val="2"/>
              </w:rPr>
              <w:t>术指导。</w:t>
            </w:r>
          </w:p>
        </w:tc>
        <w:tc>
          <w:tcPr>
            <w:tcW w:w="2859" w:type="dxa"/>
            <w:vMerge w:val="restart"/>
            <w:tcBorders>
              <w:bottom w:val="nil"/>
            </w:tcBorders>
            <w:vAlign w:val="top"/>
          </w:tcPr>
          <w:p w14:paraId="274DCAB9">
            <w:pPr>
              <w:pStyle w:val="6"/>
              <w:spacing w:before="24" w:line="185" w:lineRule="auto"/>
              <w:ind w:left="97" w:right="40"/>
              <w:jc w:val="both"/>
            </w:pPr>
            <w:r>
              <w:rPr>
                <w:spacing w:val="10"/>
              </w:rPr>
              <w:t>【部门规章】《危险化学品建设项目安全监督管理</w:t>
            </w:r>
            <w:r>
              <w:rPr>
                <w:spacing w:val="-4"/>
              </w:rPr>
              <w:t>办法》第三十七条第四项：</w:t>
            </w:r>
            <w:r>
              <w:rPr>
                <w:spacing w:val="7"/>
              </w:rPr>
              <w:t>建设单位有下列行为之一</w:t>
            </w:r>
            <w:r>
              <w:rPr>
                <w:spacing w:val="4"/>
              </w:rPr>
              <w:t>的，责令改正，可以处</w:t>
            </w:r>
            <w:r>
              <w:rPr>
                <w:rFonts w:ascii="宋体" w:hAnsi="宋体" w:eastAsia="宋体" w:cs="宋体"/>
                <w:spacing w:val="4"/>
              </w:rPr>
              <w:t>1</w:t>
            </w:r>
            <w:r>
              <w:rPr>
                <w:spacing w:val="10"/>
              </w:rPr>
              <w:t>万元以下的罚款；逾期未</w:t>
            </w:r>
            <w:r>
              <w:rPr>
                <w:spacing w:val="4"/>
              </w:rPr>
              <w:t>改正的，处</w:t>
            </w:r>
            <w:r>
              <w:rPr>
                <w:rFonts w:ascii="宋体" w:hAnsi="宋体" w:eastAsia="宋体" w:cs="宋体"/>
                <w:spacing w:val="4"/>
              </w:rPr>
              <w:t>1</w:t>
            </w:r>
            <w:r>
              <w:rPr>
                <w:spacing w:val="4"/>
              </w:rPr>
              <w:t>万元以上</w:t>
            </w:r>
            <w:r>
              <w:rPr>
                <w:rFonts w:ascii="宋体" w:hAnsi="宋体" w:eastAsia="宋体" w:cs="宋体"/>
                <w:spacing w:val="4"/>
              </w:rPr>
              <w:t>3</w:t>
            </w:r>
            <w:r>
              <w:rPr>
                <w:spacing w:val="10"/>
              </w:rPr>
              <w:t>万元以下的罚款</w:t>
            </w:r>
            <w:r>
              <w:rPr>
                <w:spacing w:val="12"/>
              </w:rPr>
              <w:t>：（</w:t>
            </w:r>
            <w:r>
              <w:rPr>
                <w:spacing w:val="10"/>
              </w:rPr>
              <w:t>四）未组织有关专家对试生产</w:t>
            </w:r>
            <w:r>
              <w:rPr>
                <w:spacing w:val="1"/>
              </w:rPr>
              <w:t>（使用）方案进行审查、</w:t>
            </w:r>
            <w:r>
              <w:rPr>
                <w:spacing w:val="10"/>
              </w:rPr>
              <w:t>对试生产（使用）条件进</w:t>
            </w:r>
            <w:r>
              <w:rPr>
                <w:spacing w:val="5"/>
              </w:rPr>
              <w:t>行检查确认的。</w:t>
            </w:r>
          </w:p>
        </w:tc>
        <w:tc>
          <w:tcPr>
            <w:tcW w:w="803" w:type="dxa"/>
            <w:vAlign w:val="top"/>
          </w:tcPr>
          <w:p w14:paraId="5E3BCEC3">
            <w:pPr>
              <w:spacing w:line="305" w:lineRule="auto"/>
              <w:rPr>
                <w:rFonts w:ascii="Arial"/>
                <w:sz w:val="21"/>
              </w:rPr>
            </w:pPr>
          </w:p>
          <w:p w14:paraId="294B4396">
            <w:pPr>
              <w:spacing w:line="306" w:lineRule="auto"/>
              <w:rPr>
                <w:rFonts w:ascii="Arial"/>
                <w:sz w:val="21"/>
              </w:rPr>
            </w:pPr>
          </w:p>
          <w:p w14:paraId="1693A7B1">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C36A617">
            <w:pPr>
              <w:spacing w:line="246" w:lineRule="auto"/>
              <w:rPr>
                <w:rFonts w:ascii="Arial"/>
                <w:sz w:val="21"/>
              </w:rPr>
            </w:pPr>
          </w:p>
          <w:p w14:paraId="67D39F34">
            <w:pPr>
              <w:pStyle w:val="6"/>
              <w:spacing w:before="99" w:line="192" w:lineRule="auto"/>
              <w:ind w:left="114" w:right="109" w:firstLine="3"/>
              <w:jc w:val="both"/>
            </w:pPr>
            <w:r>
              <w:rPr>
                <w:spacing w:val="26"/>
              </w:rPr>
              <w:t>未组织有关专家对</w:t>
            </w:r>
            <w:r>
              <w:rPr>
                <w:spacing w:val="-2"/>
              </w:rPr>
              <w:t>试生产（使用）方案</w:t>
            </w:r>
            <w:r>
              <w:rPr>
                <w:spacing w:val="7"/>
              </w:rPr>
              <w:t>进行审查的</w:t>
            </w:r>
          </w:p>
        </w:tc>
        <w:tc>
          <w:tcPr>
            <w:tcW w:w="2894" w:type="dxa"/>
            <w:vAlign w:val="top"/>
          </w:tcPr>
          <w:p w14:paraId="279666F4">
            <w:pPr>
              <w:pStyle w:val="6"/>
              <w:spacing w:before="200" w:line="189" w:lineRule="auto"/>
              <w:ind w:left="124" w:right="103" w:firstLine="2"/>
              <w:jc w:val="both"/>
            </w:pPr>
            <w:r>
              <w:rPr>
                <w:spacing w:val="1"/>
              </w:rPr>
              <w:t>责令改正，可以处</w:t>
            </w:r>
            <w:r>
              <w:rPr>
                <w:rFonts w:ascii="宋体" w:hAnsi="宋体" w:eastAsia="宋体" w:cs="宋体"/>
                <w:spacing w:val="1"/>
              </w:rPr>
              <w:t>1</w:t>
            </w:r>
            <w:r>
              <w:rPr>
                <w:spacing w:val="1"/>
              </w:rPr>
              <w:t>万元</w:t>
            </w:r>
            <w:r>
              <w:rPr>
                <w:spacing w:val="8"/>
              </w:rPr>
              <w:t>以下的罚款；逾期未改正</w:t>
            </w:r>
            <w:r>
              <w:rPr>
                <w:spacing w:val="-4"/>
              </w:rPr>
              <w:t>的，处</w:t>
            </w:r>
            <w:r>
              <w:rPr>
                <w:rFonts w:ascii="宋体" w:hAnsi="宋体" w:eastAsia="宋体" w:cs="宋体"/>
                <w:spacing w:val="-4"/>
              </w:rPr>
              <w:t>1</w:t>
            </w:r>
            <w:r>
              <w:rPr>
                <w:spacing w:val="-4"/>
              </w:rPr>
              <w:t>万元以上</w:t>
            </w:r>
            <w:r>
              <w:rPr>
                <w:rFonts w:ascii="宋体" w:hAnsi="宋体" w:eastAsia="宋体" w:cs="宋体"/>
                <w:spacing w:val="-4"/>
              </w:rPr>
              <w:t>1.5</w:t>
            </w:r>
            <w:r>
              <w:rPr>
                <w:spacing w:val="-4"/>
              </w:rPr>
              <w:t>万</w:t>
            </w:r>
            <w:r>
              <w:rPr>
                <w:spacing w:val="6"/>
              </w:rPr>
              <w:t>元以下的罚款</w:t>
            </w:r>
          </w:p>
        </w:tc>
        <w:tc>
          <w:tcPr>
            <w:tcW w:w="811" w:type="dxa"/>
            <w:vMerge w:val="restart"/>
            <w:tcBorders>
              <w:bottom w:val="nil"/>
            </w:tcBorders>
            <w:vAlign w:val="top"/>
          </w:tcPr>
          <w:p w14:paraId="2EE419BF">
            <w:pPr>
              <w:spacing w:line="263" w:lineRule="auto"/>
              <w:rPr>
                <w:rFonts w:ascii="Arial"/>
                <w:sz w:val="21"/>
              </w:rPr>
            </w:pPr>
          </w:p>
          <w:p w14:paraId="5C05BBE4">
            <w:pPr>
              <w:spacing w:line="263" w:lineRule="auto"/>
              <w:rPr>
                <w:rFonts w:ascii="Arial"/>
                <w:sz w:val="21"/>
              </w:rPr>
            </w:pPr>
          </w:p>
          <w:p w14:paraId="10B49BBA">
            <w:pPr>
              <w:spacing w:line="263" w:lineRule="auto"/>
              <w:rPr>
                <w:rFonts w:ascii="Arial"/>
                <w:sz w:val="21"/>
              </w:rPr>
            </w:pPr>
          </w:p>
          <w:p w14:paraId="5CE8C36D">
            <w:pPr>
              <w:spacing w:line="263" w:lineRule="auto"/>
              <w:rPr>
                <w:rFonts w:ascii="Arial"/>
                <w:sz w:val="21"/>
              </w:rPr>
            </w:pPr>
          </w:p>
          <w:p w14:paraId="350639DD">
            <w:pPr>
              <w:spacing w:line="263" w:lineRule="auto"/>
              <w:rPr>
                <w:rFonts w:ascii="Arial"/>
                <w:sz w:val="21"/>
              </w:rPr>
            </w:pPr>
          </w:p>
          <w:p w14:paraId="57EED0EB">
            <w:pPr>
              <w:spacing w:line="264" w:lineRule="auto"/>
              <w:rPr>
                <w:rFonts w:ascii="Arial"/>
                <w:sz w:val="21"/>
              </w:rPr>
            </w:pPr>
          </w:p>
          <w:p w14:paraId="01F3E3AB">
            <w:pPr>
              <w:spacing w:line="264" w:lineRule="auto"/>
              <w:rPr>
                <w:rFonts w:ascii="Arial"/>
                <w:sz w:val="21"/>
              </w:rPr>
            </w:pPr>
          </w:p>
          <w:p w14:paraId="55F9FB1B">
            <w:pPr>
              <w:spacing w:line="264" w:lineRule="auto"/>
              <w:rPr>
                <w:rFonts w:ascii="Arial"/>
                <w:sz w:val="21"/>
              </w:rPr>
            </w:pPr>
          </w:p>
          <w:p w14:paraId="3F9E95B9">
            <w:pPr>
              <w:spacing w:line="264" w:lineRule="auto"/>
              <w:rPr>
                <w:rFonts w:ascii="Arial"/>
                <w:sz w:val="21"/>
              </w:rPr>
            </w:pPr>
          </w:p>
          <w:p w14:paraId="2D2B8BE0">
            <w:pPr>
              <w:spacing w:before="75" w:line="188" w:lineRule="auto"/>
              <w:ind w:left="292"/>
              <w:rPr>
                <w:rFonts w:ascii="宋体" w:hAnsi="宋体" w:eastAsia="宋体" w:cs="宋体"/>
                <w:sz w:val="23"/>
                <w:szCs w:val="23"/>
              </w:rPr>
            </w:pPr>
            <w:r>
              <w:rPr>
                <w:rFonts w:ascii="宋体" w:hAnsi="宋体" w:eastAsia="宋体" w:cs="宋体"/>
                <w:spacing w:val="-2"/>
                <w:sz w:val="23"/>
                <w:szCs w:val="23"/>
              </w:rPr>
              <w:t>94</w:t>
            </w:r>
          </w:p>
        </w:tc>
      </w:tr>
      <w:tr w14:paraId="0C193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818" w:type="dxa"/>
            <w:vMerge w:val="continue"/>
            <w:tcBorders>
              <w:top w:val="nil"/>
              <w:bottom w:val="nil"/>
            </w:tcBorders>
            <w:vAlign w:val="top"/>
          </w:tcPr>
          <w:p w14:paraId="3F8F4DF0">
            <w:pPr>
              <w:rPr>
                <w:rFonts w:ascii="Arial"/>
                <w:sz w:val="21"/>
              </w:rPr>
            </w:pPr>
          </w:p>
        </w:tc>
        <w:tc>
          <w:tcPr>
            <w:tcW w:w="1440" w:type="dxa"/>
            <w:vMerge w:val="continue"/>
            <w:tcBorders>
              <w:top w:val="nil"/>
              <w:bottom w:val="nil"/>
            </w:tcBorders>
            <w:vAlign w:val="top"/>
          </w:tcPr>
          <w:p w14:paraId="7178C892">
            <w:pPr>
              <w:rPr>
                <w:rFonts w:ascii="Arial"/>
                <w:sz w:val="21"/>
              </w:rPr>
            </w:pPr>
          </w:p>
        </w:tc>
        <w:tc>
          <w:tcPr>
            <w:tcW w:w="3202" w:type="dxa"/>
            <w:vMerge w:val="continue"/>
            <w:tcBorders>
              <w:top w:val="nil"/>
              <w:bottom w:val="nil"/>
            </w:tcBorders>
            <w:vAlign w:val="top"/>
          </w:tcPr>
          <w:p w14:paraId="2C99DF36">
            <w:pPr>
              <w:rPr>
                <w:rFonts w:ascii="Arial"/>
                <w:sz w:val="21"/>
              </w:rPr>
            </w:pPr>
          </w:p>
        </w:tc>
        <w:tc>
          <w:tcPr>
            <w:tcW w:w="2859" w:type="dxa"/>
            <w:vMerge w:val="continue"/>
            <w:tcBorders>
              <w:top w:val="nil"/>
              <w:bottom w:val="nil"/>
            </w:tcBorders>
            <w:vAlign w:val="top"/>
          </w:tcPr>
          <w:p w14:paraId="7D30C9A7">
            <w:pPr>
              <w:rPr>
                <w:rFonts w:ascii="Arial"/>
                <w:sz w:val="21"/>
              </w:rPr>
            </w:pPr>
          </w:p>
        </w:tc>
        <w:tc>
          <w:tcPr>
            <w:tcW w:w="803" w:type="dxa"/>
            <w:vAlign w:val="top"/>
          </w:tcPr>
          <w:p w14:paraId="38E57049">
            <w:pPr>
              <w:spacing w:line="318" w:lineRule="auto"/>
              <w:rPr>
                <w:rFonts w:ascii="Arial"/>
                <w:sz w:val="21"/>
              </w:rPr>
            </w:pPr>
          </w:p>
          <w:p w14:paraId="143F26D0">
            <w:pPr>
              <w:spacing w:line="319" w:lineRule="auto"/>
              <w:rPr>
                <w:rFonts w:ascii="Arial"/>
                <w:sz w:val="21"/>
              </w:rPr>
            </w:pPr>
          </w:p>
          <w:p w14:paraId="286C4F4C">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C0E5A31">
            <w:pPr>
              <w:spacing w:line="269" w:lineRule="auto"/>
              <w:rPr>
                <w:rFonts w:ascii="Arial"/>
                <w:sz w:val="21"/>
              </w:rPr>
            </w:pPr>
          </w:p>
          <w:p w14:paraId="2EF0A131">
            <w:pPr>
              <w:pStyle w:val="6"/>
              <w:spacing w:before="99" w:line="192" w:lineRule="auto"/>
              <w:ind w:left="118" w:right="13"/>
              <w:jc w:val="both"/>
            </w:pPr>
            <w:r>
              <w:rPr>
                <w:spacing w:val="8"/>
              </w:rPr>
              <w:t>未对试生产（使用）</w:t>
            </w:r>
            <w:r>
              <w:rPr>
                <w:spacing w:val="26"/>
              </w:rPr>
              <w:t>条件进行检查确认</w:t>
            </w:r>
            <w:r>
              <w:t>的</w:t>
            </w:r>
          </w:p>
        </w:tc>
        <w:tc>
          <w:tcPr>
            <w:tcW w:w="2894" w:type="dxa"/>
            <w:vAlign w:val="top"/>
          </w:tcPr>
          <w:p w14:paraId="11A2A817">
            <w:pPr>
              <w:pStyle w:val="6"/>
              <w:spacing w:before="220" w:line="189" w:lineRule="auto"/>
              <w:ind w:left="124" w:right="103" w:firstLine="2"/>
              <w:jc w:val="both"/>
            </w:pPr>
            <w:r>
              <w:rPr>
                <w:spacing w:val="1"/>
              </w:rPr>
              <w:t>责令改正，可以处</w:t>
            </w:r>
            <w:r>
              <w:rPr>
                <w:rFonts w:ascii="宋体" w:hAnsi="宋体" w:eastAsia="宋体" w:cs="宋体"/>
                <w:spacing w:val="1"/>
              </w:rPr>
              <w:t>1</w:t>
            </w:r>
            <w:r>
              <w:rPr>
                <w:spacing w:val="1"/>
              </w:rPr>
              <w:t>万元</w:t>
            </w:r>
            <w:r>
              <w:rPr>
                <w:spacing w:val="8"/>
              </w:rPr>
              <w:t>以下的罚款；逾期未改正</w:t>
            </w:r>
            <w:r>
              <w:rPr>
                <w:spacing w:val="-2"/>
              </w:rPr>
              <w:t>的，处</w:t>
            </w:r>
            <w:r>
              <w:rPr>
                <w:rFonts w:ascii="宋体" w:hAnsi="宋体" w:eastAsia="宋体" w:cs="宋体"/>
                <w:spacing w:val="-2"/>
              </w:rPr>
              <w:t>1.5</w:t>
            </w:r>
            <w:r>
              <w:rPr>
                <w:spacing w:val="-2"/>
              </w:rPr>
              <w:t>万元以上</w:t>
            </w:r>
            <w:r>
              <w:rPr>
                <w:rFonts w:ascii="宋体" w:hAnsi="宋体" w:eastAsia="宋体" w:cs="宋体"/>
                <w:spacing w:val="-2"/>
              </w:rPr>
              <w:t>2</w:t>
            </w:r>
            <w:r>
              <w:rPr>
                <w:spacing w:val="-2"/>
              </w:rPr>
              <w:t>万</w:t>
            </w:r>
            <w:r>
              <w:rPr>
                <w:spacing w:val="6"/>
              </w:rPr>
              <w:t>元以下的罚款</w:t>
            </w:r>
          </w:p>
        </w:tc>
        <w:tc>
          <w:tcPr>
            <w:tcW w:w="811" w:type="dxa"/>
            <w:vMerge w:val="continue"/>
            <w:tcBorders>
              <w:top w:val="nil"/>
              <w:bottom w:val="nil"/>
            </w:tcBorders>
            <w:vAlign w:val="top"/>
          </w:tcPr>
          <w:p w14:paraId="7B67F35C">
            <w:pPr>
              <w:rPr>
                <w:rFonts w:ascii="Arial"/>
                <w:sz w:val="21"/>
              </w:rPr>
            </w:pPr>
          </w:p>
        </w:tc>
      </w:tr>
      <w:tr w14:paraId="473BB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8" w:hRule="atLeast"/>
        </w:trPr>
        <w:tc>
          <w:tcPr>
            <w:tcW w:w="818" w:type="dxa"/>
            <w:vMerge w:val="continue"/>
            <w:tcBorders>
              <w:top w:val="nil"/>
            </w:tcBorders>
            <w:vAlign w:val="top"/>
          </w:tcPr>
          <w:p w14:paraId="2DC406E3">
            <w:pPr>
              <w:rPr>
                <w:rFonts w:ascii="Arial"/>
                <w:sz w:val="21"/>
              </w:rPr>
            </w:pPr>
          </w:p>
        </w:tc>
        <w:tc>
          <w:tcPr>
            <w:tcW w:w="1440" w:type="dxa"/>
            <w:vMerge w:val="continue"/>
            <w:tcBorders>
              <w:top w:val="nil"/>
            </w:tcBorders>
            <w:vAlign w:val="top"/>
          </w:tcPr>
          <w:p w14:paraId="1976B88F">
            <w:pPr>
              <w:rPr>
                <w:rFonts w:ascii="Arial"/>
                <w:sz w:val="21"/>
              </w:rPr>
            </w:pPr>
          </w:p>
        </w:tc>
        <w:tc>
          <w:tcPr>
            <w:tcW w:w="3202" w:type="dxa"/>
            <w:vMerge w:val="continue"/>
            <w:tcBorders>
              <w:top w:val="nil"/>
            </w:tcBorders>
            <w:vAlign w:val="top"/>
          </w:tcPr>
          <w:p w14:paraId="6B1BCACE">
            <w:pPr>
              <w:rPr>
                <w:rFonts w:ascii="Arial"/>
                <w:sz w:val="21"/>
              </w:rPr>
            </w:pPr>
          </w:p>
        </w:tc>
        <w:tc>
          <w:tcPr>
            <w:tcW w:w="2859" w:type="dxa"/>
            <w:vMerge w:val="continue"/>
            <w:tcBorders>
              <w:top w:val="nil"/>
            </w:tcBorders>
            <w:vAlign w:val="top"/>
          </w:tcPr>
          <w:p w14:paraId="50EF07C3">
            <w:pPr>
              <w:rPr>
                <w:rFonts w:ascii="Arial"/>
                <w:sz w:val="21"/>
              </w:rPr>
            </w:pPr>
          </w:p>
        </w:tc>
        <w:tc>
          <w:tcPr>
            <w:tcW w:w="803" w:type="dxa"/>
            <w:vAlign w:val="top"/>
          </w:tcPr>
          <w:p w14:paraId="2B3B9245">
            <w:pPr>
              <w:spacing w:line="272" w:lineRule="auto"/>
              <w:rPr>
                <w:rFonts w:ascii="Arial"/>
                <w:sz w:val="21"/>
              </w:rPr>
            </w:pPr>
          </w:p>
          <w:p w14:paraId="15737D3B">
            <w:pPr>
              <w:spacing w:line="273" w:lineRule="auto"/>
              <w:rPr>
                <w:rFonts w:ascii="Arial"/>
                <w:sz w:val="21"/>
              </w:rPr>
            </w:pPr>
          </w:p>
          <w:p w14:paraId="6F5A86D6">
            <w:pPr>
              <w:spacing w:line="273" w:lineRule="auto"/>
              <w:rPr>
                <w:rFonts w:ascii="Arial"/>
                <w:sz w:val="21"/>
              </w:rPr>
            </w:pPr>
          </w:p>
          <w:p w14:paraId="63305E6F">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794E467">
            <w:pPr>
              <w:pStyle w:val="6"/>
              <w:spacing w:before="249" w:line="188" w:lineRule="auto"/>
              <w:ind w:left="114" w:right="109" w:firstLine="3"/>
              <w:jc w:val="both"/>
            </w:pPr>
            <w:r>
              <w:rPr>
                <w:spacing w:val="26"/>
              </w:rPr>
              <w:t>未组织有关专家对</w:t>
            </w:r>
            <w:r>
              <w:rPr>
                <w:spacing w:val="-2"/>
              </w:rPr>
              <w:t>试生产（使用）方案进行审查，且未对试生产（使用）条件进</w:t>
            </w:r>
            <w:r>
              <w:rPr>
                <w:spacing w:val="7"/>
              </w:rPr>
              <w:t>行检查确认的</w:t>
            </w:r>
          </w:p>
        </w:tc>
        <w:tc>
          <w:tcPr>
            <w:tcW w:w="2894" w:type="dxa"/>
            <w:vAlign w:val="top"/>
          </w:tcPr>
          <w:p w14:paraId="1D59F519">
            <w:pPr>
              <w:spacing w:line="303" w:lineRule="auto"/>
              <w:rPr>
                <w:rFonts w:ascii="Arial"/>
                <w:sz w:val="21"/>
              </w:rPr>
            </w:pPr>
          </w:p>
          <w:p w14:paraId="144CEC6D">
            <w:pPr>
              <w:pStyle w:val="6"/>
              <w:spacing w:before="98" w:line="189" w:lineRule="auto"/>
              <w:ind w:left="140" w:right="103" w:hanging="13"/>
              <w:jc w:val="both"/>
            </w:pPr>
            <w:r>
              <w:rPr>
                <w:spacing w:val="1"/>
              </w:rPr>
              <w:t>责令改正，可以处</w:t>
            </w:r>
            <w:r>
              <w:rPr>
                <w:rFonts w:ascii="宋体" w:hAnsi="宋体" w:eastAsia="宋体" w:cs="宋体"/>
                <w:spacing w:val="1"/>
              </w:rPr>
              <w:t>1</w:t>
            </w:r>
            <w:r>
              <w:rPr>
                <w:spacing w:val="1"/>
              </w:rPr>
              <w:t>万元</w:t>
            </w:r>
            <w:r>
              <w:rPr>
                <w:spacing w:val="6"/>
              </w:rPr>
              <w:t>以下的罚款；逾期未改正</w:t>
            </w:r>
            <w:r>
              <w:rPr>
                <w:spacing w:val="-1"/>
              </w:rPr>
              <w:t>的，处</w:t>
            </w:r>
            <w:r>
              <w:rPr>
                <w:rFonts w:ascii="宋体" w:hAnsi="宋体" w:eastAsia="宋体" w:cs="宋体"/>
                <w:spacing w:val="-1"/>
              </w:rPr>
              <w:t>2</w:t>
            </w:r>
            <w:r>
              <w:rPr>
                <w:spacing w:val="-1"/>
              </w:rPr>
              <w:t>万元以上</w:t>
            </w:r>
            <w:r>
              <w:rPr>
                <w:rFonts w:ascii="宋体" w:hAnsi="宋体" w:eastAsia="宋体" w:cs="宋体"/>
                <w:spacing w:val="-1"/>
              </w:rPr>
              <w:t>3</w:t>
            </w:r>
            <w:r>
              <w:rPr>
                <w:spacing w:val="-1"/>
              </w:rPr>
              <w:t>万元</w:t>
            </w:r>
            <w:r>
              <w:rPr>
                <w:spacing w:val="2"/>
              </w:rPr>
              <w:t>以下的罚款</w:t>
            </w:r>
          </w:p>
        </w:tc>
        <w:tc>
          <w:tcPr>
            <w:tcW w:w="811" w:type="dxa"/>
            <w:vMerge w:val="continue"/>
            <w:tcBorders>
              <w:top w:val="nil"/>
            </w:tcBorders>
            <w:vAlign w:val="top"/>
          </w:tcPr>
          <w:p w14:paraId="09F1B9C3">
            <w:pPr>
              <w:rPr>
                <w:rFonts w:ascii="Arial"/>
                <w:sz w:val="21"/>
              </w:rPr>
            </w:pPr>
          </w:p>
        </w:tc>
      </w:tr>
    </w:tbl>
    <w:p w14:paraId="4372684A">
      <w:pPr>
        <w:pStyle w:val="2"/>
      </w:pPr>
    </w:p>
    <w:p w14:paraId="3789DA4F">
      <w:pPr>
        <w:sectPr>
          <w:footerReference r:id="rId159" w:type="default"/>
          <w:pgSz w:w="16839" w:h="11906"/>
          <w:pgMar w:top="1012" w:right="821" w:bottom="667" w:left="901" w:header="0" w:footer="388" w:gutter="0"/>
          <w:cols w:space="720" w:num="1"/>
        </w:sectPr>
      </w:pPr>
    </w:p>
    <w:p w14:paraId="48ACD83C">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5BE8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7CD66B4">
            <w:pPr>
              <w:spacing w:before="222" w:line="241" w:lineRule="auto"/>
              <w:ind w:left="131"/>
              <w:rPr>
                <w:rFonts w:ascii="黑体" w:hAnsi="黑体" w:eastAsia="黑体" w:cs="黑体"/>
                <w:sz w:val="28"/>
                <w:szCs w:val="28"/>
              </w:rPr>
            </w:pPr>
            <w:bookmarkStart w:id="587" w:name="bookmark284"/>
            <w:bookmarkEnd w:id="587"/>
            <w:r>
              <w:rPr>
                <w:rFonts w:ascii="黑体" w:hAnsi="黑体" w:eastAsia="黑体" w:cs="黑体"/>
                <w:spacing w:val="-2"/>
                <w:sz w:val="28"/>
                <w:szCs w:val="28"/>
              </w:rPr>
              <w:t>序号</w:t>
            </w:r>
          </w:p>
        </w:tc>
        <w:tc>
          <w:tcPr>
            <w:tcW w:w="1440" w:type="dxa"/>
            <w:vAlign w:val="top"/>
          </w:tcPr>
          <w:p w14:paraId="16B3D0B9">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6150324">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D511354">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EF61225">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F6CE47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4E64733">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79D38731">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41BE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18" w:type="dxa"/>
            <w:vMerge w:val="restart"/>
            <w:tcBorders>
              <w:bottom w:val="nil"/>
            </w:tcBorders>
            <w:vAlign w:val="top"/>
          </w:tcPr>
          <w:p w14:paraId="2BB12C12">
            <w:pPr>
              <w:spacing w:line="262" w:lineRule="auto"/>
              <w:rPr>
                <w:rFonts w:ascii="Arial"/>
                <w:sz w:val="21"/>
              </w:rPr>
            </w:pPr>
          </w:p>
          <w:p w14:paraId="7C1D6340">
            <w:pPr>
              <w:spacing w:line="263" w:lineRule="auto"/>
              <w:rPr>
                <w:rFonts w:ascii="Arial"/>
                <w:sz w:val="21"/>
              </w:rPr>
            </w:pPr>
          </w:p>
          <w:p w14:paraId="36F385CE">
            <w:pPr>
              <w:spacing w:line="263" w:lineRule="auto"/>
              <w:rPr>
                <w:rFonts w:ascii="Arial"/>
                <w:sz w:val="21"/>
              </w:rPr>
            </w:pPr>
          </w:p>
          <w:p w14:paraId="09714B1D">
            <w:pPr>
              <w:spacing w:line="263" w:lineRule="auto"/>
              <w:rPr>
                <w:rFonts w:ascii="Arial"/>
                <w:sz w:val="21"/>
              </w:rPr>
            </w:pPr>
          </w:p>
          <w:p w14:paraId="6CE917E4">
            <w:pPr>
              <w:spacing w:line="263" w:lineRule="auto"/>
              <w:rPr>
                <w:rFonts w:ascii="Arial"/>
                <w:sz w:val="21"/>
              </w:rPr>
            </w:pPr>
          </w:p>
          <w:p w14:paraId="4C377D84">
            <w:pPr>
              <w:spacing w:line="263" w:lineRule="auto"/>
              <w:rPr>
                <w:rFonts w:ascii="Arial"/>
                <w:sz w:val="21"/>
              </w:rPr>
            </w:pPr>
          </w:p>
          <w:p w14:paraId="57133D66">
            <w:pPr>
              <w:spacing w:line="263" w:lineRule="auto"/>
              <w:rPr>
                <w:rFonts w:ascii="Arial"/>
                <w:sz w:val="21"/>
              </w:rPr>
            </w:pPr>
          </w:p>
          <w:p w14:paraId="082536FD">
            <w:pPr>
              <w:spacing w:before="75" w:line="186" w:lineRule="auto"/>
              <w:ind w:left="161"/>
              <w:rPr>
                <w:rFonts w:ascii="仿宋" w:hAnsi="仿宋" w:eastAsia="仿宋" w:cs="仿宋"/>
                <w:sz w:val="23"/>
                <w:szCs w:val="23"/>
              </w:rPr>
            </w:pPr>
            <w:r>
              <w:rPr>
                <w:rFonts w:ascii="仿宋" w:hAnsi="仿宋" w:eastAsia="仿宋" w:cs="仿宋"/>
                <w:spacing w:val="-5"/>
                <w:sz w:val="23"/>
                <w:szCs w:val="23"/>
              </w:rPr>
              <w:t>138</w:t>
            </w:r>
          </w:p>
        </w:tc>
        <w:tc>
          <w:tcPr>
            <w:tcW w:w="1440" w:type="dxa"/>
            <w:vMerge w:val="restart"/>
            <w:tcBorders>
              <w:bottom w:val="nil"/>
            </w:tcBorders>
            <w:vAlign w:val="top"/>
          </w:tcPr>
          <w:p w14:paraId="18C86B9B">
            <w:pPr>
              <w:spacing w:line="255" w:lineRule="auto"/>
              <w:rPr>
                <w:rFonts w:ascii="Arial"/>
                <w:sz w:val="21"/>
              </w:rPr>
            </w:pPr>
          </w:p>
          <w:p w14:paraId="288D8308">
            <w:pPr>
              <w:spacing w:line="255" w:lineRule="auto"/>
              <w:rPr>
                <w:rFonts w:ascii="Arial"/>
                <w:sz w:val="21"/>
              </w:rPr>
            </w:pPr>
          </w:p>
          <w:p w14:paraId="082C7FCD">
            <w:pPr>
              <w:spacing w:line="256" w:lineRule="auto"/>
              <w:rPr>
                <w:rFonts w:ascii="Arial"/>
                <w:sz w:val="21"/>
              </w:rPr>
            </w:pPr>
          </w:p>
          <w:p w14:paraId="4B81154D">
            <w:pPr>
              <w:spacing w:line="256" w:lineRule="auto"/>
              <w:rPr>
                <w:rFonts w:ascii="Arial"/>
                <w:sz w:val="21"/>
              </w:rPr>
            </w:pPr>
          </w:p>
          <w:p w14:paraId="0793CC4B">
            <w:pPr>
              <w:pStyle w:val="6"/>
              <w:spacing w:before="99" w:line="187" w:lineRule="auto"/>
              <w:ind w:left="116" w:right="111" w:firstLine="5"/>
              <w:jc w:val="both"/>
            </w:pPr>
            <w:r>
              <w:rPr>
                <w:spacing w:val="10"/>
              </w:rPr>
              <w:t>化学品单位</w:t>
            </w:r>
            <w:r>
              <w:rPr>
                <w:spacing w:val="11"/>
              </w:rPr>
              <w:t>未按规定对化学品进行物理危险性鉴定或者分</w:t>
            </w:r>
            <w:r>
              <w:rPr>
                <w:spacing w:val="2"/>
              </w:rPr>
              <w:t>类的</w:t>
            </w:r>
          </w:p>
        </w:tc>
        <w:tc>
          <w:tcPr>
            <w:tcW w:w="3202" w:type="dxa"/>
            <w:vMerge w:val="restart"/>
            <w:tcBorders>
              <w:bottom w:val="nil"/>
            </w:tcBorders>
            <w:vAlign w:val="top"/>
          </w:tcPr>
          <w:p w14:paraId="102EADD6">
            <w:pPr>
              <w:pStyle w:val="6"/>
              <w:spacing w:before="29" w:line="185" w:lineRule="auto"/>
              <w:ind w:left="115" w:right="110" w:hanging="17"/>
              <w:jc w:val="both"/>
            </w:pPr>
            <w:r>
              <w:rPr>
                <w:spacing w:val="18"/>
              </w:rPr>
              <w:t>【部门规章】《化学品物理</w:t>
            </w:r>
            <w:r>
              <w:rPr>
                <w:spacing w:val="40"/>
              </w:rPr>
              <w:t>危险性鉴定与分类管理办</w:t>
            </w:r>
            <w:bookmarkStart w:id="588" w:name="bookmark286"/>
            <w:bookmarkEnd w:id="588"/>
            <w:r>
              <w:rPr>
                <w:spacing w:val="13"/>
              </w:rPr>
              <w:t>法》第八条第一款：化学品</w:t>
            </w:r>
            <w:r>
              <w:rPr>
                <w:spacing w:val="17"/>
              </w:rPr>
              <w:t>生产、进口单位（以下统称</w:t>
            </w:r>
            <w:r>
              <w:rPr>
                <w:spacing w:val="13"/>
              </w:rPr>
              <w:t>化学品单位）应当对本单位</w:t>
            </w:r>
            <w:r>
              <w:rPr>
                <w:spacing w:val="17"/>
              </w:rPr>
              <w:t>生产或者进口的化学品进行</w:t>
            </w:r>
            <w:r>
              <w:rPr>
                <w:spacing w:val="13"/>
              </w:rPr>
              <w:t>普查和物理危险性辨识，对</w:t>
            </w:r>
            <w:r>
              <w:rPr>
                <w:spacing w:val="17"/>
              </w:rPr>
              <w:t>其中符合本办法第四条规定的化学品向鉴定机构申请鉴</w:t>
            </w:r>
            <w:r>
              <w:rPr>
                <w:spacing w:val="-7"/>
              </w:rPr>
              <w:t>定。</w:t>
            </w:r>
          </w:p>
        </w:tc>
        <w:tc>
          <w:tcPr>
            <w:tcW w:w="2859" w:type="dxa"/>
            <w:vMerge w:val="restart"/>
            <w:tcBorders>
              <w:bottom w:val="nil"/>
            </w:tcBorders>
            <w:vAlign w:val="top"/>
          </w:tcPr>
          <w:p w14:paraId="54C219FC">
            <w:pPr>
              <w:pStyle w:val="6"/>
              <w:spacing w:before="28" w:line="182" w:lineRule="auto"/>
              <w:ind w:left="97"/>
            </w:pPr>
            <w:r>
              <w:rPr>
                <w:spacing w:val="9"/>
              </w:rPr>
              <w:t>【部门规章】《化学品物</w:t>
            </w:r>
          </w:p>
          <w:p w14:paraId="64E13771">
            <w:pPr>
              <w:pStyle w:val="6"/>
              <w:spacing w:line="182" w:lineRule="auto"/>
              <w:ind w:left="116"/>
              <w:outlineLvl w:val="0"/>
            </w:pPr>
            <w:r>
              <w:rPr>
                <w:spacing w:val="8"/>
              </w:rPr>
              <w:t>理危险性鉴定与分类管理</w:t>
            </w:r>
          </w:p>
          <w:p w14:paraId="1562F4E3">
            <w:pPr>
              <w:pStyle w:val="6"/>
              <w:spacing w:line="185" w:lineRule="auto"/>
              <w:ind w:left="98" w:right="109" w:firstLine="31"/>
            </w:pPr>
            <w:r>
              <w:rPr>
                <w:spacing w:val="6"/>
              </w:rPr>
              <w:t>办法》第十九条第一项：</w:t>
            </w:r>
            <w:r>
              <w:rPr>
                <w:spacing w:val="10"/>
              </w:rPr>
              <w:t>化学品单位有下列情形之</w:t>
            </w:r>
            <w:r>
              <w:rPr>
                <w:spacing w:val="3"/>
              </w:rPr>
              <w:t>一的，由安全生产监督管理部门责令限期改正，可</w:t>
            </w:r>
            <w:r>
              <w:rPr>
                <w:spacing w:val="1"/>
              </w:rPr>
              <w:t>以处</w:t>
            </w:r>
            <w:r>
              <w:rPr>
                <w:rFonts w:ascii="宋体" w:hAnsi="宋体" w:eastAsia="宋体" w:cs="宋体"/>
                <w:spacing w:val="1"/>
              </w:rPr>
              <w:t>1</w:t>
            </w:r>
            <w:r>
              <w:rPr>
                <w:spacing w:val="1"/>
              </w:rPr>
              <w:t>万元以下的罚款；</w:t>
            </w:r>
            <w:r>
              <w:rPr>
                <w:spacing w:val="5"/>
              </w:rPr>
              <w:t>拒不改正的，处</w:t>
            </w:r>
            <w:r>
              <w:rPr>
                <w:rFonts w:ascii="宋体" w:hAnsi="宋体" w:eastAsia="宋体" w:cs="宋体"/>
                <w:spacing w:val="5"/>
              </w:rPr>
              <w:t>1</w:t>
            </w:r>
            <w:r>
              <w:rPr>
                <w:spacing w:val="5"/>
              </w:rPr>
              <w:t>万元以</w:t>
            </w:r>
            <w:r>
              <w:rPr>
                <w:spacing w:val="17"/>
              </w:rPr>
              <w:t>上</w:t>
            </w:r>
            <w:r>
              <w:rPr>
                <w:rFonts w:ascii="宋体" w:hAnsi="宋体" w:eastAsia="宋体" w:cs="宋体"/>
                <w:spacing w:val="17"/>
              </w:rPr>
              <w:t>3</w:t>
            </w:r>
            <w:r>
              <w:rPr>
                <w:spacing w:val="17"/>
              </w:rPr>
              <w:t>万元以下的罚款：</w:t>
            </w:r>
            <w:r>
              <w:rPr>
                <w:spacing w:val="3"/>
              </w:rPr>
              <w:t>（一）未按照本办法规定</w:t>
            </w:r>
            <w:r>
              <w:rPr>
                <w:spacing w:val="10"/>
              </w:rPr>
              <w:t>对化学品进行物理危险性</w:t>
            </w:r>
            <w:r>
              <w:rPr>
                <w:spacing w:val="4"/>
              </w:rPr>
              <w:t>鉴定或者分类的；</w:t>
            </w:r>
          </w:p>
        </w:tc>
        <w:tc>
          <w:tcPr>
            <w:tcW w:w="803" w:type="dxa"/>
            <w:vAlign w:val="top"/>
          </w:tcPr>
          <w:p w14:paraId="541E9CCF">
            <w:pPr>
              <w:spacing w:line="442" w:lineRule="auto"/>
              <w:rPr>
                <w:rFonts w:ascii="Arial"/>
                <w:sz w:val="21"/>
              </w:rPr>
            </w:pPr>
          </w:p>
          <w:p w14:paraId="1395A04A">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511D47F">
            <w:pPr>
              <w:pStyle w:val="6"/>
              <w:spacing w:before="179" w:line="182" w:lineRule="auto"/>
              <w:ind w:left="123"/>
            </w:pPr>
            <w:r>
              <w:rPr>
                <w:spacing w:val="14"/>
              </w:rPr>
              <w:t>有</w:t>
            </w:r>
            <w:r>
              <w:rPr>
                <w:rFonts w:ascii="宋体" w:hAnsi="宋体" w:eastAsia="宋体" w:cs="宋体"/>
                <w:spacing w:val="14"/>
              </w:rPr>
              <w:t>1</w:t>
            </w:r>
            <w:r>
              <w:rPr>
                <w:spacing w:val="14"/>
              </w:rPr>
              <w:t>种化学品未进</w:t>
            </w:r>
          </w:p>
          <w:p w14:paraId="6ACED863">
            <w:pPr>
              <w:pStyle w:val="6"/>
              <w:spacing w:line="182" w:lineRule="auto"/>
              <w:ind w:left="118"/>
              <w:outlineLvl w:val="0"/>
            </w:pPr>
            <w:r>
              <w:rPr>
                <w:spacing w:val="26"/>
              </w:rPr>
              <w:t>行物理危险性鉴定</w:t>
            </w:r>
          </w:p>
          <w:p w14:paraId="2E1BB14C">
            <w:pPr>
              <w:pStyle w:val="6"/>
              <w:spacing w:line="208" w:lineRule="auto"/>
              <w:ind w:left="121"/>
            </w:pPr>
            <w:r>
              <w:rPr>
                <w:spacing w:val="6"/>
              </w:rPr>
              <w:t>或者分类的</w:t>
            </w:r>
          </w:p>
        </w:tc>
        <w:tc>
          <w:tcPr>
            <w:tcW w:w="2894" w:type="dxa"/>
            <w:vAlign w:val="top"/>
          </w:tcPr>
          <w:p w14:paraId="1DCBEB0C">
            <w:pPr>
              <w:pStyle w:val="6"/>
              <w:spacing w:before="30" w:line="177" w:lineRule="auto"/>
              <w:ind w:left="127" w:right="104"/>
              <w:jc w:val="both"/>
            </w:pPr>
            <w:r>
              <w:rPr>
                <w:spacing w:val="8"/>
              </w:rPr>
              <w:t>责令限期改正，可以处</w:t>
            </w:r>
            <w:r>
              <w:rPr>
                <w:rFonts w:ascii="宋体" w:hAnsi="宋体" w:eastAsia="宋体" w:cs="宋体"/>
                <w:spacing w:val="8"/>
              </w:rPr>
              <w:t>1</w:t>
            </w:r>
            <w:r>
              <w:rPr>
                <w:spacing w:val="7"/>
              </w:rPr>
              <w:t>万元以下的罚款；拒不改</w:t>
            </w:r>
            <w:r>
              <w:rPr>
                <w:spacing w:val="-1"/>
              </w:rPr>
              <w:t>正的，处</w:t>
            </w:r>
            <w:r>
              <w:rPr>
                <w:rFonts w:ascii="宋体" w:hAnsi="宋体" w:eastAsia="宋体" w:cs="宋体"/>
                <w:spacing w:val="-1"/>
              </w:rPr>
              <w:t>1</w:t>
            </w:r>
            <w:r>
              <w:rPr>
                <w:spacing w:val="-1"/>
              </w:rPr>
              <w:t>万元以上</w:t>
            </w:r>
            <w:r>
              <w:rPr>
                <w:rFonts w:ascii="宋体" w:hAnsi="宋体" w:eastAsia="宋体" w:cs="宋体"/>
                <w:spacing w:val="-1"/>
              </w:rPr>
              <w:t>1.5</w:t>
            </w:r>
            <w:r>
              <w:rPr>
                <w:spacing w:val="6"/>
              </w:rPr>
              <w:t>万元以下的罚款</w:t>
            </w:r>
          </w:p>
        </w:tc>
        <w:tc>
          <w:tcPr>
            <w:tcW w:w="811" w:type="dxa"/>
            <w:vMerge w:val="restart"/>
            <w:tcBorders>
              <w:bottom w:val="nil"/>
            </w:tcBorders>
            <w:vAlign w:val="top"/>
          </w:tcPr>
          <w:p w14:paraId="25101EC9">
            <w:pPr>
              <w:spacing w:line="262" w:lineRule="auto"/>
              <w:rPr>
                <w:rFonts w:ascii="Arial"/>
                <w:sz w:val="21"/>
              </w:rPr>
            </w:pPr>
          </w:p>
          <w:p w14:paraId="48E8C9FB">
            <w:pPr>
              <w:spacing w:line="262" w:lineRule="auto"/>
              <w:rPr>
                <w:rFonts w:ascii="Arial"/>
                <w:sz w:val="21"/>
              </w:rPr>
            </w:pPr>
          </w:p>
          <w:p w14:paraId="35F8012F">
            <w:pPr>
              <w:spacing w:line="262" w:lineRule="auto"/>
              <w:rPr>
                <w:rFonts w:ascii="Arial"/>
                <w:sz w:val="21"/>
              </w:rPr>
            </w:pPr>
          </w:p>
          <w:p w14:paraId="250E5C16">
            <w:pPr>
              <w:spacing w:line="263" w:lineRule="auto"/>
              <w:rPr>
                <w:rFonts w:ascii="Arial"/>
                <w:sz w:val="21"/>
              </w:rPr>
            </w:pPr>
          </w:p>
          <w:p w14:paraId="4584A428">
            <w:pPr>
              <w:spacing w:line="263" w:lineRule="auto"/>
              <w:rPr>
                <w:rFonts w:ascii="Arial"/>
                <w:sz w:val="21"/>
              </w:rPr>
            </w:pPr>
          </w:p>
          <w:p w14:paraId="774DA15C">
            <w:pPr>
              <w:spacing w:line="263" w:lineRule="auto"/>
              <w:rPr>
                <w:rFonts w:ascii="Arial"/>
                <w:sz w:val="21"/>
              </w:rPr>
            </w:pPr>
          </w:p>
          <w:p w14:paraId="5B750226">
            <w:pPr>
              <w:spacing w:line="263" w:lineRule="auto"/>
              <w:rPr>
                <w:rFonts w:ascii="Arial"/>
                <w:sz w:val="21"/>
              </w:rPr>
            </w:pPr>
          </w:p>
          <w:p w14:paraId="7A64F9E9">
            <w:pPr>
              <w:spacing w:before="75" w:line="188" w:lineRule="auto"/>
              <w:ind w:left="292"/>
              <w:rPr>
                <w:rFonts w:ascii="宋体" w:hAnsi="宋体" w:eastAsia="宋体" w:cs="宋体"/>
                <w:sz w:val="23"/>
                <w:szCs w:val="23"/>
              </w:rPr>
            </w:pPr>
            <w:r>
              <w:rPr>
                <w:rFonts w:ascii="宋体" w:hAnsi="宋体" w:eastAsia="宋体" w:cs="宋体"/>
                <w:spacing w:val="-2"/>
                <w:sz w:val="23"/>
                <w:szCs w:val="23"/>
              </w:rPr>
              <w:t>96</w:t>
            </w:r>
          </w:p>
        </w:tc>
      </w:tr>
      <w:tr w14:paraId="5739C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18" w:type="dxa"/>
            <w:vMerge w:val="continue"/>
            <w:tcBorders>
              <w:top w:val="nil"/>
              <w:bottom w:val="nil"/>
            </w:tcBorders>
            <w:vAlign w:val="top"/>
          </w:tcPr>
          <w:p w14:paraId="4695F07E">
            <w:pPr>
              <w:rPr>
                <w:rFonts w:ascii="Arial"/>
                <w:sz w:val="21"/>
              </w:rPr>
            </w:pPr>
          </w:p>
        </w:tc>
        <w:tc>
          <w:tcPr>
            <w:tcW w:w="1440" w:type="dxa"/>
            <w:vMerge w:val="continue"/>
            <w:tcBorders>
              <w:top w:val="nil"/>
              <w:bottom w:val="nil"/>
            </w:tcBorders>
            <w:vAlign w:val="top"/>
          </w:tcPr>
          <w:p w14:paraId="66DA9459">
            <w:pPr>
              <w:rPr>
                <w:rFonts w:ascii="Arial"/>
                <w:sz w:val="21"/>
              </w:rPr>
            </w:pPr>
          </w:p>
        </w:tc>
        <w:tc>
          <w:tcPr>
            <w:tcW w:w="3202" w:type="dxa"/>
            <w:vMerge w:val="continue"/>
            <w:tcBorders>
              <w:top w:val="nil"/>
              <w:bottom w:val="nil"/>
            </w:tcBorders>
            <w:vAlign w:val="top"/>
          </w:tcPr>
          <w:p w14:paraId="4650D564">
            <w:pPr>
              <w:rPr>
                <w:rFonts w:ascii="Arial"/>
                <w:sz w:val="21"/>
              </w:rPr>
            </w:pPr>
          </w:p>
        </w:tc>
        <w:tc>
          <w:tcPr>
            <w:tcW w:w="2859" w:type="dxa"/>
            <w:vMerge w:val="continue"/>
            <w:tcBorders>
              <w:top w:val="nil"/>
              <w:bottom w:val="nil"/>
            </w:tcBorders>
            <w:vAlign w:val="top"/>
          </w:tcPr>
          <w:p w14:paraId="2DCB2103">
            <w:pPr>
              <w:rPr>
                <w:rFonts w:ascii="Arial"/>
                <w:sz w:val="21"/>
              </w:rPr>
            </w:pPr>
          </w:p>
        </w:tc>
        <w:tc>
          <w:tcPr>
            <w:tcW w:w="803" w:type="dxa"/>
            <w:vAlign w:val="top"/>
          </w:tcPr>
          <w:p w14:paraId="1A94C0B7">
            <w:pPr>
              <w:spacing w:line="282" w:lineRule="auto"/>
              <w:rPr>
                <w:rFonts w:ascii="Arial"/>
                <w:sz w:val="21"/>
              </w:rPr>
            </w:pPr>
          </w:p>
          <w:p w14:paraId="4B28674A">
            <w:pPr>
              <w:spacing w:line="283" w:lineRule="auto"/>
              <w:rPr>
                <w:rFonts w:ascii="Arial"/>
                <w:sz w:val="21"/>
              </w:rPr>
            </w:pPr>
          </w:p>
          <w:p w14:paraId="1408BDBC">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2DD13A8">
            <w:pPr>
              <w:pStyle w:val="6"/>
              <w:spacing w:before="299" w:line="191" w:lineRule="auto"/>
              <w:ind w:left="118" w:right="108" w:firstLine="4"/>
              <w:jc w:val="both"/>
            </w:pPr>
            <w:r>
              <w:rPr>
                <w:spacing w:val="16"/>
              </w:rPr>
              <w:t>有</w:t>
            </w:r>
            <w:r>
              <w:rPr>
                <w:rFonts w:ascii="宋体" w:hAnsi="宋体" w:eastAsia="宋体" w:cs="宋体"/>
                <w:spacing w:val="16"/>
              </w:rPr>
              <w:t>2</w:t>
            </w:r>
            <w:r>
              <w:rPr>
                <w:spacing w:val="16"/>
              </w:rPr>
              <w:t>种化学品未进</w:t>
            </w:r>
            <w:r>
              <w:rPr>
                <w:spacing w:val="26"/>
              </w:rPr>
              <w:t>行物理危险性鉴定</w:t>
            </w:r>
            <w:r>
              <w:rPr>
                <w:spacing w:val="6"/>
              </w:rPr>
              <w:t>或者分类的</w:t>
            </w:r>
          </w:p>
        </w:tc>
        <w:tc>
          <w:tcPr>
            <w:tcW w:w="2894" w:type="dxa"/>
            <w:vAlign w:val="top"/>
          </w:tcPr>
          <w:p w14:paraId="3145C3C4">
            <w:pPr>
              <w:pStyle w:val="6"/>
              <w:spacing w:before="150" w:line="189" w:lineRule="auto"/>
              <w:ind w:left="127" w:right="104"/>
              <w:jc w:val="both"/>
            </w:pPr>
            <w:r>
              <w:rPr>
                <w:spacing w:val="8"/>
              </w:rPr>
              <w:t>责令限期改正，可以处</w:t>
            </w:r>
            <w:r>
              <w:rPr>
                <w:rFonts w:ascii="宋体" w:hAnsi="宋体" w:eastAsia="宋体" w:cs="宋体"/>
                <w:spacing w:val="8"/>
              </w:rPr>
              <w:t>1</w:t>
            </w:r>
            <w:r>
              <w:rPr>
                <w:spacing w:val="7"/>
              </w:rPr>
              <w:t>万元以下的罚款；拒不改</w:t>
            </w:r>
            <w:r>
              <w:rPr>
                <w:spacing w:val="2"/>
              </w:rPr>
              <w:t>正的，处</w:t>
            </w:r>
            <w:r>
              <w:rPr>
                <w:rFonts w:ascii="宋体" w:hAnsi="宋体" w:eastAsia="宋体" w:cs="宋体"/>
                <w:spacing w:val="2"/>
              </w:rPr>
              <w:t>1.5</w:t>
            </w:r>
            <w:r>
              <w:rPr>
                <w:spacing w:val="2"/>
              </w:rPr>
              <w:t>万元以上</w:t>
            </w:r>
            <w:r>
              <w:rPr>
                <w:rFonts w:ascii="宋体" w:hAnsi="宋体" w:eastAsia="宋体" w:cs="宋体"/>
                <w:spacing w:val="2"/>
              </w:rPr>
              <w:t>2</w:t>
            </w:r>
            <w:r>
              <w:rPr>
                <w:spacing w:val="6"/>
              </w:rPr>
              <w:t>万元以下的罚款</w:t>
            </w:r>
          </w:p>
        </w:tc>
        <w:tc>
          <w:tcPr>
            <w:tcW w:w="811" w:type="dxa"/>
            <w:vMerge w:val="continue"/>
            <w:tcBorders>
              <w:top w:val="nil"/>
              <w:bottom w:val="nil"/>
            </w:tcBorders>
            <w:vAlign w:val="top"/>
          </w:tcPr>
          <w:p w14:paraId="49D53B8C">
            <w:pPr>
              <w:rPr>
                <w:rFonts w:ascii="Arial"/>
                <w:sz w:val="21"/>
              </w:rPr>
            </w:pPr>
          </w:p>
        </w:tc>
      </w:tr>
      <w:tr w14:paraId="0C616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4" w:hRule="atLeast"/>
        </w:trPr>
        <w:tc>
          <w:tcPr>
            <w:tcW w:w="818" w:type="dxa"/>
            <w:vMerge w:val="continue"/>
            <w:tcBorders>
              <w:top w:val="nil"/>
            </w:tcBorders>
            <w:vAlign w:val="top"/>
          </w:tcPr>
          <w:p w14:paraId="27441A77">
            <w:pPr>
              <w:rPr>
                <w:rFonts w:ascii="Arial"/>
                <w:sz w:val="21"/>
              </w:rPr>
            </w:pPr>
          </w:p>
        </w:tc>
        <w:tc>
          <w:tcPr>
            <w:tcW w:w="1440" w:type="dxa"/>
            <w:vMerge w:val="continue"/>
            <w:tcBorders>
              <w:top w:val="nil"/>
            </w:tcBorders>
            <w:vAlign w:val="top"/>
          </w:tcPr>
          <w:p w14:paraId="4432A551">
            <w:pPr>
              <w:rPr>
                <w:rFonts w:ascii="Arial"/>
                <w:sz w:val="21"/>
              </w:rPr>
            </w:pPr>
          </w:p>
        </w:tc>
        <w:tc>
          <w:tcPr>
            <w:tcW w:w="3202" w:type="dxa"/>
            <w:vMerge w:val="continue"/>
            <w:tcBorders>
              <w:top w:val="nil"/>
            </w:tcBorders>
            <w:vAlign w:val="top"/>
          </w:tcPr>
          <w:p w14:paraId="73D1847F">
            <w:pPr>
              <w:rPr>
                <w:rFonts w:ascii="Arial"/>
                <w:sz w:val="21"/>
              </w:rPr>
            </w:pPr>
          </w:p>
        </w:tc>
        <w:tc>
          <w:tcPr>
            <w:tcW w:w="2859" w:type="dxa"/>
            <w:vMerge w:val="continue"/>
            <w:tcBorders>
              <w:top w:val="nil"/>
            </w:tcBorders>
            <w:vAlign w:val="top"/>
          </w:tcPr>
          <w:p w14:paraId="0E3CE9B2">
            <w:pPr>
              <w:rPr>
                <w:rFonts w:ascii="Arial"/>
                <w:sz w:val="21"/>
              </w:rPr>
            </w:pPr>
          </w:p>
        </w:tc>
        <w:tc>
          <w:tcPr>
            <w:tcW w:w="803" w:type="dxa"/>
            <w:vAlign w:val="top"/>
          </w:tcPr>
          <w:p w14:paraId="658EE33F">
            <w:pPr>
              <w:spacing w:line="258" w:lineRule="auto"/>
              <w:rPr>
                <w:rFonts w:ascii="Arial"/>
                <w:sz w:val="21"/>
              </w:rPr>
            </w:pPr>
          </w:p>
          <w:p w14:paraId="3B5461E7">
            <w:pPr>
              <w:spacing w:line="259" w:lineRule="auto"/>
              <w:rPr>
                <w:rFonts w:ascii="Arial"/>
                <w:sz w:val="21"/>
              </w:rPr>
            </w:pPr>
          </w:p>
          <w:p w14:paraId="159DBC1C">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57683B2">
            <w:pPr>
              <w:pStyle w:val="6"/>
              <w:spacing w:before="249" w:line="191" w:lineRule="auto"/>
              <w:ind w:left="118" w:right="108" w:firstLine="4"/>
              <w:jc w:val="both"/>
            </w:pPr>
            <w:r>
              <w:rPr>
                <w:spacing w:val="15"/>
              </w:rPr>
              <w:t>有</w:t>
            </w:r>
            <w:r>
              <w:rPr>
                <w:rFonts w:ascii="宋体" w:hAnsi="宋体" w:eastAsia="宋体" w:cs="宋体"/>
                <w:spacing w:val="15"/>
              </w:rPr>
              <w:t>3</w:t>
            </w:r>
            <w:r>
              <w:rPr>
                <w:spacing w:val="15"/>
              </w:rPr>
              <w:t>种以上化学品</w:t>
            </w:r>
            <w:r>
              <w:rPr>
                <w:spacing w:val="26"/>
              </w:rPr>
              <w:t>未进行物理危险性</w:t>
            </w:r>
            <w:r>
              <w:rPr>
                <w:spacing w:val="7"/>
              </w:rPr>
              <w:t>鉴定或者分类的</w:t>
            </w:r>
          </w:p>
        </w:tc>
        <w:tc>
          <w:tcPr>
            <w:tcW w:w="2894" w:type="dxa"/>
            <w:vAlign w:val="top"/>
          </w:tcPr>
          <w:p w14:paraId="6BB95B18">
            <w:pPr>
              <w:pStyle w:val="6"/>
              <w:spacing w:before="97" w:line="188" w:lineRule="auto"/>
              <w:ind w:left="124" w:right="104" w:firstLine="2"/>
              <w:jc w:val="both"/>
            </w:pPr>
            <w:r>
              <w:rPr>
                <w:spacing w:val="8"/>
              </w:rPr>
              <w:t>责令限期改正，可以处</w:t>
            </w:r>
            <w:r>
              <w:rPr>
                <w:rFonts w:ascii="宋体" w:hAnsi="宋体" w:eastAsia="宋体" w:cs="宋体"/>
                <w:spacing w:val="8"/>
              </w:rPr>
              <w:t>1</w:t>
            </w:r>
            <w:r>
              <w:rPr>
                <w:spacing w:val="8"/>
              </w:rPr>
              <w:t>万元以下的罚款；拒不改</w:t>
            </w:r>
            <w:r>
              <w:rPr>
                <w:spacing w:val="1"/>
              </w:rPr>
              <w:t>正的，处</w:t>
            </w:r>
            <w:r>
              <w:rPr>
                <w:rFonts w:ascii="宋体" w:hAnsi="宋体" w:eastAsia="宋体" w:cs="宋体"/>
                <w:spacing w:val="1"/>
              </w:rPr>
              <w:t>2</w:t>
            </w:r>
            <w:r>
              <w:rPr>
                <w:spacing w:val="1"/>
              </w:rPr>
              <w:t>万元以上</w:t>
            </w:r>
            <w:r>
              <w:rPr>
                <w:rFonts w:ascii="宋体" w:hAnsi="宋体" w:eastAsia="宋体" w:cs="宋体"/>
                <w:spacing w:val="1"/>
              </w:rPr>
              <w:t>3</w:t>
            </w:r>
            <w:r>
              <w:rPr>
                <w:spacing w:val="1"/>
              </w:rPr>
              <w:t>万</w:t>
            </w:r>
            <w:r>
              <w:rPr>
                <w:spacing w:val="6"/>
              </w:rPr>
              <w:t>元以下的罚款</w:t>
            </w:r>
          </w:p>
        </w:tc>
        <w:tc>
          <w:tcPr>
            <w:tcW w:w="811" w:type="dxa"/>
            <w:vMerge w:val="continue"/>
            <w:tcBorders>
              <w:top w:val="nil"/>
            </w:tcBorders>
            <w:vAlign w:val="top"/>
          </w:tcPr>
          <w:p w14:paraId="7841B633">
            <w:pPr>
              <w:rPr>
                <w:rFonts w:ascii="Arial"/>
                <w:sz w:val="21"/>
              </w:rPr>
            </w:pPr>
          </w:p>
        </w:tc>
      </w:tr>
      <w:tr w14:paraId="5A833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2" w:hRule="atLeast"/>
        </w:trPr>
        <w:tc>
          <w:tcPr>
            <w:tcW w:w="818" w:type="dxa"/>
            <w:vMerge w:val="restart"/>
            <w:tcBorders>
              <w:bottom w:val="nil"/>
            </w:tcBorders>
            <w:vAlign w:val="top"/>
          </w:tcPr>
          <w:p w14:paraId="7868295D">
            <w:pPr>
              <w:spacing w:line="262" w:lineRule="auto"/>
              <w:rPr>
                <w:rFonts w:ascii="Arial"/>
                <w:sz w:val="21"/>
              </w:rPr>
            </w:pPr>
          </w:p>
          <w:p w14:paraId="54236926">
            <w:pPr>
              <w:spacing w:line="262" w:lineRule="auto"/>
              <w:rPr>
                <w:rFonts w:ascii="Arial"/>
                <w:sz w:val="21"/>
              </w:rPr>
            </w:pPr>
          </w:p>
          <w:p w14:paraId="3078F3F0">
            <w:pPr>
              <w:spacing w:line="262" w:lineRule="auto"/>
              <w:rPr>
                <w:rFonts w:ascii="Arial"/>
                <w:sz w:val="21"/>
              </w:rPr>
            </w:pPr>
          </w:p>
          <w:p w14:paraId="013323C9">
            <w:pPr>
              <w:spacing w:line="262" w:lineRule="auto"/>
              <w:rPr>
                <w:rFonts w:ascii="Arial"/>
                <w:sz w:val="21"/>
              </w:rPr>
            </w:pPr>
          </w:p>
          <w:p w14:paraId="5C152F0D">
            <w:pPr>
              <w:spacing w:line="262" w:lineRule="auto"/>
              <w:rPr>
                <w:rFonts w:ascii="Arial"/>
                <w:sz w:val="21"/>
              </w:rPr>
            </w:pPr>
          </w:p>
          <w:p w14:paraId="3CC4B9EF">
            <w:pPr>
              <w:spacing w:line="262" w:lineRule="auto"/>
              <w:rPr>
                <w:rFonts w:ascii="Arial"/>
                <w:sz w:val="21"/>
              </w:rPr>
            </w:pPr>
          </w:p>
          <w:p w14:paraId="424E2E9F">
            <w:pPr>
              <w:spacing w:line="262" w:lineRule="auto"/>
              <w:rPr>
                <w:rFonts w:ascii="Arial"/>
                <w:sz w:val="21"/>
              </w:rPr>
            </w:pPr>
          </w:p>
          <w:p w14:paraId="443A30D8">
            <w:pPr>
              <w:spacing w:line="263" w:lineRule="auto"/>
              <w:rPr>
                <w:rFonts w:ascii="Arial"/>
                <w:sz w:val="21"/>
              </w:rPr>
            </w:pPr>
          </w:p>
          <w:p w14:paraId="27350C35">
            <w:pPr>
              <w:spacing w:line="263" w:lineRule="auto"/>
              <w:rPr>
                <w:rFonts w:ascii="Arial"/>
                <w:sz w:val="21"/>
              </w:rPr>
            </w:pPr>
          </w:p>
          <w:p w14:paraId="644A3504">
            <w:pPr>
              <w:spacing w:before="75" w:line="186" w:lineRule="auto"/>
              <w:ind w:left="161"/>
              <w:rPr>
                <w:rFonts w:ascii="仿宋" w:hAnsi="仿宋" w:eastAsia="仿宋" w:cs="仿宋"/>
                <w:sz w:val="23"/>
                <w:szCs w:val="23"/>
              </w:rPr>
            </w:pPr>
            <w:r>
              <w:rPr>
                <w:rFonts w:ascii="仿宋" w:hAnsi="仿宋" w:eastAsia="仿宋" w:cs="仿宋"/>
                <w:spacing w:val="-5"/>
                <w:sz w:val="23"/>
                <w:szCs w:val="23"/>
              </w:rPr>
              <w:t>139</w:t>
            </w:r>
          </w:p>
        </w:tc>
        <w:tc>
          <w:tcPr>
            <w:tcW w:w="1440" w:type="dxa"/>
            <w:vMerge w:val="restart"/>
            <w:tcBorders>
              <w:bottom w:val="nil"/>
            </w:tcBorders>
            <w:vAlign w:val="top"/>
          </w:tcPr>
          <w:p w14:paraId="08EC4B0E">
            <w:pPr>
              <w:spacing w:line="257" w:lineRule="auto"/>
              <w:rPr>
                <w:rFonts w:ascii="Arial"/>
                <w:sz w:val="21"/>
              </w:rPr>
            </w:pPr>
          </w:p>
          <w:p w14:paraId="6A1AC1EE">
            <w:pPr>
              <w:spacing w:line="257" w:lineRule="auto"/>
              <w:rPr>
                <w:rFonts w:ascii="Arial"/>
                <w:sz w:val="21"/>
              </w:rPr>
            </w:pPr>
          </w:p>
          <w:p w14:paraId="23FAA496">
            <w:pPr>
              <w:spacing w:line="257" w:lineRule="auto"/>
              <w:rPr>
                <w:rFonts w:ascii="Arial"/>
                <w:sz w:val="21"/>
              </w:rPr>
            </w:pPr>
          </w:p>
          <w:p w14:paraId="5DC6C0AF">
            <w:pPr>
              <w:spacing w:line="257" w:lineRule="auto"/>
              <w:rPr>
                <w:rFonts w:ascii="Arial"/>
                <w:sz w:val="21"/>
              </w:rPr>
            </w:pPr>
          </w:p>
          <w:p w14:paraId="61226966">
            <w:pPr>
              <w:spacing w:line="257" w:lineRule="auto"/>
              <w:rPr>
                <w:rFonts w:ascii="Arial"/>
                <w:sz w:val="21"/>
              </w:rPr>
            </w:pPr>
          </w:p>
          <w:p w14:paraId="729721B9">
            <w:pPr>
              <w:spacing w:line="258" w:lineRule="auto"/>
              <w:rPr>
                <w:rFonts w:ascii="Arial"/>
                <w:sz w:val="21"/>
              </w:rPr>
            </w:pPr>
          </w:p>
          <w:p w14:paraId="76799A97">
            <w:pPr>
              <w:pStyle w:val="6"/>
              <w:spacing w:before="99" w:line="187" w:lineRule="auto"/>
              <w:ind w:left="114" w:right="111" w:firstLine="7"/>
              <w:jc w:val="both"/>
            </w:pPr>
            <w:r>
              <w:rPr>
                <w:spacing w:val="10"/>
              </w:rPr>
              <w:t>化学品单位</w:t>
            </w:r>
            <w:r>
              <w:rPr>
                <w:spacing w:val="11"/>
              </w:rPr>
              <w:t>未按规定建立化学品物理危险性鉴定与分类管</w:t>
            </w:r>
            <w:r>
              <w:rPr>
                <w:spacing w:val="6"/>
              </w:rPr>
              <w:t>理档案的</w:t>
            </w:r>
          </w:p>
        </w:tc>
        <w:tc>
          <w:tcPr>
            <w:tcW w:w="3202" w:type="dxa"/>
            <w:vMerge w:val="restart"/>
            <w:tcBorders>
              <w:bottom w:val="nil"/>
            </w:tcBorders>
            <w:vAlign w:val="top"/>
          </w:tcPr>
          <w:p w14:paraId="1A1A8F25">
            <w:pPr>
              <w:pStyle w:val="6"/>
              <w:spacing w:before="20" w:line="185" w:lineRule="auto"/>
              <w:ind w:left="117" w:right="110" w:hanging="19"/>
              <w:jc w:val="both"/>
            </w:pPr>
            <w:r>
              <w:rPr>
                <w:spacing w:val="18"/>
              </w:rPr>
              <w:t>【部门规章】《化学品物理</w:t>
            </w:r>
            <w:r>
              <w:rPr>
                <w:spacing w:val="39"/>
              </w:rPr>
              <w:t>危险性鉴定与分类管理办</w:t>
            </w:r>
            <w:r>
              <w:rPr>
                <w:spacing w:val="13"/>
              </w:rPr>
              <w:t>法》第十六条：化学品单位</w:t>
            </w:r>
            <w:r>
              <w:rPr>
                <w:spacing w:val="17"/>
              </w:rPr>
              <w:t>应当建立化学品物理危险性</w:t>
            </w:r>
            <w:r>
              <w:rPr>
                <w:spacing w:val="10"/>
              </w:rPr>
              <w:t>鉴定与分类管理档案，内容</w:t>
            </w:r>
            <w:r>
              <w:rPr>
                <w:spacing w:val="4"/>
              </w:rPr>
              <w:t>应当包括</w:t>
            </w:r>
            <w:r>
              <w:rPr>
                <w:spacing w:val="-14"/>
              </w:rPr>
              <w:t>：（</w:t>
            </w:r>
            <w:r>
              <w:rPr>
                <w:spacing w:val="4"/>
              </w:rPr>
              <w:t>一）已知物理</w:t>
            </w:r>
            <w:r>
              <w:rPr>
                <w:spacing w:val="17"/>
              </w:rPr>
              <w:t>危险性的化学品的危险特性</w:t>
            </w:r>
            <w:r>
              <w:rPr>
                <w:spacing w:val="15"/>
              </w:rPr>
              <w:t>等信息</w:t>
            </w:r>
            <w:r>
              <w:rPr>
                <w:spacing w:val="-13"/>
              </w:rPr>
              <w:t>；（</w:t>
            </w:r>
            <w:r>
              <w:rPr>
                <w:spacing w:val="15"/>
              </w:rPr>
              <w:t>二）已经鉴定与</w:t>
            </w:r>
            <w:r>
              <w:rPr>
                <w:spacing w:val="17"/>
              </w:rPr>
              <w:t>分类化学品的物理危险性鉴定报告、分类报告和审核意</w:t>
            </w:r>
            <w:r>
              <w:rPr>
                <w:spacing w:val="19"/>
              </w:rPr>
              <w:t>见等信息</w:t>
            </w:r>
            <w:r>
              <w:rPr>
                <w:spacing w:val="-13"/>
              </w:rPr>
              <w:t>；（</w:t>
            </w:r>
            <w:r>
              <w:rPr>
                <w:spacing w:val="19"/>
              </w:rPr>
              <w:t>三）未进行鉴</w:t>
            </w:r>
            <w:r>
              <w:rPr>
                <w:spacing w:val="17"/>
              </w:rPr>
              <w:t>定与分类化学品的名称、数</w:t>
            </w:r>
            <w:r>
              <w:t>量等信息。</w:t>
            </w:r>
          </w:p>
        </w:tc>
        <w:tc>
          <w:tcPr>
            <w:tcW w:w="2859" w:type="dxa"/>
            <w:vMerge w:val="restart"/>
            <w:tcBorders>
              <w:bottom w:val="nil"/>
            </w:tcBorders>
            <w:vAlign w:val="top"/>
          </w:tcPr>
          <w:p w14:paraId="2F7B52E1">
            <w:pPr>
              <w:pStyle w:val="6"/>
              <w:spacing w:before="22" w:line="185" w:lineRule="auto"/>
              <w:ind w:left="97" w:right="109"/>
            </w:pPr>
            <w:r>
              <w:rPr>
                <w:spacing w:val="10"/>
              </w:rPr>
              <w:t>【部门规章】《化学品物理危险性鉴定与分类管理</w:t>
            </w:r>
            <w:r>
              <w:rPr>
                <w:spacing w:val="9"/>
              </w:rPr>
              <w:t>办法》第十九条第二项：</w:t>
            </w:r>
            <w:r>
              <w:rPr>
                <w:spacing w:val="10"/>
              </w:rPr>
              <w:t>化学品单位有下列情形之一的，由安全生产监督管</w:t>
            </w:r>
            <w:r>
              <w:rPr>
                <w:spacing w:val="3"/>
              </w:rPr>
              <w:t>理部门责令限期改正，可</w:t>
            </w:r>
            <w:r>
              <w:rPr>
                <w:spacing w:val="1"/>
              </w:rPr>
              <w:t>以处</w:t>
            </w:r>
            <w:r>
              <w:rPr>
                <w:rFonts w:ascii="宋体" w:hAnsi="宋体" w:eastAsia="宋体" w:cs="宋体"/>
                <w:spacing w:val="1"/>
              </w:rPr>
              <w:t>1</w:t>
            </w:r>
            <w:r>
              <w:rPr>
                <w:spacing w:val="1"/>
              </w:rPr>
              <w:t>万元以下的罚款；</w:t>
            </w:r>
            <w:r>
              <w:rPr>
                <w:spacing w:val="5"/>
              </w:rPr>
              <w:t>拒不改正的，处</w:t>
            </w:r>
            <w:r>
              <w:rPr>
                <w:rFonts w:ascii="宋体" w:hAnsi="宋体" w:eastAsia="宋体" w:cs="宋体"/>
                <w:spacing w:val="5"/>
              </w:rPr>
              <w:t>1</w:t>
            </w:r>
            <w:r>
              <w:rPr>
                <w:spacing w:val="5"/>
              </w:rPr>
              <w:t>万元以</w:t>
            </w:r>
            <w:r>
              <w:rPr>
                <w:spacing w:val="17"/>
              </w:rPr>
              <w:t>上</w:t>
            </w:r>
            <w:r>
              <w:rPr>
                <w:rFonts w:ascii="宋体" w:hAnsi="宋体" w:eastAsia="宋体" w:cs="宋体"/>
                <w:spacing w:val="17"/>
              </w:rPr>
              <w:t>3</w:t>
            </w:r>
            <w:r>
              <w:rPr>
                <w:spacing w:val="17"/>
              </w:rPr>
              <w:t>万元以下的罚款：</w:t>
            </w:r>
            <w:r>
              <w:rPr>
                <w:spacing w:val="10"/>
              </w:rPr>
              <w:t>（二）未按照本办法规定建立化学品物理危险性鉴</w:t>
            </w:r>
            <w:r>
              <w:rPr>
                <w:spacing w:val="5"/>
              </w:rPr>
              <w:t>定与分类管理档案的；</w:t>
            </w:r>
          </w:p>
        </w:tc>
        <w:tc>
          <w:tcPr>
            <w:tcW w:w="803" w:type="dxa"/>
            <w:vAlign w:val="top"/>
          </w:tcPr>
          <w:p w14:paraId="5B5A65D8">
            <w:pPr>
              <w:spacing w:line="266" w:lineRule="auto"/>
              <w:rPr>
                <w:rFonts w:ascii="Arial"/>
                <w:sz w:val="21"/>
              </w:rPr>
            </w:pPr>
          </w:p>
          <w:p w14:paraId="2B684CC3">
            <w:pPr>
              <w:spacing w:line="267" w:lineRule="auto"/>
              <w:rPr>
                <w:rFonts w:ascii="Arial"/>
                <w:sz w:val="21"/>
              </w:rPr>
            </w:pPr>
          </w:p>
          <w:p w14:paraId="0ADEAE87">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987F5A0">
            <w:pPr>
              <w:pStyle w:val="6"/>
              <w:spacing w:before="119" w:line="189" w:lineRule="auto"/>
              <w:ind w:left="121" w:right="107" w:firstLine="2"/>
              <w:jc w:val="both"/>
            </w:pPr>
            <w:r>
              <w:rPr>
                <w:spacing w:val="25"/>
              </w:rPr>
              <w:t>化学品物理危险性鉴定与分类管理档</w:t>
            </w:r>
            <w:r>
              <w:rPr>
                <w:spacing w:val="-8"/>
              </w:rPr>
              <w:t>案，有</w:t>
            </w:r>
            <w:r>
              <w:rPr>
                <w:rFonts w:ascii="宋体" w:hAnsi="宋体" w:eastAsia="宋体" w:cs="宋体"/>
                <w:spacing w:val="-8"/>
              </w:rPr>
              <w:t>1</w:t>
            </w:r>
            <w:r>
              <w:rPr>
                <w:spacing w:val="-8"/>
              </w:rPr>
              <w:t>项内容缺失</w:t>
            </w:r>
            <w:r>
              <w:rPr>
                <w:spacing w:val="7"/>
              </w:rPr>
              <w:t>或不符合规定的</w:t>
            </w:r>
          </w:p>
        </w:tc>
        <w:tc>
          <w:tcPr>
            <w:tcW w:w="2894" w:type="dxa"/>
            <w:vAlign w:val="top"/>
          </w:tcPr>
          <w:p w14:paraId="7679BC74">
            <w:pPr>
              <w:pStyle w:val="6"/>
              <w:spacing w:before="119" w:line="189" w:lineRule="auto"/>
              <w:ind w:left="127" w:right="104"/>
              <w:jc w:val="both"/>
            </w:pPr>
            <w:r>
              <w:rPr>
                <w:spacing w:val="8"/>
              </w:rPr>
              <w:t>责令限期改正，可以处</w:t>
            </w:r>
            <w:r>
              <w:rPr>
                <w:rFonts w:ascii="宋体" w:hAnsi="宋体" w:eastAsia="宋体" w:cs="宋体"/>
                <w:spacing w:val="8"/>
              </w:rPr>
              <w:t>1</w:t>
            </w:r>
            <w:r>
              <w:rPr>
                <w:spacing w:val="7"/>
              </w:rPr>
              <w:t>万元以下的罚款；拒不改</w:t>
            </w:r>
            <w:r>
              <w:rPr>
                <w:spacing w:val="-1"/>
              </w:rPr>
              <w:t>正的，处</w:t>
            </w:r>
            <w:r>
              <w:rPr>
                <w:rFonts w:ascii="宋体" w:hAnsi="宋体" w:eastAsia="宋体" w:cs="宋体"/>
                <w:spacing w:val="-1"/>
              </w:rPr>
              <w:t>1</w:t>
            </w:r>
            <w:r>
              <w:rPr>
                <w:spacing w:val="-1"/>
              </w:rPr>
              <w:t>万元以上</w:t>
            </w:r>
            <w:r>
              <w:rPr>
                <w:rFonts w:ascii="宋体" w:hAnsi="宋体" w:eastAsia="宋体" w:cs="宋体"/>
                <w:spacing w:val="-1"/>
              </w:rPr>
              <w:t>1.5</w:t>
            </w:r>
            <w:r>
              <w:rPr>
                <w:spacing w:val="6"/>
              </w:rPr>
              <w:t>万元以下的罚款</w:t>
            </w:r>
          </w:p>
        </w:tc>
        <w:tc>
          <w:tcPr>
            <w:tcW w:w="811" w:type="dxa"/>
            <w:vMerge w:val="restart"/>
            <w:tcBorders>
              <w:bottom w:val="nil"/>
            </w:tcBorders>
            <w:vAlign w:val="top"/>
          </w:tcPr>
          <w:p w14:paraId="3F9BE5EE">
            <w:pPr>
              <w:spacing w:line="262" w:lineRule="auto"/>
              <w:rPr>
                <w:rFonts w:ascii="Arial"/>
                <w:sz w:val="21"/>
              </w:rPr>
            </w:pPr>
          </w:p>
          <w:p w14:paraId="03AB5BEC">
            <w:pPr>
              <w:spacing w:line="262" w:lineRule="auto"/>
              <w:rPr>
                <w:rFonts w:ascii="Arial"/>
                <w:sz w:val="21"/>
              </w:rPr>
            </w:pPr>
          </w:p>
          <w:p w14:paraId="5D9D4CF5">
            <w:pPr>
              <w:spacing w:line="262" w:lineRule="auto"/>
              <w:rPr>
                <w:rFonts w:ascii="Arial"/>
                <w:sz w:val="21"/>
              </w:rPr>
            </w:pPr>
          </w:p>
          <w:p w14:paraId="1C43DD03">
            <w:pPr>
              <w:spacing w:line="262" w:lineRule="auto"/>
              <w:rPr>
                <w:rFonts w:ascii="Arial"/>
                <w:sz w:val="21"/>
              </w:rPr>
            </w:pPr>
          </w:p>
          <w:p w14:paraId="56596764">
            <w:pPr>
              <w:spacing w:line="262" w:lineRule="auto"/>
              <w:rPr>
                <w:rFonts w:ascii="Arial"/>
                <w:sz w:val="21"/>
              </w:rPr>
            </w:pPr>
          </w:p>
          <w:p w14:paraId="652B8329">
            <w:pPr>
              <w:spacing w:line="262" w:lineRule="auto"/>
              <w:rPr>
                <w:rFonts w:ascii="Arial"/>
                <w:sz w:val="21"/>
              </w:rPr>
            </w:pPr>
          </w:p>
          <w:p w14:paraId="6240D66C">
            <w:pPr>
              <w:spacing w:line="262" w:lineRule="auto"/>
              <w:rPr>
                <w:rFonts w:ascii="Arial"/>
                <w:sz w:val="21"/>
              </w:rPr>
            </w:pPr>
          </w:p>
          <w:p w14:paraId="2CBF5322">
            <w:pPr>
              <w:spacing w:line="262" w:lineRule="auto"/>
              <w:rPr>
                <w:rFonts w:ascii="Arial"/>
                <w:sz w:val="21"/>
              </w:rPr>
            </w:pPr>
          </w:p>
          <w:p w14:paraId="4A7833BF">
            <w:pPr>
              <w:spacing w:line="262" w:lineRule="auto"/>
              <w:rPr>
                <w:rFonts w:ascii="Arial"/>
                <w:sz w:val="21"/>
              </w:rPr>
            </w:pPr>
          </w:p>
          <w:p w14:paraId="791FB927">
            <w:pPr>
              <w:spacing w:before="75" w:line="188" w:lineRule="auto"/>
              <w:ind w:left="292"/>
              <w:rPr>
                <w:rFonts w:ascii="宋体" w:hAnsi="宋体" w:eastAsia="宋体" w:cs="宋体"/>
                <w:sz w:val="23"/>
                <w:szCs w:val="23"/>
              </w:rPr>
            </w:pPr>
            <w:r>
              <w:rPr>
                <w:rFonts w:ascii="宋体" w:hAnsi="宋体" w:eastAsia="宋体" w:cs="宋体"/>
                <w:spacing w:val="-2"/>
                <w:sz w:val="23"/>
                <w:szCs w:val="23"/>
              </w:rPr>
              <w:t>96</w:t>
            </w:r>
          </w:p>
        </w:tc>
      </w:tr>
      <w:tr w14:paraId="5176B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1" w:hRule="atLeast"/>
        </w:trPr>
        <w:tc>
          <w:tcPr>
            <w:tcW w:w="818" w:type="dxa"/>
            <w:vMerge w:val="continue"/>
            <w:tcBorders>
              <w:top w:val="nil"/>
              <w:bottom w:val="nil"/>
            </w:tcBorders>
            <w:vAlign w:val="top"/>
          </w:tcPr>
          <w:p w14:paraId="4BEA0A0F">
            <w:pPr>
              <w:rPr>
                <w:rFonts w:ascii="Arial"/>
                <w:sz w:val="21"/>
              </w:rPr>
            </w:pPr>
          </w:p>
        </w:tc>
        <w:tc>
          <w:tcPr>
            <w:tcW w:w="1440" w:type="dxa"/>
            <w:vMerge w:val="continue"/>
            <w:tcBorders>
              <w:top w:val="nil"/>
              <w:bottom w:val="nil"/>
            </w:tcBorders>
            <w:vAlign w:val="top"/>
          </w:tcPr>
          <w:p w14:paraId="2EB87D98">
            <w:pPr>
              <w:rPr>
                <w:rFonts w:ascii="Arial"/>
                <w:sz w:val="21"/>
              </w:rPr>
            </w:pPr>
          </w:p>
        </w:tc>
        <w:tc>
          <w:tcPr>
            <w:tcW w:w="3202" w:type="dxa"/>
            <w:vMerge w:val="continue"/>
            <w:tcBorders>
              <w:top w:val="nil"/>
              <w:bottom w:val="nil"/>
            </w:tcBorders>
            <w:vAlign w:val="top"/>
          </w:tcPr>
          <w:p w14:paraId="17ED8C29">
            <w:pPr>
              <w:rPr>
                <w:rFonts w:ascii="Arial"/>
                <w:sz w:val="21"/>
              </w:rPr>
            </w:pPr>
          </w:p>
        </w:tc>
        <w:tc>
          <w:tcPr>
            <w:tcW w:w="2859" w:type="dxa"/>
            <w:vMerge w:val="continue"/>
            <w:tcBorders>
              <w:top w:val="nil"/>
              <w:bottom w:val="nil"/>
            </w:tcBorders>
            <w:vAlign w:val="top"/>
          </w:tcPr>
          <w:p w14:paraId="3CCBA53E">
            <w:pPr>
              <w:rPr>
                <w:rFonts w:ascii="Arial"/>
                <w:sz w:val="21"/>
              </w:rPr>
            </w:pPr>
          </w:p>
        </w:tc>
        <w:tc>
          <w:tcPr>
            <w:tcW w:w="803" w:type="dxa"/>
            <w:vAlign w:val="top"/>
          </w:tcPr>
          <w:p w14:paraId="18AD0610">
            <w:pPr>
              <w:spacing w:line="311" w:lineRule="auto"/>
              <w:rPr>
                <w:rFonts w:ascii="Arial"/>
                <w:sz w:val="21"/>
              </w:rPr>
            </w:pPr>
          </w:p>
          <w:p w14:paraId="4A360099">
            <w:pPr>
              <w:spacing w:line="312" w:lineRule="auto"/>
              <w:rPr>
                <w:rFonts w:ascii="Arial"/>
                <w:sz w:val="21"/>
              </w:rPr>
            </w:pPr>
          </w:p>
          <w:p w14:paraId="1FB6C5FB">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576FFB41">
            <w:pPr>
              <w:pStyle w:val="6"/>
              <w:spacing w:before="206" w:line="189" w:lineRule="auto"/>
              <w:ind w:left="121" w:right="107" w:firstLine="2"/>
              <w:jc w:val="both"/>
            </w:pPr>
            <w:r>
              <w:rPr>
                <w:spacing w:val="25"/>
              </w:rPr>
              <w:t>化学品物理危险性鉴定与分类管理档</w:t>
            </w:r>
            <w:r>
              <w:rPr>
                <w:spacing w:val="-5"/>
              </w:rPr>
              <w:t>案，有</w:t>
            </w:r>
            <w:r>
              <w:rPr>
                <w:rFonts w:ascii="宋体" w:hAnsi="宋体" w:eastAsia="宋体" w:cs="宋体"/>
                <w:spacing w:val="-5"/>
              </w:rPr>
              <w:t>2</w:t>
            </w:r>
            <w:r>
              <w:rPr>
                <w:spacing w:val="-5"/>
              </w:rPr>
              <w:t>项内容缺失</w:t>
            </w:r>
            <w:r>
              <w:rPr>
                <w:spacing w:val="7"/>
              </w:rPr>
              <w:t>或不符合规定的</w:t>
            </w:r>
          </w:p>
        </w:tc>
        <w:tc>
          <w:tcPr>
            <w:tcW w:w="2894" w:type="dxa"/>
            <w:vAlign w:val="top"/>
          </w:tcPr>
          <w:p w14:paraId="320E643F">
            <w:pPr>
              <w:pStyle w:val="6"/>
              <w:spacing w:before="206" w:line="189" w:lineRule="auto"/>
              <w:ind w:left="127" w:right="104"/>
              <w:jc w:val="both"/>
            </w:pPr>
            <w:r>
              <w:rPr>
                <w:spacing w:val="8"/>
              </w:rPr>
              <w:t>责令限期改正，可以处</w:t>
            </w:r>
            <w:r>
              <w:rPr>
                <w:rFonts w:ascii="宋体" w:hAnsi="宋体" w:eastAsia="宋体" w:cs="宋体"/>
                <w:spacing w:val="8"/>
              </w:rPr>
              <w:t>1</w:t>
            </w:r>
            <w:r>
              <w:rPr>
                <w:spacing w:val="7"/>
              </w:rPr>
              <w:t>万元以下的罚款；拒不改</w:t>
            </w:r>
            <w:r>
              <w:rPr>
                <w:spacing w:val="2"/>
              </w:rPr>
              <w:t>正的，处</w:t>
            </w:r>
            <w:r>
              <w:rPr>
                <w:rFonts w:ascii="宋体" w:hAnsi="宋体" w:eastAsia="宋体" w:cs="宋体"/>
                <w:spacing w:val="2"/>
              </w:rPr>
              <w:t>1.5</w:t>
            </w:r>
            <w:r>
              <w:rPr>
                <w:spacing w:val="2"/>
              </w:rPr>
              <w:t>万元以上</w:t>
            </w:r>
            <w:r>
              <w:rPr>
                <w:rFonts w:ascii="宋体" w:hAnsi="宋体" w:eastAsia="宋体" w:cs="宋体"/>
                <w:spacing w:val="2"/>
              </w:rPr>
              <w:t>2</w:t>
            </w:r>
            <w:r>
              <w:rPr>
                <w:spacing w:val="6"/>
              </w:rPr>
              <w:t>万元以下的罚款</w:t>
            </w:r>
          </w:p>
        </w:tc>
        <w:tc>
          <w:tcPr>
            <w:tcW w:w="811" w:type="dxa"/>
            <w:vMerge w:val="continue"/>
            <w:tcBorders>
              <w:top w:val="nil"/>
              <w:bottom w:val="nil"/>
            </w:tcBorders>
            <w:vAlign w:val="top"/>
          </w:tcPr>
          <w:p w14:paraId="372B86C3">
            <w:pPr>
              <w:rPr>
                <w:rFonts w:ascii="Arial"/>
                <w:sz w:val="21"/>
              </w:rPr>
            </w:pPr>
          </w:p>
        </w:tc>
      </w:tr>
      <w:tr w14:paraId="1DC22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7" w:hRule="atLeast"/>
        </w:trPr>
        <w:tc>
          <w:tcPr>
            <w:tcW w:w="818" w:type="dxa"/>
            <w:vMerge w:val="continue"/>
            <w:tcBorders>
              <w:top w:val="nil"/>
            </w:tcBorders>
            <w:vAlign w:val="top"/>
          </w:tcPr>
          <w:p w14:paraId="77DE6D1A">
            <w:pPr>
              <w:rPr>
                <w:rFonts w:ascii="Arial"/>
                <w:sz w:val="21"/>
              </w:rPr>
            </w:pPr>
          </w:p>
        </w:tc>
        <w:tc>
          <w:tcPr>
            <w:tcW w:w="1440" w:type="dxa"/>
            <w:vMerge w:val="continue"/>
            <w:tcBorders>
              <w:top w:val="nil"/>
            </w:tcBorders>
            <w:vAlign w:val="top"/>
          </w:tcPr>
          <w:p w14:paraId="50788AB0">
            <w:pPr>
              <w:rPr>
                <w:rFonts w:ascii="Arial"/>
                <w:sz w:val="21"/>
              </w:rPr>
            </w:pPr>
          </w:p>
        </w:tc>
        <w:tc>
          <w:tcPr>
            <w:tcW w:w="3202" w:type="dxa"/>
            <w:vMerge w:val="continue"/>
            <w:tcBorders>
              <w:top w:val="nil"/>
            </w:tcBorders>
            <w:vAlign w:val="top"/>
          </w:tcPr>
          <w:p w14:paraId="3D08BA72">
            <w:pPr>
              <w:rPr>
                <w:rFonts w:ascii="Arial"/>
                <w:sz w:val="21"/>
              </w:rPr>
            </w:pPr>
          </w:p>
        </w:tc>
        <w:tc>
          <w:tcPr>
            <w:tcW w:w="2859" w:type="dxa"/>
            <w:vMerge w:val="continue"/>
            <w:tcBorders>
              <w:top w:val="nil"/>
            </w:tcBorders>
            <w:vAlign w:val="top"/>
          </w:tcPr>
          <w:p w14:paraId="06BC37C3">
            <w:pPr>
              <w:rPr>
                <w:rFonts w:ascii="Arial"/>
                <w:sz w:val="21"/>
              </w:rPr>
            </w:pPr>
          </w:p>
        </w:tc>
        <w:tc>
          <w:tcPr>
            <w:tcW w:w="803" w:type="dxa"/>
            <w:vAlign w:val="top"/>
          </w:tcPr>
          <w:p w14:paraId="70058340">
            <w:pPr>
              <w:spacing w:line="299" w:lineRule="auto"/>
              <w:rPr>
                <w:rFonts w:ascii="Arial"/>
                <w:sz w:val="21"/>
              </w:rPr>
            </w:pPr>
          </w:p>
          <w:p w14:paraId="4455E3E2">
            <w:pPr>
              <w:spacing w:line="299" w:lineRule="auto"/>
              <w:rPr>
                <w:rFonts w:ascii="Arial"/>
                <w:sz w:val="21"/>
              </w:rPr>
            </w:pPr>
          </w:p>
          <w:p w14:paraId="0209E818">
            <w:pPr>
              <w:spacing w:line="299" w:lineRule="auto"/>
              <w:rPr>
                <w:rFonts w:ascii="Arial"/>
                <w:sz w:val="21"/>
              </w:rPr>
            </w:pPr>
          </w:p>
          <w:p w14:paraId="6E6FE97D">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E69E6A1">
            <w:pPr>
              <w:pStyle w:val="6"/>
              <w:spacing w:before="36" w:line="179" w:lineRule="auto"/>
              <w:ind w:left="114" w:right="107" w:firstLine="9"/>
              <w:jc w:val="both"/>
            </w:pPr>
            <w:r>
              <w:rPr>
                <w:spacing w:val="25"/>
              </w:rPr>
              <w:t>化学品物理危险性</w:t>
            </w:r>
            <w:r>
              <w:rPr>
                <w:spacing w:val="26"/>
              </w:rPr>
              <w:t>鉴定与分类管理档</w:t>
            </w:r>
            <w:r>
              <w:rPr>
                <w:spacing w:val="-5"/>
              </w:rPr>
              <w:t>案，有</w:t>
            </w:r>
            <w:r>
              <w:rPr>
                <w:rFonts w:ascii="宋体" w:hAnsi="宋体" w:eastAsia="宋体" w:cs="宋体"/>
                <w:spacing w:val="-5"/>
              </w:rPr>
              <w:t>3</w:t>
            </w:r>
            <w:r>
              <w:rPr>
                <w:spacing w:val="-5"/>
              </w:rPr>
              <w:t>项以上内容</w:t>
            </w:r>
            <w:r>
              <w:rPr>
                <w:spacing w:val="26"/>
              </w:rPr>
              <w:t>缺失或不符合规定</w:t>
            </w:r>
            <w:r>
              <w:rPr>
                <w:spacing w:val="-2"/>
              </w:rPr>
              <w:t>的，或未建立化学品</w:t>
            </w:r>
            <w:r>
              <w:rPr>
                <w:spacing w:val="26"/>
              </w:rPr>
              <w:t>物理危险性鉴定与</w:t>
            </w:r>
            <w:r>
              <w:rPr>
                <w:spacing w:val="7"/>
              </w:rPr>
              <w:t>分类管理档案的</w:t>
            </w:r>
          </w:p>
        </w:tc>
        <w:tc>
          <w:tcPr>
            <w:tcW w:w="2894" w:type="dxa"/>
            <w:vAlign w:val="top"/>
          </w:tcPr>
          <w:p w14:paraId="7974A13B">
            <w:pPr>
              <w:spacing w:line="382" w:lineRule="auto"/>
              <w:rPr>
                <w:rFonts w:ascii="Arial"/>
                <w:sz w:val="21"/>
              </w:rPr>
            </w:pPr>
          </w:p>
          <w:p w14:paraId="61A5BE12">
            <w:pPr>
              <w:pStyle w:val="6"/>
              <w:spacing w:before="99" w:line="189" w:lineRule="auto"/>
              <w:ind w:left="124" w:right="104" w:firstLine="2"/>
              <w:jc w:val="both"/>
            </w:pPr>
            <w:r>
              <w:rPr>
                <w:spacing w:val="8"/>
              </w:rPr>
              <w:t>责令限期改正，可以处</w:t>
            </w:r>
            <w:r>
              <w:rPr>
                <w:rFonts w:ascii="宋体" w:hAnsi="宋体" w:eastAsia="宋体" w:cs="宋体"/>
                <w:spacing w:val="8"/>
              </w:rPr>
              <w:t>1</w:t>
            </w:r>
            <w:r>
              <w:rPr>
                <w:spacing w:val="8"/>
              </w:rPr>
              <w:t>万元以下的罚款；拒不改</w:t>
            </w:r>
            <w:r>
              <w:rPr>
                <w:spacing w:val="1"/>
              </w:rPr>
              <w:t>正的，处</w:t>
            </w:r>
            <w:r>
              <w:rPr>
                <w:rFonts w:ascii="宋体" w:hAnsi="宋体" w:eastAsia="宋体" w:cs="宋体"/>
                <w:spacing w:val="1"/>
              </w:rPr>
              <w:t>2</w:t>
            </w:r>
            <w:r>
              <w:rPr>
                <w:spacing w:val="1"/>
              </w:rPr>
              <w:t>万元以上</w:t>
            </w:r>
            <w:r>
              <w:rPr>
                <w:rFonts w:ascii="宋体" w:hAnsi="宋体" w:eastAsia="宋体" w:cs="宋体"/>
                <w:spacing w:val="1"/>
              </w:rPr>
              <w:t>3</w:t>
            </w:r>
            <w:r>
              <w:rPr>
                <w:spacing w:val="1"/>
              </w:rPr>
              <w:t>万</w:t>
            </w:r>
            <w:r>
              <w:rPr>
                <w:spacing w:val="6"/>
              </w:rPr>
              <w:t>元以下的罚款</w:t>
            </w:r>
          </w:p>
        </w:tc>
        <w:tc>
          <w:tcPr>
            <w:tcW w:w="811" w:type="dxa"/>
            <w:vMerge w:val="continue"/>
            <w:tcBorders>
              <w:top w:val="nil"/>
            </w:tcBorders>
            <w:vAlign w:val="top"/>
          </w:tcPr>
          <w:p w14:paraId="09D5178F">
            <w:pPr>
              <w:rPr>
                <w:rFonts w:ascii="Arial"/>
                <w:sz w:val="21"/>
              </w:rPr>
            </w:pPr>
          </w:p>
        </w:tc>
      </w:tr>
    </w:tbl>
    <w:p w14:paraId="09F3A4AD">
      <w:pPr>
        <w:pStyle w:val="2"/>
      </w:pPr>
    </w:p>
    <w:p w14:paraId="203DC8F4">
      <w:pPr>
        <w:sectPr>
          <w:footerReference r:id="rId160" w:type="default"/>
          <w:pgSz w:w="16839" w:h="11906"/>
          <w:pgMar w:top="1012" w:right="821" w:bottom="667" w:left="901" w:header="0" w:footer="388" w:gutter="0"/>
          <w:cols w:space="720" w:num="1"/>
        </w:sectPr>
      </w:pPr>
    </w:p>
    <w:p w14:paraId="5D3EF904">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F47F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71D5319">
            <w:pPr>
              <w:spacing w:before="222" w:line="241" w:lineRule="auto"/>
              <w:ind w:left="131"/>
              <w:rPr>
                <w:rFonts w:ascii="黑体" w:hAnsi="黑体" w:eastAsia="黑体" w:cs="黑体"/>
                <w:sz w:val="28"/>
                <w:szCs w:val="28"/>
              </w:rPr>
            </w:pPr>
            <w:bookmarkStart w:id="589" w:name="bookmark559"/>
            <w:bookmarkEnd w:id="589"/>
            <w:bookmarkStart w:id="590" w:name="bookmark288"/>
            <w:bookmarkEnd w:id="590"/>
            <w:r>
              <w:rPr>
                <w:rFonts w:ascii="黑体" w:hAnsi="黑体" w:eastAsia="黑体" w:cs="黑体"/>
                <w:spacing w:val="-2"/>
                <w:sz w:val="28"/>
                <w:szCs w:val="28"/>
              </w:rPr>
              <w:t>序号</w:t>
            </w:r>
          </w:p>
        </w:tc>
        <w:tc>
          <w:tcPr>
            <w:tcW w:w="1440" w:type="dxa"/>
            <w:vAlign w:val="top"/>
          </w:tcPr>
          <w:p w14:paraId="01F69E49">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6C5F530">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47ABE2F">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4114EE12">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2D7DCB1">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51ACD1D">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0BA3671">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0C3C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2" w:hRule="atLeast"/>
        </w:trPr>
        <w:tc>
          <w:tcPr>
            <w:tcW w:w="818" w:type="dxa"/>
            <w:vMerge w:val="restart"/>
            <w:tcBorders>
              <w:bottom w:val="nil"/>
            </w:tcBorders>
            <w:vAlign w:val="top"/>
          </w:tcPr>
          <w:p w14:paraId="3CA54BDD">
            <w:pPr>
              <w:spacing w:line="264" w:lineRule="auto"/>
              <w:rPr>
                <w:rFonts w:ascii="Arial"/>
                <w:sz w:val="21"/>
              </w:rPr>
            </w:pPr>
          </w:p>
          <w:p w14:paraId="79C6C290">
            <w:pPr>
              <w:spacing w:line="264" w:lineRule="auto"/>
              <w:rPr>
                <w:rFonts w:ascii="Arial"/>
                <w:sz w:val="21"/>
              </w:rPr>
            </w:pPr>
          </w:p>
          <w:p w14:paraId="76A111D3">
            <w:pPr>
              <w:spacing w:line="264" w:lineRule="auto"/>
              <w:rPr>
                <w:rFonts w:ascii="Arial"/>
                <w:sz w:val="21"/>
              </w:rPr>
            </w:pPr>
          </w:p>
          <w:p w14:paraId="120F94D4">
            <w:pPr>
              <w:spacing w:line="264" w:lineRule="auto"/>
              <w:rPr>
                <w:rFonts w:ascii="Arial"/>
                <w:sz w:val="21"/>
              </w:rPr>
            </w:pPr>
          </w:p>
          <w:p w14:paraId="7AC3C6BE">
            <w:pPr>
              <w:spacing w:line="264" w:lineRule="auto"/>
              <w:rPr>
                <w:rFonts w:ascii="Arial"/>
                <w:sz w:val="21"/>
              </w:rPr>
            </w:pPr>
          </w:p>
          <w:p w14:paraId="51B1D44B">
            <w:pPr>
              <w:spacing w:line="265" w:lineRule="auto"/>
              <w:rPr>
                <w:rFonts w:ascii="Arial"/>
                <w:sz w:val="21"/>
              </w:rPr>
            </w:pPr>
          </w:p>
          <w:p w14:paraId="44F56E80">
            <w:pPr>
              <w:spacing w:line="265" w:lineRule="auto"/>
              <w:rPr>
                <w:rFonts w:ascii="Arial"/>
                <w:sz w:val="21"/>
              </w:rPr>
            </w:pPr>
          </w:p>
          <w:p w14:paraId="7C99C61A">
            <w:pPr>
              <w:spacing w:line="265" w:lineRule="auto"/>
              <w:rPr>
                <w:rFonts w:ascii="Arial"/>
                <w:sz w:val="21"/>
              </w:rPr>
            </w:pPr>
          </w:p>
          <w:p w14:paraId="338FCA28">
            <w:pPr>
              <w:spacing w:before="75" w:line="186" w:lineRule="auto"/>
              <w:ind w:left="161"/>
              <w:rPr>
                <w:rFonts w:ascii="仿宋" w:hAnsi="仿宋" w:eastAsia="仿宋" w:cs="仿宋"/>
                <w:sz w:val="23"/>
                <w:szCs w:val="23"/>
              </w:rPr>
            </w:pPr>
            <w:r>
              <w:rPr>
                <w:rFonts w:ascii="仿宋" w:hAnsi="仿宋" w:eastAsia="仿宋" w:cs="仿宋"/>
                <w:spacing w:val="-5"/>
                <w:sz w:val="23"/>
                <w:szCs w:val="23"/>
              </w:rPr>
              <w:t>140</w:t>
            </w:r>
          </w:p>
        </w:tc>
        <w:tc>
          <w:tcPr>
            <w:tcW w:w="1440" w:type="dxa"/>
            <w:vMerge w:val="restart"/>
            <w:tcBorders>
              <w:bottom w:val="nil"/>
            </w:tcBorders>
            <w:vAlign w:val="top"/>
          </w:tcPr>
          <w:p w14:paraId="7BBE7812">
            <w:pPr>
              <w:spacing w:line="277" w:lineRule="auto"/>
              <w:rPr>
                <w:rFonts w:ascii="Arial"/>
                <w:sz w:val="21"/>
              </w:rPr>
            </w:pPr>
          </w:p>
          <w:p w14:paraId="2B830B61">
            <w:pPr>
              <w:spacing w:line="278" w:lineRule="auto"/>
              <w:rPr>
                <w:rFonts w:ascii="Arial"/>
                <w:sz w:val="21"/>
              </w:rPr>
            </w:pPr>
          </w:p>
          <w:p w14:paraId="18CD6A5F">
            <w:pPr>
              <w:pStyle w:val="6"/>
              <w:spacing w:before="99" w:line="182" w:lineRule="auto"/>
              <w:ind w:left="121"/>
              <w:outlineLvl w:val="0"/>
            </w:pPr>
            <w:r>
              <w:rPr>
                <w:spacing w:val="10"/>
              </w:rPr>
              <w:t>化学品单位</w:t>
            </w:r>
          </w:p>
          <w:p w14:paraId="4D58F9B9">
            <w:pPr>
              <w:pStyle w:val="6"/>
              <w:spacing w:before="1" w:line="182" w:lineRule="auto"/>
              <w:ind w:left="143" w:right="111" w:hanging="28"/>
            </w:pPr>
            <w:r>
              <w:rPr>
                <w:spacing w:val="11"/>
              </w:rPr>
              <w:t>在办理化学</w:t>
            </w:r>
            <w:r>
              <w:rPr>
                <w:spacing w:val="6"/>
              </w:rPr>
              <w:t>品物理危险</w:t>
            </w:r>
          </w:p>
          <w:p w14:paraId="7A5EA29D">
            <w:pPr>
              <w:pStyle w:val="6"/>
              <w:spacing w:line="182" w:lineRule="auto"/>
              <w:ind w:left="124"/>
              <w:outlineLvl w:val="0"/>
            </w:pPr>
            <w:r>
              <w:rPr>
                <w:spacing w:val="9"/>
              </w:rPr>
              <w:t>性的鉴定过</w:t>
            </w:r>
          </w:p>
          <w:p w14:paraId="2A7188DB">
            <w:pPr>
              <w:pStyle w:val="6"/>
              <w:spacing w:before="7" w:line="186" w:lineRule="auto"/>
              <w:ind w:left="113" w:right="111" w:firstLine="5"/>
            </w:pPr>
            <w:r>
              <w:rPr>
                <w:spacing w:val="-1"/>
              </w:rPr>
              <w:t>程中，隐瞒</w:t>
            </w:r>
            <w:r>
              <w:rPr>
                <w:spacing w:val="12"/>
              </w:rPr>
              <w:t>化学品的危</w:t>
            </w:r>
            <w:r>
              <w:rPr>
                <w:spacing w:val="6"/>
              </w:rPr>
              <w:t>险性成分、</w:t>
            </w:r>
            <w:r>
              <w:rPr>
                <w:spacing w:val="12"/>
              </w:rPr>
              <w:t>含量等相关</w:t>
            </w:r>
            <w:bookmarkStart w:id="591" w:name="bookmark292"/>
            <w:bookmarkEnd w:id="591"/>
            <w:r>
              <w:rPr>
                <w:spacing w:val="12"/>
              </w:rPr>
              <w:t>信息或者提供虚假材料</w:t>
            </w:r>
            <w:r>
              <w:t>的</w:t>
            </w:r>
          </w:p>
        </w:tc>
        <w:tc>
          <w:tcPr>
            <w:tcW w:w="3202" w:type="dxa"/>
            <w:vMerge w:val="restart"/>
            <w:tcBorders>
              <w:bottom w:val="nil"/>
            </w:tcBorders>
            <w:vAlign w:val="top"/>
          </w:tcPr>
          <w:p w14:paraId="7464E821">
            <w:pPr>
              <w:pStyle w:val="6"/>
              <w:spacing w:before="30" w:line="182" w:lineRule="auto"/>
              <w:ind w:left="117" w:right="110" w:hanging="19"/>
              <w:jc w:val="both"/>
            </w:pPr>
            <w:r>
              <w:rPr>
                <w:spacing w:val="18"/>
              </w:rPr>
              <w:t>【部门规章】《化学品物理</w:t>
            </w:r>
            <w:bookmarkStart w:id="592" w:name="bookmark290"/>
            <w:bookmarkEnd w:id="592"/>
            <w:r>
              <w:rPr>
                <w:spacing w:val="39"/>
              </w:rPr>
              <w:t>危险性鉴定与分类管理办</w:t>
            </w:r>
            <w:r>
              <w:rPr>
                <w:spacing w:val="13"/>
              </w:rPr>
              <w:t>法》第八条第二款：化学品</w:t>
            </w:r>
          </w:p>
          <w:p w14:paraId="0DC0265D">
            <w:pPr>
              <w:pStyle w:val="6"/>
              <w:spacing w:line="182" w:lineRule="auto"/>
              <w:ind w:left="123"/>
              <w:outlineLvl w:val="0"/>
            </w:pPr>
            <w:r>
              <w:rPr>
                <w:spacing w:val="16"/>
              </w:rPr>
              <w:t>单位在办理化学品物理危险</w:t>
            </w:r>
          </w:p>
          <w:p w14:paraId="45D8A292">
            <w:pPr>
              <w:pStyle w:val="6"/>
              <w:spacing w:before="2" w:line="189" w:lineRule="auto"/>
              <w:ind w:left="121" w:right="110" w:firstLine="5"/>
              <w:jc w:val="both"/>
            </w:pPr>
            <w:r>
              <w:rPr>
                <w:spacing w:val="12"/>
              </w:rPr>
              <w:t>性鉴定过程中，不得隐瞒化</w:t>
            </w:r>
            <w:r>
              <w:rPr>
                <w:spacing w:val="17"/>
              </w:rPr>
              <w:t>学品的危险性成分、含量等</w:t>
            </w:r>
            <w:r>
              <w:rPr>
                <w:spacing w:val="39"/>
              </w:rPr>
              <w:t>相关信息或者提供虚假材</w:t>
            </w:r>
            <w:r>
              <w:rPr>
                <w:spacing w:val="-8"/>
              </w:rPr>
              <w:t>料。</w:t>
            </w:r>
          </w:p>
        </w:tc>
        <w:tc>
          <w:tcPr>
            <w:tcW w:w="2859" w:type="dxa"/>
            <w:vMerge w:val="restart"/>
            <w:tcBorders>
              <w:bottom w:val="nil"/>
            </w:tcBorders>
            <w:vAlign w:val="top"/>
          </w:tcPr>
          <w:p w14:paraId="5AA7DEBB">
            <w:pPr>
              <w:pStyle w:val="6"/>
              <w:spacing w:before="35" w:line="184" w:lineRule="auto"/>
              <w:ind w:left="97" w:right="109"/>
            </w:pPr>
            <w:r>
              <w:rPr>
                <w:spacing w:val="10"/>
              </w:rPr>
              <w:t>【部门规章】《化学品物理危险性鉴定与分类管理</w:t>
            </w:r>
            <w:r>
              <w:rPr>
                <w:spacing w:val="9"/>
              </w:rPr>
              <w:t>办法》第十九条第三项：</w:t>
            </w:r>
            <w:r>
              <w:rPr>
                <w:spacing w:val="10"/>
              </w:rPr>
              <w:t>化学品单位有下列情形之一的，由安全生产监督管</w:t>
            </w:r>
            <w:r>
              <w:rPr>
                <w:spacing w:val="3"/>
              </w:rPr>
              <w:t>理部门责令限期改正，可</w:t>
            </w:r>
            <w:r>
              <w:rPr>
                <w:spacing w:val="1"/>
              </w:rPr>
              <w:t>以处</w:t>
            </w:r>
            <w:r>
              <w:rPr>
                <w:rFonts w:ascii="宋体" w:hAnsi="宋体" w:eastAsia="宋体" w:cs="宋体"/>
                <w:spacing w:val="1"/>
              </w:rPr>
              <w:t>1</w:t>
            </w:r>
            <w:r>
              <w:rPr>
                <w:spacing w:val="1"/>
              </w:rPr>
              <w:t>万元以下的罚款；</w:t>
            </w:r>
            <w:r>
              <w:rPr>
                <w:spacing w:val="5"/>
              </w:rPr>
              <w:t>拒不改正的，处</w:t>
            </w:r>
            <w:r>
              <w:rPr>
                <w:rFonts w:ascii="宋体" w:hAnsi="宋体" w:eastAsia="宋体" w:cs="宋体"/>
                <w:spacing w:val="5"/>
              </w:rPr>
              <w:t>1</w:t>
            </w:r>
            <w:r>
              <w:rPr>
                <w:spacing w:val="5"/>
              </w:rPr>
              <w:t>万元以</w:t>
            </w:r>
            <w:r>
              <w:rPr>
                <w:spacing w:val="17"/>
              </w:rPr>
              <w:t>上</w:t>
            </w:r>
            <w:r>
              <w:rPr>
                <w:rFonts w:ascii="宋体" w:hAnsi="宋体" w:eastAsia="宋体" w:cs="宋体"/>
                <w:spacing w:val="17"/>
              </w:rPr>
              <w:t>3</w:t>
            </w:r>
            <w:r>
              <w:rPr>
                <w:spacing w:val="17"/>
              </w:rPr>
              <w:t>万元以下的罚款：</w:t>
            </w:r>
            <w:r>
              <w:rPr>
                <w:spacing w:val="10"/>
              </w:rPr>
              <w:t>（三）在办理化学品物理</w:t>
            </w:r>
            <w:r>
              <w:rPr>
                <w:spacing w:val="1"/>
              </w:rPr>
              <w:t>危险性的鉴定过程中，隐</w:t>
            </w:r>
            <w:r>
              <w:rPr>
                <w:spacing w:val="7"/>
              </w:rPr>
              <w:t>瞒化学品的危险性成分、</w:t>
            </w:r>
            <w:r>
              <w:rPr>
                <w:spacing w:val="10"/>
              </w:rPr>
              <w:t>含量等相关信息或者提供</w:t>
            </w:r>
            <w:r>
              <w:rPr>
                <w:spacing w:val="4"/>
              </w:rPr>
              <w:t>虚假材料的。</w:t>
            </w:r>
          </w:p>
        </w:tc>
        <w:tc>
          <w:tcPr>
            <w:tcW w:w="803" w:type="dxa"/>
            <w:vAlign w:val="top"/>
          </w:tcPr>
          <w:p w14:paraId="3E902426">
            <w:pPr>
              <w:spacing w:line="265" w:lineRule="auto"/>
              <w:rPr>
                <w:rFonts w:ascii="Arial"/>
                <w:sz w:val="21"/>
              </w:rPr>
            </w:pPr>
          </w:p>
          <w:p w14:paraId="135FDE29">
            <w:pPr>
              <w:spacing w:line="266" w:lineRule="auto"/>
              <w:rPr>
                <w:rFonts w:ascii="Arial"/>
                <w:sz w:val="21"/>
              </w:rPr>
            </w:pPr>
          </w:p>
          <w:p w14:paraId="57F7CD91">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6E98149">
            <w:pPr>
              <w:pStyle w:val="6"/>
              <w:spacing w:before="116" w:line="189" w:lineRule="auto"/>
              <w:ind w:left="119" w:right="106" w:firstLine="19"/>
              <w:jc w:val="both"/>
            </w:pPr>
            <w:r>
              <w:rPr>
                <w:spacing w:val="23"/>
              </w:rPr>
              <w:t>隐瞒化学品的危险</w:t>
            </w:r>
            <w:r>
              <w:rPr>
                <w:spacing w:val="-3"/>
              </w:rPr>
              <w:t>性成分、含量等相关</w:t>
            </w:r>
            <w:r>
              <w:rPr>
                <w:spacing w:val="26"/>
              </w:rPr>
              <w:t>信息或者提供虚假</w:t>
            </w:r>
            <w:r>
              <w:rPr>
                <w:spacing w:val="-8"/>
              </w:rPr>
              <w:t>材料，有</w:t>
            </w:r>
            <w:r>
              <w:rPr>
                <w:rFonts w:ascii="宋体" w:hAnsi="宋体" w:eastAsia="宋体" w:cs="宋体"/>
                <w:spacing w:val="-8"/>
              </w:rPr>
              <w:t>1</w:t>
            </w:r>
            <w:r>
              <w:rPr>
                <w:spacing w:val="-8"/>
              </w:rPr>
              <w:t>种情形的</w:t>
            </w:r>
          </w:p>
        </w:tc>
        <w:tc>
          <w:tcPr>
            <w:tcW w:w="2894" w:type="dxa"/>
            <w:vAlign w:val="top"/>
          </w:tcPr>
          <w:p w14:paraId="519A98DE">
            <w:pPr>
              <w:pStyle w:val="6"/>
              <w:spacing w:before="117" w:line="189" w:lineRule="auto"/>
              <w:ind w:left="127" w:right="104"/>
              <w:jc w:val="both"/>
            </w:pPr>
            <w:r>
              <w:rPr>
                <w:spacing w:val="8"/>
              </w:rPr>
              <w:t>责令限期改正，可以处</w:t>
            </w:r>
            <w:r>
              <w:rPr>
                <w:rFonts w:ascii="宋体" w:hAnsi="宋体" w:eastAsia="宋体" w:cs="宋体"/>
                <w:spacing w:val="8"/>
              </w:rPr>
              <w:t>1</w:t>
            </w:r>
            <w:r>
              <w:rPr>
                <w:spacing w:val="7"/>
              </w:rPr>
              <w:t>万元以下的罚款；拒不改</w:t>
            </w:r>
            <w:r>
              <w:rPr>
                <w:spacing w:val="-1"/>
              </w:rPr>
              <w:t>正的，处</w:t>
            </w:r>
            <w:r>
              <w:rPr>
                <w:rFonts w:ascii="宋体" w:hAnsi="宋体" w:eastAsia="宋体" w:cs="宋体"/>
                <w:spacing w:val="-1"/>
              </w:rPr>
              <w:t>1</w:t>
            </w:r>
            <w:r>
              <w:rPr>
                <w:spacing w:val="-1"/>
              </w:rPr>
              <w:t>万元以上</w:t>
            </w:r>
            <w:r>
              <w:rPr>
                <w:rFonts w:ascii="宋体" w:hAnsi="宋体" w:eastAsia="宋体" w:cs="宋体"/>
                <w:spacing w:val="-1"/>
              </w:rPr>
              <w:t>1.5</w:t>
            </w:r>
            <w:r>
              <w:rPr>
                <w:spacing w:val="6"/>
              </w:rPr>
              <w:t>万元以下的罚款</w:t>
            </w:r>
          </w:p>
        </w:tc>
        <w:tc>
          <w:tcPr>
            <w:tcW w:w="811" w:type="dxa"/>
            <w:vMerge w:val="restart"/>
            <w:tcBorders>
              <w:bottom w:val="nil"/>
            </w:tcBorders>
            <w:vAlign w:val="top"/>
          </w:tcPr>
          <w:p w14:paraId="271CFEAD">
            <w:pPr>
              <w:spacing w:line="264" w:lineRule="auto"/>
              <w:rPr>
                <w:rFonts w:ascii="Arial"/>
                <w:sz w:val="21"/>
              </w:rPr>
            </w:pPr>
          </w:p>
          <w:p w14:paraId="0D59402A">
            <w:pPr>
              <w:spacing w:line="264" w:lineRule="auto"/>
              <w:rPr>
                <w:rFonts w:ascii="Arial"/>
                <w:sz w:val="21"/>
              </w:rPr>
            </w:pPr>
          </w:p>
          <w:p w14:paraId="4E0E6994">
            <w:pPr>
              <w:spacing w:line="264" w:lineRule="auto"/>
              <w:rPr>
                <w:rFonts w:ascii="Arial"/>
                <w:sz w:val="21"/>
              </w:rPr>
            </w:pPr>
          </w:p>
          <w:p w14:paraId="232D1F51">
            <w:pPr>
              <w:spacing w:line="264" w:lineRule="auto"/>
              <w:rPr>
                <w:rFonts w:ascii="Arial"/>
                <w:sz w:val="21"/>
              </w:rPr>
            </w:pPr>
          </w:p>
          <w:p w14:paraId="61EA870D">
            <w:pPr>
              <w:spacing w:line="264" w:lineRule="auto"/>
              <w:rPr>
                <w:rFonts w:ascii="Arial"/>
                <w:sz w:val="21"/>
              </w:rPr>
            </w:pPr>
          </w:p>
          <w:p w14:paraId="2861578C">
            <w:pPr>
              <w:spacing w:line="264" w:lineRule="auto"/>
              <w:rPr>
                <w:rFonts w:ascii="Arial"/>
                <w:sz w:val="21"/>
              </w:rPr>
            </w:pPr>
          </w:p>
          <w:p w14:paraId="672BE67D">
            <w:pPr>
              <w:spacing w:line="264" w:lineRule="auto"/>
              <w:rPr>
                <w:rFonts w:ascii="Arial"/>
                <w:sz w:val="21"/>
              </w:rPr>
            </w:pPr>
          </w:p>
          <w:p w14:paraId="47962FA1">
            <w:pPr>
              <w:spacing w:line="264" w:lineRule="auto"/>
              <w:rPr>
                <w:rFonts w:ascii="Arial"/>
                <w:sz w:val="21"/>
              </w:rPr>
            </w:pPr>
          </w:p>
          <w:p w14:paraId="63FDC8D6">
            <w:pPr>
              <w:spacing w:before="75" w:line="188" w:lineRule="auto"/>
              <w:ind w:left="292"/>
              <w:rPr>
                <w:rFonts w:ascii="宋体" w:hAnsi="宋体" w:eastAsia="宋体" w:cs="宋体"/>
                <w:sz w:val="23"/>
                <w:szCs w:val="23"/>
              </w:rPr>
            </w:pPr>
            <w:r>
              <w:rPr>
                <w:rFonts w:ascii="宋体" w:hAnsi="宋体" w:eastAsia="宋体" w:cs="宋体"/>
                <w:spacing w:val="-2"/>
                <w:sz w:val="23"/>
                <w:szCs w:val="23"/>
              </w:rPr>
              <w:t>96</w:t>
            </w:r>
          </w:p>
        </w:tc>
      </w:tr>
      <w:tr w14:paraId="646DF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3" w:hRule="atLeast"/>
        </w:trPr>
        <w:tc>
          <w:tcPr>
            <w:tcW w:w="818" w:type="dxa"/>
            <w:vMerge w:val="continue"/>
            <w:tcBorders>
              <w:top w:val="nil"/>
              <w:bottom w:val="nil"/>
            </w:tcBorders>
            <w:vAlign w:val="top"/>
          </w:tcPr>
          <w:p w14:paraId="04ACAC6A">
            <w:pPr>
              <w:rPr>
                <w:rFonts w:ascii="Arial"/>
                <w:sz w:val="21"/>
              </w:rPr>
            </w:pPr>
          </w:p>
        </w:tc>
        <w:tc>
          <w:tcPr>
            <w:tcW w:w="1440" w:type="dxa"/>
            <w:vMerge w:val="continue"/>
            <w:tcBorders>
              <w:top w:val="nil"/>
              <w:bottom w:val="nil"/>
            </w:tcBorders>
            <w:vAlign w:val="top"/>
          </w:tcPr>
          <w:p w14:paraId="07519A18">
            <w:pPr>
              <w:rPr>
                <w:rFonts w:ascii="Arial"/>
                <w:sz w:val="21"/>
              </w:rPr>
            </w:pPr>
          </w:p>
        </w:tc>
        <w:tc>
          <w:tcPr>
            <w:tcW w:w="3202" w:type="dxa"/>
            <w:vMerge w:val="continue"/>
            <w:tcBorders>
              <w:top w:val="nil"/>
              <w:bottom w:val="nil"/>
            </w:tcBorders>
            <w:vAlign w:val="top"/>
          </w:tcPr>
          <w:p w14:paraId="1C64D793">
            <w:pPr>
              <w:rPr>
                <w:rFonts w:ascii="Arial"/>
                <w:sz w:val="21"/>
              </w:rPr>
            </w:pPr>
          </w:p>
        </w:tc>
        <w:tc>
          <w:tcPr>
            <w:tcW w:w="2859" w:type="dxa"/>
            <w:vMerge w:val="continue"/>
            <w:tcBorders>
              <w:top w:val="nil"/>
              <w:bottom w:val="nil"/>
            </w:tcBorders>
            <w:vAlign w:val="top"/>
          </w:tcPr>
          <w:p w14:paraId="0279576A">
            <w:pPr>
              <w:rPr>
                <w:rFonts w:ascii="Arial"/>
                <w:sz w:val="21"/>
              </w:rPr>
            </w:pPr>
          </w:p>
        </w:tc>
        <w:tc>
          <w:tcPr>
            <w:tcW w:w="803" w:type="dxa"/>
            <w:vAlign w:val="top"/>
          </w:tcPr>
          <w:p w14:paraId="42271A0A">
            <w:pPr>
              <w:spacing w:line="300" w:lineRule="auto"/>
              <w:rPr>
                <w:rFonts w:ascii="Arial"/>
                <w:sz w:val="21"/>
              </w:rPr>
            </w:pPr>
          </w:p>
          <w:p w14:paraId="4310A495">
            <w:pPr>
              <w:spacing w:line="301" w:lineRule="auto"/>
              <w:rPr>
                <w:rFonts w:ascii="Arial"/>
                <w:sz w:val="21"/>
              </w:rPr>
            </w:pPr>
          </w:p>
          <w:p w14:paraId="65454791">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5D119A55">
            <w:pPr>
              <w:pStyle w:val="6"/>
              <w:spacing w:before="184" w:line="189" w:lineRule="auto"/>
              <w:ind w:left="119" w:right="106" w:firstLine="19"/>
              <w:jc w:val="both"/>
            </w:pPr>
            <w:r>
              <w:rPr>
                <w:spacing w:val="23"/>
              </w:rPr>
              <w:t>隐瞒化学品的危险</w:t>
            </w:r>
            <w:r>
              <w:rPr>
                <w:spacing w:val="-3"/>
              </w:rPr>
              <w:t>性成分、含量等相关</w:t>
            </w:r>
            <w:r>
              <w:rPr>
                <w:spacing w:val="26"/>
              </w:rPr>
              <w:t>信息或者提供虚假</w:t>
            </w:r>
            <w:r>
              <w:rPr>
                <w:spacing w:val="-5"/>
              </w:rPr>
              <w:t>材料，有</w:t>
            </w:r>
            <w:r>
              <w:rPr>
                <w:rFonts w:ascii="宋体" w:hAnsi="宋体" w:eastAsia="宋体" w:cs="宋体"/>
                <w:spacing w:val="-5"/>
              </w:rPr>
              <w:t>2</w:t>
            </w:r>
            <w:r>
              <w:rPr>
                <w:spacing w:val="-5"/>
              </w:rPr>
              <w:t>种情形的</w:t>
            </w:r>
          </w:p>
        </w:tc>
        <w:tc>
          <w:tcPr>
            <w:tcW w:w="2894" w:type="dxa"/>
            <w:vAlign w:val="top"/>
          </w:tcPr>
          <w:p w14:paraId="09D8C72F">
            <w:pPr>
              <w:pStyle w:val="6"/>
              <w:spacing w:before="184" w:line="189" w:lineRule="auto"/>
              <w:ind w:left="127" w:right="104"/>
              <w:jc w:val="both"/>
            </w:pPr>
            <w:r>
              <w:rPr>
                <w:spacing w:val="8"/>
              </w:rPr>
              <w:t>责令限期改正，可以处</w:t>
            </w:r>
            <w:r>
              <w:rPr>
                <w:rFonts w:ascii="宋体" w:hAnsi="宋体" w:eastAsia="宋体" w:cs="宋体"/>
                <w:spacing w:val="8"/>
              </w:rPr>
              <w:t>1</w:t>
            </w:r>
            <w:r>
              <w:rPr>
                <w:spacing w:val="7"/>
              </w:rPr>
              <w:t>万元以下的罚款；拒不改</w:t>
            </w:r>
            <w:r>
              <w:rPr>
                <w:spacing w:val="2"/>
              </w:rPr>
              <w:t>正的，处</w:t>
            </w:r>
            <w:r>
              <w:rPr>
                <w:rFonts w:ascii="宋体" w:hAnsi="宋体" w:eastAsia="宋体" w:cs="宋体"/>
                <w:spacing w:val="2"/>
              </w:rPr>
              <w:t>1.5</w:t>
            </w:r>
            <w:r>
              <w:rPr>
                <w:spacing w:val="2"/>
              </w:rPr>
              <w:t>万元以上</w:t>
            </w:r>
            <w:r>
              <w:rPr>
                <w:rFonts w:ascii="宋体" w:hAnsi="宋体" w:eastAsia="宋体" w:cs="宋体"/>
                <w:spacing w:val="2"/>
              </w:rPr>
              <w:t>2</w:t>
            </w:r>
            <w:r>
              <w:rPr>
                <w:spacing w:val="6"/>
              </w:rPr>
              <w:t>万元以下的罚款</w:t>
            </w:r>
          </w:p>
        </w:tc>
        <w:tc>
          <w:tcPr>
            <w:tcW w:w="811" w:type="dxa"/>
            <w:vMerge w:val="continue"/>
            <w:tcBorders>
              <w:top w:val="nil"/>
              <w:bottom w:val="nil"/>
            </w:tcBorders>
            <w:vAlign w:val="top"/>
          </w:tcPr>
          <w:p w14:paraId="119C0BA1">
            <w:pPr>
              <w:rPr>
                <w:rFonts w:ascii="Arial"/>
                <w:sz w:val="21"/>
              </w:rPr>
            </w:pPr>
          </w:p>
        </w:tc>
      </w:tr>
      <w:tr w14:paraId="3736D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3" w:hRule="atLeast"/>
        </w:trPr>
        <w:tc>
          <w:tcPr>
            <w:tcW w:w="818" w:type="dxa"/>
            <w:vMerge w:val="continue"/>
            <w:tcBorders>
              <w:top w:val="nil"/>
            </w:tcBorders>
            <w:vAlign w:val="top"/>
          </w:tcPr>
          <w:p w14:paraId="449CD0DC">
            <w:pPr>
              <w:rPr>
                <w:rFonts w:ascii="Arial"/>
                <w:sz w:val="21"/>
              </w:rPr>
            </w:pPr>
          </w:p>
        </w:tc>
        <w:tc>
          <w:tcPr>
            <w:tcW w:w="1440" w:type="dxa"/>
            <w:vMerge w:val="continue"/>
            <w:tcBorders>
              <w:top w:val="nil"/>
            </w:tcBorders>
            <w:vAlign w:val="top"/>
          </w:tcPr>
          <w:p w14:paraId="7744D5FD">
            <w:pPr>
              <w:rPr>
                <w:rFonts w:ascii="Arial"/>
                <w:sz w:val="21"/>
              </w:rPr>
            </w:pPr>
          </w:p>
        </w:tc>
        <w:tc>
          <w:tcPr>
            <w:tcW w:w="3202" w:type="dxa"/>
            <w:vMerge w:val="continue"/>
            <w:tcBorders>
              <w:top w:val="nil"/>
            </w:tcBorders>
            <w:vAlign w:val="top"/>
          </w:tcPr>
          <w:p w14:paraId="3DE10C9B">
            <w:pPr>
              <w:rPr>
                <w:rFonts w:ascii="Arial"/>
                <w:sz w:val="21"/>
              </w:rPr>
            </w:pPr>
          </w:p>
        </w:tc>
        <w:tc>
          <w:tcPr>
            <w:tcW w:w="2859" w:type="dxa"/>
            <w:vMerge w:val="continue"/>
            <w:tcBorders>
              <w:top w:val="nil"/>
            </w:tcBorders>
            <w:vAlign w:val="top"/>
          </w:tcPr>
          <w:p w14:paraId="17E95CEF">
            <w:pPr>
              <w:rPr>
                <w:rFonts w:ascii="Arial"/>
                <w:sz w:val="21"/>
              </w:rPr>
            </w:pPr>
          </w:p>
        </w:tc>
        <w:tc>
          <w:tcPr>
            <w:tcW w:w="803" w:type="dxa"/>
            <w:vAlign w:val="top"/>
          </w:tcPr>
          <w:p w14:paraId="62A83A4F">
            <w:pPr>
              <w:spacing w:line="335" w:lineRule="auto"/>
              <w:rPr>
                <w:rFonts w:ascii="Arial"/>
                <w:sz w:val="21"/>
              </w:rPr>
            </w:pPr>
          </w:p>
          <w:p w14:paraId="02E9EA08">
            <w:pPr>
              <w:spacing w:line="336" w:lineRule="auto"/>
              <w:rPr>
                <w:rFonts w:ascii="Arial"/>
                <w:sz w:val="21"/>
              </w:rPr>
            </w:pPr>
          </w:p>
          <w:p w14:paraId="567502AB">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070F490">
            <w:pPr>
              <w:pStyle w:val="6"/>
              <w:spacing w:before="105" w:line="187" w:lineRule="auto"/>
              <w:ind w:left="119" w:right="106" w:firstLine="19"/>
              <w:jc w:val="both"/>
            </w:pPr>
            <w:r>
              <w:rPr>
                <w:spacing w:val="23"/>
              </w:rPr>
              <w:t>隐瞒化学品的危险</w:t>
            </w:r>
            <w:r>
              <w:rPr>
                <w:spacing w:val="-3"/>
              </w:rPr>
              <w:t>性成分、含量等相关</w:t>
            </w:r>
            <w:r>
              <w:rPr>
                <w:spacing w:val="26"/>
              </w:rPr>
              <w:t>信息或者提供虚假</w:t>
            </w:r>
            <w:r>
              <w:rPr>
                <w:spacing w:val="-5"/>
              </w:rPr>
              <w:t>材料，有</w:t>
            </w:r>
            <w:r>
              <w:rPr>
                <w:rFonts w:ascii="宋体" w:hAnsi="宋体" w:eastAsia="宋体" w:cs="宋体"/>
                <w:spacing w:val="-5"/>
              </w:rPr>
              <w:t>3</w:t>
            </w:r>
            <w:r>
              <w:rPr>
                <w:spacing w:val="-5"/>
              </w:rPr>
              <w:t>种以上情</w:t>
            </w:r>
            <w:r>
              <w:rPr>
                <w:spacing w:val="1"/>
              </w:rPr>
              <w:t>形的</w:t>
            </w:r>
          </w:p>
        </w:tc>
        <w:tc>
          <w:tcPr>
            <w:tcW w:w="2894" w:type="dxa"/>
            <w:vAlign w:val="top"/>
          </w:tcPr>
          <w:p w14:paraId="7FD82127">
            <w:pPr>
              <w:pStyle w:val="6"/>
              <w:spacing w:before="255" w:line="189" w:lineRule="auto"/>
              <w:ind w:left="124" w:right="104" w:firstLine="2"/>
              <w:jc w:val="both"/>
            </w:pPr>
            <w:r>
              <w:rPr>
                <w:spacing w:val="8"/>
              </w:rPr>
              <w:t>责令限期改正，可以处</w:t>
            </w:r>
            <w:r>
              <w:rPr>
                <w:rFonts w:ascii="宋体" w:hAnsi="宋体" w:eastAsia="宋体" w:cs="宋体"/>
                <w:spacing w:val="8"/>
              </w:rPr>
              <w:t>1</w:t>
            </w:r>
            <w:r>
              <w:rPr>
                <w:spacing w:val="8"/>
              </w:rPr>
              <w:t>万元以下的罚款；拒不改</w:t>
            </w:r>
            <w:r>
              <w:rPr>
                <w:spacing w:val="1"/>
              </w:rPr>
              <w:t>正的，处</w:t>
            </w:r>
            <w:r>
              <w:rPr>
                <w:rFonts w:ascii="宋体" w:hAnsi="宋体" w:eastAsia="宋体" w:cs="宋体"/>
                <w:spacing w:val="1"/>
              </w:rPr>
              <w:t>2</w:t>
            </w:r>
            <w:r>
              <w:rPr>
                <w:spacing w:val="1"/>
              </w:rPr>
              <w:t>万元以上</w:t>
            </w:r>
            <w:r>
              <w:rPr>
                <w:rFonts w:ascii="宋体" w:hAnsi="宋体" w:eastAsia="宋体" w:cs="宋体"/>
                <w:spacing w:val="1"/>
              </w:rPr>
              <w:t>3</w:t>
            </w:r>
            <w:r>
              <w:rPr>
                <w:spacing w:val="1"/>
              </w:rPr>
              <w:t>万</w:t>
            </w:r>
            <w:r>
              <w:rPr>
                <w:spacing w:val="6"/>
              </w:rPr>
              <w:t>元以下的罚款</w:t>
            </w:r>
          </w:p>
        </w:tc>
        <w:tc>
          <w:tcPr>
            <w:tcW w:w="811" w:type="dxa"/>
            <w:vMerge w:val="continue"/>
            <w:tcBorders>
              <w:top w:val="nil"/>
            </w:tcBorders>
            <w:vAlign w:val="top"/>
          </w:tcPr>
          <w:p w14:paraId="11783FC4">
            <w:pPr>
              <w:rPr>
                <w:rFonts w:ascii="Arial"/>
                <w:sz w:val="21"/>
              </w:rPr>
            </w:pPr>
          </w:p>
        </w:tc>
      </w:tr>
      <w:tr w14:paraId="31E11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818" w:type="dxa"/>
            <w:vMerge w:val="restart"/>
            <w:tcBorders>
              <w:bottom w:val="nil"/>
            </w:tcBorders>
            <w:vAlign w:val="top"/>
          </w:tcPr>
          <w:p w14:paraId="618664D5">
            <w:pPr>
              <w:spacing w:line="274" w:lineRule="auto"/>
              <w:rPr>
                <w:rFonts w:ascii="Arial"/>
                <w:sz w:val="21"/>
              </w:rPr>
            </w:pPr>
          </w:p>
          <w:p w14:paraId="34AE337F">
            <w:pPr>
              <w:spacing w:line="274" w:lineRule="auto"/>
              <w:rPr>
                <w:rFonts w:ascii="Arial"/>
                <w:sz w:val="21"/>
              </w:rPr>
            </w:pPr>
          </w:p>
          <w:p w14:paraId="68BFA27B">
            <w:pPr>
              <w:spacing w:line="274" w:lineRule="auto"/>
              <w:rPr>
                <w:rFonts w:ascii="Arial"/>
                <w:sz w:val="21"/>
              </w:rPr>
            </w:pPr>
          </w:p>
          <w:p w14:paraId="332F16C1">
            <w:pPr>
              <w:spacing w:line="274" w:lineRule="auto"/>
              <w:rPr>
                <w:rFonts w:ascii="Arial"/>
                <w:sz w:val="21"/>
              </w:rPr>
            </w:pPr>
          </w:p>
          <w:p w14:paraId="22C3FCC1">
            <w:pPr>
              <w:spacing w:line="274" w:lineRule="auto"/>
              <w:rPr>
                <w:rFonts w:ascii="Arial"/>
                <w:sz w:val="21"/>
              </w:rPr>
            </w:pPr>
          </w:p>
          <w:p w14:paraId="40F87A50">
            <w:pPr>
              <w:spacing w:line="274" w:lineRule="auto"/>
              <w:rPr>
                <w:rFonts w:ascii="Arial"/>
                <w:sz w:val="21"/>
              </w:rPr>
            </w:pPr>
          </w:p>
          <w:p w14:paraId="4EC06B41">
            <w:pPr>
              <w:spacing w:before="75" w:line="186" w:lineRule="auto"/>
              <w:ind w:left="161"/>
              <w:rPr>
                <w:rFonts w:ascii="仿宋" w:hAnsi="仿宋" w:eastAsia="仿宋" w:cs="仿宋"/>
                <w:sz w:val="23"/>
                <w:szCs w:val="23"/>
              </w:rPr>
            </w:pPr>
            <w:r>
              <w:rPr>
                <w:rFonts w:ascii="仿宋" w:hAnsi="仿宋" w:eastAsia="仿宋" w:cs="仿宋"/>
                <w:spacing w:val="-5"/>
                <w:sz w:val="23"/>
                <w:szCs w:val="23"/>
              </w:rPr>
              <w:t>141</w:t>
            </w:r>
          </w:p>
        </w:tc>
        <w:tc>
          <w:tcPr>
            <w:tcW w:w="1440" w:type="dxa"/>
            <w:vMerge w:val="restart"/>
            <w:tcBorders>
              <w:bottom w:val="nil"/>
            </w:tcBorders>
            <w:vAlign w:val="top"/>
          </w:tcPr>
          <w:p w14:paraId="0B0AB744">
            <w:pPr>
              <w:spacing w:line="339" w:lineRule="auto"/>
              <w:rPr>
                <w:rFonts w:ascii="Arial"/>
                <w:sz w:val="21"/>
              </w:rPr>
            </w:pPr>
          </w:p>
          <w:p w14:paraId="75F28523">
            <w:pPr>
              <w:spacing w:line="340" w:lineRule="auto"/>
              <w:rPr>
                <w:rFonts w:ascii="Arial"/>
                <w:sz w:val="21"/>
              </w:rPr>
            </w:pPr>
          </w:p>
          <w:p w14:paraId="762A6E50">
            <w:pPr>
              <w:pStyle w:val="6"/>
              <w:spacing w:before="99" w:line="186" w:lineRule="auto"/>
              <w:ind w:left="110" w:right="111" w:firstLine="11"/>
              <w:jc w:val="both"/>
            </w:pPr>
            <w:r>
              <w:rPr>
                <w:spacing w:val="10"/>
              </w:rPr>
              <w:t>鉴定机构在</w:t>
            </w:r>
            <w:r>
              <w:rPr>
                <w:spacing w:val="12"/>
              </w:rPr>
              <w:t>物理危险性鉴定过程中伪造、篡改数据或者有其他弄虚作</w:t>
            </w:r>
            <w:r>
              <w:rPr>
                <w:spacing w:val="7"/>
              </w:rPr>
              <w:t>假行为的</w:t>
            </w:r>
          </w:p>
        </w:tc>
        <w:tc>
          <w:tcPr>
            <w:tcW w:w="3202" w:type="dxa"/>
            <w:vMerge w:val="restart"/>
            <w:tcBorders>
              <w:bottom w:val="nil"/>
            </w:tcBorders>
            <w:vAlign w:val="top"/>
          </w:tcPr>
          <w:p w14:paraId="0DA16993">
            <w:pPr>
              <w:pStyle w:val="6"/>
              <w:spacing w:before="37" w:line="185" w:lineRule="auto"/>
              <w:ind w:left="117" w:right="110" w:hanging="19"/>
            </w:pPr>
            <w:r>
              <w:rPr>
                <w:spacing w:val="18"/>
              </w:rPr>
              <w:t>【部门规章】《化学品物理</w:t>
            </w:r>
            <w:r>
              <w:rPr>
                <w:spacing w:val="39"/>
              </w:rPr>
              <w:t>危险性鉴定与分类管理办</w:t>
            </w:r>
            <w:r>
              <w:rPr>
                <w:spacing w:val="13"/>
              </w:rPr>
              <w:t>法》第七条：鉴定机构应当</w:t>
            </w:r>
            <w:r>
              <w:rPr>
                <w:spacing w:val="17"/>
              </w:rPr>
              <w:t>依照有关法律法规和国家标</w:t>
            </w:r>
            <w:r>
              <w:rPr>
                <w:spacing w:val="13"/>
              </w:rPr>
              <w:t>准或者行业标准的规定，科</w:t>
            </w:r>
            <w:r>
              <w:rPr>
                <w:spacing w:val="17"/>
              </w:rPr>
              <w:t>学、公正、诚信地开展鉴定</w:t>
            </w:r>
            <w:r>
              <w:rPr>
                <w:spacing w:val="11"/>
              </w:rPr>
              <w:t>工作，保证鉴定结果真实、</w:t>
            </w:r>
            <w:r>
              <w:rPr>
                <w:spacing w:val="13"/>
              </w:rPr>
              <w:t>准确、客观，并对鉴定结果</w:t>
            </w:r>
            <w:r>
              <w:rPr>
                <w:spacing w:val="-4"/>
              </w:rPr>
              <w:t>负责。</w:t>
            </w:r>
          </w:p>
        </w:tc>
        <w:tc>
          <w:tcPr>
            <w:tcW w:w="2859" w:type="dxa"/>
            <w:vMerge w:val="restart"/>
            <w:tcBorders>
              <w:bottom w:val="nil"/>
            </w:tcBorders>
            <w:vAlign w:val="top"/>
          </w:tcPr>
          <w:p w14:paraId="6EE754D9">
            <w:pPr>
              <w:pStyle w:val="6"/>
              <w:spacing w:before="41" w:line="180" w:lineRule="auto"/>
              <w:ind w:left="115" w:right="38" w:hanging="18"/>
            </w:pPr>
            <w:r>
              <w:rPr>
                <w:spacing w:val="10"/>
              </w:rPr>
              <w:t>【部门规章】《化学品物</w:t>
            </w:r>
            <w:r>
              <w:rPr>
                <w:spacing w:val="8"/>
              </w:rPr>
              <w:t>理危险性鉴定与分类管理</w:t>
            </w:r>
            <w:r>
              <w:rPr>
                <w:spacing w:val="7"/>
              </w:rPr>
              <w:t>办法》第二十条第一项：</w:t>
            </w:r>
            <w:r>
              <w:rPr>
                <w:spacing w:val="8"/>
              </w:rPr>
              <w:t>鉴定机构在物理危险性鉴</w:t>
            </w:r>
            <w:r>
              <w:rPr>
                <w:spacing w:val="6"/>
              </w:rPr>
              <w:t>定过程中有下列行为之一</w:t>
            </w:r>
            <w:r>
              <w:t>的，处</w:t>
            </w:r>
            <w:r>
              <w:rPr>
                <w:rFonts w:ascii="宋体" w:hAnsi="宋体" w:eastAsia="宋体" w:cs="宋体"/>
              </w:rPr>
              <w:t>1</w:t>
            </w:r>
            <w:r>
              <w:t>万元以上</w:t>
            </w:r>
            <w:r>
              <w:rPr>
                <w:rFonts w:ascii="宋体" w:hAnsi="宋体" w:eastAsia="宋体" w:cs="宋体"/>
              </w:rPr>
              <w:t>3</w:t>
            </w:r>
            <w:r>
              <w:t>万元</w:t>
            </w:r>
            <w:r>
              <w:rPr>
                <w:spacing w:val="-6"/>
              </w:rPr>
              <w:t>以下的罚款；情节严重的，</w:t>
            </w:r>
            <w:r>
              <w:rPr>
                <w:spacing w:val="8"/>
              </w:rPr>
              <w:t>由国家安全生产监督管理总局从鉴定机构名单中除</w:t>
            </w:r>
            <w:r>
              <w:rPr>
                <w:spacing w:val="-3"/>
              </w:rPr>
              <w:t>名并公告</w:t>
            </w:r>
            <w:r>
              <w:rPr>
                <w:spacing w:val="-11"/>
              </w:rPr>
              <w:t>：（</w:t>
            </w:r>
            <w:r>
              <w:rPr>
                <w:spacing w:val="-3"/>
              </w:rPr>
              <w:t>一）伪造、</w:t>
            </w:r>
            <w:r>
              <w:rPr>
                <w:spacing w:val="8"/>
              </w:rPr>
              <w:t>篡改数据或者有其他弄虚</w:t>
            </w:r>
            <w:r>
              <w:t>作假行为的；</w:t>
            </w:r>
          </w:p>
        </w:tc>
        <w:tc>
          <w:tcPr>
            <w:tcW w:w="803" w:type="dxa"/>
            <w:vAlign w:val="top"/>
          </w:tcPr>
          <w:p w14:paraId="6A58FEEC">
            <w:pPr>
              <w:spacing w:line="384" w:lineRule="auto"/>
              <w:rPr>
                <w:rFonts w:ascii="Arial"/>
                <w:sz w:val="21"/>
              </w:rPr>
            </w:pPr>
          </w:p>
          <w:p w14:paraId="14E6FA77">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C836EFF">
            <w:pPr>
              <w:pStyle w:val="6"/>
              <w:spacing w:before="121" w:line="191" w:lineRule="auto"/>
              <w:ind w:left="112" w:right="108" w:firstLine="10"/>
              <w:jc w:val="both"/>
            </w:pPr>
            <w:r>
              <w:rPr>
                <w:spacing w:val="-8"/>
              </w:rPr>
              <w:t>有</w:t>
            </w:r>
            <w:r>
              <w:rPr>
                <w:rFonts w:ascii="宋体" w:hAnsi="宋体" w:eastAsia="宋体" w:cs="宋体"/>
                <w:spacing w:val="-8"/>
              </w:rPr>
              <w:t>1</w:t>
            </w:r>
            <w:r>
              <w:rPr>
                <w:spacing w:val="-8"/>
              </w:rPr>
              <w:t>处伪造、篡改数</w:t>
            </w:r>
            <w:r>
              <w:rPr>
                <w:spacing w:val="26"/>
              </w:rPr>
              <w:t>据或者其他弄虚作</w:t>
            </w:r>
            <w:r>
              <w:rPr>
                <w:spacing w:val="7"/>
              </w:rPr>
              <w:t>假行为的</w:t>
            </w:r>
          </w:p>
        </w:tc>
        <w:tc>
          <w:tcPr>
            <w:tcW w:w="2894" w:type="dxa"/>
            <w:vAlign w:val="top"/>
          </w:tcPr>
          <w:p w14:paraId="1580DEA3">
            <w:pPr>
              <w:pStyle w:val="6"/>
              <w:spacing w:before="269" w:line="196" w:lineRule="auto"/>
              <w:ind w:left="124" w:right="103" w:hanging="5"/>
            </w:pPr>
            <w:r>
              <w:t>处</w:t>
            </w:r>
            <w:r>
              <w:rPr>
                <w:rFonts w:ascii="宋体" w:hAnsi="宋体" w:eastAsia="宋体" w:cs="宋体"/>
              </w:rPr>
              <w:t>1</w:t>
            </w:r>
            <w:r>
              <w:t>万元以上</w:t>
            </w:r>
            <w:r>
              <w:rPr>
                <w:rFonts w:ascii="宋体" w:hAnsi="宋体" w:eastAsia="宋体" w:cs="宋体"/>
              </w:rPr>
              <w:t>1.5</w:t>
            </w:r>
            <w:r>
              <w:t>万元以</w:t>
            </w:r>
            <w:r>
              <w:rPr>
                <w:spacing w:val="4"/>
              </w:rPr>
              <w:t>下的罚款</w:t>
            </w:r>
          </w:p>
        </w:tc>
        <w:tc>
          <w:tcPr>
            <w:tcW w:w="811" w:type="dxa"/>
            <w:vMerge w:val="restart"/>
            <w:tcBorders>
              <w:bottom w:val="nil"/>
            </w:tcBorders>
            <w:vAlign w:val="top"/>
          </w:tcPr>
          <w:p w14:paraId="67B8FED2">
            <w:pPr>
              <w:spacing w:line="273" w:lineRule="auto"/>
              <w:rPr>
                <w:rFonts w:ascii="Arial"/>
                <w:sz w:val="21"/>
              </w:rPr>
            </w:pPr>
          </w:p>
          <w:p w14:paraId="1A5076C9">
            <w:pPr>
              <w:spacing w:line="273" w:lineRule="auto"/>
              <w:rPr>
                <w:rFonts w:ascii="Arial"/>
                <w:sz w:val="21"/>
              </w:rPr>
            </w:pPr>
          </w:p>
          <w:p w14:paraId="3507E731">
            <w:pPr>
              <w:spacing w:line="274" w:lineRule="auto"/>
              <w:rPr>
                <w:rFonts w:ascii="Arial"/>
                <w:sz w:val="21"/>
              </w:rPr>
            </w:pPr>
          </w:p>
          <w:p w14:paraId="7599C9D9">
            <w:pPr>
              <w:spacing w:line="274" w:lineRule="auto"/>
              <w:rPr>
                <w:rFonts w:ascii="Arial"/>
                <w:sz w:val="21"/>
              </w:rPr>
            </w:pPr>
          </w:p>
          <w:p w14:paraId="33718F86">
            <w:pPr>
              <w:spacing w:line="274" w:lineRule="auto"/>
              <w:rPr>
                <w:rFonts w:ascii="Arial"/>
                <w:sz w:val="21"/>
              </w:rPr>
            </w:pPr>
          </w:p>
          <w:p w14:paraId="675A0073">
            <w:pPr>
              <w:spacing w:line="274" w:lineRule="auto"/>
              <w:rPr>
                <w:rFonts w:ascii="Arial"/>
                <w:sz w:val="21"/>
              </w:rPr>
            </w:pPr>
          </w:p>
          <w:p w14:paraId="0A200440">
            <w:pPr>
              <w:spacing w:before="74" w:line="188" w:lineRule="auto"/>
              <w:ind w:left="292"/>
              <w:rPr>
                <w:rFonts w:ascii="宋体" w:hAnsi="宋体" w:eastAsia="宋体" w:cs="宋体"/>
                <w:sz w:val="23"/>
                <w:szCs w:val="23"/>
              </w:rPr>
            </w:pPr>
            <w:r>
              <w:rPr>
                <w:rFonts w:ascii="宋体" w:hAnsi="宋体" w:eastAsia="宋体" w:cs="宋体"/>
                <w:spacing w:val="-2"/>
                <w:sz w:val="23"/>
                <w:szCs w:val="23"/>
              </w:rPr>
              <w:t>97</w:t>
            </w:r>
          </w:p>
        </w:tc>
      </w:tr>
      <w:tr w14:paraId="37794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5" w:hRule="atLeast"/>
        </w:trPr>
        <w:tc>
          <w:tcPr>
            <w:tcW w:w="818" w:type="dxa"/>
            <w:vMerge w:val="continue"/>
            <w:tcBorders>
              <w:top w:val="nil"/>
              <w:bottom w:val="nil"/>
            </w:tcBorders>
            <w:vAlign w:val="top"/>
          </w:tcPr>
          <w:p w14:paraId="6E99A399">
            <w:pPr>
              <w:rPr>
                <w:rFonts w:ascii="Arial"/>
                <w:sz w:val="21"/>
              </w:rPr>
            </w:pPr>
          </w:p>
        </w:tc>
        <w:tc>
          <w:tcPr>
            <w:tcW w:w="1440" w:type="dxa"/>
            <w:vMerge w:val="continue"/>
            <w:tcBorders>
              <w:top w:val="nil"/>
              <w:bottom w:val="nil"/>
            </w:tcBorders>
            <w:vAlign w:val="top"/>
          </w:tcPr>
          <w:p w14:paraId="1868ACE0">
            <w:pPr>
              <w:rPr>
                <w:rFonts w:ascii="Arial"/>
                <w:sz w:val="21"/>
              </w:rPr>
            </w:pPr>
          </w:p>
        </w:tc>
        <w:tc>
          <w:tcPr>
            <w:tcW w:w="3202" w:type="dxa"/>
            <w:vMerge w:val="continue"/>
            <w:tcBorders>
              <w:top w:val="nil"/>
              <w:bottom w:val="nil"/>
            </w:tcBorders>
            <w:vAlign w:val="top"/>
          </w:tcPr>
          <w:p w14:paraId="1848438E">
            <w:pPr>
              <w:rPr>
                <w:rFonts w:ascii="Arial"/>
                <w:sz w:val="21"/>
              </w:rPr>
            </w:pPr>
          </w:p>
        </w:tc>
        <w:tc>
          <w:tcPr>
            <w:tcW w:w="2859" w:type="dxa"/>
            <w:vMerge w:val="continue"/>
            <w:tcBorders>
              <w:top w:val="nil"/>
              <w:bottom w:val="nil"/>
            </w:tcBorders>
            <w:vAlign w:val="top"/>
          </w:tcPr>
          <w:p w14:paraId="49EF168A">
            <w:pPr>
              <w:rPr>
                <w:rFonts w:ascii="Arial"/>
                <w:sz w:val="21"/>
              </w:rPr>
            </w:pPr>
          </w:p>
        </w:tc>
        <w:tc>
          <w:tcPr>
            <w:tcW w:w="803" w:type="dxa"/>
            <w:vAlign w:val="top"/>
          </w:tcPr>
          <w:p w14:paraId="45FCEA4C">
            <w:pPr>
              <w:spacing w:line="454" w:lineRule="auto"/>
              <w:rPr>
                <w:rFonts w:ascii="Arial"/>
                <w:sz w:val="21"/>
              </w:rPr>
            </w:pPr>
          </w:p>
          <w:p w14:paraId="197736D3">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79E294A">
            <w:pPr>
              <w:pStyle w:val="6"/>
              <w:spacing w:before="187" w:line="191" w:lineRule="auto"/>
              <w:ind w:left="112" w:right="108" w:firstLine="10"/>
              <w:jc w:val="both"/>
            </w:pPr>
            <w:r>
              <w:rPr>
                <w:spacing w:val="-5"/>
              </w:rPr>
              <w:t>有</w:t>
            </w:r>
            <w:r>
              <w:rPr>
                <w:rFonts w:ascii="宋体" w:hAnsi="宋体" w:eastAsia="宋体" w:cs="宋体"/>
                <w:spacing w:val="-5"/>
              </w:rPr>
              <w:t>2</w:t>
            </w:r>
            <w:r>
              <w:rPr>
                <w:spacing w:val="-5"/>
              </w:rPr>
              <w:t>处伪造、篡改数</w:t>
            </w:r>
            <w:r>
              <w:rPr>
                <w:spacing w:val="26"/>
              </w:rPr>
              <w:t>据或者其他弄虚作</w:t>
            </w:r>
            <w:r>
              <w:rPr>
                <w:spacing w:val="7"/>
              </w:rPr>
              <w:t>假行为的</w:t>
            </w:r>
          </w:p>
        </w:tc>
        <w:tc>
          <w:tcPr>
            <w:tcW w:w="2894" w:type="dxa"/>
            <w:vAlign w:val="top"/>
          </w:tcPr>
          <w:p w14:paraId="276FB85B">
            <w:pPr>
              <w:pStyle w:val="6"/>
              <w:spacing w:before="335" w:line="196" w:lineRule="auto"/>
              <w:ind w:left="124" w:right="103" w:hanging="5"/>
            </w:pPr>
            <w:r>
              <w:rPr>
                <w:spacing w:val="2"/>
              </w:rPr>
              <w:t>处</w:t>
            </w:r>
            <w:r>
              <w:rPr>
                <w:rFonts w:ascii="宋体" w:hAnsi="宋体" w:eastAsia="宋体" w:cs="宋体"/>
                <w:spacing w:val="2"/>
              </w:rPr>
              <w:t>1.5</w:t>
            </w:r>
            <w:r>
              <w:rPr>
                <w:spacing w:val="2"/>
              </w:rPr>
              <w:t>万元以上</w:t>
            </w:r>
            <w:r>
              <w:rPr>
                <w:rFonts w:ascii="宋体" w:hAnsi="宋体" w:eastAsia="宋体" w:cs="宋体"/>
                <w:spacing w:val="2"/>
              </w:rPr>
              <w:t>2</w:t>
            </w:r>
            <w:r>
              <w:rPr>
                <w:spacing w:val="2"/>
              </w:rPr>
              <w:t>万元以</w:t>
            </w:r>
            <w:r>
              <w:rPr>
                <w:spacing w:val="4"/>
              </w:rPr>
              <w:t>下的罚款</w:t>
            </w:r>
          </w:p>
        </w:tc>
        <w:tc>
          <w:tcPr>
            <w:tcW w:w="811" w:type="dxa"/>
            <w:vMerge w:val="continue"/>
            <w:tcBorders>
              <w:top w:val="nil"/>
              <w:bottom w:val="nil"/>
            </w:tcBorders>
            <w:vAlign w:val="top"/>
          </w:tcPr>
          <w:p w14:paraId="36B31C59">
            <w:pPr>
              <w:rPr>
                <w:rFonts w:ascii="Arial"/>
                <w:sz w:val="21"/>
              </w:rPr>
            </w:pPr>
          </w:p>
        </w:tc>
      </w:tr>
      <w:tr w14:paraId="5508D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 w:hRule="atLeast"/>
        </w:trPr>
        <w:tc>
          <w:tcPr>
            <w:tcW w:w="818" w:type="dxa"/>
            <w:vMerge w:val="continue"/>
            <w:tcBorders>
              <w:top w:val="nil"/>
            </w:tcBorders>
            <w:vAlign w:val="top"/>
          </w:tcPr>
          <w:p w14:paraId="1E50440A">
            <w:pPr>
              <w:rPr>
                <w:rFonts w:ascii="Arial"/>
                <w:sz w:val="21"/>
              </w:rPr>
            </w:pPr>
          </w:p>
        </w:tc>
        <w:tc>
          <w:tcPr>
            <w:tcW w:w="1440" w:type="dxa"/>
            <w:vMerge w:val="continue"/>
            <w:tcBorders>
              <w:top w:val="nil"/>
            </w:tcBorders>
            <w:vAlign w:val="top"/>
          </w:tcPr>
          <w:p w14:paraId="210A5525">
            <w:pPr>
              <w:rPr>
                <w:rFonts w:ascii="Arial"/>
                <w:sz w:val="21"/>
              </w:rPr>
            </w:pPr>
          </w:p>
        </w:tc>
        <w:tc>
          <w:tcPr>
            <w:tcW w:w="3202" w:type="dxa"/>
            <w:vMerge w:val="continue"/>
            <w:tcBorders>
              <w:top w:val="nil"/>
            </w:tcBorders>
            <w:vAlign w:val="top"/>
          </w:tcPr>
          <w:p w14:paraId="6E4A4A66">
            <w:pPr>
              <w:rPr>
                <w:rFonts w:ascii="Arial"/>
                <w:sz w:val="21"/>
              </w:rPr>
            </w:pPr>
          </w:p>
        </w:tc>
        <w:tc>
          <w:tcPr>
            <w:tcW w:w="2859" w:type="dxa"/>
            <w:vMerge w:val="continue"/>
            <w:tcBorders>
              <w:top w:val="nil"/>
            </w:tcBorders>
            <w:vAlign w:val="top"/>
          </w:tcPr>
          <w:p w14:paraId="531410F8">
            <w:pPr>
              <w:rPr>
                <w:rFonts w:ascii="Arial"/>
                <w:sz w:val="21"/>
              </w:rPr>
            </w:pPr>
          </w:p>
        </w:tc>
        <w:tc>
          <w:tcPr>
            <w:tcW w:w="803" w:type="dxa"/>
            <w:vAlign w:val="top"/>
          </w:tcPr>
          <w:p w14:paraId="35D2783E">
            <w:pPr>
              <w:spacing w:line="247" w:lineRule="auto"/>
              <w:rPr>
                <w:rFonts w:ascii="Arial"/>
                <w:sz w:val="21"/>
              </w:rPr>
            </w:pPr>
          </w:p>
          <w:p w14:paraId="638D0FD8">
            <w:pPr>
              <w:spacing w:line="248" w:lineRule="auto"/>
              <w:rPr>
                <w:rFonts w:ascii="Arial"/>
                <w:sz w:val="21"/>
              </w:rPr>
            </w:pPr>
          </w:p>
          <w:p w14:paraId="50715E48">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2CEBC14">
            <w:pPr>
              <w:pStyle w:val="6"/>
              <w:spacing w:before="227" w:line="191" w:lineRule="auto"/>
              <w:ind w:left="121" w:right="108" w:firstLine="1"/>
              <w:jc w:val="both"/>
            </w:pPr>
            <w:r>
              <w:rPr>
                <w:spacing w:val="-5"/>
              </w:rPr>
              <w:t>有</w:t>
            </w:r>
            <w:r>
              <w:rPr>
                <w:rFonts w:ascii="宋体" w:hAnsi="宋体" w:eastAsia="宋体" w:cs="宋体"/>
                <w:spacing w:val="-5"/>
              </w:rPr>
              <w:t>3</w:t>
            </w:r>
            <w:r>
              <w:rPr>
                <w:spacing w:val="-5"/>
              </w:rPr>
              <w:t>处以上伪造、篡</w:t>
            </w:r>
            <w:r>
              <w:rPr>
                <w:spacing w:val="25"/>
              </w:rPr>
              <w:t>改数据或者其他弄</w:t>
            </w:r>
            <w:r>
              <w:rPr>
                <w:spacing w:val="6"/>
              </w:rPr>
              <w:t>虚作假行为的</w:t>
            </w:r>
          </w:p>
        </w:tc>
        <w:tc>
          <w:tcPr>
            <w:tcW w:w="2894" w:type="dxa"/>
            <w:vAlign w:val="top"/>
          </w:tcPr>
          <w:p w14:paraId="5E977769">
            <w:pPr>
              <w:spacing w:line="277" w:lineRule="auto"/>
              <w:rPr>
                <w:rFonts w:ascii="Arial"/>
                <w:sz w:val="21"/>
              </w:rPr>
            </w:pPr>
          </w:p>
          <w:p w14:paraId="596A164A">
            <w:pPr>
              <w:pStyle w:val="6"/>
              <w:spacing w:before="99" w:line="196" w:lineRule="auto"/>
              <w:ind w:left="141" w:right="106" w:hanging="22"/>
            </w:pPr>
            <w:r>
              <w:rPr>
                <w:spacing w:val="3"/>
              </w:rPr>
              <w:t>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万元以下</w:t>
            </w:r>
            <w:r>
              <w:rPr>
                <w:spacing w:val="-2"/>
              </w:rPr>
              <w:t>的罚款</w:t>
            </w:r>
          </w:p>
        </w:tc>
        <w:tc>
          <w:tcPr>
            <w:tcW w:w="811" w:type="dxa"/>
            <w:vMerge w:val="continue"/>
            <w:tcBorders>
              <w:top w:val="nil"/>
            </w:tcBorders>
            <w:vAlign w:val="top"/>
          </w:tcPr>
          <w:p w14:paraId="17A6F97D">
            <w:pPr>
              <w:rPr>
                <w:rFonts w:ascii="Arial"/>
                <w:sz w:val="21"/>
              </w:rPr>
            </w:pPr>
          </w:p>
        </w:tc>
      </w:tr>
      <w:tr w14:paraId="7B639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818" w:type="dxa"/>
            <w:vAlign w:val="top"/>
          </w:tcPr>
          <w:p w14:paraId="3148CF68">
            <w:pPr>
              <w:spacing w:line="303" w:lineRule="auto"/>
              <w:rPr>
                <w:rFonts w:ascii="Arial"/>
                <w:sz w:val="21"/>
              </w:rPr>
            </w:pPr>
          </w:p>
          <w:p w14:paraId="2E3A24BA">
            <w:pPr>
              <w:spacing w:before="75" w:line="186" w:lineRule="auto"/>
              <w:ind w:left="161"/>
              <w:rPr>
                <w:rFonts w:ascii="仿宋" w:hAnsi="仿宋" w:eastAsia="仿宋" w:cs="仿宋"/>
                <w:sz w:val="23"/>
                <w:szCs w:val="23"/>
              </w:rPr>
            </w:pPr>
            <w:r>
              <w:rPr>
                <w:rFonts w:ascii="仿宋" w:hAnsi="仿宋" w:eastAsia="仿宋" w:cs="仿宋"/>
                <w:spacing w:val="-5"/>
                <w:sz w:val="23"/>
                <w:szCs w:val="23"/>
              </w:rPr>
              <w:t>142</w:t>
            </w:r>
          </w:p>
        </w:tc>
        <w:tc>
          <w:tcPr>
            <w:tcW w:w="1440" w:type="dxa"/>
            <w:vAlign w:val="top"/>
          </w:tcPr>
          <w:p w14:paraId="3D71B053">
            <w:pPr>
              <w:pStyle w:val="6"/>
              <w:spacing w:before="34" w:line="175" w:lineRule="auto"/>
              <w:ind w:left="121" w:right="111"/>
              <w:jc w:val="both"/>
            </w:pPr>
            <w:r>
              <w:rPr>
                <w:spacing w:val="10"/>
              </w:rPr>
              <w:t>鉴定机构在物理危险性鉴定过程中</w:t>
            </w:r>
          </w:p>
        </w:tc>
        <w:tc>
          <w:tcPr>
            <w:tcW w:w="3202" w:type="dxa"/>
            <w:vAlign w:val="top"/>
          </w:tcPr>
          <w:p w14:paraId="27ACC6C3">
            <w:pPr>
              <w:pStyle w:val="6"/>
              <w:spacing w:before="34" w:line="175" w:lineRule="auto"/>
              <w:ind w:left="117" w:right="110" w:hanging="19"/>
              <w:jc w:val="both"/>
            </w:pPr>
            <w:r>
              <w:rPr>
                <w:spacing w:val="18"/>
              </w:rPr>
              <w:t>【部门规章】《化学品物理</w:t>
            </w:r>
            <w:r>
              <w:rPr>
                <w:spacing w:val="39"/>
              </w:rPr>
              <w:t>危险性鉴定与分类管理办</w:t>
            </w:r>
            <w:r>
              <w:rPr>
                <w:spacing w:val="13"/>
              </w:rPr>
              <w:t>法》第五条第二款：县级以</w:t>
            </w:r>
          </w:p>
        </w:tc>
        <w:tc>
          <w:tcPr>
            <w:tcW w:w="2859" w:type="dxa"/>
            <w:vAlign w:val="top"/>
          </w:tcPr>
          <w:p w14:paraId="7AF57D3C">
            <w:pPr>
              <w:pStyle w:val="6"/>
              <w:spacing w:before="34" w:line="175" w:lineRule="auto"/>
              <w:ind w:left="115" w:right="110" w:hanging="18"/>
              <w:jc w:val="both"/>
            </w:pPr>
            <w:r>
              <w:rPr>
                <w:spacing w:val="10"/>
              </w:rPr>
              <w:t>【部门规章】《化学品物</w:t>
            </w:r>
            <w:r>
              <w:rPr>
                <w:spacing w:val="8"/>
              </w:rPr>
              <w:t>理危险性鉴定与分类管理</w:t>
            </w:r>
            <w:r>
              <w:rPr>
                <w:spacing w:val="7"/>
              </w:rPr>
              <w:t>办法》第二十条第二项：</w:t>
            </w:r>
          </w:p>
        </w:tc>
        <w:tc>
          <w:tcPr>
            <w:tcW w:w="803" w:type="dxa"/>
            <w:vAlign w:val="top"/>
          </w:tcPr>
          <w:p w14:paraId="66C22F59">
            <w:pPr>
              <w:spacing w:line="298" w:lineRule="auto"/>
              <w:rPr>
                <w:rFonts w:ascii="Arial"/>
                <w:sz w:val="21"/>
              </w:rPr>
            </w:pPr>
          </w:p>
          <w:p w14:paraId="0A1C02D4">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4891E12">
            <w:pPr>
              <w:pStyle w:val="6"/>
              <w:spacing w:before="34" w:line="175" w:lineRule="auto"/>
              <w:ind w:left="117" w:right="109"/>
              <w:jc w:val="both"/>
            </w:pPr>
            <w:r>
              <w:rPr>
                <w:spacing w:val="26"/>
              </w:rPr>
              <w:t>未通过安全生产监督管理部门的监督</w:t>
            </w:r>
            <w:r>
              <w:rPr>
                <w:spacing w:val="-3"/>
              </w:rPr>
              <w:t>检查，仍从事鉴定工</w:t>
            </w:r>
          </w:p>
        </w:tc>
        <w:tc>
          <w:tcPr>
            <w:tcW w:w="2894" w:type="dxa"/>
            <w:vAlign w:val="top"/>
          </w:tcPr>
          <w:p w14:paraId="4AFAB4BB">
            <w:pPr>
              <w:pStyle w:val="6"/>
              <w:spacing w:before="184" w:line="196" w:lineRule="auto"/>
              <w:ind w:left="124" w:right="103" w:hanging="5"/>
            </w:pPr>
            <w:r>
              <w:t>处</w:t>
            </w:r>
            <w:r>
              <w:rPr>
                <w:rFonts w:ascii="宋体" w:hAnsi="宋体" w:eastAsia="宋体" w:cs="宋体"/>
              </w:rPr>
              <w:t>1</w:t>
            </w:r>
            <w:r>
              <w:t>万元以上</w:t>
            </w:r>
            <w:r>
              <w:rPr>
                <w:rFonts w:ascii="宋体" w:hAnsi="宋体" w:eastAsia="宋体" w:cs="宋体"/>
              </w:rPr>
              <w:t>1.5</w:t>
            </w:r>
            <w:r>
              <w:t>万元以</w:t>
            </w:r>
            <w:r>
              <w:rPr>
                <w:spacing w:val="4"/>
              </w:rPr>
              <w:t>下的罚款</w:t>
            </w:r>
          </w:p>
        </w:tc>
        <w:tc>
          <w:tcPr>
            <w:tcW w:w="811" w:type="dxa"/>
            <w:vAlign w:val="top"/>
          </w:tcPr>
          <w:p w14:paraId="6C79DA16">
            <w:pPr>
              <w:spacing w:line="300" w:lineRule="auto"/>
              <w:rPr>
                <w:rFonts w:ascii="Arial"/>
                <w:sz w:val="21"/>
              </w:rPr>
            </w:pPr>
          </w:p>
          <w:p w14:paraId="12586837">
            <w:pPr>
              <w:spacing w:before="75" w:line="188" w:lineRule="auto"/>
              <w:ind w:left="292"/>
              <w:rPr>
                <w:rFonts w:ascii="宋体" w:hAnsi="宋体" w:eastAsia="宋体" w:cs="宋体"/>
                <w:sz w:val="23"/>
                <w:szCs w:val="23"/>
              </w:rPr>
            </w:pPr>
            <w:r>
              <w:rPr>
                <w:rFonts w:ascii="宋体" w:hAnsi="宋体" w:eastAsia="宋体" w:cs="宋体"/>
                <w:spacing w:val="-2"/>
                <w:sz w:val="23"/>
                <w:szCs w:val="23"/>
              </w:rPr>
              <w:t>97</w:t>
            </w:r>
          </w:p>
        </w:tc>
      </w:tr>
    </w:tbl>
    <w:p w14:paraId="58BA0E93">
      <w:pPr>
        <w:pStyle w:val="2"/>
      </w:pPr>
    </w:p>
    <w:p w14:paraId="38532C67">
      <w:pPr>
        <w:sectPr>
          <w:footerReference r:id="rId161" w:type="default"/>
          <w:pgSz w:w="16839" w:h="11906"/>
          <w:pgMar w:top="1012" w:right="821" w:bottom="667" w:left="901" w:header="0" w:footer="388" w:gutter="0"/>
          <w:cols w:space="720" w:num="1"/>
        </w:sectPr>
      </w:pPr>
    </w:p>
    <w:p w14:paraId="1ABB692E">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4D18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672B9B7">
            <w:pPr>
              <w:spacing w:before="222" w:line="241" w:lineRule="auto"/>
              <w:ind w:left="131"/>
              <w:rPr>
                <w:rFonts w:ascii="黑体" w:hAnsi="黑体" w:eastAsia="黑体" w:cs="黑体"/>
                <w:sz w:val="28"/>
                <w:szCs w:val="28"/>
              </w:rPr>
            </w:pPr>
            <w:bookmarkStart w:id="593" w:name="bookmark294"/>
            <w:bookmarkEnd w:id="593"/>
            <w:r>
              <w:rPr>
                <w:rFonts w:ascii="黑体" w:hAnsi="黑体" w:eastAsia="黑体" w:cs="黑体"/>
                <w:spacing w:val="-2"/>
                <w:sz w:val="28"/>
                <w:szCs w:val="28"/>
              </w:rPr>
              <w:t>序号</w:t>
            </w:r>
          </w:p>
        </w:tc>
        <w:tc>
          <w:tcPr>
            <w:tcW w:w="1440" w:type="dxa"/>
            <w:vAlign w:val="top"/>
          </w:tcPr>
          <w:p w14:paraId="40822685">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9760911">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403CB4C7">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7D34223">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2B0A42E">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AD9580E">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50A6D5B">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6C81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818" w:type="dxa"/>
            <w:vMerge w:val="restart"/>
            <w:tcBorders>
              <w:bottom w:val="nil"/>
            </w:tcBorders>
            <w:vAlign w:val="top"/>
          </w:tcPr>
          <w:p w14:paraId="553663D2">
            <w:pPr>
              <w:rPr>
                <w:rFonts w:ascii="Arial"/>
                <w:sz w:val="21"/>
              </w:rPr>
            </w:pPr>
          </w:p>
        </w:tc>
        <w:tc>
          <w:tcPr>
            <w:tcW w:w="1440" w:type="dxa"/>
            <w:vMerge w:val="restart"/>
            <w:tcBorders>
              <w:bottom w:val="nil"/>
            </w:tcBorders>
            <w:vAlign w:val="top"/>
          </w:tcPr>
          <w:p w14:paraId="32AD4D77">
            <w:pPr>
              <w:pStyle w:val="6"/>
              <w:spacing w:before="26" w:line="190" w:lineRule="auto"/>
              <w:ind w:left="115" w:right="111"/>
              <w:jc w:val="both"/>
            </w:pPr>
            <w:r>
              <w:rPr>
                <w:spacing w:val="11"/>
              </w:rPr>
              <w:t>未通过监督</w:t>
            </w:r>
            <w:r>
              <w:rPr>
                <w:spacing w:val="4"/>
              </w:rPr>
              <w:t>检查，仍从</w:t>
            </w:r>
            <w:r>
              <w:rPr>
                <w:spacing w:val="11"/>
              </w:rPr>
              <w:t>事鉴定工作</w:t>
            </w:r>
            <w:r>
              <w:t>的</w:t>
            </w:r>
          </w:p>
        </w:tc>
        <w:tc>
          <w:tcPr>
            <w:tcW w:w="3202" w:type="dxa"/>
            <w:vMerge w:val="restart"/>
            <w:tcBorders>
              <w:bottom w:val="nil"/>
            </w:tcBorders>
            <w:vAlign w:val="top"/>
          </w:tcPr>
          <w:p w14:paraId="12FCE894">
            <w:pPr>
              <w:pStyle w:val="6"/>
              <w:spacing w:before="30" w:line="182" w:lineRule="auto"/>
              <w:ind w:left="117" w:right="111" w:firstLine="5"/>
              <w:jc w:val="both"/>
            </w:pPr>
            <w:r>
              <w:rPr>
                <w:spacing w:val="16"/>
              </w:rPr>
              <w:t>上地方各级人民政府安全生</w:t>
            </w:r>
            <w:r>
              <w:rPr>
                <w:spacing w:val="17"/>
              </w:rPr>
              <w:t>产监督管理部门负责监督和检查本行政区域内化学品物</w:t>
            </w:r>
          </w:p>
          <w:p w14:paraId="7625A49B">
            <w:pPr>
              <w:pStyle w:val="6"/>
              <w:spacing w:line="208" w:lineRule="auto"/>
              <w:ind w:left="116"/>
              <w:outlineLvl w:val="0"/>
            </w:pPr>
            <w:r>
              <w:rPr>
                <w:spacing w:val="5"/>
              </w:rPr>
              <w:t>理危险性鉴定与分类工作。</w:t>
            </w:r>
          </w:p>
        </w:tc>
        <w:tc>
          <w:tcPr>
            <w:tcW w:w="2859" w:type="dxa"/>
            <w:vMerge w:val="restart"/>
            <w:tcBorders>
              <w:bottom w:val="nil"/>
            </w:tcBorders>
            <w:vAlign w:val="top"/>
          </w:tcPr>
          <w:p w14:paraId="7B7D1A88">
            <w:pPr>
              <w:pStyle w:val="6"/>
              <w:spacing w:before="28" w:line="182" w:lineRule="auto"/>
              <w:ind w:left="123"/>
              <w:outlineLvl w:val="0"/>
            </w:pPr>
            <w:r>
              <w:rPr>
                <w:spacing w:val="8"/>
              </w:rPr>
              <w:t>鉴定机构在物理危险性鉴</w:t>
            </w:r>
          </w:p>
          <w:p w14:paraId="1A1BF6BA">
            <w:pPr>
              <w:pStyle w:val="6"/>
              <w:spacing w:before="6" w:line="181" w:lineRule="auto"/>
              <w:ind w:left="117" w:right="38"/>
              <w:jc w:val="both"/>
            </w:pPr>
            <w:r>
              <w:rPr>
                <w:spacing w:val="6"/>
              </w:rPr>
              <w:t>定过程中有下列行为之一</w:t>
            </w:r>
            <w:r>
              <w:rPr>
                <w:spacing w:val="-1"/>
              </w:rPr>
              <w:t>的，处</w:t>
            </w:r>
            <w:r>
              <w:rPr>
                <w:rFonts w:ascii="宋体" w:hAnsi="宋体" w:eastAsia="宋体" w:cs="宋体"/>
                <w:spacing w:val="-1"/>
              </w:rPr>
              <w:t>1</w:t>
            </w:r>
            <w:r>
              <w:rPr>
                <w:spacing w:val="-1"/>
              </w:rPr>
              <w:t>万元以上</w:t>
            </w:r>
            <w:r>
              <w:rPr>
                <w:rFonts w:ascii="宋体" w:hAnsi="宋体" w:eastAsia="宋体" w:cs="宋体"/>
                <w:spacing w:val="-1"/>
              </w:rPr>
              <w:t>3</w:t>
            </w:r>
            <w:r>
              <w:rPr>
                <w:spacing w:val="-1"/>
              </w:rPr>
              <w:t>万元</w:t>
            </w:r>
            <w:r>
              <w:rPr>
                <w:spacing w:val="-6"/>
              </w:rPr>
              <w:t>以下的罚款；情节严重的，</w:t>
            </w:r>
            <w:r>
              <w:rPr>
                <w:spacing w:val="8"/>
              </w:rPr>
              <w:t>由国家安全生产监督管理总局从鉴定机构名单中除</w:t>
            </w:r>
            <w:bookmarkStart w:id="594" w:name="bookmark296"/>
            <w:bookmarkEnd w:id="594"/>
            <w:r>
              <w:rPr>
                <w:spacing w:val="9"/>
              </w:rPr>
              <w:t>名并公告</w:t>
            </w:r>
            <w:r>
              <w:rPr>
                <w:spacing w:val="6"/>
              </w:rPr>
              <w:t>：（</w:t>
            </w:r>
            <w:r>
              <w:rPr>
                <w:spacing w:val="9"/>
              </w:rPr>
              <w:t>二）未通过</w:t>
            </w:r>
            <w:r>
              <w:rPr>
                <w:spacing w:val="8"/>
              </w:rPr>
              <w:t>安全生产监督管理部门的监督检查，仍从事鉴定工</w:t>
            </w:r>
            <w:r>
              <w:rPr>
                <w:spacing w:val="-7"/>
              </w:rPr>
              <w:t>作的；</w:t>
            </w:r>
          </w:p>
        </w:tc>
        <w:tc>
          <w:tcPr>
            <w:tcW w:w="803" w:type="dxa"/>
            <w:vAlign w:val="top"/>
          </w:tcPr>
          <w:p w14:paraId="3B937C5F">
            <w:pPr>
              <w:rPr>
                <w:rFonts w:ascii="Arial"/>
                <w:sz w:val="21"/>
              </w:rPr>
            </w:pPr>
          </w:p>
        </w:tc>
        <w:tc>
          <w:tcPr>
            <w:tcW w:w="2283" w:type="dxa"/>
            <w:vAlign w:val="top"/>
          </w:tcPr>
          <w:p w14:paraId="5A13E7BB">
            <w:pPr>
              <w:pStyle w:val="6"/>
              <w:spacing w:before="28" w:line="162" w:lineRule="auto"/>
              <w:ind w:left="118"/>
            </w:pPr>
            <w:r>
              <w:rPr>
                <w:spacing w:val="-7"/>
              </w:rPr>
              <w:t>作</w:t>
            </w:r>
            <w:r>
              <w:rPr>
                <w:rFonts w:ascii="宋体" w:hAnsi="宋体" w:eastAsia="宋体" w:cs="宋体"/>
                <w:spacing w:val="-7"/>
              </w:rPr>
              <w:t>10</w:t>
            </w:r>
            <w:r>
              <w:rPr>
                <w:spacing w:val="-7"/>
              </w:rPr>
              <w:t>日以内的</w:t>
            </w:r>
          </w:p>
        </w:tc>
        <w:tc>
          <w:tcPr>
            <w:tcW w:w="2894" w:type="dxa"/>
            <w:vAlign w:val="top"/>
          </w:tcPr>
          <w:p w14:paraId="11BF4A0D">
            <w:pPr>
              <w:rPr>
                <w:rFonts w:ascii="Arial"/>
                <w:sz w:val="21"/>
              </w:rPr>
            </w:pPr>
          </w:p>
        </w:tc>
        <w:tc>
          <w:tcPr>
            <w:tcW w:w="811" w:type="dxa"/>
            <w:vMerge w:val="restart"/>
            <w:tcBorders>
              <w:bottom w:val="nil"/>
            </w:tcBorders>
            <w:vAlign w:val="top"/>
          </w:tcPr>
          <w:p w14:paraId="55E9A559">
            <w:pPr>
              <w:rPr>
                <w:rFonts w:ascii="Arial"/>
                <w:sz w:val="21"/>
              </w:rPr>
            </w:pPr>
          </w:p>
        </w:tc>
      </w:tr>
      <w:tr w14:paraId="72CEA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continue"/>
            <w:tcBorders>
              <w:top w:val="nil"/>
              <w:bottom w:val="nil"/>
            </w:tcBorders>
            <w:vAlign w:val="top"/>
          </w:tcPr>
          <w:p w14:paraId="5CFE7553">
            <w:pPr>
              <w:rPr>
                <w:rFonts w:ascii="Arial"/>
                <w:sz w:val="21"/>
              </w:rPr>
            </w:pPr>
          </w:p>
        </w:tc>
        <w:tc>
          <w:tcPr>
            <w:tcW w:w="1440" w:type="dxa"/>
            <w:vMerge w:val="continue"/>
            <w:tcBorders>
              <w:top w:val="nil"/>
              <w:bottom w:val="nil"/>
            </w:tcBorders>
            <w:vAlign w:val="top"/>
          </w:tcPr>
          <w:p w14:paraId="642FDCE1">
            <w:pPr>
              <w:rPr>
                <w:rFonts w:ascii="Arial"/>
                <w:sz w:val="21"/>
              </w:rPr>
            </w:pPr>
          </w:p>
        </w:tc>
        <w:tc>
          <w:tcPr>
            <w:tcW w:w="3202" w:type="dxa"/>
            <w:vMerge w:val="continue"/>
            <w:tcBorders>
              <w:top w:val="nil"/>
              <w:bottom w:val="nil"/>
            </w:tcBorders>
            <w:vAlign w:val="top"/>
          </w:tcPr>
          <w:p w14:paraId="5363C573">
            <w:pPr>
              <w:rPr>
                <w:rFonts w:ascii="Arial"/>
                <w:sz w:val="21"/>
              </w:rPr>
            </w:pPr>
          </w:p>
        </w:tc>
        <w:tc>
          <w:tcPr>
            <w:tcW w:w="2859" w:type="dxa"/>
            <w:vMerge w:val="continue"/>
            <w:tcBorders>
              <w:top w:val="nil"/>
              <w:bottom w:val="nil"/>
            </w:tcBorders>
            <w:vAlign w:val="top"/>
          </w:tcPr>
          <w:p w14:paraId="534FC738">
            <w:pPr>
              <w:rPr>
                <w:rFonts w:ascii="Arial"/>
                <w:sz w:val="21"/>
              </w:rPr>
            </w:pPr>
          </w:p>
        </w:tc>
        <w:tc>
          <w:tcPr>
            <w:tcW w:w="803" w:type="dxa"/>
            <w:vAlign w:val="top"/>
          </w:tcPr>
          <w:p w14:paraId="2AFC2E7F">
            <w:pPr>
              <w:spacing w:line="298" w:lineRule="auto"/>
              <w:rPr>
                <w:rFonts w:ascii="Arial"/>
                <w:sz w:val="21"/>
              </w:rPr>
            </w:pPr>
          </w:p>
          <w:p w14:paraId="68CBDF62">
            <w:pPr>
              <w:spacing w:line="298" w:lineRule="auto"/>
              <w:rPr>
                <w:rFonts w:ascii="Arial"/>
                <w:sz w:val="21"/>
              </w:rPr>
            </w:pPr>
          </w:p>
          <w:p w14:paraId="696D8BD8">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C05A057">
            <w:pPr>
              <w:pStyle w:val="6"/>
              <w:spacing w:before="30" w:line="178" w:lineRule="auto"/>
              <w:ind w:left="117" w:right="105"/>
              <w:jc w:val="both"/>
            </w:pPr>
            <w:r>
              <w:rPr>
                <w:spacing w:val="26"/>
              </w:rPr>
              <w:t>未通过安全生产监督管理部门的监督</w:t>
            </w:r>
            <w:r>
              <w:rPr>
                <w:spacing w:val="-3"/>
              </w:rPr>
              <w:t>检查，仍从事鉴定工</w:t>
            </w:r>
            <w:r>
              <w:rPr>
                <w:spacing w:val="-11"/>
              </w:rPr>
              <w:t>作</w:t>
            </w:r>
            <w:r>
              <w:rPr>
                <w:rFonts w:ascii="宋体" w:hAnsi="宋体" w:eastAsia="宋体" w:cs="宋体"/>
                <w:spacing w:val="-11"/>
              </w:rPr>
              <w:t>10</w:t>
            </w:r>
            <w:r>
              <w:rPr>
                <w:spacing w:val="-11"/>
              </w:rPr>
              <w:t>日以上</w:t>
            </w:r>
            <w:r>
              <w:rPr>
                <w:rFonts w:ascii="宋体" w:hAnsi="宋体" w:eastAsia="宋体" w:cs="宋体"/>
                <w:spacing w:val="-11"/>
              </w:rPr>
              <w:t>20</w:t>
            </w:r>
            <w:r>
              <w:rPr>
                <w:spacing w:val="-11"/>
              </w:rPr>
              <w:t>日以</w:t>
            </w:r>
            <w:r>
              <w:rPr>
                <w:spacing w:val="2"/>
              </w:rPr>
              <w:t>内的</w:t>
            </w:r>
          </w:p>
        </w:tc>
        <w:tc>
          <w:tcPr>
            <w:tcW w:w="2894" w:type="dxa"/>
            <w:vAlign w:val="top"/>
          </w:tcPr>
          <w:p w14:paraId="245B422E">
            <w:pPr>
              <w:spacing w:line="377" w:lineRule="auto"/>
              <w:rPr>
                <w:rFonts w:ascii="Arial"/>
                <w:sz w:val="21"/>
              </w:rPr>
            </w:pPr>
          </w:p>
          <w:p w14:paraId="4DBA5FEB">
            <w:pPr>
              <w:pStyle w:val="6"/>
              <w:spacing w:before="99" w:line="196" w:lineRule="auto"/>
              <w:ind w:left="124" w:right="103" w:hanging="5"/>
            </w:pPr>
            <w:r>
              <w:rPr>
                <w:spacing w:val="2"/>
              </w:rPr>
              <w:t>处</w:t>
            </w:r>
            <w:r>
              <w:rPr>
                <w:rFonts w:ascii="宋体" w:hAnsi="宋体" w:eastAsia="宋体" w:cs="宋体"/>
                <w:spacing w:val="2"/>
              </w:rPr>
              <w:t>1.5</w:t>
            </w:r>
            <w:r>
              <w:rPr>
                <w:spacing w:val="2"/>
              </w:rPr>
              <w:t>万元以上</w:t>
            </w:r>
            <w:r>
              <w:rPr>
                <w:rFonts w:ascii="宋体" w:hAnsi="宋体" w:eastAsia="宋体" w:cs="宋体"/>
                <w:spacing w:val="2"/>
              </w:rPr>
              <w:t>2</w:t>
            </w:r>
            <w:r>
              <w:rPr>
                <w:spacing w:val="2"/>
              </w:rPr>
              <w:t>万元以</w:t>
            </w:r>
            <w:r>
              <w:rPr>
                <w:spacing w:val="4"/>
              </w:rPr>
              <w:t>下的罚款</w:t>
            </w:r>
          </w:p>
        </w:tc>
        <w:tc>
          <w:tcPr>
            <w:tcW w:w="811" w:type="dxa"/>
            <w:vMerge w:val="continue"/>
            <w:tcBorders>
              <w:top w:val="nil"/>
              <w:bottom w:val="nil"/>
            </w:tcBorders>
            <w:vAlign w:val="top"/>
          </w:tcPr>
          <w:p w14:paraId="3B3B12A3">
            <w:pPr>
              <w:rPr>
                <w:rFonts w:ascii="Arial"/>
                <w:sz w:val="21"/>
              </w:rPr>
            </w:pPr>
          </w:p>
        </w:tc>
      </w:tr>
      <w:tr w14:paraId="4ABCD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continue"/>
            <w:tcBorders>
              <w:top w:val="nil"/>
            </w:tcBorders>
            <w:vAlign w:val="top"/>
          </w:tcPr>
          <w:p w14:paraId="582DC165">
            <w:pPr>
              <w:rPr>
                <w:rFonts w:ascii="Arial"/>
                <w:sz w:val="21"/>
              </w:rPr>
            </w:pPr>
          </w:p>
        </w:tc>
        <w:tc>
          <w:tcPr>
            <w:tcW w:w="1440" w:type="dxa"/>
            <w:vMerge w:val="continue"/>
            <w:tcBorders>
              <w:top w:val="nil"/>
            </w:tcBorders>
            <w:vAlign w:val="top"/>
          </w:tcPr>
          <w:p w14:paraId="742D50CF">
            <w:pPr>
              <w:rPr>
                <w:rFonts w:ascii="Arial"/>
                <w:sz w:val="21"/>
              </w:rPr>
            </w:pPr>
          </w:p>
        </w:tc>
        <w:tc>
          <w:tcPr>
            <w:tcW w:w="3202" w:type="dxa"/>
            <w:vMerge w:val="continue"/>
            <w:tcBorders>
              <w:top w:val="nil"/>
            </w:tcBorders>
            <w:vAlign w:val="top"/>
          </w:tcPr>
          <w:p w14:paraId="02348A7A">
            <w:pPr>
              <w:rPr>
                <w:rFonts w:ascii="Arial"/>
                <w:sz w:val="21"/>
              </w:rPr>
            </w:pPr>
          </w:p>
        </w:tc>
        <w:tc>
          <w:tcPr>
            <w:tcW w:w="2859" w:type="dxa"/>
            <w:vMerge w:val="continue"/>
            <w:tcBorders>
              <w:top w:val="nil"/>
            </w:tcBorders>
            <w:vAlign w:val="top"/>
          </w:tcPr>
          <w:p w14:paraId="3A40D6D7">
            <w:pPr>
              <w:rPr>
                <w:rFonts w:ascii="Arial"/>
                <w:sz w:val="21"/>
              </w:rPr>
            </w:pPr>
          </w:p>
        </w:tc>
        <w:tc>
          <w:tcPr>
            <w:tcW w:w="803" w:type="dxa"/>
            <w:vAlign w:val="top"/>
          </w:tcPr>
          <w:p w14:paraId="2183468B">
            <w:pPr>
              <w:spacing w:line="448" w:lineRule="auto"/>
              <w:rPr>
                <w:rFonts w:ascii="Arial"/>
                <w:sz w:val="21"/>
              </w:rPr>
            </w:pPr>
          </w:p>
          <w:p w14:paraId="512FB441">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5C66826">
            <w:pPr>
              <w:pStyle w:val="6"/>
              <w:spacing w:before="29" w:line="177" w:lineRule="auto"/>
              <w:ind w:left="117" w:right="109"/>
              <w:jc w:val="both"/>
            </w:pPr>
            <w:r>
              <w:rPr>
                <w:spacing w:val="26"/>
              </w:rPr>
              <w:t>未通过安全生产监督管理部门的监督</w:t>
            </w:r>
            <w:r>
              <w:rPr>
                <w:spacing w:val="-3"/>
              </w:rPr>
              <w:t>检查，仍从事鉴定工</w:t>
            </w:r>
            <w:r>
              <w:rPr>
                <w:spacing w:val="-4"/>
              </w:rPr>
              <w:t>作</w:t>
            </w:r>
            <w:r>
              <w:rPr>
                <w:rFonts w:ascii="宋体" w:hAnsi="宋体" w:eastAsia="宋体" w:cs="宋体"/>
                <w:spacing w:val="-4"/>
              </w:rPr>
              <w:t>20</w:t>
            </w:r>
            <w:r>
              <w:rPr>
                <w:spacing w:val="-4"/>
              </w:rPr>
              <w:t>日以上的</w:t>
            </w:r>
          </w:p>
        </w:tc>
        <w:tc>
          <w:tcPr>
            <w:tcW w:w="2894" w:type="dxa"/>
            <w:vAlign w:val="top"/>
          </w:tcPr>
          <w:p w14:paraId="553D2DB6">
            <w:pPr>
              <w:pStyle w:val="6"/>
              <w:spacing w:before="330" w:line="196" w:lineRule="auto"/>
              <w:ind w:left="141" w:right="106" w:hanging="22"/>
            </w:pPr>
            <w:r>
              <w:rPr>
                <w:spacing w:val="3"/>
              </w:rPr>
              <w:t>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万元以下</w:t>
            </w:r>
            <w:r>
              <w:rPr>
                <w:spacing w:val="-2"/>
              </w:rPr>
              <w:t>的罚款</w:t>
            </w:r>
          </w:p>
        </w:tc>
        <w:tc>
          <w:tcPr>
            <w:tcW w:w="811" w:type="dxa"/>
            <w:vMerge w:val="continue"/>
            <w:tcBorders>
              <w:top w:val="nil"/>
            </w:tcBorders>
            <w:vAlign w:val="top"/>
          </w:tcPr>
          <w:p w14:paraId="34DDB68E">
            <w:pPr>
              <w:rPr>
                <w:rFonts w:ascii="Arial"/>
                <w:sz w:val="21"/>
              </w:rPr>
            </w:pPr>
          </w:p>
        </w:tc>
      </w:tr>
      <w:tr w14:paraId="52B1C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818" w:type="dxa"/>
            <w:vMerge w:val="restart"/>
            <w:tcBorders>
              <w:bottom w:val="nil"/>
            </w:tcBorders>
            <w:vAlign w:val="top"/>
          </w:tcPr>
          <w:p w14:paraId="0591AA9D">
            <w:pPr>
              <w:spacing w:line="248" w:lineRule="auto"/>
              <w:rPr>
                <w:rFonts w:ascii="Arial"/>
                <w:sz w:val="21"/>
              </w:rPr>
            </w:pPr>
          </w:p>
          <w:p w14:paraId="06DC5E85">
            <w:pPr>
              <w:spacing w:line="249" w:lineRule="auto"/>
              <w:rPr>
                <w:rFonts w:ascii="Arial"/>
                <w:sz w:val="21"/>
              </w:rPr>
            </w:pPr>
          </w:p>
          <w:p w14:paraId="017A3498">
            <w:pPr>
              <w:spacing w:line="249" w:lineRule="auto"/>
              <w:rPr>
                <w:rFonts w:ascii="Arial"/>
                <w:sz w:val="21"/>
              </w:rPr>
            </w:pPr>
          </w:p>
          <w:p w14:paraId="2BCB86A8">
            <w:pPr>
              <w:spacing w:line="249" w:lineRule="auto"/>
              <w:rPr>
                <w:rFonts w:ascii="Arial"/>
                <w:sz w:val="21"/>
              </w:rPr>
            </w:pPr>
          </w:p>
          <w:p w14:paraId="0E3EC731">
            <w:pPr>
              <w:spacing w:line="249" w:lineRule="auto"/>
              <w:rPr>
                <w:rFonts w:ascii="Arial"/>
                <w:sz w:val="21"/>
              </w:rPr>
            </w:pPr>
          </w:p>
          <w:p w14:paraId="41AFE890">
            <w:pPr>
              <w:spacing w:line="249" w:lineRule="auto"/>
              <w:rPr>
                <w:rFonts w:ascii="Arial"/>
                <w:sz w:val="21"/>
              </w:rPr>
            </w:pPr>
          </w:p>
          <w:p w14:paraId="3E718817">
            <w:pPr>
              <w:spacing w:before="75" w:line="186" w:lineRule="auto"/>
              <w:ind w:left="161"/>
              <w:rPr>
                <w:rFonts w:ascii="仿宋" w:hAnsi="仿宋" w:eastAsia="仿宋" w:cs="仿宋"/>
                <w:sz w:val="23"/>
                <w:szCs w:val="23"/>
              </w:rPr>
            </w:pPr>
            <w:r>
              <w:rPr>
                <w:rFonts w:ascii="仿宋" w:hAnsi="仿宋" w:eastAsia="仿宋" w:cs="仿宋"/>
                <w:spacing w:val="-5"/>
                <w:sz w:val="23"/>
                <w:szCs w:val="23"/>
              </w:rPr>
              <w:t>143</w:t>
            </w:r>
          </w:p>
        </w:tc>
        <w:tc>
          <w:tcPr>
            <w:tcW w:w="1440" w:type="dxa"/>
            <w:vMerge w:val="restart"/>
            <w:tcBorders>
              <w:bottom w:val="nil"/>
            </w:tcBorders>
            <w:vAlign w:val="top"/>
          </w:tcPr>
          <w:p w14:paraId="30CB1002">
            <w:pPr>
              <w:spacing w:line="339" w:lineRule="auto"/>
              <w:rPr>
                <w:rFonts w:ascii="Arial"/>
                <w:sz w:val="21"/>
              </w:rPr>
            </w:pPr>
          </w:p>
          <w:p w14:paraId="76D61D03">
            <w:pPr>
              <w:spacing w:line="339" w:lineRule="auto"/>
              <w:rPr>
                <w:rFonts w:ascii="Arial"/>
                <w:sz w:val="21"/>
              </w:rPr>
            </w:pPr>
          </w:p>
          <w:p w14:paraId="4CE3EB9D">
            <w:pPr>
              <w:pStyle w:val="6"/>
              <w:spacing w:before="98" w:line="187" w:lineRule="auto"/>
              <w:ind w:left="120" w:right="111"/>
              <w:jc w:val="both"/>
            </w:pPr>
            <w:r>
              <w:rPr>
                <w:spacing w:val="10"/>
              </w:rPr>
              <w:t>鉴定机构在物理危险性鉴定过程中泄露化学品单位商业秘</w:t>
            </w:r>
            <w:r>
              <w:t>密的</w:t>
            </w:r>
          </w:p>
        </w:tc>
        <w:tc>
          <w:tcPr>
            <w:tcW w:w="3202" w:type="dxa"/>
            <w:vMerge w:val="restart"/>
            <w:tcBorders>
              <w:bottom w:val="nil"/>
            </w:tcBorders>
            <w:vAlign w:val="top"/>
          </w:tcPr>
          <w:p w14:paraId="127FC861">
            <w:pPr>
              <w:pStyle w:val="6"/>
              <w:spacing w:before="36" w:line="185" w:lineRule="auto"/>
              <w:ind w:left="117" w:right="110" w:hanging="19"/>
            </w:pPr>
            <w:r>
              <w:rPr>
                <w:spacing w:val="18"/>
              </w:rPr>
              <w:t>【部门规章】《化学品物理</w:t>
            </w:r>
            <w:r>
              <w:rPr>
                <w:spacing w:val="39"/>
              </w:rPr>
              <w:t>危险性鉴定与分类管理办</w:t>
            </w:r>
            <w:r>
              <w:rPr>
                <w:spacing w:val="13"/>
              </w:rPr>
              <w:t>法》第七条：鉴定机构应当</w:t>
            </w:r>
            <w:r>
              <w:rPr>
                <w:spacing w:val="17"/>
              </w:rPr>
              <w:t>依照有关法律法规和国家标</w:t>
            </w:r>
            <w:r>
              <w:rPr>
                <w:spacing w:val="13"/>
              </w:rPr>
              <w:t>准或者行业标准的规定，科</w:t>
            </w:r>
            <w:r>
              <w:rPr>
                <w:spacing w:val="17"/>
              </w:rPr>
              <w:t>学、公正、诚信地开展鉴定</w:t>
            </w:r>
            <w:r>
              <w:rPr>
                <w:spacing w:val="11"/>
              </w:rPr>
              <w:t>工作，保证鉴定结果真实、</w:t>
            </w:r>
            <w:r>
              <w:rPr>
                <w:spacing w:val="13"/>
              </w:rPr>
              <w:t>准确、客观，并对鉴定结果</w:t>
            </w:r>
            <w:r>
              <w:rPr>
                <w:spacing w:val="-4"/>
              </w:rPr>
              <w:t>负责。</w:t>
            </w:r>
          </w:p>
        </w:tc>
        <w:tc>
          <w:tcPr>
            <w:tcW w:w="2859" w:type="dxa"/>
            <w:vMerge w:val="restart"/>
            <w:tcBorders>
              <w:bottom w:val="nil"/>
            </w:tcBorders>
            <w:vAlign w:val="top"/>
          </w:tcPr>
          <w:p w14:paraId="4535B0FB">
            <w:pPr>
              <w:pStyle w:val="6"/>
              <w:spacing w:before="38" w:line="180" w:lineRule="auto"/>
              <w:ind w:left="115" w:right="38" w:hanging="18"/>
            </w:pPr>
            <w:r>
              <w:rPr>
                <w:spacing w:val="10"/>
              </w:rPr>
              <w:t>【部门规章】《化学品物</w:t>
            </w:r>
            <w:r>
              <w:rPr>
                <w:spacing w:val="8"/>
              </w:rPr>
              <w:t>理危险性鉴定与分类管理</w:t>
            </w:r>
            <w:r>
              <w:rPr>
                <w:spacing w:val="7"/>
              </w:rPr>
              <w:t>办法》第二十条第三项：</w:t>
            </w:r>
            <w:r>
              <w:rPr>
                <w:spacing w:val="8"/>
              </w:rPr>
              <w:t>鉴定机构在物理危险性鉴</w:t>
            </w:r>
            <w:r>
              <w:rPr>
                <w:spacing w:val="6"/>
              </w:rPr>
              <w:t>定过程中有下列行为之一</w:t>
            </w:r>
            <w:r>
              <w:t>的，处</w:t>
            </w:r>
            <w:r>
              <w:rPr>
                <w:rFonts w:ascii="宋体" w:hAnsi="宋体" w:eastAsia="宋体" w:cs="宋体"/>
              </w:rPr>
              <w:t>1</w:t>
            </w:r>
            <w:r>
              <w:t>万元以上</w:t>
            </w:r>
            <w:r>
              <w:rPr>
                <w:rFonts w:ascii="宋体" w:hAnsi="宋体" w:eastAsia="宋体" w:cs="宋体"/>
              </w:rPr>
              <w:t>3</w:t>
            </w:r>
            <w:r>
              <w:t>万元</w:t>
            </w:r>
            <w:r>
              <w:rPr>
                <w:spacing w:val="-6"/>
              </w:rPr>
              <w:t>以下的罚款；情节严重的，</w:t>
            </w:r>
            <w:r>
              <w:rPr>
                <w:spacing w:val="8"/>
              </w:rPr>
              <w:t>由国家安全生产监督管理总局从鉴定机构名单中除</w:t>
            </w:r>
            <w:r>
              <w:rPr>
                <w:spacing w:val="9"/>
              </w:rPr>
              <w:t>名并公告</w:t>
            </w:r>
            <w:r>
              <w:rPr>
                <w:spacing w:val="7"/>
              </w:rPr>
              <w:t>：（</w:t>
            </w:r>
            <w:r>
              <w:rPr>
                <w:spacing w:val="9"/>
              </w:rPr>
              <w:t>三）泄露化</w:t>
            </w:r>
            <w:r>
              <w:rPr>
                <w:spacing w:val="4"/>
              </w:rPr>
              <w:t>学品单位商业秘密的。</w:t>
            </w:r>
          </w:p>
        </w:tc>
        <w:tc>
          <w:tcPr>
            <w:tcW w:w="803" w:type="dxa"/>
            <w:vAlign w:val="top"/>
          </w:tcPr>
          <w:p w14:paraId="1DC3012A">
            <w:pPr>
              <w:spacing w:line="348" w:lineRule="auto"/>
              <w:rPr>
                <w:rFonts w:ascii="Arial"/>
                <w:sz w:val="21"/>
              </w:rPr>
            </w:pPr>
          </w:p>
          <w:p w14:paraId="6158C261">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73B79E3">
            <w:pPr>
              <w:pStyle w:val="6"/>
              <w:spacing w:before="232" w:line="196" w:lineRule="auto"/>
              <w:ind w:left="127" w:right="109" w:hanging="1"/>
            </w:pPr>
            <w:r>
              <w:rPr>
                <w:spacing w:val="25"/>
              </w:rPr>
              <w:t>泄露化学品单位商</w:t>
            </w:r>
            <w:r>
              <w:rPr>
                <w:spacing w:val="-4"/>
              </w:rPr>
              <w:t>业秘密</w:t>
            </w:r>
            <w:r>
              <w:rPr>
                <w:rFonts w:ascii="宋体" w:hAnsi="宋体" w:eastAsia="宋体" w:cs="宋体"/>
                <w:spacing w:val="-4"/>
              </w:rPr>
              <w:t>1</w:t>
            </w:r>
            <w:r>
              <w:rPr>
                <w:spacing w:val="-4"/>
              </w:rPr>
              <w:t>次的</w:t>
            </w:r>
          </w:p>
        </w:tc>
        <w:tc>
          <w:tcPr>
            <w:tcW w:w="2894" w:type="dxa"/>
            <w:vAlign w:val="top"/>
          </w:tcPr>
          <w:p w14:paraId="4B1A7E34">
            <w:pPr>
              <w:pStyle w:val="6"/>
              <w:spacing w:before="232" w:line="196" w:lineRule="auto"/>
              <w:ind w:left="124" w:right="103" w:hanging="5"/>
            </w:pPr>
            <w:r>
              <w:t>处</w:t>
            </w:r>
            <w:r>
              <w:rPr>
                <w:rFonts w:ascii="宋体" w:hAnsi="宋体" w:eastAsia="宋体" w:cs="宋体"/>
              </w:rPr>
              <w:t>1</w:t>
            </w:r>
            <w:r>
              <w:t>万元以上</w:t>
            </w:r>
            <w:r>
              <w:rPr>
                <w:rFonts w:ascii="宋体" w:hAnsi="宋体" w:eastAsia="宋体" w:cs="宋体"/>
              </w:rPr>
              <w:t>1.5</w:t>
            </w:r>
            <w:r>
              <w:t>万元以</w:t>
            </w:r>
            <w:r>
              <w:rPr>
                <w:spacing w:val="4"/>
              </w:rPr>
              <w:t>下的罚款</w:t>
            </w:r>
          </w:p>
        </w:tc>
        <w:tc>
          <w:tcPr>
            <w:tcW w:w="811" w:type="dxa"/>
            <w:vMerge w:val="restart"/>
            <w:tcBorders>
              <w:bottom w:val="nil"/>
            </w:tcBorders>
            <w:vAlign w:val="top"/>
          </w:tcPr>
          <w:p w14:paraId="4D909E47">
            <w:pPr>
              <w:spacing w:line="248" w:lineRule="auto"/>
              <w:rPr>
                <w:rFonts w:ascii="Arial"/>
                <w:sz w:val="21"/>
              </w:rPr>
            </w:pPr>
          </w:p>
          <w:p w14:paraId="761F7011">
            <w:pPr>
              <w:spacing w:line="248" w:lineRule="auto"/>
              <w:rPr>
                <w:rFonts w:ascii="Arial"/>
                <w:sz w:val="21"/>
              </w:rPr>
            </w:pPr>
          </w:p>
          <w:p w14:paraId="387C9E4D">
            <w:pPr>
              <w:spacing w:line="248" w:lineRule="auto"/>
              <w:rPr>
                <w:rFonts w:ascii="Arial"/>
                <w:sz w:val="21"/>
              </w:rPr>
            </w:pPr>
          </w:p>
          <w:p w14:paraId="5EB3AB4E">
            <w:pPr>
              <w:spacing w:line="248" w:lineRule="auto"/>
              <w:rPr>
                <w:rFonts w:ascii="Arial"/>
                <w:sz w:val="21"/>
              </w:rPr>
            </w:pPr>
          </w:p>
          <w:p w14:paraId="746B69D1">
            <w:pPr>
              <w:spacing w:line="249" w:lineRule="auto"/>
              <w:rPr>
                <w:rFonts w:ascii="Arial"/>
                <w:sz w:val="21"/>
              </w:rPr>
            </w:pPr>
          </w:p>
          <w:p w14:paraId="605E8F17">
            <w:pPr>
              <w:spacing w:line="249" w:lineRule="auto"/>
              <w:rPr>
                <w:rFonts w:ascii="Arial"/>
                <w:sz w:val="21"/>
              </w:rPr>
            </w:pPr>
          </w:p>
          <w:p w14:paraId="64935CED">
            <w:pPr>
              <w:spacing w:before="75" w:line="188" w:lineRule="auto"/>
              <w:ind w:left="292"/>
              <w:rPr>
                <w:rFonts w:ascii="宋体" w:hAnsi="宋体" w:eastAsia="宋体" w:cs="宋体"/>
                <w:sz w:val="23"/>
                <w:szCs w:val="23"/>
              </w:rPr>
            </w:pPr>
            <w:r>
              <w:rPr>
                <w:rFonts w:ascii="宋体" w:hAnsi="宋体" w:eastAsia="宋体" w:cs="宋体"/>
                <w:spacing w:val="-2"/>
                <w:sz w:val="23"/>
                <w:szCs w:val="23"/>
              </w:rPr>
              <w:t>97</w:t>
            </w:r>
          </w:p>
        </w:tc>
      </w:tr>
      <w:tr w14:paraId="3EE13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3" w:hRule="atLeast"/>
        </w:trPr>
        <w:tc>
          <w:tcPr>
            <w:tcW w:w="818" w:type="dxa"/>
            <w:vMerge w:val="continue"/>
            <w:tcBorders>
              <w:top w:val="nil"/>
              <w:bottom w:val="nil"/>
            </w:tcBorders>
            <w:vAlign w:val="top"/>
          </w:tcPr>
          <w:p w14:paraId="475B827E">
            <w:pPr>
              <w:rPr>
                <w:rFonts w:ascii="Arial"/>
                <w:sz w:val="21"/>
              </w:rPr>
            </w:pPr>
          </w:p>
        </w:tc>
        <w:tc>
          <w:tcPr>
            <w:tcW w:w="1440" w:type="dxa"/>
            <w:vMerge w:val="continue"/>
            <w:tcBorders>
              <w:top w:val="nil"/>
              <w:bottom w:val="nil"/>
            </w:tcBorders>
            <w:vAlign w:val="top"/>
          </w:tcPr>
          <w:p w14:paraId="5DC0348B">
            <w:pPr>
              <w:rPr>
                <w:rFonts w:ascii="Arial"/>
                <w:sz w:val="21"/>
              </w:rPr>
            </w:pPr>
          </w:p>
        </w:tc>
        <w:tc>
          <w:tcPr>
            <w:tcW w:w="3202" w:type="dxa"/>
            <w:vMerge w:val="continue"/>
            <w:tcBorders>
              <w:top w:val="nil"/>
              <w:bottom w:val="nil"/>
            </w:tcBorders>
            <w:vAlign w:val="top"/>
          </w:tcPr>
          <w:p w14:paraId="2F730D06">
            <w:pPr>
              <w:rPr>
                <w:rFonts w:ascii="Arial"/>
                <w:sz w:val="21"/>
              </w:rPr>
            </w:pPr>
          </w:p>
        </w:tc>
        <w:tc>
          <w:tcPr>
            <w:tcW w:w="2859" w:type="dxa"/>
            <w:vMerge w:val="continue"/>
            <w:tcBorders>
              <w:top w:val="nil"/>
              <w:bottom w:val="nil"/>
            </w:tcBorders>
            <w:vAlign w:val="top"/>
          </w:tcPr>
          <w:p w14:paraId="6CCDE46C">
            <w:pPr>
              <w:rPr>
                <w:rFonts w:ascii="Arial"/>
                <w:sz w:val="21"/>
              </w:rPr>
            </w:pPr>
          </w:p>
        </w:tc>
        <w:tc>
          <w:tcPr>
            <w:tcW w:w="803" w:type="dxa"/>
            <w:vAlign w:val="top"/>
          </w:tcPr>
          <w:p w14:paraId="5A48D637">
            <w:pPr>
              <w:spacing w:line="364" w:lineRule="auto"/>
              <w:rPr>
                <w:rFonts w:ascii="Arial"/>
                <w:sz w:val="21"/>
              </w:rPr>
            </w:pPr>
          </w:p>
          <w:p w14:paraId="11A214C7">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F8BFB44">
            <w:pPr>
              <w:pStyle w:val="6"/>
              <w:spacing w:before="244" w:line="196" w:lineRule="auto"/>
              <w:ind w:left="127" w:right="109" w:hanging="1"/>
            </w:pPr>
            <w:r>
              <w:rPr>
                <w:spacing w:val="25"/>
              </w:rPr>
              <w:t>泄露化学品单位商</w:t>
            </w:r>
            <w:r>
              <w:t>业秘密</w:t>
            </w:r>
            <w:r>
              <w:rPr>
                <w:rFonts w:ascii="宋体" w:hAnsi="宋体" w:eastAsia="宋体" w:cs="宋体"/>
              </w:rPr>
              <w:t>2</w:t>
            </w:r>
            <w:r>
              <w:t>次的</w:t>
            </w:r>
          </w:p>
        </w:tc>
        <w:tc>
          <w:tcPr>
            <w:tcW w:w="2894" w:type="dxa"/>
            <w:vAlign w:val="top"/>
          </w:tcPr>
          <w:p w14:paraId="1ED0CC32">
            <w:pPr>
              <w:pStyle w:val="6"/>
              <w:spacing w:before="245" w:line="196" w:lineRule="auto"/>
              <w:ind w:left="124" w:right="103" w:hanging="5"/>
            </w:pPr>
            <w:r>
              <w:rPr>
                <w:spacing w:val="2"/>
              </w:rPr>
              <w:t>处</w:t>
            </w:r>
            <w:r>
              <w:rPr>
                <w:rFonts w:ascii="宋体" w:hAnsi="宋体" w:eastAsia="宋体" w:cs="宋体"/>
                <w:spacing w:val="2"/>
              </w:rPr>
              <w:t>1.5</w:t>
            </w:r>
            <w:r>
              <w:rPr>
                <w:spacing w:val="2"/>
              </w:rPr>
              <w:t>万元以上</w:t>
            </w:r>
            <w:r>
              <w:rPr>
                <w:rFonts w:ascii="宋体" w:hAnsi="宋体" w:eastAsia="宋体" w:cs="宋体"/>
                <w:spacing w:val="2"/>
              </w:rPr>
              <w:t>2</w:t>
            </w:r>
            <w:r>
              <w:rPr>
                <w:spacing w:val="2"/>
              </w:rPr>
              <w:t>万元以</w:t>
            </w:r>
            <w:r>
              <w:rPr>
                <w:spacing w:val="4"/>
              </w:rPr>
              <w:t>下的罚款</w:t>
            </w:r>
          </w:p>
        </w:tc>
        <w:tc>
          <w:tcPr>
            <w:tcW w:w="811" w:type="dxa"/>
            <w:vMerge w:val="continue"/>
            <w:tcBorders>
              <w:top w:val="nil"/>
              <w:bottom w:val="nil"/>
            </w:tcBorders>
            <w:vAlign w:val="top"/>
          </w:tcPr>
          <w:p w14:paraId="54EEACC7">
            <w:pPr>
              <w:rPr>
                <w:rFonts w:ascii="Arial"/>
                <w:sz w:val="21"/>
              </w:rPr>
            </w:pPr>
          </w:p>
        </w:tc>
      </w:tr>
      <w:tr w14:paraId="5C001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818" w:type="dxa"/>
            <w:vMerge w:val="continue"/>
            <w:tcBorders>
              <w:top w:val="nil"/>
            </w:tcBorders>
            <w:vAlign w:val="top"/>
          </w:tcPr>
          <w:p w14:paraId="16E937A7">
            <w:pPr>
              <w:rPr>
                <w:rFonts w:ascii="Arial"/>
                <w:sz w:val="21"/>
              </w:rPr>
            </w:pPr>
          </w:p>
        </w:tc>
        <w:tc>
          <w:tcPr>
            <w:tcW w:w="1440" w:type="dxa"/>
            <w:vMerge w:val="continue"/>
            <w:tcBorders>
              <w:top w:val="nil"/>
            </w:tcBorders>
            <w:vAlign w:val="top"/>
          </w:tcPr>
          <w:p w14:paraId="5230C149">
            <w:pPr>
              <w:rPr>
                <w:rFonts w:ascii="Arial"/>
                <w:sz w:val="21"/>
              </w:rPr>
            </w:pPr>
          </w:p>
        </w:tc>
        <w:tc>
          <w:tcPr>
            <w:tcW w:w="3202" w:type="dxa"/>
            <w:vMerge w:val="continue"/>
            <w:tcBorders>
              <w:top w:val="nil"/>
            </w:tcBorders>
            <w:vAlign w:val="top"/>
          </w:tcPr>
          <w:p w14:paraId="2B09958B">
            <w:pPr>
              <w:rPr>
                <w:rFonts w:ascii="Arial"/>
                <w:sz w:val="21"/>
              </w:rPr>
            </w:pPr>
          </w:p>
        </w:tc>
        <w:tc>
          <w:tcPr>
            <w:tcW w:w="2859" w:type="dxa"/>
            <w:vMerge w:val="continue"/>
            <w:tcBorders>
              <w:top w:val="nil"/>
            </w:tcBorders>
            <w:vAlign w:val="top"/>
          </w:tcPr>
          <w:p w14:paraId="4D7C6829">
            <w:pPr>
              <w:rPr>
                <w:rFonts w:ascii="Arial"/>
                <w:sz w:val="21"/>
              </w:rPr>
            </w:pPr>
          </w:p>
        </w:tc>
        <w:tc>
          <w:tcPr>
            <w:tcW w:w="803" w:type="dxa"/>
            <w:vAlign w:val="top"/>
          </w:tcPr>
          <w:p w14:paraId="1D7E2B67">
            <w:pPr>
              <w:spacing w:line="469" w:lineRule="auto"/>
              <w:rPr>
                <w:rFonts w:ascii="Arial"/>
                <w:sz w:val="21"/>
              </w:rPr>
            </w:pPr>
          </w:p>
          <w:p w14:paraId="20547B24">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980F0A8">
            <w:pPr>
              <w:spacing w:line="250" w:lineRule="auto"/>
              <w:rPr>
                <w:rFonts w:ascii="Arial"/>
                <w:sz w:val="21"/>
              </w:rPr>
            </w:pPr>
          </w:p>
          <w:p w14:paraId="4B2C0AC4">
            <w:pPr>
              <w:pStyle w:val="6"/>
              <w:spacing w:before="99" w:line="196" w:lineRule="auto"/>
              <w:ind w:left="127" w:right="109" w:hanging="1"/>
            </w:pPr>
            <w:r>
              <w:rPr>
                <w:spacing w:val="25"/>
              </w:rPr>
              <w:t>泄露化学品单位商</w:t>
            </w:r>
            <w:r>
              <w:rPr>
                <w:spacing w:val="2"/>
              </w:rPr>
              <w:t>业秘密</w:t>
            </w:r>
            <w:r>
              <w:rPr>
                <w:rFonts w:ascii="宋体" w:hAnsi="宋体" w:eastAsia="宋体" w:cs="宋体"/>
                <w:spacing w:val="2"/>
              </w:rPr>
              <w:t>3</w:t>
            </w:r>
            <w:r>
              <w:rPr>
                <w:spacing w:val="2"/>
              </w:rPr>
              <w:t>次以上的</w:t>
            </w:r>
          </w:p>
        </w:tc>
        <w:tc>
          <w:tcPr>
            <w:tcW w:w="2894" w:type="dxa"/>
            <w:vAlign w:val="top"/>
          </w:tcPr>
          <w:p w14:paraId="47086762">
            <w:pPr>
              <w:spacing w:line="251" w:lineRule="auto"/>
              <w:rPr>
                <w:rFonts w:ascii="Arial"/>
                <w:sz w:val="21"/>
              </w:rPr>
            </w:pPr>
          </w:p>
          <w:p w14:paraId="2E55BF82">
            <w:pPr>
              <w:pStyle w:val="6"/>
              <w:spacing w:before="99" w:line="196" w:lineRule="auto"/>
              <w:ind w:left="141" w:right="106" w:hanging="22"/>
            </w:pPr>
            <w:r>
              <w:rPr>
                <w:spacing w:val="3"/>
              </w:rPr>
              <w:t>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万元以下</w:t>
            </w:r>
            <w:r>
              <w:rPr>
                <w:spacing w:val="-2"/>
              </w:rPr>
              <w:t>的罚款</w:t>
            </w:r>
          </w:p>
        </w:tc>
        <w:tc>
          <w:tcPr>
            <w:tcW w:w="811" w:type="dxa"/>
            <w:vMerge w:val="continue"/>
            <w:tcBorders>
              <w:top w:val="nil"/>
            </w:tcBorders>
            <w:vAlign w:val="top"/>
          </w:tcPr>
          <w:p w14:paraId="38AA7D05">
            <w:pPr>
              <w:rPr>
                <w:rFonts w:ascii="Arial"/>
                <w:sz w:val="21"/>
              </w:rPr>
            </w:pPr>
          </w:p>
        </w:tc>
      </w:tr>
      <w:tr w14:paraId="413CB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18" w:type="dxa"/>
            <w:vMerge w:val="restart"/>
            <w:tcBorders>
              <w:bottom w:val="nil"/>
            </w:tcBorders>
            <w:vAlign w:val="top"/>
          </w:tcPr>
          <w:p w14:paraId="6E262301">
            <w:pPr>
              <w:spacing w:line="298" w:lineRule="auto"/>
              <w:rPr>
                <w:rFonts w:ascii="Arial"/>
                <w:sz w:val="21"/>
              </w:rPr>
            </w:pPr>
          </w:p>
          <w:p w14:paraId="2A56B2F3">
            <w:pPr>
              <w:spacing w:line="299" w:lineRule="auto"/>
              <w:rPr>
                <w:rFonts w:ascii="Arial"/>
                <w:sz w:val="21"/>
              </w:rPr>
            </w:pPr>
          </w:p>
          <w:p w14:paraId="1590AEEF">
            <w:pPr>
              <w:spacing w:line="299" w:lineRule="auto"/>
              <w:rPr>
                <w:rFonts w:ascii="Arial"/>
                <w:sz w:val="21"/>
              </w:rPr>
            </w:pPr>
          </w:p>
          <w:p w14:paraId="48E12855">
            <w:pPr>
              <w:spacing w:line="299" w:lineRule="auto"/>
              <w:rPr>
                <w:rFonts w:ascii="Arial"/>
                <w:sz w:val="21"/>
              </w:rPr>
            </w:pPr>
          </w:p>
          <w:p w14:paraId="5BE56999">
            <w:pPr>
              <w:spacing w:before="75" w:line="186" w:lineRule="auto"/>
              <w:ind w:left="161"/>
              <w:rPr>
                <w:rFonts w:ascii="仿宋" w:hAnsi="仿宋" w:eastAsia="仿宋" w:cs="仿宋"/>
                <w:sz w:val="23"/>
                <w:szCs w:val="23"/>
              </w:rPr>
            </w:pPr>
            <w:r>
              <w:rPr>
                <w:rFonts w:ascii="仿宋" w:hAnsi="仿宋" w:eastAsia="仿宋" w:cs="仿宋"/>
                <w:spacing w:val="-5"/>
                <w:sz w:val="23"/>
                <w:szCs w:val="23"/>
              </w:rPr>
              <w:t>144</w:t>
            </w:r>
          </w:p>
        </w:tc>
        <w:tc>
          <w:tcPr>
            <w:tcW w:w="1440" w:type="dxa"/>
            <w:vMerge w:val="restart"/>
            <w:tcBorders>
              <w:bottom w:val="nil"/>
            </w:tcBorders>
            <w:vAlign w:val="top"/>
          </w:tcPr>
          <w:p w14:paraId="55223332">
            <w:pPr>
              <w:spacing w:line="385" w:lineRule="auto"/>
              <w:rPr>
                <w:rFonts w:ascii="Arial"/>
                <w:sz w:val="21"/>
              </w:rPr>
            </w:pPr>
          </w:p>
          <w:p w14:paraId="47CBCB01">
            <w:pPr>
              <w:pStyle w:val="6"/>
              <w:spacing w:before="99" w:line="187" w:lineRule="auto"/>
              <w:ind w:left="110" w:right="17" w:firstLine="18"/>
              <w:jc w:val="both"/>
            </w:pPr>
            <w:r>
              <w:rPr>
                <w:spacing w:val="-13"/>
                <w:w w:val="99"/>
              </w:rPr>
              <w:t>生产、经营、</w:t>
            </w:r>
            <w:r>
              <w:rPr>
                <w:spacing w:val="12"/>
              </w:rPr>
              <w:t>使用国家禁止生产、经营、使用的危险化学品</w:t>
            </w:r>
            <w:r>
              <w:rPr>
                <w:spacing w:val="1"/>
              </w:rPr>
              <w:t>的</w:t>
            </w:r>
          </w:p>
        </w:tc>
        <w:tc>
          <w:tcPr>
            <w:tcW w:w="3202" w:type="dxa"/>
            <w:vMerge w:val="restart"/>
            <w:tcBorders>
              <w:bottom w:val="nil"/>
            </w:tcBorders>
            <w:vAlign w:val="top"/>
          </w:tcPr>
          <w:p w14:paraId="1BAA1702">
            <w:pPr>
              <w:pStyle w:val="6"/>
              <w:spacing w:before="32" w:line="183" w:lineRule="auto"/>
              <w:ind w:left="119" w:right="111" w:hanging="21"/>
              <w:jc w:val="both"/>
            </w:pPr>
            <w:r>
              <w:rPr>
                <w:spacing w:val="18"/>
              </w:rPr>
              <w:t>【行政法规】《危险化学品</w:t>
            </w:r>
            <w:r>
              <w:rPr>
                <w:spacing w:val="14"/>
              </w:rPr>
              <w:t>安全管理条例》第五条第一</w:t>
            </w:r>
            <w:r>
              <w:rPr>
                <w:spacing w:val="13"/>
              </w:rPr>
              <w:t>款：任何单位和个人不得生</w:t>
            </w:r>
            <w:r>
              <w:rPr>
                <w:spacing w:val="17"/>
              </w:rPr>
              <w:t>产、经营、使用国家禁止生产、经营、使用的危险化学</w:t>
            </w:r>
            <w:r>
              <w:rPr>
                <w:spacing w:val="-8"/>
              </w:rPr>
              <w:t>品。</w:t>
            </w:r>
          </w:p>
        </w:tc>
        <w:tc>
          <w:tcPr>
            <w:tcW w:w="2859" w:type="dxa"/>
            <w:vMerge w:val="restart"/>
            <w:tcBorders>
              <w:bottom w:val="nil"/>
            </w:tcBorders>
            <w:vAlign w:val="top"/>
          </w:tcPr>
          <w:p w14:paraId="6BB11C36">
            <w:pPr>
              <w:pStyle w:val="6"/>
              <w:spacing w:before="33" w:line="180" w:lineRule="auto"/>
              <w:ind w:left="111" w:right="19" w:hanging="14"/>
              <w:jc w:val="both"/>
            </w:pPr>
            <w:r>
              <w:rPr>
                <w:spacing w:val="10"/>
              </w:rPr>
              <w:t>【行政法规】《危险化学</w:t>
            </w:r>
            <w:r>
              <w:rPr>
                <w:spacing w:val="9"/>
              </w:rPr>
              <w:t>品安全管理条例》第七十</w:t>
            </w:r>
            <w:r>
              <w:rPr>
                <w:spacing w:val="-4"/>
              </w:rPr>
              <w:t>五条第一款：生产、经营、使用国家禁止生产、经营、</w:t>
            </w:r>
            <w:r>
              <w:rPr>
                <w:spacing w:val="-1"/>
              </w:rPr>
              <w:t>使用的危险化学品的，由</w:t>
            </w:r>
            <w:r>
              <w:rPr>
                <w:spacing w:val="9"/>
              </w:rPr>
              <w:t>安全生产监督管理部门责令停止生产、经营、使用</w:t>
            </w:r>
            <w:r>
              <w:rPr>
                <w:spacing w:val="4"/>
              </w:rPr>
              <w:t>活动，处</w:t>
            </w:r>
            <w:r>
              <w:rPr>
                <w:rFonts w:ascii="宋体" w:hAnsi="宋体" w:eastAsia="宋体" w:cs="宋体"/>
                <w:spacing w:val="4"/>
              </w:rPr>
              <w:t>20</w:t>
            </w:r>
            <w:r>
              <w:rPr>
                <w:spacing w:val="4"/>
              </w:rPr>
              <w:t>万元以上</w:t>
            </w:r>
            <w:r>
              <w:rPr>
                <w:rFonts w:ascii="宋体" w:hAnsi="宋体" w:eastAsia="宋体" w:cs="宋体"/>
                <w:spacing w:val="4"/>
              </w:rPr>
              <w:t>50</w:t>
            </w:r>
            <w:r>
              <w:rPr>
                <w:spacing w:val="8"/>
              </w:rPr>
              <w:t>万元以下的罚款，有违法</w:t>
            </w:r>
          </w:p>
        </w:tc>
        <w:tc>
          <w:tcPr>
            <w:tcW w:w="803" w:type="dxa"/>
            <w:vAlign w:val="top"/>
          </w:tcPr>
          <w:p w14:paraId="55FA0F8C">
            <w:pPr>
              <w:spacing w:line="446" w:lineRule="auto"/>
              <w:rPr>
                <w:rFonts w:ascii="Arial"/>
                <w:sz w:val="21"/>
              </w:rPr>
            </w:pPr>
          </w:p>
          <w:p w14:paraId="70FA09DA">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EC24B60">
            <w:pPr>
              <w:pStyle w:val="6"/>
              <w:spacing w:before="184" w:line="192" w:lineRule="auto"/>
              <w:ind w:left="128" w:right="106" w:hanging="1"/>
              <w:jc w:val="both"/>
            </w:pPr>
            <w:r>
              <w:rPr>
                <w:spacing w:val="25"/>
              </w:rPr>
              <w:t>没有违法所得或违</w:t>
            </w:r>
            <w:r>
              <w:rPr>
                <w:spacing w:val="1"/>
              </w:rPr>
              <w:t>法所得</w:t>
            </w:r>
            <w:r>
              <w:rPr>
                <w:rFonts w:ascii="宋体" w:hAnsi="宋体" w:eastAsia="宋体" w:cs="宋体"/>
                <w:spacing w:val="1"/>
              </w:rPr>
              <w:t>10</w:t>
            </w:r>
            <w:r>
              <w:rPr>
                <w:spacing w:val="1"/>
              </w:rPr>
              <w:t>万元以下</w:t>
            </w:r>
            <w:r>
              <w:t>的</w:t>
            </w:r>
          </w:p>
        </w:tc>
        <w:tc>
          <w:tcPr>
            <w:tcW w:w="2894" w:type="dxa"/>
            <w:vAlign w:val="top"/>
          </w:tcPr>
          <w:p w14:paraId="766C5CEF">
            <w:pPr>
              <w:pStyle w:val="6"/>
              <w:spacing w:before="30" w:line="177" w:lineRule="auto"/>
              <w:ind w:left="119" w:right="106" w:firstLine="8"/>
              <w:jc w:val="both"/>
            </w:pPr>
            <w:r>
              <w:rPr>
                <w:spacing w:val="10"/>
              </w:rPr>
              <w:t>责令停止生产、经营、使</w:t>
            </w:r>
            <w:r>
              <w:rPr>
                <w:spacing w:val="8"/>
              </w:rPr>
              <w:t>用活动，处</w:t>
            </w:r>
            <w:r>
              <w:rPr>
                <w:rFonts w:ascii="宋体" w:hAnsi="宋体" w:eastAsia="宋体" w:cs="宋体"/>
                <w:spacing w:val="8"/>
              </w:rPr>
              <w:t>20</w:t>
            </w:r>
            <w:r>
              <w:rPr>
                <w:spacing w:val="8"/>
              </w:rPr>
              <w:t>万元以上</w:t>
            </w:r>
            <w:r>
              <w:rPr>
                <w:rFonts w:ascii="宋体" w:hAnsi="宋体" w:eastAsia="宋体" w:cs="宋体"/>
                <w:spacing w:val="-1"/>
              </w:rPr>
              <w:t>30</w:t>
            </w:r>
            <w:r>
              <w:rPr>
                <w:spacing w:val="-1"/>
              </w:rPr>
              <w:t>万元以下的罚款，没收</w:t>
            </w:r>
            <w:r>
              <w:rPr>
                <w:spacing w:val="6"/>
              </w:rPr>
              <w:t>违法所得</w:t>
            </w:r>
          </w:p>
        </w:tc>
        <w:tc>
          <w:tcPr>
            <w:tcW w:w="811" w:type="dxa"/>
            <w:vMerge w:val="restart"/>
            <w:tcBorders>
              <w:bottom w:val="nil"/>
            </w:tcBorders>
            <w:vAlign w:val="top"/>
          </w:tcPr>
          <w:p w14:paraId="1082A144">
            <w:pPr>
              <w:spacing w:line="298" w:lineRule="auto"/>
              <w:rPr>
                <w:rFonts w:ascii="Arial"/>
                <w:sz w:val="21"/>
              </w:rPr>
            </w:pPr>
          </w:p>
          <w:p w14:paraId="553E50EE">
            <w:pPr>
              <w:spacing w:line="298" w:lineRule="auto"/>
              <w:rPr>
                <w:rFonts w:ascii="Arial"/>
                <w:sz w:val="21"/>
              </w:rPr>
            </w:pPr>
          </w:p>
          <w:p w14:paraId="68921656">
            <w:pPr>
              <w:spacing w:line="298" w:lineRule="auto"/>
              <w:rPr>
                <w:rFonts w:ascii="Arial"/>
                <w:sz w:val="21"/>
              </w:rPr>
            </w:pPr>
          </w:p>
          <w:p w14:paraId="3FE43383">
            <w:pPr>
              <w:spacing w:line="299" w:lineRule="auto"/>
              <w:rPr>
                <w:rFonts w:ascii="Arial"/>
                <w:sz w:val="21"/>
              </w:rPr>
            </w:pPr>
          </w:p>
          <w:p w14:paraId="7299316F">
            <w:pPr>
              <w:spacing w:before="75" w:line="188" w:lineRule="auto"/>
              <w:ind w:left="292"/>
              <w:rPr>
                <w:rFonts w:ascii="宋体" w:hAnsi="宋体" w:eastAsia="宋体" w:cs="宋体"/>
                <w:sz w:val="23"/>
                <w:szCs w:val="23"/>
              </w:rPr>
            </w:pPr>
            <w:r>
              <w:rPr>
                <w:rFonts w:ascii="宋体" w:hAnsi="宋体" w:eastAsia="宋体" w:cs="宋体"/>
                <w:spacing w:val="-2"/>
                <w:sz w:val="23"/>
                <w:szCs w:val="23"/>
              </w:rPr>
              <w:t>98</w:t>
            </w:r>
          </w:p>
        </w:tc>
      </w:tr>
      <w:tr w14:paraId="7D431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18" w:type="dxa"/>
            <w:vMerge w:val="continue"/>
            <w:tcBorders>
              <w:top w:val="nil"/>
            </w:tcBorders>
            <w:vAlign w:val="top"/>
          </w:tcPr>
          <w:p w14:paraId="6784F614">
            <w:pPr>
              <w:rPr>
                <w:rFonts w:ascii="Arial"/>
                <w:sz w:val="21"/>
              </w:rPr>
            </w:pPr>
          </w:p>
        </w:tc>
        <w:tc>
          <w:tcPr>
            <w:tcW w:w="1440" w:type="dxa"/>
            <w:vMerge w:val="continue"/>
            <w:tcBorders>
              <w:top w:val="nil"/>
            </w:tcBorders>
            <w:vAlign w:val="top"/>
          </w:tcPr>
          <w:p w14:paraId="727E61E3">
            <w:pPr>
              <w:rPr>
                <w:rFonts w:ascii="Arial"/>
                <w:sz w:val="21"/>
              </w:rPr>
            </w:pPr>
          </w:p>
        </w:tc>
        <w:tc>
          <w:tcPr>
            <w:tcW w:w="3202" w:type="dxa"/>
            <w:vMerge w:val="continue"/>
            <w:tcBorders>
              <w:top w:val="nil"/>
            </w:tcBorders>
            <w:vAlign w:val="top"/>
          </w:tcPr>
          <w:p w14:paraId="0E54C48B">
            <w:pPr>
              <w:rPr>
                <w:rFonts w:ascii="Arial"/>
                <w:sz w:val="21"/>
              </w:rPr>
            </w:pPr>
          </w:p>
        </w:tc>
        <w:tc>
          <w:tcPr>
            <w:tcW w:w="2859" w:type="dxa"/>
            <w:vMerge w:val="continue"/>
            <w:tcBorders>
              <w:top w:val="nil"/>
            </w:tcBorders>
            <w:vAlign w:val="top"/>
          </w:tcPr>
          <w:p w14:paraId="5D96388C">
            <w:pPr>
              <w:rPr>
                <w:rFonts w:ascii="Arial"/>
                <w:sz w:val="21"/>
              </w:rPr>
            </w:pPr>
          </w:p>
        </w:tc>
        <w:tc>
          <w:tcPr>
            <w:tcW w:w="803" w:type="dxa"/>
            <w:vAlign w:val="top"/>
          </w:tcPr>
          <w:p w14:paraId="08544694">
            <w:pPr>
              <w:spacing w:line="297" w:lineRule="auto"/>
              <w:rPr>
                <w:rFonts w:ascii="Arial"/>
                <w:sz w:val="21"/>
              </w:rPr>
            </w:pPr>
          </w:p>
          <w:p w14:paraId="0913F1A5">
            <w:pPr>
              <w:spacing w:line="298" w:lineRule="auto"/>
              <w:rPr>
                <w:rFonts w:ascii="Arial"/>
                <w:sz w:val="21"/>
              </w:rPr>
            </w:pPr>
          </w:p>
          <w:p w14:paraId="146BA55B">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4FAD1F6">
            <w:pPr>
              <w:spacing w:line="375" w:lineRule="auto"/>
              <w:rPr>
                <w:rFonts w:ascii="Arial"/>
                <w:sz w:val="21"/>
              </w:rPr>
            </w:pPr>
          </w:p>
          <w:p w14:paraId="26C3CBEB">
            <w:pPr>
              <w:pStyle w:val="6"/>
              <w:spacing w:before="99" w:line="196" w:lineRule="auto"/>
              <w:ind w:left="122" w:right="106" w:hanging="5"/>
            </w:pPr>
            <w:r>
              <w:rPr>
                <w:spacing w:val="3"/>
              </w:rPr>
              <w:t>违法所得</w:t>
            </w:r>
            <w:r>
              <w:rPr>
                <w:rFonts w:ascii="宋体" w:hAnsi="宋体" w:eastAsia="宋体" w:cs="宋体"/>
                <w:spacing w:val="3"/>
              </w:rPr>
              <w:t>10</w:t>
            </w:r>
            <w:r>
              <w:rPr>
                <w:spacing w:val="3"/>
              </w:rPr>
              <w:t>万元以</w:t>
            </w:r>
            <w:r>
              <w:rPr>
                <w:spacing w:val="1"/>
              </w:rPr>
              <w:t>上</w:t>
            </w:r>
            <w:r>
              <w:rPr>
                <w:rFonts w:ascii="宋体" w:hAnsi="宋体" w:eastAsia="宋体" w:cs="宋体"/>
                <w:spacing w:val="1"/>
              </w:rPr>
              <w:t>30</w:t>
            </w:r>
            <w:r>
              <w:rPr>
                <w:spacing w:val="1"/>
              </w:rPr>
              <w:t>万元以下的</w:t>
            </w:r>
          </w:p>
        </w:tc>
        <w:tc>
          <w:tcPr>
            <w:tcW w:w="2894" w:type="dxa"/>
            <w:vAlign w:val="top"/>
          </w:tcPr>
          <w:p w14:paraId="47087D76">
            <w:pPr>
              <w:pStyle w:val="6"/>
              <w:spacing w:before="177" w:line="189" w:lineRule="auto"/>
              <w:ind w:left="114" w:right="106" w:firstLine="13"/>
              <w:jc w:val="both"/>
            </w:pPr>
            <w:r>
              <w:rPr>
                <w:spacing w:val="10"/>
              </w:rPr>
              <w:t>责令停止生产、经营、使</w:t>
            </w:r>
            <w:r>
              <w:rPr>
                <w:spacing w:val="8"/>
              </w:rPr>
              <w:t>用活动，处</w:t>
            </w:r>
            <w:r>
              <w:rPr>
                <w:rFonts w:ascii="宋体" w:hAnsi="宋体" w:eastAsia="宋体" w:cs="宋体"/>
                <w:spacing w:val="8"/>
              </w:rPr>
              <w:t>30</w:t>
            </w:r>
            <w:r>
              <w:rPr>
                <w:spacing w:val="8"/>
              </w:rPr>
              <w:t>万元以上</w:t>
            </w:r>
            <w:r>
              <w:rPr>
                <w:rFonts w:ascii="宋体" w:hAnsi="宋体" w:eastAsia="宋体" w:cs="宋体"/>
                <w:spacing w:val="-1"/>
              </w:rPr>
              <w:t>40</w:t>
            </w:r>
            <w:r>
              <w:rPr>
                <w:spacing w:val="-1"/>
              </w:rPr>
              <w:t>万元以下的罚款，没收</w:t>
            </w:r>
            <w:r>
              <w:rPr>
                <w:spacing w:val="7"/>
              </w:rPr>
              <w:t>违法所得</w:t>
            </w:r>
          </w:p>
        </w:tc>
        <w:tc>
          <w:tcPr>
            <w:tcW w:w="811" w:type="dxa"/>
            <w:vMerge w:val="continue"/>
            <w:tcBorders>
              <w:top w:val="nil"/>
            </w:tcBorders>
            <w:vAlign w:val="top"/>
          </w:tcPr>
          <w:p w14:paraId="4C52A3CE">
            <w:pPr>
              <w:rPr>
                <w:rFonts w:ascii="Arial"/>
                <w:sz w:val="21"/>
              </w:rPr>
            </w:pPr>
          </w:p>
        </w:tc>
      </w:tr>
    </w:tbl>
    <w:p w14:paraId="5700583C">
      <w:pPr>
        <w:pStyle w:val="2"/>
      </w:pPr>
    </w:p>
    <w:p w14:paraId="06FEDBA0">
      <w:pPr>
        <w:sectPr>
          <w:footerReference r:id="rId162" w:type="default"/>
          <w:pgSz w:w="16839" w:h="11906"/>
          <w:pgMar w:top="1012" w:right="821" w:bottom="667" w:left="901" w:header="0" w:footer="388" w:gutter="0"/>
          <w:cols w:space="720" w:num="1"/>
        </w:sectPr>
      </w:pPr>
    </w:p>
    <w:p w14:paraId="6DF7310D">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63AC8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958E404">
            <w:pPr>
              <w:spacing w:before="222" w:line="241" w:lineRule="auto"/>
              <w:ind w:left="131"/>
              <w:outlineLvl w:val="0"/>
              <w:rPr>
                <w:rFonts w:ascii="黑体" w:hAnsi="黑体" w:eastAsia="黑体" w:cs="黑体"/>
                <w:sz w:val="28"/>
                <w:szCs w:val="28"/>
              </w:rPr>
            </w:pPr>
            <w:bookmarkStart w:id="595" w:name="bookmark560"/>
            <w:bookmarkEnd w:id="595"/>
            <w:bookmarkStart w:id="596" w:name="bookmark298"/>
            <w:bookmarkEnd w:id="596"/>
            <w:r>
              <w:rPr>
                <w:rFonts w:ascii="黑体" w:hAnsi="黑体" w:eastAsia="黑体" w:cs="黑体"/>
                <w:spacing w:val="-2"/>
                <w:sz w:val="28"/>
                <w:szCs w:val="28"/>
              </w:rPr>
              <w:t>序号</w:t>
            </w:r>
          </w:p>
        </w:tc>
        <w:tc>
          <w:tcPr>
            <w:tcW w:w="1440" w:type="dxa"/>
            <w:vAlign w:val="top"/>
          </w:tcPr>
          <w:p w14:paraId="7D589AD8">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990579D">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4CBE3B78">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43FBA1B3">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0B8A1C9">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1931A8C3">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30EC396">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D2A3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Align w:val="top"/>
          </w:tcPr>
          <w:p w14:paraId="3357C709">
            <w:pPr>
              <w:rPr>
                <w:rFonts w:ascii="Arial"/>
                <w:sz w:val="21"/>
              </w:rPr>
            </w:pPr>
          </w:p>
        </w:tc>
        <w:tc>
          <w:tcPr>
            <w:tcW w:w="1440" w:type="dxa"/>
            <w:vAlign w:val="top"/>
          </w:tcPr>
          <w:p w14:paraId="552283CE">
            <w:pPr>
              <w:rPr>
                <w:rFonts w:ascii="Arial"/>
                <w:sz w:val="21"/>
              </w:rPr>
            </w:pPr>
          </w:p>
        </w:tc>
        <w:tc>
          <w:tcPr>
            <w:tcW w:w="3202" w:type="dxa"/>
            <w:vAlign w:val="top"/>
          </w:tcPr>
          <w:p w14:paraId="0DE860C6">
            <w:pPr>
              <w:rPr>
                <w:rFonts w:ascii="Arial"/>
                <w:sz w:val="21"/>
              </w:rPr>
            </w:pPr>
          </w:p>
        </w:tc>
        <w:tc>
          <w:tcPr>
            <w:tcW w:w="2859" w:type="dxa"/>
            <w:vAlign w:val="top"/>
          </w:tcPr>
          <w:p w14:paraId="7C2F7E91">
            <w:pPr>
              <w:pStyle w:val="6"/>
              <w:spacing w:before="29" w:line="191" w:lineRule="auto"/>
              <w:ind w:left="119" w:right="110" w:firstLine="1"/>
            </w:pPr>
            <w:r>
              <w:t>所得的，没收违法所得；</w:t>
            </w:r>
            <w:r>
              <w:rPr>
                <w:spacing w:val="8"/>
              </w:rPr>
              <w:t>构成犯罪的，依法追究刑</w:t>
            </w:r>
            <w:r>
              <w:rPr>
                <w:spacing w:val="-2"/>
              </w:rPr>
              <w:t>事责任。</w:t>
            </w:r>
          </w:p>
        </w:tc>
        <w:tc>
          <w:tcPr>
            <w:tcW w:w="803" w:type="dxa"/>
            <w:vAlign w:val="top"/>
          </w:tcPr>
          <w:p w14:paraId="2E438293">
            <w:pPr>
              <w:spacing w:line="445" w:lineRule="auto"/>
              <w:rPr>
                <w:rFonts w:ascii="Arial"/>
                <w:sz w:val="21"/>
              </w:rPr>
            </w:pPr>
          </w:p>
          <w:p w14:paraId="163D6952">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A435CDD">
            <w:pPr>
              <w:pStyle w:val="6"/>
              <w:spacing w:before="328" w:line="197" w:lineRule="auto"/>
              <w:ind w:left="122" w:right="106" w:hanging="5"/>
            </w:pPr>
            <w:r>
              <w:rPr>
                <w:spacing w:val="5"/>
              </w:rPr>
              <w:t>违法所得</w:t>
            </w:r>
            <w:r>
              <w:rPr>
                <w:rFonts w:ascii="宋体" w:hAnsi="宋体" w:eastAsia="宋体" w:cs="宋体"/>
                <w:spacing w:val="5"/>
              </w:rPr>
              <w:t>30</w:t>
            </w:r>
            <w:r>
              <w:rPr>
                <w:spacing w:val="5"/>
              </w:rPr>
              <w:t>万元以</w:t>
            </w:r>
            <w:r>
              <w:t>上的</w:t>
            </w:r>
          </w:p>
        </w:tc>
        <w:tc>
          <w:tcPr>
            <w:tcW w:w="2894" w:type="dxa"/>
            <w:vAlign w:val="top"/>
          </w:tcPr>
          <w:p w14:paraId="4B669825">
            <w:pPr>
              <w:pStyle w:val="6"/>
              <w:spacing w:before="29" w:line="177" w:lineRule="auto"/>
              <w:ind w:left="119" w:right="106" w:firstLine="8"/>
              <w:jc w:val="both"/>
            </w:pPr>
            <w:r>
              <w:rPr>
                <w:spacing w:val="10"/>
              </w:rPr>
              <w:t>责令停止生产、经营、使</w:t>
            </w:r>
            <w:r>
              <w:rPr>
                <w:spacing w:val="8"/>
              </w:rPr>
              <w:t>用活动，处</w:t>
            </w:r>
            <w:r>
              <w:rPr>
                <w:rFonts w:ascii="宋体" w:hAnsi="宋体" w:eastAsia="宋体" w:cs="宋体"/>
                <w:spacing w:val="8"/>
              </w:rPr>
              <w:t>40</w:t>
            </w:r>
            <w:r>
              <w:rPr>
                <w:spacing w:val="8"/>
              </w:rPr>
              <w:t>万元以上</w:t>
            </w:r>
            <w:r>
              <w:rPr>
                <w:rFonts w:ascii="宋体" w:hAnsi="宋体" w:eastAsia="宋体" w:cs="宋体"/>
                <w:spacing w:val="-1"/>
              </w:rPr>
              <w:t>50</w:t>
            </w:r>
            <w:r>
              <w:rPr>
                <w:spacing w:val="-1"/>
              </w:rPr>
              <w:t>万元以下的罚款，没收</w:t>
            </w:r>
            <w:r>
              <w:rPr>
                <w:spacing w:val="6"/>
              </w:rPr>
              <w:t>违法所得</w:t>
            </w:r>
          </w:p>
        </w:tc>
        <w:tc>
          <w:tcPr>
            <w:tcW w:w="811" w:type="dxa"/>
            <w:vAlign w:val="top"/>
          </w:tcPr>
          <w:p w14:paraId="5DE5EDFC">
            <w:pPr>
              <w:rPr>
                <w:rFonts w:ascii="Arial"/>
                <w:sz w:val="21"/>
              </w:rPr>
            </w:pPr>
          </w:p>
        </w:tc>
      </w:tr>
      <w:tr w14:paraId="3D988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7" w:hRule="atLeast"/>
        </w:trPr>
        <w:tc>
          <w:tcPr>
            <w:tcW w:w="818" w:type="dxa"/>
            <w:vMerge w:val="restart"/>
            <w:tcBorders>
              <w:bottom w:val="nil"/>
            </w:tcBorders>
            <w:vAlign w:val="top"/>
          </w:tcPr>
          <w:p w14:paraId="1E7111D7">
            <w:pPr>
              <w:spacing w:line="248" w:lineRule="auto"/>
              <w:rPr>
                <w:rFonts w:ascii="Arial"/>
                <w:sz w:val="21"/>
              </w:rPr>
            </w:pPr>
          </w:p>
          <w:p w14:paraId="5930A85F">
            <w:pPr>
              <w:spacing w:line="248" w:lineRule="auto"/>
              <w:rPr>
                <w:rFonts w:ascii="Arial"/>
                <w:sz w:val="21"/>
              </w:rPr>
            </w:pPr>
          </w:p>
          <w:p w14:paraId="3FB6E28E">
            <w:pPr>
              <w:spacing w:line="248" w:lineRule="auto"/>
              <w:rPr>
                <w:rFonts w:ascii="Arial"/>
                <w:sz w:val="21"/>
              </w:rPr>
            </w:pPr>
          </w:p>
          <w:p w14:paraId="34FC2A38">
            <w:pPr>
              <w:spacing w:line="248" w:lineRule="auto"/>
              <w:rPr>
                <w:rFonts w:ascii="Arial"/>
                <w:sz w:val="21"/>
              </w:rPr>
            </w:pPr>
          </w:p>
          <w:p w14:paraId="089502EC">
            <w:pPr>
              <w:spacing w:line="248" w:lineRule="auto"/>
              <w:rPr>
                <w:rFonts w:ascii="Arial"/>
                <w:sz w:val="21"/>
              </w:rPr>
            </w:pPr>
          </w:p>
          <w:p w14:paraId="42A87BC2">
            <w:pPr>
              <w:spacing w:line="248" w:lineRule="auto"/>
              <w:rPr>
                <w:rFonts w:ascii="Arial"/>
                <w:sz w:val="21"/>
              </w:rPr>
            </w:pPr>
          </w:p>
          <w:p w14:paraId="23EC8B1C">
            <w:pPr>
              <w:spacing w:line="248" w:lineRule="auto"/>
              <w:rPr>
                <w:rFonts w:ascii="Arial"/>
                <w:sz w:val="21"/>
              </w:rPr>
            </w:pPr>
          </w:p>
          <w:p w14:paraId="5442C91F">
            <w:pPr>
              <w:spacing w:line="249" w:lineRule="auto"/>
              <w:rPr>
                <w:rFonts w:ascii="Arial"/>
                <w:sz w:val="21"/>
              </w:rPr>
            </w:pPr>
          </w:p>
          <w:p w14:paraId="54045E21">
            <w:pPr>
              <w:spacing w:line="249" w:lineRule="auto"/>
              <w:rPr>
                <w:rFonts w:ascii="Arial"/>
                <w:sz w:val="21"/>
              </w:rPr>
            </w:pPr>
          </w:p>
          <w:p w14:paraId="3E82C9CA">
            <w:pPr>
              <w:spacing w:line="249" w:lineRule="auto"/>
              <w:rPr>
                <w:rFonts w:ascii="Arial"/>
                <w:sz w:val="21"/>
              </w:rPr>
            </w:pPr>
          </w:p>
          <w:p w14:paraId="29BED555">
            <w:pPr>
              <w:spacing w:line="249" w:lineRule="auto"/>
              <w:rPr>
                <w:rFonts w:ascii="Arial"/>
                <w:sz w:val="21"/>
              </w:rPr>
            </w:pPr>
          </w:p>
          <w:p w14:paraId="38085D3A">
            <w:pPr>
              <w:spacing w:line="249" w:lineRule="auto"/>
              <w:rPr>
                <w:rFonts w:ascii="Arial"/>
                <w:sz w:val="21"/>
              </w:rPr>
            </w:pPr>
          </w:p>
          <w:p w14:paraId="1A55E93A">
            <w:pPr>
              <w:spacing w:line="249" w:lineRule="auto"/>
              <w:rPr>
                <w:rFonts w:ascii="Arial"/>
                <w:sz w:val="21"/>
              </w:rPr>
            </w:pPr>
          </w:p>
          <w:p w14:paraId="5D309EA4">
            <w:pPr>
              <w:spacing w:line="249" w:lineRule="auto"/>
              <w:rPr>
                <w:rFonts w:ascii="Arial"/>
                <w:sz w:val="21"/>
              </w:rPr>
            </w:pPr>
          </w:p>
          <w:p w14:paraId="2755B49D">
            <w:pPr>
              <w:spacing w:line="249" w:lineRule="auto"/>
              <w:rPr>
                <w:rFonts w:ascii="Arial"/>
                <w:sz w:val="21"/>
              </w:rPr>
            </w:pPr>
          </w:p>
          <w:p w14:paraId="36EB8F74">
            <w:pPr>
              <w:spacing w:before="75" w:line="186" w:lineRule="auto"/>
              <w:ind w:left="161"/>
              <w:rPr>
                <w:rFonts w:ascii="仿宋" w:hAnsi="仿宋" w:eastAsia="仿宋" w:cs="仿宋"/>
                <w:sz w:val="23"/>
                <w:szCs w:val="23"/>
              </w:rPr>
            </w:pPr>
            <w:r>
              <w:rPr>
                <w:rFonts w:ascii="仿宋" w:hAnsi="仿宋" w:eastAsia="仿宋" w:cs="仿宋"/>
                <w:spacing w:val="-5"/>
                <w:sz w:val="23"/>
                <w:szCs w:val="23"/>
              </w:rPr>
              <w:t>145</w:t>
            </w:r>
          </w:p>
        </w:tc>
        <w:tc>
          <w:tcPr>
            <w:tcW w:w="1440" w:type="dxa"/>
            <w:vMerge w:val="restart"/>
            <w:tcBorders>
              <w:bottom w:val="nil"/>
            </w:tcBorders>
            <w:vAlign w:val="top"/>
          </w:tcPr>
          <w:p w14:paraId="20E06942">
            <w:pPr>
              <w:rPr>
                <w:rFonts w:ascii="Arial"/>
                <w:sz w:val="21"/>
              </w:rPr>
            </w:pPr>
          </w:p>
          <w:p w14:paraId="1593A7D8">
            <w:pPr>
              <w:rPr>
                <w:rFonts w:ascii="Arial"/>
                <w:sz w:val="21"/>
              </w:rPr>
            </w:pPr>
          </w:p>
          <w:p w14:paraId="442A8C14">
            <w:pPr>
              <w:rPr>
                <w:rFonts w:ascii="Arial"/>
                <w:sz w:val="21"/>
              </w:rPr>
            </w:pPr>
          </w:p>
          <w:p w14:paraId="5E99F19B">
            <w:pPr>
              <w:rPr>
                <w:rFonts w:ascii="Arial"/>
                <w:sz w:val="21"/>
              </w:rPr>
            </w:pPr>
          </w:p>
          <w:p w14:paraId="2B5A8B13">
            <w:pPr>
              <w:spacing w:line="241" w:lineRule="auto"/>
              <w:rPr>
                <w:rFonts w:ascii="Arial"/>
                <w:sz w:val="21"/>
              </w:rPr>
            </w:pPr>
          </w:p>
          <w:p w14:paraId="3E0741E3">
            <w:pPr>
              <w:spacing w:line="241" w:lineRule="auto"/>
              <w:rPr>
                <w:rFonts w:ascii="Arial"/>
                <w:sz w:val="21"/>
              </w:rPr>
            </w:pPr>
          </w:p>
          <w:p w14:paraId="513355DB">
            <w:pPr>
              <w:spacing w:line="241" w:lineRule="auto"/>
              <w:rPr>
                <w:rFonts w:ascii="Arial"/>
                <w:sz w:val="21"/>
              </w:rPr>
            </w:pPr>
          </w:p>
          <w:p w14:paraId="479734EC">
            <w:pPr>
              <w:spacing w:line="241" w:lineRule="auto"/>
              <w:rPr>
                <w:rFonts w:ascii="Arial"/>
                <w:sz w:val="21"/>
              </w:rPr>
            </w:pPr>
          </w:p>
          <w:p w14:paraId="0E0D3AC9">
            <w:pPr>
              <w:spacing w:line="241" w:lineRule="auto"/>
              <w:rPr>
                <w:rFonts w:ascii="Arial"/>
                <w:sz w:val="21"/>
              </w:rPr>
            </w:pPr>
          </w:p>
          <w:p w14:paraId="41965043">
            <w:pPr>
              <w:pStyle w:val="6"/>
              <w:spacing w:before="99" w:line="185" w:lineRule="auto"/>
              <w:ind w:left="110" w:right="111" w:firstLine="18"/>
              <w:jc w:val="both"/>
            </w:pPr>
            <w:r>
              <w:rPr>
                <w:spacing w:val="8"/>
              </w:rPr>
              <w:t>生产、储存</w:t>
            </w:r>
            <w:r>
              <w:rPr>
                <w:spacing w:val="12"/>
              </w:rPr>
              <w:t>危险化学品的企业或者使用危险化学品从事生产的企业未按照规定将安全评价报告以及整改方案的落实</w:t>
            </w:r>
            <w:r>
              <w:rPr>
                <w:spacing w:val="7"/>
              </w:rPr>
              <w:t>情况备案的</w:t>
            </w:r>
          </w:p>
        </w:tc>
        <w:tc>
          <w:tcPr>
            <w:tcW w:w="3202" w:type="dxa"/>
            <w:vMerge w:val="restart"/>
            <w:tcBorders>
              <w:bottom w:val="nil"/>
            </w:tcBorders>
            <w:vAlign w:val="top"/>
          </w:tcPr>
          <w:p w14:paraId="14F18EFB">
            <w:pPr>
              <w:pStyle w:val="6"/>
              <w:spacing w:before="39" w:line="182" w:lineRule="auto"/>
              <w:ind w:left="116" w:right="110" w:hanging="18"/>
              <w:jc w:val="both"/>
            </w:pPr>
            <w:r>
              <w:rPr>
                <w:spacing w:val="18"/>
              </w:rPr>
              <w:t>【行政法规】《危险化学品</w:t>
            </w:r>
            <w:r>
              <w:rPr>
                <w:spacing w:val="17"/>
              </w:rPr>
              <w:t>安全管理条例》第二十二条</w:t>
            </w:r>
            <w:r>
              <w:rPr>
                <w:spacing w:val="12"/>
              </w:rPr>
              <w:t>第二款：生产、储存危险化</w:t>
            </w:r>
            <w:r>
              <w:rPr>
                <w:spacing w:val="13"/>
              </w:rPr>
              <w:t>学品的企业，应当将安全评</w:t>
            </w:r>
            <w:r>
              <w:rPr>
                <w:spacing w:val="17"/>
              </w:rPr>
              <w:t>价报告以及整改方案的落实情况报所在地县级人民政府</w:t>
            </w:r>
            <w:r>
              <w:rPr>
                <w:spacing w:val="39"/>
              </w:rPr>
              <w:t>安全生产监督管理部门备</w:t>
            </w:r>
            <w:r>
              <w:rPr>
                <w:spacing w:val="17"/>
              </w:rPr>
              <w:t>案。在港区内储存危险化学</w:t>
            </w:r>
            <w:r>
              <w:rPr>
                <w:spacing w:val="13"/>
              </w:rPr>
              <w:t>品的企业，应当将安全评价</w:t>
            </w:r>
            <w:r>
              <w:rPr>
                <w:spacing w:val="17"/>
              </w:rPr>
              <w:t>报告以及整改方案的落实情</w:t>
            </w:r>
            <w:r>
              <w:rPr>
                <w:spacing w:val="39"/>
              </w:rPr>
              <w:t>况报港口行政管理部门备</w:t>
            </w:r>
            <w:r>
              <w:rPr>
                <w:spacing w:val="-7"/>
              </w:rPr>
              <w:t>案。</w:t>
            </w:r>
          </w:p>
          <w:p w14:paraId="2D67CFB7">
            <w:pPr>
              <w:pStyle w:val="6"/>
              <w:spacing w:before="19" w:line="180" w:lineRule="auto"/>
              <w:ind w:left="114" w:right="21" w:firstLine="13"/>
            </w:pPr>
            <w:r>
              <w:rPr>
                <w:spacing w:val="13"/>
              </w:rPr>
              <w:t>第三十二条：本条例第十六</w:t>
            </w:r>
            <w:r>
              <w:rPr>
                <w:spacing w:val="17"/>
              </w:rPr>
              <w:t>条关于生产实施重点环境管理的危险化学品的企业的规</w:t>
            </w:r>
            <w:r>
              <w:rPr>
                <w:spacing w:val="13"/>
              </w:rPr>
              <w:t>定，适用于使用实施重点环</w:t>
            </w:r>
            <w:r>
              <w:rPr>
                <w:spacing w:val="17"/>
              </w:rPr>
              <w:t>境管理的危险化学品从事生</w:t>
            </w:r>
            <w:r>
              <w:rPr>
                <w:spacing w:val="13"/>
              </w:rPr>
              <w:t>产的企业；第二十条、第二</w:t>
            </w:r>
            <w:r>
              <w:rPr>
                <w:spacing w:val="5"/>
              </w:rPr>
              <w:t>十一条、第二十三条第一款、</w:t>
            </w:r>
            <w:r>
              <w:rPr>
                <w:spacing w:val="17"/>
              </w:rPr>
              <w:t>第二十七条关于生产、储存</w:t>
            </w:r>
            <w:r>
              <w:rPr>
                <w:spacing w:val="13"/>
              </w:rPr>
              <w:t>危险化学品的单位的规定，</w:t>
            </w:r>
            <w:r>
              <w:rPr>
                <w:spacing w:val="17"/>
              </w:rPr>
              <w:t>适用于使用危险化学品的单</w:t>
            </w:r>
            <w:r>
              <w:rPr>
                <w:spacing w:val="10"/>
              </w:rPr>
              <w:t>位；第二十二条关于生产、</w:t>
            </w:r>
            <w:r>
              <w:rPr>
                <w:spacing w:val="17"/>
              </w:rPr>
              <w:t>储存危险化学品的企业的规</w:t>
            </w:r>
            <w:r>
              <w:rPr>
                <w:spacing w:val="13"/>
              </w:rPr>
              <w:t>定，适用于使用危险化学品</w:t>
            </w:r>
            <w:r>
              <w:rPr>
                <w:spacing w:val="4"/>
              </w:rPr>
              <w:t>从事生产的企业。</w:t>
            </w:r>
          </w:p>
        </w:tc>
        <w:tc>
          <w:tcPr>
            <w:tcW w:w="2859" w:type="dxa"/>
            <w:vMerge w:val="restart"/>
            <w:tcBorders>
              <w:bottom w:val="nil"/>
            </w:tcBorders>
            <w:vAlign w:val="top"/>
          </w:tcPr>
          <w:p w14:paraId="366BAA41">
            <w:pPr>
              <w:pStyle w:val="6"/>
              <w:spacing w:before="36" w:line="182" w:lineRule="auto"/>
              <w:ind w:left="115" w:right="105" w:hanging="18"/>
              <w:jc w:val="both"/>
              <w:rPr>
                <w:rFonts w:ascii="仿宋" w:hAnsi="仿宋" w:eastAsia="仿宋" w:cs="仿宋"/>
              </w:rPr>
            </w:pPr>
            <w:r>
              <w:rPr>
                <w:spacing w:val="10"/>
              </w:rPr>
              <w:t>【行政法规】《危险化学</w:t>
            </w:r>
            <w:r>
              <w:rPr>
                <w:spacing w:val="8"/>
              </w:rPr>
              <w:t>品安全管理条例》第八十</w:t>
            </w:r>
            <w:r>
              <w:rPr>
                <w:spacing w:val="2"/>
              </w:rPr>
              <w:t>一条第一款、第二款：有</w:t>
            </w:r>
            <w:r>
              <w:rPr>
                <w:spacing w:val="8"/>
              </w:rPr>
              <w:t>下列情形之一的，由公安</w:t>
            </w:r>
            <w:r>
              <w:rPr>
                <w:spacing w:val="6"/>
              </w:rPr>
              <w:t>机关责令改正，可以处</w:t>
            </w:r>
            <w:r>
              <w:rPr>
                <w:rFonts w:ascii="宋体" w:hAnsi="宋体" w:eastAsia="宋体" w:cs="宋体"/>
                <w:spacing w:val="6"/>
              </w:rPr>
              <w:t>1</w:t>
            </w:r>
            <w:r>
              <w:rPr>
                <w:spacing w:val="8"/>
              </w:rPr>
              <w:t>万元以下的罚款；拒不改</w:t>
            </w:r>
            <w:r>
              <w:rPr>
                <w:spacing w:val="-3"/>
              </w:rPr>
              <w:t>正的，处</w:t>
            </w:r>
            <w:r>
              <w:rPr>
                <w:rFonts w:ascii="宋体" w:hAnsi="宋体" w:eastAsia="宋体" w:cs="宋体"/>
                <w:spacing w:val="-3"/>
              </w:rPr>
              <w:t>1</w:t>
            </w:r>
            <w:r>
              <w:rPr>
                <w:spacing w:val="-3"/>
              </w:rPr>
              <w:t>万元以上</w:t>
            </w:r>
            <w:r>
              <w:rPr>
                <w:rFonts w:ascii="宋体" w:hAnsi="宋体" w:eastAsia="宋体" w:cs="宋体"/>
                <w:spacing w:val="-3"/>
              </w:rPr>
              <w:t>5</w:t>
            </w:r>
            <w:r>
              <w:rPr>
                <w:spacing w:val="-3"/>
              </w:rPr>
              <w:t>万</w:t>
            </w:r>
            <w:r>
              <w:rPr>
                <w:spacing w:val="5"/>
              </w:rPr>
              <w:t>元以下的罚款</w:t>
            </w:r>
            <w:r>
              <w:rPr>
                <w:rFonts w:ascii="仿宋" w:hAnsi="仿宋" w:eastAsia="仿宋" w:cs="仿宋"/>
                <w:spacing w:val="5"/>
              </w:rPr>
              <w:t>……</w:t>
            </w:r>
          </w:p>
          <w:p w14:paraId="0C0D975E">
            <w:pPr>
              <w:pStyle w:val="6"/>
              <w:spacing w:before="5" w:line="181" w:lineRule="auto"/>
              <w:ind w:left="116" w:right="110" w:firstLine="14"/>
              <w:jc w:val="both"/>
            </w:pPr>
            <w:r>
              <w:rPr>
                <w:spacing w:val="7"/>
              </w:rPr>
              <w:t>生产、储存危险化学品的</w:t>
            </w:r>
            <w:r>
              <w:rPr>
                <w:spacing w:val="8"/>
              </w:rPr>
              <w:t>企业或者使用危险化学品从事生产的企业未按照本条例规定将安全评价报告以及整改方案的落实情况报安全生产监督管理部门或者港口行政管理部门备案，或者储存危险化学品的单位未将其剧毒化学品以及储存数量构成重大危险源的其他危险化学品的储存数量、储存地点以及管理人员的情况报安全生产监督管理部门或者港口</w:t>
            </w:r>
            <w:r>
              <w:rPr>
                <w:spacing w:val="2"/>
              </w:rPr>
              <w:t>行政管理部门备案的，分</w:t>
            </w:r>
            <w:r>
              <w:rPr>
                <w:spacing w:val="8"/>
              </w:rPr>
              <w:t>别由安全生产监督管理部门或者港口行政管理部门</w:t>
            </w:r>
            <w:r>
              <w:rPr>
                <w:spacing w:val="5"/>
              </w:rPr>
              <w:t>依照前款规定予以处罚。</w:t>
            </w:r>
          </w:p>
        </w:tc>
        <w:tc>
          <w:tcPr>
            <w:tcW w:w="803" w:type="dxa"/>
            <w:vAlign w:val="top"/>
          </w:tcPr>
          <w:p w14:paraId="4206CCC8">
            <w:pPr>
              <w:spacing w:line="307" w:lineRule="auto"/>
              <w:rPr>
                <w:rFonts w:ascii="Arial"/>
                <w:sz w:val="21"/>
              </w:rPr>
            </w:pPr>
          </w:p>
          <w:p w14:paraId="3FE360F5">
            <w:pPr>
              <w:spacing w:line="307" w:lineRule="auto"/>
              <w:rPr>
                <w:rFonts w:ascii="Arial"/>
                <w:sz w:val="21"/>
              </w:rPr>
            </w:pPr>
          </w:p>
          <w:p w14:paraId="1F51951D">
            <w:pPr>
              <w:spacing w:line="308" w:lineRule="auto"/>
              <w:rPr>
                <w:rFonts w:ascii="Arial"/>
                <w:sz w:val="21"/>
              </w:rPr>
            </w:pPr>
          </w:p>
          <w:p w14:paraId="4AD39417">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A01539B">
            <w:pPr>
              <w:spacing w:line="353" w:lineRule="auto"/>
              <w:rPr>
                <w:rFonts w:ascii="Arial"/>
                <w:sz w:val="21"/>
              </w:rPr>
            </w:pPr>
          </w:p>
          <w:p w14:paraId="238921D3">
            <w:pPr>
              <w:spacing w:line="354" w:lineRule="auto"/>
              <w:rPr>
                <w:rFonts w:ascii="Arial"/>
                <w:sz w:val="21"/>
              </w:rPr>
            </w:pPr>
          </w:p>
          <w:p w14:paraId="1B981092">
            <w:pPr>
              <w:pStyle w:val="6"/>
              <w:spacing w:before="98" w:line="196" w:lineRule="auto"/>
              <w:ind w:left="145" w:right="105" w:hanging="28"/>
            </w:pPr>
            <w:r>
              <w:rPr>
                <w:spacing w:val="-2"/>
              </w:rPr>
              <w:t>超出规定时限</w:t>
            </w:r>
            <w:r>
              <w:rPr>
                <w:rFonts w:ascii="宋体" w:hAnsi="宋体" w:eastAsia="宋体" w:cs="宋体"/>
                <w:spacing w:val="-2"/>
              </w:rPr>
              <w:t>10</w:t>
            </w:r>
            <w:r>
              <w:rPr>
                <w:spacing w:val="-2"/>
              </w:rPr>
              <w:t>日</w:t>
            </w:r>
            <w:r>
              <w:rPr>
                <w:spacing w:val="2"/>
              </w:rPr>
              <w:t>以内未备案的</w:t>
            </w:r>
          </w:p>
        </w:tc>
        <w:tc>
          <w:tcPr>
            <w:tcW w:w="2894" w:type="dxa"/>
            <w:vAlign w:val="top"/>
          </w:tcPr>
          <w:p w14:paraId="7AE66A73">
            <w:pPr>
              <w:spacing w:line="279" w:lineRule="auto"/>
              <w:rPr>
                <w:rFonts w:ascii="Arial"/>
                <w:sz w:val="21"/>
              </w:rPr>
            </w:pPr>
          </w:p>
          <w:p w14:paraId="570982F9">
            <w:pPr>
              <w:spacing w:line="280" w:lineRule="auto"/>
              <w:rPr>
                <w:rFonts w:ascii="Arial"/>
                <w:sz w:val="21"/>
              </w:rPr>
            </w:pPr>
          </w:p>
          <w:p w14:paraId="15CE00E7">
            <w:pPr>
              <w:pStyle w:val="6"/>
              <w:spacing w:before="98" w:line="191" w:lineRule="auto"/>
              <w:ind w:left="122" w:right="104" w:firstLine="5"/>
              <w:jc w:val="both"/>
            </w:pPr>
            <w:r>
              <w:rPr>
                <w:spacing w:val="21"/>
              </w:rPr>
              <w:t>可以处</w:t>
            </w:r>
            <w:r>
              <w:rPr>
                <w:rFonts w:ascii="宋体" w:hAnsi="宋体" w:eastAsia="宋体" w:cs="宋体"/>
                <w:spacing w:val="21"/>
              </w:rPr>
              <w:t>1</w:t>
            </w:r>
            <w:r>
              <w:rPr>
                <w:spacing w:val="21"/>
              </w:rPr>
              <w:t>万元以下的罚</w:t>
            </w:r>
            <w:r>
              <w:rPr>
                <w:spacing w:val="-1"/>
              </w:rPr>
              <w:t>款；拒不改正的，处</w:t>
            </w:r>
            <w:r>
              <w:rPr>
                <w:rFonts w:ascii="宋体" w:hAnsi="宋体" w:eastAsia="宋体" w:cs="宋体"/>
                <w:spacing w:val="-1"/>
              </w:rPr>
              <w:t>1</w:t>
            </w:r>
            <w:r>
              <w:rPr>
                <w:spacing w:val="-1"/>
              </w:rPr>
              <w:t>万</w:t>
            </w:r>
            <w:r>
              <w:rPr>
                <w:spacing w:val="4"/>
              </w:rPr>
              <w:t>元以上</w:t>
            </w:r>
            <w:r>
              <w:rPr>
                <w:rFonts w:ascii="宋体" w:hAnsi="宋体" w:eastAsia="宋体" w:cs="宋体"/>
                <w:spacing w:val="4"/>
              </w:rPr>
              <w:t>2</w:t>
            </w:r>
            <w:r>
              <w:rPr>
                <w:spacing w:val="4"/>
              </w:rPr>
              <w:t>万元以下的罚款</w:t>
            </w:r>
          </w:p>
        </w:tc>
        <w:tc>
          <w:tcPr>
            <w:tcW w:w="811" w:type="dxa"/>
            <w:vMerge w:val="restart"/>
            <w:tcBorders>
              <w:bottom w:val="nil"/>
            </w:tcBorders>
            <w:vAlign w:val="top"/>
          </w:tcPr>
          <w:p w14:paraId="42A99F20">
            <w:pPr>
              <w:spacing w:line="248" w:lineRule="auto"/>
              <w:rPr>
                <w:rFonts w:ascii="Arial"/>
                <w:sz w:val="21"/>
              </w:rPr>
            </w:pPr>
          </w:p>
          <w:p w14:paraId="6C6B3EF4">
            <w:pPr>
              <w:spacing w:line="248" w:lineRule="auto"/>
              <w:rPr>
                <w:rFonts w:ascii="Arial"/>
                <w:sz w:val="21"/>
              </w:rPr>
            </w:pPr>
          </w:p>
          <w:p w14:paraId="03875CB5">
            <w:pPr>
              <w:spacing w:line="248" w:lineRule="auto"/>
              <w:rPr>
                <w:rFonts w:ascii="Arial"/>
                <w:sz w:val="21"/>
              </w:rPr>
            </w:pPr>
          </w:p>
          <w:p w14:paraId="0C909902">
            <w:pPr>
              <w:spacing w:line="248" w:lineRule="auto"/>
              <w:rPr>
                <w:rFonts w:ascii="Arial"/>
                <w:sz w:val="21"/>
              </w:rPr>
            </w:pPr>
          </w:p>
          <w:p w14:paraId="3E62D475">
            <w:pPr>
              <w:spacing w:line="248" w:lineRule="auto"/>
              <w:rPr>
                <w:rFonts w:ascii="Arial"/>
                <w:sz w:val="21"/>
              </w:rPr>
            </w:pPr>
          </w:p>
          <w:p w14:paraId="68095AD6">
            <w:pPr>
              <w:spacing w:line="248" w:lineRule="auto"/>
              <w:rPr>
                <w:rFonts w:ascii="Arial"/>
                <w:sz w:val="21"/>
              </w:rPr>
            </w:pPr>
          </w:p>
          <w:p w14:paraId="6744AAE7">
            <w:pPr>
              <w:spacing w:line="248" w:lineRule="auto"/>
              <w:rPr>
                <w:rFonts w:ascii="Arial"/>
                <w:sz w:val="21"/>
              </w:rPr>
            </w:pPr>
          </w:p>
          <w:p w14:paraId="415A1041">
            <w:pPr>
              <w:spacing w:line="248" w:lineRule="auto"/>
              <w:rPr>
                <w:rFonts w:ascii="Arial"/>
                <w:sz w:val="21"/>
              </w:rPr>
            </w:pPr>
          </w:p>
          <w:p w14:paraId="17921DCB">
            <w:pPr>
              <w:spacing w:line="248" w:lineRule="auto"/>
              <w:rPr>
                <w:rFonts w:ascii="Arial"/>
                <w:sz w:val="21"/>
              </w:rPr>
            </w:pPr>
          </w:p>
          <w:p w14:paraId="59724685">
            <w:pPr>
              <w:spacing w:line="248" w:lineRule="auto"/>
              <w:rPr>
                <w:rFonts w:ascii="Arial"/>
                <w:sz w:val="21"/>
              </w:rPr>
            </w:pPr>
          </w:p>
          <w:p w14:paraId="1538D90E">
            <w:pPr>
              <w:spacing w:line="249" w:lineRule="auto"/>
              <w:rPr>
                <w:rFonts w:ascii="Arial"/>
                <w:sz w:val="21"/>
              </w:rPr>
            </w:pPr>
          </w:p>
          <w:p w14:paraId="08F4AECB">
            <w:pPr>
              <w:spacing w:line="249" w:lineRule="auto"/>
              <w:rPr>
                <w:rFonts w:ascii="Arial"/>
                <w:sz w:val="21"/>
              </w:rPr>
            </w:pPr>
          </w:p>
          <w:p w14:paraId="1CF315A0">
            <w:pPr>
              <w:spacing w:line="249" w:lineRule="auto"/>
              <w:rPr>
                <w:rFonts w:ascii="Arial"/>
                <w:sz w:val="21"/>
              </w:rPr>
            </w:pPr>
          </w:p>
          <w:p w14:paraId="51EFF59A">
            <w:pPr>
              <w:spacing w:line="249" w:lineRule="auto"/>
              <w:rPr>
                <w:rFonts w:ascii="Arial"/>
                <w:sz w:val="21"/>
              </w:rPr>
            </w:pPr>
          </w:p>
          <w:p w14:paraId="061EE458">
            <w:pPr>
              <w:spacing w:line="249" w:lineRule="auto"/>
              <w:rPr>
                <w:rFonts w:ascii="Arial"/>
                <w:sz w:val="21"/>
              </w:rPr>
            </w:pPr>
          </w:p>
          <w:p w14:paraId="35F0C937">
            <w:pPr>
              <w:spacing w:before="75" w:line="188" w:lineRule="auto"/>
              <w:ind w:left="292"/>
              <w:rPr>
                <w:rFonts w:ascii="宋体" w:hAnsi="宋体" w:eastAsia="宋体" w:cs="宋体"/>
                <w:sz w:val="23"/>
                <w:szCs w:val="23"/>
              </w:rPr>
            </w:pPr>
            <w:r>
              <w:rPr>
                <w:rFonts w:ascii="宋体" w:hAnsi="宋体" w:eastAsia="宋体" w:cs="宋体"/>
                <w:spacing w:val="-2"/>
                <w:sz w:val="23"/>
                <w:szCs w:val="23"/>
              </w:rPr>
              <w:t>99</w:t>
            </w:r>
          </w:p>
        </w:tc>
      </w:tr>
      <w:tr w14:paraId="1217C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9" w:hRule="atLeast"/>
        </w:trPr>
        <w:tc>
          <w:tcPr>
            <w:tcW w:w="818" w:type="dxa"/>
            <w:vMerge w:val="continue"/>
            <w:tcBorders>
              <w:top w:val="nil"/>
              <w:bottom w:val="nil"/>
            </w:tcBorders>
            <w:vAlign w:val="top"/>
          </w:tcPr>
          <w:p w14:paraId="304AEB36">
            <w:pPr>
              <w:rPr>
                <w:rFonts w:ascii="Arial"/>
                <w:sz w:val="21"/>
              </w:rPr>
            </w:pPr>
          </w:p>
        </w:tc>
        <w:tc>
          <w:tcPr>
            <w:tcW w:w="1440" w:type="dxa"/>
            <w:vMerge w:val="continue"/>
            <w:tcBorders>
              <w:top w:val="nil"/>
              <w:bottom w:val="nil"/>
            </w:tcBorders>
            <w:vAlign w:val="top"/>
          </w:tcPr>
          <w:p w14:paraId="139CF164">
            <w:pPr>
              <w:rPr>
                <w:rFonts w:ascii="Arial"/>
                <w:sz w:val="21"/>
              </w:rPr>
            </w:pPr>
          </w:p>
        </w:tc>
        <w:tc>
          <w:tcPr>
            <w:tcW w:w="3202" w:type="dxa"/>
            <w:vMerge w:val="continue"/>
            <w:tcBorders>
              <w:top w:val="nil"/>
              <w:bottom w:val="nil"/>
            </w:tcBorders>
            <w:vAlign w:val="top"/>
          </w:tcPr>
          <w:p w14:paraId="4E082C07">
            <w:pPr>
              <w:rPr>
                <w:rFonts w:ascii="Arial"/>
                <w:sz w:val="21"/>
              </w:rPr>
            </w:pPr>
          </w:p>
        </w:tc>
        <w:tc>
          <w:tcPr>
            <w:tcW w:w="2859" w:type="dxa"/>
            <w:vMerge w:val="continue"/>
            <w:tcBorders>
              <w:top w:val="nil"/>
              <w:bottom w:val="nil"/>
            </w:tcBorders>
            <w:vAlign w:val="top"/>
          </w:tcPr>
          <w:p w14:paraId="0F4E60CB">
            <w:pPr>
              <w:rPr>
                <w:rFonts w:ascii="Arial"/>
                <w:sz w:val="21"/>
              </w:rPr>
            </w:pPr>
          </w:p>
        </w:tc>
        <w:tc>
          <w:tcPr>
            <w:tcW w:w="803" w:type="dxa"/>
            <w:vAlign w:val="top"/>
          </w:tcPr>
          <w:p w14:paraId="016CF44D">
            <w:pPr>
              <w:spacing w:line="269" w:lineRule="auto"/>
              <w:rPr>
                <w:rFonts w:ascii="Arial"/>
                <w:sz w:val="21"/>
              </w:rPr>
            </w:pPr>
          </w:p>
          <w:p w14:paraId="6AB1D188">
            <w:pPr>
              <w:spacing w:line="269" w:lineRule="auto"/>
              <w:rPr>
                <w:rFonts w:ascii="Arial"/>
                <w:sz w:val="21"/>
              </w:rPr>
            </w:pPr>
          </w:p>
          <w:p w14:paraId="56E1F957">
            <w:pPr>
              <w:spacing w:line="269" w:lineRule="auto"/>
              <w:rPr>
                <w:rFonts w:ascii="Arial"/>
                <w:sz w:val="21"/>
              </w:rPr>
            </w:pPr>
          </w:p>
          <w:p w14:paraId="79101F61">
            <w:pPr>
              <w:spacing w:line="269" w:lineRule="auto"/>
              <w:rPr>
                <w:rFonts w:ascii="Arial"/>
                <w:sz w:val="21"/>
              </w:rPr>
            </w:pPr>
          </w:p>
          <w:p w14:paraId="31F33C2A">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EA975D7">
            <w:pPr>
              <w:spacing w:line="355" w:lineRule="auto"/>
              <w:rPr>
                <w:rFonts w:ascii="Arial"/>
                <w:sz w:val="21"/>
              </w:rPr>
            </w:pPr>
          </w:p>
          <w:p w14:paraId="1761F483">
            <w:pPr>
              <w:spacing w:line="356" w:lineRule="auto"/>
              <w:rPr>
                <w:rFonts w:ascii="Arial"/>
                <w:sz w:val="21"/>
              </w:rPr>
            </w:pPr>
          </w:p>
          <w:p w14:paraId="0B4BB662">
            <w:pPr>
              <w:pStyle w:val="6"/>
              <w:spacing w:before="99" w:line="191" w:lineRule="auto"/>
              <w:ind w:left="123" w:right="105" w:hanging="6"/>
              <w:jc w:val="both"/>
            </w:pPr>
            <w:r>
              <w:rPr>
                <w:spacing w:val="-2"/>
              </w:rPr>
              <w:t>超出规定时限</w:t>
            </w:r>
            <w:r>
              <w:rPr>
                <w:rFonts w:ascii="宋体" w:hAnsi="宋体" w:eastAsia="宋体" w:cs="宋体"/>
                <w:spacing w:val="-2"/>
              </w:rPr>
              <w:t>10</w:t>
            </w:r>
            <w:r>
              <w:rPr>
                <w:spacing w:val="-2"/>
              </w:rPr>
              <w:t>日</w:t>
            </w:r>
            <w:r>
              <w:t>以上</w:t>
            </w:r>
            <w:r>
              <w:rPr>
                <w:rFonts w:ascii="宋体" w:hAnsi="宋体" w:eastAsia="宋体" w:cs="宋体"/>
              </w:rPr>
              <w:t>20</w:t>
            </w:r>
            <w:r>
              <w:t>日以内未备</w:t>
            </w:r>
            <w:r>
              <w:rPr>
                <w:spacing w:val="-1"/>
              </w:rPr>
              <w:t>案的</w:t>
            </w:r>
          </w:p>
        </w:tc>
        <w:tc>
          <w:tcPr>
            <w:tcW w:w="2894" w:type="dxa"/>
            <w:vAlign w:val="top"/>
          </w:tcPr>
          <w:p w14:paraId="5DC4AA50">
            <w:pPr>
              <w:spacing w:line="355" w:lineRule="auto"/>
              <w:rPr>
                <w:rFonts w:ascii="Arial"/>
                <w:sz w:val="21"/>
              </w:rPr>
            </w:pPr>
          </w:p>
          <w:p w14:paraId="7A334C86">
            <w:pPr>
              <w:spacing w:line="356" w:lineRule="auto"/>
              <w:rPr>
                <w:rFonts w:ascii="Arial"/>
                <w:sz w:val="21"/>
              </w:rPr>
            </w:pPr>
          </w:p>
          <w:p w14:paraId="64C6D3F9">
            <w:pPr>
              <w:pStyle w:val="6"/>
              <w:spacing w:before="99" w:line="191" w:lineRule="auto"/>
              <w:ind w:left="122" w:right="104" w:firstLine="5"/>
              <w:jc w:val="both"/>
            </w:pPr>
            <w:r>
              <w:rPr>
                <w:spacing w:val="21"/>
              </w:rPr>
              <w:t>可以处</w:t>
            </w:r>
            <w:r>
              <w:rPr>
                <w:rFonts w:ascii="宋体" w:hAnsi="宋体" w:eastAsia="宋体" w:cs="宋体"/>
                <w:spacing w:val="21"/>
              </w:rPr>
              <w:t>1</w:t>
            </w:r>
            <w:r>
              <w:rPr>
                <w:spacing w:val="21"/>
              </w:rPr>
              <w:t>万元以下的罚</w:t>
            </w:r>
            <w:r>
              <w:rPr>
                <w:spacing w:val="2"/>
              </w:rPr>
              <w:t>款；拒不改正的，处</w:t>
            </w:r>
            <w:r>
              <w:rPr>
                <w:rFonts w:ascii="宋体" w:hAnsi="宋体" w:eastAsia="宋体" w:cs="宋体"/>
                <w:spacing w:val="2"/>
              </w:rPr>
              <w:t>2</w:t>
            </w:r>
            <w:r>
              <w:rPr>
                <w:spacing w:val="2"/>
              </w:rPr>
              <w:t>万</w:t>
            </w:r>
            <w:r>
              <w:rPr>
                <w:spacing w:val="4"/>
              </w:rPr>
              <w:t>元以上</w:t>
            </w:r>
            <w:r>
              <w:rPr>
                <w:rFonts w:ascii="宋体" w:hAnsi="宋体" w:eastAsia="宋体" w:cs="宋体"/>
                <w:spacing w:val="4"/>
              </w:rPr>
              <w:t>4</w:t>
            </w:r>
            <w:r>
              <w:rPr>
                <w:spacing w:val="4"/>
              </w:rPr>
              <w:t>万元以下的罚款</w:t>
            </w:r>
          </w:p>
        </w:tc>
        <w:tc>
          <w:tcPr>
            <w:tcW w:w="811" w:type="dxa"/>
            <w:vMerge w:val="continue"/>
            <w:tcBorders>
              <w:top w:val="nil"/>
              <w:bottom w:val="nil"/>
            </w:tcBorders>
            <w:vAlign w:val="top"/>
          </w:tcPr>
          <w:p w14:paraId="7AF35F6E">
            <w:pPr>
              <w:rPr>
                <w:rFonts w:ascii="Arial"/>
                <w:sz w:val="21"/>
              </w:rPr>
            </w:pPr>
          </w:p>
        </w:tc>
      </w:tr>
      <w:tr w14:paraId="6B41C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8" w:hRule="atLeast"/>
        </w:trPr>
        <w:tc>
          <w:tcPr>
            <w:tcW w:w="818" w:type="dxa"/>
            <w:vMerge w:val="continue"/>
            <w:tcBorders>
              <w:top w:val="nil"/>
            </w:tcBorders>
            <w:vAlign w:val="top"/>
          </w:tcPr>
          <w:p w14:paraId="04A2382F">
            <w:pPr>
              <w:rPr>
                <w:rFonts w:ascii="Arial"/>
                <w:sz w:val="21"/>
              </w:rPr>
            </w:pPr>
          </w:p>
        </w:tc>
        <w:tc>
          <w:tcPr>
            <w:tcW w:w="1440" w:type="dxa"/>
            <w:vMerge w:val="continue"/>
            <w:tcBorders>
              <w:top w:val="nil"/>
            </w:tcBorders>
            <w:vAlign w:val="top"/>
          </w:tcPr>
          <w:p w14:paraId="5CDDA200">
            <w:pPr>
              <w:rPr>
                <w:rFonts w:ascii="Arial"/>
                <w:sz w:val="21"/>
              </w:rPr>
            </w:pPr>
          </w:p>
        </w:tc>
        <w:tc>
          <w:tcPr>
            <w:tcW w:w="3202" w:type="dxa"/>
            <w:vMerge w:val="continue"/>
            <w:tcBorders>
              <w:top w:val="nil"/>
            </w:tcBorders>
            <w:vAlign w:val="top"/>
          </w:tcPr>
          <w:p w14:paraId="20D87D28">
            <w:pPr>
              <w:rPr>
                <w:rFonts w:ascii="Arial"/>
                <w:sz w:val="21"/>
              </w:rPr>
            </w:pPr>
          </w:p>
        </w:tc>
        <w:tc>
          <w:tcPr>
            <w:tcW w:w="2859" w:type="dxa"/>
            <w:vMerge w:val="continue"/>
            <w:tcBorders>
              <w:top w:val="nil"/>
            </w:tcBorders>
            <w:vAlign w:val="top"/>
          </w:tcPr>
          <w:p w14:paraId="5053A915">
            <w:pPr>
              <w:rPr>
                <w:rFonts w:ascii="Arial"/>
                <w:sz w:val="21"/>
              </w:rPr>
            </w:pPr>
          </w:p>
        </w:tc>
        <w:tc>
          <w:tcPr>
            <w:tcW w:w="803" w:type="dxa"/>
            <w:vAlign w:val="top"/>
          </w:tcPr>
          <w:p w14:paraId="158D087A">
            <w:pPr>
              <w:spacing w:line="283" w:lineRule="auto"/>
              <w:rPr>
                <w:rFonts w:ascii="Arial"/>
                <w:sz w:val="21"/>
              </w:rPr>
            </w:pPr>
          </w:p>
          <w:p w14:paraId="31F9693A">
            <w:pPr>
              <w:spacing w:line="284" w:lineRule="auto"/>
              <w:rPr>
                <w:rFonts w:ascii="Arial"/>
                <w:sz w:val="21"/>
              </w:rPr>
            </w:pPr>
          </w:p>
          <w:p w14:paraId="05FEE46A">
            <w:pPr>
              <w:spacing w:line="284" w:lineRule="auto"/>
              <w:rPr>
                <w:rFonts w:ascii="Arial"/>
                <w:sz w:val="21"/>
              </w:rPr>
            </w:pPr>
          </w:p>
          <w:p w14:paraId="0BAAFDEA">
            <w:pPr>
              <w:spacing w:line="284" w:lineRule="auto"/>
              <w:rPr>
                <w:rFonts w:ascii="Arial"/>
                <w:sz w:val="21"/>
              </w:rPr>
            </w:pPr>
          </w:p>
          <w:p w14:paraId="5E6C7F65">
            <w:pPr>
              <w:spacing w:line="284" w:lineRule="auto"/>
              <w:rPr>
                <w:rFonts w:ascii="Arial"/>
                <w:sz w:val="21"/>
              </w:rPr>
            </w:pPr>
          </w:p>
          <w:p w14:paraId="7EE927C7">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A39C99D">
            <w:pPr>
              <w:rPr>
                <w:rFonts w:ascii="Arial"/>
                <w:sz w:val="21"/>
              </w:rPr>
            </w:pPr>
          </w:p>
          <w:p w14:paraId="5F30C4A1">
            <w:pPr>
              <w:rPr>
                <w:rFonts w:ascii="Arial"/>
                <w:sz w:val="21"/>
              </w:rPr>
            </w:pPr>
          </w:p>
          <w:p w14:paraId="2E79E3FE">
            <w:pPr>
              <w:rPr>
                <w:rFonts w:ascii="Arial"/>
                <w:sz w:val="21"/>
              </w:rPr>
            </w:pPr>
          </w:p>
          <w:p w14:paraId="7EBBD922">
            <w:pPr>
              <w:rPr>
                <w:rFonts w:ascii="Arial"/>
                <w:sz w:val="21"/>
              </w:rPr>
            </w:pPr>
          </w:p>
          <w:p w14:paraId="0E6DF414">
            <w:pPr>
              <w:spacing w:line="241" w:lineRule="auto"/>
              <w:rPr>
                <w:rFonts w:ascii="Arial"/>
                <w:sz w:val="21"/>
              </w:rPr>
            </w:pPr>
          </w:p>
          <w:p w14:paraId="25B2DE04">
            <w:pPr>
              <w:pStyle w:val="6"/>
              <w:spacing w:before="98" w:line="196" w:lineRule="auto"/>
              <w:ind w:left="145" w:right="105" w:hanging="28"/>
            </w:pPr>
            <w:r>
              <w:rPr>
                <w:spacing w:val="1"/>
              </w:rPr>
              <w:t>超出规定时限</w:t>
            </w:r>
            <w:r>
              <w:rPr>
                <w:rFonts w:ascii="宋体" w:hAnsi="宋体" w:eastAsia="宋体" w:cs="宋体"/>
                <w:spacing w:val="1"/>
              </w:rPr>
              <w:t>20</w:t>
            </w:r>
            <w:r>
              <w:rPr>
                <w:spacing w:val="1"/>
              </w:rPr>
              <w:t>日</w:t>
            </w:r>
            <w:r>
              <w:rPr>
                <w:spacing w:val="2"/>
              </w:rPr>
              <w:t>以上未备案的</w:t>
            </w:r>
          </w:p>
        </w:tc>
        <w:tc>
          <w:tcPr>
            <w:tcW w:w="2894" w:type="dxa"/>
            <w:vAlign w:val="top"/>
          </w:tcPr>
          <w:p w14:paraId="24180FAE">
            <w:pPr>
              <w:spacing w:line="263" w:lineRule="auto"/>
              <w:rPr>
                <w:rFonts w:ascii="Arial"/>
                <w:sz w:val="21"/>
              </w:rPr>
            </w:pPr>
          </w:p>
          <w:p w14:paraId="7AB91039">
            <w:pPr>
              <w:spacing w:line="263" w:lineRule="auto"/>
              <w:rPr>
                <w:rFonts w:ascii="Arial"/>
                <w:sz w:val="21"/>
              </w:rPr>
            </w:pPr>
          </w:p>
          <w:p w14:paraId="40712C4E">
            <w:pPr>
              <w:spacing w:line="263" w:lineRule="auto"/>
              <w:rPr>
                <w:rFonts w:ascii="Arial"/>
                <w:sz w:val="21"/>
              </w:rPr>
            </w:pPr>
          </w:p>
          <w:p w14:paraId="6B85F8B7">
            <w:pPr>
              <w:spacing w:line="264" w:lineRule="auto"/>
              <w:rPr>
                <w:rFonts w:ascii="Arial"/>
                <w:sz w:val="21"/>
              </w:rPr>
            </w:pPr>
          </w:p>
          <w:p w14:paraId="00C8807A">
            <w:pPr>
              <w:pStyle w:val="6"/>
              <w:spacing w:before="98" w:line="191" w:lineRule="auto"/>
              <w:ind w:left="122" w:right="104" w:firstLine="5"/>
              <w:jc w:val="both"/>
            </w:pPr>
            <w:r>
              <w:rPr>
                <w:spacing w:val="21"/>
              </w:rPr>
              <w:t>可以处</w:t>
            </w:r>
            <w:r>
              <w:rPr>
                <w:rFonts w:ascii="宋体" w:hAnsi="宋体" w:eastAsia="宋体" w:cs="宋体"/>
                <w:spacing w:val="21"/>
              </w:rPr>
              <w:t>1</w:t>
            </w:r>
            <w:r>
              <w:rPr>
                <w:spacing w:val="21"/>
              </w:rPr>
              <w:t>万元以下的罚</w:t>
            </w:r>
            <w:r>
              <w:rPr>
                <w:spacing w:val="2"/>
              </w:rPr>
              <w:t>款；拒不改正的，处</w:t>
            </w:r>
            <w:r>
              <w:rPr>
                <w:rFonts w:ascii="宋体" w:hAnsi="宋体" w:eastAsia="宋体" w:cs="宋体"/>
                <w:spacing w:val="2"/>
              </w:rPr>
              <w:t>4</w:t>
            </w:r>
            <w:r>
              <w:rPr>
                <w:spacing w:val="2"/>
              </w:rPr>
              <w:t>万</w:t>
            </w:r>
            <w:r>
              <w:rPr>
                <w:spacing w:val="4"/>
              </w:rPr>
              <w:t>元以上</w:t>
            </w:r>
            <w:r>
              <w:rPr>
                <w:rFonts w:ascii="宋体" w:hAnsi="宋体" w:eastAsia="宋体" w:cs="宋体"/>
                <w:spacing w:val="4"/>
              </w:rPr>
              <w:t>5</w:t>
            </w:r>
            <w:r>
              <w:rPr>
                <w:spacing w:val="4"/>
              </w:rPr>
              <w:t>万元以下的罚款</w:t>
            </w:r>
          </w:p>
        </w:tc>
        <w:tc>
          <w:tcPr>
            <w:tcW w:w="811" w:type="dxa"/>
            <w:vMerge w:val="continue"/>
            <w:tcBorders>
              <w:top w:val="nil"/>
            </w:tcBorders>
            <w:vAlign w:val="top"/>
          </w:tcPr>
          <w:p w14:paraId="14C9D136">
            <w:pPr>
              <w:rPr>
                <w:rFonts w:ascii="Arial"/>
                <w:sz w:val="21"/>
              </w:rPr>
            </w:pPr>
          </w:p>
        </w:tc>
      </w:tr>
    </w:tbl>
    <w:p w14:paraId="1915CC46">
      <w:pPr>
        <w:pStyle w:val="2"/>
      </w:pPr>
    </w:p>
    <w:p w14:paraId="63F9D09D">
      <w:pPr>
        <w:sectPr>
          <w:footerReference r:id="rId163" w:type="default"/>
          <w:pgSz w:w="16839" w:h="11906"/>
          <w:pgMar w:top="1012" w:right="821" w:bottom="667" w:left="901" w:header="0" w:footer="388" w:gutter="0"/>
          <w:cols w:space="720" w:num="1"/>
        </w:sectPr>
      </w:pPr>
    </w:p>
    <w:p w14:paraId="4E892D2C">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8DC7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94D132A">
            <w:pPr>
              <w:spacing w:before="222" w:line="241" w:lineRule="auto"/>
              <w:ind w:left="131"/>
              <w:rPr>
                <w:rFonts w:ascii="黑体" w:hAnsi="黑体" w:eastAsia="黑体" w:cs="黑体"/>
                <w:sz w:val="28"/>
                <w:szCs w:val="28"/>
              </w:rPr>
            </w:pPr>
            <w:bookmarkStart w:id="597" w:name="bookmark300"/>
            <w:bookmarkEnd w:id="597"/>
            <w:bookmarkStart w:id="598" w:name="bookmark561"/>
            <w:bookmarkEnd w:id="598"/>
            <w:r>
              <w:rPr>
                <w:rFonts w:ascii="黑体" w:hAnsi="黑体" w:eastAsia="黑体" w:cs="黑体"/>
                <w:spacing w:val="-2"/>
                <w:sz w:val="28"/>
                <w:szCs w:val="28"/>
              </w:rPr>
              <w:t>序号</w:t>
            </w:r>
          </w:p>
        </w:tc>
        <w:tc>
          <w:tcPr>
            <w:tcW w:w="1440" w:type="dxa"/>
            <w:vAlign w:val="top"/>
          </w:tcPr>
          <w:p w14:paraId="4881ED38">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78CBBB8">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D9DDDCB">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1861D426">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7D40CDA">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DE0D8E6">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76F17E71">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09AB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7" w:hRule="atLeast"/>
        </w:trPr>
        <w:tc>
          <w:tcPr>
            <w:tcW w:w="818" w:type="dxa"/>
            <w:vMerge w:val="restart"/>
            <w:tcBorders>
              <w:bottom w:val="nil"/>
            </w:tcBorders>
            <w:vAlign w:val="top"/>
          </w:tcPr>
          <w:p w14:paraId="5CC304B6">
            <w:pPr>
              <w:spacing w:line="248" w:lineRule="auto"/>
              <w:rPr>
                <w:rFonts w:ascii="Arial"/>
                <w:sz w:val="21"/>
              </w:rPr>
            </w:pPr>
          </w:p>
          <w:p w14:paraId="0DEAF2F7">
            <w:pPr>
              <w:spacing w:line="248" w:lineRule="auto"/>
              <w:rPr>
                <w:rFonts w:ascii="Arial"/>
                <w:sz w:val="21"/>
              </w:rPr>
            </w:pPr>
          </w:p>
          <w:p w14:paraId="6DE470FD">
            <w:pPr>
              <w:spacing w:line="248" w:lineRule="auto"/>
              <w:rPr>
                <w:rFonts w:ascii="Arial"/>
                <w:sz w:val="21"/>
              </w:rPr>
            </w:pPr>
          </w:p>
          <w:p w14:paraId="2F3F2200">
            <w:pPr>
              <w:spacing w:line="248" w:lineRule="auto"/>
              <w:rPr>
                <w:rFonts w:ascii="Arial"/>
                <w:sz w:val="21"/>
              </w:rPr>
            </w:pPr>
          </w:p>
          <w:p w14:paraId="4539F8AF">
            <w:pPr>
              <w:spacing w:line="248" w:lineRule="auto"/>
              <w:rPr>
                <w:rFonts w:ascii="Arial"/>
                <w:sz w:val="21"/>
              </w:rPr>
            </w:pPr>
          </w:p>
          <w:p w14:paraId="56F45205">
            <w:pPr>
              <w:spacing w:line="248" w:lineRule="auto"/>
              <w:rPr>
                <w:rFonts w:ascii="Arial"/>
                <w:sz w:val="21"/>
              </w:rPr>
            </w:pPr>
          </w:p>
          <w:p w14:paraId="27271346">
            <w:pPr>
              <w:spacing w:line="248" w:lineRule="auto"/>
              <w:rPr>
                <w:rFonts w:ascii="Arial"/>
                <w:sz w:val="21"/>
              </w:rPr>
            </w:pPr>
          </w:p>
          <w:p w14:paraId="6A435667">
            <w:pPr>
              <w:spacing w:line="248" w:lineRule="auto"/>
              <w:rPr>
                <w:rFonts w:ascii="Arial"/>
                <w:sz w:val="21"/>
              </w:rPr>
            </w:pPr>
          </w:p>
          <w:p w14:paraId="6540D95B">
            <w:pPr>
              <w:spacing w:line="249" w:lineRule="auto"/>
              <w:rPr>
                <w:rFonts w:ascii="Arial"/>
                <w:sz w:val="21"/>
              </w:rPr>
            </w:pPr>
          </w:p>
          <w:p w14:paraId="00E368A1">
            <w:pPr>
              <w:spacing w:line="249" w:lineRule="auto"/>
              <w:rPr>
                <w:rFonts w:ascii="Arial"/>
                <w:sz w:val="21"/>
              </w:rPr>
            </w:pPr>
          </w:p>
          <w:p w14:paraId="2DCAD21D">
            <w:pPr>
              <w:spacing w:line="249" w:lineRule="auto"/>
              <w:rPr>
                <w:rFonts w:ascii="Arial"/>
                <w:sz w:val="21"/>
              </w:rPr>
            </w:pPr>
          </w:p>
          <w:p w14:paraId="5B01CAFE">
            <w:pPr>
              <w:spacing w:line="249" w:lineRule="auto"/>
              <w:rPr>
                <w:rFonts w:ascii="Arial"/>
                <w:sz w:val="21"/>
              </w:rPr>
            </w:pPr>
          </w:p>
          <w:p w14:paraId="58217D40">
            <w:pPr>
              <w:spacing w:line="249" w:lineRule="auto"/>
              <w:rPr>
                <w:rFonts w:ascii="Arial"/>
                <w:sz w:val="21"/>
              </w:rPr>
            </w:pPr>
          </w:p>
          <w:p w14:paraId="6C5F020B">
            <w:pPr>
              <w:spacing w:line="249" w:lineRule="auto"/>
              <w:rPr>
                <w:rFonts w:ascii="Arial"/>
                <w:sz w:val="21"/>
              </w:rPr>
            </w:pPr>
          </w:p>
          <w:p w14:paraId="17359897">
            <w:pPr>
              <w:spacing w:line="249" w:lineRule="auto"/>
              <w:rPr>
                <w:rFonts w:ascii="Arial"/>
                <w:sz w:val="21"/>
              </w:rPr>
            </w:pPr>
          </w:p>
          <w:p w14:paraId="25CCC507">
            <w:pPr>
              <w:spacing w:before="75" w:line="186" w:lineRule="auto"/>
              <w:ind w:left="161"/>
              <w:rPr>
                <w:rFonts w:ascii="仿宋" w:hAnsi="仿宋" w:eastAsia="仿宋" w:cs="仿宋"/>
                <w:sz w:val="23"/>
                <w:szCs w:val="23"/>
              </w:rPr>
            </w:pPr>
            <w:r>
              <w:rPr>
                <w:rFonts w:ascii="仿宋" w:hAnsi="仿宋" w:eastAsia="仿宋" w:cs="仿宋"/>
                <w:spacing w:val="-5"/>
                <w:sz w:val="23"/>
                <w:szCs w:val="23"/>
              </w:rPr>
              <w:t>146</w:t>
            </w:r>
          </w:p>
        </w:tc>
        <w:tc>
          <w:tcPr>
            <w:tcW w:w="1440" w:type="dxa"/>
            <w:vMerge w:val="restart"/>
            <w:tcBorders>
              <w:bottom w:val="nil"/>
            </w:tcBorders>
            <w:vAlign w:val="top"/>
          </w:tcPr>
          <w:p w14:paraId="6FCEBAA3">
            <w:pPr>
              <w:spacing w:line="267" w:lineRule="auto"/>
              <w:rPr>
                <w:rFonts w:ascii="Arial"/>
                <w:sz w:val="21"/>
              </w:rPr>
            </w:pPr>
          </w:p>
          <w:p w14:paraId="66B5678C">
            <w:pPr>
              <w:spacing w:line="267" w:lineRule="auto"/>
              <w:rPr>
                <w:rFonts w:ascii="Arial"/>
                <w:sz w:val="21"/>
              </w:rPr>
            </w:pPr>
          </w:p>
          <w:p w14:paraId="5CF9FDFD">
            <w:pPr>
              <w:spacing w:line="267" w:lineRule="auto"/>
              <w:rPr>
                <w:rFonts w:ascii="Arial"/>
                <w:sz w:val="21"/>
              </w:rPr>
            </w:pPr>
          </w:p>
          <w:p w14:paraId="00E68AE9">
            <w:pPr>
              <w:spacing w:line="267" w:lineRule="auto"/>
              <w:rPr>
                <w:rFonts w:ascii="Arial"/>
                <w:sz w:val="21"/>
              </w:rPr>
            </w:pPr>
          </w:p>
          <w:p w14:paraId="6A653CB8">
            <w:pPr>
              <w:spacing w:line="267" w:lineRule="auto"/>
              <w:rPr>
                <w:rFonts w:ascii="Arial"/>
                <w:sz w:val="21"/>
              </w:rPr>
            </w:pPr>
          </w:p>
          <w:p w14:paraId="04405386">
            <w:pPr>
              <w:spacing w:line="267" w:lineRule="auto"/>
              <w:rPr>
                <w:rFonts w:ascii="Arial"/>
                <w:sz w:val="21"/>
              </w:rPr>
            </w:pPr>
          </w:p>
          <w:p w14:paraId="1C403A1D">
            <w:pPr>
              <w:spacing w:line="267" w:lineRule="auto"/>
              <w:rPr>
                <w:rFonts w:ascii="Arial"/>
                <w:sz w:val="21"/>
              </w:rPr>
            </w:pPr>
          </w:p>
          <w:p w14:paraId="2499E139">
            <w:pPr>
              <w:pStyle w:val="6"/>
              <w:spacing w:before="99" w:line="182" w:lineRule="auto"/>
              <w:ind w:left="114"/>
            </w:pPr>
            <w:r>
              <w:rPr>
                <w:spacing w:val="11"/>
              </w:rPr>
              <w:t>储存危险化</w:t>
            </w:r>
          </w:p>
          <w:p w14:paraId="0576DF92">
            <w:pPr>
              <w:pStyle w:val="6"/>
              <w:spacing w:line="182" w:lineRule="auto"/>
              <w:ind w:left="128"/>
              <w:outlineLvl w:val="0"/>
            </w:pPr>
            <w:r>
              <w:rPr>
                <w:spacing w:val="9"/>
              </w:rPr>
              <w:t>学品的单位</w:t>
            </w:r>
          </w:p>
          <w:p w14:paraId="304461F4">
            <w:pPr>
              <w:pStyle w:val="6"/>
              <w:spacing w:before="2" w:line="185" w:lineRule="auto"/>
              <w:ind w:left="113" w:right="111" w:firstLine="2"/>
            </w:pPr>
            <w:r>
              <w:rPr>
                <w:spacing w:val="11"/>
              </w:rPr>
              <w:t>未将其剧毒</w:t>
            </w:r>
            <w:bookmarkStart w:id="599" w:name="bookmark562"/>
            <w:bookmarkEnd w:id="599"/>
            <w:bookmarkStart w:id="600" w:name="bookmark302"/>
            <w:bookmarkEnd w:id="600"/>
            <w:r>
              <w:rPr>
                <w:spacing w:val="12"/>
              </w:rPr>
              <w:t>化学品以及储存数量构成重大危险源的其他危险化学品的</w:t>
            </w:r>
            <w:r>
              <w:rPr>
                <w:spacing w:val="6"/>
              </w:rPr>
              <w:t>储存数量、</w:t>
            </w:r>
            <w:r>
              <w:rPr>
                <w:spacing w:val="12"/>
              </w:rPr>
              <w:t>储存地点以及管理人员的情况备案</w:t>
            </w:r>
            <w:r>
              <w:t>的</w:t>
            </w:r>
          </w:p>
        </w:tc>
        <w:tc>
          <w:tcPr>
            <w:tcW w:w="3202" w:type="dxa"/>
            <w:vMerge w:val="restart"/>
            <w:tcBorders>
              <w:bottom w:val="nil"/>
            </w:tcBorders>
            <w:vAlign w:val="top"/>
          </w:tcPr>
          <w:p w14:paraId="22BE7859">
            <w:pPr>
              <w:pStyle w:val="6"/>
              <w:spacing w:before="30" w:line="182" w:lineRule="auto"/>
              <w:ind w:left="123" w:right="111" w:hanging="25"/>
              <w:jc w:val="both"/>
            </w:pPr>
            <w:r>
              <w:rPr>
                <w:spacing w:val="18"/>
              </w:rPr>
              <w:t>【行政法规】《危险化学品</w:t>
            </w:r>
            <w:r>
              <w:rPr>
                <w:spacing w:val="16"/>
              </w:rPr>
              <w:t>安全管理条例》第二十五条</w:t>
            </w:r>
            <w:r>
              <w:rPr>
                <w:spacing w:val="13"/>
              </w:rPr>
              <w:t>第二款：对剧毒化学品以及</w:t>
            </w:r>
          </w:p>
          <w:p w14:paraId="180BBDCF">
            <w:pPr>
              <w:pStyle w:val="6"/>
              <w:spacing w:line="182" w:lineRule="auto"/>
              <w:ind w:left="116"/>
              <w:outlineLvl w:val="0"/>
            </w:pPr>
            <w:r>
              <w:rPr>
                <w:spacing w:val="17"/>
              </w:rPr>
              <w:t>储存数量构成重大危险源的</w:t>
            </w:r>
          </w:p>
          <w:p w14:paraId="3E37835A">
            <w:pPr>
              <w:pStyle w:val="6"/>
              <w:spacing w:before="5" w:line="185" w:lineRule="auto"/>
              <w:ind w:left="115" w:right="111"/>
              <w:jc w:val="both"/>
            </w:pPr>
            <w:r>
              <w:rPr>
                <w:spacing w:val="14"/>
              </w:rPr>
              <w:t>其他危险化学品，储存单位</w:t>
            </w:r>
            <w:r>
              <w:rPr>
                <w:spacing w:val="17"/>
              </w:rPr>
              <w:t>应当将其储存数量、储存地</w:t>
            </w:r>
            <w:r>
              <w:rPr>
                <w:spacing w:val="13"/>
              </w:rPr>
              <w:t>点以及管理人员的情况，报</w:t>
            </w:r>
            <w:r>
              <w:rPr>
                <w:spacing w:val="17"/>
              </w:rPr>
              <w:t>所在地县级人民政府安全生产监督管理部门（在港区内</w:t>
            </w:r>
            <w:r>
              <w:rPr>
                <w:spacing w:val="13"/>
              </w:rPr>
              <w:t>储存的，报港口行政管理部</w:t>
            </w:r>
            <w:r>
              <w:rPr>
                <w:spacing w:val="4"/>
              </w:rPr>
              <w:t>门）和公安机关备案。</w:t>
            </w:r>
          </w:p>
        </w:tc>
        <w:tc>
          <w:tcPr>
            <w:tcW w:w="2859" w:type="dxa"/>
            <w:vMerge w:val="restart"/>
            <w:tcBorders>
              <w:bottom w:val="nil"/>
            </w:tcBorders>
            <w:vAlign w:val="top"/>
          </w:tcPr>
          <w:p w14:paraId="764371EE">
            <w:pPr>
              <w:pStyle w:val="6"/>
              <w:spacing w:before="33" w:line="182" w:lineRule="auto"/>
              <w:ind w:left="115" w:right="105" w:hanging="18"/>
              <w:jc w:val="both"/>
              <w:rPr>
                <w:rFonts w:ascii="仿宋" w:hAnsi="仿宋" w:eastAsia="仿宋" w:cs="仿宋"/>
              </w:rPr>
            </w:pPr>
            <w:r>
              <w:rPr>
                <w:spacing w:val="10"/>
              </w:rPr>
              <w:t>【行政法规】《危险化学</w:t>
            </w:r>
            <w:r>
              <w:rPr>
                <w:spacing w:val="8"/>
              </w:rPr>
              <w:t>品安全管理条例》第八十</w:t>
            </w:r>
            <w:r>
              <w:rPr>
                <w:spacing w:val="2"/>
              </w:rPr>
              <w:t>一条第一款、第二款：有</w:t>
            </w:r>
            <w:r>
              <w:rPr>
                <w:spacing w:val="8"/>
              </w:rPr>
              <w:t>下列情形之一的，由公安</w:t>
            </w:r>
            <w:r>
              <w:rPr>
                <w:spacing w:val="6"/>
              </w:rPr>
              <w:t>机关责令改正，可以处</w:t>
            </w:r>
            <w:r>
              <w:rPr>
                <w:rFonts w:ascii="宋体" w:hAnsi="宋体" w:eastAsia="宋体" w:cs="宋体"/>
                <w:spacing w:val="6"/>
              </w:rPr>
              <w:t>1</w:t>
            </w:r>
            <w:r>
              <w:rPr>
                <w:spacing w:val="8"/>
              </w:rPr>
              <w:t>万元以下的罚款；拒不改</w:t>
            </w:r>
            <w:r>
              <w:t>正的，处</w:t>
            </w:r>
            <w:r>
              <w:rPr>
                <w:rFonts w:ascii="宋体" w:hAnsi="宋体" w:eastAsia="宋体" w:cs="宋体"/>
              </w:rPr>
              <w:t>1</w:t>
            </w:r>
            <w:r>
              <w:t>万元以上</w:t>
            </w:r>
            <w:r>
              <w:rPr>
                <w:rFonts w:ascii="宋体" w:hAnsi="宋体" w:eastAsia="宋体" w:cs="宋体"/>
              </w:rPr>
              <w:t>5</w:t>
            </w:r>
            <w:r>
              <w:t>万</w:t>
            </w:r>
            <w:r>
              <w:rPr>
                <w:spacing w:val="5"/>
              </w:rPr>
              <w:t>元以下的罚款</w:t>
            </w:r>
            <w:r>
              <w:rPr>
                <w:rFonts w:ascii="仿宋" w:hAnsi="仿宋" w:eastAsia="仿宋" w:cs="仿宋"/>
                <w:spacing w:val="5"/>
              </w:rPr>
              <w:t>……</w:t>
            </w:r>
          </w:p>
          <w:p w14:paraId="77F6B4C7">
            <w:pPr>
              <w:pStyle w:val="6"/>
              <w:spacing w:before="5" w:line="181" w:lineRule="auto"/>
              <w:ind w:left="116" w:right="110" w:firstLine="14"/>
              <w:jc w:val="both"/>
            </w:pPr>
            <w:r>
              <w:rPr>
                <w:spacing w:val="7"/>
              </w:rPr>
              <w:t>生产、储存危险化学品的</w:t>
            </w:r>
            <w:r>
              <w:rPr>
                <w:spacing w:val="8"/>
              </w:rPr>
              <w:t>企业或者使用危险化学品从事生产的企业未按照本条例规定将安全评价报告以及整改方案的落实情况报安全生产监督管理部门或者港口行政管理部门备案，或者储存危险化学品的单位未将其剧毒化学品以及储存数量构成重大危险源的其他危险化学品的储存数量、储存地点以及管理人员的情况报安全生产监督管理部门或者港口</w:t>
            </w:r>
            <w:r>
              <w:rPr>
                <w:spacing w:val="2"/>
              </w:rPr>
              <w:t>行政管理部门备案的，分</w:t>
            </w:r>
            <w:r>
              <w:rPr>
                <w:spacing w:val="8"/>
              </w:rPr>
              <w:t>别由安全生产监督管理部门或者港口行政管理部门</w:t>
            </w:r>
            <w:r>
              <w:rPr>
                <w:spacing w:val="5"/>
              </w:rPr>
              <w:t>依照前款规定予以处罚。</w:t>
            </w:r>
          </w:p>
        </w:tc>
        <w:tc>
          <w:tcPr>
            <w:tcW w:w="803" w:type="dxa"/>
            <w:vAlign w:val="top"/>
          </w:tcPr>
          <w:p w14:paraId="2EEA9F0A">
            <w:pPr>
              <w:spacing w:line="262" w:lineRule="auto"/>
              <w:rPr>
                <w:rFonts w:ascii="Arial"/>
                <w:sz w:val="21"/>
              </w:rPr>
            </w:pPr>
          </w:p>
          <w:p w14:paraId="38672F4C">
            <w:pPr>
              <w:spacing w:line="263" w:lineRule="auto"/>
              <w:rPr>
                <w:rFonts w:ascii="Arial"/>
                <w:sz w:val="21"/>
              </w:rPr>
            </w:pPr>
          </w:p>
          <w:p w14:paraId="7142F976">
            <w:pPr>
              <w:spacing w:line="263" w:lineRule="auto"/>
              <w:rPr>
                <w:rFonts w:ascii="Arial"/>
                <w:sz w:val="21"/>
              </w:rPr>
            </w:pPr>
          </w:p>
          <w:p w14:paraId="434C3D63">
            <w:pPr>
              <w:spacing w:line="263" w:lineRule="auto"/>
              <w:rPr>
                <w:rFonts w:ascii="Arial"/>
                <w:sz w:val="21"/>
              </w:rPr>
            </w:pPr>
          </w:p>
          <w:p w14:paraId="30EA1DAD">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7997909">
            <w:pPr>
              <w:spacing w:line="278" w:lineRule="auto"/>
              <w:rPr>
                <w:rFonts w:ascii="Arial"/>
                <w:sz w:val="21"/>
              </w:rPr>
            </w:pPr>
          </w:p>
          <w:p w14:paraId="6EF651E9">
            <w:pPr>
              <w:spacing w:line="278" w:lineRule="auto"/>
              <w:rPr>
                <w:rFonts w:ascii="Arial"/>
                <w:sz w:val="21"/>
              </w:rPr>
            </w:pPr>
          </w:p>
          <w:p w14:paraId="072FF433">
            <w:pPr>
              <w:spacing w:line="279" w:lineRule="auto"/>
              <w:rPr>
                <w:rFonts w:ascii="Arial"/>
                <w:sz w:val="21"/>
              </w:rPr>
            </w:pPr>
          </w:p>
          <w:p w14:paraId="262ADB34">
            <w:pPr>
              <w:pStyle w:val="6"/>
              <w:spacing w:before="98" w:line="196" w:lineRule="auto"/>
              <w:ind w:left="145" w:right="105" w:hanging="28"/>
            </w:pPr>
            <w:r>
              <w:rPr>
                <w:spacing w:val="-2"/>
              </w:rPr>
              <w:t>超出规定时限</w:t>
            </w:r>
            <w:r>
              <w:rPr>
                <w:rFonts w:ascii="宋体" w:hAnsi="宋体" w:eastAsia="宋体" w:cs="宋体"/>
                <w:spacing w:val="-2"/>
              </w:rPr>
              <w:t>10</w:t>
            </w:r>
            <w:r>
              <w:rPr>
                <w:spacing w:val="-2"/>
              </w:rPr>
              <w:t>日</w:t>
            </w:r>
            <w:r>
              <w:rPr>
                <w:spacing w:val="2"/>
              </w:rPr>
              <w:t>以内未备案的</w:t>
            </w:r>
          </w:p>
        </w:tc>
        <w:tc>
          <w:tcPr>
            <w:tcW w:w="2894" w:type="dxa"/>
            <w:vAlign w:val="top"/>
          </w:tcPr>
          <w:p w14:paraId="42FBDAFF">
            <w:pPr>
              <w:spacing w:line="343" w:lineRule="auto"/>
              <w:rPr>
                <w:rFonts w:ascii="Arial"/>
                <w:sz w:val="21"/>
              </w:rPr>
            </w:pPr>
          </w:p>
          <w:p w14:paraId="3D5899F1">
            <w:pPr>
              <w:spacing w:line="344" w:lineRule="auto"/>
              <w:rPr>
                <w:rFonts w:ascii="Arial"/>
                <w:sz w:val="21"/>
              </w:rPr>
            </w:pPr>
          </w:p>
          <w:p w14:paraId="77969DCD">
            <w:pPr>
              <w:pStyle w:val="6"/>
              <w:spacing w:before="98" w:line="191" w:lineRule="auto"/>
              <w:ind w:left="122" w:right="104" w:firstLine="5"/>
              <w:jc w:val="both"/>
            </w:pPr>
            <w:r>
              <w:rPr>
                <w:spacing w:val="21"/>
              </w:rPr>
              <w:t>可以处</w:t>
            </w:r>
            <w:r>
              <w:rPr>
                <w:rFonts w:ascii="宋体" w:hAnsi="宋体" w:eastAsia="宋体" w:cs="宋体"/>
                <w:spacing w:val="21"/>
              </w:rPr>
              <w:t>1</w:t>
            </w:r>
            <w:r>
              <w:rPr>
                <w:spacing w:val="21"/>
              </w:rPr>
              <w:t>万元以下的罚</w:t>
            </w:r>
            <w:r>
              <w:rPr>
                <w:spacing w:val="-1"/>
              </w:rPr>
              <w:t>款；拒不改正的，处</w:t>
            </w:r>
            <w:r>
              <w:rPr>
                <w:rFonts w:ascii="宋体" w:hAnsi="宋体" w:eastAsia="宋体" w:cs="宋体"/>
                <w:spacing w:val="-1"/>
              </w:rPr>
              <w:t>1</w:t>
            </w:r>
            <w:r>
              <w:rPr>
                <w:spacing w:val="-1"/>
              </w:rPr>
              <w:t>万</w:t>
            </w:r>
            <w:r>
              <w:rPr>
                <w:spacing w:val="4"/>
              </w:rPr>
              <w:t>元以上</w:t>
            </w:r>
            <w:r>
              <w:rPr>
                <w:rFonts w:ascii="宋体" w:hAnsi="宋体" w:eastAsia="宋体" w:cs="宋体"/>
                <w:spacing w:val="4"/>
              </w:rPr>
              <w:t>2</w:t>
            </w:r>
            <w:r>
              <w:rPr>
                <w:spacing w:val="4"/>
              </w:rPr>
              <w:t>万元以下的罚款</w:t>
            </w:r>
          </w:p>
        </w:tc>
        <w:tc>
          <w:tcPr>
            <w:tcW w:w="811" w:type="dxa"/>
            <w:vMerge w:val="restart"/>
            <w:tcBorders>
              <w:bottom w:val="nil"/>
            </w:tcBorders>
            <w:vAlign w:val="top"/>
          </w:tcPr>
          <w:p w14:paraId="1AD8C134">
            <w:pPr>
              <w:spacing w:line="248" w:lineRule="auto"/>
              <w:rPr>
                <w:rFonts w:ascii="Arial"/>
                <w:sz w:val="21"/>
              </w:rPr>
            </w:pPr>
          </w:p>
          <w:p w14:paraId="6ED2CEAB">
            <w:pPr>
              <w:spacing w:line="248" w:lineRule="auto"/>
              <w:rPr>
                <w:rFonts w:ascii="Arial"/>
                <w:sz w:val="21"/>
              </w:rPr>
            </w:pPr>
          </w:p>
          <w:p w14:paraId="245BD247">
            <w:pPr>
              <w:spacing w:line="248" w:lineRule="auto"/>
              <w:rPr>
                <w:rFonts w:ascii="Arial"/>
                <w:sz w:val="21"/>
              </w:rPr>
            </w:pPr>
          </w:p>
          <w:p w14:paraId="5A641ECA">
            <w:pPr>
              <w:spacing w:line="248" w:lineRule="auto"/>
              <w:rPr>
                <w:rFonts w:ascii="Arial"/>
                <w:sz w:val="21"/>
              </w:rPr>
            </w:pPr>
          </w:p>
          <w:p w14:paraId="04571252">
            <w:pPr>
              <w:spacing w:line="248" w:lineRule="auto"/>
              <w:rPr>
                <w:rFonts w:ascii="Arial"/>
                <w:sz w:val="21"/>
              </w:rPr>
            </w:pPr>
          </w:p>
          <w:p w14:paraId="0996773D">
            <w:pPr>
              <w:spacing w:line="248" w:lineRule="auto"/>
              <w:rPr>
                <w:rFonts w:ascii="Arial"/>
                <w:sz w:val="21"/>
              </w:rPr>
            </w:pPr>
          </w:p>
          <w:p w14:paraId="39187E04">
            <w:pPr>
              <w:spacing w:line="248" w:lineRule="auto"/>
              <w:rPr>
                <w:rFonts w:ascii="Arial"/>
                <w:sz w:val="21"/>
              </w:rPr>
            </w:pPr>
          </w:p>
          <w:p w14:paraId="5D331B97">
            <w:pPr>
              <w:spacing w:line="248" w:lineRule="auto"/>
              <w:rPr>
                <w:rFonts w:ascii="Arial"/>
                <w:sz w:val="21"/>
              </w:rPr>
            </w:pPr>
          </w:p>
          <w:p w14:paraId="76F928AB">
            <w:pPr>
              <w:spacing w:line="248" w:lineRule="auto"/>
              <w:rPr>
                <w:rFonts w:ascii="Arial"/>
                <w:sz w:val="21"/>
              </w:rPr>
            </w:pPr>
          </w:p>
          <w:p w14:paraId="35940328">
            <w:pPr>
              <w:spacing w:line="248" w:lineRule="auto"/>
              <w:rPr>
                <w:rFonts w:ascii="Arial"/>
                <w:sz w:val="21"/>
              </w:rPr>
            </w:pPr>
          </w:p>
          <w:p w14:paraId="53DF6001">
            <w:pPr>
              <w:spacing w:line="249" w:lineRule="auto"/>
              <w:rPr>
                <w:rFonts w:ascii="Arial"/>
                <w:sz w:val="21"/>
              </w:rPr>
            </w:pPr>
          </w:p>
          <w:p w14:paraId="6193FA5A">
            <w:pPr>
              <w:spacing w:line="249" w:lineRule="auto"/>
              <w:rPr>
                <w:rFonts w:ascii="Arial"/>
                <w:sz w:val="21"/>
              </w:rPr>
            </w:pPr>
          </w:p>
          <w:p w14:paraId="27C93212">
            <w:pPr>
              <w:spacing w:line="249" w:lineRule="auto"/>
              <w:rPr>
                <w:rFonts w:ascii="Arial"/>
                <w:sz w:val="21"/>
              </w:rPr>
            </w:pPr>
          </w:p>
          <w:p w14:paraId="4BB6EEB7">
            <w:pPr>
              <w:spacing w:line="249" w:lineRule="auto"/>
              <w:rPr>
                <w:rFonts w:ascii="Arial"/>
                <w:sz w:val="21"/>
              </w:rPr>
            </w:pPr>
          </w:p>
          <w:p w14:paraId="79DF86A9">
            <w:pPr>
              <w:spacing w:line="249" w:lineRule="auto"/>
              <w:rPr>
                <w:rFonts w:ascii="Arial"/>
                <w:sz w:val="21"/>
              </w:rPr>
            </w:pPr>
          </w:p>
          <w:p w14:paraId="2F72E9CF">
            <w:pPr>
              <w:spacing w:before="74" w:line="188" w:lineRule="auto"/>
              <w:ind w:left="292"/>
              <w:rPr>
                <w:rFonts w:ascii="宋体" w:hAnsi="宋体" w:eastAsia="宋体" w:cs="宋体"/>
                <w:sz w:val="23"/>
                <w:szCs w:val="23"/>
              </w:rPr>
            </w:pPr>
            <w:r>
              <w:rPr>
                <w:rFonts w:ascii="宋体" w:hAnsi="宋体" w:eastAsia="宋体" w:cs="宋体"/>
                <w:spacing w:val="-2"/>
                <w:sz w:val="23"/>
                <w:szCs w:val="23"/>
              </w:rPr>
              <w:t>99</w:t>
            </w:r>
          </w:p>
        </w:tc>
      </w:tr>
      <w:tr w14:paraId="07AC7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6" w:hRule="atLeast"/>
        </w:trPr>
        <w:tc>
          <w:tcPr>
            <w:tcW w:w="818" w:type="dxa"/>
            <w:vMerge w:val="continue"/>
            <w:tcBorders>
              <w:top w:val="nil"/>
              <w:bottom w:val="nil"/>
            </w:tcBorders>
            <w:vAlign w:val="top"/>
          </w:tcPr>
          <w:p w14:paraId="430A8094">
            <w:pPr>
              <w:rPr>
                <w:rFonts w:ascii="Arial"/>
                <w:sz w:val="21"/>
              </w:rPr>
            </w:pPr>
          </w:p>
        </w:tc>
        <w:tc>
          <w:tcPr>
            <w:tcW w:w="1440" w:type="dxa"/>
            <w:vMerge w:val="continue"/>
            <w:tcBorders>
              <w:top w:val="nil"/>
              <w:bottom w:val="nil"/>
            </w:tcBorders>
            <w:vAlign w:val="top"/>
          </w:tcPr>
          <w:p w14:paraId="68A3D446">
            <w:pPr>
              <w:rPr>
                <w:rFonts w:ascii="Arial"/>
                <w:sz w:val="21"/>
              </w:rPr>
            </w:pPr>
          </w:p>
        </w:tc>
        <w:tc>
          <w:tcPr>
            <w:tcW w:w="3202" w:type="dxa"/>
            <w:vMerge w:val="continue"/>
            <w:tcBorders>
              <w:top w:val="nil"/>
              <w:bottom w:val="nil"/>
            </w:tcBorders>
            <w:vAlign w:val="top"/>
          </w:tcPr>
          <w:p w14:paraId="27ED1F14">
            <w:pPr>
              <w:rPr>
                <w:rFonts w:ascii="Arial"/>
                <w:sz w:val="21"/>
              </w:rPr>
            </w:pPr>
          </w:p>
        </w:tc>
        <w:tc>
          <w:tcPr>
            <w:tcW w:w="2859" w:type="dxa"/>
            <w:vMerge w:val="continue"/>
            <w:tcBorders>
              <w:top w:val="nil"/>
              <w:bottom w:val="nil"/>
            </w:tcBorders>
            <w:vAlign w:val="top"/>
          </w:tcPr>
          <w:p w14:paraId="27B06A33">
            <w:pPr>
              <w:rPr>
                <w:rFonts w:ascii="Arial"/>
                <w:sz w:val="21"/>
              </w:rPr>
            </w:pPr>
          </w:p>
        </w:tc>
        <w:tc>
          <w:tcPr>
            <w:tcW w:w="803" w:type="dxa"/>
            <w:vAlign w:val="top"/>
          </w:tcPr>
          <w:p w14:paraId="141E4C07">
            <w:pPr>
              <w:spacing w:line="292" w:lineRule="auto"/>
              <w:rPr>
                <w:rFonts w:ascii="Arial"/>
                <w:sz w:val="21"/>
              </w:rPr>
            </w:pPr>
          </w:p>
          <w:p w14:paraId="70956B7E">
            <w:pPr>
              <w:spacing w:line="292" w:lineRule="auto"/>
              <w:rPr>
                <w:rFonts w:ascii="Arial"/>
                <w:sz w:val="21"/>
              </w:rPr>
            </w:pPr>
          </w:p>
          <w:p w14:paraId="0A8433AC">
            <w:pPr>
              <w:spacing w:line="293" w:lineRule="auto"/>
              <w:rPr>
                <w:rFonts w:ascii="Arial"/>
                <w:sz w:val="21"/>
              </w:rPr>
            </w:pPr>
          </w:p>
          <w:p w14:paraId="51BA6B68">
            <w:pPr>
              <w:spacing w:line="293" w:lineRule="auto"/>
              <w:rPr>
                <w:rFonts w:ascii="Arial"/>
                <w:sz w:val="21"/>
              </w:rPr>
            </w:pPr>
          </w:p>
          <w:p w14:paraId="31947933">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CF0E5BA">
            <w:pPr>
              <w:spacing w:line="267" w:lineRule="auto"/>
              <w:rPr>
                <w:rFonts w:ascii="Arial"/>
                <w:sz w:val="21"/>
              </w:rPr>
            </w:pPr>
          </w:p>
          <w:p w14:paraId="1FB287DB">
            <w:pPr>
              <w:spacing w:line="268" w:lineRule="auto"/>
              <w:rPr>
                <w:rFonts w:ascii="Arial"/>
                <w:sz w:val="21"/>
              </w:rPr>
            </w:pPr>
          </w:p>
          <w:p w14:paraId="6D5D95D3">
            <w:pPr>
              <w:spacing w:line="268" w:lineRule="auto"/>
              <w:rPr>
                <w:rFonts w:ascii="Arial"/>
                <w:sz w:val="21"/>
              </w:rPr>
            </w:pPr>
          </w:p>
          <w:p w14:paraId="74C7B2A5">
            <w:pPr>
              <w:pStyle w:val="6"/>
              <w:spacing w:before="99" w:line="191" w:lineRule="auto"/>
              <w:ind w:left="123" w:right="105" w:hanging="6"/>
              <w:jc w:val="both"/>
            </w:pPr>
            <w:r>
              <w:rPr>
                <w:spacing w:val="-2"/>
              </w:rPr>
              <w:t>超出规定时限</w:t>
            </w:r>
            <w:r>
              <w:rPr>
                <w:rFonts w:ascii="宋体" w:hAnsi="宋体" w:eastAsia="宋体" w:cs="宋体"/>
                <w:spacing w:val="-2"/>
              </w:rPr>
              <w:t>10</w:t>
            </w:r>
            <w:r>
              <w:rPr>
                <w:spacing w:val="-2"/>
              </w:rPr>
              <w:t>日</w:t>
            </w:r>
            <w:r>
              <w:t>以上</w:t>
            </w:r>
            <w:r>
              <w:rPr>
                <w:rFonts w:ascii="宋体" w:hAnsi="宋体" w:eastAsia="宋体" w:cs="宋体"/>
              </w:rPr>
              <w:t>20</w:t>
            </w:r>
            <w:r>
              <w:t>日以内未备</w:t>
            </w:r>
            <w:r>
              <w:rPr>
                <w:spacing w:val="-1"/>
              </w:rPr>
              <w:t>案的</w:t>
            </w:r>
          </w:p>
        </w:tc>
        <w:tc>
          <w:tcPr>
            <w:tcW w:w="2894" w:type="dxa"/>
            <w:vAlign w:val="top"/>
          </w:tcPr>
          <w:p w14:paraId="0D3E9040">
            <w:pPr>
              <w:spacing w:line="267" w:lineRule="auto"/>
              <w:rPr>
                <w:rFonts w:ascii="Arial"/>
                <w:sz w:val="21"/>
              </w:rPr>
            </w:pPr>
          </w:p>
          <w:p w14:paraId="11B879F2">
            <w:pPr>
              <w:spacing w:line="268" w:lineRule="auto"/>
              <w:rPr>
                <w:rFonts w:ascii="Arial"/>
                <w:sz w:val="21"/>
              </w:rPr>
            </w:pPr>
          </w:p>
          <w:p w14:paraId="564C968A">
            <w:pPr>
              <w:spacing w:line="268" w:lineRule="auto"/>
              <w:rPr>
                <w:rFonts w:ascii="Arial"/>
                <w:sz w:val="21"/>
              </w:rPr>
            </w:pPr>
          </w:p>
          <w:p w14:paraId="2150F444">
            <w:pPr>
              <w:pStyle w:val="6"/>
              <w:spacing w:before="99" w:line="191" w:lineRule="auto"/>
              <w:ind w:left="122" w:right="104" w:firstLine="5"/>
              <w:jc w:val="both"/>
            </w:pPr>
            <w:r>
              <w:rPr>
                <w:spacing w:val="21"/>
              </w:rPr>
              <w:t>可以处</w:t>
            </w:r>
            <w:r>
              <w:rPr>
                <w:rFonts w:ascii="宋体" w:hAnsi="宋体" w:eastAsia="宋体" w:cs="宋体"/>
                <w:spacing w:val="21"/>
              </w:rPr>
              <w:t>1</w:t>
            </w:r>
            <w:r>
              <w:rPr>
                <w:spacing w:val="21"/>
              </w:rPr>
              <w:t>万元以下的罚</w:t>
            </w:r>
            <w:r>
              <w:rPr>
                <w:spacing w:val="2"/>
              </w:rPr>
              <w:t>款；拒不改正的，处</w:t>
            </w:r>
            <w:r>
              <w:rPr>
                <w:rFonts w:ascii="宋体" w:hAnsi="宋体" w:eastAsia="宋体" w:cs="宋体"/>
                <w:spacing w:val="2"/>
              </w:rPr>
              <w:t>2</w:t>
            </w:r>
            <w:r>
              <w:rPr>
                <w:spacing w:val="2"/>
              </w:rPr>
              <w:t>万</w:t>
            </w:r>
            <w:r>
              <w:rPr>
                <w:spacing w:val="4"/>
              </w:rPr>
              <w:t>元以上</w:t>
            </w:r>
            <w:r>
              <w:rPr>
                <w:rFonts w:ascii="宋体" w:hAnsi="宋体" w:eastAsia="宋体" w:cs="宋体"/>
                <w:spacing w:val="4"/>
              </w:rPr>
              <w:t>4</w:t>
            </w:r>
            <w:r>
              <w:rPr>
                <w:spacing w:val="4"/>
              </w:rPr>
              <w:t>万元以下的罚款</w:t>
            </w:r>
          </w:p>
        </w:tc>
        <w:tc>
          <w:tcPr>
            <w:tcW w:w="811" w:type="dxa"/>
            <w:vMerge w:val="continue"/>
            <w:tcBorders>
              <w:top w:val="nil"/>
              <w:bottom w:val="nil"/>
            </w:tcBorders>
            <w:vAlign w:val="top"/>
          </w:tcPr>
          <w:p w14:paraId="631EC323">
            <w:pPr>
              <w:rPr>
                <w:rFonts w:ascii="Arial"/>
                <w:sz w:val="21"/>
              </w:rPr>
            </w:pPr>
          </w:p>
        </w:tc>
      </w:tr>
      <w:tr w14:paraId="32F0C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8" w:hRule="atLeast"/>
        </w:trPr>
        <w:tc>
          <w:tcPr>
            <w:tcW w:w="818" w:type="dxa"/>
            <w:vMerge w:val="continue"/>
            <w:tcBorders>
              <w:top w:val="nil"/>
            </w:tcBorders>
            <w:vAlign w:val="top"/>
          </w:tcPr>
          <w:p w14:paraId="19F12FD6">
            <w:pPr>
              <w:rPr>
                <w:rFonts w:ascii="Arial"/>
                <w:sz w:val="21"/>
              </w:rPr>
            </w:pPr>
          </w:p>
        </w:tc>
        <w:tc>
          <w:tcPr>
            <w:tcW w:w="1440" w:type="dxa"/>
            <w:vMerge w:val="continue"/>
            <w:tcBorders>
              <w:top w:val="nil"/>
            </w:tcBorders>
            <w:vAlign w:val="top"/>
          </w:tcPr>
          <w:p w14:paraId="569E2581">
            <w:pPr>
              <w:rPr>
                <w:rFonts w:ascii="Arial"/>
                <w:sz w:val="21"/>
              </w:rPr>
            </w:pPr>
          </w:p>
        </w:tc>
        <w:tc>
          <w:tcPr>
            <w:tcW w:w="3202" w:type="dxa"/>
            <w:vMerge w:val="continue"/>
            <w:tcBorders>
              <w:top w:val="nil"/>
            </w:tcBorders>
            <w:vAlign w:val="top"/>
          </w:tcPr>
          <w:p w14:paraId="295649F0">
            <w:pPr>
              <w:rPr>
                <w:rFonts w:ascii="Arial"/>
                <w:sz w:val="21"/>
              </w:rPr>
            </w:pPr>
          </w:p>
        </w:tc>
        <w:tc>
          <w:tcPr>
            <w:tcW w:w="2859" w:type="dxa"/>
            <w:vMerge w:val="continue"/>
            <w:tcBorders>
              <w:top w:val="nil"/>
            </w:tcBorders>
            <w:vAlign w:val="top"/>
          </w:tcPr>
          <w:p w14:paraId="5EC4AA15">
            <w:pPr>
              <w:rPr>
                <w:rFonts w:ascii="Arial"/>
                <w:sz w:val="21"/>
              </w:rPr>
            </w:pPr>
          </w:p>
        </w:tc>
        <w:tc>
          <w:tcPr>
            <w:tcW w:w="803" w:type="dxa"/>
            <w:vAlign w:val="top"/>
          </w:tcPr>
          <w:p w14:paraId="65647852">
            <w:pPr>
              <w:spacing w:line="299" w:lineRule="auto"/>
              <w:rPr>
                <w:rFonts w:ascii="Arial"/>
                <w:sz w:val="21"/>
              </w:rPr>
            </w:pPr>
          </w:p>
          <w:p w14:paraId="37CA7658">
            <w:pPr>
              <w:spacing w:line="299" w:lineRule="auto"/>
              <w:rPr>
                <w:rFonts w:ascii="Arial"/>
                <w:sz w:val="21"/>
              </w:rPr>
            </w:pPr>
          </w:p>
          <w:p w14:paraId="30703E6E">
            <w:pPr>
              <w:spacing w:line="299" w:lineRule="auto"/>
              <w:rPr>
                <w:rFonts w:ascii="Arial"/>
                <w:sz w:val="21"/>
              </w:rPr>
            </w:pPr>
          </w:p>
          <w:p w14:paraId="7C804A91">
            <w:pPr>
              <w:spacing w:line="299" w:lineRule="auto"/>
              <w:rPr>
                <w:rFonts w:ascii="Arial"/>
                <w:sz w:val="21"/>
              </w:rPr>
            </w:pPr>
          </w:p>
          <w:p w14:paraId="78256457">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6BE70E6">
            <w:pPr>
              <w:spacing w:line="244" w:lineRule="auto"/>
              <w:rPr>
                <w:rFonts w:ascii="Arial"/>
                <w:sz w:val="21"/>
              </w:rPr>
            </w:pPr>
          </w:p>
          <w:p w14:paraId="296ACD13">
            <w:pPr>
              <w:spacing w:line="244" w:lineRule="auto"/>
              <w:rPr>
                <w:rFonts w:ascii="Arial"/>
                <w:sz w:val="21"/>
              </w:rPr>
            </w:pPr>
          </w:p>
          <w:p w14:paraId="736588A2">
            <w:pPr>
              <w:spacing w:line="245" w:lineRule="auto"/>
              <w:rPr>
                <w:rFonts w:ascii="Arial"/>
                <w:sz w:val="21"/>
              </w:rPr>
            </w:pPr>
          </w:p>
          <w:p w14:paraId="5949E881">
            <w:pPr>
              <w:spacing w:line="245" w:lineRule="auto"/>
              <w:rPr>
                <w:rFonts w:ascii="Arial"/>
                <w:sz w:val="21"/>
              </w:rPr>
            </w:pPr>
          </w:p>
          <w:p w14:paraId="07A62148">
            <w:pPr>
              <w:pStyle w:val="6"/>
              <w:spacing w:before="98" w:line="196" w:lineRule="auto"/>
              <w:ind w:left="145" w:right="105" w:hanging="28"/>
            </w:pPr>
            <w:r>
              <w:rPr>
                <w:spacing w:val="1"/>
              </w:rPr>
              <w:t>超出规定时限</w:t>
            </w:r>
            <w:r>
              <w:rPr>
                <w:rFonts w:ascii="宋体" w:hAnsi="宋体" w:eastAsia="宋体" w:cs="宋体"/>
                <w:spacing w:val="1"/>
              </w:rPr>
              <w:t>20</w:t>
            </w:r>
            <w:r>
              <w:rPr>
                <w:spacing w:val="1"/>
              </w:rPr>
              <w:t>日</w:t>
            </w:r>
            <w:r>
              <w:rPr>
                <w:spacing w:val="2"/>
              </w:rPr>
              <w:t>以上未备案的</w:t>
            </w:r>
          </w:p>
        </w:tc>
        <w:tc>
          <w:tcPr>
            <w:tcW w:w="2894" w:type="dxa"/>
            <w:vAlign w:val="top"/>
          </w:tcPr>
          <w:p w14:paraId="2EF183A3">
            <w:pPr>
              <w:spacing w:line="276" w:lineRule="auto"/>
              <w:rPr>
                <w:rFonts w:ascii="Arial"/>
                <w:sz w:val="21"/>
              </w:rPr>
            </w:pPr>
          </w:p>
          <w:p w14:paraId="0ACECD18">
            <w:pPr>
              <w:spacing w:line="277" w:lineRule="auto"/>
              <w:rPr>
                <w:rFonts w:ascii="Arial"/>
                <w:sz w:val="21"/>
              </w:rPr>
            </w:pPr>
          </w:p>
          <w:p w14:paraId="0699F7C1">
            <w:pPr>
              <w:spacing w:line="277" w:lineRule="auto"/>
              <w:rPr>
                <w:rFonts w:ascii="Arial"/>
                <w:sz w:val="21"/>
              </w:rPr>
            </w:pPr>
          </w:p>
          <w:p w14:paraId="59B0ED91">
            <w:pPr>
              <w:pStyle w:val="6"/>
              <w:spacing w:before="98" w:line="191" w:lineRule="auto"/>
              <w:ind w:left="122" w:right="104" w:firstLine="5"/>
              <w:jc w:val="both"/>
            </w:pPr>
            <w:r>
              <w:rPr>
                <w:spacing w:val="21"/>
              </w:rPr>
              <w:t>可以处</w:t>
            </w:r>
            <w:r>
              <w:rPr>
                <w:rFonts w:ascii="宋体" w:hAnsi="宋体" w:eastAsia="宋体" w:cs="宋体"/>
                <w:spacing w:val="21"/>
              </w:rPr>
              <w:t>1</w:t>
            </w:r>
            <w:r>
              <w:rPr>
                <w:spacing w:val="21"/>
              </w:rPr>
              <w:t>万元以下的罚</w:t>
            </w:r>
            <w:r>
              <w:rPr>
                <w:spacing w:val="2"/>
              </w:rPr>
              <w:t>款；拒不改正的，处</w:t>
            </w:r>
            <w:r>
              <w:rPr>
                <w:rFonts w:ascii="宋体" w:hAnsi="宋体" w:eastAsia="宋体" w:cs="宋体"/>
                <w:spacing w:val="2"/>
              </w:rPr>
              <w:t>4</w:t>
            </w:r>
            <w:r>
              <w:rPr>
                <w:spacing w:val="2"/>
              </w:rPr>
              <w:t>万</w:t>
            </w:r>
            <w:r>
              <w:rPr>
                <w:spacing w:val="4"/>
              </w:rPr>
              <w:t>元以上</w:t>
            </w:r>
            <w:r>
              <w:rPr>
                <w:rFonts w:ascii="宋体" w:hAnsi="宋体" w:eastAsia="宋体" w:cs="宋体"/>
                <w:spacing w:val="4"/>
              </w:rPr>
              <w:t>5</w:t>
            </w:r>
            <w:r>
              <w:rPr>
                <w:spacing w:val="4"/>
              </w:rPr>
              <w:t>万元以下的罚款</w:t>
            </w:r>
          </w:p>
        </w:tc>
        <w:tc>
          <w:tcPr>
            <w:tcW w:w="811" w:type="dxa"/>
            <w:vMerge w:val="continue"/>
            <w:tcBorders>
              <w:top w:val="nil"/>
            </w:tcBorders>
            <w:vAlign w:val="top"/>
          </w:tcPr>
          <w:p w14:paraId="6CD77ADF">
            <w:pPr>
              <w:rPr>
                <w:rFonts w:ascii="Arial"/>
                <w:sz w:val="21"/>
              </w:rPr>
            </w:pPr>
          </w:p>
        </w:tc>
      </w:tr>
      <w:tr w14:paraId="05096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818" w:type="dxa"/>
            <w:vAlign w:val="top"/>
          </w:tcPr>
          <w:p w14:paraId="25FC7A3E">
            <w:pPr>
              <w:spacing w:line="451" w:lineRule="auto"/>
              <w:rPr>
                <w:rFonts w:ascii="Arial"/>
                <w:sz w:val="21"/>
              </w:rPr>
            </w:pPr>
          </w:p>
          <w:p w14:paraId="427370F6">
            <w:pPr>
              <w:spacing w:before="75" w:line="186" w:lineRule="auto"/>
              <w:ind w:left="161"/>
              <w:rPr>
                <w:rFonts w:ascii="仿宋" w:hAnsi="仿宋" w:eastAsia="仿宋" w:cs="仿宋"/>
                <w:sz w:val="23"/>
                <w:szCs w:val="23"/>
              </w:rPr>
            </w:pPr>
            <w:r>
              <w:rPr>
                <w:rFonts w:ascii="仿宋" w:hAnsi="仿宋" w:eastAsia="仿宋" w:cs="仿宋"/>
                <w:spacing w:val="-5"/>
                <w:sz w:val="23"/>
                <w:szCs w:val="23"/>
              </w:rPr>
              <w:t>147</w:t>
            </w:r>
          </w:p>
        </w:tc>
        <w:tc>
          <w:tcPr>
            <w:tcW w:w="1440" w:type="dxa"/>
            <w:vAlign w:val="top"/>
          </w:tcPr>
          <w:p w14:paraId="5CCDDD7E">
            <w:pPr>
              <w:pStyle w:val="6"/>
              <w:spacing w:before="32" w:line="177" w:lineRule="auto"/>
              <w:ind w:left="110" w:right="17" w:firstLine="18"/>
              <w:jc w:val="both"/>
            </w:pPr>
            <w:r>
              <w:rPr>
                <w:spacing w:val="-12"/>
                <w:w w:val="98"/>
              </w:rPr>
              <w:t>生产、储存、</w:t>
            </w:r>
            <w:r>
              <w:rPr>
                <w:spacing w:val="12"/>
              </w:rPr>
              <w:t>使用危险化学品的单位</w:t>
            </w:r>
            <w:r>
              <w:rPr>
                <w:spacing w:val="-13"/>
              </w:rPr>
              <w:t>转产、停产、</w:t>
            </w:r>
          </w:p>
        </w:tc>
        <w:tc>
          <w:tcPr>
            <w:tcW w:w="3202" w:type="dxa"/>
            <w:vAlign w:val="top"/>
          </w:tcPr>
          <w:p w14:paraId="6BECF83B">
            <w:pPr>
              <w:pStyle w:val="6"/>
              <w:spacing w:before="32" w:line="177" w:lineRule="auto"/>
              <w:ind w:left="117" w:right="42" w:hanging="19"/>
              <w:jc w:val="both"/>
            </w:pPr>
            <w:r>
              <w:rPr>
                <w:spacing w:val="18"/>
              </w:rPr>
              <w:t>【行政法规】《危险化学品</w:t>
            </w:r>
            <w:r>
              <w:rPr>
                <w:spacing w:val="3"/>
              </w:rPr>
              <w:t>安全管理条例》第二十七条：</w:t>
            </w:r>
            <w:r>
              <w:rPr>
                <w:spacing w:val="17"/>
              </w:rPr>
              <w:t>生产、储存危险化学品的单位转产、停产、停业或者解</w:t>
            </w:r>
          </w:p>
        </w:tc>
        <w:tc>
          <w:tcPr>
            <w:tcW w:w="2859" w:type="dxa"/>
            <w:vAlign w:val="top"/>
          </w:tcPr>
          <w:p w14:paraId="319E0360">
            <w:pPr>
              <w:pStyle w:val="6"/>
              <w:spacing w:before="32" w:line="177" w:lineRule="auto"/>
              <w:ind w:left="111" w:right="19" w:hanging="14"/>
              <w:jc w:val="both"/>
            </w:pPr>
            <w:r>
              <w:rPr>
                <w:spacing w:val="10"/>
              </w:rPr>
              <w:t>【行政法规】《危险化学</w:t>
            </w:r>
            <w:r>
              <w:rPr>
                <w:spacing w:val="9"/>
              </w:rPr>
              <w:t>品安全管理条例》第八十</w:t>
            </w:r>
            <w:r>
              <w:rPr>
                <w:spacing w:val="-4"/>
              </w:rPr>
              <w:t>二条第一款：生产、储存、</w:t>
            </w:r>
            <w:r>
              <w:rPr>
                <w:spacing w:val="9"/>
              </w:rPr>
              <w:t>使用危险化学品的单位转</w:t>
            </w:r>
          </w:p>
        </w:tc>
        <w:tc>
          <w:tcPr>
            <w:tcW w:w="803" w:type="dxa"/>
            <w:vAlign w:val="top"/>
          </w:tcPr>
          <w:p w14:paraId="7146BE05">
            <w:pPr>
              <w:spacing w:line="446" w:lineRule="auto"/>
              <w:rPr>
                <w:rFonts w:ascii="Arial"/>
                <w:sz w:val="21"/>
              </w:rPr>
            </w:pPr>
          </w:p>
          <w:p w14:paraId="0E49C426">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5F25549">
            <w:pPr>
              <w:pStyle w:val="6"/>
              <w:spacing w:before="32" w:line="177" w:lineRule="auto"/>
              <w:ind w:left="117" w:right="109"/>
              <w:jc w:val="both"/>
            </w:pPr>
            <w:r>
              <w:rPr>
                <w:spacing w:val="26"/>
              </w:rPr>
              <w:t>未采取有效措施及</w:t>
            </w:r>
            <w:r>
              <w:rPr>
                <w:spacing w:val="-3"/>
              </w:rPr>
              <w:t>时、妥善处置其危险化学品生产装置、储</w:t>
            </w:r>
            <w:r>
              <w:rPr>
                <w:spacing w:val="26"/>
              </w:rPr>
              <w:t>存设施以及库存的</w:t>
            </w:r>
          </w:p>
        </w:tc>
        <w:tc>
          <w:tcPr>
            <w:tcW w:w="2894" w:type="dxa"/>
            <w:vAlign w:val="top"/>
          </w:tcPr>
          <w:p w14:paraId="5D8EAE5E">
            <w:pPr>
              <w:pStyle w:val="6"/>
              <w:spacing w:before="334" w:line="182" w:lineRule="auto"/>
              <w:ind w:left="127"/>
            </w:pPr>
            <w:r>
              <w:rPr>
                <w:spacing w:val="4"/>
              </w:rPr>
              <w:t>责令改正，处</w:t>
            </w:r>
            <w:r>
              <w:rPr>
                <w:rFonts w:ascii="宋体" w:hAnsi="宋体" w:eastAsia="宋体" w:cs="宋体"/>
                <w:spacing w:val="4"/>
              </w:rPr>
              <w:t>5</w:t>
            </w:r>
            <w:r>
              <w:rPr>
                <w:spacing w:val="4"/>
              </w:rPr>
              <w:t>万元以上</w:t>
            </w:r>
          </w:p>
          <w:p w14:paraId="72E44F7C">
            <w:pPr>
              <w:pStyle w:val="6"/>
              <w:spacing w:before="1" w:line="208" w:lineRule="auto"/>
              <w:ind w:left="121"/>
            </w:pPr>
            <w:r>
              <w:rPr>
                <w:rFonts w:ascii="宋体" w:hAnsi="宋体" w:eastAsia="宋体" w:cs="宋体"/>
                <w:spacing w:val="3"/>
              </w:rPr>
              <w:t>7</w:t>
            </w:r>
            <w:r>
              <w:rPr>
                <w:spacing w:val="3"/>
              </w:rPr>
              <w:t>万元以下的罚款</w:t>
            </w:r>
          </w:p>
        </w:tc>
        <w:tc>
          <w:tcPr>
            <w:tcW w:w="811" w:type="dxa"/>
            <w:vAlign w:val="top"/>
          </w:tcPr>
          <w:p w14:paraId="31E6EF26">
            <w:pPr>
              <w:spacing w:line="447" w:lineRule="auto"/>
              <w:rPr>
                <w:rFonts w:ascii="Arial"/>
                <w:sz w:val="21"/>
              </w:rPr>
            </w:pPr>
          </w:p>
          <w:p w14:paraId="6A7D17B6">
            <w:pPr>
              <w:spacing w:before="75" w:line="189" w:lineRule="auto"/>
              <w:ind w:left="248"/>
              <w:rPr>
                <w:rFonts w:ascii="宋体" w:hAnsi="宋体" w:eastAsia="宋体" w:cs="宋体"/>
                <w:sz w:val="23"/>
                <w:szCs w:val="23"/>
              </w:rPr>
            </w:pPr>
            <w:r>
              <w:rPr>
                <w:rFonts w:ascii="宋体" w:hAnsi="宋体" w:eastAsia="宋体" w:cs="宋体"/>
                <w:spacing w:val="-6"/>
                <w:sz w:val="23"/>
                <w:szCs w:val="23"/>
              </w:rPr>
              <w:t>100</w:t>
            </w:r>
          </w:p>
        </w:tc>
      </w:tr>
    </w:tbl>
    <w:p w14:paraId="64E39625">
      <w:pPr>
        <w:pStyle w:val="2"/>
      </w:pPr>
    </w:p>
    <w:p w14:paraId="3C4B380C">
      <w:pPr>
        <w:sectPr>
          <w:footerReference r:id="rId164" w:type="default"/>
          <w:pgSz w:w="16839" w:h="11906"/>
          <w:pgMar w:top="1012" w:right="821" w:bottom="667" w:left="901" w:header="0" w:footer="388" w:gutter="0"/>
          <w:cols w:space="720" w:num="1"/>
        </w:sectPr>
      </w:pPr>
    </w:p>
    <w:p w14:paraId="7A32A27C">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5996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F8715D8">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7D5E88F6">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0C7A8E5">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4B0EA0C">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0F82E532">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99F017E">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E70A029">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4A22917">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135B0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18" w:type="dxa"/>
            <w:vMerge w:val="restart"/>
            <w:tcBorders>
              <w:bottom w:val="nil"/>
            </w:tcBorders>
            <w:vAlign w:val="top"/>
          </w:tcPr>
          <w:p w14:paraId="2E8ECEC6">
            <w:pPr>
              <w:rPr>
                <w:rFonts w:ascii="Arial"/>
                <w:sz w:val="21"/>
              </w:rPr>
            </w:pPr>
          </w:p>
        </w:tc>
        <w:tc>
          <w:tcPr>
            <w:tcW w:w="1440" w:type="dxa"/>
            <w:vMerge w:val="restart"/>
            <w:tcBorders>
              <w:bottom w:val="nil"/>
            </w:tcBorders>
            <w:vAlign w:val="top"/>
          </w:tcPr>
          <w:p w14:paraId="732AEDE8">
            <w:pPr>
              <w:pStyle w:val="6"/>
              <w:spacing w:before="29" w:line="182" w:lineRule="auto"/>
              <w:ind w:left="117" w:right="111" w:hanging="1"/>
            </w:pPr>
            <w:r>
              <w:rPr>
                <w:spacing w:val="11"/>
              </w:rPr>
              <w:t>停业或者解</w:t>
            </w:r>
            <w:bookmarkStart w:id="601" w:name="bookmark563"/>
            <w:bookmarkEnd w:id="601"/>
            <w:bookmarkStart w:id="602" w:name="bookmark304"/>
            <w:bookmarkEnd w:id="602"/>
            <w:r>
              <w:rPr>
                <w:spacing w:val="3"/>
              </w:rPr>
              <w:t>散，未采取</w:t>
            </w:r>
          </w:p>
          <w:p w14:paraId="71C9C126">
            <w:pPr>
              <w:pStyle w:val="6"/>
              <w:spacing w:line="182" w:lineRule="auto"/>
              <w:ind w:left="120"/>
              <w:outlineLvl w:val="0"/>
            </w:pPr>
            <w:r>
              <w:rPr>
                <w:spacing w:val="10"/>
              </w:rPr>
              <w:t>有效措施处</w:t>
            </w:r>
          </w:p>
          <w:p w14:paraId="4E4BC3E8">
            <w:pPr>
              <w:pStyle w:val="6"/>
              <w:spacing w:before="11" w:line="185" w:lineRule="auto"/>
              <w:ind w:left="117" w:right="111"/>
              <w:jc w:val="both"/>
            </w:pPr>
            <w:r>
              <w:rPr>
                <w:spacing w:val="11"/>
              </w:rPr>
              <w:t>置危险化学</w:t>
            </w:r>
            <w:r>
              <w:rPr>
                <w:spacing w:val="-9"/>
              </w:rPr>
              <w:t>品生产装</w:t>
            </w:r>
            <w:r>
              <w:rPr>
                <w:spacing w:val="11"/>
              </w:rPr>
              <w:t>置、储存设施以及库存的危险化学</w:t>
            </w:r>
            <w:r>
              <w:rPr>
                <w:spacing w:val="3"/>
              </w:rPr>
              <w:t>品，或者丢</w:t>
            </w:r>
            <w:r>
              <w:rPr>
                <w:spacing w:val="11"/>
              </w:rPr>
              <w:t>弃危险化学</w:t>
            </w:r>
            <w:r>
              <w:rPr>
                <w:spacing w:val="1"/>
              </w:rPr>
              <w:t>品的</w:t>
            </w:r>
          </w:p>
        </w:tc>
        <w:tc>
          <w:tcPr>
            <w:tcW w:w="3202" w:type="dxa"/>
            <w:vMerge w:val="restart"/>
            <w:tcBorders>
              <w:bottom w:val="nil"/>
            </w:tcBorders>
            <w:vAlign w:val="top"/>
          </w:tcPr>
          <w:p w14:paraId="2B1BE90D">
            <w:pPr>
              <w:pStyle w:val="6"/>
              <w:spacing w:before="24" w:line="182" w:lineRule="auto"/>
              <w:ind w:left="115" w:right="110" w:firstLine="4"/>
            </w:pPr>
            <w:r>
              <w:rPr>
                <w:spacing w:val="9"/>
              </w:rPr>
              <w:t>散的，应当采取有效措施，</w:t>
            </w:r>
            <w:r>
              <w:rPr>
                <w:spacing w:val="17"/>
              </w:rPr>
              <w:t>及时、妥善处置其危险化学品生产装置、储存设施以及</w:t>
            </w:r>
            <w:r>
              <w:rPr>
                <w:spacing w:val="13"/>
              </w:rPr>
              <w:t>库存的危险化学品，不得丢</w:t>
            </w:r>
            <w:r>
              <w:rPr>
                <w:spacing w:val="14"/>
              </w:rPr>
              <w:t>弃危险化学品；处置方案应</w:t>
            </w:r>
            <w:r>
              <w:rPr>
                <w:spacing w:val="17"/>
              </w:rPr>
              <w:t>当报所在地县级人民政府安全生产监督管理部门、工业和信息化主管部门、环境保</w:t>
            </w:r>
            <w:r>
              <w:rPr>
                <w:spacing w:val="40"/>
              </w:rPr>
              <w:t>护主管部门和公安机关备</w:t>
            </w:r>
            <w:r>
              <w:rPr>
                <w:spacing w:val="17"/>
              </w:rPr>
              <w:t>案。安全生产监督管理部门应当会同环境保护主管部门和公安机关对处置情况进行</w:t>
            </w:r>
            <w:r>
              <w:rPr>
                <w:spacing w:val="13"/>
              </w:rPr>
              <w:t>监督检查，发现未依照规定处置的，应当责令其立即处</w:t>
            </w:r>
            <w:r>
              <w:rPr>
                <w:spacing w:val="-7"/>
              </w:rPr>
              <w:t>置。</w:t>
            </w:r>
          </w:p>
        </w:tc>
        <w:tc>
          <w:tcPr>
            <w:tcW w:w="2859" w:type="dxa"/>
            <w:vMerge w:val="restart"/>
            <w:tcBorders>
              <w:bottom w:val="nil"/>
            </w:tcBorders>
            <w:vAlign w:val="top"/>
          </w:tcPr>
          <w:p w14:paraId="04804A05">
            <w:pPr>
              <w:pStyle w:val="6"/>
              <w:spacing w:before="28" w:line="182" w:lineRule="auto"/>
              <w:ind w:left="119"/>
            </w:pPr>
            <w:r>
              <w:rPr>
                <w:spacing w:val="-6"/>
              </w:rPr>
              <w:t>产、停产、停业或者解散，</w:t>
            </w:r>
          </w:p>
          <w:p w14:paraId="3D4DB660">
            <w:pPr>
              <w:pStyle w:val="6"/>
              <w:spacing w:line="182" w:lineRule="auto"/>
              <w:ind w:left="118"/>
              <w:outlineLvl w:val="0"/>
            </w:pPr>
            <w:bookmarkStart w:id="603" w:name="bookmark271"/>
            <w:bookmarkEnd w:id="603"/>
            <w:r>
              <w:rPr>
                <w:spacing w:val="8"/>
              </w:rPr>
              <w:t>未采取有效措施及时、妥</w:t>
            </w:r>
          </w:p>
          <w:p w14:paraId="73C4A20B">
            <w:pPr>
              <w:pStyle w:val="6"/>
              <w:spacing w:before="10" w:line="185" w:lineRule="auto"/>
              <w:ind w:left="117" w:right="38" w:firstLine="1"/>
              <w:jc w:val="both"/>
            </w:pPr>
            <w:r>
              <w:rPr>
                <w:spacing w:val="8"/>
              </w:rPr>
              <w:t>善处置其危险化学品生产装置、储存设施以及库存的危险化学品，或者丢弃危险化学品的，由安全生</w:t>
            </w:r>
            <w:r>
              <w:rPr>
                <w:spacing w:val="32"/>
              </w:rPr>
              <w:t>产监督管理部门责令改</w:t>
            </w:r>
            <w:r>
              <w:rPr>
                <w:spacing w:val="-9"/>
              </w:rPr>
              <w:t>正，处</w:t>
            </w:r>
            <w:r>
              <w:rPr>
                <w:rFonts w:ascii="宋体" w:hAnsi="宋体" w:eastAsia="宋体" w:cs="宋体"/>
                <w:spacing w:val="-9"/>
              </w:rPr>
              <w:t>5</w:t>
            </w:r>
            <w:r>
              <w:rPr>
                <w:spacing w:val="-9"/>
              </w:rPr>
              <w:t>万元以上</w:t>
            </w:r>
            <w:r>
              <w:rPr>
                <w:rFonts w:ascii="宋体" w:hAnsi="宋体" w:eastAsia="宋体" w:cs="宋体"/>
                <w:spacing w:val="-9"/>
              </w:rPr>
              <w:t>10</w:t>
            </w:r>
            <w:r>
              <w:rPr>
                <w:spacing w:val="-9"/>
              </w:rPr>
              <w:t>万元</w:t>
            </w:r>
            <w:r>
              <w:rPr>
                <w:spacing w:val="-6"/>
              </w:rPr>
              <w:t>以下的罚款；构成犯罪的，</w:t>
            </w:r>
            <w:r>
              <w:rPr>
                <w:spacing w:val="4"/>
              </w:rPr>
              <w:t>依法追究刑事责任。</w:t>
            </w:r>
          </w:p>
        </w:tc>
        <w:tc>
          <w:tcPr>
            <w:tcW w:w="803" w:type="dxa"/>
            <w:vAlign w:val="top"/>
          </w:tcPr>
          <w:p w14:paraId="2D5F994D">
            <w:pPr>
              <w:rPr>
                <w:rFonts w:ascii="Arial"/>
                <w:sz w:val="21"/>
              </w:rPr>
            </w:pPr>
          </w:p>
        </w:tc>
        <w:tc>
          <w:tcPr>
            <w:tcW w:w="2283" w:type="dxa"/>
            <w:vAlign w:val="top"/>
          </w:tcPr>
          <w:p w14:paraId="204E4C15">
            <w:pPr>
              <w:pStyle w:val="6"/>
              <w:spacing w:before="29" w:line="172" w:lineRule="auto"/>
              <w:ind w:left="120" w:right="105" w:hanging="3"/>
            </w:pPr>
            <w:r>
              <w:rPr>
                <w:spacing w:val="-2"/>
              </w:rPr>
              <w:t>危险化学品，存在</w:t>
            </w:r>
            <w:r>
              <w:rPr>
                <w:rFonts w:ascii="宋体" w:hAnsi="宋体" w:eastAsia="宋体" w:cs="宋体"/>
                <w:spacing w:val="-2"/>
              </w:rPr>
              <w:t>1</w:t>
            </w:r>
            <w:r>
              <w:rPr>
                <w:spacing w:val="5"/>
              </w:rPr>
              <w:t>种情形的</w:t>
            </w:r>
          </w:p>
        </w:tc>
        <w:tc>
          <w:tcPr>
            <w:tcW w:w="2894" w:type="dxa"/>
            <w:vAlign w:val="top"/>
          </w:tcPr>
          <w:p w14:paraId="4C9246D8">
            <w:pPr>
              <w:rPr>
                <w:rFonts w:ascii="Arial"/>
                <w:sz w:val="21"/>
              </w:rPr>
            </w:pPr>
          </w:p>
        </w:tc>
        <w:tc>
          <w:tcPr>
            <w:tcW w:w="811" w:type="dxa"/>
            <w:vMerge w:val="restart"/>
            <w:tcBorders>
              <w:bottom w:val="nil"/>
            </w:tcBorders>
            <w:vAlign w:val="top"/>
          </w:tcPr>
          <w:p w14:paraId="27FED80B">
            <w:pPr>
              <w:rPr>
                <w:rFonts w:ascii="Arial"/>
                <w:sz w:val="21"/>
              </w:rPr>
            </w:pPr>
          </w:p>
        </w:tc>
      </w:tr>
      <w:tr w14:paraId="6733F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bottom w:val="nil"/>
            </w:tcBorders>
            <w:vAlign w:val="top"/>
          </w:tcPr>
          <w:p w14:paraId="62A519A9">
            <w:pPr>
              <w:rPr>
                <w:rFonts w:ascii="Arial"/>
                <w:sz w:val="21"/>
              </w:rPr>
            </w:pPr>
          </w:p>
        </w:tc>
        <w:tc>
          <w:tcPr>
            <w:tcW w:w="1440" w:type="dxa"/>
            <w:vMerge w:val="continue"/>
            <w:tcBorders>
              <w:top w:val="nil"/>
              <w:bottom w:val="nil"/>
            </w:tcBorders>
            <w:vAlign w:val="top"/>
          </w:tcPr>
          <w:p w14:paraId="715C4BC6">
            <w:pPr>
              <w:rPr>
                <w:rFonts w:ascii="Arial"/>
                <w:sz w:val="21"/>
              </w:rPr>
            </w:pPr>
          </w:p>
        </w:tc>
        <w:tc>
          <w:tcPr>
            <w:tcW w:w="3202" w:type="dxa"/>
            <w:vMerge w:val="continue"/>
            <w:tcBorders>
              <w:top w:val="nil"/>
              <w:bottom w:val="nil"/>
            </w:tcBorders>
            <w:vAlign w:val="top"/>
          </w:tcPr>
          <w:p w14:paraId="1239618D">
            <w:pPr>
              <w:rPr>
                <w:rFonts w:ascii="Arial"/>
                <w:sz w:val="21"/>
              </w:rPr>
            </w:pPr>
          </w:p>
        </w:tc>
        <w:tc>
          <w:tcPr>
            <w:tcW w:w="2859" w:type="dxa"/>
            <w:vMerge w:val="continue"/>
            <w:tcBorders>
              <w:top w:val="nil"/>
              <w:bottom w:val="nil"/>
            </w:tcBorders>
            <w:vAlign w:val="top"/>
          </w:tcPr>
          <w:p w14:paraId="73AEBC58">
            <w:pPr>
              <w:rPr>
                <w:rFonts w:ascii="Arial"/>
                <w:sz w:val="21"/>
              </w:rPr>
            </w:pPr>
          </w:p>
        </w:tc>
        <w:tc>
          <w:tcPr>
            <w:tcW w:w="803" w:type="dxa"/>
            <w:vAlign w:val="top"/>
          </w:tcPr>
          <w:p w14:paraId="3F6FA82F">
            <w:pPr>
              <w:spacing w:line="248" w:lineRule="auto"/>
              <w:rPr>
                <w:rFonts w:ascii="Arial"/>
                <w:sz w:val="21"/>
              </w:rPr>
            </w:pPr>
          </w:p>
          <w:p w14:paraId="3B3CAA6B">
            <w:pPr>
              <w:spacing w:line="248" w:lineRule="auto"/>
              <w:rPr>
                <w:rFonts w:ascii="Arial"/>
                <w:sz w:val="21"/>
              </w:rPr>
            </w:pPr>
          </w:p>
          <w:p w14:paraId="5D41D03C">
            <w:pPr>
              <w:spacing w:line="248" w:lineRule="auto"/>
              <w:rPr>
                <w:rFonts w:ascii="Arial"/>
                <w:sz w:val="21"/>
              </w:rPr>
            </w:pPr>
          </w:p>
          <w:p w14:paraId="75078DA1">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5C3DEDD">
            <w:pPr>
              <w:pStyle w:val="6"/>
              <w:spacing w:before="28" w:line="179" w:lineRule="auto"/>
              <w:ind w:left="117" w:right="105"/>
              <w:jc w:val="both"/>
            </w:pPr>
            <w:r>
              <w:rPr>
                <w:spacing w:val="26"/>
              </w:rPr>
              <w:t>未采取有效措施及</w:t>
            </w:r>
            <w:r>
              <w:rPr>
                <w:spacing w:val="-3"/>
              </w:rPr>
              <w:t>时、妥善处置其危险化学品生产装置、储</w:t>
            </w:r>
            <w:r>
              <w:rPr>
                <w:spacing w:val="26"/>
              </w:rPr>
              <w:t>存设施以及库存的</w:t>
            </w:r>
            <w:r>
              <w:t>危险化学品，存在</w:t>
            </w:r>
            <w:r>
              <w:rPr>
                <w:rFonts w:ascii="宋体" w:hAnsi="宋体" w:eastAsia="宋体" w:cs="宋体"/>
              </w:rPr>
              <w:t>2</w:t>
            </w:r>
            <w:r>
              <w:rPr>
                <w:spacing w:val="6"/>
              </w:rPr>
              <w:t>种情形的</w:t>
            </w:r>
          </w:p>
        </w:tc>
        <w:tc>
          <w:tcPr>
            <w:tcW w:w="2894" w:type="dxa"/>
            <w:vAlign w:val="top"/>
          </w:tcPr>
          <w:p w14:paraId="2C88DD48">
            <w:pPr>
              <w:spacing w:line="264" w:lineRule="auto"/>
              <w:rPr>
                <w:rFonts w:ascii="Arial"/>
                <w:sz w:val="21"/>
              </w:rPr>
            </w:pPr>
          </w:p>
          <w:p w14:paraId="7D8A11C8">
            <w:pPr>
              <w:spacing w:line="264" w:lineRule="auto"/>
              <w:rPr>
                <w:rFonts w:ascii="Arial"/>
                <w:sz w:val="21"/>
              </w:rPr>
            </w:pPr>
          </w:p>
          <w:p w14:paraId="1534FB00">
            <w:pPr>
              <w:pStyle w:val="6"/>
              <w:spacing w:before="99" w:line="182" w:lineRule="auto"/>
              <w:ind w:left="127"/>
            </w:pPr>
            <w:r>
              <w:rPr>
                <w:spacing w:val="4"/>
              </w:rPr>
              <w:t>责令改正，处</w:t>
            </w:r>
            <w:r>
              <w:rPr>
                <w:rFonts w:ascii="宋体" w:hAnsi="宋体" w:eastAsia="宋体" w:cs="宋体"/>
                <w:spacing w:val="4"/>
              </w:rPr>
              <w:t>7</w:t>
            </w:r>
            <w:r>
              <w:rPr>
                <w:spacing w:val="4"/>
              </w:rPr>
              <w:t>万元以上</w:t>
            </w:r>
          </w:p>
          <w:p w14:paraId="09A37832">
            <w:pPr>
              <w:pStyle w:val="6"/>
              <w:spacing w:before="1" w:line="208" w:lineRule="auto"/>
              <w:ind w:left="116"/>
            </w:pPr>
            <w:r>
              <w:rPr>
                <w:rFonts w:ascii="宋体" w:hAnsi="宋体" w:eastAsia="宋体" w:cs="宋体"/>
                <w:spacing w:val="4"/>
              </w:rPr>
              <w:t>9</w:t>
            </w:r>
            <w:r>
              <w:rPr>
                <w:spacing w:val="4"/>
              </w:rPr>
              <w:t>万元以下的罚款</w:t>
            </w:r>
          </w:p>
        </w:tc>
        <w:tc>
          <w:tcPr>
            <w:tcW w:w="811" w:type="dxa"/>
            <w:vMerge w:val="continue"/>
            <w:tcBorders>
              <w:top w:val="nil"/>
              <w:bottom w:val="nil"/>
            </w:tcBorders>
            <w:vAlign w:val="top"/>
          </w:tcPr>
          <w:p w14:paraId="3FBFABD6">
            <w:pPr>
              <w:rPr>
                <w:rFonts w:ascii="Arial"/>
                <w:sz w:val="21"/>
              </w:rPr>
            </w:pPr>
          </w:p>
        </w:tc>
      </w:tr>
      <w:tr w14:paraId="44822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continue"/>
            <w:tcBorders>
              <w:top w:val="nil"/>
            </w:tcBorders>
            <w:vAlign w:val="top"/>
          </w:tcPr>
          <w:p w14:paraId="2A722C81">
            <w:pPr>
              <w:rPr>
                <w:rFonts w:ascii="Arial"/>
                <w:sz w:val="21"/>
              </w:rPr>
            </w:pPr>
          </w:p>
        </w:tc>
        <w:tc>
          <w:tcPr>
            <w:tcW w:w="1440" w:type="dxa"/>
            <w:vMerge w:val="continue"/>
            <w:tcBorders>
              <w:top w:val="nil"/>
            </w:tcBorders>
            <w:vAlign w:val="top"/>
          </w:tcPr>
          <w:p w14:paraId="082DDE15">
            <w:pPr>
              <w:rPr>
                <w:rFonts w:ascii="Arial"/>
                <w:sz w:val="21"/>
              </w:rPr>
            </w:pPr>
          </w:p>
        </w:tc>
        <w:tc>
          <w:tcPr>
            <w:tcW w:w="3202" w:type="dxa"/>
            <w:vMerge w:val="continue"/>
            <w:tcBorders>
              <w:top w:val="nil"/>
            </w:tcBorders>
            <w:vAlign w:val="top"/>
          </w:tcPr>
          <w:p w14:paraId="405C16DD">
            <w:pPr>
              <w:rPr>
                <w:rFonts w:ascii="Arial"/>
                <w:sz w:val="21"/>
              </w:rPr>
            </w:pPr>
          </w:p>
        </w:tc>
        <w:tc>
          <w:tcPr>
            <w:tcW w:w="2859" w:type="dxa"/>
            <w:vMerge w:val="continue"/>
            <w:tcBorders>
              <w:top w:val="nil"/>
            </w:tcBorders>
            <w:vAlign w:val="top"/>
          </w:tcPr>
          <w:p w14:paraId="0F87B882">
            <w:pPr>
              <w:rPr>
                <w:rFonts w:ascii="Arial"/>
                <w:sz w:val="21"/>
              </w:rPr>
            </w:pPr>
          </w:p>
        </w:tc>
        <w:tc>
          <w:tcPr>
            <w:tcW w:w="803" w:type="dxa"/>
            <w:vAlign w:val="top"/>
          </w:tcPr>
          <w:p w14:paraId="4CC7739E">
            <w:pPr>
              <w:spacing w:line="298" w:lineRule="auto"/>
              <w:rPr>
                <w:rFonts w:ascii="Arial"/>
                <w:sz w:val="21"/>
              </w:rPr>
            </w:pPr>
          </w:p>
          <w:p w14:paraId="62798687">
            <w:pPr>
              <w:spacing w:line="298" w:lineRule="auto"/>
              <w:rPr>
                <w:rFonts w:ascii="Arial"/>
                <w:sz w:val="21"/>
              </w:rPr>
            </w:pPr>
          </w:p>
          <w:p w14:paraId="44589561">
            <w:pPr>
              <w:spacing w:line="298" w:lineRule="auto"/>
              <w:rPr>
                <w:rFonts w:ascii="Arial"/>
                <w:sz w:val="21"/>
              </w:rPr>
            </w:pPr>
          </w:p>
          <w:p w14:paraId="2B2E8DDA">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4A38E96">
            <w:pPr>
              <w:pStyle w:val="6"/>
              <w:spacing w:before="33" w:line="179" w:lineRule="auto"/>
              <w:ind w:left="117" w:right="105"/>
              <w:jc w:val="both"/>
            </w:pPr>
            <w:r>
              <w:rPr>
                <w:spacing w:val="26"/>
              </w:rPr>
              <w:t>未采取有效措施及</w:t>
            </w:r>
            <w:r>
              <w:rPr>
                <w:spacing w:val="-3"/>
              </w:rPr>
              <w:t>时、妥善处置其危险化学品生产装置、储</w:t>
            </w:r>
            <w:r>
              <w:rPr>
                <w:spacing w:val="26"/>
              </w:rPr>
              <w:t>存设施以及库存的</w:t>
            </w:r>
            <w:r>
              <w:t>危险化学品，存在</w:t>
            </w:r>
            <w:r>
              <w:rPr>
                <w:rFonts w:ascii="宋体" w:hAnsi="宋体" w:eastAsia="宋体" w:cs="宋体"/>
              </w:rPr>
              <w:t>3</w:t>
            </w:r>
            <w:r>
              <w:rPr>
                <w:spacing w:val="-3"/>
              </w:rPr>
              <w:t>种情形，或者丢弃危</w:t>
            </w:r>
            <w:r>
              <w:rPr>
                <w:spacing w:val="6"/>
              </w:rPr>
              <w:t>险化学品的</w:t>
            </w:r>
          </w:p>
        </w:tc>
        <w:tc>
          <w:tcPr>
            <w:tcW w:w="2894" w:type="dxa"/>
            <w:vAlign w:val="top"/>
          </w:tcPr>
          <w:p w14:paraId="71BF8A1A">
            <w:pPr>
              <w:spacing w:line="338" w:lineRule="auto"/>
              <w:rPr>
                <w:rFonts w:ascii="Arial"/>
                <w:sz w:val="21"/>
              </w:rPr>
            </w:pPr>
          </w:p>
          <w:p w14:paraId="5B63E4A3">
            <w:pPr>
              <w:spacing w:line="339" w:lineRule="auto"/>
              <w:rPr>
                <w:rFonts w:ascii="Arial"/>
                <w:sz w:val="21"/>
              </w:rPr>
            </w:pPr>
          </w:p>
          <w:p w14:paraId="6C2679C1">
            <w:pPr>
              <w:pStyle w:val="6"/>
              <w:spacing w:before="98" w:line="182" w:lineRule="auto"/>
              <w:ind w:left="127"/>
            </w:pPr>
            <w:r>
              <w:rPr>
                <w:spacing w:val="4"/>
              </w:rPr>
              <w:t>责令改正，处</w:t>
            </w:r>
            <w:r>
              <w:rPr>
                <w:rFonts w:ascii="宋体" w:hAnsi="宋体" w:eastAsia="宋体" w:cs="宋体"/>
                <w:spacing w:val="4"/>
              </w:rPr>
              <w:t>9</w:t>
            </w:r>
            <w:r>
              <w:rPr>
                <w:spacing w:val="4"/>
              </w:rPr>
              <w:t>万元以上</w:t>
            </w:r>
          </w:p>
          <w:p w14:paraId="258CE265">
            <w:pPr>
              <w:pStyle w:val="6"/>
              <w:spacing w:before="1" w:line="208" w:lineRule="auto"/>
              <w:ind w:left="133"/>
            </w:pPr>
            <w:r>
              <w:rPr>
                <w:rFonts w:ascii="宋体" w:hAnsi="宋体" w:eastAsia="宋体" w:cs="宋体"/>
                <w:spacing w:val="2"/>
              </w:rPr>
              <w:t>10</w:t>
            </w:r>
            <w:r>
              <w:rPr>
                <w:spacing w:val="2"/>
              </w:rPr>
              <w:t>万元以下的罚款</w:t>
            </w:r>
          </w:p>
        </w:tc>
        <w:tc>
          <w:tcPr>
            <w:tcW w:w="811" w:type="dxa"/>
            <w:vMerge w:val="continue"/>
            <w:tcBorders>
              <w:top w:val="nil"/>
            </w:tcBorders>
            <w:vAlign w:val="top"/>
          </w:tcPr>
          <w:p w14:paraId="02325B88">
            <w:pPr>
              <w:rPr>
                <w:rFonts w:ascii="Arial"/>
                <w:sz w:val="21"/>
              </w:rPr>
            </w:pPr>
          </w:p>
        </w:tc>
      </w:tr>
      <w:tr w14:paraId="31022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restart"/>
            <w:tcBorders>
              <w:bottom w:val="nil"/>
            </w:tcBorders>
            <w:vAlign w:val="top"/>
          </w:tcPr>
          <w:p w14:paraId="591F368A">
            <w:pPr>
              <w:spacing w:line="241" w:lineRule="auto"/>
              <w:rPr>
                <w:rFonts w:ascii="Arial"/>
                <w:sz w:val="21"/>
              </w:rPr>
            </w:pPr>
          </w:p>
          <w:p w14:paraId="4C6C6E50">
            <w:pPr>
              <w:spacing w:line="241" w:lineRule="auto"/>
              <w:rPr>
                <w:rFonts w:ascii="Arial"/>
                <w:sz w:val="21"/>
              </w:rPr>
            </w:pPr>
          </w:p>
          <w:p w14:paraId="15B4AE98">
            <w:pPr>
              <w:spacing w:line="241" w:lineRule="auto"/>
              <w:rPr>
                <w:rFonts w:ascii="Arial"/>
                <w:sz w:val="21"/>
              </w:rPr>
            </w:pPr>
          </w:p>
          <w:p w14:paraId="016D9940">
            <w:pPr>
              <w:spacing w:line="241" w:lineRule="auto"/>
              <w:rPr>
                <w:rFonts w:ascii="Arial"/>
                <w:sz w:val="21"/>
              </w:rPr>
            </w:pPr>
          </w:p>
          <w:p w14:paraId="3677EFFF">
            <w:pPr>
              <w:spacing w:line="241" w:lineRule="auto"/>
              <w:rPr>
                <w:rFonts w:ascii="Arial"/>
                <w:sz w:val="21"/>
              </w:rPr>
            </w:pPr>
          </w:p>
          <w:p w14:paraId="1A75001A">
            <w:pPr>
              <w:spacing w:line="242" w:lineRule="auto"/>
              <w:rPr>
                <w:rFonts w:ascii="Arial"/>
                <w:sz w:val="21"/>
              </w:rPr>
            </w:pPr>
          </w:p>
          <w:p w14:paraId="207BDAAE">
            <w:pPr>
              <w:spacing w:line="242" w:lineRule="auto"/>
              <w:rPr>
                <w:rFonts w:ascii="Arial"/>
                <w:sz w:val="21"/>
              </w:rPr>
            </w:pPr>
          </w:p>
          <w:p w14:paraId="4ED1F156">
            <w:pPr>
              <w:spacing w:line="242" w:lineRule="auto"/>
              <w:rPr>
                <w:rFonts w:ascii="Arial"/>
                <w:sz w:val="21"/>
              </w:rPr>
            </w:pPr>
          </w:p>
          <w:p w14:paraId="02A34F30">
            <w:pPr>
              <w:spacing w:line="242" w:lineRule="auto"/>
              <w:rPr>
                <w:rFonts w:ascii="Arial"/>
                <w:sz w:val="21"/>
              </w:rPr>
            </w:pPr>
          </w:p>
          <w:p w14:paraId="6DA8D825">
            <w:pPr>
              <w:spacing w:before="74" w:line="186" w:lineRule="auto"/>
              <w:ind w:left="161"/>
              <w:rPr>
                <w:rFonts w:ascii="仿宋" w:hAnsi="仿宋" w:eastAsia="仿宋" w:cs="仿宋"/>
                <w:sz w:val="23"/>
                <w:szCs w:val="23"/>
              </w:rPr>
            </w:pPr>
            <w:r>
              <w:rPr>
                <w:rFonts w:ascii="仿宋" w:hAnsi="仿宋" w:eastAsia="仿宋" w:cs="仿宋"/>
                <w:spacing w:val="-5"/>
                <w:sz w:val="23"/>
                <w:szCs w:val="23"/>
              </w:rPr>
              <w:t>148</w:t>
            </w:r>
          </w:p>
        </w:tc>
        <w:tc>
          <w:tcPr>
            <w:tcW w:w="1440" w:type="dxa"/>
            <w:vMerge w:val="restart"/>
            <w:tcBorders>
              <w:bottom w:val="nil"/>
            </w:tcBorders>
            <w:vAlign w:val="top"/>
          </w:tcPr>
          <w:p w14:paraId="37C716AA">
            <w:pPr>
              <w:spacing w:line="305" w:lineRule="auto"/>
              <w:rPr>
                <w:rFonts w:ascii="Arial"/>
                <w:sz w:val="21"/>
              </w:rPr>
            </w:pPr>
          </w:p>
          <w:p w14:paraId="29B3738A">
            <w:pPr>
              <w:spacing w:line="306" w:lineRule="auto"/>
              <w:rPr>
                <w:rFonts w:ascii="Arial"/>
                <w:sz w:val="21"/>
              </w:rPr>
            </w:pPr>
          </w:p>
          <w:p w14:paraId="4D6CB1C8">
            <w:pPr>
              <w:spacing w:line="306" w:lineRule="auto"/>
              <w:rPr>
                <w:rFonts w:ascii="Arial"/>
                <w:sz w:val="21"/>
              </w:rPr>
            </w:pPr>
          </w:p>
          <w:p w14:paraId="4742E8C7">
            <w:pPr>
              <w:pStyle w:val="6"/>
              <w:spacing w:before="99" w:line="185" w:lineRule="auto"/>
              <w:ind w:left="110" w:right="17" w:firstLine="18"/>
            </w:pPr>
            <w:r>
              <w:rPr>
                <w:spacing w:val="-12"/>
                <w:w w:val="98"/>
              </w:rPr>
              <w:t>生产、储存、</w:t>
            </w:r>
            <w:r>
              <w:rPr>
                <w:spacing w:val="12"/>
              </w:rPr>
              <w:t>使用危险化学品的单位对重复使用的危险化学</w:t>
            </w:r>
            <w:r>
              <w:rPr>
                <w:spacing w:val="6"/>
              </w:rPr>
              <w:t>品包装物、</w:t>
            </w:r>
            <w:r>
              <w:rPr>
                <w:spacing w:val="5"/>
              </w:rPr>
              <w:t>容器，在重</w:t>
            </w:r>
            <w:r>
              <w:rPr>
                <w:spacing w:val="12"/>
              </w:rPr>
              <w:t>复使用前不</w:t>
            </w:r>
            <w:r>
              <w:rPr>
                <w:spacing w:val="7"/>
              </w:rPr>
              <w:t>进行检查的</w:t>
            </w:r>
          </w:p>
        </w:tc>
        <w:tc>
          <w:tcPr>
            <w:tcW w:w="3202" w:type="dxa"/>
            <w:vMerge w:val="restart"/>
            <w:tcBorders>
              <w:bottom w:val="nil"/>
            </w:tcBorders>
            <w:vAlign w:val="top"/>
          </w:tcPr>
          <w:p w14:paraId="683577EC">
            <w:pPr>
              <w:pStyle w:val="6"/>
              <w:spacing w:before="33" w:line="185" w:lineRule="auto"/>
              <w:ind w:left="117" w:right="110" w:hanging="19"/>
            </w:pPr>
            <w:r>
              <w:rPr>
                <w:spacing w:val="18"/>
              </w:rPr>
              <w:t>【行政法规】《危险化学品</w:t>
            </w:r>
            <w:r>
              <w:rPr>
                <w:spacing w:val="17"/>
              </w:rPr>
              <w:t>安全管理条例》第十八条第</w:t>
            </w:r>
            <w:r>
              <w:rPr>
                <w:spacing w:val="13"/>
              </w:rPr>
              <w:t>三款：对重复使用的危险化</w:t>
            </w:r>
            <w:r>
              <w:rPr>
                <w:spacing w:val="14"/>
              </w:rPr>
              <w:t>学品包装物、容器，使用单</w:t>
            </w:r>
            <w:r>
              <w:rPr>
                <w:spacing w:val="17"/>
              </w:rPr>
              <w:t>位在重复使用前应当进行检</w:t>
            </w:r>
            <w:r>
              <w:rPr>
                <w:spacing w:val="9"/>
              </w:rPr>
              <w:t>查；发现存在安全隐患的，</w:t>
            </w:r>
            <w:r>
              <w:rPr>
                <w:spacing w:val="17"/>
              </w:rPr>
              <w:t>应当维修或者更换。使用单</w:t>
            </w:r>
            <w:r>
              <w:rPr>
                <w:spacing w:val="39"/>
              </w:rPr>
              <w:t>位应当对检查情况作出记</w:t>
            </w:r>
            <w:r>
              <w:rPr>
                <w:spacing w:val="13"/>
              </w:rPr>
              <w:t>录，记录的保存期限不得少</w:t>
            </w:r>
            <w:r>
              <w:rPr>
                <w:spacing w:val="-4"/>
              </w:rPr>
              <w:t>于</w:t>
            </w:r>
            <w:r>
              <w:rPr>
                <w:rFonts w:ascii="宋体" w:hAnsi="宋体" w:eastAsia="宋体" w:cs="宋体"/>
                <w:spacing w:val="-4"/>
              </w:rPr>
              <w:t>2</w:t>
            </w:r>
            <w:r>
              <w:rPr>
                <w:spacing w:val="-4"/>
              </w:rPr>
              <w:t>年。</w:t>
            </w:r>
          </w:p>
        </w:tc>
        <w:tc>
          <w:tcPr>
            <w:tcW w:w="2859" w:type="dxa"/>
            <w:vMerge w:val="restart"/>
            <w:tcBorders>
              <w:bottom w:val="nil"/>
            </w:tcBorders>
            <w:vAlign w:val="top"/>
          </w:tcPr>
          <w:p w14:paraId="6830D411">
            <w:pPr>
              <w:pStyle w:val="6"/>
              <w:spacing w:before="35" w:line="184" w:lineRule="auto"/>
              <w:ind w:left="115" w:right="19" w:firstLine="15"/>
            </w:pPr>
            <w:r>
              <w:rPr>
                <w:rFonts w:ascii="宋体" w:hAnsi="宋体" w:eastAsia="宋体" w:cs="宋体"/>
                <w:spacing w:val="6"/>
              </w:rPr>
              <w:t>1.</w:t>
            </w:r>
            <w:r>
              <w:rPr>
                <w:spacing w:val="6"/>
              </w:rPr>
              <w:t>【行政法规】《危险化</w:t>
            </w:r>
            <w:r>
              <w:rPr>
                <w:spacing w:val="8"/>
              </w:rPr>
              <w:t>学品安全管理条例》第八</w:t>
            </w:r>
            <w:r>
              <w:rPr>
                <w:spacing w:val="-4"/>
              </w:rPr>
              <w:t>十条第一款第一项：生产、</w:t>
            </w:r>
            <w:r>
              <w:rPr>
                <w:spacing w:val="8"/>
              </w:rPr>
              <w:t>储存、使用危险化学品的</w:t>
            </w:r>
            <w:r>
              <w:rPr>
                <w:spacing w:val="7"/>
              </w:rPr>
              <w:t>单位有下列情形之一的，</w:t>
            </w:r>
            <w:r>
              <w:rPr>
                <w:spacing w:val="8"/>
              </w:rPr>
              <w:t>由安全生产监督管理部门</w:t>
            </w:r>
            <w:r>
              <w:rPr>
                <w:spacing w:val="4"/>
              </w:rPr>
              <w:t>责令改正，处</w:t>
            </w:r>
            <w:r>
              <w:rPr>
                <w:rFonts w:ascii="宋体" w:hAnsi="宋体" w:eastAsia="宋体" w:cs="宋体"/>
                <w:spacing w:val="4"/>
              </w:rPr>
              <w:t>5</w:t>
            </w:r>
            <w:r>
              <w:rPr>
                <w:spacing w:val="4"/>
              </w:rPr>
              <w:t>万元以上</w:t>
            </w:r>
            <w:r>
              <w:rPr>
                <w:rFonts w:ascii="宋体" w:hAnsi="宋体" w:eastAsia="宋体" w:cs="宋体"/>
              </w:rPr>
              <w:t>10</w:t>
            </w:r>
            <w:r>
              <w:t>万元以下的罚款；拒不</w:t>
            </w:r>
            <w:r>
              <w:rPr>
                <w:spacing w:val="4"/>
              </w:rPr>
              <w:t>改正的，责令停产停业整</w:t>
            </w:r>
            <w:r>
              <w:rPr>
                <w:spacing w:val="8"/>
              </w:rPr>
              <w:t>顿直至由原发证机关吊销其相关许可证件，并由工商行政管理部门责令其办理经营范围变更登记或者吊销其营业执照；有关责任人员构成犯罪的，依法</w:t>
            </w:r>
          </w:p>
        </w:tc>
        <w:tc>
          <w:tcPr>
            <w:tcW w:w="803" w:type="dxa"/>
            <w:vAlign w:val="top"/>
          </w:tcPr>
          <w:p w14:paraId="2CD93884">
            <w:pPr>
              <w:spacing w:line="296" w:lineRule="auto"/>
              <w:rPr>
                <w:rFonts w:ascii="Arial"/>
                <w:sz w:val="21"/>
              </w:rPr>
            </w:pPr>
          </w:p>
          <w:p w14:paraId="348E8C2E">
            <w:pPr>
              <w:spacing w:line="297" w:lineRule="auto"/>
              <w:rPr>
                <w:rFonts w:ascii="Arial"/>
                <w:sz w:val="21"/>
              </w:rPr>
            </w:pPr>
          </w:p>
          <w:p w14:paraId="6B8FD36B">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5FDF5C7">
            <w:pPr>
              <w:pStyle w:val="6"/>
              <w:spacing w:before="179" w:line="189" w:lineRule="auto"/>
              <w:ind w:left="118" w:right="107" w:firstLine="4"/>
              <w:jc w:val="both"/>
            </w:pPr>
            <w:r>
              <w:rPr>
                <w:spacing w:val="15"/>
              </w:rPr>
              <w:t>有</w:t>
            </w:r>
            <w:r>
              <w:rPr>
                <w:rFonts w:ascii="宋体" w:hAnsi="宋体" w:eastAsia="宋体" w:cs="宋体"/>
                <w:spacing w:val="15"/>
              </w:rPr>
              <w:t>3</w:t>
            </w:r>
            <w:r>
              <w:rPr>
                <w:spacing w:val="15"/>
              </w:rPr>
              <w:t>次以下重复使</w:t>
            </w:r>
            <w:r>
              <w:rPr>
                <w:spacing w:val="26"/>
              </w:rPr>
              <w:t>用的危险化学品包</w:t>
            </w:r>
            <w:r>
              <w:rPr>
                <w:spacing w:val="-3"/>
              </w:rPr>
              <w:t>装物、容器在重复使</w:t>
            </w:r>
            <w:r>
              <w:rPr>
                <w:spacing w:val="7"/>
              </w:rPr>
              <w:t>用前不进行检查的</w:t>
            </w:r>
          </w:p>
        </w:tc>
        <w:tc>
          <w:tcPr>
            <w:tcW w:w="2894" w:type="dxa"/>
            <w:vAlign w:val="top"/>
          </w:tcPr>
          <w:p w14:paraId="3D579BB3">
            <w:pPr>
              <w:pStyle w:val="6"/>
              <w:spacing w:before="30" w:line="178" w:lineRule="auto"/>
              <w:ind w:left="117" w:right="109" w:firstLine="10"/>
              <w:jc w:val="both"/>
            </w:pPr>
            <w:r>
              <w:rPr>
                <w:spacing w:val="4"/>
              </w:rPr>
              <w:t>责令改正，处</w:t>
            </w:r>
            <w:r>
              <w:rPr>
                <w:rFonts w:ascii="宋体" w:hAnsi="宋体" w:eastAsia="宋体" w:cs="宋体"/>
                <w:spacing w:val="4"/>
              </w:rPr>
              <w:t>5</w:t>
            </w:r>
            <w:r>
              <w:rPr>
                <w:spacing w:val="4"/>
              </w:rPr>
              <w:t>万元以上</w:t>
            </w:r>
            <w:r>
              <w:rPr>
                <w:rFonts w:ascii="宋体" w:hAnsi="宋体" w:eastAsia="宋体" w:cs="宋体"/>
                <w:spacing w:val="9"/>
              </w:rPr>
              <w:t>7</w:t>
            </w:r>
            <w:r>
              <w:rPr>
                <w:spacing w:val="9"/>
              </w:rPr>
              <w:t>万元以下的罚款；拒不</w:t>
            </w:r>
            <w:r>
              <w:rPr>
                <w:spacing w:val="8"/>
              </w:rPr>
              <w:t>改正的，责令停产停业整</w:t>
            </w:r>
            <w:r>
              <w:rPr>
                <w:spacing w:val="11"/>
              </w:rPr>
              <w:t>顿直至由原发证机关吊销</w:t>
            </w:r>
            <w:r>
              <w:rPr>
                <w:spacing w:val="7"/>
              </w:rPr>
              <w:t>其相关许可证件</w:t>
            </w:r>
          </w:p>
        </w:tc>
        <w:tc>
          <w:tcPr>
            <w:tcW w:w="811" w:type="dxa"/>
            <w:vMerge w:val="restart"/>
            <w:tcBorders>
              <w:bottom w:val="nil"/>
            </w:tcBorders>
            <w:vAlign w:val="top"/>
          </w:tcPr>
          <w:p w14:paraId="21CE612C">
            <w:pPr>
              <w:spacing w:line="241" w:lineRule="auto"/>
              <w:rPr>
                <w:rFonts w:ascii="Arial"/>
                <w:sz w:val="21"/>
              </w:rPr>
            </w:pPr>
          </w:p>
          <w:p w14:paraId="28C79BF5">
            <w:pPr>
              <w:spacing w:line="241" w:lineRule="auto"/>
              <w:rPr>
                <w:rFonts w:ascii="Arial"/>
                <w:sz w:val="21"/>
              </w:rPr>
            </w:pPr>
          </w:p>
          <w:p w14:paraId="35F876DB">
            <w:pPr>
              <w:spacing w:line="241" w:lineRule="auto"/>
              <w:rPr>
                <w:rFonts w:ascii="Arial"/>
                <w:sz w:val="21"/>
              </w:rPr>
            </w:pPr>
          </w:p>
          <w:p w14:paraId="63457158">
            <w:pPr>
              <w:spacing w:line="241" w:lineRule="auto"/>
              <w:rPr>
                <w:rFonts w:ascii="Arial"/>
                <w:sz w:val="21"/>
              </w:rPr>
            </w:pPr>
          </w:p>
          <w:p w14:paraId="2C37F0BB">
            <w:pPr>
              <w:spacing w:line="241" w:lineRule="auto"/>
              <w:rPr>
                <w:rFonts w:ascii="Arial"/>
                <w:sz w:val="21"/>
              </w:rPr>
            </w:pPr>
          </w:p>
          <w:p w14:paraId="7F4E880C">
            <w:pPr>
              <w:spacing w:line="241" w:lineRule="auto"/>
              <w:rPr>
                <w:rFonts w:ascii="Arial"/>
                <w:sz w:val="21"/>
              </w:rPr>
            </w:pPr>
          </w:p>
          <w:p w14:paraId="2B5C1B18">
            <w:pPr>
              <w:spacing w:line="241" w:lineRule="auto"/>
              <w:rPr>
                <w:rFonts w:ascii="Arial"/>
                <w:sz w:val="21"/>
              </w:rPr>
            </w:pPr>
          </w:p>
          <w:p w14:paraId="56184BDA">
            <w:pPr>
              <w:spacing w:line="241" w:lineRule="auto"/>
              <w:rPr>
                <w:rFonts w:ascii="Arial"/>
                <w:sz w:val="21"/>
              </w:rPr>
            </w:pPr>
          </w:p>
          <w:p w14:paraId="6AAFE9A7">
            <w:pPr>
              <w:spacing w:line="241" w:lineRule="auto"/>
              <w:rPr>
                <w:rFonts w:ascii="Arial"/>
                <w:sz w:val="21"/>
              </w:rPr>
            </w:pPr>
          </w:p>
          <w:p w14:paraId="06C38189">
            <w:pPr>
              <w:spacing w:before="75" w:line="189" w:lineRule="auto"/>
              <w:ind w:left="248"/>
              <w:rPr>
                <w:rFonts w:ascii="宋体" w:hAnsi="宋体" w:eastAsia="宋体" w:cs="宋体"/>
                <w:sz w:val="23"/>
                <w:szCs w:val="23"/>
              </w:rPr>
            </w:pPr>
            <w:r>
              <w:rPr>
                <w:rFonts w:ascii="宋体" w:hAnsi="宋体" w:eastAsia="宋体" w:cs="宋体"/>
                <w:spacing w:val="-6"/>
                <w:sz w:val="23"/>
                <w:szCs w:val="23"/>
              </w:rPr>
              <w:t>101</w:t>
            </w:r>
          </w:p>
        </w:tc>
      </w:tr>
      <w:tr w14:paraId="7BE7A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3" w:hRule="atLeast"/>
        </w:trPr>
        <w:tc>
          <w:tcPr>
            <w:tcW w:w="818" w:type="dxa"/>
            <w:vMerge w:val="continue"/>
            <w:tcBorders>
              <w:top w:val="nil"/>
              <w:bottom w:val="nil"/>
            </w:tcBorders>
            <w:vAlign w:val="top"/>
          </w:tcPr>
          <w:p w14:paraId="3E4DD764">
            <w:pPr>
              <w:rPr>
                <w:rFonts w:ascii="Arial"/>
                <w:sz w:val="21"/>
              </w:rPr>
            </w:pPr>
          </w:p>
        </w:tc>
        <w:tc>
          <w:tcPr>
            <w:tcW w:w="1440" w:type="dxa"/>
            <w:vMerge w:val="continue"/>
            <w:tcBorders>
              <w:top w:val="nil"/>
              <w:bottom w:val="nil"/>
            </w:tcBorders>
            <w:vAlign w:val="top"/>
          </w:tcPr>
          <w:p w14:paraId="49C8D7C5">
            <w:pPr>
              <w:rPr>
                <w:rFonts w:ascii="Arial"/>
                <w:sz w:val="21"/>
              </w:rPr>
            </w:pPr>
          </w:p>
        </w:tc>
        <w:tc>
          <w:tcPr>
            <w:tcW w:w="3202" w:type="dxa"/>
            <w:vMerge w:val="continue"/>
            <w:tcBorders>
              <w:top w:val="nil"/>
              <w:bottom w:val="nil"/>
            </w:tcBorders>
            <w:vAlign w:val="top"/>
          </w:tcPr>
          <w:p w14:paraId="2C0A0E87">
            <w:pPr>
              <w:rPr>
                <w:rFonts w:ascii="Arial"/>
                <w:sz w:val="21"/>
              </w:rPr>
            </w:pPr>
          </w:p>
        </w:tc>
        <w:tc>
          <w:tcPr>
            <w:tcW w:w="2859" w:type="dxa"/>
            <w:vMerge w:val="continue"/>
            <w:tcBorders>
              <w:top w:val="nil"/>
              <w:bottom w:val="nil"/>
            </w:tcBorders>
            <w:vAlign w:val="top"/>
          </w:tcPr>
          <w:p w14:paraId="26C9D7E4">
            <w:pPr>
              <w:rPr>
                <w:rFonts w:ascii="Arial"/>
                <w:sz w:val="21"/>
              </w:rPr>
            </w:pPr>
          </w:p>
        </w:tc>
        <w:tc>
          <w:tcPr>
            <w:tcW w:w="803" w:type="dxa"/>
            <w:vAlign w:val="top"/>
          </w:tcPr>
          <w:p w14:paraId="4A2C27BD">
            <w:pPr>
              <w:spacing w:line="336" w:lineRule="auto"/>
              <w:rPr>
                <w:rFonts w:ascii="Arial"/>
                <w:sz w:val="21"/>
              </w:rPr>
            </w:pPr>
          </w:p>
          <w:p w14:paraId="12A28A1F">
            <w:pPr>
              <w:spacing w:line="336" w:lineRule="auto"/>
              <w:rPr>
                <w:rFonts w:ascii="Arial"/>
                <w:sz w:val="21"/>
              </w:rPr>
            </w:pPr>
          </w:p>
          <w:p w14:paraId="78346C47">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A9FB557">
            <w:pPr>
              <w:pStyle w:val="6"/>
              <w:spacing w:before="105" w:line="187" w:lineRule="auto"/>
              <w:ind w:left="117" w:right="106" w:firstLine="5"/>
              <w:jc w:val="both"/>
            </w:pPr>
            <w:r>
              <w:rPr>
                <w:spacing w:val="-2"/>
              </w:rPr>
              <w:t>有</w:t>
            </w:r>
            <w:r>
              <w:rPr>
                <w:rFonts w:ascii="宋体" w:hAnsi="宋体" w:eastAsia="宋体" w:cs="宋体"/>
                <w:spacing w:val="-2"/>
              </w:rPr>
              <w:t>3</w:t>
            </w:r>
            <w:r>
              <w:rPr>
                <w:spacing w:val="-2"/>
              </w:rPr>
              <w:t>次以上</w:t>
            </w:r>
            <w:r>
              <w:rPr>
                <w:rFonts w:ascii="宋体" w:hAnsi="宋体" w:eastAsia="宋体" w:cs="宋体"/>
                <w:spacing w:val="-2"/>
              </w:rPr>
              <w:t>7</w:t>
            </w:r>
            <w:r>
              <w:rPr>
                <w:spacing w:val="-2"/>
              </w:rPr>
              <w:t>次以下</w:t>
            </w:r>
            <w:r>
              <w:rPr>
                <w:spacing w:val="26"/>
              </w:rPr>
              <w:t>重复使用的危险化</w:t>
            </w:r>
            <w:r>
              <w:rPr>
                <w:spacing w:val="-3"/>
              </w:rPr>
              <w:t>学品包装物、容器在</w:t>
            </w:r>
            <w:r>
              <w:rPr>
                <w:spacing w:val="26"/>
              </w:rPr>
              <w:t>重复使用前不进行</w:t>
            </w:r>
            <w:r>
              <w:rPr>
                <w:spacing w:val="5"/>
              </w:rPr>
              <w:t>检查的</w:t>
            </w:r>
          </w:p>
        </w:tc>
        <w:tc>
          <w:tcPr>
            <w:tcW w:w="2894" w:type="dxa"/>
            <w:vAlign w:val="top"/>
          </w:tcPr>
          <w:p w14:paraId="1F2AAEFD">
            <w:pPr>
              <w:pStyle w:val="6"/>
              <w:spacing w:before="105" w:line="187" w:lineRule="auto"/>
              <w:ind w:left="116" w:right="109" w:firstLine="11"/>
              <w:jc w:val="both"/>
            </w:pPr>
            <w:r>
              <w:rPr>
                <w:spacing w:val="4"/>
              </w:rPr>
              <w:t>责令改正，处</w:t>
            </w:r>
            <w:r>
              <w:rPr>
                <w:rFonts w:ascii="宋体" w:hAnsi="宋体" w:eastAsia="宋体" w:cs="宋体"/>
                <w:spacing w:val="4"/>
              </w:rPr>
              <w:t>7</w:t>
            </w:r>
            <w:r>
              <w:rPr>
                <w:spacing w:val="4"/>
              </w:rPr>
              <w:t>万元以上</w:t>
            </w:r>
            <w:r>
              <w:rPr>
                <w:rFonts w:ascii="宋体" w:hAnsi="宋体" w:eastAsia="宋体" w:cs="宋体"/>
                <w:spacing w:val="9"/>
              </w:rPr>
              <w:t>9</w:t>
            </w:r>
            <w:r>
              <w:rPr>
                <w:spacing w:val="9"/>
              </w:rPr>
              <w:t>万元以下的罚款；拒不</w:t>
            </w:r>
            <w:r>
              <w:rPr>
                <w:spacing w:val="8"/>
              </w:rPr>
              <w:t>改正的，责令停产停业整</w:t>
            </w:r>
            <w:r>
              <w:rPr>
                <w:spacing w:val="12"/>
              </w:rPr>
              <w:t>顿直至由原发证机关吊销</w:t>
            </w:r>
            <w:r>
              <w:rPr>
                <w:spacing w:val="7"/>
              </w:rPr>
              <w:t>其相关许可证件</w:t>
            </w:r>
          </w:p>
        </w:tc>
        <w:tc>
          <w:tcPr>
            <w:tcW w:w="811" w:type="dxa"/>
            <w:vMerge w:val="continue"/>
            <w:tcBorders>
              <w:top w:val="nil"/>
              <w:bottom w:val="nil"/>
            </w:tcBorders>
            <w:vAlign w:val="top"/>
          </w:tcPr>
          <w:p w14:paraId="1FC29FC9">
            <w:pPr>
              <w:rPr>
                <w:rFonts w:ascii="Arial"/>
                <w:sz w:val="21"/>
              </w:rPr>
            </w:pPr>
          </w:p>
        </w:tc>
      </w:tr>
      <w:tr w14:paraId="2CC5B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818" w:type="dxa"/>
            <w:vMerge w:val="continue"/>
            <w:tcBorders>
              <w:top w:val="nil"/>
            </w:tcBorders>
            <w:vAlign w:val="top"/>
          </w:tcPr>
          <w:p w14:paraId="62B314A2">
            <w:pPr>
              <w:rPr>
                <w:rFonts w:ascii="Arial"/>
                <w:sz w:val="21"/>
              </w:rPr>
            </w:pPr>
          </w:p>
        </w:tc>
        <w:tc>
          <w:tcPr>
            <w:tcW w:w="1440" w:type="dxa"/>
            <w:vMerge w:val="continue"/>
            <w:tcBorders>
              <w:top w:val="nil"/>
            </w:tcBorders>
            <w:vAlign w:val="top"/>
          </w:tcPr>
          <w:p w14:paraId="2799CDA0">
            <w:pPr>
              <w:rPr>
                <w:rFonts w:ascii="Arial"/>
                <w:sz w:val="21"/>
              </w:rPr>
            </w:pPr>
          </w:p>
        </w:tc>
        <w:tc>
          <w:tcPr>
            <w:tcW w:w="3202" w:type="dxa"/>
            <w:vMerge w:val="continue"/>
            <w:tcBorders>
              <w:top w:val="nil"/>
            </w:tcBorders>
            <w:vAlign w:val="top"/>
          </w:tcPr>
          <w:p w14:paraId="577801EC">
            <w:pPr>
              <w:rPr>
                <w:rFonts w:ascii="Arial"/>
                <w:sz w:val="21"/>
              </w:rPr>
            </w:pPr>
          </w:p>
        </w:tc>
        <w:tc>
          <w:tcPr>
            <w:tcW w:w="2859" w:type="dxa"/>
            <w:vMerge w:val="continue"/>
            <w:tcBorders>
              <w:top w:val="nil"/>
            </w:tcBorders>
            <w:vAlign w:val="top"/>
          </w:tcPr>
          <w:p w14:paraId="3D4C8D03">
            <w:pPr>
              <w:rPr>
                <w:rFonts w:ascii="Arial"/>
                <w:sz w:val="21"/>
              </w:rPr>
            </w:pPr>
          </w:p>
        </w:tc>
        <w:tc>
          <w:tcPr>
            <w:tcW w:w="803" w:type="dxa"/>
            <w:vAlign w:val="top"/>
          </w:tcPr>
          <w:p w14:paraId="42089A5C">
            <w:pPr>
              <w:spacing w:line="299" w:lineRule="auto"/>
              <w:rPr>
                <w:rFonts w:ascii="Arial"/>
                <w:sz w:val="21"/>
              </w:rPr>
            </w:pPr>
          </w:p>
          <w:p w14:paraId="3373375C">
            <w:pPr>
              <w:spacing w:line="300" w:lineRule="auto"/>
              <w:rPr>
                <w:rFonts w:ascii="Arial"/>
                <w:sz w:val="21"/>
              </w:rPr>
            </w:pPr>
          </w:p>
          <w:p w14:paraId="510AC026">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5851E10">
            <w:pPr>
              <w:pStyle w:val="6"/>
              <w:spacing w:before="182" w:line="189" w:lineRule="auto"/>
              <w:ind w:left="118" w:right="107" w:firstLine="4"/>
              <w:jc w:val="both"/>
            </w:pPr>
            <w:r>
              <w:rPr>
                <w:spacing w:val="15"/>
              </w:rPr>
              <w:t>有</w:t>
            </w:r>
            <w:r>
              <w:rPr>
                <w:rFonts w:ascii="宋体" w:hAnsi="宋体" w:eastAsia="宋体" w:cs="宋体"/>
                <w:spacing w:val="15"/>
              </w:rPr>
              <w:t>7</w:t>
            </w:r>
            <w:r>
              <w:rPr>
                <w:spacing w:val="15"/>
              </w:rPr>
              <w:t>次以上重复使</w:t>
            </w:r>
            <w:r>
              <w:rPr>
                <w:spacing w:val="26"/>
              </w:rPr>
              <w:t>用的危险化学品包</w:t>
            </w:r>
            <w:r>
              <w:rPr>
                <w:spacing w:val="-3"/>
              </w:rPr>
              <w:t>装物、容器在重复使</w:t>
            </w:r>
            <w:r>
              <w:rPr>
                <w:spacing w:val="7"/>
              </w:rPr>
              <w:t>用前不进行检查的</w:t>
            </w:r>
          </w:p>
        </w:tc>
        <w:tc>
          <w:tcPr>
            <w:tcW w:w="2894" w:type="dxa"/>
            <w:vAlign w:val="top"/>
          </w:tcPr>
          <w:p w14:paraId="1C680295">
            <w:pPr>
              <w:pStyle w:val="6"/>
              <w:spacing w:before="33" w:line="178" w:lineRule="auto"/>
              <w:ind w:left="117" w:right="109" w:firstLine="10"/>
              <w:jc w:val="both"/>
            </w:pPr>
            <w:r>
              <w:rPr>
                <w:spacing w:val="4"/>
              </w:rPr>
              <w:t>责令改正，处</w:t>
            </w:r>
            <w:r>
              <w:rPr>
                <w:rFonts w:ascii="宋体" w:hAnsi="宋体" w:eastAsia="宋体" w:cs="宋体"/>
                <w:spacing w:val="4"/>
              </w:rPr>
              <w:t>9</w:t>
            </w:r>
            <w:r>
              <w:rPr>
                <w:spacing w:val="4"/>
              </w:rPr>
              <w:t>万元以上</w:t>
            </w:r>
            <w:r>
              <w:rPr>
                <w:rFonts w:ascii="宋体" w:hAnsi="宋体" w:eastAsia="宋体" w:cs="宋体"/>
                <w:spacing w:val="-1"/>
              </w:rPr>
              <w:t>10</w:t>
            </w:r>
            <w:r>
              <w:rPr>
                <w:spacing w:val="-1"/>
              </w:rPr>
              <w:t>万元以下的罚款；拒不</w:t>
            </w:r>
            <w:r>
              <w:rPr>
                <w:spacing w:val="8"/>
              </w:rPr>
              <w:t>改正的，责令停产停业整</w:t>
            </w:r>
            <w:r>
              <w:rPr>
                <w:spacing w:val="11"/>
              </w:rPr>
              <w:t>顿直至由原发证机关吊销</w:t>
            </w:r>
            <w:r>
              <w:rPr>
                <w:spacing w:val="7"/>
              </w:rPr>
              <w:t>其相关许可证件</w:t>
            </w:r>
          </w:p>
        </w:tc>
        <w:tc>
          <w:tcPr>
            <w:tcW w:w="811" w:type="dxa"/>
            <w:vMerge w:val="continue"/>
            <w:tcBorders>
              <w:top w:val="nil"/>
            </w:tcBorders>
            <w:vAlign w:val="top"/>
          </w:tcPr>
          <w:p w14:paraId="4CB141A1">
            <w:pPr>
              <w:rPr>
                <w:rFonts w:ascii="Arial"/>
                <w:sz w:val="21"/>
              </w:rPr>
            </w:pPr>
          </w:p>
        </w:tc>
      </w:tr>
    </w:tbl>
    <w:p w14:paraId="0117098C">
      <w:pPr>
        <w:pStyle w:val="2"/>
        <w:spacing w:line="148" w:lineRule="exact"/>
        <w:rPr>
          <w:sz w:val="12"/>
        </w:rPr>
      </w:pPr>
    </w:p>
    <w:p w14:paraId="21E88516">
      <w:pPr>
        <w:spacing w:line="148" w:lineRule="exact"/>
        <w:rPr>
          <w:sz w:val="12"/>
          <w:szCs w:val="12"/>
        </w:rPr>
        <w:sectPr>
          <w:footerReference r:id="rId165" w:type="default"/>
          <w:pgSz w:w="16839" w:h="11906"/>
          <w:pgMar w:top="1012" w:right="821" w:bottom="667" w:left="901" w:header="0" w:footer="388" w:gutter="0"/>
          <w:cols w:space="720" w:num="1"/>
        </w:sectPr>
      </w:pPr>
    </w:p>
    <w:p w14:paraId="36EB9FA9">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1298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37977379">
            <w:pPr>
              <w:spacing w:before="222" w:line="241" w:lineRule="auto"/>
              <w:ind w:left="131"/>
              <w:rPr>
                <w:rFonts w:ascii="黑体" w:hAnsi="黑体" w:eastAsia="黑体" w:cs="黑体"/>
                <w:sz w:val="28"/>
                <w:szCs w:val="28"/>
              </w:rPr>
            </w:pPr>
            <w:bookmarkStart w:id="604" w:name="bookmark564"/>
            <w:bookmarkEnd w:id="604"/>
            <w:r>
              <w:rPr>
                <w:rFonts w:ascii="黑体" w:hAnsi="黑体" w:eastAsia="黑体" w:cs="黑体"/>
                <w:spacing w:val="-2"/>
                <w:sz w:val="28"/>
                <w:szCs w:val="28"/>
              </w:rPr>
              <w:t>序号</w:t>
            </w:r>
          </w:p>
        </w:tc>
        <w:tc>
          <w:tcPr>
            <w:tcW w:w="1440" w:type="dxa"/>
            <w:vAlign w:val="top"/>
          </w:tcPr>
          <w:p w14:paraId="75975E01">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D141A59">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413F3F8">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07F0DD9">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06709A14">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5418B7B">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952DF86">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CEFA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1" w:hRule="atLeast"/>
        </w:trPr>
        <w:tc>
          <w:tcPr>
            <w:tcW w:w="818" w:type="dxa"/>
            <w:vAlign w:val="top"/>
          </w:tcPr>
          <w:p w14:paraId="54520149">
            <w:pPr>
              <w:rPr>
                <w:rFonts w:ascii="Arial"/>
                <w:sz w:val="21"/>
              </w:rPr>
            </w:pPr>
          </w:p>
        </w:tc>
        <w:tc>
          <w:tcPr>
            <w:tcW w:w="1440" w:type="dxa"/>
            <w:vAlign w:val="top"/>
          </w:tcPr>
          <w:p w14:paraId="2E10F5EF">
            <w:pPr>
              <w:rPr>
                <w:rFonts w:ascii="Arial"/>
                <w:sz w:val="21"/>
              </w:rPr>
            </w:pPr>
          </w:p>
        </w:tc>
        <w:tc>
          <w:tcPr>
            <w:tcW w:w="3202" w:type="dxa"/>
            <w:vAlign w:val="top"/>
          </w:tcPr>
          <w:p w14:paraId="70CA4298">
            <w:pPr>
              <w:rPr>
                <w:rFonts w:ascii="Arial"/>
                <w:sz w:val="21"/>
              </w:rPr>
            </w:pPr>
          </w:p>
        </w:tc>
        <w:tc>
          <w:tcPr>
            <w:tcW w:w="2859" w:type="dxa"/>
            <w:vAlign w:val="top"/>
          </w:tcPr>
          <w:p w14:paraId="6C37FCE3">
            <w:pPr>
              <w:pStyle w:val="6"/>
              <w:spacing w:before="30" w:line="182" w:lineRule="auto"/>
              <w:ind w:left="117" w:right="110" w:hanging="1"/>
              <w:jc w:val="both"/>
            </w:pPr>
            <w:r>
              <w:rPr>
                <w:spacing w:val="-1"/>
              </w:rPr>
              <w:t>追究刑事责任</w:t>
            </w:r>
            <w:r>
              <w:rPr>
                <w:spacing w:val="-3"/>
              </w:rPr>
              <w:t>：（</w:t>
            </w:r>
            <w:r>
              <w:rPr>
                <w:spacing w:val="-1"/>
              </w:rPr>
              <w:t>一）对</w:t>
            </w:r>
            <w:r>
              <w:rPr>
                <w:spacing w:val="8"/>
              </w:rPr>
              <w:t>重复使用的危险化学品包装物、容器，在重复使用</w:t>
            </w:r>
          </w:p>
          <w:p w14:paraId="4CB776F6">
            <w:pPr>
              <w:pStyle w:val="6"/>
              <w:spacing w:line="182" w:lineRule="auto"/>
              <w:ind w:left="120"/>
              <w:outlineLvl w:val="0"/>
            </w:pPr>
            <w:r>
              <w:rPr>
                <w:spacing w:val="1"/>
              </w:rPr>
              <w:t>前不进行检查的；</w:t>
            </w:r>
          </w:p>
          <w:p w14:paraId="4BE3DC28">
            <w:pPr>
              <w:pStyle w:val="6"/>
              <w:spacing w:before="5" w:line="181" w:lineRule="auto"/>
              <w:ind w:left="90" w:right="19" w:firstLine="26"/>
            </w:pPr>
            <w:r>
              <w:rPr>
                <w:rFonts w:ascii="宋体" w:hAnsi="宋体" w:eastAsia="宋体" w:cs="宋体"/>
                <w:spacing w:val="7"/>
              </w:rPr>
              <w:t>2.</w:t>
            </w:r>
            <w:r>
              <w:rPr>
                <w:spacing w:val="7"/>
              </w:rPr>
              <w:t>【部门规章】《危险化</w:t>
            </w:r>
            <w:bookmarkStart w:id="605" w:name="bookmark565"/>
            <w:bookmarkEnd w:id="605"/>
            <w:bookmarkStart w:id="606" w:name="bookmark306"/>
            <w:bookmarkEnd w:id="606"/>
            <w:r>
              <w:rPr>
                <w:spacing w:val="35"/>
              </w:rPr>
              <w:t>学品经营许可证管理办</w:t>
            </w:r>
            <w:r>
              <w:rPr>
                <w:spacing w:val="10"/>
              </w:rPr>
              <w:t>法》第三十条第一项：带</w:t>
            </w:r>
            <w:r>
              <w:rPr>
                <w:spacing w:val="35"/>
              </w:rPr>
              <w:t>有储存设施的企业违反</w:t>
            </w:r>
            <w:r>
              <w:rPr>
                <w:spacing w:val="11"/>
              </w:rPr>
              <w:t>《危险化学品安全管理条例》规定，有下列情形之</w:t>
            </w:r>
            <w:r>
              <w:rPr>
                <w:spacing w:val="1"/>
              </w:rPr>
              <w:t>一的，责令改正，处</w:t>
            </w:r>
            <w:r>
              <w:rPr>
                <w:rFonts w:ascii="宋体" w:hAnsi="宋体" w:eastAsia="宋体" w:cs="宋体"/>
                <w:spacing w:val="1"/>
              </w:rPr>
              <w:t>5</w:t>
            </w:r>
            <w:r>
              <w:rPr>
                <w:spacing w:val="1"/>
              </w:rPr>
              <w:t>万</w:t>
            </w:r>
            <w:r>
              <w:rPr>
                <w:spacing w:val="11"/>
              </w:rPr>
              <w:t>元以上</w:t>
            </w:r>
            <w:r>
              <w:rPr>
                <w:rFonts w:ascii="宋体" w:hAnsi="宋体" w:eastAsia="宋体" w:cs="宋体"/>
                <w:spacing w:val="11"/>
              </w:rPr>
              <w:t>10</w:t>
            </w:r>
            <w:r>
              <w:rPr>
                <w:spacing w:val="11"/>
              </w:rPr>
              <w:t>万元以下的罚款；拒不改正的，责令停产停业整顿；经停产停业</w:t>
            </w:r>
            <w:r>
              <w:rPr>
                <w:spacing w:val="-2"/>
              </w:rPr>
              <w:t>整顿仍不具备法律、法规、</w:t>
            </w:r>
            <w:r>
              <w:rPr>
                <w:spacing w:val="11"/>
              </w:rPr>
              <w:t>规章、国家标准和行业标</w:t>
            </w:r>
            <w:r>
              <w:rPr>
                <w:spacing w:val="35"/>
              </w:rPr>
              <w:t>准规定的安全生产条件</w:t>
            </w:r>
            <w:r>
              <w:rPr>
                <w:spacing w:val="10"/>
              </w:rPr>
              <w:t>的，吊销其经营许可证：</w:t>
            </w:r>
            <w:r>
              <w:rPr>
                <w:spacing w:val="4"/>
              </w:rPr>
              <w:t>（一）对重复使用的危险化学品包装物、容器，在</w:t>
            </w:r>
            <w:r>
              <w:rPr>
                <w:spacing w:val="35"/>
              </w:rPr>
              <w:t>重复使用前不进行检查</w:t>
            </w:r>
            <w:r>
              <w:rPr>
                <w:spacing w:val="-3"/>
              </w:rPr>
              <w:t>的；</w:t>
            </w:r>
          </w:p>
        </w:tc>
        <w:tc>
          <w:tcPr>
            <w:tcW w:w="803" w:type="dxa"/>
            <w:vAlign w:val="top"/>
          </w:tcPr>
          <w:p w14:paraId="240E94E6">
            <w:pPr>
              <w:rPr>
                <w:rFonts w:ascii="Arial"/>
                <w:sz w:val="21"/>
              </w:rPr>
            </w:pPr>
          </w:p>
        </w:tc>
        <w:tc>
          <w:tcPr>
            <w:tcW w:w="2283" w:type="dxa"/>
            <w:vAlign w:val="top"/>
          </w:tcPr>
          <w:p w14:paraId="67E64108">
            <w:pPr>
              <w:rPr>
                <w:rFonts w:ascii="Arial"/>
                <w:sz w:val="21"/>
              </w:rPr>
            </w:pPr>
          </w:p>
        </w:tc>
        <w:tc>
          <w:tcPr>
            <w:tcW w:w="2894" w:type="dxa"/>
            <w:vAlign w:val="top"/>
          </w:tcPr>
          <w:p w14:paraId="546D77A1">
            <w:pPr>
              <w:rPr>
                <w:rFonts w:ascii="Arial"/>
                <w:sz w:val="21"/>
              </w:rPr>
            </w:pPr>
          </w:p>
        </w:tc>
        <w:tc>
          <w:tcPr>
            <w:tcW w:w="811" w:type="dxa"/>
            <w:vAlign w:val="top"/>
          </w:tcPr>
          <w:p w14:paraId="5BAEB5FD">
            <w:pPr>
              <w:rPr>
                <w:rFonts w:ascii="Arial"/>
                <w:sz w:val="21"/>
              </w:rPr>
            </w:pPr>
          </w:p>
        </w:tc>
      </w:tr>
      <w:tr w14:paraId="5951B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6" w:hRule="atLeast"/>
        </w:trPr>
        <w:tc>
          <w:tcPr>
            <w:tcW w:w="818" w:type="dxa"/>
            <w:vAlign w:val="top"/>
          </w:tcPr>
          <w:p w14:paraId="623CED3B">
            <w:pPr>
              <w:spacing w:line="273" w:lineRule="auto"/>
              <w:rPr>
                <w:rFonts w:ascii="Arial"/>
                <w:sz w:val="21"/>
              </w:rPr>
            </w:pPr>
          </w:p>
          <w:p w14:paraId="3ACF5CD5">
            <w:pPr>
              <w:spacing w:line="274" w:lineRule="auto"/>
              <w:rPr>
                <w:rFonts w:ascii="Arial"/>
                <w:sz w:val="21"/>
              </w:rPr>
            </w:pPr>
          </w:p>
          <w:p w14:paraId="0B0A56FE">
            <w:pPr>
              <w:spacing w:line="274" w:lineRule="auto"/>
              <w:rPr>
                <w:rFonts w:ascii="Arial"/>
                <w:sz w:val="21"/>
              </w:rPr>
            </w:pPr>
          </w:p>
          <w:p w14:paraId="6905BF3C">
            <w:pPr>
              <w:spacing w:before="74" w:line="186" w:lineRule="auto"/>
              <w:ind w:left="161"/>
              <w:rPr>
                <w:rFonts w:ascii="仿宋" w:hAnsi="仿宋" w:eastAsia="仿宋" w:cs="仿宋"/>
                <w:sz w:val="23"/>
                <w:szCs w:val="23"/>
              </w:rPr>
            </w:pPr>
            <w:r>
              <w:rPr>
                <w:rFonts w:ascii="仿宋" w:hAnsi="仿宋" w:eastAsia="仿宋" w:cs="仿宋"/>
                <w:spacing w:val="-5"/>
                <w:sz w:val="23"/>
                <w:szCs w:val="23"/>
              </w:rPr>
              <w:t>149</w:t>
            </w:r>
          </w:p>
        </w:tc>
        <w:tc>
          <w:tcPr>
            <w:tcW w:w="1440" w:type="dxa"/>
            <w:vAlign w:val="top"/>
          </w:tcPr>
          <w:p w14:paraId="0A19B302">
            <w:pPr>
              <w:pStyle w:val="6"/>
              <w:spacing w:before="100" w:line="186" w:lineRule="auto"/>
              <w:ind w:left="110" w:right="17" w:firstLine="18"/>
              <w:jc w:val="both"/>
            </w:pPr>
            <w:r>
              <w:rPr>
                <w:spacing w:val="-12"/>
                <w:w w:val="98"/>
              </w:rPr>
              <w:t>生产、储存、</w:t>
            </w:r>
            <w:r>
              <w:rPr>
                <w:spacing w:val="12"/>
              </w:rPr>
              <w:t>使用危险化学品的单位未根据其生产、储存的危险化学品</w:t>
            </w:r>
          </w:p>
        </w:tc>
        <w:tc>
          <w:tcPr>
            <w:tcW w:w="3202" w:type="dxa"/>
            <w:vAlign w:val="top"/>
          </w:tcPr>
          <w:p w14:paraId="18F07655">
            <w:pPr>
              <w:pStyle w:val="6"/>
              <w:spacing w:before="31" w:line="187" w:lineRule="auto"/>
              <w:ind w:left="116" w:right="21" w:hanging="18"/>
              <w:jc w:val="both"/>
            </w:pPr>
            <w:r>
              <w:rPr>
                <w:spacing w:val="18"/>
              </w:rPr>
              <w:t>【行政法规】《危险化学品</w:t>
            </w:r>
            <w:r>
              <w:rPr>
                <w:spacing w:val="17"/>
              </w:rPr>
              <w:t>安全管理条例》第二十条第</w:t>
            </w:r>
            <w:r>
              <w:rPr>
                <w:spacing w:val="12"/>
              </w:rPr>
              <w:t>一款：生产、储存危险化学</w:t>
            </w:r>
            <w:r>
              <w:rPr>
                <w:spacing w:val="2"/>
              </w:rPr>
              <w:t>品的单位，应当根据其生产、</w:t>
            </w:r>
            <w:r>
              <w:rPr>
                <w:spacing w:val="17"/>
              </w:rPr>
              <w:t>储存的危险化学品的种类和</w:t>
            </w:r>
            <w:r>
              <w:rPr>
                <w:spacing w:val="13"/>
              </w:rPr>
              <w:t>危险特性，在作业场所设置</w:t>
            </w:r>
          </w:p>
        </w:tc>
        <w:tc>
          <w:tcPr>
            <w:tcW w:w="2859" w:type="dxa"/>
            <w:vAlign w:val="top"/>
          </w:tcPr>
          <w:p w14:paraId="006453D3">
            <w:pPr>
              <w:pStyle w:val="6"/>
              <w:spacing w:before="32" w:line="187" w:lineRule="auto"/>
              <w:ind w:left="116" w:right="19" w:firstLine="14"/>
            </w:pPr>
            <w:r>
              <w:rPr>
                <w:rFonts w:ascii="宋体" w:hAnsi="宋体" w:eastAsia="宋体" w:cs="宋体"/>
                <w:spacing w:val="6"/>
              </w:rPr>
              <w:t>1.</w:t>
            </w:r>
            <w:r>
              <w:rPr>
                <w:spacing w:val="6"/>
              </w:rPr>
              <w:t>【行政法规】《危险化</w:t>
            </w:r>
            <w:r>
              <w:rPr>
                <w:spacing w:val="8"/>
              </w:rPr>
              <w:t>学品安全管理条例》第八</w:t>
            </w:r>
            <w:r>
              <w:rPr>
                <w:spacing w:val="-4"/>
              </w:rPr>
              <w:t>十条第一款第二项：生产、</w:t>
            </w:r>
            <w:r>
              <w:rPr>
                <w:spacing w:val="8"/>
              </w:rPr>
              <w:t>储存、使用危险化学品的</w:t>
            </w:r>
            <w:r>
              <w:rPr>
                <w:spacing w:val="7"/>
              </w:rPr>
              <w:t>单位有下列情形之一的，</w:t>
            </w:r>
            <w:r>
              <w:rPr>
                <w:spacing w:val="8"/>
              </w:rPr>
              <w:t>由安全生产监督管理部门</w:t>
            </w:r>
          </w:p>
        </w:tc>
        <w:tc>
          <w:tcPr>
            <w:tcW w:w="803" w:type="dxa"/>
            <w:vAlign w:val="top"/>
          </w:tcPr>
          <w:p w14:paraId="1E4FF263">
            <w:pPr>
              <w:spacing w:line="272" w:lineRule="auto"/>
              <w:rPr>
                <w:rFonts w:ascii="Arial"/>
                <w:sz w:val="21"/>
              </w:rPr>
            </w:pPr>
          </w:p>
          <w:p w14:paraId="41136728">
            <w:pPr>
              <w:spacing w:line="272" w:lineRule="auto"/>
              <w:rPr>
                <w:rFonts w:ascii="Arial"/>
                <w:sz w:val="21"/>
              </w:rPr>
            </w:pPr>
          </w:p>
          <w:p w14:paraId="1C53479A">
            <w:pPr>
              <w:spacing w:line="272" w:lineRule="auto"/>
              <w:rPr>
                <w:rFonts w:ascii="Arial"/>
                <w:sz w:val="21"/>
              </w:rPr>
            </w:pPr>
          </w:p>
          <w:p w14:paraId="1E87BCEB">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1BC6EE1">
            <w:pPr>
              <w:pStyle w:val="6"/>
              <w:spacing w:before="100" w:line="186" w:lineRule="auto"/>
              <w:ind w:left="117" w:right="105"/>
              <w:jc w:val="both"/>
            </w:pPr>
            <w:r>
              <w:rPr>
                <w:spacing w:val="-3"/>
              </w:rPr>
              <w:t>未根据其生产、储存</w:t>
            </w:r>
            <w:r>
              <w:rPr>
                <w:spacing w:val="26"/>
              </w:rPr>
              <w:t>的危险化学品的种</w:t>
            </w:r>
            <w:r>
              <w:rPr>
                <w:spacing w:val="-3"/>
              </w:rPr>
              <w:t>类和危险特性，在作</w:t>
            </w:r>
            <w:r>
              <w:rPr>
                <w:spacing w:val="26"/>
              </w:rPr>
              <w:t>业场所设置相关安</w:t>
            </w:r>
            <w:r>
              <w:rPr>
                <w:spacing w:val="-14"/>
              </w:rPr>
              <w:t>全设施、设备，有</w:t>
            </w:r>
            <w:r>
              <w:rPr>
                <w:rFonts w:ascii="宋体" w:hAnsi="宋体" w:eastAsia="宋体" w:cs="宋体"/>
                <w:spacing w:val="-14"/>
              </w:rPr>
              <w:t>3</w:t>
            </w:r>
            <w:r>
              <w:rPr>
                <w:spacing w:val="7"/>
              </w:rPr>
              <w:t>台（处）以下的</w:t>
            </w:r>
          </w:p>
        </w:tc>
        <w:tc>
          <w:tcPr>
            <w:tcW w:w="2894" w:type="dxa"/>
            <w:vAlign w:val="top"/>
          </w:tcPr>
          <w:p w14:paraId="25E93EFB">
            <w:pPr>
              <w:pStyle w:val="6"/>
              <w:spacing w:before="250" w:line="188" w:lineRule="auto"/>
              <w:ind w:left="117" w:right="109" w:firstLine="10"/>
              <w:jc w:val="both"/>
            </w:pPr>
            <w:r>
              <w:rPr>
                <w:spacing w:val="4"/>
              </w:rPr>
              <w:t>责令改正，处</w:t>
            </w:r>
            <w:r>
              <w:rPr>
                <w:rFonts w:ascii="宋体" w:hAnsi="宋体" w:eastAsia="宋体" w:cs="宋体"/>
                <w:spacing w:val="4"/>
              </w:rPr>
              <w:t>5</w:t>
            </w:r>
            <w:r>
              <w:rPr>
                <w:spacing w:val="4"/>
              </w:rPr>
              <w:t>万元以上</w:t>
            </w:r>
            <w:r>
              <w:rPr>
                <w:rFonts w:ascii="宋体" w:hAnsi="宋体" w:eastAsia="宋体" w:cs="宋体"/>
                <w:spacing w:val="9"/>
              </w:rPr>
              <w:t>7</w:t>
            </w:r>
            <w:r>
              <w:rPr>
                <w:spacing w:val="9"/>
              </w:rPr>
              <w:t>万元以下的罚款；拒不</w:t>
            </w:r>
            <w:r>
              <w:rPr>
                <w:spacing w:val="8"/>
              </w:rPr>
              <w:t>改正的，责令停产停业整</w:t>
            </w:r>
            <w:r>
              <w:rPr>
                <w:spacing w:val="11"/>
              </w:rPr>
              <w:t>顿直至由原发证机关吊销</w:t>
            </w:r>
            <w:r>
              <w:rPr>
                <w:spacing w:val="7"/>
              </w:rPr>
              <w:t>其相关许可证件</w:t>
            </w:r>
          </w:p>
        </w:tc>
        <w:tc>
          <w:tcPr>
            <w:tcW w:w="811" w:type="dxa"/>
            <w:vAlign w:val="top"/>
          </w:tcPr>
          <w:p w14:paraId="4E2CD3B5">
            <w:pPr>
              <w:spacing w:line="272" w:lineRule="auto"/>
              <w:rPr>
                <w:rFonts w:ascii="Arial"/>
                <w:sz w:val="21"/>
              </w:rPr>
            </w:pPr>
          </w:p>
          <w:p w14:paraId="0DBF405C">
            <w:pPr>
              <w:spacing w:line="272" w:lineRule="auto"/>
              <w:rPr>
                <w:rFonts w:ascii="Arial"/>
                <w:sz w:val="21"/>
              </w:rPr>
            </w:pPr>
          </w:p>
          <w:p w14:paraId="4CCAB979">
            <w:pPr>
              <w:spacing w:line="273" w:lineRule="auto"/>
              <w:rPr>
                <w:rFonts w:ascii="Arial"/>
                <w:sz w:val="21"/>
              </w:rPr>
            </w:pPr>
          </w:p>
          <w:p w14:paraId="47249CB5">
            <w:pPr>
              <w:spacing w:before="75" w:line="189" w:lineRule="auto"/>
              <w:ind w:left="248"/>
              <w:rPr>
                <w:rFonts w:ascii="宋体" w:hAnsi="宋体" w:eastAsia="宋体" w:cs="宋体"/>
                <w:sz w:val="23"/>
                <w:szCs w:val="23"/>
              </w:rPr>
            </w:pPr>
            <w:r>
              <w:rPr>
                <w:rFonts w:ascii="宋体" w:hAnsi="宋体" w:eastAsia="宋体" w:cs="宋体"/>
                <w:spacing w:val="-6"/>
                <w:sz w:val="23"/>
                <w:szCs w:val="23"/>
              </w:rPr>
              <w:t>101</w:t>
            </w:r>
          </w:p>
        </w:tc>
      </w:tr>
    </w:tbl>
    <w:p w14:paraId="412A3234">
      <w:pPr>
        <w:pStyle w:val="2"/>
      </w:pPr>
    </w:p>
    <w:p w14:paraId="2465F0D3">
      <w:pPr>
        <w:sectPr>
          <w:footerReference r:id="rId166" w:type="default"/>
          <w:pgSz w:w="16839" w:h="11906"/>
          <w:pgMar w:top="1012" w:right="821" w:bottom="667" w:left="901" w:header="0" w:footer="388" w:gutter="0"/>
          <w:cols w:space="720" w:num="1"/>
        </w:sectPr>
      </w:pPr>
    </w:p>
    <w:p w14:paraId="4164375D">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A0A6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37BDCD74">
            <w:pPr>
              <w:spacing w:before="222" w:line="241" w:lineRule="auto"/>
              <w:ind w:left="131"/>
              <w:rPr>
                <w:rFonts w:ascii="黑体" w:hAnsi="黑体" w:eastAsia="黑体" w:cs="黑体"/>
                <w:sz w:val="28"/>
                <w:szCs w:val="28"/>
              </w:rPr>
            </w:pPr>
            <w:bookmarkStart w:id="607" w:name="bookmark566"/>
            <w:bookmarkEnd w:id="607"/>
            <w:r>
              <w:rPr>
                <w:rFonts w:ascii="黑体" w:hAnsi="黑体" w:eastAsia="黑体" w:cs="黑体"/>
                <w:spacing w:val="-2"/>
                <w:sz w:val="28"/>
                <w:szCs w:val="28"/>
              </w:rPr>
              <w:t>序号</w:t>
            </w:r>
          </w:p>
        </w:tc>
        <w:tc>
          <w:tcPr>
            <w:tcW w:w="1440" w:type="dxa"/>
            <w:vAlign w:val="top"/>
          </w:tcPr>
          <w:p w14:paraId="136F539C">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9D61B1B">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8C7F73E">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62DEB19">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A9D8A87">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CEC56C8">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30117E7">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131F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4" w:hRule="atLeast"/>
        </w:trPr>
        <w:tc>
          <w:tcPr>
            <w:tcW w:w="818" w:type="dxa"/>
            <w:vMerge w:val="restart"/>
            <w:tcBorders>
              <w:bottom w:val="nil"/>
            </w:tcBorders>
            <w:vAlign w:val="top"/>
          </w:tcPr>
          <w:p w14:paraId="0DA3685A">
            <w:pPr>
              <w:rPr>
                <w:rFonts w:ascii="Arial"/>
                <w:sz w:val="21"/>
              </w:rPr>
            </w:pPr>
          </w:p>
        </w:tc>
        <w:tc>
          <w:tcPr>
            <w:tcW w:w="1440" w:type="dxa"/>
            <w:vMerge w:val="restart"/>
            <w:tcBorders>
              <w:bottom w:val="nil"/>
            </w:tcBorders>
            <w:vAlign w:val="top"/>
          </w:tcPr>
          <w:p w14:paraId="0327C9BE">
            <w:pPr>
              <w:pStyle w:val="6"/>
              <w:spacing w:before="31" w:line="187" w:lineRule="auto"/>
              <w:ind w:left="114" w:right="111" w:firstLine="23"/>
              <w:jc w:val="both"/>
            </w:pPr>
            <w:r>
              <w:rPr>
                <w:spacing w:val="7"/>
              </w:rPr>
              <w:t>的种类和危</w:t>
            </w:r>
            <w:r>
              <w:rPr>
                <w:spacing w:val="4"/>
              </w:rPr>
              <w:t>险特性，在</w:t>
            </w:r>
            <w:r>
              <w:rPr>
                <w:spacing w:val="11"/>
              </w:rPr>
              <w:t>作业场所设置相关安全设施、设备</w:t>
            </w:r>
            <w:r>
              <w:t>的</w:t>
            </w:r>
          </w:p>
        </w:tc>
        <w:tc>
          <w:tcPr>
            <w:tcW w:w="3202" w:type="dxa"/>
            <w:vMerge w:val="restart"/>
            <w:tcBorders>
              <w:bottom w:val="nil"/>
            </w:tcBorders>
            <w:vAlign w:val="top"/>
          </w:tcPr>
          <w:p w14:paraId="3C24D45A">
            <w:pPr>
              <w:pStyle w:val="6"/>
              <w:spacing w:before="24" w:line="185" w:lineRule="auto"/>
              <w:ind w:left="114" w:right="19" w:firstLine="7"/>
            </w:pPr>
            <w:r>
              <w:rPr>
                <w:spacing w:val="14"/>
              </w:rPr>
              <w:t>相应的监测、监控、通风、</w:t>
            </w:r>
            <w:r>
              <w:rPr>
                <w:spacing w:val="15"/>
              </w:rPr>
              <w:t>防晒、调温、防火、灭火、防爆、泄压、防毒、中和、</w:t>
            </w:r>
            <w:r>
              <w:rPr>
                <w:spacing w:val="5"/>
              </w:rPr>
              <w:t>防潮、防雷、防静电、防腐、</w:t>
            </w:r>
            <w:r>
              <w:rPr>
                <w:spacing w:val="17"/>
              </w:rPr>
              <w:t>防泄漏以及防护围堤或者隔</w:t>
            </w:r>
            <w:r>
              <w:rPr>
                <w:spacing w:val="13"/>
              </w:rPr>
              <w:t>离操作等安全设施、设备，</w:t>
            </w:r>
            <w:r>
              <w:rPr>
                <w:spacing w:val="17"/>
              </w:rPr>
              <w:t>并按照国家标准、行业标准或者国家有关规定对安全设</w:t>
            </w:r>
            <w:r>
              <w:rPr>
                <w:spacing w:val="15"/>
              </w:rPr>
              <w:t>施、设备进行经常性维护、</w:t>
            </w:r>
            <w:r>
              <w:rPr>
                <w:spacing w:val="14"/>
              </w:rPr>
              <w:t>保养，保证安全设施、设备</w:t>
            </w:r>
            <w:r>
              <w:rPr>
                <w:spacing w:val="2"/>
              </w:rPr>
              <w:t>的正常使用。</w:t>
            </w:r>
          </w:p>
        </w:tc>
        <w:tc>
          <w:tcPr>
            <w:tcW w:w="2859" w:type="dxa"/>
            <w:vMerge w:val="restart"/>
            <w:tcBorders>
              <w:bottom w:val="nil"/>
            </w:tcBorders>
            <w:vAlign w:val="top"/>
          </w:tcPr>
          <w:p w14:paraId="7D3692B3">
            <w:pPr>
              <w:pStyle w:val="6"/>
              <w:spacing w:before="41" w:line="182" w:lineRule="auto"/>
              <w:ind w:left="115" w:right="110" w:firstLine="10"/>
              <w:jc w:val="both"/>
            </w:pPr>
            <w:r>
              <w:rPr>
                <w:spacing w:val="4"/>
              </w:rPr>
              <w:t>责令改正，处</w:t>
            </w:r>
            <w:r>
              <w:rPr>
                <w:rFonts w:ascii="宋体" w:hAnsi="宋体" w:eastAsia="宋体" w:cs="宋体"/>
                <w:spacing w:val="4"/>
              </w:rPr>
              <w:t>5</w:t>
            </w:r>
            <w:r>
              <w:rPr>
                <w:spacing w:val="4"/>
              </w:rPr>
              <w:t>万元以上</w:t>
            </w:r>
            <w:r>
              <w:rPr>
                <w:rFonts w:ascii="宋体" w:hAnsi="宋体" w:eastAsia="宋体" w:cs="宋体"/>
              </w:rPr>
              <w:t>10</w:t>
            </w:r>
            <w:r>
              <w:t>万元以下的罚款；拒不</w:t>
            </w:r>
            <w:r>
              <w:rPr>
                <w:spacing w:val="4"/>
              </w:rPr>
              <w:t>改正的，责令停产停业整</w:t>
            </w:r>
            <w:r>
              <w:rPr>
                <w:spacing w:val="8"/>
              </w:rPr>
              <w:t>顿直至由原发证机关吊销其相关许可证件，并由工商行政管理部门责令其办理经营范围变更登记或者吊销其营业执照；有关责任人员构成犯罪的，依法追究刑事责任</w:t>
            </w:r>
            <w:r>
              <w:rPr>
                <w:spacing w:val="11"/>
              </w:rPr>
              <w:t>：（</w:t>
            </w:r>
            <w:r>
              <w:rPr>
                <w:spacing w:val="8"/>
              </w:rPr>
              <w:t>二）未根据其生产、储存的危险</w:t>
            </w:r>
            <w:r>
              <w:rPr>
                <w:spacing w:val="32"/>
              </w:rPr>
              <w:t>化学品的种类和危险特</w:t>
            </w:r>
            <w:r>
              <w:rPr>
                <w:spacing w:val="8"/>
              </w:rPr>
              <w:t>性，在作业场所设置相关安全设施、设备，或者未按照国家标准、行业标准或者国家有关规定对安全设施、设备进行经常性维</w:t>
            </w:r>
            <w:r>
              <w:t>护、保养的；</w:t>
            </w:r>
          </w:p>
          <w:p w14:paraId="5A60D53B">
            <w:pPr>
              <w:pStyle w:val="6"/>
              <w:spacing w:before="13" w:line="180" w:lineRule="auto"/>
              <w:ind w:left="90" w:right="19" w:firstLine="26"/>
              <w:jc w:val="both"/>
            </w:pPr>
            <w:r>
              <w:rPr>
                <w:rFonts w:ascii="宋体" w:hAnsi="宋体" w:eastAsia="宋体" w:cs="宋体"/>
                <w:spacing w:val="7"/>
              </w:rPr>
              <w:t>2.</w:t>
            </w:r>
            <w:r>
              <w:rPr>
                <w:spacing w:val="7"/>
              </w:rPr>
              <w:t>【部门规章】《危险化</w:t>
            </w:r>
            <w:r>
              <w:rPr>
                <w:spacing w:val="35"/>
              </w:rPr>
              <w:t>学品经营许可证管理办</w:t>
            </w:r>
            <w:r>
              <w:rPr>
                <w:spacing w:val="10"/>
              </w:rPr>
              <w:t>法》第三十条第二项：带</w:t>
            </w:r>
            <w:r>
              <w:rPr>
                <w:spacing w:val="35"/>
              </w:rPr>
              <w:t>有储存设施的企业违反</w:t>
            </w:r>
            <w:r>
              <w:rPr>
                <w:spacing w:val="11"/>
              </w:rPr>
              <w:t>《危险化学品安全管理条例》规定，有下列情形之</w:t>
            </w:r>
            <w:r>
              <w:rPr>
                <w:spacing w:val="1"/>
              </w:rPr>
              <w:t>一的，责令改正，处</w:t>
            </w:r>
            <w:r>
              <w:rPr>
                <w:rFonts w:ascii="宋体" w:hAnsi="宋体" w:eastAsia="宋体" w:cs="宋体"/>
                <w:spacing w:val="1"/>
              </w:rPr>
              <w:t>5</w:t>
            </w:r>
            <w:r>
              <w:rPr>
                <w:spacing w:val="1"/>
              </w:rPr>
              <w:t>万</w:t>
            </w:r>
            <w:r>
              <w:rPr>
                <w:spacing w:val="11"/>
              </w:rPr>
              <w:t>元以上</w:t>
            </w:r>
            <w:r>
              <w:rPr>
                <w:rFonts w:ascii="宋体" w:hAnsi="宋体" w:eastAsia="宋体" w:cs="宋体"/>
                <w:spacing w:val="11"/>
              </w:rPr>
              <w:t>10</w:t>
            </w:r>
            <w:r>
              <w:rPr>
                <w:spacing w:val="11"/>
              </w:rPr>
              <w:t>万元以下的罚款；拒不改正的，责令停产停业整顿；经停产停业</w:t>
            </w:r>
            <w:r>
              <w:rPr>
                <w:spacing w:val="-2"/>
              </w:rPr>
              <w:t>整顿仍不具备法律、法规、</w:t>
            </w:r>
            <w:r>
              <w:rPr>
                <w:spacing w:val="11"/>
              </w:rPr>
              <w:t>规章、国家标准和行业标</w:t>
            </w:r>
          </w:p>
        </w:tc>
        <w:tc>
          <w:tcPr>
            <w:tcW w:w="803" w:type="dxa"/>
            <w:vAlign w:val="top"/>
          </w:tcPr>
          <w:p w14:paraId="7414D26C">
            <w:pPr>
              <w:spacing w:line="272" w:lineRule="auto"/>
              <w:rPr>
                <w:rFonts w:ascii="Arial"/>
                <w:sz w:val="21"/>
              </w:rPr>
            </w:pPr>
          </w:p>
          <w:p w14:paraId="04784C6B">
            <w:pPr>
              <w:spacing w:line="272" w:lineRule="auto"/>
              <w:rPr>
                <w:rFonts w:ascii="Arial"/>
                <w:sz w:val="21"/>
              </w:rPr>
            </w:pPr>
          </w:p>
          <w:p w14:paraId="159E03EE">
            <w:pPr>
              <w:spacing w:line="272" w:lineRule="auto"/>
              <w:rPr>
                <w:rFonts w:ascii="Arial"/>
                <w:sz w:val="21"/>
              </w:rPr>
            </w:pPr>
          </w:p>
          <w:p w14:paraId="1A6C69FA">
            <w:pPr>
              <w:spacing w:line="272" w:lineRule="auto"/>
              <w:rPr>
                <w:rFonts w:ascii="Arial"/>
                <w:sz w:val="21"/>
              </w:rPr>
            </w:pPr>
          </w:p>
          <w:p w14:paraId="476CAE93">
            <w:pPr>
              <w:spacing w:line="272" w:lineRule="auto"/>
              <w:rPr>
                <w:rFonts w:ascii="Arial"/>
                <w:sz w:val="21"/>
              </w:rPr>
            </w:pPr>
          </w:p>
          <w:p w14:paraId="396AD8A7">
            <w:pPr>
              <w:spacing w:line="272" w:lineRule="auto"/>
              <w:rPr>
                <w:rFonts w:ascii="Arial"/>
                <w:sz w:val="21"/>
              </w:rPr>
            </w:pPr>
          </w:p>
          <w:p w14:paraId="231CCA0B">
            <w:pPr>
              <w:spacing w:line="272" w:lineRule="auto"/>
              <w:rPr>
                <w:rFonts w:ascii="Arial"/>
                <w:sz w:val="21"/>
              </w:rPr>
            </w:pPr>
          </w:p>
          <w:p w14:paraId="5CC2A35C">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7758E6F">
            <w:pPr>
              <w:spacing w:line="311" w:lineRule="auto"/>
              <w:rPr>
                <w:rFonts w:ascii="Arial"/>
                <w:sz w:val="21"/>
              </w:rPr>
            </w:pPr>
          </w:p>
          <w:p w14:paraId="6450FBFA">
            <w:pPr>
              <w:spacing w:line="311" w:lineRule="auto"/>
              <w:rPr>
                <w:rFonts w:ascii="Arial"/>
                <w:sz w:val="21"/>
              </w:rPr>
            </w:pPr>
          </w:p>
          <w:p w14:paraId="35B2BB76">
            <w:pPr>
              <w:spacing w:line="311" w:lineRule="auto"/>
              <w:rPr>
                <w:rFonts w:ascii="Arial"/>
                <w:sz w:val="21"/>
              </w:rPr>
            </w:pPr>
          </w:p>
          <w:p w14:paraId="03598E20">
            <w:pPr>
              <w:pStyle w:val="6"/>
              <w:spacing w:before="98" w:line="186" w:lineRule="auto"/>
              <w:ind w:left="98" w:right="105" w:firstLine="19"/>
              <w:jc w:val="both"/>
            </w:pPr>
            <w:r>
              <w:rPr>
                <w:spacing w:val="-3"/>
              </w:rPr>
              <w:t>未根据其生产、储存</w:t>
            </w:r>
            <w:r>
              <w:rPr>
                <w:spacing w:val="28"/>
              </w:rPr>
              <w:t>的危险化学品的种</w:t>
            </w:r>
            <w:r>
              <w:t>类和危险特性，在作</w:t>
            </w:r>
            <w:r>
              <w:rPr>
                <w:spacing w:val="28"/>
              </w:rPr>
              <w:t>业场所设置相关安</w:t>
            </w:r>
            <w:r>
              <w:rPr>
                <w:spacing w:val="-12"/>
              </w:rPr>
              <w:t>全设施、设备，有</w:t>
            </w:r>
            <w:r>
              <w:rPr>
                <w:rFonts w:ascii="宋体" w:hAnsi="宋体" w:eastAsia="宋体" w:cs="宋体"/>
                <w:spacing w:val="-12"/>
              </w:rPr>
              <w:t>3</w:t>
            </w:r>
            <w:r>
              <w:rPr>
                <w:spacing w:val="4"/>
              </w:rPr>
              <w:t>台（处）以上</w:t>
            </w:r>
            <w:r>
              <w:rPr>
                <w:rFonts w:ascii="宋体" w:hAnsi="宋体" w:eastAsia="宋体" w:cs="宋体"/>
                <w:spacing w:val="4"/>
              </w:rPr>
              <w:t>7</w:t>
            </w:r>
            <w:r>
              <w:rPr>
                <w:spacing w:val="4"/>
              </w:rPr>
              <w:t>台</w:t>
            </w:r>
            <w:r>
              <w:rPr>
                <w:spacing w:val="5"/>
              </w:rPr>
              <w:t>（处）以下的</w:t>
            </w:r>
          </w:p>
        </w:tc>
        <w:tc>
          <w:tcPr>
            <w:tcW w:w="2894" w:type="dxa"/>
            <w:vAlign w:val="top"/>
          </w:tcPr>
          <w:p w14:paraId="4D8ECF3D">
            <w:pPr>
              <w:spacing w:line="246" w:lineRule="auto"/>
              <w:rPr>
                <w:rFonts w:ascii="Arial"/>
                <w:sz w:val="21"/>
              </w:rPr>
            </w:pPr>
          </w:p>
          <w:p w14:paraId="47844C3E">
            <w:pPr>
              <w:spacing w:line="247" w:lineRule="auto"/>
              <w:rPr>
                <w:rFonts w:ascii="Arial"/>
                <w:sz w:val="21"/>
              </w:rPr>
            </w:pPr>
          </w:p>
          <w:p w14:paraId="09D4848C">
            <w:pPr>
              <w:spacing w:line="247" w:lineRule="auto"/>
              <w:rPr>
                <w:rFonts w:ascii="Arial"/>
                <w:sz w:val="21"/>
              </w:rPr>
            </w:pPr>
          </w:p>
          <w:p w14:paraId="44524F8C">
            <w:pPr>
              <w:spacing w:line="247" w:lineRule="auto"/>
              <w:rPr>
                <w:rFonts w:ascii="Arial"/>
                <w:sz w:val="21"/>
              </w:rPr>
            </w:pPr>
          </w:p>
          <w:p w14:paraId="0D7FFCBD">
            <w:pPr>
              <w:spacing w:line="247" w:lineRule="auto"/>
              <w:rPr>
                <w:rFonts w:ascii="Arial"/>
                <w:sz w:val="21"/>
              </w:rPr>
            </w:pPr>
          </w:p>
          <w:p w14:paraId="69049B97">
            <w:pPr>
              <w:pStyle w:val="6"/>
              <w:spacing w:before="99" w:line="188" w:lineRule="auto"/>
              <w:ind w:left="116" w:right="109" w:firstLine="11"/>
              <w:jc w:val="both"/>
            </w:pPr>
            <w:r>
              <w:rPr>
                <w:spacing w:val="4"/>
              </w:rPr>
              <w:t>责令改正，处</w:t>
            </w:r>
            <w:r>
              <w:rPr>
                <w:rFonts w:ascii="宋体" w:hAnsi="宋体" w:eastAsia="宋体" w:cs="宋体"/>
                <w:spacing w:val="4"/>
              </w:rPr>
              <w:t>7</w:t>
            </w:r>
            <w:r>
              <w:rPr>
                <w:spacing w:val="4"/>
              </w:rPr>
              <w:t>万元以上</w:t>
            </w:r>
            <w:r>
              <w:rPr>
                <w:rFonts w:ascii="宋体" w:hAnsi="宋体" w:eastAsia="宋体" w:cs="宋体"/>
                <w:spacing w:val="9"/>
              </w:rPr>
              <w:t>9</w:t>
            </w:r>
            <w:r>
              <w:rPr>
                <w:spacing w:val="9"/>
              </w:rPr>
              <w:t>万元以下的罚款；拒不</w:t>
            </w:r>
            <w:r>
              <w:rPr>
                <w:spacing w:val="8"/>
              </w:rPr>
              <w:t>改正的，责令停产停业整</w:t>
            </w:r>
            <w:r>
              <w:rPr>
                <w:spacing w:val="12"/>
              </w:rPr>
              <w:t>顿直至由原发证机关吊销</w:t>
            </w:r>
            <w:r>
              <w:rPr>
                <w:spacing w:val="7"/>
              </w:rPr>
              <w:t>其相关许可证件</w:t>
            </w:r>
          </w:p>
        </w:tc>
        <w:tc>
          <w:tcPr>
            <w:tcW w:w="811" w:type="dxa"/>
            <w:vMerge w:val="restart"/>
            <w:tcBorders>
              <w:bottom w:val="nil"/>
            </w:tcBorders>
            <w:vAlign w:val="top"/>
          </w:tcPr>
          <w:p w14:paraId="4B920B11">
            <w:pPr>
              <w:rPr>
                <w:rFonts w:ascii="Arial"/>
                <w:sz w:val="21"/>
              </w:rPr>
            </w:pPr>
          </w:p>
        </w:tc>
      </w:tr>
      <w:tr w14:paraId="175D2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4" w:hRule="atLeast"/>
        </w:trPr>
        <w:tc>
          <w:tcPr>
            <w:tcW w:w="818" w:type="dxa"/>
            <w:vMerge w:val="continue"/>
            <w:tcBorders>
              <w:top w:val="nil"/>
            </w:tcBorders>
            <w:vAlign w:val="top"/>
          </w:tcPr>
          <w:p w14:paraId="543284E2">
            <w:pPr>
              <w:rPr>
                <w:rFonts w:ascii="Arial"/>
                <w:sz w:val="21"/>
              </w:rPr>
            </w:pPr>
          </w:p>
        </w:tc>
        <w:tc>
          <w:tcPr>
            <w:tcW w:w="1440" w:type="dxa"/>
            <w:vMerge w:val="continue"/>
            <w:tcBorders>
              <w:top w:val="nil"/>
            </w:tcBorders>
            <w:vAlign w:val="top"/>
          </w:tcPr>
          <w:p w14:paraId="66EFFB86">
            <w:pPr>
              <w:rPr>
                <w:rFonts w:ascii="Arial"/>
                <w:sz w:val="21"/>
              </w:rPr>
            </w:pPr>
          </w:p>
        </w:tc>
        <w:tc>
          <w:tcPr>
            <w:tcW w:w="3202" w:type="dxa"/>
            <w:vMerge w:val="continue"/>
            <w:tcBorders>
              <w:top w:val="nil"/>
            </w:tcBorders>
            <w:vAlign w:val="top"/>
          </w:tcPr>
          <w:p w14:paraId="00B47B36">
            <w:pPr>
              <w:rPr>
                <w:rFonts w:ascii="Arial"/>
                <w:sz w:val="21"/>
              </w:rPr>
            </w:pPr>
          </w:p>
        </w:tc>
        <w:tc>
          <w:tcPr>
            <w:tcW w:w="2859" w:type="dxa"/>
            <w:vMerge w:val="continue"/>
            <w:tcBorders>
              <w:top w:val="nil"/>
            </w:tcBorders>
            <w:vAlign w:val="top"/>
          </w:tcPr>
          <w:p w14:paraId="57AFA1D2">
            <w:pPr>
              <w:rPr>
                <w:rFonts w:ascii="Arial"/>
                <w:sz w:val="21"/>
              </w:rPr>
            </w:pPr>
          </w:p>
        </w:tc>
        <w:tc>
          <w:tcPr>
            <w:tcW w:w="803" w:type="dxa"/>
            <w:vAlign w:val="top"/>
          </w:tcPr>
          <w:p w14:paraId="2EE21A7B">
            <w:pPr>
              <w:spacing w:line="251" w:lineRule="auto"/>
              <w:rPr>
                <w:rFonts w:ascii="Arial"/>
                <w:sz w:val="21"/>
              </w:rPr>
            </w:pPr>
          </w:p>
          <w:p w14:paraId="2F9A45CD">
            <w:pPr>
              <w:spacing w:line="251" w:lineRule="auto"/>
              <w:rPr>
                <w:rFonts w:ascii="Arial"/>
                <w:sz w:val="21"/>
              </w:rPr>
            </w:pPr>
          </w:p>
          <w:p w14:paraId="196CAAA2">
            <w:pPr>
              <w:spacing w:line="252" w:lineRule="auto"/>
              <w:rPr>
                <w:rFonts w:ascii="Arial"/>
                <w:sz w:val="21"/>
              </w:rPr>
            </w:pPr>
          </w:p>
          <w:p w14:paraId="6A4F1AF3">
            <w:pPr>
              <w:spacing w:line="252" w:lineRule="auto"/>
              <w:rPr>
                <w:rFonts w:ascii="Arial"/>
                <w:sz w:val="21"/>
              </w:rPr>
            </w:pPr>
          </w:p>
          <w:p w14:paraId="05991C75">
            <w:pPr>
              <w:spacing w:line="252" w:lineRule="auto"/>
              <w:rPr>
                <w:rFonts w:ascii="Arial"/>
                <w:sz w:val="21"/>
              </w:rPr>
            </w:pPr>
          </w:p>
          <w:p w14:paraId="4462AEC3">
            <w:pPr>
              <w:spacing w:line="252" w:lineRule="auto"/>
              <w:rPr>
                <w:rFonts w:ascii="Arial"/>
                <w:sz w:val="21"/>
              </w:rPr>
            </w:pPr>
          </w:p>
          <w:p w14:paraId="17C866EA">
            <w:pPr>
              <w:spacing w:line="252" w:lineRule="auto"/>
              <w:rPr>
                <w:rFonts w:ascii="Arial"/>
                <w:sz w:val="21"/>
              </w:rPr>
            </w:pPr>
          </w:p>
          <w:p w14:paraId="6951F548">
            <w:pPr>
              <w:spacing w:line="252" w:lineRule="auto"/>
              <w:rPr>
                <w:rFonts w:ascii="Arial"/>
                <w:sz w:val="21"/>
              </w:rPr>
            </w:pPr>
          </w:p>
          <w:p w14:paraId="09B9F365">
            <w:pPr>
              <w:spacing w:line="252" w:lineRule="auto"/>
              <w:rPr>
                <w:rFonts w:ascii="Arial"/>
                <w:sz w:val="21"/>
              </w:rPr>
            </w:pPr>
          </w:p>
          <w:p w14:paraId="55C85391">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274C258">
            <w:pPr>
              <w:spacing w:line="242" w:lineRule="auto"/>
              <w:rPr>
                <w:rFonts w:ascii="Arial"/>
                <w:sz w:val="21"/>
              </w:rPr>
            </w:pPr>
          </w:p>
          <w:p w14:paraId="46C51ABE">
            <w:pPr>
              <w:spacing w:line="242" w:lineRule="auto"/>
              <w:rPr>
                <w:rFonts w:ascii="Arial"/>
                <w:sz w:val="21"/>
              </w:rPr>
            </w:pPr>
          </w:p>
          <w:p w14:paraId="29CEE567">
            <w:pPr>
              <w:spacing w:line="242" w:lineRule="auto"/>
              <w:rPr>
                <w:rFonts w:ascii="Arial"/>
                <w:sz w:val="21"/>
              </w:rPr>
            </w:pPr>
          </w:p>
          <w:p w14:paraId="77E66CDB">
            <w:pPr>
              <w:spacing w:line="242" w:lineRule="auto"/>
              <w:rPr>
                <w:rFonts w:ascii="Arial"/>
                <w:sz w:val="21"/>
              </w:rPr>
            </w:pPr>
          </w:p>
          <w:p w14:paraId="510C5ADF">
            <w:pPr>
              <w:spacing w:line="242" w:lineRule="auto"/>
              <w:rPr>
                <w:rFonts w:ascii="Arial"/>
                <w:sz w:val="21"/>
              </w:rPr>
            </w:pPr>
          </w:p>
          <w:p w14:paraId="07BF1B92">
            <w:pPr>
              <w:spacing w:line="242" w:lineRule="auto"/>
              <w:rPr>
                <w:rFonts w:ascii="Arial"/>
                <w:sz w:val="21"/>
              </w:rPr>
            </w:pPr>
          </w:p>
          <w:p w14:paraId="0669442E">
            <w:pPr>
              <w:pStyle w:val="6"/>
              <w:spacing w:before="99" w:line="186" w:lineRule="auto"/>
              <w:ind w:left="117" w:right="105"/>
              <w:jc w:val="both"/>
            </w:pPr>
            <w:r>
              <w:rPr>
                <w:spacing w:val="-3"/>
              </w:rPr>
              <w:t>未根据其生产、储存</w:t>
            </w:r>
            <w:r>
              <w:rPr>
                <w:spacing w:val="26"/>
              </w:rPr>
              <w:t>的危险化学品的种</w:t>
            </w:r>
            <w:r>
              <w:rPr>
                <w:spacing w:val="-3"/>
              </w:rPr>
              <w:t>类和危险特性，在作</w:t>
            </w:r>
            <w:r>
              <w:rPr>
                <w:spacing w:val="26"/>
              </w:rPr>
              <w:t>业场所设置相关安</w:t>
            </w:r>
            <w:r>
              <w:rPr>
                <w:spacing w:val="-14"/>
              </w:rPr>
              <w:t>全设施、设备，有</w:t>
            </w:r>
            <w:r>
              <w:rPr>
                <w:rFonts w:ascii="宋体" w:hAnsi="宋体" w:eastAsia="宋体" w:cs="宋体"/>
                <w:spacing w:val="-14"/>
              </w:rPr>
              <w:t>7</w:t>
            </w:r>
            <w:r>
              <w:rPr>
                <w:spacing w:val="7"/>
              </w:rPr>
              <w:t>台（处）以上的</w:t>
            </w:r>
          </w:p>
        </w:tc>
        <w:tc>
          <w:tcPr>
            <w:tcW w:w="2894" w:type="dxa"/>
            <w:vAlign w:val="top"/>
          </w:tcPr>
          <w:p w14:paraId="5FB0A21F">
            <w:pPr>
              <w:spacing w:line="266" w:lineRule="auto"/>
              <w:rPr>
                <w:rFonts w:ascii="Arial"/>
                <w:sz w:val="21"/>
              </w:rPr>
            </w:pPr>
          </w:p>
          <w:p w14:paraId="633F61D4">
            <w:pPr>
              <w:spacing w:line="266" w:lineRule="auto"/>
              <w:rPr>
                <w:rFonts w:ascii="Arial"/>
                <w:sz w:val="21"/>
              </w:rPr>
            </w:pPr>
          </w:p>
          <w:p w14:paraId="62E6D8AC">
            <w:pPr>
              <w:spacing w:line="266" w:lineRule="auto"/>
              <w:rPr>
                <w:rFonts w:ascii="Arial"/>
                <w:sz w:val="21"/>
              </w:rPr>
            </w:pPr>
          </w:p>
          <w:p w14:paraId="58F72A11">
            <w:pPr>
              <w:spacing w:line="266" w:lineRule="auto"/>
              <w:rPr>
                <w:rFonts w:ascii="Arial"/>
                <w:sz w:val="21"/>
              </w:rPr>
            </w:pPr>
          </w:p>
          <w:p w14:paraId="477512A8">
            <w:pPr>
              <w:spacing w:line="267" w:lineRule="auto"/>
              <w:rPr>
                <w:rFonts w:ascii="Arial"/>
                <w:sz w:val="21"/>
              </w:rPr>
            </w:pPr>
          </w:p>
          <w:p w14:paraId="7C50D01F">
            <w:pPr>
              <w:spacing w:line="267" w:lineRule="auto"/>
              <w:rPr>
                <w:rFonts w:ascii="Arial"/>
                <w:sz w:val="21"/>
              </w:rPr>
            </w:pPr>
          </w:p>
          <w:p w14:paraId="4CF6A219">
            <w:pPr>
              <w:pStyle w:val="6"/>
              <w:spacing w:before="99" w:line="188" w:lineRule="auto"/>
              <w:ind w:left="117" w:right="109" w:firstLine="10"/>
              <w:jc w:val="both"/>
            </w:pPr>
            <w:r>
              <w:rPr>
                <w:spacing w:val="4"/>
              </w:rPr>
              <w:t>责令改正，处</w:t>
            </w:r>
            <w:r>
              <w:rPr>
                <w:rFonts w:ascii="宋体" w:hAnsi="宋体" w:eastAsia="宋体" w:cs="宋体"/>
                <w:spacing w:val="4"/>
              </w:rPr>
              <w:t>9</w:t>
            </w:r>
            <w:r>
              <w:rPr>
                <w:spacing w:val="4"/>
              </w:rPr>
              <w:t>万元以上</w:t>
            </w:r>
            <w:r>
              <w:rPr>
                <w:rFonts w:ascii="宋体" w:hAnsi="宋体" w:eastAsia="宋体" w:cs="宋体"/>
                <w:spacing w:val="-1"/>
              </w:rPr>
              <w:t>10</w:t>
            </w:r>
            <w:r>
              <w:rPr>
                <w:spacing w:val="-1"/>
              </w:rPr>
              <w:t>万元以下的罚款；拒不</w:t>
            </w:r>
            <w:r>
              <w:rPr>
                <w:spacing w:val="8"/>
              </w:rPr>
              <w:t>改正的，责令停产停业整</w:t>
            </w:r>
            <w:r>
              <w:rPr>
                <w:spacing w:val="11"/>
              </w:rPr>
              <w:t>顿直至由原发证机关吊销</w:t>
            </w:r>
            <w:r>
              <w:rPr>
                <w:spacing w:val="7"/>
              </w:rPr>
              <w:t>其相关许可证件</w:t>
            </w:r>
          </w:p>
        </w:tc>
        <w:tc>
          <w:tcPr>
            <w:tcW w:w="811" w:type="dxa"/>
            <w:vMerge w:val="continue"/>
            <w:tcBorders>
              <w:top w:val="nil"/>
            </w:tcBorders>
            <w:vAlign w:val="top"/>
          </w:tcPr>
          <w:p w14:paraId="3A67A2B7">
            <w:pPr>
              <w:rPr>
                <w:rFonts w:ascii="Arial"/>
                <w:sz w:val="21"/>
              </w:rPr>
            </w:pPr>
          </w:p>
        </w:tc>
      </w:tr>
    </w:tbl>
    <w:p w14:paraId="08607984">
      <w:pPr>
        <w:pStyle w:val="2"/>
      </w:pPr>
    </w:p>
    <w:p w14:paraId="03F5C7C4">
      <w:pPr>
        <w:sectPr>
          <w:footerReference r:id="rId167" w:type="default"/>
          <w:pgSz w:w="16839" w:h="11906"/>
          <w:pgMar w:top="1012" w:right="821" w:bottom="667" w:left="901" w:header="0" w:footer="388" w:gutter="0"/>
          <w:cols w:space="720" w:num="1"/>
        </w:sectPr>
      </w:pPr>
    </w:p>
    <w:p w14:paraId="1E51618F">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99D2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883045D">
            <w:pPr>
              <w:spacing w:before="222" w:line="241" w:lineRule="auto"/>
              <w:ind w:left="131"/>
              <w:outlineLvl w:val="0"/>
              <w:rPr>
                <w:rFonts w:ascii="黑体" w:hAnsi="黑体" w:eastAsia="黑体" w:cs="黑体"/>
                <w:sz w:val="28"/>
                <w:szCs w:val="28"/>
              </w:rPr>
            </w:pPr>
            <w:bookmarkStart w:id="608" w:name="bookmark308"/>
            <w:bookmarkEnd w:id="608"/>
            <w:r>
              <w:rPr>
                <w:rFonts w:ascii="黑体" w:hAnsi="黑体" w:eastAsia="黑体" w:cs="黑体"/>
                <w:spacing w:val="-2"/>
                <w:sz w:val="28"/>
                <w:szCs w:val="28"/>
              </w:rPr>
              <w:t>序号</w:t>
            </w:r>
          </w:p>
        </w:tc>
        <w:tc>
          <w:tcPr>
            <w:tcW w:w="1440" w:type="dxa"/>
            <w:vAlign w:val="top"/>
          </w:tcPr>
          <w:p w14:paraId="496464DD">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7DE4B05A">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DA630C2">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52998B2">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9388407">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5CEC529A">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47312CD">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CFBD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3" w:hRule="atLeast"/>
        </w:trPr>
        <w:tc>
          <w:tcPr>
            <w:tcW w:w="818" w:type="dxa"/>
            <w:vAlign w:val="top"/>
          </w:tcPr>
          <w:p w14:paraId="40680C83">
            <w:pPr>
              <w:rPr>
                <w:rFonts w:ascii="Arial"/>
                <w:sz w:val="21"/>
              </w:rPr>
            </w:pPr>
          </w:p>
        </w:tc>
        <w:tc>
          <w:tcPr>
            <w:tcW w:w="1440" w:type="dxa"/>
            <w:vAlign w:val="top"/>
          </w:tcPr>
          <w:p w14:paraId="6B0BFE4A">
            <w:pPr>
              <w:rPr>
                <w:rFonts w:ascii="Arial"/>
                <w:sz w:val="21"/>
              </w:rPr>
            </w:pPr>
          </w:p>
        </w:tc>
        <w:tc>
          <w:tcPr>
            <w:tcW w:w="3202" w:type="dxa"/>
            <w:vAlign w:val="top"/>
          </w:tcPr>
          <w:p w14:paraId="1E5CD478">
            <w:pPr>
              <w:rPr>
                <w:rFonts w:ascii="Arial"/>
                <w:sz w:val="21"/>
              </w:rPr>
            </w:pPr>
          </w:p>
        </w:tc>
        <w:tc>
          <w:tcPr>
            <w:tcW w:w="2859" w:type="dxa"/>
            <w:vAlign w:val="top"/>
          </w:tcPr>
          <w:p w14:paraId="470E1DC9">
            <w:pPr>
              <w:pStyle w:val="6"/>
              <w:spacing w:before="33" w:line="180" w:lineRule="auto"/>
              <w:ind w:left="98" w:right="110" w:firstLine="23"/>
            </w:pPr>
            <w:r>
              <w:rPr>
                <w:spacing w:val="32"/>
              </w:rPr>
              <w:t>准规定的安全生产条件</w:t>
            </w:r>
            <w:r>
              <w:rPr>
                <w:spacing w:val="9"/>
              </w:rPr>
              <w:t>的，吊销其经营许可证：</w:t>
            </w:r>
            <w:r>
              <w:rPr>
                <w:spacing w:val="10"/>
              </w:rPr>
              <w:t>（二）未根据其储存的危险化学品的种类和危险特性，在作业场所设置相关安全设施、设备，或者未按照国家标准、行业标准或者国家有关规定对安全设施、设备进行经常性维</w:t>
            </w:r>
            <w:r>
              <w:rPr>
                <w:spacing w:val="3"/>
              </w:rPr>
              <w:t>护、保养的；</w:t>
            </w:r>
          </w:p>
        </w:tc>
        <w:tc>
          <w:tcPr>
            <w:tcW w:w="803" w:type="dxa"/>
            <w:vAlign w:val="top"/>
          </w:tcPr>
          <w:p w14:paraId="7778358A">
            <w:pPr>
              <w:rPr>
                <w:rFonts w:ascii="Arial"/>
                <w:sz w:val="21"/>
              </w:rPr>
            </w:pPr>
          </w:p>
        </w:tc>
        <w:tc>
          <w:tcPr>
            <w:tcW w:w="2283" w:type="dxa"/>
            <w:vAlign w:val="top"/>
          </w:tcPr>
          <w:p w14:paraId="2E45EC4F">
            <w:pPr>
              <w:rPr>
                <w:rFonts w:ascii="Arial"/>
                <w:sz w:val="21"/>
              </w:rPr>
            </w:pPr>
          </w:p>
        </w:tc>
        <w:tc>
          <w:tcPr>
            <w:tcW w:w="2894" w:type="dxa"/>
            <w:vAlign w:val="top"/>
          </w:tcPr>
          <w:p w14:paraId="6E0A1E12">
            <w:pPr>
              <w:rPr>
                <w:rFonts w:ascii="Arial"/>
                <w:sz w:val="21"/>
              </w:rPr>
            </w:pPr>
          </w:p>
        </w:tc>
        <w:tc>
          <w:tcPr>
            <w:tcW w:w="811" w:type="dxa"/>
            <w:vAlign w:val="top"/>
          </w:tcPr>
          <w:p w14:paraId="30085D28">
            <w:pPr>
              <w:rPr>
                <w:rFonts w:ascii="Arial"/>
                <w:sz w:val="21"/>
              </w:rPr>
            </w:pPr>
          </w:p>
        </w:tc>
      </w:tr>
      <w:tr w14:paraId="08C2E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0" w:hRule="atLeast"/>
        </w:trPr>
        <w:tc>
          <w:tcPr>
            <w:tcW w:w="818" w:type="dxa"/>
            <w:vMerge w:val="restart"/>
            <w:tcBorders>
              <w:bottom w:val="nil"/>
            </w:tcBorders>
            <w:vAlign w:val="top"/>
          </w:tcPr>
          <w:p w14:paraId="76BC5A10">
            <w:pPr>
              <w:spacing w:line="257" w:lineRule="auto"/>
              <w:rPr>
                <w:rFonts w:ascii="Arial"/>
                <w:sz w:val="21"/>
              </w:rPr>
            </w:pPr>
          </w:p>
          <w:p w14:paraId="211690F6">
            <w:pPr>
              <w:spacing w:line="257" w:lineRule="auto"/>
              <w:rPr>
                <w:rFonts w:ascii="Arial"/>
                <w:sz w:val="21"/>
              </w:rPr>
            </w:pPr>
          </w:p>
          <w:p w14:paraId="44DBF0AB">
            <w:pPr>
              <w:spacing w:line="257" w:lineRule="auto"/>
              <w:rPr>
                <w:rFonts w:ascii="Arial"/>
                <w:sz w:val="21"/>
              </w:rPr>
            </w:pPr>
          </w:p>
          <w:p w14:paraId="1EF8543E">
            <w:pPr>
              <w:spacing w:line="257" w:lineRule="auto"/>
              <w:rPr>
                <w:rFonts w:ascii="Arial"/>
                <w:sz w:val="21"/>
              </w:rPr>
            </w:pPr>
          </w:p>
          <w:p w14:paraId="4E406D9C">
            <w:pPr>
              <w:spacing w:line="258" w:lineRule="auto"/>
              <w:rPr>
                <w:rFonts w:ascii="Arial"/>
                <w:sz w:val="21"/>
              </w:rPr>
            </w:pPr>
          </w:p>
          <w:p w14:paraId="25F4E08D">
            <w:pPr>
              <w:spacing w:line="258" w:lineRule="auto"/>
              <w:rPr>
                <w:rFonts w:ascii="Arial"/>
                <w:sz w:val="21"/>
              </w:rPr>
            </w:pPr>
          </w:p>
          <w:p w14:paraId="3B08857F">
            <w:pPr>
              <w:spacing w:line="258" w:lineRule="auto"/>
              <w:rPr>
                <w:rFonts w:ascii="Arial"/>
                <w:sz w:val="21"/>
              </w:rPr>
            </w:pPr>
          </w:p>
          <w:p w14:paraId="0131FBF4">
            <w:pPr>
              <w:spacing w:line="258" w:lineRule="auto"/>
              <w:rPr>
                <w:rFonts w:ascii="Arial"/>
                <w:sz w:val="21"/>
              </w:rPr>
            </w:pPr>
          </w:p>
          <w:p w14:paraId="59AE7122">
            <w:pPr>
              <w:spacing w:line="258" w:lineRule="auto"/>
              <w:rPr>
                <w:rFonts w:ascii="Arial"/>
                <w:sz w:val="21"/>
              </w:rPr>
            </w:pPr>
          </w:p>
          <w:p w14:paraId="4329733D">
            <w:pPr>
              <w:spacing w:line="258" w:lineRule="auto"/>
              <w:rPr>
                <w:rFonts w:ascii="Arial"/>
                <w:sz w:val="21"/>
              </w:rPr>
            </w:pPr>
          </w:p>
          <w:p w14:paraId="2A2F7ADA">
            <w:pPr>
              <w:spacing w:line="258" w:lineRule="auto"/>
              <w:rPr>
                <w:rFonts w:ascii="Arial"/>
                <w:sz w:val="21"/>
              </w:rPr>
            </w:pPr>
          </w:p>
          <w:p w14:paraId="1A92B2D4">
            <w:pPr>
              <w:spacing w:before="75" w:line="186" w:lineRule="auto"/>
              <w:ind w:left="161"/>
              <w:rPr>
                <w:rFonts w:ascii="仿宋" w:hAnsi="仿宋" w:eastAsia="仿宋" w:cs="仿宋"/>
                <w:sz w:val="23"/>
                <w:szCs w:val="23"/>
              </w:rPr>
            </w:pPr>
            <w:r>
              <w:rPr>
                <w:rFonts w:ascii="仿宋" w:hAnsi="仿宋" w:eastAsia="仿宋" w:cs="仿宋"/>
                <w:spacing w:val="-5"/>
                <w:sz w:val="23"/>
                <w:szCs w:val="23"/>
              </w:rPr>
              <w:t>150</w:t>
            </w:r>
          </w:p>
        </w:tc>
        <w:tc>
          <w:tcPr>
            <w:tcW w:w="1440" w:type="dxa"/>
            <w:vMerge w:val="restart"/>
            <w:tcBorders>
              <w:bottom w:val="nil"/>
            </w:tcBorders>
            <w:vAlign w:val="top"/>
          </w:tcPr>
          <w:p w14:paraId="78B6ADFB">
            <w:pPr>
              <w:spacing w:line="246" w:lineRule="auto"/>
              <w:rPr>
                <w:rFonts w:ascii="Arial"/>
                <w:sz w:val="21"/>
              </w:rPr>
            </w:pPr>
          </w:p>
          <w:p w14:paraId="0BD82F48">
            <w:pPr>
              <w:spacing w:line="246" w:lineRule="auto"/>
              <w:rPr>
                <w:rFonts w:ascii="Arial"/>
                <w:sz w:val="21"/>
              </w:rPr>
            </w:pPr>
          </w:p>
          <w:p w14:paraId="4906A557">
            <w:pPr>
              <w:spacing w:line="246" w:lineRule="auto"/>
              <w:rPr>
                <w:rFonts w:ascii="Arial"/>
                <w:sz w:val="21"/>
              </w:rPr>
            </w:pPr>
          </w:p>
          <w:p w14:paraId="2F8CAFAC">
            <w:pPr>
              <w:spacing w:line="246" w:lineRule="auto"/>
              <w:rPr>
                <w:rFonts w:ascii="Arial"/>
                <w:sz w:val="21"/>
              </w:rPr>
            </w:pPr>
          </w:p>
          <w:p w14:paraId="77BF0D76">
            <w:pPr>
              <w:spacing w:line="246" w:lineRule="auto"/>
              <w:rPr>
                <w:rFonts w:ascii="Arial"/>
                <w:sz w:val="21"/>
              </w:rPr>
            </w:pPr>
          </w:p>
          <w:p w14:paraId="4269BB40">
            <w:pPr>
              <w:spacing w:line="247" w:lineRule="auto"/>
              <w:rPr>
                <w:rFonts w:ascii="Arial"/>
                <w:sz w:val="21"/>
              </w:rPr>
            </w:pPr>
          </w:p>
          <w:p w14:paraId="72B720C5">
            <w:pPr>
              <w:spacing w:line="247" w:lineRule="auto"/>
              <w:rPr>
                <w:rFonts w:ascii="Arial"/>
                <w:sz w:val="21"/>
              </w:rPr>
            </w:pPr>
          </w:p>
          <w:p w14:paraId="56FFC42E">
            <w:pPr>
              <w:pStyle w:val="6"/>
              <w:spacing w:before="99" w:line="186" w:lineRule="auto"/>
              <w:ind w:left="110" w:right="17" w:firstLine="18"/>
              <w:jc w:val="both"/>
            </w:pPr>
            <w:r>
              <w:rPr>
                <w:spacing w:val="-12"/>
                <w:w w:val="98"/>
              </w:rPr>
              <w:t>生产、储存、</w:t>
            </w:r>
            <w:r>
              <w:rPr>
                <w:spacing w:val="12"/>
              </w:rPr>
              <w:t>使用危险化学品的单位未按规定对其安全生产条件定期进行安全评价</w:t>
            </w:r>
            <w:r>
              <w:rPr>
                <w:spacing w:val="1"/>
              </w:rPr>
              <w:t>的</w:t>
            </w:r>
          </w:p>
        </w:tc>
        <w:tc>
          <w:tcPr>
            <w:tcW w:w="3202" w:type="dxa"/>
            <w:vMerge w:val="restart"/>
            <w:tcBorders>
              <w:bottom w:val="nil"/>
            </w:tcBorders>
            <w:vAlign w:val="top"/>
          </w:tcPr>
          <w:p w14:paraId="5A3D5823">
            <w:pPr>
              <w:pStyle w:val="6"/>
              <w:spacing w:before="40" w:line="182" w:lineRule="auto"/>
              <w:ind w:left="116" w:right="36" w:firstLine="14"/>
              <w:jc w:val="both"/>
            </w:pPr>
            <w:r>
              <w:rPr>
                <w:rFonts w:ascii="宋体" w:hAnsi="宋体" w:eastAsia="宋体" w:cs="宋体"/>
                <w:spacing w:val="14"/>
              </w:rPr>
              <w:t>1.</w:t>
            </w:r>
            <w:r>
              <w:rPr>
                <w:spacing w:val="14"/>
              </w:rPr>
              <w:t>【行政法规】《危险化学</w:t>
            </w:r>
            <w:r>
              <w:rPr>
                <w:spacing w:val="17"/>
              </w:rPr>
              <w:t>品安全管理条例》第二十二</w:t>
            </w:r>
            <w:r>
              <w:rPr>
                <w:spacing w:val="12"/>
              </w:rPr>
              <w:t>条第一款：生产、储存危险</w:t>
            </w:r>
            <w:r>
              <w:rPr>
                <w:spacing w:val="13"/>
              </w:rPr>
              <w:t>化学品的企业，应当委托具</w:t>
            </w:r>
            <w:r>
              <w:rPr>
                <w:spacing w:val="17"/>
              </w:rPr>
              <w:t>备国家规定的资质条件的机</w:t>
            </w:r>
            <w:r>
              <w:rPr>
                <w:spacing w:val="13"/>
              </w:rPr>
              <w:t>构，对本企业的安全生产条</w:t>
            </w:r>
            <w:r>
              <w:rPr>
                <w:spacing w:val="2"/>
              </w:rPr>
              <w:t>件每</w:t>
            </w:r>
            <w:r>
              <w:rPr>
                <w:rFonts w:ascii="宋体" w:hAnsi="宋体" w:eastAsia="宋体" w:cs="宋体"/>
                <w:spacing w:val="2"/>
              </w:rPr>
              <w:t>3</w:t>
            </w:r>
            <w:r>
              <w:rPr>
                <w:spacing w:val="2"/>
              </w:rPr>
              <w:t>年进行一次安全评价，</w:t>
            </w:r>
            <w:r>
              <w:rPr>
                <w:spacing w:val="17"/>
              </w:rPr>
              <w:t>提出安全评价报告。安全评价报告的内容应当包括对安全生产条件存在的问题进行</w:t>
            </w:r>
            <w:r>
              <w:rPr>
                <w:spacing w:val="1"/>
              </w:rPr>
              <w:t>整改的方案。</w:t>
            </w:r>
          </w:p>
          <w:p w14:paraId="638AF9E4">
            <w:pPr>
              <w:pStyle w:val="6"/>
              <w:spacing w:before="14" w:line="179" w:lineRule="auto"/>
              <w:ind w:left="114" w:right="21" w:firstLine="13"/>
              <w:jc w:val="both"/>
            </w:pPr>
            <w:r>
              <w:rPr>
                <w:spacing w:val="13"/>
              </w:rPr>
              <w:t>第三十二条：本条例第十六</w:t>
            </w:r>
            <w:r>
              <w:rPr>
                <w:spacing w:val="17"/>
              </w:rPr>
              <w:t>条关于生产实施重点环境管理的危险化学品的企业的规</w:t>
            </w:r>
            <w:r>
              <w:rPr>
                <w:spacing w:val="13"/>
              </w:rPr>
              <w:t>定，适用于使用实施重点环</w:t>
            </w:r>
            <w:r>
              <w:rPr>
                <w:spacing w:val="17"/>
              </w:rPr>
              <w:t>境管理的危险化学品从事生</w:t>
            </w:r>
            <w:r>
              <w:rPr>
                <w:spacing w:val="13"/>
              </w:rPr>
              <w:t>产的企业；第二十条、第二</w:t>
            </w:r>
            <w:r>
              <w:rPr>
                <w:spacing w:val="5"/>
              </w:rPr>
              <w:t>十一条、第二十三条第一款、</w:t>
            </w:r>
            <w:r>
              <w:rPr>
                <w:spacing w:val="17"/>
              </w:rPr>
              <w:t>第二十七条关于生产、储存</w:t>
            </w:r>
            <w:r>
              <w:rPr>
                <w:spacing w:val="16"/>
              </w:rPr>
              <w:t>危险化学品的单位的规定，</w:t>
            </w:r>
          </w:p>
        </w:tc>
        <w:tc>
          <w:tcPr>
            <w:tcW w:w="2859" w:type="dxa"/>
            <w:vMerge w:val="restart"/>
            <w:tcBorders>
              <w:bottom w:val="nil"/>
            </w:tcBorders>
            <w:vAlign w:val="top"/>
          </w:tcPr>
          <w:p w14:paraId="27708930">
            <w:pPr>
              <w:pStyle w:val="6"/>
              <w:spacing w:before="45" w:line="182" w:lineRule="auto"/>
              <w:ind w:left="115" w:right="19" w:firstLine="15"/>
            </w:pPr>
            <w:r>
              <w:rPr>
                <w:rFonts w:ascii="宋体" w:hAnsi="宋体" w:eastAsia="宋体" w:cs="宋体"/>
                <w:spacing w:val="6"/>
              </w:rPr>
              <w:t>1.</w:t>
            </w:r>
            <w:r>
              <w:rPr>
                <w:spacing w:val="6"/>
              </w:rPr>
              <w:t>【行政法规】《危险化</w:t>
            </w:r>
            <w:r>
              <w:rPr>
                <w:spacing w:val="8"/>
              </w:rPr>
              <w:t>学品安全管理条例》第八</w:t>
            </w:r>
            <w:r>
              <w:rPr>
                <w:spacing w:val="-4"/>
              </w:rPr>
              <w:t>十条第一款第三项：生产、</w:t>
            </w:r>
            <w:r>
              <w:rPr>
                <w:spacing w:val="8"/>
              </w:rPr>
              <w:t>储存、使用危险化学品的</w:t>
            </w:r>
            <w:r>
              <w:rPr>
                <w:spacing w:val="7"/>
              </w:rPr>
              <w:t>单位有下列情形之一的，</w:t>
            </w:r>
            <w:r>
              <w:rPr>
                <w:spacing w:val="8"/>
              </w:rPr>
              <w:t>由安全生产监督管理部门</w:t>
            </w:r>
            <w:r>
              <w:rPr>
                <w:spacing w:val="4"/>
              </w:rPr>
              <w:t>责令改正，处</w:t>
            </w:r>
            <w:r>
              <w:rPr>
                <w:rFonts w:ascii="宋体" w:hAnsi="宋体" w:eastAsia="宋体" w:cs="宋体"/>
                <w:spacing w:val="4"/>
              </w:rPr>
              <w:t>5</w:t>
            </w:r>
            <w:r>
              <w:rPr>
                <w:spacing w:val="4"/>
              </w:rPr>
              <w:t>万元以上</w:t>
            </w:r>
            <w:r>
              <w:rPr>
                <w:rFonts w:ascii="宋体" w:hAnsi="宋体" w:eastAsia="宋体" w:cs="宋体"/>
              </w:rPr>
              <w:t>10</w:t>
            </w:r>
            <w:r>
              <w:t>万元以下的罚款；拒不</w:t>
            </w:r>
            <w:r>
              <w:rPr>
                <w:spacing w:val="4"/>
              </w:rPr>
              <w:t>改正的，责令停产停业整</w:t>
            </w:r>
            <w:r>
              <w:rPr>
                <w:spacing w:val="8"/>
              </w:rPr>
              <w:t>顿直至由原发证机关吊销其相关许可证件，并由工商行政管理部门责令其办理经营范围变更登记或者吊销其营业执照；有关责任人员构成犯罪的，依法追究刑事责任</w:t>
            </w:r>
            <w:r>
              <w:rPr>
                <w:spacing w:val="11"/>
              </w:rPr>
              <w:t>：（</w:t>
            </w:r>
            <w:r>
              <w:rPr>
                <w:spacing w:val="8"/>
              </w:rPr>
              <w:t>三）未依照本条例规定对其安全生产条件定期进行安全评</w:t>
            </w:r>
            <w:r>
              <w:rPr>
                <w:spacing w:val="-6"/>
              </w:rPr>
              <w:t>价的；</w:t>
            </w:r>
          </w:p>
          <w:p w14:paraId="180EAD1D">
            <w:pPr>
              <w:pStyle w:val="6"/>
              <w:spacing w:before="1" w:line="159" w:lineRule="auto"/>
              <w:ind w:left="116"/>
            </w:pPr>
            <w:r>
              <w:rPr>
                <w:rFonts w:ascii="宋体" w:hAnsi="宋体" w:eastAsia="宋体" w:cs="宋体"/>
                <w:spacing w:val="6"/>
              </w:rPr>
              <w:t>2.</w:t>
            </w:r>
            <w:r>
              <w:rPr>
                <w:spacing w:val="6"/>
              </w:rPr>
              <w:t>【部门规章】《危险化</w:t>
            </w:r>
          </w:p>
        </w:tc>
        <w:tc>
          <w:tcPr>
            <w:tcW w:w="803" w:type="dxa"/>
            <w:vAlign w:val="top"/>
          </w:tcPr>
          <w:p w14:paraId="54E387D5">
            <w:pPr>
              <w:spacing w:line="276" w:lineRule="auto"/>
              <w:rPr>
                <w:rFonts w:ascii="Arial"/>
                <w:sz w:val="21"/>
              </w:rPr>
            </w:pPr>
          </w:p>
          <w:p w14:paraId="028A63BD">
            <w:pPr>
              <w:spacing w:line="277" w:lineRule="auto"/>
              <w:rPr>
                <w:rFonts w:ascii="Arial"/>
                <w:sz w:val="21"/>
              </w:rPr>
            </w:pPr>
          </w:p>
          <w:p w14:paraId="2B056555">
            <w:pPr>
              <w:spacing w:line="277" w:lineRule="auto"/>
              <w:rPr>
                <w:rFonts w:ascii="Arial"/>
                <w:sz w:val="21"/>
              </w:rPr>
            </w:pPr>
          </w:p>
          <w:p w14:paraId="3CB7CC56">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360FC95">
            <w:pPr>
              <w:spacing w:line="308" w:lineRule="auto"/>
              <w:rPr>
                <w:rFonts w:ascii="Arial"/>
                <w:sz w:val="21"/>
              </w:rPr>
            </w:pPr>
          </w:p>
          <w:p w14:paraId="29DD4181">
            <w:pPr>
              <w:spacing w:line="309" w:lineRule="auto"/>
              <w:rPr>
                <w:rFonts w:ascii="Arial"/>
                <w:sz w:val="21"/>
              </w:rPr>
            </w:pPr>
          </w:p>
          <w:p w14:paraId="4C8D6F39">
            <w:pPr>
              <w:pStyle w:val="6"/>
              <w:spacing w:before="98" w:line="195" w:lineRule="auto"/>
              <w:ind w:left="124" w:right="109" w:hanging="6"/>
            </w:pPr>
            <w:r>
              <w:rPr>
                <w:spacing w:val="26"/>
              </w:rPr>
              <w:t>未进行安全评价超</w:t>
            </w:r>
            <w:r>
              <w:rPr>
                <w:spacing w:val="-5"/>
              </w:rPr>
              <w:t>期</w:t>
            </w:r>
            <w:r>
              <w:rPr>
                <w:rFonts w:ascii="宋体" w:hAnsi="宋体" w:eastAsia="宋体" w:cs="宋体"/>
                <w:spacing w:val="-5"/>
              </w:rPr>
              <w:t>30</w:t>
            </w:r>
            <w:r>
              <w:rPr>
                <w:spacing w:val="-5"/>
              </w:rPr>
              <w:t>日以内的</w:t>
            </w:r>
          </w:p>
        </w:tc>
        <w:tc>
          <w:tcPr>
            <w:tcW w:w="2894" w:type="dxa"/>
            <w:vAlign w:val="top"/>
          </w:tcPr>
          <w:p w14:paraId="16234C95">
            <w:pPr>
              <w:pStyle w:val="6"/>
              <w:spacing w:before="267" w:line="188" w:lineRule="auto"/>
              <w:ind w:left="117" w:right="109" w:firstLine="10"/>
              <w:jc w:val="both"/>
            </w:pPr>
            <w:r>
              <w:rPr>
                <w:spacing w:val="4"/>
              </w:rPr>
              <w:t>责令改正，处</w:t>
            </w:r>
            <w:r>
              <w:rPr>
                <w:rFonts w:ascii="宋体" w:hAnsi="宋体" w:eastAsia="宋体" w:cs="宋体"/>
                <w:spacing w:val="4"/>
              </w:rPr>
              <w:t>5</w:t>
            </w:r>
            <w:r>
              <w:rPr>
                <w:spacing w:val="4"/>
              </w:rPr>
              <w:t>万元以上</w:t>
            </w:r>
            <w:r>
              <w:rPr>
                <w:rFonts w:ascii="宋体" w:hAnsi="宋体" w:eastAsia="宋体" w:cs="宋体"/>
                <w:spacing w:val="9"/>
              </w:rPr>
              <w:t>7</w:t>
            </w:r>
            <w:r>
              <w:rPr>
                <w:spacing w:val="9"/>
              </w:rPr>
              <w:t>万元以下的罚款；拒不</w:t>
            </w:r>
            <w:r>
              <w:rPr>
                <w:spacing w:val="8"/>
              </w:rPr>
              <w:t>改正的，责令停产停业整</w:t>
            </w:r>
            <w:r>
              <w:rPr>
                <w:spacing w:val="11"/>
              </w:rPr>
              <w:t>顿直至由原发证机关吊销</w:t>
            </w:r>
            <w:r>
              <w:rPr>
                <w:spacing w:val="7"/>
              </w:rPr>
              <w:t>其相关许可证件</w:t>
            </w:r>
          </w:p>
        </w:tc>
        <w:tc>
          <w:tcPr>
            <w:tcW w:w="811" w:type="dxa"/>
            <w:vMerge w:val="restart"/>
            <w:tcBorders>
              <w:bottom w:val="nil"/>
            </w:tcBorders>
            <w:vAlign w:val="top"/>
          </w:tcPr>
          <w:p w14:paraId="07C0B5E6">
            <w:pPr>
              <w:spacing w:line="257" w:lineRule="auto"/>
              <w:rPr>
                <w:rFonts w:ascii="Arial"/>
                <w:sz w:val="21"/>
              </w:rPr>
            </w:pPr>
          </w:p>
          <w:p w14:paraId="354E7945">
            <w:pPr>
              <w:spacing w:line="257" w:lineRule="auto"/>
              <w:rPr>
                <w:rFonts w:ascii="Arial"/>
                <w:sz w:val="21"/>
              </w:rPr>
            </w:pPr>
          </w:p>
          <w:p w14:paraId="2CC7BCC5">
            <w:pPr>
              <w:spacing w:line="257" w:lineRule="auto"/>
              <w:rPr>
                <w:rFonts w:ascii="Arial"/>
                <w:sz w:val="21"/>
              </w:rPr>
            </w:pPr>
          </w:p>
          <w:p w14:paraId="7090AE34">
            <w:pPr>
              <w:spacing w:line="257" w:lineRule="auto"/>
              <w:rPr>
                <w:rFonts w:ascii="Arial"/>
                <w:sz w:val="21"/>
              </w:rPr>
            </w:pPr>
          </w:p>
          <w:p w14:paraId="69087997">
            <w:pPr>
              <w:spacing w:line="257" w:lineRule="auto"/>
              <w:rPr>
                <w:rFonts w:ascii="Arial"/>
                <w:sz w:val="21"/>
              </w:rPr>
            </w:pPr>
          </w:p>
          <w:p w14:paraId="67B23E36">
            <w:pPr>
              <w:spacing w:line="257" w:lineRule="auto"/>
              <w:rPr>
                <w:rFonts w:ascii="Arial"/>
                <w:sz w:val="21"/>
              </w:rPr>
            </w:pPr>
          </w:p>
          <w:p w14:paraId="7DDC3B9C">
            <w:pPr>
              <w:spacing w:line="257" w:lineRule="auto"/>
              <w:rPr>
                <w:rFonts w:ascii="Arial"/>
                <w:sz w:val="21"/>
              </w:rPr>
            </w:pPr>
          </w:p>
          <w:p w14:paraId="5C9A0A84">
            <w:pPr>
              <w:spacing w:line="258" w:lineRule="auto"/>
              <w:rPr>
                <w:rFonts w:ascii="Arial"/>
                <w:sz w:val="21"/>
              </w:rPr>
            </w:pPr>
          </w:p>
          <w:p w14:paraId="67C3E858">
            <w:pPr>
              <w:spacing w:line="258" w:lineRule="auto"/>
              <w:rPr>
                <w:rFonts w:ascii="Arial"/>
                <w:sz w:val="21"/>
              </w:rPr>
            </w:pPr>
          </w:p>
          <w:p w14:paraId="24BD9700">
            <w:pPr>
              <w:spacing w:line="258" w:lineRule="auto"/>
              <w:rPr>
                <w:rFonts w:ascii="Arial"/>
                <w:sz w:val="21"/>
              </w:rPr>
            </w:pPr>
          </w:p>
          <w:p w14:paraId="06270F97">
            <w:pPr>
              <w:spacing w:line="258" w:lineRule="auto"/>
              <w:rPr>
                <w:rFonts w:ascii="Arial"/>
                <w:sz w:val="21"/>
              </w:rPr>
            </w:pPr>
          </w:p>
          <w:p w14:paraId="6B019309">
            <w:pPr>
              <w:spacing w:before="74" w:line="189" w:lineRule="auto"/>
              <w:ind w:left="248"/>
              <w:rPr>
                <w:rFonts w:ascii="宋体" w:hAnsi="宋体" w:eastAsia="宋体" w:cs="宋体"/>
                <w:sz w:val="23"/>
                <w:szCs w:val="23"/>
              </w:rPr>
            </w:pPr>
            <w:r>
              <w:rPr>
                <w:rFonts w:ascii="宋体" w:hAnsi="宋体" w:eastAsia="宋体" w:cs="宋体"/>
                <w:spacing w:val="-6"/>
                <w:sz w:val="23"/>
                <w:szCs w:val="23"/>
              </w:rPr>
              <w:t>101</w:t>
            </w:r>
          </w:p>
        </w:tc>
      </w:tr>
      <w:tr w14:paraId="2C20E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3" w:hRule="atLeast"/>
        </w:trPr>
        <w:tc>
          <w:tcPr>
            <w:tcW w:w="818" w:type="dxa"/>
            <w:vMerge w:val="continue"/>
            <w:tcBorders>
              <w:top w:val="nil"/>
              <w:bottom w:val="nil"/>
            </w:tcBorders>
            <w:vAlign w:val="top"/>
          </w:tcPr>
          <w:p w14:paraId="6BFB7548">
            <w:pPr>
              <w:rPr>
                <w:rFonts w:ascii="Arial"/>
                <w:sz w:val="21"/>
              </w:rPr>
            </w:pPr>
          </w:p>
        </w:tc>
        <w:tc>
          <w:tcPr>
            <w:tcW w:w="1440" w:type="dxa"/>
            <w:vMerge w:val="continue"/>
            <w:tcBorders>
              <w:top w:val="nil"/>
              <w:bottom w:val="nil"/>
            </w:tcBorders>
            <w:vAlign w:val="top"/>
          </w:tcPr>
          <w:p w14:paraId="6D51D0E6">
            <w:pPr>
              <w:rPr>
                <w:rFonts w:ascii="Arial"/>
                <w:sz w:val="21"/>
              </w:rPr>
            </w:pPr>
          </w:p>
        </w:tc>
        <w:tc>
          <w:tcPr>
            <w:tcW w:w="3202" w:type="dxa"/>
            <w:vMerge w:val="continue"/>
            <w:tcBorders>
              <w:top w:val="nil"/>
              <w:bottom w:val="nil"/>
            </w:tcBorders>
            <w:vAlign w:val="top"/>
          </w:tcPr>
          <w:p w14:paraId="4F3E8BD6">
            <w:pPr>
              <w:rPr>
                <w:rFonts w:ascii="Arial"/>
                <w:sz w:val="21"/>
              </w:rPr>
            </w:pPr>
          </w:p>
        </w:tc>
        <w:tc>
          <w:tcPr>
            <w:tcW w:w="2859" w:type="dxa"/>
            <w:vMerge w:val="continue"/>
            <w:tcBorders>
              <w:top w:val="nil"/>
              <w:bottom w:val="nil"/>
            </w:tcBorders>
            <w:vAlign w:val="top"/>
          </w:tcPr>
          <w:p w14:paraId="522474E6">
            <w:pPr>
              <w:rPr>
                <w:rFonts w:ascii="Arial"/>
                <w:sz w:val="21"/>
              </w:rPr>
            </w:pPr>
          </w:p>
        </w:tc>
        <w:tc>
          <w:tcPr>
            <w:tcW w:w="803" w:type="dxa"/>
            <w:vAlign w:val="top"/>
          </w:tcPr>
          <w:p w14:paraId="0EF8846C">
            <w:pPr>
              <w:spacing w:line="266" w:lineRule="auto"/>
              <w:rPr>
                <w:rFonts w:ascii="Arial"/>
                <w:sz w:val="21"/>
              </w:rPr>
            </w:pPr>
          </w:p>
          <w:p w14:paraId="422AA7A3">
            <w:pPr>
              <w:spacing w:line="267" w:lineRule="auto"/>
              <w:rPr>
                <w:rFonts w:ascii="Arial"/>
                <w:sz w:val="21"/>
              </w:rPr>
            </w:pPr>
          </w:p>
          <w:p w14:paraId="24759A11">
            <w:pPr>
              <w:spacing w:line="267" w:lineRule="auto"/>
              <w:rPr>
                <w:rFonts w:ascii="Arial"/>
                <w:sz w:val="21"/>
              </w:rPr>
            </w:pPr>
          </w:p>
          <w:p w14:paraId="73EDB420">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4BDAD38">
            <w:pPr>
              <w:spacing w:line="434" w:lineRule="auto"/>
              <w:rPr>
                <w:rFonts w:ascii="Arial"/>
                <w:sz w:val="21"/>
              </w:rPr>
            </w:pPr>
          </w:p>
          <w:p w14:paraId="07FC7572">
            <w:pPr>
              <w:pStyle w:val="6"/>
              <w:spacing w:before="98" w:line="192" w:lineRule="auto"/>
              <w:ind w:left="124" w:right="105" w:hanging="6"/>
              <w:jc w:val="both"/>
            </w:pPr>
            <w:r>
              <w:rPr>
                <w:spacing w:val="26"/>
              </w:rPr>
              <w:t>未进行安全评价超</w:t>
            </w:r>
            <w:r>
              <w:rPr>
                <w:spacing w:val="-11"/>
              </w:rPr>
              <w:t>期</w:t>
            </w:r>
            <w:r>
              <w:rPr>
                <w:rFonts w:ascii="宋体" w:hAnsi="宋体" w:eastAsia="宋体" w:cs="宋体"/>
                <w:spacing w:val="-11"/>
              </w:rPr>
              <w:t>30</w:t>
            </w:r>
            <w:r>
              <w:rPr>
                <w:spacing w:val="-11"/>
              </w:rPr>
              <w:t>日以上</w:t>
            </w:r>
            <w:r>
              <w:rPr>
                <w:rFonts w:ascii="宋体" w:hAnsi="宋体" w:eastAsia="宋体" w:cs="宋体"/>
                <w:spacing w:val="-11"/>
              </w:rPr>
              <w:t>60</w:t>
            </w:r>
            <w:r>
              <w:rPr>
                <w:spacing w:val="-11"/>
              </w:rPr>
              <w:t>日以</w:t>
            </w:r>
            <w:r>
              <w:rPr>
                <w:spacing w:val="-1"/>
              </w:rPr>
              <w:t>内的</w:t>
            </w:r>
          </w:p>
        </w:tc>
        <w:tc>
          <w:tcPr>
            <w:tcW w:w="2894" w:type="dxa"/>
            <w:vAlign w:val="top"/>
          </w:tcPr>
          <w:p w14:paraId="101A6C3A">
            <w:pPr>
              <w:pStyle w:val="6"/>
              <w:spacing w:before="233" w:line="188" w:lineRule="auto"/>
              <w:ind w:left="116" w:right="109" w:firstLine="11"/>
              <w:jc w:val="both"/>
            </w:pPr>
            <w:r>
              <w:rPr>
                <w:spacing w:val="4"/>
              </w:rPr>
              <w:t>责令改正，处</w:t>
            </w:r>
            <w:r>
              <w:rPr>
                <w:rFonts w:ascii="宋体" w:hAnsi="宋体" w:eastAsia="宋体" w:cs="宋体"/>
                <w:spacing w:val="4"/>
              </w:rPr>
              <w:t>7</w:t>
            </w:r>
            <w:r>
              <w:rPr>
                <w:spacing w:val="4"/>
              </w:rPr>
              <w:t>万元以上</w:t>
            </w:r>
            <w:r>
              <w:rPr>
                <w:rFonts w:ascii="宋体" w:hAnsi="宋体" w:eastAsia="宋体" w:cs="宋体"/>
                <w:spacing w:val="9"/>
              </w:rPr>
              <w:t>9</w:t>
            </w:r>
            <w:r>
              <w:rPr>
                <w:spacing w:val="9"/>
              </w:rPr>
              <w:t>万元以下的罚款；拒不</w:t>
            </w:r>
            <w:r>
              <w:rPr>
                <w:spacing w:val="8"/>
              </w:rPr>
              <w:t>改正的，责令停产停业整</w:t>
            </w:r>
            <w:r>
              <w:rPr>
                <w:spacing w:val="12"/>
              </w:rPr>
              <w:t>顿直至由原发证机关吊销</w:t>
            </w:r>
            <w:r>
              <w:rPr>
                <w:spacing w:val="7"/>
              </w:rPr>
              <w:t>其相关许可证件</w:t>
            </w:r>
          </w:p>
        </w:tc>
        <w:tc>
          <w:tcPr>
            <w:tcW w:w="811" w:type="dxa"/>
            <w:vMerge w:val="continue"/>
            <w:tcBorders>
              <w:top w:val="nil"/>
              <w:bottom w:val="nil"/>
            </w:tcBorders>
            <w:vAlign w:val="top"/>
          </w:tcPr>
          <w:p w14:paraId="1658812D">
            <w:pPr>
              <w:rPr>
                <w:rFonts w:ascii="Arial"/>
                <w:sz w:val="21"/>
              </w:rPr>
            </w:pPr>
          </w:p>
        </w:tc>
      </w:tr>
      <w:tr w14:paraId="456CA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2" w:hRule="atLeast"/>
        </w:trPr>
        <w:tc>
          <w:tcPr>
            <w:tcW w:w="818" w:type="dxa"/>
            <w:vMerge w:val="continue"/>
            <w:tcBorders>
              <w:top w:val="nil"/>
            </w:tcBorders>
            <w:vAlign w:val="top"/>
          </w:tcPr>
          <w:p w14:paraId="0D37A954">
            <w:pPr>
              <w:rPr>
                <w:rFonts w:ascii="Arial"/>
                <w:sz w:val="21"/>
              </w:rPr>
            </w:pPr>
          </w:p>
        </w:tc>
        <w:tc>
          <w:tcPr>
            <w:tcW w:w="1440" w:type="dxa"/>
            <w:vMerge w:val="continue"/>
            <w:tcBorders>
              <w:top w:val="nil"/>
            </w:tcBorders>
            <w:vAlign w:val="top"/>
          </w:tcPr>
          <w:p w14:paraId="4524C819">
            <w:pPr>
              <w:rPr>
                <w:rFonts w:ascii="Arial"/>
                <w:sz w:val="21"/>
              </w:rPr>
            </w:pPr>
          </w:p>
        </w:tc>
        <w:tc>
          <w:tcPr>
            <w:tcW w:w="3202" w:type="dxa"/>
            <w:vMerge w:val="continue"/>
            <w:tcBorders>
              <w:top w:val="nil"/>
            </w:tcBorders>
            <w:vAlign w:val="top"/>
          </w:tcPr>
          <w:p w14:paraId="7AEB43B0">
            <w:pPr>
              <w:rPr>
                <w:rFonts w:ascii="Arial"/>
                <w:sz w:val="21"/>
              </w:rPr>
            </w:pPr>
          </w:p>
        </w:tc>
        <w:tc>
          <w:tcPr>
            <w:tcW w:w="2859" w:type="dxa"/>
            <w:vMerge w:val="continue"/>
            <w:tcBorders>
              <w:top w:val="nil"/>
            </w:tcBorders>
            <w:vAlign w:val="top"/>
          </w:tcPr>
          <w:p w14:paraId="3A9F2E47">
            <w:pPr>
              <w:rPr>
                <w:rFonts w:ascii="Arial"/>
                <w:sz w:val="21"/>
              </w:rPr>
            </w:pPr>
          </w:p>
        </w:tc>
        <w:tc>
          <w:tcPr>
            <w:tcW w:w="803" w:type="dxa"/>
            <w:vAlign w:val="top"/>
          </w:tcPr>
          <w:p w14:paraId="5FF0A21C">
            <w:pPr>
              <w:spacing w:line="298" w:lineRule="auto"/>
              <w:rPr>
                <w:rFonts w:ascii="Arial"/>
                <w:sz w:val="21"/>
              </w:rPr>
            </w:pPr>
          </w:p>
          <w:p w14:paraId="21A4130E">
            <w:pPr>
              <w:spacing w:line="298" w:lineRule="auto"/>
              <w:rPr>
                <w:rFonts w:ascii="Arial"/>
                <w:sz w:val="21"/>
              </w:rPr>
            </w:pPr>
          </w:p>
          <w:p w14:paraId="22F67BB5">
            <w:pPr>
              <w:spacing w:line="298" w:lineRule="auto"/>
              <w:rPr>
                <w:rFonts w:ascii="Arial"/>
                <w:sz w:val="21"/>
              </w:rPr>
            </w:pPr>
          </w:p>
          <w:p w14:paraId="6F018C8A">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AEB89E7">
            <w:pPr>
              <w:spacing w:line="339" w:lineRule="auto"/>
              <w:rPr>
                <w:rFonts w:ascii="Arial"/>
                <w:sz w:val="21"/>
              </w:rPr>
            </w:pPr>
          </w:p>
          <w:p w14:paraId="7C532434">
            <w:pPr>
              <w:spacing w:line="339" w:lineRule="auto"/>
              <w:rPr>
                <w:rFonts w:ascii="Arial"/>
                <w:sz w:val="21"/>
              </w:rPr>
            </w:pPr>
          </w:p>
          <w:p w14:paraId="49B7CC78">
            <w:pPr>
              <w:pStyle w:val="6"/>
              <w:spacing w:before="99" w:line="195" w:lineRule="auto"/>
              <w:ind w:left="124" w:right="109" w:hanging="6"/>
            </w:pPr>
            <w:r>
              <w:rPr>
                <w:spacing w:val="26"/>
              </w:rPr>
              <w:t>未进行安全评价超</w:t>
            </w:r>
            <w:r>
              <w:rPr>
                <w:spacing w:val="-5"/>
              </w:rPr>
              <w:t>期</w:t>
            </w:r>
            <w:r>
              <w:rPr>
                <w:rFonts w:ascii="宋体" w:hAnsi="宋体" w:eastAsia="宋体" w:cs="宋体"/>
                <w:spacing w:val="-5"/>
              </w:rPr>
              <w:t>60</w:t>
            </w:r>
            <w:r>
              <w:rPr>
                <w:spacing w:val="-5"/>
              </w:rPr>
              <w:t>日以上的</w:t>
            </w:r>
          </w:p>
        </w:tc>
        <w:tc>
          <w:tcPr>
            <w:tcW w:w="2894" w:type="dxa"/>
            <w:vAlign w:val="top"/>
          </w:tcPr>
          <w:p w14:paraId="478397C1">
            <w:pPr>
              <w:pStyle w:val="6"/>
              <w:spacing w:before="326" w:line="188" w:lineRule="auto"/>
              <w:ind w:left="117" w:right="109" w:firstLine="10"/>
              <w:jc w:val="both"/>
            </w:pPr>
            <w:r>
              <w:rPr>
                <w:spacing w:val="4"/>
              </w:rPr>
              <w:t>责令改正，处</w:t>
            </w:r>
            <w:r>
              <w:rPr>
                <w:rFonts w:ascii="宋体" w:hAnsi="宋体" w:eastAsia="宋体" w:cs="宋体"/>
                <w:spacing w:val="4"/>
              </w:rPr>
              <w:t>9</w:t>
            </w:r>
            <w:r>
              <w:rPr>
                <w:spacing w:val="4"/>
              </w:rPr>
              <w:t>万元以上</w:t>
            </w:r>
            <w:r>
              <w:rPr>
                <w:rFonts w:ascii="宋体" w:hAnsi="宋体" w:eastAsia="宋体" w:cs="宋体"/>
                <w:spacing w:val="-1"/>
              </w:rPr>
              <w:t>10</w:t>
            </w:r>
            <w:r>
              <w:rPr>
                <w:spacing w:val="-1"/>
              </w:rPr>
              <w:t>万元以下的罚款；拒不</w:t>
            </w:r>
            <w:r>
              <w:rPr>
                <w:spacing w:val="8"/>
              </w:rPr>
              <w:t>改正的，责令停产停业整</w:t>
            </w:r>
            <w:r>
              <w:rPr>
                <w:spacing w:val="11"/>
              </w:rPr>
              <w:t>顿直至由原发证机关吊销</w:t>
            </w:r>
            <w:r>
              <w:rPr>
                <w:spacing w:val="7"/>
              </w:rPr>
              <w:t>其相关许可证件</w:t>
            </w:r>
          </w:p>
        </w:tc>
        <w:tc>
          <w:tcPr>
            <w:tcW w:w="811" w:type="dxa"/>
            <w:vMerge w:val="continue"/>
            <w:tcBorders>
              <w:top w:val="nil"/>
            </w:tcBorders>
            <w:vAlign w:val="top"/>
          </w:tcPr>
          <w:p w14:paraId="4CB34D40">
            <w:pPr>
              <w:rPr>
                <w:rFonts w:ascii="Arial"/>
                <w:sz w:val="21"/>
              </w:rPr>
            </w:pPr>
          </w:p>
        </w:tc>
      </w:tr>
    </w:tbl>
    <w:p w14:paraId="60E8A31F">
      <w:pPr>
        <w:pStyle w:val="2"/>
      </w:pPr>
    </w:p>
    <w:p w14:paraId="385788A2">
      <w:pPr>
        <w:sectPr>
          <w:footerReference r:id="rId168" w:type="default"/>
          <w:pgSz w:w="16839" w:h="11906"/>
          <w:pgMar w:top="1012" w:right="821" w:bottom="667" w:left="901" w:header="0" w:footer="388" w:gutter="0"/>
          <w:cols w:space="720" w:num="1"/>
        </w:sectPr>
      </w:pPr>
    </w:p>
    <w:p w14:paraId="500FB4AE">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9F25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6197E74">
            <w:pPr>
              <w:spacing w:before="222" w:line="241" w:lineRule="auto"/>
              <w:ind w:left="131"/>
              <w:rPr>
                <w:rFonts w:ascii="黑体" w:hAnsi="黑体" w:eastAsia="黑体" w:cs="黑体"/>
                <w:sz w:val="28"/>
                <w:szCs w:val="28"/>
              </w:rPr>
            </w:pPr>
            <w:bookmarkStart w:id="609" w:name="bookmark567"/>
            <w:bookmarkEnd w:id="609"/>
            <w:bookmarkStart w:id="610" w:name="bookmark310"/>
            <w:bookmarkEnd w:id="610"/>
            <w:r>
              <w:rPr>
                <w:rFonts w:ascii="黑体" w:hAnsi="黑体" w:eastAsia="黑体" w:cs="黑体"/>
                <w:spacing w:val="-2"/>
                <w:sz w:val="28"/>
                <w:szCs w:val="28"/>
              </w:rPr>
              <w:t>序号</w:t>
            </w:r>
          </w:p>
        </w:tc>
        <w:tc>
          <w:tcPr>
            <w:tcW w:w="1440" w:type="dxa"/>
            <w:vAlign w:val="top"/>
          </w:tcPr>
          <w:p w14:paraId="72BC2499">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71952CC">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1DB3F7C">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D1E88F5">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E4FECAD">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3DB3DC3C">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AB7F5F2">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99A9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3" w:hRule="atLeast"/>
        </w:trPr>
        <w:tc>
          <w:tcPr>
            <w:tcW w:w="818" w:type="dxa"/>
            <w:vAlign w:val="top"/>
          </w:tcPr>
          <w:p w14:paraId="4C3BDA0A">
            <w:pPr>
              <w:rPr>
                <w:rFonts w:ascii="Arial"/>
                <w:sz w:val="21"/>
              </w:rPr>
            </w:pPr>
          </w:p>
        </w:tc>
        <w:tc>
          <w:tcPr>
            <w:tcW w:w="1440" w:type="dxa"/>
            <w:vAlign w:val="top"/>
          </w:tcPr>
          <w:p w14:paraId="36A86DE9">
            <w:pPr>
              <w:rPr>
                <w:rFonts w:ascii="Arial"/>
                <w:sz w:val="21"/>
              </w:rPr>
            </w:pPr>
          </w:p>
        </w:tc>
        <w:tc>
          <w:tcPr>
            <w:tcW w:w="3202" w:type="dxa"/>
            <w:vAlign w:val="top"/>
          </w:tcPr>
          <w:p w14:paraId="78BFE112">
            <w:pPr>
              <w:pStyle w:val="6"/>
              <w:spacing w:before="28" w:line="182" w:lineRule="auto"/>
              <w:ind w:left="119"/>
            </w:pPr>
            <w:r>
              <w:rPr>
                <w:spacing w:val="17"/>
              </w:rPr>
              <w:t>适用于使用危险化学品的单</w:t>
            </w:r>
          </w:p>
          <w:p w14:paraId="40B4A9E2">
            <w:pPr>
              <w:pStyle w:val="6"/>
              <w:spacing w:line="182" w:lineRule="auto"/>
              <w:ind w:left="117"/>
              <w:outlineLvl w:val="0"/>
            </w:pPr>
            <w:r>
              <w:rPr>
                <w:spacing w:val="11"/>
              </w:rPr>
              <w:t>位；第二十二条关于生产、</w:t>
            </w:r>
          </w:p>
          <w:p w14:paraId="7048C3FC">
            <w:pPr>
              <w:pStyle w:val="6"/>
              <w:spacing w:before="2" w:line="182" w:lineRule="auto"/>
              <w:ind w:left="116" w:right="111"/>
              <w:jc w:val="both"/>
            </w:pPr>
            <w:r>
              <w:rPr>
                <w:spacing w:val="17"/>
              </w:rPr>
              <w:t>储存危险化学品的企业的规</w:t>
            </w:r>
            <w:r>
              <w:rPr>
                <w:spacing w:val="13"/>
              </w:rPr>
              <w:t>定，适用于使用危险化学品</w:t>
            </w:r>
            <w:r>
              <w:rPr>
                <w:spacing w:val="3"/>
              </w:rPr>
              <w:t>从事生产的企业。</w:t>
            </w:r>
          </w:p>
          <w:p w14:paraId="1CB5DF3F">
            <w:pPr>
              <w:pStyle w:val="6"/>
              <w:spacing w:before="9" w:line="180" w:lineRule="auto"/>
              <w:ind w:left="116" w:right="111"/>
              <w:jc w:val="both"/>
            </w:pPr>
            <w:r>
              <w:rPr>
                <w:rFonts w:ascii="宋体" w:hAnsi="宋体" w:eastAsia="宋体" w:cs="宋体"/>
                <w:spacing w:val="15"/>
              </w:rPr>
              <w:t>2.</w:t>
            </w:r>
            <w:r>
              <w:rPr>
                <w:spacing w:val="15"/>
              </w:rPr>
              <w:t>【部门规章】《危险化学</w:t>
            </w:r>
            <w:r>
              <w:rPr>
                <w:spacing w:val="17"/>
              </w:rPr>
              <w:t>品经营许可证管理办法》第</w:t>
            </w:r>
            <w:r>
              <w:rPr>
                <w:spacing w:val="10"/>
              </w:rPr>
              <w:t>八条第一款第三项：申请人</w:t>
            </w:r>
            <w:r>
              <w:rPr>
                <w:spacing w:val="17"/>
              </w:rPr>
              <w:t>带有储存设施经营危险化学</w:t>
            </w:r>
            <w:r>
              <w:rPr>
                <w:spacing w:val="10"/>
              </w:rPr>
              <w:t>品的，除符合本办法第六条</w:t>
            </w:r>
            <w:r>
              <w:rPr>
                <w:spacing w:val="13"/>
              </w:rPr>
              <w:t>规定的条件外，还应当具备</w:t>
            </w:r>
            <w:r>
              <w:rPr>
                <w:spacing w:val="19"/>
              </w:rPr>
              <w:t>下列条件</w:t>
            </w:r>
            <w:r>
              <w:rPr>
                <w:spacing w:val="-13"/>
              </w:rPr>
              <w:t>：（</w:t>
            </w:r>
            <w:r>
              <w:rPr>
                <w:spacing w:val="19"/>
              </w:rPr>
              <w:t>三）依照有关</w:t>
            </w:r>
            <w:r>
              <w:rPr>
                <w:spacing w:val="13"/>
              </w:rPr>
              <w:t>规定进行安全评价，安全评</w:t>
            </w:r>
            <w:r>
              <w:rPr>
                <w:spacing w:val="17"/>
              </w:rPr>
              <w:t>价报告符合《危险化学品经营企业安全评价细则》的要</w:t>
            </w:r>
            <w:r>
              <w:rPr>
                <w:spacing w:val="-10"/>
              </w:rPr>
              <w:t>求；</w:t>
            </w:r>
          </w:p>
        </w:tc>
        <w:tc>
          <w:tcPr>
            <w:tcW w:w="2859" w:type="dxa"/>
            <w:vAlign w:val="top"/>
          </w:tcPr>
          <w:p w14:paraId="4041FC73">
            <w:pPr>
              <w:pStyle w:val="6"/>
              <w:spacing w:before="32" w:line="184" w:lineRule="auto"/>
              <w:ind w:left="90" w:right="19" w:firstLine="40"/>
            </w:pPr>
            <w:r>
              <w:rPr>
                <w:spacing w:val="31"/>
              </w:rPr>
              <w:t>学品经营许可证管理办</w:t>
            </w:r>
            <w:r>
              <w:rPr>
                <w:spacing w:val="10"/>
              </w:rPr>
              <w:t>法》第三十条第四项：带</w:t>
            </w:r>
            <w:r>
              <w:rPr>
                <w:spacing w:val="35"/>
              </w:rPr>
              <w:t>有储存设施的企业违反</w:t>
            </w:r>
            <w:r>
              <w:rPr>
                <w:spacing w:val="11"/>
              </w:rPr>
              <w:t>《危险化学品安全管理条例》规定，有下列情形之</w:t>
            </w:r>
            <w:r>
              <w:rPr>
                <w:spacing w:val="1"/>
              </w:rPr>
              <w:t>一的，责令改正，处</w:t>
            </w:r>
            <w:r>
              <w:rPr>
                <w:rFonts w:ascii="宋体" w:hAnsi="宋体" w:eastAsia="宋体" w:cs="宋体"/>
                <w:spacing w:val="1"/>
              </w:rPr>
              <w:t>5</w:t>
            </w:r>
            <w:r>
              <w:rPr>
                <w:spacing w:val="1"/>
              </w:rPr>
              <w:t>万</w:t>
            </w:r>
            <w:r>
              <w:rPr>
                <w:spacing w:val="11"/>
              </w:rPr>
              <w:t>元以上</w:t>
            </w:r>
            <w:r>
              <w:rPr>
                <w:rFonts w:ascii="宋体" w:hAnsi="宋体" w:eastAsia="宋体" w:cs="宋体"/>
                <w:spacing w:val="11"/>
              </w:rPr>
              <w:t>10</w:t>
            </w:r>
            <w:r>
              <w:rPr>
                <w:spacing w:val="11"/>
              </w:rPr>
              <w:t>万元以下的罚款；拒不改正的，责令停产停业整顿；经停产停业</w:t>
            </w:r>
            <w:r>
              <w:rPr>
                <w:spacing w:val="-2"/>
              </w:rPr>
              <w:t>整顿仍不具备法律、法规、</w:t>
            </w:r>
            <w:r>
              <w:rPr>
                <w:spacing w:val="11"/>
              </w:rPr>
              <w:t>规章、国家标准和行业标</w:t>
            </w:r>
            <w:r>
              <w:rPr>
                <w:spacing w:val="35"/>
              </w:rPr>
              <w:t>准规定的安全生产条件</w:t>
            </w:r>
            <w:r>
              <w:rPr>
                <w:spacing w:val="10"/>
              </w:rPr>
              <w:t>的，吊销其经营许可证：</w:t>
            </w:r>
            <w:r>
              <w:rPr>
                <w:spacing w:val="11"/>
              </w:rPr>
              <w:t>（四）未对其安全生产条</w:t>
            </w:r>
            <w:r>
              <w:rPr>
                <w:spacing w:val="6"/>
              </w:rPr>
              <w:t>件定期进行安全评价的；</w:t>
            </w:r>
          </w:p>
        </w:tc>
        <w:tc>
          <w:tcPr>
            <w:tcW w:w="803" w:type="dxa"/>
            <w:vAlign w:val="top"/>
          </w:tcPr>
          <w:p w14:paraId="3ECCEF68">
            <w:pPr>
              <w:rPr>
                <w:rFonts w:ascii="Arial"/>
                <w:sz w:val="21"/>
              </w:rPr>
            </w:pPr>
          </w:p>
        </w:tc>
        <w:tc>
          <w:tcPr>
            <w:tcW w:w="2283" w:type="dxa"/>
            <w:vAlign w:val="top"/>
          </w:tcPr>
          <w:p w14:paraId="47C5EACC">
            <w:pPr>
              <w:rPr>
                <w:rFonts w:ascii="Arial"/>
                <w:sz w:val="21"/>
              </w:rPr>
            </w:pPr>
          </w:p>
        </w:tc>
        <w:tc>
          <w:tcPr>
            <w:tcW w:w="2894" w:type="dxa"/>
            <w:vAlign w:val="top"/>
          </w:tcPr>
          <w:p w14:paraId="20C9D0E1">
            <w:pPr>
              <w:rPr>
                <w:rFonts w:ascii="Arial"/>
                <w:sz w:val="21"/>
              </w:rPr>
            </w:pPr>
          </w:p>
        </w:tc>
        <w:tc>
          <w:tcPr>
            <w:tcW w:w="811" w:type="dxa"/>
            <w:vAlign w:val="top"/>
          </w:tcPr>
          <w:p w14:paraId="5668A736">
            <w:pPr>
              <w:rPr>
                <w:rFonts w:ascii="Arial"/>
                <w:sz w:val="21"/>
              </w:rPr>
            </w:pPr>
          </w:p>
        </w:tc>
      </w:tr>
      <w:tr w14:paraId="5584F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restart"/>
            <w:tcBorders>
              <w:bottom w:val="nil"/>
            </w:tcBorders>
            <w:vAlign w:val="top"/>
          </w:tcPr>
          <w:p w14:paraId="129F99FB">
            <w:pPr>
              <w:spacing w:line="244" w:lineRule="auto"/>
              <w:rPr>
                <w:rFonts w:ascii="Arial"/>
                <w:sz w:val="21"/>
              </w:rPr>
            </w:pPr>
          </w:p>
          <w:p w14:paraId="46C5E4AE">
            <w:pPr>
              <w:spacing w:line="244" w:lineRule="auto"/>
              <w:rPr>
                <w:rFonts w:ascii="Arial"/>
                <w:sz w:val="21"/>
              </w:rPr>
            </w:pPr>
          </w:p>
          <w:p w14:paraId="67AFBB23">
            <w:pPr>
              <w:spacing w:line="244" w:lineRule="auto"/>
              <w:rPr>
                <w:rFonts w:ascii="Arial"/>
                <w:sz w:val="21"/>
              </w:rPr>
            </w:pPr>
          </w:p>
          <w:p w14:paraId="4014EDD1">
            <w:pPr>
              <w:spacing w:line="244" w:lineRule="auto"/>
              <w:rPr>
                <w:rFonts w:ascii="Arial"/>
                <w:sz w:val="21"/>
              </w:rPr>
            </w:pPr>
          </w:p>
          <w:p w14:paraId="7EDA4BC3">
            <w:pPr>
              <w:spacing w:line="244" w:lineRule="auto"/>
              <w:rPr>
                <w:rFonts w:ascii="Arial"/>
                <w:sz w:val="21"/>
              </w:rPr>
            </w:pPr>
          </w:p>
          <w:p w14:paraId="47AE8F27">
            <w:pPr>
              <w:spacing w:line="244" w:lineRule="auto"/>
              <w:rPr>
                <w:rFonts w:ascii="Arial"/>
                <w:sz w:val="21"/>
              </w:rPr>
            </w:pPr>
          </w:p>
          <w:p w14:paraId="04100298">
            <w:pPr>
              <w:spacing w:line="244" w:lineRule="auto"/>
              <w:rPr>
                <w:rFonts w:ascii="Arial"/>
                <w:sz w:val="21"/>
              </w:rPr>
            </w:pPr>
          </w:p>
          <w:p w14:paraId="77966730">
            <w:pPr>
              <w:spacing w:line="244" w:lineRule="auto"/>
              <w:rPr>
                <w:rFonts w:ascii="Arial"/>
                <w:sz w:val="21"/>
              </w:rPr>
            </w:pPr>
          </w:p>
          <w:p w14:paraId="0DEEE714">
            <w:pPr>
              <w:spacing w:before="74" w:line="186" w:lineRule="auto"/>
              <w:ind w:left="161"/>
              <w:rPr>
                <w:rFonts w:ascii="仿宋" w:hAnsi="仿宋" w:eastAsia="仿宋" w:cs="仿宋"/>
                <w:sz w:val="23"/>
                <w:szCs w:val="23"/>
              </w:rPr>
            </w:pPr>
            <w:r>
              <w:rPr>
                <w:rFonts w:ascii="仿宋" w:hAnsi="仿宋" w:eastAsia="仿宋" w:cs="仿宋"/>
                <w:spacing w:val="-5"/>
                <w:sz w:val="23"/>
                <w:szCs w:val="23"/>
              </w:rPr>
              <w:t>151</w:t>
            </w:r>
          </w:p>
        </w:tc>
        <w:tc>
          <w:tcPr>
            <w:tcW w:w="1440" w:type="dxa"/>
            <w:vMerge w:val="restart"/>
            <w:tcBorders>
              <w:bottom w:val="nil"/>
            </w:tcBorders>
            <w:vAlign w:val="top"/>
          </w:tcPr>
          <w:p w14:paraId="4E05C961">
            <w:pPr>
              <w:pStyle w:val="6"/>
              <w:spacing w:before="48" w:line="181" w:lineRule="auto"/>
              <w:ind w:left="110" w:right="17" w:firstLine="18"/>
              <w:jc w:val="both"/>
            </w:pPr>
            <w:r>
              <w:rPr>
                <w:spacing w:val="-12"/>
                <w:w w:val="98"/>
              </w:rPr>
              <w:t>生产、储存、</w:t>
            </w:r>
            <w:r>
              <w:rPr>
                <w:spacing w:val="12"/>
              </w:rPr>
              <w:t>使用危险化学品的单位未将危险化学品储存在</w:t>
            </w:r>
            <w:r>
              <w:rPr>
                <w:spacing w:val="-6"/>
              </w:rPr>
              <w:t>专用仓库</w:t>
            </w:r>
            <w:r>
              <w:rPr>
                <w:spacing w:val="4"/>
              </w:rPr>
              <w:t>内，或者未</w:t>
            </w:r>
            <w:r>
              <w:rPr>
                <w:spacing w:val="12"/>
              </w:rPr>
              <w:t>将剧毒化学品以及储存数量构成重大危险源的其他危险化学品在专用仓库内单独</w:t>
            </w:r>
          </w:p>
        </w:tc>
        <w:tc>
          <w:tcPr>
            <w:tcW w:w="3202" w:type="dxa"/>
            <w:vMerge w:val="restart"/>
            <w:tcBorders>
              <w:bottom w:val="nil"/>
            </w:tcBorders>
            <w:vAlign w:val="top"/>
          </w:tcPr>
          <w:p w14:paraId="1AE04D75">
            <w:pPr>
              <w:pStyle w:val="6"/>
              <w:spacing w:before="29" w:line="185" w:lineRule="auto"/>
              <w:ind w:left="117" w:right="111" w:hanging="19"/>
              <w:jc w:val="both"/>
            </w:pPr>
            <w:r>
              <w:rPr>
                <w:spacing w:val="18"/>
              </w:rPr>
              <w:t>【行政法规】《危险化学品</w:t>
            </w:r>
            <w:r>
              <w:rPr>
                <w:spacing w:val="17"/>
              </w:rPr>
              <w:t>安全管理条例》第二十四条</w:t>
            </w:r>
            <w:r>
              <w:rPr>
                <w:spacing w:val="13"/>
              </w:rPr>
              <w:t>第一款：危险化学品应当储</w:t>
            </w:r>
            <w:r>
              <w:rPr>
                <w:spacing w:val="17"/>
              </w:rPr>
              <w:t>存在专用仓库、专用场地或者专用储存室（以下统称专</w:t>
            </w:r>
            <w:r>
              <w:rPr>
                <w:spacing w:val="6"/>
              </w:rPr>
              <w:t>用仓库）内，并由专人负责</w:t>
            </w:r>
            <w:r>
              <w:rPr>
                <w:spacing w:val="13"/>
              </w:rPr>
              <w:t>管理；剧毒化学品以及储存</w:t>
            </w:r>
            <w:r>
              <w:rPr>
                <w:spacing w:val="17"/>
              </w:rPr>
              <w:t>数量构成重大危险源的其他</w:t>
            </w:r>
            <w:r>
              <w:rPr>
                <w:spacing w:val="13"/>
              </w:rPr>
              <w:t>危险化学品，应当在专用仓库内单独存放，并实行双人</w:t>
            </w:r>
            <w:r>
              <w:rPr>
                <w:spacing w:val="4"/>
              </w:rPr>
              <w:t>收发、双人保管制度。</w:t>
            </w:r>
          </w:p>
        </w:tc>
        <w:tc>
          <w:tcPr>
            <w:tcW w:w="2859" w:type="dxa"/>
            <w:vMerge w:val="restart"/>
            <w:tcBorders>
              <w:bottom w:val="nil"/>
            </w:tcBorders>
            <w:vAlign w:val="top"/>
          </w:tcPr>
          <w:p w14:paraId="27542A5A">
            <w:pPr>
              <w:pStyle w:val="6"/>
              <w:spacing w:before="25" w:line="182" w:lineRule="auto"/>
              <w:ind w:left="115" w:right="19" w:firstLine="15"/>
            </w:pPr>
            <w:r>
              <w:rPr>
                <w:rFonts w:ascii="宋体" w:hAnsi="宋体" w:eastAsia="宋体" w:cs="宋体"/>
                <w:spacing w:val="6"/>
              </w:rPr>
              <w:t>1.</w:t>
            </w:r>
            <w:r>
              <w:rPr>
                <w:spacing w:val="6"/>
              </w:rPr>
              <w:t>【行政法规】《危险化</w:t>
            </w:r>
            <w:r>
              <w:rPr>
                <w:spacing w:val="8"/>
              </w:rPr>
              <w:t>学品安全管理条例》第八</w:t>
            </w:r>
            <w:r>
              <w:rPr>
                <w:spacing w:val="-4"/>
              </w:rPr>
              <w:t>十条第一款第四项：生产、</w:t>
            </w:r>
            <w:r>
              <w:rPr>
                <w:spacing w:val="8"/>
              </w:rPr>
              <w:t>储存、使用危险化学品的</w:t>
            </w:r>
            <w:r>
              <w:rPr>
                <w:spacing w:val="7"/>
              </w:rPr>
              <w:t>单位有下列情形之一的，</w:t>
            </w:r>
            <w:r>
              <w:rPr>
                <w:spacing w:val="8"/>
              </w:rPr>
              <w:t>由安全生产监督管理部门</w:t>
            </w:r>
            <w:r>
              <w:rPr>
                <w:spacing w:val="4"/>
              </w:rPr>
              <w:t>责令改正，处</w:t>
            </w:r>
            <w:r>
              <w:rPr>
                <w:rFonts w:ascii="宋体" w:hAnsi="宋体" w:eastAsia="宋体" w:cs="宋体"/>
                <w:spacing w:val="4"/>
              </w:rPr>
              <w:t>5</w:t>
            </w:r>
            <w:r>
              <w:rPr>
                <w:spacing w:val="4"/>
              </w:rPr>
              <w:t>万元以上</w:t>
            </w:r>
            <w:r>
              <w:rPr>
                <w:rFonts w:ascii="宋体" w:hAnsi="宋体" w:eastAsia="宋体" w:cs="宋体"/>
              </w:rPr>
              <w:t>10</w:t>
            </w:r>
            <w:r>
              <w:t>万元以下的罚款；拒不</w:t>
            </w:r>
            <w:r>
              <w:rPr>
                <w:spacing w:val="4"/>
              </w:rPr>
              <w:t>改正的，责令停产停业整</w:t>
            </w:r>
            <w:r>
              <w:rPr>
                <w:spacing w:val="8"/>
              </w:rPr>
              <w:t>顿直至由原发证机关吊销其相关许可证件，并由工商行政管理部门责令其办理经营范围变更登记或者吊销其营业执照；有关责</w:t>
            </w:r>
          </w:p>
        </w:tc>
        <w:tc>
          <w:tcPr>
            <w:tcW w:w="803" w:type="dxa"/>
            <w:vAlign w:val="top"/>
          </w:tcPr>
          <w:p w14:paraId="56585027">
            <w:pPr>
              <w:spacing w:line="297" w:lineRule="auto"/>
              <w:rPr>
                <w:rFonts w:ascii="Arial"/>
                <w:sz w:val="21"/>
              </w:rPr>
            </w:pPr>
          </w:p>
          <w:p w14:paraId="73B2A0F6">
            <w:pPr>
              <w:spacing w:line="297" w:lineRule="auto"/>
              <w:rPr>
                <w:rFonts w:ascii="Arial"/>
                <w:sz w:val="21"/>
              </w:rPr>
            </w:pPr>
          </w:p>
          <w:p w14:paraId="17306063">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3DACA26">
            <w:pPr>
              <w:spacing w:line="380" w:lineRule="auto"/>
              <w:rPr>
                <w:rFonts w:ascii="Arial"/>
                <w:sz w:val="21"/>
              </w:rPr>
            </w:pPr>
          </w:p>
          <w:p w14:paraId="024DB723">
            <w:pPr>
              <w:pStyle w:val="6"/>
              <w:spacing w:before="99" w:line="195" w:lineRule="auto"/>
              <w:ind w:left="117" w:right="109"/>
            </w:pPr>
            <w:r>
              <w:rPr>
                <w:spacing w:val="26"/>
              </w:rPr>
              <w:t>未将危险化学品储</w:t>
            </w:r>
            <w:r>
              <w:rPr>
                <w:spacing w:val="7"/>
              </w:rPr>
              <w:t>存在专用仓库内的</w:t>
            </w:r>
          </w:p>
        </w:tc>
        <w:tc>
          <w:tcPr>
            <w:tcW w:w="2894" w:type="dxa"/>
            <w:vAlign w:val="top"/>
          </w:tcPr>
          <w:p w14:paraId="13F9CE50">
            <w:pPr>
              <w:pStyle w:val="6"/>
              <w:spacing w:before="30" w:line="178" w:lineRule="auto"/>
              <w:ind w:left="117" w:right="109" w:firstLine="10"/>
              <w:jc w:val="both"/>
            </w:pPr>
            <w:r>
              <w:rPr>
                <w:spacing w:val="4"/>
              </w:rPr>
              <w:t>责令改正，处</w:t>
            </w:r>
            <w:r>
              <w:rPr>
                <w:rFonts w:ascii="宋体" w:hAnsi="宋体" w:eastAsia="宋体" w:cs="宋体"/>
                <w:spacing w:val="4"/>
              </w:rPr>
              <w:t>5</w:t>
            </w:r>
            <w:r>
              <w:rPr>
                <w:spacing w:val="4"/>
              </w:rPr>
              <w:t>万元以上</w:t>
            </w:r>
            <w:r>
              <w:rPr>
                <w:rFonts w:ascii="宋体" w:hAnsi="宋体" w:eastAsia="宋体" w:cs="宋体"/>
                <w:spacing w:val="9"/>
              </w:rPr>
              <w:t>7</w:t>
            </w:r>
            <w:r>
              <w:rPr>
                <w:spacing w:val="9"/>
              </w:rPr>
              <w:t>万元以下的罚款；拒不</w:t>
            </w:r>
            <w:r>
              <w:rPr>
                <w:spacing w:val="8"/>
              </w:rPr>
              <w:t>改正的，责令停产停业整</w:t>
            </w:r>
            <w:r>
              <w:rPr>
                <w:spacing w:val="11"/>
              </w:rPr>
              <w:t>顿直至由原发证机关吊销</w:t>
            </w:r>
            <w:r>
              <w:rPr>
                <w:spacing w:val="7"/>
              </w:rPr>
              <w:t>其相关许可证件</w:t>
            </w:r>
          </w:p>
        </w:tc>
        <w:tc>
          <w:tcPr>
            <w:tcW w:w="811" w:type="dxa"/>
            <w:vMerge w:val="restart"/>
            <w:tcBorders>
              <w:bottom w:val="nil"/>
            </w:tcBorders>
            <w:vAlign w:val="top"/>
          </w:tcPr>
          <w:p w14:paraId="7665C2F0">
            <w:pPr>
              <w:spacing w:line="243" w:lineRule="auto"/>
              <w:rPr>
                <w:rFonts w:ascii="Arial"/>
                <w:sz w:val="21"/>
              </w:rPr>
            </w:pPr>
          </w:p>
          <w:p w14:paraId="7416902B">
            <w:pPr>
              <w:spacing w:line="243" w:lineRule="auto"/>
              <w:rPr>
                <w:rFonts w:ascii="Arial"/>
                <w:sz w:val="21"/>
              </w:rPr>
            </w:pPr>
          </w:p>
          <w:p w14:paraId="76C9A4B0">
            <w:pPr>
              <w:spacing w:line="243" w:lineRule="auto"/>
              <w:rPr>
                <w:rFonts w:ascii="Arial"/>
                <w:sz w:val="21"/>
              </w:rPr>
            </w:pPr>
          </w:p>
          <w:p w14:paraId="01D6BD41">
            <w:pPr>
              <w:spacing w:line="243" w:lineRule="auto"/>
              <w:rPr>
                <w:rFonts w:ascii="Arial"/>
                <w:sz w:val="21"/>
              </w:rPr>
            </w:pPr>
          </w:p>
          <w:p w14:paraId="015F5FA8">
            <w:pPr>
              <w:spacing w:line="244" w:lineRule="auto"/>
              <w:rPr>
                <w:rFonts w:ascii="Arial"/>
                <w:sz w:val="21"/>
              </w:rPr>
            </w:pPr>
          </w:p>
          <w:p w14:paraId="56294486">
            <w:pPr>
              <w:spacing w:line="244" w:lineRule="auto"/>
              <w:rPr>
                <w:rFonts w:ascii="Arial"/>
                <w:sz w:val="21"/>
              </w:rPr>
            </w:pPr>
          </w:p>
          <w:p w14:paraId="5EA6D1FC">
            <w:pPr>
              <w:spacing w:line="244" w:lineRule="auto"/>
              <w:rPr>
                <w:rFonts w:ascii="Arial"/>
                <w:sz w:val="21"/>
              </w:rPr>
            </w:pPr>
          </w:p>
          <w:p w14:paraId="618FBAA3">
            <w:pPr>
              <w:spacing w:line="244" w:lineRule="auto"/>
              <w:rPr>
                <w:rFonts w:ascii="Arial"/>
                <w:sz w:val="21"/>
              </w:rPr>
            </w:pPr>
          </w:p>
          <w:p w14:paraId="1C7D3A29">
            <w:pPr>
              <w:spacing w:before="75" w:line="189" w:lineRule="auto"/>
              <w:ind w:left="248"/>
              <w:rPr>
                <w:rFonts w:ascii="宋体" w:hAnsi="宋体" w:eastAsia="宋体" w:cs="宋体"/>
                <w:sz w:val="23"/>
                <w:szCs w:val="23"/>
              </w:rPr>
            </w:pPr>
            <w:r>
              <w:rPr>
                <w:rFonts w:ascii="宋体" w:hAnsi="宋体" w:eastAsia="宋体" w:cs="宋体"/>
                <w:spacing w:val="-6"/>
                <w:sz w:val="23"/>
                <w:szCs w:val="23"/>
              </w:rPr>
              <w:t>101</w:t>
            </w:r>
          </w:p>
        </w:tc>
      </w:tr>
      <w:tr w14:paraId="4F0B8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continue"/>
            <w:tcBorders>
              <w:top w:val="nil"/>
              <w:bottom w:val="nil"/>
            </w:tcBorders>
            <w:vAlign w:val="top"/>
          </w:tcPr>
          <w:p w14:paraId="23B413F1">
            <w:pPr>
              <w:rPr>
                <w:rFonts w:ascii="Arial"/>
                <w:sz w:val="21"/>
              </w:rPr>
            </w:pPr>
          </w:p>
        </w:tc>
        <w:tc>
          <w:tcPr>
            <w:tcW w:w="1440" w:type="dxa"/>
            <w:vMerge w:val="continue"/>
            <w:tcBorders>
              <w:top w:val="nil"/>
              <w:bottom w:val="nil"/>
            </w:tcBorders>
            <w:vAlign w:val="top"/>
          </w:tcPr>
          <w:p w14:paraId="0F70630E">
            <w:pPr>
              <w:rPr>
                <w:rFonts w:ascii="Arial"/>
                <w:sz w:val="21"/>
              </w:rPr>
            </w:pPr>
          </w:p>
        </w:tc>
        <w:tc>
          <w:tcPr>
            <w:tcW w:w="3202" w:type="dxa"/>
            <w:vMerge w:val="continue"/>
            <w:tcBorders>
              <w:top w:val="nil"/>
              <w:bottom w:val="nil"/>
            </w:tcBorders>
            <w:vAlign w:val="top"/>
          </w:tcPr>
          <w:p w14:paraId="4A50B4CF">
            <w:pPr>
              <w:rPr>
                <w:rFonts w:ascii="Arial"/>
                <w:sz w:val="21"/>
              </w:rPr>
            </w:pPr>
          </w:p>
        </w:tc>
        <w:tc>
          <w:tcPr>
            <w:tcW w:w="2859" w:type="dxa"/>
            <w:vMerge w:val="continue"/>
            <w:tcBorders>
              <w:top w:val="nil"/>
              <w:bottom w:val="nil"/>
            </w:tcBorders>
            <w:vAlign w:val="top"/>
          </w:tcPr>
          <w:p w14:paraId="2563DC20">
            <w:pPr>
              <w:rPr>
                <w:rFonts w:ascii="Arial"/>
                <w:sz w:val="21"/>
              </w:rPr>
            </w:pPr>
          </w:p>
        </w:tc>
        <w:tc>
          <w:tcPr>
            <w:tcW w:w="803" w:type="dxa"/>
            <w:vAlign w:val="top"/>
          </w:tcPr>
          <w:p w14:paraId="7F7B43DC">
            <w:pPr>
              <w:spacing w:line="299" w:lineRule="auto"/>
              <w:rPr>
                <w:rFonts w:ascii="Arial"/>
                <w:sz w:val="21"/>
              </w:rPr>
            </w:pPr>
          </w:p>
          <w:p w14:paraId="14D8FB47">
            <w:pPr>
              <w:spacing w:line="299" w:lineRule="auto"/>
              <w:rPr>
                <w:rFonts w:ascii="Arial"/>
                <w:sz w:val="21"/>
              </w:rPr>
            </w:pPr>
          </w:p>
          <w:p w14:paraId="43E0B1CF">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A609E1A">
            <w:pPr>
              <w:pStyle w:val="6"/>
              <w:spacing w:before="30" w:line="178" w:lineRule="auto"/>
              <w:ind w:left="115" w:right="109" w:firstLine="2"/>
              <w:jc w:val="both"/>
            </w:pPr>
            <w:r>
              <w:rPr>
                <w:spacing w:val="26"/>
              </w:rPr>
              <w:t>未将剧毒化学品以及储存数量构成重大危险源的其他危险化学品在专用仓</w:t>
            </w:r>
            <w:r>
              <w:rPr>
                <w:spacing w:val="7"/>
              </w:rPr>
              <w:t>库内单独存放的</w:t>
            </w:r>
          </w:p>
        </w:tc>
        <w:tc>
          <w:tcPr>
            <w:tcW w:w="2894" w:type="dxa"/>
            <w:vAlign w:val="top"/>
          </w:tcPr>
          <w:p w14:paraId="26B00EE1">
            <w:pPr>
              <w:pStyle w:val="6"/>
              <w:spacing w:before="30" w:line="178" w:lineRule="auto"/>
              <w:ind w:left="116" w:right="109" w:firstLine="11"/>
              <w:jc w:val="both"/>
            </w:pPr>
            <w:r>
              <w:rPr>
                <w:spacing w:val="4"/>
              </w:rPr>
              <w:t>责令改正，处</w:t>
            </w:r>
            <w:r>
              <w:rPr>
                <w:rFonts w:ascii="宋体" w:hAnsi="宋体" w:eastAsia="宋体" w:cs="宋体"/>
                <w:spacing w:val="4"/>
              </w:rPr>
              <w:t>7</w:t>
            </w:r>
            <w:r>
              <w:rPr>
                <w:spacing w:val="4"/>
              </w:rPr>
              <w:t>万元以上</w:t>
            </w:r>
            <w:r>
              <w:rPr>
                <w:rFonts w:ascii="宋体" w:hAnsi="宋体" w:eastAsia="宋体" w:cs="宋体"/>
                <w:spacing w:val="9"/>
              </w:rPr>
              <w:t>9</w:t>
            </w:r>
            <w:r>
              <w:rPr>
                <w:spacing w:val="9"/>
              </w:rPr>
              <w:t>万元以下的罚款；拒不</w:t>
            </w:r>
            <w:r>
              <w:rPr>
                <w:spacing w:val="8"/>
              </w:rPr>
              <w:t>改正的，责令停产停业整</w:t>
            </w:r>
            <w:r>
              <w:rPr>
                <w:spacing w:val="12"/>
              </w:rPr>
              <w:t>顿直至由原发证机关吊销</w:t>
            </w:r>
            <w:r>
              <w:rPr>
                <w:spacing w:val="7"/>
              </w:rPr>
              <w:t>其相关许可证件</w:t>
            </w:r>
          </w:p>
        </w:tc>
        <w:tc>
          <w:tcPr>
            <w:tcW w:w="811" w:type="dxa"/>
            <w:vMerge w:val="continue"/>
            <w:tcBorders>
              <w:top w:val="nil"/>
              <w:bottom w:val="nil"/>
            </w:tcBorders>
            <w:vAlign w:val="top"/>
          </w:tcPr>
          <w:p w14:paraId="15022B23">
            <w:pPr>
              <w:rPr>
                <w:rFonts w:ascii="Arial"/>
                <w:sz w:val="21"/>
              </w:rPr>
            </w:pPr>
          </w:p>
        </w:tc>
      </w:tr>
      <w:tr w14:paraId="4CC14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818" w:type="dxa"/>
            <w:vMerge w:val="continue"/>
            <w:tcBorders>
              <w:top w:val="nil"/>
            </w:tcBorders>
            <w:vAlign w:val="top"/>
          </w:tcPr>
          <w:p w14:paraId="4BF39B98">
            <w:pPr>
              <w:rPr>
                <w:rFonts w:ascii="Arial"/>
                <w:sz w:val="21"/>
              </w:rPr>
            </w:pPr>
          </w:p>
        </w:tc>
        <w:tc>
          <w:tcPr>
            <w:tcW w:w="1440" w:type="dxa"/>
            <w:vMerge w:val="continue"/>
            <w:tcBorders>
              <w:top w:val="nil"/>
            </w:tcBorders>
            <w:vAlign w:val="top"/>
          </w:tcPr>
          <w:p w14:paraId="45B451BE">
            <w:pPr>
              <w:rPr>
                <w:rFonts w:ascii="Arial"/>
                <w:sz w:val="21"/>
              </w:rPr>
            </w:pPr>
          </w:p>
        </w:tc>
        <w:tc>
          <w:tcPr>
            <w:tcW w:w="3202" w:type="dxa"/>
            <w:vMerge w:val="continue"/>
            <w:tcBorders>
              <w:top w:val="nil"/>
            </w:tcBorders>
            <w:vAlign w:val="top"/>
          </w:tcPr>
          <w:p w14:paraId="0086912C">
            <w:pPr>
              <w:rPr>
                <w:rFonts w:ascii="Arial"/>
                <w:sz w:val="21"/>
              </w:rPr>
            </w:pPr>
          </w:p>
        </w:tc>
        <w:tc>
          <w:tcPr>
            <w:tcW w:w="2859" w:type="dxa"/>
            <w:vMerge w:val="continue"/>
            <w:tcBorders>
              <w:top w:val="nil"/>
            </w:tcBorders>
            <w:vAlign w:val="top"/>
          </w:tcPr>
          <w:p w14:paraId="0CA07919">
            <w:pPr>
              <w:rPr>
                <w:rFonts w:ascii="Arial"/>
                <w:sz w:val="21"/>
              </w:rPr>
            </w:pPr>
          </w:p>
        </w:tc>
        <w:tc>
          <w:tcPr>
            <w:tcW w:w="803" w:type="dxa"/>
            <w:vAlign w:val="top"/>
          </w:tcPr>
          <w:p w14:paraId="09EF267F">
            <w:pPr>
              <w:spacing w:line="450" w:lineRule="auto"/>
              <w:rPr>
                <w:rFonts w:ascii="Arial"/>
                <w:sz w:val="21"/>
              </w:rPr>
            </w:pPr>
          </w:p>
          <w:p w14:paraId="37BEA41E">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840E970">
            <w:pPr>
              <w:pStyle w:val="6"/>
              <w:spacing w:before="32" w:line="177" w:lineRule="auto"/>
              <w:ind w:left="115" w:right="109" w:firstLine="2"/>
              <w:jc w:val="both"/>
            </w:pPr>
            <w:r>
              <w:rPr>
                <w:spacing w:val="26"/>
              </w:rPr>
              <w:t>未将危险化学品储</w:t>
            </w:r>
            <w:r>
              <w:rPr>
                <w:spacing w:val="-2"/>
              </w:rPr>
              <w:t>存在专用仓库内，且</w:t>
            </w:r>
            <w:r>
              <w:rPr>
                <w:spacing w:val="26"/>
              </w:rPr>
              <w:t>未将剧毒化学品以及储存数量构成重</w:t>
            </w:r>
          </w:p>
        </w:tc>
        <w:tc>
          <w:tcPr>
            <w:tcW w:w="2894" w:type="dxa"/>
            <w:vAlign w:val="top"/>
          </w:tcPr>
          <w:p w14:paraId="0058C405">
            <w:pPr>
              <w:pStyle w:val="6"/>
              <w:spacing w:before="32" w:line="177" w:lineRule="auto"/>
              <w:ind w:left="124" w:right="109" w:firstLine="2"/>
              <w:jc w:val="both"/>
            </w:pPr>
            <w:r>
              <w:rPr>
                <w:spacing w:val="4"/>
              </w:rPr>
              <w:t>责令改正，处</w:t>
            </w:r>
            <w:r>
              <w:rPr>
                <w:rFonts w:ascii="宋体" w:hAnsi="宋体" w:eastAsia="宋体" w:cs="宋体"/>
                <w:spacing w:val="4"/>
              </w:rPr>
              <w:t>9</w:t>
            </w:r>
            <w:r>
              <w:rPr>
                <w:spacing w:val="4"/>
              </w:rPr>
              <w:t>万元以上</w:t>
            </w:r>
            <w:r>
              <w:rPr>
                <w:rFonts w:ascii="宋体" w:hAnsi="宋体" w:eastAsia="宋体" w:cs="宋体"/>
                <w:spacing w:val="-1"/>
              </w:rPr>
              <w:t>10</w:t>
            </w:r>
            <w:r>
              <w:rPr>
                <w:spacing w:val="-1"/>
              </w:rPr>
              <w:t>万元以下的罚款；拒不</w:t>
            </w:r>
            <w:r>
              <w:rPr>
                <w:spacing w:val="7"/>
              </w:rPr>
              <w:t>改正的，责令停产停业整</w:t>
            </w:r>
            <w:r>
              <w:rPr>
                <w:spacing w:val="11"/>
              </w:rPr>
              <w:t>顿直至由原发证机关吊销</w:t>
            </w:r>
          </w:p>
        </w:tc>
        <w:tc>
          <w:tcPr>
            <w:tcW w:w="811" w:type="dxa"/>
            <w:vMerge w:val="continue"/>
            <w:tcBorders>
              <w:top w:val="nil"/>
            </w:tcBorders>
            <w:vAlign w:val="top"/>
          </w:tcPr>
          <w:p w14:paraId="354C5013">
            <w:pPr>
              <w:rPr>
                <w:rFonts w:ascii="Arial"/>
                <w:sz w:val="21"/>
              </w:rPr>
            </w:pPr>
          </w:p>
        </w:tc>
      </w:tr>
    </w:tbl>
    <w:p w14:paraId="69D67507">
      <w:pPr>
        <w:pStyle w:val="2"/>
      </w:pPr>
    </w:p>
    <w:p w14:paraId="3FDD739E">
      <w:pPr>
        <w:sectPr>
          <w:footerReference r:id="rId169" w:type="default"/>
          <w:pgSz w:w="16839" w:h="11906"/>
          <w:pgMar w:top="1012" w:right="821" w:bottom="667" w:left="901" w:header="0" w:footer="388" w:gutter="0"/>
          <w:cols w:space="720" w:num="1"/>
        </w:sectPr>
      </w:pPr>
    </w:p>
    <w:p w14:paraId="5D8A89F7">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8AC5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89E5D6A">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28C88921">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1026296">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53BC2FC">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17650ECA">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E01C903">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8278EE6">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B322B5A">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060D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2" w:hRule="atLeast"/>
        </w:trPr>
        <w:tc>
          <w:tcPr>
            <w:tcW w:w="818" w:type="dxa"/>
            <w:vAlign w:val="top"/>
          </w:tcPr>
          <w:p w14:paraId="16273565">
            <w:pPr>
              <w:rPr>
                <w:rFonts w:ascii="Arial"/>
                <w:sz w:val="21"/>
              </w:rPr>
            </w:pPr>
          </w:p>
        </w:tc>
        <w:tc>
          <w:tcPr>
            <w:tcW w:w="1440" w:type="dxa"/>
            <w:vAlign w:val="top"/>
          </w:tcPr>
          <w:p w14:paraId="3C0315AD">
            <w:pPr>
              <w:pStyle w:val="6"/>
              <w:spacing w:before="28" w:line="208" w:lineRule="auto"/>
              <w:ind w:left="115"/>
            </w:pPr>
            <w:r>
              <w:rPr>
                <w:spacing w:val="5"/>
              </w:rPr>
              <w:t>存放的</w:t>
            </w:r>
          </w:p>
        </w:tc>
        <w:tc>
          <w:tcPr>
            <w:tcW w:w="3202" w:type="dxa"/>
            <w:vAlign w:val="top"/>
          </w:tcPr>
          <w:p w14:paraId="0B245C1B">
            <w:pPr>
              <w:rPr>
                <w:rFonts w:ascii="Arial"/>
                <w:sz w:val="21"/>
              </w:rPr>
            </w:pPr>
          </w:p>
        </w:tc>
        <w:tc>
          <w:tcPr>
            <w:tcW w:w="2859" w:type="dxa"/>
            <w:vAlign w:val="top"/>
          </w:tcPr>
          <w:p w14:paraId="5E64D2A5">
            <w:pPr>
              <w:pStyle w:val="6"/>
              <w:spacing w:before="33" w:line="182" w:lineRule="auto"/>
              <w:ind w:left="116" w:right="110" w:firstLine="2"/>
              <w:jc w:val="both"/>
            </w:pPr>
            <w:r>
              <w:rPr>
                <w:spacing w:val="8"/>
              </w:rPr>
              <w:t>任人员构成犯罪的，依法追究刑事责任</w:t>
            </w:r>
            <w:r>
              <w:rPr>
                <w:spacing w:val="10"/>
              </w:rPr>
              <w:t>：（</w:t>
            </w:r>
            <w:r>
              <w:rPr>
                <w:spacing w:val="8"/>
              </w:rPr>
              <w:t>四）未将危险化学品储存在专用</w:t>
            </w:r>
            <w:r>
              <w:rPr>
                <w:spacing w:val="4"/>
              </w:rPr>
              <w:t>仓库内，或者未将剧毒化</w:t>
            </w:r>
            <w:r>
              <w:rPr>
                <w:spacing w:val="8"/>
              </w:rPr>
              <w:t>学品以及储存数量构成重大危险源的其他危险化学品在专用仓库内单独存放</w:t>
            </w:r>
            <w:r>
              <w:rPr>
                <w:spacing w:val="-10"/>
              </w:rPr>
              <w:t>的；</w:t>
            </w:r>
          </w:p>
          <w:p w14:paraId="5AFEA33D">
            <w:pPr>
              <w:pStyle w:val="6"/>
              <w:spacing w:before="11" w:line="181" w:lineRule="auto"/>
              <w:ind w:left="90" w:right="19" w:firstLine="26"/>
            </w:pPr>
            <w:r>
              <w:rPr>
                <w:rFonts w:ascii="宋体" w:hAnsi="宋体" w:eastAsia="宋体" w:cs="宋体"/>
                <w:spacing w:val="7"/>
              </w:rPr>
              <w:t>2.</w:t>
            </w:r>
            <w:r>
              <w:rPr>
                <w:spacing w:val="7"/>
              </w:rPr>
              <w:t>【部门规章】《危险化</w:t>
            </w:r>
            <w:r>
              <w:rPr>
                <w:spacing w:val="35"/>
              </w:rPr>
              <w:t>学品经营许可证管理办</w:t>
            </w:r>
            <w:r>
              <w:rPr>
                <w:spacing w:val="10"/>
              </w:rPr>
              <w:t>法》第三十条第三项：带</w:t>
            </w:r>
            <w:r>
              <w:rPr>
                <w:spacing w:val="35"/>
              </w:rPr>
              <w:t>有储存设施的企业违反</w:t>
            </w:r>
            <w:r>
              <w:rPr>
                <w:spacing w:val="11"/>
              </w:rPr>
              <w:t>《危险化学品安全管理条例》规定，有下列情形之</w:t>
            </w:r>
            <w:r>
              <w:rPr>
                <w:spacing w:val="1"/>
              </w:rPr>
              <w:t>一的，责令改正，处</w:t>
            </w:r>
            <w:r>
              <w:rPr>
                <w:rFonts w:ascii="宋体" w:hAnsi="宋体" w:eastAsia="宋体" w:cs="宋体"/>
                <w:spacing w:val="1"/>
              </w:rPr>
              <w:t>5</w:t>
            </w:r>
            <w:r>
              <w:rPr>
                <w:spacing w:val="1"/>
              </w:rPr>
              <w:t>万</w:t>
            </w:r>
            <w:r>
              <w:rPr>
                <w:spacing w:val="11"/>
              </w:rPr>
              <w:t>元以上</w:t>
            </w:r>
            <w:r>
              <w:rPr>
                <w:rFonts w:ascii="宋体" w:hAnsi="宋体" w:eastAsia="宋体" w:cs="宋体"/>
                <w:spacing w:val="11"/>
              </w:rPr>
              <w:t>10</w:t>
            </w:r>
            <w:r>
              <w:rPr>
                <w:spacing w:val="11"/>
              </w:rPr>
              <w:t>万元以下的罚款；拒不改正的，责令停产停业整顿；经停产停业</w:t>
            </w:r>
            <w:r>
              <w:rPr>
                <w:spacing w:val="-2"/>
              </w:rPr>
              <w:t>整顿仍不具备法律、法规、</w:t>
            </w:r>
            <w:r>
              <w:rPr>
                <w:spacing w:val="11"/>
              </w:rPr>
              <w:t>规章、国家标准和行业标</w:t>
            </w:r>
            <w:r>
              <w:rPr>
                <w:spacing w:val="35"/>
              </w:rPr>
              <w:t>准规定的安全生产条件</w:t>
            </w:r>
            <w:r>
              <w:rPr>
                <w:spacing w:val="10"/>
              </w:rPr>
              <w:t>的，吊销其经营许可证：</w:t>
            </w:r>
            <w:r>
              <w:rPr>
                <w:spacing w:val="4"/>
              </w:rPr>
              <w:t>（三）未将危险化学品储</w:t>
            </w:r>
            <w:r>
              <w:rPr>
                <w:spacing w:val="11"/>
              </w:rPr>
              <w:t>存在专用仓库内，或者未将剧毒化学品以及储存数量构成重大危险源的其他危险化学品在专用仓库内</w:t>
            </w:r>
            <w:r>
              <w:rPr>
                <w:spacing w:val="4"/>
              </w:rPr>
              <w:t>单独存放的；</w:t>
            </w:r>
          </w:p>
        </w:tc>
        <w:tc>
          <w:tcPr>
            <w:tcW w:w="803" w:type="dxa"/>
            <w:vAlign w:val="top"/>
          </w:tcPr>
          <w:p w14:paraId="6CEB2EEC">
            <w:pPr>
              <w:rPr>
                <w:rFonts w:ascii="Arial"/>
                <w:sz w:val="21"/>
              </w:rPr>
            </w:pPr>
          </w:p>
        </w:tc>
        <w:tc>
          <w:tcPr>
            <w:tcW w:w="2283" w:type="dxa"/>
            <w:vAlign w:val="top"/>
          </w:tcPr>
          <w:p w14:paraId="1E809D4B">
            <w:pPr>
              <w:pStyle w:val="6"/>
              <w:spacing w:before="28" w:line="191" w:lineRule="auto"/>
              <w:ind w:left="125" w:right="109"/>
              <w:jc w:val="both"/>
            </w:pPr>
            <w:r>
              <w:rPr>
                <w:spacing w:val="25"/>
              </w:rPr>
              <w:t>大危险源的其他危险化学品在专用仓</w:t>
            </w:r>
            <w:r>
              <w:rPr>
                <w:spacing w:val="6"/>
              </w:rPr>
              <w:t>库内单独存放的</w:t>
            </w:r>
          </w:p>
        </w:tc>
        <w:tc>
          <w:tcPr>
            <w:tcW w:w="2894" w:type="dxa"/>
            <w:vAlign w:val="top"/>
          </w:tcPr>
          <w:p w14:paraId="57324EB9">
            <w:pPr>
              <w:pStyle w:val="6"/>
              <w:spacing w:before="27" w:line="209" w:lineRule="auto"/>
              <w:ind w:left="117"/>
            </w:pPr>
            <w:r>
              <w:rPr>
                <w:spacing w:val="7"/>
              </w:rPr>
              <w:t>其相关许可证件</w:t>
            </w:r>
          </w:p>
        </w:tc>
        <w:tc>
          <w:tcPr>
            <w:tcW w:w="811" w:type="dxa"/>
            <w:vAlign w:val="top"/>
          </w:tcPr>
          <w:p w14:paraId="5C3EADED">
            <w:pPr>
              <w:rPr>
                <w:rFonts w:ascii="Arial"/>
                <w:sz w:val="21"/>
              </w:rPr>
            </w:pPr>
          </w:p>
        </w:tc>
      </w:tr>
    </w:tbl>
    <w:p w14:paraId="13A78E28">
      <w:pPr>
        <w:pStyle w:val="2"/>
      </w:pPr>
    </w:p>
    <w:p w14:paraId="787869D9">
      <w:pPr>
        <w:sectPr>
          <w:footerReference r:id="rId170" w:type="default"/>
          <w:pgSz w:w="16839" w:h="11906"/>
          <w:pgMar w:top="1012" w:right="821" w:bottom="667" w:left="901" w:header="0" w:footer="388" w:gutter="0"/>
          <w:cols w:space="720" w:num="1"/>
        </w:sectPr>
      </w:pPr>
    </w:p>
    <w:p w14:paraId="7E284D84">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8D9D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FD227F7">
            <w:pPr>
              <w:spacing w:before="222" w:line="241" w:lineRule="auto"/>
              <w:ind w:left="131"/>
              <w:rPr>
                <w:rFonts w:ascii="黑体" w:hAnsi="黑体" w:eastAsia="黑体" w:cs="黑体"/>
                <w:sz w:val="28"/>
                <w:szCs w:val="28"/>
              </w:rPr>
            </w:pPr>
            <w:bookmarkStart w:id="611" w:name="bookmark568"/>
            <w:bookmarkEnd w:id="611"/>
            <w:bookmarkStart w:id="612" w:name="bookmark312"/>
            <w:bookmarkEnd w:id="612"/>
            <w:r>
              <w:rPr>
                <w:rFonts w:ascii="黑体" w:hAnsi="黑体" w:eastAsia="黑体" w:cs="黑体"/>
                <w:spacing w:val="-2"/>
                <w:sz w:val="28"/>
                <w:szCs w:val="28"/>
              </w:rPr>
              <w:t>序号</w:t>
            </w:r>
          </w:p>
        </w:tc>
        <w:tc>
          <w:tcPr>
            <w:tcW w:w="1440" w:type="dxa"/>
            <w:vAlign w:val="top"/>
          </w:tcPr>
          <w:p w14:paraId="29EE8540">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A50C2EC">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5D48BB5">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0FF6CD79">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22F8602">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7EAF302">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B2C6841">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D61E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1" w:hRule="atLeast"/>
        </w:trPr>
        <w:tc>
          <w:tcPr>
            <w:tcW w:w="818" w:type="dxa"/>
            <w:vMerge w:val="restart"/>
            <w:tcBorders>
              <w:bottom w:val="nil"/>
            </w:tcBorders>
            <w:vAlign w:val="top"/>
          </w:tcPr>
          <w:p w14:paraId="715B2970">
            <w:pPr>
              <w:rPr>
                <w:rFonts w:ascii="Arial"/>
                <w:sz w:val="21"/>
              </w:rPr>
            </w:pPr>
          </w:p>
          <w:p w14:paraId="06B8EA82">
            <w:pPr>
              <w:rPr>
                <w:rFonts w:ascii="Arial"/>
                <w:sz w:val="21"/>
              </w:rPr>
            </w:pPr>
          </w:p>
          <w:p w14:paraId="0F688275">
            <w:pPr>
              <w:rPr>
                <w:rFonts w:ascii="Arial"/>
                <w:sz w:val="21"/>
              </w:rPr>
            </w:pPr>
          </w:p>
          <w:p w14:paraId="4F0346AD">
            <w:pPr>
              <w:rPr>
                <w:rFonts w:ascii="Arial"/>
                <w:sz w:val="21"/>
              </w:rPr>
            </w:pPr>
          </w:p>
          <w:p w14:paraId="70404078">
            <w:pPr>
              <w:rPr>
                <w:rFonts w:ascii="Arial"/>
                <w:sz w:val="21"/>
              </w:rPr>
            </w:pPr>
          </w:p>
          <w:p w14:paraId="2CFD5FB7">
            <w:pPr>
              <w:rPr>
                <w:rFonts w:ascii="Arial"/>
                <w:sz w:val="21"/>
              </w:rPr>
            </w:pPr>
          </w:p>
          <w:p w14:paraId="5D3CAFE1">
            <w:pPr>
              <w:rPr>
                <w:rFonts w:ascii="Arial"/>
                <w:sz w:val="21"/>
              </w:rPr>
            </w:pPr>
          </w:p>
          <w:p w14:paraId="50E739FD">
            <w:pPr>
              <w:rPr>
                <w:rFonts w:ascii="Arial"/>
                <w:sz w:val="21"/>
              </w:rPr>
            </w:pPr>
          </w:p>
          <w:p w14:paraId="604195D1">
            <w:pPr>
              <w:rPr>
                <w:rFonts w:ascii="Arial"/>
                <w:sz w:val="21"/>
              </w:rPr>
            </w:pPr>
          </w:p>
          <w:p w14:paraId="1A7D103F">
            <w:pPr>
              <w:rPr>
                <w:rFonts w:ascii="Arial"/>
                <w:sz w:val="21"/>
              </w:rPr>
            </w:pPr>
          </w:p>
          <w:p w14:paraId="6599FF60">
            <w:pPr>
              <w:rPr>
                <w:rFonts w:ascii="Arial"/>
                <w:sz w:val="21"/>
              </w:rPr>
            </w:pPr>
          </w:p>
          <w:p w14:paraId="000F7D07">
            <w:pPr>
              <w:rPr>
                <w:rFonts w:ascii="Arial"/>
                <w:sz w:val="21"/>
              </w:rPr>
            </w:pPr>
          </w:p>
          <w:p w14:paraId="1C36318C">
            <w:pPr>
              <w:rPr>
                <w:rFonts w:ascii="Arial"/>
                <w:sz w:val="21"/>
              </w:rPr>
            </w:pPr>
          </w:p>
          <w:p w14:paraId="4ECAE100">
            <w:pPr>
              <w:rPr>
                <w:rFonts w:ascii="Arial"/>
                <w:sz w:val="21"/>
              </w:rPr>
            </w:pPr>
          </w:p>
          <w:p w14:paraId="055E9D5C">
            <w:pPr>
              <w:rPr>
                <w:rFonts w:ascii="Arial"/>
                <w:sz w:val="21"/>
              </w:rPr>
            </w:pPr>
          </w:p>
          <w:p w14:paraId="2F2A10AD">
            <w:pPr>
              <w:spacing w:line="241" w:lineRule="auto"/>
              <w:rPr>
                <w:rFonts w:ascii="Arial"/>
                <w:sz w:val="21"/>
              </w:rPr>
            </w:pPr>
          </w:p>
          <w:p w14:paraId="4A400847">
            <w:pPr>
              <w:spacing w:line="241" w:lineRule="auto"/>
              <w:rPr>
                <w:rFonts w:ascii="Arial"/>
                <w:sz w:val="21"/>
              </w:rPr>
            </w:pPr>
          </w:p>
          <w:p w14:paraId="22A1693E">
            <w:pPr>
              <w:spacing w:line="241" w:lineRule="auto"/>
              <w:rPr>
                <w:rFonts w:ascii="Arial"/>
                <w:sz w:val="21"/>
              </w:rPr>
            </w:pPr>
          </w:p>
          <w:p w14:paraId="339749CB">
            <w:pPr>
              <w:spacing w:before="75" w:line="186" w:lineRule="auto"/>
              <w:ind w:left="161"/>
              <w:rPr>
                <w:rFonts w:ascii="仿宋" w:hAnsi="仿宋" w:eastAsia="仿宋" w:cs="仿宋"/>
                <w:sz w:val="23"/>
                <w:szCs w:val="23"/>
              </w:rPr>
            </w:pPr>
            <w:r>
              <w:rPr>
                <w:rFonts w:ascii="仿宋" w:hAnsi="仿宋" w:eastAsia="仿宋" w:cs="仿宋"/>
                <w:spacing w:val="-5"/>
                <w:sz w:val="23"/>
                <w:szCs w:val="23"/>
              </w:rPr>
              <w:t>152</w:t>
            </w:r>
          </w:p>
        </w:tc>
        <w:tc>
          <w:tcPr>
            <w:tcW w:w="1440" w:type="dxa"/>
            <w:vMerge w:val="restart"/>
            <w:tcBorders>
              <w:bottom w:val="nil"/>
            </w:tcBorders>
            <w:vAlign w:val="top"/>
          </w:tcPr>
          <w:p w14:paraId="5D107239">
            <w:pPr>
              <w:spacing w:line="246" w:lineRule="auto"/>
              <w:rPr>
                <w:rFonts w:ascii="Arial"/>
                <w:sz w:val="21"/>
              </w:rPr>
            </w:pPr>
          </w:p>
          <w:p w14:paraId="3B0781F9">
            <w:pPr>
              <w:spacing w:line="246" w:lineRule="auto"/>
              <w:rPr>
                <w:rFonts w:ascii="Arial"/>
                <w:sz w:val="21"/>
              </w:rPr>
            </w:pPr>
          </w:p>
          <w:p w14:paraId="6A44FDA6">
            <w:pPr>
              <w:spacing w:line="246" w:lineRule="auto"/>
              <w:rPr>
                <w:rFonts w:ascii="Arial"/>
                <w:sz w:val="21"/>
              </w:rPr>
            </w:pPr>
          </w:p>
          <w:p w14:paraId="4185A46A">
            <w:pPr>
              <w:spacing w:line="246" w:lineRule="auto"/>
              <w:rPr>
                <w:rFonts w:ascii="Arial"/>
                <w:sz w:val="21"/>
              </w:rPr>
            </w:pPr>
          </w:p>
          <w:p w14:paraId="7EB840BD">
            <w:pPr>
              <w:spacing w:line="246" w:lineRule="auto"/>
              <w:rPr>
                <w:rFonts w:ascii="Arial"/>
                <w:sz w:val="21"/>
              </w:rPr>
            </w:pPr>
          </w:p>
          <w:p w14:paraId="016462CF">
            <w:pPr>
              <w:spacing w:line="247" w:lineRule="auto"/>
              <w:rPr>
                <w:rFonts w:ascii="Arial"/>
                <w:sz w:val="21"/>
              </w:rPr>
            </w:pPr>
          </w:p>
          <w:p w14:paraId="4BF54230">
            <w:pPr>
              <w:spacing w:line="247" w:lineRule="auto"/>
              <w:rPr>
                <w:rFonts w:ascii="Arial"/>
                <w:sz w:val="21"/>
              </w:rPr>
            </w:pPr>
          </w:p>
          <w:p w14:paraId="57517A6C">
            <w:pPr>
              <w:spacing w:line="247" w:lineRule="auto"/>
              <w:rPr>
                <w:rFonts w:ascii="Arial"/>
                <w:sz w:val="21"/>
              </w:rPr>
            </w:pPr>
          </w:p>
          <w:p w14:paraId="0396D536">
            <w:pPr>
              <w:spacing w:line="247" w:lineRule="auto"/>
              <w:rPr>
                <w:rFonts w:ascii="Arial"/>
                <w:sz w:val="21"/>
              </w:rPr>
            </w:pPr>
          </w:p>
          <w:p w14:paraId="6512E93E">
            <w:pPr>
              <w:spacing w:line="247" w:lineRule="auto"/>
              <w:rPr>
                <w:rFonts w:ascii="Arial"/>
                <w:sz w:val="21"/>
              </w:rPr>
            </w:pPr>
          </w:p>
          <w:p w14:paraId="296ABC8A">
            <w:pPr>
              <w:spacing w:line="247" w:lineRule="auto"/>
              <w:rPr>
                <w:rFonts w:ascii="Arial"/>
                <w:sz w:val="21"/>
              </w:rPr>
            </w:pPr>
          </w:p>
          <w:p w14:paraId="45C42FA8">
            <w:pPr>
              <w:spacing w:line="247" w:lineRule="auto"/>
              <w:rPr>
                <w:rFonts w:ascii="Arial"/>
                <w:sz w:val="21"/>
              </w:rPr>
            </w:pPr>
          </w:p>
          <w:p w14:paraId="566559EC">
            <w:pPr>
              <w:spacing w:line="247" w:lineRule="auto"/>
              <w:rPr>
                <w:rFonts w:ascii="Arial"/>
                <w:sz w:val="21"/>
              </w:rPr>
            </w:pPr>
          </w:p>
          <w:p w14:paraId="47F5CB5A">
            <w:pPr>
              <w:pStyle w:val="6"/>
              <w:spacing w:before="99" w:line="186" w:lineRule="auto"/>
              <w:ind w:left="110" w:right="17" w:firstLine="18"/>
              <w:jc w:val="both"/>
            </w:pPr>
            <w:r>
              <w:rPr>
                <w:spacing w:val="-12"/>
                <w:w w:val="98"/>
              </w:rPr>
              <w:t>生产、储存、</w:t>
            </w:r>
            <w:r>
              <w:rPr>
                <w:spacing w:val="12"/>
              </w:rPr>
              <w:t>使用危险化学品的单位危险化学品专用仓库不符合国家标准、行业标</w:t>
            </w:r>
            <w:r>
              <w:rPr>
                <w:spacing w:val="7"/>
              </w:rPr>
              <w:t>准的要求的</w:t>
            </w:r>
          </w:p>
        </w:tc>
        <w:tc>
          <w:tcPr>
            <w:tcW w:w="3202" w:type="dxa"/>
            <w:vMerge w:val="restart"/>
            <w:tcBorders>
              <w:bottom w:val="nil"/>
            </w:tcBorders>
            <w:vAlign w:val="top"/>
          </w:tcPr>
          <w:p w14:paraId="79FD2175">
            <w:pPr>
              <w:pStyle w:val="6"/>
              <w:spacing w:before="33" w:line="185" w:lineRule="auto"/>
              <w:ind w:left="114" w:right="110" w:hanging="16"/>
              <w:jc w:val="both"/>
            </w:pPr>
            <w:r>
              <w:rPr>
                <w:spacing w:val="18"/>
              </w:rPr>
              <w:t>【行政法规】《危险化学品</w:t>
            </w:r>
            <w:r>
              <w:rPr>
                <w:spacing w:val="17"/>
              </w:rPr>
              <w:t>安全管理条例》第二十六条</w:t>
            </w:r>
            <w:r>
              <w:rPr>
                <w:spacing w:val="14"/>
              </w:rPr>
              <w:t>第一款：危险化学品专用仓</w:t>
            </w:r>
            <w:r>
              <w:rPr>
                <w:spacing w:val="17"/>
              </w:rPr>
              <w:t>库应当符合国家标准、行业</w:t>
            </w:r>
            <w:r>
              <w:rPr>
                <w:spacing w:val="13"/>
              </w:rPr>
              <w:t>标准的要求，并设置明显的</w:t>
            </w:r>
            <w:r>
              <w:rPr>
                <w:spacing w:val="17"/>
              </w:rPr>
              <w:t>标志。储存剧毒化学品、易</w:t>
            </w:r>
            <w:r>
              <w:rPr>
                <w:spacing w:val="40"/>
              </w:rPr>
              <w:t>制爆危险化学品的专用仓</w:t>
            </w:r>
            <w:r>
              <w:rPr>
                <w:spacing w:val="13"/>
              </w:rPr>
              <w:t>库，应当按照国家有关规定</w:t>
            </w:r>
            <w:r>
              <w:rPr>
                <w:spacing w:val="5"/>
              </w:rPr>
              <w:t>设置相应的技术防范设施。</w:t>
            </w:r>
          </w:p>
        </w:tc>
        <w:tc>
          <w:tcPr>
            <w:tcW w:w="2859" w:type="dxa"/>
            <w:vMerge w:val="restart"/>
            <w:tcBorders>
              <w:bottom w:val="nil"/>
            </w:tcBorders>
            <w:vAlign w:val="top"/>
          </w:tcPr>
          <w:p w14:paraId="0D882351">
            <w:pPr>
              <w:pStyle w:val="6"/>
              <w:spacing w:before="30" w:line="182" w:lineRule="auto"/>
              <w:ind w:left="125" w:right="19" w:firstLine="5"/>
              <w:jc w:val="both"/>
            </w:pPr>
            <w:r>
              <w:rPr>
                <w:rFonts w:ascii="宋体" w:hAnsi="宋体" w:eastAsia="宋体" w:cs="宋体"/>
                <w:spacing w:val="6"/>
              </w:rPr>
              <w:t>1.</w:t>
            </w:r>
            <w:r>
              <w:rPr>
                <w:spacing w:val="6"/>
              </w:rPr>
              <w:t>【行政法规】《危险化</w:t>
            </w:r>
            <w:r>
              <w:rPr>
                <w:spacing w:val="7"/>
              </w:rPr>
              <w:t>学品安全管理条例》第八</w:t>
            </w:r>
            <w:r>
              <w:rPr>
                <w:spacing w:val="-5"/>
              </w:rPr>
              <w:t>十条第一款第六项：生产、</w:t>
            </w:r>
          </w:p>
          <w:p w14:paraId="36D689A7">
            <w:pPr>
              <w:pStyle w:val="6"/>
              <w:spacing w:line="182" w:lineRule="auto"/>
              <w:ind w:left="116"/>
              <w:outlineLvl w:val="0"/>
            </w:pPr>
            <w:r>
              <w:rPr>
                <w:spacing w:val="8"/>
              </w:rPr>
              <w:t>储存、使用危险化学品的</w:t>
            </w:r>
          </w:p>
          <w:p w14:paraId="1CD3B064">
            <w:pPr>
              <w:pStyle w:val="6"/>
              <w:spacing w:before="11" w:line="182" w:lineRule="auto"/>
              <w:ind w:left="115" w:right="110" w:firstLine="7"/>
            </w:pPr>
            <w:r>
              <w:rPr>
                <w:spacing w:val="7"/>
              </w:rPr>
              <w:t>单位有下列情形之一的，</w:t>
            </w:r>
            <w:r>
              <w:rPr>
                <w:spacing w:val="8"/>
              </w:rPr>
              <w:t>由安全生产监督管理部门</w:t>
            </w:r>
            <w:r>
              <w:rPr>
                <w:spacing w:val="4"/>
              </w:rPr>
              <w:t>责令改正，处</w:t>
            </w:r>
            <w:r>
              <w:rPr>
                <w:rFonts w:ascii="宋体" w:hAnsi="宋体" w:eastAsia="宋体" w:cs="宋体"/>
                <w:spacing w:val="4"/>
              </w:rPr>
              <w:t>5</w:t>
            </w:r>
            <w:r>
              <w:rPr>
                <w:spacing w:val="4"/>
              </w:rPr>
              <w:t>万元以上</w:t>
            </w:r>
            <w:r>
              <w:rPr>
                <w:rFonts w:ascii="宋体" w:hAnsi="宋体" w:eastAsia="宋体" w:cs="宋体"/>
              </w:rPr>
              <w:t>10</w:t>
            </w:r>
            <w:r>
              <w:t>万元以下的罚款；拒不</w:t>
            </w:r>
            <w:r>
              <w:rPr>
                <w:spacing w:val="4"/>
              </w:rPr>
              <w:t>改正的，责令停产停业整</w:t>
            </w:r>
            <w:r>
              <w:rPr>
                <w:spacing w:val="8"/>
              </w:rPr>
              <w:t>顿直至由原发证机关吊销其相关许可证件，并由工商行政管理部门责令其办理经营范围变更登记或者吊销其营业执照；有关责任人员构成犯罪的，依法追究刑事责任</w:t>
            </w:r>
            <w:r>
              <w:rPr>
                <w:spacing w:val="11"/>
              </w:rPr>
              <w:t>：（</w:t>
            </w:r>
            <w:r>
              <w:rPr>
                <w:spacing w:val="8"/>
              </w:rPr>
              <w:t>六）危险化学品专用仓库不符合国家标准、行业标准的要</w:t>
            </w:r>
            <w:r>
              <w:rPr>
                <w:spacing w:val="-6"/>
              </w:rPr>
              <w:t>求的；</w:t>
            </w:r>
          </w:p>
          <w:p w14:paraId="6E35BA38">
            <w:pPr>
              <w:pStyle w:val="6"/>
              <w:spacing w:before="9" w:line="180" w:lineRule="auto"/>
              <w:ind w:left="90" w:right="19" w:firstLine="26"/>
              <w:jc w:val="both"/>
            </w:pPr>
            <w:r>
              <w:rPr>
                <w:rFonts w:ascii="宋体" w:hAnsi="宋体" w:eastAsia="宋体" w:cs="宋体"/>
                <w:spacing w:val="7"/>
              </w:rPr>
              <w:t>2.</w:t>
            </w:r>
            <w:r>
              <w:rPr>
                <w:spacing w:val="7"/>
              </w:rPr>
              <w:t>【部门规章】《危险化</w:t>
            </w:r>
            <w:r>
              <w:rPr>
                <w:spacing w:val="35"/>
              </w:rPr>
              <w:t>学品经营许可证管理办</w:t>
            </w:r>
            <w:r>
              <w:rPr>
                <w:spacing w:val="10"/>
              </w:rPr>
              <w:t>法》第三十条第六项：带</w:t>
            </w:r>
            <w:r>
              <w:rPr>
                <w:spacing w:val="35"/>
              </w:rPr>
              <w:t>有储存设施的企业违反</w:t>
            </w:r>
            <w:r>
              <w:rPr>
                <w:spacing w:val="11"/>
              </w:rPr>
              <w:t>《危险化学品安全管理条例》规定，有下列情形之</w:t>
            </w:r>
            <w:r>
              <w:rPr>
                <w:spacing w:val="1"/>
              </w:rPr>
              <w:t>一的，责令改正，处</w:t>
            </w:r>
            <w:r>
              <w:rPr>
                <w:rFonts w:ascii="宋体" w:hAnsi="宋体" w:eastAsia="宋体" w:cs="宋体"/>
                <w:spacing w:val="1"/>
              </w:rPr>
              <w:t>5</w:t>
            </w:r>
            <w:r>
              <w:rPr>
                <w:spacing w:val="1"/>
              </w:rPr>
              <w:t>万</w:t>
            </w:r>
            <w:r>
              <w:rPr>
                <w:spacing w:val="11"/>
              </w:rPr>
              <w:t>元以上</w:t>
            </w:r>
            <w:r>
              <w:rPr>
                <w:rFonts w:ascii="宋体" w:hAnsi="宋体" w:eastAsia="宋体" w:cs="宋体"/>
                <w:spacing w:val="11"/>
              </w:rPr>
              <w:t>10</w:t>
            </w:r>
            <w:r>
              <w:rPr>
                <w:spacing w:val="11"/>
              </w:rPr>
              <w:t>万元以下的罚款；拒不改正的，责令停产停业整顿；经停产停业</w:t>
            </w:r>
            <w:r>
              <w:rPr>
                <w:spacing w:val="-2"/>
              </w:rPr>
              <w:t>整顿仍不具备法律、法规、</w:t>
            </w:r>
          </w:p>
        </w:tc>
        <w:tc>
          <w:tcPr>
            <w:tcW w:w="803" w:type="dxa"/>
            <w:vAlign w:val="top"/>
          </w:tcPr>
          <w:p w14:paraId="68C0E6F6">
            <w:pPr>
              <w:spacing w:line="270" w:lineRule="auto"/>
              <w:rPr>
                <w:rFonts w:ascii="Arial"/>
                <w:sz w:val="21"/>
              </w:rPr>
            </w:pPr>
          </w:p>
          <w:p w14:paraId="74B08117">
            <w:pPr>
              <w:spacing w:line="270" w:lineRule="auto"/>
              <w:rPr>
                <w:rFonts w:ascii="Arial"/>
                <w:sz w:val="21"/>
              </w:rPr>
            </w:pPr>
          </w:p>
          <w:p w14:paraId="60337863">
            <w:pPr>
              <w:spacing w:line="271" w:lineRule="auto"/>
              <w:rPr>
                <w:rFonts w:ascii="Arial"/>
                <w:sz w:val="21"/>
              </w:rPr>
            </w:pPr>
          </w:p>
          <w:p w14:paraId="6AC5A2D2">
            <w:pPr>
              <w:spacing w:line="271" w:lineRule="auto"/>
              <w:rPr>
                <w:rFonts w:ascii="Arial"/>
                <w:sz w:val="21"/>
              </w:rPr>
            </w:pPr>
          </w:p>
          <w:p w14:paraId="5AE52A60">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D88258E">
            <w:pPr>
              <w:spacing w:line="284" w:lineRule="auto"/>
              <w:rPr>
                <w:rFonts w:ascii="Arial"/>
                <w:sz w:val="21"/>
              </w:rPr>
            </w:pPr>
          </w:p>
          <w:p w14:paraId="20F23DAD">
            <w:pPr>
              <w:spacing w:line="285" w:lineRule="auto"/>
              <w:rPr>
                <w:rFonts w:ascii="Arial"/>
                <w:sz w:val="21"/>
              </w:rPr>
            </w:pPr>
          </w:p>
          <w:p w14:paraId="3D5CBC20">
            <w:pPr>
              <w:pStyle w:val="6"/>
              <w:spacing w:before="99" w:line="189" w:lineRule="auto"/>
              <w:ind w:left="117" w:right="107"/>
              <w:jc w:val="both"/>
            </w:pPr>
            <w:r>
              <w:rPr>
                <w:spacing w:val="26"/>
              </w:rPr>
              <w:t>危险化学品专用仓</w:t>
            </w:r>
            <w:r>
              <w:rPr>
                <w:spacing w:val="16"/>
              </w:rPr>
              <w:t>库有</w:t>
            </w:r>
            <w:r>
              <w:rPr>
                <w:rFonts w:ascii="宋体" w:hAnsi="宋体" w:eastAsia="宋体" w:cs="宋体"/>
                <w:spacing w:val="16"/>
              </w:rPr>
              <w:t>3</w:t>
            </w:r>
            <w:r>
              <w:rPr>
                <w:spacing w:val="16"/>
              </w:rPr>
              <w:t>项以下不符</w:t>
            </w:r>
            <w:r>
              <w:rPr>
                <w:spacing w:val="-3"/>
              </w:rPr>
              <w:t>合国家标准、行业标</w:t>
            </w:r>
            <w:r>
              <w:rPr>
                <w:spacing w:val="6"/>
              </w:rPr>
              <w:t>准的要求的</w:t>
            </w:r>
          </w:p>
        </w:tc>
        <w:tc>
          <w:tcPr>
            <w:tcW w:w="2894" w:type="dxa"/>
            <w:vAlign w:val="top"/>
          </w:tcPr>
          <w:p w14:paraId="5EBACD35">
            <w:pPr>
              <w:spacing w:line="419" w:lineRule="auto"/>
              <w:rPr>
                <w:rFonts w:ascii="Arial"/>
                <w:sz w:val="21"/>
              </w:rPr>
            </w:pPr>
          </w:p>
          <w:p w14:paraId="7B03DB7C">
            <w:pPr>
              <w:pStyle w:val="6"/>
              <w:spacing w:before="98" w:line="188" w:lineRule="auto"/>
              <w:ind w:left="117" w:right="109" w:firstLine="10"/>
              <w:jc w:val="both"/>
            </w:pPr>
            <w:r>
              <w:rPr>
                <w:spacing w:val="4"/>
              </w:rPr>
              <w:t>责令改正，处</w:t>
            </w:r>
            <w:r>
              <w:rPr>
                <w:rFonts w:ascii="宋体" w:hAnsi="宋体" w:eastAsia="宋体" w:cs="宋体"/>
                <w:spacing w:val="4"/>
              </w:rPr>
              <w:t>5</w:t>
            </w:r>
            <w:r>
              <w:rPr>
                <w:spacing w:val="4"/>
              </w:rPr>
              <w:t>万元以上</w:t>
            </w:r>
            <w:r>
              <w:rPr>
                <w:rFonts w:ascii="宋体" w:hAnsi="宋体" w:eastAsia="宋体" w:cs="宋体"/>
                <w:spacing w:val="9"/>
              </w:rPr>
              <w:t>7</w:t>
            </w:r>
            <w:r>
              <w:rPr>
                <w:spacing w:val="9"/>
              </w:rPr>
              <w:t>万元以下的罚款；拒不</w:t>
            </w:r>
            <w:r>
              <w:rPr>
                <w:spacing w:val="8"/>
              </w:rPr>
              <w:t>改正的，责令停产停业整</w:t>
            </w:r>
            <w:r>
              <w:rPr>
                <w:spacing w:val="11"/>
              </w:rPr>
              <w:t>顿直至由原发证机关吊销</w:t>
            </w:r>
            <w:r>
              <w:rPr>
                <w:spacing w:val="7"/>
              </w:rPr>
              <w:t>其相关许可证件</w:t>
            </w:r>
          </w:p>
        </w:tc>
        <w:tc>
          <w:tcPr>
            <w:tcW w:w="811" w:type="dxa"/>
            <w:vMerge w:val="restart"/>
            <w:tcBorders>
              <w:bottom w:val="nil"/>
            </w:tcBorders>
            <w:vAlign w:val="top"/>
          </w:tcPr>
          <w:p w14:paraId="336CB8A6">
            <w:pPr>
              <w:rPr>
                <w:rFonts w:ascii="Arial"/>
                <w:sz w:val="21"/>
              </w:rPr>
            </w:pPr>
          </w:p>
          <w:p w14:paraId="49DBD196">
            <w:pPr>
              <w:rPr>
                <w:rFonts w:ascii="Arial"/>
                <w:sz w:val="21"/>
              </w:rPr>
            </w:pPr>
          </w:p>
          <w:p w14:paraId="734CDED3">
            <w:pPr>
              <w:rPr>
                <w:rFonts w:ascii="Arial"/>
                <w:sz w:val="21"/>
              </w:rPr>
            </w:pPr>
          </w:p>
          <w:p w14:paraId="6D9630CD">
            <w:pPr>
              <w:rPr>
                <w:rFonts w:ascii="Arial"/>
                <w:sz w:val="21"/>
              </w:rPr>
            </w:pPr>
          </w:p>
          <w:p w14:paraId="2E531203">
            <w:pPr>
              <w:rPr>
                <w:rFonts w:ascii="Arial"/>
                <w:sz w:val="21"/>
              </w:rPr>
            </w:pPr>
          </w:p>
          <w:p w14:paraId="59071579">
            <w:pPr>
              <w:rPr>
                <w:rFonts w:ascii="Arial"/>
                <w:sz w:val="21"/>
              </w:rPr>
            </w:pPr>
          </w:p>
          <w:p w14:paraId="356A7941">
            <w:pPr>
              <w:rPr>
                <w:rFonts w:ascii="Arial"/>
                <w:sz w:val="21"/>
              </w:rPr>
            </w:pPr>
          </w:p>
          <w:p w14:paraId="3DD9BC24">
            <w:pPr>
              <w:rPr>
                <w:rFonts w:ascii="Arial"/>
                <w:sz w:val="21"/>
              </w:rPr>
            </w:pPr>
          </w:p>
          <w:p w14:paraId="4158AD03">
            <w:pPr>
              <w:rPr>
                <w:rFonts w:ascii="Arial"/>
                <w:sz w:val="21"/>
              </w:rPr>
            </w:pPr>
          </w:p>
          <w:p w14:paraId="4147B18F">
            <w:pPr>
              <w:rPr>
                <w:rFonts w:ascii="Arial"/>
                <w:sz w:val="21"/>
              </w:rPr>
            </w:pPr>
          </w:p>
          <w:p w14:paraId="1B0FD558">
            <w:pPr>
              <w:rPr>
                <w:rFonts w:ascii="Arial"/>
                <w:sz w:val="21"/>
              </w:rPr>
            </w:pPr>
          </w:p>
          <w:p w14:paraId="3A3CA1AD">
            <w:pPr>
              <w:rPr>
                <w:rFonts w:ascii="Arial"/>
                <w:sz w:val="21"/>
              </w:rPr>
            </w:pPr>
          </w:p>
          <w:p w14:paraId="0AEDB804">
            <w:pPr>
              <w:rPr>
                <w:rFonts w:ascii="Arial"/>
                <w:sz w:val="21"/>
              </w:rPr>
            </w:pPr>
          </w:p>
          <w:p w14:paraId="6169DF67">
            <w:pPr>
              <w:rPr>
                <w:rFonts w:ascii="Arial"/>
                <w:sz w:val="21"/>
              </w:rPr>
            </w:pPr>
          </w:p>
          <w:p w14:paraId="2790CDCF">
            <w:pPr>
              <w:rPr>
                <w:rFonts w:ascii="Arial"/>
                <w:sz w:val="21"/>
              </w:rPr>
            </w:pPr>
          </w:p>
          <w:p w14:paraId="37124981">
            <w:pPr>
              <w:rPr>
                <w:rFonts w:ascii="Arial"/>
                <w:sz w:val="21"/>
              </w:rPr>
            </w:pPr>
          </w:p>
          <w:p w14:paraId="401FAEE6">
            <w:pPr>
              <w:rPr>
                <w:rFonts w:ascii="Arial"/>
                <w:sz w:val="21"/>
              </w:rPr>
            </w:pPr>
          </w:p>
          <w:p w14:paraId="5FB76AD4">
            <w:pPr>
              <w:rPr>
                <w:rFonts w:ascii="Arial"/>
                <w:sz w:val="21"/>
              </w:rPr>
            </w:pPr>
          </w:p>
          <w:p w14:paraId="43552493">
            <w:pPr>
              <w:spacing w:before="75" w:line="189" w:lineRule="auto"/>
              <w:ind w:left="248"/>
              <w:rPr>
                <w:rFonts w:ascii="宋体" w:hAnsi="宋体" w:eastAsia="宋体" w:cs="宋体"/>
                <w:sz w:val="23"/>
                <w:szCs w:val="23"/>
              </w:rPr>
            </w:pPr>
            <w:r>
              <w:rPr>
                <w:rFonts w:ascii="宋体" w:hAnsi="宋体" w:eastAsia="宋体" w:cs="宋体"/>
                <w:spacing w:val="-6"/>
                <w:sz w:val="23"/>
                <w:szCs w:val="23"/>
              </w:rPr>
              <w:t>101</w:t>
            </w:r>
          </w:p>
        </w:tc>
      </w:tr>
      <w:tr w14:paraId="35544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6" w:hRule="atLeast"/>
        </w:trPr>
        <w:tc>
          <w:tcPr>
            <w:tcW w:w="818" w:type="dxa"/>
            <w:vMerge w:val="continue"/>
            <w:tcBorders>
              <w:top w:val="nil"/>
              <w:bottom w:val="nil"/>
            </w:tcBorders>
            <w:vAlign w:val="top"/>
          </w:tcPr>
          <w:p w14:paraId="6D8DD387">
            <w:pPr>
              <w:rPr>
                <w:rFonts w:ascii="Arial"/>
                <w:sz w:val="21"/>
              </w:rPr>
            </w:pPr>
          </w:p>
        </w:tc>
        <w:tc>
          <w:tcPr>
            <w:tcW w:w="1440" w:type="dxa"/>
            <w:vMerge w:val="continue"/>
            <w:tcBorders>
              <w:top w:val="nil"/>
              <w:bottom w:val="nil"/>
            </w:tcBorders>
            <w:vAlign w:val="top"/>
          </w:tcPr>
          <w:p w14:paraId="41F1D387">
            <w:pPr>
              <w:rPr>
                <w:rFonts w:ascii="Arial"/>
                <w:sz w:val="21"/>
              </w:rPr>
            </w:pPr>
          </w:p>
        </w:tc>
        <w:tc>
          <w:tcPr>
            <w:tcW w:w="3202" w:type="dxa"/>
            <w:vMerge w:val="continue"/>
            <w:tcBorders>
              <w:top w:val="nil"/>
              <w:bottom w:val="nil"/>
            </w:tcBorders>
            <w:vAlign w:val="top"/>
          </w:tcPr>
          <w:p w14:paraId="30AFA7BB">
            <w:pPr>
              <w:rPr>
                <w:rFonts w:ascii="Arial"/>
                <w:sz w:val="21"/>
              </w:rPr>
            </w:pPr>
          </w:p>
        </w:tc>
        <w:tc>
          <w:tcPr>
            <w:tcW w:w="2859" w:type="dxa"/>
            <w:vMerge w:val="continue"/>
            <w:tcBorders>
              <w:top w:val="nil"/>
              <w:bottom w:val="nil"/>
            </w:tcBorders>
            <w:vAlign w:val="top"/>
          </w:tcPr>
          <w:p w14:paraId="2B9123EA">
            <w:pPr>
              <w:rPr>
                <w:rFonts w:ascii="Arial"/>
                <w:sz w:val="21"/>
              </w:rPr>
            </w:pPr>
          </w:p>
        </w:tc>
        <w:tc>
          <w:tcPr>
            <w:tcW w:w="803" w:type="dxa"/>
            <w:vAlign w:val="top"/>
          </w:tcPr>
          <w:p w14:paraId="76CD34D5">
            <w:pPr>
              <w:spacing w:line="255" w:lineRule="auto"/>
              <w:rPr>
                <w:rFonts w:ascii="Arial"/>
                <w:sz w:val="21"/>
              </w:rPr>
            </w:pPr>
          </w:p>
          <w:p w14:paraId="3B334B6A">
            <w:pPr>
              <w:spacing w:line="256" w:lineRule="auto"/>
              <w:rPr>
                <w:rFonts w:ascii="Arial"/>
                <w:sz w:val="21"/>
              </w:rPr>
            </w:pPr>
          </w:p>
          <w:p w14:paraId="4D925D38">
            <w:pPr>
              <w:spacing w:line="256" w:lineRule="auto"/>
              <w:rPr>
                <w:rFonts w:ascii="Arial"/>
                <w:sz w:val="21"/>
              </w:rPr>
            </w:pPr>
          </w:p>
          <w:p w14:paraId="17376562">
            <w:pPr>
              <w:spacing w:line="256" w:lineRule="auto"/>
              <w:rPr>
                <w:rFonts w:ascii="Arial"/>
                <w:sz w:val="21"/>
              </w:rPr>
            </w:pPr>
          </w:p>
          <w:p w14:paraId="5FCDA491">
            <w:pPr>
              <w:spacing w:line="256" w:lineRule="auto"/>
              <w:rPr>
                <w:rFonts w:ascii="Arial"/>
                <w:sz w:val="21"/>
              </w:rPr>
            </w:pPr>
          </w:p>
          <w:p w14:paraId="062A3F67">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3DFFA31">
            <w:pPr>
              <w:spacing w:line="254" w:lineRule="auto"/>
              <w:rPr>
                <w:rFonts w:ascii="Arial"/>
                <w:sz w:val="21"/>
              </w:rPr>
            </w:pPr>
          </w:p>
          <w:p w14:paraId="14D15D6C">
            <w:pPr>
              <w:spacing w:line="254" w:lineRule="auto"/>
              <w:rPr>
                <w:rFonts w:ascii="Arial"/>
                <w:sz w:val="21"/>
              </w:rPr>
            </w:pPr>
          </w:p>
          <w:p w14:paraId="0F8F85AA">
            <w:pPr>
              <w:spacing w:line="254" w:lineRule="auto"/>
              <w:rPr>
                <w:rFonts w:ascii="Arial"/>
                <w:sz w:val="21"/>
              </w:rPr>
            </w:pPr>
          </w:p>
          <w:p w14:paraId="01D56B92">
            <w:pPr>
              <w:pStyle w:val="6"/>
              <w:spacing w:before="99" w:line="189" w:lineRule="auto"/>
              <w:ind w:left="117" w:right="46"/>
              <w:jc w:val="both"/>
            </w:pPr>
            <w:r>
              <w:rPr>
                <w:spacing w:val="26"/>
              </w:rPr>
              <w:t>危险化学品专用仓</w:t>
            </w:r>
            <w:r>
              <w:t>库有</w:t>
            </w:r>
            <w:r>
              <w:rPr>
                <w:rFonts w:ascii="宋体" w:hAnsi="宋体" w:eastAsia="宋体" w:cs="宋体"/>
              </w:rPr>
              <w:t>3</w:t>
            </w:r>
            <w:r>
              <w:t>项以上</w:t>
            </w:r>
            <w:r>
              <w:rPr>
                <w:rFonts w:ascii="宋体" w:hAnsi="宋体" w:eastAsia="宋体" w:cs="宋体"/>
              </w:rPr>
              <w:t>7</w:t>
            </w:r>
            <w:r>
              <w:t>项以</w:t>
            </w:r>
            <w:r>
              <w:rPr>
                <w:spacing w:val="4"/>
              </w:rPr>
              <w:t>下不符合国家标准、</w:t>
            </w:r>
            <w:r>
              <w:rPr>
                <w:spacing w:val="7"/>
              </w:rPr>
              <w:t>行业标准的要求的</w:t>
            </w:r>
          </w:p>
        </w:tc>
        <w:tc>
          <w:tcPr>
            <w:tcW w:w="2894" w:type="dxa"/>
            <w:vAlign w:val="top"/>
          </w:tcPr>
          <w:p w14:paraId="084DD67D">
            <w:pPr>
              <w:spacing w:line="306" w:lineRule="auto"/>
              <w:rPr>
                <w:rFonts w:ascii="Arial"/>
                <w:sz w:val="21"/>
              </w:rPr>
            </w:pPr>
          </w:p>
          <w:p w14:paraId="0796D003">
            <w:pPr>
              <w:spacing w:line="306" w:lineRule="auto"/>
              <w:rPr>
                <w:rFonts w:ascii="Arial"/>
                <w:sz w:val="21"/>
              </w:rPr>
            </w:pPr>
          </w:p>
          <w:p w14:paraId="7B53F14D">
            <w:pPr>
              <w:pStyle w:val="6"/>
              <w:spacing w:before="98" w:line="188" w:lineRule="auto"/>
              <w:ind w:left="116" w:right="109" w:firstLine="11"/>
              <w:jc w:val="both"/>
            </w:pPr>
            <w:r>
              <w:rPr>
                <w:spacing w:val="4"/>
              </w:rPr>
              <w:t>责令改正，处</w:t>
            </w:r>
            <w:r>
              <w:rPr>
                <w:rFonts w:ascii="宋体" w:hAnsi="宋体" w:eastAsia="宋体" w:cs="宋体"/>
                <w:spacing w:val="4"/>
              </w:rPr>
              <w:t>7</w:t>
            </w:r>
            <w:r>
              <w:rPr>
                <w:spacing w:val="4"/>
              </w:rPr>
              <w:t>万元以上</w:t>
            </w:r>
            <w:r>
              <w:rPr>
                <w:rFonts w:ascii="宋体" w:hAnsi="宋体" w:eastAsia="宋体" w:cs="宋体"/>
                <w:spacing w:val="9"/>
              </w:rPr>
              <w:t>9</w:t>
            </w:r>
            <w:r>
              <w:rPr>
                <w:spacing w:val="9"/>
              </w:rPr>
              <w:t>万元以下的罚款；拒不</w:t>
            </w:r>
            <w:r>
              <w:rPr>
                <w:spacing w:val="8"/>
              </w:rPr>
              <w:t>改正的，责令停产停业整</w:t>
            </w:r>
            <w:r>
              <w:rPr>
                <w:spacing w:val="12"/>
              </w:rPr>
              <w:t>顿直至由原发证机关吊销</w:t>
            </w:r>
            <w:r>
              <w:rPr>
                <w:spacing w:val="7"/>
              </w:rPr>
              <w:t>其相关许可证件</w:t>
            </w:r>
          </w:p>
        </w:tc>
        <w:tc>
          <w:tcPr>
            <w:tcW w:w="811" w:type="dxa"/>
            <w:vMerge w:val="continue"/>
            <w:tcBorders>
              <w:top w:val="nil"/>
              <w:bottom w:val="nil"/>
            </w:tcBorders>
            <w:vAlign w:val="top"/>
          </w:tcPr>
          <w:p w14:paraId="186E995A">
            <w:pPr>
              <w:rPr>
                <w:rFonts w:ascii="Arial"/>
                <w:sz w:val="21"/>
              </w:rPr>
            </w:pPr>
          </w:p>
        </w:tc>
      </w:tr>
      <w:tr w14:paraId="0A86A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6" w:hRule="atLeast"/>
        </w:trPr>
        <w:tc>
          <w:tcPr>
            <w:tcW w:w="818" w:type="dxa"/>
            <w:vMerge w:val="continue"/>
            <w:tcBorders>
              <w:top w:val="nil"/>
            </w:tcBorders>
            <w:vAlign w:val="top"/>
          </w:tcPr>
          <w:p w14:paraId="6AEB1F2A">
            <w:pPr>
              <w:rPr>
                <w:rFonts w:ascii="Arial"/>
                <w:sz w:val="21"/>
              </w:rPr>
            </w:pPr>
          </w:p>
        </w:tc>
        <w:tc>
          <w:tcPr>
            <w:tcW w:w="1440" w:type="dxa"/>
            <w:vMerge w:val="continue"/>
            <w:tcBorders>
              <w:top w:val="nil"/>
            </w:tcBorders>
            <w:vAlign w:val="top"/>
          </w:tcPr>
          <w:p w14:paraId="7D6E11C3">
            <w:pPr>
              <w:rPr>
                <w:rFonts w:ascii="Arial"/>
                <w:sz w:val="21"/>
              </w:rPr>
            </w:pPr>
          </w:p>
        </w:tc>
        <w:tc>
          <w:tcPr>
            <w:tcW w:w="3202" w:type="dxa"/>
            <w:vMerge w:val="continue"/>
            <w:tcBorders>
              <w:top w:val="nil"/>
            </w:tcBorders>
            <w:vAlign w:val="top"/>
          </w:tcPr>
          <w:p w14:paraId="53631503">
            <w:pPr>
              <w:rPr>
                <w:rFonts w:ascii="Arial"/>
                <w:sz w:val="21"/>
              </w:rPr>
            </w:pPr>
          </w:p>
        </w:tc>
        <w:tc>
          <w:tcPr>
            <w:tcW w:w="2859" w:type="dxa"/>
            <w:vMerge w:val="continue"/>
            <w:tcBorders>
              <w:top w:val="nil"/>
            </w:tcBorders>
            <w:vAlign w:val="top"/>
          </w:tcPr>
          <w:p w14:paraId="474014BC">
            <w:pPr>
              <w:rPr>
                <w:rFonts w:ascii="Arial"/>
                <w:sz w:val="21"/>
              </w:rPr>
            </w:pPr>
          </w:p>
        </w:tc>
        <w:tc>
          <w:tcPr>
            <w:tcW w:w="803" w:type="dxa"/>
            <w:vAlign w:val="top"/>
          </w:tcPr>
          <w:p w14:paraId="6EE8A613">
            <w:pPr>
              <w:spacing w:line="275" w:lineRule="auto"/>
              <w:rPr>
                <w:rFonts w:ascii="Arial"/>
                <w:sz w:val="21"/>
              </w:rPr>
            </w:pPr>
          </w:p>
          <w:p w14:paraId="4B221799">
            <w:pPr>
              <w:spacing w:line="275" w:lineRule="auto"/>
              <w:rPr>
                <w:rFonts w:ascii="Arial"/>
                <w:sz w:val="21"/>
              </w:rPr>
            </w:pPr>
          </w:p>
          <w:p w14:paraId="7F7F1027">
            <w:pPr>
              <w:spacing w:line="275" w:lineRule="auto"/>
              <w:rPr>
                <w:rFonts w:ascii="Arial"/>
                <w:sz w:val="21"/>
              </w:rPr>
            </w:pPr>
          </w:p>
          <w:p w14:paraId="74496941">
            <w:pPr>
              <w:spacing w:line="275" w:lineRule="auto"/>
              <w:rPr>
                <w:rFonts w:ascii="Arial"/>
                <w:sz w:val="21"/>
              </w:rPr>
            </w:pPr>
          </w:p>
          <w:p w14:paraId="330AB155">
            <w:pPr>
              <w:spacing w:line="275" w:lineRule="auto"/>
              <w:rPr>
                <w:rFonts w:ascii="Arial"/>
                <w:sz w:val="21"/>
              </w:rPr>
            </w:pPr>
          </w:p>
          <w:p w14:paraId="222130AE">
            <w:pPr>
              <w:spacing w:line="276" w:lineRule="auto"/>
              <w:rPr>
                <w:rFonts w:ascii="Arial"/>
                <w:sz w:val="21"/>
              </w:rPr>
            </w:pPr>
          </w:p>
          <w:p w14:paraId="287E4422">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F75916D">
            <w:pPr>
              <w:spacing w:line="284" w:lineRule="auto"/>
              <w:rPr>
                <w:rFonts w:ascii="Arial"/>
                <w:sz w:val="21"/>
              </w:rPr>
            </w:pPr>
          </w:p>
          <w:p w14:paraId="2B0EB4A1">
            <w:pPr>
              <w:spacing w:line="284" w:lineRule="auto"/>
              <w:rPr>
                <w:rFonts w:ascii="Arial"/>
                <w:sz w:val="21"/>
              </w:rPr>
            </w:pPr>
          </w:p>
          <w:p w14:paraId="5F4FD3E8">
            <w:pPr>
              <w:spacing w:line="284" w:lineRule="auto"/>
              <w:rPr>
                <w:rFonts w:ascii="Arial"/>
                <w:sz w:val="21"/>
              </w:rPr>
            </w:pPr>
          </w:p>
          <w:p w14:paraId="13488988">
            <w:pPr>
              <w:spacing w:line="284" w:lineRule="auto"/>
              <w:rPr>
                <w:rFonts w:ascii="Arial"/>
                <w:sz w:val="21"/>
              </w:rPr>
            </w:pPr>
          </w:p>
          <w:p w14:paraId="12EA2871">
            <w:pPr>
              <w:pStyle w:val="6"/>
              <w:spacing w:before="98" w:line="189" w:lineRule="auto"/>
              <w:ind w:left="117" w:right="107"/>
              <w:jc w:val="both"/>
            </w:pPr>
            <w:r>
              <w:rPr>
                <w:spacing w:val="26"/>
              </w:rPr>
              <w:t>危险化学品专用仓</w:t>
            </w:r>
            <w:r>
              <w:rPr>
                <w:spacing w:val="16"/>
              </w:rPr>
              <w:t>库有</w:t>
            </w:r>
            <w:r>
              <w:rPr>
                <w:rFonts w:ascii="宋体" w:hAnsi="宋体" w:eastAsia="宋体" w:cs="宋体"/>
                <w:spacing w:val="16"/>
              </w:rPr>
              <w:t>7</w:t>
            </w:r>
            <w:r>
              <w:rPr>
                <w:spacing w:val="16"/>
              </w:rPr>
              <w:t>项以上不符</w:t>
            </w:r>
            <w:r>
              <w:rPr>
                <w:spacing w:val="-3"/>
              </w:rPr>
              <w:t>合国家标准、行业标</w:t>
            </w:r>
            <w:r>
              <w:rPr>
                <w:spacing w:val="6"/>
              </w:rPr>
              <w:t>准的要求的</w:t>
            </w:r>
          </w:p>
        </w:tc>
        <w:tc>
          <w:tcPr>
            <w:tcW w:w="2894" w:type="dxa"/>
            <w:vAlign w:val="top"/>
          </w:tcPr>
          <w:p w14:paraId="0D95C393">
            <w:pPr>
              <w:spacing w:line="246" w:lineRule="auto"/>
              <w:rPr>
                <w:rFonts w:ascii="Arial"/>
                <w:sz w:val="21"/>
              </w:rPr>
            </w:pPr>
          </w:p>
          <w:p w14:paraId="7AD8A663">
            <w:pPr>
              <w:spacing w:line="246" w:lineRule="auto"/>
              <w:rPr>
                <w:rFonts w:ascii="Arial"/>
                <w:sz w:val="21"/>
              </w:rPr>
            </w:pPr>
          </w:p>
          <w:p w14:paraId="2F5A1DFA">
            <w:pPr>
              <w:spacing w:line="246" w:lineRule="auto"/>
              <w:rPr>
                <w:rFonts w:ascii="Arial"/>
                <w:sz w:val="21"/>
              </w:rPr>
            </w:pPr>
          </w:p>
          <w:p w14:paraId="51A18037">
            <w:pPr>
              <w:spacing w:line="247" w:lineRule="auto"/>
              <w:rPr>
                <w:rFonts w:ascii="Arial"/>
                <w:sz w:val="21"/>
              </w:rPr>
            </w:pPr>
          </w:p>
          <w:p w14:paraId="1C9D54BD">
            <w:pPr>
              <w:pStyle w:val="6"/>
              <w:spacing w:before="99" w:line="188" w:lineRule="auto"/>
              <w:ind w:left="117" w:right="109" w:firstLine="10"/>
              <w:jc w:val="both"/>
            </w:pPr>
            <w:r>
              <w:rPr>
                <w:spacing w:val="4"/>
              </w:rPr>
              <w:t>责令改正，处</w:t>
            </w:r>
            <w:r>
              <w:rPr>
                <w:rFonts w:ascii="宋体" w:hAnsi="宋体" w:eastAsia="宋体" w:cs="宋体"/>
                <w:spacing w:val="4"/>
              </w:rPr>
              <w:t>9</w:t>
            </w:r>
            <w:r>
              <w:rPr>
                <w:spacing w:val="4"/>
              </w:rPr>
              <w:t>万元以上</w:t>
            </w:r>
            <w:r>
              <w:rPr>
                <w:rFonts w:ascii="宋体" w:hAnsi="宋体" w:eastAsia="宋体" w:cs="宋体"/>
                <w:spacing w:val="-1"/>
              </w:rPr>
              <w:t>10</w:t>
            </w:r>
            <w:r>
              <w:rPr>
                <w:spacing w:val="-1"/>
              </w:rPr>
              <w:t>万元以下的罚款；拒不</w:t>
            </w:r>
            <w:r>
              <w:rPr>
                <w:spacing w:val="8"/>
              </w:rPr>
              <w:t>改正的，责令停产停业整</w:t>
            </w:r>
            <w:r>
              <w:rPr>
                <w:spacing w:val="11"/>
              </w:rPr>
              <w:t>顿直至由原发证机关吊销</w:t>
            </w:r>
            <w:r>
              <w:rPr>
                <w:spacing w:val="7"/>
              </w:rPr>
              <w:t>其相关许可证件</w:t>
            </w:r>
          </w:p>
        </w:tc>
        <w:tc>
          <w:tcPr>
            <w:tcW w:w="811" w:type="dxa"/>
            <w:vMerge w:val="continue"/>
            <w:tcBorders>
              <w:top w:val="nil"/>
            </w:tcBorders>
            <w:vAlign w:val="top"/>
          </w:tcPr>
          <w:p w14:paraId="56117D8A">
            <w:pPr>
              <w:rPr>
                <w:rFonts w:ascii="Arial"/>
                <w:sz w:val="21"/>
              </w:rPr>
            </w:pPr>
          </w:p>
        </w:tc>
      </w:tr>
    </w:tbl>
    <w:p w14:paraId="2B8CCECB">
      <w:pPr>
        <w:pStyle w:val="2"/>
      </w:pPr>
    </w:p>
    <w:p w14:paraId="19F4EBBA">
      <w:pPr>
        <w:sectPr>
          <w:footerReference r:id="rId171" w:type="default"/>
          <w:pgSz w:w="16839" w:h="11906"/>
          <w:pgMar w:top="1012" w:right="821" w:bottom="667" w:left="901" w:header="0" w:footer="388" w:gutter="0"/>
          <w:cols w:space="720" w:num="1"/>
        </w:sectPr>
      </w:pPr>
    </w:p>
    <w:p w14:paraId="673AF8C4">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6ADDC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359A452">
            <w:pPr>
              <w:spacing w:before="222" w:line="241" w:lineRule="auto"/>
              <w:ind w:left="131"/>
              <w:outlineLvl w:val="0"/>
              <w:rPr>
                <w:rFonts w:ascii="黑体" w:hAnsi="黑体" w:eastAsia="黑体" w:cs="黑体"/>
                <w:sz w:val="28"/>
                <w:szCs w:val="28"/>
              </w:rPr>
            </w:pPr>
            <w:bookmarkStart w:id="613" w:name="bookmark569"/>
            <w:bookmarkEnd w:id="613"/>
            <w:bookmarkStart w:id="614" w:name="bookmark314"/>
            <w:bookmarkEnd w:id="614"/>
            <w:r>
              <w:rPr>
                <w:rFonts w:ascii="黑体" w:hAnsi="黑体" w:eastAsia="黑体" w:cs="黑体"/>
                <w:spacing w:val="-2"/>
                <w:sz w:val="28"/>
                <w:szCs w:val="28"/>
              </w:rPr>
              <w:t>序号</w:t>
            </w:r>
          </w:p>
        </w:tc>
        <w:tc>
          <w:tcPr>
            <w:tcW w:w="1440" w:type="dxa"/>
            <w:vAlign w:val="top"/>
          </w:tcPr>
          <w:p w14:paraId="1EDF8B70">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DE47EFB">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D240DD8">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C3F05D7">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15401E5">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31380D2">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105E7DE">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0ED8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Align w:val="top"/>
          </w:tcPr>
          <w:p w14:paraId="2D2DB046">
            <w:pPr>
              <w:rPr>
                <w:rFonts w:ascii="Arial"/>
                <w:sz w:val="21"/>
              </w:rPr>
            </w:pPr>
          </w:p>
        </w:tc>
        <w:tc>
          <w:tcPr>
            <w:tcW w:w="1440" w:type="dxa"/>
            <w:vAlign w:val="top"/>
          </w:tcPr>
          <w:p w14:paraId="70D1662D">
            <w:pPr>
              <w:rPr>
                <w:rFonts w:ascii="Arial"/>
                <w:sz w:val="21"/>
              </w:rPr>
            </w:pPr>
          </w:p>
        </w:tc>
        <w:tc>
          <w:tcPr>
            <w:tcW w:w="3202" w:type="dxa"/>
            <w:vAlign w:val="top"/>
          </w:tcPr>
          <w:p w14:paraId="08B8BD2D">
            <w:pPr>
              <w:rPr>
                <w:rFonts w:ascii="Arial"/>
                <w:sz w:val="21"/>
              </w:rPr>
            </w:pPr>
          </w:p>
        </w:tc>
        <w:tc>
          <w:tcPr>
            <w:tcW w:w="2859" w:type="dxa"/>
            <w:vAlign w:val="top"/>
          </w:tcPr>
          <w:p w14:paraId="4DDFE09F">
            <w:pPr>
              <w:pStyle w:val="6"/>
              <w:spacing w:before="28" w:line="179" w:lineRule="auto"/>
              <w:ind w:left="98" w:right="110" w:firstLine="23"/>
            </w:pPr>
            <w:r>
              <w:rPr>
                <w:spacing w:val="8"/>
              </w:rPr>
              <w:t>规章、国家标准和行业标</w:t>
            </w:r>
            <w:r>
              <w:rPr>
                <w:spacing w:val="34"/>
              </w:rPr>
              <w:t>准规定的安全生产条件</w:t>
            </w:r>
            <w:r>
              <w:rPr>
                <w:spacing w:val="9"/>
              </w:rPr>
              <w:t>的，吊销其经营许可证：</w:t>
            </w:r>
            <w:r>
              <w:rPr>
                <w:spacing w:val="10"/>
              </w:rPr>
              <w:t>（六）危险化学品专用仓库不符合国家标准、行业</w:t>
            </w:r>
            <w:r>
              <w:rPr>
                <w:spacing w:val="3"/>
              </w:rPr>
              <w:t>标准的要求的；</w:t>
            </w:r>
          </w:p>
        </w:tc>
        <w:tc>
          <w:tcPr>
            <w:tcW w:w="803" w:type="dxa"/>
            <w:vAlign w:val="top"/>
          </w:tcPr>
          <w:p w14:paraId="7E9ED497">
            <w:pPr>
              <w:rPr>
                <w:rFonts w:ascii="Arial"/>
                <w:sz w:val="21"/>
              </w:rPr>
            </w:pPr>
          </w:p>
        </w:tc>
        <w:tc>
          <w:tcPr>
            <w:tcW w:w="2283" w:type="dxa"/>
            <w:vAlign w:val="top"/>
          </w:tcPr>
          <w:p w14:paraId="0088DE8D">
            <w:pPr>
              <w:rPr>
                <w:rFonts w:ascii="Arial"/>
                <w:sz w:val="21"/>
              </w:rPr>
            </w:pPr>
          </w:p>
        </w:tc>
        <w:tc>
          <w:tcPr>
            <w:tcW w:w="2894" w:type="dxa"/>
            <w:vAlign w:val="top"/>
          </w:tcPr>
          <w:p w14:paraId="553E9E4E">
            <w:pPr>
              <w:rPr>
                <w:rFonts w:ascii="Arial"/>
                <w:sz w:val="21"/>
              </w:rPr>
            </w:pPr>
          </w:p>
        </w:tc>
        <w:tc>
          <w:tcPr>
            <w:tcW w:w="811" w:type="dxa"/>
            <w:vAlign w:val="top"/>
          </w:tcPr>
          <w:p w14:paraId="71571866">
            <w:pPr>
              <w:rPr>
                <w:rFonts w:ascii="Arial"/>
                <w:sz w:val="21"/>
              </w:rPr>
            </w:pPr>
          </w:p>
        </w:tc>
      </w:tr>
      <w:tr w14:paraId="200E4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1" w:hRule="atLeast"/>
        </w:trPr>
        <w:tc>
          <w:tcPr>
            <w:tcW w:w="818" w:type="dxa"/>
            <w:vMerge w:val="restart"/>
            <w:tcBorders>
              <w:bottom w:val="nil"/>
            </w:tcBorders>
            <w:vAlign w:val="top"/>
          </w:tcPr>
          <w:p w14:paraId="06652CE8">
            <w:pPr>
              <w:spacing w:line="245" w:lineRule="auto"/>
              <w:rPr>
                <w:rFonts w:ascii="Arial"/>
                <w:sz w:val="21"/>
              </w:rPr>
            </w:pPr>
          </w:p>
          <w:p w14:paraId="7278BD02">
            <w:pPr>
              <w:spacing w:line="245" w:lineRule="auto"/>
              <w:rPr>
                <w:rFonts w:ascii="Arial"/>
                <w:sz w:val="21"/>
              </w:rPr>
            </w:pPr>
          </w:p>
          <w:p w14:paraId="1A2BD0DB">
            <w:pPr>
              <w:spacing w:line="245" w:lineRule="auto"/>
              <w:rPr>
                <w:rFonts w:ascii="Arial"/>
                <w:sz w:val="21"/>
              </w:rPr>
            </w:pPr>
          </w:p>
          <w:p w14:paraId="57B88EE8">
            <w:pPr>
              <w:spacing w:line="245" w:lineRule="auto"/>
              <w:rPr>
                <w:rFonts w:ascii="Arial"/>
                <w:sz w:val="21"/>
              </w:rPr>
            </w:pPr>
          </w:p>
          <w:p w14:paraId="66FC1C82">
            <w:pPr>
              <w:spacing w:line="245" w:lineRule="auto"/>
              <w:rPr>
                <w:rFonts w:ascii="Arial"/>
                <w:sz w:val="21"/>
              </w:rPr>
            </w:pPr>
          </w:p>
          <w:p w14:paraId="2762FD3F">
            <w:pPr>
              <w:spacing w:line="245" w:lineRule="auto"/>
              <w:rPr>
                <w:rFonts w:ascii="Arial"/>
                <w:sz w:val="21"/>
              </w:rPr>
            </w:pPr>
          </w:p>
          <w:p w14:paraId="0ED58C3D">
            <w:pPr>
              <w:spacing w:line="245" w:lineRule="auto"/>
              <w:rPr>
                <w:rFonts w:ascii="Arial"/>
                <w:sz w:val="21"/>
              </w:rPr>
            </w:pPr>
          </w:p>
          <w:p w14:paraId="6AEB0024">
            <w:pPr>
              <w:spacing w:line="245" w:lineRule="auto"/>
              <w:rPr>
                <w:rFonts w:ascii="Arial"/>
                <w:sz w:val="21"/>
              </w:rPr>
            </w:pPr>
          </w:p>
          <w:p w14:paraId="251CEFEE">
            <w:pPr>
              <w:spacing w:line="245" w:lineRule="auto"/>
              <w:rPr>
                <w:rFonts w:ascii="Arial"/>
                <w:sz w:val="21"/>
              </w:rPr>
            </w:pPr>
          </w:p>
          <w:p w14:paraId="7EE00D4A">
            <w:pPr>
              <w:spacing w:line="245" w:lineRule="auto"/>
              <w:rPr>
                <w:rFonts w:ascii="Arial"/>
                <w:sz w:val="21"/>
              </w:rPr>
            </w:pPr>
          </w:p>
          <w:p w14:paraId="079206F0">
            <w:pPr>
              <w:spacing w:line="245" w:lineRule="auto"/>
              <w:rPr>
                <w:rFonts w:ascii="Arial"/>
                <w:sz w:val="21"/>
              </w:rPr>
            </w:pPr>
          </w:p>
          <w:p w14:paraId="59165911">
            <w:pPr>
              <w:spacing w:line="245" w:lineRule="auto"/>
              <w:rPr>
                <w:rFonts w:ascii="Arial"/>
                <w:sz w:val="21"/>
              </w:rPr>
            </w:pPr>
          </w:p>
          <w:p w14:paraId="17AD3F46">
            <w:pPr>
              <w:spacing w:line="245" w:lineRule="auto"/>
              <w:rPr>
                <w:rFonts w:ascii="Arial"/>
                <w:sz w:val="21"/>
              </w:rPr>
            </w:pPr>
          </w:p>
          <w:p w14:paraId="6781FC96">
            <w:pPr>
              <w:spacing w:line="245" w:lineRule="auto"/>
              <w:rPr>
                <w:rFonts w:ascii="Arial"/>
                <w:sz w:val="21"/>
              </w:rPr>
            </w:pPr>
          </w:p>
          <w:p w14:paraId="0E925DCC">
            <w:pPr>
              <w:spacing w:before="74" w:line="186" w:lineRule="auto"/>
              <w:ind w:left="161"/>
              <w:rPr>
                <w:rFonts w:ascii="仿宋" w:hAnsi="仿宋" w:eastAsia="仿宋" w:cs="仿宋"/>
                <w:sz w:val="23"/>
                <w:szCs w:val="23"/>
              </w:rPr>
            </w:pPr>
            <w:r>
              <w:rPr>
                <w:rFonts w:ascii="仿宋" w:hAnsi="仿宋" w:eastAsia="仿宋" w:cs="仿宋"/>
                <w:spacing w:val="-5"/>
                <w:sz w:val="23"/>
                <w:szCs w:val="23"/>
              </w:rPr>
              <w:t>153</w:t>
            </w:r>
          </w:p>
        </w:tc>
        <w:tc>
          <w:tcPr>
            <w:tcW w:w="1440" w:type="dxa"/>
            <w:vMerge w:val="restart"/>
            <w:tcBorders>
              <w:bottom w:val="nil"/>
            </w:tcBorders>
            <w:vAlign w:val="top"/>
          </w:tcPr>
          <w:p w14:paraId="446EF1F8">
            <w:pPr>
              <w:rPr>
                <w:rFonts w:ascii="Arial"/>
                <w:sz w:val="21"/>
              </w:rPr>
            </w:pPr>
          </w:p>
          <w:p w14:paraId="6A1E8978">
            <w:pPr>
              <w:rPr>
                <w:rFonts w:ascii="Arial"/>
                <w:sz w:val="21"/>
              </w:rPr>
            </w:pPr>
          </w:p>
          <w:p w14:paraId="701599AC">
            <w:pPr>
              <w:rPr>
                <w:rFonts w:ascii="Arial"/>
                <w:sz w:val="21"/>
              </w:rPr>
            </w:pPr>
          </w:p>
          <w:p w14:paraId="2477BCF0">
            <w:pPr>
              <w:rPr>
                <w:rFonts w:ascii="Arial"/>
                <w:sz w:val="21"/>
              </w:rPr>
            </w:pPr>
          </w:p>
          <w:p w14:paraId="7F50D5DC">
            <w:pPr>
              <w:rPr>
                <w:rFonts w:ascii="Arial"/>
                <w:sz w:val="21"/>
              </w:rPr>
            </w:pPr>
          </w:p>
          <w:p w14:paraId="554EBF8E">
            <w:pPr>
              <w:rPr>
                <w:rFonts w:ascii="Arial"/>
                <w:sz w:val="21"/>
              </w:rPr>
            </w:pPr>
          </w:p>
          <w:p w14:paraId="20AEA8B4">
            <w:pPr>
              <w:spacing w:line="241" w:lineRule="auto"/>
              <w:rPr>
                <w:rFonts w:ascii="Arial"/>
                <w:sz w:val="21"/>
              </w:rPr>
            </w:pPr>
          </w:p>
          <w:p w14:paraId="009BC6AA">
            <w:pPr>
              <w:spacing w:line="241" w:lineRule="auto"/>
              <w:rPr>
                <w:rFonts w:ascii="Arial"/>
                <w:sz w:val="21"/>
              </w:rPr>
            </w:pPr>
          </w:p>
          <w:p w14:paraId="3C9F01E1">
            <w:pPr>
              <w:spacing w:line="241" w:lineRule="auto"/>
              <w:rPr>
                <w:rFonts w:ascii="Arial"/>
                <w:sz w:val="21"/>
              </w:rPr>
            </w:pPr>
          </w:p>
          <w:p w14:paraId="3AC6EDA5">
            <w:pPr>
              <w:pStyle w:val="6"/>
              <w:spacing w:before="99" w:line="186" w:lineRule="auto"/>
              <w:ind w:left="110" w:right="17" w:firstLine="18"/>
              <w:jc w:val="both"/>
            </w:pPr>
            <w:r>
              <w:rPr>
                <w:spacing w:val="-12"/>
                <w:w w:val="98"/>
              </w:rPr>
              <w:t>生产、储存、</w:t>
            </w:r>
            <w:r>
              <w:rPr>
                <w:spacing w:val="12"/>
              </w:rPr>
              <w:t>使用危险化学品的单位未对危险化学品专用仓库的安全设施定期进行检测、检验</w:t>
            </w:r>
            <w:r>
              <w:rPr>
                <w:spacing w:val="1"/>
              </w:rPr>
              <w:t>的</w:t>
            </w:r>
          </w:p>
        </w:tc>
        <w:tc>
          <w:tcPr>
            <w:tcW w:w="3202" w:type="dxa"/>
            <w:vMerge w:val="restart"/>
            <w:tcBorders>
              <w:bottom w:val="nil"/>
            </w:tcBorders>
            <w:vAlign w:val="top"/>
          </w:tcPr>
          <w:p w14:paraId="775F5731">
            <w:pPr>
              <w:pStyle w:val="6"/>
              <w:spacing w:before="28" w:line="187" w:lineRule="auto"/>
              <w:ind w:left="120" w:right="111" w:hanging="22"/>
              <w:jc w:val="both"/>
            </w:pPr>
            <w:r>
              <w:rPr>
                <w:spacing w:val="18"/>
              </w:rPr>
              <w:t>【行政法规】《危险化学品</w:t>
            </w:r>
            <w:r>
              <w:rPr>
                <w:spacing w:val="17"/>
              </w:rPr>
              <w:t>安全管理条例》第二十六条</w:t>
            </w:r>
            <w:r>
              <w:rPr>
                <w:spacing w:val="13"/>
              </w:rPr>
              <w:t>第二款：储存危险化学品的</w:t>
            </w:r>
            <w:r>
              <w:rPr>
                <w:spacing w:val="17"/>
              </w:rPr>
              <w:t>单位应当对其危险化学品专用仓库的安全设施、设备定</w:t>
            </w:r>
            <w:r>
              <w:rPr>
                <w:spacing w:val="4"/>
              </w:rPr>
              <w:t>期进行检测、检验。</w:t>
            </w:r>
          </w:p>
        </w:tc>
        <w:tc>
          <w:tcPr>
            <w:tcW w:w="2859" w:type="dxa"/>
            <w:vMerge w:val="restart"/>
            <w:tcBorders>
              <w:bottom w:val="nil"/>
            </w:tcBorders>
            <w:vAlign w:val="top"/>
          </w:tcPr>
          <w:p w14:paraId="3CA6A72E">
            <w:pPr>
              <w:pStyle w:val="6"/>
              <w:spacing w:before="45" w:line="182" w:lineRule="auto"/>
              <w:ind w:left="115" w:right="19" w:firstLine="15"/>
            </w:pPr>
            <w:r>
              <w:rPr>
                <w:rFonts w:ascii="宋体" w:hAnsi="宋体" w:eastAsia="宋体" w:cs="宋体"/>
                <w:spacing w:val="6"/>
              </w:rPr>
              <w:t>1.</w:t>
            </w:r>
            <w:r>
              <w:rPr>
                <w:spacing w:val="6"/>
              </w:rPr>
              <w:t>【行政法规】《危险化</w:t>
            </w:r>
            <w:r>
              <w:rPr>
                <w:spacing w:val="8"/>
              </w:rPr>
              <w:t>学品安全管理条例》第八</w:t>
            </w:r>
            <w:r>
              <w:rPr>
                <w:spacing w:val="-4"/>
              </w:rPr>
              <w:t>十条第一款第七项：生产、</w:t>
            </w:r>
            <w:r>
              <w:rPr>
                <w:spacing w:val="8"/>
              </w:rPr>
              <w:t>储存、使用危险化学品的</w:t>
            </w:r>
            <w:r>
              <w:rPr>
                <w:spacing w:val="7"/>
              </w:rPr>
              <w:t>单位有下列情形之一的，</w:t>
            </w:r>
            <w:r>
              <w:rPr>
                <w:spacing w:val="8"/>
              </w:rPr>
              <w:t>由安全生产监督管理部门</w:t>
            </w:r>
            <w:r>
              <w:rPr>
                <w:spacing w:val="4"/>
              </w:rPr>
              <w:t>责令改正，处</w:t>
            </w:r>
            <w:r>
              <w:rPr>
                <w:rFonts w:ascii="宋体" w:hAnsi="宋体" w:eastAsia="宋体" w:cs="宋体"/>
                <w:spacing w:val="4"/>
              </w:rPr>
              <w:t>5</w:t>
            </w:r>
            <w:r>
              <w:rPr>
                <w:spacing w:val="4"/>
              </w:rPr>
              <w:t>万元以上</w:t>
            </w:r>
            <w:r>
              <w:rPr>
                <w:rFonts w:ascii="宋体" w:hAnsi="宋体" w:eastAsia="宋体" w:cs="宋体"/>
              </w:rPr>
              <w:t>10</w:t>
            </w:r>
            <w:r>
              <w:t>万元以下的罚款；拒不</w:t>
            </w:r>
            <w:r>
              <w:rPr>
                <w:spacing w:val="4"/>
              </w:rPr>
              <w:t>改正的，责令停产停业整</w:t>
            </w:r>
            <w:r>
              <w:rPr>
                <w:spacing w:val="8"/>
              </w:rPr>
              <w:t>顿直至由原发证机关吊销其相关许可证件，并由工商行政管理部门责令其办理经营范围变更登记或者吊销其营业执照；有关责任人员构成犯罪的，依法追究刑事责任</w:t>
            </w:r>
            <w:r>
              <w:rPr>
                <w:spacing w:val="11"/>
              </w:rPr>
              <w:t>：（</w:t>
            </w:r>
            <w:r>
              <w:rPr>
                <w:spacing w:val="8"/>
              </w:rPr>
              <w:t>七）未对危险化学品专用仓库的安全设施、设备定期进行</w:t>
            </w:r>
            <w:r>
              <w:rPr>
                <w:spacing w:val="3"/>
              </w:rPr>
              <w:t>检测、检验的。</w:t>
            </w:r>
          </w:p>
          <w:p w14:paraId="562B0B9D">
            <w:pPr>
              <w:pStyle w:val="6"/>
              <w:spacing w:before="7" w:line="177" w:lineRule="auto"/>
              <w:ind w:left="90" w:right="110" w:firstLine="26"/>
              <w:jc w:val="both"/>
            </w:pPr>
            <w:r>
              <w:rPr>
                <w:rFonts w:ascii="宋体" w:hAnsi="宋体" w:eastAsia="宋体" w:cs="宋体"/>
                <w:spacing w:val="7"/>
              </w:rPr>
              <w:t>2.</w:t>
            </w:r>
            <w:r>
              <w:rPr>
                <w:spacing w:val="7"/>
              </w:rPr>
              <w:t>【部门规章】《危险化</w:t>
            </w:r>
            <w:r>
              <w:rPr>
                <w:spacing w:val="35"/>
              </w:rPr>
              <w:t>学品经营许可证管理办</w:t>
            </w:r>
            <w:r>
              <w:rPr>
                <w:spacing w:val="10"/>
              </w:rPr>
              <w:t>法》第三十条第七项：带</w:t>
            </w:r>
            <w:r>
              <w:rPr>
                <w:spacing w:val="35"/>
              </w:rPr>
              <w:t>有储存设施的企业违反</w:t>
            </w:r>
            <w:r>
              <w:rPr>
                <w:spacing w:val="11"/>
              </w:rPr>
              <w:t>《危险化学品安全管理条</w:t>
            </w:r>
          </w:p>
        </w:tc>
        <w:tc>
          <w:tcPr>
            <w:tcW w:w="803" w:type="dxa"/>
            <w:vAlign w:val="top"/>
          </w:tcPr>
          <w:p w14:paraId="39D8D1E9">
            <w:pPr>
              <w:spacing w:line="298" w:lineRule="auto"/>
              <w:rPr>
                <w:rFonts w:ascii="Arial"/>
                <w:sz w:val="21"/>
              </w:rPr>
            </w:pPr>
          </w:p>
          <w:p w14:paraId="0BFCEDC2">
            <w:pPr>
              <w:spacing w:line="298" w:lineRule="auto"/>
              <w:rPr>
                <w:rFonts w:ascii="Arial"/>
                <w:sz w:val="21"/>
              </w:rPr>
            </w:pPr>
          </w:p>
          <w:p w14:paraId="49FA00E5">
            <w:pPr>
              <w:spacing w:line="298" w:lineRule="auto"/>
              <w:rPr>
                <w:rFonts w:ascii="Arial"/>
                <w:sz w:val="21"/>
              </w:rPr>
            </w:pPr>
          </w:p>
          <w:p w14:paraId="064B3027">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F979C90">
            <w:pPr>
              <w:spacing w:line="381" w:lineRule="auto"/>
              <w:rPr>
                <w:rFonts w:ascii="Arial"/>
                <w:sz w:val="21"/>
              </w:rPr>
            </w:pPr>
          </w:p>
          <w:p w14:paraId="18411FF5">
            <w:pPr>
              <w:pStyle w:val="6"/>
              <w:spacing w:before="98" w:line="189" w:lineRule="auto"/>
              <w:ind w:left="117" w:right="107"/>
              <w:jc w:val="both"/>
            </w:pPr>
            <w:r>
              <w:rPr>
                <w:spacing w:val="-11"/>
              </w:rPr>
              <w:t>未对</w:t>
            </w:r>
            <w:r>
              <w:rPr>
                <w:rFonts w:ascii="宋体" w:hAnsi="宋体" w:eastAsia="宋体" w:cs="宋体"/>
                <w:spacing w:val="-11"/>
              </w:rPr>
              <w:t>1</w:t>
            </w:r>
            <w:r>
              <w:rPr>
                <w:spacing w:val="-11"/>
              </w:rPr>
              <w:t>台（处）危险</w:t>
            </w:r>
            <w:r>
              <w:rPr>
                <w:spacing w:val="26"/>
              </w:rPr>
              <w:t>化学品专用仓库安全设施定期进行检</w:t>
            </w:r>
            <w:r>
              <w:rPr>
                <w:spacing w:val="6"/>
              </w:rPr>
              <w:t>测、检验的</w:t>
            </w:r>
          </w:p>
        </w:tc>
        <w:tc>
          <w:tcPr>
            <w:tcW w:w="2894" w:type="dxa"/>
            <w:vAlign w:val="top"/>
          </w:tcPr>
          <w:p w14:paraId="7357F0CA">
            <w:pPr>
              <w:pStyle w:val="6"/>
              <w:spacing w:before="331" w:line="188" w:lineRule="auto"/>
              <w:ind w:left="117" w:right="109" w:firstLine="10"/>
              <w:jc w:val="both"/>
            </w:pPr>
            <w:r>
              <w:rPr>
                <w:spacing w:val="4"/>
              </w:rPr>
              <w:t>责令改正，处</w:t>
            </w:r>
            <w:r>
              <w:rPr>
                <w:rFonts w:ascii="宋体" w:hAnsi="宋体" w:eastAsia="宋体" w:cs="宋体"/>
                <w:spacing w:val="4"/>
              </w:rPr>
              <w:t>5</w:t>
            </w:r>
            <w:r>
              <w:rPr>
                <w:spacing w:val="4"/>
              </w:rPr>
              <w:t>万元以上</w:t>
            </w:r>
            <w:r>
              <w:rPr>
                <w:rFonts w:ascii="宋体" w:hAnsi="宋体" w:eastAsia="宋体" w:cs="宋体"/>
                <w:spacing w:val="9"/>
              </w:rPr>
              <w:t>7</w:t>
            </w:r>
            <w:r>
              <w:rPr>
                <w:spacing w:val="9"/>
              </w:rPr>
              <w:t>万元以下的罚款；拒不</w:t>
            </w:r>
            <w:r>
              <w:rPr>
                <w:spacing w:val="8"/>
              </w:rPr>
              <w:t>改正的，责令停产停业整</w:t>
            </w:r>
            <w:r>
              <w:rPr>
                <w:spacing w:val="11"/>
              </w:rPr>
              <w:t>顿直至由原发证机关吊销</w:t>
            </w:r>
            <w:r>
              <w:rPr>
                <w:spacing w:val="7"/>
              </w:rPr>
              <w:t>其相关许可证件</w:t>
            </w:r>
          </w:p>
        </w:tc>
        <w:tc>
          <w:tcPr>
            <w:tcW w:w="811" w:type="dxa"/>
            <w:vMerge w:val="restart"/>
            <w:tcBorders>
              <w:bottom w:val="nil"/>
            </w:tcBorders>
            <w:vAlign w:val="top"/>
          </w:tcPr>
          <w:p w14:paraId="53517B05">
            <w:pPr>
              <w:spacing w:line="244" w:lineRule="auto"/>
              <w:rPr>
                <w:rFonts w:ascii="Arial"/>
                <w:sz w:val="21"/>
              </w:rPr>
            </w:pPr>
          </w:p>
          <w:p w14:paraId="6827B053">
            <w:pPr>
              <w:spacing w:line="244" w:lineRule="auto"/>
              <w:rPr>
                <w:rFonts w:ascii="Arial"/>
                <w:sz w:val="21"/>
              </w:rPr>
            </w:pPr>
          </w:p>
          <w:p w14:paraId="07B6E0E1">
            <w:pPr>
              <w:spacing w:line="244" w:lineRule="auto"/>
              <w:rPr>
                <w:rFonts w:ascii="Arial"/>
                <w:sz w:val="21"/>
              </w:rPr>
            </w:pPr>
          </w:p>
          <w:p w14:paraId="3CDA4B26">
            <w:pPr>
              <w:spacing w:line="244" w:lineRule="auto"/>
              <w:rPr>
                <w:rFonts w:ascii="Arial"/>
                <w:sz w:val="21"/>
              </w:rPr>
            </w:pPr>
          </w:p>
          <w:p w14:paraId="0301B98A">
            <w:pPr>
              <w:spacing w:line="245" w:lineRule="auto"/>
              <w:rPr>
                <w:rFonts w:ascii="Arial"/>
                <w:sz w:val="21"/>
              </w:rPr>
            </w:pPr>
          </w:p>
          <w:p w14:paraId="161FA219">
            <w:pPr>
              <w:spacing w:line="245" w:lineRule="auto"/>
              <w:rPr>
                <w:rFonts w:ascii="Arial"/>
                <w:sz w:val="21"/>
              </w:rPr>
            </w:pPr>
          </w:p>
          <w:p w14:paraId="5861969A">
            <w:pPr>
              <w:spacing w:line="245" w:lineRule="auto"/>
              <w:rPr>
                <w:rFonts w:ascii="Arial"/>
                <w:sz w:val="21"/>
              </w:rPr>
            </w:pPr>
          </w:p>
          <w:p w14:paraId="4B163B07">
            <w:pPr>
              <w:spacing w:line="245" w:lineRule="auto"/>
              <w:rPr>
                <w:rFonts w:ascii="Arial"/>
                <w:sz w:val="21"/>
              </w:rPr>
            </w:pPr>
          </w:p>
          <w:p w14:paraId="6E1AA1A5">
            <w:pPr>
              <w:spacing w:line="245" w:lineRule="auto"/>
              <w:rPr>
                <w:rFonts w:ascii="Arial"/>
                <w:sz w:val="21"/>
              </w:rPr>
            </w:pPr>
          </w:p>
          <w:p w14:paraId="6D6F1917">
            <w:pPr>
              <w:spacing w:line="245" w:lineRule="auto"/>
              <w:rPr>
                <w:rFonts w:ascii="Arial"/>
                <w:sz w:val="21"/>
              </w:rPr>
            </w:pPr>
          </w:p>
          <w:p w14:paraId="0CFA6BA9">
            <w:pPr>
              <w:spacing w:line="245" w:lineRule="auto"/>
              <w:rPr>
                <w:rFonts w:ascii="Arial"/>
                <w:sz w:val="21"/>
              </w:rPr>
            </w:pPr>
          </w:p>
          <w:p w14:paraId="63B31785">
            <w:pPr>
              <w:spacing w:line="245" w:lineRule="auto"/>
              <w:rPr>
                <w:rFonts w:ascii="Arial"/>
                <w:sz w:val="21"/>
              </w:rPr>
            </w:pPr>
          </w:p>
          <w:p w14:paraId="23A0912A">
            <w:pPr>
              <w:spacing w:line="245" w:lineRule="auto"/>
              <w:rPr>
                <w:rFonts w:ascii="Arial"/>
                <w:sz w:val="21"/>
              </w:rPr>
            </w:pPr>
          </w:p>
          <w:p w14:paraId="7B4EA929">
            <w:pPr>
              <w:spacing w:line="245" w:lineRule="auto"/>
              <w:rPr>
                <w:rFonts w:ascii="Arial"/>
                <w:sz w:val="21"/>
              </w:rPr>
            </w:pPr>
          </w:p>
          <w:p w14:paraId="43312273">
            <w:pPr>
              <w:spacing w:before="75" w:line="189" w:lineRule="auto"/>
              <w:ind w:left="248"/>
              <w:rPr>
                <w:rFonts w:ascii="宋体" w:hAnsi="宋体" w:eastAsia="宋体" w:cs="宋体"/>
                <w:sz w:val="23"/>
                <w:szCs w:val="23"/>
              </w:rPr>
            </w:pPr>
            <w:r>
              <w:rPr>
                <w:rFonts w:ascii="宋体" w:hAnsi="宋体" w:eastAsia="宋体" w:cs="宋体"/>
                <w:spacing w:val="-6"/>
                <w:sz w:val="23"/>
                <w:szCs w:val="23"/>
              </w:rPr>
              <w:t>101</w:t>
            </w:r>
          </w:p>
        </w:tc>
      </w:tr>
      <w:tr w14:paraId="5A6E4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9" w:hRule="atLeast"/>
        </w:trPr>
        <w:tc>
          <w:tcPr>
            <w:tcW w:w="818" w:type="dxa"/>
            <w:vMerge w:val="continue"/>
            <w:tcBorders>
              <w:top w:val="nil"/>
              <w:bottom w:val="nil"/>
            </w:tcBorders>
            <w:vAlign w:val="top"/>
          </w:tcPr>
          <w:p w14:paraId="7D31AA34">
            <w:pPr>
              <w:rPr>
                <w:rFonts w:ascii="Arial"/>
                <w:sz w:val="21"/>
              </w:rPr>
            </w:pPr>
          </w:p>
        </w:tc>
        <w:tc>
          <w:tcPr>
            <w:tcW w:w="1440" w:type="dxa"/>
            <w:vMerge w:val="continue"/>
            <w:tcBorders>
              <w:top w:val="nil"/>
              <w:bottom w:val="nil"/>
            </w:tcBorders>
            <w:vAlign w:val="top"/>
          </w:tcPr>
          <w:p w14:paraId="347D4D6E">
            <w:pPr>
              <w:rPr>
                <w:rFonts w:ascii="Arial"/>
                <w:sz w:val="21"/>
              </w:rPr>
            </w:pPr>
          </w:p>
        </w:tc>
        <w:tc>
          <w:tcPr>
            <w:tcW w:w="3202" w:type="dxa"/>
            <w:vMerge w:val="continue"/>
            <w:tcBorders>
              <w:top w:val="nil"/>
              <w:bottom w:val="nil"/>
            </w:tcBorders>
            <w:vAlign w:val="top"/>
          </w:tcPr>
          <w:p w14:paraId="5D2D2B38">
            <w:pPr>
              <w:rPr>
                <w:rFonts w:ascii="Arial"/>
                <w:sz w:val="21"/>
              </w:rPr>
            </w:pPr>
          </w:p>
        </w:tc>
        <w:tc>
          <w:tcPr>
            <w:tcW w:w="2859" w:type="dxa"/>
            <w:vMerge w:val="continue"/>
            <w:tcBorders>
              <w:top w:val="nil"/>
              <w:bottom w:val="nil"/>
            </w:tcBorders>
            <w:vAlign w:val="top"/>
          </w:tcPr>
          <w:p w14:paraId="51B3D5FC">
            <w:pPr>
              <w:rPr>
                <w:rFonts w:ascii="Arial"/>
                <w:sz w:val="21"/>
              </w:rPr>
            </w:pPr>
          </w:p>
        </w:tc>
        <w:tc>
          <w:tcPr>
            <w:tcW w:w="803" w:type="dxa"/>
            <w:vAlign w:val="top"/>
          </w:tcPr>
          <w:p w14:paraId="1650E8C7">
            <w:pPr>
              <w:spacing w:line="264" w:lineRule="auto"/>
              <w:rPr>
                <w:rFonts w:ascii="Arial"/>
                <w:sz w:val="21"/>
              </w:rPr>
            </w:pPr>
          </w:p>
          <w:p w14:paraId="7256F51D">
            <w:pPr>
              <w:spacing w:line="264" w:lineRule="auto"/>
              <w:rPr>
                <w:rFonts w:ascii="Arial"/>
                <w:sz w:val="21"/>
              </w:rPr>
            </w:pPr>
          </w:p>
          <w:p w14:paraId="7FC223D5">
            <w:pPr>
              <w:spacing w:line="265" w:lineRule="auto"/>
              <w:rPr>
                <w:rFonts w:ascii="Arial"/>
                <w:sz w:val="21"/>
              </w:rPr>
            </w:pPr>
          </w:p>
          <w:p w14:paraId="5C9AE50B">
            <w:pPr>
              <w:spacing w:line="265" w:lineRule="auto"/>
              <w:rPr>
                <w:rFonts w:ascii="Arial"/>
                <w:sz w:val="21"/>
              </w:rPr>
            </w:pPr>
          </w:p>
          <w:p w14:paraId="1AFB7E4D">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3E2EE61">
            <w:pPr>
              <w:spacing w:line="270" w:lineRule="auto"/>
              <w:rPr>
                <w:rFonts w:ascii="Arial"/>
                <w:sz w:val="21"/>
              </w:rPr>
            </w:pPr>
          </w:p>
          <w:p w14:paraId="114BC004">
            <w:pPr>
              <w:spacing w:line="271" w:lineRule="auto"/>
              <w:rPr>
                <w:rFonts w:ascii="Arial"/>
                <w:sz w:val="21"/>
              </w:rPr>
            </w:pPr>
          </w:p>
          <w:p w14:paraId="3C340F7B">
            <w:pPr>
              <w:pStyle w:val="6"/>
              <w:spacing w:before="99" w:line="189" w:lineRule="auto"/>
              <w:ind w:left="117" w:right="107"/>
              <w:jc w:val="both"/>
            </w:pPr>
            <w:r>
              <w:rPr>
                <w:spacing w:val="-8"/>
              </w:rPr>
              <w:t>未对</w:t>
            </w:r>
            <w:r>
              <w:rPr>
                <w:rFonts w:ascii="宋体" w:hAnsi="宋体" w:eastAsia="宋体" w:cs="宋体"/>
                <w:spacing w:val="-8"/>
              </w:rPr>
              <w:t>2</w:t>
            </w:r>
            <w:r>
              <w:rPr>
                <w:spacing w:val="-8"/>
              </w:rPr>
              <w:t>台（处）危险</w:t>
            </w:r>
            <w:r>
              <w:rPr>
                <w:spacing w:val="26"/>
              </w:rPr>
              <w:t>化学品专用仓库安全设施定期进行检</w:t>
            </w:r>
            <w:r>
              <w:rPr>
                <w:spacing w:val="6"/>
              </w:rPr>
              <w:t>测、检验的</w:t>
            </w:r>
          </w:p>
        </w:tc>
        <w:tc>
          <w:tcPr>
            <w:tcW w:w="2894" w:type="dxa"/>
            <w:vAlign w:val="top"/>
          </w:tcPr>
          <w:p w14:paraId="7F6CB275">
            <w:pPr>
              <w:spacing w:line="389" w:lineRule="auto"/>
              <w:rPr>
                <w:rFonts w:ascii="Arial"/>
                <w:sz w:val="21"/>
              </w:rPr>
            </w:pPr>
          </w:p>
          <w:p w14:paraId="2F10B16F">
            <w:pPr>
              <w:pStyle w:val="6"/>
              <w:spacing w:before="99" w:line="188" w:lineRule="auto"/>
              <w:ind w:left="116" w:right="109" w:firstLine="11"/>
              <w:jc w:val="both"/>
            </w:pPr>
            <w:r>
              <w:rPr>
                <w:spacing w:val="4"/>
              </w:rPr>
              <w:t>责令改正，处</w:t>
            </w:r>
            <w:r>
              <w:rPr>
                <w:rFonts w:ascii="宋体" w:hAnsi="宋体" w:eastAsia="宋体" w:cs="宋体"/>
                <w:spacing w:val="4"/>
              </w:rPr>
              <w:t>7</w:t>
            </w:r>
            <w:r>
              <w:rPr>
                <w:spacing w:val="4"/>
              </w:rPr>
              <w:t>万元以上</w:t>
            </w:r>
            <w:r>
              <w:rPr>
                <w:rFonts w:ascii="宋体" w:hAnsi="宋体" w:eastAsia="宋体" w:cs="宋体"/>
                <w:spacing w:val="9"/>
              </w:rPr>
              <w:t>9</w:t>
            </w:r>
            <w:r>
              <w:rPr>
                <w:spacing w:val="9"/>
              </w:rPr>
              <w:t>万元以下的罚款；拒不</w:t>
            </w:r>
            <w:r>
              <w:rPr>
                <w:spacing w:val="8"/>
              </w:rPr>
              <w:t>改正的，责令停产停业整</w:t>
            </w:r>
            <w:r>
              <w:rPr>
                <w:spacing w:val="12"/>
              </w:rPr>
              <w:t>顿直至由原发证机关吊销</w:t>
            </w:r>
            <w:r>
              <w:rPr>
                <w:spacing w:val="7"/>
              </w:rPr>
              <w:t>其相关许可证件</w:t>
            </w:r>
          </w:p>
        </w:tc>
        <w:tc>
          <w:tcPr>
            <w:tcW w:w="811" w:type="dxa"/>
            <w:vMerge w:val="continue"/>
            <w:tcBorders>
              <w:top w:val="nil"/>
              <w:bottom w:val="nil"/>
            </w:tcBorders>
            <w:vAlign w:val="top"/>
          </w:tcPr>
          <w:p w14:paraId="570130DF">
            <w:pPr>
              <w:rPr>
                <w:rFonts w:ascii="Arial"/>
                <w:sz w:val="21"/>
              </w:rPr>
            </w:pPr>
          </w:p>
        </w:tc>
      </w:tr>
      <w:tr w14:paraId="48A31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4" w:hRule="atLeast"/>
        </w:trPr>
        <w:tc>
          <w:tcPr>
            <w:tcW w:w="818" w:type="dxa"/>
            <w:vMerge w:val="continue"/>
            <w:tcBorders>
              <w:top w:val="nil"/>
            </w:tcBorders>
            <w:vAlign w:val="top"/>
          </w:tcPr>
          <w:p w14:paraId="1EB61EA7">
            <w:pPr>
              <w:rPr>
                <w:rFonts w:ascii="Arial"/>
                <w:sz w:val="21"/>
              </w:rPr>
            </w:pPr>
          </w:p>
        </w:tc>
        <w:tc>
          <w:tcPr>
            <w:tcW w:w="1440" w:type="dxa"/>
            <w:vMerge w:val="continue"/>
            <w:tcBorders>
              <w:top w:val="nil"/>
            </w:tcBorders>
            <w:vAlign w:val="top"/>
          </w:tcPr>
          <w:p w14:paraId="15DEB3CE">
            <w:pPr>
              <w:rPr>
                <w:rFonts w:ascii="Arial"/>
                <w:sz w:val="21"/>
              </w:rPr>
            </w:pPr>
          </w:p>
        </w:tc>
        <w:tc>
          <w:tcPr>
            <w:tcW w:w="3202" w:type="dxa"/>
            <w:vMerge w:val="continue"/>
            <w:tcBorders>
              <w:top w:val="nil"/>
            </w:tcBorders>
            <w:vAlign w:val="top"/>
          </w:tcPr>
          <w:p w14:paraId="6BBF0821">
            <w:pPr>
              <w:rPr>
                <w:rFonts w:ascii="Arial"/>
                <w:sz w:val="21"/>
              </w:rPr>
            </w:pPr>
          </w:p>
        </w:tc>
        <w:tc>
          <w:tcPr>
            <w:tcW w:w="2859" w:type="dxa"/>
            <w:vMerge w:val="continue"/>
            <w:tcBorders>
              <w:top w:val="nil"/>
            </w:tcBorders>
            <w:vAlign w:val="top"/>
          </w:tcPr>
          <w:p w14:paraId="4993C9BA">
            <w:pPr>
              <w:rPr>
                <w:rFonts w:ascii="Arial"/>
                <w:sz w:val="21"/>
              </w:rPr>
            </w:pPr>
          </w:p>
        </w:tc>
        <w:tc>
          <w:tcPr>
            <w:tcW w:w="803" w:type="dxa"/>
            <w:vAlign w:val="top"/>
          </w:tcPr>
          <w:p w14:paraId="5EB0E2AE">
            <w:pPr>
              <w:spacing w:line="292" w:lineRule="auto"/>
              <w:rPr>
                <w:rFonts w:ascii="Arial"/>
                <w:sz w:val="21"/>
              </w:rPr>
            </w:pPr>
          </w:p>
          <w:p w14:paraId="7D7913C8">
            <w:pPr>
              <w:spacing w:line="292" w:lineRule="auto"/>
              <w:rPr>
                <w:rFonts w:ascii="Arial"/>
                <w:sz w:val="21"/>
              </w:rPr>
            </w:pPr>
          </w:p>
          <w:p w14:paraId="663C0ED6">
            <w:pPr>
              <w:spacing w:line="292" w:lineRule="auto"/>
              <w:rPr>
                <w:rFonts w:ascii="Arial"/>
                <w:sz w:val="21"/>
              </w:rPr>
            </w:pPr>
          </w:p>
          <w:p w14:paraId="788592B8">
            <w:pPr>
              <w:spacing w:line="293" w:lineRule="auto"/>
              <w:rPr>
                <w:rFonts w:ascii="Arial"/>
                <w:sz w:val="21"/>
              </w:rPr>
            </w:pPr>
          </w:p>
          <w:p w14:paraId="2FEAAA01">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0FBA062">
            <w:pPr>
              <w:spacing w:line="326" w:lineRule="auto"/>
              <w:rPr>
                <w:rFonts w:ascii="Arial"/>
                <w:sz w:val="21"/>
              </w:rPr>
            </w:pPr>
          </w:p>
          <w:p w14:paraId="0281B1D2">
            <w:pPr>
              <w:spacing w:line="327" w:lineRule="auto"/>
              <w:rPr>
                <w:rFonts w:ascii="Arial"/>
                <w:sz w:val="21"/>
              </w:rPr>
            </w:pPr>
          </w:p>
          <w:p w14:paraId="218F922D">
            <w:pPr>
              <w:pStyle w:val="6"/>
              <w:spacing w:before="99" w:line="189" w:lineRule="auto"/>
              <w:ind w:left="114" w:right="107" w:firstLine="3"/>
              <w:jc w:val="both"/>
            </w:pPr>
            <w:r>
              <w:rPr>
                <w:spacing w:val="-8"/>
              </w:rPr>
              <w:t>未对</w:t>
            </w:r>
            <w:r>
              <w:rPr>
                <w:rFonts w:ascii="宋体" w:hAnsi="宋体" w:eastAsia="宋体" w:cs="宋体"/>
                <w:spacing w:val="-8"/>
              </w:rPr>
              <w:t>3</w:t>
            </w:r>
            <w:r>
              <w:rPr>
                <w:spacing w:val="-8"/>
              </w:rPr>
              <w:t>台（处）以上</w:t>
            </w:r>
            <w:r>
              <w:rPr>
                <w:spacing w:val="26"/>
              </w:rPr>
              <w:t>危险化学品专用仓库的安全设施定期</w:t>
            </w:r>
            <w:r>
              <w:rPr>
                <w:spacing w:val="8"/>
              </w:rPr>
              <w:t>进行检测、检验的</w:t>
            </w:r>
          </w:p>
        </w:tc>
        <w:tc>
          <w:tcPr>
            <w:tcW w:w="2894" w:type="dxa"/>
            <w:vAlign w:val="top"/>
          </w:tcPr>
          <w:p w14:paraId="0465E3B4">
            <w:pPr>
              <w:spacing w:line="250" w:lineRule="auto"/>
              <w:rPr>
                <w:rFonts w:ascii="Arial"/>
                <w:sz w:val="21"/>
              </w:rPr>
            </w:pPr>
          </w:p>
          <w:p w14:paraId="4CE19329">
            <w:pPr>
              <w:spacing w:line="251" w:lineRule="auto"/>
              <w:rPr>
                <w:rFonts w:ascii="Arial"/>
                <w:sz w:val="21"/>
              </w:rPr>
            </w:pPr>
          </w:p>
          <w:p w14:paraId="29B170D5">
            <w:pPr>
              <w:pStyle w:val="6"/>
              <w:spacing w:before="98" w:line="188" w:lineRule="auto"/>
              <w:ind w:left="117" w:right="109" w:firstLine="10"/>
              <w:jc w:val="both"/>
            </w:pPr>
            <w:r>
              <w:rPr>
                <w:spacing w:val="4"/>
              </w:rPr>
              <w:t>责令改正，处</w:t>
            </w:r>
            <w:r>
              <w:rPr>
                <w:rFonts w:ascii="宋体" w:hAnsi="宋体" w:eastAsia="宋体" w:cs="宋体"/>
                <w:spacing w:val="4"/>
              </w:rPr>
              <w:t>9</w:t>
            </w:r>
            <w:r>
              <w:rPr>
                <w:spacing w:val="4"/>
              </w:rPr>
              <w:t>万元以上</w:t>
            </w:r>
            <w:r>
              <w:rPr>
                <w:rFonts w:ascii="宋体" w:hAnsi="宋体" w:eastAsia="宋体" w:cs="宋体"/>
                <w:spacing w:val="-1"/>
              </w:rPr>
              <w:t>10</w:t>
            </w:r>
            <w:r>
              <w:rPr>
                <w:spacing w:val="-1"/>
              </w:rPr>
              <w:t>万元以下的罚款；拒不</w:t>
            </w:r>
            <w:r>
              <w:rPr>
                <w:spacing w:val="8"/>
              </w:rPr>
              <w:t>改正的，责令停产停业整</w:t>
            </w:r>
            <w:r>
              <w:rPr>
                <w:spacing w:val="11"/>
              </w:rPr>
              <w:t>顿直至由原发证机关吊销</w:t>
            </w:r>
            <w:r>
              <w:rPr>
                <w:spacing w:val="7"/>
              </w:rPr>
              <w:t>其相关许可证件</w:t>
            </w:r>
          </w:p>
        </w:tc>
        <w:tc>
          <w:tcPr>
            <w:tcW w:w="811" w:type="dxa"/>
            <w:vMerge w:val="continue"/>
            <w:tcBorders>
              <w:top w:val="nil"/>
            </w:tcBorders>
            <w:vAlign w:val="top"/>
          </w:tcPr>
          <w:p w14:paraId="2803BAE9">
            <w:pPr>
              <w:rPr>
                <w:rFonts w:ascii="Arial"/>
                <w:sz w:val="21"/>
              </w:rPr>
            </w:pPr>
          </w:p>
        </w:tc>
      </w:tr>
    </w:tbl>
    <w:p w14:paraId="012EC283">
      <w:pPr>
        <w:pStyle w:val="2"/>
      </w:pPr>
    </w:p>
    <w:p w14:paraId="0B4AA3A7">
      <w:pPr>
        <w:sectPr>
          <w:footerReference r:id="rId172" w:type="default"/>
          <w:pgSz w:w="16839" w:h="11906"/>
          <w:pgMar w:top="1012" w:right="821" w:bottom="667" w:left="901" w:header="0" w:footer="388" w:gutter="0"/>
          <w:cols w:space="720" w:num="1"/>
        </w:sectPr>
      </w:pPr>
    </w:p>
    <w:p w14:paraId="403C8FC8">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1233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6A54409">
            <w:pPr>
              <w:spacing w:before="222" w:line="241" w:lineRule="auto"/>
              <w:ind w:left="131"/>
              <w:outlineLvl w:val="0"/>
              <w:rPr>
                <w:rFonts w:ascii="黑体" w:hAnsi="黑体" w:eastAsia="黑体" w:cs="黑体"/>
                <w:sz w:val="28"/>
                <w:szCs w:val="28"/>
              </w:rPr>
            </w:pPr>
            <w:bookmarkStart w:id="615" w:name="bookmark570"/>
            <w:bookmarkEnd w:id="615"/>
            <w:bookmarkStart w:id="616" w:name="bookmark316"/>
            <w:bookmarkEnd w:id="616"/>
            <w:r>
              <w:rPr>
                <w:rFonts w:ascii="黑体" w:hAnsi="黑体" w:eastAsia="黑体" w:cs="黑体"/>
                <w:spacing w:val="-2"/>
                <w:sz w:val="28"/>
                <w:szCs w:val="28"/>
              </w:rPr>
              <w:t>序号</w:t>
            </w:r>
          </w:p>
        </w:tc>
        <w:tc>
          <w:tcPr>
            <w:tcW w:w="1440" w:type="dxa"/>
            <w:vAlign w:val="top"/>
          </w:tcPr>
          <w:p w14:paraId="10F98472">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E2040CF">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2D52293">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13D717CA">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3FC87C5">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2577C79">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FDE2B36">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E32B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trPr>
        <w:tc>
          <w:tcPr>
            <w:tcW w:w="818" w:type="dxa"/>
            <w:vAlign w:val="top"/>
          </w:tcPr>
          <w:p w14:paraId="7E0C0268">
            <w:pPr>
              <w:rPr>
                <w:rFonts w:ascii="Arial"/>
                <w:sz w:val="21"/>
              </w:rPr>
            </w:pPr>
          </w:p>
        </w:tc>
        <w:tc>
          <w:tcPr>
            <w:tcW w:w="1440" w:type="dxa"/>
            <w:vAlign w:val="top"/>
          </w:tcPr>
          <w:p w14:paraId="41084E37">
            <w:pPr>
              <w:rPr>
                <w:rFonts w:ascii="Arial"/>
                <w:sz w:val="21"/>
              </w:rPr>
            </w:pPr>
          </w:p>
        </w:tc>
        <w:tc>
          <w:tcPr>
            <w:tcW w:w="3202" w:type="dxa"/>
            <w:vAlign w:val="top"/>
          </w:tcPr>
          <w:p w14:paraId="5F24E8B6">
            <w:pPr>
              <w:rPr>
                <w:rFonts w:ascii="Arial"/>
                <w:sz w:val="21"/>
              </w:rPr>
            </w:pPr>
          </w:p>
        </w:tc>
        <w:tc>
          <w:tcPr>
            <w:tcW w:w="2859" w:type="dxa"/>
            <w:vAlign w:val="top"/>
          </w:tcPr>
          <w:p w14:paraId="6F0BA1B0">
            <w:pPr>
              <w:pStyle w:val="6"/>
              <w:spacing w:before="21" w:line="181" w:lineRule="auto"/>
              <w:ind w:left="98" w:right="19" w:firstLine="20"/>
            </w:pPr>
            <w:r>
              <w:rPr>
                <w:spacing w:val="8"/>
              </w:rPr>
              <w:t>例》规定，有下列情形之</w:t>
            </w:r>
            <w:r>
              <w:rPr>
                <w:spacing w:val="1"/>
              </w:rPr>
              <w:t>一的，责令改正，处</w:t>
            </w:r>
            <w:r>
              <w:rPr>
                <w:rFonts w:ascii="宋体" w:hAnsi="宋体" w:eastAsia="宋体" w:cs="宋体"/>
                <w:spacing w:val="1"/>
              </w:rPr>
              <w:t>5</w:t>
            </w:r>
            <w:r>
              <w:rPr>
                <w:spacing w:val="1"/>
              </w:rPr>
              <w:t>万</w:t>
            </w:r>
            <w:r>
              <w:rPr>
                <w:spacing w:val="10"/>
              </w:rPr>
              <w:t>元以上</w:t>
            </w:r>
            <w:r>
              <w:rPr>
                <w:rFonts w:ascii="宋体" w:hAnsi="宋体" w:eastAsia="宋体" w:cs="宋体"/>
                <w:spacing w:val="10"/>
              </w:rPr>
              <w:t>10</w:t>
            </w:r>
            <w:r>
              <w:rPr>
                <w:spacing w:val="10"/>
              </w:rPr>
              <w:t>万元以下的罚款；拒不改正的，责令停产停业整顿；经停产停业</w:t>
            </w:r>
            <w:r>
              <w:rPr>
                <w:spacing w:val="-2"/>
              </w:rPr>
              <w:t>整顿仍不具备法律、法规、</w:t>
            </w:r>
            <w:r>
              <w:rPr>
                <w:spacing w:val="10"/>
              </w:rPr>
              <w:t>规章、国家标准和行业标</w:t>
            </w:r>
            <w:r>
              <w:rPr>
                <w:spacing w:val="34"/>
              </w:rPr>
              <w:t>准规定的安全生产条件</w:t>
            </w:r>
            <w:r>
              <w:rPr>
                <w:spacing w:val="9"/>
              </w:rPr>
              <w:t>的，吊销其经营许可证：</w:t>
            </w:r>
            <w:r>
              <w:rPr>
                <w:spacing w:val="10"/>
              </w:rPr>
              <w:t>（七）未对危险化学品专用仓库的安全设施、设备</w:t>
            </w:r>
            <w:r>
              <w:rPr>
                <w:spacing w:val="6"/>
              </w:rPr>
              <w:t>定期进行检测、检验的。</w:t>
            </w:r>
          </w:p>
        </w:tc>
        <w:tc>
          <w:tcPr>
            <w:tcW w:w="803" w:type="dxa"/>
            <w:vAlign w:val="top"/>
          </w:tcPr>
          <w:p w14:paraId="7D99CC8E">
            <w:pPr>
              <w:rPr>
                <w:rFonts w:ascii="Arial"/>
                <w:sz w:val="21"/>
              </w:rPr>
            </w:pPr>
          </w:p>
        </w:tc>
        <w:tc>
          <w:tcPr>
            <w:tcW w:w="2283" w:type="dxa"/>
            <w:vAlign w:val="top"/>
          </w:tcPr>
          <w:p w14:paraId="0C0F86C4">
            <w:pPr>
              <w:rPr>
                <w:rFonts w:ascii="Arial"/>
                <w:sz w:val="21"/>
              </w:rPr>
            </w:pPr>
          </w:p>
        </w:tc>
        <w:tc>
          <w:tcPr>
            <w:tcW w:w="2894" w:type="dxa"/>
            <w:vAlign w:val="top"/>
          </w:tcPr>
          <w:p w14:paraId="46595FCD">
            <w:pPr>
              <w:rPr>
                <w:rFonts w:ascii="Arial"/>
                <w:sz w:val="21"/>
              </w:rPr>
            </w:pPr>
          </w:p>
        </w:tc>
        <w:tc>
          <w:tcPr>
            <w:tcW w:w="811" w:type="dxa"/>
            <w:vAlign w:val="top"/>
          </w:tcPr>
          <w:p w14:paraId="4874778B">
            <w:pPr>
              <w:rPr>
                <w:rFonts w:ascii="Arial"/>
                <w:sz w:val="21"/>
              </w:rPr>
            </w:pPr>
          </w:p>
        </w:tc>
      </w:tr>
      <w:tr w14:paraId="77222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restart"/>
            <w:tcBorders>
              <w:bottom w:val="nil"/>
            </w:tcBorders>
            <w:vAlign w:val="top"/>
          </w:tcPr>
          <w:p w14:paraId="73A68641">
            <w:pPr>
              <w:spacing w:line="254" w:lineRule="auto"/>
              <w:rPr>
                <w:rFonts w:ascii="Arial"/>
                <w:sz w:val="21"/>
              </w:rPr>
            </w:pPr>
          </w:p>
          <w:p w14:paraId="3E3D7403">
            <w:pPr>
              <w:spacing w:line="254" w:lineRule="auto"/>
              <w:rPr>
                <w:rFonts w:ascii="Arial"/>
                <w:sz w:val="21"/>
              </w:rPr>
            </w:pPr>
          </w:p>
          <w:p w14:paraId="439C807C">
            <w:pPr>
              <w:spacing w:line="255" w:lineRule="auto"/>
              <w:rPr>
                <w:rFonts w:ascii="Arial"/>
                <w:sz w:val="21"/>
              </w:rPr>
            </w:pPr>
          </w:p>
          <w:p w14:paraId="0937F538">
            <w:pPr>
              <w:spacing w:line="255" w:lineRule="auto"/>
              <w:rPr>
                <w:rFonts w:ascii="Arial"/>
                <w:sz w:val="21"/>
              </w:rPr>
            </w:pPr>
          </w:p>
          <w:p w14:paraId="5E85A673">
            <w:pPr>
              <w:spacing w:line="255" w:lineRule="auto"/>
              <w:rPr>
                <w:rFonts w:ascii="Arial"/>
                <w:sz w:val="21"/>
              </w:rPr>
            </w:pPr>
          </w:p>
          <w:p w14:paraId="6F45624A">
            <w:pPr>
              <w:spacing w:line="255" w:lineRule="auto"/>
              <w:rPr>
                <w:rFonts w:ascii="Arial"/>
                <w:sz w:val="21"/>
              </w:rPr>
            </w:pPr>
          </w:p>
          <w:p w14:paraId="49BEFF85">
            <w:pPr>
              <w:spacing w:line="255" w:lineRule="auto"/>
              <w:rPr>
                <w:rFonts w:ascii="Arial"/>
                <w:sz w:val="21"/>
              </w:rPr>
            </w:pPr>
          </w:p>
          <w:p w14:paraId="74AC5831">
            <w:pPr>
              <w:spacing w:line="255" w:lineRule="auto"/>
              <w:rPr>
                <w:rFonts w:ascii="Arial"/>
                <w:sz w:val="21"/>
              </w:rPr>
            </w:pPr>
          </w:p>
          <w:p w14:paraId="0B859E08">
            <w:pPr>
              <w:spacing w:line="255" w:lineRule="auto"/>
              <w:rPr>
                <w:rFonts w:ascii="Arial"/>
                <w:sz w:val="21"/>
              </w:rPr>
            </w:pPr>
          </w:p>
          <w:p w14:paraId="37765F3C">
            <w:pPr>
              <w:spacing w:line="255" w:lineRule="auto"/>
              <w:rPr>
                <w:rFonts w:ascii="Arial"/>
                <w:sz w:val="21"/>
              </w:rPr>
            </w:pPr>
          </w:p>
          <w:p w14:paraId="440C7DBB">
            <w:pPr>
              <w:spacing w:before="75" w:line="186" w:lineRule="auto"/>
              <w:ind w:left="161"/>
              <w:rPr>
                <w:rFonts w:ascii="仿宋" w:hAnsi="仿宋" w:eastAsia="仿宋" w:cs="仿宋"/>
                <w:sz w:val="23"/>
                <w:szCs w:val="23"/>
              </w:rPr>
            </w:pPr>
            <w:r>
              <w:rPr>
                <w:rFonts w:ascii="仿宋" w:hAnsi="仿宋" w:eastAsia="仿宋" w:cs="仿宋"/>
                <w:spacing w:val="-5"/>
                <w:sz w:val="23"/>
                <w:szCs w:val="23"/>
              </w:rPr>
              <w:t>154</w:t>
            </w:r>
          </w:p>
        </w:tc>
        <w:tc>
          <w:tcPr>
            <w:tcW w:w="1440" w:type="dxa"/>
            <w:vMerge w:val="restart"/>
            <w:tcBorders>
              <w:bottom w:val="nil"/>
            </w:tcBorders>
            <w:vAlign w:val="top"/>
          </w:tcPr>
          <w:p w14:paraId="08EC7513">
            <w:pPr>
              <w:spacing w:line="246" w:lineRule="auto"/>
              <w:rPr>
                <w:rFonts w:ascii="Arial"/>
                <w:sz w:val="21"/>
              </w:rPr>
            </w:pPr>
          </w:p>
          <w:p w14:paraId="7866BF4D">
            <w:pPr>
              <w:spacing w:line="247" w:lineRule="auto"/>
              <w:rPr>
                <w:rFonts w:ascii="Arial"/>
                <w:sz w:val="21"/>
              </w:rPr>
            </w:pPr>
          </w:p>
          <w:p w14:paraId="45E1C221">
            <w:pPr>
              <w:spacing w:line="247" w:lineRule="auto"/>
              <w:rPr>
                <w:rFonts w:ascii="Arial"/>
                <w:sz w:val="21"/>
              </w:rPr>
            </w:pPr>
          </w:p>
          <w:p w14:paraId="152FBDE7">
            <w:pPr>
              <w:spacing w:line="247" w:lineRule="auto"/>
              <w:rPr>
                <w:rFonts w:ascii="Arial"/>
                <w:sz w:val="21"/>
              </w:rPr>
            </w:pPr>
          </w:p>
          <w:p w14:paraId="272886A0">
            <w:pPr>
              <w:pStyle w:val="6"/>
              <w:spacing w:before="99" w:line="185" w:lineRule="auto"/>
              <w:ind w:left="115" w:right="111"/>
            </w:pPr>
            <w:r>
              <w:rPr>
                <w:spacing w:val="11"/>
              </w:rPr>
              <w:t>危险化学品</w:t>
            </w:r>
            <w:r>
              <w:rPr>
                <w:spacing w:val="5"/>
              </w:rPr>
              <w:t>生产企业、</w:t>
            </w:r>
            <w:r>
              <w:rPr>
                <w:spacing w:val="11"/>
              </w:rPr>
              <w:t>经营企业向不具有相关许可证件或者证明文件的单位销售</w:t>
            </w:r>
            <w:r>
              <w:rPr>
                <w:spacing w:val="-9"/>
                <w:w w:val="99"/>
              </w:rPr>
              <w:t>剧毒化学</w:t>
            </w:r>
            <w:r>
              <w:rPr>
                <w:spacing w:val="11"/>
              </w:rPr>
              <w:t>品、易制爆危险化学品</w:t>
            </w:r>
            <w:r>
              <w:t>的</w:t>
            </w:r>
          </w:p>
        </w:tc>
        <w:tc>
          <w:tcPr>
            <w:tcW w:w="3202" w:type="dxa"/>
            <w:vMerge w:val="restart"/>
            <w:tcBorders>
              <w:bottom w:val="nil"/>
            </w:tcBorders>
            <w:vAlign w:val="top"/>
          </w:tcPr>
          <w:p w14:paraId="2D8ED38B">
            <w:pPr>
              <w:pStyle w:val="6"/>
              <w:spacing w:before="37" w:line="184" w:lineRule="auto"/>
              <w:ind w:left="116" w:right="21" w:hanging="18"/>
            </w:pPr>
            <w:r>
              <w:rPr>
                <w:spacing w:val="18"/>
              </w:rPr>
              <w:t>【行政法规】《危险化学品</w:t>
            </w:r>
            <w:r>
              <w:rPr>
                <w:spacing w:val="17"/>
              </w:rPr>
              <w:t>安全管理条例》第四十条第</w:t>
            </w:r>
            <w:r>
              <w:rPr>
                <w:spacing w:val="5"/>
              </w:rPr>
              <w:t>一款：危险化学品生产企业、</w:t>
            </w:r>
            <w:r>
              <w:rPr>
                <w:spacing w:val="15"/>
              </w:rPr>
              <w:t>经营企业销售剧毒化学品、</w:t>
            </w:r>
            <w:r>
              <w:rPr>
                <w:spacing w:val="13"/>
              </w:rPr>
              <w:t>易制爆危险化学品，应当查</w:t>
            </w:r>
            <w:r>
              <w:rPr>
                <w:spacing w:val="34"/>
              </w:rPr>
              <w:t>验本条例第三十八条第一</w:t>
            </w:r>
            <w:r>
              <w:rPr>
                <w:spacing w:val="17"/>
              </w:rPr>
              <w:t>款、第二款规定的相关许可</w:t>
            </w:r>
            <w:r>
              <w:rPr>
                <w:spacing w:val="13"/>
              </w:rPr>
              <w:t>证件或者证明文件，不得向</w:t>
            </w:r>
            <w:r>
              <w:rPr>
                <w:spacing w:val="17"/>
              </w:rPr>
              <w:t>不具有相关许可证件或者证明文件的单位销售剧毒化学品、易制爆危险化学品。对持剧毒化学品购买许可证购</w:t>
            </w:r>
            <w:r>
              <w:rPr>
                <w:spacing w:val="13"/>
              </w:rPr>
              <w:t>买剧毒化学品的，应当按照</w:t>
            </w:r>
            <w:r>
              <w:rPr>
                <w:spacing w:val="17"/>
              </w:rPr>
              <w:t>许可证载明的品种、数量销</w:t>
            </w:r>
            <w:r>
              <w:rPr>
                <w:spacing w:val="-7"/>
              </w:rPr>
              <w:t>售。</w:t>
            </w:r>
          </w:p>
        </w:tc>
        <w:tc>
          <w:tcPr>
            <w:tcW w:w="2859" w:type="dxa"/>
            <w:vMerge w:val="restart"/>
            <w:tcBorders>
              <w:bottom w:val="nil"/>
            </w:tcBorders>
            <w:vAlign w:val="top"/>
          </w:tcPr>
          <w:p w14:paraId="7119A1A4">
            <w:pPr>
              <w:pStyle w:val="6"/>
              <w:spacing w:before="28" w:line="182" w:lineRule="auto"/>
              <w:ind w:left="114" w:right="38" w:hanging="17"/>
            </w:pPr>
            <w:r>
              <w:rPr>
                <w:spacing w:val="10"/>
              </w:rPr>
              <w:t>【行政法规】《危险化学</w:t>
            </w:r>
            <w:r>
              <w:rPr>
                <w:spacing w:val="8"/>
              </w:rPr>
              <w:t>品安全管理条例》第八十四条第一款第一项：危险化学品生产企业、经营企</w:t>
            </w:r>
            <w:r>
              <w:rPr>
                <w:spacing w:val="2"/>
              </w:rPr>
              <w:t>业有下列情形之一的，由</w:t>
            </w:r>
            <w:r>
              <w:rPr>
                <w:spacing w:val="8"/>
              </w:rPr>
              <w:t>安全生产监督管理部门责</w:t>
            </w:r>
            <w:r>
              <w:rPr>
                <w:spacing w:val="3"/>
              </w:rPr>
              <w:t>令改正，没收违法所得，</w:t>
            </w:r>
            <w:r>
              <w:rPr>
                <w:spacing w:val="-1"/>
              </w:rPr>
              <w:t>并处</w:t>
            </w:r>
            <w:r>
              <w:rPr>
                <w:rFonts w:ascii="宋体" w:hAnsi="宋体" w:eastAsia="宋体" w:cs="宋体"/>
                <w:spacing w:val="-1"/>
              </w:rPr>
              <w:t>10</w:t>
            </w:r>
            <w:r>
              <w:rPr>
                <w:spacing w:val="-1"/>
              </w:rPr>
              <w:t>万元以上</w:t>
            </w:r>
            <w:r>
              <w:rPr>
                <w:rFonts w:ascii="宋体" w:hAnsi="宋体" w:eastAsia="宋体" w:cs="宋体"/>
                <w:spacing w:val="-1"/>
              </w:rPr>
              <w:t>20</w:t>
            </w:r>
            <w:r>
              <w:rPr>
                <w:spacing w:val="-1"/>
              </w:rPr>
              <w:t>万元</w:t>
            </w:r>
            <w:r>
              <w:rPr>
                <w:spacing w:val="-5"/>
              </w:rPr>
              <w:t>以下的罚款；拒不改正的，</w:t>
            </w:r>
            <w:r>
              <w:rPr>
                <w:spacing w:val="8"/>
              </w:rPr>
              <w:t>责令停产停业整顿直至吊销其危险化学品安全生产许可证、危险化学品经营</w:t>
            </w:r>
            <w:r>
              <w:rPr>
                <w:spacing w:val="4"/>
              </w:rPr>
              <w:t>许可证，并由工商行政管</w:t>
            </w:r>
            <w:r>
              <w:rPr>
                <w:spacing w:val="8"/>
              </w:rPr>
              <w:t>理部门责令其办理经营范围变更登记或者吊销其营</w:t>
            </w:r>
            <w:r>
              <w:rPr>
                <w:spacing w:val="-4"/>
              </w:rPr>
              <w:t>业执照</w:t>
            </w:r>
            <w:r>
              <w:rPr>
                <w:spacing w:val="-14"/>
              </w:rPr>
              <w:t>：（</w:t>
            </w:r>
            <w:r>
              <w:rPr>
                <w:spacing w:val="-4"/>
              </w:rPr>
              <w:t>一）向不具有</w:t>
            </w:r>
            <w:r>
              <w:rPr>
                <w:spacing w:val="27"/>
              </w:rPr>
              <w:t>本条例第三十八条第一</w:t>
            </w:r>
            <w:r>
              <w:rPr>
                <w:spacing w:val="8"/>
              </w:rPr>
              <w:t>款、第二款规定的相关许</w:t>
            </w:r>
          </w:p>
        </w:tc>
        <w:tc>
          <w:tcPr>
            <w:tcW w:w="803" w:type="dxa"/>
            <w:vAlign w:val="top"/>
          </w:tcPr>
          <w:p w14:paraId="25BE5B4D">
            <w:pPr>
              <w:spacing w:line="297" w:lineRule="auto"/>
              <w:rPr>
                <w:rFonts w:ascii="Arial"/>
                <w:sz w:val="21"/>
              </w:rPr>
            </w:pPr>
          </w:p>
          <w:p w14:paraId="2148A0B7">
            <w:pPr>
              <w:spacing w:line="297" w:lineRule="auto"/>
              <w:rPr>
                <w:rFonts w:ascii="Arial"/>
                <w:sz w:val="21"/>
              </w:rPr>
            </w:pPr>
          </w:p>
          <w:p w14:paraId="36E447A9">
            <w:pPr>
              <w:spacing w:line="298" w:lineRule="auto"/>
              <w:rPr>
                <w:rFonts w:ascii="Arial"/>
                <w:sz w:val="21"/>
              </w:rPr>
            </w:pPr>
          </w:p>
          <w:p w14:paraId="25D440C3">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0FE3B95">
            <w:pPr>
              <w:spacing w:line="265" w:lineRule="auto"/>
              <w:rPr>
                <w:rFonts w:ascii="Arial"/>
                <w:sz w:val="21"/>
              </w:rPr>
            </w:pPr>
          </w:p>
          <w:p w14:paraId="5D4D854B">
            <w:pPr>
              <w:spacing w:line="266" w:lineRule="auto"/>
              <w:rPr>
                <w:rFonts w:ascii="Arial"/>
                <w:sz w:val="21"/>
              </w:rPr>
            </w:pPr>
          </w:p>
          <w:p w14:paraId="342EB251">
            <w:pPr>
              <w:pStyle w:val="6"/>
              <w:spacing w:before="99" w:line="192" w:lineRule="auto"/>
              <w:ind w:left="128" w:right="109" w:hanging="1"/>
              <w:jc w:val="both"/>
            </w:pPr>
            <w:r>
              <w:rPr>
                <w:spacing w:val="25"/>
              </w:rPr>
              <w:t>没有违法所得或违</w:t>
            </w:r>
            <w:r>
              <w:rPr>
                <w:spacing w:val="14"/>
              </w:rPr>
              <w:t>法所得</w:t>
            </w:r>
            <w:r>
              <w:rPr>
                <w:rFonts w:ascii="宋体" w:hAnsi="宋体" w:eastAsia="宋体" w:cs="宋体"/>
                <w:spacing w:val="14"/>
              </w:rPr>
              <w:t>5</w:t>
            </w:r>
            <w:r>
              <w:rPr>
                <w:spacing w:val="14"/>
              </w:rPr>
              <w:t>万元以下</w:t>
            </w:r>
            <w:r>
              <w:t>的</w:t>
            </w:r>
          </w:p>
        </w:tc>
        <w:tc>
          <w:tcPr>
            <w:tcW w:w="2894" w:type="dxa"/>
            <w:vAlign w:val="top"/>
          </w:tcPr>
          <w:p w14:paraId="433BF123">
            <w:pPr>
              <w:pStyle w:val="6"/>
              <w:spacing w:before="33" w:line="179" w:lineRule="auto"/>
              <w:ind w:left="120" w:right="37" w:firstLine="7"/>
              <w:jc w:val="both"/>
            </w:pPr>
            <w:r>
              <w:rPr>
                <w:spacing w:val="-4"/>
              </w:rPr>
              <w:t>责令改正，没收违法所得，</w:t>
            </w:r>
            <w:r>
              <w:rPr>
                <w:spacing w:val="-1"/>
              </w:rPr>
              <w:t>并处</w:t>
            </w:r>
            <w:r>
              <w:rPr>
                <w:rFonts w:ascii="宋体" w:hAnsi="宋体" w:eastAsia="宋体" w:cs="宋体"/>
                <w:spacing w:val="-1"/>
              </w:rPr>
              <w:t>10</w:t>
            </w:r>
            <w:r>
              <w:rPr>
                <w:spacing w:val="-1"/>
              </w:rPr>
              <w:t>万元以上</w:t>
            </w:r>
            <w:r>
              <w:rPr>
                <w:rFonts w:ascii="宋体" w:hAnsi="宋体" w:eastAsia="宋体" w:cs="宋体"/>
                <w:spacing w:val="-1"/>
              </w:rPr>
              <w:t>13</w:t>
            </w:r>
            <w:r>
              <w:rPr>
                <w:spacing w:val="-1"/>
              </w:rPr>
              <w:t>万元</w:t>
            </w:r>
            <w:r>
              <w:rPr>
                <w:spacing w:val="-3"/>
              </w:rPr>
              <w:t>以下的罚款；拒不改正的，</w:t>
            </w:r>
            <w:r>
              <w:rPr>
                <w:spacing w:val="11"/>
              </w:rPr>
              <w:t>责令停产停业整顿直至吊销其危险化学品安全生产许可证、危险化学品经营</w:t>
            </w:r>
            <w:r>
              <w:rPr>
                <w:spacing w:val="4"/>
              </w:rPr>
              <w:t>许可证</w:t>
            </w:r>
          </w:p>
        </w:tc>
        <w:tc>
          <w:tcPr>
            <w:tcW w:w="811" w:type="dxa"/>
            <w:vMerge w:val="restart"/>
            <w:tcBorders>
              <w:bottom w:val="nil"/>
            </w:tcBorders>
            <w:vAlign w:val="top"/>
          </w:tcPr>
          <w:p w14:paraId="081528B0">
            <w:pPr>
              <w:spacing w:line="254" w:lineRule="auto"/>
              <w:rPr>
                <w:rFonts w:ascii="Arial"/>
                <w:sz w:val="21"/>
              </w:rPr>
            </w:pPr>
          </w:p>
          <w:p w14:paraId="5CB2AF6A">
            <w:pPr>
              <w:spacing w:line="254" w:lineRule="auto"/>
              <w:rPr>
                <w:rFonts w:ascii="Arial"/>
                <w:sz w:val="21"/>
              </w:rPr>
            </w:pPr>
          </w:p>
          <w:p w14:paraId="7E847CCD">
            <w:pPr>
              <w:spacing w:line="254" w:lineRule="auto"/>
              <w:rPr>
                <w:rFonts w:ascii="Arial"/>
                <w:sz w:val="21"/>
              </w:rPr>
            </w:pPr>
          </w:p>
          <w:p w14:paraId="569EBE96">
            <w:pPr>
              <w:spacing w:line="254" w:lineRule="auto"/>
              <w:rPr>
                <w:rFonts w:ascii="Arial"/>
                <w:sz w:val="21"/>
              </w:rPr>
            </w:pPr>
          </w:p>
          <w:p w14:paraId="3547966D">
            <w:pPr>
              <w:spacing w:line="254" w:lineRule="auto"/>
              <w:rPr>
                <w:rFonts w:ascii="Arial"/>
                <w:sz w:val="21"/>
              </w:rPr>
            </w:pPr>
          </w:p>
          <w:p w14:paraId="7B880836">
            <w:pPr>
              <w:spacing w:line="254" w:lineRule="auto"/>
              <w:rPr>
                <w:rFonts w:ascii="Arial"/>
                <w:sz w:val="21"/>
              </w:rPr>
            </w:pPr>
          </w:p>
          <w:p w14:paraId="140C2B9D">
            <w:pPr>
              <w:spacing w:line="255" w:lineRule="auto"/>
              <w:rPr>
                <w:rFonts w:ascii="Arial"/>
                <w:sz w:val="21"/>
              </w:rPr>
            </w:pPr>
          </w:p>
          <w:p w14:paraId="2F8DDD7A">
            <w:pPr>
              <w:spacing w:line="255" w:lineRule="auto"/>
              <w:rPr>
                <w:rFonts w:ascii="Arial"/>
                <w:sz w:val="21"/>
              </w:rPr>
            </w:pPr>
          </w:p>
          <w:p w14:paraId="7BC9BBFA">
            <w:pPr>
              <w:spacing w:line="255" w:lineRule="auto"/>
              <w:rPr>
                <w:rFonts w:ascii="Arial"/>
                <w:sz w:val="21"/>
              </w:rPr>
            </w:pPr>
          </w:p>
          <w:p w14:paraId="75856C2F">
            <w:pPr>
              <w:spacing w:line="255" w:lineRule="auto"/>
              <w:rPr>
                <w:rFonts w:ascii="Arial"/>
                <w:sz w:val="21"/>
              </w:rPr>
            </w:pPr>
          </w:p>
          <w:p w14:paraId="196903F6">
            <w:pPr>
              <w:spacing w:before="75" w:line="189" w:lineRule="auto"/>
              <w:ind w:left="248"/>
              <w:rPr>
                <w:rFonts w:ascii="宋体" w:hAnsi="宋体" w:eastAsia="宋体" w:cs="宋体"/>
                <w:sz w:val="23"/>
                <w:szCs w:val="23"/>
              </w:rPr>
            </w:pPr>
            <w:r>
              <w:rPr>
                <w:rFonts w:ascii="宋体" w:hAnsi="宋体" w:eastAsia="宋体" w:cs="宋体"/>
                <w:spacing w:val="-6"/>
                <w:sz w:val="23"/>
                <w:szCs w:val="23"/>
              </w:rPr>
              <w:t>102</w:t>
            </w:r>
          </w:p>
        </w:tc>
      </w:tr>
      <w:tr w14:paraId="00298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continue"/>
            <w:tcBorders>
              <w:top w:val="nil"/>
              <w:bottom w:val="nil"/>
            </w:tcBorders>
            <w:vAlign w:val="top"/>
          </w:tcPr>
          <w:p w14:paraId="4DCDC40D">
            <w:pPr>
              <w:rPr>
                <w:rFonts w:ascii="Arial"/>
                <w:sz w:val="21"/>
              </w:rPr>
            </w:pPr>
          </w:p>
        </w:tc>
        <w:tc>
          <w:tcPr>
            <w:tcW w:w="1440" w:type="dxa"/>
            <w:vMerge w:val="continue"/>
            <w:tcBorders>
              <w:top w:val="nil"/>
              <w:bottom w:val="nil"/>
            </w:tcBorders>
            <w:vAlign w:val="top"/>
          </w:tcPr>
          <w:p w14:paraId="1E28EC81">
            <w:pPr>
              <w:rPr>
                <w:rFonts w:ascii="Arial"/>
                <w:sz w:val="21"/>
              </w:rPr>
            </w:pPr>
          </w:p>
        </w:tc>
        <w:tc>
          <w:tcPr>
            <w:tcW w:w="3202" w:type="dxa"/>
            <w:vMerge w:val="continue"/>
            <w:tcBorders>
              <w:top w:val="nil"/>
              <w:bottom w:val="nil"/>
            </w:tcBorders>
            <w:vAlign w:val="top"/>
          </w:tcPr>
          <w:p w14:paraId="4A733692">
            <w:pPr>
              <w:rPr>
                <w:rFonts w:ascii="Arial"/>
                <w:sz w:val="21"/>
              </w:rPr>
            </w:pPr>
          </w:p>
        </w:tc>
        <w:tc>
          <w:tcPr>
            <w:tcW w:w="2859" w:type="dxa"/>
            <w:vMerge w:val="continue"/>
            <w:tcBorders>
              <w:top w:val="nil"/>
              <w:bottom w:val="nil"/>
            </w:tcBorders>
            <w:vAlign w:val="top"/>
          </w:tcPr>
          <w:p w14:paraId="56398986">
            <w:pPr>
              <w:rPr>
                <w:rFonts w:ascii="Arial"/>
                <w:sz w:val="21"/>
              </w:rPr>
            </w:pPr>
          </w:p>
        </w:tc>
        <w:tc>
          <w:tcPr>
            <w:tcW w:w="803" w:type="dxa"/>
            <w:vAlign w:val="top"/>
          </w:tcPr>
          <w:p w14:paraId="4AA5516C">
            <w:pPr>
              <w:spacing w:line="299" w:lineRule="auto"/>
              <w:rPr>
                <w:rFonts w:ascii="Arial"/>
                <w:sz w:val="21"/>
              </w:rPr>
            </w:pPr>
          </w:p>
          <w:p w14:paraId="3FC55142">
            <w:pPr>
              <w:spacing w:line="299" w:lineRule="auto"/>
              <w:rPr>
                <w:rFonts w:ascii="Arial"/>
                <w:sz w:val="21"/>
              </w:rPr>
            </w:pPr>
          </w:p>
          <w:p w14:paraId="06D9D353">
            <w:pPr>
              <w:spacing w:line="299" w:lineRule="auto"/>
              <w:rPr>
                <w:rFonts w:ascii="Arial"/>
                <w:sz w:val="21"/>
              </w:rPr>
            </w:pPr>
          </w:p>
          <w:p w14:paraId="3A675EE5">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AC882A0">
            <w:pPr>
              <w:spacing w:line="338" w:lineRule="auto"/>
              <w:rPr>
                <w:rFonts w:ascii="Arial"/>
                <w:sz w:val="21"/>
              </w:rPr>
            </w:pPr>
          </w:p>
          <w:p w14:paraId="63D29A83">
            <w:pPr>
              <w:spacing w:line="339" w:lineRule="auto"/>
              <w:rPr>
                <w:rFonts w:ascii="Arial"/>
                <w:sz w:val="21"/>
              </w:rPr>
            </w:pPr>
          </w:p>
          <w:p w14:paraId="3D20B39E">
            <w:pPr>
              <w:pStyle w:val="6"/>
              <w:spacing w:before="99" w:line="196" w:lineRule="auto"/>
              <w:ind w:left="122" w:right="106" w:hanging="5"/>
            </w:pPr>
            <w:r>
              <w:rPr>
                <w:spacing w:val="15"/>
              </w:rPr>
              <w:t>违法所得</w:t>
            </w:r>
            <w:r>
              <w:rPr>
                <w:rFonts w:ascii="宋体" w:hAnsi="宋体" w:eastAsia="宋体" w:cs="宋体"/>
                <w:spacing w:val="15"/>
              </w:rPr>
              <w:t>5</w:t>
            </w:r>
            <w:r>
              <w:rPr>
                <w:spacing w:val="15"/>
              </w:rPr>
              <w:t>万元以</w:t>
            </w:r>
            <w:r>
              <w:rPr>
                <w:spacing w:val="-1"/>
              </w:rPr>
              <w:t>上</w:t>
            </w:r>
            <w:r>
              <w:rPr>
                <w:rFonts w:ascii="宋体" w:hAnsi="宋体" w:eastAsia="宋体" w:cs="宋体"/>
                <w:spacing w:val="-1"/>
              </w:rPr>
              <w:t>10</w:t>
            </w:r>
            <w:r>
              <w:rPr>
                <w:spacing w:val="-1"/>
              </w:rPr>
              <w:t>万元以下的</w:t>
            </w:r>
          </w:p>
        </w:tc>
        <w:tc>
          <w:tcPr>
            <w:tcW w:w="2894" w:type="dxa"/>
            <w:vAlign w:val="top"/>
          </w:tcPr>
          <w:p w14:paraId="57055184">
            <w:pPr>
              <w:pStyle w:val="6"/>
              <w:spacing w:before="33" w:line="179" w:lineRule="auto"/>
              <w:ind w:left="120" w:right="37" w:firstLine="7"/>
              <w:jc w:val="both"/>
            </w:pPr>
            <w:r>
              <w:rPr>
                <w:spacing w:val="-4"/>
              </w:rPr>
              <w:t>责令改正，没收违法所得，</w:t>
            </w:r>
            <w:r>
              <w:rPr>
                <w:spacing w:val="-1"/>
              </w:rPr>
              <w:t>并处</w:t>
            </w:r>
            <w:r>
              <w:rPr>
                <w:rFonts w:ascii="宋体" w:hAnsi="宋体" w:eastAsia="宋体" w:cs="宋体"/>
                <w:spacing w:val="-1"/>
              </w:rPr>
              <w:t>13</w:t>
            </w:r>
            <w:r>
              <w:rPr>
                <w:spacing w:val="-1"/>
              </w:rPr>
              <w:t>万元以上</w:t>
            </w:r>
            <w:r>
              <w:rPr>
                <w:rFonts w:ascii="宋体" w:hAnsi="宋体" w:eastAsia="宋体" w:cs="宋体"/>
                <w:spacing w:val="-1"/>
              </w:rPr>
              <w:t>17</w:t>
            </w:r>
            <w:r>
              <w:rPr>
                <w:spacing w:val="-1"/>
              </w:rPr>
              <w:t>万元</w:t>
            </w:r>
            <w:r>
              <w:rPr>
                <w:spacing w:val="-3"/>
              </w:rPr>
              <w:t>以下的罚款；拒不改正的，</w:t>
            </w:r>
            <w:r>
              <w:rPr>
                <w:spacing w:val="11"/>
              </w:rPr>
              <w:t>责令停产停业整顿直至吊销其危险化学品安全生产许可证、危险化学品经营</w:t>
            </w:r>
            <w:r>
              <w:rPr>
                <w:spacing w:val="4"/>
              </w:rPr>
              <w:t>许可证</w:t>
            </w:r>
          </w:p>
        </w:tc>
        <w:tc>
          <w:tcPr>
            <w:tcW w:w="811" w:type="dxa"/>
            <w:vMerge w:val="continue"/>
            <w:tcBorders>
              <w:top w:val="nil"/>
              <w:bottom w:val="nil"/>
            </w:tcBorders>
            <w:vAlign w:val="top"/>
          </w:tcPr>
          <w:p w14:paraId="002694D4">
            <w:pPr>
              <w:rPr>
                <w:rFonts w:ascii="Arial"/>
                <w:sz w:val="21"/>
              </w:rPr>
            </w:pPr>
          </w:p>
        </w:tc>
      </w:tr>
      <w:tr w14:paraId="76E89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818" w:type="dxa"/>
            <w:vMerge w:val="continue"/>
            <w:tcBorders>
              <w:top w:val="nil"/>
            </w:tcBorders>
            <w:vAlign w:val="top"/>
          </w:tcPr>
          <w:p w14:paraId="10B7FB18">
            <w:pPr>
              <w:rPr>
                <w:rFonts w:ascii="Arial"/>
                <w:sz w:val="21"/>
              </w:rPr>
            </w:pPr>
          </w:p>
        </w:tc>
        <w:tc>
          <w:tcPr>
            <w:tcW w:w="1440" w:type="dxa"/>
            <w:vMerge w:val="continue"/>
            <w:tcBorders>
              <w:top w:val="nil"/>
            </w:tcBorders>
            <w:vAlign w:val="top"/>
          </w:tcPr>
          <w:p w14:paraId="3B884E7C">
            <w:pPr>
              <w:rPr>
                <w:rFonts w:ascii="Arial"/>
                <w:sz w:val="21"/>
              </w:rPr>
            </w:pPr>
          </w:p>
        </w:tc>
        <w:tc>
          <w:tcPr>
            <w:tcW w:w="3202" w:type="dxa"/>
            <w:vMerge w:val="continue"/>
            <w:tcBorders>
              <w:top w:val="nil"/>
            </w:tcBorders>
            <w:vAlign w:val="top"/>
          </w:tcPr>
          <w:p w14:paraId="5E447619">
            <w:pPr>
              <w:rPr>
                <w:rFonts w:ascii="Arial"/>
                <w:sz w:val="21"/>
              </w:rPr>
            </w:pPr>
          </w:p>
        </w:tc>
        <w:tc>
          <w:tcPr>
            <w:tcW w:w="2859" w:type="dxa"/>
            <w:vMerge w:val="continue"/>
            <w:tcBorders>
              <w:top w:val="nil"/>
            </w:tcBorders>
            <w:vAlign w:val="top"/>
          </w:tcPr>
          <w:p w14:paraId="199E976C">
            <w:pPr>
              <w:rPr>
                <w:rFonts w:ascii="Arial"/>
                <w:sz w:val="21"/>
              </w:rPr>
            </w:pPr>
          </w:p>
        </w:tc>
        <w:tc>
          <w:tcPr>
            <w:tcW w:w="803" w:type="dxa"/>
            <w:vAlign w:val="top"/>
          </w:tcPr>
          <w:p w14:paraId="771BE549">
            <w:pPr>
              <w:spacing w:line="450" w:lineRule="auto"/>
              <w:rPr>
                <w:rFonts w:ascii="Arial"/>
                <w:sz w:val="21"/>
              </w:rPr>
            </w:pPr>
          </w:p>
          <w:p w14:paraId="360C303F">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9545764">
            <w:pPr>
              <w:pStyle w:val="6"/>
              <w:spacing w:before="333" w:line="197" w:lineRule="auto"/>
              <w:ind w:left="122" w:right="106" w:hanging="5"/>
            </w:pPr>
            <w:r>
              <w:rPr>
                <w:spacing w:val="3"/>
              </w:rPr>
              <w:t>违法所得</w:t>
            </w:r>
            <w:r>
              <w:rPr>
                <w:rFonts w:ascii="宋体" w:hAnsi="宋体" w:eastAsia="宋体" w:cs="宋体"/>
                <w:spacing w:val="3"/>
              </w:rPr>
              <w:t>10</w:t>
            </w:r>
            <w:r>
              <w:rPr>
                <w:spacing w:val="3"/>
              </w:rPr>
              <w:t>万元以</w:t>
            </w:r>
            <w:r>
              <w:t>上的</w:t>
            </w:r>
          </w:p>
        </w:tc>
        <w:tc>
          <w:tcPr>
            <w:tcW w:w="2894" w:type="dxa"/>
            <w:vAlign w:val="top"/>
          </w:tcPr>
          <w:p w14:paraId="019E7972">
            <w:pPr>
              <w:pStyle w:val="6"/>
              <w:spacing w:before="32" w:line="177" w:lineRule="auto"/>
              <w:ind w:left="126" w:right="37"/>
              <w:jc w:val="both"/>
            </w:pPr>
            <w:r>
              <w:rPr>
                <w:spacing w:val="-4"/>
              </w:rPr>
              <w:t>责令改正，没收违法所得，</w:t>
            </w:r>
            <w:r>
              <w:rPr>
                <w:spacing w:val="1"/>
              </w:rPr>
              <w:t>并处</w:t>
            </w:r>
            <w:r>
              <w:rPr>
                <w:rFonts w:ascii="宋体" w:hAnsi="宋体" w:eastAsia="宋体" w:cs="宋体"/>
                <w:spacing w:val="1"/>
              </w:rPr>
              <w:t>17</w:t>
            </w:r>
            <w:r>
              <w:rPr>
                <w:spacing w:val="1"/>
              </w:rPr>
              <w:t>万元以上</w:t>
            </w:r>
            <w:r>
              <w:rPr>
                <w:rFonts w:ascii="宋体" w:hAnsi="宋体" w:eastAsia="宋体" w:cs="宋体"/>
                <w:spacing w:val="1"/>
              </w:rPr>
              <w:t>20</w:t>
            </w:r>
            <w:r>
              <w:rPr>
                <w:spacing w:val="1"/>
              </w:rPr>
              <w:t>万元</w:t>
            </w:r>
            <w:r>
              <w:rPr>
                <w:spacing w:val="-3"/>
              </w:rPr>
              <w:t>以下的罚款；拒不改正的，</w:t>
            </w:r>
            <w:r>
              <w:rPr>
                <w:spacing w:val="11"/>
              </w:rPr>
              <w:t>责令停产停业整顿直至吊</w:t>
            </w:r>
          </w:p>
        </w:tc>
        <w:tc>
          <w:tcPr>
            <w:tcW w:w="811" w:type="dxa"/>
            <w:vMerge w:val="continue"/>
            <w:tcBorders>
              <w:top w:val="nil"/>
            </w:tcBorders>
            <w:vAlign w:val="top"/>
          </w:tcPr>
          <w:p w14:paraId="3AEA0F7E">
            <w:pPr>
              <w:rPr>
                <w:rFonts w:ascii="Arial"/>
                <w:sz w:val="21"/>
              </w:rPr>
            </w:pPr>
          </w:p>
        </w:tc>
      </w:tr>
    </w:tbl>
    <w:p w14:paraId="6DF89A62">
      <w:pPr>
        <w:pStyle w:val="2"/>
      </w:pPr>
    </w:p>
    <w:p w14:paraId="6CE544F7">
      <w:pPr>
        <w:sectPr>
          <w:footerReference r:id="rId173" w:type="default"/>
          <w:pgSz w:w="16839" w:h="11906"/>
          <w:pgMar w:top="1012" w:right="821" w:bottom="667" w:left="901" w:header="0" w:footer="388" w:gutter="0"/>
          <w:cols w:space="720" w:num="1"/>
        </w:sectPr>
      </w:pPr>
    </w:p>
    <w:p w14:paraId="34FE7599">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F64A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ECEAF56">
            <w:pPr>
              <w:spacing w:before="222" w:line="241" w:lineRule="auto"/>
              <w:ind w:left="131"/>
              <w:outlineLvl w:val="0"/>
              <w:rPr>
                <w:rFonts w:ascii="黑体" w:hAnsi="黑体" w:eastAsia="黑体" w:cs="黑体"/>
                <w:sz w:val="28"/>
                <w:szCs w:val="28"/>
              </w:rPr>
            </w:pPr>
            <w:bookmarkStart w:id="617" w:name="bookmark571"/>
            <w:bookmarkEnd w:id="617"/>
            <w:bookmarkStart w:id="618" w:name="bookmark318"/>
            <w:bookmarkEnd w:id="618"/>
            <w:r>
              <w:rPr>
                <w:rFonts w:ascii="黑体" w:hAnsi="黑体" w:eastAsia="黑体" w:cs="黑体"/>
                <w:spacing w:val="-2"/>
                <w:sz w:val="28"/>
                <w:szCs w:val="28"/>
              </w:rPr>
              <w:t>序号</w:t>
            </w:r>
          </w:p>
        </w:tc>
        <w:tc>
          <w:tcPr>
            <w:tcW w:w="1440" w:type="dxa"/>
            <w:vAlign w:val="top"/>
          </w:tcPr>
          <w:p w14:paraId="25C51C4F">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F784A91">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6CFBCE0">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A74316E">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553C268">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8528111">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6B6C5EBC">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6B1EF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18" w:type="dxa"/>
            <w:vAlign w:val="top"/>
          </w:tcPr>
          <w:p w14:paraId="22B60D9C">
            <w:pPr>
              <w:rPr>
                <w:rFonts w:ascii="Arial"/>
                <w:sz w:val="21"/>
              </w:rPr>
            </w:pPr>
          </w:p>
        </w:tc>
        <w:tc>
          <w:tcPr>
            <w:tcW w:w="1440" w:type="dxa"/>
            <w:vAlign w:val="top"/>
          </w:tcPr>
          <w:p w14:paraId="53B9B480">
            <w:pPr>
              <w:rPr>
                <w:rFonts w:ascii="Arial"/>
                <w:sz w:val="21"/>
              </w:rPr>
            </w:pPr>
          </w:p>
        </w:tc>
        <w:tc>
          <w:tcPr>
            <w:tcW w:w="3202" w:type="dxa"/>
            <w:vAlign w:val="top"/>
          </w:tcPr>
          <w:p w14:paraId="0E081043">
            <w:pPr>
              <w:rPr>
                <w:rFonts w:ascii="Arial"/>
                <w:sz w:val="21"/>
              </w:rPr>
            </w:pPr>
          </w:p>
        </w:tc>
        <w:tc>
          <w:tcPr>
            <w:tcW w:w="2859" w:type="dxa"/>
            <w:vAlign w:val="top"/>
          </w:tcPr>
          <w:p w14:paraId="31037B34">
            <w:pPr>
              <w:pStyle w:val="6"/>
              <w:spacing w:before="27" w:line="183" w:lineRule="auto"/>
              <w:ind w:left="116" w:right="110" w:firstLine="10"/>
              <w:jc w:val="both"/>
            </w:pPr>
            <w:r>
              <w:rPr>
                <w:spacing w:val="7"/>
              </w:rPr>
              <w:t>可证件或者证明文件的单</w:t>
            </w:r>
            <w:r>
              <w:rPr>
                <w:spacing w:val="8"/>
              </w:rPr>
              <w:t>位销售剧毒化学品、易制</w:t>
            </w:r>
            <w:r>
              <w:rPr>
                <w:spacing w:val="2"/>
              </w:rPr>
              <w:t>爆危险化学品的；</w:t>
            </w:r>
          </w:p>
        </w:tc>
        <w:tc>
          <w:tcPr>
            <w:tcW w:w="803" w:type="dxa"/>
            <w:vAlign w:val="top"/>
          </w:tcPr>
          <w:p w14:paraId="04BF71B0">
            <w:pPr>
              <w:rPr>
                <w:rFonts w:ascii="Arial"/>
                <w:sz w:val="21"/>
              </w:rPr>
            </w:pPr>
          </w:p>
        </w:tc>
        <w:tc>
          <w:tcPr>
            <w:tcW w:w="2283" w:type="dxa"/>
            <w:vAlign w:val="top"/>
          </w:tcPr>
          <w:p w14:paraId="767EC551">
            <w:pPr>
              <w:rPr>
                <w:rFonts w:ascii="Arial"/>
                <w:sz w:val="21"/>
              </w:rPr>
            </w:pPr>
          </w:p>
        </w:tc>
        <w:tc>
          <w:tcPr>
            <w:tcW w:w="2894" w:type="dxa"/>
            <w:vAlign w:val="top"/>
          </w:tcPr>
          <w:p w14:paraId="72EB522F">
            <w:pPr>
              <w:pStyle w:val="6"/>
              <w:spacing w:before="27" w:line="183" w:lineRule="auto"/>
              <w:ind w:left="124" w:right="110" w:hanging="4"/>
              <w:jc w:val="both"/>
            </w:pPr>
            <w:r>
              <w:rPr>
                <w:spacing w:val="11"/>
              </w:rPr>
              <w:t>销其危险化学品安全生产许可证、危险化学品经营</w:t>
            </w:r>
            <w:r>
              <w:rPr>
                <w:spacing w:val="3"/>
              </w:rPr>
              <w:t>许可证</w:t>
            </w:r>
          </w:p>
        </w:tc>
        <w:tc>
          <w:tcPr>
            <w:tcW w:w="811" w:type="dxa"/>
            <w:vAlign w:val="top"/>
          </w:tcPr>
          <w:p w14:paraId="3E6CDCC6">
            <w:pPr>
              <w:rPr>
                <w:rFonts w:ascii="Arial"/>
                <w:sz w:val="21"/>
              </w:rPr>
            </w:pPr>
          </w:p>
        </w:tc>
      </w:tr>
      <w:tr w14:paraId="51B00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4" w:hRule="atLeast"/>
        </w:trPr>
        <w:tc>
          <w:tcPr>
            <w:tcW w:w="818" w:type="dxa"/>
            <w:vMerge w:val="restart"/>
            <w:tcBorders>
              <w:bottom w:val="nil"/>
            </w:tcBorders>
            <w:vAlign w:val="top"/>
          </w:tcPr>
          <w:p w14:paraId="25E02DEE">
            <w:pPr>
              <w:spacing w:line="247" w:lineRule="auto"/>
              <w:rPr>
                <w:rFonts w:ascii="Arial"/>
                <w:sz w:val="21"/>
              </w:rPr>
            </w:pPr>
          </w:p>
          <w:p w14:paraId="05D0949F">
            <w:pPr>
              <w:spacing w:line="247" w:lineRule="auto"/>
              <w:rPr>
                <w:rFonts w:ascii="Arial"/>
                <w:sz w:val="21"/>
              </w:rPr>
            </w:pPr>
          </w:p>
          <w:p w14:paraId="1E4F218F">
            <w:pPr>
              <w:spacing w:line="248" w:lineRule="auto"/>
              <w:rPr>
                <w:rFonts w:ascii="Arial"/>
                <w:sz w:val="21"/>
              </w:rPr>
            </w:pPr>
          </w:p>
          <w:p w14:paraId="17B5FD60">
            <w:pPr>
              <w:spacing w:line="248" w:lineRule="auto"/>
              <w:rPr>
                <w:rFonts w:ascii="Arial"/>
                <w:sz w:val="21"/>
              </w:rPr>
            </w:pPr>
          </w:p>
          <w:p w14:paraId="3C066E5B">
            <w:pPr>
              <w:spacing w:line="248" w:lineRule="auto"/>
              <w:rPr>
                <w:rFonts w:ascii="Arial"/>
                <w:sz w:val="21"/>
              </w:rPr>
            </w:pPr>
          </w:p>
          <w:p w14:paraId="2740A590">
            <w:pPr>
              <w:spacing w:line="248" w:lineRule="auto"/>
              <w:rPr>
                <w:rFonts w:ascii="Arial"/>
                <w:sz w:val="21"/>
              </w:rPr>
            </w:pPr>
          </w:p>
          <w:p w14:paraId="19FF0DB1">
            <w:pPr>
              <w:spacing w:line="248" w:lineRule="auto"/>
              <w:rPr>
                <w:rFonts w:ascii="Arial"/>
                <w:sz w:val="21"/>
              </w:rPr>
            </w:pPr>
          </w:p>
          <w:p w14:paraId="267B76EA">
            <w:pPr>
              <w:spacing w:line="248" w:lineRule="auto"/>
              <w:rPr>
                <w:rFonts w:ascii="Arial"/>
                <w:sz w:val="21"/>
              </w:rPr>
            </w:pPr>
          </w:p>
          <w:p w14:paraId="0E78C789">
            <w:pPr>
              <w:spacing w:line="248" w:lineRule="auto"/>
              <w:rPr>
                <w:rFonts w:ascii="Arial"/>
                <w:sz w:val="21"/>
              </w:rPr>
            </w:pPr>
          </w:p>
          <w:p w14:paraId="6FD766CD">
            <w:pPr>
              <w:spacing w:line="248" w:lineRule="auto"/>
              <w:rPr>
                <w:rFonts w:ascii="Arial"/>
                <w:sz w:val="21"/>
              </w:rPr>
            </w:pPr>
          </w:p>
          <w:p w14:paraId="4A257145">
            <w:pPr>
              <w:spacing w:line="248" w:lineRule="auto"/>
              <w:rPr>
                <w:rFonts w:ascii="Arial"/>
                <w:sz w:val="21"/>
              </w:rPr>
            </w:pPr>
          </w:p>
          <w:p w14:paraId="4E41EE70">
            <w:pPr>
              <w:spacing w:line="248" w:lineRule="auto"/>
              <w:rPr>
                <w:rFonts w:ascii="Arial"/>
                <w:sz w:val="21"/>
              </w:rPr>
            </w:pPr>
          </w:p>
          <w:p w14:paraId="4B06CD75">
            <w:pPr>
              <w:spacing w:line="248" w:lineRule="auto"/>
              <w:rPr>
                <w:rFonts w:ascii="Arial"/>
                <w:sz w:val="21"/>
              </w:rPr>
            </w:pPr>
          </w:p>
          <w:p w14:paraId="0015FFCC">
            <w:pPr>
              <w:spacing w:line="248" w:lineRule="auto"/>
              <w:rPr>
                <w:rFonts w:ascii="Arial"/>
                <w:sz w:val="21"/>
              </w:rPr>
            </w:pPr>
          </w:p>
          <w:p w14:paraId="5B97FF14">
            <w:pPr>
              <w:spacing w:line="248" w:lineRule="auto"/>
              <w:rPr>
                <w:rFonts w:ascii="Arial"/>
                <w:sz w:val="21"/>
              </w:rPr>
            </w:pPr>
          </w:p>
          <w:p w14:paraId="72FF4C94">
            <w:pPr>
              <w:spacing w:before="75" w:line="186" w:lineRule="auto"/>
              <w:ind w:left="161"/>
              <w:rPr>
                <w:rFonts w:ascii="仿宋" w:hAnsi="仿宋" w:eastAsia="仿宋" w:cs="仿宋"/>
                <w:sz w:val="23"/>
                <w:szCs w:val="23"/>
              </w:rPr>
            </w:pPr>
            <w:r>
              <w:rPr>
                <w:rFonts w:ascii="仿宋" w:hAnsi="仿宋" w:eastAsia="仿宋" w:cs="仿宋"/>
                <w:spacing w:val="-5"/>
                <w:sz w:val="23"/>
                <w:szCs w:val="23"/>
              </w:rPr>
              <w:t>155</w:t>
            </w:r>
          </w:p>
        </w:tc>
        <w:tc>
          <w:tcPr>
            <w:tcW w:w="1440" w:type="dxa"/>
            <w:vMerge w:val="restart"/>
            <w:tcBorders>
              <w:bottom w:val="nil"/>
            </w:tcBorders>
            <w:vAlign w:val="top"/>
          </w:tcPr>
          <w:p w14:paraId="4013C004">
            <w:pPr>
              <w:spacing w:line="246" w:lineRule="auto"/>
              <w:rPr>
                <w:rFonts w:ascii="Arial"/>
                <w:sz w:val="21"/>
              </w:rPr>
            </w:pPr>
          </w:p>
          <w:p w14:paraId="16AD5DBB">
            <w:pPr>
              <w:spacing w:line="246" w:lineRule="auto"/>
              <w:rPr>
                <w:rFonts w:ascii="Arial"/>
                <w:sz w:val="21"/>
              </w:rPr>
            </w:pPr>
          </w:p>
          <w:p w14:paraId="14A56B65">
            <w:pPr>
              <w:spacing w:line="246" w:lineRule="auto"/>
              <w:rPr>
                <w:rFonts w:ascii="Arial"/>
                <w:sz w:val="21"/>
              </w:rPr>
            </w:pPr>
          </w:p>
          <w:p w14:paraId="2F98FEEF">
            <w:pPr>
              <w:spacing w:line="246" w:lineRule="auto"/>
              <w:rPr>
                <w:rFonts w:ascii="Arial"/>
                <w:sz w:val="21"/>
              </w:rPr>
            </w:pPr>
          </w:p>
          <w:p w14:paraId="3DD2B647">
            <w:pPr>
              <w:spacing w:line="246" w:lineRule="auto"/>
              <w:rPr>
                <w:rFonts w:ascii="Arial"/>
                <w:sz w:val="21"/>
              </w:rPr>
            </w:pPr>
          </w:p>
          <w:p w14:paraId="69ECE7E9">
            <w:pPr>
              <w:spacing w:line="246" w:lineRule="auto"/>
              <w:rPr>
                <w:rFonts w:ascii="Arial"/>
                <w:sz w:val="21"/>
              </w:rPr>
            </w:pPr>
          </w:p>
          <w:p w14:paraId="410BEC32">
            <w:pPr>
              <w:spacing w:line="246" w:lineRule="auto"/>
              <w:rPr>
                <w:rFonts w:ascii="Arial"/>
                <w:sz w:val="21"/>
              </w:rPr>
            </w:pPr>
          </w:p>
          <w:p w14:paraId="34D4AA59">
            <w:pPr>
              <w:spacing w:line="246" w:lineRule="auto"/>
              <w:rPr>
                <w:rFonts w:ascii="Arial"/>
                <w:sz w:val="21"/>
              </w:rPr>
            </w:pPr>
          </w:p>
          <w:p w14:paraId="7FD7C37C">
            <w:pPr>
              <w:spacing w:line="246" w:lineRule="auto"/>
              <w:rPr>
                <w:rFonts w:ascii="Arial"/>
                <w:sz w:val="21"/>
              </w:rPr>
            </w:pPr>
          </w:p>
          <w:p w14:paraId="019ADC90">
            <w:pPr>
              <w:spacing w:line="247" w:lineRule="auto"/>
              <w:rPr>
                <w:rFonts w:ascii="Arial"/>
                <w:sz w:val="21"/>
              </w:rPr>
            </w:pPr>
          </w:p>
          <w:p w14:paraId="0AECDCBF">
            <w:pPr>
              <w:pStyle w:val="6"/>
              <w:spacing w:before="98" w:line="185" w:lineRule="auto"/>
              <w:ind w:left="114" w:right="111"/>
            </w:pPr>
            <w:r>
              <w:rPr>
                <w:spacing w:val="11"/>
              </w:rPr>
              <w:t>危险化学品</w:t>
            </w:r>
            <w:r>
              <w:rPr>
                <w:spacing w:val="6"/>
              </w:rPr>
              <w:t>生产企业、</w:t>
            </w:r>
            <w:r>
              <w:rPr>
                <w:spacing w:val="11"/>
              </w:rPr>
              <w:t>经营企业不按照剧毒化学品购买许可证载明的品种、数量销售剧毒化</w:t>
            </w:r>
            <w:r>
              <w:rPr>
                <w:spacing w:val="5"/>
              </w:rPr>
              <w:t>学品的</w:t>
            </w:r>
          </w:p>
        </w:tc>
        <w:tc>
          <w:tcPr>
            <w:tcW w:w="3202" w:type="dxa"/>
            <w:vMerge w:val="restart"/>
            <w:tcBorders>
              <w:bottom w:val="nil"/>
            </w:tcBorders>
            <w:vAlign w:val="top"/>
          </w:tcPr>
          <w:p w14:paraId="1B91F53D">
            <w:pPr>
              <w:pStyle w:val="6"/>
              <w:spacing w:before="36" w:line="184" w:lineRule="auto"/>
              <w:ind w:left="116" w:right="21" w:hanging="18"/>
            </w:pPr>
            <w:r>
              <w:rPr>
                <w:spacing w:val="18"/>
              </w:rPr>
              <w:t>【行政法规】《危险化学品</w:t>
            </w:r>
            <w:r>
              <w:rPr>
                <w:spacing w:val="17"/>
              </w:rPr>
              <w:t>安全管理条例》第四十条第</w:t>
            </w:r>
            <w:r>
              <w:rPr>
                <w:spacing w:val="5"/>
              </w:rPr>
              <w:t>一款：危险化学品生产企业、</w:t>
            </w:r>
            <w:r>
              <w:rPr>
                <w:spacing w:val="15"/>
              </w:rPr>
              <w:t>经营企业销售剧毒化学品、</w:t>
            </w:r>
            <w:r>
              <w:rPr>
                <w:spacing w:val="13"/>
              </w:rPr>
              <w:t>易制爆危险化学品，应当查</w:t>
            </w:r>
            <w:r>
              <w:rPr>
                <w:spacing w:val="34"/>
              </w:rPr>
              <w:t>验本条例第三十八条第一</w:t>
            </w:r>
            <w:r>
              <w:rPr>
                <w:spacing w:val="17"/>
              </w:rPr>
              <w:t>款、第二款规定的相关许可</w:t>
            </w:r>
            <w:r>
              <w:rPr>
                <w:spacing w:val="13"/>
              </w:rPr>
              <w:t>证件或者证明文件，不得向</w:t>
            </w:r>
            <w:r>
              <w:rPr>
                <w:spacing w:val="17"/>
              </w:rPr>
              <w:t>不具有相关许可证件或者证明文件的单位销售剧毒化学品、易制爆危险化学品。对持剧毒化学品购买许可证购</w:t>
            </w:r>
            <w:r>
              <w:rPr>
                <w:spacing w:val="13"/>
              </w:rPr>
              <w:t>买剧毒化学品的，应当按照</w:t>
            </w:r>
            <w:r>
              <w:rPr>
                <w:spacing w:val="17"/>
              </w:rPr>
              <w:t>许可证载明的品种、数量销</w:t>
            </w:r>
            <w:r>
              <w:rPr>
                <w:spacing w:val="-7"/>
              </w:rPr>
              <w:t>售。</w:t>
            </w:r>
          </w:p>
        </w:tc>
        <w:tc>
          <w:tcPr>
            <w:tcW w:w="2859" w:type="dxa"/>
            <w:vMerge w:val="restart"/>
            <w:tcBorders>
              <w:bottom w:val="nil"/>
            </w:tcBorders>
            <w:vAlign w:val="top"/>
          </w:tcPr>
          <w:p w14:paraId="6755C7E4">
            <w:pPr>
              <w:pStyle w:val="6"/>
              <w:spacing w:before="25" w:line="184" w:lineRule="auto"/>
              <w:ind w:left="114" w:right="38" w:hanging="17"/>
            </w:pPr>
            <w:r>
              <w:rPr>
                <w:spacing w:val="10"/>
              </w:rPr>
              <w:t>【行政法规】《危险化学</w:t>
            </w:r>
            <w:r>
              <w:rPr>
                <w:spacing w:val="8"/>
              </w:rPr>
              <w:t>品安全管理条例》第八十四条第一款第二项：危险化学品生产企业、经营企</w:t>
            </w:r>
            <w:r>
              <w:rPr>
                <w:spacing w:val="2"/>
              </w:rPr>
              <w:t>业有下列情形之一的，由</w:t>
            </w:r>
            <w:r>
              <w:rPr>
                <w:spacing w:val="8"/>
              </w:rPr>
              <w:t>安全生产监督管理部门责</w:t>
            </w:r>
            <w:r>
              <w:rPr>
                <w:spacing w:val="3"/>
              </w:rPr>
              <w:t>令改正，没收违法所得，</w:t>
            </w:r>
            <w:r>
              <w:rPr>
                <w:spacing w:val="-1"/>
              </w:rPr>
              <w:t>并处</w:t>
            </w:r>
            <w:r>
              <w:rPr>
                <w:rFonts w:ascii="宋体" w:hAnsi="宋体" w:eastAsia="宋体" w:cs="宋体"/>
                <w:spacing w:val="-1"/>
              </w:rPr>
              <w:t>10</w:t>
            </w:r>
            <w:r>
              <w:rPr>
                <w:spacing w:val="-1"/>
              </w:rPr>
              <w:t>万元以上</w:t>
            </w:r>
            <w:r>
              <w:rPr>
                <w:rFonts w:ascii="宋体" w:hAnsi="宋体" w:eastAsia="宋体" w:cs="宋体"/>
                <w:spacing w:val="-1"/>
              </w:rPr>
              <w:t>20</w:t>
            </w:r>
            <w:r>
              <w:rPr>
                <w:spacing w:val="-1"/>
              </w:rPr>
              <w:t>万元</w:t>
            </w:r>
            <w:r>
              <w:rPr>
                <w:spacing w:val="-5"/>
              </w:rPr>
              <w:t>以下的罚款；拒不改正的，</w:t>
            </w:r>
            <w:r>
              <w:rPr>
                <w:spacing w:val="8"/>
              </w:rPr>
              <w:t>责令停产停业整顿直至吊销其危险化学品安全生产许可证、危险化学品经营</w:t>
            </w:r>
            <w:r>
              <w:rPr>
                <w:spacing w:val="4"/>
              </w:rPr>
              <w:t>许可证，并由工商行政管</w:t>
            </w:r>
            <w:r>
              <w:rPr>
                <w:spacing w:val="8"/>
              </w:rPr>
              <w:t>理部门责令其办理经营范围变更登记或者吊销其营</w:t>
            </w:r>
            <w:r>
              <w:rPr>
                <w:spacing w:val="6"/>
              </w:rPr>
              <w:t>业执照</w:t>
            </w:r>
            <w:r>
              <w:rPr>
                <w:spacing w:val="1"/>
              </w:rPr>
              <w:t>：（</w:t>
            </w:r>
            <w:r>
              <w:rPr>
                <w:spacing w:val="6"/>
              </w:rPr>
              <w:t>二）不按照剧</w:t>
            </w:r>
            <w:r>
              <w:rPr>
                <w:spacing w:val="8"/>
              </w:rPr>
              <w:t>毒化学品购买许可证载明的品种、数量销售剧毒化</w:t>
            </w:r>
            <w:r>
              <w:rPr>
                <w:spacing w:val="-4"/>
              </w:rPr>
              <w:t>学品的；</w:t>
            </w:r>
          </w:p>
        </w:tc>
        <w:tc>
          <w:tcPr>
            <w:tcW w:w="803" w:type="dxa"/>
            <w:vAlign w:val="top"/>
          </w:tcPr>
          <w:p w14:paraId="66872EBF">
            <w:pPr>
              <w:spacing w:line="276" w:lineRule="auto"/>
              <w:rPr>
                <w:rFonts w:ascii="Arial"/>
                <w:sz w:val="21"/>
              </w:rPr>
            </w:pPr>
          </w:p>
          <w:p w14:paraId="55015500">
            <w:pPr>
              <w:spacing w:line="276" w:lineRule="auto"/>
              <w:rPr>
                <w:rFonts w:ascii="Arial"/>
                <w:sz w:val="21"/>
              </w:rPr>
            </w:pPr>
          </w:p>
          <w:p w14:paraId="36EA9214">
            <w:pPr>
              <w:spacing w:line="277" w:lineRule="auto"/>
              <w:rPr>
                <w:rFonts w:ascii="Arial"/>
                <w:sz w:val="21"/>
              </w:rPr>
            </w:pPr>
          </w:p>
          <w:p w14:paraId="3AAE997D">
            <w:pPr>
              <w:spacing w:line="277" w:lineRule="auto"/>
              <w:rPr>
                <w:rFonts w:ascii="Arial"/>
                <w:sz w:val="21"/>
              </w:rPr>
            </w:pPr>
          </w:p>
          <w:p w14:paraId="143DA91A">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6DE8D29B">
            <w:pPr>
              <w:spacing w:line="247" w:lineRule="auto"/>
              <w:rPr>
                <w:rFonts w:ascii="Arial"/>
                <w:sz w:val="21"/>
              </w:rPr>
            </w:pPr>
          </w:p>
          <w:p w14:paraId="6F0648F5">
            <w:pPr>
              <w:spacing w:line="247" w:lineRule="auto"/>
              <w:rPr>
                <w:rFonts w:ascii="Arial"/>
                <w:sz w:val="21"/>
              </w:rPr>
            </w:pPr>
          </w:p>
          <w:p w14:paraId="2B4C47AE">
            <w:pPr>
              <w:spacing w:line="248" w:lineRule="auto"/>
              <w:rPr>
                <w:rFonts w:ascii="Arial"/>
                <w:sz w:val="21"/>
              </w:rPr>
            </w:pPr>
          </w:p>
          <w:p w14:paraId="0ACF225E">
            <w:pPr>
              <w:pStyle w:val="6"/>
              <w:spacing w:before="99" w:line="192" w:lineRule="auto"/>
              <w:ind w:left="128" w:right="109" w:hanging="1"/>
              <w:jc w:val="both"/>
            </w:pPr>
            <w:r>
              <w:rPr>
                <w:spacing w:val="25"/>
              </w:rPr>
              <w:t>没有违法所得或违</w:t>
            </w:r>
            <w:r>
              <w:rPr>
                <w:spacing w:val="14"/>
              </w:rPr>
              <w:t>法所得</w:t>
            </w:r>
            <w:r>
              <w:rPr>
                <w:rFonts w:ascii="宋体" w:hAnsi="宋体" w:eastAsia="宋体" w:cs="宋体"/>
                <w:spacing w:val="14"/>
              </w:rPr>
              <w:t>5</w:t>
            </w:r>
            <w:r>
              <w:rPr>
                <w:spacing w:val="14"/>
              </w:rPr>
              <w:t>万元以下</w:t>
            </w:r>
            <w:r>
              <w:t>的</w:t>
            </w:r>
          </w:p>
        </w:tc>
        <w:tc>
          <w:tcPr>
            <w:tcW w:w="2894" w:type="dxa"/>
            <w:vAlign w:val="top"/>
          </w:tcPr>
          <w:p w14:paraId="7B10F3FB">
            <w:pPr>
              <w:pStyle w:val="6"/>
              <w:spacing w:before="249" w:line="186" w:lineRule="auto"/>
              <w:ind w:left="120" w:right="37" w:firstLine="7"/>
              <w:jc w:val="both"/>
            </w:pPr>
            <w:r>
              <w:rPr>
                <w:spacing w:val="-4"/>
              </w:rPr>
              <w:t>责令改正，没收违法所得，</w:t>
            </w:r>
            <w:r>
              <w:rPr>
                <w:spacing w:val="-1"/>
              </w:rPr>
              <w:t>并处</w:t>
            </w:r>
            <w:r>
              <w:rPr>
                <w:rFonts w:ascii="宋体" w:hAnsi="宋体" w:eastAsia="宋体" w:cs="宋体"/>
                <w:spacing w:val="-1"/>
              </w:rPr>
              <w:t>10</w:t>
            </w:r>
            <w:r>
              <w:rPr>
                <w:spacing w:val="-1"/>
              </w:rPr>
              <w:t>万元以上</w:t>
            </w:r>
            <w:r>
              <w:rPr>
                <w:rFonts w:ascii="宋体" w:hAnsi="宋体" w:eastAsia="宋体" w:cs="宋体"/>
                <w:spacing w:val="-1"/>
              </w:rPr>
              <w:t>13</w:t>
            </w:r>
            <w:r>
              <w:rPr>
                <w:spacing w:val="-1"/>
              </w:rPr>
              <w:t>万元</w:t>
            </w:r>
            <w:r>
              <w:rPr>
                <w:spacing w:val="-3"/>
              </w:rPr>
              <w:t>以下的罚款；拒不改正的，</w:t>
            </w:r>
            <w:r>
              <w:rPr>
                <w:spacing w:val="11"/>
              </w:rPr>
              <w:t>责令停产停业整顿直至吊销其危险化学品安全生产许可证、危险化学品经营</w:t>
            </w:r>
            <w:r>
              <w:rPr>
                <w:spacing w:val="4"/>
              </w:rPr>
              <w:t>许可证</w:t>
            </w:r>
          </w:p>
        </w:tc>
        <w:tc>
          <w:tcPr>
            <w:tcW w:w="811" w:type="dxa"/>
            <w:vMerge w:val="restart"/>
            <w:tcBorders>
              <w:bottom w:val="nil"/>
            </w:tcBorders>
            <w:vAlign w:val="top"/>
          </w:tcPr>
          <w:p w14:paraId="590440F3">
            <w:pPr>
              <w:spacing w:line="247" w:lineRule="auto"/>
              <w:rPr>
                <w:rFonts w:ascii="Arial"/>
                <w:sz w:val="21"/>
              </w:rPr>
            </w:pPr>
          </w:p>
          <w:p w14:paraId="5F892410">
            <w:pPr>
              <w:spacing w:line="247" w:lineRule="auto"/>
              <w:rPr>
                <w:rFonts w:ascii="Arial"/>
                <w:sz w:val="21"/>
              </w:rPr>
            </w:pPr>
          </w:p>
          <w:p w14:paraId="272889ED">
            <w:pPr>
              <w:spacing w:line="247" w:lineRule="auto"/>
              <w:rPr>
                <w:rFonts w:ascii="Arial"/>
                <w:sz w:val="21"/>
              </w:rPr>
            </w:pPr>
          </w:p>
          <w:p w14:paraId="11F982A5">
            <w:pPr>
              <w:spacing w:line="247" w:lineRule="auto"/>
              <w:rPr>
                <w:rFonts w:ascii="Arial"/>
                <w:sz w:val="21"/>
              </w:rPr>
            </w:pPr>
          </w:p>
          <w:p w14:paraId="75C39B95">
            <w:pPr>
              <w:spacing w:line="247" w:lineRule="auto"/>
              <w:rPr>
                <w:rFonts w:ascii="Arial"/>
                <w:sz w:val="21"/>
              </w:rPr>
            </w:pPr>
          </w:p>
          <w:p w14:paraId="174B6659">
            <w:pPr>
              <w:spacing w:line="247" w:lineRule="auto"/>
              <w:rPr>
                <w:rFonts w:ascii="Arial"/>
                <w:sz w:val="21"/>
              </w:rPr>
            </w:pPr>
          </w:p>
          <w:p w14:paraId="4E3880A0">
            <w:pPr>
              <w:spacing w:line="248" w:lineRule="auto"/>
              <w:rPr>
                <w:rFonts w:ascii="Arial"/>
                <w:sz w:val="21"/>
              </w:rPr>
            </w:pPr>
          </w:p>
          <w:p w14:paraId="79C4C6CB">
            <w:pPr>
              <w:spacing w:line="248" w:lineRule="auto"/>
              <w:rPr>
                <w:rFonts w:ascii="Arial"/>
                <w:sz w:val="21"/>
              </w:rPr>
            </w:pPr>
          </w:p>
          <w:p w14:paraId="67CFE5EC">
            <w:pPr>
              <w:spacing w:line="248" w:lineRule="auto"/>
              <w:rPr>
                <w:rFonts w:ascii="Arial"/>
                <w:sz w:val="21"/>
              </w:rPr>
            </w:pPr>
          </w:p>
          <w:p w14:paraId="417CE6A1">
            <w:pPr>
              <w:spacing w:line="248" w:lineRule="auto"/>
              <w:rPr>
                <w:rFonts w:ascii="Arial"/>
                <w:sz w:val="21"/>
              </w:rPr>
            </w:pPr>
          </w:p>
          <w:p w14:paraId="1076C78A">
            <w:pPr>
              <w:spacing w:line="248" w:lineRule="auto"/>
              <w:rPr>
                <w:rFonts w:ascii="Arial"/>
                <w:sz w:val="21"/>
              </w:rPr>
            </w:pPr>
          </w:p>
          <w:p w14:paraId="74E25321">
            <w:pPr>
              <w:spacing w:line="248" w:lineRule="auto"/>
              <w:rPr>
                <w:rFonts w:ascii="Arial"/>
                <w:sz w:val="21"/>
              </w:rPr>
            </w:pPr>
          </w:p>
          <w:p w14:paraId="6A8DE34B">
            <w:pPr>
              <w:spacing w:line="248" w:lineRule="auto"/>
              <w:rPr>
                <w:rFonts w:ascii="Arial"/>
                <w:sz w:val="21"/>
              </w:rPr>
            </w:pPr>
          </w:p>
          <w:p w14:paraId="5F922379">
            <w:pPr>
              <w:spacing w:line="248" w:lineRule="auto"/>
              <w:rPr>
                <w:rFonts w:ascii="Arial"/>
                <w:sz w:val="21"/>
              </w:rPr>
            </w:pPr>
          </w:p>
          <w:p w14:paraId="4E89875C">
            <w:pPr>
              <w:spacing w:line="248" w:lineRule="auto"/>
              <w:rPr>
                <w:rFonts w:ascii="Arial"/>
                <w:sz w:val="21"/>
              </w:rPr>
            </w:pPr>
          </w:p>
          <w:p w14:paraId="352991C0">
            <w:pPr>
              <w:spacing w:before="75" w:line="189" w:lineRule="auto"/>
              <w:ind w:left="248"/>
              <w:rPr>
                <w:rFonts w:ascii="宋体" w:hAnsi="宋体" w:eastAsia="宋体" w:cs="宋体"/>
                <w:sz w:val="23"/>
                <w:szCs w:val="23"/>
              </w:rPr>
            </w:pPr>
            <w:r>
              <w:rPr>
                <w:rFonts w:ascii="宋体" w:hAnsi="宋体" w:eastAsia="宋体" w:cs="宋体"/>
                <w:spacing w:val="-6"/>
                <w:sz w:val="23"/>
                <w:szCs w:val="23"/>
              </w:rPr>
              <w:t>102</w:t>
            </w:r>
          </w:p>
        </w:tc>
      </w:tr>
      <w:tr w14:paraId="40B4C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6" w:hRule="atLeast"/>
        </w:trPr>
        <w:tc>
          <w:tcPr>
            <w:tcW w:w="818" w:type="dxa"/>
            <w:vMerge w:val="continue"/>
            <w:tcBorders>
              <w:top w:val="nil"/>
              <w:bottom w:val="nil"/>
            </w:tcBorders>
            <w:vAlign w:val="top"/>
          </w:tcPr>
          <w:p w14:paraId="2D521500">
            <w:pPr>
              <w:rPr>
                <w:rFonts w:ascii="Arial"/>
                <w:sz w:val="21"/>
              </w:rPr>
            </w:pPr>
          </w:p>
        </w:tc>
        <w:tc>
          <w:tcPr>
            <w:tcW w:w="1440" w:type="dxa"/>
            <w:vMerge w:val="continue"/>
            <w:tcBorders>
              <w:top w:val="nil"/>
              <w:bottom w:val="nil"/>
            </w:tcBorders>
            <w:vAlign w:val="top"/>
          </w:tcPr>
          <w:p w14:paraId="41A6B55F">
            <w:pPr>
              <w:rPr>
                <w:rFonts w:ascii="Arial"/>
                <w:sz w:val="21"/>
              </w:rPr>
            </w:pPr>
          </w:p>
        </w:tc>
        <w:tc>
          <w:tcPr>
            <w:tcW w:w="3202" w:type="dxa"/>
            <w:vMerge w:val="continue"/>
            <w:tcBorders>
              <w:top w:val="nil"/>
              <w:bottom w:val="nil"/>
            </w:tcBorders>
            <w:vAlign w:val="top"/>
          </w:tcPr>
          <w:p w14:paraId="6A155BDC">
            <w:pPr>
              <w:rPr>
                <w:rFonts w:ascii="Arial"/>
                <w:sz w:val="21"/>
              </w:rPr>
            </w:pPr>
          </w:p>
        </w:tc>
        <w:tc>
          <w:tcPr>
            <w:tcW w:w="2859" w:type="dxa"/>
            <w:vMerge w:val="continue"/>
            <w:tcBorders>
              <w:top w:val="nil"/>
              <w:bottom w:val="nil"/>
            </w:tcBorders>
            <w:vAlign w:val="top"/>
          </w:tcPr>
          <w:p w14:paraId="3F95D1B9">
            <w:pPr>
              <w:rPr>
                <w:rFonts w:ascii="Arial"/>
                <w:sz w:val="21"/>
              </w:rPr>
            </w:pPr>
          </w:p>
        </w:tc>
        <w:tc>
          <w:tcPr>
            <w:tcW w:w="803" w:type="dxa"/>
            <w:vAlign w:val="top"/>
          </w:tcPr>
          <w:p w14:paraId="72F6E1AA">
            <w:pPr>
              <w:spacing w:line="290" w:lineRule="auto"/>
              <w:rPr>
                <w:rFonts w:ascii="Arial"/>
                <w:sz w:val="21"/>
              </w:rPr>
            </w:pPr>
          </w:p>
          <w:p w14:paraId="4F6B1F42">
            <w:pPr>
              <w:spacing w:line="290" w:lineRule="auto"/>
              <w:rPr>
                <w:rFonts w:ascii="Arial"/>
                <w:sz w:val="21"/>
              </w:rPr>
            </w:pPr>
          </w:p>
          <w:p w14:paraId="7C70C291">
            <w:pPr>
              <w:spacing w:line="290" w:lineRule="auto"/>
              <w:rPr>
                <w:rFonts w:ascii="Arial"/>
                <w:sz w:val="21"/>
              </w:rPr>
            </w:pPr>
          </w:p>
          <w:p w14:paraId="13D994C2">
            <w:pPr>
              <w:spacing w:line="290" w:lineRule="auto"/>
              <w:rPr>
                <w:rFonts w:ascii="Arial"/>
                <w:sz w:val="21"/>
              </w:rPr>
            </w:pPr>
          </w:p>
          <w:p w14:paraId="68E931A3">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5A691603">
            <w:pPr>
              <w:spacing w:line="313" w:lineRule="auto"/>
              <w:rPr>
                <w:rFonts w:ascii="Arial"/>
                <w:sz w:val="21"/>
              </w:rPr>
            </w:pPr>
          </w:p>
          <w:p w14:paraId="4C816F17">
            <w:pPr>
              <w:spacing w:line="313" w:lineRule="auto"/>
              <w:rPr>
                <w:rFonts w:ascii="Arial"/>
                <w:sz w:val="21"/>
              </w:rPr>
            </w:pPr>
          </w:p>
          <w:p w14:paraId="7B5FF47E">
            <w:pPr>
              <w:spacing w:line="314" w:lineRule="auto"/>
              <w:rPr>
                <w:rFonts w:ascii="Arial"/>
                <w:sz w:val="21"/>
              </w:rPr>
            </w:pPr>
          </w:p>
          <w:p w14:paraId="0672C70B">
            <w:pPr>
              <w:pStyle w:val="6"/>
              <w:spacing w:before="99" w:line="196" w:lineRule="auto"/>
              <w:ind w:left="122" w:right="106" w:hanging="5"/>
            </w:pPr>
            <w:r>
              <w:rPr>
                <w:spacing w:val="15"/>
              </w:rPr>
              <w:t>违法所得</w:t>
            </w:r>
            <w:r>
              <w:rPr>
                <w:rFonts w:ascii="宋体" w:hAnsi="宋体" w:eastAsia="宋体" w:cs="宋体"/>
                <w:spacing w:val="15"/>
              </w:rPr>
              <w:t>5</w:t>
            </w:r>
            <w:r>
              <w:rPr>
                <w:spacing w:val="15"/>
              </w:rPr>
              <w:t>万元以</w:t>
            </w:r>
            <w:r>
              <w:rPr>
                <w:spacing w:val="-1"/>
              </w:rPr>
              <w:t>上</w:t>
            </w:r>
            <w:r>
              <w:rPr>
                <w:rFonts w:ascii="宋体" w:hAnsi="宋体" w:eastAsia="宋体" w:cs="宋体"/>
                <w:spacing w:val="-1"/>
              </w:rPr>
              <w:t>10</w:t>
            </w:r>
            <w:r>
              <w:rPr>
                <w:spacing w:val="-1"/>
              </w:rPr>
              <w:t>万元以下的</w:t>
            </w:r>
          </w:p>
        </w:tc>
        <w:tc>
          <w:tcPr>
            <w:tcW w:w="2894" w:type="dxa"/>
            <w:vAlign w:val="top"/>
          </w:tcPr>
          <w:p w14:paraId="2F7B9870">
            <w:pPr>
              <w:pStyle w:val="6"/>
              <w:spacing w:before="302" w:line="186" w:lineRule="auto"/>
              <w:ind w:left="120" w:right="37" w:firstLine="7"/>
              <w:jc w:val="both"/>
            </w:pPr>
            <w:r>
              <w:rPr>
                <w:spacing w:val="-4"/>
              </w:rPr>
              <w:t>责令改正，没收违法所得，</w:t>
            </w:r>
            <w:r>
              <w:rPr>
                <w:spacing w:val="-1"/>
              </w:rPr>
              <w:t>并处</w:t>
            </w:r>
            <w:r>
              <w:rPr>
                <w:rFonts w:ascii="宋体" w:hAnsi="宋体" w:eastAsia="宋体" w:cs="宋体"/>
                <w:spacing w:val="-1"/>
              </w:rPr>
              <w:t>13</w:t>
            </w:r>
            <w:r>
              <w:rPr>
                <w:spacing w:val="-1"/>
              </w:rPr>
              <w:t>万元以上</w:t>
            </w:r>
            <w:r>
              <w:rPr>
                <w:rFonts w:ascii="宋体" w:hAnsi="宋体" w:eastAsia="宋体" w:cs="宋体"/>
                <w:spacing w:val="-1"/>
              </w:rPr>
              <w:t>17</w:t>
            </w:r>
            <w:r>
              <w:rPr>
                <w:spacing w:val="-1"/>
              </w:rPr>
              <w:t>万元</w:t>
            </w:r>
            <w:r>
              <w:rPr>
                <w:spacing w:val="-3"/>
              </w:rPr>
              <w:t>以下的罚款；拒不改正的，</w:t>
            </w:r>
            <w:r>
              <w:rPr>
                <w:spacing w:val="11"/>
              </w:rPr>
              <w:t>责令停产停业整顿直至吊销其危险化学品安全生产许可证、危险化学品经营</w:t>
            </w:r>
            <w:r>
              <w:rPr>
                <w:spacing w:val="4"/>
              </w:rPr>
              <w:t>许可证</w:t>
            </w:r>
          </w:p>
        </w:tc>
        <w:tc>
          <w:tcPr>
            <w:tcW w:w="811" w:type="dxa"/>
            <w:vMerge w:val="continue"/>
            <w:tcBorders>
              <w:top w:val="nil"/>
              <w:bottom w:val="nil"/>
            </w:tcBorders>
            <w:vAlign w:val="top"/>
          </w:tcPr>
          <w:p w14:paraId="098CD5BB">
            <w:pPr>
              <w:rPr>
                <w:rFonts w:ascii="Arial"/>
                <w:sz w:val="21"/>
              </w:rPr>
            </w:pPr>
          </w:p>
        </w:tc>
      </w:tr>
      <w:tr w14:paraId="7D7F8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3" w:hRule="atLeast"/>
        </w:trPr>
        <w:tc>
          <w:tcPr>
            <w:tcW w:w="818" w:type="dxa"/>
            <w:vMerge w:val="continue"/>
            <w:tcBorders>
              <w:top w:val="nil"/>
            </w:tcBorders>
            <w:vAlign w:val="top"/>
          </w:tcPr>
          <w:p w14:paraId="1AA5B86D">
            <w:pPr>
              <w:rPr>
                <w:rFonts w:ascii="Arial"/>
                <w:sz w:val="21"/>
              </w:rPr>
            </w:pPr>
          </w:p>
        </w:tc>
        <w:tc>
          <w:tcPr>
            <w:tcW w:w="1440" w:type="dxa"/>
            <w:vMerge w:val="continue"/>
            <w:tcBorders>
              <w:top w:val="nil"/>
            </w:tcBorders>
            <w:vAlign w:val="top"/>
          </w:tcPr>
          <w:p w14:paraId="0466D331">
            <w:pPr>
              <w:rPr>
                <w:rFonts w:ascii="Arial"/>
                <w:sz w:val="21"/>
              </w:rPr>
            </w:pPr>
          </w:p>
        </w:tc>
        <w:tc>
          <w:tcPr>
            <w:tcW w:w="3202" w:type="dxa"/>
            <w:vMerge w:val="continue"/>
            <w:tcBorders>
              <w:top w:val="nil"/>
            </w:tcBorders>
            <w:vAlign w:val="top"/>
          </w:tcPr>
          <w:p w14:paraId="5FACE80C">
            <w:pPr>
              <w:rPr>
                <w:rFonts w:ascii="Arial"/>
                <w:sz w:val="21"/>
              </w:rPr>
            </w:pPr>
          </w:p>
        </w:tc>
        <w:tc>
          <w:tcPr>
            <w:tcW w:w="2859" w:type="dxa"/>
            <w:vMerge w:val="continue"/>
            <w:tcBorders>
              <w:top w:val="nil"/>
            </w:tcBorders>
            <w:vAlign w:val="top"/>
          </w:tcPr>
          <w:p w14:paraId="30EAF2DB">
            <w:pPr>
              <w:rPr>
                <w:rFonts w:ascii="Arial"/>
                <w:sz w:val="21"/>
              </w:rPr>
            </w:pPr>
          </w:p>
        </w:tc>
        <w:tc>
          <w:tcPr>
            <w:tcW w:w="803" w:type="dxa"/>
            <w:vAlign w:val="top"/>
          </w:tcPr>
          <w:p w14:paraId="2E082CC0">
            <w:pPr>
              <w:spacing w:line="286" w:lineRule="auto"/>
              <w:rPr>
                <w:rFonts w:ascii="Arial"/>
                <w:sz w:val="21"/>
              </w:rPr>
            </w:pPr>
          </w:p>
          <w:p w14:paraId="27BB4F55">
            <w:pPr>
              <w:spacing w:line="286" w:lineRule="auto"/>
              <w:rPr>
                <w:rFonts w:ascii="Arial"/>
                <w:sz w:val="21"/>
              </w:rPr>
            </w:pPr>
          </w:p>
          <w:p w14:paraId="529C7C48">
            <w:pPr>
              <w:spacing w:line="286" w:lineRule="auto"/>
              <w:rPr>
                <w:rFonts w:ascii="Arial"/>
                <w:sz w:val="21"/>
              </w:rPr>
            </w:pPr>
          </w:p>
          <w:p w14:paraId="3EE97375">
            <w:pPr>
              <w:spacing w:line="286" w:lineRule="auto"/>
              <w:rPr>
                <w:rFonts w:ascii="Arial"/>
                <w:sz w:val="21"/>
              </w:rPr>
            </w:pPr>
          </w:p>
          <w:p w14:paraId="222DBAAF">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EAB1D86">
            <w:pPr>
              <w:spacing w:line="309" w:lineRule="auto"/>
              <w:rPr>
                <w:rFonts w:ascii="Arial"/>
                <w:sz w:val="21"/>
              </w:rPr>
            </w:pPr>
          </w:p>
          <w:p w14:paraId="2FD4E979">
            <w:pPr>
              <w:spacing w:line="309" w:lineRule="auto"/>
              <w:rPr>
                <w:rFonts w:ascii="Arial"/>
                <w:sz w:val="21"/>
              </w:rPr>
            </w:pPr>
          </w:p>
          <w:p w14:paraId="3BD92EF5">
            <w:pPr>
              <w:spacing w:line="309" w:lineRule="auto"/>
              <w:rPr>
                <w:rFonts w:ascii="Arial"/>
                <w:sz w:val="21"/>
              </w:rPr>
            </w:pPr>
          </w:p>
          <w:p w14:paraId="79AF2D33">
            <w:pPr>
              <w:pStyle w:val="6"/>
              <w:spacing w:before="98" w:line="197" w:lineRule="auto"/>
              <w:ind w:left="122" w:right="106" w:hanging="5"/>
            </w:pPr>
            <w:r>
              <w:rPr>
                <w:spacing w:val="3"/>
              </w:rPr>
              <w:t>违法所得</w:t>
            </w:r>
            <w:r>
              <w:rPr>
                <w:rFonts w:ascii="宋体" w:hAnsi="宋体" w:eastAsia="宋体" w:cs="宋体"/>
                <w:spacing w:val="3"/>
              </w:rPr>
              <w:t>10</w:t>
            </w:r>
            <w:r>
              <w:rPr>
                <w:spacing w:val="3"/>
              </w:rPr>
              <w:t>万元以</w:t>
            </w:r>
            <w:r>
              <w:t>上的</w:t>
            </w:r>
          </w:p>
        </w:tc>
        <w:tc>
          <w:tcPr>
            <w:tcW w:w="2894" w:type="dxa"/>
            <w:vAlign w:val="top"/>
          </w:tcPr>
          <w:p w14:paraId="22A20794">
            <w:pPr>
              <w:pStyle w:val="6"/>
              <w:spacing w:before="284" w:line="186" w:lineRule="auto"/>
              <w:ind w:left="120" w:right="37" w:firstLine="7"/>
              <w:jc w:val="both"/>
            </w:pPr>
            <w:r>
              <w:rPr>
                <w:spacing w:val="-4"/>
              </w:rPr>
              <w:t>责令改正，没收违法所得，</w:t>
            </w:r>
            <w:r>
              <w:rPr>
                <w:spacing w:val="1"/>
              </w:rPr>
              <w:t>并处</w:t>
            </w:r>
            <w:r>
              <w:rPr>
                <w:rFonts w:ascii="宋体" w:hAnsi="宋体" w:eastAsia="宋体" w:cs="宋体"/>
                <w:spacing w:val="1"/>
              </w:rPr>
              <w:t>17</w:t>
            </w:r>
            <w:r>
              <w:rPr>
                <w:spacing w:val="1"/>
              </w:rPr>
              <w:t>万元以上</w:t>
            </w:r>
            <w:r>
              <w:rPr>
                <w:rFonts w:ascii="宋体" w:hAnsi="宋体" w:eastAsia="宋体" w:cs="宋体"/>
                <w:spacing w:val="1"/>
              </w:rPr>
              <w:t>20</w:t>
            </w:r>
            <w:r>
              <w:rPr>
                <w:spacing w:val="1"/>
              </w:rPr>
              <w:t>万元</w:t>
            </w:r>
            <w:r>
              <w:rPr>
                <w:spacing w:val="-3"/>
              </w:rPr>
              <w:t>以下的罚款；拒不改正的，</w:t>
            </w:r>
            <w:r>
              <w:rPr>
                <w:spacing w:val="11"/>
              </w:rPr>
              <w:t>责令停产停业整顿直至吊销其危险化学品安全生产许可证、危险化学品经营</w:t>
            </w:r>
            <w:r>
              <w:rPr>
                <w:spacing w:val="4"/>
              </w:rPr>
              <w:t>许可证</w:t>
            </w:r>
          </w:p>
        </w:tc>
        <w:tc>
          <w:tcPr>
            <w:tcW w:w="811" w:type="dxa"/>
            <w:vMerge w:val="continue"/>
            <w:tcBorders>
              <w:top w:val="nil"/>
            </w:tcBorders>
            <w:vAlign w:val="top"/>
          </w:tcPr>
          <w:p w14:paraId="098C2384">
            <w:pPr>
              <w:rPr>
                <w:rFonts w:ascii="Arial"/>
                <w:sz w:val="21"/>
              </w:rPr>
            </w:pPr>
          </w:p>
        </w:tc>
      </w:tr>
    </w:tbl>
    <w:p w14:paraId="57F32570">
      <w:pPr>
        <w:pStyle w:val="2"/>
      </w:pPr>
    </w:p>
    <w:p w14:paraId="460F8515">
      <w:pPr>
        <w:sectPr>
          <w:footerReference r:id="rId174" w:type="default"/>
          <w:pgSz w:w="16839" w:h="11906"/>
          <w:pgMar w:top="1012" w:right="821" w:bottom="667" w:left="901" w:header="0" w:footer="388" w:gutter="0"/>
          <w:cols w:space="720" w:num="1"/>
        </w:sectPr>
      </w:pPr>
    </w:p>
    <w:p w14:paraId="30A34E75">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246C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6958B5A">
            <w:pPr>
              <w:spacing w:before="222" w:line="241" w:lineRule="auto"/>
              <w:ind w:left="131"/>
              <w:rPr>
                <w:rFonts w:ascii="黑体" w:hAnsi="黑体" w:eastAsia="黑体" w:cs="黑体"/>
                <w:sz w:val="28"/>
                <w:szCs w:val="28"/>
              </w:rPr>
            </w:pPr>
            <w:bookmarkStart w:id="619" w:name="bookmark572"/>
            <w:bookmarkEnd w:id="619"/>
            <w:bookmarkStart w:id="620" w:name="bookmark320"/>
            <w:bookmarkEnd w:id="620"/>
            <w:r>
              <w:rPr>
                <w:rFonts w:ascii="黑体" w:hAnsi="黑体" w:eastAsia="黑体" w:cs="黑体"/>
                <w:spacing w:val="-2"/>
                <w:sz w:val="28"/>
                <w:szCs w:val="28"/>
              </w:rPr>
              <w:t>序号</w:t>
            </w:r>
          </w:p>
        </w:tc>
        <w:tc>
          <w:tcPr>
            <w:tcW w:w="1440" w:type="dxa"/>
            <w:vAlign w:val="top"/>
          </w:tcPr>
          <w:p w14:paraId="767EB67E">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2EFD15C">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05146FD">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AAF03C0">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DF2249A">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CA37FE7">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613E6153">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BFE6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restart"/>
            <w:tcBorders>
              <w:bottom w:val="nil"/>
            </w:tcBorders>
            <w:vAlign w:val="top"/>
          </w:tcPr>
          <w:p w14:paraId="45792647">
            <w:pPr>
              <w:spacing w:line="249" w:lineRule="auto"/>
              <w:rPr>
                <w:rFonts w:ascii="Arial"/>
                <w:sz w:val="21"/>
              </w:rPr>
            </w:pPr>
          </w:p>
          <w:p w14:paraId="45F18708">
            <w:pPr>
              <w:spacing w:line="249" w:lineRule="auto"/>
              <w:rPr>
                <w:rFonts w:ascii="Arial"/>
                <w:sz w:val="21"/>
              </w:rPr>
            </w:pPr>
          </w:p>
          <w:p w14:paraId="13FC5BFB">
            <w:pPr>
              <w:spacing w:line="249" w:lineRule="auto"/>
              <w:rPr>
                <w:rFonts w:ascii="Arial"/>
                <w:sz w:val="21"/>
              </w:rPr>
            </w:pPr>
          </w:p>
          <w:p w14:paraId="3946AB95">
            <w:pPr>
              <w:spacing w:line="249" w:lineRule="auto"/>
              <w:rPr>
                <w:rFonts w:ascii="Arial"/>
                <w:sz w:val="21"/>
              </w:rPr>
            </w:pPr>
          </w:p>
          <w:p w14:paraId="191448C8">
            <w:pPr>
              <w:spacing w:line="249" w:lineRule="auto"/>
              <w:rPr>
                <w:rFonts w:ascii="Arial"/>
                <w:sz w:val="21"/>
              </w:rPr>
            </w:pPr>
          </w:p>
          <w:p w14:paraId="2CDE9815">
            <w:pPr>
              <w:spacing w:line="249" w:lineRule="auto"/>
              <w:rPr>
                <w:rFonts w:ascii="Arial"/>
                <w:sz w:val="21"/>
              </w:rPr>
            </w:pPr>
          </w:p>
          <w:p w14:paraId="1F975211">
            <w:pPr>
              <w:spacing w:line="249" w:lineRule="auto"/>
              <w:rPr>
                <w:rFonts w:ascii="Arial"/>
                <w:sz w:val="21"/>
              </w:rPr>
            </w:pPr>
          </w:p>
          <w:p w14:paraId="13655D5A">
            <w:pPr>
              <w:spacing w:line="250" w:lineRule="auto"/>
              <w:rPr>
                <w:rFonts w:ascii="Arial"/>
                <w:sz w:val="21"/>
              </w:rPr>
            </w:pPr>
          </w:p>
          <w:p w14:paraId="7A7A6320">
            <w:pPr>
              <w:spacing w:line="250" w:lineRule="auto"/>
              <w:rPr>
                <w:rFonts w:ascii="Arial"/>
                <w:sz w:val="21"/>
              </w:rPr>
            </w:pPr>
          </w:p>
          <w:p w14:paraId="7426A6F2">
            <w:pPr>
              <w:spacing w:line="250" w:lineRule="auto"/>
              <w:rPr>
                <w:rFonts w:ascii="Arial"/>
                <w:sz w:val="21"/>
              </w:rPr>
            </w:pPr>
          </w:p>
          <w:p w14:paraId="3B95E9EC">
            <w:pPr>
              <w:spacing w:line="250" w:lineRule="auto"/>
              <w:rPr>
                <w:rFonts w:ascii="Arial"/>
                <w:sz w:val="21"/>
              </w:rPr>
            </w:pPr>
          </w:p>
          <w:p w14:paraId="2D829E57">
            <w:pPr>
              <w:spacing w:line="250" w:lineRule="auto"/>
              <w:rPr>
                <w:rFonts w:ascii="Arial"/>
                <w:sz w:val="21"/>
              </w:rPr>
            </w:pPr>
          </w:p>
          <w:p w14:paraId="2CCFF46D">
            <w:pPr>
              <w:spacing w:before="74" w:line="186" w:lineRule="auto"/>
              <w:ind w:left="161"/>
              <w:rPr>
                <w:rFonts w:ascii="仿宋" w:hAnsi="仿宋" w:eastAsia="仿宋" w:cs="仿宋"/>
                <w:sz w:val="23"/>
                <w:szCs w:val="23"/>
              </w:rPr>
            </w:pPr>
            <w:r>
              <w:rPr>
                <w:rFonts w:ascii="仿宋" w:hAnsi="仿宋" w:eastAsia="仿宋" w:cs="仿宋"/>
                <w:spacing w:val="-5"/>
                <w:sz w:val="23"/>
                <w:szCs w:val="23"/>
              </w:rPr>
              <w:t>156</w:t>
            </w:r>
          </w:p>
        </w:tc>
        <w:tc>
          <w:tcPr>
            <w:tcW w:w="1440" w:type="dxa"/>
            <w:vMerge w:val="restart"/>
            <w:tcBorders>
              <w:bottom w:val="nil"/>
            </w:tcBorders>
            <w:vAlign w:val="top"/>
          </w:tcPr>
          <w:p w14:paraId="4DB91A77">
            <w:pPr>
              <w:spacing w:line="263" w:lineRule="auto"/>
              <w:rPr>
                <w:rFonts w:ascii="Arial"/>
                <w:sz w:val="21"/>
              </w:rPr>
            </w:pPr>
          </w:p>
          <w:p w14:paraId="01B84524">
            <w:pPr>
              <w:spacing w:line="263" w:lineRule="auto"/>
              <w:rPr>
                <w:rFonts w:ascii="Arial"/>
                <w:sz w:val="21"/>
              </w:rPr>
            </w:pPr>
          </w:p>
          <w:p w14:paraId="215E8D82">
            <w:pPr>
              <w:spacing w:line="263" w:lineRule="auto"/>
              <w:rPr>
                <w:rFonts w:ascii="Arial"/>
                <w:sz w:val="21"/>
              </w:rPr>
            </w:pPr>
          </w:p>
          <w:p w14:paraId="6DBE6F6C">
            <w:pPr>
              <w:spacing w:line="264" w:lineRule="auto"/>
              <w:rPr>
                <w:rFonts w:ascii="Arial"/>
                <w:sz w:val="21"/>
              </w:rPr>
            </w:pPr>
          </w:p>
          <w:p w14:paraId="00F70F55">
            <w:pPr>
              <w:spacing w:line="264" w:lineRule="auto"/>
              <w:rPr>
                <w:rFonts w:ascii="Arial"/>
                <w:sz w:val="21"/>
              </w:rPr>
            </w:pPr>
          </w:p>
          <w:p w14:paraId="26961C6D">
            <w:pPr>
              <w:spacing w:line="264" w:lineRule="auto"/>
              <w:rPr>
                <w:rFonts w:ascii="Arial"/>
                <w:sz w:val="21"/>
              </w:rPr>
            </w:pPr>
          </w:p>
          <w:p w14:paraId="4DDCB3BC">
            <w:pPr>
              <w:pStyle w:val="6"/>
              <w:spacing w:before="98" w:line="182" w:lineRule="auto"/>
              <w:ind w:left="115"/>
              <w:outlineLvl w:val="0"/>
            </w:pPr>
            <w:r>
              <w:rPr>
                <w:spacing w:val="11"/>
              </w:rPr>
              <w:t>危险化学品</w:t>
            </w:r>
          </w:p>
          <w:p w14:paraId="3521E5F7">
            <w:pPr>
              <w:pStyle w:val="6"/>
              <w:spacing w:before="7" w:line="185" w:lineRule="auto"/>
              <w:ind w:left="96" w:right="108" w:firstLine="32"/>
            </w:pPr>
            <w:r>
              <w:rPr>
                <w:spacing w:val="3"/>
              </w:rPr>
              <w:t>生产企业、</w:t>
            </w:r>
            <w:r>
              <w:rPr>
                <w:spacing w:val="15"/>
              </w:rPr>
              <w:t>经营企业向个人销售剧</w:t>
            </w:r>
            <w:r>
              <w:rPr>
                <w:spacing w:val="-11"/>
              </w:rPr>
              <w:t>毒化学品</w:t>
            </w:r>
            <w:r>
              <w:rPr>
                <w:spacing w:val="15"/>
              </w:rPr>
              <w:t>（属于剧毒化学品的农</w:t>
            </w:r>
            <w:r>
              <w:rPr>
                <w:spacing w:val="6"/>
              </w:rPr>
              <w:t>药除外）、</w:t>
            </w:r>
            <w:r>
              <w:rPr>
                <w:spacing w:val="15"/>
              </w:rPr>
              <w:t>易制爆危险</w:t>
            </w:r>
            <w:r>
              <w:rPr>
                <w:spacing w:val="10"/>
              </w:rPr>
              <w:t>化学品的</w:t>
            </w:r>
          </w:p>
        </w:tc>
        <w:tc>
          <w:tcPr>
            <w:tcW w:w="3202" w:type="dxa"/>
            <w:vMerge w:val="restart"/>
            <w:tcBorders>
              <w:bottom w:val="nil"/>
            </w:tcBorders>
            <w:vAlign w:val="top"/>
          </w:tcPr>
          <w:p w14:paraId="734F0AB9">
            <w:pPr>
              <w:pStyle w:val="6"/>
              <w:spacing w:before="30" w:line="182" w:lineRule="auto"/>
              <w:ind w:left="123" w:right="111" w:hanging="25"/>
              <w:jc w:val="both"/>
            </w:pPr>
            <w:r>
              <w:rPr>
                <w:spacing w:val="18"/>
              </w:rPr>
              <w:t>【行政法规】《危险化学品</w:t>
            </w:r>
            <w:r>
              <w:rPr>
                <w:spacing w:val="16"/>
              </w:rPr>
              <w:t>安全管理条例》第四十条第</w:t>
            </w:r>
            <w:r>
              <w:rPr>
                <w:spacing w:val="12"/>
              </w:rPr>
              <w:t>二款：禁止向个人销售剧毒</w:t>
            </w:r>
          </w:p>
          <w:p w14:paraId="4A53092A">
            <w:pPr>
              <w:pStyle w:val="6"/>
              <w:spacing w:line="182" w:lineRule="auto"/>
              <w:ind w:left="124"/>
              <w:outlineLvl w:val="0"/>
            </w:pPr>
            <w:r>
              <w:rPr>
                <w:spacing w:val="16"/>
              </w:rPr>
              <w:t>化学品（属于剧毒化学品的</w:t>
            </w:r>
          </w:p>
          <w:p w14:paraId="539CA7FC">
            <w:pPr>
              <w:pStyle w:val="6"/>
              <w:spacing w:line="196" w:lineRule="auto"/>
              <w:ind w:left="130" w:right="111" w:hanging="11"/>
            </w:pPr>
            <w:r>
              <w:rPr>
                <w:spacing w:val="13"/>
              </w:rPr>
              <w:t>农药除外）和易制爆危险化</w:t>
            </w:r>
            <w:bookmarkStart w:id="621" w:name="bookmark573"/>
            <w:bookmarkEnd w:id="621"/>
            <w:bookmarkStart w:id="622" w:name="bookmark322"/>
            <w:bookmarkEnd w:id="622"/>
            <w:r>
              <w:rPr>
                <w:spacing w:val="-7"/>
              </w:rPr>
              <w:t>学品。</w:t>
            </w:r>
          </w:p>
        </w:tc>
        <w:tc>
          <w:tcPr>
            <w:tcW w:w="2859" w:type="dxa"/>
            <w:vMerge w:val="restart"/>
            <w:tcBorders>
              <w:bottom w:val="nil"/>
            </w:tcBorders>
            <w:vAlign w:val="top"/>
          </w:tcPr>
          <w:p w14:paraId="03032F24">
            <w:pPr>
              <w:pStyle w:val="6"/>
              <w:spacing w:before="22" w:line="184" w:lineRule="auto"/>
              <w:ind w:left="114" w:right="38" w:hanging="17"/>
            </w:pPr>
            <w:r>
              <w:rPr>
                <w:spacing w:val="10"/>
              </w:rPr>
              <w:t>【行政法规】《危险化学</w:t>
            </w:r>
            <w:r>
              <w:rPr>
                <w:spacing w:val="8"/>
              </w:rPr>
              <w:t>品安全管理条例》第八十四条第一款第三项：危险化学品生产企业、经营企</w:t>
            </w:r>
            <w:r>
              <w:rPr>
                <w:spacing w:val="2"/>
              </w:rPr>
              <w:t>业有下列情形之一的，由</w:t>
            </w:r>
            <w:r>
              <w:rPr>
                <w:spacing w:val="8"/>
              </w:rPr>
              <w:t>安全生产监督管理部门责</w:t>
            </w:r>
            <w:r>
              <w:rPr>
                <w:spacing w:val="3"/>
              </w:rPr>
              <w:t>令改正，没收违法所得，</w:t>
            </w:r>
            <w:r>
              <w:rPr>
                <w:spacing w:val="-1"/>
              </w:rPr>
              <w:t>并处</w:t>
            </w:r>
            <w:r>
              <w:rPr>
                <w:rFonts w:ascii="宋体" w:hAnsi="宋体" w:eastAsia="宋体" w:cs="宋体"/>
                <w:spacing w:val="-1"/>
              </w:rPr>
              <w:t>10</w:t>
            </w:r>
            <w:r>
              <w:rPr>
                <w:spacing w:val="-1"/>
              </w:rPr>
              <w:t>万元以上</w:t>
            </w:r>
            <w:r>
              <w:rPr>
                <w:rFonts w:ascii="宋体" w:hAnsi="宋体" w:eastAsia="宋体" w:cs="宋体"/>
                <w:spacing w:val="-1"/>
              </w:rPr>
              <w:t>20</w:t>
            </w:r>
            <w:r>
              <w:rPr>
                <w:spacing w:val="-1"/>
              </w:rPr>
              <w:t>万元</w:t>
            </w:r>
            <w:r>
              <w:rPr>
                <w:spacing w:val="-5"/>
              </w:rPr>
              <w:t>以下的罚款；拒不改正的，</w:t>
            </w:r>
            <w:r>
              <w:rPr>
                <w:spacing w:val="8"/>
              </w:rPr>
              <w:t>责令停产停业整顿直至吊销其危险化学品安全生产许可证、危险化学品经营</w:t>
            </w:r>
            <w:r>
              <w:rPr>
                <w:spacing w:val="4"/>
              </w:rPr>
              <w:t>许可证，并由工商行政管</w:t>
            </w:r>
            <w:r>
              <w:rPr>
                <w:spacing w:val="8"/>
              </w:rPr>
              <w:t>理部门责令其办理经营范围变更登记或者吊销其营</w:t>
            </w:r>
            <w:r>
              <w:rPr>
                <w:spacing w:val="7"/>
              </w:rPr>
              <w:t>业执照</w:t>
            </w:r>
            <w:r>
              <w:rPr>
                <w:spacing w:val="2"/>
              </w:rPr>
              <w:t>：（</w:t>
            </w:r>
            <w:r>
              <w:rPr>
                <w:spacing w:val="7"/>
              </w:rPr>
              <w:t>三）向个人销</w:t>
            </w:r>
            <w:r>
              <w:rPr>
                <w:spacing w:val="8"/>
              </w:rPr>
              <w:t>售剧毒化学品（属于剧毒化学品的农药除外）、易</w:t>
            </w:r>
            <w:r>
              <w:rPr>
                <w:spacing w:val="4"/>
              </w:rPr>
              <w:t>制爆危险化学品的。</w:t>
            </w:r>
          </w:p>
        </w:tc>
        <w:tc>
          <w:tcPr>
            <w:tcW w:w="803" w:type="dxa"/>
            <w:vAlign w:val="top"/>
          </w:tcPr>
          <w:p w14:paraId="3ECC7C38">
            <w:pPr>
              <w:spacing w:line="297" w:lineRule="auto"/>
              <w:rPr>
                <w:rFonts w:ascii="Arial"/>
                <w:sz w:val="21"/>
              </w:rPr>
            </w:pPr>
          </w:p>
          <w:p w14:paraId="529043B7">
            <w:pPr>
              <w:spacing w:line="297" w:lineRule="auto"/>
              <w:rPr>
                <w:rFonts w:ascii="Arial"/>
                <w:sz w:val="21"/>
              </w:rPr>
            </w:pPr>
          </w:p>
          <w:p w14:paraId="031ADB05">
            <w:pPr>
              <w:spacing w:line="297" w:lineRule="auto"/>
              <w:rPr>
                <w:rFonts w:ascii="Arial"/>
                <w:sz w:val="21"/>
              </w:rPr>
            </w:pPr>
          </w:p>
          <w:p w14:paraId="58DF9632">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AB33A88">
            <w:pPr>
              <w:spacing w:line="263" w:lineRule="auto"/>
              <w:rPr>
                <w:rFonts w:ascii="Arial"/>
                <w:sz w:val="21"/>
              </w:rPr>
            </w:pPr>
          </w:p>
          <w:p w14:paraId="03D753BD">
            <w:pPr>
              <w:spacing w:line="264" w:lineRule="auto"/>
              <w:rPr>
                <w:rFonts w:ascii="Arial"/>
                <w:sz w:val="21"/>
              </w:rPr>
            </w:pPr>
          </w:p>
          <w:p w14:paraId="113C7D2B">
            <w:pPr>
              <w:pStyle w:val="6"/>
              <w:spacing w:before="99" w:line="192" w:lineRule="auto"/>
              <w:ind w:left="128" w:right="109" w:hanging="1"/>
              <w:jc w:val="both"/>
            </w:pPr>
            <w:r>
              <w:rPr>
                <w:spacing w:val="25"/>
              </w:rPr>
              <w:t>没有违法所得或违</w:t>
            </w:r>
            <w:r>
              <w:rPr>
                <w:spacing w:val="14"/>
              </w:rPr>
              <w:t>法所得</w:t>
            </w:r>
            <w:r>
              <w:rPr>
                <w:rFonts w:ascii="宋体" w:hAnsi="宋体" w:eastAsia="宋体" w:cs="宋体"/>
                <w:spacing w:val="14"/>
              </w:rPr>
              <w:t>5</w:t>
            </w:r>
            <w:r>
              <w:rPr>
                <w:spacing w:val="14"/>
              </w:rPr>
              <w:t>万元以下</w:t>
            </w:r>
            <w:r>
              <w:t>的</w:t>
            </w:r>
          </w:p>
        </w:tc>
        <w:tc>
          <w:tcPr>
            <w:tcW w:w="2894" w:type="dxa"/>
            <w:vAlign w:val="top"/>
          </w:tcPr>
          <w:p w14:paraId="02587185">
            <w:pPr>
              <w:pStyle w:val="6"/>
              <w:spacing w:before="33" w:line="179" w:lineRule="auto"/>
              <w:ind w:left="120" w:right="37" w:firstLine="7"/>
              <w:jc w:val="both"/>
            </w:pPr>
            <w:r>
              <w:rPr>
                <w:spacing w:val="-4"/>
              </w:rPr>
              <w:t>责令改正，没收违法所得，</w:t>
            </w:r>
            <w:r>
              <w:rPr>
                <w:spacing w:val="-1"/>
              </w:rPr>
              <w:t>并处</w:t>
            </w:r>
            <w:r>
              <w:rPr>
                <w:rFonts w:ascii="宋体" w:hAnsi="宋体" w:eastAsia="宋体" w:cs="宋体"/>
                <w:spacing w:val="-1"/>
              </w:rPr>
              <w:t>10</w:t>
            </w:r>
            <w:r>
              <w:rPr>
                <w:spacing w:val="-1"/>
              </w:rPr>
              <w:t>万元以上</w:t>
            </w:r>
            <w:r>
              <w:rPr>
                <w:rFonts w:ascii="宋体" w:hAnsi="宋体" w:eastAsia="宋体" w:cs="宋体"/>
                <w:spacing w:val="-1"/>
              </w:rPr>
              <w:t>13</w:t>
            </w:r>
            <w:r>
              <w:rPr>
                <w:spacing w:val="-1"/>
              </w:rPr>
              <w:t>万元</w:t>
            </w:r>
            <w:r>
              <w:rPr>
                <w:spacing w:val="-3"/>
              </w:rPr>
              <w:t>以下的罚款；拒不改正的，</w:t>
            </w:r>
            <w:r>
              <w:rPr>
                <w:spacing w:val="11"/>
              </w:rPr>
              <w:t>责令停产停业整顿直至吊销其危险化学品安全生产许可证、危险化学品经营</w:t>
            </w:r>
            <w:r>
              <w:rPr>
                <w:spacing w:val="4"/>
              </w:rPr>
              <w:t>许可证</w:t>
            </w:r>
          </w:p>
        </w:tc>
        <w:tc>
          <w:tcPr>
            <w:tcW w:w="811" w:type="dxa"/>
            <w:vMerge w:val="restart"/>
            <w:tcBorders>
              <w:bottom w:val="nil"/>
            </w:tcBorders>
            <w:vAlign w:val="top"/>
          </w:tcPr>
          <w:p w14:paraId="54502283">
            <w:pPr>
              <w:spacing w:line="249" w:lineRule="auto"/>
              <w:rPr>
                <w:rFonts w:ascii="Arial"/>
                <w:sz w:val="21"/>
              </w:rPr>
            </w:pPr>
          </w:p>
          <w:p w14:paraId="28D1EC6A">
            <w:pPr>
              <w:spacing w:line="249" w:lineRule="auto"/>
              <w:rPr>
                <w:rFonts w:ascii="Arial"/>
                <w:sz w:val="21"/>
              </w:rPr>
            </w:pPr>
          </w:p>
          <w:p w14:paraId="481A46C8">
            <w:pPr>
              <w:spacing w:line="249" w:lineRule="auto"/>
              <w:rPr>
                <w:rFonts w:ascii="Arial"/>
                <w:sz w:val="21"/>
              </w:rPr>
            </w:pPr>
          </w:p>
          <w:p w14:paraId="68CAC2D3">
            <w:pPr>
              <w:spacing w:line="249" w:lineRule="auto"/>
              <w:rPr>
                <w:rFonts w:ascii="Arial"/>
                <w:sz w:val="21"/>
              </w:rPr>
            </w:pPr>
          </w:p>
          <w:p w14:paraId="154474B7">
            <w:pPr>
              <w:spacing w:line="249" w:lineRule="auto"/>
              <w:rPr>
                <w:rFonts w:ascii="Arial"/>
                <w:sz w:val="21"/>
              </w:rPr>
            </w:pPr>
          </w:p>
          <w:p w14:paraId="060423B0">
            <w:pPr>
              <w:spacing w:line="249" w:lineRule="auto"/>
              <w:rPr>
                <w:rFonts w:ascii="Arial"/>
                <w:sz w:val="21"/>
              </w:rPr>
            </w:pPr>
          </w:p>
          <w:p w14:paraId="6EBAE216">
            <w:pPr>
              <w:spacing w:line="249" w:lineRule="auto"/>
              <w:rPr>
                <w:rFonts w:ascii="Arial"/>
                <w:sz w:val="21"/>
              </w:rPr>
            </w:pPr>
          </w:p>
          <w:p w14:paraId="54F6BB92">
            <w:pPr>
              <w:spacing w:line="249" w:lineRule="auto"/>
              <w:rPr>
                <w:rFonts w:ascii="Arial"/>
                <w:sz w:val="21"/>
              </w:rPr>
            </w:pPr>
          </w:p>
          <w:p w14:paraId="0A1C22AC">
            <w:pPr>
              <w:spacing w:line="249" w:lineRule="auto"/>
              <w:rPr>
                <w:rFonts w:ascii="Arial"/>
                <w:sz w:val="21"/>
              </w:rPr>
            </w:pPr>
          </w:p>
          <w:p w14:paraId="760C0C8D">
            <w:pPr>
              <w:spacing w:line="249" w:lineRule="auto"/>
              <w:rPr>
                <w:rFonts w:ascii="Arial"/>
                <w:sz w:val="21"/>
              </w:rPr>
            </w:pPr>
          </w:p>
          <w:p w14:paraId="767792DE">
            <w:pPr>
              <w:spacing w:line="249" w:lineRule="auto"/>
              <w:rPr>
                <w:rFonts w:ascii="Arial"/>
                <w:sz w:val="21"/>
              </w:rPr>
            </w:pPr>
          </w:p>
          <w:p w14:paraId="1398A463">
            <w:pPr>
              <w:spacing w:line="250" w:lineRule="auto"/>
              <w:rPr>
                <w:rFonts w:ascii="Arial"/>
                <w:sz w:val="21"/>
              </w:rPr>
            </w:pPr>
          </w:p>
          <w:p w14:paraId="4693936C">
            <w:pPr>
              <w:spacing w:before="75" w:line="189" w:lineRule="auto"/>
              <w:ind w:left="248"/>
              <w:rPr>
                <w:rFonts w:ascii="宋体" w:hAnsi="宋体" w:eastAsia="宋体" w:cs="宋体"/>
                <w:sz w:val="23"/>
                <w:szCs w:val="23"/>
              </w:rPr>
            </w:pPr>
            <w:r>
              <w:rPr>
                <w:rFonts w:ascii="宋体" w:hAnsi="宋体" w:eastAsia="宋体" w:cs="宋体"/>
                <w:spacing w:val="-6"/>
                <w:sz w:val="23"/>
                <w:szCs w:val="23"/>
              </w:rPr>
              <w:t>102</w:t>
            </w:r>
          </w:p>
        </w:tc>
      </w:tr>
      <w:tr w14:paraId="3B376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continue"/>
            <w:tcBorders>
              <w:top w:val="nil"/>
              <w:bottom w:val="nil"/>
            </w:tcBorders>
            <w:vAlign w:val="top"/>
          </w:tcPr>
          <w:p w14:paraId="2D382C80">
            <w:pPr>
              <w:rPr>
                <w:rFonts w:ascii="Arial"/>
                <w:sz w:val="21"/>
              </w:rPr>
            </w:pPr>
          </w:p>
        </w:tc>
        <w:tc>
          <w:tcPr>
            <w:tcW w:w="1440" w:type="dxa"/>
            <w:vMerge w:val="continue"/>
            <w:tcBorders>
              <w:top w:val="nil"/>
              <w:bottom w:val="nil"/>
            </w:tcBorders>
            <w:vAlign w:val="top"/>
          </w:tcPr>
          <w:p w14:paraId="25CCF236">
            <w:pPr>
              <w:rPr>
                <w:rFonts w:ascii="Arial"/>
                <w:sz w:val="21"/>
              </w:rPr>
            </w:pPr>
          </w:p>
        </w:tc>
        <w:tc>
          <w:tcPr>
            <w:tcW w:w="3202" w:type="dxa"/>
            <w:vMerge w:val="continue"/>
            <w:tcBorders>
              <w:top w:val="nil"/>
              <w:bottom w:val="nil"/>
            </w:tcBorders>
            <w:vAlign w:val="top"/>
          </w:tcPr>
          <w:p w14:paraId="52F8085C">
            <w:pPr>
              <w:rPr>
                <w:rFonts w:ascii="Arial"/>
                <w:sz w:val="21"/>
              </w:rPr>
            </w:pPr>
          </w:p>
        </w:tc>
        <w:tc>
          <w:tcPr>
            <w:tcW w:w="2859" w:type="dxa"/>
            <w:vMerge w:val="continue"/>
            <w:tcBorders>
              <w:top w:val="nil"/>
              <w:bottom w:val="nil"/>
            </w:tcBorders>
            <w:vAlign w:val="top"/>
          </w:tcPr>
          <w:p w14:paraId="696A81A3">
            <w:pPr>
              <w:rPr>
                <w:rFonts w:ascii="Arial"/>
                <w:sz w:val="21"/>
              </w:rPr>
            </w:pPr>
          </w:p>
        </w:tc>
        <w:tc>
          <w:tcPr>
            <w:tcW w:w="803" w:type="dxa"/>
            <w:vAlign w:val="top"/>
          </w:tcPr>
          <w:p w14:paraId="307EC49B">
            <w:pPr>
              <w:spacing w:line="298" w:lineRule="auto"/>
              <w:rPr>
                <w:rFonts w:ascii="Arial"/>
                <w:sz w:val="21"/>
              </w:rPr>
            </w:pPr>
          </w:p>
          <w:p w14:paraId="5C9C2138">
            <w:pPr>
              <w:spacing w:line="298" w:lineRule="auto"/>
              <w:rPr>
                <w:rFonts w:ascii="Arial"/>
                <w:sz w:val="21"/>
              </w:rPr>
            </w:pPr>
          </w:p>
          <w:p w14:paraId="1A5912A8">
            <w:pPr>
              <w:spacing w:line="299" w:lineRule="auto"/>
              <w:rPr>
                <w:rFonts w:ascii="Arial"/>
                <w:sz w:val="21"/>
              </w:rPr>
            </w:pPr>
          </w:p>
          <w:p w14:paraId="59B63EAF">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1B8DD09">
            <w:pPr>
              <w:spacing w:line="337" w:lineRule="auto"/>
              <w:rPr>
                <w:rFonts w:ascii="Arial"/>
                <w:sz w:val="21"/>
              </w:rPr>
            </w:pPr>
          </w:p>
          <w:p w14:paraId="1C0F67AF">
            <w:pPr>
              <w:spacing w:line="338" w:lineRule="auto"/>
              <w:rPr>
                <w:rFonts w:ascii="Arial"/>
                <w:sz w:val="21"/>
              </w:rPr>
            </w:pPr>
          </w:p>
          <w:p w14:paraId="278D2209">
            <w:pPr>
              <w:pStyle w:val="6"/>
              <w:spacing w:before="99" w:line="196" w:lineRule="auto"/>
              <w:ind w:left="122" w:right="106" w:hanging="5"/>
            </w:pPr>
            <w:r>
              <w:rPr>
                <w:spacing w:val="15"/>
              </w:rPr>
              <w:t>违法所得</w:t>
            </w:r>
            <w:r>
              <w:rPr>
                <w:rFonts w:ascii="宋体" w:hAnsi="宋体" w:eastAsia="宋体" w:cs="宋体"/>
                <w:spacing w:val="15"/>
              </w:rPr>
              <w:t>5</w:t>
            </w:r>
            <w:r>
              <w:rPr>
                <w:spacing w:val="15"/>
              </w:rPr>
              <w:t>万元以</w:t>
            </w:r>
            <w:r>
              <w:rPr>
                <w:spacing w:val="-1"/>
              </w:rPr>
              <w:t>上</w:t>
            </w:r>
            <w:r>
              <w:rPr>
                <w:rFonts w:ascii="宋体" w:hAnsi="宋体" w:eastAsia="宋体" w:cs="宋体"/>
                <w:spacing w:val="-1"/>
              </w:rPr>
              <w:t>10</w:t>
            </w:r>
            <w:r>
              <w:rPr>
                <w:spacing w:val="-1"/>
              </w:rPr>
              <w:t>万元以下的</w:t>
            </w:r>
          </w:p>
        </w:tc>
        <w:tc>
          <w:tcPr>
            <w:tcW w:w="2894" w:type="dxa"/>
            <w:vAlign w:val="top"/>
          </w:tcPr>
          <w:p w14:paraId="7B06C60B">
            <w:pPr>
              <w:pStyle w:val="6"/>
              <w:spacing w:before="33" w:line="179" w:lineRule="auto"/>
              <w:ind w:left="120" w:right="37" w:firstLine="7"/>
              <w:jc w:val="both"/>
            </w:pPr>
            <w:r>
              <w:rPr>
                <w:spacing w:val="-4"/>
              </w:rPr>
              <w:t>责令改正，没收违法所得，</w:t>
            </w:r>
            <w:r>
              <w:rPr>
                <w:spacing w:val="-1"/>
              </w:rPr>
              <w:t>并处</w:t>
            </w:r>
            <w:r>
              <w:rPr>
                <w:rFonts w:ascii="宋体" w:hAnsi="宋体" w:eastAsia="宋体" w:cs="宋体"/>
                <w:spacing w:val="-1"/>
              </w:rPr>
              <w:t>13</w:t>
            </w:r>
            <w:r>
              <w:rPr>
                <w:spacing w:val="-1"/>
              </w:rPr>
              <w:t>万元以上</w:t>
            </w:r>
            <w:r>
              <w:rPr>
                <w:rFonts w:ascii="宋体" w:hAnsi="宋体" w:eastAsia="宋体" w:cs="宋体"/>
                <w:spacing w:val="-1"/>
              </w:rPr>
              <w:t>17</w:t>
            </w:r>
            <w:r>
              <w:rPr>
                <w:spacing w:val="-1"/>
              </w:rPr>
              <w:t>万元</w:t>
            </w:r>
            <w:r>
              <w:rPr>
                <w:spacing w:val="-3"/>
              </w:rPr>
              <w:t>以下的罚款；拒不改正的，</w:t>
            </w:r>
            <w:r>
              <w:rPr>
                <w:spacing w:val="11"/>
              </w:rPr>
              <w:t>责令停产停业整顿直至吊销其危险化学品安全生产许可证、危险化学品经营</w:t>
            </w:r>
            <w:r>
              <w:rPr>
                <w:spacing w:val="4"/>
              </w:rPr>
              <w:t>许可证</w:t>
            </w:r>
          </w:p>
        </w:tc>
        <w:tc>
          <w:tcPr>
            <w:tcW w:w="811" w:type="dxa"/>
            <w:vMerge w:val="continue"/>
            <w:tcBorders>
              <w:top w:val="nil"/>
              <w:bottom w:val="nil"/>
            </w:tcBorders>
            <w:vAlign w:val="top"/>
          </w:tcPr>
          <w:p w14:paraId="4CDE60C6">
            <w:pPr>
              <w:rPr>
                <w:rFonts w:ascii="Arial"/>
                <w:sz w:val="21"/>
              </w:rPr>
            </w:pPr>
          </w:p>
        </w:tc>
      </w:tr>
      <w:tr w14:paraId="3746C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continue"/>
            <w:tcBorders>
              <w:top w:val="nil"/>
            </w:tcBorders>
            <w:vAlign w:val="top"/>
          </w:tcPr>
          <w:p w14:paraId="6A88B09E">
            <w:pPr>
              <w:rPr>
                <w:rFonts w:ascii="Arial"/>
                <w:sz w:val="21"/>
              </w:rPr>
            </w:pPr>
          </w:p>
        </w:tc>
        <w:tc>
          <w:tcPr>
            <w:tcW w:w="1440" w:type="dxa"/>
            <w:vMerge w:val="continue"/>
            <w:tcBorders>
              <w:top w:val="nil"/>
            </w:tcBorders>
            <w:vAlign w:val="top"/>
          </w:tcPr>
          <w:p w14:paraId="282C6436">
            <w:pPr>
              <w:rPr>
                <w:rFonts w:ascii="Arial"/>
                <w:sz w:val="21"/>
              </w:rPr>
            </w:pPr>
          </w:p>
        </w:tc>
        <w:tc>
          <w:tcPr>
            <w:tcW w:w="3202" w:type="dxa"/>
            <w:vMerge w:val="continue"/>
            <w:tcBorders>
              <w:top w:val="nil"/>
            </w:tcBorders>
            <w:vAlign w:val="top"/>
          </w:tcPr>
          <w:p w14:paraId="142983BD">
            <w:pPr>
              <w:rPr>
                <w:rFonts w:ascii="Arial"/>
                <w:sz w:val="21"/>
              </w:rPr>
            </w:pPr>
          </w:p>
        </w:tc>
        <w:tc>
          <w:tcPr>
            <w:tcW w:w="2859" w:type="dxa"/>
            <w:vMerge w:val="continue"/>
            <w:tcBorders>
              <w:top w:val="nil"/>
            </w:tcBorders>
            <w:vAlign w:val="top"/>
          </w:tcPr>
          <w:p w14:paraId="43E14343">
            <w:pPr>
              <w:rPr>
                <w:rFonts w:ascii="Arial"/>
                <w:sz w:val="21"/>
              </w:rPr>
            </w:pPr>
          </w:p>
        </w:tc>
        <w:tc>
          <w:tcPr>
            <w:tcW w:w="803" w:type="dxa"/>
            <w:vAlign w:val="top"/>
          </w:tcPr>
          <w:p w14:paraId="7F0B95A1">
            <w:pPr>
              <w:spacing w:line="298" w:lineRule="auto"/>
              <w:rPr>
                <w:rFonts w:ascii="Arial"/>
                <w:sz w:val="21"/>
              </w:rPr>
            </w:pPr>
          </w:p>
          <w:p w14:paraId="03E73BB1">
            <w:pPr>
              <w:spacing w:line="298" w:lineRule="auto"/>
              <w:rPr>
                <w:rFonts w:ascii="Arial"/>
                <w:sz w:val="21"/>
              </w:rPr>
            </w:pPr>
          </w:p>
          <w:p w14:paraId="0372258B">
            <w:pPr>
              <w:spacing w:line="299" w:lineRule="auto"/>
              <w:rPr>
                <w:rFonts w:ascii="Arial"/>
                <w:sz w:val="21"/>
              </w:rPr>
            </w:pPr>
          </w:p>
          <w:p w14:paraId="751B7761">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E514319">
            <w:pPr>
              <w:spacing w:line="339" w:lineRule="auto"/>
              <w:rPr>
                <w:rFonts w:ascii="Arial"/>
                <w:sz w:val="21"/>
              </w:rPr>
            </w:pPr>
          </w:p>
          <w:p w14:paraId="0CCCB789">
            <w:pPr>
              <w:spacing w:line="339" w:lineRule="auto"/>
              <w:rPr>
                <w:rFonts w:ascii="Arial"/>
                <w:sz w:val="21"/>
              </w:rPr>
            </w:pPr>
          </w:p>
          <w:p w14:paraId="3F802EDF">
            <w:pPr>
              <w:pStyle w:val="6"/>
              <w:spacing w:before="98" w:line="197" w:lineRule="auto"/>
              <w:ind w:left="122" w:right="106" w:hanging="5"/>
            </w:pPr>
            <w:r>
              <w:rPr>
                <w:spacing w:val="3"/>
              </w:rPr>
              <w:t>违法所得</w:t>
            </w:r>
            <w:r>
              <w:rPr>
                <w:rFonts w:ascii="宋体" w:hAnsi="宋体" w:eastAsia="宋体" w:cs="宋体"/>
                <w:spacing w:val="3"/>
              </w:rPr>
              <w:t>10</w:t>
            </w:r>
            <w:r>
              <w:rPr>
                <w:spacing w:val="3"/>
              </w:rPr>
              <w:t>万元以</w:t>
            </w:r>
            <w:r>
              <w:t>上的</w:t>
            </w:r>
          </w:p>
        </w:tc>
        <w:tc>
          <w:tcPr>
            <w:tcW w:w="2894" w:type="dxa"/>
            <w:vAlign w:val="top"/>
          </w:tcPr>
          <w:p w14:paraId="3D69A5A9">
            <w:pPr>
              <w:pStyle w:val="6"/>
              <w:spacing w:before="33" w:line="179" w:lineRule="auto"/>
              <w:ind w:left="120" w:right="37" w:firstLine="7"/>
              <w:jc w:val="both"/>
            </w:pPr>
            <w:r>
              <w:rPr>
                <w:spacing w:val="-4"/>
              </w:rPr>
              <w:t>责令改正，没收违法所得，</w:t>
            </w:r>
            <w:r>
              <w:rPr>
                <w:spacing w:val="1"/>
              </w:rPr>
              <w:t>并处</w:t>
            </w:r>
            <w:r>
              <w:rPr>
                <w:rFonts w:ascii="宋体" w:hAnsi="宋体" w:eastAsia="宋体" w:cs="宋体"/>
                <w:spacing w:val="1"/>
              </w:rPr>
              <w:t>17</w:t>
            </w:r>
            <w:r>
              <w:rPr>
                <w:spacing w:val="1"/>
              </w:rPr>
              <w:t>万元以上</w:t>
            </w:r>
            <w:r>
              <w:rPr>
                <w:rFonts w:ascii="宋体" w:hAnsi="宋体" w:eastAsia="宋体" w:cs="宋体"/>
                <w:spacing w:val="1"/>
              </w:rPr>
              <w:t>20</w:t>
            </w:r>
            <w:r>
              <w:rPr>
                <w:spacing w:val="1"/>
              </w:rPr>
              <w:t>万元</w:t>
            </w:r>
            <w:r>
              <w:rPr>
                <w:spacing w:val="-3"/>
              </w:rPr>
              <w:t>以下的罚款；拒不改正的，</w:t>
            </w:r>
            <w:r>
              <w:rPr>
                <w:spacing w:val="11"/>
              </w:rPr>
              <w:t>责令停产停业整顿直至吊销其危险化学品安全生产许可证、危险化学品经营</w:t>
            </w:r>
            <w:r>
              <w:rPr>
                <w:spacing w:val="4"/>
              </w:rPr>
              <w:t>许可证</w:t>
            </w:r>
          </w:p>
        </w:tc>
        <w:tc>
          <w:tcPr>
            <w:tcW w:w="811" w:type="dxa"/>
            <w:vMerge w:val="continue"/>
            <w:tcBorders>
              <w:top w:val="nil"/>
            </w:tcBorders>
            <w:vAlign w:val="top"/>
          </w:tcPr>
          <w:p w14:paraId="0EE1FBE1">
            <w:pPr>
              <w:rPr>
                <w:rFonts w:ascii="Arial"/>
                <w:sz w:val="21"/>
              </w:rPr>
            </w:pPr>
          </w:p>
        </w:tc>
      </w:tr>
      <w:tr w14:paraId="6C70A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4" w:hRule="atLeast"/>
        </w:trPr>
        <w:tc>
          <w:tcPr>
            <w:tcW w:w="818" w:type="dxa"/>
            <w:vAlign w:val="top"/>
          </w:tcPr>
          <w:p w14:paraId="29EDFC02">
            <w:pPr>
              <w:spacing w:line="254" w:lineRule="auto"/>
              <w:rPr>
                <w:rFonts w:ascii="Arial"/>
                <w:sz w:val="21"/>
              </w:rPr>
            </w:pPr>
          </w:p>
          <w:p w14:paraId="1ED1EEB4">
            <w:pPr>
              <w:spacing w:line="254" w:lineRule="auto"/>
              <w:rPr>
                <w:rFonts w:ascii="Arial"/>
                <w:sz w:val="21"/>
              </w:rPr>
            </w:pPr>
          </w:p>
          <w:p w14:paraId="156DFA52">
            <w:pPr>
              <w:spacing w:line="254" w:lineRule="auto"/>
              <w:rPr>
                <w:rFonts w:ascii="Arial"/>
                <w:sz w:val="21"/>
              </w:rPr>
            </w:pPr>
          </w:p>
          <w:p w14:paraId="613A4D3B">
            <w:pPr>
              <w:spacing w:line="254" w:lineRule="auto"/>
              <w:rPr>
                <w:rFonts w:ascii="Arial"/>
                <w:sz w:val="21"/>
              </w:rPr>
            </w:pPr>
          </w:p>
          <w:p w14:paraId="3758DE53">
            <w:pPr>
              <w:spacing w:line="254" w:lineRule="auto"/>
              <w:rPr>
                <w:rFonts w:ascii="Arial"/>
                <w:sz w:val="21"/>
              </w:rPr>
            </w:pPr>
          </w:p>
          <w:p w14:paraId="24559F80">
            <w:pPr>
              <w:spacing w:before="74" w:line="186" w:lineRule="auto"/>
              <w:ind w:left="161"/>
              <w:rPr>
                <w:rFonts w:ascii="仿宋" w:hAnsi="仿宋" w:eastAsia="仿宋" w:cs="仿宋"/>
                <w:sz w:val="23"/>
                <w:szCs w:val="23"/>
              </w:rPr>
            </w:pPr>
            <w:r>
              <w:rPr>
                <w:rFonts w:ascii="仿宋" w:hAnsi="仿宋" w:eastAsia="仿宋" w:cs="仿宋"/>
                <w:spacing w:val="-5"/>
                <w:sz w:val="23"/>
                <w:szCs w:val="23"/>
              </w:rPr>
              <w:t>157</w:t>
            </w:r>
          </w:p>
        </w:tc>
        <w:tc>
          <w:tcPr>
            <w:tcW w:w="1440" w:type="dxa"/>
            <w:vAlign w:val="top"/>
          </w:tcPr>
          <w:p w14:paraId="5AAB09F9">
            <w:pPr>
              <w:pStyle w:val="6"/>
              <w:spacing w:before="106" w:line="185" w:lineRule="auto"/>
              <w:ind w:left="112" w:right="111" w:firstLine="2"/>
            </w:pPr>
            <w:r>
              <w:rPr>
                <w:spacing w:val="11"/>
              </w:rPr>
              <w:t>危险化学品</w:t>
            </w:r>
            <w:r>
              <w:rPr>
                <w:spacing w:val="6"/>
              </w:rPr>
              <w:t>生产企业、</w:t>
            </w:r>
            <w:r>
              <w:rPr>
                <w:spacing w:val="12"/>
              </w:rPr>
              <w:t>进口企业不办理危险化</w:t>
            </w:r>
            <w:r>
              <w:rPr>
                <w:spacing w:val="2"/>
              </w:rPr>
              <w:t>学品登记，</w:t>
            </w:r>
            <w:r>
              <w:rPr>
                <w:spacing w:val="12"/>
              </w:rPr>
              <w:t>或者发现其生产、进口的危险化学品有新的危</w:t>
            </w:r>
          </w:p>
        </w:tc>
        <w:tc>
          <w:tcPr>
            <w:tcW w:w="3202" w:type="dxa"/>
            <w:vAlign w:val="top"/>
          </w:tcPr>
          <w:p w14:paraId="39051B07">
            <w:pPr>
              <w:pStyle w:val="6"/>
              <w:spacing w:before="39" w:line="185" w:lineRule="auto"/>
              <w:ind w:left="118" w:right="111" w:firstLine="12"/>
            </w:pPr>
            <w:r>
              <w:rPr>
                <w:rFonts w:ascii="宋体" w:hAnsi="宋体" w:eastAsia="宋体" w:cs="宋体"/>
                <w:spacing w:val="14"/>
              </w:rPr>
              <w:t>1.</w:t>
            </w:r>
            <w:r>
              <w:rPr>
                <w:spacing w:val="14"/>
              </w:rPr>
              <w:t>【行政法规】《危险化学</w:t>
            </w:r>
            <w:r>
              <w:rPr>
                <w:spacing w:val="17"/>
              </w:rPr>
              <w:t>品安全管理条例》第六十七</w:t>
            </w:r>
            <w:r>
              <w:rPr>
                <w:spacing w:val="13"/>
              </w:rPr>
              <w:t>条第一款至第三款：危险化学品生产企业、进口企业，</w:t>
            </w:r>
            <w:r>
              <w:rPr>
                <w:spacing w:val="17"/>
              </w:rPr>
              <w:t>应当向国务院安全生产监督管理部门负责危险化学品登记的机构（以下简称危险化</w:t>
            </w:r>
            <w:r>
              <w:rPr>
                <w:spacing w:val="12"/>
              </w:rPr>
              <w:t>学品登记机构）办理危险化</w:t>
            </w:r>
            <w:r>
              <w:t>学品登记。</w:t>
            </w:r>
          </w:p>
        </w:tc>
        <w:tc>
          <w:tcPr>
            <w:tcW w:w="2859" w:type="dxa"/>
            <w:vAlign w:val="top"/>
          </w:tcPr>
          <w:p w14:paraId="3E8D23C2">
            <w:pPr>
              <w:pStyle w:val="6"/>
              <w:spacing w:before="36" w:line="185" w:lineRule="auto"/>
              <w:ind w:left="117" w:right="107" w:firstLine="13"/>
            </w:pPr>
            <w:r>
              <w:rPr>
                <w:rFonts w:ascii="宋体" w:hAnsi="宋体" w:eastAsia="宋体" w:cs="宋体"/>
                <w:spacing w:val="6"/>
              </w:rPr>
              <w:t>1.</w:t>
            </w:r>
            <w:r>
              <w:rPr>
                <w:spacing w:val="6"/>
              </w:rPr>
              <w:t>【行政法规】《危险化</w:t>
            </w:r>
            <w:r>
              <w:rPr>
                <w:spacing w:val="8"/>
              </w:rPr>
              <w:t>学品安全管理条例》第七</w:t>
            </w:r>
            <w:r>
              <w:rPr>
                <w:spacing w:val="7"/>
              </w:rPr>
              <w:t>十八条第一款第十二项：</w:t>
            </w:r>
            <w:r>
              <w:rPr>
                <w:spacing w:val="8"/>
              </w:rPr>
              <w:t>有下列情形之一的，由安全生产监督管理部门责令</w:t>
            </w:r>
            <w:r>
              <w:rPr>
                <w:spacing w:val="4"/>
              </w:rPr>
              <w:t>改正，可以处</w:t>
            </w:r>
            <w:r>
              <w:rPr>
                <w:rFonts w:ascii="宋体" w:hAnsi="宋体" w:eastAsia="宋体" w:cs="宋体"/>
                <w:spacing w:val="4"/>
              </w:rPr>
              <w:t>5</w:t>
            </w:r>
            <w:r>
              <w:rPr>
                <w:spacing w:val="4"/>
              </w:rPr>
              <w:t>万元以下</w:t>
            </w:r>
            <w:r>
              <w:rPr>
                <w:spacing w:val="8"/>
              </w:rPr>
              <w:t>的罚款；拒不改正的，处</w:t>
            </w:r>
            <w:r>
              <w:rPr>
                <w:rFonts w:ascii="宋体" w:hAnsi="宋体" w:eastAsia="宋体" w:cs="宋体"/>
                <w:spacing w:val="6"/>
              </w:rPr>
              <w:t>5</w:t>
            </w:r>
            <w:r>
              <w:rPr>
                <w:spacing w:val="6"/>
              </w:rPr>
              <w:t>万元以上</w:t>
            </w:r>
            <w:r>
              <w:rPr>
                <w:rFonts w:ascii="宋体" w:hAnsi="宋体" w:eastAsia="宋体" w:cs="宋体"/>
                <w:spacing w:val="6"/>
              </w:rPr>
              <w:t>10</w:t>
            </w:r>
            <w:r>
              <w:rPr>
                <w:spacing w:val="6"/>
              </w:rPr>
              <w:t>万元以下的</w:t>
            </w:r>
            <w:r>
              <w:rPr>
                <w:spacing w:val="8"/>
              </w:rPr>
              <w:t>罚款；情节严重的，责令</w:t>
            </w:r>
          </w:p>
        </w:tc>
        <w:tc>
          <w:tcPr>
            <w:tcW w:w="803" w:type="dxa"/>
            <w:vAlign w:val="top"/>
          </w:tcPr>
          <w:p w14:paraId="2642EB4C">
            <w:pPr>
              <w:spacing w:line="253" w:lineRule="auto"/>
              <w:rPr>
                <w:rFonts w:ascii="Arial"/>
                <w:sz w:val="21"/>
              </w:rPr>
            </w:pPr>
          </w:p>
          <w:p w14:paraId="51E65728">
            <w:pPr>
              <w:spacing w:line="253" w:lineRule="auto"/>
              <w:rPr>
                <w:rFonts w:ascii="Arial"/>
                <w:sz w:val="21"/>
              </w:rPr>
            </w:pPr>
          </w:p>
          <w:p w14:paraId="5F11B4BE">
            <w:pPr>
              <w:spacing w:line="253" w:lineRule="auto"/>
              <w:rPr>
                <w:rFonts w:ascii="Arial"/>
                <w:sz w:val="21"/>
              </w:rPr>
            </w:pPr>
          </w:p>
          <w:p w14:paraId="75D59A55">
            <w:pPr>
              <w:spacing w:line="253" w:lineRule="auto"/>
              <w:rPr>
                <w:rFonts w:ascii="Arial"/>
                <w:sz w:val="21"/>
              </w:rPr>
            </w:pPr>
          </w:p>
          <w:p w14:paraId="34BD9D2C">
            <w:pPr>
              <w:spacing w:line="253" w:lineRule="auto"/>
              <w:rPr>
                <w:rFonts w:ascii="Arial"/>
                <w:sz w:val="21"/>
              </w:rPr>
            </w:pPr>
          </w:p>
          <w:p w14:paraId="274440DA">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4FB06C6">
            <w:pPr>
              <w:spacing w:line="262" w:lineRule="auto"/>
              <w:rPr>
                <w:rFonts w:ascii="Arial"/>
                <w:sz w:val="21"/>
              </w:rPr>
            </w:pPr>
          </w:p>
          <w:p w14:paraId="20604AD4">
            <w:pPr>
              <w:spacing w:line="263" w:lineRule="auto"/>
              <w:rPr>
                <w:rFonts w:ascii="Arial"/>
                <w:sz w:val="21"/>
              </w:rPr>
            </w:pPr>
          </w:p>
          <w:p w14:paraId="72388BC7">
            <w:pPr>
              <w:spacing w:line="263" w:lineRule="auto"/>
              <w:rPr>
                <w:rFonts w:ascii="Arial"/>
                <w:sz w:val="21"/>
              </w:rPr>
            </w:pPr>
          </w:p>
          <w:p w14:paraId="2D7D41C4">
            <w:pPr>
              <w:spacing w:line="263" w:lineRule="auto"/>
              <w:rPr>
                <w:rFonts w:ascii="Arial"/>
                <w:sz w:val="21"/>
              </w:rPr>
            </w:pPr>
          </w:p>
          <w:p w14:paraId="6552C055">
            <w:pPr>
              <w:pStyle w:val="6"/>
              <w:spacing w:before="99" w:line="195" w:lineRule="auto"/>
              <w:ind w:left="140" w:right="109" w:hanging="23"/>
            </w:pPr>
            <w:r>
              <w:rPr>
                <w:spacing w:val="26"/>
              </w:rPr>
              <w:t>超过规定申请办理</w:t>
            </w:r>
            <w:r>
              <w:rPr>
                <w:spacing w:val="-8"/>
              </w:rPr>
              <w:t>时限</w:t>
            </w:r>
            <w:r>
              <w:rPr>
                <w:rFonts w:ascii="宋体" w:hAnsi="宋体" w:eastAsia="宋体" w:cs="宋体"/>
                <w:spacing w:val="-8"/>
              </w:rPr>
              <w:t>10</w:t>
            </w:r>
            <w:r>
              <w:rPr>
                <w:spacing w:val="-8"/>
              </w:rPr>
              <w:t>日以内的</w:t>
            </w:r>
          </w:p>
        </w:tc>
        <w:tc>
          <w:tcPr>
            <w:tcW w:w="2894" w:type="dxa"/>
            <w:vAlign w:val="top"/>
          </w:tcPr>
          <w:p w14:paraId="22438985">
            <w:pPr>
              <w:spacing w:line="300" w:lineRule="auto"/>
              <w:rPr>
                <w:rFonts w:ascii="Arial"/>
                <w:sz w:val="21"/>
              </w:rPr>
            </w:pPr>
          </w:p>
          <w:p w14:paraId="7C4BF121">
            <w:pPr>
              <w:spacing w:line="300" w:lineRule="auto"/>
              <w:rPr>
                <w:rFonts w:ascii="Arial"/>
                <w:sz w:val="21"/>
              </w:rPr>
            </w:pPr>
          </w:p>
          <w:p w14:paraId="5CF846E9">
            <w:pPr>
              <w:pStyle w:val="6"/>
              <w:spacing w:before="99" w:line="188" w:lineRule="auto"/>
              <w:ind w:left="117" w:right="37" w:firstLine="10"/>
              <w:jc w:val="both"/>
            </w:pPr>
            <w:r>
              <w:rPr>
                <w:spacing w:val="3"/>
              </w:rPr>
              <w:t>责令改正，可以处</w:t>
            </w:r>
            <w:r>
              <w:rPr>
                <w:rFonts w:ascii="宋体" w:hAnsi="宋体" w:eastAsia="宋体" w:cs="宋体"/>
                <w:spacing w:val="3"/>
              </w:rPr>
              <w:t>2</w:t>
            </w:r>
            <w:r>
              <w:rPr>
                <w:spacing w:val="3"/>
              </w:rPr>
              <w:t>万元</w:t>
            </w:r>
            <w:r>
              <w:rPr>
                <w:spacing w:val="-3"/>
              </w:rPr>
              <w:t>以下的罚款；拒不改正的，</w:t>
            </w:r>
            <w:r>
              <w:rPr>
                <w:spacing w:val="4"/>
              </w:rPr>
              <w:t>处</w:t>
            </w:r>
            <w:r>
              <w:rPr>
                <w:rFonts w:ascii="宋体" w:hAnsi="宋体" w:eastAsia="宋体" w:cs="宋体"/>
                <w:spacing w:val="4"/>
              </w:rPr>
              <w:t>5</w:t>
            </w:r>
            <w:r>
              <w:rPr>
                <w:spacing w:val="4"/>
              </w:rPr>
              <w:t>万元以上</w:t>
            </w:r>
            <w:r>
              <w:rPr>
                <w:rFonts w:ascii="宋体" w:hAnsi="宋体" w:eastAsia="宋体" w:cs="宋体"/>
                <w:spacing w:val="4"/>
              </w:rPr>
              <w:t>7</w:t>
            </w:r>
            <w:r>
              <w:rPr>
                <w:spacing w:val="4"/>
              </w:rPr>
              <w:t>万元以下的罚款；情节严重的，责</w:t>
            </w:r>
            <w:r>
              <w:rPr>
                <w:spacing w:val="7"/>
              </w:rPr>
              <w:t>令停产停业整顿</w:t>
            </w:r>
          </w:p>
        </w:tc>
        <w:tc>
          <w:tcPr>
            <w:tcW w:w="811" w:type="dxa"/>
            <w:vAlign w:val="top"/>
          </w:tcPr>
          <w:p w14:paraId="6B852594">
            <w:pPr>
              <w:spacing w:line="253" w:lineRule="auto"/>
              <w:rPr>
                <w:rFonts w:ascii="Arial"/>
                <w:sz w:val="21"/>
              </w:rPr>
            </w:pPr>
          </w:p>
          <w:p w14:paraId="2234BFBA">
            <w:pPr>
              <w:spacing w:line="253" w:lineRule="auto"/>
              <w:rPr>
                <w:rFonts w:ascii="Arial"/>
                <w:sz w:val="21"/>
              </w:rPr>
            </w:pPr>
          </w:p>
          <w:p w14:paraId="719F5170">
            <w:pPr>
              <w:spacing w:line="253" w:lineRule="auto"/>
              <w:rPr>
                <w:rFonts w:ascii="Arial"/>
                <w:sz w:val="21"/>
              </w:rPr>
            </w:pPr>
          </w:p>
          <w:p w14:paraId="6C9750F6">
            <w:pPr>
              <w:spacing w:line="253" w:lineRule="auto"/>
              <w:rPr>
                <w:rFonts w:ascii="Arial"/>
                <w:sz w:val="21"/>
              </w:rPr>
            </w:pPr>
          </w:p>
          <w:p w14:paraId="212124E5">
            <w:pPr>
              <w:spacing w:line="254" w:lineRule="auto"/>
              <w:rPr>
                <w:rFonts w:ascii="Arial"/>
                <w:sz w:val="21"/>
              </w:rPr>
            </w:pPr>
          </w:p>
          <w:p w14:paraId="5E3B786A">
            <w:pPr>
              <w:spacing w:before="75" w:line="189" w:lineRule="auto"/>
              <w:ind w:left="248"/>
              <w:rPr>
                <w:rFonts w:ascii="宋体" w:hAnsi="宋体" w:eastAsia="宋体" w:cs="宋体"/>
                <w:sz w:val="23"/>
                <w:szCs w:val="23"/>
              </w:rPr>
            </w:pPr>
            <w:r>
              <w:rPr>
                <w:rFonts w:ascii="宋体" w:hAnsi="宋体" w:eastAsia="宋体" w:cs="宋体"/>
                <w:spacing w:val="-6"/>
                <w:sz w:val="23"/>
                <w:szCs w:val="23"/>
              </w:rPr>
              <w:t>104</w:t>
            </w:r>
          </w:p>
        </w:tc>
      </w:tr>
    </w:tbl>
    <w:p w14:paraId="439ACE9F">
      <w:pPr>
        <w:pStyle w:val="2"/>
        <w:spacing w:line="169" w:lineRule="exact"/>
        <w:rPr>
          <w:sz w:val="14"/>
        </w:rPr>
      </w:pPr>
    </w:p>
    <w:p w14:paraId="0E36166E">
      <w:pPr>
        <w:spacing w:line="169" w:lineRule="exact"/>
        <w:rPr>
          <w:sz w:val="14"/>
          <w:szCs w:val="14"/>
        </w:rPr>
        <w:sectPr>
          <w:footerReference r:id="rId175" w:type="default"/>
          <w:pgSz w:w="16839" w:h="11906"/>
          <w:pgMar w:top="1012" w:right="821" w:bottom="667" w:left="901" w:header="0" w:footer="388" w:gutter="0"/>
          <w:cols w:space="720" w:num="1"/>
        </w:sectPr>
      </w:pPr>
    </w:p>
    <w:p w14:paraId="14973F90">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052F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FFC28FA">
            <w:pPr>
              <w:spacing w:before="222" w:line="241" w:lineRule="auto"/>
              <w:ind w:left="131"/>
              <w:rPr>
                <w:rFonts w:ascii="黑体" w:hAnsi="黑体" w:eastAsia="黑体" w:cs="黑体"/>
                <w:sz w:val="28"/>
                <w:szCs w:val="28"/>
              </w:rPr>
            </w:pPr>
            <w:bookmarkStart w:id="623" w:name="bookmark574"/>
            <w:bookmarkEnd w:id="623"/>
            <w:r>
              <w:rPr>
                <w:rFonts w:ascii="黑体" w:hAnsi="黑体" w:eastAsia="黑体" w:cs="黑体"/>
                <w:spacing w:val="-2"/>
                <w:sz w:val="28"/>
                <w:szCs w:val="28"/>
              </w:rPr>
              <w:t>序号</w:t>
            </w:r>
          </w:p>
        </w:tc>
        <w:tc>
          <w:tcPr>
            <w:tcW w:w="1440" w:type="dxa"/>
            <w:vAlign w:val="top"/>
          </w:tcPr>
          <w:p w14:paraId="33D73A47">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7EC39AB8">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486CD280">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4AC680B">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EE90D4D">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4565574">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C191880">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7FC0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7" w:hRule="atLeast"/>
        </w:trPr>
        <w:tc>
          <w:tcPr>
            <w:tcW w:w="818" w:type="dxa"/>
            <w:vMerge w:val="restart"/>
            <w:tcBorders>
              <w:bottom w:val="nil"/>
            </w:tcBorders>
            <w:vAlign w:val="top"/>
          </w:tcPr>
          <w:p w14:paraId="5C8F63CD">
            <w:pPr>
              <w:rPr>
                <w:rFonts w:ascii="Arial"/>
                <w:sz w:val="21"/>
              </w:rPr>
            </w:pPr>
          </w:p>
        </w:tc>
        <w:tc>
          <w:tcPr>
            <w:tcW w:w="1440" w:type="dxa"/>
            <w:vMerge w:val="restart"/>
            <w:tcBorders>
              <w:bottom w:val="nil"/>
            </w:tcBorders>
            <w:vAlign w:val="top"/>
          </w:tcPr>
          <w:p w14:paraId="2CB1A5F9">
            <w:pPr>
              <w:pStyle w:val="6"/>
              <w:spacing w:before="27" w:line="189" w:lineRule="auto"/>
              <w:ind w:left="114" w:right="111" w:firstLine="21"/>
              <w:jc w:val="both"/>
            </w:pPr>
            <w:r>
              <w:rPr>
                <w:spacing w:val="7"/>
              </w:rPr>
              <w:t>险特性不办</w:t>
            </w:r>
            <w:r>
              <w:rPr>
                <w:spacing w:val="11"/>
              </w:rPr>
              <w:t>理危险化学品登记内容</w:t>
            </w:r>
            <w:r>
              <w:rPr>
                <w:spacing w:val="7"/>
              </w:rPr>
              <w:t>变更手续的</w:t>
            </w:r>
          </w:p>
        </w:tc>
        <w:tc>
          <w:tcPr>
            <w:tcW w:w="3202" w:type="dxa"/>
            <w:vMerge w:val="restart"/>
            <w:tcBorders>
              <w:bottom w:val="nil"/>
            </w:tcBorders>
            <w:vAlign w:val="top"/>
          </w:tcPr>
          <w:p w14:paraId="1584AA7E">
            <w:pPr>
              <w:pStyle w:val="6"/>
              <w:spacing w:before="33" w:line="182" w:lineRule="auto"/>
              <w:ind w:left="98" w:firstLine="18"/>
              <w:jc w:val="both"/>
            </w:pPr>
            <w:r>
              <w:rPr>
                <w:spacing w:val="16"/>
              </w:rPr>
              <w:t>危险化学品登记包括下列内</w:t>
            </w:r>
            <w:r>
              <w:rPr>
                <w:spacing w:val="1"/>
              </w:rPr>
              <w:t>容</w:t>
            </w:r>
            <w:r>
              <w:rPr>
                <w:spacing w:val="-12"/>
              </w:rPr>
              <w:t>：（</w:t>
            </w:r>
            <w:r>
              <w:rPr>
                <w:spacing w:val="1"/>
              </w:rPr>
              <w:t>一）分类和标签信息；</w:t>
            </w:r>
            <w:r>
              <w:t>（二）物理、化学性质</w:t>
            </w:r>
            <w:r>
              <w:rPr>
                <w:spacing w:val="-52"/>
                <w:w w:val="95"/>
              </w:rPr>
              <w:t>；（</w:t>
            </w:r>
            <w:r>
              <w:t>三）</w:t>
            </w:r>
            <w:r>
              <w:rPr>
                <w:spacing w:val="-1"/>
              </w:rPr>
              <w:t>主要用途</w:t>
            </w:r>
            <w:r>
              <w:rPr>
                <w:spacing w:val="1"/>
              </w:rPr>
              <w:t>；（</w:t>
            </w:r>
            <w:r>
              <w:rPr>
                <w:spacing w:val="-1"/>
              </w:rPr>
              <w:t>四）危险特性；</w:t>
            </w:r>
            <w:r>
              <w:rPr>
                <w:spacing w:val="14"/>
              </w:rPr>
              <w:t>（五）储存、使用、运输的</w:t>
            </w:r>
            <w:r>
              <w:rPr>
                <w:spacing w:val="15"/>
              </w:rPr>
              <w:t>安全要求</w:t>
            </w:r>
            <w:r>
              <w:rPr>
                <w:spacing w:val="-11"/>
              </w:rPr>
              <w:t>；（</w:t>
            </w:r>
            <w:r>
              <w:rPr>
                <w:spacing w:val="15"/>
              </w:rPr>
              <w:t>六）出现危险</w:t>
            </w:r>
            <w:r>
              <w:rPr>
                <w:spacing w:val="5"/>
              </w:rPr>
              <w:t>情况的应急处置措施。</w:t>
            </w:r>
          </w:p>
          <w:p w14:paraId="04E4C55C">
            <w:pPr>
              <w:pStyle w:val="6"/>
              <w:spacing w:before="5" w:line="182" w:lineRule="auto"/>
              <w:ind w:left="117" w:right="111" w:firstLine="3"/>
              <w:jc w:val="both"/>
            </w:pPr>
            <w:r>
              <w:rPr>
                <w:spacing w:val="17"/>
              </w:rPr>
              <w:t>对同一企业生产、进口的同</w:t>
            </w:r>
            <w:r>
              <w:rPr>
                <w:spacing w:val="13"/>
              </w:rPr>
              <w:t>一品种的危险化学品，不进</w:t>
            </w:r>
            <w:r>
              <w:rPr>
                <w:spacing w:val="17"/>
              </w:rPr>
              <w:t>行重复登记。危险化学品生产企业、进口企业发现其生产、进口的危险化学品有新</w:t>
            </w:r>
            <w:r>
              <w:rPr>
                <w:spacing w:val="13"/>
              </w:rPr>
              <w:t>的危险特性的，应当及时向</w:t>
            </w:r>
            <w:r>
              <w:rPr>
                <w:spacing w:val="17"/>
              </w:rPr>
              <w:t>危险化学品登记机构办理登</w:t>
            </w:r>
            <w:r>
              <w:rPr>
                <w:spacing w:val="3"/>
              </w:rPr>
              <w:t>记内容变更手续。</w:t>
            </w:r>
          </w:p>
          <w:p w14:paraId="7F2B89A6">
            <w:pPr>
              <w:pStyle w:val="6"/>
              <w:spacing w:line="181" w:lineRule="auto"/>
              <w:ind w:left="116" w:right="42"/>
              <w:jc w:val="both"/>
              <w:rPr>
                <w:rFonts w:ascii="宋体" w:hAnsi="宋体" w:eastAsia="宋体" w:cs="宋体"/>
              </w:rPr>
            </w:pPr>
            <w:r>
              <w:rPr>
                <w:rFonts w:ascii="宋体" w:hAnsi="宋体" w:eastAsia="宋体" w:cs="宋体"/>
                <w:spacing w:val="15"/>
              </w:rPr>
              <w:t>2.</w:t>
            </w:r>
            <w:r>
              <w:rPr>
                <w:spacing w:val="15"/>
              </w:rPr>
              <w:t>【部门规章】《危险化学</w:t>
            </w:r>
            <w:r>
              <w:rPr>
                <w:spacing w:val="3"/>
              </w:rPr>
              <w:t>品登记管理办法》第十五条：</w:t>
            </w:r>
            <w:r>
              <w:rPr>
                <w:spacing w:val="17"/>
              </w:rPr>
              <w:t>登记企业在危险化学品登记</w:t>
            </w:r>
            <w:r>
              <w:rPr>
                <w:spacing w:val="13"/>
              </w:rPr>
              <w:t>证有效期内，企业名称、注</w:t>
            </w:r>
            <w:r>
              <w:rPr>
                <w:spacing w:val="17"/>
              </w:rPr>
              <w:t>册地址、登记品种、应急咨</w:t>
            </w:r>
            <w:r>
              <w:rPr>
                <w:spacing w:val="13"/>
              </w:rPr>
              <w:t>询服务电话发生变化，或者</w:t>
            </w:r>
            <w:r>
              <w:rPr>
                <w:spacing w:val="17"/>
              </w:rPr>
              <w:t>发现其生产、进口的危险化</w:t>
            </w:r>
            <w:r>
              <w:rPr>
                <w:spacing w:val="13"/>
              </w:rPr>
              <w:t>学品有新的危险特性的，应</w:t>
            </w:r>
            <w:r>
              <w:rPr>
                <w:spacing w:val="5"/>
              </w:rPr>
              <w:t>当在</w:t>
            </w:r>
            <w:r>
              <w:rPr>
                <w:rFonts w:ascii="宋体" w:hAnsi="宋体" w:eastAsia="宋体" w:cs="宋体"/>
                <w:spacing w:val="5"/>
              </w:rPr>
              <w:t>15</w:t>
            </w:r>
            <w:r>
              <w:rPr>
                <w:spacing w:val="5"/>
              </w:rPr>
              <w:t>个工作日内向登记办</w:t>
            </w:r>
            <w:r>
              <w:rPr>
                <w:spacing w:val="13"/>
              </w:rPr>
              <w:t>公室提出变更申请，并按照</w:t>
            </w:r>
            <w:r>
              <w:rPr>
                <w:spacing w:val="17"/>
              </w:rPr>
              <w:t>下列程序办理登记内容变更</w:t>
            </w:r>
            <w:r>
              <w:rPr>
                <w:spacing w:val="6"/>
              </w:rPr>
              <w:t>手续</w:t>
            </w:r>
            <w:r>
              <w:rPr>
                <w:spacing w:val="-14"/>
              </w:rPr>
              <w:t>：（</w:t>
            </w:r>
            <w:r>
              <w:rPr>
                <w:spacing w:val="6"/>
              </w:rPr>
              <w:t>一）通过登记系统</w:t>
            </w:r>
            <w:r>
              <w:rPr>
                <w:spacing w:val="17"/>
              </w:rPr>
              <w:t>填写危险化学品登记变更申</w:t>
            </w:r>
            <w:r>
              <w:rPr>
                <w:spacing w:val="13"/>
              </w:rPr>
              <w:t>请表，并向登记办公室提交</w:t>
            </w:r>
            <w:r>
              <w:rPr>
                <w:spacing w:val="20"/>
              </w:rPr>
              <w:t>涉及变更事项的证明材料</w:t>
            </w:r>
            <w:r>
              <w:rPr>
                <w:rFonts w:ascii="宋体" w:hAnsi="宋体" w:eastAsia="宋体" w:cs="宋体"/>
                <w:spacing w:val="20"/>
              </w:rPr>
              <w:t>1</w:t>
            </w:r>
          </w:p>
        </w:tc>
        <w:tc>
          <w:tcPr>
            <w:tcW w:w="2859" w:type="dxa"/>
            <w:vMerge w:val="restart"/>
            <w:tcBorders>
              <w:bottom w:val="nil"/>
            </w:tcBorders>
            <w:vAlign w:val="top"/>
          </w:tcPr>
          <w:p w14:paraId="24937E8B">
            <w:pPr>
              <w:pStyle w:val="6"/>
              <w:spacing w:before="34" w:line="182" w:lineRule="auto"/>
              <w:ind w:left="114" w:right="108" w:firstLine="3"/>
            </w:pPr>
            <w:r>
              <w:rPr>
                <w:spacing w:val="8"/>
              </w:rPr>
              <w:t>停产停业整顿</w:t>
            </w:r>
            <w:r>
              <w:rPr>
                <w:spacing w:val="12"/>
              </w:rPr>
              <w:t>：（</w:t>
            </w:r>
            <w:r>
              <w:rPr>
                <w:spacing w:val="8"/>
              </w:rPr>
              <w:t>十二）危险化学品生产企业、进口企业不办理危险化学品</w:t>
            </w:r>
            <w:r>
              <w:rPr>
                <w:spacing w:val="6"/>
              </w:rPr>
              <w:t>登记，或者发现其生产、</w:t>
            </w:r>
            <w:r>
              <w:rPr>
                <w:spacing w:val="8"/>
              </w:rPr>
              <w:t>进口的危险化学品有新的危险特性不办理危险化学</w:t>
            </w:r>
            <w:r>
              <w:rPr>
                <w:spacing w:val="5"/>
              </w:rPr>
              <w:t>品登记内容变更手续的。</w:t>
            </w:r>
            <w:r>
              <w:rPr>
                <w:rFonts w:ascii="宋体" w:hAnsi="宋体" w:eastAsia="宋体" w:cs="宋体"/>
                <w:spacing w:val="8"/>
              </w:rPr>
              <w:t>2.</w:t>
            </w:r>
            <w:r>
              <w:rPr>
                <w:spacing w:val="8"/>
              </w:rPr>
              <w:t>【部门规章】《危险化学品登记管理办法》第二</w:t>
            </w:r>
          </w:p>
          <w:p w14:paraId="20611DCA">
            <w:pPr>
              <w:pStyle w:val="6"/>
              <w:spacing w:before="13" w:line="184" w:lineRule="auto"/>
              <w:ind w:left="117" w:right="23" w:firstLine="8"/>
            </w:pPr>
            <w:r>
              <w:rPr>
                <w:spacing w:val="4"/>
              </w:rPr>
              <w:t>十九条：登记企业不办理</w:t>
            </w:r>
            <w:r>
              <w:rPr>
                <w:spacing w:val="8"/>
              </w:rPr>
              <w:t>危险化学品登记，登记品种发生变化或者发现其生产、进口的危险化学品有新的危险特性不办理危险化学品登记内容变更手续</w:t>
            </w:r>
            <w:r>
              <w:rPr>
                <w:spacing w:val="4"/>
              </w:rPr>
              <w:t>的，责令改正，可以处</w:t>
            </w:r>
            <w:r>
              <w:rPr>
                <w:rFonts w:ascii="宋体" w:hAnsi="宋体" w:eastAsia="宋体" w:cs="宋体"/>
                <w:spacing w:val="4"/>
              </w:rPr>
              <w:t>5</w:t>
            </w:r>
            <w:r>
              <w:rPr>
                <w:spacing w:val="8"/>
              </w:rPr>
              <w:t>万元以下的罚款；拒不改</w:t>
            </w:r>
            <w:r>
              <w:rPr>
                <w:spacing w:val="4"/>
              </w:rPr>
              <w:t>正的，处</w:t>
            </w:r>
            <w:r>
              <w:rPr>
                <w:rFonts w:ascii="宋体" w:hAnsi="宋体" w:eastAsia="宋体" w:cs="宋体"/>
                <w:spacing w:val="4"/>
              </w:rPr>
              <w:t>5</w:t>
            </w:r>
            <w:r>
              <w:rPr>
                <w:spacing w:val="4"/>
              </w:rPr>
              <w:t>万元以上</w:t>
            </w:r>
            <w:r>
              <w:rPr>
                <w:rFonts w:ascii="宋体" w:hAnsi="宋体" w:eastAsia="宋体" w:cs="宋体"/>
                <w:spacing w:val="4"/>
              </w:rPr>
              <w:t>10</w:t>
            </w:r>
            <w:r>
              <w:rPr>
                <w:spacing w:val="8"/>
              </w:rPr>
              <w:t>万元以下的罚款；情节严</w:t>
            </w:r>
            <w:r>
              <w:rPr>
                <w:spacing w:val="-4"/>
              </w:rPr>
              <w:t>重的，责令停产停业整顿。</w:t>
            </w:r>
          </w:p>
        </w:tc>
        <w:tc>
          <w:tcPr>
            <w:tcW w:w="803" w:type="dxa"/>
            <w:vAlign w:val="top"/>
          </w:tcPr>
          <w:p w14:paraId="7E5A115F">
            <w:pPr>
              <w:spacing w:line="265" w:lineRule="auto"/>
              <w:rPr>
                <w:rFonts w:ascii="Arial"/>
                <w:sz w:val="21"/>
              </w:rPr>
            </w:pPr>
          </w:p>
          <w:p w14:paraId="4925DEFA">
            <w:pPr>
              <w:spacing w:line="265" w:lineRule="auto"/>
              <w:rPr>
                <w:rFonts w:ascii="Arial"/>
                <w:sz w:val="21"/>
              </w:rPr>
            </w:pPr>
          </w:p>
          <w:p w14:paraId="165A30CD">
            <w:pPr>
              <w:spacing w:line="265" w:lineRule="auto"/>
              <w:rPr>
                <w:rFonts w:ascii="Arial"/>
                <w:sz w:val="21"/>
              </w:rPr>
            </w:pPr>
          </w:p>
          <w:p w14:paraId="79EFE8CC">
            <w:pPr>
              <w:spacing w:line="265" w:lineRule="auto"/>
              <w:rPr>
                <w:rFonts w:ascii="Arial"/>
                <w:sz w:val="21"/>
              </w:rPr>
            </w:pPr>
          </w:p>
          <w:p w14:paraId="1670395D">
            <w:pPr>
              <w:spacing w:line="265" w:lineRule="auto"/>
              <w:rPr>
                <w:rFonts w:ascii="Arial"/>
                <w:sz w:val="21"/>
              </w:rPr>
            </w:pPr>
          </w:p>
          <w:p w14:paraId="3ABFDB61">
            <w:pPr>
              <w:spacing w:line="265" w:lineRule="auto"/>
              <w:rPr>
                <w:rFonts w:ascii="Arial"/>
                <w:sz w:val="21"/>
              </w:rPr>
            </w:pPr>
          </w:p>
          <w:p w14:paraId="00195309">
            <w:pPr>
              <w:spacing w:line="266" w:lineRule="auto"/>
              <w:rPr>
                <w:rFonts w:ascii="Arial"/>
                <w:sz w:val="21"/>
              </w:rPr>
            </w:pPr>
          </w:p>
          <w:p w14:paraId="7E876DD2">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3A481DA">
            <w:pPr>
              <w:spacing w:line="248" w:lineRule="auto"/>
              <w:rPr>
                <w:rFonts w:ascii="Arial"/>
                <w:sz w:val="21"/>
              </w:rPr>
            </w:pPr>
          </w:p>
          <w:p w14:paraId="18CFB846">
            <w:pPr>
              <w:spacing w:line="248" w:lineRule="auto"/>
              <w:rPr>
                <w:rFonts w:ascii="Arial"/>
                <w:sz w:val="21"/>
              </w:rPr>
            </w:pPr>
          </w:p>
          <w:p w14:paraId="6E71D2C7">
            <w:pPr>
              <w:spacing w:line="248" w:lineRule="auto"/>
              <w:rPr>
                <w:rFonts w:ascii="Arial"/>
                <w:sz w:val="21"/>
              </w:rPr>
            </w:pPr>
          </w:p>
          <w:p w14:paraId="2DF93FB0">
            <w:pPr>
              <w:spacing w:line="248" w:lineRule="auto"/>
              <w:rPr>
                <w:rFonts w:ascii="Arial"/>
                <w:sz w:val="21"/>
              </w:rPr>
            </w:pPr>
          </w:p>
          <w:p w14:paraId="0E5866AF">
            <w:pPr>
              <w:spacing w:line="248" w:lineRule="auto"/>
              <w:rPr>
                <w:rFonts w:ascii="Arial"/>
                <w:sz w:val="21"/>
              </w:rPr>
            </w:pPr>
          </w:p>
          <w:p w14:paraId="088277FC">
            <w:pPr>
              <w:spacing w:line="248" w:lineRule="auto"/>
              <w:rPr>
                <w:rFonts w:ascii="Arial"/>
                <w:sz w:val="21"/>
              </w:rPr>
            </w:pPr>
          </w:p>
          <w:p w14:paraId="10E42B7B">
            <w:pPr>
              <w:pStyle w:val="6"/>
              <w:spacing w:before="99" w:line="191" w:lineRule="auto"/>
              <w:ind w:left="140" w:right="105" w:hanging="23"/>
              <w:jc w:val="both"/>
            </w:pPr>
            <w:r>
              <w:rPr>
                <w:spacing w:val="26"/>
              </w:rPr>
              <w:t>超过规定申请办理</w:t>
            </w:r>
            <w:r>
              <w:rPr>
                <w:spacing w:val="2"/>
              </w:rPr>
              <w:t>时限</w:t>
            </w:r>
            <w:r>
              <w:rPr>
                <w:rFonts w:ascii="宋体" w:hAnsi="宋体" w:eastAsia="宋体" w:cs="宋体"/>
                <w:spacing w:val="2"/>
              </w:rPr>
              <w:t>10</w:t>
            </w:r>
            <w:r>
              <w:rPr>
                <w:spacing w:val="2"/>
              </w:rPr>
              <w:t>日以上</w:t>
            </w:r>
            <w:r>
              <w:rPr>
                <w:rFonts w:ascii="宋体" w:hAnsi="宋体" w:eastAsia="宋体" w:cs="宋体"/>
                <w:spacing w:val="2"/>
              </w:rPr>
              <w:t>20</w:t>
            </w:r>
            <w:r>
              <w:t>日以内的</w:t>
            </w:r>
          </w:p>
        </w:tc>
        <w:tc>
          <w:tcPr>
            <w:tcW w:w="2894" w:type="dxa"/>
            <w:vAlign w:val="top"/>
          </w:tcPr>
          <w:p w14:paraId="14C087C4">
            <w:pPr>
              <w:spacing w:line="260" w:lineRule="auto"/>
              <w:rPr>
                <w:rFonts w:ascii="Arial"/>
                <w:sz w:val="21"/>
              </w:rPr>
            </w:pPr>
          </w:p>
          <w:p w14:paraId="7DE90671">
            <w:pPr>
              <w:spacing w:line="260" w:lineRule="auto"/>
              <w:rPr>
                <w:rFonts w:ascii="Arial"/>
                <w:sz w:val="21"/>
              </w:rPr>
            </w:pPr>
          </w:p>
          <w:p w14:paraId="59950125">
            <w:pPr>
              <w:spacing w:line="260" w:lineRule="auto"/>
              <w:rPr>
                <w:rFonts w:ascii="Arial"/>
                <w:sz w:val="21"/>
              </w:rPr>
            </w:pPr>
          </w:p>
          <w:p w14:paraId="170E189C">
            <w:pPr>
              <w:spacing w:line="260" w:lineRule="auto"/>
              <w:rPr>
                <w:rFonts w:ascii="Arial"/>
                <w:sz w:val="21"/>
              </w:rPr>
            </w:pPr>
          </w:p>
          <w:p w14:paraId="340FF354">
            <w:pPr>
              <w:pStyle w:val="6"/>
              <w:spacing w:before="99" w:line="187" w:lineRule="auto"/>
              <w:ind w:left="122" w:right="103" w:firstLine="5"/>
            </w:pPr>
            <w:r>
              <w:rPr>
                <w:spacing w:val="3"/>
              </w:rPr>
              <w:t>责令改正，可以处</w:t>
            </w:r>
            <w:r>
              <w:rPr>
                <w:rFonts w:ascii="宋体" w:hAnsi="宋体" w:eastAsia="宋体" w:cs="宋体"/>
                <w:spacing w:val="3"/>
              </w:rPr>
              <w:t>2</w:t>
            </w:r>
            <w:r>
              <w:rPr>
                <w:spacing w:val="3"/>
              </w:rPr>
              <w:t>万元以上</w:t>
            </w:r>
            <w:r>
              <w:rPr>
                <w:rFonts w:ascii="宋体" w:hAnsi="宋体" w:eastAsia="宋体" w:cs="宋体"/>
                <w:spacing w:val="3"/>
              </w:rPr>
              <w:t>4</w:t>
            </w:r>
            <w:r>
              <w:rPr>
                <w:spacing w:val="3"/>
              </w:rPr>
              <w:t>万元以下的罚款；</w:t>
            </w:r>
            <w:r>
              <w:rPr>
                <w:spacing w:val="4"/>
              </w:rPr>
              <w:t>拒不改正的，处</w:t>
            </w:r>
            <w:r>
              <w:rPr>
                <w:rFonts w:ascii="宋体" w:hAnsi="宋体" w:eastAsia="宋体" w:cs="宋体"/>
                <w:spacing w:val="4"/>
              </w:rPr>
              <w:t>7</w:t>
            </w:r>
            <w:r>
              <w:rPr>
                <w:spacing w:val="4"/>
              </w:rPr>
              <w:t>万元以</w:t>
            </w:r>
            <w:r>
              <w:rPr>
                <w:spacing w:val="3"/>
              </w:rPr>
              <w:t>上</w:t>
            </w:r>
            <w:r>
              <w:rPr>
                <w:rFonts w:ascii="宋体" w:hAnsi="宋体" w:eastAsia="宋体" w:cs="宋体"/>
                <w:spacing w:val="3"/>
              </w:rPr>
              <w:t>9</w:t>
            </w:r>
            <w:r>
              <w:rPr>
                <w:spacing w:val="3"/>
              </w:rPr>
              <w:t>万元以下的罚款；情</w:t>
            </w:r>
            <w:r>
              <w:rPr>
                <w:spacing w:val="8"/>
              </w:rPr>
              <w:t>节严重的，责令停产停业</w:t>
            </w:r>
            <w:r>
              <w:rPr>
                <w:spacing w:val="1"/>
              </w:rPr>
              <w:t>整顿</w:t>
            </w:r>
          </w:p>
        </w:tc>
        <w:tc>
          <w:tcPr>
            <w:tcW w:w="811" w:type="dxa"/>
            <w:vMerge w:val="restart"/>
            <w:tcBorders>
              <w:bottom w:val="nil"/>
            </w:tcBorders>
            <w:vAlign w:val="top"/>
          </w:tcPr>
          <w:p w14:paraId="207BFDF2">
            <w:pPr>
              <w:rPr>
                <w:rFonts w:ascii="Arial"/>
                <w:sz w:val="21"/>
              </w:rPr>
            </w:pPr>
          </w:p>
        </w:tc>
      </w:tr>
      <w:tr w14:paraId="55D70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1" w:hRule="atLeast"/>
        </w:trPr>
        <w:tc>
          <w:tcPr>
            <w:tcW w:w="818" w:type="dxa"/>
            <w:vMerge w:val="continue"/>
            <w:tcBorders>
              <w:top w:val="nil"/>
            </w:tcBorders>
            <w:vAlign w:val="top"/>
          </w:tcPr>
          <w:p w14:paraId="49778C09">
            <w:pPr>
              <w:rPr>
                <w:rFonts w:ascii="Arial"/>
                <w:sz w:val="21"/>
              </w:rPr>
            </w:pPr>
          </w:p>
        </w:tc>
        <w:tc>
          <w:tcPr>
            <w:tcW w:w="1440" w:type="dxa"/>
            <w:vMerge w:val="continue"/>
            <w:tcBorders>
              <w:top w:val="nil"/>
            </w:tcBorders>
            <w:vAlign w:val="top"/>
          </w:tcPr>
          <w:p w14:paraId="03EDE5F2">
            <w:pPr>
              <w:rPr>
                <w:rFonts w:ascii="Arial"/>
                <w:sz w:val="21"/>
              </w:rPr>
            </w:pPr>
          </w:p>
        </w:tc>
        <w:tc>
          <w:tcPr>
            <w:tcW w:w="3202" w:type="dxa"/>
            <w:vMerge w:val="continue"/>
            <w:tcBorders>
              <w:top w:val="nil"/>
            </w:tcBorders>
            <w:vAlign w:val="top"/>
          </w:tcPr>
          <w:p w14:paraId="23AA2C41">
            <w:pPr>
              <w:rPr>
                <w:rFonts w:ascii="Arial"/>
                <w:sz w:val="21"/>
              </w:rPr>
            </w:pPr>
          </w:p>
        </w:tc>
        <w:tc>
          <w:tcPr>
            <w:tcW w:w="2859" w:type="dxa"/>
            <w:vMerge w:val="continue"/>
            <w:tcBorders>
              <w:top w:val="nil"/>
            </w:tcBorders>
            <w:vAlign w:val="top"/>
          </w:tcPr>
          <w:p w14:paraId="452064B9">
            <w:pPr>
              <w:rPr>
                <w:rFonts w:ascii="Arial"/>
                <w:sz w:val="21"/>
              </w:rPr>
            </w:pPr>
          </w:p>
        </w:tc>
        <w:tc>
          <w:tcPr>
            <w:tcW w:w="803" w:type="dxa"/>
            <w:vAlign w:val="top"/>
          </w:tcPr>
          <w:p w14:paraId="2B7DEF2E">
            <w:pPr>
              <w:spacing w:line="257" w:lineRule="auto"/>
              <w:rPr>
                <w:rFonts w:ascii="Arial"/>
                <w:sz w:val="21"/>
              </w:rPr>
            </w:pPr>
          </w:p>
          <w:p w14:paraId="2981E209">
            <w:pPr>
              <w:spacing w:line="257" w:lineRule="auto"/>
              <w:rPr>
                <w:rFonts w:ascii="Arial"/>
                <w:sz w:val="21"/>
              </w:rPr>
            </w:pPr>
          </w:p>
          <w:p w14:paraId="50418E27">
            <w:pPr>
              <w:spacing w:line="257" w:lineRule="auto"/>
              <w:rPr>
                <w:rFonts w:ascii="Arial"/>
                <w:sz w:val="21"/>
              </w:rPr>
            </w:pPr>
          </w:p>
          <w:p w14:paraId="3BD96BE6">
            <w:pPr>
              <w:spacing w:line="257" w:lineRule="auto"/>
              <w:rPr>
                <w:rFonts w:ascii="Arial"/>
                <w:sz w:val="21"/>
              </w:rPr>
            </w:pPr>
          </w:p>
          <w:p w14:paraId="78E1D897">
            <w:pPr>
              <w:spacing w:line="257" w:lineRule="auto"/>
              <w:rPr>
                <w:rFonts w:ascii="Arial"/>
                <w:sz w:val="21"/>
              </w:rPr>
            </w:pPr>
          </w:p>
          <w:p w14:paraId="778DEE38">
            <w:pPr>
              <w:spacing w:line="257" w:lineRule="auto"/>
              <w:rPr>
                <w:rFonts w:ascii="Arial"/>
                <w:sz w:val="21"/>
              </w:rPr>
            </w:pPr>
          </w:p>
          <w:p w14:paraId="03D7F473">
            <w:pPr>
              <w:spacing w:line="257" w:lineRule="auto"/>
              <w:rPr>
                <w:rFonts w:ascii="Arial"/>
                <w:sz w:val="21"/>
              </w:rPr>
            </w:pPr>
          </w:p>
          <w:p w14:paraId="5286783A">
            <w:pPr>
              <w:spacing w:line="258" w:lineRule="auto"/>
              <w:rPr>
                <w:rFonts w:ascii="Arial"/>
                <w:sz w:val="21"/>
              </w:rPr>
            </w:pPr>
          </w:p>
          <w:p w14:paraId="34F9E5CA">
            <w:pPr>
              <w:spacing w:line="258" w:lineRule="auto"/>
              <w:rPr>
                <w:rFonts w:ascii="Arial"/>
                <w:sz w:val="21"/>
              </w:rPr>
            </w:pPr>
          </w:p>
          <w:p w14:paraId="6065A1A4">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0021A87">
            <w:pPr>
              <w:spacing w:line="262" w:lineRule="auto"/>
              <w:rPr>
                <w:rFonts w:ascii="Arial"/>
                <w:sz w:val="21"/>
              </w:rPr>
            </w:pPr>
          </w:p>
          <w:p w14:paraId="3863F782">
            <w:pPr>
              <w:spacing w:line="262" w:lineRule="auto"/>
              <w:rPr>
                <w:rFonts w:ascii="Arial"/>
                <w:sz w:val="21"/>
              </w:rPr>
            </w:pPr>
          </w:p>
          <w:p w14:paraId="68F84C55">
            <w:pPr>
              <w:spacing w:line="262" w:lineRule="auto"/>
              <w:rPr>
                <w:rFonts w:ascii="Arial"/>
                <w:sz w:val="21"/>
              </w:rPr>
            </w:pPr>
          </w:p>
          <w:p w14:paraId="286B5527">
            <w:pPr>
              <w:spacing w:line="262" w:lineRule="auto"/>
              <w:rPr>
                <w:rFonts w:ascii="Arial"/>
                <w:sz w:val="21"/>
              </w:rPr>
            </w:pPr>
          </w:p>
          <w:p w14:paraId="574AE7A2">
            <w:pPr>
              <w:spacing w:line="262" w:lineRule="auto"/>
              <w:rPr>
                <w:rFonts w:ascii="Arial"/>
                <w:sz w:val="21"/>
              </w:rPr>
            </w:pPr>
          </w:p>
          <w:p w14:paraId="1A37E747">
            <w:pPr>
              <w:spacing w:line="263" w:lineRule="auto"/>
              <w:rPr>
                <w:rFonts w:ascii="Arial"/>
                <w:sz w:val="21"/>
              </w:rPr>
            </w:pPr>
          </w:p>
          <w:p w14:paraId="29997BD3">
            <w:pPr>
              <w:spacing w:line="263" w:lineRule="auto"/>
              <w:rPr>
                <w:rFonts w:ascii="Arial"/>
                <w:sz w:val="21"/>
              </w:rPr>
            </w:pPr>
          </w:p>
          <w:p w14:paraId="44D1B5C9">
            <w:pPr>
              <w:spacing w:line="263" w:lineRule="auto"/>
              <w:rPr>
                <w:rFonts w:ascii="Arial"/>
                <w:sz w:val="21"/>
              </w:rPr>
            </w:pPr>
          </w:p>
          <w:p w14:paraId="4B73458C">
            <w:pPr>
              <w:pStyle w:val="6"/>
              <w:spacing w:before="98" w:line="195" w:lineRule="auto"/>
              <w:ind w:left="140" w:right="109" w:hanging="23"/>
            </w:pPr>
            <w:r>
              <w:rPr>
                <w:spacing w:val="26"/>
              </w:rPr>
              <w:t>超过规定申请办理</w:t>
            </w:r>
            <w:r>
              <w:rPr>
                <w:spacing w:val="-5"/>
              </w:rPr>
              <w:t>时限</w:t>
            </w:r>
            <w:r>
              <w:rPr>
                <w:rFonts w:ascii="宋体" w:hAnsi="宋体" w:eastAsia="宋体" w:cs="宋体"/>
                <w:spacing w:val="-5"/>
              </w:rPr>
              <w:t>20</w:t>
            </w:r>
            <w:r>
              <w:rPr>
                <w:spacing w:val="-5"/>
              </w:rPr>
              <w:t>日以上的</w:t>
            </w:r>
          </w:p>
        </w:tc>
        <w:tc>
          <w:tcPr>
            <w:tcW w:w="2894" w:type="dxa"/>
            <w:vAlign w:val="top"/>
          </w:tcPr>
          <w:p w14:paraId="43DE4204">
            <w:pPr>
              <w:spacing w:line="250" w:lineRule="auto"/>
              <w:rPr>
                <w:rFonts w:ascii="Arial"/>
                <w:sz w:val="21"/>
              </w:rPr>
            </w:pPr>
          </w:p>
          <w:p w14:paraId="68F9425E">
            <w:pPr>
              <w:spacing w:line="250" w:lineRule="auto"/>
              <w:rPr>
                <w:rFonts w:ascii="Arial"/>
                <w:sz w:val="21"/>
              </w:rPr>
            </w:pPr>
          </w:p>
          <w:p w14:paraId="7ECBB4F3">
            <w:pPr>
              <w:spacing w:line="250" w:lineRule="auto"/>
              <w:rPr>
                <w:rFonts w:ascii="Arial"/>
                <w:sz w:val="21"/>
              </w:rPr>
            </w:pPr>
          </w:p>
          <w:p w14:paraId="2C9355E6">
            <w:pPr>
              <w:spacing w:line="250" w:lineRule="auto"/>
              <w:rPr>
                <w:rFonts w:ascii="Arial"/>
                <w:sz w:val="21"/>
              </w:rPr>
            </w:pPr>
          </w:p>
          <w:p w14:paraId="39E85F69">
            <w:pPr>
              <w:spacing w:line="250" w:lineRule="auto"/>
              <w:rPr>
                <w:rFonts w:ascii="Arial"/>
                <w:sz w:val="21"/>
              </w:rPr>
            </w:pPr>
          </w:p>
          <w:p w14:paraId="4720577B">
            <w:pPr>
              <w:spacing w:line="250" w:lineRule="auto"/>
              <w:rPr>
                <w:rFonts w:ascii="Arial"/>
                <w:sz w:val="21"/>
              </w:rPr>
            </w:pPr>
          </w:p>
          <w:p w14:paraId="4F8EFEC6">
            <w:pPr>
              <w:pStyle w:val="6"/>
              <w:spacing w:before="99" w:line="187" w:lineRule="auto"/>
              <w:ind w:left="122" w:right="103" w:firstLine="5"/>
            </w:pPr>
            <w:r>
              <w:rPr>
                <w:spacing w:val="3"/>
              </w:rPr>
              <w:t>责令改正，可以处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万元以下的罚款；</w:t>
            </w:r>
            <w:r>
              <w:rPr>
                <w:spacing w:val="4"/>
              </w:rPr>
              <w:t>拒不改正的，处</w:t>
            </w:r>
            <w:r>
              <w:rPr>
                <w:rFonts w:ascii="宋体" w:hAnsi="宋体" w:eastAsia="宋体" w:cs="宋体"/>
                <w:spacing w:val="4"/>
              </w:rPr>
              <w:t>9</w:t>
            </w:r>
            <w:r>
              <w:rPr>
                <w:spacing w:val="4"/>
              </w:rPr>
              <w:t>万元以</w:t>
            </w:r>
            <w:r>
              <w:rPr>
                <w:spacing w:val="-4"/>
              </w:rPr>
              <w:t>上</w:t>
            </w:r>
            <w:r>
              <w:rPr>
                <w:rFonts w:ascii="宋体" w:hAnsi="宋体" w:eastAsia="宋体" w:cs="宋体"/>
                <w:spacing w:val="-4"/>
              </w:rPr>
              <w:t>10</w:t>
            </w:r>
            <w:r>
              <w:rPr>
                <w:spacing w:val="-4"/>
              </w:rPr>
              <w:t>万元以下的罚款；情</w:t>
            </w:r>
            <w:r>
              <w:rPr>
                <w:spacing w:val="8"/>
              </w:rPr>
              <w:t>节严重的，责令停产停业</w:t>
            </w:r>
            <w:r>
              <w:rPr>
                <w:spacing w:val="1"/>
              </w:rPr>
              <w:t>整顿</w:t>
            </w:r>
          </w:p>
        </w:tc>
        <w:tc>
          <w:tcPr>
            <w:tcW w:w="811" w:type="dxa"/>
            <w:vMerge w:val="continue"/>
            <w:tcBorders>
              <w:top w:val="nil"/>
            </w:tcBorders>
            <w:vAlign w:val="top"/>
          </w:tcPr>
          <w:p w14:paraId="40599E16">
            <w:pPr>
              <w:rPr>
                <w:rFonts w:ascii="Arial"/>
                <w:sz w:val="21"/>
              </w:rPr>
            </w:pPr>
          </w:p>
        </w:tc>
      </w:tr>
    </w:tbl>
    <w:p w14:paraId="42FA3C60">
      <w:pPr>
        <w:pStyle w:val="2"/>
      </w:pPr>
    </w:p>
    <w:p w14:paraId="1F3A39BD">
      <w:pPr>
        <w:sectPr>
          <w:footerReference r:id="rId176" w:type="default"/>
          <w:pgSz w:w="16839" w:h="11906"/>
          <w:pgMar w:top="1012" w:right="821" w:bottom="667" w:left="901" w:header="0" w:footer="388" w:gutter="0"/>
          <w:cols w:space="720" w:num="1"/>
        </w:sectPr>
      </w:pPr>
    </w:p>
    <w:p w14:paraId="03366C05">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66EED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2F4239B">
            <w:pPr>
              <w:spacing w:before="222" w:line="241" w:lineRule="auto"/>
              <w:ind w:left="131"/>
              <w:rPr>
                <w:rFonts w:ascii="黑体" w:hAnsi="黑体" w:eastAsia="黑体" w:cs="黑体"/>
                <w:sz w:val="28"/>
                <w:szCs w:val="28"/>
              </w:rPr>
            </w:pPr>
            <w:bookmarkStart w:id="624" w:name="bookmark575"/>
            <w:bookmarkEnd w:id="624"/>
            <w:r>
              <w:rPr>
                <w:rFonts w:ascii="黑体" w:hAnsi="黑体" w:eastAsia="黑体" w:cs="黑体"/>
                <w:spacing w:val="-2"/>
                <w:sz w:val="28"/>
                <w:szCs w:val="28"/>
              </w:rPr>
              <w:t>序号</w:t>
            </w:r>
          </w:p>
        </w:tc>
        <w:tc>
          <w:tcPr>
            <w:tcW w:w="1440" w:type="dxa"/>
            <w:vAlign w:val="top"/>
          </w:tcPr>
          <w:p w14:paraId="02067FCD">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9948974">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A08107F">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57A1B85">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278E7C4">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516820D">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4AD4EF9">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C4A2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2" w:hRule="atLeast"/>
        </w:trPr>
        <w:tc>
          <w:tcPr>
            <w:tcW w:w="818" w:type="dxa"/>
            <w:vAlign w:val="top"/>
          </w:tcPr>
          <w:p w14:paraId="4919AB88">
            <w:pPr>
              <w:rPr>
                <w:rFonts w:ascii="Arial"/>
                <w:sz w:val="21"/>
              </w:rPr>
            </w:pPr>
          </w:p>
        </w:tc>
        <w:tc>
          <w:tcPr>
            <w:tcW w:w="1440" w:type="dxa"/>
            <w:vAlign w:val="top"/>
          </w:tcPr>
          <w:p w14:paraId="56716C5B">
            <w:pPr>
              <w:rPr>
                <w:rFonts w:ascii="Arial"/>
                <w:sz w:val="21"/>
              </w:rPr>
            </w:pPr>
          </w:p>
        </w:tc>
        <w:tc>
          <w:tcPr>
            <w:tcW w:w="3202" w:type="dxa"/>
            <w:vAlign w:val="top"/>
          </w:tcPr>
          <w:p w14:paraId="345A27D6">
            <w:pPr>
              <w:pStyle w:val="6"/>
              <w:spacing w:before="29" w:line="182" w:lineRule="auto"/>
              <w:ind w:left="134" w:right="111" w:hanging="15"/>
            </w:pPr>
            <w:r>
              <w:rPr>
                <w:spacing w:val="19"/>
              </w:rPr>
              <w:t>份</w:t>
            </w:r>
            <w:r>
              <w:rPr>
                <w:spacing w:val="-14"/>
              </w:rPr>
              <w:t>；（</w:t>
            </w:r>
            <w:r>
              <w:rPr>
                <w:spacing w:val="19"/>
              </w:rPr>
              <w:t>二）登记办公室初步</w:t>
            </w:r>
            <w:r>
              <w:rPr>
                <w:spacing w:val="15"/>
              </w:rPr>
              <w:t>审查登记企业的登记变更申</w:t>
            </w:r>
          </w:p>
          <w:p w14:paraId="4D4DCA66">
            <w:pPr>
              <w:pStyle w:val="6"/>
              <w:spacing w:line="182" w:lineRule="auto"/>
              <w:ind w:left="119"/>
              <w:outlineLvl w:val="0"/>
            </w:pPr>
            <w:bookmarkStart w:id="625" w:name="bookmark576"/>
            <w:bookmarkEnd w:id="625"/>
            <w:bookmarkStart w:id="626" w:name="bookmark324"/>
            <w:bookmarkEnd w:id="626"/>
            <w:r>
              <w:rPr>
                <w:spacing w:val="9"/>
              </w:rPr>
              <w:t>请，符合条件的，通知登记</w:t>
            </w:r>
          </w:p>
          <w:p w14:paraId="68C10CA1">
            <w:pPr>
              <w:pStyle w:val="6"/>
              <w:spacing w:before="2" w:line="181" w:lineRule="auto"/>
              <w:ind w:left="116" w:right="40" w:firstLine="3"/>
            </w:pPr>
            <w:r>
              <w:rPr>
                <w:spacing w:val="39"/>
              </w:rPr>
              <w:t>企业提交变更后的登记材</w:t>
            </w:r>
            <w:r>
              <w:rPr>
                <w:spacing w:val="3"/>
              </w:rPr>
              <w:t>料，并对登记材料进行审查，</w:t>
            </w:r>
            <w:r>
              <w:rPr>
                <w:spacing w:val="14"/>
              </w:rPr>
              <w:t>符合要求的，提交给登记中</w:t>
            </w:r>
            <w:r>
              <w:rPr>
                <w:spacing w:val="9"/>
              </w:rPr>
              <w:t>心；不符合要求的，通过登</w:t>
            </w:r>
            <w:r>
              <w:rPr>
                <w:spacing w:val="17"/>
              </w:rPr>
              <w:t>记系统告知登记企业并说明</w:t>
            </w:r>
            <w:r>
              <w:rPr>
                <w:spacing w:val="19"/>
              </w:rPr>
              <w:t>理由</w:t>
            </w:r>
            <w:r>
              <w:rPr>
                <w:spacing w:val="-13"/>
              </w:rPr>
              <w:t>；（</w:t>
            </w:r>
            <w:r>
              <w:rPr>
                <w:spacing w:val="19"/>
              </w:rPr>
              <w:t>三）登记中心对登</w:t>
            </w:r>
            <w:r>
              <w:rPr>
                <w:spacing w:val="17"/>
              </w:rPr>
              <w:t>记办公室提交的登记材料进</w:t>
            </w:r>
            <w:r>
              <w:rPr>
                <w:spacing w:val="13"/>
              </w:rPr>
              <w:t>行审核，符合要求且属于危</w:t>
            </w:r>
            <w:r>
              <w:rPr>
                <w:spacing w:val="39"/>
              </w:rPr>
              <w:t>险化学品登记证载明事项</w:t>
            </w:r>
            <w:r>
              <w:rPr>
                <w:spacing w:val="13"/>
              </w:rPr>
              <w:t>的，通过登记办公室向登记</w:t>
            </w:r>
            <w:r>
              <w:rPr>
                <w:spacing w:val="17"/>
              </w:rPr>
              <w:t>企业发放登记变更后的危险</w:t>
            </w:r>
            <w:r>
              <w:rPr>
                <w:spacing w:val="13"/>
              </w:rPr>
              <w:t>化学品登记证并收回原证；</w:t>
            </w:r>
            <w:r>
              <w:rPr>
                <w:spacing w:val="17"/>
              </w:rPr>
              <w:t>符合要求但不属于危险化学</w:t>
            </w:r>
            <w:r>
              <w:rPr>
                <w:spacing w:val="13"/>
              </w:rPr>
              <w:t>品登记证载明事项的，通过</w:t>
            </w:r>
            <w:r>
              <w:rPr>
                <w:spacing w:val="17"/>
              </w:rPr>
              <w:t>登记办公室向登记企业提供</w:t>
            </w:r>
            <w:r>
              <w:rPr>
                <w:spacing w:val="3"/>
              </w:rPr>
              <w:t>书面证明文件。</w:t>
            </w:r>
          </w:p>
        </w:tc>
        <w:tc>
          <w:tcPr>
            <w:tcW w:w="2859" w:type="dxa"/>
            <w:vAlign w:val="top"/>
          </w:tcPr>
          <w:p w14:paraId="30709657">
            <w:pPr>
              <w:rPr>
                <w:rFonts w:ascii="Arial"/>
                <w:sz w:val="21"/>
              </w:rPr>
            </w:pPr>
          </w:p>
        </w:tc>
        <w:tc>
          <w:tcPr>
            <w:tcW w:w="803" w:type="dxa"/>
            <w:vAlign w:val="top"/>
          </w:tcPr>
          <w:p w14:paraId="63580802">
            <w:pPr>
              <w:rPr>
                <w:rFonts w:ascii="Arial"/>
                <w:sz w:val="21"/>
              </w:rPr>
            </w:pPr>
          </w:p>
        </w:tc>
        <w:tc>
          <w:tcPr>
            <w:tcW w:w="2283" w:type="dxa"/>
            <w:vAlign w:val="top"/>
          </w:tcPr>
          <w:p w14:paraId="5A1DE997">
            <w:pPr>
              <w:rPr>
                <w:rFonts w:ascii="Arial"/>
                <w:sz w:val="21"/>
              </w:rPr>
            </w:pPr>
          </w:p>
        </w:tc>
        <w:tc>
          <w:tcPr>
            <w:tcW w:w="2894" w:type="dxa"/>
            <w:vAlign w:val="top"/>
          </w:tcPr>
          <w:p w14:paraId="25BCF9C8">
            <w:pPr>
              <w:rPr>
                <w:rFonts w:ascii="Arial"/>
                <w:sz w:val="21"/>
              </w:rPr>
            </w:pPr>
          </w:p>
        </w:tc>
        <w:tc>
          <w:tcPr>
            <w:tcW w:w="811" w:type="dxa"/>
            <w:vAlign w:val="top"/>
          </w:tcPr>
          <w:p w14:paraId="294488AE">
            <w:pPr>
              <w:rPr>
                <w:rFonts w:ascii="Arial"/>
                <w:sz w:val="21"/>
              </w:rPr>
            </w:pPr>
          </w:p>
        </w:tc>
      </w:tr>
      <w:tr w14:paraId="2EF2F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2" w:hRule="atLeast"/>
        </w:trPr>
        <w:tc>
          <w:tcPr>
            <w:tcW w:w="818" w:type="dxa"/>
            <w:vMerge w:val="restart"/>
            <w:tcBorders>
              <w:bottom w:val="nil"/>
            </w:tcBorders>
            <w:vAlign w:val="top"/>
          </w:tcPr>
          <w:p w14:paraId="6D38BC18">
            <w:pPr>
              <w:spacing w:line="249" w:lineRule="auto"/>
              <w:rPr>
                <w:rFonts w:ascii="Arial"/>
                <w:sz w:val="21"/>
              </w:rPr>
            </w:pPr>
          </w:p>
          <w:p w14:paraId="0AB59734">
            <w:pPr>
              <w:spacing w:line="249" w:lineRule="auto"/>
              <w:rPr>
                <w:rFonts w:ascii="Arial"/>
                <w:sz w:val="21"/>
              </w:rPr>
            </w:pPr>
          </w:p>
          <w:p w14:paraId="443BD0F6">
            <w:pPr>
              <w:spacing w:line="249" w:lineRule="auto"/>
              <w:rPr>
                <w:rFonts w:ascii="Arial"/>
                <w:sz w:val="21"/>
              </w:rPr>
            </w:pPr>
          </w:p>
          <w:p w14:paraId="10E51DA3">
            <w:pPr>
              <w:spacing w:line="249" w:lineRule="auto"/>
              <w:rPr>
                <w:rFonts w:ascii="Arial"/>
                <w:sz w:val="21"/>
              </w:rPr>
            </w:pPr>
          </w:p>
          <w:p w14:paraId="7BAA9C01">
            <w:pPr>
              <w:spacing w:line="249" w:lineRule="auto"/>
              <w:rPr>
                <w:rFonts w:ascii="Arial"/>
                <w:sz w:val="21"/>
              </w:rPr>
            </w:pPr>
          </w:p>
          <w:p w14:paraId="4D0D69F7">
            <w:pPr>
              <w:spacing w:line="250" w:lineRule="auto"/>
              <w:rPr>
                <w:rFonts w:ascii="Arial"/>
                <w:sz w:val="21"/>
              </w:rPr>
            </w:pPr>
          </w:p>
          <w:p w14:paraId="29D80999">
            <w:pPr>
              <w:spacing w:before="74" w:line="186" w:lineRule="auto"/>
              <w:ind w:left="161"/>
              <w:rPr>
                <w:rFonts w:ascii="仿宋" w:hAnsi="仿宋" w:eastAsia="仿宋" w:cs="仿宋"/>
                <w:sz w:val="23"/>
                <w:szCs w:val="23"/>
              </w:rPr>
            </w:pPr>
            <w:r>
              <w:rPr>
                <w:rFonts w:ascii="仿宋" w:hAnsi="仿宋" w:eastAsia="仿宋" w:cs="仿宋"/>
                <w:spacing w:val="-5"/>
                <w:sz w:val="23"/>
                <w:szCs w:val="23"/>
              </w:rPr>
              <w:t>158</w:t>
            </w:r>
          </w:p>
        </w:tc>
        <w:tc>
          <w:tcPr>
            <w:tcW w:w="1440" w:type="dxa"/>
            <w:vMerge w:val="restart"/>
            <w:tcBorders>
              <w:bottom w:val="nil"/>
            </w:tcBorders>
            <w:vAlign w:val="top"/>
          </w:tcPr>
          <w:p w14:paraId="26CFE9D1">
            <w:pPr>
              <w:pStyle w:val="6"/>
              <w:spacing w:before="40" w:line="180" w:lineRule="auto"/>
              <w:ind w:left="112" w:right="108" w:firstLine="2"/>
            </w:pPr>
            <w:r>
              <w:rPr>
                <w:spacing w:val="11"/>
              </w:rPr>
              <w:t>危险化学品</w:t>
            </w:r>
            <w:r>
              <w:rPr>
                <w:spacing w:val="6"/>
              </w:rPr>
              <w:t>生产企业、</w:t>
            </w:r>
            <w:r>
              <w:rPr>
                <w:spacing w:val="12"/>
              </w:rPr>
              <w:t>进口企业在危险化学品登记证有效期内企业名称、注册地址、应急咨询服务电话</w:t>
            </w:r>
            <w:r>
              <w:rPr>
                <w:spacing w:val="2"/>
              </w:rPr>
              <w:t>发生变化，</w:t>
            </w:r>
            <w:r>
              <w:rPr>
                <w:spacing w:val="12"/>
              </w:rPr>
              <w:t>未按规定按</w:t>
            </w:r>
          </w:p>
        </w:tc>
        <w:tc>
          <w:tcPr>
            <w:tcW w:w="3202" w:type="dxa"/>
            <w:vMerge w:val="restart"/>
            <w:tcBorders>
              <w:bottom w:val="nil"/>
            </w:tcBorders>
            <w:vAlign w:val="top"/>
          </w:tcPr>
          <w:p w14:paraId="4607464F">
            <w:pPr>
              <w:pStyle w:val="6"/>
              <w:spacing w:before="40" w:line="180" w:lineRule="auto"/>
              <w:ind w:left="117" w:right="111" w:hanging="19"/>
            </w:pPr>
            <w:r>
              <w:rPr>
                <w:spacing w:val="18"/>
              </w:rPr>
              <w:t>【部门规章】《危险化学品</w:t>
            </w:r>
            <w:r>
              <w:rPr>
                <w:spacing w:val="13"/>
              </w:rPr>
              <w:t>登记管理办法》第十五条：</w:t>
            </w:r>
            <w:r>
              <w:rPr>
                <w:spacing w:val="17"/>
              </w:rPr>
              <w:t>登记企业在危险化学品登记</w:t>
            </w:r>
            <w:r>
              <w:rPr>
                <w:spacing w:val="13"/>
              </w:rPr>
              <w:t>证有效期内，企业名称、注</w:t>
            </w:r>
            <w:r>
              <w:rPr>
                <w:spacing w:val="17"/>
              </w:rPr>
              <w:t>册地址、登记品种、应急咨</w:t>
            </w:r>
            <w:r>
              <w:rPr>
                <w:spacing w:val="13"/>
              </w:rPr>
              <w:t>询服务电话发生变化，或者</w:t>
            </w:r>
            <w:r>
              <w:rPr>
                <w:spacing w:val="17"/>
              </w:rPr>
              <w:t>发现其生产、进口的危险化</w:t>
            </w:r>
            <w:r>
              <w:rPr>
                <w:spacing w:val="13"/>
              </w:rPr>
              <w:t>学品有新的危险特性的，应</w:t>
            </w:r>
            <w:r>
              <w:rPr>
                <w:spacing w:val="5"/>
              </w:rPr>
              <w:t>当在</w:t>
            </w:r>
            <w:r>
              <w:rPr>
                <w:rFonts w:ascii="宋体" w:hAnsi="宋体" w:eastAsia="宋体" w:cs="宋体"/>
                <w:spacing w:val="5"/>
              </w:rPr>
              <w:t>15</w:t>
            </w:r>
            <w:r>
              <w:rPr>
                <w:spacing w:val="5"/>
              </w:rPr>
              <w:t>个工作日内向登记办</w:t>
            </w:r>
            <w:r>
              <w:rPr>
                <w:spacing w:val="13"/>
              </w:rPr>
              <w:t>公室提出变更申请，并按照</w:t>
            </w:r>
            <w:r>
              <w:rPr>
                <w:spacing w:val="17"/>
              </w:rPr>
              <w:t>下列程序办理登记内容变更</w:t>
            </w:r>
          </w:p>
        </w:tc>
        <w:tc>
          <w:tcPr>
            <w:tcW w:w="2859" w:type="dxa"/>
            <w:vMerge w:val="restart"/>
            <w:tcBorders>
              <w:bottom w:val="nil"/>
            </w:tcBorders>
            <w:vAlign w:val="top"/>
          </w:tcPr>
          <w:p w14:paraId="5FC628FA">
            <w:pPr>
              <w:pStyle w:val="6"/>
              <w:spacing w:before="40" w:line="180" w:lineRule="auto"/>
              <w:ind w:left="117" w:right="38" w:hanging="20"/>
              <w:jc w:val="both"/>
            </w:pPr>
            <w:r>
              <w:rPr>
                <w:spacing w:val="10"/>
              </w:rPr>
              <w:t>【部门规章】《危险化学</w:t>
            </w:r>
            <w:r>
              <w:rPr>
                <w:spacing w:val="8"/>
              </w:rPr>
              <w:t>品登记管理办法》第三十条第二项：登记企业有下</w:t>
            </w:r>
            <w:r>
              <w:rPr>
                <w:spacing w:val="-6"/>
              </w:rPr>
              <w:t>列行为之一的，责令改正，</w:t>
            </w:r>
            <w:r>
              <w:rPr>
                <w:spacing w:val="20"/>
              </w:rPr>
              <w:t>可以处</w:t>
            </w:r>
            <w:r>
              <w:rPr>
                <w:rFonts w:ascii="宋体" w:hAnsi="宋体" w:eastAsia="宋体" w:cs="宋体"/>
                <w:spacing w:val="20"/>
              </w:rPr>
              <w:t>3</w:t>
            </w:r>
            <w:r>
              <w:rPr>
                <w:spacing w:val="20"/>
              </w:rPr>
              <w:t>万元以下的罚</w:t>
            </w:r>
            <w:r>
              <w:rPr>
                <w:spacing w:val="9"/>
              </w:rPr>
              <w:t>款</w:t>
            </w:r>
            <w:r>
              <w:rPr>
                <w:spacing w:val="6"/>
              </w:rPr>
              <w:t>：（</w:t>
            </w:r>
            <w:r>
              <w:rPr>
                <w:spacing w:val="9"/>
              </w:rPr>
              <w:t>二）在危险化学品</w:t>
            </w:r>
            <w:r>
              <w:rPr>
                <w:spacing w:val="32"/>
              </w:rPr>
              <w:t>登记证有效期内企业名</w:t>
            </w:r>
            <w:r>
              <w:rPr>
                <w:spacing w:val="8"/>
              </w:rPr>
              <w:t>称、注册地址、应急咨询服务电话发生变化，未按规定按时办理危险化学品</w:t>
            </w:r>
            <w:r>
              <w:rPr>
                <w:spacing w:val="2"/>
              </w:rPr>
              <w:t>登记变更手续的；</w:t>
            </w:r>
          </w:p>
        </w:tc>
        <w:tc>
          <w:tcPr>
            <w:tcW w:w="803" w:type="dxa"/>
            <w:vAlign w:val="top"/>
          </w:tcPr>
          <w:p w14:paraId="0FE3B172">
            <w:pPr>
              <w:spacing w:line="380" w:lineRule="auto"/>
              <w:rPr>
                <w:rFonts w:ascii="Arial"/>
                <w:sz w:val="21"/>
              </w:rPr>
            </w:pPr>
          </w:p>
          <w:p w14:paraId="66420CFE">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F7CC195">
            <w:pPr>
              <w:spacing w:line="316" w:lineRule="auto"/>
              <w:rPr>
                <w:rFonts w:ascii="Arial"/>
                <w:sz w:val="21"/>
              </w:rPr>
            </w:pPr>
          </w:p>
          <w:p w14:paraId="709DE009">
            <w:pPr>
              <w:pStyle w:val="6"/>
              <w:spacing w:before="99" w:line="208" w:lineRule="auto"/>
              <w:ind w:left="115"/>
            </w:pPr>
            <w:r>
              <w:rPr>
                <w:spacing w:val="-5"/>
              </w:rPr>
              <w:t>逾期</w:t>
            </w:r>
            <w:r>
              <w:rPr>
                <w:rFonts w:ascii="宋体" w:hAnsi="宋体" w:eastAsia="宋体" w:cs="宋体"/>
                <w:spacing w:val="-5"/>
              </w:rPr>
              <w:t>10</w:t>
            </w:r>
            <w:r>
              <w:rPr>
                <w:spacing w:val="-5"/>
              </w:rPr>
              <w:t>日以内的</w:t>
            </w:r>
          </w:p>
        </w:tc>
        <w:tc>
          <w:tcPr>
            <w:tcW w:w="2894" w:type="dxa"/>
            <w:vAlign w:val="top"/>
          </w:tcPr>
          <w:p w14:paraId="56EC8408">
            <w:pPr>
              <w:pStyle w:val="6"/>
              <w:spacing w:before="264" w:line="196" w:lineRule="auto"/>
              <w:ind w:left="146" w:right="103" w:hanging="19"/>
            </w:pPr>
            <w:r>
              <w:rPr>
                <w:spacing w:val="1"/>
              </w:rPr>
              <w:t>责令改正，可以处</w:t>
            </w:r>
            <w:r>
              <w:rPr>
                <w:rFonts w:ascii="宋体" w:hAnsi="宋体" w:eastAsia="宋体" w:cs="宋体"/>
                <w:spacing w:val="1"/>
              </w:rPr>
              <w:t>1</w:t>
            </w:r>
            <w:r>
              <w:rPr>
                <w:spacing w:val="1"/>
              </w:rPr>
              <w:t>万元以下的罚款</w:t>
            </w:r>
          </w:p>
        </w:tc>
        <w:tc>
          <w:tcPr>
            <w:tcW w:w="811" w:type="dxa"/>
            <w:vMerge w:val="restart"/>
            <w:tcBorders>
              <w:bottom w:val="nil"/>
            </w:tcBorders>
            <w:vAlign w:val="top"/>
          </w:tcPr>
          <w:p w14:paraId="6538B5FD">
            <w:pPr>
              <w:spacing w:line="248" w:lineRule="auto"/>
              <w:rPr>
                <w:rFonts w:ascii="Arial"/>
                <w:sz w:val="21"/>
              </w:rPr>
            </w:pPr>
          </w:p>
          <w:p w14:paraId="24987552">
            <w:pPr>
              <w:spacing w:line="248" w:lineRule="auto"/>
              <w:rPr>
                <w:rFonts w:ascii="Arial"/>
                <w:sz w:val="21"/>
              </w:rPr>
            </w:pPr>
          </w:p>
          <w:p w14:paraId="6BC0631A">
            <w:pPr>
              <w:spacing w:line="248" w:lineRule="auto"/>
              <w:rPr>
                <w:rFonts w:ascii="Arial"/>
                <w:sz w:val="21"/>
              </w:rPr>
            </w:pPr>
          </w:p>
          <w:p w14:paraId="690356CB">
            <w:pPr>
              <w:spacing w:line="249" w:lineRule="auto"/>
              <w:rPr>
                <w:rFonts w:ascii="Arial"/>
                <w:sz w:val="21"/>
              </w:rPr>
            </w:pPr>
          </w:p>
          <w:p w14:paraId="23B74EEE">
            <w:pPr>
              <w:spacing w:line="249" w:lineRule="auto"/>
              <w:rPr>
                <w:rFonts w:ascii="Arial"/>
                <w:sz w:val="21"/>
              </w:rPr>
            </w:pPr>
          </w:p>
          <w:p w14:paraId="79E0A450">
            <w:pPr>
              <w:spacing w:line="249" w:lineRule="auto"/>
              <w:rPr>
                <w:rFonts w:ascii="Arial"/>
                <w:sz w:val="21"/>
              </w:rPr>
            </w:pPr>
          </w:p>
          <w:p w14:paraId="3F3E09AB">
            <w:pPr>
              <w:spacing w:before="75" w:line="189" w:lineRule="auto"/>
              <w:ind w:left="248"/>
              <w:rPr>
                <w:rFonts w:ascii="宋体" w:hAnsi="宋体" w:eastAsia="宋体" w:cs="宋体"/>
                <w:sz w:val="23"/>
                <w:szCs w:val="23"/>
              </w:rPr>
            </w:pPr>
            <w:r>
              <w:rPr>
                <w:rFonts w:ascii="宋体" w:hAnsi="宋体" w:eastAsia="宋体" w:cs="宋体"/>
                <w:spacing w:val="-6"/>
                <w:sz w:val="23"/>
                <w:szCs w:val="23"/>
              </w:rPr>
              <w:t>105</w:t>
            </w:r>
          </w:p>
        </w:tc>
      </w:tr>
      <w:tr w14:paraId="0C5AF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818" w:type="dxa"/>
            <w:vMerge w:val="continue"/>
            <w:tcBorders>
              <w:top w:val="nil"/>
              <w:bottom w:val="nil"/>
            </w:tcBorders>
            <w:vAlign w:val="top"/>
          </w:tcPr>
          <w:p w14:paraId="14DA3614">
            <w:pPr>
              <w:rPr>
                <w:rFonts w:ascii="Arial"/>
                <w:sz w:val="21"/>
              </w:rPr>
            </w:pPr>
          </w:p>
        </w:tc>
        <w:tc>
          <w:tcPr>
            <w:tcW w:w="1440" w:type="dxa"/>
            <w:vMerge w:val="continue"/>
            <w:tcBorders>
              <w:top w:val="nil"/>
              <w:bottom w:val="nil"/>
            </w:tcBorders>
            <w:vAlign w:val="top"/>
          </w:tcPr>
          <w:p w14:paraId="67D3523E">
            <w:pPr>
              <w:rPr>
                <w:rFonts w:ascii="Arial"/>
                <w:sz w:val="21"/>
              </w:rPr>
            </w:pPr>
          </w:p>
        </w:tc>
        <w:tc>
          <w:tcPr>
            <w:tcW w:w="3202" w:type="dxa"/>
            <w:vMerge w:val="continue"/>
            <w:tcBorders>
              <w:top w:val="nil"/>
              <w:bottom w:val="nil"/>
            </w:tcBorders>
            <w:vAlign w:val="top"/>
          </w:tcPr>
          <w:p w14:paraId="0C4F8F38">
            <w:pPr>
              <w:rPr>
                <w:rFonts w:ascii="Arial"/>
                <w:sz w:val="21"/>
              </w:rPr>
            </w:pPr>
          </w:p>
        </w:tc>
        <w:tc>
          <w:tcPr>
            <w:tcW w:w="2859" w:type="dxa"/>
            <w:vMerge w:val="continue"/>
            <w:tcBorders>
              <w:top w:val="nil"/>
              <w:bottom w:val="nil"/>
            </w:tcBorders>
            <w:vAlign w:val="top"/>
          </w:tcPr>
          <w:p w14:paraId="24B79E38">
            <w:pPr>
              <w:rPr>
                <w:rFonts w:ascii="Arial"/>
                <w:sz w:val="21"/>
              </w:rPr>
            </w:pPr>
          </w:p>
        </w:tc>
        <w:tc>
          <w:tcPr>
            <w:tcW w:w="803" w:type="dxa"/>
            <w:vAlign w:val="top"/>
          </w:tcPr>
          <w:p w14:paraId="439A1B70">
            <w:pPr>
              <w:spacing w:line="452" w:lineRule="auto"/>
              <w:rPr>
                <w:rFonts w:ascii="Arial"/>
                <w:sz w:val="21"/>
              </w:rPr>
            </w:pPr>
          </w:p>
          <w:p w14:paraId="0D54E384">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4F2328A">
            <w:pPr>
              <w:pStyle w:val="6"/>
              <w:spacing w:before="332" w:line="196" w:lineRule="auto"/>
              <w:ind w:left="171" w:right="105" w:hanging="56"/>
            </w:pPr>
            <w:r>
              <w:rPr>
                <w:spacing w:val="5"/>
              </w:rPr>
              <w:t>逾期</w:t>
            </w:r>
            <w:r>
              <w:rPr>
                <w:rFonts w:ascii="宋体" w:hAnsi="宋体" w:eastAsia="宋体" w:cs="宋体"/>
                <w:spacing w:val="5"/>
              </w:rPr>
              <w:t>10</w:t>
            </w:r>
            <w:r>
              <w:rPr>
                <w:spacing w:val="5"/>
              </w:rPr>
              <w:t>日以上</w:t>
            </w:r>
            <w:r>
              <w:rPr>
                <w:rFonts w:ascii="宋体" w:hAnsi="宋体" w:eastAsia="宋体" w:cs="宋体"/>
                <w:spacing w:val="5"/>
              </w:rPr>
              <w:t>20</w:t>
            </w:r>
            <w:r>
              <w:rPr>
                <w:spacing w:val="-6"/>
              </w:rPr>
              <w:t>日以内的</w:t>
            </w:r>
          </w:p>
        </w:tc>
        <w:tc>
          <w:tcPr>
            <w:tcW w:w="2894" w:type="dxa"/>
            <w:vAlign w:val="top"/>
          </w:tcPr>
          <w:p w14:paraId="4837514C">
            <w:pPr>
              <w:pStyle w:val="6"/>
              <w:spacing w:before="332" w:line="196" w:lineRule="auto"/>
              <w:ind w:left="146" w:right="103" w:hanging="19"/>
            </w:pPr>
            <w:r>
              <w:rPr>
                <w:spacing w:val="1"/>
              </w:rPr>
              <w:t>责令改正，可以处</w:t>
            </w:r>
            <w:r>
              <w:rPr>
                <w:rFonts w:ascii="宋体" w:hAnsi="宋体" w:eastAsia="宋体" w:cs="宋体"/>
                <w:spacing w:val="1"/>
              </w:rPr>
              <w:t>1</w:t>
            </w:r>
            <w:r>
              <w:rPr>
                <w:spacing w:val="1"/>
              </w:rPr>
              <w:t>万元以上</w:t>
            </w:r>
            <w:r>
              <w:rPr>
                <w:rFonts w:ascii="宋体" w:hAnsi="宋体" w:eastAsia="宋体" w:cs="宋体"/>
                <w:spacing w:val="1"/>
              </w:rPr>
              <w:t>2</w:t>
            </w:r>
            <w:r>
              <w:rPr>
                <w:spacing w:val="1"/>
              </w:rPr>
              <w:t>万元以下的罚款</w:t>
            </w:r>
          </w:p>
        </w:tc>
        <w:tc>
          <w:tcPr>
            <w:tcW w:w="811" w:type="dxa"/>
            <w:vMerge w:val="continue"/>
            <w:tcBorders>
              <w:top w:val="nil"/>
              <w:bottom w:val="nil"/>
            </w:tcBorders>
            <w:vAlign w:val="top"/>
          </w:tcPr>
          <w:p w14:paraId="17C5139E">
            <w:pPr>
              <w:rPr>
                <w:rFonts w:ascii="Arial"/>
                <w:sz w:val="21"/>
              </w:rPr>
            </w:pPr>
          </w:p>
        </w:tc>
      </w:tr>
      <w:tr w14:paraId="5DCB2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7" w:hRule="atLeast"/>
        </w:trPr>
        <w:tc>
          <w:tcPr>
            <w:tcW w:w="818" w:type="dxa"/>
            <w:vMerge w:val="continue"/>
            <w:tcBorders>
              <w:top w:val="nil"/>
            </w:tcBorders>
            <w:vAlign w:val="top"/>
          </w:tcPr>
          <w:p w14:paraId="3E9ED414">
            <w:pPr>
              <w:rPr>
                <w:rFonts w:ascii="Arial"/>
                <w:sz w:val="21"/>
              </w:rPr>
            </w:pPr>
          </w:p>
        </w:tc>
        <w:tc>
          <w:tcPr>
            <w:tcW w:w="1440" w:type="dxa"/>
            <w:vMerge w:val="continue"/>
            <w:tcBorders>
              <w:top w:val="nil"/>
            </w:tcBorders>
            <w:vAlign w:val="top"/>
          </w:tcPr>
          <w:p w14:paraId="4E869CC8">
            <w:pPr>
              <w:rPr>
                <w:rFonts w:ascii="Arial"/>
                <w:sz w:val="21"/>
              </w:rPr>
            </w:pPr>
          </w:p>
        </w:tc>
        <w:tc>
          <w:tcPr>
            <w:tcW w:w="3202" w:type="dxa"/>
            <w:vMerge w:val="continue"/>
            <w:tcBorders>
              <w:top w:val="nil"/>
            </w:tcBorders>
            <w:vAlign w:val="top"/>
          </w:tcPr>
          <w:p w14:paraId="042051C1">
            <w:pPr>
              <w:rPr>
                <w:rFonts w:ascii="Arial"/>
                <w:sz w:val="21"/>
              </w:rPr>
            </w:pPr>
          </w:p>
        </w:tc>
        <w:tc>
          <w:tcPr>
            <w:tcW w:w="2859" w:type="dxa"/>
            <w:vMerge w:val="continue"/>
            <w:tcBorders>
              <w:top w:val="nil"/>
            </w:tcBorders>
            <w:vAlign w:val="top"/>
          </w:tcPr>
          <w:p w14:paraId="472A12AC">
            <w:pPr>
              <w:rPr>
                <w:rFonts w:ascii="Arial"/>
                <w:sz w:val="21"/>
              </w:rPr>
            </w:pPr>
          </w:p>
        </w:tc>
        <w:tc>
          <w:tcPr>
            <w:tcW w:w="803" w:type="dxa"/>
            <w:vAlign w:val="top"/>
          </w:tcPr>
          <w:p w14:paraId="624A8639">
            <w:pPr>
              <w:spacing w:line="355" w:lineRule="auto"/>
              <w:rPr>
                <w:rFonts w:ascii="Arial"/>
                <w:sz w:val="21"/>
              </w:rPr>
            </w:pPr>
          </w:p>
          <w:p w14:paraId="1361D307">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9165608">
            <w:pPr>
              <w:spacing w:line="288" w:lineRule="auto"/>
              <w:rPr>
                <w:rFonts w:ascii="Arial"/>
                <w:sz w:val="21"/>
              </w:rPr>
            </w:pPr>
          </w:p>
          <w:p w14:paraId="26CF46F4">
            <w:pPr>
              <w:pStyle w:val="6"/>
              <w:spacing w:before="99" w:line="208" w:lineRule="auto"/>
              <w:ind w:left="115"/>
            </w:pPr>
            <w:r>
              <w:rPr>
                <w:spacing w:val="-2"/>
              </w:rPr>
              <w:t>逾期</w:t>
            </w:r>
            <w:r>
              <w:rPr>
                <w:rFonts w:ascii="宋体" w:hAnsi="宋体" w:eastAsia="宋体" w:cs="宋体"/>
                <w:spacing w:val="-2"/>
              </w:rPr>
              <w:t>20</w:t>
            </w:r>
            <w:r>
              <w:rPr>
                <w:spacing w:val="-2"/>
              </w:rPr>
              <w:t>日以上的</w:t>
            </w:r>
          </w:p>
        </w:tc>
        <w:tc>
          <w:tcPr>
            <w:tcW w:w="2894" w:type="dxa"/>
            <w:vAlign w:val="top"/>
          </w:tcPr>
          <w:p w14:paraId="680C3BA1">
            <w:pPr>
              <w:pStyle w:val="6"/>
              <w:spacing w:before="236" w:line="196" w:lineRule="auto"/>
              <w:ind w:left="146" w:right="103" w:hanging="19"/>
            </w:pPr>
            <w:r>
              <w:rPr>
                <w:spacing w:val="3"/>
              </w:rPr>
              <w:t>责令改正，可以处</w:t>
            </w:r>
            <w:r>
              <w:rPr>
                <w:rFonts w:ascii="宋体" w:hAnsi="宋体" w:eastAsia="宋体" w:cs="宋体"/>
                <w:spacing w:val="3"/>
              </w:rPr>
              <w:t>2</w:t>
            </w:r>
            <w:r>
              <w:rPr>
                <w:spacing w:val="3"/>
              </w:rPr>
              <w:t>万元</w:t>
            </w:r>
            <w:r>
              <w:rPr>
                <w:spacing w:val="1"/>
              </w:rPr>
              <w:t>以上</w:t>
            </w:r>
            <w:r>
              <w:rPr>
                <w:rFonts w:ascii="宋体" w:hAnsi="宋体" w:eastAsia="宋体" w:cs="宋体"/>
                <w:spacing w:val="1"/>
              </w:rPr>
              <w:t>3</w:t>
            </w:r>
            <w:r>
              <w:rPr>
                <w:spacing w:val="1"/>
              </w:rPr>
              <w:t>万元以下的罚款</w:t>
            </w:r>
          </w:p>
        </w:tc>
        <w:tc>
          <w:tcPr>
            <w:tcW w:w="811" w:type="dxa"/>
            <w:vMerge w:val="continue"/>
            <w:tcBorders>
              <w:top w:val="nil"/>
            </w:tcBorders>
            <w:vAlign w:val="top"/>
          </w:tcPr>
          <w:p w14:paraId="0D48B3B4">
            <w:pPr>
              <w:rPr>
                <w:rFonts w:ascii="Arial"/>
                <w:sz w:val="21"/>
              </w:rPr>
            </w:pPr>
          </w:p>
        </w:tc>
      </w:tr>
    </w:tbl>
    <w:p w14:paraId="10BC7823">
      <w:pPr>
        <w:pStyle w:val="2"/>
      </w:pPr>
    </w:p>
    <w:p w14:paraId="46F09478">
      <w:pPr>
        <w:sectPr>
          <w:footerReference r:id="rId177" w:type="default"/>
          <w:pgSz w:w="16839" w:h="11906"/>
          <w:pgMar w:top="1012" w:right="821" w:bottom="667" w:left="901" w:header="0" w:footer="388" w:gutter="0"/>
          <w:cols w:space="720" w:num="1"/>
        </w:sectPr>
      </w:pPr>
    </w:p>
    <w:p w14:paraId="47A27B63">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DBDE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F70EA4E">
            <w:pPr>
              <w:spacing w:before="222" w:line="241" w:lineRule="auto"/>
              <w:ind w:left="131"/>
              <w:rPr>
                <w:rFonts w:ascii="黑体" w:hAnsi="黑体" w:eastAsia="黑体" w:cs="黑体"/>
                <w:sz w:val="28"/>
                <w:szCs w:val="28"/>
              </w:rPr>
            </w:pPr>
            <w:bookmarkStart w:id="627" w:name="bookmark577"/>
            <w:bookmarkEnd w:id="627"/>
            <w:r>
              <w:rPr>
                <w:rFonts w:ascii="黑体" w:hAnsi="黑体" w:eastAsia="黑体" w:cs="黑体"/>
                <w:spacing w:val="-2"/>
                <w:sz w:val="28"/>
                <w:szCs w:val="28"/>
              </w:rPr>
              <w:t>序号</w:t>
            </w:r>
          </w:p>
        </w:tc>
        <w:tc>
          <w:tcPr>
            <w:tcW w:w="1440" w:type="dxa"/>
            <w:vAlign w:val="top"/>
          </w:tcPr>
          <w:p w14:paraId="0F7DE03D">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BA1A88A">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009E0A8">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A96C6E0">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2B0896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FBEDDF9">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50B3290">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3E1F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1" w:hRule="atLeast"/>
        </w:trPr>
        <w:tc>
          <w:tcPr>
            <w:tcW w:w="818" w:type="dxa"/>
            <w:vAlign w:val="top"/>
          </w:tcPr>
          <w:p w14:paraId="7EFFA30A">
            <w:pPr>
              <w:rPr>
                <w:rFonts w:ascii="Arial"/>
                <w:sz w:val="21"/>
              </w:rPr>
            </w:pPr>
          </w:p>
        </w:tc>
        <w:tc>
          <w:tcPr>
            <w:tcW w:w="1440" w:type="dxa"/>
            <w:vAlign w:val="top"/>
          </w:tcPr>
          <w:p w14:paraId="42ADB4C3">
            <w:pPr>
              <w:pStyle w:val="6"/>
              <w:spacing w:before="28" w:line="182" w:lineRule="auto"/>
              <w:ind w:left="138"/>
            </w:pPr>
            <w:r>
              <w:rPr>
                <w:spacing w:val="6"/>
              </w:rPr>
              <w:t>时办理危险</w:t>
            </w:r>
          </w:p>
          <w:p w14:paraId="72AACF41">
            <w:pPr>
              <w:pStyle w:val="6"/>
              <w:spacing w:line="182" w:lineRule="auto"/>
              <w:ind w:left="121"/>
              <w:outlineLvl w:val="0"/>
            </w:pPr>
            <w:r>
              <w:rPr>
                <w:spacing w:val="10"/>
              </w:rPr>
              <w:t>化学品登记</w:t>
            </w:r>
          </w:p>
          <w:p w14:paraId="220A7B4D">
            <w:pPr>
              <w:pStyle w:val="6"/>
              <w:spacing w:line="208" w:lineRule="auto"/>
              <w:ind w:left="128"/>
            </w:pPr>
            <w:r>
              <w:rPr>
                <w:spacing w:val="4"/>
              </w:rPr>
              <w:t>变更手续的</w:t>
            </w:r>
          </w:p>
        </w:tc>
        <w:tc>
          <w:tcPr>
            <w:tcW w:w="3202" w:type="dxa"/>
            <w:vAlign w:val="top"/>
          </w:tcPr>
          <w:p w14:paraId="61548D3E">
            <w:pPr>
              <w:pStyle w:val="6"/>
              <w:spacing w:before="45" w:line="181" w:lineRule="auto"/>
              <w:ind w:left="116" w:right="40" w:firstLine="6"/>
            </w:pPr>
            <w:r>
              <w:rPr>
                <w:spacing w:val="5"/>
              </w:rPr>
              <w:t>手续</w:t>
            </w:r>
            <w:r>
              <w:rPr>
                <w:spacing w:val="-12"/>
              </w:rPr>
              <w:t>：（</w:t>
            </w:r>
            <w:r>
              <w:rPr>
                <w:spacing w:val="5"/>
              </w:rPr>
              <w:t>一）通过登记系统</w:t>
            </w:r>
            <w:r>
              <w:rPr>
                <w:spacing w:val="17"/>
              </w:rPr>
              <w:t>填写危险化学品登记变更申</w:t>
            </w:r>
            <w:r>
              <w:rPr>
                <w:spacing w:val="13"/>
              </w:rPr>
              <w:t>请表，并向登记办公室提交</w:t>
            </w:r>
            <w:r>
              <w:rPr>
                <w:spacing w:val="18"/>
              </w:rPr>
              <w:t>涉及变更事项的证明材料</w:t>
            </w:r>
            <w:r>
              <w:rPr>
                <w:rFonts w:ascii="宋体" w:hAnsi="宋体" w:eastAsia="宋体" w:cs="宋体"/>
                <w:spacing w:val="18"/>
              </w:rPr>
              <w:t>1</w:t>
            </w:r>
            <w:r>
              <w:rPr>
                <w:spacing w:val="19"/>
              </w:rPr>
              <w:t>份</w:t>
            </w:r>
            <w:r>
              <w:rPr>
                <w:spacing w:val="-13"/>
              </w:rPr>
              <w:t>；（</w:t>
            </w:r>
            <w:r>
              <w:rPr>
                <w:spacing w:val="19"/>
              </w:rPr>
              <w:t>二）登记办公室初步</w:t>
            </w:r>
            <w:r>
              <w:rPr>
                <w:spacing w:val="17"/>
              </w:rPr>
              <w:t>审查登记企业的登记变更申</w:t>
            </w:r>
            <w:bookmarkStart w:id="628" w:name="bookmark326"/>
            <w:bookmarkEnd w:id="628"/>
            <w:bookmarkStart w:id="629" w:name="bookmark578"/>
            <w:bookmarkEnd w:id="629"/>
            <w:r>
              <w:rPr>
                <w:spacing w:val="9"/>
              </w:rPr>
              <w:t>请，符合条件的，通知登记</w:t>
            </w:r>
            <w:r>
              <w:rPr>
                <w:spacing w:val="39"/>
              </w:rPr>
              <w:t>企业提交变更后的登记材</w:t>
            </w:r>
            <w:r>
              <w:rPr>
                <w:spacing w:val="3"/>
              </w:rPr>
              <w:t>料，并对登记材料进行审查，</w:t>
            </w:r>
            <w:r>
              <w:rPr>
                <w:spacing w:val="14"/>
              </w:rPr>
              <w:t>符合要求的，提交给登记中</w:t>
            </w:r>
            <w:r>
              <w:rPr>
                <w:spacing w:val="9"/>
              </w:rPr>
              <w:t>心；不符合要求的，通过登</w:t>
            </w:r>
            <w:r>
              <w:rPr>
                <w:spacing w:val="17"/>
              </w:rPr>
              <w:t>记系统告知登记企业并说明</w:t>
            </w:r>
            <w:r>
              <w:rPr>
                <w:spacing w:val="19"/>
              </w:rPr>
              <w:t>理由</w:t>
            </w:r>
            <w:r>
              <w:rPr>
                <w:spacing w:val="-13"/>
              </w:rPr>
              <w:t>；（</w:t>
            </w:r>
            <w:r>
              <w:rPr>
                <w:spacing w:val="19"/>
              </w:rPr>
              <w:t>三）登记中心对登</w:t>
            </w:r>
            <w:r>
              <w:rPr>
                <w:spacing w:val="17"/>
              </w:rPr>
              <w:t>记办公室提交的登记材料进</w:t>
            </w:r>
            <w:r>
              <w:rPr>
                <w:spacing w:val="13"/>
              </w:rPr>
              <w:t>行审核，符合要求且属于危</w:t>
            </w:r>
            <w:r>
              <w:rPr>
                <w:spacing w:val="39"/>
              </w:rPr>
              <w:t>险化学品登记证载明事项</w:t>
            </w:r>
            <w:r>
              <w:rPr>
                <w:spacing w:val="13"/>
              </w:rPr>
              <w:t>的，通过登记办公室向登记</w:t>
            </w:r>
            <w:r>
              <w:rPr>
                <w:spacing w:val="17"/>
              </w:rPr>
              <w:t>企业发放登记变更后的危险</w:t>
            </w:r>
            <w:r>
              <w:rPr>
                <w:spacing w:val="13"/>
              </w:rPr>
              <w:t>化学品登记证并收回原证；</w:t>
            </w:r>
            <w:r>
              <w:rPr>
                <w:spacing w:val="17"/>
              </w:rPr>
              <w:t>符合要求但不属于危险化学</w:t>
            </w:r>
            <w:r>
              <w:rPr>
                <w:spacing w:val="13"/>
              </w:rPr>
              <w:t>品登记证载明事项的，通过</w:t>
            </w:r>
            <w:r>
              <w:rPr>
                <w:spacing w:val="17"/>
              </w:rPr>
              <w:t>登记办公室向登记企业提供</w:t>
            </w:r>
            <w:r>
              <w:rPr>
                <w:spacing w:val="3"/>
              </w:rPr>
              <w:t>书面证明文件。</w:t>
            </w:r>
          </w:p>
        </w:tc>
        <w:tc>
          <w:tcPr>
            <w:tcW w:w="2859" w:type="dxa"/>
            <w:vAlign w:val="top"/>
          </w:tcPr>
          <w:p w14:paraId="3747D603">
            <w:pPr>
              <w:rPr>
                <w:rFonts w:ascii="Arial"/>
                <w:sz w:val="21"/>
              </w:rPr>
            </w:pPr>
          </w:p>
        </w:tc>
        <w:tc>
          <w:tcPr>
            <w:tcW w:w="803" w:type="dxa"/>
            <w:vAlign w:val="top"/>
          </w:tcPr>
          <w:p w14:paraId="6D6EBF6B">
            <w:pPr>
              <w:rPr>
                <w:rFonts w:ascii="Arial"/>
                <w:sz w:val="21"/>
              </w:rPr>
            </w:pPr>
          </w:p>
        </w:tc>
        <w:tc>
          <w:tcPr>
            <w:tcW w:w="2283" w:type="dxa"/>
            <w:vAlign w:val="top"/>
          </w:tcPr>
          <w:p w14:paraId="226DFCE7">
            <w:pPr>
              <w:rPr>
                <w:rFonts w:ascii="Arial"/>
                <w:sz w:val="21"/>
              </w:rPr>
            </w:pPr>
          </w:p>
        </w:tc>
        <w:tc>
          <w:tcPr>
            <w:tcW w:w="2894" w:type="dxa"/>
            <w:vAlign w:val="top"/>
          </w:tcPr>
          <w:p w14:paraId="326DD8B5">
            <w:pPr>
              <w:rPr>
                <w:rFonts w:ascii="Arial"/>
                <w:sz w:val="21"/>
              </w:rPr>
            </w:pPr>
          </w:p>
        </w:tc>
        <w:tc>
          <w:tcPr>
            <w:tcW w:w="811" w:type="dxa"/>
            <w:vAlign w:val="top"/>
          </w:tcPr>
          <w:p w14:paraId="3C094524">
            <w:pPr>
              <w:rPr>
                <w:rFonts w:ascii="Arial"/>
                <w:sz w:val="21"/>
              </w:rPr>
            </w:pPr>
          </w:p>
        </w:tc>
      </w:tr>
      <w:tr w14:paraId="11B3C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8" w:hRule="atLeast"/>
        </w:trPr>
        <w:tc>
          <w:tcPr>
            <w:tcW w:w="818" w:type="dxa"/>
            <w:vAlign w:val="top"/>
          </w:tcPr>
          <w:p w14:paraId="0F4924BE">
            <w:pPr>
              <w:spacing w:line="315" w:lineRule="auto"/>
              <w:rPr>
                <w:rFonts w:ascii="Arial"/>
                <w:sz w:val="21"/>
              </w:rPr>
            </w:pPr>
          </w:p>
          <w:p w14:paraId="61950E18">
            <w:pPr>
              <w:spacing w:line="315" w:lineRule="auto"/>
              <w:rPr>
                <w:rFonts w:ascii="Arial"/>
                <w:sz w:val="21"/>
              </w:rPr>
            </w:pPr>
          </w:p>
          <w:p w14:paraId="4DC00A24">
            <w:pPr>
              <w:spacing w:line="315" w:lineRule="auto"/>
              <w:rPr>
                <w:rFonts w:ascii="Arial"/>
                <w:sz w:val="21"/>
              </w:rPr>
            </w:pPr>
          </w:p>
          <w:p w14:paraId="37B05786">
            <w:pPr>
              <w:spacing w:before="74" w:line="186" w:lineRule="auto"/>
              <w:ind w:left="161"/>
              <w:rPr>
                <w:rFonts w:ascii="仿宋" w:hAnsi="仿宋" w:eastAsia="仿宋" w:cs="仿宋"/>
                <w:sz w:val="23"/>
                <w:szCs w:val="23"/>
              </w:rPr>
            </w:pPr>
            <w:r>
              <w:rPr>
                <w:rFonts w:ascii="仿宋" w:hAnsi="仿宋" w:eastAsia="仿宋" w:cs="仿宋"/>
                <w:spacing w:val="-5"/>
                <w:sz w:val="23"/>
                <w:szCs w:val="23"/>
              </w:rPr>
              <w:t>159</w:t>
            </w:r>
          </w:p>
        </w:tc>
        <w:tc>
          <w:tcPr>
            <w:tcW w:w="1440" w:type="dxa"/>
            <w:vAlign w:val="top"/>
          </w:tcPr>
          <w:p w14:paraId="5FA1FEF6">
            <w:pPr>
              <w:pStyle w:val="6"/>
              <w:spacing w:before="81" w:line="183" w:lineRule="auto"/>
              <w:ind w:left="112" w:right="111" w:firstLine="2"/>
            </w:pPr>
            <w:r>
              <w:rPr>
                <w:spacing w:val="11"/>
              </w:rPr>
              <w:t>危险化学品</w:t>
            </w:r>
            <w:r>
              <w:rPr>
                <w:spacing w:val="6"/>
              </w:rPr>
              <w:t>生产企业、</w:t>
            </w:r>
            <w:r>
              <w:rPr>
                <w:spacing w:val="12"/>
              </w:rPr>
              <w:t>进口企业在危险化学品登记证有效</w:t>
            </w:r>
            <w:r>
              <w:rPr>
                <w:spacing w:val="5"/>
              </w:rPr>
              <w:t>期满后，未</w:t>
            </w:r>
            <w:r>
              <w:rPr>
                <w:spacing w:val="12"/>
              </w:rPr>
              <w:t>按规定申请</w:t>
            </w:r>
          </w:p>
        </w:tc>
        <w:tc>
          <w:tcPr>
            <w:tcW w:w="3202" w:type="dxa"/>
            <w:vAlign w:val="top"/>
          </w:tcPr>
          <w:p w14:paraId="592BD5EF">
            <w:pPr>
              <w:pStyle w:val="6"/>
              <w:spacing w:before="35" w:line="186" w:lineRule="auto"/>
              <w:ind w:left="117" w:right="108" w:hanging="19"/>
            </w:pPr>
            <w:r>
              <w:rPr>
                <w:spacing w:val="18"/>
              </w:rPr>
              <w:t>【部门规章】《危险化学品</w:t>
            </w:r>
            <w:r>
              <w:rPr>
                <w:spacing w:val="13"/>
              </w:rPr>
              <w:t>登记管理办法》第十六条：</w:t>
            </w:r>
            <w:r>
              <w:rPr>
                <w:spacing w:val="17"/>
              </w:rPr>
              <w:t>危险化学品登记证有效期为</w:t>
            </w:r>
            <w:r>
              <w:rPr>
                <w:rFonts w:ascii="宋体" w:hAnsi="宋体" w:eastAsia="宋体" w:cs="宋体"/>
                <w:spacing w:val="1"/>
              </w:rPr>
              <w:t>3</w:t>
            </w:r>
            <w:r>
              <w:rPr>
                <w:spacing w:val="1"/>
              </w:rPr>
              <w:t>年。登记证有效期满后，登</w:t>
            </w:r>
            <w:r>
              <w:rPr>
                <w:spacing w:val="17"/>
              </w:rPr>
              <w:t>记企业继续从事危险化学品</w:t>
            </w:r>
            <w:r>
              <w:rPr>
                <w:spacing w:val="13"/>
              </w:rPr>
              <w:t>生产或者进口的，应当在登记证有效期届满前</w:t>
            </w:r>
            <w:r>
              <w:rPr>
                <w:rFonts w:ascii="宋体" w:hAnsi="宋体" w:eastAsia="宋体" w:cs="宋体"/>
                <w:spacing w:val="13"/>
              </w:rPr>
              <w:t>3</w:t>
            </w:r>
            <w:r>
              <w:rPr>
                <w:spacing w:val="13"/>
              </w:rPr>
              <w:t>个月提</w:t>
            </w:r>
          </w:p>
        </w:tc>
        <w:tc>
          <w:tcPr>
            <w:tcW w:w="2859" w:type="dxa"/>
            <w:vAlign w:val="top"/>
          </w:tcPr>
          <w:p w14:paraId="676904C0">
            <w:pPr>
              <w:pStyle w:val="6"/>
              <w:spacing w:before="35" w:line="186" w:lineRule="auto"/>
              <w:ind w:left="117" w:right="38" w:hanging="20"/>
              <w:jc w:val="both"/>
            </w:pPr>
            <w:r>
              <w:rPr>
                <w:spacing w:val="10"/>
              </w:rPr>
              <w:t>【部门规章】《危险化学</w:t>
            </w:r>
            <w:r>
              <w:rPr>
                <w:spacing w:val="8"/>
              </w:rPr>
              <w:t>品登记管理办法》第三十条第三项：登记企业有下</w:t>
            </w:r>
            <w:r>
              <w:rPr>
                <w:spacing w:val="-6"/>
              </w:rPr>
              <w:t>列行为之一的，责令改正，</w:t>
            </w:r>
            <w:r>
              <w:rPr>
                <w:spacing w:val="20"/>
              </w:rPr>
              <w:t>可以处</w:t>
            </w:r>
            <w:r>
              <w:rPr>
                <w:rFonts w:ascii="宋体" w:hAnsi="宋体" w:eastAsia="宋体" w:cs="宋体"/>
                <w:spacing w:val="20"/>
              </w:rPr>
              <w:t>3</w:t>
            </w:r>
            <w:r>
              <w:rPr>
                <w:spacing w:val="20"/>
              </w:rPr>
              <w:t>万元以下的罚</w:t>
            </w:r>
            <w:r>
              <w:rPr>
                <w:spacing w:val="8"/>
              </w:rPr>
              <w:t>款</w:t>
            </w:r>
            <w:r>
              <w:rPr>
                <w:spacing w:val="9"/>
              </w:rPr>
              <w:t>：（</w:t>
            </w:r>
            <w:r>
              <w:rPr>
                <w:spacing w:val="8"/>
              </w:rPr>
              <w:t>三）危险化学品登记证有效期满后，未按规</w:t>
            </w:r>
          </w:p>
        </w:tc>
        <w:tc>
          <w:tcPr>
            <w:tcW w:w="803" w:type="dxa"/>
            <w:vAlign w:val="top"/>
          </w:tcPr>
          <w:p w14:paraId="2F8EE033">
            <w:pPr>
              <w:spacing w:line="313" w:lineRule="auto"/>
              <w:rPr>
                <w:rFonts w:ascii="Arial"/>
                <w:sz w:val="21"/>
              </w:rPr>
            </w:pPr>
          </w:p>
          <w:p w14:paraId="1A7818C4">
            <w:pPr>
              <w:spacing w:line="313" w:lineRule="auto"/>
              <w:rPr>
                <w:rFonts w:ascii="Arial"/>
                <w:sz w:val="21"/>
              </w:rPr>
            </w:pPr>
          </w:p>
          <w:p w14:paraId="16C7C4AD">
            <w:pPr>
              <w:spacing w:line="314" w:lineRule="auto"/>
              <w:rPr>
                <w:rFonts w:ascii="Arial"/>
                <w:sz w:val="21"/>
              </w:rPr>
            </w:pPr>
          </w:p>
          <w:p w14:paraId="7E0C8E68">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6569425F">
            <w:pPr>
              <w:spacing w:line="291" w:lineRule="auto"/>
              <w:rPr>
                <w:rFonts w:ascii="Arial"/>
                <w:sz w:val="21"/>
              </w:rPr>
            </w:pPr>
          </w:p>
          <w:p w14:paraId="35C39203">
            <w:pPr>
              <w:spacing w:line="292" w:lineRule="auto"/>
              <w:rPr>
                <w:rFonts w:ascii="Arial"/>
                <w:sz w:val="21"/>
              </w:rPr>
            </w:pPr>
          </w:p>
          <w:p w14:paraId="1FDA5CA6">
            <w:pPr>
              <w:spacing w:line="292" w:lineRule="auto"/>
              <w:rPr>
                <w:rFonts w:ascii="Arial"/>
                <w:sz w:val="21"/>
              </w:rPr>
            </w:pPr>
          </w:p>
          <w:p w14:paraId="218B3922">
            <w:pPr>
              <w:pStyle w:val="6"/>
              <w:spacing w:before="99" w:line="208" w:lineRule="auto"/>
              <w:ind w:left="115"/>
            </w:pPr>
            <w:r>
              <w:rPr>
                <w:spacing w:val="-5"/>
              </w:rPr>
              <w:t>逾期</w:t>
            </w:r>
            <w:r>
              <w:rPr>
                <w:rFonts w:ascii="宋体" w:hAnsi="宋体" w:eastAsia="宋体" w:cs="宋体"/>
                <w:spacing w:val="-5"/>
              </w:rPr>
              <w:t>10</w:t>
            </w:r>
            <w:r>
              <w:rPr>
                <w:spacing w:val="-5"/>
              </w:rPr>
              <w:t>日以内的</w:t>
            </w:r>
          </w:p>
        </w:tc>
        <w:tc>
          <w:tcPr>
            <w:tcW w:w="2894" w:type="dxa"/>
            <w:vAlign w:val="top"/>
          </w:tcPr>
          <w:p w14:paraId="4E0A0E6C">
            <w:pPr>
              <w:spacing w:line="241" w:lineRule="auto"/>
              <w:rPr>
                <w:rFonts w:ascii="Arial"/>
                <w:sz w:val="21"/>
              </w:rPr>
            </w:pPr>
          </w:p>
          <w:p w14:paraId="4A956518">
            <w:pPr>
              <w:spacing w:line="241" w:lineRule="auto"/>
              <w:rPr>
                <w:rFonts w:ascii="Arial"/>
                <w:sz w:val="21"/>
              </w:rPr>
            </w:pPr>
          </w:p>
          <w:p w14:paraId="1BC21256">
            <w:pPr>
              <w:spacing w:line="242" w:lineRule="auto"/>
              <w:rPr>
                <w:rFonts w:ascii="Arial"/>
                <w:sz w:val="21"/>
              </w:rPr>
            </w:pPr>
          </w:p>
          <w:p w14:paraId="25100484">
            <w:pPr>
              <w:pStyle w:val="6"/>
              <w:spacing w:before="98" w:line="196" w:lineRule="auto"/>
              <w:ind w:left="146" w:right="103" w:hanging="19"/>
            </w:pPr>
            <w:r>
              <w:rPr>
                <w:spacing w:val="1"/>
              </w:rPr>
              <w:t>责令改正，可以处</w:t>
            </w:r>
            <w:r>
              <w:rPr>
                <w:rFonts w:ascii="宋体" w:hAnsi="宋体" w:eastAsia="宋体" w:cs="宋体"/>
                <w:spacing w:val="1"/>
              </w:rPr>
              <w:t>1</w:t>
            </w:r>
            <w:r>
              <w:rPr>
                <w:spacing w:val="1"/>
              </w:rPr>
              <w:t>万元以下的罚款</w:t>
            </w:r>
          </w:p>
        </w:tc>
        <w:tc>
          <w:tcPr>
            <w:tcW w:w="811" w:type="dxa"/>
            <w:vAlign w:val="top"/>
          </w:tcPr>
          <w:p w14:paraId="58FA9D1F">
            <w:pPr>
              <w:spacing w:line="313" w:lineRule="auto"/>
              <w:rPr>
                <w:rFonts w:ascii="Arial"/>
                <w:sz w:val="21"/>
              </w:rPr>
            </w:pPr>
          </w:p>
          <w:p w14:paraId="03537DBB">
            <w:pPr>
              <w:spacing w:line="314" w:lineRule="auto"/>
              <w:rPr>
                <w:rFonts w:ascii="Arial"/>
                <w:sz w:val="21"/>
              </w:rPr>
            </w:pPr>
          </w:p>
          <w:p w14:paraId="2069257E">
            <w:pPr>
              <w:spacing w:line="314" w:lineRule="auto"/>
              <w:rPr>
                <w:rFonts w:ascii="Arial"/>
                <w:sz w:val="21"/>
              </w:rPr>
            </w:pPr>
          </w:p>
          <w:p w14:paraId="387482FC">
            <w:pPr>
              <w:spacing w:before="75" w:line="189" w:lineRule="auto"/>
              <w:ind w:left="248"/>
              <w:rPr>
                <w:rFonts w:ascii="宋体" w:hAnsi="宋体" w:eastAsia="宋体" w:cs="宋体"/>
                <w:sz w:val="23"/>
                <w:szCs w:val="23"/>
              </w:rPr>
            </w:pPr>
            <w:r>
              <w:rPr>
                <w:rFonts w:ascii="宋体" w:hAnsi="宋体" w:eastAsia="宋体" w:cs="宋体"/>
                <w:spacing w:val="-6"/>
                <w:sz w:val="23"/>
                <w:szCs w:val="23"/>
              </w:rPr>
              <w:t>105</w:t>
            </w:r>
          </w:p>
        </w:tc>
      </w:tr>
    </w:tbl>
    <w:p w14:paraId="2D3D55CD">
      <w:pPr>
        <w:pStyle w:val="2"/>
      </w:pPr>
    </w:p>
    <w:p w14:paraId="3D8D400D">
      <w:pPr>
        <w:sectPr>
          <w:footerReference r:id="rId178" w:type="default"/>
          <w:pgSz w:w="16839" w:h="11906"/>
          <w:pgMar w:top="1012" w:right="821" w:bottom="667" w:left="901" w:header="0" w:footer="388" w:gutter="0"/>
          <w:cols w:space="720" w:num="1"/>
        </w:sectPr>
      </w:pPr>
    </w:p>
    <w:p w14:paraId="52CF5076">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88FB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52231C2">
            <w:pPr>
              <w:spacing w:before="222" w:line="241" w:lineRule="auto"/>
              <w:ind w:left="131"/>
              <w:rPr>
                <w:rFonts w:ascii="黑体" w:hAnsi="黑体" w:eastAsia="黑体" w:cs="黑体"/>
                <w:sz w:val="28"/>
                <w:szCs w:val="28"/>
              </w:rPr>
            </w:pPr>
            <w:bookmarkStart w:id="630" w:name="bookmark579"/>
            <w:bookmarkEnd w:id="630"/>
            <w:bookmarkStart w:id="631" w:name="bookmark328"/>
            <w:bookmarkEnd w:id="631"/>
            <w:r>
              <w:rPr>
                <w:rFonts w:ascii="黑体" w:hAnsi="黑体" w:eastAsia="黑体" w:cs="黑体"/>
                <w:spacing w:val="-2"/>
                <w:sz w:val="28"/>
                <w:szCs w:val="28"/>
              </w:rPr>
              <w:t>序号</w:t>
            </w:r>
          </w:p>
        </w:tc>
        <w:tc>
          <w:tcPr>
            <w:tcW w:w="1440" w:type="dxa"/>
            <w:vAlign w:val="top"/>
          </w:tcPr>
          <w:p w14:paraId="37F179A3">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941664F">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ABFFF6C">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4557C518">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5FC409E">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1DBC8E07">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127F6E9">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17366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9" w:hRule="atLeast"/>
        </w:trPr>
        <w:tc>
          <w:tcPr>
            <w:tcW w:w="818" w:type="dxa"/>
            <w:vMerge w:val="restart"/>
            <w:tcBorders>
              <w:bottom w:val="nil"/>
            </w:tcBorders>
            <w:vAlign w:val="top"/>
          </w:tcPr>
          <w:p w14:paraId="739F22CE">
            <w:pPr>
              <w:rPr>
                <w:rFonts w:ascii="Arial"/>
                <w:sz w:val="21"/>
              </w:rPr>
            </w:pPr>
          </w:p>
        </w:tc>
        <w:tc>
          <w:tcPr>
            <w:tcW w:w="1440" w:type="dxa"/>
            <w:vMerge w:val="restart"/>
            <w:tcBorders>
              <w:bottom w:val="nil"/>
            </w:tcBorders>
            <w:vAlign w:val="top"/>
          </w:tcPr>
          <w:p w14:paraId="48EBD6DA">
            <w:pPr>
              <w:pStyle w:val="6"/>
              <w:spacing w:before="28" w:line="182" w:lineRule="auto"/>
              <w:ind w:left="124"/>
            </w:pPr>
            <w:r>
              <w:rPr>
                <w:spacing w:val="6"/>
              </w:rPr>
              <w:t>复核换证，</w:t>
            </w:r>
          </w:p>
          <w:p w14:paraId="0D5FF25F">
            <w:pPr>
              <w:pStyle w:val="6"/>
              <w:spacing w:line="182" w:lineRule="auto"/>
              <w:ind w:left="120"/>
              <w:outlineLvl w:val="0"/>
            </w:pPr>
            <w:r>
              <w:rPr>
                <w:spacing w:val="10"/>
              </w:rPr>
              <w:t>继续进行生</w:t>
            </w:r>
          </w:p>
          <w:p w14:paraId="34727DB3">
            <w:pPr>
              <w:pStyle w:val="6"/>
              <w:spacing w:line="197" w:lineRule="auto"/>
              <w:ind w:left="137" w:right="111" w:hanging="20"/>
            </w:pPr>
            <w:r>
              <w:rPr>
                <w:spacing w:val="11"/>
              </w:rPr>
              <w:t>产或者进口</w:t>
            </w:r>
            <w:r>
              <w:t>的</w:t>
            </w:r>
          </w:p>
        </w:tc>
        <w:tc>
          <w:tcPr>
            <w:tcW w:w="3202" w:type="dxa"/>
            <w:vMerge w:val="restart"/>
            <w:tcBorders>
              <w:bottom w:val="nil"/>
            </w:tcBorders>
            <w:vAlign w:val="top"/>
          </w:tcPr>
          <w:p w14:paraId="3654F6D9">
            <w:pPr>
              <w:pStyle w:val="6"/>
              <w:spacing w:before="26" w:line="181" w:lineRule="auto"/>
              <w:ind w:left="116" w:right="40" w:firstLine="31"/>
            </w:pPr>
            <w:r>
              <w:rPr>
                <w:spacing w:val="10"/>
              </w:rPr>
              <w:t>出复核换证申请，并按下列程序办理复核换证</w:t>
            </w:r>
            <w:r>
              <w:rPr>
                <w:spacing w:val="-10"/>
              </w:rPr>
              <w:t>：（</w:t>
            </w:r>
            <w:r>
              <w:rPr>
                <w:spacing w:val="10"/>
              </w:rPr>
              <w:t>一）</w:t>
            </w:r>
            <w:r>
              <w:rPr>
                <w:spacing w:val="17"/>
              </w:rPr>
              <w:t>通过登记系统填写危险化学</w:t>
            </w:r>
            <w:r>
              <w:rPr>
                <w:spacing w:val="24"/>
              </w:rPr>
              <w:t>品复核换证申请表</w:t>
            </w:r>
            <w:r>
              <w:rPr>
                <w:spacing w:val="-14"/>
              </w:rPr>
              <w:t>；（</w:t>
            </w:r>
            <w:r>
              <w:rPr>
                <w:spacing w:val="24"/>
              </w:rPr>
              <w:t>二）</w:t>
            </w:r>
            <w:r>
              <w:rPr>
                <w:spacing w:val="17"/>
              </w:rPr>
              <w:t>登记办公室审查登记企业的</w:t>
            </w:r>
            <w:r>
              <w:rPr>
                <w:spacing w:val="-2"/>
              </w:rPr>
              <w:t>复核换证申请，符合条件的，</w:t>
            </w:r>
            <w:r>
              <w:rPr>
                <w:spacing w:val="17"/>
              </w:rPr>
              <w:t>通过登记系统告知登记企业提交本规定第十四条规定的</w:t>
            </w:r>
            <w:r>
              <w:rPr>
                <w:spacing w:val="9"/>
              </w:rPr>
              <w:t>登记材料；不符合条件的，</w:t>
            </w:r>
            <w:r>
              <w:rPr>
                <w:spacing w:val="17"/>
              </w:rPr>
              <w:t>通过登记系统告知登记企业</w:t>
            </w:r>
            <w:r>
              <w:rPr>
                <w:spacing w:val="19"/>
              </w:rPr>
              <w:t>并说明理由</w:t>
            </w:r>
            <w:r>
              <w:rPr>
                <w:spacing w:val="-13"/>
              </w:rPr>
              <w:t>；（</w:t>
            </w:r>
            <w:r>
              <w:rPr>
                <w:spacing w:val="19"/>
              </w:rPr>
              <w:t>三）按照本</w:t>
            </w:r>
            <w:r>
              <w:rPr>
                <w:spacing w:val="39"/>
              </w:rPr>
              <w:t>办法第十三条第一款第三</w:t>
            </w:r>
            <w:r>
              <w:rPr>
                <w:spacing w:val="17"/>
              </w:rPr>
              <w:t>项、第四项、第五项规定的</w:t>
            </w:r>
            <w:r>
              <w:rPr>
                <w:spacing w:val="5"/>
              </w:rPr>
              <w:t>程序办理复核换证手续。</w:t>
            </w:r>
          </w:p>
        </w:tc>
        <w:tc>
          <w:tcPr>
            <w:tcW w:w="2859" w:type="dxa"/>
            <w:vMerge w:val="restart"/>
            <w:tcBorders>
              <w:bottom w:val="nil"/>
            </w:tcBorders>
            <w:vAlign w:val="top"/>
          </w:tcPr>
          <w:p w14:paraId="3BECFAEC">
            <w:pPr>
              <w:pStyle w:val="6"/>
              <w:spacing w:before="29" w:line="195" w:lineRule="auto"/>
              <w:ind w:left="117" w:right="113"/>
            </w:pPr>
            <w:r>
              <w:rPr>
                <w:spacing w:val="8"/>
              </w:rPr>
              <w:t>定申请复核换证，继续进</w:t>
            </w:r>
            <w:r>
              <w:rPr>
                <w:spacing w:val="3"/>
              </w:rPr>
              <w:t>行生产或者进口的；</w:t>
            </w:r>
          </w:p>
        </w:tc>
        <w:tc>
          <w:tcPr>
            <w:tcW w:w="803" w:type="dxa"/>
            <w:vAlign w:val="top"/>
          </w:tcPr>
          <w:p w14:paraId="5D644130">
            <w:pPr>
              <w:spacing w:line="319" w:lineRule="auto"/>
              <w:rPr>
                <w:rFonts w:ascii="Arial"/>
                <w:sz w:val="21"/>
              </w:rPr>
            </w:pPr>
          </w:p>
          <w:p w14:paraId="372D9509">
            <w:pPr>
              <w:spacing w:line="319" w:lineRule="auto"/>
              <w:rPr>
                <w:rFonts w:ascii="Arial"/>
                <w:sz w:val="21"/>
              </w:rPr>
            </w:pPr>
          </w:p>
          <w:p w14:paraId="0845E294">
            <w:pPr>
              <w:spacing w:line="319" w:lineRule="auto"/>
              <w:rPr>
                <w:rFonts w:ascii="Arial"/>
                <w:sz w:val="21"/>
              </w:rPr>
            </w:pPr>
          </w:p>
          <w:p w14:paraId="5D557514">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5C7CC36">
            <w:pPr>
              <w:spacing w:line="245" w:lineRule="auto"/>
              <w:rPr>
                <w:rFonts w:ascii="Arial"/>
                <w:sz w:val="21"/>
              </w:rPr>
            </w:pPr>
          </w:p>
          <w:p w14:paraId="78733DA5">
            <w:pPr>
              <w:spacing w:line="246" w:lineRule="auto"/>
              <w:rPr>
                <w:rFonts w:ascii="Arial"/>
                <w:sz w:val="21"/>
              </w:rPr>
            </w:pPr>
          </w:p>
          <w:p w14:paraId="3C7ACEAF">
            <w:pPr>
              <w:spacing w:line="246" w:lineRule="auto"/>
              <w:rPr>
                <w:rFonts w:ascii="Arial"/>
                <w:sz w:val="21"/>
              </w:rPr>
            </w:pPr>
          </w:p>
          <w:p w14:paraId="1537168E">
            <w:pPr>
              <w:pStyle w:val="6"/>
              <w:spacing w:before="99" w:line="196" w:lineRule="auto"/>
              <w:ind w:left="171" w:right="105" w:hanging="56"/>
            </w:pPr>
            <w:r>
              <w:rPr>
                <w:spacing w:val="5"/>
              </w:rPr>
              <w:t>逾期</w:t>
            </w:r>
            <w:r>
              <w:rPr>
                <w:rFonts w:ascii="宋体" w:hAnsi="宋体" w:eastAsia="宋体" w:cs="宋体"/>
                <w:spacing w:val="5"/>
              </w:rPr>
              <w:t>10</w:t>
            </w:r>
            <w:r>
              <w:rPr>
                <w:spacing w:val="5"/>
              </w:rPr>
              <w:t>日以上</w:t>
            </w:r>
            <w:r>
              <w:rPr>
                <w:rFonts w:ascii="宋体" w:hAnsi="宋体" w:eastAsia="宋体" w:cs="宋体"/>
                <w:spacing w:val="5"/>
              </w:rPr>
              <w:t>20</w:t>
            </w:r>
            <w:r>
              <w:rPr>
                <w:spacing w:val="-6"/>
              </w:rPr>
              <w:t>日以内的</w:t>
            </w:r>
          </w:p>
        </w:tc>
        <w:tc>
          <w:tcPr>
            <w:tcW w:w="2894" w:type="dxa"/>
            <w:vAlign w:val="top"/>
          </w:tcPr>
          <w:p w14:paraId="72B38C6E">
            <w:pPr>
              <w:spacing w:line="245" w:lineRule="auto"/>
              <w:rPr>
                <w:rFonts w:ascii="Arial"/>
                <w:sz w:val="21"/>
              </w:rPr>
            </w:pPr>
          </w:p>
          <w:p w14:paraId="2194C7D6">
            <w:pPr>
              <w:spacing w:line="246" w:lineRule="auto"/>
              <w:rPr>
                <w:rFonts w:ascii="Arial"/>
                <w:sz w:val="21"/>
              </w:rPr>
            </w:pPr>
          </w:p>
          <w:p w14:paraId="5D064D8C">
            <w:pPr>
              <w:spacing w:line="246" w:lineRule="auto"/>
              <w:rPr>
                <w:rFonts w:ascii="Arial"/>
                <w:sz w:val="21"/>
              </w:rPr>
            </w:pPr>
          </w:p>
          <w:p w14:paraId="0CD681D4">
            <w:pPr>
              <w:pStyle w:val="6"/>
              <w:spacing w:before="99" w:line="196" w:lineRule="auto"/>
              <w:ind w:left="146" w:right="103" w:hanging="19"/>
            </w:pPr>
            <w:r>
              <w:rPr>
                <w:spacing w:val="1"/>
              </w:rPr>
              <w:t>责令改正，可以处</w:t>
            </w:r>
            <w:r>
              <w:rPr>
                <w:rFonts w:ascii="宋体" w:hAnsi="宋体" w:eastAsia="宋体" w:cs="宋体"/>
                <w:spacing w:val="1"/>
              </w:rPr>
              <w:t>1</w:t>
            </w:r>
            <w:r>
              <w:rPr>
                <w:spacing w:val="1"/>
              </w:rPr>
              <w:t>万元以上</w:t>
            </w:r>
            <w:r>
              <w:rPr>
                <w:rFonts w:ascii="宋体" w:hAnsi="宋体" w:eastAsia="宋体" w:cs="宋体"/>
                <w:spacing w:val="1"/>
              </w:rPr>
              <w:t>2</w:t>
            </w:r>
            <w:r>
              <w:rPr>
                <w:spacing w:val="1"/>
              </w:rPr>
              <w:t>万元以下的罚款</w:t>
            </w:r>
          </w:p>
        </w:tc>
        <w:tc>
          <w:tcPr>
            <w:tcW w:w="811" w:type="dxa"/>
            <w:vMerge w:val="restart"/>
            <w:tcBorders>
              <w:bottom w:val="nil"/>
            </w:tcBorders>
            <w:vAlign w:val="top"/>
          </w:tcPr>
          <w:p w14:paraId="0308010D">
            <w:pPr>
              <w:rPr>
                <w:rFonts w:ascii="Arial"/>
                <w:sz w:val="21"/>
              </w:rPr>
            </w:pPr>
          </w:p>
        </w:tc>
      </w:tr>
      <w:tr w14:paraId="6EC38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9" w:hRule="atLeast"/>
        </w:trPr>
        <w:tc>
          <w:tcPr>
            <w:tcW w:w="818" w:type="dxa"/>
            <w:vMerge w:val="continue"/>
            <w:tcBorders>
              <w:top w:val="nil"/>
            </w:tcBorders>
            <w:vAlign w:val="top"/>
          </w:tcPr>
          <w:p w14:paraId="37327296">
            <w:pPr>
              <w:rPr>
                <w:rFonts w:ascii="Arial"/>
                <w:sz w:val="21"/>
              </w:rPr>
            </w:pPr>
          </w:p>
        </w:tc>
        <w:tc>
          <w:tcPr>
            <w:tcW w:w="1440" w:type="dxa"/>
            <w:vMerge w:val="continue"/>
            <w:tcBorders>
              <w:top w:val="nil"/>
            </w:tcBorders>
            <w:vAlign w:val="top"/>
          </w:tcPr>
          <w:p w14:paraId="7D247F8A">
            <w:pPr>
              <w:rPr>
                <w:rFonts w:ascii="Arial"/>
                <w:sz w:val="21"/>
              </w:rPr>
            </w:pPr>
          </w:p>
        </w:tc>
        <w:tc>
          <w:tcPr>
            <w:tcW w:w="3202" w:type="dxa"/>
            <w:vMerge w:val="continue"/>
            <w:tcBorders>
              <w:top w:val="nil"/>
            </w:tcBorders>
            <w:vAlign w:val="top"/>
          </w:tcPr>
          <w:p w14:paraId="22BBD725">
            <w:pPr>
              <w:rPr>
                <w:rFonts w:ascii="Arial"/>
                <w:sz w:val="21"/>
              </w:rPr>
            </w:pPr>
          </w:p>
        </w:tc>
        <w:tc>
          <w:tcPr>
            <w:tcW w:w="2859" w:type="dxa"/>
            <w:vMerge w:val="continue"/>
            <w:tcBorders>
              <w:top w:val="nil"/>
            </w:tcBorders>
            <w:vAlign w:val="top"/>
          </w:tcPr>
          <w:p w14:paraId="567509EB">
            <w:pPr>
              <w:rPr>
                <w:rFonts w:ascii="Arial"/>
                <w:sz w:val="21"/>
              </w:rPr>
            </w:pPr>
          </w:p>
        </w:tc>
        <w:tc>
          <w:tcPr>
            <w:tcW w:w="803" w:type="dxa"/>
            <w:vAlign w:val="top"/>
          </w:tcPr>
          <w:p w14:paraId="69B0C4BA">
            <w:pPr>
              <w:spacing w:line="275" w:lineRule="auto"/>
              <w:rPr>
                <w:rFonts w:ascii="Arial"/>
                <w:sz w:val="21"/>
              </w:rPr>
            </w:pPr>
          </w:p>
          <w:p w14:paraId="5BA2AE45">
            <w:pPr>
              <w:spacing w:line="276" w:lineRule="auto"/>
              <w:rPr>
                <w:rFonts w:ascii="Arial"/>
                <w:sz w:val="21"/>
              </w:rPr>
            </w:pPr>
          </w:p>
          <w:p w14:paraId="66B915E9">
            <w:pPr>
              <w:spacing w:line="276" w:lineRule="auto"/>
              <w:rPr>
                <w:rFonts w:ascii="Arial"/>
                <w:sz w:val="21"/>
              </w:rPr>
            </w:pPr>
          </w:p>
          <w:p w14:paraId="3C7B7E42">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46DB7C2">
            <w:pPr>
              <w:spacing w:line="252" w:lineRule="auto"/>
              <w:rPr>
                <w:rFonts w:ascii="Arial"/>
                <w:sz w:val="21"/>
              </w:rPr>
            </w:pPr>
          </w:p>
          <w:p w14:paraId="4D23ACEE">
            <w:pPr>
              <w:spacing w:line="253" w:lineRule="auto"/>
              <w:rPr>
                <w:rFonts w:ascii="Arial"/>
                <w:sz w:val="21"/>
              </w:rPr>
            </w:pPr>
          </w:p>
          <w:p w14:paraId="5A3ED978">
            <w:pPr>
              <w:spacing w:line="253" w:lineRule="auto"/>
              <w:rPr>
                <w:rFonts w:ascii="Arial"/>
                <w:sz w:val="21"/>
              </w:rPr>
            </w:pPr>
          </w:p>
          <w:p w14:paraId="0D3252F0">
            <w:pPr>
              <w:pStyle w:val="6"/>
              <w:spacing w:before="98" w:line="208" w:lineRule="auto"/>
              <w:ind w:left="115"/>
            </w:pPr>
            <w:r>
              <w:rPr>
                <w:spacing w:val="-2"/>
              </w:rPr>
              <w:t>逾期</w:t>
            </w:r>
            <w:r>
              <w:rPr>
                <w:rFonts w:ascii="宋体" w:hAnsi="宋体" w:eastAsia="宋体" w:cs="宋体"/>
                <w:spacing w:val="-2"/>
              </w:rPr>
              <w:t>20</w:t>
            </w:r>
            <w:r>
              <w:rPr>
                <w:spacing w:val="-2"/>
              </w:rPr>
              <w:t>日以上的</w:t>
            </w:r>
          </w:p>
        </w:tc>
        <w:tc>
          <w:tcPr>
            <w:tcW w:w="2894" w:type="dxa"/>
            <w:vAlign w:val="top"/>
          </w:tcPr>
          <w:p w14:paraId="0A7E7F04">
            <w:pPr>
              <w:spacing w:line="304" w:lineRule="auto"/>
              <w:rPr>
                <w:rFonts w:ascii="Arial"/>
                <w:sz w:val="21"/>
              </w:rPr>
            </w:pPr>
          </w:p>
          <w:p w14:paraId="04D0ABED">
            <w:pPr>
              <w:spacing w:line="304" w:lineRule="auto"/>
              <w:rPr>
                <w:rFonts w:ascii="Arial"/>
                <w:sz w:val="21"/>
              </w:rPr>
            </w:pPr>
          </w:p>
          <w:p w14:paraId="50350A00">
            <w:pPr>
              <w:pStyle w:val="6"/>
              <w:spacing w:before="99" w:line="196" w:lineRule="auto"/>
              <w:ind w:left="146" w:right="103" w:hanging="19"/>
            </w:pPr>
            <w:r>
              <w:rPr>
                <w:spacing w:val="3"/>
              </w:rPr>
              <w:t>责令改正，可以处</w:t>
            </w:r>
            <w:r>
              <w:rPr>
                <w:rFonts w:ascii="宋体" w:hAnsi="宋体" w:eastAsia="宋体" w:cs="宋体"/>
                <w:spacing w:val="3"/>
              </w:rPr>
              <w:t>2</w:t>
            </w:r>
            <w:r>
              <w:rPr>
                <w:spacing w:val="3"/>
              </w:rPr>
              <w:t>万元</w:t>
            </w:r>
            <w:r>
              <w:rPr>
                <w:spacing w:val="1"/>
              </w:rPr>
              <w:t>以上</w:t>
            </w:r>
            <w:r>
              <w:rPr>
                <w:rFonts w:ascii="宋体" w:hAnsi="宋体" w:eastAsia="宋体" w:cs="宋体"/>
                <w:spacing w:val="1"/>
              </w:rPr>
              <w:t>3</w:t>
            </w:r>
            <w:r>
              <w:rPr>
                <w:spacing w:val="1"/>
              </w:rPr>
              <w:t>万元以下的罚款</w:t>
            </w:r>
          </w:p>
        </w:tc>
        <w:tc>
          <w:tcPr>
            <w:tcW w:w="811" w:type="dxa"/>
            <w:vMerge w:val="continue"/>
            <w:tcBorders>
              <w:top w:val="nil"/>
            </w:tcBorders>
            <w:vAlign w:val="top"/>
          </w:tcPr>
          <w:p w14:paraId="69688713">
            <w:pPr>
              <w:rPr>
                <w:rFonts w:ascii="Arial"/>
                <w:sz w:val="21"/>
              </w:rPr>
            </w:pPr>
          </w:p>
        </w:tc>
      </w:tr>
      <w:tr w14:paraId="14898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7" w:hRule="atLeast"/>
        </w:trPr>
        <w:tc>
          <w:tcPr>
            <w:tcW w:w="818" w:type="dxa"/>
            <w:vMerge w:val="restart"/>
            <w:tcBorders>
              <w:bottom w:val="nil"/>
            </w:tcBorders>
            <w:vAlign w:val="top"/>
          </w:tcPr>
          <w:p w14:paraId="727A2587">
            <w:pPr>
              <w:spacing w:line="249" w:lineRule="auto"/>
              <w:rPr>
                <w:rFonts w:ascii="Arial"/>
                <w:sz w:val="21"/>
              </w:rPr>
            </w:pPr>
          </w:p>
          <w:p w14:paraId="2AA3A545">
            <w:pPr>
              <w:spacing w:line="250" w:lineRule="auto"/>
              <w:rPr>
                <w:rFonts w:ascii="Arial"/>
                <w:sz w:val="21"/>
              </w:rPr>
            </w:pPr>
          </w:p>
          <w:p w14:paraId="35B4D231">
            <w:pPr>
              <w:spacing w:line="250" w:lineRule="auto"/>
              <w:rPr>
                <w:rFonts w:ascii="Arial"/>
                <w:sz w:val="21"/>
              </w:rPr>
            </w:pPr>
          </w:p>
          <w:p w14:paraId="4C606AFB">
            <w:pPr>
              <w:spacing w:line="250" w:lineRule="auto"/>
              <w:rPr>
                <w:rFonts w:ascii="Arial"/>
                <w:sz w:val="21"/>
              </w:rPr>
            </w:pPr>
          </w:p>
          <w:p w14:paraId="57CBDF88">
            <w:pPr>
              <w:spacing w:line="250" w:lineRule="auto"/>
              <w:rPr>
                <w:rFonts w:ascii="Arial"/>
                <w:sz w:val="21"/>
              </w:rPr>
            </w:pPr>
          </w:p>
          <w:p w14:paraId="37A0A880">
            <w:pPr>
              <w:spacing w:line="250" w:lineRule="auto"/>
              <w:rPr>
                <w:rFonts w:ascii="Arial"/>
                <w:sz w:val="21"/>
              </w:rPr>
            </w:pPr>
          </w:p>
          <w:p w14:paraId="76294851">
            <w:pPr>
              <w:spacing w:line="250" w:lineRule="auto"/>
              <w:rPr>
                <w:rFonts w:ascii="Arial"/>
                <w:sz w:val="21"/>
              </w:rPr>
            </w:pPr>
          </w:p>
          <w:p w14:paraId="669E4A57">
            <w:pPr>
              <w:spacing w:before="75" w:line="186" w:lineRule="auto"/>
              <w:ind w:left="161"/>
              <w:rPr>
                <w:rFonts w:ascii="仿宋" w:hAnsi="仿宋" w:eastAsia="仿宋" w:cs="仿宋"/>
                <w:sz w:val="23"/>
                <w:szCs w:val="23"/>
              </w:rPr>
            </w:pPr>
            <w:r>
              <w:rPr>
                <w:rFonts w:ascii="仿宋" w:hAnsi="仿宋" w:eastAsia="仿宋" w:cs="仿宋"/>
                <w:spacing w:val="-5"/>
                <w:sz w:val="23"/>
                <w:szCs w:val="23"/>
              </w:rPr>
              <w:t>160</w:t>
            </w:r>
          </w:p>
        </w:tc>
        <w:tc>
          <w:tcPr>
            <w:tcW w:w="1440" w:type="dxa"/>
            <w:vMerge w:val="restart"/>
            <w:tcBorders>
              <w:bottom w:val="nil"/>
            </w:tcBorders>
            <w:vAlign w:val="top"/>
          </w:tcPr>
          <w:p w14:paraId="56ED3FA0">
            <w:pPr>
              <w:pStyle w:val="6"/>
              <w:spacing w:before="287" w:line="185" w:lineRule="auto"/>
              <w:ind w:left="112" w:right="111" w:firstLine="2"/>
            </w:pPr>
            <w:r>
              <w:rPr>
                <w:spacing w:val="11"/>
              </w:rPr>
              <w:t>危险化学品</w:t>
            </w:r>
            <w:r>
              <w:rPr>
                <w:spacing w:val="6"/>
              </w:rPr>
              <w:t>生产企业、</w:t>
            </w:r>
            <w:r>
              <w:rPr>
                <w:spacing w:val="12"/>
              </w:rPr>
              <w:t>进口企业转让、冒用或者使用伪造的危险化学</w:t>
            </w:r>
            <w:r>
              <w:rPr>
                <w:spacing w:val="2"/>
              </w:rPr>
              <w:t>品登记证，</w:t>
            </w:r>
            <w:r>
              <w:rPr>
                <w:spacing w:val="12"/>
              </w:rPr>
              <w:t>或者不如实填报登记内容、提交有</w:t>
            </w:r>
            <w:r>
              <w:rPr>
                <w:spacing w:val="6"/>
              </w:rPr>
              <w:t>关材料的</w:t>
            </w:r>
          </w:p>
        </w:tc>
        <w:tc>
          <w:tcPr>
            <w:tcW w:w="3202" w:type="dxa"/>
            <w:vMerge w:val="restart"/>
            <w:tcBorders>
              <w:bottom w:val="nil"/>
            </w:tcBorders>
            <w:vAlign w:val="top"/>
          </w:tcPr>
          <w:p w14:paraId="10D8E7DC">
            <w:pPr>
              <w:pStyle w:val="6"/>
              <w:spacing w:before="37" w:line="182" w:lineRule="auto"/>
              <w:ind w:left="118" w:right="110" w:hanging="20"/>
            </w:pPr>
            <w:r>
              <w:rPr>
                <w:spacing w:val="18"/>
              </w:rPr>
              <w:t>【部门规章】《危险化学品</w:t>
            </w:r>
            <w:r>
              <w:rPr>
                <w:spacing w:val="13"/>
              </w:rPr>
              <w:t>登记管理办法》第十九条：</w:t>
            </w:r>
            <w:r>
              <w:rPr>
                <w:spacing w:val="17"/>
              </w:rPr>
              <w:t>登记企业应当按照规定向登</w:t>
            </w:r>
            <w:r>
              <w:rPr>
                <w:spacing w:val="39"/>
              </w:rPr>
              <w:t>记机构办理危险化学品登</w:t>
            </w:r>
            <w:r>
              <w:rPr>
                <w:spacing w:val="13"/>
              </w:rPr>
              <w:t>记，如实填报登记内容和提交有关材料，并接受安全生</w:t>
            </w:r>
            <w:r>
              <w:rPr>
                <w:spacing w:val="17"/>
              </w:rPr>
              <w:t>产监督管理部门依法进行的</w:t>
            </w:r>
            <w:r>
              <w:t>监督检查。</w:t>
            </w:r>
          </w:p>
          <w:p w14:paraId="606DE04B">
            <w:pPr>
              <w:pStyle w:val="6"/>
              <w:spacing w:before="1" w:line="191" w:lineRule="auto"/>
              <w:ind w:left="117" w:right="111" w:firstLine="10"/>
              <w:jc w:val="both"/>
            </w:pPr>
            <w:r>
              <w:rPr>
                <w:spacing w:val="12"/>
              </w:rPr>
              <w:t>第二十三条：登记企业不得</w:t>
            </w:r>
            <w:r>
              <w:rPr>
                <w:spacing w:val="17"/>
              </w:rPr>
              <w:t>转让、冒用或者使用伪造的</w:t>
            </w:r>
            <w:r>
              <w:rPr>
                <w:spacing w:val="4"/>
              </w:rPr>
              <w:t>危险化学品登记证。</w:t>
            </w:r>
          </w:p>
        </w:tc>
        <w:tc>
          <w:tcPr>
            <w:tcW w:w="2859" w:type="dxa"/>
            <w:vMerge w:val="restart"/>
            <w:tcBorders>
              <w:bottom w:val="nil"/>
            </w:tcBorders>
            <w:vAlign w:val="top"/>
          </w:tcPr>
          <w:p w14:paraId="01646C4F">
            <w:pPr>
              <w:pStyle w:val="6"/>
              <w:spacing w:before="32" w:line="185" w:lineRule="auto"/>
              <w:ind w:left="117" w:right="38" w:hanging="20"/>
              <w:jc w:val="both"/>
            </w:pPr>
            <w:r>
              <w:rPr>
                <w:spacing w:val="10"/>
              </w:rPr>
              <w:t>【部门规章】《危险化学</w:t>
            </w:r>
            <w:r>
              <w:rPr>
                <w:spacing w:val="8"/>
              </w:rPr>
              <w:t>品登记管理办法》第三十条第四项：登记企业有下</w:t>
            </w:r>
            <w:r>
              <w:rPr>
                <w:spacing w:val="-6"/>
              </w:rPr>
              <w:t>列行为之一的，责令改正，</w:t>
            </w:r>
            <w:r>
              <w:rPr>
                <w:spacing w:val="20"/>
              </w:rPr>
              <w:t>可以处</w:t>
            </w:r>
            <w:r>
              <w:rPr>
                <w:rFonts w:ascii="宋体" w:hAnsi="宋体" w:eastAsia="宋体" w:cs="宋体"/>
                <w:spacing w:val="20"/>
              </w:rPr>
              <w:t>3</w:t>
            </w:r>
            <w:r>
              <w:rPr>
                <w:spacing w:val="20"/>
              </w:rPr>
              <w:t>万元以下的罚</w:t>
            </w:r>
            <w:r>
              <w:rPr>
                <w:spacing w:val="8"/>
              </w:rPr>
              <w:t>款</w:t>
            </w:r>
            <w:r>
              <w:rPr>
                <w:spacing w:val="9"/>
              </w:rPr>
              <w:t>：（</w:t>
            </w:r>
            <w:r>
              <w:rPr>
                <w:spacing w:val="8"/>
              </w:rPr>
              <w:t>四）转让、冒用或者使用伪造的危险化学品</w:t>
            </w:r>
            <w:r>
              <w:rPr>
                <w:spacing w:val="4"/>
              </w:rPr>
              <w:t>登记证，或者不如实填报</w:t>
            </w:r>
            <w:r>
              <w:rPr>
                <w:spacing w:val="8"/>
              </w:rPr>
              <w:t>登记内容、提交有关材料</w:t>
            </w:r>
            <w:r>
              <w:rPr>
                <w:spacing w:val="-10"/>
              </w:rPr>
              <w:t>的；</w:t>
            </w:r>
          </w:p>
        </w:tc>
        <w:tc>
          <w:tcPr>
            <w:tcW w:w="803" w:type="dxa"/>
            <w:vAlign w:val="top"/>
          </w:tcPr>
          <w:p w14:paraId="06609378">
            <w:pPr>
              <w:spacing w:line="285" w:lineRule="auto"/>
              <w:rPr>
                <w:rFonts w:ascii="Arial"/>
                <w:sz w:val="21"/>
              </w:rPr>
            </w:pPr>
          </w:p>
          <w:p w14:paraId="7D978F1C">
            <w:pPr>
              <w:spacing w:line="285" w:lineRule="auto"/>
              <w:rPr>
                <w:rFonts w:ascii="Arial"/>
                <w:sz w:val="21"/>
              </w:rPr>
            </w:pPr>
          </w:p>
          <w:p w14:paraId="0B0F9EAA">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CFFFC58">
            <w:pPr>
              <w:spacing w:line="355" w:lineRule="auto"/>
              <w:rPr>
                <w:rFonts w:ascii="Arial"/>
                <w:sz w:val="21"/>
              </w:rPr>
            </w:pPr>
          </w:p>
          <w:p w14:paraId="273563F2">
            <w:pPr>
              <w:pStyle w:val="6"/>
              <w:spacing w:before="99" w:line="196" w:lineRule="auto"/>
              <w:ind w:left="119" w:right="109" w:firstLine="5"/>
            </w:pPr>
            <w:r>
              <w:rPr>
                <w:spacing w:val="25"/>
              </w:rPr>
              <w:t>不如实填报登记内</w:t>
            </w:r>
            <w:r>
              <w:rPr>
                <w:spacing w:val="-3"/>
              </w:rPr>
              <w:t>容、提交有关材料的</w:t>
            </w:r>
          </w:p>
        </w:tc>
        <w:tc>
          <w:tcPr>
            <w:tcW w:w="2894" w:type="dxa"/>
            <w:vAlign w:val="top"/>
          </w:tcPr>
          <w:p w14:paraId="36B85ABB">
            <w:pPr>
              <w:spacing w:line="354" w:lineRule="auto"/>
              <w:rPr>
                <w:rFonts w:ascii="Arial"/>
                <w:sz w:val="21"/>
              </w:rPr>
            </w:pPr>
          </w:p>
          <w:p w14:paraId="4F8E3E56">
            <w:pPr>
              <w:pStyle w:val="6"/>
              <w:spacing w:before="99" w:line="196" w:lineRule="auto"/>
              <w:ind w:left="146" w:right="103" w:hanging="19"/>
            </w:pPr>
            <w:r>
              <w:rPr>
                <w:spacing w:val="1"/>
              </w:rPr>
              <w:t>责令改正，可以处</w:t>
            </w:r>
            <w:r>
              <w:rPr>
                <w:rFonts w:ascii="宋体" w:hAnsi="宋体" w:eastAsia="宋体" w:cs="宋体"/>
                <w:spacing w:val="1"/>
              </w:rPr>
              <w:t>1</w:t>
            </w:r>
            <w:r>
              <w:rPr>
                <w:spacing w:val="1"/>
              </w:rPr>
              <w:t>万元以下的罚款</w:t>
            </w:r>
          </w:p>
        </w:tc>
        <w:tc>
          <w:tcPr>
            <w:tcW w:w="811" w:type="dxa"/>
            <w:vMerge w:val="restart"/>
            <w:tcBorders>
              <w:bottom w:val="nil"/>
            </w:tcBorders>
            <w:vAlign w:val="top"/>
          </w:tcPr>
          <w:p w14:paraId="511952ED">
            <w:pPr>
              <w:spacing w:line="249" w:lineRule="auto"/>
              <w:rPr>
                <w:rFonts w:ascii="Arial"/>
                <w:sz w:val="21"/>
              </w:rPr>
            </w:pPr>
          </w:p>
          <w:p w14:paraId="68F458CD">
            <w:pPr>
              <w:spacing w:line="249" w:lineRule="auto"/>
              <w:rPr>
                <w:rFonts w:ascii="Arial"/>
                <w:sz w:val="21"/>
              </w:rPr>
            </w:pPr>
          </w:p>
          <w:p w14:paraId="0DA4E9A6">
            <w:pPr>
              <w:spacing w:line="249" w:lineRule="auto"/>
              <w:rPr>
                <w:rFonts w:ascii="Arial"/>
                <w:sz w:val="21"/>
              </w:rPr>
            </w:pPr>
          </w:p>
          <w:p w14:paraId="4D231FC0">
            <w:pPr>
              <w:spacing w:line="249" w:lineRule="auto"/>
              <w:rPr>
                <w:rFonts w:ascii="Arial"/>
                <w:sz w:val="21"/>
              </w:rPr>
            </w:pPr>
          </w:p>
          <w:p w14:paraId="584A3EA7">
            <w:pPr>
              <w:spacing w:line="249" w:lineRule="auto"/>
              <w:rPr>
                <w:rFonts w:ascii="Arial"/>
                <w:sz w:val="21"/>
              </w:rPr>
            </w:pPr>
          </w:p>
          <w:p w14:paraId="1740AD6D">
            <w:pPr>
              <w:spacing w:line="250" w:lineRule="auto"/>
              <w:rPr>
                <w:rFonts w:ascii="Arial"/>
                <w:sz w:val="21"/>
              </w:rPr>
            </w:pPr>
          </w:p>
          <w:p w14:paraId="5BFEC1BA">
            <w:pPr>
              <w:spacing w:line="250" w:lineRule="auto"/>
              <w:rPr>
                <w:rFonts w:ascii="Arial"/>
                <w:sz w:val="21"/>
              </w:rPr>
            </w:pPr>
          </w:p>
          <w:p w14:paraId="53C72C4E">
            <w:pPr>
              <w:spacing w:before="75" w:line="189" w:lineRule="auto"/>
              <w:ind w:left="248"/>
              <w:rPr>
                <w:rFonts w:ascii="宋体" w:hAnsi="宋体" w:eastAsia="宋体" w:cs="宋体"/>
                <w:sz w:val="23"/>
                <w:szCs w:val="23"/>
              </w:rPr>
            </w:pPr>
            <w:r>
              <w:rPr>
                <w:rFonts w:ascii="宋体" w:hAnsi="宋体" w:eastAsia="宋体" w:cs="宋体"/>
                <w:spacing w:val="-6"/>
                <w:sz w:val="23"/>
                <w:szCs w:val="23"/>
              </w:rPr>
              <w:t>105</w:t>
            </w:r>
          </w:p>
        </w:tc>
      </w:tr>
      <w:tr w14:paraId="2EAE7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818" w:type="dxa"/>
            <w:vMerge w:val="continue"/>
            <w:tcBorders>
              <w:top w:val="nil"/>
              <w:bottom w:val="nil"/>
            </w:tcBorders>
            <w:vAlign w:val="top"/>
          </w:tcPr>
          <w:p w14:paraId="7C31DAD7">
            <w:pPr>
              <w:rPr>
                <w:rFonts w:ascii="Arial"/>
                <w:sz w:val="21"/>
              </w:rPr>
            </w:pPr>
          </w:p>
        </w:tc>
        <w:tc>
          <w:tcPr>
            <w:tcW w:w="1440" w:type="dxa"/>
            <w:vMerge w:val="continue"/>
            <w:tcBorders>
              <w:top w:val="nil"/>
              <w:bottom w:val="nil"/>
            </w:tcBorders>
            <w:vAlign w:val="top"/>
          </w:tcPr>
          <w:p w14:paraId="47012A2F">
            <w:pPr>
              <w:rPr>
                <w:rFonts w:ascii="Arial"/>
                <w:sz w:val="21"/>
              </w:rPr>
            </w:pPr>
          </w:p>
        </w:tc>
        <w:tc>
          <w:tcPr>
            <w:tcW w:w="3202" w:type="dxa"/>
            <w:vMerge w:val="continue"/>
            <w:tcBorders>
              <w:top w:val="nil"/>
              <w:bottom w:val="nil"/>
            </w:tcBorders>
            <w:vAlign w:val="top"/>
          </w:tcPr>
          <w:p w14:paraId="3B0A7BD1">
            <w:pPr>
              <w:rPr>
                <w:rFonts w:ascii="Arial"/>
                <w:sz w:val="21"/>
              </w:rPr>
            </w:pPr>
          </w:p>
        </w:tc>
        <w:tc>
          <w:tcPr>
            <w:tcW w:w="2859" w:type="dxa"/>
            <w:vMerge w:val="continue"/>
            <w:tcBorders>
              <w:top w:val="nil"/>
              <w:bottom w:val="nil"/>
            </w:tcBorders>
            <w:vAlign w:val="top"/>
          </w:tcPr>
          <w:p w14:paraId="2706355F">
            <w:pPr>
              <w:rPr>
                <w:rFonts w:ascii="Arial"/>
                <w:sz w:val="21"/>
              </w:rPr>
            </w:pPr>
          </w:p>
        </w:tc>
        <w:tc>
          <w:tcPr>
            <w:tcW w:w="803" w:type="dxa"/>
            <w:vAlign w:val="top"/>
          </w:tcPr>
          <w:p w14:paraId="3EF53C24">
            <w:pPr>
              <w:spacing w:line="395" w:lineRule="auto"/>
              <w:rPr>
                <w:rFonts w:ascii="Arial"/>
                <w:sz w:val="21"/>
              </w:rPr>
            </w:pPr>
          </w:p>
          <w:p w14:paraId="0C3FB0C4">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67C8533">
            <w:pPr>
              <w:pStyle w:val="6"/>
              <w:spacing w:before="276" w:line="197" w:lineRule="auto"/>
              <w:ind w:left="120" w:right="109" w:firstLine="8"/>
            </w:pPr>
            <w:r>
              <w:rPr>
                <w:spacing w:val="24"/>
              </w:rPr>
              <w:t>转让危险化学品登</w:t>
            </w:r>
            <w:r>
              <w:rPr>
                <w:spacing w:val="4"/>
              </w:rPr>
              <w:t>记证的</w:t>
            </w:r>
          </w:p>
        </w:tc>
        <w:tc>
          <w:tcPr>
            <w:tcW w:w="2894" w:type="dxa"/>
            <w:vAlign w:val="top"/>
          </w:tcPr>
          <w:p w14:paraId="54363DB3">
            <w:pPr>
              <w:pStyle w:val="6"/>
              <w:spacing w:before="275" w:line="196" w:lineRule="auto"/>
              <w:ind w:left="146" w:right="103" w:hanging="19"/>
            </w:pPr>
            <w:r>
              <w:rPr>
                <w:spacing w:val="1"/>
              </w:rPr>
              <w:t>责令改正，可以处</w:t>
            </w:r>
            <w:r>
              <w:rPr>
                <w:rFonts w:ascii="宋体" w:hAnsi="宋体" w:eastAsia="宋体" w:cs="宋体"/>
                <w:spacing w:val="1"/>
              </w:rPr>
              <w:t>1</w:t>
            </w:r>
            <w:r>
              <w:rPr>
                <w:spacing w:val="1"/>
              </w:rPr>
              <w:t>万元以上</w:t>
            </w:r>
            <w:r>
              <w:rPr>
                <w:rFonts w:ascii="宋体" w:hAnsi="宋体" w:eastAsia="宋体" w:cs="宋体"/>
                <w:spacing w:val="1"/>
              </w:rPr>
              <w:t>2</w:t>
            </w:r>
            <w:r>
              <w:rPr>
                <w:spacing w:val="1"/>
              </w:rPr>
              <w:t>万元以下的罚款</w:t>
            </w:r>
          </w:p>
        </w:tc>
        <w:tc>
          <w:tcPr>
            <w:tcW w:w="811" w:type="dxa"/>
            <w:vMerge w:val="continue"/>
            <w:tcBorders>
              <w:top w:val="nil"/>
              <w:bottom w:val="nil"/>
            </w:tcBorders>
            <w:vAlign w:val="top"/>
          </w:tcPr>
          <w:p w14:paraId="5068E2A1">
            <w:pPr>
              <w:rPr>
                <w:rFonts w:ascii="Arial"/>
                <w:sz w:val="21"/>
              </w:rPr>
            </w:pPr>
          </w:p>
        </w:tc>
      </w:tr>
      <w:tr w14:paraId="5CAF1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0" w:hRule="atLeast"/>
        </w:trPr>
        <w:tc>
          <w:tcPr>
            <w:tcW w:w="818" w:type="dxa"/>
            <w:vMerge w:val="continue"/>
            <w:tcBorders>
              <w:top w:val="nil"/>
            </w:tcBorders>
            <w:vAlign w:val="top"/>
          </w:tcPr>
          <w:p w14:paraId="4EF21676">
            <w:pPr>
              <w:rPr>
                <w:rFonts w:ascii="Arial"/>
                <w:sz w:val="21"/>
              </w:rPr>
            </w:pPr>
          </w:p>
        </w:tc>
        <w:tc>
          <w:tcPr>
            <w:tcW w:w="1440" w:type="dxa"/>
            <w:vMerge w:val="continue"/>
            <w:tcBorders>
              <w:top w:val="nil"/>
            </w:tcBorders>
            <w:vAlign w:val="top"/>
          </w:tcPr>
          <w:p w14:paraId="284AC908">
            <w:pPr>
              <w:rPr>
                <w:rFonts w:ascii="Arial"/>
                <w:sz w:val="21"/>
              </w:rPr>
            </w:pPr>
          </w:p>
        </w:tc>
        <w:tc>
          <w:tcPr>
            <w:tcW w:w="3202" w:type="dxa"/>
            <w:vMerge w:val="continue"/>
            <w:tcBorders>
              <w:top w:val="nil"/>
            </w:tcBorders>
            <w:vAlign w:val="top"/>
          </w:tcPr>
          <w:p w14:paraId="71DE8EAB">
            <w:pPr>
              <w:rPr>
                <w:rFonts w:ascii="Arial"/>
                <w:sz w:val="21"/>
              </w:rPr>
            </w:pPr>
          </w:p>
        </w:tc>
        <w:tc>
          <w:tcPr>
            <w:tcW w:w="2859" w:type="dxa"/>
            <w:vMerge w:val="continue"/>
            <w:tcBorders>
              <w:top w:val="nil"/>
            </w:tcBorders>
            <w:vAlign w:val="top"/>
          </w:tcPr>
          <w:p w14:paraId="52022B82">
            <w:pPr>
              <w:rPr>
                <w:rFonts w:ascii="Arial"/>
                <w:sz w:val="21"/>
              </w:rPr>
            </w:pPr>
          </w:p>
        </w:tc>
        <w:tc>
          <w:tcPr>
            <w:tcW w:w="803" w:type="dxa"/>
            <w:vAlign w:val="top"/>
          </w:tcPr>
          <w:p w14:paraId="0A76160B">
            <w:pPr>
              <w:spacing w:line="476" w:lineRule="auto"/>
              <w:rPr>
                <w:rFonts w:ascii="Arial"/>
                <w:sz w:val="21"/>
              </w:rPr>
            </w:pPr>
          </w:p>
          <w:p w14:paraId="3735BCB2">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72A43B2">
            <w:pPr>
              <w:pStyle w:val="6"/>
              <w:spacing w:before="209" w:line="192" w:lineRule="auto"/>
              <w:ind w:left="119" w:right="109" w:firstLine="32"/>
              <w:jc w:val="both"/>
            </w:pPr>
            <w:r>
              <w:rPr>
                <w:spacing w:val="22"/>
              </w:rPr>
              <w:t>冒用或者使用伪造</w:t>
            </w:r>
            <w:r>
              <w:rPr>
                <w:spacing w:val="26"/>
              </w:rPr>
              <w:t>的危险化学品登记</w:t>
            </w:r>
            <w:r>
              <w:rPr>
                <w:spacing w:val="1"/>
              </w:rPr>
              <w:t>证的</w:t>
            </w:r>
          </w:p>
        </w:tc>
        <w:tc>
          <w:tcPr>
            <w:tcW w:w="2894" w:type="dxa"/>
            <w:vAlign w:val="top"/>
          </w:tcPr>
          <w:p w14:paraId="210DAB35">
            <w:pPr>
              <w:spacing w:line="257" w:lineRule="auto"/>
              <w:rPr>
                <w:rFonts w:ascii="Arial"/>
                <w:sz w:val="21"/>
              </w:rPr>
            </w:pPr>
          </w:p>
          <w:p w14:paraId="54F0E2D3">
            <w:pPr>
              <w:pStyle w:val="6"/>
              <w:spacing w:before="99" w:line="196" w:lineRule="auto"/>
              <w:ind w:left="146" w:right="103" w:hanging="19"/>
            </w:pPr>
            <w:r>
              <w:rPr>
                <w:spacing w:val="3"/>
              </w:rPr>
              <w:t>责令改正，可以处</w:t>
            </w:r>
            <w:r>
              <w:rPr>
                <w:rFonts w:ascii="宋体" w:hAnsi="宋体" w:eastAsia="宋体" w:cs="宋体"/>
                <w:spacing w:val="3"/>
              </w:rPr>
              <w:t>2</w:t>
            </w:r>
            <w:r>
              <w:rPr>
                <w:spacing w:val="3"/>
              </w:rPr>
              <w:t>万元</w:t>
            </w:r>
            <w:r>
              <w:rPr>
                <w:spacing w:val="1"/>
              </w:rPr>
              <w:t>以上</w:t>
            </w:r>
            <w:r>
              <w:rPr>
                <w:rFonts w:ascii="宋体" w:hAnsi="宋体" w:eastAsia="宋体" w:cs="宋体"/>
                <w:spacing w:val="1"/>
              </w:rPr>
              <w:t>3</w:t>
            </w:r>
            <w:r>
              <w:rPr>
                <w:spacing w:val="1"/>
              </w:rPr>
              <w:t>万元以下的罚款</w:t>
            </w:r>
          </w:p>
        </w:tc>
        <w:tc>
          <w:tcPr>
            <w:tcW w:w="811" w:type="dxa"/>
            <w:vMerge w:val="continue"/>
            <w:tcBorders>
              <w:top w:val="nil"/>
            </w:tcBorders>
            <w:vAlign w:val="top"/>
          </w:tcPr>
          <w:p w14:paraId="38435CDE">
            <w:pPr>
              <w:rPr>
                <w:rFonts w:ascii="Arial"/>
                <w:sz w:val="21"/>
              </w:rPr>
            </w:pPr>
          </w:p>
        </w:tc>
      </w:tr>
    </w:tbl>
    <w:p w14:paraId="50FF17AC">
      <w:pPr>
        <w:pStyle w:val="2"/>
      </w:pPr>
    </w:p>
    <w:p w14:paraId="4FE63C0B">
      <w:pPr>
        <w:sectPr>
          <w:footerReference r:id="rId179" w:type="default"/>
          <w:pgSz w:w="16839" w:h="11906"/>
          <w:pgMar w:top="1012" w:right="821" w:bottom="667" w:left="901" w:header="0" w:footer="388" w:gutter="0"/>
          <w:cols w:space="720" w:num="1"/>
        </w:sectPr>
      </w:pPr>
    </w:p>
    <w:p w14:paraId="04B71003">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ECD7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0185CE4">
            <w:pPr>
              <w:spacing w:before="222" w:line="241" w:lineRule="auto"/>
              <w:ind w:left="131"/>
              <w:outlineLvl w:val="0"/>
              <w:rPr>
                <w:rFonts w:ascii="黑体" w:hAnsi="黑体" w:eastAsia="黑体" w:cs="黑体"/>
                <w:sz w:val="28"/>
                <w:szCs w:val="28"/>
              </w:rPr>
            </w:pPr>
            <w:bookmarkStart w:id="632" w:name="bookmark580"/>
            <w:bookmarkEnd w:id="632"/>
            <w:bookmarkStart w:id="633" w:name="bookmark330"/>
            <w:bookmarkEnd w:id="633"/>
            <w:r>
              <w:rPr>
                <w:rFonts w:ascii="黑体" w:hAnsi="黑体" w:eastAsia="黑体" w:cs="黑体"/>
                <w:spacing w:val="-2"/>
                <w:sz w:val="28"/>
                <w:szCs w:val="28"/>
              </w:rPr>
              <w:t>序号</w:t>
            </w:r>
          </w:p>
        </w:tc>
        <w:tc>
          <w:tcPr>
            <w:tcW w:w="1440" w:type="dxa"/>
            <w:vAlign w:val="top"/>
          </w:tcPr>
          <w:p w14:paraId="54B45562">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2DA388A">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A4F40F5">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B3EBC44">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79BFAC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C8C7B8D">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7AC27CA">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D82D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6" w:hRule="atLeast"/>
        </w:trPr>
        <w:tc>
          <w:tcPr>
            <w:tcW w:w="818" w:type="dxa"/>
            <w:vMerge w:val="restart"/>
            <w:tcBorders>
              <w:bottom w:val="nil"/>
            </w:tcBorders>
            <w:vAlign w:val="top"/>
          </w:tcPr>
          <w:p w14:paraId="18324A5E">
            <w:pPr>
              <w:spacing w:line="244" w:lineRule="auto"/>
              <w:rPr>
                <w:rFonts w:ascii="Arial"/>
                <w:sz w:val="21"/>
              </w:rPr>
            </w:pPr>
          </w:p>
          <w:p w14:paraId="6B47E091">
            <w:pPr>
              <w:spacing w:line="244" w:lineRule="auto"/>
              <w:rPr>
                <w:rFonts w:ascii="Arial"/>
                <w:sz w:val="21"/>
              </w:rPr>
            </w:pPr>
          </w:p>
          <w:p w14:paraId="56D0B512">
            <w:pPr>
              <w:spacing w:line="244" w:lineRule="auto"/>
              <w:rPr>
                <w:rFonts w:ascii="Arial"/>
                <w:sz w:val="21"/>
              </w:rPr>
            </w:pPr>
          </w:p>
          <w:p w14:paraId="39E17715">
            <w:pPr>
              <w:spacing w:line="244" w:lineRule="auto"/>
              <w:rPr>
                <w:rFonts w:ascii="Arial"/>
                <w:sz w:val="21"/>
              </w:rPr>
            </w:pPr>
          </w:p>
          <w:p w14:paraId="2AF1D83A">
            <w:pPr>
              <w:spacing w:line="244" w:lineRule="auto"/>
              <w:rPr>
                <w:rFonts w:ascii="Arial"/>
                <w:sz w:val="21"/>
              </w:rPr>
            </w:pPr>
          </w:p>
          <w:p w14:paraId="634FB56C">
            <w:pPr>
              <w:spacing w:line="244" w:lineRule="auto"/>
              <w:rPr>
                <w:rFonts w:ascii="Arial"/>
                <w:sz w:val="21"/>
              </w:rPr>
            </w:pPr>
          </w:p>
          <w:p w14:paraId="3E934372">
            <w:pPr>
              <w:spacing w:line="244" w:lineRule="auto"/>
              <w:rPr>
                <w:rFonts w:ascii="Arial"/>
                <w:sz w:val="21"/>
              </w:rPr>
            </w:pPr>
          </w:p>
          <w:p w14:paraId="0477DB57">
            <w:pPr>
              <w:spacing w:line="244" w:lineRule="auto"/>
              <w:rPr>
                <w:rFonts w:ascii="Arial"/>
                <w:sz w:val="21"/>
              </w:rPr>
            </w:pPr>
          </w:p>
          <w:p w14:paraId="350924A3">
            <w:pPr>
              <w:spacing w:line="244" w:lineRule="auto"/>
              <w:rPr>
                <w:rFonts w:ascii="Arial"/>
                <w:sz w:val="21"/>
              </w:rPr>
            </w:pPr>
          </w:p>
          <w:p w14:paraId="07DB961E">
            <w:pPr>
              <w:spacing w:line="244" w:lineRule="auto"/>
              <w:rPr>
                <w:rFonts w:ascii="Arial"/>
                <w:sz w:val="21"/>
              </w:rPr>
            </w:pPr>
          </w:p>
          <w:p w14:paraId="1F197C46">
            <w:pPr>
              <w:spacing w:line="245" w:lineRule="auto"/>
              <w:rPr>
                <w:rFonts w:ascii="Arial"/>
                <w:sz w:val="21"/>
              </w:rPr>
            </w:pPr>
          </w:p>
          <w:p w14:paraId="447CF9F0">
            <w:pPr>
              <w:spacing w:before="75" w:line="186" w:lineRule="auto"/>
              <w:ind w:left="161"/>
              <w:rPr>
                <w:rFonts w:ascii="仿宋" w:hAnsi="仿宋" w:eastAsia="仿宋" w:cs="仿宋"/>
                <w:sz w:val="23"/>
                <w:szCs w:val="23"/>
              </w:rPr>
            </w:pPr>
            <w:r>
              <w:rPr>
                <w:rFonts w:ascii="仿宋" w:hAnsi="仿宋" w:eastAsia="仿宋" w:cs="仿宋"/>
                <w:spacing w:val="-5"/>
                <w:sz w:val="23"/>
                <w:szCs w:val="23"/>
              </w:rPr>
              <w:t>161</w:t>
            </w:r>
          </w:p>
        </w:tc>
        <w:tc>
          <w:tcPr>
            <w:tcW w:w="1440" w:type="dxa"/>
            <w:vMerge w:val="restart"/>
            <w:tcBorders>
              <w:bottom w:val="nil"/>
            </w:tcBorders>
            <w:vAlign w:val="top"/>
          </w:tcPr>
          <w:p w14:paraId="4EDB0BBB">
            <w:pPr>
              <w:spacing w:line="284" w:lineRule="auto"/>
              <w:rPr>
                <w:rFonts w:ascii="Arial"/>
                <w:sz w:val="21"/>
              </w:rPr>
            </w:pPr>
          </w:p>
          <w:p w14:paraId="59556827">
            <w:pPr>
              <w:spacing w:line="284" w:lineRule="auto"/>
              <w:rPr>
                <w:rFonts w:ascii="Arial"/>
                <w:sz w:val="21"/>
              </w:rPr>
            </w:pPr>
          </w:p>
          <w:p w14:paraId="2EC39079">
            <w:pPr>
              <w:spacing w:line="284" w:lineRule="auto"/>
              <w:rPr>
                <w:rFonts w:ascii="Arial"/>
                <w:sz w:val="21"/>
              </w:rPr>
            </w:pPr>
          </w:p>
          <w:p w14:paraId="2ECE1A89">
            <w:pPr>
              <w:spacing w:line="284" w:lineRule="auto"/>
              <w:rPr>
                <w:rFonts w:ascii="Arial"/>
                <w:sz w:val="21"/>
              </w:rPr>
            </w:pPr>
          </w:p>
          <w:p w14:paraId="5BC35D5D">
            <w:pPr>
              <w:spacing w:line="285" w:lineRule="auto"/>
              <w:rPr>
                <w:rFonts w:ascii="Arial"/>
                <w:sz w:val="21"/>
              </w:rPr>
            </w:pPr>
          </w:p>
          <w:p w14:paraId="351A7F6C">
            <w:pPr>
              <w:pStyle w:val="6"/>
              <w:spacing w:before="99" w:line="182" w:lineRule="auto"/>
              <w:ind w:left="115"/>
              <w:outlineLvl w:val="0"/>
            </w:pPr>
            <w:r>
              <w:rPr>
                <w:spacing w:val="11"/>
              </w:rPr>
              <w:t>危险化学品</w:t>
            </w:r>
          </w:p>
          <w:p w14:paraId="12FA142A">
            <w:pPr>
              <w:pStyle w:val="6"/>
              <w:spacing w:before="9" w:line="185" w:lineRule="auto"/>
              <w:ind w:left="112" w:right="108" w:firstLine="16"/>
            </w:pPr>
            <w:r>
              <w:rPr>
                <w:spacing w:val="3"/>
              </w:rPr>
              <w:t>生产企业、</w:t>
            </w:r>
            <w:r>
              <w:rPr>
                <w:spacing w:val="12"/>
              </w:rPr>
              <w:t>进口企业拒绝、阻挠登记机构对本企业危险化学品登记情况进行现场</w:t>
            </w:r>
            <w:r>
              <w:rPr>
                <w:spacing w:val="6"/>
              </w:rPr>
              <w:t>核查的</w:t>
            </w:r>
          </w:p>
        </w:tc>
        <w:tc>
          <w:tcPr>
            <w:tcW w:w="3202" w:type="dxa"/>
            <w:vMerge w:val="restart"/>
            <w:tcBorders>
              <w:bottom w:val="nil"/>
            </w:tcBorders>
            <w:vAlign w:val="top"/>
          </w:tcPr>
          <w:p w14:paraId="5405F603">
            <w:pPr>
              <w:pStyle w:val="6"/>
              <w:spacing w:before="37" w:line="182" w:lineRule="auto"/>
              <w:ind w:left="114" w:hanging="16"/>
              <w:jc w:val="both"/>
            </w:pPr>
            <w:r>
              <w:rPr>
                <w:spacing w:val="17"/>
              </w:rPr>
              <w:t>【部门规章】《危险化学品</w:t>
            </w:r>
            <w:r>
              <w:rPr>
                <w:spacing w:val="16"/>
              </w:rPr>
              <w:t>登记管理办法》第十三条第</w:t>
            </w:r>
            <w:r>
              <w:rPr>
                <w:spacing w:val="12"/>
              </w:rPr>
              <w:t>一款第四项：危险化学品登</w:t>
            </w:r>
            <w:bookmarkStart w:id="634" w:name="bookmark581"/>
            <w:bookmarkEnd w:id="634"/>
            <w:bookmarkStart w:id="635" w:name="bookmark332"/>
            <w:bookmarkEnd w:id="635"/>
            <w:r>
              <w:rPr>
                <w:spacing w:val="7"/>
              </w:rPr>
              <w:t>记按照下列程序办理：（四）</w:t>
            </w:r>
            <w:r>
              <w:rPr>
                <w:spacing w:val="16"/>
              </w:rPr>
              <w:t>登记办公室在收到登记企业</w:t>
            </w:r>
            <w:r>
              <w:rPr>
                <w:spacing w:val="4"/>
              </w:rPr>
              <w:t>的登记材料之日起</w:t>
            </w:r>
            <w:r>
              <w:rPr>
                <w:rFonts w:ascii="宋体" w:hAnsi="宋体" w:eastAsia="宋体" w:cs="宋体"/>
                <w:spacing w:val="4"/>
              </w:rPr>
              <w:t>20</w:t>
            </w:r>
            <w:r>
              <w:rPr>
                <w:spacing w:val="4"/>
              </w:rPr>
              <w:t>个工作</w:t>
            </w:r>
            <w:r>
              <w:rPr>
                <w:spacing w:val="12"/>
              </w:rPr>
              <w:t>日内，对登记材料和登记内</w:t>
            </w:r>
            <w:r>
              <w:rPr>
                <w:spacing w:val="11"/>
              </w:rPr>
              <w:t>容逐项进行审查，必要时可</w:t>
            </w:r>
            <w:r>
              <w:rPr>
                <w:spacing w:val="-2"/>
              </w:rPr>
              <w:t>进行现场核查，符合要求的，</w:t>
            </w:r>
            <w:r>
              <w:rPr>
                <w:spacing w:val="38"/>
              </w:rPr>
              <w:t>将登记材料提交给登记中</w:t>
            </w:r>
            <w:r>
              <w:rPr>
                <w:spacing w:val="8"/>
              </w:rPr>
              <w:t>心；不符合要求的，通过登</w:t>
            </w:r>
            <w:r>
              <w:rPr>
                <w:spacing w:val="16"/>
              </w:rPr>
              <w:t>记系统告知登记企业并说明</w:t>
            </w:r>
            <w:r>
              <w:rPr>
                <w:spacing w:val="-7"/>
              </w:rPr>
              <w:t>理由；</w:t>
            </w:r>
          </w:p>
          <w:p w14:paraId="29A27BEC">
            <w:pPr>
              <w:pStyle w:val="6"/>
              <w:spacing w:before="7" w:line="178" w:lineRule="auto"/>
              <w:ind w:left="118" w:right="110" w:firstLine="9"/>
              <w:jc w:val="both"/>
            </w:pPr>
            <w:r>
              <w:rPr>
                <w:spacing w:val="12"/>
              </w:rPr>
              <w:t>第二十条第一款：登记企业</w:t>
            </w:r>
            <w:r>
              <w:rPr>
                <w:spacing w:val="17"/>
              </w:rPr>
              <w:t>应当指定人员负责危险化学</w:t>
            </w:r>
            <w:r>
              <w:rPr>
                <w:spacing w:val="13"/>
              </w:rPr>
              <w:t>品登记的相关工作，配合登</w:t>
            </w:r>
            <w:r>
              <w:rPr>
                <w:spacing w:val="17"/>
              </w:rPr>
              <w:t>记人员在必要时对本企业危</w:t>
            </w:r>
            <w:r>
              <w:rPr>
                <w:spacing w:val="39"/>
              </w:rPr>
              <w:t>险化学品登记内容进行核</w:t>
            </w:r>
            <w:r>
              <w:rPr>
                <w:spacing w:val="-7"/>
              </w:rPr>
              <w:t>查。</w:t>
            </w:r>
          </w:p>
        </w:tc>
        <w:tc>
          <w:tcPr>
            <w:tcW w:w="2859" w:type="dxa"/>
            <w:vMerge w:val="restart"/>
            <w:tcBorders>
              <w:bottom w:val="nil"/>
            </w:tcBorders>
            <w:vAlign w:val="top"/>
          </w:tcPr>
          <w:p w14:paraId="048640FA">
            <w:pPr>
              <w:pStyle w:val="6"/>
              <w:spacing w:before="23" w:line="186" w:lineRule="auto"/>
              <w:ind w:left="117" w:right="38" w:hanging="20"/>
              <w:jc w:val="both"/>
            </w:pPr>
            <w:r>
              <w:rPr>
                <w:spacing w:val="10"/>
              </w:rPr>
              <w:t>【部门规章】《危险化学</w:t>
            </w:r>
            <w:r>
              <w:rPr>
                <w:spacing w:val="8"/>
              </w:rPr>
              <w:t>品登记管理办法》第三十条第五项：登记企业有下</w:t>
            </w:r>
            <w:r>
              <w:rPr>
                <w:spacing w:val="-6"/>
              </w:rPr>
              <w:t>列行为之一的，责令改正，</w:t>
            </w:r>
            <w:r>
              <w:rPr>
                <w:spacing w:val="20"/>
              </w:rPr>
              <w:t>可以处</w:t>
            </w:r>
            <w:r>
              <w:rPr>
                <w:rFonts w:ascii="宋体" w:hAnsi="宋体" w:eastAsia="宋体" w:cs="宋体"/>
                <w:spacing w:val="20"/>
              </w:rPr>
              <w:t>3</w:t>
            </w:r>
            <w:r>
              <w:rPr>
                <w:spacing w:val="20"/>
              </w:rPr>
              <w:t>万元以下的罚</w:t>
            </w:r>
            <w:r>
              <w:rPr>
                <w:spacing w:val="8"/>
              </w:rPr>
              <w:t>款</w:t>
            </w:r>
            <w:r>
              <w:rPr>
                <w:spacing w:val="9"/>
              </w:rPr>
              <w:t>：（</w:t>
            </w:r>
            <w:r>
              <w:rPr>
                <w:spacing w:val="8"/>
              </w:rPr>
              <w:t>五）拒绝、阻挠登记机构对本企业危险化学品登记情况进行现场核查</w:t>
            </w:r>
            <w:r>
              <w:rPr>
                <w:spacing w:val="-7"/>
              </w:rPr>
              <w:t>的。</w:t>
            </w:r>
          </w:p>
        </w:tc>
        <w:tc>
          <w:tcPr>
            <w:tcW w:w="803" w:type="dxa"/>
            <w:vAlign w:val="top"/>
          </w:tcPr>
          <w:p w14:paraId="53587EC7">
            <w:pPr>
              <w:spacing w:line="356" w:lineRule="auto"/>
              <w:rPr>
                <w:rFonts w:ascii="Arial"/>
                <w:sz w:val="21"/>
              </w:rPr>
            </w:pPr>
          </w:p>
          <w:p w14:paraId="34AF515A">
            <w:pPr>
              <w:spacing w:line="356" w:lineRule="auto"/>
              <w:rPr>
                <w:rFonts w:ascii="Arial"/>
                <w:sz w:val="21"/>
              </w:rPr>
            </w:pPr>
          </w:p>
          <w:p w14:paraId="1C0F0BAA">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1F9A6E3">
            <w:pPr>
              <w:pStyle w:val="6"/>
              <w:spacing w:before="147" w:line="188" w:lineRule="auto"/>
              <w:ind w:left="117" w:right="109" w:firstLine="28"/>
              <w:jc w:val="both"/>
            </w:pPr>
            <w:r>
              <w:rPr>
                <w:spacing w:val="-6"/>
              </w:rPr>
              <w:t>以不知道、不配合等</w:t>
            </w:r>
            <w:r>
              <w:rPr>
                <w:spacing w:val="-3"/>
              </w:rPr>
              <w:t>消极方式拒绝、阻挠</w:t>
            </w:r>
            <w:r>
              <w:rPr>
                <w:spacing w:val="26"/>
              </w:rPr>
              <w:t>登记机构对本企业危险化学品登记情</w:t>
            </w:r>
            <w:r>
              <w:rPr>
                <w:spacing w:val="7"/>
              </w:rPr>
              <w:t>况进行现场核查的</w:t>
            </w:r>
          </w:p>
        </w:tc>
        <w:tc>
          <w:tcPr>
            <w:tcW w:w="2894" w:type="dxa"/>
            <w:vAlign w:val="top"/>
          </w:tcPr>
          <w:p w14:paraId="2EBC15DE">
            <w:pPr>
              <w:spacing w:line="248" w:lineRule="auto"/>
              <w:rPr>
                <w:rFonts w:ascii="Arial"/>
                <w:sz w:val="21"/>
              </w:rPr>
            </w:pPr>
          </w:p>
          <w:p w14:paraId="240CEA29">
            <w:pPr>
              <w:spacing w:line="248" w:lineRule="auto"/>
              <w:rPr>
                <w:rFonts w:ascii="Arial"/>
                <w:sz w:val="21"/>
              </w:rPr>
            </w:pPr>
          </w:p>
          <w:p w14:paraId="4D57D1A6">
            <w:pPr>
              <w:pStyle w:val="6"/>
              <w:spacing w:before="99" w:line="196" w:lineRule="auto"/>
              <w:ind w:left="146" w:right="103" w:hanging="19"/>
            </w:pPr>
            <w:r>
              <w:rPr>
                <w:spacing w:val="1"/>
              </w:rPr>
              <w:t>责令改正，可以处</w:t>
            </w:r>
            <w:r>
              <w:rPr>
                <w:rFonts w:ascii="宋体" w:hAnsi="宋体" w:eastAsia="宋体" w:cs="宋体"/>
                <w:spacing w:val="1"/>
              </w:rPr>
              <w:t>1</w:t>
            </w:r>
            <w:r>
              <w:rPr>
                <w:spacing w:val="1"/>
              </w:rPr>
              <w:t>万元以下的罚款</w:t>
            </w:r>
          </w:p>
        </w:tc>
        <w:tc>
          <w:tcPr>
            <w:tcW w:w="811" w:type="dxa"/>
            <w:vMerge w:val="restart"/>
            <w:tcBorders>
              <w:bottom w:val="nil"/>
            </w:tcBorders>
            <w:vAlign w:val="top"/>
          </w:tcPr>
          <w:p w14:paraId="1B092BA6">
            <w:pPr>
              <w:spacing w:line="243" w:lineRule="auto"/>
              <w:rPr>
                <w:rFonts w:ascii="Arial"/>
                <w:sz w:val="21"/>
              </w:rPr>
            </w:pPr>
          </w:p>
          <w:p w14:paraId="4D247BCC">
            <w:pPr>
              <w:spacing w:line="243" w:lineRule="auto"/>
              <w:rPr>
                <w:rFonts w:ascii="Arial"/>
                <w:sz w:val="21"/>
              </w:rPr>
            </w:pPr>
          </w:p>
          <w:p w14:paraId="0994DDE5">
            <w:pPr>
              <w:spacing w:line="243" w:lineRule="auto"/>
              <w:rPr>
                <w:rFonts w:ascii="Arial"/>
                <w:sz w:val="21"/>
              </w:rPr>
            </w:pPr>
          </w:p>
          <w:p w14:paraId="6E93C23B">
            <w:pPr>
              <w:spacing w:line="244" w:lineRule="auto"/>
              <w:rPr>
                <w:rFonts w:ascii="Arial"/>
                <w:sz w:val="21"/>
              </w:rPr>
            </w:pPr>
          </w:p>
          <w:p w14:paraId="7581DD63">
            <w:pPr>
              <w:spacing w:line="244" w:lineRule="auto"/>
              <w:rPr>
                <w:rFonts w:ascii="Arial"/>
                <w:sz w:val="21"/>
              </w:rPr>
            </w:pPr>
          </w:p>
          <w:p w14:paraId="2F31A4E2">
            <w:pPr>
              <w:spacing w:line="244" w:lineRule="auto"/>
              <w:rPr>
                <w:rFonts w:ascii="Arial"/>
                <w:sz w:val="21"/>
              </w:rPr>
            </w:pPr>
          </w:p>
          <w:p w14:paraId="6F6EDAB8">
            <w:pPr>
              <w:spacing w:line="244" w:lineRule="auto"/>
              <w:rPr>
                <w:rFonts w:ascii="Arial"/>
                <w:sz w:val="21"/>
              </w:rPr>
            </w:pPr>
          </w:p>
          <w:p w14:paraId="21BD8ED8">
            <w:pPr>
              <w:spacing w:line="244" w:lineRule="auto"/>
              <w:rPr>
                <w:rFonts w:ascii="Arial"/>
                <w:sz w:val="21"/>
              </w:rPr>
            </w:pPr>
          </w:p>
          <w:p w14:paraId="6AB61E12">
            <w:pPr>
              <w:spacing w:line="244" w:lineRule="auto"/>
              <w:rPr>
                <w:rFonts w:ascii="Arial"/>
                <w:sz w:val="21"/>
              </w:rPr>
            </w:pPr>
          </w:p>
          <w:p w14:paraId="3800ABC0">
            <w:pPr>
              <w:spacing w:line="244" w:lineRule="auto"/>
              <w:rPr>
                <w:rFonts w:ascii="Arial"/>
                <w:sz w:val="21"/>
              </w:rPr>
            </w:pPr>
          </w:p>
          <w:p w14:paraId="4419D880">
            <w:pPr>
              <w:spacing w:line="244" w:lineRule="auto"/>
              <w:rPr>
                <w:rFonts w:ascii="Arial"/>
                <w:sz w:val="21"/>
              </w:rPr>
            </w:pPr>
          </w:p>
          <w:p w14:paraId="5D03FA47">
            <w:pPr>
              <w:spacing w:before="75" w:line="189" w:lineRule="auto"/>
              <w:ind w:left="248"/>
              <w:rPr>
                <w:rFonts w:ascii="宋体" w:hAnsi="宋体" w:eastAsia="宋体" w:cs="宋体"/>
                <w:sz w:val="23"/>
                <w:szCs w:val="23"/>
              </w:rPr>
            </w:pPr>
            <w:r>
              <w:rPr>
                <w:rFonts w:ascii="宋体" w:hAnsi="宋体" w:eastAsia="宋体" w:cs="宋体"/>
                <w:spacing w:val="-6"/>
                <w:sz w:val="23"/>
                <w:szCs w:val="23"/>
              </w:rPr>
              <w:t>105</w:t>
            </w:r>
          </w:p>
        </w:tc>
      </w:tr>
      <w:tr w14:paraId="36709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2" w:hRule="atLeast"/>
        </w:trPr>
        <w:tc>
          <w:tcPr>
            <w:tcW w:w="818" w:type="dxa"/>
            <w:vMerge w:val="continue"/>
            <w:tcBorders>
              <w:top w:val="nil"/>
              <w:bottom w:val="nil"/>
            </w:tcBorders>
            <w:vAlign w:val="top"/>
          </w:tcPr>
          <w:p w14:paraId="5C346D4E">
            <w:pPr>
              <w:rPr>
                <w:rFonts w:ascii="Arial"/>
                <w:sz w:val="21"/>
              </w:rPr>
            </w:pPr>
          </w:p>
        </w:tc>
        <w:tc>
          <w:tcPr>
            <w:tcW w:w="1440" w:type="dxa"/>
            <w:vMerge w:val="continue"/>
            <w:tcBorders>
              <w:top w:val="nil"/>
              <w:bottom w:val="nil"/>
            </w:tcBorders>
            <w:vAlign w:val="top"/>
          </w:tcPr>
          <w:p w14:paraId="625AEA7D">
            <w:pPr>
              <w:rPr>
                <w:rFonts w:ascii="Arial"/>
                <w:sz w:val="21"/>
              </w:rPr>
            </w:pPr>
          </w:p>
        </w:tc>
        <w:tc>
          <w:tcPr>
            <w:tcW w:w="3202" w:type="dxa"/>
            <w:vMerge w:val="continue"/>
            <w:tcBorders>
              <w:top w:val="nil"/>
              <w:bottom w:val="nil"/>
            </w:tcBorders>
            <w:vAlign w:val="top"/>
          </w:tcPr>
          <w:p w14:paraId="6131394A">
            <w:pPr>
              <w:rPr>
                <w:rFonts w:ascii="Arial"/>
                <w:sz w:val="21"/>
              </w:rPr>
            </w:pPr>
          </w:p>
        </w:tc>
        <w:tc>
          <w:tcPr>
            <w:tcW w:w="2859" w:type="dxa"/>
            <w:vMerge w:val="continue"/>
            <w:tcBorders>
              <w:top w:val="nil"/>
              <w:bottom w:val="nil"/>
            </w:tcBorders>
            <w:vAlign w:val="top"/>
          </w:tcPr>
          <w:p w14:paraId="7B04077D">
            <w:pPr>
              <w:rPr>
                <w:rFonts w:ascii="Arial"/>
                <w:sz w:val="21"/>
              </w:rPr>
            </w:pPr>
          </w:p>
        </w:tc>
        <w:tc>
          <w:tcPr>
            <w:tcW w:w="803" w:type="dxa"/>
            <w:vAlign w:val="top"/>
          </w:tcPr>
          <w:p w14:paraId="1F39D85F">
            <w:pPr>
              <w:spacing w:line="258" w:lineRule="auto"/>
              <w:rPr>
                <w:rFonts w:ascii="Arial"/>
                <w:sz w:val="21"/>
              </w:rPr>
            </w:pPr>
          </w:p>
          <w:p w14:paraId="2EDFF6BE">
            <w:pPr>
              <w:spacing w:line="258" w:lineRule="auto"/>
              <w:rPr>
                <w:rFonts w:ascii="Arial"/>
                <w:sz w:val="21"/>
              </w:rPr>
            </w:pPr>
          </w:p>
          <w:p w14:paraId="35BC0009">
            <w:pPr>
              <w:spacing w:line="258" w:lineRule="auto"/>
              <w:rPr>
                <w:rFonts w:ascii="Arial"/>
                <w:sz w:val="21"/>
              </w:rPr>
            </w:pPr>
          </w:p>
          <w:p w14:paraId="219315DB">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53676C5F">
            <w:pPr>
              <w:pStyle w:val="6"/>
              <w:spacing w:before="206" w:line="188" w:lineRule="auto"/>
              <w:ind w:left="116" w:right="109" w:firstLine="28"/>
              <w:jc w:val="both"/>
            </w:pPr>
            <w:r>
              <w:rPr>
                <w:spacing w:val="-6"/>
              </w:rPr>
              <w:t>以吵闹、谩骂等主动</w:t>
            </w:r>
            <w:r>
              <w:rPr>
                <w:spacing w:val="-2"/>
              </w:rPr>
              <w:t>方式拒绝、阻挠登记</w:t>
            </w:r>
            <w:r>
              <w:rPr>
                <w:spacing w:val="26"/>
              </w:rPr>
              <w:t>机构对本企业危险化学品登记情况进</w:t>
            </w:r>
            <w:r>
              <w:rPr>
                <w:spacing w:val="7"/>
              </w:rPr>
              <w:t>行现场核查的</w:t>
            </w:r>
          </w:p>
        </w:tc>
        <w:tc>
          <w:tcPr>
            <w:tcW w:w="2894" w:type="dxa"/>
            <w:vAlign w:val="top"/>
          </w:tcPr>
          <w:p w14:paraId="19DEB4F5">
            <w:pPr>
              <w:spacing w:line="277" w:lineRule="auto"/>
              <w:rPr>
                <w:rFonts w:ascii="Arial"/>
                <w:sz w:val="21"/>
              </w:rPr>
            </w:pPr>
          </w:p>
          <w:p w14:paraId="10A0DDB1">
            <w:pPr>
              <w:spacing w:line="277" w:lineRule="auto"/>
              <w:rPr>
                <w:rFonts w:ascii="Arial"/>
                <w:sz w:val="21"/>
              </w:rPr>
            </w:pPr>
          </w:p>
          <w:p w14:paraId="3E97308C">
            <w:pPr>
              <w:pStyle w:val="6"/>
              <w:spacing w:before="99" w:line="196" w:lineRule="auto"/>
              <w:ind w:left="146" w:right="103" w:hanging="19"/>
            </w:pPr>
            <w:r>
              <w:rPr>
                <w:spacing w:val="1"/>
              </w:rPr>
              <w:t>责令改正，可以处</w:t>
            </w:r>
            <w:r>
              <w:rPr>
                <w:rFonts w:ascii="宋体" w:hAnsi="宋体" w:eastAsia="宋体" w:cs="宋体"/>
                <w:spacing w:val="1"/>
              </w:rPr>
              <w:t>1</w:t>
            </w:r>
            <w:r>
              <w:rPr>
                <w:spacing w:val="1"/>
              </w:rPr>
              <w:t>万元以上</w:t>
            </w:r>
            <w:r>
              <w:rPr>
                <w:rFonts w:ascii="宋体" w:hAnsi="宋体" w:eastAsia="宋体" w:cs="宋体"/>
                <w:spacing w:val="1"/>
              </w:rPr>
              <w:t>2</w:t>
            </w:r>
            <w:r>
              <w:rPr>
                <w:spacing w:val="1"/>
              </w:rPr>
              <w:t>万元以下的罚款</w:t>
            </w:r>
          </w:p>
        </w:tc>
        <w:tc>
          <w:tcPr>
            <w:tcW w:w="811" w:type="dxa"/>
            <w:vMerge w:val="continue"/>
            <w:tcBorders>
              <w:top w:val="nil"/>
              <w:bottom w:val="nil"/>
            </w:tcBorders>
            <w:vAlign w:val="top"/>
          </w:tcPr>
          <w:p w14:paraId="26BE8A49">
            <w:pPr>
              <w:rPr>
                <w:rFonts w:ascii="Arial"/>
                <w:sz w:val="21"/>
              </w:rPr>
            </w:pPr>
          </w:p>
        </w:tc>
      </w:tr>
      <w:tr w14:paraId="72B5C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4" w:hRule="atLeast"/>
        </w:trPr>
        <w:tc>
          <w:tcPr>
            <w:tcW w:w="818" w:type="dxa"/>
            <w:vMerge w:val="continue"/>
            <w:tcBorders>
              <w:top w:val="nil"/>
            </w:tcBorders>
            <w:vAlign w:val="top"/>
          </w:tcPr>
          <w:p w14:paraId="792FBD21">
            <w:pPr>
              <w:rPr>
                <w:rFonts w:ascii="Arial"/>
                <w:sz w:val="21"/>
              </w:rPr>
            </w:pPr>
          </w:p>
        </w:tc>
        <w:tc>
          <w:tcPr>
            <w:tcW w:w="1440" w:type="dxa"/>
            <w:vMerge w:val="continue"/>
            <w:tcBorders>
              <w:top w:val="nil"/>
            </w:tcBorders>
            <w:vAlign w:val="top"/>
          </w:tcPr>
          <w:p w14:paraId="44C97D45">
            <w:pPr>
              <w:rPr>
                <w:rFonts w:ascii="Arial"/>
                <w:sz w:val="21"/>
              </w:rPr>
            </w:pPr>
          </w:p>
        </w:tc>
        <w:tc>
          <w:tcPr>
            <w:tcW w:w="3202" w:type="dxa"/>
            <w:vMerge w:val="continue"/>
            <w:tcBorders>
              <w:top w:val="nil"/>
            </w:tcBorders>
            <w:vAlign w:val="top"/>
          </w:tcPr>
          <w:p w14:paraId="6DC0DAC6">
            <w:pPr>
              <w:rPr>
                <w:rFonts w:ascii="Arial"/>
                <w:sz w:val="21"/>
              </w:rPr>
            </w:pPr>
          </w:p>
        </w:tc>
        <w:tc>
          <w:tcPr>
            <w:tcW w:w="2859" w:type="dxa"/>
            <w:vMerge w:val="continue"/>
            <w:tcBorders>
              <w:top w:val="nil"/>
            </w:tcBorders>
            <w:vAlign w:val="top"/>
          </w:tcPr>
          <w:p w14:paraId="6D9A3097">
            <w:pPr>
              <w:rPr>
                <w:rFonts w:ascii="Arial"/>
                <w:sz w:val="21"/>
              </w:rPr>
            </w:pPr>
          </w:p>
        </w:tc>
        <w:tc>
          <w:tcPr>
            <w:tcW w:w="803" w:type="dxa"/>
            <w:vAlign w:val="top"/>
          </w:tcPr>
          <w:p w14:paraId="418B2673">
            <w:pPr>
              <w:spacing w:line="295" w:lineRule="auto"/>
              <w:rPr>
                <w:rFonts w:ascii="Arial"/>
                <w:sz w:val="21"/>
              </w:rPr>
            </w:pPr>
          </w:p>
          <w:p w14:paraId="2DF57C39">
            <w:pPr>
              <w:spacing w:line="295" w:lineRule="auto"/>
              <w:rPr>
                <w:rFonts w:ascii="Arial"/>
                <w:sz w:val="21"/>
              </w:rPr>
            </w:pPr>
          </w:p>
          <w:p w14:paraId="03B2A8CB">
            <w:pPr>
              <w:spacing w:line="295" w:lineRule="auto"/>
              <w:rPr>
                <w:rFonts w:ascii="Arial"/>
                <w:sz w:val="21"/>
              </w:rPr>
            </w:pPr>
          </w:p>
          <w:p w14:paraId="015EA514">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509B336">
            <w:pPr>
              <w:pStyle w:val="6"/>
              <w:spacing w:before="319" w:line="188" w:lineRule="auto"/>
              <w:ind w:left="117" w:right="109" w:firstLine="28"/>
              <w:jc w:val="both"/>
            </w:pPr>
            <w:r>
              <w:rPr>
                <w:spacing w:val="-6"/>
              </w:rPr>
              <w:t>以暴力、威胁等方式</w:t>
            </w:r>
            <w:r>
              <w:rPr>
                <w:spacing w:val="-3"/>
              </w:rPr>
              <w:t>拒绝、阻挠登记机构</w:t>
            </w:r>
            <w:r>
              <w:rPr>
                <w:spacing w:val="26"/>
              </w:rPr>
              <w:t>对本企业危险化学品登记情况进行现</w:t>
            </w:r>
            <w:r>
              <w:rPr>
                <w:spacing w:val="6"/>
              </w:rPr>
              <w:t>场核查的</w:t>
            </w:r>
          </w:p>
        </w:tc>
        <w:tc>
          <w:tcPr>
            <w:tcW w:w="2894" w:type="dxa"/>
            <w:vAlign w:val="top"/>
          </w:tcPr>
          <w:p w14:paraId="6D1619D4">
            <w:pPr>
              <w:spacing w:line="333" w:lineRule="auto"/>
              <w:rPr>
                <w:rFonts w:ascii="Arial"/>
                <w:sz w:val="21"/>
              </w:rPr>
            </w:pPr>
          </w:p>
          <w:p w14:paraId="1DF9A2A9">
            <w:pPr>
              <w:spacing w:line="334" w:lineRule="auto"/>
              <w:rPr>
                <w:rFonts w:ascii="Arial"/>
                <w:sz w:val="21"/>
              </w:rPr>
            </w:pPr>
          </w:p>
          <w:p w14:paraId="79609828">
            <w:pPr>
              <w:pStyle w:val="6"/>
              <w:spacing w:before="98" w:line="196" w:lineRule="auto"/>
              <w:ind w:left="146" w:right="103" w:hanging="19"/>
            </w:pPr>
            <w:r>
              <w:rPr>
                <w:spacing w:val="3"/>
              </w:rPr>
              <w:t>责令改正，可以处</w:t>
            </w:r>
            <w:r>
              <w:rPr>
                <w:rFonts w:ascii="宋体" w:hAnsi="宋体" w:eastAsia="宋体" w:cs="宋体"/>
                <w:spacing w:val="3"/>
              </w:rPr>
              <w:t>2</w:t>
            </w:r>
            <w:r>
              <w:rPr>
                <w:spacing w:val="3"/>
              </w:rPr>
              <w:t>万元</w:t>
            </w:r>
            <w:r>
              <w:rPr>
                <w:spacing w:val="1"/>
              </w:rPr>
              <w:t>以上</w:t>
            </w:r>
            <w:r>
              <w:rPr>
                <w:rFonts w:ascii="宋体" w:hAnsi="宋体" w:eastAsia="宋体" w:cs="宋体"/>
                <w:spacing w:val="1"/>
              </w:rPr>
              <w:t>3</w:t>
            </w:r>
            <w:r>
              <w:rPr>
                <w:spacing w:val="1"/>
              </w:rPr>
              <w:t>万元以下的罚款</w:t>
            </w:r>
          </w:p>
        </w:tc>
        <w:tc>
          <w:tcPr>
            <w:tcW w:w="811" w:type="dxa"/>
            <w:vMerge w:val="continue"/>
            <w:tcBorders>
              <w:top w:val="nil"/>
            </w:tcBorders>
            <w:vAlign w:val="top"/>
          </w:tcPr>
          <w:p w14:paraId="30397A08">
            <w:pPr>
              <w:rPr>
                <w:rFonts w:ascii="Arial"/>
                <w:sz w:val="21"/>
              </w:rPr>
            </w:pPr>
          </w:p>
        </w:tc>
      </w:tr>
      <w:tr w14:paraId="3ECB4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818" w:type="dxa"/>
            <w:vMerge w:val="restart"/>
            <w:tcBorders>
              <w:bottom w:val="nil"/>
            </w:tcBorders>
            <w:vAlign w:val="top"/>
          </w:tcPr>
          <w:p w14:paraId="64CC4D56">
            <w:pPr>
              <w:spacing w:line="249" w:lineRule="auto"/>
              <w:rPr>
                <w:rFonts w:ascii="Arial"/>
                <w:sz w:val="21"/>
              </w:rPr>
            </w:pPr>
          </w:p>
          <w:p w14:paraId="33C93860">
            <w:pPr>
              <w:spacing w:line="250" w:lineRule="auto"/>
              <w:rPr>
                <w:rFonts w:ascii="Arial"/>
                <w:sz w:val="21"/>
              </w:rPr>
            </w:pPr>
          </w:p>
          <w:p w14:paraId="27937006">
            <w:pPr>
              <w:spacing w:line="250" w:lineRule="auto"/>
              <w:rPr>
                <w:rFonts w:ascii="Arial"/>
                <w:sz w:val="21"/>
              </w:rPr>
            </w:pPr>
          </w:p>
          <w:p w14:paraId="64E83FED">
            <w:pPr>
              <w:spacing w:line="250" w:lineRule="auto"/>
              <w:rPr>
                <w:rFonts w:ascii="Arial"/>
                <w:sz w:val="21"/>
              </w:rPr>
            </w:pPr>
          </w:p>
          <w:p w14:paraId="1DADA6E8">
            <w:pPr>
              <w:spacing w:line="250" w:lineRule="auto"/>
              <w:rPr>
                <w:rFonts w:ascii="Arial"/>
                <w:sz w:val="21"/>
              </w:rPr>
            </w:pPr>
          </w:p>
          <w:p w14:paraId="5087183E">
            <w:pPr>
              <w:spacing w:line="250" w:lineRule="auto"/>
              <w:rPr>
                <w:rFonts w:ascii="Arial"/>
                <w:sz w:val="21"/>
              </w:rPr>
            </w:pPr>
          </w:p>
          <w:p w14:paraId="3CD1D910">
            <w:pPr>
              <w:spacing w:before="75" w:line="186" w:lineRule="auto"/>
              <w:ind w:left="161"/>
              <w:rPr>
                <w:rFonts w:ascii="仿宋" w:hAnsi="仿宋" w:eastAsia="仿宋" w:cs="仿宋"/>
                <w:sz w:val="23"/>
                <w:szCs w:val="23"/>
              </w:rPr>
            </w:pPr>
            <w:r>
              <w:rPr>
                <w:rFonts w:ascii="仿宋" w:hAnsi="仿宋" w:eastAsia="仿宋" w:cs="仿宋"/>
                <w:spacing w:val="-5"/>
                <w:sz w:val="23"/>
                <w:szCs w:val="23"/>
              </w:rPr>
              <w:t>162</w:t>
            </w:r>
          </w:p>
        </w:tc>
        <w:tc>
          <w:tcPr>
            <w:tcW w:w="1440" w:type="dxa"/>
            <w:vMerge w:val="restart"/>
            <w:tcBorders>
              <w:bottom w:val="nil"/>
            </w:tcBorders>
            <w:vAlign w:val="top"/>
          </w:tcPr>
          <w:p w14:paraId="261DCB6C">
            <w:pPr>
              <w:spacing w:line="243" w:lineRule="auto"/>
              <w:rPr>
                <w:rFonts w:ascii="Arial"/>
                <w:sz w:val="21"/>
              </w:rPr>
            </w:pPr>
          </w:p>
          <w:p w14:paraId="3F455722">
            <w:pPr>
              <w:pStyle w:val="6"/>
              <w:spacing w:before="98" w:line="185" w:lineRule="auto"/>
              <w:ind w:left="112" w:right="108" w:firstLine="2"/>
            </w:pPr>
            <w:r>
              <w:rPr>
                <w:spacing w:val="11"/>
              </w:rPr>
              <w:t>危险化学品</w:t>
            </w:r>
            <w:r>
              <w:rPr>
                <w:spacing w:val="6"/>
              </w:rPr>
              <w:t>生产企业、</w:t>
            </w:r>
            <w:r>
              <w:rPr>
                <w:spacing w:val="12"/>
              </w:rPr>
              <w:t>进口企业未按规定向用户提供应急咨询服务或者应急咨询服务不符合</w:t>
            </w:r>
            <w:r>
              <w:rPr>
                <w:spacing w:val="6"/>
              </w:rPr>
              <w:t>规定的</w:t>
            </w:r>
          </w:p>
        </w:tc>
        <w:tc>
          <w:tcPr>
            <w:tcW w:w="3202" w:type="dxa"/>
            <w:vMerge w:val="restart"/>
            <w:tcBorders>
              <w:bottom w:val="nil"/>
            </w:tcBorders>
            <w:vAlign w:val="top"/>
          </w:tcPr>
          <w:p w14:paraId="0BFDC88D">
            <w:pPr>
              <w:pStyle w:val="6"/>
              <w:spacing w:before="32" w:line="181" w:lineRule="auto"/>
              <w:ind w:left="117" w:right="42" w:hanging="19"/>
              <w:jc w:val="both"/>
            </w:pPr>
            <w:r>
              <w:rPr>
                <w:spacing w:val="18"/>
              </w:rPr>
              <w:t>【部门规章】《危险化学品</w:t>
            </w:r>
            <w:r>
              <w:rPr>
                <w:spacing w:val="3"/>
              </w:rPr>
              <w:t>登记管理办法》第二十二条：</w:t>
            </w:r>
            <w:r>
              <w:rPr>
                <w:spacing w:val="17"/>
              </w:rPr>
              <w:t>危险化学品生产企业应当设</w:t>
            </w:r>
            <w:r>
              <w:rPr>
                <w:spacing w:val="4"/>
              </w:rPr>
              <w:t>立由专职人员</w:t>
            </w:r>
            <w:r>
              <w:rPr>
                <w:rFonts w:ascii="宋体" w:hAnsi="宋体" w:eastAsia="宋体" w:cs="宋体"/>
                <w:spacing w:val="4"/>
              </w:rPr>
              <w:t>24</w:t>
            </w:r>
            <w:r>
              <w:rPr>
                <w:spacing w:val="4"/>
              </w:rPr>
              <w:t>小时值守的</w:t>
            </w:r>
            <w:r>
              <w:rPr>
                <w:spacing w:val="13"/>
              </w:rPr>
              <w:t>国内固定服务电话，针对本</w:t>
            </w:r>
            <w:r>
              <w:rPr>
                <w:spacing w:val="17"/>
              </w:rPr>
              <w:t>办法第十二条规定的内容向用户提供危险化学品事故应</w:t>
            </w:r>
            <w:r>
              <w:rPr>
                <w:spacing w:val="13"/>
              </w:rPr>
              <w:t>急咨询服务，为危险化学品</w:t>
            </w:r>
            <w:r>
              <w:rPr>
                <w:spacing w:val="17"/>
              </w:rPr>
              <w:t>事故应急救援提供技术指导和必要的协助。专职值守人员应当熟悉本企业危险化学</w:t>
            </w:r>
          </w:p>
        </w:tc>
        <w:tc>
          <w:tcPr>
            <w:tcW w:w="2859" w:type="dxa"/>
            <w:vMerge w:val="restart"/>
            <w:tcBorders>
              <w:bottom w:val="nil"/>
            </w:tcBorders>
            <w:vAlign w:val="top"/>
          </w:tcPr>
          <w:p w14:paraId="38FE459B">
            <w:pPr>
              <w:pStyle w:val="6"/>
              <w:spacing w:before="38" w:line="185" w:lineRule="auto"/>
              <w:ind w:left="116" w:right="38" w:hanging="19"/>
              <w:jc w:val="both"/>
            </w:pPr>
            <w:r>
              <w:rPr>
                <w:spacing w:val="10"/>
              </w:rPr>
              <w:t>【部门规章】《危险化学</w:t>
            </w:r>
            <w:r>
              <w:rPr>
                <w:spacing w:val="8"/>
              </w:rPr>
              <w:t>品登记管理办法》第三十条第一项：登记企业有下</w:t>
            </w:r>
            <w:r>
              <w:rPr>
                <w:spacing w:val="-6"/>
              </w:rPr>
              <w:t>列行为之一的，责令改正，</w:t>
            </w:r>
            <w:r>
              <w:rPr>
                <w:spacing w:val="20"/>
              </w:rPr>
              <w:t>可以处</w:t>
            </w:r>
            <w:r>
              <w:rPr>
                <w:rFonts w:ascii="宋体" w:hAnsi="宋体" w:eastAsia="宋体" w:cs="宋体"/>
                <w:spacing w:val="20"/>
              </w:rPr>
              <w:t>3</w:t>
            </w:r>
            <w:r>
              <w:rPr>
                <w:spacing w:val="20"/>
              </w:rPr>
              <w:t>万元以下的罚</w:t>
            </w:r>
            <w:r>
              <w:rPr>
                <w:spacing w:val="4"/>
              </w:rPr>
              <w:t>款</w:t>
            </w:r>
            <w:r>
              <w:rPr>
                <w:spacing w:val="-8"/>
              </w:rPr>
              <w:t>：（</w:t>
            </w:r>
            <w:r>
              <w:rPr>
                <w:spacing w:val="4"/>
              </w:rPr>
              <w:t>一）未向用户提供</w:t>
            </w:r>
            <w:r>
              <w:rPr>
                <w:spacing w:val="8"/>
              </w:rPr>
              <w:t>应急咨询服务或者应急咨询服务不符合本办法第二</w:t>
            </w:r>
            <w:r>
              <w:rPr>
                <w:spacing w:val="1"/>
              </w:rPr>
              <w:t>十二条规定的；</w:t>
            </w:r>
          </w:p>
        </w:tc>
        <w:tc>
          <w:tcPr>
            <w:tcW w:w="803" w:type="dxa"/>
            <w:vAlign w:val="top"/>
          </w:tcPr>
          <w:p w14:paraId="745EE187">
            <w:pPr>
              <w:spacing w:line="297" w:lineRule="auto"/>
              <w:rPr>
                <w:rFonts w:ascii="Arial"/>
                <w:sz w:val="21"/>
              </w:rPr>
            </w:pPr>
          </w:p>
          <w:p w14:paraId="12F6E242">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F593D62">
            <w:pPr>
              <w:pStyle w:val="6"/>
              <w:spacing w:before="30" w:line="175" w:lineRule="auto"/>
              <w:ind w:left="116" w:right="109"/>
              <w:jc w:val="both"/>
            </w:pPr>
            <w:r>
              <w:rPr>
                <w:spacing w:val="26"/>
              </w:rPr>
              <w:t>提供了应急咨询电</w:t>
            </w:r>
            <w:r>
              <w:rPr>
                <w:spacing w:val="-2"/>
              </w:rPr>
              <w:t>话，但专职人员没有</w:t>
            </w:r>
            <w:r>
              <w:rPr>
                <w:rFonts w:ascii="宋体" w:hAnsi="宋体" w:eastAsia="宋体" w:cs="宋体"/>
                <w:spacing w:val="3"/>
              </w:rPr>
              <w:t>24</w:t>
            </w:r>
            <w:r>
              <w:rPr>
                <w:spacing w:val="3"/>
              </w:rPr>
              <w:t>小时值守的</w:t>
            </w:r>
          </w:p>
        </w:tc>
        <w:tc>
          <w:tcPr>
            <w:tcW w:w="2894" w:type="dxa"/>
            <w:vAlign w:val="top"/>
          </w:tcPr>
          <w:p w14:paraId="5FAC91FB">
            <w:pPr>
              <w:pStyle w:val="6"/>
              <w:spacing w:before="180" w:line="196" w:lineRule="auto"/>
              <w:ind w:left="146" w:right="103" w:hanging="19"/>
            </w:pPr>
            <w:r>
              <w:rPr>
                <w:spacing w:val="1"/>
              </w:rPr>
              <w:t>责令改正，可以处</w:t>
            </w:r>
            <w:r>
              <w:rPr>
                <w:rFonts w:ascii="宋体" w:hAnsi="宋体" w:eastAsia="宋体" w:cs="宋体"/>
                <w:spacing w:val="1"/>
              </w:rPr>
              <w:t>1</w:t>
            </w:r>
            <w:r>
              <w:rPr>
                <w:spacing w:val="1"/>
              </w:rPr>
              <w:t>万元以下的罚款</w:t>
            </w:r>
          </w:p>
        </w:tc>
        <w:tc>
          <w:tcPr>
            <w:tcW w:w="811" w:type="dxa"/>
            <w:vMerge w:val="restart"/>
            <w:tcBorders>
              <w:bottom w:val="nil"/>
            </w:tcBorders>
            <w:vAlign w:val="top"/>
          </w:tcPr>
          <w:p w14:paraId="4D1F0FC7">
            <w:pPr>
              <w:spacing w:line="249" w:lineRule="auto"/>
              <w:rPr>
                <w:rFonts w:ascii="Arial"/>
                <w:sz w:val="21"/>
              </w:rPr>
            </w:pPr>
          </w:p>
          <w:p w14:paraId="4A727ACC">
            <w:pPr>
              <w:spacing w:line="249" w:lineRule="auto"/>
              <w:rPr>
                <w:rFonts w:ascii="Arial"/>
                <w:sz w:val="21"/>
              </w:rPr>
            </w:pPr>
          </w:p>
          <w:p w14:paraId="01DCA3C1">
            <w:pPr>
              <w:spacing w:line="249" w:lineRule="auto"/>
              <w:rPr>
                <w:rFonts w:ascii="Arial"/>
                <w:sz w:val="21"/>
              </w:rPr>
            </w:pPr>
          </w:p>
          <w:p w14:paraId="3234AEEF">
            <w:pPr>
              <w:spacing w:line="249" w:lineRule="auto"/>
              <w:rPr>
                <w:rFonts w:ascii="Arial"/>
                <w:sz w:val="21"/>
              </w:rPr>
            </w:pPr>
          </w:p>
          <w:p w14:paraId="4AE51F74">
            <w:pPr>
              <w:spacing w:line="250" w:lineRule="auto"/>
              <w:rPr>
                <w:rFonts w:ascii="Arial"/>
                <w:sz w:val="21"/>
              </w:rPr>
            </w:pPr>
          </w:p>
          <w:p w14:paraId="0E379BBB">
            <w:pPr>
              <w:spacing w:line="250" w:lineRule="auto"/>
              <w:rPr>
                <w:rFonts w:ascii="Arial"/>
                <w:sz w:val="21"/>
              </w:rPr>
            </w:pPr>
          </w:p>
          <w:p w14:paraId="7A080C3E">
            <w:pPr>
              <w:spacing w:before="75" w:line="189" w:lineRule="auto"/>
              <w:ind w:left="248"/>
              <w:rPr>
                <w:rFonts w:ascii="宋体" w:hAnsi="宋体" w:eastAsia="宋体" w:cs="宋体"/>
                <w:sz w:val="23"/>
                <w:szCs w:val="23"/>
              </w:rPr>
            </w:pPr>
            <w:r>
              <w:rPr>
                <w:rFonts w:ascii="宋体" w:hAnsi="宋体" w:eastAsia="宋体" w:cs="宋体"/>
                <w:spacing w:val="-6"/>
                <w:sz w:val="23"/>
                <w:szCs w:val="23"/>
              </w:rPr>
              <w:t>106</w:t>
            </w:r>
          </w:p>
        </w:tc>
      </w:tr>
      <w:tr w14:paraId="7C98D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7" w:hRule="atLeast"/>
        </w:trPr>
        <w:tc>
          <w:tcPr>
            <w:tcW w:w="818" w:type="dxa"/>
            <w:vMerge w:val="continue"/>
            <w:tcBorders>
              <w:top w:val="nil"/>
            </w:tcBorders>
            <w:vAlign w:val="top"/>
          </w:tcPr>
          <w:p w14:paraId="38F235F4">
            <w:pPr>
              <w:rPr>
                <w:rFonts w:ascii="Arial"/>
                <w:sz w:val="21"/>
              </w:rPr>
            </w:pPr>
          </w:p>
        </w:tc>
        <w:tc>
          <w:tcPr>
            <w:tcW w:w="1440" w:type="dxa"/>
            <w:vMerge w:val="continue"/>
            <w:tcBorders>
              <w:top w:val="nil"/>
            </w:tcBorders>
            <w:vAlign w:val="top"/>
          </w:tcPr>
          <w:p w14:paraId="187C5382">
            <w:pPr>
              <w:rPr>
                <w:rFonts w:ascii="Arial"/>
                <w:sz w:val="21"/>
              </w:rPr>
            </w:pPr>
          </w:p>
        </w:tc>
        <w:tc>
          <w:tcPr>
            <w:tcW w:w="3202" w:type="dxa"/>
            <w:vMerge w:val="continue"/>
            <w:tcBorders>
              <w:top w:val="nil"/>
            </w:tcBorders>
            <w:vAlign w:val="top"/>
          </w:tcPr>
          <w:p w14:paraId="3EEE03AD">
            <w:pPr>
              <w:rPr>
                <w:rFonts w:ascii="Arial"/>
                <w:sz w:val="21"/>
              </w:rPr>
            </w:pPr>
          </w:p>
        </w:tc>
        <w:tc>
          <w:tcPr>
            <w:tcW w:w="2859" w:type="dxa"/>
            <w:vMerge w:val="continue"/>
            <w:tcBorders>
              <w:top w:val="nil"/>
            </w:tcBorders>
            <w:vAlign w:val="top"/>
          </w:tcPr>
          <w:p w14:paraId="3537496B">
            <w:pPr>
              <w:rPr>
                <w:rFonts w:ascii="Arial"/>
                <w:sz w:val="21"/>
              </w:rPr>
            </w:pPr>
          </w:p>
        </w:tc>
        <w:tc>
          <w:tcPr>
            <w:tcW w:w="803" w:type="dxa"/>
            <w:vAlign w:val="top"/>
          </w:tcPr>
          <w:p w14:paraId="6BA16C4B">
            <w:pPr>
              <w:spacing w:line="262" w:lineRule="auto"/>
              <w:rPr>
                <w:rFonts w:ascii="Arial"/>
                <w:sz w:val="21"/>
              </w:rPr>
            </w:pPr>
          </w:p>
          <w:p w14:paraId="20A84288">
            <w:pPr>
              <w:spacing w:line="262" w:lineRule="auto"/>
              <w:rPr>
                <w:rFonts w:ascii="Arial"/>
                <w:sz w:val="21"/>
              </w:rPr>
            </w:pPr>
          </w:p>
          <w:p w14:paraId="7E38C58F">
            <w:pPr>
              <w:spacing w:line="262" w:lineRule="auto"/>
              <w:rPr>
                <w:rFonts w:ascii="Arial"/>
                <w:sz w:val="21"/>
              </w:rPr>
            </w:pPr>
          </w:p>
          <w:p w14:paraId="0D2A57F9">
            <w:pPr>
              <w:spacing w:line="262" w:lineRule="auto"/>
              <w:rPr>
                <w:rFonts w:ascii="Arial"/>
                <w:sz w:val="21"/>
              </w:rPr>
            </w:pPr>
          </w:p>
          <w:p w14:paraId="3ABF1313">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2EAB0CE">
            <w:pPr>
              <w:pStyle w:val="6"/>
              <w:spacing w:before="29" w:line="180" w:lineRule="auto"/>
              <w:ind w:left="115" w:right="105" w:firstLine="7"/>
              <w:jc w:val="both"/>
            </w:pPr>
            <w:r>
              <w:rPr>
                <w:spacing w:val="5"/>
              </w:rPr>
              <w:t>有专职人员</w:t>
            </w:r>
            <w:r>
              <w:rPr>
                <w:rFonts w:ascii="宋体" w:hAnsi="宋体" w:eastAsia="宋体" w:cs="宋体"/>
                <w:spacing w:val="5"/>
              </w:rPr>
              <w:t>24</w:t>
            </w:r>
            <w:r>
              <w:rPr>
                <w:spacing w:val="5"/>
              </w:rPr>
              <w:t>小时</w:t>
            </w:r>
            <w:r>
              <w:rPr>
                <w:spacing w:val="26"/>
              </w:rPr>
              <w:t>值守的国内固定服</w:t>
            </w:r>
            <w:r>
              <w:rPr>
                <w:spacing w:val="-2"/>
              </w:rPr>
              <w:t>务电话，但专职值守</w:t>
            </w:r>
            <w:r>
              <w:rPr>
                <w:spacing w:val="26"/>
              </w:rPr>
              <w:t>人员不熟悉本企业危险化学品的危险特性和应急处置技</w:t>
            </w:r>
            <w:r>
              <w:rPr>
                <w:spacing w:val="-2"/>
              </w:rPr>
              <w:t>术，不能准确回答有</w:t>
            </w:r>
            <w:r>
              <w:rPr>
                <w:spacing w:val="7"/>
              </w:rPr>
              <w:t>关咨询问题的</w:t>
            </w:r>
          </w:p>
        </w:tc>
        <w:tc>
          <w:tcPr>
            <w:tcW w:w="2894" w:type="dxa"/>
            <w:vAlign w:val="top"/>
          </w:tcPr>
          <w:p w14:paraId="184F5AB1">
            <w:pPr>
              <w:spacing w:line="276" w:lineRule="auto"/>
              <w:rPr>
                <w:rFonts w:ascii="Arial"/>
                <w:sz w:val="21"/>
              </w:rPr>
            </w:pPr>
          </w:p>
          <w:p w14:paraId="106D9FA9">
            <w:pPr>
              <w:spacing w:line="276" w:lineRule="auto"/>
              <w:rPr>
                <w:rFonts w:ascii="Arial"/>
                <w:sz w:val="21"/>
              </w:rPr>
            </w:pPr>
          </w:p>
          <w:p w14:paraId="3AA019DF">
            <w:pPr>
              <w:spacing w:line="276" w:lineRule="auto"/>
              <w:rPr>
                <w:rFonts w:ascii="Arial"/>
                <w:sz w:val="21"/>
              </w:rPr>
            </w:pPr>
          </w:p>
          <w:p w14:paraId="3F14C977">
            <w:pPr>
              <w:pStyle w:val="6"/>
              <w:spacing w:before="99" w:line="196" w:lineRule="auto"/>
              <w:ind w:left="146" w:right="103" w:hanging="19"/>
            </w:pPr>
            <w:r>
              <w:rPr>
                <w:spacing w:val="1"/>
              </w:rPr>
              <w:t>责令改正，可以处</w:t>
            </w:r>
            <w:r>
              <w:rPr>
                <w:rFonts w:ascii="宋体" w:hAnsi="宋体" w:eastAsia="宋体" w:cs="宋体"/>
                <w:spacing w:val="1"/>
              </w:rPr>
              <w:t>1</w:t>
            </w:r>
            <w:r>
              <w:rPr>
                <w:spacing w:val="1"/>
              </w:rPr>
              <w:t>万元以上</w:t>
            </w:r>
            <w:r>
              <w:rPr>
                <w:rFonts w:ascii="宋体" w:hAnsi="宋体" w:eastAsia="宋体" w:cs="宋体"/>
                <w:spacing w:val="1"/>
              </w:rPr>
              <w:t>2</w:t>
            </w:r>
            <w:r>
              <w:rPr>
                <w:spacing w:val="1"/>
              </w:rPr>
              <w:t>万元以下的罚款</w:t>
            </w:r>
          </w:p>
        </w:tc>
        <w:tc>
          <w:tcPr>
            <w:tcW w:w="811" w:type="dxa"/>
            <w:vMerge w:val="continue"/>
            <w:tcBorders>
              <w:top w:val="nil"/>
            </w:tcBorders>
            <w:vAlign w:val="top"/>
          </w:tcPr>
          <w:p w14:paraId="0E3670C9">
            <w:pPr>
              <w:rPr>
                <w:rFonts w:ascii="Arial"/>
                <w:sz w:val="21"/>
              </w:rPr>
            </w:pPr>
          </w:p>
        </w:tc>
      </w:tr>
    </w:tbl>
    <w:p w14:paraId="2F39438E">
      <w:pPr>
        <w:pStyle w:val="2"/>
      </w:pPr>
    </w:p>
    <w:p w14:paraId="5880390A">
      <w:pPr>
        <w:sectPr>
          <w:footerReference r:id="rId180" w:type="default"/>
          <w:pgSz w:w="16839" w:h="11906"/>
          <w:pgMar w:top="1012" w:right="821" w:bottom="667" w:left="901" w:header="0" w:footer="388" w:gutter="0"/>
          <w:cols w:space="720" w:num="1"/>
        </w:sectPr>
      </w:pPr>
    </w:p>
    <w:p w14:paraId="63C55B33">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21C7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5632D4D">
            <w:pPr>
              <w:spacing w:before="222" w:line="241" w:lineRule="auto"/>
              <w:ind w:left="131"/>
              <w:rPr>
                <w:rFonts w:ascii="黑体" w:hAnsi="黑体" w:eastAsia="黑体" w:cs="黑体"/>
                <w:sz w:val="28"/>
                <w:szCs w:val="28"/>
              </w:rPr>
            </w:pPr>
            <w:bookmarkStart w:id="636" w:name="bookmark582"/>
            <w:bookmarkEnd w:id="636"/>
            <w:r>
              <w:rPr>
                <w:rFonts w:ascii="黑体" w:hAnsi="黑体" w:eastAsia="黑体" w:cs="黑体"/>
                <w:spacing w:val="-2"/>
                <w:sz w:val="28"/>
                <w:szCs w:val="28"/>
              </w:rPr>
              <w:t>序号</w:t>
            </w:r>
          </w:p>
        </w:tc>
        <w:tc>
          <w:tcPr>
            <w:tcW w:w="1440" w:type="dxa"/>
            <w:vAlign w:val="top"/>
          </w:tcPr>
          <w:p w14:paraId="46FE7D20">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5E62E65">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F00F15B">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BBA4284">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586271E">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325FC4F0">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8A3FAA1">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8AA3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1" w:hRule="atLeast"/>
        </w:trPr>
        <w:tc>
          <w:tcPr>
            <w:tcW w:w="818" w:type="dxa"/>
            <w:vAlign w:val="top"/>
          </w:tcPr>
          <w:p w14:paraId="48085F8F">
            <w:pPr>
              <w:rPr>
                <w:rFonts w:ascii="Arial"/>
                <w:sz w:val="21"/>
              </w:rPr>
            </w:pPr>
          </w:p>
        </w:tc>
        <w:tc>
          <w:tcPr>
            <w:tcW w:w="1440" w:type="dxa"/>
            <w:vAlign w:val="top"/>
          </w:tcPr>
          <w:p w14:paraId="0B50BCE5">
            <w:pPr>
              <w:rPr>
                <w:rFonts w:ascii="Arial"/>
                <w:sz w:val="21"/>
              </w:rPr>
            </w:pPr>
          </w:p>
        </w:tc>
        <w:tc>
          <w:tcPr>
            <w:tcW w:w="3202" w:type="dxa"/>
            <w:vAlign w:val="top"/>
          </w:tcPr>
          <w:p w14:paraId="6C8013A7">
            <w:pPr>
              <w:pStyle w:val="6"/>
              <w:spacing w:before="31" w:line="182" w:lineRule="auto"/>
              <w:ind w:left="116" w:right="26" w:firstLine="28"/>
              <w:jc w:val="both"/>
            </w:pPr>
            <w:r>
              <w:rPr>
                <w:spacing w:val="15"/>
              </w:rPr>
              <w:t>品的危险特性和应急处置技</w:t>
            </w:r>
            <w:r>
              <w:rPr>
                <w:spacing w:val="4"/>
              </w:rPr>
              <w:t>术，准确回答有关咨询问题。</w:t>
            </w:r>
            <w:r>
              <w:rPr>
                <w:spacing w:val="17"/>
              </w:rPr>
              <w:t>危险化学品生产企业不能提</w:t>
            </w:r>
            <w:r>
              <w:rPr>
                <w:spacing w:val="39"/>
              </w:rPr>
              <w:t>供前款规定应急咨询服务</w:t>
            </w:r>
          </w:p>
          <w:p w14:paraId="7AE08971">
            <w:pPr>
              <w:pStyle w:val="6"/>
              <w:spacing w:line="182" w:lineRule="auto"/>
              <w:ind w:left="140"/>
              <w:outlineLvl w:val="0"/>
            </w:pPr>
            <w:r>
              <w:rPr>
                <w:spacing w:val="11"/>
              </w:rPr>
              <w:t>的，应当委托登记机构代理</w:t>
            </w:r>
          </w:p>
          <w:p w14:paraId="0B9B7B85">
            <w:pPr>
              <w:pStyle w:val="6"/>
              <w:spacing w:line="182" w:lineRule="auto"/>
              <w:ind w:left="124"/>
            </w:pPr>
            <w:r>
              <w:rPr>
                <w:spacing w:val="1"/>
              </w:rPr>
              <w:t>应急咨询服务。</w:t>
            </w:r>
          </w:p>
          <w:p w14:paraId="14923AA1">
            <w:pPr>
              <w:pStyle w:val="6"/>
              <w:spacing w:before="5" w:line="182" w:lineRule="auto"/>
              <w:ind w:left="115" w:right="111" w:firstLine="1"/>
            </w:pPr>
            <w:r>
              <w:rPr>
                <w:spacing w:val="17"/>
              </w:rPr>
              <w:t>危险化学品进口企业应当自</w:t>
            </w:r>
            <w:bookmarkStart w:id="637" w:name="bookmark334"/>
            <w:bookmarkEnd w:id="637"/>
            <w:r>
              <w:rPr>
                <w:spacing w:val="17"/>
              </w:rPr>
              <w:t>行或者委托进口代理商、登记机构提供符合本条第一款</w:t>
            </w:r>
            <w:r>
              <w:rPr>
                <w:spacing w:val="13"/>
              </w:rPr>
              <w:t>要求的应急咨询服务，并在</w:t>
            </w:r>
            <w:r>
              <w:rPr>
                <w:spacing w:val="17"/>
              </w:rPr>
              <w:t>其进口的危险化学品安全标签上标明应急咨询服务电话</w:t>
            </w:r>
            <w:r>
              <w:rPr>
                <w:spacing w:val="-4"/>
              </w:rPr>
              <w:t>号码。</w:t>
            </w:r>
          </w:p>
          <w:p w14:paraId="7337B81E">
            <w:pPr>
              <w:pStyle w:val="6"/>
              <w:spacing w:before="7" w:line="180" w:lineRule="auto"/>
              <w:ind w:left="120" w:right="107"/>
              <w:jc w:val="both"/>
            </w:pPr>
            <w:r>
              <w:rPr>
                <w:spacing w:val="17"/>
              </w:rPr>
              <w:t>从事代理应急咨询服务的登</w:t>
            </w:r>
            <w:r>
              <w:rPr>
                <w:spacing w:val="13"/>
              </w:rPr>
              <w:t>记机构，应当设立由专职人</w:t>
            </w:r>
            <w:r>
              <w:rPr>
                <w:spacing w:val="4"/>
              </w:rPr>
              <w:t>员</w:t>
            </w:r>
            <w:r>
              <w:rPr>
                <w:rFonts w:ascii="宋体" w:hAnsi="宋体" w:eastAsia="宋体" w:cs="宋体"/>
                <w:spacing w:val="4"/>
              </w:rPr>
              <w:t>24</w:t>
            </w:r>
            <w:r>
              <w:rPr>
                <w:spacing w:val="4"/>
              </w:rPr>
              <w:t>小时值守的国内固定服</w:t>
            </w:r>
            <w:r>
              <w:rPr>
                <w:spacing w:val="13"/>
              </w:rPr>
              <w:t>务电话，建有完善的化学品应急救援数据库，配备在线</w:t>
            </w:r>
            <w:r>
              <w:rPr>
                <w:spacing w:val="12"/>
              </w:rPr>
              <w:t>数字录音设备和</w:t>
            </w:r>
            <w:r>
              <w:rPr>
                <w:rFonts w:ascii="宋体" w:hAnsi="宋体" w:eastAsia="宋体" w:cs="宋体"/>
                <w:spacing w:val="12"/>
              </w:rPr>
              <w:t>8</w:t>
            </w:r>
            <w:r>
              <w:rPr>
                <w:spacing w:val="12"/>
              </w:rPr>
              <w:t>名以上专</w:t>
            </w:r>
            <w:r>
              <w:rPr>
                <w:spacing w:val="8"/>
              </w:rPr>
              <w:t>业人员，能够同时受理</w:t>
            </w:r>
            <w:r>
              <w:rPr>
                <w:rFonts w:ascii="宋体" w:hAnsi="宋体" w:eastAsia="宋体" w:cs="宋体"/>
                <w:spacing w:val="8"/>
              </w:rPr>
              <w:t>3</w:t>
            </w:r>
            <w:r>
              <w:rPr>
                <w:spacing w:val="8"/>
              </w:rPr>
              <w:t>起</w:t>
            </w:r>
            <w:r>
              <w:rPr>
                <w:spacing w:val="13"/>
              </w:rPr>
              <w:t>以上应急咨询，准确提供化</w:t>
            </w:r>
            <w:r>
              <w:rPr>
                <w:spacing w:val="17"/>
              </w:rPr>
              <w:t>学品泄漏、火灾、爆炸、中毒等事故应急处置有关信息</w:t>
            </w:r>
            <w:r>
              <w:rPr>
                <w:spacing w:val="-3"/>
              </w:rPr>
              <w:t>和建议。</w:t>
            </w:r>
          </w:p>
        </w:tc>
        <w:tc>
          <w:tcPr>
            <w:tcW w:w="2859" w:type="dxa"/>
            <w:vAlign w:val="top"/>
          </w:tcPr>
          <w:p w14:paraId="4454FB86">
            <w:pPr>
              <w:rPr>
                <w:rFonts w:ascii="Arial"/>
                <w:sz w:val="21"/>
              </w:rPr>
            </w:pPr>
          </w:p>
        </w:tc>
        <w:tc>
          <w:tcPr>
            <w:tcW w:w="803" w:type="dxa"/>
            <w:vAlign w:val="top"/>
          </w:tcPr>
          <w:p w14:paraId="78134C19">
            <w:pPr>
              <w:spacing w:line="244" w:lineRule="auto"/>
              <w:rPr>
                <w:rFonts w:ascii="Arial"/>
                <w:sz w:val="21"/>
              </w:rPr>
            </w:pPr>
          </w:p>
          <w:p w14:paraId="71E76C0C">
            <w:pPr>
              <w:spacing w:line="244" w:lineRule="auto"/>
              <w:rPr>
                <w:rFonts w:ascii="Arial"/>
                <w:sz w:val="21"/>
              </w:rPr>
            </w:pPr>
          </w:p>
          <w:p w14:paraId="157A360E">
            <w:pPr>
              <w:spacing w:line="244" w:lineRule="auto"/>
              <w:rPr>
                <w:rFonts w:ascii="Arial"/>
                <w:sz w:val="21"/>
              </w:rPr>
            </w:pPr>
          </w:p>
          <w:p w14:paraId="31E4406A">
            <w:pPr>
              <w:spacing w:line="245" w:lineRule="auto"/>
              <w:rPr>
                <w:rFonts w:ascii="Arial"/>
                <w:sz w:val="21"/>
              </w:rPr>
            </w:pPr>
          </w:p>
          <w:p w14:paraId="6559BB52">
            <w:pPr>
              <w:spacing w:line="245" w:lineRule="auto"/>
              <w:rPr>
                <w:rFonts w:ascii="Arial"/>
                <w:sz w:val="21"/>
              </w:rPr>
            </w:pPr>
          </w:p>
          <w:p w14:paraId="31721D60">
            <w:pPr>
              <w:spacing w:line="245" w:lineRule="auto"/>
              <w:rPr>
                <w:rFonts w:ascii="Arial"/>
                <w:sz w:val="21"/>
              </w:rPr>
            </w:pPr>
          </w:p>
          <w:p w14:paraId="27443F8D">
            <w:pPr>
              <w:spacing w:line="245" w:lineRule="auto"/>
              <w:rPr>
                <w:rFonts w:ascii="Arial"/>
                <w:sz w:val="21"/>
              </w:rPr>
            </w:pPr>
          </w:p>
          <w:p w14:paraId="4FAC2914">
            <w:pPr>
              <w:spacing w:line="245" w:lineRule="auto"/>
              <w:rPr>
                <w:rFonts w:ascii="Arial"/>
                <w:sz w:val="21"/>
              </w:rPr>
            </w:pPr>
          </w:p>
          <w:p w14:paraId="0E4255C9">
            <w:pPr>
              <w:spacing w:line="245" w:lineRule="auto"/>
              <w:rPr>
                <w:rFonts w:ascii="Arial"/>
                <w:sz w:val="21"/>
              </w:rPr>
            </w:pPr>
          </w:p>
          <w:p w14:paraId="7B5F2A36">
            <w:pPr>
              <w:spacing w:line="245" w:lineRule="auto"/>
              <w:rPr>
                <w:rFonts w:ascii="Arial"/>
                <w:sz w:val="21"/>
              </w:rPr>
            </w:pPr>
          </w:p>
          <w:p w14:paraId="2F622010">
            <w:pPr>
              <w:spacing w:line="245" w:lineRule="auto"/>
              <w:rPr>
                <w:rFonts w:ascii="Arial"/>
                <w:sz w:val="21"/>
              </w:rPr>
            </w:pPr>
          </w:p>
          <w:p w14:paraId="092DC193">
            <w:pPr>
              <w:spacing w:line="245" w:lineRule="auto"/>
              <w:rPr>
                <w:rFonts w:ascii="Arial"/>
                <w:sz w:val="21"/>
              </w:rPr>
            </w:pPr>
          </w:p>
          <w:p w14:paraId="0B6C551C">
            <w:pPr>
              <w:spacing w:line="245" w:lineRule="auto"/>
              <w:rPr>
                <w:rFonts w:ascii="Arial"/>
                <w:sz w:val="21"/>
              </w:rPr>
            </w:pPr>
          </w:p>
          <w:p w14:paraId="4E281EC6">
            <w:pPr>
              <w:spacing w:line="245" w:lineRule="auto"/>
              <w:rPr>
                <w:rFonts w:ascii="Arial"/>
                <w:sz w:val="21"/>
              </w:rPr>
            </w:pPr>
          </w:p>
          <w:p w14:paraId="72D4C0FA">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476A652">
            <w:pPr>
              <w:spacing w:line="242" w:lineRule="auto"/>
              <w:rPr>
                <w:rFonts w:ascii="Arial"/>
                <w:sz w:val="21"/>
              </w:rPr>
            </w:pPr>
          </w:p>
          <w:p w14:paraId="390E5061">
            <w:pPr>
              <w:spacing w:line="242" w:lineRule="auto"/>
              <w:rPr>
                <w:rFonts w:ascii="Arial"/>
                <w:sz w:val="21"/>
              </w:rPr>
            </w:pPr>
          </w:p>
          <w:p w14:paraId="5DA538ED">
            <w:pPr>
              <w:spacing w:line="242" w:lineRule="auto"/>
              <w:rPr>
                <w:rFonts w:ascii="Arial"/>
                <w:sz w:val="21"/>
              </w:rPr>
            </w:pPr>
          </w:p>
          <w:p w14:paraId="60B88D62">
            <w:pPr>
              <w:spacing w:line="242" w:lineRule="auto"/>
              <w:rPr>
                <w:rFonts w:ascii="Arial"/>
                <w:sz w:val="21"/>
              </w:rPr>
            </w:pPr>
          </w:p>
          <w:p w14:paraId="0B8919FB">
            <w:pPr>
              <w:spacing w:line="242" w:lineRule="auto"/>
              <w:rPr>
                <w:rFonts w:ascii="Arial"/>
                <w:sz w:val="21"/>
              </w:rPr>
            </w:pPr>
          </w:p>
          <w:p w14:paraId="56DA3382">
            <w:pPr>
              <w:spacing w:line="242" w:lineRule="auto"/>
              <w:rPr>
                <w:rFonts w:ascii="Arial"/>
                <w:sz w:val="21"/>
              </w:rPr>
            </w:pPr>
          </w:p>
          <w:p w14:paraId="08D330C1">
            <w:pPr>
              <w:spacing w:line="243" w:lineRule="auto"/>
              <w:rPr>
                <w:rFonts w:ascii="Arial"/>
                <w:sz w:val="21"/>
              </w:rPr>
            </w:pPr>
          </w:p>
          <w:p w14:paraId="338A3113">
            <w:pPr>
              <w:spacing w:line="243" w:lineRule="auto"/>
              <w:rPr>
                <w:rFonts w:ascii="Arial"/>
                <w:sz w:val="21"/>
              </w:rPr>
            </w:pPr>
          </w:p>
          <w:p w14:paraId="68EFD639">
            <w:pPr>
              <w:spacing w:line="243" w:lineRule="auto"/>
              <w:rPr>
                <w:rFonts w:ascii="Arial"/>
                <w:sz w:val="21"/>
              </w:rPr>
            </w:pPr>
          </w:p>
          <w:p w14:paraId="7F390996">
            <w:pPr>
              <w:spacing w:line="243" w:lineRule="auto"/>
              <w:rPr>
                <w:rFonts w:ascii="Arial"/>
                <w:sz w:val="21"/>
              </w:rPr>
            </w:pPr>
          </w:p>
          <w:p w14:paraId="29C33150">
            <w:pPr>
              <w:spacing w:line="243" w:lineRule="auto"/>
              <w:rPr>
                <w:rFonts w:ascii="Arial"/>
                <w:sz w:val="21"/>
              </w:rPr>
            </w:pPr>
          </w:p>
          <w:p w14:paraId="619D8D31">
            <w:pPr>
              <w:spacing w:line="243" w:lineRule="auto"/>
              <w:rPr>
                <w:rFonts w:ascii="Arial"/>
                <w:sz w:val="21"/>
              </w:rPr>
            </w:pPr>
          </w:p>
          <w:p w14:paraId="28EC7F6A">
            <w:pPr>
              <w:pStyle w:val="6"/>
              <w:spacing w:before="99" w:line="189" w:lineRule="auto"/>
              <w:ind w:left="118" w:right="109"/>
              <w:jc w:val="both"/>
            </w:pPr>
            <w:r>
              <w:rPr>
                <w:spacing w:val="26"/>
              </w:rPr>
              <w:t>未向用户提供应急咨询服务且未委托登记机构代理应急</w:t>
            </w:r>
            <w:r>
              <w:rPr>
                <w:spacing w:val="6"/>
              </w:rPr>
              <w:t>咨询服务的</w:t>
            </w:r>
          </w:p>
        </w:tc>
        <w:tc>
          <w:tcPr>
            <w:tcW w:w="2894" w:type="dxa"/>
            <w:vAlign w:val="top"/>
          </w:tcPr>
          <w:p w14:paraId="71816BED">
            <w:pPr>
              <w:spacing w:line="246" w:lineRule="auto"/>
              <w:rPr>
                <w:rFonts w:ascii="Arial"/>
                <w:sz w:val="21"/>
              </w:rPr>
            </w:pPr>
          </w:p>
          <w:p w14:paraId="155081A7">
            <w:pPr>
              <w:spacing w:line="246" w:lineRule="auto"/>
              <w:rPr>
                <w:rFonts w:ascii="Arial"/>
                <w:sz w:val="21"/>
              </w:rPr>
            </w:pPr>
          </w:p>
          <w:p w14:paraId="5515E939">
            <w:pPr>
              <w:spacing w:line="246" w:lineRule="auto"/>
              <w:rPr>
                <w:rFonts w:ascii="Arial"/>
                <w:sz w:val="21"/>
              </w:rPr>
            </w:pPr>
          </w:p>
          <w:p w14:paraId="4C854CC7">
            <w:pPr>
              <w:spacing w:line="247" w:lineRule="auto"/>
              <w:rPr>
                <w:rFonts w:ascii="Arial"/>
                <w:sz w:val="21"/>
              </w:rPr>
            </w:pPr>
          </w:p>
          <w:p w14:paraId="6FA7AAE7">
            <w:pPr>
              <w:spacing w:line="247" w:lineRule="auto"/>
              <w:rPr>
                <w:rFonts w:ascii="Arial"/>
                <w:sz w:val="21"/>
              </w:rPr>
            </w:pPr>
          </w:p>
          <w:p w14:paraId="6A124C8E">
            <w:pPr>
              <w:spacing w:line="247" w:lineRule="auto"/>
              <w:rPr>
                <w:rFonts w:ascii="Arial"/>
                <w:sz w:val="21"/>
              </w:rPr>
            </w:pPr>
          </w:p>
          <w:p w14:paraId="78DFD67F">
            <w:pPr>
              <w:spacing w:line="247" w:lineRule="auto"/>
              <w:rPr>
                <w:rFonts w:ascii="Arial"/>
                <w:sz w:val="21"/>
              </w:rPr>
            </w:pPr>
          </w:p>
          <w:p w14:paraId="68BFA237">
            <w:pPr>
              <w:spacing w:line="247" w:lineRule="auto"/>
              <w:rPr>
                <w:rFonts w:ascii="Arial"/>
                <w:sz w:val="21"/>
              </w:rPr>
            </w:pPr>
          </w:p>
          <w:p w14:paraId="065AF258">
            <w:pPr>
              <w:spacing w:line="247" w:lineRule="auto"/>
              <w:rPr>
                <w:rFonts w:ascii="Arial"/>
                <w:sz w:val="21"/>
              </w:rPr>
            </w:pPr>
          </w:p>
          <w:p w14:paraId="5FFB2C41">
            <w:pPr>
              <w:spacing w:line="247" w:lineRule="auto"/>
              <w:rPr>
                <w:rFonts w:ascii="Arial"/>
                <w:sz w:val="21"/>
              </w:rPr>
            </w:pPr>
          </w:p>
          <w:p w14:paraId="6474B795">
            <w:pPr>
              <w:spacing w:line="247" w:lineRule="auto"/>
              <w:rPr>
                <w:rFonts w:ascii="Arial"/>
                <w:sz w:val="21"/>
              </w:rPr>
            </w:pPr>
          </w:p>
          <w:p w14:paraId="36149F27">
            <w:pPr>
              <w:spacing w:line="247" w:lineRule="auto"/>
              <w:rPr>
                <w:rFonts w:ascii="Arial"/>
                <w:sz w:val="21"/>
              </w:rPr>
            </w:pPr>
          </w:p>
          <w:p w14:paraId="6A7268D3">
            <w:pPr>
              <w:spacing w:line="247" w:lineRule="auto"/>
              <w:rPr>
                <w:rFonts w:ascii="Arial"/>
                <w:sz w:val="21"/>
              </w:rPr>
            </w:pPr>
          </w:p>
          <w:p w14:paraId="63408F03">
            <w:pPr>
              <w:pStyle w:val="6"/>
              <w:spacing w:before="99" w:line="196" w:lineRule="auto"/>
              <w:ind w:left="146" w:right="103" w:hanging="19"/>
            </w:pPr>
            <w:r>
              <w:rPr>
                <w:spacing w:val="3"/>
              </w:rPr>
              <w:t>责令改正，可以处</w:t>
            </w:r>
            <w:r>
              <w:rPr>
                <w:rFonts w:ascii="宋体" w:hAnsi="宋体" w:eastAsia="宋体" w:cs="宋体"/>
                <w:spacing w:val="3"/>
              </w:rPr>
              <w:t>2</w:t>
            </w:r>
            <w:r>
              <w:rPr>
                <w:spacing w:val="3"/>
              </w:rPr>
              <w:t>万元</w:t>
            </w:r>
            <w:r>
              <w:rPr>
                <w:spacing w:val="1"/>
              </w:rPr>
              <w:t>以上</w:t>
            </w:r>
            <w:r>
              <w:rPr>
                <w:rFonts w:ascii="宋体" w:hAnsi="宋体" w:eastAsia="宋体" w:cs="宋体"/>
                <w:spacing w:val="1"/>
              </w:rPr>
              <w:t>3</w:t>
            </w:r>
            <w:r>
              <w:rPr>
                <w:spacing w:val="1"/>
              </w:rPr>
              <w:t>万元以下的罚款</w:t>
            </w:r>
          </w:p>
        </w:tc>
        <w:tc>
          <w:tcPr>
            <w:tcW w:w="811" w:type="dxa"/>
            <w:vAlign w:val="top"/>
          </w:tcPr>
          <w:p w14:paraId="1D3ADBE9">
            <w:pPr>
              <w:rPr>
                <w:rFonts w:ascii="Arial"/>
                <w:sz w:val="21"/>
              </w:rPr>
            </w:pPr>
          </w:p>
        </w:tc>
      </w:tr>
      <w:tr w14:paraId="0F9FA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6" w:hRule="atLeast"/>
        </w:trPr>
        <w:tc>
          <w:tcPr>
            <w:tcW w:w="818" w:type="dxa"/>
            <w:vAlign w:val="top"/>
          </w:tcPr>
          <w:p w14:paraId="70B9A21A">
            <w:pPr>
              <w:spacing w:line="249" w:lineRule="auto"/>
              <w:rPr>
                <w:rFonts w:ascii="Arial"/>
                <w:sz w:val="21"/>
              </w:rPr>
            </w:pPr>
          </w:p>
          <w:p w14:paraId="0B0AE271">
            <w:pPr>
              <w:spacing w:line="250" w:lineRule="auto"/>
              <w:rPr>
                <w:rFonts w:ascii="Arial"/>
                <w:sz w:val="21"/>
              </w:rPr>
            </w:pPr>
          </w:p>
          <w:p w14:paraId="465BA079">
            <w:pPr>
              <w:spacing w:line="250" w:lineRule="auto"/>
              <w:rPr>
                <w:rFonts w:ascii="Arial"/>
                <w:sz w:val="21"/>
              </w:rPr>
            </w:pPr>
          </w:p>
          <w:p w14:paraId="34FE26EA">
            <w:pPr>
              <w:spacing w:before="75" w:line="186" w:lineRule="auto"/>
              <w:ind w:left="161"/>
              <w:rPr>
                <w:rFonts w:ascii="仿宋" w:hAnsi="仿宋" w:eastAsia="仿宋" w:cs="仿宋"/>
                <w:sz w:val="23"/>
                <w:szCs w:val="23"/>
              </w:rPr>
            </w:pPr>
            <w:r>
              <w:rPr>
                <w:rFonts w:ascii="仿宋" w:hAnsi="仿宋" w:eastAsia="仿宋" w:cs="仿宋"/>
                <w:spacing w:val="-5"/>
                <w:sz w:val="23"/>
                <w:szCs w:val="23"/>
              </w:rPr>
              <w:t>163</w:t>
            </w:r>
          </w:p>
        </w:tc>
        <w:tc>
          <w:tcPr>
            <w:tcW w:w="1440" w:type="dxa"/>
            <w:vAlign w:val="top"/>
          </w:tcPr>
          <w:p w14:paraId="0DACC880">
            <w:pPr>
              <w:pStyle w:val="6"/>
              <w:spacing w:before="30" w:line="179" w:lineRule="auto"/>
              <w:ind w:left="115" w:right="111" w:firstLine="9"/>
              <w:jc w:val="both"/>
            </w:pPr>
            <w:r>
              <w:rPr>
                <w:spacing w:val="9"/>
              </w:rPr>
              <w:t>非药品类易</w:t>
            </w:r>
            <w:r>
              <w:rPr>
                <w:spacing w:val="11"/>
              </w:rPr>
              <w:t>制毒化学品生产、经营单位未按规定建立管理制度和安全</w:t>
            </w:r>
          </w:p>
        </w:tc>
        <w:tc>
          <w:tcPr>
            <w:tcW w:w="3202" w:type="dxa"/>
            <w:vAlign w:val="top"/>
          </w:tcPr>
          <w:p w14:paraId="6798386F">
            <w:pPr>
              <w:pStyle w:val="6"/>
              <w:spacing w:before="30" w:line="179" w:lineRule="auto"/>
              <w:ind w:left="116" w:right="111" w:firstLine="14"/>
              <w:jc w:val="both"/>
            </w:pPr>
            <w:r>
              <w:rPr>
                <w:rFonts w:ascii="宋体" w:hAnsi="宋体" w:eastAsia="宋体" w:cs="宋体"/>
                <w:spacing w:val="14"/>
              </w:rPr>
              <w:t>1.</w:t>
            </w:r>
            <w:r>
              <w:rPr>
                <w:spacing w:val="14"/>
              </w:rPr>
              <w:t>【行政法规】《易制毒化</w:t>
            </w:r>
            <w:r>
              <w:rPr>
                <w:spacing w:val="17"/>
              </w:rPr>
              <w:t>学品管理条例》第五条第四</w:t>
            </w:r>
            <w:r>
              <w:rPr>
                <w:spacing w:val="12"/>
              </w:rPr>
              <w:t>款：生产、经营、购买、运</w:t>
            </w:r>
            <w:r>
              <w:rPr>
                <w:spacing w:val="17"/>
              </w:rPr>
              <w:t>输和进口、出口易制毒化学</w:t>
            </w:r>
            <w:r>
              <w:rPr>
                <w:spacing w:val="13"/>
              </w:rPr>
              <w:t>品的单位，应当建立单位内</w:t>
            </w:r>
            <w:r>
              <w:rPr>
                <w:spacing w:val="5"/>
              </w:rPr>
              <w:t>部易制毒化学品管理制度。</w:t>
            </w:r>
          </w:p>
        </w:tc>
        <w:tc>
          <w:tcPr>
            <w:tcW w:w="2859" w:type="dxa"/>
            <w:vAlign w:val="top"/>
          </w:tcPr>
          <w:p w14:paraId="7719AF60">
            <w:pPr>
              <w:pStyle w:val="6"/>
              <w:spacing w:before="30" w:line="179" w:lineRule="auto"/>
              <w:ind w:left="118" w:right="110" w:firstLine="12"/>
              <w:jc w:val="both"/>
            </w:pPr>
            <w:r>
              <w:rPr>
                <w:rFonts w:ascii="宋体" w:hAnsi="宋体" w:eastAsia="宋体" w:cs="宋体"/>
                <w:spacing w:val="6"/>
              </w:rPr>
              <w:t>1.</w:t>
            </w:r>
            <w:r>
              <w:rPr>
                <w:spacing w:val="6"/>
              </w:rPr>
              <w:t>【行政法规】《易制毒</w:t>
            </w:r>
            <w:r>
              <w:rPr>
                <w:spacing w:val="8"/>
              </w:rPr>
              <w:t>化学品管理条例》第四十条第一款第一项：违反本条例规定，有下列行为之</w:t>
            </w:r>
            <w:r>
              <w:rPr>
                <w:spacing w:val="2"/>
              </w:rPr>
              <w:t>一的，由负有监督管理职</w:t>
            </w:r>
            <w:r>
              <w:rPr>
                <w:spacing w:val="8"/>
              </w:rPr>
              <w:t>责的行政主管部门给予警</w:t>
            </w:r>
          </w:p>
        </w:tc>
        <w:tc>
          <w:tcPr>
            <w:tcW w:w="803" w:type="dxa"/>
            <w:vAlign w:val="top"/>
          </w:tcPr>
          <w:p w14:paraId="71FBAEF1">
            <w:pPr>
              <w:spacing w:line="248" w:lineRule="auto"/>
              <w:rPr>
                <w:rFonts w:ascii="Arial"/>
                <w:sz w:val="21"/>
              </w:rPr>
            </w:pPr>
          </w:p>
          <w:p w14:paraId="37AAB9F8">
            <w:pPr>
              <w:spacing w:line="248" w:lineRule="auto"/>
              <w:rPr>
                <w:rFonts w:ascii="Arial"/>
                <w:sz w:val="21"/>
              </w:rPr>
            </w:pPr>
          </w:p>
          <w:p w14:paraId="449B64E2">
            <w:pPr>
              <w:spacing w:line="248" w:lineRule="auto"/>
              <w:rPr>
                <w:rFonts w:ascii="Arial"/>
                <w:sz w:val="21"/>
              </w:rPr>
            </w:pPr>
          </w:p>
          <w:p w14:paraId="7D07027D">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5141A88">
            <w:pPr>
              <w:pStyle w:val="6"/>
              <w:spacing w:before="180" w:line="188" w:lineRule="auto"/>
              <w:ind w:left="123" w:right="109" w:firstLine="4"/>
              <w:jc w:val="both"/>
            </w:pPr>
            <w:r>
              <w:rPr>
                <w:spacing w:val="25"/>
              </w:rPr>
              <w:t>第三类非药品类易</w:t>
            </w:r>
            <w:r>
              <w:rPr>
                <w:spacing w:val="-3"/>
              </w:rPr>
              <w:t>制毒化学品生产、经</w:t>
            </w:r>
            <w:r>
              <w:rPr>
                <w:spacing w:val="25"/>
              </w:rPr>
              <w:t>营单位未按规定建立管理制度和安全</w:t>
            </w:r>
            <w:r>
              <w:rPr>
                <w:spacing w:val="5"/>
              </w:rPr>
              <w:t>管理制度的</w:t>
            </w:r>
          </w:p>
        </w:tc>
        <w:tc>
          <w:tcPr>
            <w:tcW w:w="2894" w:type="dxa"/>
            <w:vAlign w:val="top"/>
          </w:tcPr>
          <w:p w14:paraId="68E0E4FE">
            <w:pPr>
              <w:pStyle w:val="6"/>
              <w:spacing w:before="30" w:line="179" w:lineRule="auto"/>
              <w:ind w:left="119" w:right="18" w:firstLine="7"/>
              <w:jc w:val="both"/>
            </w:pPr>
            <w:r>
              <w:rPr>
                <w:spacing w:val="-3"/>
              </w:rPr>
              <w:t>给予警告，责令限期改正，</w:t>
            </w:r>
            <w:r>
              <w:rPr>
                <w:spacing w:val="2"/>
              </w:rPr>
              <w:t>处</w:t>
            </w:r>
            <w:r>
              <w:rPr>
                <w:rFonts w:ascii="宋体" w:hAnsi="宋体" w:eastAsia="宋体" w:cs="宋体"/>
                <w:spacing w:val="2"/>
              </w:rPr>
              <w:t>1</w:t>
            </w:r>
            <w:r>
              <w:rPr>
                <w:spacing w:val="2"/>
              </w:rPr>
              <w:t>万元以上</w:t>
            </w:r>
            <w:r>
              <w:rPr>
                <w:rFonts w:ascii="宋体" w:hAnsi="宋体" w:eastAsia="宋体" w:cs="宋体"/>
                <w:spacing w:val="2"/>
              </w:rPr>
              <w:t>2</w:t>
            </w:r>
            <w:r>
              <w:rPr>
                <w:spacing w:val="2"/>
              </w:rPr>
              <w:t>万元以下</w:t>
            </w:r>
            <w:r>
              <w:rPr>
                <w:spacing w:val="-1"/>
              </w:rPr>
              <w:t>的罚款；对违反规定生产、</w:t>
            </w:r>
            <w:r>
              <w:rPr>
                <w:spacing w:val="11"/>
              </w:rPr>
              <w:t>经营、购买的易制毒化学</w:t>
            </w:r>
            <w:r>
              <w:rPr>
                <w:spacing w:val="9"/>
              </w:rPr>
              <w:t>品可以予以没收；逾期不</w:t>
            </w:r>
            <w:r>
              <w:rPr>
                <w:spacing w:val="8"/>
              </w:rPr>
              <w:t>改正的，责令限期停产停</w:t>
            </w:r>
          </w:p>
        </w:tc>
        <w:tc>
          <w:tcPr>
            <w:tcW w:w="811" w:type="dxa"/>
            <w:vAlign w:val="top"/>
          </w:tcPr>
          <w:p w14:paraId="16A0FDBF">
            <w:pPr>
              <w:spacing w:line="248" w:lineRule="auto"/>
              <w:rPr>
                <w:rFonts w:ascii="Arial"/>
                <w:sz w:val="21"/>
              </w:rPr>
            </w:pPr>
          </w:p>
          <w:p w14:paraId="1C8A4F8A">
            <w:pPr>
              <w:spacing w:line="248" w:lineRule="auto"/>
              <w:rPr>
                <w:rFonts w:ascii="Arial"/>
                <w:sz w:val="21"/>
              </w:rPr>
            </w:pPr>
          </w:p>
          <w:p w14:paraId="54F2EEB5">
            <w:pPr>
              <w:spacing w:line="249" w:lineRule="auto"/>
              <w:rPr>
                <w:rFonts w:ascii="Arial"/>
                <w:sz w:val="21"/>
              </w:rPr>
            </w:pPr>
          </w:p>
          <w:p w14:paraId="5B11A1BA">
            <w:pPr>
              <w:spacing w:before="75" w:line="189" w:lineRule="auto"/>
              <w:ind w:left="248"/>
              <w:rPr>
                <w:rFonts w:ascii="宋体" w:hAnsi="宋体" w:eastAsia="宋体" w:cs="宋体"/>
                <w:sz w:val="23"/>
                <w:szCs w:val="23"/>
              </w:rPr>
            </w:pPr>
            <w:r>
              <w:rPr>
                <w:rFonts w:ascii="宋体" w:hAnsi="宋体" w:eastAsia="宋体" w:cs="宋体"/>
                <w:spacing w:val="-6"/>
                <w:sz w:val="23"/>
                <w:szCs w:val="23"/>
              </w:rPr>
              <w:t>126</w:t>
            </w:r>
          </w:p>
        </w:tc>
      </w:tr>
    </w:tbl>
    <w:p w14:paraId="52487227">
      <w:pPr>
        <w:pStyle w:val="2"/>
      </w:pPr>
    </w:p>
    <w:p w14:paraId="52D980B7">
      <w:pPr>
        <w:sectPr>
          <w:footerReference r:id="rId181" w:type="default"/>
          <w:pgSz w:w="16839" w:h="11906"/>
          <w:pgMar w:top="1012" w:right="821" w:bottom="667" w:left="901" w:header="0" w:footer="388" w:gutter="0"/>
          <w:cols w:space="720" w:num="1"/>
        </w:sectPr>
      </w:pPr>
    </w:p>
    <w:p w14:paraId="5FC80891">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4147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50CCF58">
            <w:pPr>
              <w:spacing w:before="222" w:line="241" w:lineRule="auto"/>
              <w:ind w:left="131"/>
              <w:rPr>
                <w:rFonts w:ascii="黑体" w:hAnsi="黑体" w:eastAsia="黑体" w:cs="黑体"/>
                <w:sz w:val="28"/>
                <w:szCs w:val="28"/>
              </w:rPr>
            </w:pPr>
            <w:bookmarkStart w:id="638" w:name="bookmark583"/>
            <w:bookmarkEnd w:id="638"/>
            <w:r>
              <w:rPr>
                <w:rFonts w:ascii="黑体" w:hAnsi="黑体" w:eastAsia="黑体" w:cs="黑体"/>
                <w:spacing w:val="-2"/>
                <w:sz w:val="28"/>
                <w:szCs w:val="28"/>
              </w:rPr>
              <w:t>序号</w:t>
            </w:r>
          </w:p>
        </w:tc>
        <w:tc>
          <w:tcPr>
            <w:tcW w:w="1440" w:type="dxa"/>
            <w:vAlign w:val="top"/>
          </w:tcPr>
          <w:p w14:paraId="774D432A">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D606F26">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731D9FF">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A0C39E0">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E2C6F1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C4F687C">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EE9F033">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227F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818" w:type="dxa"/>
            <w:vMerge w:val="restart"/>
            <w:tcBorders>
              <w:bottom w:val="nil"/>
            </w:tcBorders>
            <w:vAlign w:val="top"/>
          </w:tcPr>
          <w:p w14:paraId="690EACEA">
            <w:pPr>
              <w:rPr>
                <w:rFonts w:ascii="Arial"/>
                <w:sz w:val="21"/>
              </w:rPr>
            </w:pPr>
          </w:p>
        </w:tc>
        <w:tc>
          <w:tcPr>
            <w:tcW w:w="1440" w:type="dxa"/>
            <w:vMerge w:val="restart"/>
            <w:tcBorders>
              <w:bottom w:val="nil"/>
            </w:tcBorders>
            <w:vAlign w:val="top"/>
          </w:tcPr>
          <w:p w14:paraId="41C6115F">
            <w:pPr>
              <w:pStyle w:val="6"/>
              <w:spacing w:before="27" w:line="209" w:lineRule="auto"/>
              <w:ind w:left="124"/>
            </w:pPr>
            <w:r>
              <w:rPr>
                <w:spacing w:val="4"/>
              </w:rPr>
              <w:t>管理制度的</w:t>
            </w:r>
          </w:p>
        </w:tc>
        <w:tc>
          <w:tcPr>
            <w:tcW w:w="3202" w:type="dxa"/>
            <w:vMerge w:val="restart"/>
            <w:tcBorders>
              <w:bottom w:val="nil"/>
            </w:tcBorders>
            <w:vAlign w:val="top"/>
          </w:tcPr>
          <w:p w14:paraId="4456E2B9">
            <w:pPr>
              <w:pStyle w:val="6"/>
              <w:spacing w:before="36" w:line="182" w:lineRule="auto"/>
              <w:ind w:left="114" w:firstLine="1"/>
              <w:jc w:val="both"/>
            </w:pPr>
            <w:r>
              <w:rPr>
                <w:rFonts w:ascii="宋体" w:hAnsi="宋体" w:eastAsia="宋体" w:cs="宋体"/>
                <w:spacing w:val="14"/>
              </w:rPr>
              <w:t>2.</w:t>
            </w:r>
            <w:r>
              <w:rPr>
                <w:spacing w:val="14"/>
              </w:rPr>
              <w:t>【部门规章】《非药品类</w:t>
            </w:r>
            <w:r>
              <w:rPr>
                <w:spacing w:val="16"/>
              </w:rPr>
              <w:t>易制毒化学品生产、经营许可办法》第七条第一款第三</w:t>
            </w:r>
            <w:r>
              <w:rPr>
                <w:spacing w:val="11"/>
              </w:rPr>
              <w:t>项、第四项：生产单位申请</w:t>
            </w:r>
            <w:r>
              <w:rPr>
                <w:spacing w:val="16"/>
              </w:rPr>
              <w:t>非药品类易制毒化学品生产</w:t>
            </w:r>
            <w:r>
              <w:rPr>
                <w:spacing w:val="12"/>
              </w:rPr>
              <w:t>许可证，应当向所在地的省</w:t>
            </w:r>
            <w:r>
              <w:rPr>
                <w:spacing w:val="16"/>
              </w:rPr>
              <w:t>级人民政府安全生产监督管</w:t>
            </w:r>
            <w:r>
              <w:rPr>
                <w:spacing w:val="2"/>
              </w:rPr>
              <w:t>理部门提交下列文件、资料，</w:t>
            </w:r>
            <w:r>
              <w:rPr>
                <w:spacing w:val="23"/>
              </w:rPr>
              <w:t>并对其真实性负责</w:t>
            </w:r>
            <w:r>
              <w:rPr>
                <w:spacing w:val="-14"/>
              </w:rPr>
              <w:t>：（</w:t>
            </w:r>
            <w:r>
              <w:rPr>
                <w:spacing w:val="23"/>
              </w:rPr>
              <w:t>三）</w:t>
            </w:r>
            <w:r>
              <w:rPr>
                <w:spacing w:val="16"/>
              </w:rPr>
              <w:t>易制毒化学品管理制度和环</w:t>
            </w:r>
            <w:r>
              <w:rPr>
                <w:spacing w:val="7"/>
              </w:rPr>
              <w:t>境突发事件应急预案；（四）</w:t>
            </w:r>
            <w:r>
              <w:rPr>
                <w:spacing w:val="2"/>
              </w:rPr>
              <w:t>安全生产管理制度；</w:t>
            </w:r>
          </w:p>
          <w:p w14:paraId="411C9E5A">
            <w:pPr>
              <w:pStyle w:val="6"/>
              <w:spacing w:before="7" w:line="182" w:lineRule="auto"/>
              <w:ind w:left="117" w:right="110" w:firstLine="10"/>
              <w:jc w:val="both"/>
            </w:pPr>
            <w:r>
              <w:rPr>
                <w:spacing w:val="12"/>
              </w:rPr>
              <w:t>第八条第一款第三项：经营</w:t>
            </w:r>
            <w:r>
              <w:rPr>
                <w:spacing w:val="17"/>
              </w:rPr>
              <w:t>单位申请非药品类易制毒化</w:t>
            </w:r>
            <w:r>
              <w:rPr>
                <w:spacing w:val="13"/>
              </w:rPr>
              <w:t>学品经营许可证，应当向所</w:t>
            </w:r>
            <w:r>
              <w:rPr>
                <w:spacing w:val="17"/>
              </w:rPr>
              <w:t>在地的省级人民政府安全生产监督管理部门提交下列文</w:t>
            </w:r>
            <w:r>
              <w:rPr>
                <w:spacing w:val="13"/>
              </w:rPr>
              <w:t>件、资料，并对其真实性负</w:t>
            </w:r>
            <w:r>
              <w:rPr>
                <w:spacing w:val="17"/>
              </w:rPr>
              <w:t>责</w:t>
            </w:r>
            <w:r>
              <w:rPr>
                <w:spacing w:val="-11"/>
              </w:rPr>
              <w:t>：（</w:t>
            </w:r>
            <w:r>
              <w:rPr>
                <w:spacing w:val="17"/>
              </w:rPr>
              <w:t>三）易制毒化学品经</w:t>
            </w:r>
            <w:r>
              <w:rPr>
                <w:spacing w:val="39"/>
              </w:rPr>
              <w:t>营管理制度和包括销售机</w:t>
            </w:r>
            <w:r>
              <w:rPr>
                <w:spacing w:val="17"/>
              </w:rPr>
              <w:t>构、销售代理商、用户等内</w:t>
            </w:r>
            <w:r>
              <w:rPr>
                <w:spacing w:val="3"/>
              </w:rPr>
              <w:t>容的销售网络文件；</w:t>
            </w:r>
          </w:p>
          <w:p w14:paraId="2F07C94F">
            <w:pPr>
              <w:pStyle w:val="6"/>
              <w:spacing w:before="5" w:line="187" w:lineRule="auto"/>
              <w:ind w:left="122" w:firstLine="5"/>
              <w:jc w:val="both"/>
            </w:pPr>
            <w:r>
              <w:rPr>
                <w:spacing w:val="10"/>
              </w:rPr>
              <w:t>第十九条第一款第二项：第</w:t>
            </w:r>
            <w:r>
              <w:rPr>
                <w:spacing w:val="15"/>
              </w:rPr>
              <w:t>二类、第三类非药品类易制毒化学品生产单位进行备案</w:t>
            </w:r>
            <w:r>
              <w:rPr>
                <w:spacing w:val="-1"/>
              </w:rPr>
              <w:t>时，应当提交下列资料</w:t>
            </w:r>
            <w:r>
              <w:rPr>
                <w:spacing w:val="-62"/>
                <w:w w:val="97"/>
              </w:rPr>
              <w:t>：（</w:t>
            </w:r>
            <w:r>
              <w:rPr>
                <w:spacing w:val="-1"/>
              </w:rPr>
              <w:t>二）</w:t>
            </w:r>
            <w:r>
              <w:rPr>
                <w:spacing w:val="2"/>
              </w:rPr>
              <w:t>易制毒化学品管理制度；</w:t>
            </w:r>
          </w:p>
        </w:tc>
        <w:tc>
          <w:tcPr>
            <w:tcW w:w="2859" w:type="dxa"/>
            <w:vMerge w:val="restart"/>
            <w:tcBorders>
              <w:bottom w:val="nil"/>
            </w:tcBorders>
            <w:vAlign w:val="top"/>
          </w:tcPr>
          <w:p w14:paraId="73284AEB">
            <w:pPr>
              <w:pStyle w:val="6"/>
              <w:spacing w:before="36" w:line="182" w:lineRule="auto"/>
              <w:ind w:left="119" w:firstLine="5"/>
              <w:jc w:val="both"/>
            </w:pPr>
            <w:r>
              <w:rPr>
                <w:spacing w:val="1"/>
              </w:rPr>
              <w:t>告，责令限期改正，处</w:t>
            </w:r>
            <w:r>
              <w:rPr>
                <w:rFonts w:ascii="宋体" w:hAnsi="宋体" w:eastAsia="宋体" w:cs="宋体"/>
                <w:spacing w:val="1"/>
              </w:rPr>
              <w:t>1</w:t>
            </w:r>
            <w:r>
              <w:rPr>
                <w:spacing w:val="3"/>
              </w:rPr>
              <w:t>万元以上</w:t>
            </w:r>
            <w:r>
              <w:rPr>
                <w:rFonts w:ascii="宋体" w:hAnsi="宋体" w:eastAsia="宋体" w:cs="宋体"/>
                <w:spacing w:val="3"/>
              </w:rPr>
              <w:t>5</w:t>
            </w:r>
            <w:r>
              <w:rPr>
                <w:spacing w:val="3"/>
              </w:rPr>
              <w:t>万元以下的罚</w:t>
            </w:r>
            <w:r>
              <w:rPr>
                <w:spacing w:val="7"/>
              </w:rPr>
              <w:t>款；对违反规定生产、经营、购买的易制毒化学品可以予以没收；逾期不改</w:t>
            </w:r>
            <w:r>
              <w:rPr>
                <w:spacing w:val="4"/>
              </w:rPr>
              <w:t>正的，责令限期停产停业</w:t>
            </w:r>
            <w:r>
              <w:rPr>
                <w:spacing w:val="-7"/>
              </w:rPr>
              <w:t>整顿；逾期整顿不合格的，</w:t>
            </w:r>
            <w:r>
              <w:rPr>
                <w:spacing w:val="-13"/>
                <w:w w:val="99"/>
              </w:rPr>
              <w:t>吊销相应的许可证</w:t>
            </w:r>
            <w:r>
              <w:rPr>
                <w:spacing w:val="-6"/>
              </w:rPr>
              <w:t>：（</w:t>
            </w:r>
            <w:r>
              <w:rPr>
                <w:spacing w:val="-13"/>
                <w:w w:val="99"/>
              </w:rPr>
              <w:t>一）</w:t>
            </w:r>
            <w:r>
              <w:rPr>
                <w:spacing w:val="-5"/>
              </w:rPr>
              <w:t>易制毒化学品生产、经营、</w:t>
            </w:r>
            <w:r>
              <w:rPr>
                <w:spacing w:val="7"/>
              </w:rPr>
              <w:t>购买、运输或者进口、出口单位未按规定建立安全</w:t>
            </w:r>
            <w:r>
              <w:rPr>
                <w:spacing w:val="-2"/>
              </w:rPr>
              <w:t>管理制度的；</w:t>
            </w:r>
          </w:p>
          <w:p w14:paraId="61594FCA">
            <w:pPr>
              <w:pStyle w:val="6"/>
              <w:spacing w:before="7" w:line="181" w:lineRule="auto"/>
              <w:ind w:left="116" w:right="19"/>
              <w:jc w:val="both"/>
            </w:pPr>
            <w:r>
              <w:rPr>
                <w:rFonts w:ascii="宋体" w:hAnsi="宋体" w:eastAsia="宋体" w:cs="宋体"/>
                <w:spacing w:val="7"/>
              </w:rPr>
              <w:t>2.</w:t>
            </w:r>
            <w:r>
              <w:rPr>
                <w:spacing w:val="7"/>
              </w:rPr>
              <w:t>【部门规章】《非药品</w:t>
            </w:r>
            <w:r>
              <w:rPr>
                <w:spacing w:val="8"/>
              </w:rPr>
              <w:t>类易制毒化学品生产、经营许可办法》第三十条第一项：对于有下列行为之</w:t>
            </w:r>
            <w:r>
              <w:rPr>
                <w:spacing w:val="2"/>
              </w:rPr>
              <w:t>一的，由县级以上人民政</w:t>
            </w:r>
            <w:r>
              <w:rPr>
                <w:spacing w:val="8"/>
              </w:rPr>
              <w:t>府安全生产监督管理部门</w:t>
            </w:r>
            <w:r>
              <w:rPr>
                <w:spacing w:val="-6"/>
              </w:rPr>
              <w:t>给予警告，责令限期改正，</w:t>
            </w:r>
            <w:r>
              <w:t>处</w:t>
            </w:r>
            <w:r>
              <w:rPr>
                <w:rFonts w:ascii="宋体" w:hAnsi="宋体" w:eastAsia="宋体" w:cs="宋体"/>
              </w:rPr>
              <w:t>1</w:t>
            </w:r>
            <w:r>
              <w:t>万元以上</w:t>
            </w:r>
            <w:r>
              <w:rPr>
                <w:rFonts w:ascii="宋体" w:hAnsi="宋体" w:eastAsia="宋体" w:cs="宋体"/>
              </w:rPr>
              <w:t>5</w:t>
            </w:r>
            <w:r>
              <w:t>万元以下</w:t>
            </w:r>
            <w:r>
              <w:rPr>
                <w:spacing w:val="-4"/>
              </w:rPr>
              <w:t>的罚款；对违反规定生产、</w:t>
            </w:r>
            <w:r>
              <w:rPr>
                <w:spacing w:val="8"/>
              </w:rPr>
              <w:t>经营的非药品类易制毒化</w:t>
            </w:r>
            <w:r>
              <w:rPr>
                <w:spacing w:val="2"/>
              </w:rPr>
              <w:t>学品，可以予以没收；逾</w:t>
            </w:r>
            <w:r>
              <w:rPr>
                <w:spacing w:val="8"/>
              </w:rPr>
              <w:t>期不改正的，责令限期停产停业整顿；逾期整顿不</w:t>
            </w:r>
            <w:r>
              <w:rPr>
                <w:spacing w:val="2"/>
              </w:rPr>
              <w:t>合格的，吊销相应的许可</w:t>
            </w:r>
            <w:r>
              <w:rPr>
                <w:spacing w:val="-1"/>
              </w:rPr>
              <w:t>证</w:t>
            </w:r>
            <w:r>
              <w:rPr>
                <w:spacing w:val="-8"/>
              </w:rPr>
              <w:t>：（</w:t>
            </w:r>
            <w:r>
              <w:rPr>
                <w:spacing w:val="-1"/>
              </w:rPr>
              <w:t>一）易制毒化学品</w:t>
            </w:r>
            <w:r>
              <w:rPr>
                <w:spacing w:val="8"/>
              </w:rPr>
              <w:t>生产、经营单位未按规定建立易制毒化学品的管理</w:t>
            </w:r>
            <w:r>
              <w:rPr>
                <w:spacing w:val="4"/>
              </w:rPr>
              <w:t>制度和安全管理制度的；</w:t>
            </w:r>
          </w:p>
        </w:tc>
        <w:tc>
          <w:tcPr>
            <w:tcW w:w="803" w:type="dxa"/>
            <w:vAlign w:val="top"/>
          </w:tcPr>
          <w:p w14:paraId="3E5818D3">
            <w:pPr>
              <w:rPr>
                <w:rFonts w:ascii="Arial"/>
                <w:sz w:val="21"/>
              </w:rPr>
            </w:pPr>
          </w:p>
        </w:tc>
        <w:tc>
          <w:tcPr>
            <w:tcW w:w="2283" w:type="dxa"/>
            <w:vAlign w:val="top"/>
          </w:tcPr>
          <w:p w14:paraId="4ED32E4E">
            <w:pPr>
              <w:rPr>
                <w:rFonts w:ascii="Arial"/>
                <w:sz w:val="21"/>
              </w:rPr>
            </w:pPr>
          </w:p>
        </w:tc>
        <w:tc>
          <w:tcPr>
            <w:tcW w:w="2894" w:type="dxa"/>
            <w:vAlign w:val="top"/>
          </w:tcPr>
          <w:p w14:paraId="01E3BFA1">
            <w:pPr>
              <w:pStyle w:val="6"/>
              <w:spacing w:before="29" w:line="195" w:lineRule="auto"/>
              <w:ind w:left="140" w:right="110" w:hanging="11"/>
            </w:pPr>
            <w:r>
              <w:rPr>
                <w:spacing w:val="8"/>
              </w:rPr>
              <w:t>业整顿；逾期整顿不合格</w:t>
            </w:r>
            <w:r>
              <w:rPr>
                <w:spacing w:val="5"/>
              </w:rPr>
              <w:t>的，吊销相应的许可证</w:t>
            </w:r>
          </w:p>
        </w:tc>
        <w:tc>
          <w:tcPr>
            <w:tcW w:w="811" w:type="dxa"/>
            <w:vMerge w:val="restart"/>
            <w:tcBorders>
              <w:bottom w:val="nil"/>
            </w:tcBorders>
            <w:vAlign w:val="top"/>
          </w:tcPr>
          <w:p w14:paraId="339E5720">
            <w:pPr>
              <w:rPr>
                <w:rFonts w:ascii="Arial"/>
                <w:sz w:val="21"/>
              </w:rPr>
            </w:pPr>
          </w:p>
        </w:tc>
      </w:tr>
      <w:tr w14:paraId="2177C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3" w:hRule="atLeast"/>
        </w:trPr>
        <w:tc>
          <w:tcPr>
            <w:tcW w:w="818" w:type="dxa"/>
            <w:vMerge w:val="continue"/>
            <w:tcBorders>
              <w:top w:val="nil"/>
              <w:bottom w:val="nil"/>
            </w:tcBorders>
            <w:vAlign w:val="top"/>
          </w:tcPr>
          <w:p w14:paraId="3E23166E">
            <w:pPr>
              <w:rPr>
                <w:rFonts w:ascii="Arial"/>
                <w:sz w:val="21"/>
              </w:rPr>
            </w:pPr>
          </w:p>
        </w:tc>
        <w:tc>
          <w:tcPr>
            <w:tcW w:w="1440" w:type="dxa"/>
            <w:vMerge w:val="continue"/>
            <w:tcBorders>
              <w:top w:val="nil"/>
              <w:bottom w:val="nil"/>
            </w:tcBorders>
            <w:vAlign w:val="top"/>
          </w:tcPr>
          <w:p w14:paraId="318313BE">
            <w:pPr>
              <w:rPr>
                <w:rFonts w:ascii="Arial"/>
                <w:sz w:val="21"/>
              </w:rPr>
            </w:pPr>
          </w:p>
        </w:tc>
        <w:tc>
          <w:tcPr>
            <w:tcW w:w="3202" w:type="dxa"/>
            <w:vMerge w:val="continue"/>
            <w:tcBorders>
              <w:top w:val="nil"/>
              <w:bottom w:val="nil"/>
            </w:tcBorders>
            <w:vAlign w:val="top"/>
          </w:tcPr>
          <w:p w14:paraId="3F8415B0">
            <w:pPr>
              <w:rPr>
                <w:rFonts w:ascii="Arial"/>
                <w:sz w:val="21"/>
              </w:rPr>
            </w:pPr>
          </w:p>
        </w:tc>
        <w:tc>
          <w:tcPr>
            <w:tcW w:w="2859" w:type="dxa"/>
            <w:vMerge w:val="continue"/>
            <w:tcBorders>
              <w:top w:val="nil"/>
              <w:bottom w:val="nil"/>
            </w:tcBorders>
            <w:vAlign w:val="top"/>
          </w:tcPr>
          <w:p w14:paraId="5A464045">
            <w:pPr>
              <w:rPr>
                <w:rFonts w:ascii="Arial"/>
                <w:sz w:val="21"/>
              </w:rPr>
            </w:pPr>
          </w:p>
        </w:tc>
        <w:tc>
          <w:tcPr>
            <w:tcW w:w="803" w:type="dxa"/>
            <w:vAlign w:val="top"/>
          </w:tcPr>
          <w:p w14:paraId="59915C43">
            <w:pPr>
              <w:spacing w:line="267" w:lineRule="auto"/>
              <w:rPr>
                <w:rFonts w:ascii="Arial"/>
                <w:sz w:val="21"/>
              </w:rPr>
            </w:pPr>
          </w:p>
          <w:p w14:paraId="50D9E711">
            <w:pPr>
              <w:spacing w:line="268" w:lineRule="auto"/>
              <w:rPr>
                <w:rFonts w:ascii="Arial"/>
                <w:sz w:val="21"/>
              </w:rPr>
            </w:pPr>
          </w:p>
          <w:p w14:paraId="04173D15">
            <w:pPr>
              <w:spacing w:line="268" w:lineRule="auto"/>
              <w:rPr>
                <w:rFonts w:ascii="Arial"/>
                <w:sz w:val="21"/>
              </w:rPr>
            </w:pPr>
          </w:p>
          <w:p w14:paraId="5B987202">
            <w:pPr>
              <w:spacing w:line="268" w:lineRule="auto"/>
              <w:rPr>
                <w:rFonts w:ascii="Arial"/>
                <w:sz w:val="21"/>
              </w:rPr>
            </w:pPr>
          </w:p>
          <w:p w14:paraId="2B7A44FC">
            <w:pPr>
              <w:spacing w:line="268" w:lineRule="auto"/>
              <w:rPr>
                <w:rFonts w:ascii="Arial"/>
                <w:sz w:val="21"/>
              </w:rPr>
            </w:pPr>
          </w:p>
          <w:p w14:paraId="388ABD94">
            <w:pPr>
              <w:spacing w:line="268" w:lineRule="auto"/>
              <w:rPr>
                <w:rFonts w:ascii="Arial"/>
                <w:sz w:val="21"/>
              </w:rPr>
            </w:pPr>
          </w:p>
          <w:p w14:paraId="7CAB1E98">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51FDEFA">
            <w:pPr>
              <w:spacing w:line="312" w:lineRule="auto"/>
              <w:rPr>
                <w:rFonts w:ascii="Arial"/>
                <w:sz w:val="21"/>
              </w:rPr>
            </w:pPr>
          </w:p>
          <w:p w14:paraId="35CDC78B">
            <w:pPr>
              <w:spacing w:line="313" w:lineRule="auto"/>
              <w:rPr>
                <w:rFonts w:ascii="Arial"/>
                <w:sz w:val="21"/>
              </w:rPr>
            </w:pPr>
          </w:p>
          <w:p w14:paraId="41EFD366">
            <w:pPr>
              <w:spacing w:line="313" w:lineRule="auto"/>
              <w:rPr>
                <w:rFonts w:ascii="Arial"/>
                <w:sz w:val="21"/>
              </w:rPr>
            </w:pPr>
          </w:p>
          <w:p w14:paraId="2B8A1966">
            <w:pPr>
              <w:pStyle w:val="6"/>
              <w:spacing w:before="98" w:line="188" w:lineRule="auto"/>
              <w:ind w:left="123" w:right="109" w:firstLine="4"/>
              <w:jc w:val="both"/>
            </w:pPr>
            <w:r>
              <w:rPr>
                <w:spacing w:val="25"/>
              </w:rPr>
              <w:t>第二类非药品类易</w:t>
            </w:r>
            <w:r>
              <w:rPr>
                <w:spacing w:val="-3"/>
              </w:rPr>
              <w:t>制毒化学品生产、经</w:t>
            </w:r>
            <w:r>
              <w:rPr>
                <w:spacing w:val="25"/>
              </w:rPr>
              <w:t>营单位未按规定建立管理制度和安全</w:t>
            </w:r>
            <w:r>
              <w:rPr>
                <w:spacing w:val="5"/>
              </w:rPr>
              <w:t>管理制度的</w:t>
            </w:r>
          </w:p>
        </w:tc>
        <w:tc>
          <w:tcPr>
            <w:tcW w:w="2894" w:type="dxa"/>
            <w:vAlign w:val="top"/>
          </w:tcPr>
          <w:p w14:paraId="1C4BEADF">
            <w:pPr>
              <w:spacing w:line="245" w:lineRule="auto"/>
              <w:rPr>
                <w:rFonts w:ascii="Arial"/>
                <w:sz w:val="21"/>
              </w:rPr>
            </w:pPr>
          </w:p>
          <w:p w14:paraId="53629332">
            <w:pPr>
              <w:spacing w:line="245" w:lineRule="auto"/>
              <w:rPr>
                <w:rFonts w:ascii="Arial"/>
                <w:sz w:val="21"/>
              </w:rPr>
            </w:pPr>
          </w:p>
          <w:p w14:paraId="08D281FF">
            <w:pPr>
              <w:pStyle w:val="6"/>
              <w:spacing w:before="98" w:line="186" w:lineRule="auto"/>
              <w:ind w:left="119" w:right="18" w:firstLine="7"/>
              <w:jc w:val="both"/>
            </w:pPr>
            <w:r>
              <w:rPr>
                <w:spacing w:val="-3"/>
              </w:rPr>
              <w:t>给予警告，责令限期改正，</w:t>
            </w:r>
            <w:r>
              <w:rPr>
                <w:spacing w:val="3"/>
              </w:rPr>
              <w:t>处</w:t>
            </w:r>
            <w:r>
              <w:rPr>
                <w:rFonts w:ascii="宋体" w:hAnsi="宋体" w:eastAsia="宋体" w:cs="宋体"/>
                <w:spacing w:val="3"/>
              </w:rPr>
              <w:t>2</w:t>
            </w:r>
            <w:r>
              <w:rPr>
                <w:spacing w:val="3"/>
              </w:rPr>
              <w:t>万元以上</w:t>
            </w:r>
            <w:r>
              <w:rPr>
                <w:rFonts w:ascii="宋体" w:hAnsi="宋体" w:eastAsia="宋体" w:cs="宋体"/>
                <w:spacing w:val="3"/>
              </w:rPr>
              <w:t>4</w:t>
            </w:r>
            <w:r>
              <w:rPr>
                <w:spacing w:val="3"/>
              </w:rPr>
              <w:t>万元以下</w:t>
            </w:r>
            <w:r>
              <w:rPr>
                <w:spacing w:val="-1"/>
              </w:rPr>
              <w:t>的罚款；对违反规定生产、</w:t>
            </w:r>
            <w:r>
              <w:rPr>
                <w:spacing w:val="11"/>
              </w:rPr>
              <w:t>经营、购买的易制毒化学</w:t>
            </w:r>
            <w:r>
              <w:rPr>
                <w:spacing w:val="9"/>
              </w:rPr>
              <w:t>品可以予以没收；逾期不</w:t>
            </w:r>
            <w:r>
              <w:rPr>
                <w:spacing w:val="8"/>
              </w:rPr>
              <w:t>改正的，责令限期停产停</w:t>
            </w:r>
            <w:r>
              <w:rPr>
                <w:spacing w:val="9"/>
              </w:rPr>
              <w:t>业整顿；逾期整顿不合格</w:t>
            </w:r>
            <w:r>
              <w:rPr>
                <w:spacing w:val="8"/>
              </w:rPr>
              <w:t>的，吊销相应的许可证</w:t>
            </w:r>
          </w:p>
        </w:tc>
        <w:tc>
          <w:tcPr>
            <w:tcW w:w="811" w:type="dxa"/>
            <w:vMerge w:val="continue"/>
            <w:tcBorders>
              <w:top w:val="nil"/>
              <w:bottom w:val="nil"/>
            </w:tcBorders>
            <w:vAlign w:val="top"/>
          </w:tcPr>
          <w:p w14:paraId="11C4C10E">
            <w:pPr>
              <w:rPr>
                <w:rFonts w:ascii="Arial"/>
                <w:sz w:val="21"/>
              </w:rPr>
            </w:pPr>
          </w:p>
        </w:tc>
      </w:tr>
      <w:tr w14:paraId="50D94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0" w:hRule="atLeast"/>
        </w:trPr>
        <w:tc>
          <w:tcPr>
            <w:tcW w:w="818" w:type="dxa"/>
            <w:vMerge w:val="continue"/>
            <w:tcBorders>
              <w:top w:val="nil"/>
            </w:tcBorders>
            <w:vAlign w:val="top"/>
          </w:tcPr>
          <w:p w14:paraId="649DD474">
            <w:pPr>
              <w:rPr>
                <w:rFonts w:ascii="Arial"/>
                <w:sz w:val="21"/>
              </w:rPr>
            </w:pPr>
          </w:p>
        </w:tc>
        <w:tc>
          <w:tcPr>
            <w:tcW w:w="1440" w:type="dxa"/>
            <w:vMerge w:val="continue"/>
            <w:tcBorders>
              <w:top w:val="nil"/>
            </w:tcBorders>
            <w:vAlign w:val="top"/>
          </w:tcPr>
          <w:p w14:paraId="01FB5A44">
            <w:pPr>
              <w:rPr>
                <w:rFonts w:ascii="Arial"/>
                <w:sz w:val="21"/>
              </w:rPr>
            </w:pPr>
          </w:p>
        </w:tc>
        <w:tc>
          <w:tcPr>
            <w:tcW w:w="3202" w:type="dxa"/>
            <w:vMerge w:val="continue"/>
            <w:tcBorders>
              <w:top w:val="nil"/>
            </w:tcBorders>
            <w:vAlign w:val="top"/>
          </w:tcPr>
          <w:p w14:paraId="555F1780">
            <w:pPr>
              <w:rPr>
                <w:rFonts w:ascii="Arial"/>
                <w:sz w:val="21"/>
              </w:rPr>
            </w:pPr>
          </w:p>
        </w:tc>
        <w:tc>
          <w:tcPr>
            <w:tcW w:w="2859" w:type="dxa"/>
            <w:vMerge w:val="continue"/>
            <w:tcBorders>
              <w:top w:val="nil"/>
            </w:tcBorders>
            <w:vAlign w:val="top"/>
          </w:tcPr>
          <w:p w14:paraId="4926C581">
            <w:pPr>
              <w:rPr>
                <w:rFonts w:ascii="Arial"/>
                <w:sz w:val="21"/>
              </w:rPr>
            </w:pPr>
          </w:p>
        </w:tc>
        <w:tc>
          <w:tcPr>
            <w:tcW w:w="803" w:type="dxa"/>
            <w:vAlign w:val="top"/>
          </w:tcPr>
          <w:p w14:paraId="6EEC5E57">
            <w:pPr>
              <w:spacing w:line="248" w:lineRule="auto"/>
              <w:rPr>
                <w:rFonts w:ascii="Arial"/>
                <w:sz w:val="21"/>
              </w:rPr>
            </w:pPr>
          </w:p>
          <w:p w14:paraId="3FFEBF2E">
            <w:pPr>
              <w:spacing w:line="248" w:lineRule="auto"/>
              <w:rPr>
                <w:rFonts w:ascii="Arial"/>
                <w:sz w:val="21"/>
              </w:rPr>
            </w:pPr>
          </w:p>
          <w:p w14:paraId="62920F7B">
            <w:pPr>
              <w:spacing w:line="248" w:lineRule="auto"/>
              <w:rPr>
                <w:rFonts w:ascii="Arial"/>
                <w:sz w:val="21"/>
              </w:rPr>
            </w:pPr>
          </w:p>
          <w:p w14:paraId="1907DBC3">
            <w:pPr>
              <w:spacing w:line="248" w:lineRule="auto"/>
              <w:rPr>
                <w:rFonts w:ascii="Arial"/>
                <w:sz w:val="21"/>
              </w:rPr>
            </w:pPr>
          </w:p>
          <w:p w14:paraId="514A1B19">
            <w:pPr>
              <w:spacing w:line="248" w:lineRule="auto"/>
              <w:rPr>
                <w:rFonts w:ascii="Arial"/>
                <w:sz w:val="21"/>
              </w:rPr>
            </w:pPr>
          </w:p>
          <w:p w14:paraId="23C2F293">
            <w:pPr>
              <w:spacing w:line="249" w:lineRule="auto"/>
              <w:rPr>
                <w:rFonts w:ascii="Arial"/>
                <w:sz w:val="21"/>
              </w:rPr>
            </w:pPr>
          </w:p>
          <w:p w14:paraId="4D339C53">
            <w:pPr>
              <w:spacing w:line="249" w:lineRule="auto"/>
              <w:rPr>
                <w:rFonts w:ascii="Arial"/>
                <w:sz w:val="21"/>
              </w:rPr>
            </w:pPr>
          </w:p>
          <w:p w14:paraId="4416B385">
            <w:pPr>
              <w:spacing w:line="249" w:lineRule="auto"/>
              <w:rPr>
                <w:rFonts w:ascii="Arial"/>
                <w:sz w:val="21"/>
              </w:rPr>
            </w:pPr>
          </w:p>
          <w:p w14:paraId="7E4C7578">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22E06CBD">
            <w:pPr>
              <w:spacing w:line="263" w:lineRule="auto"/>
              <w:rPr>
                <w:rFonts w:ascii="Arial"/>
                <w:sz w:val="21"/>
              </w:rPr>
            </w:pPr>
          </w:p>
          <w:p w14:paraId="6DE3371B">
            <w:pPr>
              <w:spacing w:line="264" w:lineRule="auto"/>
              <w:rPr>
                <w:rFonts w:ascii="Arial"/>
                <w:sz w:val="21"/>
              </w:rPr>
            </w:pPr>
          </w:p>
          <w:p w14:paraId="032CE2E4">
            <w:pPr>
              <w:spacing w:line="264" w:lineRule="auto"/>
              <w:rPr>
                <w:rFonts w:ascii="Arial"/>
                <w:sz w:val="21"/>
              </w:rPr>
            </w:pPr>
          </w:p>
          <w:p w14:paraId="022F5635">
            <w:pPr>
              <w:spacing w:line="264" w:lineRule="auto"/>
              <w:rPr>
                <w:rFonts w:ascii="Arial"/>
                <w:sz w:val="21"/>
              </w:rPr>
            </w:pPr>
          </w:p>
          <w:p w14:paraId="564419F2">
            <w:pPr>
              <w:spacing w:line="264" w:lineRule="auto"/>
              <w:rPr>
                <w:rFonts w:ascii="Arial"/>
                <w:sz w:val="21"/>
              </w:rPr>
            </w:pPr>
          </w:p>
          <w:p w14:paraId="3B1173A7">
            <w:pPr>
              <w:pStyle w:val="6"/>
              <w:spacing w:before="98" w:line="188" w:lineRule="auto"/>
              <w:ind w:left="123" w:right="109" w:firstLine="4"/>
              <w:jc w:val="both"/>
            </w:pPr>
            <w:r>
              <w:rPr>
                <w:spacing w:val="25"/>
              </w:rPr>
              <w:t>第一类非药品类易</w:t>
            </w:r>
            <w:r>
              <w:rPr>
                <w:spacing w:val="-3"/>
              </w:rPr>
              <w:t>制毒化学品生产、经</w:t>
            </w:r>
            <w:r>
              <w:rPr>
                <w:spacing w:val="25"/>
              </w:rPr>
              <w:t>营单位未按规定建立管理制度和安全</w:t>
            </w:r>
            <w:r>
              <w:rPr>
                <w:spacing w:val="5"/>
              </w:rPr>
              <w:t>管理制度的</w:t>
            </w:r>
          </w:p>
        </w:tc>
        <w:tc>
          <w:tcPr>
            <w:tcW w:w="2894" w:type="dxa"/>
            <w:vAlign w:val="top"/>
          </w:tcPr>
          <w:p w14:paraId="598382B2">
            <w:pPr>
              <w:spacing w:line="290" w:lineRule="auto"/>
              <w:rPr>
                <w:rFonts w:ascii="Arial"/>
                <w:sz w:val="21"/>
              </w:rPr>
            </w:pPr>
          </w:p>
          <w:p w14:paraId="34182177">
            <w:pPr>
              <w:spacing w:line="290" w:lineRule="auto"/>
              <w:rPr>
                <w:rFonts w:ascii="Arial"/>
                <w:sz w:val="21"/>
              </w:rPr>
            </w:pPr>
          </w:p>
          <w:p w14:paraId="64917C4C">
            <w:pPr>
              <w:spacing w:line="291" w:lineRule="auto"/>
              <w:rPr>
                <w:rFonts w:ascii="Arial"/>
                <w:sz w:val="21"/>
              </w:rPr>
            </w:pPr>
          </w:p>
          <w:p w14:paraId="625BBF1D">
            <w:pPr>
              <w:pStyle w:val="6"/>
              <w:spacing w:before="99" w:line="186" w:lineRule="auto"/>
              <w:ind w:left="119" w:right="18" w:firstLine="7"/>
              <w:jc w:val="both"/>
            </w:pPr>
            <w:r>
              <w:rPr>
                <w:spacing w:val="-3"/>
              </w:rPr>
              <w:t>给予警告，责令限期改正，</w:t>
            </w:r>
            <w:r>
              <w:rPr>
                <w:spacing w:val="3"/>
              </w:rPr>
              <w:t>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万元以下</w:t>
            </w:r>
            <w:r>
              <w:rPr>
                <w:spacing w:val="-1"/>
              </w:rPr>
              <w:t>的罚款；对违反规定生产、</w:t>
            </w:r>
            <w:r>
              <w:rPr>
                <w:spacing w:val="11"/>
              </w:rPr>
              <w:t>经营、购买的易制毒化学</w:t>
            </w:r>
            <w:r>
              <w:rPr>
                <w:spacing w:val="9"/>
              </w:rPr>
              <w:t>品可以予以没收；逾期不</w:t>
            </w:r>
            <w:r>
              <w:rPr>
                <w:spacing w:val="8"/>
              </w:rPr>
              <w:t>改正的，责令限期停产停</w:t>
            </w:r>
            <w:r>
              <w:rPr>
                <w:spacing w:val="9"/>
              </w:rPr>
              <w:t>业整顿；逾期整顿不合格</w:t>
            </w:r>
            <w:r>
              <w:rPr>
                <w:spacing w:val="8"/>
              </w:rPr>
              <w:t>的，吊销相应的许可证</w:t>
            </w:r>
          </w:p>
        </w:tc>
        <w:tc>
          <w:tcPr>
            <w:tcW w:w="811" w:type="dxa"/>
            <w:vMerge w:val="continue"/>
            <w:tcBorders>
              <w:top w:val="nil"/>
            </w:tcBorders>
            <w:vAlign w:val="top"/>
          </w:tcPr>
          <w:p w14:paraId="1902308A">
            <w:pPr>
              <w:rPr>
                <w:rFonts w:ascii="Arial"/>
                <w:sz w:val="21"/>
              </w:rPr>
            </w:pPr>
          </w:p>
        </w:tc>
      </w:tr>
    </w:tbl>
    <w:p w14:paraId="0805F762">
      <w:pPr>
        <w:pStyle w:val="2"/>
      </w:pPr>
    </w:p>
    <w:p w14:paraId="2E6C7C20">
      <w:pPr>
        <w:sectPr>
          <w:footerReference r:id="rId182" w:type="default"/>
          <w:pgSz w:w="16839" w:h="11906"/>
          <w:pgMar w:top="1012" w:right="821" w:bottom="667" w:left="901" w:header="0" w:footer="388" w:gutter="0"/>
          <w:cols w:space="720" w:num="1"/>
        </w:sectPr>
      </w:pPr>
    </w:p>
    <w:p w14:paraId="099C85E4">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256D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F292144">
            <w:pPr>
              <w:spacing w:before="222" w:line="241" w:lineRule="auto"/>
              <w:ind w:left="131"/>
              <w:outlineLvl w:val="0"/>
              <w:rPr>
                <w:rFonts w:ascii="黑体" w:hAnsi="黑体" w:eastAsia="黑体" w:cs="黑体"/>
                <w:sz w:val="28"/>
                <w:szCs w:val="28"/>
              </w:rPr>
            </w:pPr>
            <w:bookmarkStart w:id="639" w:name="bookmark336"/>
            <w:bookmarkEnd w:id="639"/>
            <w:r>
              <w:rPr>
                <w:rFonts w:ascii="黑体" w:hAnsi="黑体" w:eastAsia="黑体" w:cs="黑体"/>
                <w:spacing w:val="-2"/>
                <w:sz w:val="28"/>
                <w:szCs w:val="28"/>
              </w:rPr>
              <w:t>序号</w:t>
            </w:r>
          </w:p>
        </w:tc>
        <w:tc>
          <w:tcPr>
            <w:tcW w:w="1440" w:type="dxa"/>
            <w:vAlign w:val="top"/>
          </w:tcPr>
          <w:p w14:paraId="31700639">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7503C4B5">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EF126E7">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4437963D">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D9F8C80">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1FD242E7">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E4B02DE">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0E7E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9" w:hRule="atLeast"/>
        </w:trPr>
        <w:tc>
          <w:tcPr>
            <w:tcW w:w="818" w:type="dxa"/>
            <w:vMerge w:val="restart"/>
            <w:tcBorders>
              <w:bottom w:val="nil"/>
            </w:tcBorders>
            <w:vAlign w:val="top"/>
          </w:tcPr>
          <w:p w14:paraId="063FFCC8">
            <w:pPr>
              <w:rPr>
                <w:rFonts w:ascii="Arial"/>
                <w:sz w:val="21"/>
              </w:rPr>
            </w:pPr>
          </w:p>
          <w:p w14:paraId="73FF307C">
            <w:pPr>
              <w:rPr>
                <w:rFonts w:ascii="Arial"/>
                <w:sz w:val="21"/>
              </w:rPr>
            </w:pPr>
          </w:p>
          <w:p w14:paraId="0F48E9B5">
            <w:pPr>
              <w:rPr>
                <w:rFonts w:ascii="Arial"/>
                <w:sz w:val="21"/>
              </w:rPr>
            </w:pPr>
          </w:p>
          <w:p w14:paraId="5ABFE226">
            <w:pPr>
              <w:rPr>
                <w:rFonts w:ascii="Arial"/>
                <w:sz w:val="21"/>
              </w:rPr>
            </w:pPr>
          </w:p>
          <w:p w14:paraId="070FC942">
            <w:pPr>
              <w:rPr>
                <w:rFonts w:ascii="Arial"/>
                <w:sz w:val="21"/>
              </w:rPr>
            </w:pPr>
          </w:p>
          <w:p w14:paraId="75B44281">
            <w:pPr>
              <w:rPr>
                <w:rFonts w:ascii="Arial"/>
                <w:sz w:val="21"/>
              </w:rPr>
            </w:pPr>
          </w:p>
          <w:p w14:paraId="4CD4FB11">
            <w:pPr>
              <w:rPr>
                <w:rFonts w:ascii="Arial"/>
                <w:sz w:val="21"/>
              </w:rPr>
            </w:pPr>
          </w:p>
          <w:p w14:paraId="2095BBBC">
            <w:pPr>
              <w:rPr>
                <w:rFonts w:ascii="Arial"/>
                <w:sz w:val="21"/>
              </w:rPr>
            </w:pPr>
          </w:p>
          <w:p w14:paraId="63F06AAF">
            <w:pPr>
              <w:rPr>
                <w:rFonts w:ascii="Arial"/>
                <w:sz w:val="21"/>
              </w:rPr>
            </w:pPr>
          </w:p>
          <w:p w14:paraId="2FA6BE84">
            <w:pPr>
              <w:rPr>
                <w:rFonts w:ascii="Arial"/>
                <w:sz w:val="21"/>
              </w:rPr>
            </w:pPr>
          </w:p>
          <w:p w14:paraId="39758463">
            <w:pPr>
              <w:rPr>
                <w:rFonts w:ascii="Arial"/>
                <w:sz w:val="21"/>
              </w:rPr>
            </w:pPr>
          </w:p>
          <w:p w14:paraId="011768F0">
            <w:pPr>
              <w:rPr>
                <w:rFonts w:ascii="Arial"/>
                <w:sz w:val="21"/>
              </w:rPr>
            </w:pPr>
          </w:p>
          <w:p w14:paraId="2537B3A1">
            <w:pPr>
              <w:rPr>
                <w:rFonts w:ascii="Arial"/>
                <w:sz w:val="21"/>
              </w:rPr>
            </w:pPr>
          </w:p>
          <w:p w14:paraId="1357A837">
            <w:pPr>
              <w:rPr>
                <w:rFonts w:ascii="Arial"/>
                <w:sz w:val="21"/>
              </w:rPr>
            </w:pPr>
          </w:p>
          <w:p w14:paraId="0DB9BDDE">
            <w:pPr>
              <w:rPr>
                <w:rFonts w:ascii="Arial"/>
                <w:sz w:val="21"/>
              </w:rPr>
            </w:pPr>
          </w:p>
          <w:p w14:paraId="7DB5DD33">
            <w:pPr>
              <w:spacing w:line="241" w:lineRule="auto"/>
              <w:rPr>
                <w:rFonts w:ascii="Arial"/>
                <w:sz w:val="21"/>
              </w:rPr>
            </w:pPr>
          </w:p>
          <w:p w14:paraId="6032A14D">
            <w:pPr>
              <w:spacing w:line="241" w:lineRule="auto"/>
              <w:rPr>
                <w:rFonts w:ascii="Arial"/>
                <w:sz w:val="21"/>
              </w:rPr>
            </w:pPr>
          </w:p>
          <w:p w14:paraId="472DBCB4">
            <w:pPr>
              <w:spacing w:line="241" w:lineRule="auto"/>
              <w:rPr>
                <w:rFonts w:ascii="Arial"/>
                <w:sz w:val="21"/>
              </w:rPr>
            </w:pPr>
          </w:p>
          <w:p w14:paraId="643A1C30">
            <w:pPr>
              <w:spacing w:before="75" w:line="186" w:lineRule="auto"/>
              <w:ind w:left="161"/>
              <w:rPr>
                <w:rFonts w:ascii="仿宋" w:hAnsi="仿宋" w:eastAsia="仿宋" w:cs="仿宋"/>
                <w:sz w:val="23"/>
                <w:szCs w:val="23"/>
              </w:rPr>
            </w:pPr>
            <w:r>
              <w:rPr>
                <w:rFonts w:ascii="仿宋" w:hAnsi="仿宋" w:eastAsia="仿宋" w:cs="仿宋"/>
                <w:spacing w:val="-5"/>
                <w:sz w:val="23"/>
                <w:szCs w:val="23"/>
              </w:rPr>
              <w:t>164</w:t>
            </w:r>
          </w:p>
        </w:tc>
        <w:tc>
          <w:tcPr>
            <w:tcW w:w="1440" w:type="dxa"/>
            <w:vMerge w:val="restart"/>
            <w:tcBorders>
              <w:bottom w:val="nil"/>
            </w:tcBorders>
            <w:vAlign w:val="top"/>
          </w:tcPr>
          <w:p w14:paraId="5B613EBE">
            <w:pPr>
              <w:rPr>
                <w:rFonts w:ascii="Arial"/>
                <w:sz w:val="21"/>
              </w:rPr>
            </w:pPr>
          </w:p>
          <w:p w14:paraId="3055C0CE">
            <w:pPr>
              <w:rPr>
                <w:rFonts w:ascii="Arial"/>
                <w:sz w:val="21"/>
              </w:rPr>
            </w:pPr>
          </w:p>
          <w:p w14:paraId="5461D6D1">
            <w:pPr>
              <w:rPr>
                <w:rFonts w:ascii="Arial"/>
                <w:sz w:val="21"/>
              </w:rPr>
            </w:pPr>
          </w:p>
          <w:p w14:paraId="63FF5CEA">
            <w:pPr>
              <w:rPr>
                <w:rFonts w:ascii="Arial"/>
                <w:sz w:val="21"/>
              </w:rPr>
            </w:pPr>
          </w:p>
          <w:p w14:paraId="2CB02D60">
            <w:pPr>
              <w:rPr>
                <w:rFonts w:ascii="Arial"/>
                <w:sz w:val="21"/>
              </w:rPr>
            </w:pPr>
          </w:p>
          <w:p w14:paraId="0C65A9C9">
            <w:pPr>
              <w:rPr>
                <w:rFonts w:ascii="Arial"/>
                <w:sz w:val="21"/>
              </w:rPr>
            </w:pPr>
          </w:p>
          <w:p w14:paraId="27FC855E">
            <w:pPr>
              <w:rPr>
                <w:rFonts w:ascii="Arial"/>
                <w:sz w:val="21"/>
              </w:rPr>
            </w:pPr>
          </w:p>
          <w:p w14:paraId="6CB9DD44">
            <w:pPr>
              <w:rPr>
                <w:rFonts w:ascii="Arial"/>
                <w:sz w:val="21"/>
              </w:rPr>
            </w:pPr>
          </w:p>
          <w:p w14:paraId="2A4C7F75">
            <w:pPr>
              <w:rPr>
                <w:rFonts w:ascii="Arial"/>
                <w:sz w:val="21"/>
              </w:rPr>
            </w:pPr>
          </w:p>
          <w:p w14:paraId="611EE493">
            <w:pPr>
              <w:rPr>
                <w:rFonts w:ascii="Arial"/>
                <w:sz w:val="21"/>
              </w:rPr>
            </w:pPr>
          </w:p>
          <w:p w14:paraId="262FADAC">
            <w:pPr>
              <w:rPr>
                <w:rFonts w:ascii="Arial"/>
                <w:sz w:val="21"/>
              </w:rPr>
            </w:pPr>
          </w:p>
          <w:p w14:paraId="1752A35E">
            <w:pPr>
              <w:rPr>
                <w:rFonts w:ascii="Arial"/>
                <w:sz w:val="21"/>
              </w:rPr>
            </w:pPr>
          </w:p>
          <w:p w14:paraId="52B75889">
            <w:pPr>
              <w:rPr>
                <w:rFonts w:ascii="Arial"/>
                <w:sz w:val="21"/>
              </w:rPr>
            </w:pPr>
          </w:p>
          <w:p w14:paraId="185FA857">
            <w:pPr>
              <w:spacing w:line="241" w:lineRule="auto"/>
              <w:rPr>
                <w:rFonts w:ascii="Arial"/>
                <w:sz w:val="21"/>
              </w:rPr>
            </w:pPr>
          </w:p>
          <w:p w14:paraId="39A6BF5D">
            <w:pPr>
              <w:pStyle w:val="6"/>
              <w:spacing w:before="99" w:line="186" w:lineRule="auto"/>
              <w:ind w:left="117" w:right="111" w:hanging="2"/>
              <w:jc w:val="both"/>
            </w:pPr>
            <w:r>
              <w:rPr>
                <w:spacing w:val="11"/>
              </w:rPr>
              <w:t>将非药品类易制毒化学品生产、经营许可证或者备案证明转借他人使</w:t>
            </w:r>
            <w:r>
              <w:rPr>
                <w:spacing w:val="1"/>
              </w:rPr>
              <w:t>用的</w:t>
            </w:r>
          </w:p>
        </w:tc>
        <w:tc>
          <w:tcPr>
            <w:tcW w:w="3202" w:type="dxa"/>
            <w:vMerge w:val="restart"/>
            <w:tcBorders>
              <w:bottom w:val="nil"/>
            </w:tcBorders>
            <w:vAlign w:val="top"/>
          </w:tcPr>
          <w:p w14:paraId="29E63644">
            <w:pPr>
              <w:pStyle w:val="6"/>
              <w:spacing w:before="36" w:line="182" w:lineRule="auto"/>
              <w:ind w:left="118" w:right="110" w:firstLine="12"/>
              <w:jc w:val="both"/>
            </w:pPr>
            <w:r>
              <w:rPr>
                <w:rFonts w:ascii="宋体" w:hAnsi="宋体" w:eastAsia="宋体" w:cs="宋体"/>
                <w:spacing w:val="14"/>
              </w:rPr>
              <w:t>1.</w:t>
            </w:r>
            <w:r>
              <w:rPr>
                <w:spacing w:val="14"/>
              </w:rPr>
              <w:t>【行政法规】《易制毒化</w:t>
            </w:r>
            <w:r>
              <w:rPr>
                <w:spacing w:val="17"/>
              </w:rPr>
              <w:t>学品管理条例》第十一条第</w:t>
            </w:r>
            <w:r>
              <w:rPr>
                <w:spacing w:val="13"/>
              </w:rPr>
              <w:t>一款：取得第一类易制毒化</w:t>
            </w:r>
            <w:r>
              <w:rPr>
                <w:spacing w:val="17"/>
              </w:rPr>
              <w:t>学品生产许可或者依照本条例第十三条第一款规定已经履行第二类、第三类易制毒</w:t>
            </w:r>
            <w:r>
              <w:rPr>
                <w:spacing w:val="39"/>
              </w:rPr>
              <w:t>化学品备案手续的生产企</w:t>
            </w:r>
            <w:r>
              <w:rPr>
                <w:spacing w:val="13"/>
              </w:rPr>
              <w:t>业，可以经销自产的易制毒化学品。但是，在厂外设立</w:t>
            </w:r>
            <w:r>
              <w:rPr>
                <w:spacing w:val="17"/>
              </w:rPr>
              <w:t>销售网点经销第一类易制毒</w:t>
            </w:r>
            <w:r>
              <w:rPr>
                <w:spacing w:val="13"/>
              </w:rPr>
              <w:t>化学品的，应当依照本条例</w:t>
            </w:r>
            <w:r>
              <w:rPr>
                <w:spacing w:val="4"/>
              </w:rPr>
              <w:t>的规定取得经营许可。</w:t>
            </w:r>
          </w:p>
          <w:p w14:paraId="7715969A">
            <w:pPr>
              <w:pStyle w:val="6"/>
              <w:spacing w:before="9" w:line="185" w:lineRule="auto"/>
              <w:ind w:left="126" w:right="111" w:hanging="10"/>
              <w:jc w:val="both"/>
            </w:pPr>
            <w:r>
              <w:rPr>
                <w:rFonts w:ascii="宋体" w:hAnsi="宋体" w:eastAsia="宋体" w:cs="宋体"/>
                <w:spacing w:val="15"/>
              </w:rPr>
              <w:t>2.</w:t>
            </w:r>
            <w:r>
              <w:rPr>
                <w:spacing w:val="15"/>
              </w:rPr>
              <w:t>【部门规章】《非药品类</w:t>
            </w:r>
            <w:r>
              <w:rPr>
                <w:spacing w:val="16"/>
              </w:rPr>
              <w:t>易制毒化学品生产、经营许</w:t>
            </w:r>
            <w:r>
              <w:rPr>
                <w:spacing w:val="11"/>
              </w:rPr>
              <w:t>可办法》第五条：生产、经</w:t>
            </w:r>
            <w:r>
              <w:rPr>
                <w:spacing w:val="16"/>
              </w:rPr>
              <w:t>营第一类非药品类易制毒化</w:t>
            </w:r>
            <w:r>
              <w:rPr>
                <w:spacing w:val="11"/>
              </w:rPr>
              <w:t>学品的，必须取得非药品类</w:t>
            </w:r>
            <w:r>
              <w:rPr>
                <w:spacing w:val="16"/>
              </w:rPr>
              <w:t>易制毒化学品生产、经营许可证方可从事生产、经营活</w:t>
            </w:r>
            <w:r>
              <w:rPr>
                <w:spacing w:val="-10"/>
              </w:rPr>
              <w:t>动。</w:t>
            </w:r>
          </w:p>
        </w:tc>
        <w:tc>
          <w:tcPr>
            <w:tcW w:w="2859" w:type="dxa"/>
            <w:vMerge w:val="restart"/>
            <w:tcBorders>
              <w:bottom w:val="nil"/>
            </w:tcBorders>
            <w:vAlign w:val="top"/>
          </w:tcPr>
          <w:p w14:paraId="3A77CA88">
            <w:pPr>
              <w:pStyle w:val="6"/>
              <w:spacing w:before="39" w:line="182" w:lineRule="auto"/>
              <w:ind w:left="115" w:firstLine="15"/>
              <w:jc w:val="both"/>
            </w:pPr>
            <w:r>
              <w:rPr>
                <w:rFonts w:ascii="宋体" w:hAnsi="宋体" w:eastAsia="宋体" w:cs="宋体"/>
                <w:spacing w:val="5"/>
              </w:rPr>
              <w:t>1.</w:t>
            </w:r>
            <w:r>
              <w:rPr>
                <w:spacing w:val="5"/>
              </w:rPr>
              <w:t>【行政法规】《易制毒</w:t>
            </w:r>
            <w:r>
              <w:rPr>
                <w:spacing w:val="7"/>
              </w:rPr>
              <w:t>化学品管理条例》第四十条第一款第二项：违反本条例规定，有下列行为之一的，由负有监督管理职责的行政主管部门给予警</w:t>
            </w:r>
            <w:r>
              <w:rPr>
                <w:spacing w:val="2"/>
              </w:rPr>
              <w:t>告，责令限期改正，处</w:t>
            </w:r>
            <w:r>
              <w:rPr>
                <w:rFonts w:ascii="宋体" w:hAnsi="宋体" w:eastAsia="宋体" w:cs="宋体"/>
                <w:spacing w:val="2"/>
              </w:rPr>
              <w:t>1</w:t>
            </w:r>
            <w:r>
              <w:rPr>
                <w:spacing w:val="4"/>
              </w:rPr>
              <w:t>万元以上</w:t>
            </w:r>
            <w:r>
              <w:rPr>
                <w:rFonts w:ascii="宋体" w:hAnsi="宋体" w:eastAsia="宋体" w:cs="宋体"/>
                <w:spacing w:val="4"/>
              </w:rPr>
              <w:t>5</w:t>
            </w:r>
            <w:r>
              <w:rPr>
                <w:spacing w:val="4"/>
              </w:rPr>
              <w:t>万元以下的罚</w:t>
            </w:r>
            <w:r>
              <w:rPr>
                <w:spacing w:val="7"/>
              </w:rPr>
              <w:t>款；对违反规定生产、经营、购买的易制毒化学品可以予以没收；逾期不改正的，责令限期停产停业</w:t>
            </w:r>
            <w:r>
              <w:rPr>
                <w:spacing w:val="-7"/>
              </w:rPr>
              <w:t>整顿；逾期整顿不合格的，</w:t>
            </w:r>
            <w:r>
              <w:rPr>
                <w:spacing w:val="-4"/>
              </w:rPr>
              <w:t>吊销相应的许可证</w:t>
            </w:r>
            <w:r>
              <w:rPr>
                <w:spacing w:val="8"/>
              </w:rPr>
              <w:t>：（</w:t>
            </w:r>
            <w:r>
              <w:rPr>
                <w:spacing w:val="-4"/>
              </w:rPr>
              <w:t>二）</w:t>
            </w:r>
            <w:r>
              <w:rPr>
                <w:spacing w:val="7"/>
              </w:rPr>
              <w:t>将许可证或者备案证明转</w:t>
            </w:r>
            <w:r>
              <w:t>借他人使用的；</w:t>
            </w:r>
          </w:p>
          <w:p w14:paraId="7E37EDAB">
            <w:pPr>
              <w:pStyle w:val="6"/>
              <w:spacing w:before="21" w:line="180" w:lineRule="auto"/>
              <w:ind w:left="116" w:right="19"/>
              <w:jc w:val="both"/>
            </w:pPr>
            <w:r>
              <w:rPr>
                <w:rFonts w:ascii="宋体" w:hAnsi="宋体" w:eastAsia="宋体" w:cs="宋体"/>
                <w:spacing w:val="7"/>
              </w:rPr>
              <w:t>2.</w:t>
            </w:r>
            <w:r>
              <w:rPr>
                <w:spacing w:val="7"/>
              </w:rPr>
              <w:t>【部门规章】《非药品</w:t>
            </w:r>
            <w:r>
              <w:rPr>
                <w:spacing w:val="8"/>
              </w:rPr>
              <w:t>类易制毒化学品生产、经营许可办法》第三十条第二项：对于有下列行为之一的，由县级以上人民政府安全生产监督管理部门</w:t>
            </w:r>
            <w:r>
              <w:rPr>
                <w:spacing w:val="-6"/>
              </w:rPr>
              <w:t>给予警告，责令限期改正，</w:t>
            </w:r>
            <w:r>
              <w:t>处</w:t>
            </w:r>
            <w:r>
              <w:rPr>
                <w:rFonts w:ascii="宋体" w:hAnsi="宋体" w:eastAsia="宋体" w:cs="宋体"/>
              </w:rPr>
              <w:t>1</w:t>
            </w:r>
            <w:r>
              <w:t>万元以上</w:t>
            </w:r>
            <w:r>
              <w:rPr>
                <w:rFonts w:ascii="宋体" w:hAnsi="宋体" w:eastAsia="宋体" w:cs="宋体"/>
              </w:rPr>
              <w:t>5</w:t>
            </w:r>
            <w:r>
              <w:t>万元以下</w:t>
            </w:r>
            <w:r>
              <w:rPr>
                <w:spacing w:val="-4"/>
              </w:rPr>
              <w:t>的罚款；对违反规定生产、</w:t>
            </w:r>
            <w:r>
              <w:rPr>
                <w:spacing w:val="8"/>
              </w:rPr>
              <w:t>经营的非药品类易制毒化</w:t>
            </w:r>
            <w:r>
              <w:rPr>
                <w:spacing w:val="5"/>
              </w:rPr>
              <w:t>学品，可以予以没收；逾</w:t>
            </w:r>
            <w:r>
              <w:rPr>
                <w:spacing w:val="8"/>
              </w:rPr>
              <w:t>期不改正的，责令限期停产停业整顿；逾期整顿不</w:t>
            </w:r>
            <w:r>
              <w:rPr>
                <w:spacing w:val="2"/>
              </w:rPr>
              <w:t>合格的，吊销相应的许可</w:t>
            </w:r>
          </w:p>
        </w:tc>
        <w:tc>
          <w:tcPr>
            <w:tcW w:w="803" w:type="dxa"/>
            <w:vAlign w:val="top"/>
          </w:tcPr>
          <w:p w14:paraId="1A0E7312">
            <w:pPr>
              <w:spacing w:line="286" w:lineRule="auto"/>
              <w:rPr>
                <w:rFonts w:ascii="Arial"/>
                <w:sz w:val="21"/>
              </w:rPr>
            </w:pPr>
          </w:p>
          <w:p w14:paraId="7566770D">
            <w:pPr>
              <w:spacing w:line="286" w:lineRule="auto"/>
              <w:rPr>
                <w:rFonts w:ascii="Arial"/>
                <w:sz w:val="21"/>
              </w:rPr>
            </w:pPr>
          </w:p>
          <w:p w14:paraId="1FC798DF">
            <w:pPr>
              <w:spacing w:line="287" w:lineRule="auto"/>
              <w:rPr>
                <w:rFonts w:ascii="Arial"/>
                <w:sz w:val="21"/>
              </w:rPr>
            </w:pPr>
          </w:p>
          <w:p w14:paraId="0E2281AE">
            <w:pPr>
              <w:spacing w:line="287" w:lineRule="auto"/>
              <w:rPr>
                <w:rFonts w:ascii="Arial"/>
                <w:sz w:val="21"/>
              </w:rPr>
            </w:pPr>
          </w:p>
          <w:p w14:paraId="5259CB6D">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6CDE5B6F">
            <w:pPr>
              <w:spacing w:line="316" w:lineRule="auto"/>
              <w:rPr>
                <w:rFonts w:ascii="Arial"/>
                <w:sz w:val="21"/>
              </w:rPr>
            </w:pPr>
          </w:p>
          <w:p w14:paraId="63012775">
            <w:pPr>
              <w:spacing w:line="316" w:lineRule="auto"/>
              <w:rPr>
                <w:rFonts w:ascii="Arial"/>
                <w:sz w:val="21"/>
              </w:rPr>
            </w:pPr>
          </w:p>
          <w:p w14:paraId="57FE70DB">
            <w:pPr>
              <w:pStyle w:val="6"/>
              <w:spacing w:before="98" w:line="190" w:lineRule="auto"/>
              <w:ind w:left="118" w:right="109" w:hanging="1"/>
              <w:jc w:val="both"/>
            </w:pPr>
            <w:r>
              <w:rPr>
                <w:spacing w:val="26"/>
              </w:rPr>
              <w:t>将第三类非药品类易制毒化学品备案证明转借他人使用</w:t>
            </w:r>
            <w:r>
              <w:t>的</w:t>
            </w:r>
          </w:p>
        </w:tc>
        <w:tc>
          <w:tcPr>
            <w:tcW w:w="2894" w:type="dxa"/>
            <w:vAlign w:val="top"/>
          </w:tcPr>
          <w:p w14:paraId="6E693B58">
            <w:pPr>
              <w:pStyle w:val="6"/>
              <w:spacing w:before="132" w:line="186" w:lineRule="auto"/>
              <w:ind w:left="119" w:right="18" w:firstLine="7"/>
              <w:jc w:val="both"/>
            </w:pPr>
            <w:r>
              <w:rPr>
                <w:spacing w:val="-3"/>
              </w:rPr>
              <w:t>给予警告，责令限期改正，</w:t>
            </w:r>
            <w:r>
              <w:rPr>
                <w:spacing w:val="2"/>
              </w:rPr>
              <w:t>处</w:t>
            </w:r>
            <w:r>
              <w:rPr>
                <w:rFonts w:ascii="宋体" w:hAnsi="宋体" w:eastAsia="宋体" w:cs="宋体"/>
                <w:spacing w:val="2"/>
              </w:rPr>
              <w:t>1</w:t>
            </w:r>
            <w:r>
              <w:rPr>
                <w:spacing w:val="2"/>
              </w:rPr>
              <w:t>万元以上</w:t>
            </w:r>
            <w:r>
              <w:rPr>
                <w:rFonts w:ascii="宋体" w:hAnsi="宋体" w:eastAsia="宋体" w:cs="宋体"/>
                <w:spacing w:val="2"/>
              </w:rPr>
              <w:t>2</w:t>
            </w:r>
            <w:r>
              <w:rPr>
                <w:spacing w:val="2"/>
              </w:rPr>
              <w:t>万元以下</w:t>
            </w:r>
            <w:r>
              <w:rPr>
                <w:spacing w:val="-1"/>
              </w:rPr>
              <w:t>的罚款；对违反规定生产、</w:t>
            </w:r>
            <w:r>
              <w:rPr>
                <w:spacing w:val="11"/>
              </w:rPr>
              <w:t>经营、购买的易制毒化学</w:t>
            </w:r>
            <w:r>
              <w:rPr>
                <w:spacing w:val="9"/>
              </w:rPr>
              <w:t>品可以予以没收；逾期不</w:t>
            </w:r>
            <w:r>
              <w:rPr>
                <w:spacing w:val="8"/>
              </w:rPr>
              <w:t>改正的，责令限期停产停</w:t>
            </w:r>
            <w:r>
              <w:rPr>
                <w:spacing w:val="9"/>
              </w:rPr>
              <w:t>业整顿；逾期整顿不合格</w:t>
            </w:r>
            <w:r>
              <w:rPr>
                <w:spacing w:val="8"/>
              </w:rPr>
              <w:t>的，吊销相应的许可证</w:t>
            </w:r>
          </w:p>
        </w:tc>
        <w:tc>
          <w:tcPr>
            <w:tcW w:w="811" w:type="dxa"/>
            <w:vMerge w:val="restart"/>
            <w:tcBorders>
              <w:bottom w:val="nil"/>
            </w:tcBorders>
            <w:vAlign w:val="top"/>
          </w:tcPr>
          <w:p w14:paraId="2D329F66">
            <w:pPr>
              <w:rPr>
                <w:rFonts w:ascii="Arial"/>
                <w:sz w:val="21"/>
              </w:rPr>
            </w:pPr>
          </w:p>
          <w:p w14:paraId="63DA3685">
            <w:pPr>
              <w:rPr>
                <w:rFonts w:ascii="Arial"/>
                <w:sz w:val="21"/>
              </w:rPr>
            </w:pPr>
          </w:p>
          <w:p w14:paraId="443FF008">
            <w:pPr>
              <w:rPr>
                <w:rFonts w:ascii="Arial"/>
                <w:sz w:val="21"/>
              </w:rPr>
            </w:pPr>
          </w:p>
          <w:p w14:paraId="3AE233DD">
            <w:pPr>
              <w:rPr>
                <w:rFonts w:ascii="Arial"/>
                <w:sz w:val="21"/>
              </w:rPr>
            </w:pPr>
          </w:p>
          <w:p w14:paraId="0E5974D6">
            <w:pPr>
              <w:rPr>
                <w:rFonts w:ascii="Arial"/>
                <w:sz w:val="21"/>
              </w:rPr>
            </w:pPr>
          </w:p>
          <w:p w14:paraId="12D212BE">
            <w:pPr>
              <w:rPr>
                <w:rFonts w:ascii="Arial"/>
                <w:sz w:val="21"/>
              </w:rPr>
            </w:pPr>
          </w:p>
          <w:p w14:paraId="3F804175">
            <w:pPr>
              <w:rPr>
                <w:rFonts w:ascii="Arial"/>
                <w:sz w:val="21"/>
              </w:rPr>
            </w:pPr>
          </w:p>
          <w:p w14:paraId="09474D02">
            <w:pPr>
              <w:rPr>
                <w:rFonts w:ascii="Arial"/>
                <w:sz w:val="21"/>
              </w:rPr>
            </w:pPr>
          </w:p>
          <w:p w14:paraId="3742012B">
            <w:pPr>
              <w:rPr>
                <w:rFonts w:ascii="Arial"/>
                <w:sz w:val="21"/>
              </w:rPr>
            </w:pPr>
          </w:p>
          <w:p w14:paraId="0A18B680">
            <w:pPr>
              <w:rPr>
                <w:rFonts w:ascii="Arial"/>
                <w:sz w:val="21"/>
              </w:rPr>
            </w:pPr>
          </w:p>
          <w:p w14:paraId="00342F47">
            <w:pPr>
              <w:rPr>
                <w:rFonts w:ascii="Arial"/>
                <w:sz w:val="21"/>
              </w:rPr>
            </w:pPr>
          </w:p>
          <w:p w14:paraId="38DD6B2C">
            <w:pPr>
              <w:rPr>
                <w:rFonts w:ascii="Arial"/>
                <w:sz w:val="21"/>
              </w:rPr>
            </w:pPr>
          </w:p>
          <w:p w14:paraId="03B89791">
            <w:pPr>
              <w:rPr>
                <w:rFonts w:ascii="Arial"/>
                <w:sz w:val="21"/>
              </w:rPr>
            </w:pPr>
          </w:p>
          <w:p w14:paraId="58F74CB0">
            <w:pPr>
              <w:rPr>
                <w:rFonts w:ascii="Arial"/>
                <w:sz w:val="21"/>
              </w:rPr>
            </w:pPr>
          </w:p>
          <w:p w14:paraId="0BE4C827">
            <w:pPr>
              <w:rPr>
                <w:rFonts w:ascii="Arial"/>
                <w:sz w:val="21"/>
              </w:rPr>
            </w:pPr>
          </w:p>
          <w:p w14:paraId="6FF79392">
            <w:pPr>
              <w:rPr>
                <w:rFonts w:ascii="Arial"/>
                <w:sz w:val="21"/>
              </w:rPr>
            </w:pPr>
          </w:p>
          <w:p w14:paraId="52ADD7A1">
            <w:pPr>
              <w:rPr>
                <w:rFonts w:ascii="Arial"/>
                <w:sz w:val="21"/>
              </w:rPr>
            </w:pPr>
          </w:p>
          <w:p w14:paraId="0686ED0F">
            <w:pPr>
              <w:rPr>
                <w:rFonts w:ascii="Arial"/>
                <w:sz w:val="21"/>
              </w:rPr>
            </w:pPr>
          </w:p>
          <w:p w14:paraId="2BEC94C3">
            <w:pPr>
              <w:spacing w:before="75" w:line="189" w:lineRule="auto"/>
              <w:ind w:left="248"/>
              <w:rPr>
                <w:rFonts w:ascii="宋体" w:hAnsi="宋体" w:eastAsia="宋体" w:cs="宋体"/>
                <w:sz w:val="23"/>
                <w:szCs w:val="23"/>
              </w:rPr>
            </w:pPr>
            <w:r>
              <w:rPr>
                <w:rFonts w:ascii="宋体" w:hAnsi="宋体" w:eastAsia="宋体" w:cs="宋体"/>
                <w:spacing w:val="-6"/>
                <w:sz w:val="23"/>
                <w:szCs w:val="23"/>
              </w:rPr>
              <w:t>127</w:t>
            </w:r>
          </w:p>
        </w:tc>
      </w:tr>
      <w:tr w14:paraId="0AF6C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818" w:type="dxa"/>
            <w:vMerge w:val="continue"/>
            <w:tcBorders>
              <w:top w:val="nil"/>
              <w:bottom w:val="nil"/>
            </w:tcBorders>
            <w:vAlign w:val="top"/>
          </w:tcPr>
          <w:p w14:paraId="7DDF4E4A">
            <w:pPr>
              <w:rPr>
                <w:rFonts w:ascii="Arial"/>
                <w:sz w:val="21"/>
              </w:rPr>
            </w:pPr>
          </w:p>
        </w:tc>
        <w:tc>
          <w:tcPr>
            <w:tcW w:w="1440" w:type="dxa"/>
            <w:vMerge w:val="continue"/>
            <w:tcBorders>
              <w:top w:val="nil"/>
              <w:bottom w:val="nil"/>
            </w:tcBorders>
            <w:vAlign w:val="top"/>
          </w:tcPr>
          <w:p w14:paraId="41D00C06">
            <w:pPr>
              <w:rPr>
                <w:rFonts w:ascii="Arial"/>
                <w:sz w:val="21"/>
              </w:rPr>
            </w:pPr>
          </w:p>
        </w:tc>
        <w:tc>
          <w:tcPr>
            <w:tcW w:w="3202" w:type="dxa"/>
            <w:vMerge w:val="continue"/>
            <w:tcBorders>
              <w:top w:val="nil"/>
              <w:bottom w:val="nil"/>
            </w:tcBorders>
            <w:vAlign w:val="top"/>
          </w:tcPr>
          <w:p w14:paraId="0B6C9579">
            <w:pPr>
              <w:rPr>
                <w:rFonts w:ascii="Arial"/>
                <w:sz w:val="21"/>
              </w:rPr>
            </w:pPr>
          </w:p>
        </w:tc>
        <w:tc>
          <w:tcPr>
            <w:tcW w:w="2859" w:type="dxa"/>
            <w:vMerge w:val="continue"/>
            <w:tcBorders>
              <w:top w:val="nil"/>
              <w:bottom w:val="nil"/>
            </w:tcBorders>
            <w:vAlign w:val="top"/>
          </w:tcPr>
          <w:p w14:paraId="0A9FDCA1">
            <w:pPr>
              <w:rPr>
                <w:rFonts w:ascii="Arial"/>
                <w:sz w:val="21"/>
              </w:rPr>
            </w:pPr>
          </w:p>
        </w:tc>
        <w:tc>
          <w:tcPr>
            <w:tcW w:w="803" w:type="dxa"/>
            <w:vAlign w:val="top"/>
          </w:tcPr>
          <w:p w14:paraId="6B93B7F3">
            <w:pPr>
              <w:spacing w:line="249" w:lineRule="auto"/>
              <w:rPr>
                <w:rFonts w:ascii="Arial"/>
                <w:sz w:val="21"/>
              </w:rPr>
            </w:pPr>
          </w:p>
          <w:p w14:paraId="4F41B845">
            <w:pPr>
              <w:spacing w:line="249" w:lineRule="auto"/>
              <w:rPr>
                <w:rFonts w:ascii="Arial"/>
                <w:sz w:val="21"/>
              </w:rPr>
            </w:pPr>
          </w:p>
          <w:p w14:paraId="16F8E855">
            <w:pPr>
              <w:spacing w:line="249" w:lineRule="auto"/>
              <w:rPr>
                <w:rFonts w:ascii="Arial"/>
                <w:sz w:val="21"/>
              </w:rPr>
            </w:pPr>
          </w:p>
          <w:p w14:paraId="771E64EA">
            <w:pPr>
              <w:spacing w:line="250" w:lineRule="auto"/>
              <w:rPr>
                <w:rFonts w:ascii="Arial"/>
                <w:sz w:val="21"/>
              </w:rPr>
            </w:pPr>
          </w:p>
          <w:p w14:paraId="5809FB56">
            <w:pPr>
              <w:spacing w:line="250" w:lineRule="auto"/>
              <w:rPr>
                <w:rFonts w:ascii="Arial"/>
                <w:sz w:val="21"/>
              </w:rPr>
            </w:pPr>
          </w:p>
          <w:p w14:paraId="00FACA8E">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CEEE969">
            <w:pPr>
              <w:spacing w:line="243" w:lineRule="auto"/>
              <w:rPr>
                <w:rFonts w:ascii="Arial"/>
                <w:sz w:val="21"/>
              </w:rPr>
            </w:pPr>
          </w:p>
          <w:p w14:paraId="1FB2517C">
            <w:pPr>
              <w:spacing w:line="243" w:lineRule="auto"/>
              <w:rPr>
                <w:rFonts w:ascii="Arial"/>
                <w:sz w:val="21"/>
              </w:rPr>
            </w:pPr>
          </w:p>
          <w:p w14:paraId="5E4A8DBE">
            <w:pPr>
              <w:spacing w:line="243" w:lineRule="auto"/>
              <w:rPr>
                <w:rFonts w:ascii="Arial"/>
                <w:sz w:val="21"/>
              </w:rPr>
            </w:pPr>
          </w:p>
          <w:p w14:paraId="21155F71">
            <w:pPr>
              <w:pStyle w:val="6"/>
              <w:spacing w:before="98" w:line="190" w:lineRule="auto"/>
              <w:ind w:left="118" w:right="109" w:hanging="1"/>
              <w:jc w:val="both"/>
            </w:pPr>
            <w:r>
              <w:rPr>
                <w:spacing w:val="26"/>
              </w:rPr>
              <w:t>将第二类非药品类易制毒化学品备案证明转借他人使用</w:t>
            </w:r>
            <w:r>
              <w:t>的</w:t>
            </w:r>
          </w:p>
        </w:tc>
        <w:tc>
          <w:tcPr>
            <w:tcW w:w="2894" w:type="dxa"/>
            <w:vAlign w:val="top"/>
          </w:tcPr>
          <w:p w14:paraId="64AF4BAC">
            <w:pPr>
              <w:pStyle w:val="6"/>
              <w:spacing w:before="229" w:line="186" w:lineRule="auto"/>
              <w:ind w:left="119" w:right="18" w:firstLine="7"/>
              <w:jc w:val="both"/>
            </w:pPr>
            <w:r>
              <w:rPr>
                <w:spacing w:val="-3"/>
              </w:rPr>
              <w:t>给予警告，责令限期改正，</w:t>
            </w:r>
            <w:r>
              <w:rPr>
                <w:spacing w:val="3"/>
              </w:rPr>
              <w:t>处</w:t>
            </w:r>
            <w:r>
              <w:rPr>
                <w:rFonts w:ascii="宋体" w:hAnsi="宋体" w:eastAsia="宋体" w:cs="宋体"/>
                <w:spacing w:val="3"/>
              </w:rPr>
              <w:t>2</w:t>
            </w:r>
            <w:r>
              <w:rPr>
                <w:spacing w:val="3"/>
              </w:rPr>
              <w:t>万元以上</w:t>
            </w:r>
            <w:r>
              <w:rPr>
                <w:rFonts w:ascii="宋体" w:hAnsi="宋体" w:eastAsia="宋体" w:cs="宋体"/>
                <w:spacing w:val="3"/>
              </w:rPr>
              <w:t>4</w:t>
            </w:r>
            <w:r>
              <w:rPr>
                <w:spacing w:val="3"/>
              </w:rPr>
              <w:t>万元以下</w:t>
            </w:r>
            <w:r>
              <w:rPr>
                <w:spacing w:val="-1"/>
              </w:rPr>
              <w:t>的罚款；对违反规定生产、</w:t>
            </w:r>
            <w:r>
              <w:rPr>
                <w:spacing w:val="11"/>
              </w:rPr>
              <w:t>经营、购买的易制毒化学</w:t>
            </w:r>
            <w:r>
              <w:rPr>
                <w:spacing w:val="9"/>
              </w:rPr>
              <w:t>品可以予以没收；逾期不</w:t>
            </w:r>
            <w:r>
              <w:rPr>
                <w:spacing w:val="8"/>
              </w:rPr>
              <w:t>改正的，责令限期停产停</w:t>
            </w:r>
            <w:r>
              <w:rPr>
                <w:spacing w:val="9"/>
              </w:rPr>
              <w:t>业整顿；逾期整顿不合格</w:t>
            </w:r>
            <w:r>
              <w:rPr>
                <w:spacing w:val="8"/>
              </w:rPr>
              <w:t>的，吊销相应的许可证</w:t>
            </w:r>
          </w:p>
        </w:tc>
        <w:tc>
          <w:tcPr>
            <w:tcW w:w="811" w:type="dxa"/>
            <w:vMerge w:val="continue"/>
            <w:tcBorders>
              <w:top w:val="nil"/>
              <w:bottom w:val="nil"/>
            </w:tcBorders>
            <w:vAlign w:val="top"/>
          </w:tcPr>
          <w:p w14:paraId="15478B93">
            <w:pPr>
              <w:rPr>
                <w:rFonts w:ascii="Arial"/>
                <w:sz w:val="21"/>
              </w:rPr>
            </w:pPr>
          </w:p>
        </w:tc>
      </w:tr>
      <w:tr w14:paraId="68FD9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2" w:hRule="atLeast"/>
        </w:trPr>
        <w:tc>
          <w:tcPr>
            <w:tcW w:w="818" w:type="dxa"/>
            <w:vMerge w:val="continue"/>
            <w:tcBorders>
              <w:top w:val="nil"/>
            </w:tcBorders>
            <w:vAlign w:val="top"/>
          </w:tcPr>
          <w:p w14:paraId="1E4E870D">
            <w:pPr>
              <w:rPr>
                <w:rFonts w:ascii="Arial"/>
                <w:sz w:val="21"/>
              </w:rPr>
            </w:pPr>
          </w:p>
        </w:tc>
        <w:tc>
          <w:tcPr>
            <w:tcW w:w="1440" w:type="dxa"/>
            <w:vMerge w:val="continue"/>
            <w:tcBorders>
              <w:top w:val="nil"/>
            </w:tcBorders>
            <w:vAlign w:val="top"/>
          </w:tcPr>
          <w:p w14:paraId="4AE7FA64">
            <w:pPr>
              <w:rPr>
                <w:rFonts w:ascii="Arial"/>
                <w:sz w:val="21"/>
              </w:rPr>
            </w:pPr>
          </w:p>
        </w:tc>
        <w:tc>
          <w:tcPr>
            <w:tcW w:w="3202" w:type="dxa"/>
            <w:vMerge w:val="continue"/>
            <w:tcBorders>
              <w:top w:val="nil"/>
            </w:tcBorders>
            <w:vAlign w:val="top"/>
          </w:tcPr>
          <w:p w14:paraId="5D027A9D">
            <w:pPr>
              <w:rPr>
                <w:rFonts w:ascii="Arial"/>
                <w:sz w:val="21"/>
              </w:rPr>
            </w:pPr>
          </w:p>
        </w:tc>
        <w:tc>
          <w:tcPr>
            <w:tcW w:w="2859" w:type="dxa"/>
            <w:vMerge w:val="continue"/>
            <w:tcBorders>
              <w:top w:val="nil"/>
            </w:tcBorders>
            <w:vAlign w:val="top"/>
          </w:tcPr>
          <w:p w14:paraId="4C289D9E">
            <w:pPr>
              <w:rPr>
                <w:rFonts w:ascii="Arial"/>
                <w:sz w:val="21"/>
              </w:rPr>
            </w:pPr>
          </w:p>
        </w:tc>
        <w:tc>
          <w:tcPr>
            <w:tcW w:w="803" w:type="dxa"/>
            <w:vAlign w:val="top"/>
          </w:tcPr>
          <w:p w14:paraId="1077C4CE">
            <w:pPr>
              <w:spacing w:line="269" w:lineRule="auto"/>
              <w:rPr>
                <w:rFonts w:ascii="Arial"/>
                <w:sz w:val="21"/>
              </w:rPr>
            </w:pPr>
          </w:p>
          <w:p w14:paraId="23D70A29">
            <w:pPr>
              <w:spacing w:line="269" w:lineRule="auto"/>
              <w:rPr>
                <w:rFonts w:ascii="Arial"/>
                <w:sz w:val="21"/>
              </w:rPr>
            </w:pPr>
          </w:p>
          <w:p w14:paraId="570411E7">
            <w:pPr>
              <w:spacing w:line="270" w:lineRule="auto"/>
              <w:rPr>
                <w:rFonts w:ascii="Arial"/>
                <w:sz w:val="21"/>
              </w:rPr>
            </w:pPr>
          </w:p>
          <w:p w14:paraId="612A0AB4">
            <w:pPr>
              <w:spacing w:line="270" w:lineRule="auto"/>
              <w:rPr>
                <w:rFonts w:ascii="Arial"/>
                <w:sz w:val="21"/>
              </w:rPr>
            </w:pPr>
          </w:p>
          <w:p w14:paraId="62106F75">
            <w:pPr>
              <w:spacing w:line="270" w:lineRule="auto"/>
              <w:rPr>
                <w:rFonts w:ascii="Arial"/>
                <w:sz w:val="21"/>
              </w:rPr>
            </w:pPr>
          </w:p>
          <w:p w14:paraId="4A295CB4">
            <w:pPr>
              <w:spacing w:line="270" w:lineRule="auto"/>
              <w:rPr>
                <w:rFonts w:ascii="Arial"/>
                <w:sz w:val="21"/>
              </w:rPr>
            </w:pPr>
          </w:p>
          <w:p w14:paraId="521D1321">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95AE069">
            <w:pPr>
              <w:spacing w:line="250" w:lineRule="auto"/>
              <w:rPr>
                <w:rFonts w:ascii="Arial"/>
                <w:sz w:val="21"/>
              </w:rPr>
            </w:pPr>
          </w:p>
          <w:p w14:paraId="08ADDE9E">
            <w:pPr>
              <w:spacing w:line="250" w:lineRule="auto"/>
              <w:rPr>
                <w:rFonts w:ascii="Arial"/>
                <w:sz w:val="21"/>
              </w:rPr>
            </w:pPr>
          </w:p>
          <w:p w14:paraId="352E55AA">
            <w:pPr>
              <w:spacing w:line="251" w:lineRule="auto"/>
              <w:rPr>
                <w:rFonts w:ascii="Arial"/>
                <w:sz w:val="21"/>
              </w:rPr>
            </w:pPr>
          </w:p>
          <w:p w14:paraId="563E02EE">
            <w:pPr>
              <w:spacing w:line="251" w:lineRule="auto"/>
              <w:rPr>
                <w:rFonts w:ascii="Arial"/>
                <w:sz w:val="21"/>
              </w:rPr>
            </w:pPr>
          </w:p>
          <w:p w14:paraId="77522715">
            <w:pPr>
              <w:spacing w:line="251" w:lineRule="auto"/>
              <w:rPr>
                <w:rFonts w:ascii="Arial"/>
                <w:sz w:val="21"/>
              </w:rPr>
            </w:pPr>
          </w:p>
          <w:p w14:paraId="32281E37">
            <w:pPr>
              <w:pStyle w:val="6"/>
              <w:spacing w:before="99" w:line="191" w:lineRule="auto"/>
              <w:ind w:left="118" w:right="109" w:hanging="1"/>
              <w:jc w:val="both"/>
            </w:pPr>
            <w:r>
              <w:rPr>
                <w:spacing w:val="26"/>
              </w:rPr>
              <w:t>将第一类非药品类易制毒化学品许可</w:t>
            </w:r>
            <w:r>
              <w:rPr>
                <w:spacing w:val="7"/>
              </w:rPr>
              <w:t>证转借他人使用的</w:t>
            </w:r>
          </w:p>
        </w:tc>
        <w:tc>
          <w:tcPr>
            <w:tcW w:w="2894" w:type="dxa"/>
            <w:vAlign w:val="top"/>
          </w:tcPr>
          <w:p w14:paraId="7DE36B31">
            <w:pPr>
              <w:spacing w:line="252" w:lineRule="auto"/>
              <w:rPr>
                <w:rFonts w:ascii="Arial"/>
                <w:sz w:val="21"/>
              </w:rPr>
            </w:pPr>
          </w:p>
          <w:p w14:paraId="6FF42D31">
            <w:pPr>
              <w:spacing w:line="253" w:lineRule="auto"/>
              <w:rPr>
                <w:rFonts w:ascii="Arial"/>
                <w:sz w:val="21"/>
              </w:rPr>
            </w:pPr>
          </w:p>
          <w:p w14:paraId="2BA91B52">
            <w:pPr>
              <w:pStyle w:val="6"/>
              <w:spacing w:before="99" w:line="186" w:lineRule="auto"/>
              <w:ind w:left="119" w:right="18" w:firstLine="7"/>
              <w:jc w:val="both"/>
            </w:pPr>
            <w:r>
              <w:rPr>
                <w:spacing w:val="-3"/>
              </w:rPr>
              <w:t>给予警告，责令限期改正，</w:t>
            </w:r>
            <w:r>
              <w:rPr>
                <w:spacing w:val="3"/>
              </w:rPr>
              <w:t>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万元以下</w:t>
            </w:r>
            <w:r>
              <w:rPr>
                <w:spacing w:val="-1"/>
              </w:rPr>
              <w:t>的罚款；对违反规定生产、</w:t>
            </w:r>
            <w:r>
              <w:rPr>
                <w:spacing w:val="11"/>
              </w:rPr>
              <w:t>经营、购买的易制毒化学</w:t>
            </w:r>
            <w:r>
              <w:rPr>
                <w:spacing w:val="9"/>
              </w:rPr>
              <w:t>品可以予以没收；逾期不</w:t>
            </w:r>
            <w:r>
              <w:rPr>
                <w:spacing w:val="8"/>
              </w:rPr>
              <w:t>改正的，责令限期停产停</w:t>
            </w:r>
            <w:r>
              <w:rPr>
                <w:spacing w:val="9"/>
              </w:rPr>
              <w:t>业整顿；逾期整顿不合格</w:t>
            </w:r>
            <w:r>
              <w:rPr>
                <w:spacing w:val="8"/>
              </w:rPr>
              <w:t>的，吊销相应的许可证</w:t>
            </w:r>
          </w:p>
        </w:tc>
        <w:tc>
          <w:tcPr>
            <w:tcW w:w="811" w:type="dxa"/>
            <w:vMerge w:val="continue"/>
            <w:tcBorders>
              <w:top w:val="nil"/>
            </w:tcBorders>
            <w:vAlign w:val="top"/>
          </w:tcPr>
          <w:p w14:paraId="0B0C55A2">
            <w:pPr>
              <w:rPr>
                <w:rFonts w:ascii="Arial"/>
                <w:sz w:val="21"/>
              </w:rPr>
            </w:pPr>
          </w:p>
        </w:tc>
      </w:tr>
    </w:tbl>
    <w:p w14:paraId="7BC4D42B">
      <w:pPr>
        <w:pStyle w:val="2"/>
      </w:pPr>
    </w:p>
    <w:p w14:paraId="18949379">
      <w:pPr>
        <w:sectPr>
          <w:footerReference r:id="rId183" w:type="default"/>
          <w:pgSz w:w="16839" w:h="11906"/>
          <w:pgMar w:top="1012" w:right="821" w:bottom="667" w:left="901" w:header="0" w:footer="388" w:gutter="0"/>
          <w:cols w:space="720" w:num="1"/>
        </w:sectPr>
      </w:pPr>
    </w:p>
    <w:p w14:paraId="22B705B2">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73CB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DDD23E6">
            <w:pPr>
              <w:spacing w:before="222" w:line="241" w:lineRule="auto"/>
              <w:ind w:left="131"/>
              <w:rPr>
                <w:rFonts w:ascii="黑体" w:hAnsi="黑体" w:eastAsia="黑体" w:cs="黑体"/>
                <w:sz w:val="28"/>
                <w:szCs w:val="28"/>
              </w:rPr>
            </w:pPr>
            <w:bookmarkStart w:id="640" w:name="bookmark338"/>
            <w:bookmarkEnd w:id="640"/>
            <w:r>
              <w:rPr>
                <w:rFonts w:ascii="黑体" w:hAnsi="黑体" w:eastAsia="黑体" w:cs="黑体"/>
                <w:spacing w:val="-2"/>
                <w:sz w:val="28"/>
                <w:szCs w:val="28"/>
              </w:rPr>
              <w:t>序号</w:t>
            </w:r>
          </w:p>
        </w:tc>
        <w:tc>
          <w:tcPr>
            <w:tcW w:w="1440" w:type="dxa"/>
            <w:vAlign w:val="top"/>
          </w:tcPr>
          <w:p w14:paraId="50B6CB94">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070952F">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B19C867">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41B42FF">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C1BEA8E">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E155C27">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396D403">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10A2F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 w:hRule="atLeast"/>
        </w:trPr>
        <w:tc>
          <w:tcPr>
            <w:tcW w:w="818" w:type="dxa"/>
            <w:vAlign w:val="top"/>
          </w:tcPr>
          <w:p w14:paraId="07505C18">
            <w:pPr>
              <w:rPr>
                <w:rFonts w:ascii="Arial"/>
                <w:sz w:val="21"/>
              </w:rPr>
            </w:pPr>
          </w:p>
        </w:tc>
        <w:tc>
          <w:tcPr>
            <w:tcW w:w="1440" w:type="dxa"/>
            <w:vAlign w:val="top"/>
          </w:tcPr>
          <w:p w14:paraId="6C6A4F16">
            <w:pPr>
              <w:rPr>
                <w:rFonts w:ascii="Arial"/>
                <w:sz w:val="21"/>
              </w:rPr>
            </w:pPr>
          </w:p>
        </w:tc>
        <w:tc>
          <w:tcPr>
            <w:tcW w:w="3202" w:type="dxa"/>
            <w:vAlign w:val="top"/>
          </w:tcPr>
          <w:p w14:paraId="398BA8C0">
            <w:pPr>
              <w:rPr>
                <w:rFonts w:ascii="Arial"/>
                <w:sz w:val="21"/>
              </w:rPr>
            </w:pPr>
          </w:p>
        </w:tc>
        <w:tc>
          <w:tcPr>
            <w:tcW w:w="2859" w:type="dxa"/>
            <w:vAlign w:val="top"/>
          </w:tcPr>
          <w:p w14:paraId="61F09586">
            <w:pPr>
              <w:pStyle w:val="6"/>
              <w:spacing w:before="26" w:line="185" w:lineRule="auto"/>
              <w:ind w:left="116" w:right="110" w:firstLine="2"/>
              <w:jc w:val="both"/>
            </w:pPr>
            <w:r>
              <w:rPr>
                <w:spacing w:val="9"/>
              </w:rPr>
              <w:t>证</w:t>
            </w:r>
            <w:r>
              <w:rPr>
                <w:spacing w:val="5"/>
              </w:rPr>
              <w:t>：（</w:t>
            </w:r>
            <w:r>
              <w:rPr>
                <w:spacing w:val="9"/>
              </w:rPr>
              <w:t>二）将许可证或者</w:t>
            </w:r>
            <w:r>
              <w:rPr>
                <w:spacing w:val="32"/>
              </w:rPr>
              <w:t>备案证明转借他人使用</w:t>
            </w:r>
            <w:r>
              <w:rPr>
                <w:spacing w:val="-10"/>
              </w:rPr>
              <w:t>的；</w:t>
            </w:r>
          </w:p>
        </w:tc>
        <w:tc>
          <w:tcPr>
            <w:tcW w:w="803" w:type="dxa"/>
            <w:vAlign w:val="top"/>
          </w:tcPr>
          <w:p w14:paraId="2287CC5A">
            <w:pPr>
              <w:rPr>
                <w:rFonts w:ascii="Arial"/>
                <w:sz w:val="21"/>
              </w:rPr>
            </w:pPr>
          </w:p>
        </w:tc>
        <w:tc>
          <w:tcPr>
            <w:tcW w:w="2283" w:type="dxa"/>
            <w:vAlign w:val="top"/>
          </w:tcPr>
          <w:p w14:paraId="5FE09A63">
            <w:pPr>
              <w:rPr>
                <w:rFonts w:ascii="Arial"/>
                <w:sz w:val="21"/>
              </w:rPr>
            </w:pPr>
          </w:p>
        </w:tc>
        <w:tc>
          <w:tcPr>
            <w:tcW w:w="2894" w:type="dxa"/>
            <w:vAlign w:val="top"/>
          </w:tcPr>
          <w:p w14:paraId="2050CB4A">
            <w:pPr>
              <w:rPr>
                <w:rFonts w:ascii="Arial"/>
                <w:sz w:val="21"/>
              </w:rPr>
            </w:pPr>
          </w:p>
        </w:tc>
        <w:tc>
          <w:tcPr>
            <w:tcW w:w="811" w:type="dxa"/>
            <w:vAlign w:val="top"/>
          </w:tcPr>
          <w:p w14:paraId="6940C097">
            <w:pPr>
              <w:rPr>
                <w:rFonts w:ascii="Arial"/>
                <w:sz w:val="21"/>
              </w:rPr>
            </w:pPr>
          </w:p>
        </w:tc>
      </w:tr>
      <w:tr w14:paraId="62727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Merge w:val="restart"/>
            <w:tcBorders>
              <w:bottom w:val="nil"/>
            </w:tcBorders>
            <w:vAlign w:val="top"/>
          </w:tcPr>
          <w:p w14:paraId="66679DE0">
            <w:pPr>
              <w:spacing w:line="242" w:lineRule="auto"/>
              <w:rPr>
                <w:rFonts w:ascii="Arial"/>
                <w:sz w:val="21"/>
              </w:rPr>
            </w:pPr>
          </w:p>
          <w:p w14:paraId="470931A7">
            <w:pPr>
              <w:spacing w:line="242" w:lineRule="auto"/>
              <w:rPr>
                <w:rFonts w:ascii="Arial"/>
                <w:sz w:val="21"/>
              </w:rPr>
            </w:pPr>
          </w:p>
          <w:p w14:paraId="35419E1B">
            <w:pPr>
              <w:spacing w:line="242" w:lineRule="auto"/>
              <w:rPr>
                <w:rFonts w:ascii="Arial"/>
                <w:sz w:val="21"/>
              </w:rPr>
            </w:pPr>
          </w:p>
          <w:p w14:paraId="07B4A258">
            <w:pPr>
              <w:spacing w:line="242" w:lineRule="auto"/>
              <w:rPr>
                <w:rFonts w:ascii="Arial"/>
                <w:sz w:val="21"/>
              </w:rPr>
            </w:pPr>
          </w:p>
          <w:p w14:paraId="70CE0729">
            <w:pPr>
              <w:spacing w:line="242" w:lineRule="auto"/>
              <w:rPr>
                <w:rFonts w:ascii="Arial"/>
                <w:sz w:val="21"/>
              </w:rPr>
            </w:pPr>
          </w:p>
          <w:p w14:paraId="3C307541">
            <w:pPr>
              <w:spacing w:line="242" w:lineRule="auto"/>
              <w:rPr>
                <w:rFonts w:ascii="Arial"/>
                <w:sz w:val="21"/>
              </w:rPr>
            </w:pPr>
          </w:p>
          <w:p w14:paraId="4DEF4F4F">
            <w:pPr>
              <w:spacing w:line="242" w:lineRule="auto"/>
              <w:rPr>
                <w:rFonts w:ascii="Arial"/>
                <w:sz w:val="21"/>
              </w:rPr>
            </w:pPr>
          </w:p>
          <w:p w14:paraId="7C101571">
            <w:pPr>
              <w:spacing w:line="242" w:lineRule="auto"/>
              <w:rPr>
                <w:rFonts w:ascii="Arial"/>
                <w:sz w:val="21"/>
              </w:rPr>
            </w:pPr>
          </w:p>
          <w:p w14:paraId="7A184BEC">
            <w:pPr>
              <w:spacing w:line="242" w:lineRule="auto"/>
              <w:rPr>
                <w:rFonts w:ascii="Arial"/>
                <w:sz w:val="21"/>
              </w:rPr>
            </w:pPr>
          </w:p>
          <w:p w14:paraId="37057E36">
            <w:pPr>
              <w:spacing w:line="243" w:lineRule="auto"/>
              <w:rPr>
                <w:rFonts w:ascii="Arial"/>
                <w:sz w:val="21"/>
              </w:rPr>
            </w:pPr>
          </w:p>
          <w:p w14:paraId="5621DB50">
            <w:pPr>
              <w:spacing w:line="243" w:lineRule="auto"/>
              <w:rPr>
                <w:rFonts w:ascii="Arial"/>
                <w:sz w:val="21"/>
              </w:rPr>
            </w:pPr>
          </w:p>
          <w:p w14:paraId="2AA9917A">
            <w:pPr>
              <w:spacing w:line="243" w:lineRule="auto"/>
              <w:rPr>
                <w:rFonts w:ascii="Arial"/>
                <w:sz w:val="21"/>
              </w:rPr>
            </w:pPr>
          </w:p>
          <w:p w14:paraId="1A884913">
            <w:pPr>
              <w:spacing w:line="243" w:lineRule="auto"/>
              <w:rPr>
                <w:rFonts w:ascii="Arial"/>
                <w:sz w:val="21"/>
              </w:rPr>
            </w:pPr>
          </w:p>
          <w:p w14:paraId="563EC9E4">
            <w:pPr>
              <w:spacing w:line="243" w:lineRule="auto"/>
              <w:rPr>
                <w:rFonts w:ascii="Arial"/>
                <w:sz w:val="21"/>
              </w:rPr>
            </w:pPr>
          </w:p>
          <w:p w14:paraId="0347444C">
            <w:pPr>
              <w:spacing w:line="243" w:lineRule="auto"/>
              <w:rPr>
                <w:rFonts w:ascii="Arial"/>
                <w:sz w:val="21"/>
              </w:rPr>
            </w:pPr>
          </w:p>
          <w:p w14:paraId="3F694B0E">
            <w:pPr>
              <w:spacing w:line="243" w:lineRule="auto"/>
              <w:rPr>
                <w:rFonts w:ascii="Arial"/>
                <w:sz w:val="21"/>
              </w:rPr>
            </w:pPr>
          </w:p>
          <w:p w14:paraId="6B528BE3">
            <w:pPr>
              <w:spacing w:before="74" w:line="186" w:lineRule="auto"/>
              <w:ind w:left="161"/>
              <w:rPr>
                <w:rFonts w:ascii="仿宋" w:hAnsi="仿宋" w:eastAsia="仿宋" w:cs="仿宋"/>
                <w:sz w:val="23"/>
                <w:szCs w:val="23"/>
              </w:rPr>
            </w:pPr>
            <w:r>
              <w:rPr>
                <w:rFonts w:ascii="仿宋" w:hAnsi="仿宋" w:eastAsia="仿宋" w:cs="仿宋"/>
                <w:spacing w:val="-5"/>
                <w:sz w:val="23"/>
                <w:szCs w:val="23"/>
              </w:rPr>
              <w:t>165</w:t>
            </w:r>
          </w:p>
        </w:tc>
        <w:tc>
          <w:tcPr>
            <w:tcW w:w="1440" w:type="dxa"/>
            <w:vMerge w:val="restart"/>
            <w:tcBorders>
              <w:bottom w:val="nil"/>
            </w:tcBorders>
            <w:vAlign w:val="top"/>
          </w:tcPr>
          <w:p w14:paraId="2151C81E">
            <w:pPr>
              <w:spacing w:line="246" w:lineRule="auto"/>
              <w:rPr>
                <w:rFonts w:ascii="Arial"/>
                <w:sz w:val="21"/>
              </w:rPr>
            </w:pPr>
          </w:p>
          <w:p w14:paraId="290AEEB7">
            <w:pPr>
              <w:spacing w:line="247" w:lineRule="auto"/>
              <w:rPr>
                <w:rFonts w:ascii="Arial"/>
                <w:sz w:val="21"/>
              </w:rPr>
            </w:pPr>
          </w:p>
          <w:p w14:paraId="272F2D93">
            <w:pPr>
              <w:spacing w:line="247" w:lineRule="auto"/>
              <w:rPr>
                <w:rFonts w:ascii="Arial"/>
                <w:sz w:val="21"/>
              </w:rPr>
            </w:pPr>
          </w:p>
          <w:p w14:paraId="671712DA">
            <w:pPr>
              <w:spacing w:line="247" w:lineRule="auto"/>
              <w:rPr>
                <w:rFonts w:ascii="Arial"/>
                <w:sz w:val="21"/>
              </w:rPr>
            </w:pPr>
          </w:p>
          <w:p w14:paraId="6CEDC8E7">
            <w:pPr>
              <w:spacing w:line="247" w:lineRule="auto"/>
              <w:rPr>
                <w:rFonts w:ascii="Arial"/>
                <w:sz w:val="21"/>
              </w:rPr>
            </w:pPr>
          </w:p>
          <w:p w14:paraId="756FE822">
            <w:pPr>
              <w:spacing w:line="247" w:lineRule="auto"/>
              <w:rPr>
                <w:rFonts w:ascii="Arial"/>
                <w:sz w:val="21"/>
              </w:rPr>
            </w:pPr>
          </w:p>
          <w:p w14:paraId="7CE800B6">
            <w:pPr>
              <w:spacing w:line="247" w:lineRule="auto"/>
              <w:rPr>
                <w:rFonts w:ascii="Arial"/>
                <w:sz w:val="21"/>
              </w:rPr>
            </w:pPr>
          </w:p>
          <w:p w14:paraId="7BD0C463">
            <w:pPr>
              <w:spacing w:line="247" w:lineRule="auto"/>
              <w:rPr>
                <w:rFonts w:ascii="Arial"/>
                <w:sz w:val="21"/>
              </w:rPr>
            </w:pPr>
          </w:p>
          <w:p w14:paraId="5AC84086">
            <w:pPr>
              <w:spacing w:line="247" w:lineRule="auto"/>
              <w:rPr>
                <w:rFonts w:ascii="Arial"/>
                <w:sz w:val="21"/>
              </w:rPr>
            </w:pPr>
          </w:p>
          <w:p w14:paraId="7A39E4D1">
            <w:pPr>
              <w:spacing w:line="247" w:lineRule="auto"/>
              <w:rPr>
                <w:rFonts w:ascii="Arial"/>
                <w:sz w:val="21"/>
              </w:rPr>
            </w:pPr>
          </w:p>
          <w:p w14:paraId="7C962682">
            <w:pPr>
              <w:spacing w:line="247" w:lineRule="auto"/>
              <w:rPr>
                <w:rFonts w:ascii="Arial"/>
                <w:sz w:val="21"/>
              </w:rPr>
            </w:pPr>
          </w:p>
          <w:p w14:paraId="0FA4A465">
            <w:pPr>
              <w:spacing w:line="247" w:lineRule="auto"/>
              <w:rPr>
                <w:rFonts w:ascii="Arial"/>
                <w:sz w:val="21"/>
              </w:rPr>
            </w:pPr>
          </w:p>
          <w:p w14:paraId="6058B086">
            <w:pPr>
              <w:spacing w:line="247" w:lineRule="auto"/>
              <w:rPr>
                <w:rFonts w:ascii="Arial"/>
                <w:sz w:val="21"/>
              </w:rPr>
            </w:pPr>
          </w:p>
          <w:p w14:paraId="5866D6EB">
            <w:pPr>
              <w:pStyle w:val="6"/>
              <w:spacing w:before="98" w:line="188" w:lineRule="auto"/>
              <w:ind w:left="128" w:right="36" w:hanging="13"/>
              <w:jc w:val="both"/>
            </w:pPr>
            <w:r>
              <w:rPr>
                <w:spacing w:val="11"/>
              </w:rPr>
              <w:t>超出许可的</w:t>
            </w:r>
            <w:r>
              <w:rPr>
                <w:spacing w:val="-19"/>
              </w:rPr>
              <w:t>品种、数量，</w:t>
            </w:r>
            <w:r>
              <w:rPr>
                <w:spacing w:val="8"/>
              </w:rPr>
              <w:t>生产、经营易制毒化学</w:t>
            </w:r>
            <w:r>
              <w:rPr>
                <w:spacing w:val="-3"/>
              </w:rPr>
              <w:t>品的</w:t>
            </w:r>
          </w:p>
        </w:tc>
        <w:tc>
          <w:tcPr>
            <w:tcW w:w="3202" w:type="dxa"/>
            <w:vMerge w:val="restart"/>
            <w:tcBorders>
              <w:bottom w:val="nil"/>
            </w:tcBorders>
            <w:vAlign w:val="top"/>
          </w:tcPr>
          <w:p w14:paraId="31741C71">
            <w:pPr>
              <w:pStyle w:val="6"/>
              <w:spacing w:before="35" w:line="182" w:lineRule="auto"/>
              <w:ind w:left="116" w:right="111" w:firstLine="14"/>
            </w:pPr>
            <w:r>
              <w:rPr>
                <w:rFonts w:ascii="宋体" w:hAnsi="宋体" w:eastAsia="宋体" w:cs="宋体"/>
                <w:spacing w:val="14"/>
              </w:rPr>
              <w:t>1.</w:t>
            </w:r>
            <w:r>
              <w:rPr>
                <w:spacing w:val="14"/>
              </w:rPr>
              <w:t>【行政法规】《易制毒化</w:t>
            </w:r>
            <w:r>
              <w:rPr>
                <w:spacing w:val="13"/>
              </w:rPr>
              <w:t>学品管理条例》第十三条：</w:t>
            </w:r>
            <w:r>
              <w:rPr>
                <w:spacing w:val="17"/>
              </w:rPr>
              <w:t>生产第二类、第三类易制毒</w:t>
            </w:r>
            <w:r>
              <w:rPr>
                <w:spacing w:val="13"/>
              </w:rPr>
              <w:t>化学品的，应当自生产之日</w:t>
            </w:r>
            <w:r>
              <w:t>起</w:t>
            </w:r>
            <w:r>
              <w:rPr>
                <w:rFonts w:ascii="宋体" w:hAnsi="宋体" w:eastAsia="宋体" w:cs="宋体"/>
              </w:rPr>
              <w:t>30</w:t>
            </w:r>
            <w:r>
              <w:t>日内，将生产的品种、</w:t>
            </w:r>
            <w:r>
              <w:rPr>
                <w:spacing w:val="10"/>
              </w:rPr>
              <w:t>数量等情况，向所在地的设</w:t>
            </w:r>
            <w:r>
              <w:rPr>
                <w:spacing w:val="17"/>
              </w:rPr>
              <w:t>区的市级人民政府安全生产</w:t>
            </w:r>
            <w:r>
              <w:rPr>
                <w:spacing w:val="4"/>
              </w:rPr>
              <w:t>监督管理部门备案。</w:t>
            </w:r>
          </w:p>
          <w:p w14:paraId="3C37A68B">
            <w:pPr>
              <w:pStyle w:val="6"/>
              <w:spacing w:before="8" w:line="182" w:lineRule="auto"/>
              <w:ind w:left="116" w:right="107" w:firstLine="6"/>
            </w:pPr>
            <w:r>
              <w:rPr>
                <w:spacing w:val="39"/>
              </w:rPr>
              <w:t>经营第二类易制毒化学品</w:t>
            </w:r>
            <w:r>
              <w:t>的，应当自经营之日起</w:t>
            </w:r>
            <w:r>
              <w:rPr>
                <w:rFonts w:ascii="宋体" w:hAnsi="宋体" w:eastAsia="宋体" w:cs="宋体"/>
              </w:rPr>
              <w:t>30</w:t>
            </w:r>
            <w:r>
              <w:t>日</w:t>
            </w:r>
            <w:r>
              <w:rPr>
                <w:spacing w:val="11"/>
              </w:rPr>
              <w:t>内，将经营的品种、数量、</w:t>
            </w:r>
            <w:r>
              <w:rPr>
                <w:spacing w:val="10"/>
              </w:rPr>
              <w:t>主要流向等情况，向所在地</w:t>
            </w:r>
            <w:r>
              <w:rPr>
                <w:spacing w:val="17"/>
              </w:rPr>
              <w:t>的设区的市级人民政府安全</w:t>
            </w:r>
            <w:r>
              <w:rPr>
                <w:spacing w:val="13"/>
              </w:rPr>
              <w:t>生产监督管理部门备案；经营第三类易制毒化学品的，</w:t>
            </w:r>
            <w:r>
              <w:rPr>
                <w:spacing w:val="1"/>
              </w:rPr>
              <w:t>应当自经营之日起</w:t>
            </w:r>
            <w:r>
              <w:rPr>
                <w:rFonts w:ascii="宋体" w:hAnsi="宋体" w:eastAsia="宋体" w:cs="宋体"/>
                <w:spacing w:val="1"/>
              </w:rPr>
              <w:t>30</w:t>
            </w:r>
            <w:r>
              <w:rPr>
                <w:spacing w:val="1"/>
              </w:rPr>
              <w:t>日内，</w:t>
            </w:r>
            <w:r>
              <w:rPr>
                <w:spacing w:val="17"/>
              </w:rPr>
              <w:t>将经营的品种、数量、主要</w:t>
            </w:r>
            <w:r>
              <w:rPr>
                <w:spacing w:val="10"/>
              </w:rPr>
              <w:t>流向等情况，向所在地的县</w:t>
            </w:r>
            <w:r>
              <w:rPr>
                <w:spacing w:val="17"/>
              </w:rPr>
              <w:t>级人民政府安全生产监督管</w:t>
            </w:r>
            <w:r>
              <w:rPr>
                <w:spacing w:val="1"/>
              </w:rPr>
              <w:t>理部门备案。</w:t>
            </w:r>
          </w:p>
          <w:p w14:paraId="64A1C9BB">
            <w:pPr>
              <w:pStyle w:val="6"/>
              <w:spacing w:before="2" w:line="182" w:lineRule="auto"/>
              <w:ind w:left="119" w:right="111" w:firstLine="1"/>
              <w:jc w:val="both"/>
            </w:pPr>
            <w:r>
              <w:rPr>
                <w:spacing w:val="17"/>
              </w:rPr>
              <w:t>前两款规定的行政主管部门应当于收到备案材料的当日</w:t>
            </w:r>
            <w:r>
              <w:rPr>
                <w:spacing w:val="2"/>
              </w:rPr>
              <w:t>发给备案证明。</w:t>
            </w:r>
          </w:p>
          <w:p w14:paraId="6C9260A5">
            <w:pPr>
              <w:pStyle w:val="6"/>
              <w:spacing w:line="177" w:lineRule="auto"/>
              <w:ind w:left="126" w:right="111" w:hanging="10"/>
              <w:jc w:val="both"/>
            </w:pPr>
            <w:r>
              <w:rPr>
                <w:rFonts w:ascii="宋体" w:hAnsi="宋体" w:eastAsia="宋体" w:cs="宋体"/>
                <w:spacing w:val="15"/>
              </w:rPr>
              <w:t>2.</w:t>
            </w:r>
            <w:r>
              <w:rPr>
                <w:spacing w:val="15"/>
              </w:rPr>
              <w:t>【部门规章】《非药品类</w:t>
            </w:r>
            <w:r>
              <w:rPr>
                <w:spacing w:val="16"/>
              </w:rPr>
              <w:t>易制毒化学品生产、经营许</w:t>
            </w:r>
            <w:r>
              <w:rPr>
                <w:spacing w:val="11"/>
              </w:rPr>
              <w:t>可办法》第五条：生产、经</w:t>
            </w:r>
            <w:r>
              <w:rPr>
                <w:spacing w:val="16"/>
              </w:rPr>
              <w:t>营第一类非药品类易制毒化</w:t>
            </w:r>
          </w:p>
        </w:tc>
        <w:tc>
          <w:tcPr>
            <w:tcW w:w="2859" w:type="dxa"/>
            <w:vMerge w:val="restart"/>
            <w:tcBorders>
              <w:bottom w:val="nil"/>
            </w:tcBorders>
            <w:vAlign w:val="top"/>
          </w:tcPr>
          <w:p w14:paraId="0563CD71">
            <w:pPr>
              <w:pStyle w:val="6"/>
              <w:spacing w:before="39" w:line="182" w:lineRule="auto"/>
              <w:ind w:left="118" w:firstLine="12"/>
              <w:jc w:val="both"/>
            </w:pPr>
            <w:r>
              <w:rPr>
                <w:rFonts w:ascii="宋体" w:hAnsi="宋体" w:eastAsia="宋体" w:cs="宋体"/>
                <w:spacing w:val="5"/>
              </w:rPr>
              <w:t>1.</w:t>
            </w:r>
            <w:r>
              <w:rPr>
                <w:spacing w:val="5"/>
              </w:rPr>
              <w:t>【行政法规】《易制毒</w:t>
            </w:r>
            <w:r>
              <w:rPr>
                <w:spacing w:val="7"/>
              </w:rPr>
              <w:t>化学品管理条例》第四十条第一款第三项：违反本条例规定，有下列行为之一的，由负有监督管理职责的行政主管部门给予警</w:t>
            </w:r>
            <w:r>
              <w:rPr>
                <w:spacing w:val="2"/>
              </w:rPr>
              <w:t>告，责令限期改正，处</w:t>
            </w:r>
            <w:r>
              <w:rPr>
                <w:rFonts w:ascii="宋体" w:hAnsi="宋体" w:eastAsia="宋体" w:cs="宋体"/>
                <w:spacing w:val="2"/>
              </w:rPr>
              <w:t>1</w:t>
            </w:r>
            <w:r>
              <w:rPr>
                <w:spacing w:val="3"/>
              </w:rPr>
              <w:t>万元以上</w:t>
            </w:r>
            <w:r>
              <w:rPr>
                <w:rFonts w:ascii="宋体" w:hAnsi="宋体" w:eastAsia="宋体" w:cs="宋体"/>
                <w:spacing w:val="3"/>
              </w:rPr>
              <w:t>5</w:t>
            </w:r>
            <w:r>
              <w:rPr>
                <w:spacing w:val="3"/>
              </w:rPr>
              <w:t>万元以下的罚</w:t>
            </w:r>
            <w:r>
              <w:rPr>
                <w:spacing w:val="7"/>
              </w:rPr>
              <w:t>款；对违反规定生产、经营、购买的易制毒化学品可以予以没收；逾期不改正的，责令限期停产停业</w:t>
            </w:r>
            <w:r>
              <w:rPr>
                <w:spacing w:val="-7"/>
              </w:rPr>
              <w:t>整顿；逾期整顿不合格的，</w:t>
            </w:r>
            <w:r>
              <w:rPr>
                <w:spacing w:val="-4"/>
              </w:rPr>
              <w:t>吊销相应的许可证</w:t>
            </w:r>
            <w:r>
              <w:rPr>
                <w:spacing w:val="7"/>
              </w:rPr>
              <w:t>：（</w:t>
            </w:r>
            <w:r>
              <w:rPr>
                <w:spacing w:val="-4"/>
              </w:rPr>
              <w:t>三）</w:t>
            </w:r>
          </w:p>
          <w:p w14:paraId="76AC1727">
            <w:pPr>
              <w:pStyle w:val="6"/>
              <w:spacing w:line="182" w:lineRule="auto"/>
              <w:ind w:left="117"/>
              <w:outlineLvl w:val="0"/>
            </w:pPr>
            <w:r>
              <w:rPr>
                <w:spacing w:val="8"/>
              </w:rPr>
              <w:t>超出许可的品种、数量生</w:t>
            </w:r>
          </w:p>
          <w:p w14:paraId="7CE3BA7D">
            <w:pPr>
              <w:pStyle w:val="6"/>
              <w:spacing w:before="1" w:line="182" w:lineRule="auto"/>
              <w:ind w:left="130" w:right="110" w:hanging="11"/>
            </w:pPr>
            <w:r>
              <w:rPr>
                <w:spacing w:val="8"/>
              </w:rPr>
              <w:t>产、经营、购买易制毒化</w:t>
            </w:r>
            <w:r>
              <w:rPr>
                <w:spacing w:val="-7"/>
              </w:rPr>
              <w:t>学品的；</w:t>
            </w:r>
          </w:p>
          <w:p w14:paraId="0EE6E9C7">
            <w:pPr>
              <w:pStyle w:val="6"/>
              <w:spacing w:before="5" w:line="180" w:lineRule="auto"/>
              <w:ind w:left="116" w:right="19"/>
              <w:jc w:val="both"/>
            </w:pPr>
            <w:r>
              <w:rPr>
                <w:rFonts w:ascii="宋体" w:hAnsi="宋体" w:eastAsia="宋体" w:cs="宋体"/>
                <w:spacing w:val="7"/>
              </w:rPr>
              <w:t>2.</w:t>
            </w:r>
            <w:r>
              <w:rPr>
                <w:spacing w:val="7"/>
              </w:rPr>
              <w:t>【部门规章】《非药品</w:t>
            </w:r>
            <w:r>
              <w:rPr>
                <w:spacing w:val="8"/>
              </w:rPr>
              <w:t>类易制毒化学品生产、经营许可办法》第三十条第三项：对于有下列行为之一的，由县级以上人民政府安全生产监督管理部门</w:t>
            </w:r>
            <w:r>
              <w:rPr>
                <w:spacing w:val="-6"/>
              </w:rPr>
              <w:t>给予警告，责令限期改正，</w:t>
            </w:r>
            <w:r>
              <w:t>处</w:t>
            </w:r>
            <w:r>
              <w:rPr>
                <w:rFonts w:ascii="宋体" w:hAnsi="宋体" w:eastAsia="宋体" w:cs="宋体"/>
              </w:rPr>
              <w:t>1</w:t>
            </w:r>
            <w:r>
              <w:t>万元以上</w:t>
            </w:r>
            <w:r>
              <w:rPr>
                <w:rFonts w:ascii="宋体" w:hAnsi="宋体" w:eastAsia="宋体" w:cs="宋体"/>
              </w:rPr>
              <w:t>5</w:t>
            </w:r>
            <w:r>
              <w:t>万元以下</w:t>
            </w:r>
            <w:r>
              <w:rPr>
                <w:spacing w:val="-4"/>
              </w:rPr>
              <w:t>的罚款；对违反规定生产、</w:t>
            </w:r>
            <w:r>
              <w:rPr>
                <w:spacing w:val="8"/>
              </w:rPr>
              <w:t>经营的非药品类易制毒化</w:t>
            </w:r>
          </w:p>
        </w:tc>
        <w:tc>
          <w:tcPr>
            <w:tcW w:w="803" w:type="dxa"/>
            <w:vAlign w:val="top"/>
          </w:tcPr>
          <w:p w14:paraId="60D5A39C">
            <w:pPr>
              <w:spacing w:line="260" w:lineRule="auto"/>
              <w:rPr>
                <w:rFonts w:ascii="Arial"/>
                <w:sz w:val="21"/>
              </w:rPr>
            </w:pPr>
          </w:p>
          <w:p w14:paraId="140C710E">
            <w:pPr>
              <w:spacing w:line="260" w:lineRule="auto"/>
              <w:rPr>
                <w:rFonts w:ascii="Arial"/>
                <w:sz w:val="21"/>
              </w:rPr>
            </w:pPr>
          </w:p>
          <w:p w14:paraId="4F484C74">
            <w:pPr>
              <w:spacing w:line="260" w:lineRule="auto"/>
              <w:rPr>
                <w:rFonts w:ascii="Arial"/>
                <w:sz w:val="21"/>
              </w:rPr>
            </w:pPr>
          </w:p>
          <w:p w14:paraId="1FC94ECC">
            <w:pPr>
              <w:spacing w:line="260" w:lineRule="auto"/>
              <w:rPr>
                <w:rFonts w:ascii="Arial"/>
                <w:sz w:val="21"/>
              </w:rPr>
            </w:pPr>
          </w:p>
          <w:p w14:paraId="543362CC">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49DCF79">
            <w:pPr>
              <w:spacing w:line="339" w:lineRule="auto"/>
              <w:rPr>
                <w:rFonts w:ascii="Arial"/>
                <w:sz w:val="21"/>
              </w:rPr>
            </w:pPr>
          </w:p>
          <w:p w14:paraId="7B4FD112">
            <w:pPr>
              <w:spacing w:line="339" w:lineRule="auto"/>
              <w:rPr>
                <w:rFonts w:ascii="Arial"/>
                <w:sz w:val="21"/>
              </w:rPr>
            </w:pPr>
          </w:p>
          <w:p w14:paraId="114A8C0F">
            <w:pPr>
              <w:pStyle w:val="6"/>
              <w:spacing w:before="99" w:line="191" w:lineRule="auto"/>
              <w:ind w:left="120" w:right="105" w:hanging="3"/>
              <w:jc w:val="both"/>
            </w:pPr>
            <w:r>
              <w:rPr>
                <w:spacing w:val="25"/>
              </w:rPr>
              <w:t>超出许可的品种</w:t>
            </w:r>
            <w:r>
              <w:rPr>
                <w:rFonts w:ascii="宋体" w:hAnsi="宋体" w:eastAsia="宋体" w:cs="宋体"/>
                <w:spacing w:val="25"/>
              </w:rPr>
              <w:t>1</w:t>
            </w:r>
            <w:r>
              <w:rPr>
                <w:spacing w:val="-3"/>
              </w:rPr>
              <w:t>种，或者超出许可数</w:t>
            </w:r>
            <w:r>
              <w:rPr>
                <w:spacing w:val="1"/>
              </w:rPr>
              <w:t>量</w:t>
            </w:r>
            <w:r>
              <w:rPr>
                <w:rFonts w:ascii="宋体" w:hAnsi="宋体" w:eastAsia="宋体" w:cs="宋体"/>
                <w:spacing w:val="1"/>
              </w:rPr>
              <w:t>10%</w:t>
            </w:r>
            <w:r>
              <w:rPr>
                <w:spacing w:val="1"/>
              </w:rPr>
              <w:t>以下的</w:t>
            </w:r>
          </w:p>
        </w:tc>
        <w:tc>
          <w:tcPr>
            <w:tcW w:w="2894" w:type="dxa"/>
            <w:vAlign w:val="top"/>
          </w:tcPr>
          <w:p w14:paraId="3E0C0D00">
            <w:pPr>
              <w:pStyle w:val="6"/>
              <w:spacing w:before="26" w:line="180" w:lineRule="auto"/>
              <w:ind w:left="119" w:right="18" w:firstLine="7"/>
              <w:jc w:val="both"/>
            </w:pPr>
            <w:r>
              <w:rPr>
                <w:spacing w:val="-3"/>
              </w:rPr>
              <w:t>给予警告，责令限期改正，</w:t>
            </w:r>
            <w:r>
              <w:rPr>
                <w:spacing w:val="2"/>
              </w:rPr>
              <w:t>处</w:t>
            </w:r>
            <w:r>
              <w:rPr>
                <w:rFonts w:ascii="宋体" w:hAnsi="宋体" w:eastAsia="宋体" w:cs="宋体"/>
                <w:spacing w:val="2"/>
              </w:rPr>
              <w:t>1</w:t>
            </w:r>
            <w:r>
              <w:rPr>
                <w:spacing w:val="2"/>
              </w:rPr>
              <w:t>万元以上</w:t>
            </w:r>
            <w:r>
              <w:rPr>
                <w:rFonts w:ascii="宋体" w:hAnsi="宋体" w:eastAsia="宋体" w:cs="宋体"/>
                <w:spacing w:val="2"/>
              </w:rPr>
              <w:t>2</w:t>
            </w:r>
            <w:r>
              <w:rPr>
                <w:spacing w:val="2"/>
              </w:rPr>
              <w:t>万元以下</w:t>
            </w:r>
            <w:r>
              <w:rPr>
                <w:spacing w:val="-1"/>
              </w:rPr>
              <w:t>的罚款；对违反规定生产、</w:t>
            </w:r>
            <w:r>
              <w:rPr>
                <w:spacing w:val="11"/>
              </w:rPr>
              <w:t>经营、购买的易制毒化学</w:t>
            </w:r>
            <w:r>
              <w:rPr>
                <w:spacing w:val="9"/>
              </w:rPr>
              <w:t>品可以予以没收；逾期不</w:t>
            </w:r>
            <w:r>
              <w:rPr>
                <w:spacing w:val="8"/>
              </w:rPr>
              <w:t>改正的，责令限期停产停</w:t>
            </w:r>
            <w:r>
              <w:rPr>
                <w:spacing w:val="9"/>
              </w:rPr>
              <w:t>业整顿；逾期整顿不合格</w:t>
            </w:r>
            <w:r>
              <w:rPr>
                <w:spacing w:val="8"/>
              </w:rPr>
              <w:t>的，吊销相应的许可证</w:t>
            </w:r>
          </w:p>
        </w:tc>
        <w:tc>
          <w:tcPr>
            <w:tcW w:w="811" w:type="dxa"/>
            <w:vMerge w:val="restart"/>
            <w:tcBorders>
              <w:bottom w:val="nil"/>
            </w:tcBorders>
            <w:vAlign w:val="top"/>
          </w:tcPr>
          <w:p w14:paraId="74128146">
            <w:pPr>
              <w:spacing w:line="242" w:lineRule="auto"/>
              <w:rPr>
                <w:rFonts w:ascii="Arial"/>
                <w:sz w:val="21"/>
              </w:rPr>
            </w:pPr>
          </w:p>
          <w:p w14:paraId="46481BA5">
            <w:pPr>
              <w:spacing w:line="242" w:lineRule="auto"/>
              <w:rPr>
                <w:rFonts w:ascii="Arial"/>
                <w:sz w:val="21"/>
              </w:rPr>
            </w:pPr>
          </w:p>
          <w:p w14:paraId="27F1B287">
            <w:pPr>
              <w:spacing w:line="242" w:lineRule="auto"/>
              <w:rPr>
                <w:rFonts w:ascii="Arial"/>
                <w:sz w:val="21"/>
              </w:rPr>
            </w:pPr>
          </w:p>
          <w:p w14:paraId="583365E7">
            <w:pPr>
              <w:spacing w:line="242" w:lineRule="auto"/>
              <w:rPr>
                <w:rFonts w:ascii="Arial"/>
                <w:sz w:val="21"/>
              </w:rPr>
            </w:pPr>
          </w:p>
          <w:p w14:paraId="2C52324E">
            <w:pPr>
              <w:spacing w:line="242" w:lineRule="auto"/>
              <w:rPr>
                <w:rFonts w:ascii="Arial"/>
                <w:sz w:val="21"/>
              </w:rPr>
            </w:pPr>
          </w:p>
          <w:p w14:paraId="20CE7EC0">
            <w:pPr>
              <w:spacing w:line="242" w:lineRule="auto"/>
              <w:rPr>
                <w:rFonts w:ascii="Arial"/>
                <w:sz w:val="21"/>
              </w:rPr>
            </w:pPr>
          </w:p>
          <w:p w14:paraId="59489062">
            <w:pPr>
              <w:spacing w:line="242" w:lineRule="auto"/>
              <w:rPr>
                <w:rFonts w:ascii="Arial"/>
                <w:sz w:val="21"/>
              </w:rPr>
            </w:pPr>
          </w:p>
          <w:p w14:paraId="6D59995F">
            <w:pPr>
              <w:spacing w:line="242" w:lineRule="auto"/>
              <w:rPr>
                <w:rFonts w:ascii="Arial"/>
                <w:sz w:val="21"/>
              </w:rPr>
            </w:pPr>
          </w:p>
          <w:p w14:paraId="04E8055F">
            <w:pPr>
              <w:spacing w:line="242" w:lineRule="auto"/>
              <w:rPr>
                <w:rFonts w:ascii="Arial"/>
                <w:sz w:val="21"/>
              </w:rPr>
            </w:pPr>
          </w:p>
          <w:p w14:paraId="2523E5D7">
            <w:pPr>
              <w:spacing w:line="242" w:lineRule="auto"/>
              <w:rPr>
                <w:rFonts w:ascii="Arial"/>
                <w:sz w:val="21"/>
              </w:rPr>
            </w:pPr>
          </w:p>
          <w:p w14:paraId="1600456E">
            <w:pPr>
              <w:spacing w:line="242" w:lineRule="auto"/>
              <w:rPr>
                <w:rFonts w:ascii="Arial"/>
                <w:sz w:val="21"/>
              </w:rPr>
            </w:pPr>
          </w:p>
          <w:p w14:paraId="58685F96">
            <w:pPr>
              <w:spacing w:line="242" w:lineRule="auto"/>
              <w:rPr>
                <w:rFonts w:ascii="Arial"/>
                <w:sz w:val="21"/>
              </w:rPr>
            </w:pPr>
          </w:p>
          <w:p w14:paraId="7E87DB3B">
            <w:pPr>
              <w:spacing w:line="242" w:lineRule="auto"/>
              <w:rPr>
                <w:rFonts w:ascii="Arial"/>
                <w:sz w:val="21"/>
              </w:rPr>
            </w:pPr>
          </w:p>
          <w:p w14:paraId="6FAE76EF">
            <w:pPr>
              <w:spacing w:line="243" w:lineRule="auto"/>
              <w:rPr>
                <w:rFonts w:ascii="Arial"/>
                <w:sz w:val="21"/>
              </w:rPr>
            </w:pPr>
          </w:p>
          <w:p w14:paraId="39C267DD">
            <w:pPr>
              <w:spacing w:line="243" w:lineRule="auto"/>
              <w:rPr>
                <w:rFonts w:ascii="Arial"/>
                <w:sz w:val="21"/>
              </w:rPr>
            </w:pPr>
          </w:p>
          <w:p w14:paraId="77657607">
            <w:pPr>
              <w:spacing w:line="243" w:lineRule="auto"/>
              <w:rPr>
                <w:rFonts w:ascii="Arial"/>
                <w:sz w:val="21"/>
              </w:rPr>
            </w:pPr>
          </w:p>
          <w:p w14:paraId="2359A414">
            <w:pPr>
              <w:spacing w:before="75" w:line="189" w:lineRule="auto"/>
              <w:ind w:left="248"/>
              <w:rPr>
                <w:rFonts w:ascii="宋体" w:hAnsi="宋体" w:eastAsia="宋体" w:cs="宋体"/>
                <w:sz w:val="23"/>
                <w:szCs w:val="23"/>
              </w:rPr>
            </w:pPr>
            <w:r>
              <w:rPr>
                <w:rFonts w:ascii="宋体" w:hAnsi="宋体" w:eastAsia="宋体" w:cs="宋体"/>
                <w:spacing w:val="-6"/>
                <w:sz w:val="23"/>
                <w:szCs w:val="23"/>
              </w:rPr>
              <w:t>128</w:t>
            </w:r>
          </w:p>
        </w:tc>
      </w:tr>
      <w:tr w14:paraId="2C1BD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6" w:hRule="atLeast"/>
        </w:trPr>
        <w:tc>
          <w:tcPr>
            <w:tcW w:w="818" w:type="dxa"/>
            <w:vMerge w:val="continue"/>
            <w:tcBorders>
              <w:top w:val="nil"/>
              <w:bottom w:val="nil"/>
            </w:tcBorders>
            <w:vAlign w:val="top"/>
          </w:tcPr>
          <w:p w14:paraId="7321D03D">
            <w:pPr>
              <w:rPr>
                <w:rFonts w:ascii="Arial"/>
                <w:sz w:val="21"/>
              </w:rPr>
            </w:pPr>
          </w:p>
        </w:tc>
        <w:tc>
          <w:tcPr>
            <w:tcW w:w="1440" w:type="dxa"/>
            <w:vMerge w:val="continue"/>
            <w:tcBorders>
              <w:top w:val="nil"/>
              <w:bottom w:val="nil"/>
            </w:tcBorders>
            <w:vAlign w:val="top"/>
          </w:tcPr>
          <w:p w14:paraId="7D7DAE15">
            <w:pPr>
              <w:rPr>
                <w:rFonts w:ascii="Arial"/>
                <w:sz w:val="21"/>
              </w:rPr>
            </w:pPr>
          </w:p>
        </w:tc>
        <w:tc>
          <w:tcPr>
            <w:tcW w:w="3202" w:type="dxa"/>
            <w:vMerge w:val="continue"/>
            <w:tcBorders>
              <w:top w:val="nil"/>
              <w:bottom w:val="nil"/>
            </w:tcBorders>
            <w:vAlign w:val="top"/>
          </w:tcPr>
          <w:p w14:paraId="1DE61ADD">
            <w:pPr>
              <w:rPr>
                <w:rFonts w:ascii="Arial"/>
                <w:sz w:val="21"/>
              </w:rPr>
            </w:pPr>
          </w:p>
        </w:tc>
        <w:tc>
          <w:tcPr>
            <w:tcW w:w="2859" w:type="dxa"/>
            <w:vMerge w:val="continue"/>
            <w:tcBorders>
              <w:top w:val="nil"/>
              <w:bottom w:val="nil"/>
            </w:tcBorders>
            <w:vAlign w:val="top"/>
          </w:tcPr>
          <w:p w14:paraId="38A0C1C0">
            <w:pPr>
              <w:rPr>
                <w:rFonts w:ascii="Arial"/>
                <w:sz w:val="21"/>
              </w:rPr>
            </w:pPr>
          </w:p>
        </w:tc>
        <w:tc>
          <w:tcPr>
            <w:tcW w:w="803" w:type="dxa"/>
            <w:vAlign w:val="top"/>
          </w:tcPr>
          <w:p w14:paraId="370A2031">
            <w:pPr>
              <w:spacing w:line="296" w:lineRule="auto"/>
              <w:rPr>
                <w:rFonts w:ascii="Arial"/>
                <w:sz w:val="21"/>
              </w:rPr>
            </w:pPr>
          </w:p>
          <w:p w14:paraId="38AF1866">
            <w:pPr>
              <w:spacing w:line="296" w:lineRule="auto"/>
              <w:rPr>
                <w:rFonts w:ascii="Arial"/>
                <w:sz w:val="21"/>
              </w:rPr>
            </w:pPr>
          </w:p>
          <w:p w14:paraId="0894E0F8">
            <w:pPr>
              <w:spacing w:line="296" w:lineRule="auto"/>
              <w:rPr>
                <w:rFonts w:ascii="Arial"/>
                <w:sz w:val="21"/>
              </w:rPr>
            </w:pPr>
          </w:p>
          <w:p w14:paraId="41AAB55F">
            <w:pPr>
              <w:spacing w:line="297" w:lineRule="auto"/>
              <w:rPr>
                <w:rFonts w:ascii="Arial"/>
                <w:sz w:val="21"/>
              </w:rPr>
            </w:pPr>
          </w:p>
          <w:p w14:paraId="27832E3F">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EFF1127">
            <w:pPr>
              <w:spacing w:line="333" w:lineRule="auto"/>
              <w:rPr>
                <w:rFonts w:ascii="Arial"/>
                <w:sz w:val="21"/>
              </w:rPr>
            </w:pPr>
          </w:p>
          <w:p w14:paraId="43DC6726">
            <w:pPr>
              <w:spacing w:line="334" w:lineRule="auto"/>
              <w:rPr>
                <w:rFonts w:ascii="Arial"/>
                <w:sz w:val="21"/>
              </w:rPr>
            </w:pPr>
          </w:p>
          <w:p w14:paraId="353EACC5">
            <w:pPr>
              <w:pStyle w:val="6"/>
              <w:spacing w:before="99" w:line="190" w:lineRule="auto"/>
              <w:ind w:left="120" w:right="105" w:hanging="3"/>
              <w:jc w:val="both"/>
            </w:pPr>
            <w:r>
              <w:rPr>
                <w:spacing w:val="27"/>
              </w:rPr>
              <w:t>超出许可的品种</w:t>
            </w:r>
            <w:r>
              <w:rPr>
                <w:rFonts w:ascii="宋体" w:hAnsi="宋体" w:eastAsia="宋体" w:cs="宋体"/>
                <w:spacing w:val="27"/>
              </w:rPr>
              <w:t>2</w:t>
            </w:r>
            <w:r>
              <w:rPr>
                <w:spacing w:val="-3"/>
              </w:rPr>
              <w:t>种，或者超出许可数</w:t>
            </w:r>
            <w:r>
              <w:t>量</w:t>
            </w:r>
            <w:r>
              <w:rPr>
                <w:rFonts w:ascii="宋体" w:hAnsi="宋体" w:eastAsia="宋体" w:cs="宋体"/>
              </w:rPr>
              <w:t>10%</w:t>
            </w:r>
            <w:r>
              <w:t>以上</w:t>
            </w:r>
            <w:r>
              <w:rPr>
                <w:rFonts w:ascii="宋体" w:hAnsi="宋体" w:eastAsia="宋体" w:cs="宋体"/>
              </w:rPr>
              <w:t>30%</w:t>
            </w:r>
            <w:r>
              <w:t>以下的</w:t>
            </w:r>
          </w:p>
        </w:tc>
        <w:tc>
          <w:tcPr>
            <w:tcW w:w="2894" w:type="dxa"/>
            <w:vAlign w:val="top"/>
          </w:tcPr>
          <w:p w14:paraId="4B2E9103">
            <w:pPr>
              <w:pStyle w:val="6"/>
              <w:spacing w:before="167" w:line="186" w:lineRule="auto"/>
              <w:ind w:left="119" w:right="18" w:firstLine="7"/>
              <w:jc w:val="both"/>
            </w:pPr>
            <w:r>
              <w:rPr>
                <w:spacing w:val="-3"/>
              </w:rPr>
              <w:t>给予警告，责令限期改正，</w:t>
            </w:r>
            <w:r>
              <w:rPr>
                <w:spacing w:val="3"/>
              </w:rPr>
              <w:t>处</w:t>
            </w:r>
            <w:r>
              <w:rPr>
                <w:rFonts w:ascii="宋体" w:hAnsi="宋体" w:eastAsia="宋体" w:cs="宋体"/>
                <w:spacing w:val="3"/>
              </w:rPr>
              <w:t>2</w:t>
            </w:r>
            <w:r>
              <w:rPr>
                <w:spacing w:val="3"/>
              </w:rPr>
              <w:t>万元以上</w:t>
            </w:r>
            <w:r>
              <w:rPr>
                <w:rFonts w:ascii="宋体" w:hAnsi="宋体" w:eastAsia="宋体" w:cs="宋体"/>
                <w:spacing w:val="3"/>
              </w:rPr>
              <w:t>4</w:t>
            </w:r>
            <w:r>
              <w:rPr>
                <w:spacing w:val="3"/>
              </w:rPr>
              <w:t>万元以下</w:t>
            </w:r>
            <w:r>
              <w:rPr>
                <w:spacing w:val="-1"/>
              </w:rPr>
              <w:t>的罚款；对违反规定生产、</w:t>
            </w:r>
            <w:r>
              <w:rPr>
                <w:spacing w:val="11"/>
              </w:rPr>
              <w:t>经营、购买的易制毒化学</w:t>
            </w:r>
            <w:r>
              <w:rPr>
                <w:spacing w:val="9"/>
              </w:rPr>
              <w:t>品可以予以没收；逾期不</w:t>
            </w:r>
            <w:r>
              <w:rPr>
                <w:spacing w:val="8"/>
              </w:rPr>
              <w:t>改正的，责令限期停产停</w:t>
            </w:r>
            <w:r>
              <w:rPr>
                <w:spacing w:val="9"/>
              </w:rPr>
              <w:t>业整顿；逾期整顿不合格</w:t>
            </w:r>
            <w:r>
              <w:rPr>
                <w:spacing w:val="8"/>
              </w:rPr>
              <w:t>的，吊销相应的许可证</w:t>
            </w:r>
          </w:p>
        </w:tc>
        <w:tc>
          <w:tcPr>
            <w:tcW w:w="811" w:type="dxa"/>
            <w:vMerge w:val="continue"/>
            <w:tcBorders>
              <w:top w:val="nil"/>
              <w:bottom w:val="nil"/>
            </w:tcBorders>
            <w:vAlign w:val="top"/>
          </w:tcPr>
          <w:p w14:paraId="5EF5BD23">
            <w:pPr>
              <w:rPr>
                <w:rFonts w:ascii="Arial"/>
                <w:sz w:val="21"/>
              </w:rPr>
            </w:pPr>
          </w:p>
        </w:tc>
      </w:tr>
      <w:tr w14:paraId="5BA76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4" w:hRule="atLeast"/>
        </w:trPr>
        <w:tc>
          <w:tcPr>
            <w:tcW w:w="818" w:type="dxa"/>
            <w:vMerge w:val="continue"/>
            <w:tcBorders>
              <w:top w:val="nil"/>
            </w:tcBorders>
            <w:vAlign w:val="top"/>
          </w:tcPr>
          <w:p w14:paraId="40B32146">
            <w:pPr>
              <w:rPr>
                <w:rFonts w:ascii="Arial"/>
                <w:sz w:val="21"/>
              </w:rPr>
            </w:pPr>
          </w:p>
        </w:tc>
        <w:tc>
          <w:tcPr>
            <w:tcW w:w="1440" w:type="dxa"/>
            <w:vMerge w:val="continue"/>
            <w:tcBorders>
              <w:top w:val="nil"/>
            </w:tcBorders>
            <w:vAlign w:val="top"/>
          </w:tcPr>
          <w:p w14:paraId="36C042AF">
            <w:pPr>
              <w:rPr>
                <w:rFonts w:ascii="Arial"/>
                <w:sz w:val="21"/>
              </w:rPr>
            </w:pPr>
          </w:p>
        </w:tc>
        <w:tc>
          <w:tcPr>
            <w:tcW w:w="3202" w:type="dxa"/>
            <w:vMerge w:val="continue"/>
            <w:tcBorders>
              <w:top w:val="nil"/>
            </w:tcBorders>
            <w:vAlign w:val="top"/>
          </w:tcPr>
          <w:p w14:paraId="32EC63F3">
            <w:pPr>
              <w:rPr>
                <w:rFonts w:ascii="Arial"/>
                <w:sz w:val="21"/>
              </w:rPr>
            </w:pPr>
          </w:p>
        </w:tc>
        <w:tc>
          <w:tcPr>
            <w:tcW w:w="2859" w:type="dxa"/>
            <w:vMerge w:val="continue"/>
            <w:tcBorders>
              <w:top w:val="nil"/>
            </w:tcBorders>
            <w:vAlign w:val="top"/>
          </w:tcPr>
          <w:p w14:paraId="4AD41530">
            <w:pPr>
              <w:rPr>
                <w:rFonts w:ascii="Arial"/>
                <w:sz w:val="21"/>
              </w:rPr>
            </w:pPr>
          </w:p>
        </w:tc>
        <w:tc>
          <w:tcPr>
            <w:tcW w:w="803" w:type="dxa"/>
            <w:vAlign w:val="top"/>
          </w:tcPr>
          <w:p w14:paraId="17F3226C">
            <w:pPr>
              <w:spacing w:line="268" w:lineRule="auto"/>
              <w:rPr>
                <w:rFonts w:ascii="Arial"/>
                <w:sz w:val="21"/>
              </w:rPr>
            </w:pPr>
          </w:p>
          <w:p w14:paraId="531CD827">
            <w:pPr>
              <w:spacing w:line="268" w:lineRule="auto"/>
              <w:rPr>
                <w:rFonts w:ascii="Arial"/>
                <w:sz w:val="21"/>
              </w:rPr>
            </w:pPr>
          </w:p>
          <w:p w14:paraId="05AA6CA9">
            <w:pPr>
              <w:spacing w:line="269" w:lineRule="auto"/>
              <w:rPr>
                <w:rFonts w:ascii="Arial"/>
                <w:sz w:val="21"/>
              </w:rPr>
            </w:pPr>
          </w:p>
          <w:p w14:paraId="16B08DA4">
            <w:pPr>
              <w:spacing w:line="269" w:lineRule="auto"/>
              <w:rPr>
                <w:rFonts w:ascii="Arial"/>
                <w:sz w:val="21"/>
              </w:rPr>
            </w:pPr>
          </w:p>
          <w:p w14:paraId="40E788E5">
            <w:pPr>
              <w:spacing w:line="269" w:lineRule="auto"/>
              <w:rPr>
                <w:rFonts w:ascii="Arial"/>
                <w:sz w:val="21"/>
              </w:rPr>
            </w:pPr>
          </w:p>
          <w:p w14:paraId="6768DC2D">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290106ED">
            <w:pPr>
              <w:spacing w:line="243" w:lineRule="auto"/>
              <w:rPr>
                <w:rFonts w:ascii="Arial"/>
                <w:sz w:val="21"/>
              </w:rPr>
            </w:pPr>
          </w:p>
          <w:p w14:paraId="57488008">
            <w:pPr>
              <w:spacing w:line="244" w:lineRule="auto"/>
              <w:rPr>
                <w:rFonts w:ascii="Arial"/>
                <w:sz w:val="21"/>
              </w:rPr>
            </w:pPr>
          </w:p>
          <w:p w14:paraId="05CA6D50">
            <w:pPr>
              <w:spacing w:line="244" w:lineRule="auto"/>
              <w:rPr>
                <w:rFonts w:ascii="Arial"/>
                <w:sz w:val="21"/>
              </w:rPr>
            </w:pPr>
          </w:p>
          <w:p w14:paraId="05ECB6F8">
            <w:pPr>
              <w:spacing w:line="244" w:lineRule="auto"/>
              <w:rPr>
                <w:rFonts w:ascii="Arial"/>
                <w:sz w:val="21"/>
              </w:rPr>
            </w:pPr>
          </w:p>
          <w:p w14:paraId="6CEDEF51">
            <w:pPr>
              <w:pStyle w:val="6"/>
              <w:spacing w:before="98" w:line="191" w:lineRule="auto"/>
              <w:ind w:left="120" w:right="105" w:hanging="3"/>
              <w:jc w:val="both"/>
            </w:pPr>
            <w:r>
              <w:rPr>
                <w:spacing w:val="27"/>
              </w:rPr>
              <w:t>超出许可的品种</w:t>
            </w:r>
            <w:r>
              <w:rPr>
                <w:rFonts w:ascii="宋体" w:hAnsi="宋体" w:eastAsia="宋体" w:cs="宋体"/>
                <w:spacing w:val="27"/>
              </w:rPr>
              <w:t>3</w:t>
            </w:r>
            <w:r>
              <w:rPr>
                <w:spacing w:val="-3"/>
              </w:rPr>
              <w:t>种以上，或者超出许</w:t>
            </w:r>
            <w:r>
              <w:rPr>
                <w:spacing w:val="5"/>
              </w:rPr>
              <w:t>可数量</w:t>
            </w:r>
            <w:r>
              <w:rPr>
                <w:rFonts w:ascii="宋体" w:hAnsi="宋体" w:eastAsia="宋体" w:cs="宋体"/>
                <w:spacing w:val="5"/>
              </w:rPr>
              <w:t>30%</w:t>
            </w:r>
            <w:r>
              <w:rPr>
                <w:spacing w:val="5"/>
              </w:rPr>
              <w:t>以上的</w:t>
            </w:r>
          </w:p>
        </w:tc>
        <w:tc>
          <w:tcPr>
            <w:tcW w:w="2894" w:type="dxa"/>
            <w:vAlign w:val="top"/>
          </w:tcPr>
          <w:p w14:paraId="7224181E">
            <w:pPr>
              <w:pStyle w:val="6"/>
              <w:spacing w:before="327" w:line="186" w:lineRule="auto"/>
              <w:ind w:left="119" w:right="18" w:firstLine="7"/>
              <w:jc w:val="both"/>
            </w:pPr>
            <w:r>
              <w:rPr>
                <w:spacing w:val="-3"/>
              </w:rPr>
              <w:t>给予警告，责令限期改正，</w:t>
            </w:r>
            <w:r>
              <w:rPr>
                <w:spacing w:val="3"/>
              </w:rPr>
              <w:t>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万元以下</w:t>
            </w:r>
            <w:r>
              <w:rPr>
                <w:spacing w:val="-1"/>
              </w:rPr>
              <w:t>的罚款；对违反规定生产、</w:t>
            </w:r>
            <w:r>
              <w:rPr>
                <w:spacing w:val="11"/>
              </w:rPr>
              <w:t>经营、购买的易制毒化学</w:t>
            </w:r>
            <w:r>
              <w:rPr>
                <w:spacing w:val="9"/>
              </w:rPr>
              <w:t>品可以予以没收；逾期不</w:t>
            </w:r>
            <w:r>
              <w:rPr>
                <w:spacing w:val="8"/>
              </w:rPr>
              <w:t>改正的，责令限期停产停</w:t>
            </w:r>
            <w:r>
              <w:rPr>
                <w:spacing w:val="9"/>
              </w:rPr>
              <w:t>业整顿；逾期整顿不合格</w:t>
            </w:r>
            <w:r>
              <w:rPr>
                <w:spacing w:val="8"/>
              </w:rPr>
              <w:t>的，吊销相应的许可证</w:t>
            </w:r>
          </w:p>
        </w:tc>
        <w:tc>
          <w:tcPr>
            <w:tcW w:w="811" w:type="dxa"/>
            <w:vMerge w:val="continue"/>
            <w:tcBorders>
              <w:top w:val="nil"/>
            </w:tcBorders>
            <w:vAlign w:val="top"/>
          </w:tcPr>
          <w:p w14:paraId="5844FA64">
            <w:pPr>
              <w:rPr>
                <w:rFonts w:ascii="Arial"/>
                <w:sz w:val="21"/>
              </w:rPr>
            </w:pPr>
          </w:p>
        </w:tc>
      </w:tr>
    </w:tbl>
    <w:p w14:paraId="3E0083DD">
      <w:pPr>
        <w:pStyle w:val="2"/>
      </w:pPr>
    </w:p>
    <w:p w14:paraId="5D81C25C">
      <w:pPr>
        <w:sectPr>
          <w:footerReference r:id="rId184" w:type="default"/>
          <w:pgSz w:w="16839" w:h="11906"/>
          <w:pgMar w:top="1012" w:right="821" w:bottom="667" w:left="901" w:header="0" w:footer="388" w:gutter="0"/>
          <w:cols w:space="720" w:num="1"/>
        </w:sectPr>
      </w:pPr>
    </w:p>
    <w:p w14:paraId="71AA58A7">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F0AB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975AC4A">
            <w:pPr>
              <w:spacing w:before="222" w:line="241" w:lineRule="auto"/>
              <w:ind w:left="131"/>
              <w:rPr>
                <w:rFonts w:ascii="黑体" w:hAnsi="黑体" w:eastAsia="黑体" w:cs="黑体"/>
                <w:sz w:val="28"/>
                <w:szCs w:val="28"/>
              </w:rPr>
            </w:pPr>
            <w:bookmarkStart w:id="641" w:name="bookmark340"/>
            <w:bookmarkEnd w:id="641"/>
            <w:r>
              <w:rPr>
                <w:rFonts w:ascii="黑体" w:hAnsi="黑体" w:eastAsia="黑体" w:cs="黑体"/>
                <w:spacing w:val="-2"/>
                <w:sz w:val="28"/>
                <w:szCs w:val="28"/>
              </w:rPr>
              <w:t>序号</w:t>
            </w:r>
          </w:p>
        </w:tc>
        <w:tc>
          <w:tcPr>
            <w:tcW w:w="1440" w:type="dxa"/>
            <w:vAlign w:val="top"/>
          </w:tcPr>
          <w:p w14:paraId="4A15E51D">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7ADF24A">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2DBB413">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C83ABC5">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0E685D0D">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FC22ADB">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1324144">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131AB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Align w:val="top"/>
          </w:tcPr>
          <w:p w14:paraId="17CA541F">
            <w:pPr>
              <w:rPr>
                <w:rFonts w:ascii="Arial"/>
                <w:sz w:val="21"/>
              </w:rPr>
            </w:pPr>
          </w:p>
        </w:tc>
        <w:tc>
          <w:tcPr>
            <w:tcW w:w="1440" w:type="dxa"/>
            <w:vAlign w:val="top"/>
          </w:tcPr>
          <w:p w14:paraId="22B96444">
            <w:pPr>
              <w:rPr>
                <w:rFonts w:ascii="Arial"/>
                <w:sz w:val="21"/>
              </w:rPr>
            </w:pPr>
          </w:p>
        </w:tc>
        <w:tc>
          <w:tcPr>
            <w:tcW w:w="3202" w:type="dxa"/>
            <w:vAlign w:val="top"/>
          </w:tcPr>
          <w:p w14:paraId="39623353">
            <w:pPr>
              <w:pStyle w:val="6"/>
              <w:spacing w:before="28" w:line="189" w:lineRule="auto"/>
              <w:ind w:left="127" w:right="111" w:firstLine="3"/>
              <w:jc w:val="both"/>
            </w:pPr>
            <w:r>
              <w:rPr>
                <w:spacing w:val="11"/>
              </w:rPr>
              <w:t>学品的，必须取得非药品类</w:t>
            </w:r>
            <w:r>
              <w:rPr>
                <w:spacing w:val="16"/>
              </w:rPr>
              <w:t>易制毒化学品生产、经营许可证方可从事生产、经营活</w:t>
            </w:r>
            <w:r>
              <w:rPr>
                <w:spacing w:val="-10"/>
              </w:rPr>
              <w:t>动。</w:t>
            </w:r>
          </w:p>
        </w:tc>
        <w:tc>
          <w:tcPr>
            <w:tcW w:w="2859" w:type="dxa"/>
            <w:vAlign w:val="top"/>
          </w:tcPr>
          <w:p w14:paraId="68F52FBF">
            <w:pPr>
              <w:pStyle w:val="6"/>
              <w:spacing w:before="33" w:line="179" w:lineRule="auto"/>
              <w:ind w:left="118" w:right="110" w:firstLine="11"/>
              <w:jc w:val="both"/>
            </w:pPr>
            <w:r>
              <w:rPr>
                <w:spacing w:val="1"/>
              </w:rPr>
              <w:t>学品，可以予以没收；逾</w:t>
            </w:r>
            <w:r>
              <w:rPr>
                <w:spacing w:val="8"/>
              </w:rPr>
              <w:t>期不改正的，责令限期停产停业整顿；逾期整顿不</w:t>
            </w:r>
            <w:r>
              <w:rPr>
                <w:spacing w:val="2"/>
              </w:rPr>
              <w:t>合格的，吊销相应的许可</w:t>
            </w:r>
            <w:r>
              <w:rPr>
                <w:spacing w:val="9"/>
              </w:rPr>
              <w:t>证</w:t>
            </w:r>
            <w:r>
              <w:rPr>
                <w:spacing w:val="6"/>
              </w:rPr>
              <w:t>：（</w:t>
            </w:r>
            <w:r>
              <w:rPr>
                <w:spacing w:val="9"/>
              </w:rPr>
              <w:t>三）超出许可的品</w:t>
            </w:r>
            <w:r>
              <w:rPr>
                <w:spacing w:val="8"/>
              </w:rPr>
              <w:t>种、数量，生产、经营非</w:t>
            </w:r>
            <w:r>
              <w:rPr>
                <w:spacing w:val="4"/>
              </w:rPr>
              <w:t>药品类易制毒化学品的；</w:t>
            </w:r>
          </w:p>
        </w:tc>
        <w:tc>
          <w:tcPr>
            <w:tcW w:w="803" w:type="dxa"/>
            <w:vAlign w:val="top"/>
          </w:tcPr>
          <w:p w14:paraId="77932D01">
            <w:pPr>
              <w:rPr>
                <w:rFonts w:ascii="Arial"/>
                <w:sz w:val="21"/>
              </w:rPr>
            </w:pPr>
          </w:p>
        </w:tc>
        <w:tc>
          <w:tcPr>
            <w:tcW w:w="2283" w:type="dxa"/>
            <w:vAlign w:val="top"/>
          </w:tcPr>
          <w:p w14:paraId="7F792E09">
            <w:pPr>
              <w:rPr>
                <w:rFonts w:ascii="Arial"/>
                <w:sz w:val="21"/>
              </w:rPr>
            </w:pPr>
          </w:p>
        </w:tc>
        <w:tc>
          <w:tcPr>
            <w:tcW w:w="2894" w:type="dxa"/>
            <w:vAlign w:val="top"/>
          </w:tcPr>
          <w:p w14:paraId="5EB40A26">
            <w:pPr>
              <w:rPr>
                <w:rFonts w:ascii="Arial"/>
                <w:sz w:val="21"/>
              </w:rPr>
            </w:pPr>
          </w:p>
        </w:tc>
        <w:tc>
          <w:tcPr>
            <w:tcW w:w="811" w:type="dxa"/>
            <w:vAlign w:val="top"/>
          </w:tcPr>
          <w:p w14:paraId="6CBACE69">
            <w:pPr>
              <w:rPr>
                <w:rFonts w:ascii="Arial"/>
                <w:sz w:val="21"/>
              </w:rPr>
            </w:pPr>
          </w:p>
        </w:tc>
      </w:tr>
      <w:tr w14:paraId="6F46A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Merge w:val="restart"/>
            <w:tcBorders>
              <w:bottom w:val="nil"/>
            </w:tcBorders>
            <w:vAlign w:val="top"/>
          </w:tcPr>
          <w:p w14:paraId="76EBEB62">
            <w:pPr>
              <w:spacing w:line="254" w:lineRule="auto"/>
              <w:rPr>
                <w:rFonts w:ascii="Arial"/>
                <w:sz w:val="21"/>
              </w:rPr>
            </w:pPr>
          </w:p>
          <w:p w14:paraId="7224B136">
            <w:pPr>
              <w:spacing w:line="254" w:lineRule="auto"/>
              <w:rPr>
                <w:rFonts w:ascii="Arial"/>
                <w:sz w:val="21"/>
              </w:rPr>
            </w:pPr>
          </w:p>
          <w:p w14:paraId="256628CD">
            <w:pPr>
              <w:spacing w:line="254" w:lineRule="auto"/>
              <w:rPr>
                <w:rFonts w:ascii="Arial"/>
                <w:sz w:val="21"/>
              </w:rPr>
            </w:pPr>
          </w:p>
          <w:p w14:paraId="38B19677">
            <w:pPr>
              <w:spacing w:line="254" w:lineRule="auto"/>
              <w:rPr>
                <w:rFonts w:ascii="Arial"/>
                <w:sz w:val="21"/>
              </w:rPr>
            </w:pPr>
          </w:p>
          <w:p w14:paraId="1C00B8F2">
            <w:pPr>
              <w:spacing w:line="254" w:lineRule="auto"/>
              <w:rPr>
                <w:rFonts w:ascii="Arial"/>
                <w:sz w:val="21"/>
              </w:rPr>
            </w:pPr>
          </w:p>
          <w:p w14:paraId="6E4F5641">
            <w:pPr>
              <w:spacing w:line="255" w:lineRule="auto"/>
              <w:rPr>
                <w:rFonts w:ascii="Arial"/>
                <w:sz w:val="21"/>
              </w:rPr>
            </w:pPr>
          </w:p>
          <w:p w14:paraId="4851A323">
            <w:pPr>
              <w:spacing w:line="255" w:lineRule="auto"/>
              <w:rPr>
                <w:rFonts w:ascii="Arial"/>
                <w:sz w:val="21"/>
              </w:rPr>
            </w:pPr>
          </w:p>
          <w:p w14:paraId="776FA935">
            <w:pPr>
              <w:spacing w:line="255" w:lineRule="auto"/>
              <w:rPr>
                <w:rFonts w:ascii="Arial"/>
                <w:sz w:val="21"/>
              </w:rPr>
            </w:pPr>
          </w:p>
          <w:p w14:paraId="4756FE9D">
            <w:pPr>
              <w:spacing w:line="255" w:lineRule="auto"/>
              <w:rPr>
                <w:rFonts w:ascii="Arial"/>
                <w:sz w:val="21"/>
              </w:rPr>
            </w:pPr>
          </w:p>
          <w:p w14:paraId="12DE9485">
            <w:pPr>
              <w:spacing w:line="255" w:lineRule="auto"/>
              <w:rPr>
                <w:rFonts w:ascii="Arial"/>
                <w:sz w:val="21"/>
              </w:rPr>
            </w:pPr>
          </w:p>
          <w:p w14:paraId="0EDDE2F7">
            <w:pPr>
              <w:spacing w:line="255" w:lineRule="auto"/>
              <w:rPr>
                <w:rFonts w:ascii="Arial"/>
                <w:sz w:val="21"/>
              </w:rPr>
            </w:pPr>
          </w:p>
          <w:p w14:paraId="5F8A36AF">
            <w:pPr>
              <w:spacing w:line="255" w:lineRule="auto"/>
              <w:rPr>
                <w:rFonts w:ascii="Arial"/>
                <w:sz w:val="21"/>
              </w:rPr>
            </w:pPr>
          </w:p>
          <w:p w14:paraId="34297DE8">
            <w:pPr>
              <w:spacing w:line="255" w:lineRule="auto"/>
              <w:rPr>
                <w:rFonts w:ascii="Arial"/>
                <w:sz w:val="21"/>
              </w:rPr>
            </w:pPr>
          </w:p>
          <w:p w14:paraId="1ED5240D">
            <w:pPr>
              <w:spacing w:before="75" w:line="186" w:lineRule="auto"/>
              <w:ind w:left="161"/>
              <w:rPr>
                <w:rFonts w:ascii="仿宋" w:hAnsi="仿宋" w:eastAsia="仿宋" w:cs="仿宋"/>
                <w:sz w:val="23"/>
                <w:szCs w:val="23"/>
              </w:rPr>
            </w:pPr>
            <w:r>
              <w:rPr>
                <w:rFonts w:ascii="仿宋" w:hAnsi="仿宋" w:eastAsia="仿宋" w:cs="仿宋"/>
                <w:spacing w:val="-5"/>
                <w:sz w:val="23"/>
                <w:szCs w:val="23"/>
              </w:rPr>
              <w:t>166</w:t>
            </w:r>
          </w:p>
        </w:tc>
        <w:tc>
          <w:tcPr>
            <w:tcW w:w="1440" w:type="dxa"/>
            <w:vMerge w:val="restart"/>
            <w:tcBorders>
              <w:bottom w:val="nil"/>
            </w:tcBorders>
            <w:vAlign w:val="top"/>
          </w:tcPr>
          <w:p w14:paraId="6C79E6A1">
            <w:pPr>
              <w:spacing w:line="249" w:lineRule="auto"/>
              <w:rPr>
                <w:rFonts w:ascii="Arial"/>
                <w:sz w:val="21"/>
              </w:rPr>
            </w:pPr>
          </w:p>
          <w:p w14:paraId="32F40111">
            <w:pPr>
              <w:spacing w:line="249" w:lineRule="auto"/>
              <w:rPr>
                <w:rFonts w:ascii="Arial"/>
                <w:sz w:val="21"/>
              </w:rPr>
            </w:pPr>
          </w:p>
          <w:p w14:paraId="4AD74ED8">
            <w:pPr>
              <w:spacing w:line="250" w:lineRule="auto"/>
              <w:rPr>
                <w:rFonts w:ascii="Arial"/>
                <w:sz w:val="21"/>
              </w:rPr>
            </w:pPr>
          </w:p>
          <w:p w14:paraId="0D9E04EE">
            <w:pPr>
              <w:spacing w:line="250" w:lineRule="auto"/>
              <w:rPr>
                <w:rFonts w:ascii="Arial"/>
                <w:sz w:val="21"/>
              </w:rPr>
            </w:pPr>
          </w:p>
          <w:p w14:paraId="16A19C86">
            <w:pPr>
              <w:spacing w:line="250" w:lineRule="auto"/>
              <w:rPr>
                <w:rFonts w:ascii="Arial"/>
                <w:sz w:val="21"/>
              </w:rPr>
            </w:pPr>
          </w:p>
          <w:p w14:paraId="5DF78266">
            <w:pPr>
              <w:spacing w:line="250" w:lineRule="auto"/>
              <w:rPr>
                <w:rFonts w:ascii="Arial"/>
                <w:sz w:val="21"/>
              </w:rPr>
            </w:pPr>
          </w:p>
          <w:p w14:paraId="74CE4846">
            <w:pPr>
              <w:spacing w:line="250" w:lineRule="auto"/>
              <w:rPr>
                <w:rFonts w:ascii="Arial"/>
                <w:sz w:val="21"/>
              </w:rPr>
            </w:pPr>
          </w:p>
          <w:p w14:paraId="4F792AA2">
            <w:pPr>
              <w:spacing w:line="250" w:lineRule="auto"/>
              <w:rPr>
                <w:rFonts w:ascii="Arial"/>
                <w:sz w:val="21"/>
              </w:rPr>
            </w:pPr>
          </w:p>
          <w:p w14:paraId="630BB3AB">
            <w:pPr>
              <w:spacing w:line="250" w:lineRule="auto"/>
              <w:rPr>
                <w:rFonts w:ascii="Arial"/>
                <w:sz w:val="21"/>
              </w:rPr>
            </w:pPr>
          </w:p>
          <w:p w14:paraId="4CAD926E">
            <w:pPr>
              <w:spacing w:line="250" w:lineRule="auto"/>
              <w:rPr>
                <w:rFonts w:ascii="Arial"/>
                <w:sz w:val="21"/>
              </w:rPr>
            </w:pPr>
          </w:p>
          <w:p w14:paraId="199381B3">
            <w:pPr>
              <w:pStyle w:val="6"/>
              <w:spacing w:before="98" w:line="187" w:lineRule="auto"/>
              <w:ind w:left="110" w:right="111" w:firstLine="14"/>
              <w:jc w:val="both"/>
            </w:pPr>
            <w:r>
              <w:rPr>
                <w:spacing w:val="9"/>
              </w:rPr>
              <w:t>非药品易制</w:t>
            </w:r>
            <w:r>
              <w:rPr>
                <w:spacing w:val="12"/>
              </w:rPr>
              <w:t>毒化学品的产品包装和使用说明书不符合规定</w:t>
            </w:r>
            <w:r>
              <w:rPr>
                <w:spacing w:val="1"/>
              </w:rPr>
              <w:t>的</w:t>
            </w:r>
          </w:p>
        </w:tc>
        <w:tc>
          <w:tcPr>
            <w:tcW w:w="3202" w:type="dxa"/>
            <w:vMerge w:val="restart"/>
            <w:tcBorders>
              <w:bottom w:val="nil"/>
            </w:tcBorders>
            <w:vAlign w:val="top"/>
          </w:tcPr>
          <w:p w14:paraId="1C7D3AD7">
            <w:pPr>
              <w:pStyle w:val="6"/>
              <w:spacing w:before="32" w:line="182" w:lineRule="auto"/>
              <w:ind w:left="145" w:right="111" w:hanging="47"/>
            </w:pPr>
            <w:r>
              <w:rPr>
                <w:spacing w:val="18"/>
              </w:rPr>
              <w:t>【行政法规】《易制毒化学</w:t>
            </w:r>
            <w:r>
              <w:rPr>
                <w:spacing w:val="10"/>
              </w:rPr>
              <w:t>品管理条例》第四条：易制</w:t>
            </w:r>
          </w:p>
          <w:p w14:paraId="6DCB3266">
            <w:pPr>
              <w:pStyle w:val="6"/>
              <w:spacing w:line="182" w:lineRule="auto"/>
              <w:ind w:left="122"/>
              <w:outlineLvl w:val="0"/>
            </w:pPr>
            <w:r>
              <w:rPr>
                <w:spacing w:val="16"/>
              </w:rPr>
              <w:t>毒化学品的产品包装和使用</w:t>
            </w:r>
          </w:p>
          <w:p w14:paraId="6832235E">
            <w:pPr>
              <w:pStyle w:val="6"/>
              <w:spacing w:before="1" w:line="191" w:lineRule="auto"/>
              <w:ind w:left="118" w:right="111" w:hanging="1"/>
              <w:jc w:val="both"/>
            </w:pPr>
            <w:r>
              <w:rPr>
                <w:spacing w:val="13"/>
              </w:rPr>
              <w:t>说明书，应当标明产品的名称（含学名和通用名）、化</w:t>
            </w:r>
            <w:r>
              <w:rPr>
                <w:spacing w:val="3"/>
              </w:rPr>
              <w:t>学分子式和成分。</w:t>
            </w:r>
          </w:p>
        </w:tc>
        <w:tc>
          <w:tcPr>
            <w:tcW w:w="2859" w:type="dxa"/>
            <w:vMerge w:val="restart"/>
            <w:tcBorders>
              <w:bottom w:val="nil"/>
            </w:tcBorders>
            <w:vAlign w:val="top"/>
          </w:tcPr>
          <w:p w14:paraId="2CD13D25">
            <w:pPr>
              <w:pStyle w:val="6"/>
              <w:spacing w:before="43" w:line="182" w:lineRule="auto"/>
              <w:ind w:left="118" w:firstLine="12"/>
              <w:jc w:val="both"/>
            </w:pPr>
            <w:r>
              <w:rPr>
                <w:rFonts w:ascii="宋体" w:hAnsi="宋体" w:eastAsia="宋体" w:cs="宋体"/>
                <w:spacing w:val="5"/>
              </w:rPr>
              <w:t>1.</w:t>
            </w:r>
            <w:r>
              <w:rPr>
                <w:spacing w:val="5"/>
              </w:rPr>
              <w:t>【行政法规】《易制毒</w:t>
            </w:r>
            <w:r>
              <w:rPr>
                <w:spacing w:val="7"/>
              </w:rPr>
              <w:t>化学品管理条例》第四十条第一款第七项：违反本条例规定，有下列行为之一的，由负有监督管理职责的行政主管部门给予警</w:t>
            </w:r>
            <w:r>
              <w:rPr>
                <w:spacing w:val="2"/>
              </w:rPr>
              <w:t>告，责令限期改正，处</w:t>
            </w:r>
            <w:r>
              <w:rPr>
                <w:rFonts w:ascii="宋体" w:hAnsi="宋体" w:eastAsia="宋体" w:cs="宋体"/>
                <w:spacing w:val="2"/>
              </w:rPr>
              <w:t>1</w:t>
            </w:r>
            <w:r>
              <w:rPr>
                <w:spacing w:val="3"/>
              </w:rPr>
              <w:t>万元以上</w:t>
            </w:r>
            <w:r>
              <w:rPr>
                <w:rFonts w:ascii="宋体" w:hAnsi="宋体" w:eastAsia="宋体" w:cs="宋体"/>
                <w:spacing w:val="3"/>
              </w:rPr>
              <w:t>5</w:t>
            </w:r>
            <w:r>
              <w:rPr>
                <w:spacing w:val="3"/>
              </w:rPr>
              <w:t>万元以下的罚</w:t>
            </w:r>
            <w:r>
              <w:rPr>
                <w:spacing w:val="7"/>
              </w:rPr>
              <w:t>款；对违反规定生产、经营、购买的易制毒化学品可以予以没收；逾期不改正的，责令限期停产停业</w:t>
            </w:r>
            <w:r>
              <w:rPr>
                <w:spacing w:val="-7"/>
              </w:rPr>
              <w:t>整顿；逾期整顿不合格的，</w:t>
            </w:r>
            <w:r>
              <w:rPr>
                <w:spacing w:val="-4"/>
              </w:rPr>
              <w:t>吊销相应的许可证</w:t>
            </w:r>
            <w:r>
              <w:rPr>
                <w:spacing w:val="7"/>
              </w:rPr>
              <w:t>：（</w:t>
            </w:r>
            <w:r>
              <w:rPr>
                <w:spacing w:val="-4"/>
              </w:rPr>
              <w:t>七）</w:t>
            </w:r>
            <w:r>
              <w:rPr>
                <w:spacing w:val="7"/>
              </w:rPr>
              <w:t>易制毒化学品的产品包装和使用说明书不符合本条</w:t>
            </w:r>
            <w:r>
              <w:t>例规定要求的；</w:t>
            </w:r>
          </w:p>
          <w:p w14:paraId="7D2FDB12">
            <w:pPr>
              <w:pStyle w:val="6"/>
              <w:spacing w:before="3" w:line="184" w:lineRule="auto"/>
              <w:ind w:left="116" w:right="110"/>
              <w:jc w:val="both"/>
            </w:pPr>
            <w:r>
              <w:rPr>
                <w:rFonts w:ascii="宋体" w:hAnsi="宋体" w:eastAsia="宋体" w:cs="宋体"/>
                <w:spacing w:val="7"/>
              </w:rPr>
              <w:t>2.</w:t>
            </w:r>
            <w:r>
              <w:rPr>
                <w:spacing w:val="7"/>
              </w:rPr>
              <w:t>【部门规章】《非药品</w:t>
            </w:r>
            <w:r>
              <w:rPr>
                <w:spacing w:val="8"/>
              </w:rPr>
              <w:t>类易制毒化学品生产、经营许可办法》第三十条第四项：对于有下列行为之一的，由县级以上人民政府安全生产监督管理部门</w:t>
            </w:r>
          </w:p>
        </w:tc>
        <w:tc>
          <w:tcPr>
            <w:tcW w:w="803" w:type="dxa"/>
            <w:vAlign w:val="top"/>
          </w:tcPr>
          <w:p w14:paraId="48360747">
            <w:pPr>
              <w:spacing w:line="259" w:lineRule="auto"/>
              <w:rPr>
                <w:rFonts w:ascii="Arial"/>
                <w:sz w:val="21"/>
              </w:rPr>
            </w:pPr>
          </w:p>
          <w:p w14:paraId="4C8261E2">
            <w:pPr>
              <w:spacing w:line="260" w:lineRule="auto"/>
              <w:rPr>
                <w:rFonts w:ascii="Arial"/>
                <w:sz w:val="21"/>
              </w:rPr>
            </w:pPr>
          </w:p>
          <w:p w14:paraId="116452C8">
            <w:pPr>
              <w:spacing w:line="260" w:lineRule="auto"/>
              <w:rPr>
                <w:rFonts w:ascii="Arial"/>
                <w:sz w:val="21"/>
              </w:rPr>
            </w:pPr>
          </w:p>
          <w:p w14:paraId="430BF0A9">
            <w:pPr>
              <w:spacing w:line="260" w:lineRule="auto"/>
              <w:rPr>
                <w:rFonts w:ascii="Arial"/>
                <w:sz w:val="21"/>
              </w:rPr>
            </w:pPr>
          </w:p>
          <w:p w14:paraId="3B0DD880">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0EBB5F8">
            <w:pPr>
              <w:spacing w:line="275" w:lineRule="auto"/>
              <w:rPr>
                <w:rFonts w:ascii="Arial"/>
                <w:sz w:val="21"/>
              </w:rPr>
            </w:pPr>
          </w:p>
          <w:p w14:paraId="21BED1DF">
            <w:pPr>
              <w:spacing w:line="275" w:lineRule="auto"/>
              <w:rPr>
                <w:rFonts w:ascii="Arial"/>
                <w:sz w:val="21"/>
              </w:rPr>
            </w:pPr>
          </w:p>
          <w:p w14:paraId="621899A0">
            <w:pPr>
              <w:spacing w:line="276" w:lineRule="auto"/>
              <w:rPr>
                <w:rFonts w:ascii="Arial"/>
                <w:sz w:val="21"/>
              </w:rPr>
            </w:pPr>
          </w:p>
          <w:p w14:paraId="24C4A40A">
            <w:pPr>
              <w:pStyle w:val="6"/>
              <w:spacing w:before="98" w:line="196" w:lineRule="auto"/>
              <w:ind w:left="122" w:right="108"/>
            </w:pPr>
            <w:r>
              <w:rPr>
                <w:spacing w:val="14"/>
              </w:rPr>
              <w:t>有</w:t>
            </w:r>
            <w:r>
              <w:rPr>
                <w:rFonts w:ascii="宋体" w:hAnsi="宋体" w:eastAsia="宋体" w:cs="宋体"/>
                <w:spacing w:val="14"/>
              </w:rPr>
              <w:t>1</w:t>
            </w:r>
            <w:r>
              <w:rPr>
                <w:spacing w:val="14"/>
              </w:rPr>
              <w:t>项缺少或者不</w:t>
            </w:r>
            <w:r>
              <w:rPr>
                <w:spacing w:val="5"/>
              </w:rPr>
              <w:t>符合要求的</w:t>
            </w:r>
          </w:p>
        </w:tc>
        <w:tc>
          <w:tcPr>
            <w:tcW w:w="2894" w:type="dxa"/>
            <w:vAlign w:val="top"/>
          </w:tcPr>
          <w:p w14:paraId="6EAA03C4">
            <w:pPr>
              <w:pStyle w:val="6"/>
              <w:spacing w:before="26" w:line="180" w:lineRule="auto"/>
              <w:ind w:left="119" w:right="18" w:firstLine="7"/>
              <w:jc w:val="both"/>
            </w:pPr>
            <w:r>
              <w:rPr>
                <w:spacing w:val="-3"/>
              </w:rPr>
              <w:t>给予警告，责令限期改正，</w:t>
            </w:r>
            <w:r>
              <w:rPr>
                <w:spacing w:val="2"/>
              </w:rPr>
              <w:t>处</w:t>
            </w:r>
            <w:r>
              <w:rPr>
                <w:rFonts w:ascii="宋体" w:hAnsi="宋体" w:eastAsia="宋体" w:cs="宋体"/>
                <w:spacing w:val="2"/>
              </w:rPr>
              <w:t>1</w:t>
            </w:r>
            <w:r>
              <w:rPr>
                <w:spacing w:val="2"/>
              </w:rPr>
              <w:t>万元以上</w:t>
            </w:r>
            <w:r>
              <w:rPr>
                <w:rFonts w:ascii="宋体" w:hAnsi="宋体" w:eastAsia="宋体" w:cs="宋体"/>
                <w:spacing w:val="2"/>
              </w:rPr>
              <w:t>2</w:t>
            </w:r>
            <w:r>
              <w:rPr>
                <w:spacing w:val="2"/>
              </w:rPr>
              <w:t>万元以下</w:t>
            </w:r>
            <w:r>
              <w:rPr>
                <w:spacing w:val="-1"/>
              </w:rPr>
              <w:t>的罚款；对违反规定生产、</w:t>
            </w:r>
            <w:r>
              <w:rPr>
                <w:spacing w:val="11"/>
              </w:rPr>
              <w:t>经营、购买的易制毒化学</w:t>
            </w:r>
            <w:r>
              <w:rPr>
                <w:spacing w:val="9"/>
              </w:rPr>
              <w:t>品可以予以没收；逾期不</w:t>
            </w:r>
            <w:r>
              <w:rPr>
                <w:spacing w:val="8"/>
              </w:rPr>
              <w:t>改正的，责令限期停产停</w:t>
            </w:r>
            <w:r>
              <w:rPr>
                <w:spacing w:val="9"/>
              </w:rPr>
              <w:t>业整顿；逾期整顿不合格</w:t>
            </w:r>
            <w:r>
              <w:rPr>
                <w:spacing w:val="8"/>
              </w:rPr>
              <w:t>的，吊销相应的许可证</w:t>
            </w:r>
          </w:p>
        </w:tc>
        <w:tc>
          <w:tcPr>
            <w:tcW w:w="811" w:type="dxa"/>
            <w:vMerge w:val="restart"/>
            <w:tcBorders>
              <w:bottom w:val="nil"/>
            </w:tcBorders>
            <w:vAlign w:val="top"/>
          </w:tcPr>
          <w:p w14:paraId="2D599E78">
            <w:pPr>
              <w:spacing w:line="254" w:lineRule="auto"/>
              <w:rPr>
                <w:rFonts w:ascii="Arial"/>
                <w:sz w:val="21"/>
              </w:rPr>
            </w:pPr>
          </w:p>
          <w:p w14:paraId="582007C8">
            <w:pPr>
              <w:spacing w:line="254" w:lineRule="auto"/>
              <w:rPr>
                <w:rFonts w:ascii="Arial"/>
                <w:sz w:val="21"/>
              </w:rPr>
            </w:pPr>
          </w:p>
          <w:p w14:paraId="520510E1">
            <w:pPr>
              <w:spacing w:line="254" w:lineRule="auto"/>
              <w:rPr>
                <w:rFonts w:ascii="Arial"/>
                <w:sz w:val="21"/>
              </w:rPr>
            </w:pPr>
          </w:p>
          <w:p w14:paraId="2723A851">
            <w:pPr>
              <w:spacing w:line="254" w:lineRule="auto"/>
              <w:rPr>
                <w:rFonts w:ascii="Arial"/>
                <w:sz w:val="21"/>
              </w:rPr>
            </w:pPr>
          </w:p>
          <w:p w14:paraId="491188F8">
            <w:pPr>
              <w:spacing w:line="254" w:lineRule="auto"/>
              <w:rPr>
                <w:rFonts w:ascii="Arial"/>
                <w:sz w:val="21"/>
              </w:rPr>
            </w:pPr>
          </w:p>
          <w:p w14:paraId="1BE14FDD">
            <w:pPr>
              <w:spacing w:line="254" w:lineRule="auto"/>
              <w:rPr>
                <w:rFonts w:ascii="Arial"/>
                <w:sz w:val="21"/>
              </w:rPr>
            </w:pPr>
          </w:p>
          <w:p w14:paraId="3CD1E605">
            <w:pPr>
              <w:spacing w:line="254" w:lineRule="auto"/>
              <w:rPr>
                <w:rFonts w:ascii="Arial"/>
                <w:sz w:val="21"/>
              </w:rPr>
            </w:pPr>
          </w:p>
          <w:p w14:paraId="53803A08">
            <w:pPr>
              <w:spacing w:line="254" w:lineRule="auto"/>
              <w:rPr>
                <w:rFonts w:ascii="Arial"/>
                <w:sz w:val="21"/>
              </w:rPr>
            </w:pPr>
          </w:p>
          <w:p w14:paraId="77469F7E">
            <w:pPr>
              <w:spacing w:line="255" w:lineRule="auto"/>
              <w:rPr>
                <w:rFonts w:ascii="Arial"/>
                <w:sz w:val="21"/>
              </w:rPr>
            </w:pPr>
          </w:p>
          <w:p w14:paraId="30DD3D6E">
            <w:pPr>
              <w:spacing w:line="255" w:lineRule="auto"/>
              <w:rPr>
                <w:rFonts w:ascii="Arial"/>
                <w:sz w:val="21"/>
              </w:rPr>
            </w:pPr>
          </w:p>
          <w:p w14:paraId="66B753A4">
            <w:pPr>
              <w:spacing w:line="255" w:lineRule="auto"/>
              <w:rPr>
                <w:rFonts w:ascii="Arial"/>
                <w:sz w:val="21"/>
              </w:rPr>
            </w:pPr>
          </w:p>
          <w:p w14:paraId="5E9EB6DD">
            <w:pPr>
              <w:spacing w:line="255" w:lineRule="auto"/>
              <w:rPr>
                <w:rFonts w:ascii="Arial"/>
                <w:sz w:val="21"/>
              </w:rPr>
            </w:pPr>
          </w:p>
          <w:p w14:paraId="4C484CF3">
            <w:pPr>
              <w:spacing w:line="255" w:lineRule="auto"/>
              <w:rPr>
                <w:rFonts w:ascii="Arial"/>
                <w:sz w:val="21"/>
              </w:rPr>
            </w:pPr>
          </w:p>
          <w:p w14:paraId="5C971A2B">
            <w:pPr>
              <w:spacing w:before="74" w:line="189" w:lineRule="auto"/>
              <w:ind w:left="248"/>
              <w:rPr>
                <w:rFonts w:ascii="宋体" w:hAnsi="宋体" w:eastAsia="宋体" w:cs="宋体"/>
                <w:sz w:val="23"/>
                <w:szCs w:val="23"/>
              </w:rPr>
            </w:pPr>
            <w:r>
              <w:rPr>
                <w:rFonts w:ascii="宋体" w:hAnsi="宋体" w:eastAsia="宋体" w:cs="宋体"/>
                <w:spacing w:val="-6"/>
                <w:sz w:val="23"/>
                <w:szCs w:val="23"/>
              </w:rPr>
              <w:t>129</w:t>
            </w:r>
          </w:p>
        </w:tc>
      </w:tr>
      <w:tr w14:paraId="41C63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3" w:hRule="atLeast"/>
        </w:trPr>
        <w:tc>
          <w:tcPr>
            <w:tcW w:w="818" w:type="dxa"/>
            <w:vMerge w:val="continue"/>
            <w:tcBorders>
              <w:top w:val="nil"/>
              <w:bottom w:val="nil"/>
            </w:tcBorders>
            <w:vAlign w:val="top"/>
          </w:tcPr>
          <w:p w14:paraId="5D143689">
            <w:pPr>
              <w:rPr>
                <w:rFonts w:ascii="Arial"/>
                <w:sz w:val="21"/>
              </w:rPr>
            </w:pPr>
          </w:p>
        </w:tc>
        <w:tc>
          <w:tcPr>
            <w:tcW w:w="1440" w:type="dxa"/>
            <w:vMerge w:val="continue"/>
            <w:tcBorders>
              <w:top w:val="nil"/>
              <w:bottom w:val="nil"/>
            </w:tcBorders>
            <w:vAlign w:val="top"/>
          </w:tcPr>
          <w:p w14:paraId="70A8C126">
            <w:pPr>
              <w:rPr>
                <w:rFonts w:ascii="Arial"/>
                <w:sz w:val="21"/>
              </w:rPr>
            </w:pPr>
          </w:p>
        </w:tc>
        <w:tc>
          <w:tcPr>
            <w:tcW w:w="3202" w:type="dxa"/>
            <w:vMerge w:val="continue"/>
            <w:tcBorders>
              <w:top w:val="nil"/>
              <w:bottom w:val="nil"/>
            </w:tcBorders>
            <w:vAlign w:val="top"/>
          </w:tcPr>
          <w:p w14:paraId="0B74F970">
            <w:pPr>
              <w:rPr>
                <w:rFonts w:ascii="Arial"/>
                <w:sz w:val="21"/>
              </w:rPr>
            </w:pPr>
          </w:p>
        </w:tc>
        <w:tc>
          <w:tcPr>
            <w:tcW w:w="2859" w:type="dxa"/>
            <w:vMerge w:val="continue"/>
            <w:tcBorders>
              <w:top w:val="nil"/>
              <w:bottom w:val="nil"/>
            </w:tcBorders>
            <w:vAlign w:val="top"/>
          </w:tcPr>
          <w:p w14:paraId="5384B5A1">
            <w:pPr>
              <w:rPr>
                <w:rFonts w:ascii="Arial"/>
                <w:sz w:val="21"/>
              </w:rPr>
            </w:pPr>
          </w:p>
        </w:tc>
        <w:tc>
          <w:tcPr>
            <w:tcW w:w="803" w:type="dxa"/>
            <w:vAlign w:val="top"/>
          </w:tcPr>
          <w:p w14:paraId="4D91034D">
            <w:pPr>
              <w:spacing w:line="261" w:lineRule="auto"/>
              <w:rPr>
                <w:rFonts w:ascii="Arial"/>
                <w:sz w:val="21"/>
              </w:rPr>
            </w:pPr>
          </w:p>
          <w:p w14:paraId="383F8B33">
            <w:pPr>
              <w:spacing w:line="261" w:lineRule="auto"/>
              <w:rPr>
                <w:rFonts w:ascii="Arial"/>
                <w:sz w:val="21"/>
              </w:rPr>
            </w:pPr>
          </w:p>
          <w:p w14:paraId="450B6805">
            <w:pPr>
              <w:spacing w:line="262" w:lineRule="auto"/>
              <w:rPr>
                <w:rFonts w:ascii="Arial"/>
                <w:sz w:val="21"/>
              </w:rPr>
            </w:pPr>
          </w:p>
          <w:p w14:paraId="2840E6F8">
            <w:pPr>
              <w:spacing w:line="262" w:lineRule="auto"/>
              <w:rPr>
                <w:rFonts w:ascii="Arial"/>
                <w:sz w:val="21"/>
              </w:rPr>
            </w:pPr>
          </w:p>
          <w:p w14:paraId="63A936A7">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87910F8">
            <w:pPr>
              <w:spacing w:line="275" w:lineRule="auto"/>
              <w:rPr>
                <w:rFonts w:ascii="Arial"/>
                <w:sz w:val="21"/>
              </w:rPr>
            </w:pPr>
          </w:p>
          <w:p w14:paraId="3285EC2D">
            <w:pPr>
              <w:spacing w:line="275" w:lineRule="auto"/>
              <w:rPr>
                <w:rFonts w:ascii="Arial"/>
                <w:sz w:val="21"/>
              </w:rPr>
            </w:pPr>
          </w:p>
          <w:p w14:paraId="77DB2DF5">
            <w:pPr>
              <w:spacing w:line="276" w:lineRule="auto"/>
              <w:rPr>
                <w:rFonts w:ascii="Arial"/>
                <w:sz w:val="21"/>
              </w:rPr>
            </w:pPr>
          </w:p>
          <w:p w14:paraId="7F7347DA">
            <w:pPr>
              <w:pStyle w:val="6"/>
              <w:spacing w:before="99" w:line="196" w:lineRule="auto"/>
              <w:ind w:left="122" w:right="108"/>
            </w:pPr>
            <w:r>
              <w:rPr>
                <w:spacing w:val="16"/>
              </w:rPr>
              <w:t>有</w:t>
            </w:r>
            <w:r>
              <w:rPr>
                <w:rFonts w:ascii="宋体" w:hAnsi="宋体" w:eastAsia="宋体" w:cs="宋体"/>
                <w:spacing w:val="16"/>
              </w:rPr>
              <w:t>2</w:t>
            </w:r>
            <w:r>
              <w:rPr>
                <w:spacing w:val="16"/>
              </w:rPr>
              <w:t>项缺少或者不</w:t>
            </w:r>
            <w:r>
              <w:rPr>
                <w:spacing w:val="5"/>
              </w:rPr>
              <w:t>符合要求的</w:t>
            </w:r>
          </w:p>
        </w:tc>
        <w:tc>
          <w:tcPr>
            <w:tcW w:w="2894" w:type="dxa"/>
            <w:vAlign w:val="top"/>
          </w:tcPr>
          <w:p w14:paraId="3BB44B40">
            <w:pPr>
              <w:pStyle w:val="6"/>
              <w:spacing w:before="25" w:line="180" w:lineRule="auto"/>
              <w:ind w:left="119" w:right="18" w:firstLine="7"/>
              <w:jc w:val="both"/>
            </w:pPr>
            <w:r>
              <w:rPr>
                <w:spacing w:val="-3"/>
              </w:rPr>
              <w:t>给予警告，责令限期改正，</w:t>
            </w:r>
            <w:r>
              <w:rPr>
                <w:spacing w:val="3"/>
              </w:rPr>
              <w:t>处</w:t>
            </w:r>
            <w:r>
              <w:rPr>
                <w:rFonts w:ascii="宋体" w:hAnsi="宋体" w:eastAsia="宋体" w:cs="宋体"/>
                <w:spacing w:val="3"/>
              </w:rPr>
              <w:t>2</w:t>
            </w:r>
            <w:r>
              <w:rPr>
                <w:spacing w:val="3"/>
              </w:rPr>
              <w:t>万元以上</w:t>
            </w:r>
            <w:r>
              <w:rPr>
                <w:rFonts w:ascii="宋体" w:hAnsi="宋体" w:eastAsia="宋体" w:cs="宋体"/>
                <w:spacing w:val="3"/>
              </w:rPr>
              <w:t>4</w:t>
            </w:r>
            <w:r>
              <w:rPr>
                <w:spacing w:val="3"/>
              </w:rPr>
              <w:t>万元以下</w:t>
            </w:r>
            <w:r>
              <w:rPr>
                <w:spacing w:val="-1"/>
              </w:rPr>
              <w:t>的罚款；对违反规定生产、</w:t>
            </w:r>
            <w:r>
              <w:rPr>
                <w:spacing w:val="11"/>
              </w:rPr>
              <w:t>经营、购买的易制毒化学</w:t>
            </w:r>
            <w:r>
              <w:rPr>
                <w:spacing w:val="9"/>
              </w:rPr>
              <w:t>品可以予以没收；逾期不</w:t>
            </w:r>
            <w:r>
              <w:rPr>
                <w:spacing w:val="8"/>
              </w:rPr>
              <w:t>改正的，责令限期停产停</w:t>
            </w:r>
            <w:r>
              <w:rPr>
                <w:spacing w:val="9"/>
              </w:rPr>
              <w:t>业整顿；逾期整顿不合格</w:t>
            </w:r>
            <w:r>
              <w:rPr>
                <w:spacing w:val="8"/>
              </w:rPr>
              <w:t>的，吊销相应的许可证</w:t>
            </w:r>
          </w:p>
        </w:tc>
        <w:tc>
          <w:tcPr>
            <w:tcW w:w="811" w:type="dxa"/>
            <w:vMerge w:val="continue"/>
            <w:tcBorders>
              <w:top w:val="nil"/>
              <w:bottom w:val="nil"/>
            </w:tcBorders>
            <w:vAlign w:val="top"/>
          </w:tcPr>
          <w:p w14:paraId="773D7037">
            <w:pPr>
              <w:rPr>
                <w:rFonts w:ascii="Arial"/>
                <w:sz w:val="21"/>
              </w:rPr>
            </w:pPr>
          </w:p>
        </w:tc>
      </w:tr>
      <w:tr w14:paraId="31CE4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3" w:hRule="atLeast"/>
        </w:trPr>
        <w:tc>
          <w:tcPr>
            <w:tcW w:w="818" w:type="dxa"/>
            <w:vMerge w:val="continue"/>
            <w:tcBorders>
              <w:top w:val="nil"/>
            </w:tcBorders>
            <w:vAlign w:val="top"/>
          </w:tcPr>
          <w:p w14:paraId="62D291A3">
            <w:pPr>
              <w:rPr>
                <w:rFonts w:ascii="Arial"/>
                <w:sz w:val="21"/>
              </w:rPr>
            </w:pPr>
          </w:p>
        </w:tc>
        <w:tc>
          <w:tcPr>
            <w:tcW w:w="1440" w:type="dxa"/>
            <w:vMerge w:val="continue"/>
            <w:tcBorders>
              <w:top w:val="nil"/>
            </w:tcBorders>
            <w:vAlign w:val="top"/>
          </w:tcPr>
          <w:p w14:paraId="42EEF1E6">
            <w:pPr>
              <w:rPr>
                <w:rFonts w:ascii="Arial"/>
                <w:sz w:val="21"/>
              </w:rPr>
            </w:pPr>
          </w:p>
        </w:tc>
        <w:tc>
          <w:tcPr>
            <w:tcW w:w="3202" w:type="dxa"/>
            <w:vMerge w:val="continue"/>
            <w:tcBorders>
              <w:top w:val="nil"/>
            </w:tcBorders>
            <w:vAlign w:val="top"/>
          </w:tcPr>
          <w:p w14:paraId="7261EAC4">
            <w:pPr>
              <w:rPr>
                <w:rFonts w:ascii="Arial"/>
                <w:sz w:val="21"/>
              </w:rPr>
            </w:pPr>
          </w:p>
        </w:tc>
        <w:tc>
          <w:tcPr>
            <w:tcW w:w="2859" w:type="dxa"/>
            <w:vMerge w:val="continue"/>
            <w:tcBorders>
              <w:top w:val="nil"/>
            </w:tcBorders>
            <w:vAlign w:val="top"/>
          </w:tcPr>
          <w:p w14:paraId="3B4B7727">
            <w:pPr>
              <w:rPr>
                <w:rFonts w:ascii="Arial"/>
                <w:sz w:val="21"/>
              </w:rPr>
            </w:pPr>
          </w:p>
        </w:tc>
        <w:tc>
          <w:tcPr>
            <w:tcW w:w="803" w:type="dxa"/>
            <w:vAlign w:val="top"/>
          </w:tcPr>
          <w:p w14:paraId="26EE53DD">
            <w:pPr>
              <w:spacing w:line="305" w:lineRule="auto"/>
              <w:rPr>
                <w:rFonts w:ascii="Arial"/>
                <w:sz w:val="21"/>
              </w:rPr>
            </w:pPr>
          </w:p>
          <w:p w14:paraId="0C145ED7">
            <w:pPr>
              <w:spacing w:line="305" w:lineRule="auto"/>
              <w:rPr>
                <w:rFonts w:ascii="Arial"/>
                <w:sz w:val="21"/>
              </w:rPr>
            </w:pPr>
          </w:p>
          <w:p w14:paraId="097935BE">
            <w:pPr>
              <w:spacing w:line="305" w:lineRule="auto"/>
              <w:rPr>
                <w:rFonts w:ascii="Arial"/>
                <w:sz w:val="21"/>
              </w:rPr>
            </w:pPr>
          </w:p>
          <w:p w14:paraId="25B35DE9">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9CE78D9">
            <w:pPr>
              <w:spacing w:line="348" w:lineRule="auto"/>
              <w:rPr>
                <w:rFonts w:ascii="Arial"/>
                <w:sz w:val="21"/>
              </w:rPr>
            </w:pPr>
          </w:p>
          <w:p w14:paraId="001C6428">
            <w:pPr>
              <w:spacing w:line="348" w:lineRule="auto"/>
              <w:rPr>
                <w:rFonts w:ascii="Arial"/>
                <w:sz w:val="21"/>
              </w:rPr>
            </w:pPr>
          </w:p>
          <w:p w14:paraId="5B2FF150">
            <w:pPr>
              <w:pStyle w:val="6"/>
              <w:spacing w:before="99" w:line="196" w:lineRule="auto"/>
              <w:ind w:left="122" w:right="108"/>
            </w:pPr>
            <w:r>
              <w:rPr>
                <w:spacing w:val="16"/>
              </w:rPr>
              <w:t>有</w:t>
            </w:r>
            <w:r>
              <w:rPr>
                <w:rFonts w:ascii="宋体" w:hAnsi="宋体" w:eastAsia="宋体" w:cs="宋体"/>
                <w:spacing w:val="16"/>
              </w:rPr>
              <w:t>3</w:t>
            </w:r>
            <w:r>
              <w:rPr>
                <w:spacing w:val="16"/>
              </w:rPr>
              <w:t>项缺少或者不</w:t>
            </w:r>
            <w:r>
              <w:rPr>
                <w:spacing w:val="5"/>
              </w:rPr>
              <w:t>符合要求的</w:t>
            </w:r>
          </w:p>
        </w:tc>
        <w:tc>
          <w:tcPr>
            <w:tcW w:w="2894" w:type="dxa"/>
            <w:vAlign w:val="top"/>
          </w:tcPr>
          <w:p w14:paraId="18DA7E62">
            <w:pPr>
              <w:pStyle w:val="6"/>
              <w:spacing w:before="49" w:line="181" w:lineRule="auto"/>
              <w:ind w:left="119" w:right="18" w:firstLine="7"/>
              <w:jc w:val="both"/>
            </w:pPr>
            <w:r>
              <w:rPr>
                <w:spacing w:val="-3"/>
              </w:rPr>
              <w:t>给予警告，责令限期改正，</w:t>
            </w:r>
            <w:r>
              <w:rPr>
                <w:spacing w:val="3"/>
              </w:rPr>
              <w:t>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万元以下</w:t>
            </w:r>
            <w:r>
              <w:rPr>
                <w:spacing w:val="-1"/>
              </w:rPr>
              <w:t>的罚款；对违反规定生产、</w:t>
            </w:r>
            <w:r>
              <w:rPr>
                <w:spacing w:val="11"/>
              </w:rPr>
              <w:t>经营、购买的易制毒化学</w:t>
            </w:r>
            <w:r>
              <w:rPr>
                <w:spacing w:val="9"/>
              </w:rPr>
              <w:t>品可以予以没收；逾期不</w:t>
            </w:r>
            <w:r>
              <w:rPr>
                <w:spacing w:val="8"/>
              </w:rPr>
              <w:t>改正的，责令限期停产停</w:t>
            </w:r>
            <w:r>
              <w:rPr>
                <w:spacing w:val="9"/>
              </w:rPr>
              <w:t>业整顿；逾期整顿不合格</w:t>
            </w:r>
          </w:p>
        </w:tc>
        <w:tc>
          <w:tcPr>
            <w:tcW w:w="811" w:type="dxa"/>
            <w:vMerge w:val="continue"/>
            <w:tcBorders>
              <w:top w:val="nil"/>
            </w:tcBorders>
            <w:vAlign w:val="top"/>
          </w:tcPr>
          <w:p w14:paraId="0BD23387">
            <w:pPr>
              <w:rPr>
                <w:rFonts w:ascii="Arial"/>
                <w:sz w:val="21"/>
              </w:rPr>
            </w:pPr>
          </w:p>
        </w:tc>
      </w:tr>
    </w:tbl>
    <w:p w14:paraId="2BEBF7A9">
      <w:pPr>
        <w:pStyle w:val="2"/>
      </w:pPr>
    </w:p>
    <w:p w14:paraId="278AE33F">
      <w:pPr>
        <w:sectPr>
          <w:footerReference r:id="rId185" w:type="default"/>
          <w:pgSz w:w="16839" w:h="11906"/>
          <w:pgMar w:top="1012" w:right="821" w:bottom="667" w:left="901" w:header="0" w:footer="388" w:gutter="0"/>
          <w:cols w:space="720" w:num="1"/>
        </w:sectPr>
      </w:pPr>
    </w:p>
    <w:p w14:paraId="4D6E1F13">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2C18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23DE1F6">
            <w:pPr>
              <w:spacing w:before="222" w:line="241" w:lineRule="auto"/>
              <w:ind w:left="131"/>
              <w:outlineLvl w:val="0"/>
              <w:rPr>
                <w:rFonts w:ascii="黑体" w:hAnsi="黑体" w:eastAsia="黑体" w:cs="黑体"/>
                <w:sz w:val="28"/>
                <w:szCs w:val="28"/>
              </w:rPr>
            </w:pPr>
            <w:bookmarkStart w:id="642" w:name="bookmark342"/>
            <w:bookmarkEnd w:id="642"/>
            <w:r>
              <w:rPr>
                <w:rFonts w:ascii="黑体" w:hAnsi="黑体" w:eastAsia="黑体" w:cs="黑体"/>
                <w:spacing w:val="-2"/>
                <w:sz w:val="28"/>
                <w:szCs w:val="28"/>
              </w:rPr>
              <w:t>序号</w:t>
            </w:r>
          </w:p>
        </w:tc>
        <w:tc>
          <w:tcPr>
            <w:tcW w:w="1440" w:type="dxa"/>
            <w:vAlign w:val="top"/>
          </w:tcPr>
          <w:p w14:paraId="075587C5">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9652956">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1AD54CE">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15337706">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C9E3DF1">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FD90856">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A05A823">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EA92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trPr>
        <w:tc>
          <w:tcPr>
            <w:tcW w:w="818" w:type="dxa"/>
            <w:vAlign w:val="top"/>
          </w:tcPr>
          <w:p w14:paraId="4754677F">
            <w:pPr>
              <w:rPr>
                <w:rFonts w:ascii="Arial"/>
                <w:sz w:val="21"/>
              </w:rPr>
            </w:pPr>
          </w:p>
        </w:tc>
        <w:tc>
          <w:tcPr>
            <w:tcW w:w="1440" w:type="dxa"/>
            <w:vAlign w:val="top"/>
          </w:tcPr>
          <w:p w14:paraId="79E6EDEA">
            <w:pPr>
              <w:rPr>
                <w:rFonts w:ascii="Arial"/>
                <w:sz w:val="21"/>
              </w:rPr>
            </w:pPr>
          </w:p>
        </w:tc>
        <w:tc>
          <w:tcPr>
            <w:tcW w:w="3202" w:type="dxa"/>
            <w:vAlign w:val="top"/>
          </w:tcPr>
          <w:p w14:paraId="3558A0B9">
            <w:pPr>
              <w:rPr>
                <w:rFonts w:ascii="Arial"/>
                <w:sz w:val="21"/>
              </w:rPr>
            </w:pPr>
          </w:p>
        </w:tc>
        <w:tc>
          <w:tcPr>
            <w:tcW w:w="2859" w:type="dxa"/>
            <w:vAlign w:val="top"/>
          </w:tcPr>
          <w:p w14:paraId="27E1C423">
            <w:pPr>
              <w:pStyle w:val="6"/>
              <w:spacing w:before="21" w:line="181" w:lineRule="auto"/>
              <w:ind w:left="116" w:right="19" w:firstLine="8"/>
              <w:jc w:val="both"/>
            </w:pPr>
            <w:r>
              <w:rPr>
                <w:spacing w:val="-6"/>
              </w:rPr>
              <w:t>给予警告，责令限期改正，</w:t>
            </w:r>
            <w:r>
              <w:t>处</w:t>
            </w:r>
            <w:r>
              <w:rPr>
                <w:rFonts w:ascii="宋体" w:hAnsi="宋体" w:eastAsia="宋体" w:cs="宋体"/>
              </w:rPr>
              <w:t>1</w:t>
            </w:r>
            <w:r>
              <w:t>万元以上</w:t>
            </w:r>
            <w:r>
              <w:rPr>
                <w:rFonts w:ascii="宋体" w:hAnsi="宋体" w:eastAsia="宋体" w:cs="宋体"/>
              </w:rPr>
              <w:t>5</w:t>
            </w:r>
            <w:r>
              <w:t>万元以下</w:t>
            </w:r>
            <w:r>
              <w:rPr>
                <w:spacing w:val="-4"/>
              </w:rPr>
              <w:t>的罚款；对违反规定生产、</w:t>
            </w:r>
            <w:r>
              <w:rPr>
                <w:spacing w:val="8"/>
              </w:rPr>
              <w:t>经营的非药品类易制毒化</w:t>
            </w:r>
            <w:r>
              <w:rPr>
                <w:spacing w:val="2"/>
              </w:rPr>
              <w:t>学品，可以予以没收；逾</w:t>
            </w:r>
            <w:r>
              <w:rPr>
                <w:spacing w:val="8"/>
              </w:rPr>
              <w:t>期不改正的，责令限期停产停业整顿；逾期整顿不</w:t>
            </w:r>
            <w:r>
              <w:rPr>
                <w:spacing w:val="2"/>
              </w:rPr>
              <w:t>合格的，吊销相应的许可</w:t>
            </w:r>
            <w:r>
              <w:rPr>
                <w:spacing w:val="8"/>
              </w:rPr>
              <w:t>证</w:t>
            </w:r>
            <w:r>
              <w:rPr>
                <w:spacing w:val="10"/>
              </w:rPr>
              <w:t>：（</w:t>
            </w:r>
            <w:r>
              <w:rPr>
                <w:spacing w:val="8"/>
              </w:rPr>
              <w:t>四）易制毒化学品的产品包装和使用说明书不符合《易制毒化学品管</w:t>
            </w:r>
            <w:r>
              <w:rPr>
                <w:spacing w:val="3"/>
              </w:rPr>
              <w:t>理条例》规定要求的；</w:t>
            </w:r>
          </w:p>
        </w:tc>
        <w:tc>
          <w:tcPr>
            <w:tcW w:w="803" w:type="dxa"/>
            <w:vAlign w:val="top"/>
          </w:tcPr>
          <w:p w14:paraId="2C7526E7">
            <w:pPr>
              <w:rPr>
                <w:rFonts w:ascii="Arial"/>
                <w:sz w:val="21"/>
              </w:rPr>
            </w:pPr>
          </w:p>
        </w:tc>
        <w:tc>
          <w:tcPr>
            <w:tcW w:w="2283" w:type="dxa"/>
            <w:vAlign w:val="top"/>
          </w:tcPr>
          <w:p w14:paraId="53E98F52">
            <w:pPr>
              <w:rPr>
                <w:rFonts w:ascii="Arial"/>
                <w:sz w:val="21"/>
              </w:rPr>
            </w:pPr>
          </w:p>
        </w:tc>
        <w:tc>
          <w:tcPr>
            <w:tcW w:w="2894" w:type="dxa"/>
            <w:vAlign w:val="top"/>
          </w:tcPr>
          <w:p w14:paraId="6D44A643">
            <w:pPr>
              <w:pStyle w:val="6"/>
              <w:spacing w:before="27" w:line="209" w:lineRule="auto"/>
              <w:ind w:left="141"/>
            </w:pPr>
            <w:r>
              <w:rPr>
                <w:spacing w:val="5"/>
              </w:rPr>
              <w:t>的，吊销相应的许可证</w:t>
            </w:r>
          </w:p>
        </w:tc>
        <w:tc>
          <w:tcPr>
            <w:tcW w:w="811" w:type="dxa"/>
            <w:vAlign w:val="top"/>
          </w:tcPr>
          <w:p w14:paraId="67BCA248">
            <w:pPr>
              <w:rPr>
                <w:rFonts w:ascii="Arial"/>
                <w:sz w:val="21"/>
              </w:rPr>
            </w:pPr>
          </w:p>
        </w:tc>
      </w:tr>
      <w:tr w14:paraId="432AB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3" w:hRule="atLeast"/>
        </w:trPr>
        <w:tc>
          <w:tcPr>
            <w:tcW w:w="818" w:type="dxa"/>
            <w:vMerge w:val="restart"/>
            <w:tcBorders>
              <w:bottom w:val="nil"/>
            </w:tcBorders>
            <w:vAlign w:val="top"/>
          </w:tcPr>
          <w:p w14:paraId="34F73556">
            <w:pPr>
              <w:spacing w:line="255" w:lineRule="auto"/>
              <w:rPr>
                <w:rFonts w:ascii="Arial"/>
                <w:sz w:val="21"/>
              </w:rPr>
            </w:pPr>
          </w:p>
          <w:p w14:paraId="17B1438E">
            <w:pPr>
              <w:spacing w:line="255" w:lineRule="auto"/>
              <w:rPr>
                <w:rFonts w:ascii="Arial"/>
                <w:sz w:val="21"/>
              </w:rPr>
            </w:pPr>
          </w:p>
          <w:p w14:paraId="675ED2CF">
            <w:pPr>
              <w:spacing w:line="255" w:lineRule="auto"/>
              <w:rPr>
                <w:rFonts w:ascii="Arial"/>
                <w:sz w:val="21"/>
              </w:rPr>
            </w:pPr>
          </w:p>
          <w:p w14:paraId="2EA77334">
            <w:pPr>
              <w:spacing w:line="255" w:lineRule="auto"/>
              <w:rPr>
                <w:rFonts w:ascii="Arial"/>
                <w:sz w:val="21"/>
              </w:rPr>
            </w:pPr>
          </w:p>
          <w:p w14:paraId="7DEFE250">
            <w:pPr>
              <w:spacing w:line="255" w:lineRule="auto"/>
              <w:rPr>
                <w:rFonts w:ascii="Arial"/>
                <w:sz w:val="21"/>
              </w:rPr>
            </w:pPr>
          </w:p>
          <w:p w14:paraId="51539641">
            <w:pPr>
              <w:spacing w:line="255" w:lineRule="auto"/>
              <w:rPr>
                <w:rFonts w:ascii="Arial"/>
                <w:sz w:val="21"/>
              </w:rPr>
            </w:pPr>
          </w:p>
          <w:p w14:paraId="4143E5DF">
            <w:pPr>
              <w:spacing w:line="255" w:lineRule="auto"/>
              <w:rPr>
                <w:rFonts w:ascii="Arial"/>
                <w:sz w:val="21"/>
              </w:rPr>
            </w:pPr>
          </w:p>
          <w:p w14:paraId="45ABFD29">
            <w:pPr>
              <w:spacing w:line="255" w:lineRule="auto"/>
              <w:rPr>
                <w:rFonts w:ascii="Arial"/>
                <w:sz w:val="21"/>
              </w:rPr>
            </w:pPr>
          </w:p>
          <w:p w14:paraId="14C0A134">
            <w:pPr>
              <w:spacing w:line="255" w:lineRule="auto"/>
              <w:rPr>
                <w:rFonts w:ascii="Arial"/>
                <w:sz w:val="21"/>
              </w:rPr>
            </w:pPr>
          </w:p>
          <w:p w14:paraId="1E4AA9AD">
            <w:pPr>
              <w:spacing w:line="255" w:lineRule="auto"/>
              <w:rPr>
                <w:rFonts w:ascii="Arial"/>
                <w:sz w:val="21"/>
              </w:rPr>
            </w:pPr>
          </w:p>
          <w:p w14:paraId="353C582F">
            <w:pPr>
              <w:spacing w:before="75" w:line="186" w:lineRule="auto"/>
              <w:ind w:left="161"/>
              <w:rPr>
                <w:rFonts w:ascii="仿宋" w:hAnsi="仿宋" w:eastAsia="仿宋" w:cs="仿宋"/>
                <w:sz w:val="23"/>
                <w:szCs w:val="23"/>
              </w:rPr>
            </w:pPr>
            <w:r>
              <w:rPr>
                <w:rFonts w:ascii="仿宋" w:hAnsi="仿宋" w:eastAsia="仿宋" w:cs="仿宋"/>
                <w:spacing w:val="-5"/>
                <w:sz w:val="23"/>
                <w:szCs w:val="23"/>
              </w:rPr>
              <w:t>167</w:t>
            </w:r>
          </w:p>
        </w:tc>
        <w:tc>
          <w:tcPr>
            <w:tcW w:w="1440" w:type="dxa"/>
            <w:vMerge w:val="restart"/>
            <w:tcBorders>
              <w:bottom w:val="nil"/>
            </w:tcBorders>
            <w:vAlign w:val="top"/>
          </w:tcPr>
          <w:p w14:paraId="139F9725">
            <w:pPr>
              <w:spacing w:line="264" w:lineRule="auto"/>
              <w:rPr>
                <w:rFonts w:ascii="Arial"/>
                <w:sz w:val="21"/>
              </w:rPr>
            </w:pPr>
          </w:p>
          <w:p w14:paraId="3E097C0B">
            <w:pPr>
              <w:spacing w:line="265" w:lineRule="auto"/>
              <w:rPr>
                <w:rFonts w:ascii="Arial"/>
                <w:sz w:val="21"/>
              </w:rPr>
            </w:pPr>
          </w:p>
          <w:p w14:paraId="503617CB">
            <w:pPr>
              <w:spacing w:line="265" w:lineRule="auto"/>
              <w:rPr>
                <w:rFonts w:ascii="Arial"/>
                <w:sz w:val="21"/>
              </w:rPr>
            </w:pPr>
          </w:p>
          <w:p w14:paraId="6E92F16F">
            <w:pPr>
              <w:spacing w:line="265" w:lineRule="auto"/>
              <w:rPr>
                <w:rFonts w:ascii="Arial"/>
                <w:sz w:val="21"/>
              </w:rPr>
            </w:pPr>
          </w:p>
          <w:p w14:paraId="4CBA5A3B">
            <w:pPr>
              <w:spacing w:line="265" w:lineRule="auto"/>
              <w:rPr>
                <w:rFonts w:ascii="Arial"/>
                <w:sz w:val="21"/>
              </w:rPr>
            </w:pPr>
          </w:p>
          <w:p w14:paraId="2616A960">
            <w:pPr>
              <w:spacing w:line="265" w:lineRule="auto"/>
              <w:rPr>
                <w:rFonts w:ascii="Arial"/>
                <w:sz w:val="21"/>
              </w:rPr>
            </w:pPr>
          </w:p>
          <w:p w14:paraId="335C60CA">
            <w:pPr>
              <w:pStyle w:val="6"/>
              <w:spacing w:before="99" w:line="186" w:lineRule="auto"/>
              <w:ind w:left="113" w:right="111" w:firstLine="15"/>
              <w:jc w:val="both"/>
            </w:pPr>
            <w:r>
              <w:rPr>
                <w:spacing w:val="8"/>
              </w:rPr>
              <w:t>生产、经营</w:t>
            </w:r>
            <w:r>
              <w:rPr>
                <w:spacing w:val="12"/>
              </w:rPr>
              <w:t>非药品类易制毒化学品的单位未按规定报告年度生产、经</w:t>
            </w:r>
            <w:r>
              <w:rPr>
                <w:spacing w:val="7"/>
              </w:rPr>
              <w:t>营等情况的</w:t>
            </w:r>
          </w:p>
        </w:tc>
        <w:tc>
          <w:tcPr>
            <w:tcW w:w="3202" w:type="dxa"/>
            <w:vMerge w:val="restart"/>
            <w:tcBorders>
              <w:bottom w:val="nil"/>
            </w:tcBorders>
            <w:vAlign w:val="top"/>
          </w:tcPr>
          <w:p w14:paraId="57A61923">
            <w:pPr>
              <w:pStyle w:val="6"/>
              <w:spacing w:before="43" w:line="182" w:lineRule="auto"/>
              <w:ind w:left="120" w:right="42" w:firstLine="11"/>
              <w:jc w:val="both"/>
            </w:pPr>
            <w:r>
              <w:rPr>
                <w:rFonts w:ascii="宋体" w:hAnsi="宋体" w:eastAsia="宋体" w:cs="宋体"/>
                <w:spacing w:val="14"/>
              </w:rPr>
              <w:t>1.</w:t>
            </w:r>
            <w:r>
              <w:rPr>
                <w:spacing w:val="14"/>
              </w:rPr>
              <w:t>【行政法规】《易制毒化</w:t>
            </w:r>
            <w:r>
              <w:rPr>
                <w:spacing w:val="3"/>
              </w:rPr>
              <w:t>学品管理条例》第三十六条：</w:t>
            </w:r>
            <w:r>
              <w:rPr>
                <w:spacing w:val="17"/>
              </w:rPr>
              <w:t>生产、经营、购买、运输或者进口、出口易制毒化学品</w:t>
            </w:r>
            <w:r>
              <w:rPr>
                <w:spacing w:val="3"/>
              </w:rPr>
              <w:t>的单位，应当于每年</w:t>
            </w:r>
            <w:r>
              <w:rPr>
                <w:rFonts w:ascii="宋体" w:hAnsi="宋体" w:eastAsia="宋体" w:cs="宋体"/>
                <w:spacing w:val="3"/>
              </w:rPr>
              <w:t>3</w:t>
            </w:r>
            <w:r>
              <w:rPr>
                <w:spacing w:val="3"/>
              </w:rPr>
              <w:t>月</w:t>
            </w:r>
            <w:r>
              <w:rPr>
                <w:rFonts w:ascii="宋体" w:hAnsi="宋体" w:eastAsia="宋体" w:cs="宋体"/>
                <w:spacing w:val="3"/>
              </w:rPr>
              <w:t>31</w:t>
            </w:r>
            <w:r>
              <w:rPr>
                <w:spacing w:val="17"/>
              </w:rPr>
              <w:t>日前向许可或者备案的行政主管部门和公安机关报告本单位上年度易制毒化学品的生产、经营、购买、运输或</w:t>
            </w:r>
            <w:r>
              <w:rPr>
                <w:spacing w:val="13"/>
              </w:rPr>
              <w:t>者进口、出口情况；有条件</w:t>
            </w:r>
            <w:r>
              <w:rPr>
                <w:spacing w:val="17"/>
              </w:rPr>
              <w:t>的生产、经营、购买、运输</w:t>
            </w:r>
            <w:r>
              <w:rPr>
                <w:spacing w:val="12"/>
              </w:rPr>
              <w:t>或者进口、出口单位，可以</w:t>
            </w:r>
            <w:r>
              <w:rPr>
                <w:spacing w:val="17"/>
              </w:rPr>
              <w:t>与有关行政主管部门建立计</w:t>
            </w:r>
            <w:r>
              <w:rPr>
                <w:spacing w:val="13"/>
              </w:rPr>
              <w:t>算机联网，及时通报有关经</w:t>
            </w:r>
            <w:r>
              <w:rPr>
                <w:spacing w:val="-3"/>
              </w:rPr>
              <w:t>营情况。</w:t>
            </w:r>
          </w:p>
          <w:p w14:paraId="52FD18EA">
            <w:pPr>
              <w:pStyle w:val="6"/>
              <w:spacing w:before="3" w:line="180" w:lineRule="auto"/>
              <w:ind w:left="126" w:right="42" w:hanging="10"/>
              <w:jc w:val="both"/>
            </w:pPr>
            <w:r>
              <w:rPr>
                <w:rFonts w:ascii="宋体" w:hAnsi="宋体" w:eastAsia="宋体" w:cs="宋体"/>
                <w:spacing w:val="15"/>
              </w:rPr>
              <w:t>2.</w:t>
            </w:r>
            <w:r>
              <w:rPr>
                <w:spacing w:val="15"/>
              </w:rPr>
              <w:t>【部门规章】《非药品类</w:t>
            </w:r>
            <w:r>
              <w:rPr>
                <w:spacing w:val="16"/>
              </w:rPr>
              <w:t>易制毒化学品生产、经营许</w:t>
            </w:r>
            <w:r>
              <w:rPr>
                <w:spacing w:val="2"/>
              </w:rPr>
              <w:t>可办法》第二十六条第一款：</w:t>
            </w:r>
          </w:p>
        </w:tc>
        <w:tc>
          <w:tcPr>
            <w:tcW w:w="2859" w:type="dxa"/>
            <w:vMerge w:val="restart"/>
            <w:tcBorders>
              <w:bottom w:val="nil"/>
            </w:tcBorders>
            <w:vAlign w:val="top"/>
          </w:tcPr>
          <w:p w14:paraId="02FB3C2F">
            <w:pPr>
              <w:pStyle w:val="6"/>
              <w:spacing w:before="36" w:line="182" w:lineRule="auto"/>
              <w:ind w:left="118" w:firstLine="12"/>
              <w:jc w:val="both"/>
            </w:pPr>
            <w:r>
              <w:rPr>
                <w:rFonts w:ascii="宋体" w:hAnsi="宋体" w:eastAsia="宋体" w:cs="宋体"/>
                <w:spacing w:val="5"/>
              </w:rPr>
              <w:t>1.</w:t>
            </w:r>
            <w:r>
              <w:rPr>
                <w:spacing w:val="5"/>
              </w:rPr>
              <w:t>【行政法规】《易制毒</w:t>
            </w:r>
            <w:r>
              <w:rPr>
                <w:spacing w:val="7"/>
              </w:rPr>
              <w:t>化学品管理条例》第四十条第一款第八项：违反本条例规定，有下列行为之一的，由负有监督管理职责的行政主管部门给予警</w:t>
            </w:r>
            <w:r>
              <w:rPr>
                <w:spacing w:val="2"/>
              </w:rPr>
              <w:t>告，责令限期改正，处</w:t>
            </w:r>
            <w:r>
              <w:rPr>
                <w:rFonts w:ascii="宋体" w:hAnsi="宋体" w:eastAsia="宋体" w:cs="宋体"/>
                <w:spacing w:val="2"/>
              </w:rPr>
              <w:t>1</w:t>
            </w:r>
            <w:r>
              <w:rPr>
                <w:spacing w:val="3"/>
              </w:rPr>
              <w:t>万元以上</w:t>
            </w:r>
            <w:r>
              <w:rPr>
                <w:rFonts w:ascii="宋体" w:hAnsi="宋体" w:eastAsia="宋体" w:cs="宋体"/>
                <w:spacing w:val="3"/>
              </w:rPr>
              <w:t>5</w:t>
            </w:r>
            <w:r>
              <w:rPr>
                <w:spacing w:val="3"/>
              </w:rPr>
              <w:t>万元以下的罚</w:t>
            </w:r>
            <w:r>
              <w:rPr>
                <w:spacing w:val="7"/>
              </w:rPr>
              <w:t>款；对违反规定生产、经营、购买的易制毒化学品可以予以没收；逾期不改正的，责令限期停产停业</w:t>
            </w:r>
            <w:r>
              <w:rPr>
                <w:spacing w:val="-7"/>
              </w:rPr>
              <w:t>整顿；逾期整顿不合格的，</w:t>
            </w:r>
            <w:r>
              <w:rPr>
                <w:spacing w:val="-4"/>
              </w:rPr>
              <w:t>吊销相应的许可证</w:t>
            </w:r>
            <w:r>
              <w:rPr>
                <w:spacing w:val="7"/>
              </w:rPr>
              <w:t>：（</w:t>
            </w:r>
            <w:r>
              <w:rPr>
                <w:spacing w:val="-4"/>
              </w:rPr>
              <w:t>八）</w:t>
            </w:r>
            <w:r>
              <w:rPr>
                <w:spacing w:val="7"/>
              </w:rPr>
              <w:t>生产、经营易制毒化学品的单位不如实或者不按时向有关行政主管部门和公安机关报告年度生产、经</w:t>
            </w:r>
          </w:p>
        </w:tc>
        <w:tc>
          <w:tcPr>
            <w:tcW w:w="803" w:type="dxa"/>
            <w:vAlign w:val="top"/>
          </w:tcPr>
          <w:p w14:paraId="7640D220">
            <w:pPr>
              <w:spacing w:line="296" w:lineRule="auto"/>
              <w:rPr>
                <w:rFonts w:ascii="Arial"/>
                <w:sz w:val="21"/>
              </w:rPr>
            </w:pPr>
          </w:p>
          <w:p w14:paraId="1A716B98">
            <w:pPr>
              <w:spacing w:line="296" w:lineRule="auto"/>
              <w:rPr>
                <w:rFonts w:ascii="Arial"/>
                <w:sz w:val="21"/>
              </w:rPr>
            </w:pPr>
          </w:p>
          <w:p w14:paraId="69AC10E2">
            <w:pPr>
              <w:spacing w:line="297" w:lineRule="auto"/>
              <w:rPr>
                <w:rFonts w:ascii="Arial"/>
                <w:sz w:val="21"/>
              </w:rPr>
            </w:pPr>
          </w:p>
          <w:p w14:paraId="19BF574D">
            <w:pPr>
              <w:spacing w:line="297" w:lineRule="auto"/>
              <w:rPr>
                <w:rFonts w:ascii="Arial"/>
                <w:sz w:val="21"/>
              </w:rPr>
            </w:pPr>
          </w:p>
          <w:p w14:paraId="173AFC6D">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7BB53D1">
            <w:pPr>
              <w:spacing w:line="274" w:lineRule="auto"/>
              <w:rPr>
                <w:rFonts w:ascii="Arial"/>
                <w:sz w:val="21"/>
              </w:rPr>
            </w:pPr>
          </w:p>
          <w:p w14:paraId="39CDF703">
            <w:pPr>
              <w:spacing w:line="274" w:lineRule="auto"/>
              <w:rPr>
                <w:rFonts w:ascii="Arial"/>
                <w:sz w:val="21"/>
              </w:rPr>
            </w:pPr>
          </w:p>
          <w:p w14:paraId="50D33818">
            <w:pPr>
              <w:spacing w:line="274" w:lineRule="auto"/>
              <w:rPr>
                <w:rFonts w:ascii="Arial"/>
                <w:sz w:val="21"/>
              </w:rPr>
            </w:pPr>
          </w:p>
          <w:p w14:paraId="70304CB4">
            <w:pPr>
              <w:pStyle w:val="6"/>
              <w:spacing w:before="99" w:line="191" w:lineRule="auto"/>
              <w:ind w:left="121" w:right="109" w:firstLine="3"/>
              <w:jc w:val="both"/>
            </w:pPr>
            <w:r>
              <w:rPr>
                <w:spacing w:val="25"/>
              </w:rPr>
              <w:t>不如实或者不按时</w:t>
            </w:r>
            <w:r>
              <w:rPr>
                <w:spacing w:val="-3"/>
              </w:rPr>
              <w:t>报告年度生产、经营</w:t>
            </w:r>
            <w:r>
              <w:rPr>
                <w:spacing w:val="-2"/>
              </w:rPr>
              <w:t>等情况</w:t>
            </w:r>
            <w:r>
              <w:rPr>
                <w:rFonts w:ascii="宋体" w:hAnsi="宋体" w:eastAsia="宋体" w:cs="宋体"/>
                <w:spacing w:val="-2"/>
              </w:rPr>
              <w:t>1</w:t>
            </w:r>
            <w:r>
              <w:rPr>
                <w:spacing w:val="-2"/>
              </w:rPr>
              <w:t>次的</w:t>
            </w:r>
          </w:p>
        </w:tc>
        <w:tc>
          <w:tcPr>
            <w:tcW w:w="2894" w:type="dxa"/>
            <w:vAlign w:val="top"/>
          </w:tcPr>
          <w:p w14:paraId="2F7E427E">
            <w:pPr>
              <w:pStyle w:val="6"/>
              <w:spacing w:before="172" w:line="186" w:lineRule="auto"/>
              <w:ind w:left="119" w:right="18" w:firstLine="7"/>
              <w:jc w:val="both"/>
            </w:pPr>
            <w:r>
              <w:rPr>
                <w:spacing w:val="-3"/>
              </w:rPr>
              <w:t>给予警告，责令限期改正，</w:t>
            </w:r>
            <w:r>
              <w:rPr>
                <w:spacing w:val="2"/>
              </w:rPr>
              <w:t>处</w:t>
            </w:r>
            <w:r>
              <w:rPr>
                <w:rFonts w:ascii="宋体" w:hAnsi="宋体" w:eastAsia="宋体" w:cs="宋体"/>
                <w:spacing w:val="2"/>
              </w:rPr>
              <w:t>1</w:t>
            </w:r>
            <w:r>
              <w:rPr>
                <w:spacing w:val="2"/>
              </w:rPr>
              <w:t>万元以上</w:t>
            </w:r>
            <w:r>
              <w:rPr>
                <w:rFonts w:ascii="宋体" w:hAnsi="宋体" w:eastAsia="宋体" w:cs="宋体"/>
                <w:spacing w:val="2"/>
              </w:rPr>
              <w:t>2</w:t>
            </w:r>
            <w:r>
              <w:rPr>
                <w:spacing w:val="2"/>
              </w:rPr>
              <w:t>万元以下</w:t>
            </w:r>
            <w:r>
              <w:rPr>
                <w:spacing w:val="-1"/>
              </w:rPr>
              <w:t>的罚款；对违反规定生产、</w:t>
            </w:r>
            <w:r>
              <w:rPr>
                <w:spacing w:val="11"/>
              </w:rPr>
              <w:t>经营、购买的易制毒化学</w:t>
            </w:r>
            <w:r>
              <w:rPr>
                <w:spacing w:val="9"/>
              </w:rPr>
              <w:t>品可以予以没收；逾期不</w:t>
            </w:r>
            <w:r>
              <w:rPr>
                <w:spacing w:val="8"/>
              </w:rPr>
              <w:t>改正的，责令限期停产停</w:t>
            </w:r>
            <w:r>
              <w:rPr>
                <w:spacing w:val="9"/>
              </w:rPr>
              <w:t>业整顿；逾期整顿不合格</w:t>
            </w:r>
            <w:r>
              <w:rPr>
                <w:spacing w:val="8"/>
              </w:rPr>
              <w:t>的，吊销相应的许可证</w:t>
            </w:r>
          </w:p>
        </w:tc>
        <w:tc>
          <w:tcPr>
            <w:tcW w:w="811" w:type="dxa"/>
            <w:vMerge w:val="restart"/>
            <w:tcBorders>
              <w:bottom w:val="nil"/>
            </w:tcBorders>
            <w:vAlign w:val="top"/>
          </w:tcPr>
          <w:p w14:paraId="28C054AE">
            <w:pPr>
              <w:spacing w:line="254" w:lineRule="auto"/>
              <w:rPr>
                <w:rFonts w:ascii="Arial"/>
                <w:sz w:val="21"/>
              </w:rPr>
            </w:pPr>
          </w:p>
          <w:p w14:paraId="7E46B836">
            <w:pPr>
              <w:spacing w:line="254" w:lineRule="auto"/>
              <w:rPr>
                <w:rFonts w:ascii="Arial"/>
                <w:sz w:val="21"/>
              </w:rPr>
            </w:pPr>
          </w:p>
          <w:p w14:paraId="4756111E">
            <w:pPr>
              <w:spacing w:line="254" w:lineRule="auto"/>
              <w:rPr>
                <w:rFonts w:ascii="Arial"/>
                <w:sz w:val="21"/>
              </w:rPr>
            </w:pPr>
          </w:p>
          <w:p w14:paraId="61DE5F35">
            <w:pPr>
              <w:spacing w:line="255" w:lineRule="auto"/>
              <w:rPr>
                <w:rFonts w:ascii="Arial"/>
                <w:sz w:val="21"/>
              </w:rPr>
            </w:pPr>
          </w:p>
          <w:p w14:paraId="54DE8925">
            <w:pPr>
              <w:spacing w:line="255" w:lineRule="auto"/>
              <w:rPr>
                <w:rFonts w:ascii="Arial"/>
                <w:sz w:val="21"/>
              </w:rPr>
            </w:pPr>
          </w:p>
          <w:p w14:paraId="650A11B4">
            <w:pPr>
              <w:spacing w:line="255" w:lineRule="auto"/>
              <w:rPr>
                <w:rFonts w:ascii="Arial"/>
                <w:sz w:val="21"/>
              </w:rPr>
            </w:pPr>
          </w:p>
          <w:p w14:paraId="4CEDEF23">
            <w:pPr>
              <w:spacing w:line="255" w:lineRule="auto"/>
              <w:rPr>
                <w:rFonts w:ascii="Arial"/>
                <w:sz w:val="21"/>
              </w:rPr>
            </w:pPr>
          </w:p>
          <w:p w14:paraId="208C1A89">
            <w:pPr>
              <w:spacing w:line="255" w:lineRule="auto"/>
              <w:rPr>
                <w:rFonts w:ascii="Arial"/>
                <w:sz w:val="21"/>
              </w:rPr>
            </w:pPr>
          </w:p>
          <w:p w14:paraId="4CA7CE6D">
            <w:pPr>
              <w:spacing w:line="255" w:lineRule="auto"/>
              <w:rPr>
                <w:rFonts w:ascii="Arial"/>
                <w:sz w:val="21"/>
              </w:rPr>
            </w:pPr>
          </w:p>
          <w:p w14:paraId="7832F4C8">
            <w:pPr>
              <w:spacing w:line="255" w:lineRule="auto"/>
              <w:rPr>
                <w:rFonts w:ascii="Arial"/>
                <w:sz w:val="21"/>
              </w:rPr>
            </w:pPr>
          </w:p>
          <w:p w14:paraId="15D604F3">
            <w:pPr>
              <w:spacing w:before="74" w:line="189" w:lineRule="auto"/>
              <w:ind w:left="248"/>
              <w:rPr>
                <w:rFonts w:ascii="宋体" w:hAnsi="宋体" w:eastAsia="宋体" w:cs="宋体"/>
                <w:sz w:val="23"/>
                <w:szCs w:val="23"/>
              </w:rPr>
            </w:pPr>
            <w:r>
              <w:rPr>
                <w:rFonts w:ascii="宋体" w:hAnsi="宋体" w:eastAsia="宋体" w:cs="宋体"/>
                <w:spacing w:val="-6"/>
                <w:sz w:val="23"/>
                <w:szCs w:val="23"/>
              </w:rPr>
              <w:t>130</w:t>
            </w:r>
          </w:p>
        </w:tc>
      </w:tr>
      <w:tr w14:paraId="7A755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5" w:hRule="atLeast"/>
        </w:trPr>
        <w:tc>
          <w:tcPr>
            <w:tcW w:w="818" w:type="dxa"/>
            <w:vMerge w:val="continue"/>
            <w:tcBorders>
              <w:top w:val="nil"/>
            </w:tcBorders>
            <w:vAlign w:val="top"/>
          </w:tcPr>
          <w:p w14:paraId="6DB3AD0E">
            <w:pPr>
              <w:rPr>
                <w:rFonts w:ascii="Arial"/>
                <w:sz w:val="21"/>
              </w:rPr>
            </w:pPr>
          </w:p>
        </w:tc>
        <w:tc>
          <w:tcPr>
            <w:tcW w:w="1440" w:type="dxa"/>
            <w:vMerge w:val="continue"/>
            <w:tcBorders>
              <w:top w:val="nil"/>
            </w:tcBorders>
            <w:vAlign w:val="top"/>
          </w:tcPr>
          <w:p w14:paraId="4E12DB95">
            <w:pPr>
              <w:rPr>
                <w:rFonts w:ascii="Arial"/>
                <w:sz w:val="21"/>
              </w:rPr>
            </w:pPr>
          </w:p>
        </w:tc>
        <w:tc>
          <w:tcPr>
            <w:tcW w:w="3202" w:type="dxa"/>
            <w:vMerge w:val="continue"/>
            <w:tcBorders>
              <w:top w:val="nil"/>
            </w:tcBorders>
            <w:vAlign w:val="top"/>
          </w:tcPr>
          <w:p w14:paraId="597B7E71">
            <w:pPr>
              <w:rPr>
                <w:rFonts w:ascii="Arial"/>
                <w:sz w:val="21"/>
              </w:rPr>
            </w:pPr>
          </w:p>
        </w:tc>
        <w:tc>
          <w:tcPr>
            <w:tcW w:w="2859" w:type="dxa"/>
            <w:vMerge w:val="continue"/>
            <w:tcBorders>
              <w:top w:val="nil"/>
            </w:tcBorders>
            <w:vAlign w:val="top"/>
          </w:tcPr>
          <w:p w14:paraId="540C5CB2">
            <w:pPr>
              <w:rPr>
                <w:rFonts w:ascii="Arial"/>
                <w:sz w:val="21"/>
              </w:rPr>
            </w:pPr>
          </w:p>
        </w:tc>
        <w:tc>
          <w:tcPr>
            <w:tcW w:w="803" w:type="dxa"/>
            <w:vAlign w:val="top"/>
          </w:tcPr>
          <w:p w14:paraId="085EF8DB">
            <w:pPr>
              <w:spacing w:line="242" w:lineRule="auto"/>
              <w:rPr>
                <w:rFonts w:ascii="Arial"/>
                <w:sz w:val="21"/>
              </w:rPr>
            </w:pPr>
          </w:p>
          <w:p w14:paraId="0D136D5D">
            <w:pPr>
              <w:spacing w:line="242" w:lineRule="auto"/>
              <w:rPr>
                <w:rFonts w:ascii="Arial"/>
                <w:sz w:val="21"/>
              </w:rPr>
            </w:pPr>
          </w:p>
          <w:p w14:paraId="4A96ADE8">
            <w:pPr>
              <w:spacing w:line="242" w:lineRule="auto"/>
              <w:rPr>
                <w:rFonts w:ascii="Arial"/>
                <w:sz w:val="21"/>
              </w:rPr>
            </w:pPr>
          </w:p>
          <w:p w14:paraId="6BF27675">
            <w:pPr>
              <w:spacing w:line="242" w:lineRule="auto"/>
              <w:rPr>
                <w:rFonts w:ascii="Arial"/>
                <w:sz w:val="21"/>
              </w:rPr>
            </w:pPr>
          </w:p>
          <w:p w14:paraId="683D8002">
            <w:pPr>
              <w:spacing w:line="242" w:lineRule="auto"/>
              <w:rPr>
                <w:rFonts w:ascii="Arial"/>
                <w:sz w:val="21"/>
              </w:rPr>
            </w:pPr>
          </w:p>
          <w:p w14:paraId="23A911FA">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5B49760E">
            <w:pPr>
              <w:spacing w:line="281" w:lineRule="auto"/>
              <w:rPr>
                <w:rFonts w:ascii="Arial"/>
                <w:sz w:val="21"/>
              </w:rPr>
            </w:pPr>
          </w:p>
          <w:p w14:paraId="17D302D5">
            <w:pPr>
              <w:spacing w:line="281" w:lineRule="auto"/>
              <w:rPr>
                <w:rFonts w:ascii="Arial"/>
                <w:sz w:val="21"/>
              </w:rPr>
            </w:pPr>
          </w:p>
          <w:p w14:paraId="5C93E3A5">
            <w:pPr>
              <w:spacing w:line="281" w:lineRule="auto"/>
              <w:rPr>
                <w:rFonts w:ascii="Arial"/>
                <w:sz w:val="21"/>
              </w:rPr>
            </w:pPr>
          </w:p>
          <w:p w14:paraId="07064466">
            <w:pPr>
              <w:pStyle w:val="6"/>
              <w:spacing w:before="99" w:line="191" w:lineRule="auto"/>
              <w:ind w:left="121" w:right="109" w:firstLine="3"/>
              <w:jc w:val="both"/>
            </w:pPr>
            <w:r>
              <w:rPr>
                <w:spacing w:val="25"/>
              </w:rPr>
              <w:t>不如实或者不按时</w:t>
            </w:r>
            <w:r>
              <w:rPr>
                <w:spacing w:val="-3"/>
              </w:rPr>
              <w:t>报告年度生产、经营</w:t>
            </w:r>
            <w:r>
              <w:rPr>
                <w:spacing w:val="1"/>
              </w:rPr>
              <w:t>等情况</w:t>
            </w:r>
            <w:r>
              <w:rPr>
                <w:rFonts w:ascii="宋体" w:hAnsi="宋体" w:eastAsia="宋体" w:cs="宋体"/>
                <w:spacing w:val="1"/>
              </w:rPr>
              <w:t>2</w:t>
            </w:r>
            <w:r>
              <w:rPr>
                <w:spacing w:val="1"/>
              </w:rPr>
              <w:t>次的</w:t>
            </w:r>
          </w:p>
        </w:tc>
        <w:tc>
          <w:tcPr>
            <w:tcW w:w="2894" w:type="dxa"/>
            <w:vAlign w:val="top"/>
          </w:tcPr>
          <w:p w14:paraId="60C39BB5">
            <w:pPr>
              <w:pStyle w:val="6"/>
              <w:spacing w:before="193" w:line="186" w:lineRule="auto"/>
              <w:ind w:left="119" w:right="18" w:firstLine="7"/>
              <w:jc w:val="both"/>
            </w:pPr>
            <w:r>
              <w:rPr>
                <w:spacing w:val="-3"/>
              </w:rPr>
              <w:t>给予警告，责令限期改正，</w:t>
            </w:r>
            <w:r>
              <w:rPr>
                <w:spacing w:val="3"/>
              </w:rPr>
              <w:t>处</w:t>
            </w:r>
            <w:r>
              <w:rPr>
                <w:rFonts w:ascii="宋体" w:hAnsi="宋体" w:eastAsia="宋体" w:cs="宋体"/>
                <w:spacing w:val="3"/>
              </w:rPr>
              <w:t>2</w:t>
            </w:r>
            <w:r>
              <w:rPr>
                <w:spacing w:val="3"/>
              </w:rPr>
              <w:t>万元以上</w:t>
            </w:r>
            <w:r>
              <w:rPr>
                <w:rFonts w:ascii="宋体" w:hAnsi="宋体" w:eastAsia="宋体" w:cs="宋体"/>
                <w:spacing w:val="3"/>
              </w:rPr>
              <w:t>4</w:t>
            </w:r>
            <w:r>
              <w:rPr>
                <w:spacing w:val="3"/>
              </w:rPr>
              <w:t>万元以下</w:t>
            </w:r>
            <w:r>
              <w:rPr>
                <w:spacing w:val="-1"/>
              </w:rPr>
              <w:t>的罚款；对违反规定生产、</w:t>
            </w:r>
            <w:r>
              <w:rPr>
                <w:spacing w:val="11"/>
              </w:rPr>
              <w:t>经营、购买的易制毒化学</w:t>
            </w:r>
            <w:r>
              <w:rPr>
                <w:spacing w:val="9"/>
              </w:rPr>
              <w:t>品可以予以没收；逾期不</w:t>
            </w:r>
            <w:r>
              <w:rPr>
                <w:spacing w:val="8"/>
              </w:rPr>
              <w:t>改正的，责令限期停产停</w:t>
            </w:r>
            <w:r>
              <w:rPr>
                <w:spacing w:val="9"/>
              </w:rPr>
              <w:t>业整顿；逾期整顿不合格</w:t>
            </w:r>
            <w:r>
              <w:rPr>
                <w:spacing w:val="8"/>
              </w:rPr>
              <w:t>的，吊销相应的许可证</w:t>
            </w:r>
          </w:p>
        </w:tc>
        <w:tc>
          <w:tcPr>
            <w:tcW w:w="811" w:type="dxa"/>
            <w:vMerge w:val="continue"/>
            <w:tcBorders>
              <w:top w:val="nil"/>
            </w:tcBorders>
            <w:vAlign w:val="top"/>
          </w:tcPr>
          <w:p w14:paraId="0F16CA46">
            <w:pPr>
              <w:rPr>
                <w:rFonts w:ascii="Arial"/>
                <w:sz w:val="21"/>
              </w:rPr>
            </w:pPr>
          </w:p>
        </w:tc>
      </w:tr>
    </w:tbl>
    <w:p w14:paraId="7138632F">
      <w:pPr>
        <w:pStyle w:val="2"/>
      </w:pPr>
    </w:p>
    <w:p w14:paraId="5C10214B">
      <w:pPr>
        <w:sectPr>
          <w:footerReference r:id="rId186" w:type="default"/>
          <w:pgSz w:w="16839" w:h="11906"/>
          <w:pgMar w:top="1012" w:right="821" w:bottom="667" w:left="901" w:header="0" w:footer="388" w:gutter="0"/>
          <w:cols w:space="720" w:num="1"/>
        </w:sectPr>
      </w:pPr>
    </w:p>
    <w:p w14:paraId="44AE1EAF">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E1AD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C14A52F">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27CA157A">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5321D8E">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3F6E7E7">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65DD142">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03149C2">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A26EC33">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7C1CE6F">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11D43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1" w:hRule="atLeast"/>
        </w:trPr>
        <w:tc>
          <w:tcPr>
            <w:tcW w:w="818" w:type="dxa"/>
            <w:vAlign w:val="top"/>
          </w:tcPr>
          <w:p w14:paraId="3BFC221F">
            <w:pPr>
              <w:rPr>
                <w:rFonts w:ascii="Arial"/>
                <w:sz w:val="21"/>
              </w:rPr>
            </w:pPr>
          </w:p>
        </w:tc>
        <w:tc>
          <w:tcPr>
            <w:tcW w:w="1440" w:type="dxa"/>
            <w:vAlign w:val="top"/>
          </w:tcPr>
          <w:p w14:paraId="17E0A110">
            <w:pPr>
              <w:rPr>
                <w:rFonts w:ascii="Arial"/>
                <w:sz w:val="21"/>
              </w:rPr>
            </w:pPr>
          </w:p>
        </w:tc>
        <w:tc>
          <w:tcPr>
            <w:tcW w:w="3202" w:type="dxa"/>
            <w:vAlign w:val="top"/>
          </w:tcPr>
          <w:p w14:paraId="58047142">
            <w:pPr>
              <w:pStyle w:val="6"/>
              <w:spacing w:before="30" w:line="182" w:lineRule="auto"/>
              <w:ind w:left="127" w:right="107" w:firstLine="4"/>
              <w:jc w:val="both"/>
            </w:pPr>
            <w:r>
              <w:rPr>
                <w:spacing w:val="1"/>
              </w:rPr>
              <w:t>生产、经营单位应当于每年</w:t>
            </w:r>
            <w:r>
              <w:rPr>
                <w:rFonts w:ascii="宋体" w:hAnsi="宋体" w:eastAsia="宋体" w:cs="宋体"/>
                <w:spacing w:val="1"/>
              </w:rPr>
              <w:t>3</w:t>
            </w:r>
            <w:r>
              <w:rPr>
                <w:spacing w:val="-2"/>
              </w:rPr>
              <w:t>月</w:t>
            </w:r>
            <w:r>
              <w:rPr>
                <w:rFonts w:ascii="宋体" w:hAnsi="宋体" w:eastAsia="宋体" w:cs="宋体"/>
                <w:spacing w:val="-2"/>
              </w:rPr>
              <w:t>31</w:t>
            </w:r>
            <w:r>
              <w:rPr>
                <w:spacing w:val="-2"/>
              </w:rPr>
              <w:t>日前，向许可或者备案</w:t>
            </w:r>
            <w:r>
              <w:rPr>
                <w:spacing w:val="16"/>
              </w:rPr>
              <w:t>的安全生产监督管理部门报</w:t>
            </w:r>
          </w:p>
          <w:p w14:paraId="6864167A">
            <w:pPr>
              <w:pStyle w:val="6"/>
              <w:spacing w:line="182" w:lineRule="auto"/>
              <w:ind w:left="126"/>
              <w:outlineLvl w:val="0"/>
            </w:pPr>
            <w:r>
              <w:rPr>
                <w:spacing w:val="16"/>
              </w:rPr>
              <w:t>告本单位上年度非药品类易</w:t>
            </w:r>
          </w:p>
          <w:p w14:paraId="1A50A5C9">
            <w:pPr>
              <w:pStyle w:val="6"/>
              <w:spacing w:line="195" w:lineRule="auto"/>
              <w:ind w:left="121" w:right="26" w:firstLine="1"/>
            </w:pPr>
            <w:r>
              <w:rPr>
                <w:spacing w:val="39"/>
              </w:rPr>
              <w:t>制毒化学品生产经营的品</w:t>
            </w:r>
            <w:bookmarkStart w:id="643" w:name="bookmark344"/>
            <w:bookmarkEnd w:id="643"/>
            <w:r>
              <w:rPr>
                <w:spacing w:val="4"/>
              </w:rPr>
              <w:t>种、数量和主要流向等情况。</w:t>
            </w:r>
          </w:p>
        </w:tc>
        <w:tc>
          <w:tcPr>
            <w:tcW w:w="2859" w:type="dxa"/>
            <w:vAlign w:val="top"/>
          </w:tcPr>
          <w:p w14:paraId="56CFD63F">
            <w:pPr>
              <w:pStyle w:val="6"/>
              <w:spacing w:before="28" w:line="182" w:lineRule="auto"/>
              <w:ind w:left="118"/>
            </w:pPr>
            <w:r>
              <w:rPr>
                <w:spacing w:val="4"/>
              </w:rPr>
              <w:t>销和库存等情况的。</w:t>
            </w:r>
          </w:p>
          <w:p w14:paraId="19F02F60">
            <w:pPr>
              <w:pStyle w:val="6"/>
              <w:spacing w:before="8" w:line="181" w:lineRule="auto"/>
              <w:ind w:left="116" w:right="19"/>
            </w:pPr>
            <w:r>
              <w:rPr>
                <w:rFonts w:ascii="宋体" w:hAnsi="宋体" w:eastAsia="宋体" w:cs="宋体"/>
                <w:spacing w:val="7"/>
              </w:rPr>
              <w:t>2.</w:t>
            </w:r>
            <w:r>
              <w:rPr>
                <w:spacing w:val="7"/>
              </w:rPr>
              <w:t>【部门规章】《非药品</w:t>
            </w:r>
            <w:r>
              <w:rPr>
                <w:spacing w:val="8"/>
              </w:rPr>
              <w:t>类易制毒化学品生产、经营许可办法》第三十条第五项：对于有下列行为之一的，由县级以上人民政府安全生产监督管理部门</w:t>
            </w:r>
            <w:r>
              <w:rPr>
                <w:spacing w:val="-6"/>
              </w:rPr>
              <w:t>给予警告，责令限期改正，</w:t>
            </w:r>
            <w:r>
              <w:t>处</w:t>
            </w:r>
            <w:r>
              <w:rPr>
                <w:rFonts w:ascii="宋体" w:hAnsi="宋体" w:eastAsia="宋体" w:cs="宋体"/>
              </w:rPr>
              <w:t>1</w:t>
            </w:r>
            <w:r>
              <w:t>万元以上</w:t>
            </w:r>
            <w:r>
              <w:rPr>
                <w:rFonts w:ascii="宋体" w:hAnsi="宋体" w:eastAsia="宋体" w:cs="宋体"/>
              </w:rPr>
              <w:t>5</w:t>
            </w:r>
            <w:r>
              <w:t>万元以下</w:t>
            </w:r>
            <w:r>
              <w:rPr>
                <w:spacing w:val="-4"/>
              </w:rPr>
              <w:t>的罚款；对违反规定生产、</w:t>
            </w:r>
            <w:r>
              <w:rPr>
                <w:spacing w:val="8"/>
              </w:rPr>
              <w:t>经营的非药品类易制毒化</w:t>
            </w:r>
            <w:r>
              <w:rPr>
                <w:spacing w:val="2"/>
              </w:rPr>
              <w:t>学品，可以予以没收；逾</w:t>
            </w:r>
            <w:r>
              <w:rPr>
                <w:spacing w:val="8"/>
              </w:rPr>
              <w:t>期不改正的，责令限期停产停业整顿；逾期整顿不</w:t>
            </w:r>
            <w:r>
              <w:rPr>
                <w:spacing w:val="2"/>
              </w:rPr>
              <w:t>合格的，吊销相应的许可</w:t>
            </w:r>
            <w:r>
              <w:rPr>
                <w:spacing w:val="8"/>
              </w:rPr>
              <w:t>证</w:t>
            </w:r>
            <w:r>
              <w:rPr>
                <w:spacing w:val="10"/>
              </w:rPr>
              <w:t>：（</w:t>
            </w:r>
            <w:r>
              <w:rPr>
                <w:spacing w:val="8"/>
              </w:rPr>
              <w:t>五）生产、经营非药品类易制毒化学品的单位不如实或者不按时向安全生产监督管理部门报告</w:t>
            </w:r>
            <w:r>
              <w:rPr>
                <w:spacing w:val="-4"/>
              </w:rPr>
              <w:t>年度生产、经营等情况的。</w:t>
            </w:r>
          </w:p>
        </w:tc>
        <w:tc>
          <w:tcPr>
            <w:tcW w:w="803" w:type="dxa"/>
            <w:vAlign w:val="top"/>
          </w:tcPr>
          <w:p w14:paraId="2FD1AC3D">
            <w:pPr>
              <w:spacing w:line="257" w:lineRule="auto"/>
              <w:rPr>
                <w:rFonts w:ascii="Arial"/>
                <w:sz w:val="21"/>
              </w:rPr>
            </w:pPr>
          </w:p>
          <w:p w14:paraId="4A39E6F5">
            <w:pPr>
              <w:spacing w:line="257" w:lineRule="auto"/>
              <w:rPr>
                <w:rFonts w:ascii="Arial"/>
                <w:sz w:val="21"/>
              </w:rPr>
            </w:pPr>
          </w:p>
          <w:p w14:paraId="39D37D66">
            <w:pPr>
              <w:spacing w:line="257" w:lineRule="auto"/>
              <w:rPr>
                <w:rFonts w:ascii="Arial"/>
                <w:sz w:val="21"/>
              </w:rPr>
            </w:pPr>
          </w:p>
          <w:p w14:paraId="3BB61D06">
            <w:pPr>
              <w:spacing w:line="257" w:lineRule="auto"/>
              <w:rPr>
                <w:rFonts w:ascii="Arial"/>
                <w:sz w:val="21"/>
              </w:rPr>
            </w:pPr>
          </w:p>
          <w:p w14:paraId="057D5B3D">
            <w:pPr>
              <w:spacing w:line="257" w:lineRule="auto"/>
              <w:rPr>
                <w:rFonts w:ascii="Arial"/>
                <w:sz w:val="21"/>
              </w:rPr>
            </w:pPr>
          </w:p>
          <w:p w14:paraId="7689E9CB">
            <w:pPr>
              <w:spacing w:line="257" w:lineRule="auto"/>
              <w:rPr>
                <w:rFonts w:ascii="Arial"/>
                <w:sz w:val="21"/>
              </w:rPr>
            </w:pPr>
          </w:p>
          <w:p w14:paraId="3F7AAF3E">
            <w:pPr>
              <w:spacing w:line="257" w:lineRule="auto"/>
              <w:rPr>
                <w:rFonts w:ascii="Arial"/>
                <w:sz w:val="21"/>
              </w:rPr>
            </w:pPr>
          </w:p>
          <w:p w14:paraId="22204A2C">
            <w:pPr>
              <w:spacing w:line="257" w:lineRule="auto"/>
              <w:rPr>
                <w:rFonts w:ascii="Arial"/>
                <w:sz w:val="21"/>
              </w:rPr>
            </w:pPr>
          </w:p>
          <w:p w14:paraId="49FBAFFA">
            <w:pPr>
              <w:spacing w:line="258" w:lineRule="auto"/>
              <w:rPr>
                <w:rFonts w:ascii="Arial"/>
                <w:sz w:val="21"/>
              </w:rPr>
            </w:pPr>
          </w:p>
          <w:p w14:paraId="132D7E6C">
            <w:pPr>
              <w:spacing w:line="258" w:lineRule="auto"/>
              <w:rPr>
                <w:rFonts w:ascii="Arial"/>
                <w:sz w:val="21"/>
              </w:rPr>
            </w:pPr>
          </w:p>
          <w:p w14:paraId="2D78CFD8">
            <w:pPr>
              <w:spacing w:line="258" w:lineRule="auto"/>
              <w:rPr>
                <w:rFonts w:ascii="Arial"/>
                <w:sz w:val="21"/>
              </w:rPr>
            </w:pPr>
          </w:p>
          <w:p w14:paraId="39BE6720">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D2875A1">
            <w:pPr>
              <w:spacing w:line="246" w:lineRule="auto"/>
              <w:rPr>
                <w:rFonts w:ascii="Arial"/>
                <w:sz w:val="21"/>
              </w:rPr>
            </w:pPr>
          </w:p>
          <w:p w14:paraId="5891CF80">
            <w:pPr>
              <w:spacing w:line="246" w:lineRule="auto"/>
              <w:rPr>
                <w:rFonts w:ascii="Arial"/>
                <w:sz w:val="21"/>
              </w:rPr>
            </w:pPr>
          </w:p>
          <w:p w14:paraId="34803799">
            <w:pPr>
              <w:spacing w:line="246" w:lineRule="auto"/>
              <w:rPr>
                <w:rFonts w:ascii="Arial"/>
                <w:sz w:val="21"/>
              </w:rPr>
            </w:pPr>
          </w:p>
          <w:p w14:paraId="4ADA2476">
            <w:pPr>
              <w:spacing w:line="246" w:lineRule="auto"/>
              <w:rPr>
                <w:rFonts w:ascii="Arial"/>
                <w:sz w:val="21"/>
              </w:rPr>
            </w:pPr>
          </w:p>
          <w:p w14:paraId="6B6D065E">
            <w:pPr>
              <w:spacing w:line="247" w:lineRule="auto"/>
              <w:rPr>
                <w:rFonts w:ascii="Arial"/>
                <w:sz w:val="21"/>
              </w:rPr>
            </w:pPr>
          </w:p>
          <w:p w14:paraId="25BBC4E8">
            <w:pPr>
              <w:spacing w:line="247" w:lineRule="auto"/>
              <w:rPr>
                <w:rFonts w:ascii="Arial"/>
                <w:sz w:val="21"/>
              </w:rPr>
            </w:pPr>
          </w:p>
          <w:p w14:paraId="5B9F2FBB">
            <w:pPr>
              <w:spacing w:line="247" w:lineRule="auto"/>
              <w:rPr>
                <w:rFonts w:ascii="Arial"/>
                <w:sz w:val="21"/>
              </w:rPr>
            </w:pPr>
          </w:p>
          <w:p w14:paraId="7C833528">
            <w:pPr>
              <w:spacing w:line="247" w:lineRule="auto"/>
              <w:rPr>
                <w:rFonts w:ascii="Arial"/>
                <w:sz w:val="21"/>
              </w:rPr>
            </w:pPr>
          </w:p>
          <w:p w14:paraId="55F1C047">
            <w:pPr>
              <w:spacing w:line="247" w:lineRule="auto"/>
              <w:rPr>
                <w:rFonts w:ascii="Arial"/>
                <w:sz w:val="21"/>
              </w:rPr>
            </w:pPr>
          </w:p>
          <w:p w14:paraId="2834BF15">
            <w:pPr>
              <w:spacing w:line="247" w:lineRule="auto"/>
              <w:rPr>
                <w:rFonts w:ascii="Arial"/>
                <w:sz w:val="21"/>
              </w:rPr>
            </w:pPr>
          </w:p>
          <w:p w14:paraId="4564E93D">
            <w:pPr>
              <w:pStyle w:val="6"/>
              <w:spacing w:before="99" w:line="191" w:lineRule="auto"/>
              <w:ind w:left="121" w:right="109" w:firstLine="3"/>
              <w:jc w:val="both"/>
            </w:pPr>
            <w:r>
              <w:rPr>
                <w:spacing w:val="25"/>
              </w:rPr>
              <w:t>不如实或者不按时</w:t>
            </w:r>
            <w:r>
              <w:rPr>
                <w:spacing w:val="-3"/>
              </w:rPr>
              <w:t>报告年度生产、经营</w:t>
            </w:r>
            <w:r>
              <w:rPr>
                <w:spacing w:val="3"/>
              </w:rPr>
              <w:t>等情况</w:t>
            </w:r>
            <w:r>
              <w:rPr>
                <w:rFonts w:ascii="宋体" w:hAnsi="宋体" w:eastAsia="宋体" w:cs="宋体"/>
                <w:spacing w:val="3"/>
              </w:rPr>
              <w:t>3</w:t>
            </w:r>
            <w:r>
              <w:rPr>
                <w:spacing w:val="3"/>
              </w:rPr>
              <w:t>次以上的</w:t>
            </w:r>
          </w:p>
        </w:tc>
        <w:tc>
          <w:tcPr>
            <w:tcW w:w="2894" w:type="dxa"/>
            <w:vAlign w:val="top"/>
          </w:tcPr>
          <w:p w14:paraId="2D169787">
            <w:pPr>
              <w:spacing w:line="244" w:lineRule="auto"/>
              <w:rPr>
                <w:rFonts w:ascii="Arial"/>
                <w:sz w:val="21"/>
              </w:rPr>
            </w:pPr>
          </w:p>
          <w:p w14:paraId="3B0BAF47">
            <w:pPr>
              <w:spacing w:line="245" w:lineRule="auto"/>
              <w:rPr>
                <w:rFonts w:ascii="Arial"/>
                <w:sz w:val="21"/>
              </w:rPr>
            </w:pPr>
          </w:p>
          <w:p w14:paraId="195A0702">
            <w:pPr>
              <w:spacing w:line="245" w:lineRule="auto"/>
              <w:rPr>
                <w:rFonts w:ascii="Arial"/>
                <w:sz w:val="21"/>
              </w:rPr>
            </w:pPr>
          </w:p>
          <w:p w14:paraId="79E36B2F">
            <w:pPr>
              <w:spacing w:line="245" w:lineRule="auto"/>
              <w:rPr>
                <w:rFonts w:ascii="Arial"/>
                <w:sz w:val="21"/>
              </w:rPr>
            </w:pPr>
          </w:p>
          <w:p w14:paraId="40D59419">
            <w:pPr>
              <w:spacing w:line="245" w:lineRule="auto"/>
              <w:rPr>
                <w:rFonts w:ascii="Arial"/>
                <w:sz w:val="21"/>
              </w:rPr>
            </w:pPr>
          </w:p>
          <w:p w14:paraId="21ED3444">
            <w:pPr>
              <w:spacing w:line="245" w:lineRule="auto"/>
              <w:rPr>
                <w:rFonts w:ascii="Arial"/>
                <w:sz w:val="21"/>
              </w:rPr>
            </w:pPr>
          </w:p>
          <w:p w14:paraId="50663165">
            <w:pPr>
              <w:spacing w:line="245" w:lineRule="auto"/>
              <w:rPr>
                <w:rFonts w:ascii="Arial"/>
                <w:sz w:val="21"/>
              </w:rPr>
            </w:pPr>
          </w:p>
          <w:p w14:paraId="2B68E305">
            <w:pPr>
              <w:pStyle w:val="6"/>
              <w:spacing w:before="99" w:line="186" w:lineRule="auto"/>
              <w:ind w:left="119" w:right="18" w:firstLine="7"/>
              <w:jc w:val="both"/>
            </w:pPr>
            <w:r>
              <w:rPr>
                <w:spacing w:val="-3"/>
              </w:rPr>
              <w:t>给予警告，责令限期改正，</w:t>
            </w:r>
            <w:r>
              <w:rPr>
                <w:spacing w:val="3"/>
              </w:rPr>
              <w:t>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万元以下</w:t>
            </w:r>
            <w:r>
              <w:rPr>
                <w:spacing w:val="-1"/>
              </w:rPr>
              <w:t>的罚款；对违反规定生产、</w:t>
            </w:r>
            <w:r>
              <w:rPr>
                <w:spacing w:val="11"/>
              </w:rPr>
              <w:t>经营、购买的易制毒化学</w:t>
            </w:r>
            <w:r>
              <w:rPr>
                <w:spacing w:val="9"/>
              </w:rPr>
              <w:t>品可以予以没收；逾期不</w:t>
            </w:r>
            <w:r>
              <w:rPr>
                <w:spacing w:val="8"/>
              </w:rPr>
              <w:t>改正的，责令限期停产停</w:t>
            </w:r>
            <w:r>
              <w:rPr>
                <w:spacing w:val="9"/>
              </w:rPr>
              <w:t>业整顿；逾期整顿不合格</w:t>
            </w:r>
            <w:r>
              <w:rPr>
                <w:spacing w:val="8"/>
              </w:rPr>
              <w:t>的，吊销相应的许可证</w:t>
            </w:r>
          </w:p>
        </w:tc>
        <w:tc>
          <w:tcPr>
            <w:tcW w:w="811" w:type="dxa"/>
            <w:vAlign w:val="top"/>
          </w:tcPr>
          <w:p w14:paraId="2F47A26A">
            <w:pPr>
              <w:rPr>
                <w:rFonts w:ascii="Arial"/>
                <w:sz w:val="21"/>
              </w:rPr>
            </w:pPr>
          </w:p>
        </w:tc>
      </w:tr>
      <w:tr w14:paraId="4DD81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6" w:hRule="atLeast"/>
        </w:trPr>
        <w:tc>
          <w:tcPr>
            <w:tcW w:w="818" w:type="dxa"/>
            <w:vAlign w:val="top"/>
          </w:tcPr>
          <w:p w14:paraId="170A6C17">
            <w:pPr>
              <w:spacing w:line="299" w:lineRule="auto"/>
              <w:rPr>
                <w:rFonts w:ascii="Arial"/>
                <w:sz w:val="21"/>
              </w:rPr>
            </w:pPr>
          </w:p>
          <w:p w14:paraId="50623BD3">
            <w:pPr>
              <w:spacing w:line="299" w:lineRule="auto"/>
              <w:rPr>
                <w:rFonts w:ascii="Arial"/>
                <w:sz w:val="21"/>
              </w:rPr>
            </w:pPr>
          </w:p>
          <w:p w14:paraId="16EF6F42">
            <w:pPr>
              <w:spacing w:line="300" w:lineRule="auto"/>
              <w:rPr>
                <w:rFonts w:ascii="Arial"/>
                <w:sz w:val="21"/>
              </w:rPr>
            </w:pPr>
          </w:p>
          <w:p w14:paraId="3C368900">
            <w:pPr>
              <w:spacing w:line="300" w:lineRule="auto"/>
              <w:rPr>
                <w:rFonts w:ascii="Arial"/>
                <w:sz w:val="21"/>
              </w:rPr>
            </w:pPr>
          </w:p>
          <w:p w14:paraId="4B89597E">
            <w:pPr>
              <w:spacing w:before="74" w:line="186" w:lineRule="auto"/>
              <w:ind w:left="161"/>
              <w:rPr>
                <w:rFonts w:ascii="仿宋" w:hAnsi="仿宋" w:eastAsia="仿宋" w:cs="仿宋"/>
                <w:sz w:val="23"/>
                <w:szCs w:val="23"/>
              </w:rPr>
            </w:pPr>
            <w:r>
              <w:rPr>
                <w:rFonts w:ascii="仿宋" w:hAnsi="仿宋" w:eastAsia="仿宋" w:cs="仿宋"/>
                <w:spacing w:val="-5"/>
                <w:sz w:val="23"/>
                <w:szCs w:val="23"/>
              </w:rPr>
              <w:t>168</w:t>
            </w:r>
          </w:p>
        </w:tc>
        <w:tc>
          <w:tcPr>
            <w:tcW w:w="1440" w:type="dxa"/>
            <w:vAlign w:val="top"/>
          </w:tcPr>
          <w:p w14:paraId="0ECE997E">
            <w:pPr>
              <w:spacing w:line="380" w:lineRule="auto"/>
              <w:rPr>
                <w:rFonts w:ascii="Arial"/>
                <w:sz w:val="21"/>
              </w:rPr>
            </w:pPr>
          </w:p>
          <w:p w14:paraId="547042D0">
            <w:pPr>
              <w:pStyle w:val="6"/>
              <w:spacing w:before="99" w:line="187" w:lineRule="auto"/>
              <w:ind w:left="117" w:right="111" w:firstLine="11"/>
              <w:jc w:val="both"/>
            </w:pPr>
            <w:r>
              <w:rPr>
                <w:spacing w:val="8"/>
              </w:rPr>
              <w:t>生产、经营</w:t>
            </w:r>
            <w:r>
              <w:rPr>
                <w:spacing w:val="11"/>
              </w:rPr>
              <w:t>非药品类易制毒化学品单位或者个人拒不接受</w:t>
            </w:r>
            <w:r>
              <w:rPr>
                <w:spacing w:val="6"/>
              </w:rPr>
              <w:t>监督检查的</w:t>
            </w:r>
          </w:p>
        </w:tc>
        <w:tc>
          <w:tcPr>
            <w:tcW w:w="3202" w:type="dxa"/>
            <w:vAlign w:val="top"/>
          </w:tcPr>
          <w:p w14:paraId="74AAC5CE">
            <w:pPr>
              <w:pStyle w:val="6"/>
              <w:spacing w:before="32" w:line="180" w:lineRule="auto"/>
              <w:ind w:left="117" w:right="21" w:firstLine="13"/>
              <w:jc w:val="both"/>
            </w:pPr>
            <w:r>
              <w:rPr>
                <w:rFonts w:ascii="宋体" w:hAnsi="宋体" w:eastAsia="宋体" w:cs="宋体"/>
                <w:spacing w:val="14"/>
              </w:rPr>
              <w:t>1.</w:t>
            </w:r>
            <w:r>
              <w:rPr>
                <w:spacing w:val="14"/>
              </w:rPr>
              <w:t>【行政法规】《易制毒化</w:t>
            </w:r>
            <w:r>
              <w:rPr>
                <w:spacing w:val="3"/>
              </w:rPr>
              <w:t>学品管理条例》第三十二条：</w:t>
            </w:r>
            <w:r>
              <w:rPr>
                <w:spacing w:val="39"/>
              </w:rPr>
              <w:t>县级以上人民政府公安机</w:t>
            </w:r>
            <w:r>
              <w:rPr>
                <w:spacing w:val="17"/>
              </w:rPr>
              <w:t>关、负责药品监督管理的部</w:t>
            </w:r>
            <w:r>
              <w:rPr>
                <w:spacing w:val="5"/>
              </w:rPr>
              <w:t>门、安全生产监督管理部门、</w:t>
            </w:r>
            <w:r>
              <w:rPr>
                <w:spacing w:val="17"/>
              </w:rPr>
              <w:t>商务主管部门、卫生主管部门、价格主管部门、铁路主管部门、交通主管部门、市场监督管理部门、生态环境</w:t>
            </w:r>
          </w:p>
        </w:tc>
        <w:tc>
          <w:tcPr>
            <w:tcW w:w="2859" w:type="dxa"/>
            <w:vAlign w:val="top"/>
          </w:tcPr>
          <w:p w14:paraId="69620931">
            <w:pPr>
              <w:pStyle w:val="6"/>
              <w:spacing w:before="32" w:line="180" w:lineRule="auto"/>
              <w:ind w:left="116" w:right="18" w:firstLine="14"/>
              <w:jc w:val="both"/>
            </w:pPr>
            <w:r>
              <w:rPr>
                <w:rFonts w:ascii="宋体" w:hAnsi="宋体" w:eastAsia="宋体" w:cs="宋体"/>
                <w:spacing w:val="6"/>
              </w:rPr>
              <w:t>1.</w:t>
            </w:r>
            <w:r>
              <w:rPr>
                <w:spacing w:val="6"/>
              </w:rPr>
              <w:t>【行政法规】《易制毒</w:t>
            </w:r>
            <w:r>
              <w:rPr>
                <w:spacing w:val="8"/>
              </w:rPr>
              <w:t>化学品管理条例》第四十</w:t>
            </w:r>
            <w:r>
              <w:rPr>
                <w:spacing w:val="-4"/>
              </w:rPr>
              <w:t>二条：生产、经营、购买、</w:t>
            </w:r>
            <w:r>
              <w:rPr>
                <w:spacing w:val="8"/>
              </w:rPr>
              <w:t>运输或者进口、出口易制毒化学品的单位或者个人拒不接受有关行政主管部门监督检查的，由负有监督管理职责的行政主管部门责令改正，对直接负责</w:t>
            </w:r>
          </w:p>
        </w:tc>
        <w:tc>
          <w:tcPr>
            <w:tcW w:w="803" w:type="dxa"/>
            <w:vAlign w:val="top"/>
          </w:tcPr>
          <w:p w14:paraId="154CA5EA">
            <w:pPr>
              <w:spacing w:line="298" w:lineRule="auto"/>
              <w:rPr>
                <w:rFonts w:ascii="Arial"/>
                <w:sz w:val="21"/>
              </w:rPr>
            </w:pPr>
          </w:p>
          <w:p w14:paraId="3AD2CD47">
            <w:pPr>
              <w:spacing w:line="298" w:lineRule="auto"/>
              <w:rPr>
                <w:rFonts w:ascii="Arial"/>
                <w:sz w:val="21"/>
              </w:rPr>
            </w:pPr>
          </w:p>
          <w:p w14:paraId="51DD4FB3">
            <w:pPr>
              <w:spacing w:line="298" w:lineRule="auto"/>
              <w:rPr>
                <w:rFonts w:ascii="Arial"/>
                <w:sz w:val="21"/>
              </w:rPr>
            </w:pPr>
          </w:p>
          <w:p w14:paraId="581139D7">
            <w:pPr>
              <w:spacing w:line="298" w:lineRule="auto"/>
              <w:rPr>
                <w:rFonts w:ascii="Arial"/>
                <w:sz w:val="21"/>
              </w:rPr>
            </w:pPr>
          </w:p>
          <w:p w14:paraId="0EA0D107">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9367F4E">
            <w:pPr>
              <w:spacing w:line="340" w:lineRule="auto"/>
              <w:rPr>
                <w:rFonts w:ascii="Arial"/>
                <w:sz w:val="21"/>
              </w:rPr>
            </w:pPr>
          </w:p>
          <w:p w14:paraId="267ECFE3">
            <w:pPr>
              <w:spacing w:line="341" w:lineRule="auto"/>
              <w:rPr>
                <w:rFonts w:ascii="Arial"/>
                <w:sz w:val="21"/>
              </w:rPr>
            </w:pPr>
          </w:p>
          <w:p w14:paraId="2C0E71D2">
            <w:pPr>
              <w:pStyle w:val="6"/>
              <w:spacing w:before="99" w:line="189" w:lineRule="auto"/>
              <w:ind w:left="117" w:right="109" w:firstLine="28"/>
              <w:jc w:val="both"/>
            </w:pPr>
            <w:r>
              <w:rPr>
                <w:spacing w:val="-6"/>
              </w:rPr>
              <w:t>以不知道、不配合等</w:t>
            </w:r>
            <w:r>
              <w:rPr>
                <w:spacing w:val="26"/>
              </w:rPr>
              <w:t>消极方式拒不接受应急管理部门监督</w:t>
            </w:r>
            <w:r>
              <w:rPr>
                <w:spacing w:val="5"/>
              </w:rPr>
              <w:t>检查的</w:t>
            </w:r>
          </w:p>
        </w:tc>
        <w:tc>
          <w:tcPr>
            <w:tcW w:w="2894" w:type="dxa"/>
            <w:vAlign w:val="top"/>
          </w:tcPr>
          <w:p w14:paraId="57F55C64">
            <w:pPr>
              <w:pStyle w:val="6"/>
              <w:spacing w:before="32" w:line="180" w:lineRule="auto"/>
              <w:ind w:left="117" w:right="105" w:firstLine="10"/>
              <w:jc w:val="both"/>
            </w:pPr>
            <w:r>
              <w:rPr>
                <w:spacing w:val="7"/>
              </w:rPr>
              <w:t>责令改正，对直接负责的</w:t>
            </w:r>
            <w:r>
              <w:rPr>
                <w:spacing w:val="11"/>
              </w:rPr>
              <w:t>主管人员以及其他直接责</w:t>
            </w:r>
            <w:r>
              <w:rPr>
                <w:spacing w:val="8"/>
              </w:rPr>
              <w:t>任人员给予警告；情节严</w:t>
            </w:r>
            <w:r>
              <w:rPr>
                <w:spacing w:val="3"/>
              </w:rPr>
              <w:t>重的，对单位处</w:t>
            </w:r>
            <w:r>
              <w:rPr>
                <w:rFonts w:ascii="宋体" w:hAnsi="宋体" w:eastAsia="宋体" w:cs="宋体"/>
                <w:spacing w:val="3"/>
              </w:rPr>
              <w:t>1</w:t>
            </w:r>
            <w:r>
              <w:rPr>
                <w:spacing w:val="3"/>
              </w:rPr>
              <w:t>万元以</w:t>
            </w:r>
            <w:r>
              <w:rPr>
                <w:spacing w:val="4"/>
              </w:rPr>
              <w:t>上</w:t>
            </w:r>
            <w:r>
              <w:rPr>
                <w:rFonts w:ascii="宋体" w:hAnsi="宋体" w:eastAsia="宋体" w:cs="宋体"/>
                <w:spacing w:val="4"/>
              </w:rPr>
              <w:t>2</w:t>
            </w:r>
            <w:r>
              <w:rPr>
                <w:spacing w:val="4"/>
              </w:rPr>
              <w:t>万元以下的罚款，对</w:t>
            </w:r>
            <w:r>
              <w:rPr>
                <w:spacing w:val="11"/>
              </w:rPr>
              <w:t>直接负责的主管人员以及</w:t>
            </w:r>
            <w:r>
              <w:rPr>
                <w:spacing w:val="4"/>
              </w:rPr>
              <w:t>其他直接责任人员处</w:t>
            </w:r>
            <w:r>
              <w:rPr>
                <w:rFonts w:ascii="宋体" w:hAnsi="宋体" w:eastAsia="宋体" w:cs="宋体"/>
                <w:spacing w:val="4"/>
              </w:rPr>
              <w:t>1000</w:t>
            </w:r>
            <w:r>
              <w:rPr>
                <w:spacing w:val="13"/>
              </w:rPr>
              <w:t>元以上</w:t>
            </w:r>
            <w:r>
              <w:rPr>
                <w:rFonts w:ascii="宋体" w:hAnsi="宋体" w:eastAsia="宋体" w:cs="宋体"/>
                <w:spacing w:val="13"/>
              </w:rPr>
              <w:t>5000</w:t>
            </w:r>
            <w:r>
              <w:rPr>
                <w:spacing w:val="13"/>
              </w:rPr>
              <w:t>元以下的罚</w:t>
            </w:r>
            <w:r>
              <w:t>款</w:t>
            </w:r>
          </w:p>
        </w:tc>
        <w:tc>
          <w:tcPr>
            <w:tcW w:w="811" w:type="dxa"/>
            <w:vAlign w:val="top"/>
          </w:tcPr>
          <w:p w14:paraId="7D816BFC">
            <w:pPr>
              <w:spacing w:line="298" w:lineRule="auto"/>
              <w:rPr>
                <w:rFonts w:ascii="Arial"/>
                <w:sz w:val="21"/>
              </w:rPr>
            </w:pPr>
          </w:p>
          <w:p w14:paraId="4C820B62">
            <w:pPr>
              <w:spacing w:line="298" w:lineRule="auto"/>
              <w:rPr>
                <w:rFonts w:ascii="Arial"/>
                <w:sz w:val="21"/>
              </w:rPr>
            </w:pPr>
          </w:p>
          <w:p w14:paraId="42A21468">
            <w:pPr>
              <w:spacing w:line="299" w:lineRule="auto"/>
              <w:rPr>
                <w:rFonts w:ascii="Arial"/>
                <w:sz w:val="21"/>
              </w:rPr>
            </w:pPr>
          </w:p>
          <w:p w14:paraId="310AB503">
            <w:pPr>
              <w:spacing w:line="299" w:lineRule="auto"/>
              <w:rPr>
                <w:rFonts w:ascii="Arial"/>
                <w:sz w:val="21"/>
              </w:rPr>
            </w:pPr>
          </w:p>
          <w:p w14:paraId="01AEE565">
            <w:pPr>
              <w:spacing w:before="75" w:line="189" w:lineRule="auto"/>
              <w:ind w:left="248"/>
              <w:rPr>
                <w:rFonts w:ascii="宋体" w:hAnsi="宋体" w:eastAsia="宋体" w:cs="宋体"/>
                <w:sz w:val="23"/>
                <w:szCs w:val="23"/>
              </w:rPr>
            </w:pPr>
            <w:r>
              <w:rPr>
                <w:rFonts w:ascii="宋体" w:hAnsi="宋体" w:eastAsia="宋体" w:cs="宋体"/>
                <w:spacing w:val="-6"/>
                <w:sz w:val="23"/>
                <w:szCs w:val="23"/>
              </w:rPr>
              <w:t>132</w:t>
            </w:r>
          </w:p>
        </w:tc>
      </w:tr>
    </w:tbl>
    <w:p w14:paraId="3BE2CA2B">
      <w:pPr>
        <w:pStyle w:val="2"/>
      </w:pPr>
    </w:p>
    <w:p w14:paraId="4C07FF44">
      <w:pPr>
        <w:sectPr>
          <w:footerReference r:id="rId187" w:type="default"/>
          <w:pgSz w:w="16839" w:h="11906"/>
          <w:pgMar w:top="1012" w:right="821" w:bottom="667" w:left="901" w:header="0" w:footer="388" w:gutter="0"/>
          <w:cols w:space="720" w:num="1"/>
        </w:sectPr>
      </w:pPr>
    </w:p>
    <w:p w14:paraId="56F36BA7">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DDE0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141FEE4">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28B11451">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B0F15E9">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65E9F4D">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35E4C3E">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C4FA497">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4F16443">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6E47F1E">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D3D2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4" w:hRule="atLeast"/>
        </w:trPr>
        <w:tc>
          <w:tcPr>
            <w:tcW w:w="818" w:type="dxa"/>
            <w:vMerge w:val="restart"/>
            <w:tcBorders>
              <w:bottom w:val="nil"/>
            </w:tcBorders>
            <w:vAlign w:val="top"/>
          </w:tcPr>
          <w:p w14:paraId="2071F1CD">
            <w:pPr>
              <w:rPr>
                <w:rFonts w:ascii="Arial"/>
                <w:sz w:val="21"/>
              </w:rPr>
            </w:pPr>
          </w:p>
        </w:tc>
        <w:tc>
          <w:tcPr>
            <w:tcW w:w="1440" w:type="dxa"/>
            <w:vMerge w:val="restart"/>
            <w:tcBorders>
              <w:bottom w:val="nil"/>
            </w:tcBorders>
            <w:vAlign w:val="top"/>
          </w:tcPr>
          <w:p w14:paraId="18BBBD80">
            <w:pPr>
              <w:rPr>
                <w:rFonts w:ascii="Arial"/>
                <w:sz w:val="21"/>
              </w:rPr>
            </w:pPr>
          </w:p>
        </w:tc>
        <w:tc>
          <w:tcPr>
            <w:tcW w:w="3202" w:type="dxa"/>
            <w:vMerge w:val="restart"/>
            <w:tcBorders>
              <w:bottom w:val="nil"/>
            </w:tcBorders>
            <w:vAlign w:val="top"/>
          </w:tcPr>
          <w:p w14:paraId="115FE8D4">
            <w:pPr>
              <w:pStyle w:val="6"/>
              <w:spacing w:before="35" w:line="182" w:lineRule="auto"/>
              <w:ind w:left="116" w:right="111" w:firstLine="12"/>
            </w:pPr>
            <w:r>
              <w:rPr>
                <w:spacing w:val="12"/>
              </w:rPr>
              <w:t>主管部门和海关，应当依照</w:t>
            </w:r>
            <w:r>
              <w:rPr>
                <w:spacing w:val="17"/>
              </w:rPr>
              <w:t>本条例和有关法律、行政法</w:t>
            </w:r>
            <w:r>
              <w:rPr>
                <w:spacing w:val="13"/>
              </w:rPr>
              <w:t>规的规定，在各自的职责范围内，加强对易制毒化学品</w:t>
            </w:r>
            <w:r>
              <w:rPr>
                <w:spacing w:val="15"/>
              </w:rPr>
              <w:t>生产、经营、购买、运输、</w:t>
            </w:r>
            <w:r>
              <w:rPr>
                <w:spacing w:val="17"/>
              </w:rPr>
              <w:t>价格以及进口、出口的监督</w:t>
            </w:r>
            <w:r>
              <w:rPr>
                <w:spacing w:val="11"/>
              </w:rPr>
              <w:t>检查；对非法生产、经营、</w:t>
            </w:r>
            <w:r>
              <w:rPr>
                <w:spacing w:val="13"/>
              </w:rPr>
              <w:t>购买、运输易制毒化学品，</w:t>
            </w:r>
            <w:r>
              <w:rPr>
                <w:spacing w:val="17"/>
              </w:rPr>
              <w:t>或者走私易制毒化学品的行</w:t>
            </w:r>
            <w:r>
              <w:rPr>
                <w:spacing w:val="4"/>
              </w:rPr>
              <w:t>为，依法予以查处。</w:t>
            </w:r>
          </w:p>
          <w:p w14:paraId="0C74A0EB">
            <w:pPr>
              <w:pStyle w:val="6"/>
              <w:spacing w:before="5" w:line="182" w:lineRule="auto"/>
              <w:ind w:left="114" w:right="111" w:firstLine="6"/>
              <w:jc w:val="both"/>
            </w:pPr>
            <w:r>
              <w:rPr>
                <w:spacing w:val="17"/>
              </w:rPr>
              <w:t>前款规定的行政主管部门在进行易制毒化学品监督检查</w:t>
            </w:r>
            <w:r>
              <w:rPr>
                <w:spacing w:val="13"/>
              </w:rPr>
              <w:t>时，可以依法查看现场、查</w:t>
            </w:r>
            <w:r>
              <w:rPr>
                <w:spacing w:val="17"/>
              </w:rPr>
              <w:t>阅和复制有关资料、记录有关情况、扣押相关的证据材</w:t>
            </w:r>
            <w:r>
              <w:rPr>
                <w:spacing w:val="8"/>
              </w:rPr>
              <w:t>料和违法物品；必要时，可</w:t>
            </w:r>
            <w:r>
              <w:rPr>
                <w:spacing w:val="5"/>
              </w:rPr>
              <w:t>以临时查封有关场所。</w:t>
            </w:r>
          </w:p>
          <w:p w14:paraId="3E38EB8E">
            <w:pPr>
              <w:pStyle w:val="6"/>
              <w:spacing w:before="2" w:line="182" w:lineRule="auto"/>
              <w:ind w:left="123" w:right="111" w:hanging="7"/>
            </w:pPr>
            <w:r>
              <w:rPr>
                <w:spacing w:val="17"/>
              </w:rPr>
              <w:t>被检查的单位或者个人应当</w:t>
            </w:r>
            <w:r>
              <w:rPr>
                <w:spacing w:val="14"/>
              </w:rPr>
              <w:t>如实提供有关情况和材料、</w:t>
            </w:r>
            <w:r>
              <w:rPr>
                <w:spacing w:val="5"/>
              </w:rPr>
              <w:t>物品，不得拒绝或者隐匿。</w:t>
            </w:r>
          </w:p>
          <w:p w14:paraId="1410DC63">
            <w:pPr>
              <w:pStyle w:val="6"/>
              <w:spacing w:before="5" w:line="182" w:lineRule="auto"/>
              <w:ind w:left="120" w:right="111" w:hanging="4"/>
            </w:pPr>
            <w:r>
              <w:rPr>
                <w:rFonts w:ascii="宋体" w:hAnsi="宋体" w:eastAsia="宋体" w:cs="宋体"/>
                <w:spacing w:val="15"/>
              </w:rPr>
              <w:t>2.</w:t>
            </w:r>
            <w:r>
              <w:rPr>
                <w:spacing w:val="15"/>
              </w:rPr>
              <w:t>【部门规章】《非药品类</w:t>
            </w:r>
            <w:r>
              <w:rPr>
                <w:spacing w:val="16"/>
              </w:rPr>
              <w:t>易制毒化学品生产、经营许</w:t>
            </w:r>
            <w:r>
              <w:rPr>
                <w:spacing w:val="12"/>
              </w:rPr>
              <w:t>可办法》第二十五条：县级</w:t>
            </w:r>
            <w:r>
              <w:rPr>
                <w:spacing w:val="17"/>
              </w:rPr>
              <w:t>以上人民政府安全生产监督管理部门应当加强非药品类易制毒化学品生产、经营的</w:t>
            </w:r>
            <w:r>
              <w:rPr>
                <w:spacing w:val="2"/>
              </w:rPr>
              <w:t>监督检查工作。</w:t>
            </w:r>
          </w:p>
          <w:p w14:paraId="1FA8F1EE">
            <w:pPr>
              <w:pStyle w:val="6"/>
              <w:spacing w:before="1" w:line="175" w:lineRule="auto"/>
              <w:ind w:left="121" w:right="111"/>
              <w:jc w:val="both"/>
            </w:pPr>
            <w:r>
              <w:rPr>
                <w:spacing w:val="16"/>
              </w:rPr>
              <w:t>县级以上人民政府安全生产</w:t>
            </w:r>
            <w:r>
              <w:rPr>
                <w:spacing w:val="17"/>
              </w:rPr>
              <w:t>监督管理部门对非药品类易制毒化学品的生产、经营活</w:t>
            </w:r>
          </w:p>
        </w:tc>
        <w:tc>
          <w:tcPr>
            <w:tcW w:w="2859" w:type="dxa"/>
            <w:vMerge w:val="restart"/>
            <w:tcBorders>
              <w:bottom w:val="nil"/>
            </w:tcBorders>
            <w:vAlign w:val="top"/>
          </w:tcPr>
          <w:p w14:paraId="3580B1B9">
            <w:pPr>
              <w:pStyle w:val="6"/>
              <w:spacing w:before="36" w:line="182" w:lineRule="auto"/>
              <w:ind w:left="115" w:right="106" w:firstLine="24"/>
            </w:pPr>
            <w:r>
              <w:rPr>
                <w:spacing w:val="6"/>
              </w:rPr>
              <w:t>的主管人员以及其他直接</w:t>
            </w:r>
            <w:r>
              <w:rPr>
                <w:spacing w:val="8"/>
              </w:rPr>
              <w:t>责任人员给予警告；情节</w:t>
            </w:r>
            <w:r>
              <w:rPr>
                <w:spacing w:val="-1"/>
              </w:rPr>
              <w:t>严重的，对单位处</w:t>
            </w:r>
            <w:r>
              <w:rPr>
                <w:rFonts w:ascii="宋体" w:hAnsi="宋体" w:eastAsia="宋体" w:cs="宋体"/>
                <w:spacing w:val="-1"/>
              </w:rPr>
              <w:t>1</w:t>
            </w:r>
            <w:r>
              <w:rPr>
                <w:spacing w:val="-1"/>
              </w:rPr>
              <w:t>万元</w:t>
            </w:r>
            <w:r>
              <w:rPr>
                <w:spacing w:val="1"/>
              </w:rPr>
              <w:t>以上</w:t>
            </w:r>
            <w:r>
              <w:rPr>
                <w:rFonts w:ascii="宋体" w:hAnsi="宋体" w:eastAsia="宋体" w:cs="宋体"/>
                <w:spacing w:val="1"/>
              </w:rPr>
              <w:t>5</w:t>
            </w:r>
            <w:r>
              <w:rPr>
                <w:spacing w:val="1"/>
              </w:rPr>
              <w:t>万元以下的罚款，</w:t>
            </w:r>
            <w:r>
              <w:rPr>
                <w:spacing w:val="8"/>
              </w:rPr>
              <w:t>对直接负责的主管人员以</w:t>
            </w:r>
            <w:r>
              <w:rPr>
                <w:spacing w:val="32"/>
              </w:rPr>
              <w:t>及其他直接责任人员处</w:t>
            </w:r>
            <w:r>
              <w:rPr>
                <w:rFonts w:ascii="宋体" w:hAnsi="宋体" w:eastAsia="宋体" w:cs="宋体"/>
                <w:spacing w:val="5"/>
              </w:rPr>
              <w:t>1000</w:t>
            </w:r>
            <w:r>
              <w:rPr>
                <w:spacing w:val="5"/>
              </w:rPr>
              <w:t>元以上</w:t>
            </w:r>
            <w:r>
              <w:rPr>
                <w:rFonts w:ascii="宋体" w:hAnsi="宋体" w:eastAsia="宋体" w:cs="宋体"/>
                <w:spacing w:val="5"/>
              </w:rPr>
              <w:t>5000</w:t>
            </w:r>
            <w:r>
              <w:rPr>
                <w:spacing w:val="5"/>
              </w:rPr>
              <w:t>元以下</w:t>
            </w:r>
            <w:r>
              <w:rPr>
                <w:spacing w:val="4"/>
              </w:rPr>
              <w:t>的罚款；有违反治安管理行为的，依法给予治安管</w:t>
            </w:r>
            <w:r>
              <w:rPr>
                <w:spacing w:val="-2"/>
              </w:rPr>
              <w:t>理处罚；构成犯罪的，依</w:t>
            </w:r>
            <w:r>
              <w:rPr>
                <w:spacing w:val="3"/>
              </w:rPr>
              <w:t>法追究刑事责任。</w:t>
            </w:r>
          </w:p>
          <w:p w14:paraId="5B99523D">
            <w:pPr>
              <w:pStyle w:val="6"/>
              <w:spacing w:line="184" w:lineRule="auto"/>
              <w:ind w:left="115" w:right="40"/>
            </w:pPr>
            <w:r>
              <w:rPr>
                <w:rFonts w:ascii="宋体" w:hAnsi="宋体" w:eastAsia="宋体" w:cs="宋体"/>
                <w:spacing w:val="7"/>
              </w:rPr>
              <w:t>2.</w:t>
            </w:r>
            <w:r>
              <w:rPr>
                <w:spacing w:val="7"/>
              </w:rPr>
              <w:t>【部门规章】《非药品</w:t>
            </w:r>
            <w:r>
              <w:rPr>
                <w:spacing w:val="8"/>
              </w:rPr>
              <w:t>类易制毒化学品生产、经</w:t>
            </w:r>
            <w:r>
              <w:rPr>
                <w:spacing w:val="-6"/>
              </w:rPr>
              <w:t>营许可办法》第三十一条：</w:t>
            </w:r>
            <w:r>
              <w:rPr>
                <w:spacing w:val="8"/>
              </w:rPr>
              <w:t>生产、经营非药品类易制毒化学品的单位或者个人拒不接受安全生产监督管理部门监督检查的，由县级以上人民政府安全生产</w:t>
            </w:r>
            <w:r>
              <w:rPr>
                <w:spacing w:val="7"/>
              </w:rPr>
              <w:t>监督管理部门责令改正，</w:t>
            </w:r>
            <w:r>
              <w:rPr>
                <w:spacing w:val="8"/>
              </w:rPr>
              <w:t>对直接负责的主管人员以及其他直接责任人员给予警告；情节严重的，对单</w:t>
            </w:r>
            <w:r>
              <w:t>位处</w:t>
            </w:r>
            <w:r>
              <w:rPr>
                <w:rFonts w:ascii="宋体" w:hAnsi="宋体" w:eastAsia="宋体" w:cs="宋体"/>
              </w:rPr>
              <w:t>1</w:t>
            </w:r>
            <w:r>
              <w:t>万元以上</w:t>
            </w:r>
            <w:r>
              <w:rPr>
                <w:rFonts w:ascii="宋体" w:hAnsi="宋体" w:eastAsia="宋体" w:cs="宋体"/>
              </w:rPr>
              <w:t>5</w:t>
            </w:r>
            <w:r>
              <w:t>万元以</w:t>
            </w:r>
            <w:r>
              <w:rPr>
                <w:spacing w:val="8"/>
              </w:rPr>
              <w:t>下的罚款，对直接负责的主管人员以及其他直接责</w:t>
            </w:r>
            <w:r>
              <w:rPr>
                <w:spacing w:val="-6"/>
              </w:rPr>
              <w:t>任人员处</w:t>
            </w:r>
            <w:r>
              <w:rPr>
                <w:rFonts w:ascii="宋体" w:hAnsi="宋体" w:eastAsia="宋体" w:cs="宋体"/>
                <w:spacing w:val="-6"/>
              </w:rPr>
              <w:t>1000</w:t>
            </w:r>
            <w:r>
              <w:rPr>
                <w:spacing w:val="-6"/>
              </w:rPr>
              <w:t>元以上</w:t>
            </w:r>
            <w:r>
              <w:rPr>
                <w:rFonts w:ascii="宋体" w:hAnsi="宋体" w:eastAsia="宋体" w:cs="宋体"/>
                <w:spacing w:val="1"/>
              </w:rPr>
              <w:t>5000</w:t>
            </w:r>
            <w:r>
              <w:rPr>
                <w:spacing w:val="1"/>
              </w:rPr>
              <w:t>元以下的罚款。</w:t>
            </w:r>
          </w:p>
        </w:tc>
        <w:tc>
          <w:tcPr>
            <w:tcW w:w="803" w:type="dxa"/>
            <w:vAlign w:val="top"/>
          </w:tcPr>
          <w:p w14:paraId="702070B2">
            <w:pPr>
              <w:spacing w:line="251" w:lineRule="auto"/>
              <w:rPr>
                <w:rFonts w:ascii="Arial"/>
                <w:sz w:val="21"/>
              </w:rPr>
            </w:pPr>
          </w:p>
          <w:p w14:paraId="60AF19B8">
            <w:pPr>
              <w:spacing w:line="252" w:lineRule="auto"/>
              <w:rPr>
                <w:rFonts w:ascii="Arial"/>
                <w:sz w:val="21"/>
              </w:rPr>
            </w:pPr>
          </w:p>
          <w:p w14:paraId="5B29C0F0">
            <w:pPr>
              <w:spacing w:line="252" w:lineRule="auto"/>
              <w:rPr>
                <w:rFonts w:ascii="Arial"/>
                <w:sz w:val="21"/>
              </w:rPr>
            </w:pPr>
          </w:p>
          <w:p w14:paraId="6324BA6C">
            <w:pPr>
              <w:spacing w:line="252" w:lineRule="auto"/>
              <w:rPr>
                <w:rFonts w:ascii="Arial"/>
                <w:sz w:val="21"/>
              </w:rPr>
            </w:pPr>
          </w:p>
          <w:p w14:paraId="22AE6185">
            <w:pPr>
              <w:spacing w:line="252" w:lineRule="auto"/>
              <w:rPr>
                <w:rFonts w:ascii="Arial"/>
                <w:sz w:val="21"/>
              </w:rPr>
            </w:pPr>
          </w:p>
          <w:p w14:paraId="678BFC63">
            <w:pPr>
              <w:spacing w:line="252" w:lineRule="auto"/>
              <w:rPr>
                <w:rFonts w:ascii="Arial"/>
                <w:sz w:val="21"/>
              </w:rPr>
            </w:pPr>
          </w:p>
          <w:p w14:paraId="1D39DD1C">
            <w:pPr>
              <w:spacing w:line="252" w:lineRule="auto"/>
              <w:rPr>
                <w:rFonts w:ascii="Arial"/>
                <w:sz w:val="21"/>
              </w:rPr>
            </w:pPr>
          </w:p>
          <w:p w14:paraId="7385BA40">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FAAD24D">
            <w:pPr>
              <w:spacing w:line="249" w:lineRule="auto"/>
              <w:rPr>
                <w:rFonts w:ascii="Arial"/>
                <w:sz w:val="21"/>
              </w:rPr>
            </w:pPr>
          </w:p>
          <w:p w14:paraId="5F613BED">
            <w:pPr>
              <w:spacing w:line="249" w:lineRule="auto"/>
              <w:rPr>
                <w:rFonts w:ascii="Arial"/>
                <w:sz w:val="21"/>
              </w:rPr>
            </w:pPr>
          </w:p>
          <w:p w14:paraId="60347917">
            <w:pPr>
              <w:spacing w:line="249" w:lineRule="auto"/>
              <w:rPr>
                <w:rFonts w:ascii="Arial"/>
                <w:sz w:val="21"/>
              </w:rPr>
            </w:pPr>
          </w:p>
          <w:p w14:paraId="79F3C98C">
            <w:pPr>
              <w:spacing w:line="249" w:lineRule="auto"/>
              <w:rPr>
                <w:rFonts w:ascii="Arial"/>
                <w:sz w:val="21"/>
              </w:rPr>
            </w:pPr>
          </w:p>
          <w:p w14:paraId="2AFF8C27">
            <w:pPr>
              <w:spacing w:line="249" w:lineRule="auto"/>
              <w:rPr>
                <w:rFonts w:ascii="Arial"/>
                <w:sz w:val="21"/>
              </w:rPr>
            </w:pPr>
          </w:p>
          <w:p w14:paraId="1892953D">
            <w:pPr>
              <w:pStyle w:val="6"/>
              <w:spacing w:before="98" w:line="190" w:lineRule="auto"/>
              <w:ind w:left="124" w:right="109" w:firstLine="21"/>
              <w:jc w:val="both"/>
            </w:pPr>
            <w:r>
              <w:rPr>
                <w:spacing w:val="-6"/>
              </w:rPr>
              <w:t>以吵闹、谩骂等主动</w:t>
            </w:r>
            <w:r>
              <w:rPr>
                <w:spacing w:val="25"/>
              </w:rPr>
              <w:t>方式拒不接受应急管理部门监督检查</w:t>
            </w:r>
            <w:r>
              <w:t>的</w:t>
            </w:r>
          </w:p>
        </w:tc>
        <w:tc>
          <w:tcPr>
            <w:tcW w:w="2894" w:type="dxa"/>
            <w:vAlign w:val="top"/>
          </w:tcPr>
          <w:p w14:paraId="37EACABA">
            <w:pPr>
              <w:spacing w:line="254" w:lineRule="auto"/>
              <w:rPr>
                <w:rFonts w:ascii="Arial"/>
                <w:sz w:val="21"/>
              </w:rPr>
            </w:pPr>
          </w:p>
          <w:p w14:paraId="6B7A541A">
            <w:pPr>
              <w:spacing w:line="254" w:lineRule="auto"/>
              <w:rPr>
                <w:rFonts w:ascii="Arial"/>
                <w:sz w:val="21"/>
              </w:rPr>
            </w:pPr>
          </w:p>
          <w:p w14:paraId="72F759DB">
            <w:pPr>
              <w:pStyle w:val="6"/>
              <w:spacing w:before="99" w:line="185" w:lineRule="auto"/>
              <w:ind w:left="117" w:right="105" w:firstLine="10"/>
              <w:jc w:val="both"/>
            </w:pPr>
            <w:r>
              <w:rPr>
                <w:spacing w:val="7"/>
              </w:rPr>
              <w:t>责令改正，对直接负责的</w:t>
            </w:r>
            <w:r>
              <w:rPr>
                <w:spacing w:val="11"/>
              </w:rPr>
              <w:t>主管人员以及其他直接责</w:t>
            </w:r>
            <w:r>
              <w:rPr>
                <w:spacing w:val="8"/>
              </w:rPr>
              <w:t>任人员给予警告；情节严</w:t>
            </w:r>
            <w:r>
              <w:rPr>
                <w:spacing w:val="4"/>
              </w:rPr>
              <w:t>重的，对单位处</w:t>
            </w:r>
            <w:r>
              <w:rPr>
                <w:rFonts w:ascii="宋体" w:hAnsi="宋体" w:eastAsia="宋体" w:cs="宋体"/>
                <w:spacing w:val="4"/>
              </w:rPr>
              <w:t>2</w:t>
            </w:r>
            <w:r>
              <w:rPr>
                <w:spacing w:val="4"/>
              </w:rPr>
              <w:t>万元以上</w:t>
            </w:r>
            <w:r>
              <w:rPr>
                <w:rFonts w:ascii="宋体" w:hAnsi="宋体" w:eastAsia="宋体" w:cs="宋体"/>
                <w:spacing w:val="4"/>
              </w:rPr>
              <w:t>4</w:t>
            </w:r>
            <w:r>
              <w:rPr>
                <w:spacing w:val="4"/>
              </w:rPr>
              <w:t>万元以下的罚款，对</w:t>
            </w:r>
            <w:r>
              <w:rPr>
                <w:spacing w:val="11"/>
              </w:rPr>
              <w:t>直接负责的主管人员以及</w:t>
            </w:r>
            <w:r>
              <w:rPr>
                <w:spacing w:val="4"/>
              </w:rPr>
              <w:t>其他直接责任人员处</w:t>
            </w:r>
            <w:r>
              <w:rPr>
                <w:rFonts w:ascii="宋体" w:hAnsi="宋体" w:eastAsia="宋体" w:cs="宋体"/>
                <w:spacing w:val="4"/>
              </w:rPr>
              <w:t>1000</w:t>
            </w:r>
            <w:r>
              <w:rPr>
                <w:spacing w:val="13"/>
              </w:rPr>
              <w:t>元以上</w:t>
            </w:r>
            <w:r>
              <w:rPr>
                <w:rFonts w:ascii="宋体" w:hAnsi="宋体" w:eastAsia="宋体" w:cs="宋体"/>
                <w:spacing w:val="13"/>
              </w:rPr>
              <w:t>5000</w:t>
            </w:r>
            <w:r>
              <w:rPr>
                <w:spacing w:val="13"/>
              </w:rPr>
              <w:t>元以下的罚</w:t>
            </w:r>
            <w:r>
              <w:t>款</w:t>
            </w:r>
          </w:p>
        </w:tc>
        <w:tc>
          <w:tcPr>
            <w:tcW w:w="811" w:type="dxa"/>
            <w:vMerge w:val="restart"/>
            <w:tcBorders>
              <w:bottom w:val="nil"/>
            </w:tcBorders>
            <w:vAlign w:val="top"/>
          </w:tcPr>
          <w:p w14:paraId="2AE43744">
            <w:pPr>
              <w:rPr>
                <w:rFonts w:ascii="Arial"/>
                <w:sz w:val="21"/>
              </w:rPr>
            </w:pPr>
          </w:p>
        </w:tc>
      </w:tr>
      <w:tr w14:paraId="5BDC7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4" w:hRule="atLeast"/>
        </w:trPr>
        <w:tc>
          <w:tcPr>
            <w:tcW w:w="818" w:type="dxa"/>
            <w:vMerge w:val="continue"/>
            <w:tcBorders>
              <w:top w:val="nil"/>
            </w:tcBorders>
            <w:vAlign w:val="top"/>
          </w:tcPr>
          <w:p w14:paraId="7D9A4187">
            <w:pPr>
              <w:rPr>
                <w:rFonts w:ascii="Arial"/>
                <w:sz w:val="21"/>
              </w:rPr>
            </w:pPr>
          </w:p>
        </w:tc>
        <w:tc>
          <w:tcPr>
            <w:tcW w:w="1440" w:type="dxa"/>
            <w:vMerge w:val="continue"/>
            <w:tcBorders>
              <w:top w:val="nil"/>
            </w:tcBorders>
            <w:vAlign w:val="top"/>
          </w:tcPr>
          <w:p w14:paraId="6EAB09A3">
            <w:pPr>
              <w:rPr>
                <w:rFonts w:ascii="Arial"/>
                <w:sz w:val="21"/>
              </w:rPr>
            </w:pPr>
          </w:p>
        </w:tc>
        <w:tc>
          <w:tcPr>
            <w:tcW w:w="3202" w:type="dxa"/>
            <w:vMerge w:val="continue"/>
            <w:tcBorders>
              <w:top w:val="nil"/>
            </w:tcBorders>
            <w:vAlign w:val="top"/>
          </w:tcPr>
          <w:p w14:paraId="4D852F19">
            <w:pPr>
              <w:rPr>
                <w:rFonts w:ascii="Arial"/>
                <w:sz w:val="21"/>
              </w:rPr>
            </w:pPr>
          </w:p>
        </w:tc>
        <w:tc>
          <w:tcPr>
            <w:tcW w:w="2859" w:type="dxa"/>
            <w:vMerge w:val="continue"/>
            <w:tcBorders>
              <w:top w:val="nil"/>
            </w:tcBorders>
            <w:vAlign w:val="top"/>
          </w:tcPr>
          <w:p w14:paraId="5A6D73E3">
            <w:pPr>
              <w:rPr>
                <w:rFonts w:ascii="Arial"/>
                <w:sz w:val="21"/>
              </w:rPr>
            </w:pPr>
          </w:p>
        </w:tc>
        <w:tc>
          <w:tcPr>
            <w:tcW w:w="803" w:type="dxa"/>
            <w:vAlign w:val="top"/>
          </w:tcPr>
          <w:p w14:paraId="330C903D">
            <w:pPr>
              <w:rPr>
                <w:rFonts w:ascii="Arial"/>
                <w:sz w:val="21"/>
              </w:rPr>
            </w:pPr>
          </w:p>
          <w:p w14:paraId="760FAE62">
            <w:pPr>
              <w:rPr>
                <w:rFonts w:ascii="Arial"/>
                <w:sz w:val="21"/>
              </w:rPr>
            </w:pPr>
          </w:p>
          <w:p w14:paraId="75C4373A">
            <w:pPr>
              <w:rPr>
                <w:rFonts w:ascii="Arial"/>
                <w:sz w:val="21"/>
              </w:rPr>
            </w:pPr>
          </w:p>
          <w:p w14:paraId="2C255448">
            <w:pPr>
              <w:rPr>
                <w:rFonts w:ascii="Arial"/>
                <w:sz w:val="21"/>
              </w:rPr>
            </w:pPr>
          </w:p>
          <w:p w14:paraId="7898301B">
            <w:pPr>
              <w:rPr>
                <w:rFonts w:ascii="Arial"/>
                <w:sz w:val="21"/>
              </w:rPr>
            </w:pPr>
          </w:p>
          <w:p w14:paraId="2A032D40">
            <w:pPr>
              <w:rPr>
                <w:rFonts w:ascii="Arial"/>
                <w:sz w:val="21"/>
              </w:rPr>
            </w:pPr>
          </w:p>
          <w:p w14:paraId="3F7F61CC">
            <w:pPr>
              <w:rPr>
                <w:rFonts w:ascii="Arial"/>
                <w:sz w:val="21"/>
              </w:rPr>
            </w:pPr>
          </w:p>
          <w:p w14:paraId="339C9030">
            <w:pPr>
              <w:spacing w:line="241" w:lineRule="auto"/>
              <w:rPr>
                <w:rFonts w:ascii="Arial"/>
                <w:sz w:val="21"/>
              </w:rPr>
            </w:pPr>
          </w:p>
          <w:p w14:paraId="5CCF1C5E">
            <w:pPr>
              <w:spacing w:line="241" w:lineRule="auto"/>
              <w:rPr>
                <w:rFonts w:ascii="Arial"/>
                <w:sz w:val="21"/>
              </w:rPr>
            </w:pPr>
          </w:p>
          <w:p w14:paraId="686A01CB">
            <w:pPr>
              <w:spacing w:line="241" w:lineRule="auto"/>
              <w:rPr>
                <w:rFonts w:ascii="Arial"/>
                <w:sz w:val="21"/>
              </w:rPr>
            </w:pPr>
          </w:p>
          <w:p w14:paraId="0C57D923">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48F2BDF">
            <w:pPr>
              <w:spacing w:line="255" w:lineRule="auto"/>
              <w:rPr>
                <w:rFonts w:ascii="Arial"/>
                <w:sz w:val="21"/>
              </w:rPr>
            </w:pPr>
          </w:p>
          <w:p w14:paraId="7BCFA592">
            <w:pPr>
              <w:spacing w:line="255" w:lineRule="auto"/>
              <w:rPr>
                <w:rFonts w:ascii="Arial"/>
                <w:sz w:val="21"/>
              </w:rPr>
            </w:pPr>
          </w:p>
          <w:p w14:paraId="2F9C7497">
            <w:pPr>
              <w:spacing w:line="255" w:lineRule="auto"/>
              <w:rPr>
                <w:rFonts w:ascii="Arial"/>
                <w:sz w:val="21"/>
              </w:rPr>
            </w:pPr>
          </w:p>
          <w:p w14:paraId="46095B40">
            <w:pPr>
              <w:spacing w:line="255" w:lineRule="auto"/>
              <w:rPr>
                <w:rFonts w:ascii="Arial"/>
                <w:sz w:val="21"/>
              </w:rPr>
            </w:pPr>
          </w:p>
          <w:p w14:paraId="58B01C06">
            <w:pPr>
              <w:spacing w:line="255" w:lineRule="auto"/>
              <w:rPr>
                <w:rFonts w:ascii="Arial"/>
                <w:sz w:val="21"/>
              </w:rPr>
            </w:pPr>
          </w:p>
          <w:p w14:paraId="725D33B3">
            <w:pPr>
              <w:spacing w:line="255" w:lineRule="auto"/>
              <w:rPr>
                <w:rFonts w:ascii="Arial"/>
                <w:sz w:val="21"/>
              </w:rPr>
            </w:pPr>
          </w:p>
          <w:p w14:paraId="36A2F8B8">
            <w:pPr>
              <w:spacing w:line="255" w:lineRule="auto"/>
              <w:rPr>
                <w:rFonts w:ascii="Arial"/>
                <w:sz w:val="21"/>
              </w:rPr>
            </w:pPr>
          </w:p>
          <w:p w14:paraId="7958D93D">
            <w:pPr>
              <w:spacing w:line="255" w:lineRule="auto"/>
              <w:rPr>
                <w:rFonts w:ascii="Arial"/>
                <w:sz w:val="21"/>
              </w:rPr>
            </w:pPr>
          </w:p>
          <w:p w14:paraId="47E96C0F">
            <w:pPr>
              <w:pStyle w:val="6"/>
              <w:spacing w:before="98" w:line="191" w:lineRule="auto"/>
              <w:ind w:left="116" w:right="109" w:firstLine="28"/>
              <w:jc w:val="both"/>
            </w:pPr>
            <w:r>
              <w:rPr>
                <w:spacing w:val="-6"/>
              </w:rPr>
              <w:t>以暴力、威胁等方式</w:t>
            </w:r>
            <w:r>
              <w:rPr>
                <w:spacing w:val="26"/>
              </w:rPr>
              <w:t>拒不接受应急管理</w:t>
            </w:r>
            <w:r>
              <w:rPr>
                <w:spacing w:val="7"/>
              </w:rPr>
              <w:t>部门监督检查的</w:t>
            </w:r>
          </w:p>
        </w:tc>
        <w:tc>
          <w:tcPr>
            <w:tcW w:w="2894" w:type="dxa"/>
            <w:vAlign w:val="top"/>
          </w:tcPr>
          <w:p w14:paraId="0640DAC4">
            <w:pPr>
              <w:spacing w:line="287" w:lineRule="auto"/>
              <w:rPr>
                <w:rFonts w:ascii="Arial"/>
                <w:sz w:val="21"/>
              </w:rPr>
            </w:pPr>
          </w:p>
          <w:p w14:paraId="350F9617">
            <w:pPr>
              <w:spacing w:line="287" w:lineRule="auto"/>
              <w:rPr>
                <w:rFonts w:ascii="Arial"/>
                <w:sz w:val="21"/>
              </w:rPr>
            </w:pPr>
          </w:p>
          <w:p w14:paraId="55288617">
            <w:pPr>
              <w:spacing w:line="288" w:lineRule="auto"/>
              <w:rPr>
                <w:rFonts w:ascii="Arial"/>
                <w:sz w:val="21"/>
              </w:rPr>
            </w:pPr>
          </w:p>
          <w:p w14:paraId="162A8440">
            <w:pPr>
              <w:spacing w:line="288" w:lineRule="auto"/>
              <w:rPr>
                <w:rFonts w:ascii="Arial"/>
                <w:sz w:val="21"/>
              </w:rPr>
            </w:pPr>
          </w:p>
          <w:p w14:paraId="59D67B95">
            <w:pPr>
              <w:pStyle w:val="6"/>
              <w:spacing w:before="99" w:line="185" w:lineRule="auto"/>
              <w:ind w:left="117" w:right="105" w:firstLine="10"/>
              <w:jc w:val="both"/>
            </w:pPr>
            <w:r>
              <w:rPr>
                <w:spacing w:val="7"/>
              </w:rPr>
              <w:t>责令改正，对直接负责的</w:t>
            </w:r>
            <w:r>
              <w:rPr>
                <w:spacing w:val="11"/>
              </w:rPr>
              <w:t>主管人员以及其他直接责</w:t>
            </w:r>
            <w:r>
              <w:rPr>
                <w:spacing w:val="8"/>
              </w:rPr>
              <w:t>任人员给予警告；情节严</w:t>
            </w:r>
            <w:r>
              <w:rPr>
                <w:spacing w:val="4"/>
              </w:rPr>
              <w:t>重的，对单位处</w:t>
            </w:r>
            <w:r>
              <w:rPr>
                <w:rFonts w:ascii="宋体" w:hAnsi="宋体" w:eastAsia="宋体" w:cs="宋体"/>
                <w:spacing w:val="4"/>
              </w:rPr>
              <w:t>4</w:t>
            </w:r>
            <w:r>
              <w:rPr>
                <w:spacing w:val="4"/>
              </w:rPr>
              <w:t>万元以上</w:t>
            </w:r>
            <w:r>
              <w:rPr>
                <w:rFonts w:ascii="宋体" w:hAnsi="宋体" w:eastAsia="宋体" w:cs="宋体"/>
                <w:spacing w:val="4"/>
              </w:rPr>
              <w:t>5</w:t>
            </w:r>
            <w:r>
              <w:rPr>
                <w:spacing w:val="4"/>
              </w:rPr>
              <w:t>万元以下的罚款，对</w:t>
            </w:r>
            <w:r>
              <w:rPr>
                <w:spacing w:val="11"/>
              </w:rPr>
              <w:t>直接负责的主管人员以及</w:t>
            </w:r>
            <w:r>
              <w:rPr>
                <w:spacing w:val="4"/>
              </w:rPr>
              <w:t>其他直接责任人员处</w:t>
            </w:r>
            <w:r>
              <w:rPr>
                <w:rFonts w:ascii="宋体" w:hAnsi="宋体" w:eastAsia="宋体" w:cs="宋体"/>
                <w:spacing w:val="4"/>
              </w:rPr>
              <w:t>1000</w:t>
            </w:r>
            <w:r>
              <w:rPr>
                <w:spacing w:val="13"/>
              </w:rPr>
              <w:t>元以上</w:t>
            </w:r>
            <w:r>
              <w:rPr>
                <w:rFonts w:ascii="宋体" w:hAnsi="宋体" w:eastAsia="宋体" w:cs="宋体"/>
                <w:spacing w:val="13"/>
              </w:rPr>
              <w:t>5000</w:t>
            </w:r>
            <w:r>
              <w:rPr>
                <w:spacing w:val="13"/>
              </w:rPr>
              <w:t>元以下的罚</w:t>
            </w:r>
            <w:r>
              <w:t>款</w:t>
            </w:r>
          </w:p>
        </w:tc>
        <w:tc>
          <w:tcPr>
            <w:tcW w:w="811" w:type="dxa"/>
            <w:vMerge w:val="continue"/>
            <w:tcBorders>
              <w:top w:val="nil"/>
            </w:tcBorders>
            <w:vAlign w:val="top"/>
          </w:tcPr>
          <w:p w14:paraId="5196FE2C">
            <w:pPr>
              <w:rPr>
                <w:rFonts w:ascii="Arial"/>
                <w:sz w:val="21"/>
              </w:rPr>
            </w:pPr>
          </w:p>
        </w:tc>
      </w:tr>
    </w:tbl>
    <w:p w14:paraId="74845CCB">
      <w:pPr>
        <w:pStyle w:val="2"/>
      </w:pPr>
    </w:p>
    <w:p w14:paraId="0EF71F6D">
      <w:pPr>
        <w:sectPr>
          <w:footerReference r:id="rId188" w:type="default"/>
          <w:pgSz w:w="16839" w:h="11906"/>
          <w:pgMar w:top="1012" w:right="821" w:bottom="667" w:left="901" w:header="0" w:footer="388" w:gutter="0"/>
          <w:cols w:space="720" w:num="1"/>
        </w:sectPr>
      </w:pPr>
    </w:p>
    <w:p w14:paraId="375D1300">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15B1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EC3CD63">
            <w:pPr>
              <w:spacing w:before="222" w:line="241" w:lineRule="auto"/>
              <w:ind w:left="131"/>
              <w:outlineLvl w:val="0"/>
              <w:rPr>
                <w:rFonts w:ascii="黑体" w:hAnsi="黑体" w:eastAsia="黑体" w:cs="黑体"/>
                <w:sz w:val="28"/>
                <w:szCs w:val="28"/>
              </w:rPr>
            </w:pPr>
            <w:bookmarkStart w:id="644" w:name="bookmark346"/>
            <w:bookmarkEnd w:id="644"/>
            <w:r>
              <w:rPr>
                <w:rFonts w:ascii="黑体" w:hAnsi="黑体" w:eastAsia="黑体" w:cs="黑体"/>
                <w:spacing w:val="-2"/>
                <w:sz w:val="28"/>
                <w:szCs w:val="28"/>
              </w:rPr>
              <w:t>序号</w:t>
            </w:r>
          </w:p>
        </w:tc>
        <w:tc>
          <w:tcPr>
            <w:tcW w:w="1440" w:type="dxa"/>
            <w:vAlign w:val="top"/>
          </w:tcPr>
          <w:p w14:paraId="48EF1E3C">
            <w:pPr>
              <w:spacing w:before="221"/>
              <w:ind w:left="163"/>
              <w:outlineLvl w:val="1"/>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1273E2A">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46868C8D">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12EF0129">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F3A8630">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1137A2E">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DD6CA26">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C7CB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818" w:type="dxa"/>
            <w:vAlign w:val="top"/>
          </w:tcPr>
          <w:p w14:paraId="00B983C5">
            <w:pPr>
              <w:rPr>
                <w:rFonts w:ascii="Arial"/>
                <w:sz w:val="21"/>
              </w:rPr>
            </w:pPr>
          </w:p>
        </w:tc>
        <w:tc>
          <w:tcPr>
            <w:tcW w:w="1440" w:type="dxa"/>
            <w:vAlign w:val="top"/>
          </w:tcPr>
          <w:p w14:paraId="43A8ACF1">
            <w:pPr>
              <w:rPr>
                <w:rFonts w:ascii="Arial"/>
                <w:sz w:val="21"/>
              </w:rPr>
            </w:pPr>
          </w:p>
        </w:tc>
        <w:tc>
          <w:tcPr>
            <w:tcW w:w="3202" w:type="dxa"/>
            <w:vAlign w:val="top"/>
          </w:tcPr>
          <w:p w14:paraId="7B477571">
            <w:pPr>
              <w:pStyle w:val="6"/>
              <w:spacing w:before="28" w:line="182" w:lineRule="auto"/>
              <w:ind w:left="128"/>
              <w:outlineLvl w:val="1"/>
            </w:pPr>
            <w:r>
              <w:rPr>
                <w:spacing w:val="12"/>
              </w:rPr>
              <w:t>动进行监督检查时，可以查</w:t>
            </w:r>
          </w:p>
          <w:p w14:paraId="6FE4E08D">
            <w:pPr>
              <w:pStyle w:val="6"/>
              <w:spacing w:line="182" w:lineRule="auto"/>
              <w:ind w:left="119"/>
            </w:pPr>
            <w:r>
              <w:rPr>
                <w:spacing w:val="17"/>
              </w:rPr>
              <w:t>看现场、查阅和复制有关资</w:t>
            </w:r>
          </w:p>
          <w:p w14:paraId="591D8CC6">
            <w:pPr>
              <w:pStyle w:val="6"/>
              <w:spacing w:line="182" w:lineRule="auto"/>
              <w:ind w:left="121"/>
              <w:outlineLvl w:val="1"/>
            </w:pPr>
            <w:r>
              <w:rPr>
                <w:spacing w:val="17"/>
              </w:rPr>
              <w:t>料、记录有关情况、扣押相</w:t>
            </w:r>
          </w:p>
          <w:p w14:paraId="6BA494A0">
            <w:pPr>
              <w:pStyle w:val="6"/>
              <w:spacing w:before="1" w:line="182" w:lineRule="auto"/>
              <w:ind w:left="125"/>
              <w:outlineLvl w:val="0"/>
            </w:pPr>
            <w:r>
              <w:rPr>
                <w:spacing w:val="15"/>
              </w:rPr>
              <w:t>关的证据材料和违法物品；</w:t>
            </w:r>
          </w:p>
          <w:p w14:paraId="33EC83C0">
            <w:pPr>
              <w:pStyle w:val="6"/>
              <w:spacing w:line="182" w:lineRule="auto"/>
              <w:ind w:left="132"/>
            </w:pPr>
            <w:bookmarkStart w:id="645" w:name="bookmark348"/>
            <w:bookmarkEnd w:id="645"/>
            <w:bookmarkStart w:id="646" w:name="bookmark584"/>
            <w:bookmarkEnd w:id="646"/>
            <w:r>
              <w:rPr>
                <w:spacing w:val="11"/>
              </w:rPr>
              <w:t>必要时，可以临时查封有关</w:t>
            </w:r>
          </w:p>
          <w:p w14:paraId="30A6C6C3">
            <w:pPr>
              <w:pStyle w:val="6"/>
              <w:spacing w:before="1" w:line="182" w:lineRule="auto"/>
              <w:ind w:left="117"/>
              <w:outlineLvl w:val="1"/>
            </w:pPr>
            <w:r>
              <w:rPr>
                <w:spacing w:val="-4"/>
              </w:rPr>
              <w:t>场所。</w:t>
            </w:r>
          </w:p>
          <w:p w14:paraId="0B4204CC">
            <w:pPr>
              <w:pStyle w:val="6"/>
              <w:spacing w:before="1" w:line="182" w:lineRule="auto"/>
              <w:ind w:left="116"/>
              <w:outlineLvl w:val="1"/>
            </w:pPr>
            <w:r>
              <w:rPr>
                <w:spacing w:val="17"/>
              </w:rPr>
              <w:t>被检查的单位或者个人应当</w:t>
            </w:r>
          </w:p>
          <w:p w14:paraId="48D53379">
            <w:pPr>
              <w:pStyle w:val="6"/>
              <w:spacing w:line="172" w:lineRule="auto"/>
              <w:ind w:left="124" w:right="139"/>
            </w:pPr>
            <w:r>
              <w:rPr>
                <w:spacing w:val="14"/>
              </w:rPr>
              <w:t>如实提供有关情况和资料、</w:t>
            </w:r>
            <w:r>
              <w:rPr>
                <w:spacing w:val="5"/>
              </w:rPr>
              <w:t>物品，不得拒绝或者隐匿。</w:t>
            </w:r>
          </w:p>
        </w:tc>
        <w:tc>
          <w:tcPr>
            <w:tcW w:w="2859" w:type="dxa"/>
            <w:vAlign w:val="top"/>
          </w:tcPr>
          <w:p w14:paraId="3B16EFB8">
            <w:pPr>
              <w:rPr>
                <w:rFonts w:ascii="Arial"/>
                <w:sz w:val="21"/>
              </w:rPr>
            </w:pPr>
          </w:p>
        </w:tc>
        <w:tc>
          <w:tcPr>
            <w:tcW w:w="803" w:type="dxa"/>
            <w:vAlign w:val="top"/>
          </w:tcPr>
          <w:p w14:paraId="04905029">
            <w:pPr>
              <w:rPr>
                <w:rFonts w:ascii="Arial"/>
                <w:sz w:val="21"/>
              </w:rPr>
            </w:pPr>
          </w:p>
        </w:tc>
        <w:tc>
          <w:tcPr>
            <w:tcW w:w="2283" w:type="dxa"/>
            <w:vAlign w:val="top"/>
          </w:tcPr>
          <w:p w14:paraId="09B515BF">
            <w:pPr>
              <w:rPr>
                <w:rFonts w:ascii="Arial"/>
                <w:sz w:val="21"/>
              </w:rPr>
            </w:pPr>
          </w:p>
        </w:tc>
        <w:tc>
          <w:tcPr>
            <w:tcW w:w="2894" w:type="dxa"/>
            <w:vAlign w:val="top"/>
          </w:tcPr>
          <w:p w14:paraId="3C11C4B9">
            <w:pPr>
              <w:rPr>
                <w:rFonts w:ascii="Arial"/>
                <w:sz w:val="21"/>
              </w:rPr>
            </w:pPr>
          </w:p>
        </w:tc>
        <w:tc>
          <w:tcPr>
            <w:tcW w:w="811" w:type="dxa"/>
            <w:vAlign w:val="top"/>
          </w:tcPr>
          <w:p w14:paraId="4701C1BC">
            <w:pPr>
              <w:rPr>
                <w:rFonts w:ascii="Arial"/>
                <w:sz w:val="21"/>
              </w:rPr>
            </w:pPr>
          </w:p>
        </w:tc>
      </w:tr>
      <w:tr w14:paraId="3BC8C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2" w:hRule="atLeast"/>
        </w:trPr>
        <w:tc>
          <w:tcPr>
            <w:tcW w:w="818" w:type="dxa"/>
            <w:vMerge w:val="restart"/>
            <w:tcBorders>
              <w:bottom w:val="nil"/>
            </w:tcBorders>
            <w:vAlign w:val="top"/>
          </w:tcPr>
          <w:p w14:paraId="2D492D1B">
            <w:pPr>
              <w:spacing w:line="248" w:lineRule="auto"/>
              <w:rPr>
                <w:rFonts w:ascii="Arial"/>
                <w:sz w:val="21"/>
              </w:rPr>
            </w:pPr>
          </w:p>
          <w:p w14:paraId="55C12C7C">
            <w:pPr>
              <w:spacing w:line="249" w:lineRule="auto"/>
              <w:rPr>
                <w:rFonts w:ascii="Arial"/>
                <w:sz w:val="21"/>
              </w:rPr>
            </w:pPr>
          </w:p>
          <w:p w14:paraId="1607BE72">
            <w:pPr>
              <w:spacing w:line="249" w:lineRule="auto"/>
              <w:rPr>
                <w:rFonts w:ascii="Arial"/>
                <w:sz w:val="21"/>
              </w:rPr>
            </w:pPr>
          </w:p>
          <w:p w14:paraId="0152BFF9">
            <w:pPr>
              <w:spacing w:line="249" w:lineRule="auto"/>
              <w:rPr>
                <w:rFonts w:ascii="Arial"/>
                <w:sz w:val="21"/>
              </w:rPr>
            </w:pPr>
          </w:p>
          <w:p w14:paraId="675A39EF">
            <w:pPr>
              <w:spacing w:line="249" w:lineRule="auto"/>
              <w:rPr>
                <w:rFonts w:ascii="Arial"/>
                <w:sz w:val="21"/>
              </w:rPr>
            </w:pPr>
          </w:p>
          <w:p w14:paraId="795DF645">
            <w:pPr>
              <w:spacing w:line="249" w:lineRule="auto"/>
              <w:rPr>
                <w:rFonts w:ascii="Arial"/>
                <w:sz w:val="21"/>
              </w:rPr>
            </w:pPr>
          </w:p>
          <w:p w14:paraId="76621257">
            <w:pPr>
              <w:spacing w:before="75" w:line="186" w:lineRule="auto"/>
              <w:ind w:left="161"/>
              <w:rPr>
                <w:rFonts w:ascii="仿宋" w:hAnsi="仿宋" w:eastAsia="仿宋" w:cs="仿宋"/>
                <w:sz w:val="23"/>
                <w:szCs w:val="23"/>
              </w:rPr>
            </w:pPr>
            <w:r>
              <w:rPr>
                <w:rFonts w:ascii="仿宋" w:hAnsi="仿宋" w:eastAsia="仿宋" w:cs="仿宋"/>
                <w:spacing w:val="-5"/>
                <w:sz w:val="23"/>
                <w:szCs w:val="23"/>
              </w:rPr>
              <w:t>169</w:t>
            </w:r>
          </w:p>
        </w:tc>
        <w:tc>
          <w:tcPr>
            <w:tcW w:w="1440" w:type="dxa"/>
            <w:vMerge w:val="restart"/>
            <w:tcBorders>
              <w:bottom w:val="nil"/>
            </w:tcBorders>
            <w:vAlign w:val="top"/>
          </w:tcPr>
          <w:p w14:paraId="2AF7D0F9">
            <w:pPr>
              <w:spacing w:line="374" w:lineRule="auto"/>
              <w:rPr>
                <w:rFonts w:ascii="Arial"/>
                <w:sz w:val="21"/>
              </w:rPr>
            </w:pPr>
          </w:p>
          <w:p w14:paraId="2F11DB21">
            <w:pPr>
              <w:pStyle w:val="6"/>
              <w:spacing w:before="99" w:line="186" w:lineRule="auto"/>
              <w:ind w:left="117" w:right="111" w:firstLine="2"/>
              <w:jc w:val="both"/>
            </w:pPr>
            <w:r>
              <w:rPr>
                <w:spacing w:val="10"/>
              </w:rPr>
              <w:t>烟花爆竹生</w:t>
            </w:r>
            <w:r>
              <w:rPr>
                <w:spacing w:val="11"/>
              </w:rPr>
              <w:t>产企业变更企业主要负责人或者名</w:t>
            </w:r>
            <w:r>
              <w:rPr>
                <w:spacing w:val="4"/>
              </w:rPr>
              <w:t>称，未办理</w:t>
            </w:r>
            <w:r>
              <w:rPr>
                <w:spacing w:val="11"/>
              </w:rPr>
              <w:t>安全生产许可证变更手</w:t>
            </w:r>
            <w:r>
              <w:rPr>
                <w:spacing w:val="1"/>
              </w:rPr>
              <w:t>续的</w:t>
            </w:r>
          </w:p>
        </w:tc>
        <w:tc>
          <w:tcPr>
            <w:tcW w:w="3202" w:type="dxa"/>
            <w:vMerge w:val="restart"/>
            <w:tcBorders>
              <w:bottom w:val="nil"/>
            </w:tcBorders>
            <w:vAlign w:val="top"/>
          </w:tcPr>
          <w:p w14:paraId="0FF62CAB">
            <w:pPr>
              <w:pStyle w:val="6"/>
              <w:spacing w:before="32" w:line="185" w:lineRule="auto"/>
              <w:ind w:left="119" w:right="111" w:hanging="21"/>
            </w:pPr>
            <w:r>
              <w:rPr>
                <w:spacing w:val="18"/>
              </w:rPr>
              <w:t>【部门规章】《烟花爆竹生</w:t>
            </w:r>
            <w:r>
              <w:rPr>
                <w:spacing w:val="17"/>
              </w:rPr>
              <w:t>产企业安全生产许可证实施</w:t>
            </w:r>
            <w:r>
              <w:rPr>
                <w:spacing w:val="14"/>
              </w:rPr>
              <w:t>办法》第二十七条第三项、</w:t>
            </w:r>
            <w:r>
              <w:rPr>
                <w:spacing w:val="13"/>
              </w:rPr>
              <w:t>第四项：企业在安全生产许</w:t>
            </w:r>
            <w:r>
              <w:rPr>
                <w:spacing w:val="17"/>
              </w:rPr>
              <w:t>可证有效期内有下列情形之</w:t>
            </w:r>
            <w:r>
              <w:rPr>
                <w:spacing w:val="13"/>
              </w:rPr>
              <w:t>一的，应当按照本办法第二</w:t>
            </w:r>
            <w:r>
              <w:rPr>
                <w:spacing w:val="17"/>
              </w:rPr>
              <w:t>十八条的规定申请变更安全生产许可证</w:t>
            </w:r>
            <w:r>
              <w:rPr>
                <w:spacing w:val="-10"/>
              </w:rPr>
              <w:t>：（</w:t>
            </w:r>
            <w:r>
              <w:rPr>
                <w:spacing w:val="17"/>
              </w:rPr>
              <w:t>三）变更企业主要负责人的</w:t>
            </w:r>
            <w:r>
              <w:rPr>
                <w:spacing w:val="-11"/>
              </w:rPr>
              <w:t>；（</w:t>
            </w:r>
            <w:r>
              <w:rPr>
                <w:spacing w:val="17"/>
              </w:rPr>
              <w:t>四）变</w:t>
            </w:r>
            <w:r>
              <w:rPr>
                <w:spacing w:val="2"/>
              </w:rPr>
              <w:t>更企业名称的。</w:t>
            </w:r>
          </w:p>
        </w:tc>
        <w:tc>
          <w:tcPr>
            <w:tcW w:w="2859" w:type="dxa"/>
            <w:vMerge w:val="restart"/>
            <w:tcBorders>
              <w:bottom w:val="nil"/>
            </w:tcBorders>
            <w:vAlign w:val="top"/>
          </w:tcPr>
          <w:p w14:paraId="30DEA810">
            <w:pPr>
              <w:pStyle w:val="6"/>
              <w:spacing w:before="37" w:line="180" w:lineRule="auto"/>
              <w:ind w:left="120" w:right="105" w:hanging="23"/>
              <w:jc w:val="both"/>
            </w:pPr>
            <w:r>
              <w:rPr>
                <w:spacing w:val="10"/>
              </w:rPr>
              <w:t>【部门规章】《烟花爆竹</w:t>
            </w:r>
            <w:r>
              <w:rPr>
                <w:spacing w:val="8"/>
              </w:rPr>
              <w:t>生产企业安全生产许可证实施办法》第四十三条第</w:t>
            </w:r>
            <w:r>
              <w:rPr>
                <w:spacing w:val="5"/>
              </w:rPr>
              <w:t>一项：企业有下列行为之</w:t>
            </w:r>
            <w:r>
              <w:rPr>
                <w:spacing w:val="4"/>
              </w:rPr>
              <w:t>一的，责令停止违法活动</w:t>
            </w:r>
            <w:r>
              <w:rPr>
                <w:spacing w:val="3"/>
              </w:rPr>
              <w:t>或者限期改正，并处</w:t>
            </w:r>
            <w:r>
              <w:rPr>
                <w:rFonts w:ascii="宋体" w:hAnsi="宋体" w:eastAsia="宋体" w:cs="宋体"/>
                <w:spacing w:val="3"/>
              </w:rPr>
              <w:t>1</w:t>
            </w:r>
            <w:r>
              <w:rPr>
                <w:spacing w:val="3"/>
              </w:rPr>
              <w:t>万</w:t>
            </w:r>
            <w:r>
              <w:rPr>
                <w:spacing w:val="19"/>
              </w:rPr>
              <w:t>元以上</w:t>
            </w:r>
            <w:r>
              <w:rPr>
                <w:rFonts w:ascii="宋体" w:hAnsi="宋体" w:eastAsia="宋体" w:cs="宋体"/>
                <w:spacing w:val="19"/>
              </w:rPr>
              <w:t>3</w:t>
            </w:r>
            <w:r>
              <w:rPr>
                <w:spacing w:val="19"/>
              </w:rPr>
              <w:t>万元以下的罚</w:t>
            </w:r>
            <w:r>
              <w:rPr>
                <w:spacing w:val="-3"/>
              </w:rPr>
              <w:t>款</w:t>
            </w:r>
            <w:r>
              <w:rPr>
                <w:spacing w:val="-10"/>
              </w:rPr>
              <w:t>：（</w:t>
            </w:r>
            <w:r>
              <w:rPr>
                <w:spacing w:val="-3"/>
              </w:rPr>
              <w:t>一）变更企业主要</w:t>
            </w:r>
            <w:r>
              <w:rPr>
                <w:spacing w:val="8"/>
              </w:rPr>
              <w:t>负责人或者名称，未办理安全生产许可证变更手续</w:t>
            </w:r>
            <w:r>
              <w:rPr>
                <w:spacing w:val="-11"/>
              </w:rPr>
              <w:t>的；</w:t>
            </w:r>
          </w:p>
        </w:tc>
        <w:tc>
          <w:tcPr>
            <w:tcW w:w="803" w:type="dxa"/>
            <w:vAlign w:val="top"/>
          </w:tcPr>
          <w:p w14:paraId="33161ECE">
            <w:pPr>
              <w:spacing w:line="383" w:lineRule="auto"/>
              <w:rPr>
                <w:rFonts w:ascii="Arial"/>
                <w:sz w:val="21"/>
              </w:rPr>
            </w:pPr>
          </w:p>
          <w:p w14:paraId="0AC67872">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F6F5E1C">
            <w:pPr>
              <w:pStyle w:val="6"/>
              <w:spacing w:before="117" w:line="191" w:lineRule="auto"/>
              <w:ind w:left="122" w:right="105" w:hanging="5"/>
              <w:jc w:val="both"/>
            </w:pPr>
            <w:r>
              <w:rPr>
                <w:spacing w:val="-2"/>
              </w:rPr>
              <w:t>超过规定时限</w:t>
            </w:r>
            <w:r>
              <w:rPr>
                <w:rFonts w:ascii="宋体" w:hAnsi="宋体" w:eastAsia="宋体" w:cs="宋体"/>
                <w:spacing w:val="-2"/>
              </w:rPr>
              <w:t>10</w:t>
            </w:r>
            <w:r>
              <w:rPr>
                <w:spacing w:val="-2"/>
              </w:rPr>
              <w:t>日</w:t>
            </w:r>
            <w:r>
              <w:rPr>
                <w:spacing w:val="25"/>
              </w:rPr>
              <w:t>以内未办理变更手</w:t>
            </w:r>
            <w:r>
              <w:t>续的</w:t>
            </w:r>
          </w:p>
        </w:tc>
        <w:tc>
          <w:tcPr>
            <w:tcW w:w="2894" w:type="dxa"/>
            <w:vAlign w:val="top"/>
          </w:tcPr>
          <w:p w14:paraId="3EE00095">
            <w:pPr>
              <w:pStyle w:val="6"/>
              <w:spacing w:before="118" w:line="191" w:lineRule="auto"/>
              <w:ind w:left="126" w:right="110"/>
              <w:jc w:val="both"/>
            </w:pPr>
            <w:r>
              <w:rPr>
                <w:spacing w:val="10"/>
              </w:rPr>
              <w:t>责令停止违法活动或者限</w:t>
            </w:r>
            <w:r>
              <w:rPr>
                <w:spacing w:val="2"/>
              </w:rPr>
              <w:t>期改正，并处</w:t>
            </w:r>
            <w:r>
              <w:rPr>
                <w:rFonts w:ascii="宋体" w:hAnsi="宋体" w:eastAsia="宋体" w:cs="宋体"/>
                <w:spacing w:val="2"/>
              </w:rPr>
              <w:t>1</w:t>
            </w:r>
            <w:r>
              <w:rPr>
                <w:spacing w:val="2"/>
              </w:rPr>
              <w:t>万元以上</w:t>
            </w:r>
            <w:r>
              <w:rPr>
                <w:rFonts w:ascii="宋体" w:hAnsi="宋体" w:eastAsia="宋体" w:cs="宋体"/>
                <w:spacing w:val="3"/>
              </w:rPr>
              <w:t>1.5</w:t>
            </w:r>
            <w:r>
              <w:rPr>
                <w:spacing w:val="3"/>
              </w:rPr>
              <w:t>万元以下的罚款</w:t>
            </w:r>
          </w:p>
        </w:tc>
        <w:tc>
          <w:tcPr>
            <w:tcW w:w="811" w:type="dxa"/>
            <w:vMerge w:val="restart"/>
            <w:tcBorders>
              <w:bottom w:val="nil"/>
            </w:tcBorders>
            <w:vAlign w:val="top"/>
          </w:tcPr>
          <w:p w14:paraId="24F9256B">
            <w:pPr>
              <w:spacing w:line="248" w:lineRule="auto"/>
              <w:rPr>
                <w:rFonts w:ascii="Arial"/>
                <w:sz w:val="21"/>
              </w:rPr>
            </w:pPr>
          </w:p>
          <w:p w14:paraId="3AAE787F">
            <w:pPr>
              <w:spacing w:line="248" w:lineRule="auto"/>
              <w:rPr>
                <w:rFonts w:ascii="Arial"/>
                <w:sz w:val="21"/>
              </w:rPr>
            </w:pPr>
          </w:p>
          <w:p w14:paraId="7F397804">
            <w:pPr>
              <w:spacing w:line="248" w:lineRule="auto"/>
              <w:rPr>
                <w:rFonts w:ascii="Arial"/>
                <w:sz w:val="21"/>
              </w:rPr>
            </w:pPr>
          </w:p>
          <w:p w14:paraId="2D70A454">
            <w:pPr>
              <w:spacing w:line="248" w:lineRule="auto"/>
              <w:rPr>
                <w:rFonts w:ascii="Arial"/>
                <w:sz w:val="21"/>
              </w:rPr>
            </w:pPr>
          </w:p>
          <w:p w14:paraId="05ECA234">
            <w:pPr>
              <w:spacing w:line="248" w:lineRule="auto"/>
              <w:rPr>
                <w:rFonts w:ascii="Arial"/>
                <w:sz w:val="21"/>
              </w:rPr>
            </w:pPr>
          </w:p>
          <w:p w14:paraId="78D56031">
            <w:pPr>
              <w:spacing w:line="249" w:lineRule="auto"/>
              <w:rPr>
                <w:rFonts w:ascii="Arial"/>
                <w:sz w:val="21"/>
              </w:rPr>
            </w:pPr>
          </w:p>
          <w:p w14:paraId="008717AA">
            <w:pPr>
              <w:spacing w:before="75" w:line="189" w:lineRule="auto"/>
              <w:ind w:left="248"/>
              <w:rPr>
                <w:rFonts w:ascii="宋体" w:hAnsi="宋体" w:eastAsia="宋体" w:cs="宋体"/>
                <w:sz w:val="23"/>
                <w:szCs w:val="23"/>
              </w:rPr>
            </w:pPr>
            <w:r>
              <w:rPr>
                <w:rFonts w:ascii="宋体" w:hAnsi="宋体" w:eastAsia="宋体" w:cs="宋体"/>
                <w:spacing w:val="-6"/>
                <w:sz w:val="23"/>
                <w:szCs w:val="23"/>
              </w:rPr>
              <w:t>135</w:t>
            </w:r>
          </w:p>
        </w:tc>
      </w:tr>
      <w:tr w14:paraId="549F8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0" w:hRule="atLeast"/>
        </w:trPr>
        <w:tc>
          <w:tcPr>
            <w:tcW w:w="818" w:type="dxa"/>
            <w:vMerge w:val="continue"/>
            <w:tcBorders>
              <w:top w:val="nil"/>
              <w:bottom w:val="nil"/>
            </w:tcBorders>
            <w:vAlign w:val="top"/>
          </w:tcPr>
          <w:p w14:paraId="7ED75147">
            <w:pPr>
              <w:rPr>
                <w:rFonts w:ascii="Arial"/>
                <w:sz w:val="21"/>
              </w:rPr>
            </w:pPr>
          </w:p>
        </w:tc>
        <w:tc>
          <w:tcPr>
            <w:tcW w:w="1440" w:type="dxa"/>
            <w:vMerge w:val="continue"/>
            <w:tcBorders>
              <w:top w:val="nil"/>
              <w:bottom w:val="nil"/>
            </w:tcBorders>
            <w:vAlign w:val="top"/>
          </w:tcPr>
          <w:p w14:paraId="520B7C11">
            <w:pPr>
              <w:rPr>
                <w:rFonts w:ascii="Arial"/>
                <w:sz w:val="21"/>
              </w:rPr>
            </w:pPr>
          </w:p>
        </w:tc>
        <w:tc>
          <w:tcPr>
            <w:tcW w:w="3202" w:type="dxa"/>
            <w:vMerge w:val="continue"/>
            <w:tcBorders>
              <w:top w:val="nil"/>
              <w:bottom w:val="nil"/>
            </w:tcBorders>
            <w:vAlign w:val="top"/>
          </w:tcPr>
          <w:p w14:paraId="4DB0CD54">
            <w:pPr>
              <w:rPr>
                <w:rFonts w:ascii="Arial"/>
                <w:sz w:val="21"/>
              </w:rPr>
            </w:pPr>
          </w:p>
        </w:tc>
        <w:tc>
          <w:tcPr>
            <w:tcW w:w="2859" w:type="dxa"/>
            <w:vMerge w:val="continue"/>
            <w:tcBorders>
              <w:top w:val="nil"/>
              <w:bottom w:val="nil"/>
            </w:tcBorders>
            <w:vAlign w:val="top"/>
          </w:tcPr>
          <w:p w14:paraId="498B22A8">
            <w:pPr>
              <w:rPr>
                <w:rFonts w:ascii="Arial"/>
                <w:sz w:val="21"/>
              </w:rPr>
            </w:pPr>
          </w:p>
        </w:tc>
        <w:tc>
          <w:tcPr>
            <w:tcW w:w="803" w:type="dxa"/>
            <w:vAlign w:val="top"/>
          </w:tcPr>
          <w:p w14:paraId="02DEFF7C">
            <w:pPr>
              <w:spacing w:line="397" w:lineRule="auto"/>
              <w:rPr>
                <w:rFonts w:ascii="Arial"/>
                <w:sz w:val="21"/>
              </w:rPr>
            </w:pPr>
          </w:p>
          <w:p w14:paraId="58F9AAD1">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6B01E03">
            <w:pPr>
              <w:pStyle w:val="6"/>
              <w:spacing w:before="127" w:line="191" w:lineRule="auto"/>
              <w:ind w:left="116" w:right="105"/>
              <w:jc w:val="both"/>
            </w:pPr>
            <w:r>
              <w:rPr>
                <w:spacing w:val="-2"/>
              </w:rPr>
              <w:t>超过规定时限</w:t>
            </w:r>
            <w:r>
              <w:rPr>
                <w:rFonts w:ascii="宋体" w:hAnsi="宋体" w:eastAsia="宋体" w:cs="宋体"/>
                <w:spacing w:val="-2"/>
              </w:rPr>
              <w:t>10</w:t>
            </w:r>
            <w:r>
              <w:rPr>
                <w:spacing w:val="-2"/>
              </w:rPr>
              <w:t>日</w:t>
            </w:r>
            <w:r>
              <w:rPr>
                <w:spacing w:val="1"/>
              </w:rPr>
              <w:t>以上</w:t>
            </w:r>
            <w:r>
              <w:rPr>
                <w:rFonts w:ascii="宋体" w:hAnsi="宋体" w:eastAsia="宋体" w:cs="宋体"/>
                <w:spacing w:val="1"/>
              </w:rPr>
              <w:t>20</w:t>
            </w:r>
            <w:r>
              <w:rPr>
                <w:spacing w:val="1"/>
              </w:rPr>
              <w:t>日以内未办</w:t>
            </w:r>
            <w:r>
              <w:rPr>
                <w:spacing w:val="7"/>
              </w:rPr>
              <w:t>理变更手续的</w:t>
            </w:r>
          </w:p>
        </w:tc>
        <w:tc>
          <w:tcPr>
            <w:tcW w:w="2894" w:type="dxa"/>
            <w:vAlign w:val="top"/>
          </w:tcPr>
          <w:p w14:paraId="4905631C">
            <w:pPr>
              <w:pStyle w:val="6"/>
              <w:spacing w:before="128" w:line="191" w:lineRule="auto"/>
              <w:ind w:left="124" w:right="103" w:firstLine="2"/>
              <w:jc w:val="both"/>
            </w:pPr>
            <w:r>
              <w:rPr>
                <w:spacing w:val="10"/>
              </w:rPr>
              <w:t>责令停止违法活动或者限</w:t>
            </w:r>
            <w:r>
              <w:rPr>
                <w:spacing w:val="1"/>
              </w:rPr>
              <w:t>期改正，并处</w:t>
            </w:r>
            <w:r>
              <w:rPr>
                <w:rFonts w:ascii="宋体" w:hAnsi="宋体" w:eastAsia="宋体" w:cs="宋体"/>
                <w:spacing w:val="1"/>
              </w:rPr>
              <w:t>1.5</w:t>
            </w:r>
            <w:r>
              <w:rPr>
                <w:spacing w:val="1"/>
              </w:rPr>
              <w:t>万元以</w:t>
            </w:r>
            <w:r>
              <w:rPr>
                <w:spacing w:val="2"/>
              </w:rPr>
              <w:t>上</w:t>
            </w:r>
            <w:r>
              <w:rPr>
                <w:rFonts w:ascii="宋体" w:hAnsi="宋体" w:eastAsia="宋体" w:cs="宋体"/>
                <w:spacing w:val="2"/>
              </w:rPr>
              <w:t>2</w:t>
            </w:r>
            <w:r>
              <w:rPr>
                <w:spacing w:val="2"/>
              </w:rPr>
              <w:t>万元以下的罚款</w:t>
            </w:r>
          </w:p>
        </w:tc>
        <w:tc>
          <w:tcPr>
            <w:tcW w:w="811" w:type="dxa"/>
            <w:vMerge w:val="continue"/>
            <w:tcBorders>
              <w:top w:val="nil"/>
              <w:bottom w:val="nil"/>
            </w:tcBorders>
            <w:vAlign w:val="top"/>
          </w:tcPr>
          <w:p w14:paraId="048F2DB6">
            <w:pPr>
              <w:rPr>
                <w:rFonts w:ascii="Arial"/>
                <w:sz w:val="21"/>
              </w:rPr>
            </w:pPr>
          </w:p>
        </w:tc>
      </w:tr>
      <w:tr w14:paraId="6AE34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trPr>
        <w:tc>
          <w:tcPr>
            <w:tcW w:w="818" w:type="dxa"/>
            <w:vMerge w:val="continue"/>
            <w:tcBorders>
              <w:top w:val="nil"/>
            </w:tcBorders>
            <w:vAlign w:val="top"/>
          </w:tcPr>
          <w:p w14:paraId="4BB9D3AD">
            <w:pPr>
              <w:rPr>
                <w:rFonts w:ascii="Arial"/>
                <w:sz w:val="21"/>
              </w:rPr>
            </w:pPr>
          </w:p>
        </w:tc>
        <w:tc>
          <w:tcPr>
            <w:tcW w:w="1440" w:type="dxa"/>
            <w:vMerge w:val="continue"/>
            <w:tcBorders>
              <w:top w:val="nil"/>
            </w:tcBorders>
            <w:vAlign w:val="top"/>
          </w:tcPr>
          <w:p w14:paraId="1DAA3D6D">
            <w:pPr>
              <w:rPr>
                <w:rFonts w:ascii="Arial"/>
                <w:sz w:val="21"/>
              </w:rPr>
            </w:pPr>
          </w:p>
        </w:tc>
        <w:tc>
          <w:tcPr>
            <w:tcW w:w="3202" w:type="dxa"/>
            <w:vMerge w:val="continue"/>
            <w:tcBorders>
              <w:top w:val="nil"/>
            </w:tcBorders>
            <w:vAlign w:val="top"/>
          </w:tcPr>
          <w:p w14:paraId="6D711F9D">
            <w:pPr>
              <w:rPr>
                <w:rFonts w:ascii="Arial"/>
                <w:sz w:val="21"/>
              </w:rPr>
            </w:pPr>
          </w:p>
        </w:tc>
        <w:tc>
          <w:tcPr>
            <w:tcW w:w="2859" w:type="dxa"/>
            <w:vMerge w:val="continue"/>
            <w:tcBorders>
              <w:top w:val="nil"/>
            </w:tcBorders>
            <w:vAlign w:val="top"/>
          </w:tcPr>
          <w:p w14:paraId="65E851E7">
            <w:pPr>
              <w:rPr>
                <w:rFonts w:ascii="Arial"/>
                <w:sz w:val="21"/>
              </w:rPr>
            </w:pPr>
          </w:p>
        </w:tc>
        <w:tc>
          <w:tcPr>
            <w:tcW w:w="803" w:type="dxa"/>
            <w:vAlign w:val="top"/>
          </w:tcPr>
          <w:p w14:paraId="227C67DD">
            <w:pPr>
              <w:spacing w:line="402" w:lineRule="auto"/>
              <w:rPr>
                <w:rFonts w:ascii="Arial"/>
                <w:sz w:val="21"/>
              </w:rPr>
            </w:pPr>
          </w:p>
          <w:p w14:paraId="77FB2579">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D7C1036">
            <w:pPr>
              <w:pStyle w:val="6"/>
              <w:spacing w:before="133" w:line="191" w:lineRule="auto"/>
              <w:ind w:left="122" w:right="105" w:hanging="5"/>
              <w:jc w:val="both"/>
            </w:pPr>
            <w:r>
              <w:rPr>
                <w:spacing w:val="1"/>
              </w:rPr>
              <w:t>超过规定时限</w:t>
            </w:r>
            <w:r>
              <w:rPr>
                <w:rFonts w:ascii="宋体" w:hAnsi="宋体" w:eastAsia="宋体" w:cs="宋体"/>
                <w:spacing w:val="1"/>
              </w:rPr>
              <w:t>20</w:t>
            </w:r>
            <w:r>
              <w:rPr>
                <w:spacing w:val="1"/>
              </w:rPr>
              <w:t>日</w:t>
            </w:r>
            <w:r>
              <w:rPr>
                <w:spacing w:val="25"/>
              </w:rPr>
              <w:t>以上未办理变更手</w:t>
            </w:r>
            <w:r>
              <w:t>续的</w:t>
            </w:r>
          </w:p>
        </w:tc>
        <w:tc>
          <w:tcPr>
            <w:tcW w:w="2894" w:type="dxa"/>
            <w:vAlign w:val="top"/>
          </w:tcPr>
          <w:p w14:paraId="7FE2A949">
            <w:pPr>
              <w:pStyle w:val="6"/>
              <w:spacing w:before="134" w:line="191" w:lineRule="auto"/>
              <w:ind w:left="120" w:right="110" w:firstLine="7"/>
              <w:jc w:val="both"/>
            </w:pPr>
            <w:r>
              <w:rPr>
                <w:spacing w:val="10"/>
              </w:rPr>
              <w:t>责令停止违法活动或者限</w:t>
            </w:r>
            <w:r>
              <w:rPr>
                <w:spacing w:val="4"/>
              </w:rPr>
              <w:t>期改正，并处</w:t>
            </w:r>
            <w:r>
              <w:rPr>
                <w:rFonts w:ascii="宋体" w:hAnsi="宋体" w:eastAsia="宋体" w:cs="宋体"/>
                <w:spacing w:val="4"/>
              </w:rPr>
              <w:t>2</w:t>
            </w:r>
            <w:r>
              <w:rPr>
                <w:spacing w:val="4"/>
              </w:rPr>
              <w:t>万元以上</w:t>
            </w:r>
            <w:r>
              <w:rPr>
                <w:rFonts w:ascii="宋体" w:hAnsi="宋体" w:eastAsia="宋体" w:cs="宋体"/>
                <w:spacing w:val="4"/>
              </w:rPr>
              <w:t>3</w:t>
            </w:r>
            <w:r>
              <w:rPr>
                <w:spacing w:val="4"/>
              </w:rPr>
              <w:t>万元以下的罚款</w:t>
            </w:r>
          </w:p>
        </w:tc>
        <w:tc>
          <w:tcPr>
            <w:tcW w:w="811" w:type="dxa"/>
            <w:vMerge w:val="continue"/>
            <w:tcBorders>
              <w:top w:val="nil"/>
            </w:tcBorders>
            <w:vAlign w:val="top"/>
          </w:tcPr>
          <w:p w14:paraId="25054430">
            <w:pPr>
              <w:rPr>
                <w:rFonts w:ascii="Arial"/>
                <w:sz w:val="21"/>
              </w:rPr>
            </w:pPr>
          </w:p>
        </w:tc>
      </w:tr>
      <w:tr w14:paraId="72FDE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trPr>
        <w:tc>
          <w:tcPr>
            <w:tcW w:w="818" w:type="dxa"/>
            <w:vMerge w:val="restart"/>
            <w:tcBorders>
              <w:bottom w:val="nil"/>
            </w:tcBorders>
            <w:vAlign w:val="top"/>
          </w:tcPr>
          <w:p w14:paraId="3681BC52">
            <w:pPr>
              <w:spacing w:line="287" w:lineRule="auto"/>
              <w:rPr>
                <w:rFonts w:ascii="Arial"/>
                <w:sz w:val="21"/>
              </w:rPr>
            </w:pPr>
          </w:p>
          <w:p w14:paraId="5F83B198">
            <w:pPr>
              <w:spacing w:line="287" w:lineRule="auto"/>
              <w:rPr>
                <w:rFonts w:ascii="Arial"/>
                <w:sz w:val="21"/>
              </w:rPr>
            </w:pPr>
          </w:p>
          <w:p w14:paraId="24F85000">
            <w:pPr>
              <w:spacing w:line="287" w:lineRule="auto"/>
              <w:rPr>
                <w:rFonts w:ascii="Arial"/>
                <w:sz w:val="21"/>
              </w:rPr>
            </w:pPr>
          </w:p>
          <w:p w14:paraId="4DD07A12">
            <w:pPr>
              <w:spacing w:line="287" w:lineRule="auto"/>
              <w:rPr>
                <w:rFonts w:ascii="Arial"/>
                <w:sz w:val="21"/>
              </w:rPr>
            </w:pPr>
          </w:p>
          <w:p w14:paraId="4718028F">
            <w:pPr>
              <w:spacing w:line="287" w:lineRule="auto"/>
              <w:rPr>
                <w:rFonts w:ascii="Arial"/>
                <w:sz w:val="21"/>
              </w:rPr>
            </w:pPr>
          </w:p>
          <w:p w14:paraId="0499FB2E">
            <w:pPr>
              <w:spacing w:before="74" w:line="186" w:lineRule="auto"/>
              <w:ind w:left="161"/>
              <w:rPr>
                <w:rFonts w:ascii="仿宋" w:hAnsi="仿宋" w:eastAsia="仿宋" w:cs="仿宋"/>
                <w:sz w:val="23"/>
                <w:szCs w:val="23"/>
              </w:rPr>
            </w:pPr>
            <w:r>
              <w:rPr>
                <w:rFonts w:ascii="仿宋" w:hAnsi="仿宋" w:eastAsia="仿宋" w:cs="仿宋"/>
                <w:spacing w:val="-5"/>
                <w:sz w:val="23"/>
                <w:szCs w:val="23"/>
              </w:rPr>
              <w:t>170</w:t>
            </w:r>
          </w:p>
        </w:tc>
        <w:tc>
          <w:tcPr>
            <w:tcW w:w="1440" w:type="dxa"/>
            <w:vMerge w:val="restart"/>
            <w:tcBorders>
              <w:bottom w:val="nil"/>
            </w:tcBorders>
            <w:vAlign w:val="top"/>
          </w:tcPr>
          <w:p w14:paraId="3337A999">
            <w:pPr>
              <w:pStyle w:val="6"/>
              <w:spacing w:before="274" w:line="185" w:lineRule="auto"/>
              <w:ind w:left="96" w:right="106" w:firstLine="23"/>
              <w:jc w:val="both"/>
            </w:pPr>
            <w:r>
              <w:rPr>
                <w:spacing w:val="10"/>
              </w:rPr>
              <w:t>烟花爆竹生</w:t>
            </w:r>
            <w:r>
              <w:rPr>
                <w:spacing w:val="-4"/>
                <w:w w:val="98"/>
              </w:rPr>
              <w:t>产企业改</w:t>
            </w:r>
            <w:r>
              <w:rPr>
                <w:spacing w:val="15"/>
              </w:rPr>
              <w:t>建、扩建烟花爆竹生产</w:t>
            </w:r>
            <w:r>
              <w:rPr>
                <w:spacing w:val="16"/>
              </w:rPr>
              <w:t>（含储存）</w:t>
            </w:r>
            <w:r>
              <w:rPr>
                <w:spacing w:val="15"/>
              </w:rPr>
              <w:t>设施未办理安全生产许可证变更手</w:t>
            </w:r>
            <w:r>
              <w:rPr>
                <w:spacing w:val="12"/>
              </w:rPr>
              <w:t>续的</w:t>
            </w:r>
          </w:p>
        </w:tc>
        <w:tc>
          <w:tcPr>
            <w:tcW w:w="3202" w:type="dxa"/>
            <w:vMerge w:val="restart"/>
            <w:tcBorders>
              <w:bottom w:val="nil"/>
            </w:tcBorders>
            <w:vAlign w:val="top"/>
          </w:tcPr>
          <w:p w14:paraId="5F1003D9">
            <w:pPr>
              <w:pStyle w:val="6"/>
              <w:spacing w:before="30" w:line="185" w:lineRule="auto"/>
              <w:ind w:left="116" w:right="37" w:hanging="18"/>
            </w:pPr>
            <w:r>
              <w:rPr>
                <w:spacing w:val="18"/>
              </w:rPr>
              <w:t>【部门规章】《烟花爆竹生</w:t>
            </w:r>
            <w:r>
              <w:rPr>
                <w:spacing w:val="17"/>
              </w:rPr>
              <w:t>产企业安全生产许可证实施</w:t>
            </w:r>
            <w:r>
              <w:rPr>
                <w:spacing w:val="13"/>
              </w:rPr>
              <w:t>办法》第二十七条第一项：</w:t>
            </w:r>
            <w:r>
              <w:rPr>
                <w:spacing w:val="17"/>
              </w:rPr>
              <w:t>企业在安全生产许可证有效</w:t>
            </w:r>
            <w:r>
              <w:rPr>
                <w:spacing w:val="13"/>
              </w:rPr>
              <w:t>期内有下列情形之一的，应</w:t>
            </w:r>
            <w:r>
              <w:rPr>
                <w:spacing w:val="17"/>
              </w:rPr>
              <w:t>当按照本办法第二十八条的规定申请变更安全生产许可</w:t>
            </w:r>
            <w:r>
              <w:rPr>
                <w:spacing w:val="5"/>
              </w:rPr>
              <w:t>证</w:t>
            </w:r>
            <w:r>
              <w:rPr>
                <w:spacing w:val="-10"/>
              </w:rPr>
              <w:t>：（</w:t>
            </w:r>
            <w:r>
              <w:rPr>
                <w:spacing w:val="5"/>
              </w:rPr>
              <w:t>一）改建、扩建烟花</w:t>
            </w:r>
            <w:r>
              <w:rPr>
                <w:spacing w:val="4"/>
              </w:rPr>
              <w:t>爆竹生产（含储存）设施的；</w:t>
            </w:r>
          </w:p>
        </w:tc>
        <w:tc>
          <w:tcPr>
            <w:tcW w:w="2859" w:type="dxa"/>
            <w:vMerge w:val="restart"/>
            <w:tcBorders>
              <w:bottom w:val="nil"/>
            </w:tcBorders>
            <w:vAlign w:val="top"/>
          </w:tcPr>
          <w:p w14:paraId="5816111B">
            <w:pPr>
              <w:pStyle w:val="6"/>
              <w:spacing w:before="33" w:line="185" w:lineRule="auto"/>
              <w:ind w:left="118" w:right="110" w:hanging="21"/>
              <w:jc w:val="both"/>
            </w:pPr>
            <w:r>
              <w:rPr>
                <w:spacing w:val="10"/>
              </w:rPr>
              <w:t>【部门规章】《烟花爆竹</w:t>
            </w:r>
            <w:r>
              <w:rPr>
                <w:spacing w:val="8"/>
              </w:rPr>
              <w:t>生产企业安全生产许可证实施办法》第四十四条第</w:t>
            </w:r>
            <w:r>
              <w:rPr>
                <w:spacing w:val="2"/>
              </w:rPr>
              <w:t>一款第三项、第二款：企</w:t>
            </w:r>
            <w:r>
              <w:rPr>
                <w:spacing w:val="5"/>
              </w:rPr>
              <w:t>业有下列行为之一的，依</w:t>
            </w:r>
            <w:r>
              <w:rPr>
                <w:spacing w:val="32"/>
              </w:rPr>
              <w:t>法暂扣其安全生产许可</w:t>
            </w:r>
            <w:r>
              <w:rPr>
                <w:spacing w:val="9"/>
              </w:rPr>
              <w:t>证</w:t>
            </w:r>
            <w:r>
              <w:rPr>
                <w:spacing w:val="5"/>
              </w:rPr>
              <w:t>：（</w:t>
            </w:r>
            <w:r>
              <w:rPr>
                <w:spacing w:val="9"/>
              </w:rPr>
              <w:t>三）改建、扩建烟</w:t>
            </w:r>
            <w:r>
              <w:rPr>
                <w:spacing w:val="8"/>
              </w:rPr>
              <w:t>花爆竹生产（含储存）设施未办理安全生产许可证</w:t>
            </w:r>
            <w:r>
              <w:rPr>
                <w:spacing w:val="-1"/>
              </w:rPr>
              <w:t>变更手续的；</w:t>
            </w:r>
          </w:p>
        </w:tc>
        <w:tc>
          <w:tcPr>
            <w:tcW w:w="803" w:type="dxa"/>
            <w:vAlign w:val="top"/>
          </w:tcPr>
          <w:p w14:paraId="20B09459">
            <w:pPr>
              <w:spacing w:line="406" w:lineRule="auto"/>
              <w:rPr>
                <w:rFonts w:ascii="Arial"/>
                <w:sz w:val="21"/>
              </w:rPr>
            </w:pPr>
          </w:p>
          <w:p w14:paraId="001C2C46">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F1F604B">
            <w:pPr>
              <w:pStyle w:val="6"/>
              <w:spacing w:before="140" w:line="191" w:lineRule="auto"/>
              <w:ind w:left="122" w:right="105" w:hanging="5"/>
              <w:jc w:val="both"/>
            </w:pPr>
            <w:r>
              <w:rPr>
                <w:spacing w:val="-2"/>
              </w:rPr>
              <w:t>超过规定时限</w:t>
            </w:r>
            <w:r>
              <w:rPr>
                <w:rFonts w:ascii="宋体" w:hAnsi="宋体" w:eastAsia="宋体" w:cs="宋体"/>
                <w:spacing w:val="-2"/>
              </w:rPr>
              <w:t>10</w:t>
            </w:r>
            <w:r>
              <w:rPr>
                <w:spacing w:val="-2"/>
              </w:rPr>
              <w:t>日</w:t>
            </w:r>
            <w:r>
              <w:rPr>
                <w:spacing w:val="25"/>
              </w:rPr>
              <w:t>以内未办理变更手</w:t>
            </w:r>
            <w:r>
              <w:t>续的</w:t>
            </w:r>
          </w:p>
        </w:tc>
        <w:tc>
          <w:tcPr>
            <w:tcW w:w="2894" w:type="dxa"/>
            <w:vAlign w:val="top"/>
          </w:tcPr>
          <w:p w14:paraId="3064B76E">
            <w:pPr>
              <w:pStyle w:val="6"/>
              <w:spacing w:before="142" w:line="191" w:lineRule="auto"/>
              <w:ind w:left="119" w:right="103" w:firstLine="9"/>
              <w:jc w:val="both"/>
            </w:pPr>
            <w:r>
              <w:rPr>
                <w:spacing w:val="7"/>
              </w:rPr>
              <w:t>暂扣安全生产许可证，并</w:t>
            </w:r>
            <w:r>
              <w:t>处</w:t>
            </w:r>
            <w:r>
              <w:rPr>
                <w:rFonts w:ascii="宋体" w:hAnsi="宋体" w:eastAsia="宋体" w:cs="宋体"/>
              </w:rPr>
              <w:t>1</w:t>
            </w:r>
            <w:r>
              <w:t>万元以上</w:t>
            </w:r>
            <w:r>
              <w:rPr>
                <w:rFonts w:ascii="宋体" w:hAnsi="宋体" w:eastAsia="宋体" w:cs="宋体"/>
              </w:rPr>
              <w:t>1.5</w:t>
            </w:r>
            <w:r>
              <w:t>万元以</w:t>
            </w:r>
            <w:r>
              <w:rPr>
                <w:spacing w:val="6"/>
              </w:rPr>
              <w:t>下的罚款</w:t>
            </w:r>
          </w:p>
        </w:tc>
        <w:tc>
          <w:tcPr>
            <w:tcW w:w="811" w:type="dxa"/>
            <w:vMerge w:val="restart"/>
            <w:tcBorders>
              <w:bottom w:val="nil"/>
            </w:tcBorders>
            <w:vAlign w:val="top"/>
          </w:tcPr>
          <w:p w14:paraId="3EC0F920">
            <w:pPr>
              <w:spacing w:line="286" w:lineRule="auto"/>
              <w:rPr>
                <w:rFonts w:ascii="Arial"/>
                <w:sz w:val="21"/>
              </w:rPr>
            </w:pPr>
          </w:p>
          <w:p w14:paraId="5ABE9A9B">
            <w:pPr>
              <w:spacing w:line="286" w:lineRule="auto"/>
              <w:rPr>
                <w:rFonts w:ascii="Arial"/>
                <w:sz w:val="21"/>
              </w:rPr>
            </w:pPr>
          </w:p>
          <w:p w14:paraId="0A2283DF">
            <w:pPr>
              <w:spacing w:line="286" w:lineRule="auto"/>
              <w:rPr>
                <w:rFonts w:ascii="Arial"/>
                <w:sz w:val="21"/>
              </w:rPr>
            </w:pPr>
          </w:p>
          <w:p w14:paraId="18988C0E">
            <w:pPr>
              <w:spacing w:line="286" w:lineRule="auto"/>
              <w:rPr>
                <w:rFonts w:ascii="Arial"/>
                <w:sz w:val="21"/>
              </w:rPr>
            </w:pPr>
          </w:p>
          <w:p w14:paraId="4AFE17E8">
            <w:pPr>
              <w:spacing w:line="287" w:lineRule="auto"/>
              <w:rPr>
                <w:rFonts w:ascii="Arial"/>
                <w:sz w:val="21"/>
              </w:rPr>
            </w:pPr>
          </w:p>
          <w:p w14:paraId="284ED69A">
            <w:pPr>
              <w:spacing w:before="75" w:line="189" w:lineRule="auto"/>
              <w:ind w:left="248"/>
              <w:rPr>
                <w:rFonts w:ascii="宋体" w:hAnsi="宋体" w:eastAsia="宋体" w:cs="宋体"/>
                <w:sz w:val="23"/>
                <w:szCs w:val="23"/>
              </w:rPr>
            </w:pPr>
            <w:r>
              <w:rPr>
                <w:rFonts w:ascii="宋体" w:hAnsi="宋体" w:eastAsia="宋体" w:cs="宋体"/>
                <w:spacing w:val="-6"/>
                <w:sz w:val="23"/>
                <w:szCs w:val="23"/>
              </w:rPr>
              <w:t>135</w:t>
            </w:r>
          </w:p>
        </w:tc>
      </w:tr>
      <w:tr w14:paraId="2E680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18" w:type="dxa"/>
            <w:vMerge w:val="continue"/>
            <w:tcBorders>
              <w:top w:val="nil"/>
              <w:bottom w:val="nil"/>
            </w:tcBorders>
            <w:vAlign w:val="top"/>
          </w:tcPr>
          <w:p w14:paraId="3E3B235A">
            <w:pPr>
              <w:rPr>
                <w:rFonts w:ascii="Arial"/>
                <w:sz w:val="21"/>
              </w:rPr>
            </w:pPr>
          </w:p>
        </w:tc>
        <w:tc>
          <w:tcPr>
            <w:tcW w:w="1440" w:type="dxa"/>
            <w:vMerge w:val="continue"/>
            <w:tcBorders>
              <w:top w:val="nil"/>
              <w:bottom w:val="nil"/>
            </w:tcBorders>
            <w:vAlign w:val="top"/>
          </w:tcPr>
          <w:p w14:paraId="0F230D85">
            <w:pPr>
              <w:rPr>
                <w:rFonts w:ascii="Arial"/>
                <w:sz w:val="21"/>
              </w:rPr>
            </w:pPr>
          </w:p>
        </w:tc>
        <w:tc>
          <w:tcPr>
            <w:tcW w:w="3202" w:type="dxa"/>
            <w:vMerge w:val="continue"/>
            <w:tcBorders>
              <w:top w:val="nil"/>
              <w:bottom w:val="nil"/>
            </w:tcBorders>
            <w:vAlign w:val="top"/>
          </w:tcPr>
          <w:p w14:paraId="285CBDBE">
            <w:pPr>
              <w:rPr>
                <w:rFonts w:ascii="Arial"/>
                <w:sz w:val="21"/>
              </w:rPr>
            </w:pPr>
          </w:p>
        </w:tc>
        <w:tc>
          <w:tcPr>
            <w:tcW w:w="2859" w:type="dxa"/>
            <w:vMerge w:val="continue"/>
            <w:tcBorders>
              <w:top w:val="nil"/>
              <w:bottom w:val="nil"/>
            </w:tcBorders>
            <w:vAlign w:val="top"/>
          </w:tcPr>
          <w:p w14:paraId="0326529E">
            <w:pPr>
              <w:rPr>
                <w:rFonts w:ascii="Arial"/>
                <w:sz w:val="21"/>
              </w:rPr>
            </w:pPr>
          </w:p>
        </w:tc>
        <w:tc>
          <w:tcPr>
            <w:tcW w:w="803" w:type="dxa"/>
            <w:vAlign w:val="top"/>
          </w:tcPr>
          <w:p w14:paraId="40DAD76D">
            <w:pPr>
              <w:spacing w:line="285" w:lineRule="auto"/>
              <w:rPr>
                <w:rFonts w:ascii="Arial"/>
                <w:sz w:val="21"/>
              </w:rPr>
            </w:pPr>
          </w:p>
          <w:p w14:paraId="1AEB53E1">
            <w:pPr>
              <w:spacing w:line="285" w:lineRule="auto"/>
              <w:rPr>
                <w:rFonts w:ascii="Arial"/>
                <w:sz w:val="21"/>
              </w:rPr>
            </w:pPr>
          </w:p>
          <w:p w14:paraId="2693DD35">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5015E4EE">
            <w:pPr>
              <w:pStyle w:val="6"/>
              <w:spacing w:before="303" w:line="191" w:lineRule="auto"/>
              <w:ind w:left="116" w:right="105"/>
              <w:jc w:val="both"/>
            </w:pPr>
            <w:r>
              <w:rPr>
                <w:spacing w:val="-2"/>
              </w:rPr>
              <w:t>超过规定时限</w:t>
            </w:r>
            <w:r>
              <w:rPr>
                <w:rFonts w:ascii="宋体" w:hAnsi="宋体" w:eastAsia="宋体" w:cs="宋体"/>
                <w:spacing w:val="-2"/>
              </w:rPr>
              <w:t>10</w:t>
            </w:r>
            <w:r>
              <w:rPr>
                <w:spacing w:val="-2"/>
              </w:rPr>
              <w:t>日</w:t>
            </w:r>
            <w:r>
              <w:rPr>
                <w:spacing w:val="1"/>
              </w:rPr>
              <w:t>以上</w:t>
            </w:r>
            <w:r>
              <w:rPr>
                <w:rFonts w:ascii="宋体" w:hAnsi="宋体" w:eastAsia="宋体" w:cs="宋体"/>
                <w:spacing w:val="1"/>
              </w:rPr>
              <w:t>20</w:t>
            </w:r>
            <w:r>
              <w:rPr>
                <w:spacing w:val="1"/>
              </w:rPr>
              <w:t>日以内未办</w:t>
            </w:r>
            <w:r>
              <w:rPr>
                <w:spacing w:val="7"/>
              </w:rPr>
              <w:t>理变更手续的</w:t>
            </w:r>
          </w:p>
        </w:tc>
        <w:tc>
          <w:tcPr>
            <w:tcW w:w="2894" w:type="dxa"/>
            <w:vAlign w:val="top"/>
          </w:tcPr>
          <w:p w14:paraId="50F50B8E">
            <w:pPr>
              <w:pStyle w:val="6"/>
              <w:spacing w:before="305" w:line="191" w:lineRule="auto"/>
              <w:ind w:left="119" w:right="103" w:firstLine="9"/>
              <w:jc w:val="both"/>
            </w:pPr>
            <w:r>
              <w:rPr>
                <w:spacing w:val="7"/>
              </w:rPr>
              <w:t>暂扣安全生产许可证，并</w:t>
            </w:r>
            <w:r>
              <w:rPr>
                <w:spacing w:val="2"/>
              </w:rPr>
              <w:t>处</w:t>
            </w:r>
            <w:r>
              <w:rPr>
                <w:rFonts w:ascii="宋体" w:hAnsi="宋体" w:eastAsia="宋体" w:cs="宋体"/>
                <w:spacing w:val="2"/>
              </w:rPr>
              <w:t>1.5</w:t>
            </w:r>
            <w:r>
              <w:rPr>
                <w:spacing w:val="2"/>
              </w:rPr>
              <w:t>万元以上</w:t>
            </w:r>
            <w:r>
              <w:rPr>
                <w:rFonts w:ascii="宋体" w:hAnsi="宋体" w:eastAsia="宋体" w:cs="宋体"/>
                <w:spacing w:val="2"/>
              </w:rPr>
              <w:t>2</w:t>
            </w:r>
            <w:r>
              <w:rPr>
                <w:spacing w:val="2"/>
              </w:rPr>
              <w:t>万元以</w:t>
            </w:r>
            <w:r>
              <w:rPr>
                <w:spacing w:val="6"/>
              </w:rPr>
              <w:t>下的罚款</w:t>
            </w:r>
          </w:p>
        </w:tc>
        <w:tc>
          <w:tcPr>
            <w:tcW w:w="811" w:type="dxa"/>
            <w:vMerge w:val="continue"/>
            <w:tcBorders>
              <w:top w:val="nil"/>
              <w:bottom w:val="nil"/>
            </w:tcBorders>
            <w:vAlign w:val="top"/>
          </w:tcPr>
          <w:p w14:paraId="70A3BBF3">
            <w:pPr>
              <w:rPr>
                <w:rFonts w:ascii="Arial"/>
                <w:sz w:val="21"/>
              </w:rPr>
            </w:pPr>
          </w:p>
        </w:tc>
      </w:tr>
      <w:tr w14:paraId="52364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18" w:type="dxa"/>
            <w:vMerge w:val="continue"/>
            <w:tcBorders>
              <w:top w:val="nil"/>
            </w:tcBorders>
            <w:vAlign w:val="top"/>
          </w:tcPr>
          <w:p w14:paraId="087597C1">
            <w:pPr>
              <w:rPr>
                <w:rFonts w:ascii="Arial"/>
                <w:sz w:val="21"/>
              </w:rPr>
            </w:pPr>
          </w:p>
        </w:tc>
        <w:tc>
          <w:tcPr>
            <w:tcW w:w="1440" w:type="dxa"/>
            <w:vMerge w:val="continue"/>
            <w:tcBorders>
              <w:top w:val="nil"/>
            </w:tcBorders>
            <w:vAlign w:val="top"/>
          </w:tcPr>
          <w:p w14:paraId="305FBD42">
            <w:pPr>
              <w:rPr>
                <w:rFonts w:ascii="Arial"/>
                <w:sz w:val="21"/>
              </w:rPr>
            </w:pPr>
          </w:p>
        </w:tc>
        <w:tc>
          <w:tcPr>
            <w:tcW w:w="3202" w:type="dxa"/>
            <w:vMerge w:val="continue"/>
            <w:tcBorders>
              <w:top w:val="nil"/>
            </w:tcBorders>
            <w:vAlign w:val="top"/>
          </w:tcPr>
          <w:p w14:paraId="370A296E">
            <w:pPr>
              <w:rPr>
                <w:rFonts w:ascii="Arial"/>
                <w:sz w:val="21"/>
              </w:rPr>
            </w:pPr>
          </w:p>
        </w:tc>
        <w:tc>
          <w:tcPr>
            <w:tcW w:w="2859" w:type="dxa"/>
            <w:vMerge w:val="continue"/>
            <w:tcBorders>
              <w:top w:val="nil"/>
            </w:tcBorders>
            <w:vAlign w:val="top"/>
          </w:tcPr>
          <w:p w14:paraId="1A6EB9FA">
            <w:pPr>
              <w:rPr>
                <w:rFonts w:ascii="Arial"/>
                <w:sz w:val="21"/>
              </w:rPr>
            </w:pPr>
          </w:p>
        </w:tc>
        <w:tc>
          <w:tcPr>
            <w:tcW w:w="803" w:type="dxa"/>
            <w:vAlign w:val="top"/>
          </w:tcPr>
          <w:p w14:paraId="3EB92F9F">
            <w:pPr>
              <w:spacing w:before="228"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24A5447">
            <w:pPr>
              <w:pStyle w:val="6"/>
              <w:spacing w:before="32" w:line="172" w:lineRule="auto"/>
              <w:ind w:left="145" w:right="105" w:hanging="28"/>
            </w:pPr>
            <w:r>
              <w:rPr>
                <w:spacing w:val="1"/>
              </w:rPr>
              <w:t>超过规定时限</w:t>
            </w:r>
            <w:r>
              <w:rPr>
                <w:rFonts w:ascii="宋体" w:hAnsi="宋体" w:eastAsia="宋体" w:cs="宋体"/>
                <w:spacing w:val="1"/>
              </w:rPr>
              <w:t>20</w:t>
            </w:r>
            <w:r>
              <w:rPr>
                <w:spacing w:val="1"/>
              </w:rPr>
              <w:t>日</w:t>
            </w:r>
            <w:r>
              <w:rPr>
                <w:spacing w:val="22"/>
              </w:rPr>
              <w:t>以上未办理变更手</w:t>
            </w:r>
          </w:p>
        </w:tc>
        <w:tc>
          <w:tcPr>
            <w:tcW w:w="2894" w:type="dxa"/>
            <w:vAlign w:val="top"/>
          </w:tcPr>
          <w:p w14:paraId="054147A8">
            <w:pPr>
              <w:pStyle w:val="6"/>
              <w:spacing w:before="32" w:line="172" w:lineRule="auto"/>
              <w:ind w:left="119" w:right="106" w:firstLine="9"/>
            </w:pPr>
            <w:r>
              <w:rPr>
                <w:spacing w:val="7"/>
              </w:rPr>
              <w:t>暂扣安全生产许可证，并</w:t>
            </w:r>
            <w:r>
              <w:rPr>
                <w:spacing w:val="3"/>
              </w:rPr>
              <w:t>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万元以下</w:t>
            </w:r>
          </w:p>
        </w:tc>
        <w:tc>
          <w:tcPr>
            <w:tcW w:w="811" w:type="dxa"/>
            <w:vMerge w:val="continue"/>
            <w:tcBorders>
              <w:top w:val="nil"/>
            </w:tcBorders>
            <w:vAlign w:val="top"/>
          </w:tcPr>
          <w:p w14:paraId="4F89A38B">
            <w:pPr>
              <w:rPr>
                <w:rFonts w:ascii="Arial"/>
                <w:sz w:val="21"/>
              </w:rPr>
            </w:pPr>
          </w:p>
        </w:tc>
      </w:tr>
    </w:tbl>
    <w:p w14:paraId="27345130">
      <w:pPr>
        <w:pStyle w:val="2"/>
        <w:spacing w:line="148" w:lineRule="exact"/>
        <w:rPr>
          <w:sz w:val="12"/>
        </w:rPr>
      </w:pPr>
    </w:p>
    <w:p w14:paraId="24668605">
      <w:pPr>
        <w:spacing w:line="148" w:lineRule="exact"/>
        <w:rPr>
          <w:sz w:val="12"/>
          <w:szCs w:val="12"/>
        </w:rPr>
        <w:sectPr>
          <w:footerReference r:id="rId189" w:type="default"/>
          <w:pgSz w:w="16839" w:h="11906"/>
          <w:pgMar w:top="1012" w:right="821" w:bottom="667" w:left="901" w:header="0" w:footer="388" w:gutter="0"/>
          <w:cols w:space="720" w:num="1"/>
        </w:sectPr>
      </w:pPr>
    </w:p>
    <w:p w14:paraId="17B59AC1">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E9BB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73E3FC7">
            <w:pPr>
              <w:spacing w:before="222" w:line="241" w:lineRule="auto"/>
              <w:ind w:left="131"/>
              <w:outlineLvl w:val="0"/>
              <w:rPr>
                <w:rFonts w:ascii="黑体" w:hAnsi="黑体" w:eastAsia="黑体" w:cs="黑体"/>
                <w:sz w:val="28"/>
                <w:szCs w:val="28"/>
              </w:rPr>
            </w:pPr>
            <w:bookmarkStart w:id="647" w:name="bookmark350"/>
            <w:bookmarkEnd w:id="647"/>
            <w:r>
              <w:rPr>
                <w:rFonts w:ascii="黑体" w:hAnsi="黑体" w:eastAsia="黑体" w:cs="黑体"/>
                <w:spacing w:val="-2"/>
                <w:sz w:val="28"/>
                <w:szCs w:val="28"/>
              </w:rPr>
              <w:t>序号</w:t>
            </w:r>
          </w:p>
        </w:tc>
        <w:tc>
          <w:tcPr>
            <w:tcW w:w="1440" w:type="dxa"/>
            <w:vAlign w:val="top"/>
          </w:tcPr>
          <w:p w14:paraId="6F140B98">
            <w:pPr>
              <w:spacing w:before="221"/>
              <w:ind w:left="163"/>
              <w:outlineLvl w:val="1"/>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C91541D">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E6DE72C">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4E338CC0">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4278C6E">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51B10293">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B512129">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7776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Align w:val="top"/>
          </w:tcPr>
          <w:p w14:paraId="51D53719">
            <w:pPr>
              <w:rPr>
                <w:rFonts w:ascii="Arial"/>
                <w:sz w:val="21"/>
              </w:rPr>
            </w:pPr>
          </w:p>
        </w:tc>
        <w:tc>
          <w:tcPr>
            <w:tcW w:w="1440" w:type="dxa"/>
            <w:vAlign w:val="top"/>
          </w:tcPr>
          <w:p w14:paraId="4BD7DB75">
            <w:pPr>
              <w:rPr>
                <w:rFonts w:ascii="Arial"/>
                <w:sz w:val="21"/>
              </w:rPr>
            </w:pPr>
          </w:p>
        </w:tc>
        <w:tc>
          <w:tcPr>
            <w:tcW w:w="3202" w:type="dxa"/>
            <w:vAlign w:val="top"/>
          </w:tcPr>
          <w:p w14:paraId="28056A16">
            <w:pPr>
              <w:rPr>
                <w:rFonts w:ascii="Arial"/>
                <w:sz w:val="21"/>
              </w:rPr>
            </w:pPr>
          </w:p>
        </w:tc>
        <w:tc>
          <w:tcPr>
            <w:tcW w:w="2859" w:type="dxa"/>
            <w:vAlign w:val="top"/>
          </w:tcPr>
          <w:p w14:paraId="7B82B0FC">
            <w:pPr>
              <w:pStyle w:val="6"/>
              <w:spacing w:before="29" w:line="182" w:lineRule="auto"/>
              <w:ind w:left="119" w:right="110"/>
            </w:pPr>
            <w:r>
              <w:rPr>
                <w:spacing w:val="8"/>
              </w:rPr>
              <w:t>企业有前款第一项、第二</w:t>
            </w:r>
            <w:r>
              <w:rPr>
                <w:spacing w:val="7"/>
              </w:rPr>
              <w:t>项、第三项行为之一的，</w:t>
            </w:r>
          </w:p>
          <w:p w14:paraId="69EE9728">
            <w:pPr>
              <w:pStyle w:val="6"/>
              <w:spacing w:line="182" w:lineRule="auto"/>
              <w:ind w:left="124"/>
              <w:outlineLvl w:val="1"/>
            </w:pPr>
            <w:r>
              <w:rPr>
                <w:spacing w:val="-1"/>
              </w:rPr>
              <w:t>并处</w:t>
            </w:r>
            <w:r>
              <w:rPr>
                <w:rFonts w:ascii="宋体" w:hAnsi="宋体" w:eastAsia="宋体" w:cs="宋体"/>
                <w:spacing w:val="-1"/>
              </w:rPr>
              <w:t>1</w:t>
            </w:r>
            <w:r>
              <w:rPr>
                <w:spacing w:val="-1"/>
              </w:rPr>
              <w:t>万元以上</w:t>
            </w:r>
            <w:r>
              <w:rPr>
                <w:rFonts w:ascii="宋体" w:hAnsi="宋体" w:eastAsia="宋体" w:cs="宋体"/>
                <w:spacing w:val="-1"/>
              </w:rPr>
              <w:t>3</w:t>
            </w:r>
            <w:r>
              <w:rPr>
                <w:spacing w:val="-1"/>
              </w:rPr>
              <w:t>万元以</w:t>
            </w:r>
          </w:p>
          <w:p w14:paraId="7783AF5E">
            <w:pPr>
              <w:pStyle w:val="6"/>
              <w:spacing w:before="1" w:line="161" w:lineRule="auto"/>
              <w:ind w:left="122"/>
            </w:pPr>
            <w:r>
              <w:rPr>
                <w:spacing w:val="-1"/>
              </w:rPr>
              <w:t>下的罚款。</w:t>
            </w:r>
          </w:p>
        </w:tc>
        <w:tc>
          <w:tcPr>
            <w:tcW w:w="803" w:type="dxa"/>
            <w:vAlign w:val="top"/>
          </w:tcPr>
          <w:p w14:paraId="13AD6F92">
            <w:pPr>
              <w:rPr>
                <w:rFonts w:ascii="Arial"/>
                <w:sz w:val="21"/>
              </w:rPr>
            </w:pPr>
          </w:p>
        </w:tc>
        <w:tc>
          <w:tcPr>
            <w:tcW w:w="2283" w:type="dxa"/>
            <w:vAlign w:val="top"/>
          </w:tcPr>
          <w:p w14:paraId="170CDFC7">
            <w:pPr>
              <w:pStyle w:val="6"/>
              <w:spacing w:before="28" w:line="208" w:lineRule="auto"/>
              <w:ind w:left="123"/>
            </w:pPr>
            <w:r>
              <w:t>续的</w:t>
            </w:r>
          </w:p>
        </w:tc>
        <w:tc>
          <w:tcPr>
            <w:tcW w:w="2894" w:type="dxa"/>
            <w:vAlign w:val="top"/>
          </w:tcPr>
          <w:p w14:paraId="02837860">
            <w:pPr>
              <w:pStyle w:val="6"/>
              <w:spacing w:before="28" w:line="209" w:lineRule="auto"/>
              <w:ind w:left="141"/>
            </w:pPr>
            <w:r>
              <w:rPr>
                <w:spacing w:val="-2"/>
              </w:rPr>
              <w:t>的罚款</w:t>
            </w:r>
          </w:p>
        </w:tc>
        <w:tc>
          <w:tcPr>
            <w:tcW w:w="811" w:type="dxa"/>
            <w:vAlign w:val="top"/>
          </w:tcPr>
          <w:p w14:paraId="29E37AB9">
            <w:pPr>
              <w:rPr>
                <w:rFonts w:ascii="Arial"/>
                <w:sz w:val="21"/>
              </w:rPr>
            </w:pPr>
          </w:p>
        </w:tc>
      </w:tr>
      <w:tr w14:paraId="7A781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18" w:type="dxa"/>
            <w:vMerge w:val="restart"/>
            <w:tcBorders>
              <w:bottom w:val="nil"/>
            </w:tcBorders>
            <w:vAlign w:val="top"/>
          </w:tcPr>
          <w:p w14:paraId="33AC32F4">
            <w:pPr>
              <w:spacing w:line="275" w:lineRule="auto"/>
              <w:rPr>
                <w:rFonts w:ascii="Arial"/>
                <w:sz w:val="21"/>
              </w:rPr>
            </w:pPr>
          </w:p>
          <w:p w14:paraId="5AE765FB">
            <w:pPr>
              <w:spacing w:line="275" w:lineRule="auto"/>
              <w:rPr>
                <w:rFonts w:ascii="Arial"/>
                <w:sz w:val="21"/>
              </w:rPr>
            </w:pPr>
          </w:p>
          <w:p w14:paraId="53DBFABD">
            <w:pPr>
              <w:spacing w:line="275" w:lineRule="auto"/>
              <w:rPr>
                <w:rFonts w:ascii="Arial"/>
                <w:sz w:val="21"/>
              </w:rPr>
            </w:pPr>
          </w:p>
          <w:p w14:paraId="605FD31F">
            <w:pPr>
              <w:spacing w:line="276" w:lineRule="auto"/>
              <w:rPr>
                <w:rFonts w:ascii="Arial"/>
                <w:sz w:val="21"/>
              </w:rPr>
            </w:pPr>
          </w:p>
          <w:p w14:paraId="270159D3">
            <w:pPr>
              <w:spacing w:line="276" w:lineRule="auto"/>
              <w:rPr>
                <w:rFonts w:ascii="Arial"/>
                <w:sz w:val="21"/>
              </w:rPr>
            </w:pPr>
          </w:p>
          <w:p w14:paraId="78F3E951">
            <w:pPr>
              <w:spacing w:line="276" w:lineRule="auto"/>
              <w:rPr>
                <w:rFonts w:ascii="Arial"/>
                <w:sz w:val="21"/>
              </w:rPr>
            </w:pPr>
          </w:p>
          <w:p w14:paraId="2F0FF9E9">
            <w:pPr>
              <w:spacing w:before="74" w:line="186" w:lineRule="auto"/>
              <w:ind w:left="161"/>
              <w:rPr>
                <w:rFonts w:ascii="仿宋" w:hAnsi="仿宋" w:eastAsia="仿宋" w:cs="仿宋"/>
                <w:sz w:val="23"/>
                <w:szCs w:val="23"/>
              </w:rPr>
            </w:pPr>
            <w:r>
              <w:rPr>
                <w:rFonts w:ascii="仿宋" w:hAnsi="仿宋" w:eastAsia="仿宋" w:cs="仿宋"/>
                <w:spacing w:val="-5"/>
                <w:sz w:val="23"/>
                <w:szCs w:val="23"/>
              </w:rPr>
              <w:t>171</w:t>
            </w:r>
          </w:p>
        </w:tc>
        <w:tc>
          <w:tcPr>
            <w:tcW w:w="1440" w:type="dxa"/>
            <w:vMerge w:val="restart"/>
            <w:tcBorders>
              <w:bottom w:val="nil"/>
            </w:tcBorders>
            <w:vAlign w:val="top"/>
          </w:tcPr>
          <w:p w14:paraId="71F5DC4E">
            <w:pPr>
              <w:spacing w:line="343" w:lineRule="auto"/>
              <w:rPr>
                <w:rFonts w:ascii="Arial"/>
                <w:sz w:val="21"/>
              </w:rPr>
            </w:pPr>
          </w:p>
          <w:p w14:paraId="0A884699">
            <w:pPr>
              <w:spacing w:line="344" w:lineRule="auto"/>
              <w:rPr>
                <w:rFonts w:ascii="Arial"/>
                <w:sz w:val="21"/>
              </w:rPr>
            </w:pPr>
          </w:p>
          <w:p w14:paraId="54D82EC8">
            <w:pPr>
              <w:pStyle w:val="6"/>
              <w:spacing w:before="98" w:line="182" w:lineRule="auto"/>
              <w:ind w:left="119"/>
              <w:outlineLvl w:val="0"/>
            </w:pPr>
            <w:r>
              <w:rPr>
                <w:spacing w:val="10"/>
              </w:rPr>
              <w:t>烟花爆竹生</w:t>
            </w:r>
          </w:p>
          <w:p w14:paraId="5E8A1F69">
            <w:pPr>
              <w:pStyle w:val="6"/>
              <w:spacing w:before="7" w:line="186" w:lineRule="auto"/>
              <w:ind w:left="116" w:right="109"/>
              <w:jc w:val="both"/>
            </w:pPr>
            <w:r>
              <w:rPr>
                <w:spacing w:val="11"/>
              </w:rPr>
              <w:t>产企业变更产品类别或者级别范围未办理安全生产许可证</w:t>
            </w:r>
            <w:r>
              <w:rPr>
                <w:spacing w:val="6"/>
              </w:rPr>
              <w:t>变更手续的</w:t>
            </w:r>
          </w:p>
        </w:tc>
        <w:tc>
          <w:tcPr>
            <w:tcW w:w="3202" w:type="dxa"/>
            <w:vMerge w:val="restart"/>
            <w:tcBorders>
              <w:bottom w:val="nil"/>
            </w:tcBorders>
            <w:vAlign w:val="top"/>
          </w:tcPr>
          <w:p w14:paraId="314FA4D1">
            <w:pPr>
              <w:pStyle w:val="6"/>
              <w:spacing w:before="31" w:line="182" w:lineRule="auto"/>
              <w:ind w:left="98"/>
              <w:outlineLvl w:val="1"/>
            </w:pPr>
            <w:bookmarkStart w:id="648" w:name="bookmark352"/>
            <w:bookmarkEnd w:id="648"/>
            <w:r>
              <w:rPr>
                <w:spacing w:val="17"/>
              </w:rPr>
              <w:t>【部门规章】《烟花爆竹生</w:t>
            </w:r>
          </w:p>
          <w:p w14:paraId="216EC895">
            <w:pPr>
              <w:pStyle w:val="6"/>
              <w:spacing w:line="182" w:lineRule="auto"/>
              <w:ind w:left="119"/>
              <w:outlineLvl w:val="1"/>
            </w:pPr>
            <w:r>
              <w:rPr>
                <w:spacing w:val="17"/>
              </w:rPr>
              <w:t>产企业安全生产许可证实施</w:t>
            </w:r>
          </w:p>
          <w:p w14:paraId="1EC083BD">
            <w:pPr>
              <w:pStyle w:val="6"/>
              <w:spacing w:before="2" w:line="186" w:lineRule="auto"/>
              <w:ind w:left="119" w:right="111" w:firstLine="11"/>
            </w:pPr>
            <w:r>
              <w:rPr>
                <w:spacing w:val="12"/>
              </w:rPr>
              <w:t>办法》第二十七条第二项：</w:t>
            </w:r>
            <w:r>
              <w:rPr>
                <w:spacing w:val="17"/>
              </w:rPr>
              <w:t>企业在安全生产许可证有效</w:t>
            </w:r>
            <w:r>
              <w:rPr>
                <w:spacing w:val="12"/>
              </w:rPr>
              <w:t>期内有下列情形之一的，应</w:t>
            </w:r>
            <w:r>
              <w:rPr>
                <w:spacing w:val="17"/>
              </w:rPr>
              <w:t>当按照本办法第二十八条的规定申请变更安全生产许可</w:t>
            </w:r>
            <w:r>
              <w:rPr>
                <w:spacing w:val="14"/>
              </w:rPr>
              <w:t>证</w:t>
            </w:r>
            <w:r>
              <w:rPr>
                <w:spacing w:val="-10"/>
              </w:rPr>
              <w:t>：（</w:t>
            </w:r>
            <w:r>
              <w:rPr>
                <w:spacing w:val="14"/>
              </w:rPr>
              <w:t>二）变更产品类别、</w:t>
            </w:r>
            <w:r>
              <w:rPr>
                <w:spacing w:val="-1"/>
              </w:rPr>
              <w:t>级别范围的；</w:t>
            </w:r>
          </w:p>
        </w:tc>
        <w:tc>
          <w:tcPr>
            <w:tcW w:w="2859" w:type="dxa"/>
            <w:vMerge w:val="restart"/>
            <w:tcBorders>
              <w:bottom w:val="nil"/>
            </w:tcBorders>
            <w:vAlign w:val="top"/>
          </w:tcPr>
          <w:p w14:paraId="77B05BBF">
            <w:pPr>
              <w:pStyle w:val="6"/>
              <w:spacing w:before="31" w:line="185" w:lineRule="auto"/>
              <w:ind w:left="97" w:right="42"/>
              <w:jc w:val="both"/>
            </w:pPr>
            <w:r>
              <w:rPr>
                <w:spacing w:val="10"/>
              </w:rPr>
              <w:t>【部门规章】《烟花爆竹生产企业安全生产许可证实施办法》第四十六条第二项：企业有下列行为之</w:t>
            </w:r>
            <w:r>
              <w:rPr>
                <w:spacing w:val="3"/>
              </w:rPr>
              <w:t>一的，责令停止生产，没</w:t>
            </w:r>
            <w:r>
              <w:rPr>
                <w:spacing w:val="-5"/>
              </w:rPr>
              <w:t>收违法所得，并处</w:t>
            </w:r>
            <w:r>
              <w:rPr>
                <w:rFonts w:ascii="宋体" w:hAnsi="宋体" w:eastAsia="宋体" w:cs="宋体"/>
                <w:spacing w:val="-5"/>
              </w:rPr>
              <w:t>10</w:t>
            </w:r>
            <w:r>
              <w:rPr>
                <w:spacing w:val="-5"/>
              </w:rPr>
              <w:t>万元</w:t>
            </w:r>
            <w:r>
              <w:rPr>
                <w:spacing w:val="2"/>
              </w:rPr>
              <w:t>以上</w:t>
            </w:r>
            <w:r>
              <w:rPr>
                <w:rFonts w:ascii="宋体" w:hAnsi="宋体" w:eastAsia="宋体" w:cs="宋体"/>
                <w:spacing w:val="2"/>
              </w:rPr>
              <w:t>50</w:t>
            </w:r>
            <w:r>
              <w:rPr>
                <w:spacing w:val="2"/>
              </w:rPr>
              <w:t>万元以下的罚款：</w:t>
            </w:r>
            <w:r>
              <w:rPr>
                <w:spacing w:val="10"/>
              </w:rPr>
              <w:t>（二）变更产品类别或者级别范围未办理安全生产</w:t>
            </w:r>
            <w:r>
              <w:rPr>
                <w:spacing w:val="6"/>
              </w:rPr>
              <w:t>许可证变更手续的。</w:t>
            </w:r>
          </w:p>
        </w:tc>
        <w:tc>
          <w:tcPr>
            <w:tcW w:w="803" w:type="dxa"/>
            <w:vAlign w:val="top"/>
          </w:tcPr>
          <w:p w14:paraId="35AB5C84">
            <w:pPr>
              <w:spacing w:line="443" w:lineRule="auto"/>
              <w:rPr>
                <w:rFonts w:ascii="Arial"/>
                <w:sz w:val="21"/>
              </w:rPr>
            </w:pPr>
          </w:p>
          <w:p w14:paraId="3D13423B">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3ADE018">
            <w:pPr>
              <w:pStyle w:val="6"/>
              <w:spacing w:before="30" w:line="177" w:lineRule="auto"/>
              <w:ind w:left="118" w:right="105" w:hanging="1"/>
              <w:jc w:val="both"/>
            </w:pPr>
            <w:r>
              <w:rPr>
                <w:spacing w:val="-2"/>
              </w:rPr>
              <w:t>超过规定时限</w:t>
            </w:r>
            <w:r>
              <w:rPr>
                <w:rFonts w:ascii="宋体" w:hAnsi="宋体" w:eastAsia="宋体" w:cs="宋体"/>
                <w:spacing w:val="-2"/>
              </w:rPr>
              <w:t>10</w:t>
            </w:r>
            <w:r>
              <w:rPr>
                <w:spacing w:val="-2"/>
              </w:rPr>
              <w:t>日</w:t>
            </w:r>
            <w:r>
              <w:rPr>
                <w:spacing w:val="26"/>
              </w:rPr>
              <w:t>以内未办理安全生产许可证变更手续</w:t>
            </w:r>
            <w:r>
              <w:t>的</w:t>
            </w:r>
          </w:p>
        </w:tc>
        <w:tc>
          <w:tcPr>
            <w:tcW w:w="2894" w:type="dxa"/>
            <w:vAlign w:val="top"/>
          </w:tcPr>
          <w:p w14:paraId="41C111F2">
            <w:pPr>
              <w:pStyle w:val="6"/>
              <w:spacing w:before="181" w:line="191" w:lineRule="auto"/>
              <w:ind w:left="120" w:right="106" w:firstLine="7"/>
              <w:jc w:val="both"/>
            </w:pPr>
            <w:r>
              <w:rPr>
                <w:spacing w:val="7"/>
              </w:rPr>
              <w:t>责令停止生产，没收违法</w:t>
            </w:r>
            <w:r>
              <w:rPr>
                <w:spacing w:val="5"/>
              </w:rPr>
              <w:t>所得，并处</w:t>
            </w:r>
            <w:r>
              <w:rPr>
                <w:rFonts w:ascii="宋体" w:hAnsi="宋体" w:eastAsia="宋体" w:cs="宋体"/>
                <w:spacing w:val="5"/>
              </w:rPr>
              <w:t>10</w:t>
            </w:r>
            <w:r>
              <w:rPr>
                <w:spacing w:val="5"/>
              </w:rPr>
              <w:t>万元以上</w:t>
            </w:r>
            <w:r>
              <w:rPr>
                <w:rFonts w:ascii="宋体" w:hAnsi="宋体" w:eastAsia="宋体" w:cs="宋体"/>
                <w:spacing w:val="3"/>
              </w:rPr>
              <w:t>30</w:t>
            </w:r>
            <w:r>
              <w:rPr>
                <w:spacing w:val="3"/>
              </w:rPr>
              <w:t>万元以下的罚款</w:t>
            </w:r>
          </w:p>
        </w:tc>
        <w:tc>
          <w:tcPr>
            <w:tcW w:w="811" w:type="dxa"/>
            <w:vMerge w:val="restart"/>
            <w:tcBorders>
              <w:bottom w:val="nil"/>
            </w:tcBorders>
            <w:vAlign w:val="top"/>
          </w:tcPr>
          <w:p w14:paraId="23B60B8A">
            <w:pPr>
              <w:spacing w:line="274" w:lineRule="auto"/>
              <w:rPr>
                <w:rFonts w:ascii="Arial"/>
                <w:sz w:val="21"/>
              </w:rPr>
            </w:pPr>
          </w:p>
          <w:p w14:paraId="7C91A526">
            <w:pPr>
              <w:spacing w:line="275" w:lineRule="auto"/>
              <w:rPr>
                <w:rFonts w:ascii="Arial"/>
                <w:sz w:val="21"/>
              </w:rPr>
            </w:pPr>
          </w:p>
          <w:p w14:paraId="0E7DA88D">
            <w:pPr>
              <w:spacing w:line="275" w:lineRule="auto"/>
              <w:rPr>
                <w:rFonts w:ascii="Arial"/>
                <w:sz w:val="21"/>
              </w:rPr>
            </w:pPr>
          </w:p>
          <w:p w14:paraId="066AC2D2">
            <w:pPr>
              <w:spacing w:line="275" w:lineRule="auto"/>
              <w:rPr>
                <w:rFonts w:ascii="Arial"/>
                <w:sz w:val="21"/>
              </w:rPr>
            </w:pPr>
          </w:p>
          <w:p w14:paraId="0D107FD2">
            <w:pPr>
              <w:spacing w:line="275" w:lineRule="auto"/>
              <w:rPr>
                <w:rFonts w:ascii="Arial"/>
                <w:sz w:val="21"/>
              </w:rPr>
            </w:pPr>
          </w:p>
          <w:p w14:paraId="31AB21C8">
            <w:pPr>
              <w:spacing w:line="275" w:lineRule="auto"/>
              <w:rPr>
                <w:rFonts w:ascii="Arial"/>
                <w:sz w:val="21"/>
              </w:rPr>
            </w:pPr>
          </w:p>
          <w:p w14:paraId="470FF58D">
            <w:pPr>
              <w:spacing w:before="75" w:line="189" w:lineRule="auto"/>
              <w:ind w:left="248"/>
              <w:rPr>
                <w:rFonts w:ascii="宋体" w:hAnsi="宋体" w:eastAsia="宋体" w:cs="宋体"/>
                <w:sz w:val="23"/>
                <w:szCs w:val="23"/>
              </w:rPr>
            </w:pPr>
            <w:r>
              <w:rPr>
                <w:rFonts w:ascii="宋体" w:hAnsi="宋体" w:eastAsia="宋体" w:cs="宋体"/>
                <w:spacing w:val="-6"/>
                <w:sz w:val="23"/>
                <w:szCs w:val="23"/>
              </w:rPr>
              <w:t>135</w:t>
            </w:r>
          </w:p>
        </w:tc>
      </w:tr>
      <w:tr w14:paraId="07BD4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continue"/>
            <w:tcBorders>
              <w:top w:val="nil"/>
              <w:bottom w:val="nil"/>
            </w:tcBorders>
            <w:vAlign w:val="top"/>
          </w:tcPr>
          <w:p w14:paraId="50FC2BAA">
            <w:pPr>
              <w:rPr>
                <w:rFonts w:ascii="Arial"/>
                <w:sz w:val="21"/>
              </w:rPr>
            </w:pPr>
          </w:p>
        </w:tc>
        <w:tc>
          <w:tcPr>
            <w:tcW w:w="1440" w:type="dxa"/>
            <w:vMerge w:val="continue"/>
            <w:tcBorders>
              <w:top w:val="nil"/>
              <w:bottom w:val="nil"/>
            </w:tcBorders>
            <w:vAlign w:val="top"/>
          </w:tcPr>
          <w:p w14:paraId="50072B91">
            <w:pPr>
              <w:rPr>
                <w:rFonts w:ascii="Arial"/>
                <w:sz w:val="21"/>
              </w:rPr>
            </w:pPr>
          </w:p>
        </w:tc>
        <w:tc>
          <w:tcPr>
            <w:tcW w:w="3202" w:type="dxa"/>
            <w:vMerge w:val="continue"/>
            <w:tcBorders>
              <w:top w:val="nil"/>
              <w:bottom w:val="nil"/>
            </w:tcBorders>
            <w:vAlign w:val="top"/>
          </w:tcPr>
          <w:p w14:paraId="30CCD905">
            <w:pPr>
              <w:rPr>
                <w:rFonts w:ascii="Arial"/>
                <w:sz w:val="21"/>
              </w:rPr>
            </w:pPr>
          </w:p>
        </w:tc>
        <w:tc>
          <w:tcPr>
            <w:tcW w:w="2859" w:type="dxa"/>
            <w:vMerge w:val="continue"/>
            <w:tcBorders>
              <w:top w:val="nil"/>
              <w:bottom w:val="nil"/>
            </w:tcBorders>
            <w:vAlign w:val="top"/>
          </w:tcPr>
          <w:p w14:paraId="1EE4B2B4">
            <w:pPr>
              <w:rPr>
                <w:rFonts w:ascii="Arial"/>
                <w:sz w:val="21"/>
              </w:rPr>
            </w:pPr>
          </w:p>
        </w:tc>
        <w:tc>
          <w:tcPr>
            <w:tcW w:w="803" w:type="dxa"/>
            <w:vAlign w:val="top"/>
          </w:tcPr>
          <w:p w14:paraId="5B6FE778">
            <w:pPr>
              <w:spacing w:line="449" w:lineRule="auto"/>
              <w:rPr>
                <w:rFonts w:ascii="Arial"/>
                <w:sz w:val="21"/>
              </w:rPr>
            </w:pPr>
          </w:p>
          <w:p w14:paraId="16669107">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D2E72EA">
            <w:pPr>
              <w:pStyle w:val="6"/>
              <w:spacing w:before="29" w:line="177" w:lineRule="auto"/>
              <w:ind w:left="116" w:right="105"/>
              <w:jc w:val="both"/>
            </w:pPr>
            <w:r>
              <w:rPr>
                <w:spacing w:val="-2"/>
              </w:rPr>
              <w:t>超过规定时限</w:t>
            </w:r>
            <w:r>
              <w:rPr>
                <w:rFonts w:ascii="宋体" w:hAnsi="宋体" w:eastAsia="宋体" w:cs="宋体"/>
                <w:spacing w:val="-2"/>
              </w:rPr>
              <w:t>10</w:t>
            </w:r>
            <w:r>
              <w:rPr>
                <w:spacing w:val="-2"/>
              </w:rPr>
              <w:t>日</w:t>
            </w:r>
            <w:r>
              <w:rPr>
                <w:spacing w:val="1"/>
              </w:rPr>
              <w:t>以上</w:t>
            </w:r>
            <w:r>
              <w:rPr>
                <w:rFonts w:ascii="宋体" w:hAnsi="宋体" w:eastAsia="宋体" w:cs="宋体"/>
                <w:spacing w:val="1"/>
              </w:rPr>
              <w:t>20</w:t>
            </w:r>
            <w:r>
              <w:rPr>
                <w:spacing w:val="1"/>
              </w:rPr>
              <w:t>日以内未办</w:t>
            </w:r>
            <w:r>
              <w:rPr>
                <w:spacing w:val="26"/>
              </w:rPr>
              <w:t>理安全生产许可证</w:t>
            </w:r>
            <w:r>
              <w:rPr>
                <w:spacing w:val="7"/>
              </w:rPr>
              <w:t>变更手续的</w:t>
            </w:r>
          </w:p>
        </w:tc>
        <w:tc>
          <w:tcPr>
            <w:tcW w:w="2894" w:type="dxa"/>
            <w:vAlign w:val="top"/>
          </w:tcPr>
          <w:p w14:paraId="0234EE2F">
            <w:pPr>
              <w:pStyle w:val="6"/>
              <w:spacing w:before="180" w:line="191" w:lineRule="auto"/>
              <w:ind w:left="114" w:right="106" w:firstLine="13"/>
              <w:jc w:val="both"/>
            </w:pPr>
            <w:r>
              <w:rPr>
                <w:spacing w:val="7"/>
              </w:rPr>
              <w:t>责令停止生产，没收违法</w:t>
            </w:r>
            <w:r>
              <w:rPr>
                <w:spacing w:val="6"/>
              </w:rPr>
              <w:t>所得，并处</w:t>
            </w:r>
            <w:r>
              <w:rPr>
                <w:rFonts w:ascii="宋体" w:hAnsi="宋体" w:eastAsia="宋体" w:cs="宋体"/>
                <w:spacing w:val="6"/>
              </w:rPr>
              <w:t>30</w:t>
            </w:r>
            <w:r>
              <w:rPr>
                <w:spacing w:val="6"/>
              </w:rPr>
              <w:t>万元以上</w:t>
            </w:r>
            <w:r>
              <w:rPr>
                <w:rFonts w:ascii="宋体" w:hAnsi="宋体" w:eastAsia="宋体" w:cs="宋体"/>
                <w:spacing w:val="4"/>
              </w:rPr>
              <w:t>40</w:t>
            </w:r>
            <w:r>
              <w:rPr>
                <w:spacing w:val="4"/>
              </w:rPr>
              <w:t>万元以下的罚款</w:t>
            </w:r>
          </w:p>
        </w:tc>
        <w:tc>
          <w:tcPr>
            <w:tcW w:w="811" w:type="dxa"/>
            <w:vMerge w:val="continue"/>
            <w:tcBorders>
              <w:top w:val="nil"/>
              <w:bottom w:val="nil"/>
            </w:tcBorders>
            <w:vAlign w:val="top"/>
          </w:tcPr>
          <w:p w14:paraId="090CDEB9">
            <w:pPr>
              <w:rPr>
                <w:rFonts w:ascii="Arial"/>
                <w:sz w:val="21"/>
              </w:rPr>
            </w:pPr>
          </w:p>
        </w:tc>
      </w:tr>
      <w:tr w14:paraId="0C888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continue"/>
            <w:tcBorders>
              <w:top w:val="nil"/>
            </w:tcBorders>
            <w:vAlign w:val="top"/>
          </w:tcPr>
          <w:p w14:paraId="168ACE73">
            <w:pPr>
              <w:rPr>
                <w:rFonts w:ascii="Arial"/>
                <w:sz w:val="21"/>
              </w:rPr>
            </w:pPr>
          </w:p>
        </w:tc>
        <w:tc>
          <w:tcPr>
            <w:tcW w:w="1440" w:type="dxa"/>
            <w:vMerge w:val="continue"/>
            <w:tcBorders>
              <w:top w:val="nil"/>
            </w:tcBorders>
            <w:vAlign w:val="top"/>
          </w:tcPr>
          <w:p w14:paraId="6E52A7D4">
            <w:pPr>
              <w:rPr>
                <w:rFonts w:ascii="Arial"/>
                <w:sz w:val="21"/>
              </w:rPr>
            </w:pPr>
          </w:p>
        </w:tc>
        <w:tc>
          <w:tcPr>
            <w:tcW w:w="3202" w:type="dxa"/>
            <w:vMerge w:val="continue"/>
            <w:tcBorders>
              <w:top w:val="nil"/>
            </w:tcBorders>
            <w:vAlign w:val="top"/>
          </w:tcPr>
          <w:p w14:paraId="5116F0DE">
            <w:pPr>
              <w:rPr>
                <w:rFonts w:ascii="Arial"/>
                <w:sz w:val="21"/>
              </w:rPr>
            </w:pPr>
          </w:p>
        </w:tc>
        <w:tc>
          <w:tcPr>
            <w:tcW w:w="2859" w:type="dxa"/>
            <w:vMerge w:val="continue"/>
            <w:tcBorders>
              <w:top w:val="nil"/>
            </w:tcBorders>
            <w:vAlign w:val="top"/>
          </w:tcPr>
          <w:p w14:paraId="011090BB">
            <w:pPr>
              <w:rPr>
                <w:rFonts w:ascii="Arial"/>
                <w:sz w:val="21"/>
              </w:rPr>
            </w:pPr>
          </w:p>
        </w:tc>
        <w:tc>
          <w:tcPr>
            <w:tcW w:w="803" w:type="dxa"/>
            <w:vAlign w:val="top"/>
          </w:tcPr>
          <w:p w14:paraId="25E00680">
            <w:pPr>
              <w:spacing w:line="448" w:lineRule="auto"/>
              <w:rPr>
                <w:rFonts w:ascii="Arial"/>
                <w:sz w:val="21"/>
              </w:rPr>
            </w:pPr>
          </w:p>
          <w:p w14:paraId="43318C29">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26B2731">
            <w:pPr>
              <w:pStyle w:val="6"/>
              <w:spacing w:before="29" w:line="177" w:lineRule="auto"/>
              <w:ind w:left="118" w:right="105" w:hanging="1"/>
              <w:jc w:val="both"/>
            </w:pPr>
            <w:r>
              <w:rPr>
                <w:spacing w:val="1"/>
              </w:rPr>
              <w:t>超过规定时限</w:t>
            </w:r>
            <w:r>
              <w:rPr>
                <w:rFonts w:ascii="宋体" w:hAnsi="宋体" w:eastAsia="宋体" w:cs="宋体"/>
                <w:spacing w:val="1"/>
              </w:rPr>
              <w:t>20</w:t>
            </w:r>
            <w:r>
              <w:rPr>
                <w:spacing w:val="1"/>
              </w:rPr>
              <w:t>日</w:t>
            </w:r>
            <w:r>
              <w:rPr>
                <w:spacing w:val="26"/>
              </w:rPr>
              <w:t>以上未办理安全生产许可证变更手续</w:t>
            </w:r>
            <w:r>
              <w:t>的</w:t>
            </w:r>
          </w:p>
        </w:tc>
        <w:tc>
          <w:tcPr>
            <w:tcW w:w="2894" w:type="dxa"/>
            <w:vAlign w:val="top"/>
          </w:tcPr>
          <w:p w14:paraId="751DB440">
            <w:pPr>
              <w:pStyle w:val="6"/>
              <w:spacing w:before="181" w:line="191" w:lineRule="auto"/>
              <w:ind w:left="120" w:right="106" w:firstLine="7"/>
              <w:jc w:val="both"/>
            </w:pPr>
            <w:r>
              <w:rPr>
                <w:spacing w:val="7"/>
              </w:rPr>
              <w:t>责令停止生产，没收违法</w:t>
            </w:r>
            <w:r>
              <w:rPr>
                <w:spacing w:val="6"/>
              </w:rPr>
              <w:t>所得，并处</w:t>
            </w:r>
            <w:r>
              <w:rPr>
                <w:rFonts w:ascii="宋体" w:hAnsi="宋体" w:eastAsia="宋体" w:cs="宋体"/>
                <w:spacing w:val="6"/>
              </w:rPr>
              <w:t>40</w:t>
            </w:r>
            <w:r>
              <w:rPr>
                <w:spacing w:val="6"/>
              </w:rPr>
              <w:t>万元以上</w:t>
            </w:r>
            <w:r>
              <w:rPr>
                <w:rFonts w:ascii="宋体" w:hAnsi="宋体" w:eastAsia="宋体" w:cs="宋体"/>
                <w:spacing w:val="3"/>
              </w:rPr>
              <w:t>50</w:t>
            </w:r>
            <w:r>
              <w:rPr>
                <w:spacing w:val="3"/>
              </w:rPr>
              <w:t>万元以下的罚款</w:t>
            </w:r>
          </w:p>
        </w:tc>
        <w:tc>
          <w:tcPr>
            <w:tcW w:w="811" w:type="dxa"/>
            <w:vMerge w:val="continue"/>
            <w:tcBorders>
              <w:top w:val="nil"/>
            </w:tcBorders>
            <w:vAlign w:val="top"/>
          </w:tcPr>
          <w:p w14:paraId="2FC73D2C">
            <w:pPr>
              <w:rPr>
                <w:rFonts w:ascii="Arial"/>
                <w:sz w:val="21"/>
              </w:rPr>
            </w:pPr>
          </w:p>
        </w:tc>
      </w:tr>
      <w:tr w14:paraId="53373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818" w:type="dxa"/>
            <w:vMerge w:val="restart"/>
            <w:tcBorders>
              <w:bottom w:val="nil"/>
            </w:tcBorders>
            <w:vAlign w:val="top"/>
          </w:tcPr>
          <w:p w14:paraId="61BB9200">
            <w:pPr>
              <w:spacing w:line="256" w:lineRule="auto"/>
              <w:rPr>
                <w:rFonts w:ascii="Arial"/>
                <w:sz w:val="21"/>
              </w:rPr>
            </w:pPr>
          </w:p>
          <w:p w14:paraId="71AB4B7A">
            <w:pPr>
              <w:spacing w:line="256" w:lineRule="auto"/>
              <w:rPr>
                <w:rFonts w:ascii="Arial"/>
                <w:sz w:val="21"/>
              </w:rPr>
            </w:pPr>
          </w:p>
          <w:p w14:paraId="7D219761">
            <w:pPr>
              <w:spacing w:line="256" w:lineRule="auto"/>
              <w:rPr>
                <w:rFonts w:ascii="Arial"/>
                <w:sz w:val="21"/>
              </w:rPr>
            </w:pPr>
          </w:p>
          <w:p w14:paraId="184C4B8B">
            <w:pPr>
              <w:spacing w:line="256" w:lineRule="auto"/>
              <w:rPr>
                <w:rFonts w:ascii="Arial"/>
                <w:sz w:val="21"/>
              </w:rPr>
            </w:pPr>
          </w:p>
          <w:p w14:paraId="5D5F7B5F">
            <w:pPr>
              <w:spacing w:line="256" w:lineRule="auto"/>
              <w:rPr>
                <w:rFonts w:ascii="Arial"/>
                <w:sz w:val="21"/>
              </w:rPr>
            </w:pPr>
          </w:p>
          <w:p w14:paraId="1DCF6905">
            <w:pPr>
              <w:spacing w:line="256" w:lineRule="auto"/>
              <w:rPr>
                <w:rFonts w:ascii="Arial"/>
                <w:sz w:val="21"/>
              </w:rPr>
            </w:pPr>
          </w:p>
          <w:p w14:paraId="71EF2029">
            <w:pPr>
              <w:spacing w:line="256" w:lineRule="auto"/>
              <w:rPr>
                <w:rFonts w:ascii="Arial"/>
                <w:sz w:val="21"/>
              </w:rPr>
            </w:pPr>
          </w:p>
          <w:p w14:paraId="73CF7875">
            <w:pPr>
              <w:spacing w:before="74" w:line="186" w:lineRule="auto"/>
              <w:ind w:left="161"/>
              <w:rPr>
                <w:rFonts w:ascii="仿宋" w:hAnsi="仿宋" w:eastAsia="仿宋" w:cs="仿宋"/>
                <w:sz w:val="23"/>
                <w:szCs w:val="23"/>
              </w:rPr>
            </w:pPr>
            <w:r>
              <w:rPr>
                <w:rFonts w:ascii="仿宋" w:hAnsi="仿宋" w:eastAsia="仿宋" w:cs="仿宋"/>
                <w:spacing w:val="-5"/>
                <w:sz w:val="23"/>
                <w:szCs w:val="23"/>
              </w:rPr>
              <w:t>172</w:t>
            </w:r>
          </w:p>
        </w:tc>
        <w:tc>
          <w:tcPr>
            <w:tcW w:w="1440" w:type="dxa"/>
            <w:vMerge w:val="restart"/>
            <w:tcBorders>
              <w:bottom w:val="nil"/>
            </w:tcBorders>
            <w:vAlign w:val="top"/>
          </w:tcPr>
          <w:p w14:paraId="4E2A5FD6">
            <w:pPr>
              <w:spacing w:line="255" w:lineRule="auto"/>
              <w:rPr>
                <w:rFonts w:ascii="Arial"/>
                <w:sz w:val="21"/>
              </w:rPr>
            </w:pPr>
          </w:p>
          <w:p w14:paraId="4310E6F6">
            <w:pPr>
              <w:spacing w:line="255" w:lineRule="auto"/>
              <w:rPr>
                <w:rFonts w:ascii="Arial"/>
                <w:sz w:val="21"/>
              </w:rPr>
            </w:pPr>
          </w:p>
          <w:p w14:paraId="12AD4A2A">
            <w:pPr>
              <w:spacing w:line="255" w:lineRule="auto"/>
              <w:rPr>
                <w:rFonts w:ascii="Arial"/>
                <w:sz w:val="21"/>
              </w:rPr>
            </w:pPr>
          </w:p>
          <w:p w14:paraId="77CBC3F4">
            <w:pPr>
              <w:spacing w:line="255" w:lineRule="auto"/>
              <w:rPr>
                <w:rFonts w:ascii="Arial"/>
                <w:sz w:val="21"/>
              </w:rPr>
            </w:pPr>
          </w:p>
          <w:p w14:paraId="1FB1591F">
            <w:pPr>
              <w:spacing w:line="256" w:lineRule="auto"/>
              <w:rPr>
                <w:rFonts w:ascii="Arial"/>
                <w:sz w:val="21"/>
              </w:rPr>
            </w:pPr>
          </w:p>
          <w:p w14:paraId="059B2C18">
            <w:pPr>
              <w:pStyle w:val="6"/>
              <w:spacing w:before="99" w:line="189" w:lineRule="auto"/>
              <w:ind w:left="115" w:right="111" w:firstLine="2"/>
              <w:jc w:val="both"/>
            </w:pPr>
            <w:r>
              <w:rPr>
                <w:spacing w:val="11"/>
              </w:rPr>
              <w:t>企业多股东各自独立进行烟花爆竹</w:t>
            </w:r>
            <w:r>
              <w:rPr>
                <w:spacing w:val="6"/>
              </w:rPr>
              <w:t>生产活动的</w:t>
            </w:r>
          </w:p>
        </w:tc>
        <w:tc>
          <w:tcPr>
            <w:tcW w:w="3202" w:type="dxa"/>
            <w:vMerge w:val="restart"/>
            <w:tcBorders>
              <w:bottom w:val="nil"/>
            </w:tcBorders>
            <w:vAlign w:val="top"/>
          </w:tcPr>
          <w:p w14:paraId="58B0F17B">
            <w:pPr>
              <w:pStyle w:val="6"/>
              <w:spacing w:before="29" w:line="185" w:lineRule="auto"/>
              <w:ind w:left="119" w:right="111" w:hanging="21"/>
            </w:pPr>
            <w:r>
              <w:rPr>
                <w:spacing w:val="18"/>
              </w:rPr>
              <w:t>【部门规章】《烟花爆竹生</w:t>
            </w:r>
            <w:r>
              <w:rPr>
                <w:spacing w:val="17"/>
              </w:rPr>
              <w:t>产企业安全生产许可证实施</w:t>
            </w:r>
            <w:r>
              <w:rPr>
                <w:spacing w:val="13"/>
              </w:rPr>
              <w:t>办法》第四十条第一款：企业取得安全生产许可证后，</w:t>
            </w:r>
            <w:r>
              <w:rPr>
                <w:spacing w:val="17"/>
              </w:rPr>
              <w:t>不得出租、转让安全生产许</w:t>
            </w:r>
            <w:r>
              <w:rPr>
                <w:spacing w:val="13"/>
              </w:rPr>
              <w:t>可证，不得将企业、生产线或者工（库）房转包、分包</w:t>
            </w:r>
            <w:r>
              <w:rPr>
                <w:spacing w:val="17"/>
              </w:rPr>
              <w:t>给不具备安全生产条件或者相应资质的其他任何单位或</w:t>
            </w:r>
            <w:r>
              <w:rPr>
                <w:spacing w:val="13"/>
              </w:rPr>
              <w:t>者个人，不得多股东各自独</w:t>
            </w:r>
            <w:r>
              <w:rPr>
                <w:spacing w:val="5"/>
              </w:rPr>
              <w:t>立进行烟花爆竹生产活动。</w:t>
            </w:r>
          </w:p>
        </w:tc>
        <w:tc>
          <w:tcPr>
            <w:tcW w:w="2859" w:type="dxa"/>
            <w:vMerge w:val="restart"/>
            <w:tcBorders>
              <w:bottom w:val="nil"/>
            </w:tcBorders>
            <w:vAlign w:val="top"/>
          </w:tcPr>
          <w:p w14:paraId="20DF3952">
            <w:pPr>
              <w:pStyle w:val="6"/>
              <w:spacing w:before="38" w:line="182" w:lineRule="auto"/>
              <w:ind w:left="118" w:right="110" w:hanging="21"/>
              <w:jc w:val="both"/>
            </w:pPr>
            <w:r>
              <w:rPr>
                <w:spacing w:val="10"/>
              </w:rPr>
              <w:t>【部门规章】《烟花爆竹</w:t>
            </w:r>
            <w:r>
              <w:rPr>
                <w:spacing w:val="8"/>
              </w:rPr>
              <w:t>生产企业安全生产许可证实施办法》第四十四条第一款第一项、第二款：企</w:t>
            </w:r>
            <w:r>
              <w:rPr>
                <w:spacing w:val="5"/>
              </w:rPr>
              <w:t>业有下列行为之一的，依</w:t>
            </w:r>
            <w:r>
              <w:rPr>
                <w:spacing w:val="32"/>
              </w:rPr>
              <w:t>法暂扣其安全生产许可</w:t>
            </w:r>
            <w:r>
              <w:rPr>
                <w:spacing w:val="-1"/>
              </w:rPr>
              <w:t>证</w:t>
            </w:r>
            <w:r>
              <w:rPr>
                <w:spacing w:val="-9"/>
              </w:rPr>
              <w:t>：（</w:t>
            </w:r>
            <w:r>
              <w:rPr>
                <w:spacing w:val="-1"/>
              </w:rPr>
              <w:t>一）多股东各自独</w:t>
            </w:r>
            <w:r>
              <w:rPr>
                <w:spacing w:val="8"/>
              </w:rPr>
              <w:t>立进行烟花爆竹生产活动</w:t>
            </w:r>
            <w:r>
              <w:rPr>
                <w:spacing w:val="-11"/>
              </w:rPr>
              <w:t>的；</w:t>
            </w:r>
          </w:p>
          <w:p w14:paraId="1BCB6382">
            <w:pPr>
              <w:pStyle w:val="6"/>
              <w:spacing w:line="177" w:lineRule="auto"/>
              <w:ind w:left="119" w:right="109"/>
            </w:pPr>
            <w:r>
              <w:rPr>
                <w:spacing w:val="8"/>
              </w:rPr>
              <w:t>企业有前款第一项、第二</w:t>
            </w:r>
            <w:r>
              <w:rPr>
                <w:spacing w:val="7"/>
              </w:rPr>
              <w:t>项、第三项行为之一的，</w:t>
            </w:r>
            <w:r>
              <w:rPr>
                <w:spacing w:val="-1"/>
              </w:rPr>
              <w:t>并处</w:t>
            </w:r>
            <w:r>
              <w:rPr>
                <w:rFonts w:ascii="宋体" w:hAnsi="宋体" w:eastAsia="宋体" w:cs="宋体"/>
                <w:spacing w:val="-1"/>
              </w:rPr>
              <w:t>1</w:t>
            </w:r>
            <w:r>
              <w:rPr>
                <w:spacing w:val="-1"/>
              </w:rPr>
              <w:t>万元以上</w:t>
            </w:r>
            <w:r>
              <w:rPr>
                <w:rFonts w:ascii="宋体" w:hAnsi="宋体" w:eastAsia="宋体" w:cs="宋体"/>
                <w:spacing w:val="-1"/>
              </w:rPr>
              <w:t>3</w:t>
            </w:r>
            <w:r>
              <w:rPr>
                <w:spacing w:val="-1"/>
              </w:rPr>
              <w:t>万元以下的罚款。</w:t>
            </w:r>
          </w:p>
        </w:tc>
        <w:tc>
          <w:tcPr>
            <w:tcW w:w="803" w:type="dxa"/>
            <w:vAlign w:val="top"/>
          </w:tcPr>
          <w:p w14:paraId="0A9A92CC">
            <w:pPr>
              <w:spacing w:line="417" w:lineRule="auto"/>
              <w:rPr>
                <w:rFonts w:ascii="Arial"/>
                <w:sz w:val="21"/>
              </w:rPr>
            </w:pPr>
          </w:p>
          <w:p w14:paraId="27D85EFB">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36B2A92">
            <w:pPr>
              <w:pStyle w:val="6"/>
              <w:spacing w:before="301" w:line="196" w:lineRule="auto"/>
              <w:ind w:left="145" w:right="105" w:hanging="28"/>
            </w:pPr>
            <w:r>
              <w:rPr>
                <w:spacing w:val="-2"/>
              </w:rPr>
              <w:t>违规持续时间</w:t>
            </w:r>
            <w:r>
              <w:rPr>
                <w:rFonts w:ascii="宋体" w:hAnsi="宋体" w:eastAsia="宋体" w:cs="宋体"/>
                <w:spacing w:val="-2"/>
              </w:rPr>
              <w:t>10</w:t>
            </w:r>
            <w:r>
              <w:rPr>
                <w:spacing w:val="-2"/>
              </w:rPr>
              <w:t>日</w:t>
            </w:r>
            <w:r>
              <w:rPr>
                <w:spacing w:val="-3"/>
              </w:rPr>
              <w:t>以内的</w:t>
            </w:r>
          </w:p>
        </w:tc>
        <w:tc>
          <w:tcPr>
            <w:tcW w:w="2894" w:type="dxa"/>
            <w:vAlign w:val="top"/>
          </w:tcPr>
          <w:p w14:paraId="2999E723">
            <w:pPr>
              <w:pStyle w:val="6"/>
              <w:spacing w:before="153" w:line="191" w:lineRule="auto"/>
              <w:ind w:left="119" w:right="103" w:firstLine="9"/>
              <w:jc w:val="both"/>
            </w:pPr>
            <w:r>
              <w:rPr>
                <w:spacing w:val="7"/>
              </w:rPr>
              <w:t>暂扣安全生产许可证，并</w:t>
            </w:r>
            <w:r>
              <w:rPr>
                <w:spacing w:val="-1"/>
              </w:rPr>
              <w:t>处</w:t>
            </w:r>
            <w:r>
              <w:rPr>
                <w:rFonts w:ascii="宋体" w:hAnsi="宋体" w:eastAsia="宋体" w:cs="宋体"/>
                <w:spacing w:val="-1"/>
              </w:rPr>
              <w:t>1</w:t>
            </w:r>
            <w:r>
              <w:rPr>
                <w:spacing w:val="-1"/>
              </w:rPr>
              <w:t>万元以上</w:t>
            </w:r>
            <w:r>
              <w:rPr>
                <w:rFonts w:ascii="宋体" w:hAnsi="宋体" w:eastAsia="宋体" w:cs="宋体"/>
                <w:spacing w:val="-1"/>
              </w:rPr>
              <w:t>1.5</w:t>
            </w:r>
            <w:r>
              <w:rPr>
                <w:spacing w:val="-1"/>
              </w:rPr>
              <w:t>万元以</w:t>
            </w:r>
            <w:r>
              <w:rPr>
                <w:spacing w:val="6"/>
              </w:rPr>
              <w:t>下的罚款</w:t>
            </w:r>
          </w:p>
        </w:tc>
        <w:tc>
          <w:tcPr>
            <w:tcW w:w="811" w:type="dxa"/>
            <w:vMerge w:val="restart"/>
            <w:tcBorders>
              <w:bottom w:val="nil"/>
            </w:tcBorders>
            <w:vAlign w:val="top"/>
          </w:tcPr>
          <w:p w14:paraId="3DB3EB58">
            <w:pPr>
              <w:rPr>
                <w:rFonts w:ascii="Arial"/>
                <w:sz w:val="21"/>
              </w:rPr>
            </w:pPr>
          </w:p>
        </w:tc>
      </w:tr>
      <w:tr w14:paraId="13155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3" w:hRule="atLeast"/>
        </w:trPr>
        <w:tc>
          <w:tcPr>
            <w:tcW w:w="818" w:type="dxa"/>
            <w:vMerge w:val="continue"/>
            <w:tcBorders>
              <w:top w:val="nil"/>
              <w:bottom w:val="nil"/>
            </w:tcBorders>
            <w:vAlign w:val="top"/>
          </w:tcPr>
          <w:p w14:paraId="2411952F">
            <w:pPr>
              <w:rPr>
                <w:rFonts w:ascii="Arial"/>
                <w:sz w:val="21"/>
              </w:rPr>
            </w:pPr>
          </w:p>
        </w:tc>
        <w:tc>
          <w:tcPr>
            <w:tcW w:w="1440" w:type="dxa"/>
            <w:vMerge w:val="continue"/>
            <w:tcBorders>
              <w:top w:val="nil"/>
              <w:bottom w:val="nil"/>
            </w:tcBorders>
            <w:vAlign w:val="top"/>
          </w:tcPr>
          <w:p w14:paraId="0E7D6C46">
            <w:pPr>
              <w:rPr>
                <w:rFonts w:ascii="Arial"/>
                <w:sz w:val="21"/>
              </w:rPr>
            </w:pPr>
          </w:p>
        </w:tc>
        <w:tc>
          <w:tcPr>
            <w:tcW w:w="3202" w:type="dxa"/>
            <w:vMerge w:val="continue"/>
            <w:tcBorders>
              <w:top w:val="nil"/>
              <w:bottom w:val="nil"/>
            </w:tcBorders>
            <w:vAlign w:val="top"/>
          </w:tcPr>
          <w:p w14:paraId="2F9B4C83">
            <w:pPr>
              <w:rPr>
                <w:rFonts w:ascii="Arial"/>
                <w:sz w:val="21"/>
              </w:rPr>
            </w:pPr>
          </w:p>
        </w:tc>
        <w:tc>
          <w:tcPr>
            <w:tcW w:w="2859" w:type="dxa"/>
            <w:vMerge w:val="continue"/>
            <w:tcBorders>
              <w:top w:val="nil"/>
              <w:bottom w:val="nil"/>
            </w:tcBorders>
            <w:vAlign w:val="top"/>
          </w:tcPr>
          <w:p w14:paraId="30FC8D82">
            <w:pPr>
              <w:rPr>
                <w:rFonts w:ascii="Arial"/>
                <w:sz w:val="21"/>
              </w:rPr>
            </w:pPr>
          </w:p>
        </w:tc>
        <w:tc>
          <w:tcPr>
            <w:tcW w:w="803" w:type="dxa"/>
            <w:vAlign w:val="top"/>
          </w:tcPr>
          <w:p w14:paraId="05A5E187">
            <w:pPr>
              <w:spacing w:line="262" w:lineRule="auto"/>
              <w:rPr>
                <w:rFonts w:ascii="Arial"/>
                <w:sz w:val="21"/>
              </w:rPr>
            </w:pPr>
          </w:p>
          <w:p w14:paraId="661C5A9C">
            <w:pPr>
              <w:spacing w:line="262" w:lineRule="auto"/>
              <w:rPr>
                <w:rFonts w:ascii="Arial"/>
                <w:sz w:val="21"/>
              </w:rPr>
            </w:pPr>
          </w:p>
          <w:p w14:paraId="68D4DC93">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BE8C824">
            <w:pPr>
              <w:spacing w:line="304" w:lineRule="auto"/>
              <w:rPr>
                <w:rFonts w:ascii="Arial"/>
                <w:sz w:val="21"/>
              </w:rPr>
            </w:pPr>
          </w:p>
          <w:p w14:paraId="1CFB201D">
            <w:pPr>
              <w:pStyle w:val="6"/>
              <w:spacing w:before="99" w:line="196" w:lineRule="auto"/>
              <w:ind w:left="145" w:right="105" w:hanging="28"/>
            </w:pPr>
            <w:r>
              <w:rPr>
                <w:spacing w:val="-2"/>
              </w:rPr>
              <w:t>违规持续时间</w:t>
            </w:r>
            <w:r>
              <w:rPr>
                <w:rFonts w:ascii="宋体" w:hAnsi="宋体" w:eastAsia="宋体" w:cs="宋体"/>
                <w:spacing w:val="-2"/>
              </w:rPr>
              <w:t>10</w:t>
            </w:r>
            <w:r>
              <w:rPr>
                <w:spacing w:val="-2"/>
              </w:rPr>
              <w:t>日</w:t>
            </w:r>
            <w:r>
              <w:rPr>
                <w:spacing w:val="-5"/>
              </w:rPr>
              <w:t>以上</w:t>
            </w:r>
            <w:r>
              <w:rPr>
                <w:rFonts w:ascii="宋体" w:hAnsi="宋体" w:eastAsia="宋体" w:cs="宋体"/>
                <w:spacing w:val="-5"/>
              </w:rPr>
              <w:t>20</w:t>
            </w:r>
            <w:r>
              <w:rPr>
                <w:spacing w:val="-5"/>
              </w:rPr>
              <w:t>日以内的</w:t>
            </w:r>
          </w:p>
        </w:tc>
        <w:tc>
          <w:tcPr>
            <w:tcW w:w="2894" w:type="dxa"/>
            <w:vAlign w:val="top"/>
          </w:tcPr>
          <w:p w14:paraId="7FD046BF">
            <w:pPr>
              <w:pStyle w:val="6"/>
              <w:spacing w:before="257" w:line="191" w:lineRule="auto"/>
              <w:ind w:left="119" w:right="103" w:firstLine="9"/>
              <w:jc w:val="both"/>
            </w:pPr>
            <w:r>
              <w:rPr>
                <w:spacing w:val="7"/>
              </w:rPr>
              <w:t>暂扣安全生产许可证，并</w:t>
            </w:r>
            <w:r>
              <w:rPr>
                <w:spacing w:val="2"/>
              </w:rPr>
              <w:t>处</w:t>
            </w:r>
            <w:r>
              <w:rPr>
                <w:rFonts w:ascii="宋体" w:hAnsi="宋体" w:eastAsia="宋体" w:cs="宋体"/>
                <w:spacing w:val="2"/>
              </w:rPr>
              <w:t>1.5</w:t>
            </w:r>
            <w:r>
              <w:rPr>
                <w:spacing w:val="2"/>
              </w:rPr>
              <w:t>万元以上</w:t>
            </w:r>
            <w:r>
              <w:rPr>
                <w:rFonts w:ascii="宋体" w:hAnsi="宋体" w:eastAsia="宋体" w:cs="宋体"/>
                <w:spacing w:val="2"/>
              </w:rPr>
              <w:t>2</w:t>
            </w:r>
            <w:r>
              <w:rPr>
                <w:spacing w:val="2"/>
              </w:rPr>
              <w:t>万元以</w:t>
            </w:r>
            <w:r>
              <w:rPr>
                <w:spacing w:val="6"/>
              </w:rPr>
              <w:t>下的罚款</w:t>
            </w:r>
          </w:p>
        </w:tc>
        <w:tc>
          <w:tcPr>
            <w:tcW w:w="811" w:type="dxa"/>
            <w:vMerge w:val="continue"/>
            <w:tcBorders>
              <w:top w:val="nil"/>
              <w:bottom w:val="nil"/>
            </w:tcBorders>
            <w:vAlign w:val="top"/>
          </w:tcPr>
          <w:p w14:paraId="233B6C86">
            <w:pPr>
              <w:rPr>
                <w:rFonts w:ascii="Arial"/>
                <w:sz w:val="21"/>
              </w:rPr>
            </w:pPr>
          </w:p>
        </w:tc>
      </w:tr>
      <w:tr w14:paraId="0F8E8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trPr>
        <w:tc>
          <w:tcPr>
            <w:tcW w:w="818" w:type="dxa"/>
            <w:vMerge w:val="continue"/>
            <w:tcBorders>
              <w:top w:val="nil"/>
            </w:tcBorders>
            <w:vAlign w:val="top"/>
          </w:tcPr>
          <w:p w14:paraId="7CA1DB51">
            <w:pPr>
              <w:rPr>
                <w:rFonts w:ascii="Arial"/>
                <w:sz w:val="21"/>
              </w:rPr>
            </w:pPr>
          </w:p>
        </w:tc>
        <w:tc>
          <w:tcPr>
            <w:tcW w:w="1440" w:type="dxa"/>
            <w:vMerge w:val="continue"/>
            <w:tcBorders>
              <w:top w:val="nil"/>
            </w:tcBorders>
            <w:vAlign w:val="top"/>
          </w:tcPr>
          <w:p w14:paraId="2F28A253">
            <w:pPr>
              <w:rPr>
                <w:rFonts w:ascii="Arial"/>
                <w:sz w:val="21"/>
              </w:rPr>
            </w:pPr>
          </w:p>
        </w:tc>
        <w:tc>
          <w:tcPr>
            <w:tcW w:w="3202" w:type="dxa"/>
            <w:vMerge w:val="continue"/>
            <w:tcBorders>
              <w:top w:val="nil"/>
            </w:tcBorders>
            <w:vAlign w:val="top"/>
          </w:tcPr>
          <w:p w14:paraId="16364152">
            <w:pPr>
              <w:rPr>
                <w:rFonts w:ascii="Arial"/>
                <w:sz w:val="21"/>
              </w:rPr>
            </w:pPr>
          </w:p>
        </w:tc>
        <w:tc>
          <w:tcPr>
            <w:tcW w:w="2859" w:type="dxa"/>
            <w:vMerge w:val="continue"/>
            <w:tcBorders>
              <w:top w:val="nil"/>
            </w:tcBorders>
            <w:vAlign w:val="top"/>
          </w:tcPr>
          <w:p w14:paraId="4989050E">
            <w:pPr>
              <w:rPr>
                <w:rFonts w:ascii="Arial"/>
                <w:sz w:val="21"/>
              </w:rPr>
            </w:pPr>
          </w:p>
        </w:tc>
        <w:tc>
          <w:tcPr>
            <w:tcW w:w="803" w:type="dxa"/>
            <w:vAlign w:val="top"/>
          </w:tcPr>
          <w:p w14:paraId="1911FE44">
            <w:pPr>
              <w:spacing w:line="271" w:lineRule="auto"/>
              <w:rPr>
                <w:rFonts w:ascii="Arial"/>
                <w:sz w:val="21"/>
              </w:rPr>
            </w:pPr>
          </w:p>
          <w:p w14:paraId="7F5A934C">
            <w:pPr>
              <w:spacing w:line="271" w:lineRule="auto"/>
              <w:rPr>
                <w:rFonts w:ascii="Arial"/>
                <w:sz w:val="21"/>
              </w:rPr>
            </w:pPr>
          </w:p>
          <w:p w14:paraId="376B0989">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D944767">
            <w:pPr>
              <w:spacing w:line="324" w:lineRule="auto"/>
              <w:rPr>
                <w:rFonts w:ascii="Arial"/>
                <w:sz w:val="21"/>
              </w:rPr>
            </w:pPr>
          </w:p>
          <w:p w14:paraId="6D3A376C">
            <w:pPr>
              <w:pStyle w:val="6"/>
              <w:spacing w:before="98" w:line="196" w:lineRule="auto"/>
              <w:ind w:left="145" w:right="105" w:hanging="28"/>
            </w:pPr>
            <w:r>
              <w:rPr>
                <w:spacing w:val="1"/>
              </w:rPr>
              <w:t>违规持续时间</w:t>
            </w:r>
            <w:r>
              <w:rPr>
                <w:rFonts w:ascii="宋体" w:hAnsi="宋体" w:eastAsia="宋体" w:cs="宋体"/>
                <w:spacing w:val="1"/>
              </w:rPr>
              <w:t>20</w:t>
            </w:r>
            <w:r>
              <w:rPr>
                <w:spacing w:val="1"/>
              </w:rPr>
              <w:t>日</w:t>
            </w:r>
            <w:r>
              <w:rPr>
                <w:spacing w:val="-3"/>
              </w:rPr>
              <w:t>以上的</w:t>
            </w:r>
          </w:p>
        </w:tc>
        <w:tc>
          <w:tcPr>
            <w:tcW w:w="2894" w:type="dxa"/>
            <w:vAlign w:val="top"/>
          </w:tcPr>
          <w:p w14:paraId="1A4644B2">
            <w:pPr>
              <w:pStyle w:val="6"/>
              <w:spacing w:before="278" w:line="191" w:lineRule="auto"/>
              <w:ind w:left="119" w:right="106" w:firstLine="9"/>
              <w:jc w:val="both"/>
            </w:pPr>
            <w:r>
              <w:rPr>
                <w:spacing w:val="7"/>
              </w:rPr>
              <w:t>暂扣安全生产许可证，并</w:t>
            </w:r>
            <w:r>
              <w:rPr>
                <w:spacing w:val="3"/>
              </w:rPr>
              <w:t>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万元以下</w:t>
            </w:r>
            <w:r>
              <w:rPr>
                <w:spacing w:val="5"/>
              </w:rPr>
              <w:t>的罚款</w:t>
            </w:r>
          </w:p>
        </w:tc>
        <w:tc>
          <w:tcPr>
            <w:tcW w:w="811" w:type="dxa"/>
            <w:vMerge w:val="continue"/>
            <w:tcBorders>
              <w:top w:val="nil"/>
            </w:tcBorders>
            <w:vAlign w:val="top"/>
          </w:tcPr>
          <w:p w14:paraId="7B77BCB3">
            <w:pPr>
              <w:rPr>
                <w:rFonts w:ascii="Arial"/>
                <w:sz w:val="21"/>
              </w:rPr>
            </w:pPr>
          </w:p>
        </w:tc>
      </w:tr>
    </w:tbl>
    <w:p w14:paraId="082EB618">
      <w:pPr>
        <w:pStyle w:val="2"/>
      </w:pPr>
    </w:p>
    <w:p w14:paraId="37C8655A">
      <w:pPr>
        <w:sectPr>
          <w:footerReference r:id="rId190" w:type="default"/>
          <w:pgSz w:w="16839" w:h="11906"/>
          <w:pgMar w:top="1012" w:right="821" w:bottom="667" w:left="901" w:header="0" w:footer="388" w:gutter="0"/>
          <w:cols w:space="720" w:num="1"/>
        </w:sectPr>
      </w:pPr>
    </w:p>
    <w:p w14:paraId="191ECA2D">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E5F8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20DE31F">
            <w:pPr>
              <w:spacing w:before="222" w:line="241" w:lineRule="auto"/>
              <w:ind w:left="131"/>
              <w:rPr>
                <w:rFonts w:ascii="黑体" w:hAnsi="黑体" w:eastAsia="黑体" w:cs="黑体"/>
                <w:sz w:val="28"/>
                <w:szCs w:val="28"/>
              </w:rPr>
            </w:pPr>
            <w:bookmarkStart w:id="649" w:name="bookmark354"/>
            <w:bookmarkEnd w:id="649"/>
            <w:r>
              <w:rPr>
                <w:rFonts w:ascii="黑体" w:hAnsi="黑体" w:eastAsia="黑体" w:cs="黑体"/>
                <w:spacing w:val="-2"/>
                <w:sz w:val="28"/>
                <w:szCs w:val="28"/>
              </w:rPr>
              <w:t>序号</w:t>
            </w:r>
          </w:p>
        </w:tc>
        <w:tc>
          <w:tcPr>
            <w:tcW w:w="1440" w:type="dxa"/>
            <w:vAlign w:val="top"/>
          </w:tcPr>
          <w:p w14:paraId="6C1E4170">
            <w:pPr>
              <w:spacing w:before="221"/>
              <w:ind w:left="163"/>
              <w:outlineLvl w:val="1"/>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8B84200">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DA36DE1">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71DE173">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22285B3">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5C714C8E">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5FF5C03">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FC75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5" w:hRule="atLeast"/>
        </w:trPr>
        <w:tc>
          <w:tcPr>
            <w:tcW w:w="818" w:type="dxa"/>
            <w:vMerge w:val="restart"/>
            <w:tcBorders>
              <w:bottom w:val="nil"/>
            </w:tcBorders>
            <w:vAlign w:val="top"/>
          </w:tcPr>
          <w:p w14:paraId="7B6DAFBE">
            <w:pPr>
              <w:spacing w:line="242" w:lineRule="auto"/>
              <w:rPr>
                <w:rFonts w:ascii="Arial"/>
                <w:sz w:val="21"/>
              </w:rPr>
            </w:pPr>
          </w:p>
          <w:p w14:paraId="3DC09B12">
            <w:pPr>
              <w:spacing w:line="242" w:lineRule="auto"/>
              <w:rPr>
                <w:rFonts w:ascii="Arial"/>
                <w:sz w:val="21"/>
              </w:rPr>
            </w:pPr>
          </w:p>
          <w:p w14:paraId="5A56F06C">
            <w:pPr>
              <w:spacing w:line="242" w:lineRule="auto"/>
              <w:rPr>
                <w:rFonts w:ascii="Arial"/>
                <w:sz w:val="21"/>
              </w:rPr>
            </w:pPr>
          </w:p>
          <w:p w14:paraId="12DBD378">
            <w:pPr>
              <w:spacing w:line="242" w:lineRule="auto"/>
              <w:rPr>
                <w:rFonts w:ascii="Arial"/>
                <w:sz w:val="21"/>
              </w:rPr>
            </w:pPr>
          </w:p>
          <w:p w14:paraId="1A677323">
            <w:pPr>
              <w:spacing w:line="242" w:lineRule="auto"/>
              <w:rPr>
                <w:rFonts w:ascii="Arial"/>
                <w:sz w:val="21"/>
              </w:rPr>
            </w:pPr>
          </w:p>
          <w:p w14:paraId="72F9D018">
            <w:pPr>
              <w:spacing w:line="242" w:lineRule="auto"/>
              <w:rPr>
                <w:rFonts w:ascii="Arial"/>
                <w:sz w:val="21"/>
              </w:rPr>
            </w:pPr>
          </w:p>
          <w:p w14:paraId="3C06DEB0">
            <w:pPr>
              <w:spacing w:line="243" w:lineRule="auto"/>
              <w:rPr>
                <w:rFonts w:ascii="Arial"/>
                <w:sz w:val="21"/>
              </w:rPr>
            </w:pPr>
          </w:p>
          <w:p w14:paraId="55D72C64">
            <w:pPr>
              <w:spacing w:line="243" w:lineRule="auto"/>
              <w:rPr>
                <w:rFonts w:ascii="Arial"/>
                <w:sz w:val="21"/>
              </w:rPr>
            </w:pPr>
          </w:p>
          <w:p w14:paraId="34107B9F">
            <w:pPr>
              <w:spacing w:before="75" w:line="186" w:lineRule="auto"/>
              <w:ind w:left="161"/>
              <w:rPr>
                <w:rFonts w:ascii="仿宋" w:hAnsi="仿宋" w:eastAsia="仿宋" w:cs="仿宋"/>
                <w:sz w:val="23"/>
                <w:szCs w:val="23"/>
              </w:rPr>
            </w:pPr>
            <w:r>
              <w:rPr>
                <w:rFonts w:ascii="仿宋" w:hAnsi="仿宋" w:eastAsia="仿宋" w:cs="仿宋"/>
                <w:spacing w:val="-5"/>
                <w:sz w:val="23"/>
                <w:szCs w:val="23"/>
              </w:rPr>
              <w:t>173</w:t>
            </w:r>
          </w:p>
        </w:tc>
        <w:tc>
          <w:tcPr>
            <w:tcW w:w="1440" w:type="dxa"/>
            <w:vMerge w:val="restart"/>
            <w:tcBorders>
              <w:bottom w:val="nil"/>
            </w:tcBorders>
            <w:vAlign w:val="top"/>
          </w:tcPr>
          <w:p w14:paraId="1107E35D">
            <w:pPr>
              <w:spacing w:line="242" w:lineRule="auto"/>
              <w:rPr>
                <w:rFonts w:ascii="Arial"/>
                <w:sz w:val="21"/>
              </w:rPr>
            </w:pPr>
          </w:p>
          <w:p w14:paraId="1777BF19">
            <w:pPr>
              <w:spacing w:line="242" w:lineRule="auto"/>
              <w:rPr>
                <w:rFonts w:ascii="Arial"/>
                <w:sz w:val="21"/>
              </w:rPr>
            </w:pPr>
          </w:p>
          <w:p w14:paraId="68096119">
            <w:pPr>
              <w:spacing w:line="243" w:lineRule="auto"/>
              <w:rPr>
                <w:rFonts w:ascii="Arial"/>
                <w:sz w:val="21"/>
              </w:rPr>
            </w:pPr>
          </w:p>
          <w:p w14:paraId="50C28876">
            <w:pPr>
              <w:spacing w:line="243" w:lineRule="auto"/>
              <w:rPr>
                <w:rFonts w:ascii="Arial"/>
                <w:sz w:val="21"/>
              </w:rPr>
            </w:pPr>
          </w:p>
          <w:p w14:paraId="5D45B457">
            <w:pPr>
              <w:pStyle w:val="6"/>
              <w:spacing w:before="99" w:line="187" w:lineRule="auto"/>
              <w:ind w:left="115" w:right="111" w:firstLine="2"/>
              <w:outlineLvl w:val="0"/>
            </w:pPr>
            <w:r>
              <w:rPr>
                <w:spacing w:val="11"/>
              </w:rPr>
              <w:t>从事礼花弹生产的企业将礼花弹销售给未经公安机关批准的燃放活动</w:t>
            </w:r>
            <w:r>
              <w:t>的</w:t>
            </w:r>
          </w:p>
        </w:tc>
        <w:tc>
          <w:tcPr>
            <w:tcW w:w="3202" w:type="dxa"/>
            <w:vMerge w:val="restart"/>
            <w:tcBorders>
              <w:bottom w:val="nil"/>
            </w:tcBorders>
            <w:vAlign w:val="top"/>
          </w:tcPr>
          <w:p w14:paraId="7F2BB98B">
            <w:pPr>
              <w:pStyle w:val="6"/>
              <w:spacing w:before="29" w:line="182" w:lineRule="auto"/>
              <w:ind w:left="119" w:right="111" w:hanging="21"/>
            </w:pPr>
            <w:r>
              <w:rPr>
                <w:spacing w:val="18"/>
              </w:rPr>
              <w:t>【部门规章】《烟花爆竹生</w:t>
            </w:r>
            <w:r>
              <w:rPr>
                <w:spacing w:val="17"/>
              </w:rPr>
              <w:t>产企业安全生产许可证实施</w:t>
            </w:r>
          </w:p>
          <w:p w14:paraId="445004C5">
            <w:pPr>
              <w:pStyle w:val="6"/>
              <w:spacing w:line="182" w:lineRule="auto"/>
              <w:ind w:left="130"/>
              <w:outlineLvl w:val="0"/>
            </w:pPr>
            <w:bookmarkStart w:id="650" w:name="bookmark356"/>
            <w:bookmarkEnd w:id="650"/>
            <w:r>
              <w:rPr>
                <w:spacing w:val="12"/>
              </w:rPr>
              <w:t>办法》第四十条第二款：企</w:t>
            </w:r>
          </w:p>
          <w:p w14:paraId="75FD97B8">
            <w:pPr>
              <w:pStyle w:val="6"/>
              <w:spacing w:before="5" w:line="185" w:lineRule="auto"/>
              <w:ind w:left="116" w:right="110" w:firstLine="11"/>
              <w:jc w:val="both"/>
            </w:pPr>
            <w:r>
              <w:rPr>
                <w:spacing w:val="16"/>
              </w:rPr>
              <w:t>业不得从其他企业购买烟花</w:t>
            </w:r>
            <w:r>
              <w:rPr>
                <w:spacing w:val="17"/>
              </w:rPr>
              <w:t>爆竹半成品加工后销售或者购买其他企业烟花爆竹成品</w:t>
            </w:r>
            <w:r>
              <w:rPr>
                <w:spacing w:val="13"/>
              </w:rPr>
              <w:t>加贴本企业标签后销售，不</w:t>
            </w:r>
            <w:r>
              <w:rPr>
                <w:spacing w:val="17"/>
              </w:rPr>
              <w:t>得向其他企业销售烟花爆竹半成品。从事礼花弹生产的企业不得将礼花弹销售给未</w:t>
            </w:r>
            <w:r>
              <w:rPr>
                <w:spacing w:val="39"/>
              </w:rPr>
              <w:t>经公安机关批准的燃放活</w:t>
            </w:r>
            <w:r>
              <w:rPr>
                <w:spacing w:val="-7"/>
              </w:rPr>
              <w:t>动。</w:t>
            </w:r>
          </w:p>
        </w:tc>
        <w:tc>
          <w:tcPr>
            <w:tcW w:w="2859" w:type="dxa"/>
            <w:vMerge w:val="restart"/>
            <w:tcBorders>
              <w:bottom w:val="nil"/>
            </w:tcBorders>
            <w:vAlign w:val="top"/>
          </w:tcPr>
          <w:p w14:paraId="03F3C784">
            <w:pPr>
              <w:pStyle w:val="6"/>
              <w:spacing w:before="35" w:line="182" w:lineRule="auto"/>
              <w:ind w:left="117" w:right="110" w:hanging="20"/>
              <w:jc w:val="both"/>
            </w:pPr>
            <w:r>
              <w:rPr>
                <w:spacing w:val="10"/>
              </w:rPr>
              <w:t>【部门规章】《烟花爆竹</w:t>
            </w:r>
            <w:r>
              <w:rPr>
                <w:spacing w:val="8"/>
              </w:rPr>
              <w:t>生产企业安全生产许可证实施办法》第四十四条第一款第二项、第二款：企</w:t>
            </w:r>
            <w:r>
              <w:rPr>
                <w:spacing w:val="5"/>
              </w:rPr>
              <w:t>业有下列行为之一的，依</w:t>
            </w:r>
            <w:r>
              <w:rPr>
                <w:spacing w:val="32"/>
              </w:rPr>
              <w:t>法暂扣其安全生产许可</w:t>
            </w:r>
            <w:r>
              <w:rPr>
                <w:spacing w:val="8"/>
              </w:rPr>
              <w:t>证</w:t>
            </w:r>
            <w:r>
              <w:rPr>
                <w:spacing w:val="9"/>
              </w:rPr>
              <w:t>：（</w:t>
            </w:r>
            <w:r>
              <w:rPr>
                <w:spacing w:val="8"/>
              </w:rPr>
              <w:t>二）从事礼花弹生产的企业将礼花弹销售给未经公安机关批准的燃放</w:t>
            </w:r>
            <w:r>
              <w:rPr>
                <w:spacing w:val="-4"/>
              </w:rPr>
              <w:t>活动的；</w:t>
            </w:r>
          </w:p>
          <w:p w14:paraId="01DE592D">
            <w:pPr>
              <w:pStyle w:val="6"/>
              <w:spacing w:line="177" w:lineRule="auto"/>
              <w:ind w:left="119" w:right="109"/>
            </w:pPr>
            <w:r>
              <w:rPr>
                <w:spacing w:val="8"/>
              </w:rPr>
              <w:t>企业有前款第一项、第二</w:t>
            </w:r>
            <w:r>
              <w:rPr>
                <w:spacing w:val="7"/>
              </w:rPr>
              <w:t>项、第三项行为之一的，</w:t>
            </w:r>
            <w:r>
              <w:rPr>
                <w:spacing w:val="-1"/>
              </w:rPr>
              <w:t>并处</w:t>
            </w:r>
            <w:r>
              <w:rPr>
                <w:rFonts w:ascii="宋体" w:hAnsi="宋体" w:eastAsia="宋体" w:cs="宋体"/>
                <w:spacing w:val="-1"/>
              </w:rPr>
              <w:t>1</w:t>
            </w:r>
            <w:r>
              <w:rPr>
                <w:spacing w:val="-1"/>
              </w:rPr>
              <w:t>万元以上</w:t>
            </w:r>
            <w:r>
              <w:rPr>
                <w:rFonts w:ascii="宋体" w:hAnsi="宋体" w:eastAsia="宋体" w:cs="宋体"/>
                <w:spacing w:val="-1"/>
              </w:rPr>
              <w:t>3</w:t>
            </w:r>
            <w:r>
              <w:rPr>
                <w:spacing w:val="-1"/>
              </w:rPr>
              <w:t>万元以下的罚款。</w:t>
            </w:r>
          </w:p>
        </w:tc>
        <w:tc>
          <w:tcPr>
            <w:tcW w:w="803" w:type="dxa"/>
            <w:vAlign w:val="top"/>
          </w:tcPr>
          <w:p w14:paraId="553D3FBA">
            <w:pPr>
              <w:spacing w:line="264" w:lineRule="auto"/>
              <w:rPr>
                <w:rFonts w:ascii="Arial"/>
                <w:sz w:val="21"/>
              </w:rPr>
            </w:pPr>
          </w:p>
          <w:p w14:paraId="1CC09344">
            <w:pPr>
              <w:spacing w:line="264" w:lineRule="auto"/>
              <w:rPr>
                <w:rFonts w:ascii="Arial"/>
                <w:sz w:val="21"/>
              </w:rPr>
            </w:pPr>
          </w:p>
          <w:p w14:paraId="6F247A27">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E845B79">
            <w:pPr>
              <w:spacing w:line="461" w:lineRule="auto"/>
              <w:rPr>
                <w:rFonts w:ascii="Arial"/>
                <w:sz w:val="21"/>
              </w:rPr>
            </w:pPr>
          </w:p>
          <w:p w14:paraId="191FE606">
            <w:pPr>
              <w:pStyle w:val="6"/>
              <w:spacing w:before="99" w:line="209" w:lineRule="auto"/>
              <w:ind w:left="133"/>
            </w:pPr>
            <w:r>
              <w:rPr>
                <w:spacing w:val="-6"/>
              </w:rPr>
              <w:t>涉及</w:t>
            </w:r>
            <w:r>
              <w:rPr>
                <w:rFonts w:ascii="宋体" w:hAnsi="宋体" w:eastAsia="宋体" w:cs="宋体"/>
                <w:spacing w:val="-6"/>
              </w:rPr>
              <w:t>1</w:t>
            </w:r>
            <w:r>
              <w:rPr>
                <w:spacing w:val="-6"/>
              </w:rPr>
              <w:t>场的</w:t>
            </w:r>
          </w:p>
        </w:tc>
        <w:tc>
          <w:tcPr>
            <w:tcW w:w="2894" w:type="dxa"/>
            <w:vAlign w:val="top"/>
          </w:tcPr>
          <w:p w14:paraId="3C9660D2">
            <w:pPr>
              <w:pStyle w:val="6"/>
              <w:spacing w:before="265" w:line="191" w:lineRule="auto"/>
              <w:ind w:left="119" w:right="103" w:firstLine="9"/>
              <w:jc w:val="both"/>
            </w:pPr>
            <w:r>
              <w:rPr>
                <w:spacing w:val="7"/>
              </w:rPr>
              <w:t>暂扣安全生产许可证，并</w:t>
            </w:r>
            <w:r>
              <w:t>处</w:t>
            </w:r>
            <w:r>
              <w:rPr>
                <w:rFonts w:ascii="宋体" w:hAnsi="宋体" w:eastAsia="宋体" w:cs="宋体"/>
              </w:rPr>
              <w:t>1</w:t>
            </w:r>
            <w:r>
              <w:t>万元以上</w:t>
            </w:r>
            <w:r>
              <w:rPr>
                <w:rFonts w:ascii="宋体" w:hAnsi="宋体" w:eastAsia="宋体" w:cs="宋体"/>
              </w:rPr>
              <w:t>1.5</w:t>
            </w:r>
            <w:r>
              <w:t>万元以</w:t>
            </w:r>
            <w:r>
              <w:rPr>
                <w:spacing w:val="6"/>
              </w:rPr>
              <w:t>下的罚款</w:t>
            </w:r>
          </w:p>
        </w:tc>
        <w:tc>
          <w:tcPr>
            <w:tcW w:w="811" w:type="dxa"/>
            <w:vMerge w:val="restart"/>
            <w:tcBorders>
              <w:bottom w:val="nil"/>
            </w:tcBorders>
            <w:vAlign w:val="top"/>
          </w:tcPr>
          <w:p w14:paraId="6501F68F">
            <w:pPr>
              <w:spacing w:line="241" w:lineRule="auto"/>
              <w:rPr>
                <w:rFonts w:ascii="Arial"/>
                <w:sz w:val="21"/>
              </w:rPr>
            </w:pPr>
          </w:p>
          <w:p w14:paraId="2471050A">
            <w:pPr>
              <w:spacing w:line="242" w:lineRule="auto"/>
              <w:rPr>
                <w:rFonts w:ascii="Arial"/>
                <w:sz w:val="21"/>
              </w:rPr>
            </w:pPr>
          </w:p>
          <w:p w14:paraId="6AC2777D">
            <w:pPr>
              <w:spacing w:line="242" w:lineRule="auto"/>
              <w:rPr>
                <w:rFonts w:ascii="Arial"/>
                <w:sz w:val="21"/>
              </w:rPr>
            </w:pPr>
          </w:p>
          <w:p w14:paraId="2882E34C">
            <w:pPr>
              <w:spacing w:line="242" w:lineRule="auto"/>
              <w:rPr>
                <w:rFonts w:ascii="Arial"/>
                <w:sz w:val="21"/>
              </w:rPr>
            </w:pPr>
          </w:p>
          <w:p w14:paraId="7FEB903F">
            <w:pPr>
              <w:spacing w:line="242" w:lineRule="auto"/>
              <w:rPr>
                <w:rFonts w:ascii="Arial"/>
                <w:sz w:val="21"/>
              </w:rPr>
            </w:pPr>
          </w:p>
          <w:p w14:paraId="0AB228A1">
            <w:pPr>
              <w:spacing w:line="242" w:lineRule="auto"/>
              <w:rPr>
                <w:rFonts w:ascii="Arial"/>
                <w:sz w:val="21"/>
              </w:rPr>
            </w:pPr>
          </w:p>
          <w:p w14:paraId="6D33ACC7">
            <w:pPr>
              <w:spacing w:line="242" w:lineRule="auto"/>
              <w:rPr>
                <w:rFonts w:ascii="Arial"/>
                <w:sz w:val="21"/>
              </w:rPr>
            </w:pPr>
          </w:p>
          <w:p w14:paraId="26CEEC56">
            <w:pPr>
              <w:spacing w:line="242" w:lineRule="auto"/>
              <w:rPr>
                <w:rFonts w:ascii="Arial"/>
                <w:sz w:val="21"/>
              </w:rPr>
            </w:pPr>
          </w:p>
          <w:p w14:paraId="65078713">
            <w:pPr>
              <w:spacing w:before="74" w:line="189" w:lineRule="auto"/>
              <w:ind w:left="248"/>
              <w:rPr>
                <w:rFonts w:ascii="宋体" w:hAnsi="宋体" w:eastAsia="宋体" w:cs="宋体"/>
                <w:sz w:val="23"/>
                <w:szCs w:val="23"/>
              </w:rPr>
            </w:pPr>
            <w:r>
              <w:rPr>
                <w:rFonts w:ascii="宋体" w:hAnsi="宋体" w:eastAsia="宋体" w:cs="宋体"/>
                <w:spacing w:val="-6"/>
                <w:sz w:val="23"/>
                <w:szCs w:val="23"/>
              </w:rPr>
              <w:t>136</w:t>
            </w:r>
          </w:p>
        </w:tc>
      </w:tr>
      <w:tr w14:paraId="554D5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818" w:type="dxa"/>
            <w:vMerge w:val="continue"/>
            <w:tcBorders>
              <w:top w:val="nil"/>
              <w:bottom w:val="nil"/>
            </w:tcBorders>
            <w:vAlign w:val="top"/>
          </w:tcPr>
          <w:p w14:paraId="27452B87">
            <w:pPr>
              <w:rPr>
                <w:rFonts w:ascii="Arial"/>
                <w:sz w:val="21"/>
              </w:rPr>
            </w:pPr>
          </w:p>
        </w:tc>
        <w:tc>
          <w:tcPr>
            <w:tcW w:w="1440" w:type="dxa"/>
            <w:vMerge w:val="continue"/>
            <w:tcBorders>
              <w:top w:val="nil"/>
              <w:bottom w:val="nil"/>
            </w:tcBorders>
            <w:vAlign w:val="top"/>
          </w:tcPr>
          <w:p w14:paraId="4D4ACBA2">
            <w:pPr>
              <w:rPr>
                <w:rFonts w:ascii="Arial"/>
                <w:sz w:val="21"/>
              </w:rPr>
            </w:pPr>
          </w:p>
        </w:tc>
        <w:tc>
          <w:tcPr>
            <w:tcW w:w="3202" w:type="dxa"/>
            <w:vMerge w:val="continue"/>
            <w:tcBorders>
              <w:top w:val="nil"/>
              <w:bottom w:val="nil"/>
            </w:tcBorders>
            <w:vAlign w:val="top"/>
          </w:tcPr>
          <w:p w14:paraId="559FC36F">
            <w:pPr>
              <w:rPr>
                <w:rFonts w:ascii="Arial"/>
                <w:sz w:val="21"/>
              </w:rPr>
            </w:pPr>
          </w:p>
        </w:tc>
        <w:tc>
          <w:tcPr>
            <w:tcW w:w="2859" w:type="dxa"/>
            <w:vMerge w:val="continue"/>
            <w:tcBorders>
              <w:top w:val="nil"/>
              <w:bottom w:val="nil"/>
            </w:tcBorders>
            <w:vAlign w:val="top"/>
          </w:tcPr>
          <w:p w14:paraId="07398A97">
            <w:pPr>
              <w:rPr>
                <w:rFonts w:ascii="Arial"/>
                <w:sz w:val="21"/>
              </w:rPr>
            </w:pPr>
          </w:p>
        </w:tc>
        <w:tc>
          <w:tcPr>
            <w:tcW w:w="803" w:type="dxa"/>
            <w:vAlign w:val="top"/>
          </w:tcPr>
          <w:p w14:paraId="20A507DE">
            <w:pPr>
              <w:spacing w:line="265" w:lineRule="auto"/>
              <w:rPr>
                <w:rFonts w:ascii="Arial"/>
                <w:sz w:val="21"/>
              </w:rPr>
            </w:pPr>
          </w:p>
          <w:p w14:paraId="6ECA16EC">
            <w:pPr>
              <w:spacing w:line="265" w:lineRule="auto"/>
              <w:rPr>
                <w:rFonts w:ascii="Arial"/>
                <w:sz w:val="21"/>
              </w:rPr>
            </w:pPr>
          </w:p>
          <w:p w14:paraId="1E0A72D8">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56994A0A">
            <w:pPr>
              <w:spacing w:line="461" w:lineRule="auto"/>
              <w:rPr>
                <w:rFonts w:ascii="Arial"/>
                <w:sz w:val="21"/>
              </w:rPr>
            </w:pPr>
          </w:p>
          <w:p w14:paraId="4E2AC519">
            <w:pPr>
              <w:pStyle w:val="6"/>
              <w:spacing w:before="99" w:line="209" w:lineRule="auto"/>
              <w:ind w:left="133"/>
            </w:pPr>
            <w:r>
              <w:rPr>
                <w:spacing w:val="-2"/>
              </w:rPr>
              <w:t>涉及</w:t>
            </w:r>
            <w:r>
              <w:rPr>
                <w:rFonts w:ascii="宋体" w:hAnsi="宋体" w:eastAsia="宋体" w:cs="宋体"/>
                <w:spacing w:val="-2"/>
              </w:rPr>
              <w:t>2</w:t>
            </w:r>
            <w:r>
              <w:rPr>
                <w:spacing w:val="-2"/>
              </w:rPr>
              <w:t>场的</w:t>
            </w:r>
          </w:p>
        </w:tc>
        <w:tc>
          <w:tcPr>
            <w:tcW w:w="2894" w:type="dxa"/>
            <w:vAlign w:val="top"/>
          </w:tcPr>
          <w:p w14:paraId="330FC179">
            <w:pPr>
              <w:pStyle w:val="6"/>
              <w:spacing w:before="265" w:line="191" w:lineRule="auto"/>
              <w:ind w:left="119" w:right="103" w:firstLine="9"/>
              <w:jc w:val="both"/>
            </w:pPr>
            <w:r>
              <w:rPr>
                <w:spacing w:val="7"/>
              </w:rPr>
              <w:t>暂扣安全生产许可证，并</w:t>
            </w:r>
            <w:r>
              <w:rPr>
                <w:spacing w:val="2"/>
              </w:rPr>
              <w:t>处</w:t>
            </w:r>
            <w:r>
              <w:rPr>
                <w:rFonts w:ascii="宋体" w:hAnsi="宋体" w:eastAsia="宋体" w:cs="宋体"/>
                <w:spacing w:val="2"/>
              </w:rPr>
              <w:t>1.5</w:t>
            </w:r>
            <w:r>
              <w:rPr>
                <w:spacing w:val="2"/>
              </w:rPr>
              <w:t>万元以上</w:t>
            </w:r>
            <w:r>
              <w:rPr>
                <w:rFonts w:ascii="宋体" w:hAnsi="宋体" w:eastAsia="宋体" w:cs="宋体"/>
                <w:spacing w:val="2"/>
              </w:rPr>
              <w:t>2</w:t>
            </w:r>
            <w:r>
              <w:rPr>
                <w:spacing w:val="2"/>
              </w:rPr>
              <w:t>万元以</w:t>
            </w:r>
            <w:r>
              <w:rPr>
                <w:spacing w:val="6"/>
              </w:rPr>
              <w:t>下的罚款</w:t>
            </w:r>
          </w:p>
        </w:tc>
        <w:tc>
          <w:tcPr>
            <w:tcW w:w="811" w:type="dxa"/>
            <w:vMerge w:val="continue"/>
            <w:tcBorders>
              <w:top w:val="nil"/>
              <w:bottom w:val="nil"/>
            </w:tcBorders>
            <w:vAlign w:val="top"/>
          </w:tcPr>
          <w:p w14:paraId="3AEC3C53">
            <w:pPr>
              <w:rPr>
                <w:rFonts w:ascii="Arial"/>
                <w:sz w:val="21"/>
              </w:rPr>
            </w:pPr>
          </w:p>
        </w:tc>
      </w:tr>
      <w:tr w14:paraId="587C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5" w:hRule="atLeast"/>
        </w:trPr>
        <w:tc>
          <w:tcPr>
            <w:tcW w:w="818" w:type="dxa"/>
            <w:vMerge w:val="continue"/>
            <w:tcBorders>
              <w:top w:val="nil"/>
            </w:tcBorders>
            <w:vAlign w:val="top"/>
          </w:tcPr>
          <w:p w14:paraId="7D5C10DB">
            <w:pPr>
              <w:rPr>
                <w:rFonts w:ascii="Arial"/>
                <w:sz w:val="21"/>
              </w:rPr>
            </w:pPr>
          </w:p>
        </w:tc>
        <w:tc>
          <w:tcPr>
            <w:tcW w:w="1440" w:type="dxa"/>
            <w:vMerge w:val="continue"/>
            <w:tcBorders>
              <w:top w:val="nil"/>
            </w:tcBorders>
            <w:vAlign w:val="top"/>
          </w:tcPr>
          <w:p w14:paraId="6E742CEF">
            <w:pPr>
              <w:rPr>
                <w:rFonts w:ascii="Arial"/>
                <w:sz w:val="21"/>
              </w:rPr>
            </w:pPr>
          </w:p>
        </w:tc>
        <w:tc>
          <w:tcPr>
            <w:tcW w:w="3202" w:type="dxa"/>
            <w:vMerge w:val="continue"/>
            <w:tcBorders>
              <w:top w:val="nil"/>
            </w:tcBorders>
            <w:vAlign w:val="top"/>
          </w:tcPr>
          <w:p w14:paraId="32DF5220">
            <w:pPr>
              <w:rPr>
                <w:rFonts w:ascii="Arial"/>
                <w:sz w:val="21"/>
              </w:rPr>
            </w:pPr>
          </w:p>
        </w:tc>
        <w:tc>
          <w:tcPr>
            <w:tcW w:w="2859" w:type="dxa"/>
            <w:vMerge w:val="continue"/>
            <w:tcBorders>
              <w:top w:val="nil"/>
            </w:tcBorders>
            <w:vAlign w:val="top"/>
          </w:tcPr>
          <w:p w14:paraId="49B0FD45">
            <w:pPr>
              <w:rPr>
                <w:rFonts w:ascii="Arial"/>
                <w:sz w:val="21"/>
              </w:rPr>
            </w:pPr>
          </w:p>
        </w:tc>
        <w:tc>
          <w:tcPr>
            <w:tcW w:w="803" w:type="dxa"/>
            <w:vAlign w:val="top"/>
          </w:tcPr>
          <w:p w14:paraId="019E2E8B">
            <w:pPr>
              <w:spacing w:line="283" w:lineRule="auto"/>
              <w:rPr>
                <w:rFonts w:ascii="Arial"/>
                <w:sz w:val="21"/>
              </w:rPr>
            </w:pPr>
          </w:p>
          <w:p w14:paraId="740268C8">
            <w:pPr>
              <w:spacing w:line="283" w:lineRule="auto"/>
              <w:rPr>
                <w:rFonts w:ascii="Arial"/>
                <w:sz w:val="21"/>
              </w:rPr>
            </w:pPr>
          </w:p>
          <w:p w14:paraId="2E60F5AB">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18451B5">
            <w:pPr>
              <w:spacing w:line="248" w:lineRule="auto"/>
              <w:rPr>
                <w:rFonts w:ascii="Arial"/>
                <w:sz w:val="21"/>
              </w:rPr>
            </w:pPr>
          </w:p>
          <w:p w14:paraId="63AA2C4F">
            <w:pPr>
              <w:spacing w:line="248" w:lineRule="auto"/>
              <w:rPr>
                <w:rFonts w:ascii="Arial"/>
                <w:sz w:val="21"/>
              </w:rPr>
            </w:pPr>
          </w:p>
          <w:p w14:paraId="34BAD062">
            <w:pPr>
              <w:pStyle w:val="6"/>
              <w:spacing w:before="99" w:line="209" w:lineRule="auto"/>
              <w:ind w:left="133"/>
            </w:pPr>
            <w:r>
              <w:rPr>
                <w:spacing w:val="1"/>
              </w:rPr>
              <w:t>涉及</w:t>
            </w:r>
            <w:r>
              <w:rPr>
                <w:rFonts w:ascii="宋体" w:hAnsi="宋体" w:eastAsia="宋体" w:cs="宋体"/>
                <w:spacing w:val="1"/>
              </w:rPr>
              <w:t>3</w:t>
            </w:r>
            <w:r>
              <w:rPr>
                <w:spacing w:val="1"/>
              </w:rPr>
              <w:t>场以上的</w:t>
            </w:r>
          </w:p>
        </w:tc>
        <w:tc>
          <w:tcPr>
            <w:tcW w:w="2894" w:type="dxa"/>
            <w:vAlign w:val="top"/>
          </w:tcPr>
          <w:p w14:paraId="48A07DE9">
            <w:pPr>
              <w:pStyle w:val="6"/>
              <w:spacing w:before="300" w:line="191" w:lineRule="auto"/>
              <w:ind w:left="119" w:right="106" w:firstLine="9"/>
              <w:jc w:val="both"/>
            </w:pPr>
            <w:r>
              <w:rPr>
                <w:spacing w:val="7"/>
              </w:rPr>
              <w:t>暂扣安全生产许可证，并</w:t>
            </w:r>
            <w:r>
              <w:rPr>
                <w:spacing w:val="3"/>
              </w:rPr>
              <w:t>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万元以下</w:t>
            </w:r>
            <w:r>
              <w:rPr>
                <w:spacing w:val="5"/>
              </w:rPr>
              <w:t>的罚款</w:t>
            </w:r>
          </w:p>
        </w:tc>
        <w:tc>
          <w:tcPr>
            <w:tcW w:w="811" w:type="dxa"/>
            <w:vMerge w:val="continue"/>
            <w:tcBorders>
              <w:top w:val="nil"/>
            </w:tcBorders>
            <w:vAlign w:val="top"/>
          </w:tcPr>
          <w:p w14:paraId="79F1004E">
            <w:pPr>
              <w:rPr>
                <w:rFonts w:ascii="Arial"/>
                <w:sz w:val="21"/>
              </w:rPr>
            </w:pPr>
          </w:p>
        </w:tc>
      </w:tr>
      <w:tr w14:paraId="07C3B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restart"/>
            <w:tcBorders>
              <w:bottom w:val="nil"/>
            </w:tcBorders>
            <w:vAlign w:val="top"/>
          </w:tcPr>
          <w:p w14:paraId="62D540C7">
            <w:pPr>
              <w:spacing w:line="250" w:lineRule="auto"/>
              <w:rPr>
                <w:rFonts w:ascii="Arial"/>
                <w:sz w:val="21"/>
              </w:rPr>
            </w:pPr>
          </w:p>
          <w:p w14:paraId="123D44DC">
            <w:pPr>
              <w:spacing w:line="250" w:lineRule="auto"/>
              <w:rPr>
                <w:rFonts w:ascii="Arial"/>
                <w:sz w:val="21"/>
              </w:rPr>
            </w:pPr>
          </w:p>
          <w:p w14:paraId="349B1492">
            <w:pPr>
              <w:spacing w:line="251" w:lineRule="auto"/>
              <w:rPr>
                <w:rFonts w:ascii="Arial"/>
                <w:sz w:val="21"/>
              </w:rPr>
            </w:pPr>
          </w:p>
          <w:p w14:paraId="319EA689">
            <w:pPr>
              <w:spacing w:line="251" w:lineRule="auto"/>
              <w:rPr>
                <w:rFonts w:ascii="Arial"/>
                <w:sz w:val="21"/>
              </w:rPr>
            </w:pPr>
          </w:p>
          <w:p w14:paraId="63FFB483">
            <w:pPr>
              <w:spacing w:line="251" w:lineRule="auto"/>
              <w:rPr>
                <w:rFonts w:ascii="Arial"/>
                <w:sz w:val="21"/>
              </w:rPr>
            </w:pPr>
          </w:p>
          <w:p w14:paraId="6BB94353">
            <w:pPr>
              <w:spacing w:line="251" w:lineRule="auto"/>
              <w:rPr>
                <w:rFonts w:ascii="Arial"/>
                <w:sz w:val="21"/>
              </w:rPr>
            </w:pPr>
          </w:p>
          <w:p w14:paraId="0B103B13">
            <w:pPr>
              <w:spacing w:line="251" w:lineRule="auto"/>
              <w:rPr>
                <w:rFonts w:ascii="Arial"/>
                <w:sz w:val="21"/>
              </w:rPr>
            </w:pPr>
          </w:p>
          <w:p w14:paraId="345EA9AB">
            <w:pPr>
              <w:spacing w:line="251" w:lineRule="auto"/>
              <w:rPr>
                <w:rFonts w:ascii="Arial"/>
                <w:sz w:val="21"/>
              </w:rPr>
            </w:pPr>
          </w:p>
          <w:p w14:paraId="33954E3B">
            <w:pPr>
              <w:spacing w:line="251" w:lineRule="auto"/>
              <w:rPr>
                <w:rFonts w:ascii="Arial"/>
                <w:sz w:val="21"/>
              </w:rPr>
            </w:pPr>
          </w:p>
          <w:p w14:paraId="6852550C">
            <w:pPr>
              <w:spacing w:before="75" w:line="186" w:lineRule="auto"/>
              <w:ind w:left="161"/>
              <w:rPr>
                <w:rFonts w:ascii="仿宋" w:hAnsi="仿宋" w:eastAsia="仿宋" w:cs="仿宋"/>
                <w:sz w:val="23"/>
                <w:szCs w:val="23"/>
              </w:rPr>
            </w:pPr>
            <w:r>
              <w:rPr>
                <w:rFonts w:ascii="仿宋" w:hAnsi="仿宋" w:eastAsia="仿宋" w:cs="仿宋"/>
                <w:spacing w:val="-5"/>
                <w:sz w:val="23"/>
                <w:szCs w:val="23"/>
              </w:rPr>
              <w:t>174</w:t>
            </w:r>
          </w:p>
        </w:tc>
        <w:tc>
          <w:tcPr>
            <w:tcW w:w="1440" w:type="dxa"/>
            <w:vMerge w:val="restart"/>
            <w:tcBorders>
              <w:bottom w:val="nil"/>
            </w:tcBorders>
            <w:vAlign w:val="top"/>
          </w:tcPr>
          <w:p w14:paraId="3B11F5F6">
            <w:pPr>
              <w:rPr>
                <w:rFonts w:ascii="Arial"/>
                <w:sz w:val="21"/>
              </w:rPr>
            </w:pPr>
          </w:p>
          <w:p w14:paraId="229C3F07">
            <w:pPr>
              <w:rPr>
                <w:rFonts w:ascii="Arial"/>
                <w:sz w:val="21"/>
              </w:rPr>
            </w:pPr>
          </w:p>
          <w:p w14:paraId="6684DE89">
            <w:pPr>
              <w:rPr>
                <w:rFonts w:ascii="Arial"/>
                <w:sz w:val="21"/>
              </w:rPr>
            </w:pPr>
          </w:p>
          <w:p w14:paraId="34B2A68F">
            <w:pPr>
              <w:rPr>
                <w:rFonts w:ascii="Arial"/>
                <w:sz w:val="21"/>
              </w:rPr>
            </w:pPr>
          </w:p>
          <w:p w14:paraId="5CFA7B69">
            <w:pPr>
              <w:rPr>
                <w:rFonts w:ascii="Arial"/>
                <w:sz w:val="21"/>
              </w:rPr>
            </w:pPr>
          </w:p>
          <w:p w14:paraId="6ED1ACFD">
            <w:pPr>
              <w:rPr>
                <w:rFonts w:ascii="Arial"/>
                <w:sz w:val="21"/>
              </w:rPr>
            </w:pPr>
          </w:p>
          <w:p w14:paraId="71B593A4">
            <w:pPr>
              <w:pStyle w:val="6"/>
              <w:spacing w:before="99" w:line="187" w:lineRule="auto"/>
              <w:ind w:left="112" w:right="111" w:firstLine="7"/>
              <w:jc w:val="both"/>
            </w:pPr>
            <w:r>
              <w:rPr>
                <w:spacing w:val="10"/>
              </w:rPr>
              <w:t>烟花爆竹生</w:t>
            </w:r>
            <w:r>
              <w:rPr>
                <w:spacing w:val="12"/>
              </w:rPr>
              <w:t>产企业未按照安全生产许可证核定的产品种类</w:t>
            </w:r>
            <w:r>
              <w:rPr>
                <w:spacing w:val="7"/>
              </w:rPr>
              <w:t>进行生产的</w:t>
            </w:r>
          </w:p>
        </w:tc>
        <w:tc>
          <w:tcPr>
            <w:tcW w:w="3202" w:type="dxa"/>
            <w:vMerge w:val="restart"/>
            <w:tcBorders>
              <w:bottom w:val="nil"/>
            </w:tcBorders>
            <w:vAlign w:val="top"/>
          </w:tcPr>
          <w:p w14:paraId="25B7C64C">
            <w:pPr>
              <w:pStyle w:val="6"/>
              <w:spacing w:before="34" w:line="186" w:lineRule="auto"/>
              <w:ind w:left="117" w:right="111" w:hanging="19"/>
              <w:jc w:val="both"/>
            </w:pPr>
            <w:r>
              <w:rPr>
                <w:spacing w:val="18"/>
              </w:rPr>
              <w:t>【行政法规】《烟花爆竹安</w:t>
            </w:r>
            <w:r>
              <w:rPr>
                <w:spacing w:val="12"/>
              </w:rPr>
              <w:t>全管理条例》第十一条：生</w:t>
            </w:r>
            <w:r>
              <w:rPr>
                <w:spacing w:val="13"/>
              </w:rPr>
              <w:t>产烟花爆竹的企业，应当按</w:t>
            </w:r>
            <w:r>
              <w:rPr>
                <w:spacing w:val="17"/>
              </w:rPr>
              <w:t>照安全生产许可证核定的产</w:t>
            </w:r>
            <w:r>
              <w:rPr>
                <w:spacing w:val="12"/>
              </w:rPr>
              <w:t>品种类进行生产，生产工序</w:t>
            </w:r>
            <w:r>
              <w:rPr>
                <w:spacing w:val="17"/>
              </w:rPr>
              <w:t>和生产作业应当执行有关国</w:t>
            </w:r>
            <w:r>
              <w:rPr>
                <w:spacing w:val="4"/>
              </w:rPr>
              <w:t>家标准和行业标准。</w:t>
            </w:r>
          </w:p>
        </w:tc>
        <w:tc>
          <w:tcPr>
            <w:tcW w:w="2859" w:type="dxa"/>
            <w:vMerge w:val="restart"/>
            <w:tcBorders>
              <w:bottom w:val="nil"/>
            </w:tcBorders>
            <w:vAlign w:val="top"/>
          </w:tcPr>
          <w:p w14:paraId="4DEA9D80">
            <w:pPr>
              <w:pStyle w:val="6"/>
              <w:spacing w:before="41" w:line="184" w:lineRule="auto"/>
              <w:ind w:left="97" w:right="40"/>
              <w:jc w:val="both"/>
            </w:pPr>
            <w:r>
              <w:rPr>
                <w:spacing w:val="10"/>
              </w:rPr>
              <w:t>【行政法规】《烟花爆竹安全管理条例》第三十七条第一项：生产烟花爆竹</w:t>
            </w:r>
            <w:r>
              <w:rPr>
                <w:spacing w:val="28"/>
              </w:rPr>
              <w:t>的企业有下列行为之一</w:t>
            </w:r>
            <w:r>
              <w:rPr>
                <w:spacing w:val="10"/>
              </w:rPr>
              <w:t>的，由安全生产监督管理</w:t>
            </w:r>
            <w:r>
              <w:rPr>
                <w:spacing w:val="9"/>
              </w:rPr>
              <w:t>部门责令限期改正，处</w:t>
            </w:r>
            <w:r>
              <w:rPr>
                <w:rFonts w:ascii="宋体" w:hAnsi="宋体" w:eastAsia="宋体" w:cs="宋体"/>
                <w:spacing w:val="9"/>
              </w:rPr>
              <w:t>1</w:t>
            </w:r>
            <w:r>
              <w:rPr>
                <w:spacing w:val="6"/>
              </w:rPr>
              <w:t>万元以上</w:t>
            </w:r>
            <w:r>
              <w:rPr>
                <w:rFonts w:ascii="宋体" w:hAnsi="宋体" w:eastAsia="宋体" w:cs="宋体"/>
                <w:spacing w:val="6"/>
              </w:rPr>
              <w:t>5</w:t>
            </w:r>
            <w:r>
              <w:rPr>
                <w:spacing w:val="6"/>
              </w:rPr>
              <w:t>万元以下的罚</w:t>
            </w:r>
            <w:r>
              <w:rPr>
                <w:spacing w:val="10"/>
              </w:rPr>
              <w:t>款；逾期不改正的，责令停产停业整顿，情节严重</w:t>
            </w:r>
            <w:r>
              <w:rPr>
                <w:spacing w:val="-4"/>
              </w:rPr>
              <w:t>的，吊销安全生产许可证：</w:t>
            </w:r>
            <w:r>
              <w:t>（一）未按照安全生产许</w:t>
            </w:r>
            <w:r>
              <w:rPr>
                <w:spacing w:val="10"/>
              </w:rPr>
              <w:t>可证核定的产品种类进行</w:t>
            </w:r>
            <w:r>
              <w:rPr>
                <w:spacing w:val="-1"/>
              </w:rPr>
              <w:t>生产的；</w:t>
            </w:r>
          </w:p>
        </w:tc>
        <w:tc>
          <w:tcPr>
            <w:tcW w:w="803" w:type="dxa"/>
            <w:vAlign w:val="top"/>
          </w:tcPr>
          <w:p w14:paraId="59EAC453">
            <w:pPr>
              <w:spacing w:line="297" w:lineRule="auto"/>
              <w:rPr>
                <w:rFonts w:ascii="Arial"/>
                <w:sz w:val="21"/>
              </w:rPr>
            </w:pPr>
          </w:p>
          <w:p w14:paraId="6D1FC23B">
            <w:pPr>
              <w:spacing w:line="297" w:lineRule="auto"/>
              <w:rPr>
                <w:rFonts w:ascii="Arial"/>
                <w:sz w:val="21"/>
              </w:rPr>
            </w:pPr>
          </w:p>
          <w:p w14:paraId="4BB24931">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68F9342">
            <w:pPr>
              <w:pStyle w:val="6"/>
              <w:spacing w:before="182" w:line="189" w:lineRule="auto"/>
              <w:ind w:left="121" w:right="105" w:hanging="3"/>
              <w:jc w:val="both"/>
            </w:pPr>
            <w:r>
              <w:rPr>
                <w:spacing w:val="26"/>
              </w:rPr>
              <w:t>未按照安全生产许</w:t>
            </w:r>
            <w:r>
              <w:rPr>
                <w:spacing w:val="25"/>
              </w:rPr>
              <w:t>可证核定的产品种</w:t>
            </w:r>
            <w:r>
              <w:rPr>
                <w:spacing w:val="17"/>
              </w:rPr>
              <w:t>类生产</w:t>
            </w:r>
            <w:r>
              <w:rPr>
                <w:rFonts w:ascii="宋体" w:hAnsi="宋体" w:eastAsia="宋体" w:cs="宋体"/>
                <w:spacing w:val="17"/>
              </w:rPr>
              <w:t>C</w:t>
            </w:r>
            <w:r>
              <w:rPr>
                <w:spacing w:val="17"/>
              </w:rPr>
              <w:t>级或者</w:t>
            </w:r>
            <w:r>
              <w:rPr>
                <w:rFonts w:ascii="宋体" w:hAnsi="宋体" w:eastAsia="宋体" w:cs="宋体"/>
                <w:spacing w:val="17"/>
              </w:rPr>
              <w:t>D</w:t>
            </w:r>
            <w:r>
              <w:rPr>
                <w:spacing w:val="6"/>
              </w:rPr>
              <w:t>级烟花爆竹的</w:t>
            </w:r>
          </w:p>
        </w:tc>
        <w:tc>
          <w:tcPr>
            <w:tcW w:w="2894" w:type="dxa"/>
            <w:vAlign w:val="top"/>
          </w:tcPr>
          <w:p w14:paraId="7A355243">
            <w:pPr>
              <w:pStyle w:val="6"/>
              <w:spacing w:before="30" w:line="178" w:lineRule="auto"/>
              <w:ind w:left="117" w:right="103" w:firstLine="10"/>
            </w:pPr>
            <w:r>
              <w:rPr>
                <w:spacing w:val="2"/>
              </w:rPr>
              <w:t>责令限期改正，处</w:t>
            </w:r>
            <w:r>
              <w:rPr>
                <w:rFonts w:ascii="宋体" w:hAnsi="宋体" w:eastAsia="宋体" w:cs="宋体"/>
                <w:spacing w:val="2"/>
              </w:rPr>
              <w:t>1</w:t>
            </w:r>
            <w:r>
              <w:rPr>
                <w:spacing w:val="2"/>
              </w:rPr>
              <w:t>万元</w:t>
            </w:r>
            <w:r>
              <w:rPr>
                <w:spacing w:val="3"/>
              </w:rPr>
              <w:t>以上</w:t>
            </w:r>
            <w:r>
              <w:rPr>
                <w:rFonts w:ascii="宋体" w:hAnsi="宋体" w:eastAsia="宋体" w:cs="宋体"/>
                <w:spacing w:val="3"/>
              </w:rPr>
              <w:t>2</w:t>
            </w:r>
            <w:r>
              <w:rPr>
                <w:spacing w:val="3"/>
              </w:rPr>
              <w:t>万元以下的罚款；</w:t>
            </w:r>
            <w:r>
              <w:rPr>
                <w:spacing w:val="8"/>
              </w:rPr>
              <w:t>逾期不改正的，责令停产</w:t>
            </w:r>
            <w:r>
              <w:rPr>
                <w:spacing w:val="7"/>
              </w:rPr>
              <w:t>停业整顿，情节严重的，</w:t>
            </w:r>
            <w:r>
              <w:rPr>
                <w:spacing w:val="8"/>
              </w:rPr>
              <w:t>吊销安全生产许可证</w:t>
            </w:r>
          </w:p>
        </w:tc>
        <w:tc>
          <w:tcPr>
            <w:tcW w:w="811" w:type="dxa"/>
            <w:vMerge w:val="restart"/>
            <w:tcBorders>
              <w:bottom w:val="nil"/>
            </w:tcBorders>
            <w:vAlign w:val="top"/>
          </w:tcPr>
          <w:p w14:paraId="59B570A5">
            <w:pPr>
              <w:spacing w:line="250" w:lineRule="auto"/>
              <w:rPr>
                <w:rFonts w:ascii="Arial"/>
                <w:sz w:val="21"/>
              </w:rPr>
            </w:pPr>
          </w:p>
          <w:p w14:paraId="5C6A6E2F">
            <w:pPr>
              <w:spacing w:line="250" w:lineRule="auto"/>
              <w:rPr>
                <w:rFonts w:ascii="Arial"/>
                <w:sz w:val="21"/>
              </w:rPr>
            </w:pPr>
          </w:p>
          <w:p w14:paraId="06532AC2">
            <w:pPr>
              <w:spacing w:line="250" w:lineRule="auto"/>
              <w:rPr>
                <w:rFonts w:ascii="Arial"/>
                <w:sz w:val="21"/>
              </w:rPr>
            </w:pPr>
          </w:p>
          <w:p w14:paraId="36E69C22">
            <w:pPr>
              <w:spacing w:line="250" w:lineRule="auto"/>
              <w:rPr>
                <w:rFonts w:ascii="Arial"/>
                <w:sz w:val="21"/>
              </w:rPr>
            </w:pPr>
          </w:p>
          <w:p w14:paraId="5F343E43">
            <w:pPr>
              <w:spacing w:line="250" w:lineRule="auto"/>
              <w:rPr>
                <w:rFonts w:ascii="Arial"/>
                <w:sz w:val="21"/>
              </w:rPr>
            </w:pPr>
          </w:p>
          <w:p w14:paraId="0626FCF6">
            <w:pPr>
              <w:spacing w:line="250" w:lineRule="auto"/>
              <w:rPr>
                <w:rFonts w:ascii="Arial"/>
                <w:sz w:val="21"/>
              </w:rPr>
            </w:pPr>
          </w:p>
          <w:p w14:paraId="0FC4F863">
            <w:pPr>
              <w:spacing w:line="251" w:lineRule="auto"/>
              <w:rPr>
                <w:rFonts w:ascii="Arial"/>
                <w:sz w:val="21"/>
              </w:rPr>
            </w:pPr>
          </w:p>
          <w:p w14:paraId="79D35ACF">
            <w:pPr>
              <w:spacing w:line="251" w:lineRule="auto"/>
              <w:rPr>
                <w:rFonts w:ascii="Arial"/>
                <w:sz w:val="21"/>
              </w:rPr>
            </w:pPr>
          </w:p>
          <w:p w14:paraId="5C2F09C7">
            <w:pPr>
              <w:spacing w:line="251" w:lineRule="auto"/>
              <w:rPr>
                <w:rFonts w:ascii="Arial"/>
                <w:sz w:val="21"/>
              </w:rPr>
            </w:pPr>
          </w:p>
          <w:p w14:paraId="7456FBA9">
            <w:pPr>
              <w:spacing w:before="75" w:line="189" w:lineRule="auto"/>
              <w:ind w:left="248"/>
              <w:rPr>
                <w:rFonts w:ascii="宋体" w:hAnsi="宋体" w:eastAsia="宋体" w:cs="宋体"/>
                <w:sz w:val="23"/>
                <w:szCs w:val="23"/>
              </w:rPr>
            </w:pPr>
            <w:r>
              <w:rPr>
                <w:rFonts w:ascii="宋体" w:hAnsi="宋体" w:eastAsia="宋体" w:cs="宋体"/>
                <w:spacing w:val="-6"/>
                <w:sz w:val="23"/>
                <w:szCs w:val="23"/>
              </w:rPr>
              <w:t>137</w:t>
            </w:r>
          </w:p>
        </w:tc>
      </w:tr>
      <w:tr w14:paraId="1FECD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6" w:hRule="atLeast"/>
        </w:trPr>
        <w:tc>
          <w:tcPr>
            <w:tcW w:w="818" w:type="dxa"/>
            <w:vMerge w:val="continue"/>
            <w:tcBorders>
              <w:top w:val="nil"/>
              <w:bottom w:val="nil"/>
            </w:tcBorders>
            <w:vAlign w:val="top"/>
          </w:tcPr>
          <w:p w14:paraId="17049DD6">
            <w:pPr>
              <w:rPr>
                <w:rFonts w:ascii="Arial"/>
                <w:sz w:val="21"/>
              </w:rPr>
            </w:pPr>
          </w:p>
        </w:tc>
        <w:tc>
          <w:tcPr>
            <w:tcW w:w="1440" w:type="dxa"/>
            <w:vMerge w:val="continue"/>
            <w:tcBorders>
              <w:top w:val="nil"/>
              <w:bottom w:val="nil"/>
            </w:tcBorders>
            <w:vAlign w:val="top"/>
          </w:tcPr>
          <w:p w14:paraId="08AF407E">
            <w:pPr>
              <w:rPr>
                <w:rFonts w:ascii="Arial"/>
                <w:sz w:val="21"/>
              </w:rPr>
            </w:pPr>
          </w:p>
        </w:tc>
        <w:tc>
          <w:tcPr>
            <w:tcW w:w="3202" w:type="dxa"/>
            <w:vMerge w:val="continue"/>
            <w:tcBorders>
              <w:top w:val="nil"/>
              <w:bottom w:val="nil"/>
            </w:tcBorders>
            <w:vAlign w:val="top"/>
          </w:tcPr>
          <w:p w14:paraId="5E18C3F9">
            <w:pPr>
              <w:rPr>
                <w:rFonts w:ascii="Arial"/>
                <w:sz w:val="21"/>
              </w:rPr>
            </w:pPr>
          </w:p>
        </w:tc>
        <w:tc>
          <w:tcPr>
            <w:tcW w:w="2859" w:type="dxa"/>
            <w:vMerge w:val="continue"/>
            <w:tcBorders>
              <w:top w:val="nil"/>
              <w:bottom w:val="nil"/>
            </w:tcBorders>
            <w:vAlign w:val="top"/>
          </w:tcPr>
          <w:p w14:paraId="52D6900B">
            <w:pPr>
              <w:rPr>
                <w:rFonts w:ascii="Arial"/>
                <w:sz w:val="21"/>
              </w:rPr>
            </w:pPr>
          </w:p>
        </w:tc>
        <w:tc>
          <w:tcPr>
            <w:tcW w:w="803" w:type="dxa"/>
            <w:vAlign w:val="top"/>
          </w:tcPr>
          <w:p w14:paraId="5C6358CE">
            <w:pPr>
              <w:spacing w:line="324" w:lineRule="auto"/>
              <w:rPr>
                <w:rFonts w:ascii="Arial"/>
                <w:sz w:val="21"/>
              </w:rPr>
            </w:pPr>
          </w:p>
          <w:p w14:paraId="25C53B9E">
            <w:pPr>
              <w:spacing w:line="325" w:lineRule="auto"/>
              <w:rPr>
                <w:rFonts w:ascii="Arial"/>
                <w:sz w:val="21"/>
              </w:rPr>
            </w:pPr>
          </w:p>
          <w:p w14:paraId="7BE56C2C">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98C3D25">
            <w:pPr>
              <w:pStyle w:val="6"/>
              <w:spacing w:before="234" w:line="189" w:lineRule="auto"/>
              <w:ind w:left="118" w:right="109"/>
              <w:jc w:val="both"/>
            </w:pPr>
            <w:r>
              <w:rPr>
                <w:spacing w:val="26"/>
              </w:rPr>
              <w:t>未按照安全生产许可证核定的产品种</w:t>
            </w:r>
            <w:r>
              <w:rPr>
                <w:spacing w:val="17"/>
              </w:rPr>
              <w:t>类生产</w:t>
            </w:r>
            <w:r>
              <w:rPr>
                <w:rFonts w:ascii="宋体" w:hAnsi="宋体" w:eastAsia="宋体" w:cs="宋体"/>
                <w:spacing w:val="17"/>
              </w:rPr>
              <w:t>B</w:t>
            </w:r>
            <w:r>
              <w:rPr>
                <w:spacing w:val="17"/>
              </w:rPr>
              <w:t>级烟花爆</w:t>
            </w:r>
            <w:r>
              <w:rPr>
                <w:spacing w:val="1"/>
              </w:rPr>
              <w:t>竹的</w:t>
            </w:r>
          </w:p>
        </w:tc>
        <w:tc>
          <w:tcPr>
            <w:tcW w:w="2894" w:type="dxa"/>
            <w:vAlign w:val="top"/>
          </w:tcPr>
          <w:p w14:paraId="1DABD759">
            <w:pPr>
              <w:pStyle w:val="6"/>
              <w:spacing w:before="83" w:line="184" w:lineRule="auto"/>
              <w:ind w:left="117" w:right="103" w:firstLine="10"/>
            </w:pPr>
            <w:r>
              <w:rPr>
                <w:spacing w:val="4"/>
              </w:rPr>
              <w:t>责令限期改正，处</w:t>
            </w:r>
            <w:r>
              <w:rPr>
                <w:rFonts w:ascii="宋体" w:hAnsi="宋体" w:eastAsia="宋体" w:cs="宋体"/>
                <w:spacing w:val="4"/>
              </w:rPr>
              <w:t>2</w:t>
            </w:r>
            <w:r>
              <w:rPr>
                <w:spacing w:val="4"/>
              </w:rPr>
              <w:t>万元</w:t>
            </w:r>
            <w:r>
              <w:rPr>
                <w:spacing w:val="3"/>
              </w:rPr>
              <w:t>以上</w:t>
            </w:r>
            <w:r>
              <w:rPr>
                <w:rFonts w:ascii="宋体" w:hAnsi="宋体" w:eastAsia="宋体" w:cs="宋体"/>
                <w:spacing w:val="3"/>
              </w:rPr>
              <w:t>4</w:t>
            </w:r>
            <w:r>
              <w:rPr>
                <w:spacing w:val="3"/>
              </w:rPr>
              <w:t>万元以下的罚款；</w:t>
            </w:r>
            <w:r>
              <w:rPr>
                <w:spacing w:val="8"/>
              </w:rPr>
              <w:t>逾期不改正的，责令停产</w:t>
            </w:r>
            <w:r>
              <w:rPr>
                <w:spacing w:val="7"/>
              </w:rPr>
              <w:t>停业整顿，情节严重的，</w:t>
            </w:r>
            <w:r>
              <w:rPr>
                <w:spacing w:val="8"/>
              </w:rPr>
              <w:t>吊销安全生产许可证</w:t>
            </w:r>
          </w:p>
        </w:tc>
        <w:tc>
          <w:tcPr>
            <w:tcW w:w="811" w:type="dxa"/>
            <w:vMerge w:val="continue"/>
            <w:tcBorders>
              <w:top w:val="nil"/>
              <w:bottom w:val="nil"/>
            </w:tcBorders>
            <w:vAlign w:val="top"/>
          </w:tcPr>
          <w:p w14:paraId="5AE0A380">
            <w:pPr>
              <w:rPr>
                <w:rFonts w:ascii="Arial"/>
                <w:sz w:val="21"/>
              </w:rPr>
            </w:pPr>
          </w:p>
        </w:tc>
      </w:tr>
      <w:tr w14:paraId="5E305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2" w:hRule="atLeast"/>
        </w:trPr>
        <w:tc>
          <w:tcPr>
            <w:tcW w:w="818" w:type="dxa"/>
            <w:vMerge w:val="continue"/>
            <w:tcBorders>
              <w:top w:val="nil"/>
            </w:tcBorders>
            <w:vAlign w:val="top"/>
          </w:tcPr>
          <w:p w14:paraId="777BAFFD">
            <w:pPr>
              <w:rPr>
                <w:rFonts w:ascii="Arial"/>
                <w:sz w:val="21"/>
              </w:rPr>
            </w:pPr>
          </w:p>
        </w:tc>
        <w:tc>
          <w:tcPr>
            <w:tcW w:w="1440" w:type="dxa"/>
            <w:vMerge w:val="continue"/>
            <w:tcBorders>
              <w:top w:val="nil"/>
            </w:tcBorders>
            <w:vAlign w:val="top"/>
          </w:tcPr>
          <w:p w14:paraId="22D50F4D">
            <w:pPr>
              <w:rPr>
                <w:rFonts w:ascii="Arial"/>
                <w:sz w:val="21"/>
              </w:rPr>
            </w:pPr>
          </w:p>
        </w:tc>
        <w:tc>
          <w:tcPr>
            <w:tcW w:w="3202" w:type="dxa"/>
            <w:vMerge w:val="continue"/>
            <w:tcBorders>
              <w:top w:val="nil"/>
            </w:tcBorders>
            <w:vAlign w:val="top"/>
          </w:tcPr>
          <w:p w14:paraId="66D2A1F5">
            <w:pPr>
              <w:rPr>
                <w:rFonts w:ascii="Arial"/>
                <w:sz w:val="21"/>
              </w:rPr>
            </w:pPr>
          </w:p>
        </w:tc>
        <w:tc>
          <w:tcPr>
            <w:tcW w:w="2859" w:type="dxa"/>
            <w:vMerge w:val="continue"/>
            <w:tcBorders>
              <w:top w:val="nil"/>
            </w:tcBorders>
            <w:vAlign w:val="top"/>
          </w:tcPr>
          <w:p w14:paraId="63FEBF25">
            <w:pPr>
              <w:rPr>
                <w:rFonts w:ascii="Arial"/>
                <w:sz w:val="21"/>
              </w:rPr>
            </w:pPr>
          </w:p>
        </w:tc>
        <w:tc>
          <w:tcPr>
            <w:tcW w:w="803" w:type="dxa"/>
            <w:vAlign w:val="top"/>
          </w:tcPr>
          <w:p w14:paraId="2C9602E9">
            <w:pPr>
              <w:spacing w:line="352" w:lineRule="auto"/>
              <w:rPr>
                <w:rFonts w:ascii="Arial"/>
                <w:sz w:val="21"/>
              </w:rPr>
            </w:pPr>
          </w:p>
          <w:p w14:paraId="48B9BE4B">
            <w:pPr>
              <w:spacing w:line="352" w:lineRule="auto"/>
              <w:rPr>
                <w:rFonts w:ascii="Arial"/>
                <w:sz w:val="21"/>
              </w:rPr>
            </w:pPr>
          </w:p>
          <w:p w14:paraId="4BDD2EF2">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069A819">
            <w:pPr>
              <w:pStyle w:val="6"/>
              <w:spacing w:before="291" w:line="189" w:lineRule="auto"/>
              <w:ind w:left="118" w:right="109"/>
              <w:jc w:val="both"/>
            </w:pPr>
            <w:r>
              <w:rPr>
                <w:spacing w:val="26"/>
              </w:rPr>
              <w:t>未按照安全生产许可证核定的产品种</w:t>
            </w:r>
            <w:r>
              <w:rPr>
                <w:spacing w:val="17"/>
              </w:rPr>
              <w:t>类生产</w:t>
            </w:r>
            <w:r>
              <w:rPr>
                <w:rFonts w:ascii="宋体" w:hAnsi="宋体" w:eastAsia="宋体" w:cs="宋体"/>
                <w:spacing w:val="17"/>
              </w:rPr>
              <w:t>A</w:t>
            </w:r>
            <w:r>
              <w:rPr>
                <w:spacing w:val="17"/>
              </w:rPr>
              <w:t>级烟花爆</w:t>
            </w:r>
            <w:r>
              <w:rPr>
                <w:spacing w:val="1"/>
              </w:rPr>
              <w:t>竹的</w:t>
            </w:r>
          </w:p>
        </w:tc>
        <w:tc>
          <w:tcPr>
            <w:tcW w:w="2894" w:type="dxa"/>
            <w:vAlign w:val="top"/>
          </w:tcPr>
          <w:p w14:paraId="62027B52">
            <w:pPr>
              <w:pStyle w:val="6"/>
              <w:spacing w:before="137" w:line="188" w:lineRule="auto"/>
              <w:ind w:left="117" w:right="103" w:firstLine="10"/>
            </w:pPr>
            <w:r>
              <w:rPr>
                <w:spacing w:val="4"/>
              </w:rPr>
              <w:t>责令限期改正，处</w:t>
            </w:r>
            <w:r>
              <w:rPr>
                <w:rFonts w:ascii="宋体" w:hAnsi="宋体" w:eastAsia="宋体" w:cs="宋体"/>
                <w:spacing w:val="4"/>
              </w:rPr>
              <w:t>4</w:t>
            </w:r>
            <w:r>
              <w:rPr>
                <w:spacing w:val="4"/>
              </w:rPr>
              <w:t>万元</w:t>
            </w:r>
            <w:r>
              <w:rPr>
                <w:spacing w:val="3"/>
              </w:rPr>
              <w:t>以上</w:t>
            </w:r>
            <w:r>
              <w:rPr>
                <w:rFonts w:ascii="宋体" w:hAnsi="宋体" w:eastAsia="宋体" w:cs="宋体"/>
                <w:spacing w:val="3"/>
              </w:rPr>
              <w:t>5</w:t>
            </w:r>
            <w:r>
              <w:rPr>
                <w:spacing w:val="3"/>
              </w:rPr>
              <w:t>万元以下的罚款；</w:t>
            </w:r>
            <w:r>
              <w:rPr>
                <w:spacing w:val="8"/>
              </w:rPr>
              <w:t>逾期不改正的，责令停产</w:t>
            </w:r>
            <w:r>
              <w:rPr>
                <w:spacing w:val="7"/>
              </w:rPr>
              <w:t>停业整顿，情节严重的，</w:t>
            </w:r>
            <w:r>
              <w:rPr>
                <w:spacing w:val="8"/>
              </w:rPr>
              <w:t>吊销安全生产许可证</w:t>
            </w:r>
          </w:p>
        </w:tc>
        <w:tc>
          <w:tcPr>
            <w:tcW w:w="811" w:type="dxa"/>
            <w:vMerge w:val="continue"/>
            <w:tcBorders>
              <w:top w:val="nil"/>
            </w:tcBorders>
            <w:vAlign w:val="top"/>
          </w:tcPr>
          <w:p w14:paraId="5A98A3D8">
            <w:pPr>
              <w:rPr>
                <w:rFonts w:ascii="Arial"/>
                <w:sz w:val="21"/>
              </w:rPr>
            </w:pPr>
          </w:p>
        </w:tc>
      </w:tr>
    </w:tbl>
    <w:p w14:paraId="21F1B809">
      <w:pPr>
        <w:pStyle w:val="2"/>
      </w:pPr>
    </w:p>
    <w:p w14:paraId="30728AE6">
      <w:pPr>
        <w:sectPr>
          <w:footerReference r:id="rId191" w:type="default"/>
          <w:pgSz w:w="16839" w:h="11906"/>
          <w:pgMar w:top="1012" w:right="821" w:bottom="667" w:left="901" w:header="0" w:footer="388" w:gutter="0"/>
          <w:cols w:space="720" w:num="1"/>
        </w:sectPr>
      </w:pPr>
    </w:p>
    <w:p w14:paraId="070462D6">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1564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ECB9ACF">
            <w:pPr>
              <w:spacing w:before="222" w:line="241" w:lineRule="auto"/>
              <w:ind w:left="131"/>
              <w:rPr>
                <w:rFonts w:ascii="黑体" w:hAnsi="黑体" w:eastAsia="黑体" w:cs="黑体"/>
                <w:sz w:val="28"/>
                <w:szCs w:val="28"/>
              </w:rPr>
            </w:pPr>
            <w:bookmarkStart w:id="651" w:name="bookmark358"/>
            <w:bookmarkEnd w:id="651"/>
            <w:r>
              <w:rPr>
                <w:rFonts w:ascii="黑体" w:hAnsi="黑体" w:eastAsia="黑体" w:cs="黑体"/>
                <w:spacing w:val="-2"/>
                <w:sz w:val="28"/>
                <w:szCs w:val="28"/>
              </w:rPr>
              <w:t>序号</w:t>
            </w:r>
          </w:p>
        </w:tc>
        <w:tc>
          <w:tcPr>
            <w:tcW w:w="1440" w:type="dxa"/>
            <w:vAlign w:val="top"/>
          </w:tcPr>
          <w:p w14:paraId="596FF625">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09727D1">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993F91F">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3A70209">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0687AF1">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CE59417">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5AF0401">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1CAA8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restart"/>
            <w:tcBorders>
              <w:bottom w:val="nil"/>
            </w:tcBorders>
            <w:vAlign w:val="top"/>
          </w:tcPr>
          <w:p w14:paraId="28676389">
            <w:pPr>
              <w:spacing w:line="262" w:lineRule="auto"/>
              <w:rPr>
                <w:rFonts w:ascii="Arial"/>
                <w:sz w:val="21"/>
              </w:rPr>
            </w:pPr>
          </w:p>
          <w:p w14:paraId="356A5D2B">
            <w:pPr>
              <w:spacing w:line="262" w:lineRule="auto"/>
              <w:rPr>
                <w:rFonts w:ascii="Arial"/>
                <w:sz w:val="21"/>
              </w:rPr>
            </w:pPr>
          </w:p>
          <w:p w14:paraId="1B2B2E21">
            <w:pPr>
              <w:spacing w:line="262" w:lineRule="auto"/>
              <w:rPr>
                <w:rFonts w:ascii="Arial"/>
                <w:sz w:val="21"/>
              </w:rPr>
            </w:pPr>
          </w:p>
          <w:p w14:paraId="1155525B">
            <w:pPr>
              <w:spacing w:line="262" w:lineRule="auto"/>
              <w:rPr>
                <w:rFonts w:ascii="Arial"/>
                <w:sz w:val="21"/>
              </w:rPr>
            </w:pPr>
          </w:p>
          <w:p w14:paraId="4B89E3F5">
            <w:pPr>
              <w:spacing w:line="262" w:lineRule="auto"/>
              <w:rPr>
                <w:rFonts w:ascii="Arial"/>
                <w:sz w:val="21"/>
              </w:rPr>
            </w:pPr>
          </w:p>
          <w:p w14:paraId="69854433">
            <w:pPr>
              <w:spacing w:line="262" w:lineRule="auto"/>
              <w:rPr>
                <w:rFonts w:ascii="Arial"/>
                <w:sz w:val="21"/>
              </w:rPr>
            </w:pPr>
          </w:p>
          <w:p w14:paraId="59CE0F41">
            <w:pPr>
              <w:spacing w:line="263" w:lineRule="auto"/>
              <w:rPr>
                <w:rFonts w:ascii="Arial"/>
                <w:sz w:val="21"/>
              </w:rPr>
            </w:pPr>
          </w:p>
          <w:p w14:paraId="4C7491A2">
            <w:pPr>
              <w:spacing w:line="263" w:lineRule="auto"/>
              <w:rPr>
                <w:rFonts w:ascii="Arial"/>
                <w:sz w:val="21"/>
              </w:rPr>
            </w:pPr>
          </w:p>
          <w:p w14:paraId="4F9A10FB">
            <w:pPr>
              <w:spacing w:before="75" w:line="186" w:lineRule="auto"/>
              <w:ind w:left="161"/>
              <w:rPr>
                <w:rFonts w:ascii="仿宋" w:hAnsi="仿宋" w:eastAsia="仿宋" w:cs="仿宋"/>
                <w:sz w:val="23"/>
                <w:szCs w:val="23"/>
              </w:rPr>
            </w:pPr>
            <w:r>
              <w:rPr>
                <w:rFonts w:ascii="仿宋" w:hAnsi="仿宋" w:eastAsia="仿宋" w:cs="仿宋"/>
                <w:spacing w:val="-5"/>
                <w:sz w:val="23"/>
                <w:szCs w:val="23"/>
              </w:rPr>
              <w:t>175</w:t>
            </w:r>
          </w:p>
        </w:tc>
        <w:tc>
          <w:tcPr>
            <w:tcW w:w="1440" w:type="dxa"/>
            <w:vMerge w:val="restart"/>
            <w:tcBorders>
              <w:bottom w:val="nil"/>
            </w:tcBorders>
            <w:vAlign w:val="top"/>
          </w:tcPr>
          <w:p w14:paraId="4BCD2D13">
            <w:pPr>
              <w:spacing w:line="283" w:lineRule="auto"/>
              <w:rPr>
                <w:rFonts w:ascii="Arial"/>
                <w:sz w:val="21"/>
              </w:rPr>
            </w:pPr>
          </w:p>
          <w:p w14:paraId="670F3853">
            <w:pPr>
              <w:spacing w:line="284" w:lineRule="auto"/>
              <w:rPr>
                <w:rFonts w:ascii="Arial"/>
                <w:sz w:val="21"/>
              </w:rPr>
            </w:pPr>
          </w:p>
          <w:p w14:paraId="26B14527">
            <w:pPr>
              <w:spacing w:line="284" w:lineRule="auto"/>
              <w:rPr>
                <w:rFonts w:ascii="Arial"/>
                <w:sz w:val="21"/>
              </w:rPr>
            </w:pPr>
          </w:p>
          <w:p w14:paraId="38A10BA5">
            <w:pPr>
              <w:spacing w:line="284" w:lineRule="auto"/>
              <w:rPr>
                <w:rFonts w:ascii="Arial"/>
                <w:sz w:val="21"/>
              </w:rPr>
            </w:pPr>
          </w:p>
          <w:p w14:paraId="1D2F1903">
            <w:pPr>
              <w:pStyle w:val="6"/>
              <w:spacing w:before="98" w:line="182" w:lineRule="auto"/>
              <w:ind w:left="119"/>
              <w:outlineLvl w:val="0"/>
            </w:pPr>
            <w:r>
              <w:rPr>
                <w:spacing w:val="10"/>
              </w:rPr>
              <w:t>烟花爆竹生</w:t>
            </w:r>
          </w:p>
          <w:p w14:paraId="62D8873B">
            <w:pPr>
              <w:pStyle w:val="6"/>
              <w:spacing w:before="9" w:line="186" w:lineRule="auto"/>
              <w:ind w:left="112" w:right="111" w:firstLine="4"/>
              <w:jc w:val="both"/>
            </w:pPr>
            <w:r>
              <w:rPr>
                <w:spacing w:val="11"/>
              </w:rPr>
              <w:t>产企业生产</w:t>
            </w:r>
            <w:r>
              <w:rPr>
                <w:spacing w:val="12"/>
              </w:rPr>
              <w:t>工序或者生产作业不符合有关国家标准、行业</w:t>
            </w:r>
            <w:r>
              <w:rPr>
                <w:spacing w:val="6"/>
              </w:rPr>
              <w:t>标准的</w:t>
            </w:r>
          </w:p>
        </w:tc>
        <w:tc>
          <w:tcPr>
            <w:tcW w:w="3202" w:type="dxa"/>
            <w:vMerge w:val="restart"/>
            <w:tcBorders>
              <w:bottom w:val="nil"/>
            </w:tcBorders>
            <w:vAlign w:val="top"/>
          </w:tcPr>
          <w:p w14:paraId="01A382E8">
            <w:pPr>
              <w:pStyle w:val="6"/>
              <w:spacing w:before="30" w:line="186" w:lineRule="auto"/>
              <w:ind w:left="117" w:right="111" w:hanging="19"/>
              <w:jc w:val="both"/>
            </w:pPr>
            <w:r>
              <w:rPr>
                <w:spacing w:val="18"/>
              </w:rPr>
              <w:t>【行政法规】《烟花爆竹安</w:t>
            </w:r>
            <w:r>
              <w:rPr>
                <w:spacing w:val="12"/>
              </w:rPr>
              <w:t>全管理条例》第十一条：生</w:t>
            </w:r>
            <w:r>
              <w:rPr>
                <w:spacing w:val="13"/>
              </w:rPr>
              <w:t>产烟花爆竹的企业，应当按</w:t>
            </w:r>
            <w:bookmarkStart w:id="652" w:name="bookmark360"/>
            <w:bookmarkEnd w:id="652"/>
            <w:r>
              <w:rPr>
                <w:spacing w:val="17"/>
              </w:rPr>
              <w:t>照安全生产许可证核定的产</w:t>
            </w:r>
            <w:r>
              <w:rPr>
                <w:spacing w:val="12"/>
              </w:rPr>
              <w:t>品种类进行生产，生产工序</w:t>
            </w:r>
            <w:r>
              <w:rPr>
                <w:spacing w:val="17"/>
              </w:rPr>
              <w:t>和生产作业应当执行有关国</w:t>
            </w:r>
            <w:r>
              <w:rPr>
                <w:spacing w:val="4"/>
              </w:rPr>
              <w:t>家标准和行业标准。</w:t>
            </w:r>
          </w:p>
        </w:tc>
        <w:tc>
          <w:tcPr>
            <w:tcW w:w="2859" w:type="dxa"/>
            <w:vMerge w:val="restart"/>
            <w:tcBorders>
              <w:bottom w:val="nil"/>
            </w:tcBorders>
            <w:vAlign w:val="top"/>
          </w:tcPr>
          <w:p w14:paraId="20D64ADE">
            <w:pPr>
              <w:pStyle w:val="6"/>
              <w:spacing w:before="37" w:line="184" w:lineRule="auto"/>
              <w:ind w:left="97" w:right="40"/>
              <w:jc w:val="both"/>
            </w:pPr>
            <w:r>
              <w:rPr>
                <w:spacing w:val="10"/>
              </w:rPr>
              <w:t>【行政法规】《烟花爆竹安全管理条例》第三十七条第二项：生产烟花爆竹</w:t>
            </w:r>
            <w:r>
              <w:rPr>
                <w:spacing w:val="28"/>
              </w:rPr>
              <w:t>的企业有下列行为之一</w:t>
            </w:r>
            <w:r>
              <w:rPr>
                <w:spacing w:val="10"/>
              </w:rPr>
              <w:t>的，由安全生产监督管理</w:t>
            </w:r>
            <w:r>
              <w:rPr>
                <w:spacing w:val="9"/>
              </w:rPr>
              <w:t>部门责令限期改正，处</w:t>
            </w:r>
            <w:r>
              <w:rPr>
                <w:rFonts w:ascii="宋体" w:hAnsi="宋体" w:eastAsia="宋体" w:cs="宋体"/>
                <w:spacing w:val="9"/>
              </w:rPr>
              <w:t>1</w:t>
            </w:r>
            <w:r>
              <w:rPr>
                <w:spacing w:val="6"/>
              </w:rPr>
              <w:t>万元以上</w:t>
            </w:r>
            <w:r>
              <w:rPr>
                <w:rFonts w:ascii="宋体" w:hAnsi="宋体" w:eastAsia="宋体" w:cs="宋体"/>
                <w:spacing w:val="6"/>
              </w:rPr>
              <w:t>5</w:t>
            </w:r>
            <w:r>
              <w:rPr>
                <w:spacing w:val="6"/>
              </w:rPr>
              <w:t>万元以下的罚</w:t>
            </w:r>
            <w:r>
              <w:rPr>
                <w:spacing w:val="10"/>
              </w:rPr>
              <w:t>款；逾期不改正的，责令停产停业整顿，情节严重</w:t>
            </w:r>
            <w:r>
              <w:rPr>
                <w:spacing w:val="-4"/>
              </w:rPr>
              <w:t>的，吊销安全生产许可证：</w:t>
            </w:r>
            <w:r>
              <w:rPr>
                <w:spacing w:val="10"/>
              </w:rPr>
              <w:t>（二）生产工序或者生产</w:t>
            </w:r>
            <w:r>
              <w:rPr>
                <w:spacing w:val="34"/>
              </w:rPr>
              <w:t>作业不符合有关国家标</w:t>
            </w:r>
            <w:r>
              <w:rPr>
                <w:spacing w:val="4"/>
              </w:rPr>
              <w:t>准、行业标准的；</w:t>
            </w:r>
          </w:p>
        </w:tc>
        <w:tc>
          <w:tcPr>
            <w:tcW w:w="803" w:type="dxa"/>
            <w:vAlign w:val="top"/>
          </w:tcPr>
          <w:p w14:paraId="2B59F18F">
            <w:pPr>
              <w:spacing w:line="296" w:lineRule="auto"/>
              <w:rPr>
                <w:rFonts w:ascii="Arial"/>
                <w:sz w:val="21"/>
              </w:rPr>
            </w:pPr>
          </w:p>
          <w:p w14:paraId="4115C620">
            <w:pPr>
              <w:spacing w:line="297" w:lineRule="auto"/>
              <w:rPr>
                <w:rFonts w:ascii="Arial"/>
                <w:sz w:val="21"/>
              </w:rPr>
            </w:pPr>
          </w:p>
          <w:p w14:paraId="791B6393">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6051123">
            <w:pPr>
              <w:pStyle w:val="6"/>
              <w:spacing w:before="29" w:line="182" w:lineRule="auto"/>
              <w:ind w:left="122" w:right="105"/>
            </w:pPr>
            <w:r>
              <w:rPr>
                <w:spacing w:val="22"/>
              </w:rPr>
              <w:t>烟花爆竹企业</w:t>
            </w:r>
            <w:r>
              <w:rPr>
                <w:rFonts w:ascii="宋体" w:hAnsi="宋体" w:eastAsia="宋体" w:cs="宋体"/>
                <w:spacing w:val="22"/>
              </w:rPr>
              <w:t>1.3</w:t>
            </w:r>
            <w:r>
              <w:rPr>
                <w:spacing w:val="25"/>
              </w:rPr>
              <w:t>级危险生产工序或</w:t>
            </w:r>
          </w:p>
          <w:p w14:paraId="488F0AA7">
            <w:pPr>
              <w:pStyle w:val="6"/>
              <w:spacing w:line="182" w:lineRule="auto"/>
              <w:ind w:left="120"/>
              <w:outlineLvl w:val="0"/>
            </w:pPr>
            <w:r>
              <w:rPr>
                <w:spacing w:val="26"/>
              </w:rPr>
              <w:t>者生产作业不符合</w:t>
            </w:r>
          </w:p>
          <w:p w14:paraId="2086FA16">
            <w:pPr>
              <w:pStyle w:val="6"/>
              <w:spacing w:line="172" w:lineRule="auto"/>
              <w:ind w:left="114" w:right="109" w:firstLine="8"/>
            </w:pPr>
            <w:r>
              <w:rPr>
                <w:spacing w:val="-3"/>
              </w:rPr>
              <w:t>有关国家标准、行业</w:t>
            </w:r>
            <w:r>
              <w:rPr>
                <w:spacing w:val="6"/>
              </w:rPr>
              <w:t>标准的</w:t>
            </w:r>
          </w:p>
        </w:tc>
        <w:tc>
          <w:tcPr>
            <w:tcW w:w="2894" w:type="dxa"/>
            <w:vAlign w:val="top"/>
          </w:tcPr>
          <w:p w14:paraId="1B454E0F">
            <w:pPr>
              <w:pStyle w:val="6"/>
              <w:spacing w:before="30" w:line="178" w:lineRule="auto"/>
              <w:ind w:left="117" w:right="103" w:firstLine="10"/>
            </w:pPr>
            <w:r>
              <w:rPr>
                <w:spacing w:val="2"/>
              </w:rPr>
              <w:t>责令限期改正，处</w:t>
            </w:r>
            <w:r>
              <w:rPr>
                <w:rFonts w:ascii="宋体" w:hAnsi="宋体" w:eastAsia="宋体" w:cs="宋体"/>
                <w:spacing w:val="2"/>
              </w:rPr>
              <w:t>1</w:t>
            </w:r>
            <w:r>
              <w:rPr>
                <w:spacing w:val="2"/>
              </w:rPr>
              <w:t>万元</w:t>
            </w:r>
            <w:r>
              <w:rPr>
                <w:spacing w:val="3"/>
              </w:rPr>
              <w:t>以上</w:t>
            </w:r>
            <w:r>
              <w:rPr>
                <w:rFonts w:ascii="宋体" w:hAnsi="宋体" w:eastAsia="宋体" w:cs="宋体"/>
                <w:spacing w:val="3"/>
              </w:rPr>
              <w:t>3</w:t>
            </w:r>
            <w:r>
              <w:rPr>
                <w:spacing w:val="3"/>
              </w:rPr>
              <w:t>万元以下的罚款；</w:t>
            </w:r>
            <w:r>
              <w:rPr>
                <w:spacing w:val="8"/>
              </w:rPr>
              <w:t>逾期不改正的，责令停产</w:t>
            </w:r>
            <w:r>
              <w:rPr>
                <w:spacing w:val="7"/>
              </w:rPr>
              <w:t>停业整顿，情节严重的，</w:t>
            </w:r>
            <w:r>
              <w:rPr>
                <w:spacing w:val="8"/>
              </w:rPr>
              <w:t>吊销安全生产许可证</w:t>
            </w:r>
          </w:p>
        </w:tc>
        <w:tc>
          <w:tcPr>
            <w:tcW w:w="811" w:type="dxa"/>
            <w:vMerge w:val="restart"/>
            <w:tcBorders>
              <w:bottom w:val="nil"/>
            </w:tcBorders>
            <w:vAlign w:val="top"/>
          </w:tcPr>
          <w:p w14:paraId="3265CCC8">
            <w:pPr>
              <w:spacing w:line="261" w:lineRule="auto"/>
              <w:rPr>
                <w:rFonts w:ascii="Arial"/>
                <w:sz w:val="21"/>
              </w:rPr>
            </w:pPr>
          </w:p>
          <w:p w14:paraId="200D5D1E">
            <w:pPr>
              <w:spacing w:line="261" w:lineRule="auto"/>
              <w:rPr>
                <w:rFonts w:ascii="Arial"/>
                <w:sz w:val="21"/>
              </w:rPr>
            </w:pPr>
          </w:p>
          <w:p w14:paraId="0B30A2D7">
            <w:pPr>
              <w:spacing w:line="262" w:lineRule="auto"/>
              <w:rPr>
                <w:rFonts w:ascii="Arial"/>
                <w:sz w:val="21"/>
              </w:rPr>
            </w:pPr>
          </w:p>
          <w:p w14:paraId="5412399A">
            <w:pPr>
              <w:spacing w:line="262" w:lineRule="auto"/>
              <w:rPr>
                <w:rFonts w:ascii="Arial"/>
                <w:sz w:val="21"/>
              </w:rPr>
            </w:pPr>
          </w:p>
          <w:p w14:paraId="7B451A6C">
            <w:pPr>
              <w:spacing w:line="262" w:lineRule="auto"/>
              <w:rPr>
                <w:rFonts w:ascii="Arial"/>
                <w:sz w:val="21"/>
              </w:rPr>
            </w:pPr>
          </w:p>
          <w:p w14:paraId="3A7BD076">
            <w:pPr>
              <w:spacing w:line="262" w:lineRule="auto"/>
              <w:rPr>
                <w:rFonts w:ascii="Arial"/>
                <w:sz w:val="21"/>
              </w:rPr>
            </w:pPr>
          </w:p>
          <w:p w14:paraId="2AA0B501">
            <w:pPr>
              <w:spacing w:line="262" w:lineRule="auto"/>
              <w:rPr>
                <w:rFonts w:ascii="Arial"/>
                <w:sz w:val="21"/>
              </w:rPr>
            </w:pPr>
          </w:p>
          <w:p w14:paraId="247836AE">
            <w:pPr>
              <w:spacing w:line="262" w:lineRule="auto"/>
              <w:rPr>
                <w:rFonts w:ascii="Arial"/>
                <w:sz w:val="21"/>
              </w:rPr>
            </w:pPr>
          </w:p>
          <w:p w14:paraId="468DE29E">
            <w:pPr>
              <w:spacing w:before="75" w:line="189" w:lineRule="auto"/>
              <w:ind w:left="248"/>
              <w:rPr>
                <w:rFonts w:ascii="宋体" w:hAnsi="宋体" w:eastAsia="宋体" w:cs="宋体"/>
                <w:sz w:val="23"/>
                <w:szCs w:val="23"/>
              </w:rPr>
            </w:pPr>
            <w:r>
              <w:rPr>
                <w:rFonts w:ascii="宋体" w:hAnsi="宋体" w:eastAsia="宋体" w:cs="宋体"/>
                <w:spacing w:val="-6"/>
                <w:sz w:val="23"/>
                <w:szCs w:val="23"/>
              </w:rPr>
              <w:t>137</w:t>
            </w:r>
          </w:p>
        </w:tc>
      </w:tr>
      <w:tr w14:paraId="6F1AB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continue"/>
            <w:tcBorders>
              <w:top w:val="nil"/>
              <w:bottom w:val="nil"/>
            </w:tcBorders>
            <w:vAlign w:val="top"/>
          </w:tcPr>
          <w:p w14:paraId="47853EBF">
            <w:pPr>
              <w:rPr>
                <w:rFonts w:ascii="Arial"/>
                <w:sz w:val="21"/>
              </w:rPr>
            </w:pPr>
          </w:p>
        </w:tc>
        <w:tc>
          <w:tcPr>
            <w:tcW w:w="1440" w:type="dxa"/>
            <w:vMerge w:val="continue"/>
            <w:tcBorders>
              <w:top w:val="nil"/>
              <w:bottom w:val="nil"/>
            </w:tcBorders>
            <w:vAlign w:val="top"/>
          </w:tcPr>
          <w:p w14:paraId="3CCD6DDF">
            <w:pPr>
              <w:rPr>
                <w:rFonts w:ascii="Arial"/>
                <w:sz w:val="21"/>
              </w:rPr>
            </w:pPr>
          </w:p>
        </w:tc>
        <w:tc>
          <w:tcPr>
            <w:tcW w:w="3202" w:type="dxa"/>
            <w:vMerge w:val="continue"/>
            <w:tcBorders>
              <w:top w:val="nil"/>
              <w:bottom w:val="nil"/>
            </w:tcBorders>
            <w:vAlign w:val="top"/>
          </w:tcPr>
          <w:p w14:paraId="6AF99B69">
            <w:pPr>
              <w:rPr>
                <w:rFonts w:ascii="Arial"/>
                <w:sz w:val="21"/>
              </w:rPr>
            </w:pPr>
          </w:p>
        </w:tc>
        <w:tc>
          <w:tcPr>
            <w:tcW w:w="2859" w:type="dxa"/>
            <w:vMerge w:val="continue"/>
            <w:tcBorders>
              <w:top w:val="nil"/>
              <w:bottom w:val="nil"/>
            </w:tcBorders>
            <w:vAlign w:val="top"/>
          </w:tcPr>
          <w:p w14:paraId="29B40424">
            <w:pPr>
              <w:rPr>
                <w:rFonts w:ascii="Arial"/>
                <w:sz w:val="21"/>
              </w:rPr>
            </w:pPr>
          </w:p>
        </w:tc>
        <w:tc>
          <w:tcPr>
            <w:tcW w:w="803" w:type="dxa"/>
            <w:vAlign w:val="top"/>
          </w:tcPr>
          <w:p w14:paraId="6A1F52FC">
            <w:pPr>
              <w:spacing w:line="298" w:lineRule="auto"/>
              <w:rPr>
                <w:rFonts w:ascii="Arial"/>
                <w:sz w:val="21"/>
              </w:rPr>
            </w:pPr>
          </w:p>
          <w:p w14:paraId="423D8074">
            <w:pPr>
              <w:spacing w:line="299" w:lineRule="auto"/>
              <w:rPr>
                <w:rFonts w:ascii="Arial"/>
                <w:sz w:val="21"/>
              </w:rPr>
            </w:pPr>
          </w:p>
          <w:p w14:paraId="34D92969">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7C6692F">
            <w:pPr>
              <w:pStyle w:val="6"/>
              <w:spacing w:before="30" w:line="178" w:lineRule="auto"/>
              <w:ind w:left="114" w:right="105" w:firstLine="7"/>
              <w:jc w:val="both"/>
            </w:pPr>
            <w:r>
              <w:rPr>
                <w:spacing w:val="10"/>
              </w:rPr>
              <w:t>烟花爆竹企业</w:t>
            </w:r>
            <w:r>
              <w:rPr>
                <w:rFonts w:ascii="宋体" w:hAnsi="宋体" w:eastAsia="宋体" w:cs="宋体"/>
                <w:spacing w:val="10"/>
              </w:rPr>
              <w:t>1.1</w:t>
            </w:r>
            <w:r>
              <w:rPr>
                <w:rFonts w:ascii="宋体" w:hAnsi="宋体" w:eastAsia="宋体" w:cs="宋体"/>
                <w:spacing w:val="10"/>
                <w:position w:val="11"/>
                <w:sz w:val="11"/>
                <w:szCs w:val="11"/>
              </w:rPr>
              <w:t>-2</w:t>
            </w:r>
            <w:r>
              <w:rPr>
                <w:spacing w:val="26"/>
              </w:rPr>
              <w:t>级危险生产工序或者生产作业不符合</w:t>
            </w:r>
            <w:r>
              <w:rPr>
                <w:spacing w:val="-2"/>
              </w:rPr>
              <w:t>有关国家标准、行业</w:t>
            </w:r>
            <w:r>
              <w:rPr>
                <w:spacing w:val="6"/>
              </w:rPr>
              <w:t>标准的</w:t>
            </w:r>
          </w:p>
        </w:tc>
        <w:tc>
          <w:tcPr>
            <w:tcW w:w="2894" w:type="dxa"/>
            <w:vAlign w:val="top"/>
          </w:tcPr>
          <w:p w14:paraId="392D66F2">
            <w:pPr>
              <w:pStyle w:val="6"/>
              <w:spacing w:before="30" w:line="178" w:lineRule="auto"/>
              <w:ind w:left="117" w:right="103" w:firstLine="10"/>
            </w:pPr>
            <w:r>
              <w:rPr>
                <w:spacing w:val="4"/>
              </w:rPr>
              <w:t>责令限期改正，处</w:t>
            </w:r>
            <w:r>
              <w:rPr>
                <w:rFonts w:ascii="宋体" w:hAnsi="宋体" w:eastAsia="宋体" w:cs="宋体"/>
                <w:spacing w:val="4"/>
              </w:rPr>
              <w:t>3</w:t>
            </w:r>
            <w:r>
              <w:rPr>
                <w:spacing w:val="4"/>
              </w:rPr>
              <w:t>万元</w:t>
            </w:r>
            <w:r>
              <w:rPr>
                <w:spacing w:val="3"/>
              </w:rPr>
              <w:t>以上</w:t>
            </w:r>
            <w:r>
              <w:rPr>
                <w:rFonts w:ascii="宋体" w:hAnsi="宋体" w:eastAsia="宋体" w:cs="宋体"/>
                <w:spacing w:val="3"/>
              </w:rPr>
              <w:t>4</w:t>
            </w:r>
            <w:r>
              <w:rPr>
                <w:spacing w:val="3"/>
              </w:rPr>
              <w:t>万元以下的罚款；</w:t>
            </w:r>
            <w:r>
              <w:rPr>
                <w:spacing w:val="8"/>
              </w:rPr>
              <w:t>逾期不改正的，责令停产</w:t>
            </w:r>
            <w:r>
              <w:rPr>
                <w:spacing w:val="7"/>
              </w:rPr>
              <w:t>停业整顿，情节严重的，</w:t>
            </w:r>
            <w:r>
              <w:rPr>
                <w:spacing w:val="8"/>
              </w:rPr>
              <w:t>吊销安全生产许可证</w:t>
            </w:r>
          </w:p>
        </w:tc>
        <w:tc>
          <w:tcPr>
            <w:tcW w:w="811" w:type="dxa"/>
            <w:vMerge w:val="continue"/>
            <w:tcBorders>
              <w:top w:val="nil"/>
              <w:bottom w:val="nil"/>
            </w:tcBorders>
            <w:vAlign w:val="top"/>
          </w:tcPr>
          <w:p w14:paraId="02ED88D8">
            <w:pPr>
              <w:rPr>
                <w:rFonts w:ascii="Arial"/>
                <w:sz w:val="21"/>
              </w:rPr>
            </w:pPr>
          </w:p>
        </w:tc>
      </w:tr>
      <w:tr w14:paraId="2E218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continue"/>
            <w:tcBorders>
              <w:top w:val="nil"/>
            </w:tcBorders>
            <w:vAlign w:val="top"/>
          </w:tcPr>
          <w:p w14:paraId="4F3ECD4E">
            <w:pPr>
              <w:rPr>
                <w:rFonts w:ascii="Arial"/>
                <w:sz w:val="21"/>
              </w:rPr>
            </w:pPr>
          </w:p>
        </w:tc>
        <w:tc>
          <w:tcPr>
            <w:tcW w:w="1440" w:type="dxa"/>
            <w:vMerge w:val="continue"/>
            <w:tcBorders>
              <w:top w:val="nil"/>
            </w:tcBorders>
            <w:vAlign w:val="top"/>
          </w:tcPr>
          <w:p w14:paraId="7144C09F">
            <w:pPr>
              <w:rPr>
                <w:rFonts w:ascii="Arial"/>
                <w:sz w:val="21"/>
              </w:rPr>
            </w:pPr>
          </w:p>
        </w:tc>
        <w:tc>
          <w:tcPr>
            <w:tcW w:w="3202" w:type="dxa"/>
            <w:vMerge w:val="continue"/>
            <w:tcBorders>
              <w:top w:val="nil"/>
            </w:tcBorders>
            <w:vAlign w:val="top"/>
          </w:tcPr>
          <w:p w14:paraId="6755E0C4">
            <w:pPr>
              <w:rPr>
                <w:rFonts w:ascii="Arial"/>
                <w:sz w:val="21"/>
              </w:rPr>
            </w:pPr>
          </w:p>
        </w:tc>
        <w:tc>
          <w:tcPr>
            <w:tcW w:w="2859" w:type="dxa"/>
            <w:vMerge w:val="continue"/>
            <w:tcBorders>
              <w:top w:val="nil"/>
            </w:tcBorders>
            <w:vAlign w:val="top"/>
          </w:tcPr>
          <w:p w14:paraId="5AFDAAA6">
            <w:pPr>
              <w:rPr>
                <w:rFonts w:ascii="Arial"/>
                <w:sz w:val="21"/>
              </w:rPr>
            </w:pPr>
          </w:p>
        </w:tc>
        <w:tc>
          <w:tcPr>
            <w:tcW w:w="803" w:type="dxa"/>
            <w:vAlign w:val="top"/>
          </w:tcPr>
          <w:p w14:paraId="3F366AFC">
            <w:pPr>
              <w:spacing w:line="298" w:lineRule="auto"/>
              <w:rPr>
                <w:rFonts w:ascii="Arial"/>
                <w:sz w:val="21"/>
              </w:rPr>
            </w:pPr>
          </w:p>
          <w:p w14:paraId="469C2E8F">
            <w:pPr>
              <w:spacing w:line="298" w:lineRule="auto"/>
              <w:rPr>
                <w:rFonts w:ascii="Arial"/>
                <w:sz w:val="21"/>
              </w:rPr>
            </w:pPr>
          </w:p>
          <w:p w14:paraId="307155B6">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94D6D48">
            <w:pPr>
              <w:pStyle w:val="6"/>
              <w:spacing w:before="30" w:line="178" w:lineRule="auto"/>
              <w:ind w:left="114" w:right="105" w:firstLine="7"/>
              <w:jc w:val="both"/>
            </w:pPr>
            <w:r>
              <w:rPr>
                <w:spacing w:val="10"/>
              </w:rPr>
              <w:t>烟花爆竹企业</w:t>
            </w:r>
            <w:r>
              <w:rPr>
                <w:rFonts w:ascii="宋体" w:hAnsi="宋体" w:eastAsia="宋体" w:cs="宋体"/>
                <w:spacing w:val="10"/>
              </w:rPr>
              <w:t>1.1</w:t>
            </w:r>
            <w:r>
              <w:rPr>
                <w:rFonts w:ascii="宋体" w:hAnsi="宋体" w:eastAsia="宋体" w:cs="宋体"/>
                <w:spacing w:val="10"/>
                <w:position w:val="11"/>
                <w:sz w:val="11"/>
                <w:szCs w:val="11"/>
              </w:rPr>
              <w:t>-1</w:t>
            </w:r>
            <w:r>
              <w:rPr>
                <w:spacing w:val="26"/>
              </w:rPr>
              <w:t>级危险生产工序或者生产作业不符合</w:t>
            </w:r>
            <w:r>
              <w:rPr>
                <w:spacing w:val="-2"/>
              </w:rPr>
              <w:t>有关国家标准、行业</w:t>
            </w:r>
            <w:r>
              <w:rPr>
                <w:spacing w:val="6"/>
              </w:rPr>
              <w:t>标准的</w:t>
            </w:r>
          </w:p>
        </w:tc>
        <w:tc>
          <w:tcPr>
            <w:tcW w:w="2894" w:type="dxa"/>
            <w:vAlign w:val="top"/>
          </w:tcPr>
          <w:p w14:paraId="75B4F452">
            <w:pPr>
              <w:pStyle w:val="6"/>
              <w:spacing w:before="30" w:line="178" w:lineRule="auto"/>
              <w:ind w:left="117" w:right="103" w:firstLine="10"/>
            </w:pPr>
            <w:r>
              <w:rPr>
                <w:spacing w:val="4"/>
              </w:rPr>
              <w:t>责令限期改正，处</w:t>
            </w:r>
            <w:r>
              <w:rPr>
                <w:rFonts w:ascii="宋体" w:hAnsi="宋体" w:eastAsia="宋体" w:cs="宋体"/>
                <w:spacing w:val="4"/>
              </w:rPr>
              <w:t>4</w:t>
            </w:r>
            <w:r>
              <w:rPr>
                <w:spacing w:val="4"/>
              </w:rPr>
              <w:t>万元</w:t>
            </w:r>
            <w:r>
              <w:rPr>
                <w:spacing w:val="3"/>
              </w:rPr>
              <w:t>以上</w:t>
            </w:r>
            <w:r>
              <w:rPr>
                <w:rFonts w:ascii="宋体" w:hAnsi="宋体" w:eastAsia="宋体" w:cs="宋体"/>
                <w:spacing w:val="3"/>
              </w:rPr>
              <w:t>5</w:t>
            </w:r>
            <w:r>
              <w:rPr>
                <w:spacing w:val="3"/>
              </w:rPr>
              <w:t>万元以下的罚款；</w:t>
            </w:r>
            <w:r>
              <w:rPr>
                <w:spacing w:val="8"/>
              </w:rPr>
              <w:t>逾期不改正的，责令停产</w:t>
            </w:r>
            <w:r>
              <w:rPr>
                <w:spacing w:val="7"/>
              </w:rPr>
              <w:t>停业整顿，情节严重的，</w:t>
            </w:r>
            <w:r>
              <w:rPr>
                <w:spacing w:val="8"/>
              </w:rPr>
              <w:t>吊销安全生产许可证</w:t>
            </w:r>
          </w:p>
        </w:tc>
        <w:tc>
          <w:tcPr>
            <w:tcW w:w="811" w:type="dxa"/>
            <w:vMerge w:val="continue"/>
            <w:tcBorders>
              <w:top w:val="nil"/>
            </w:tcBorders>
            <w:vAlign w:val="top"/>
          </w:tcPr>
          <w:p w14:paraId="2E6A00A9">
            <w:pPr>
              <w:rPr>
                <w:rFonts w:ascii="Arial"/>
                <w:sz w:val="21"/>
              </w:rPr>
            </w:pPr>
          </w:p>
        </w:tc>
      </w:tr>
      <w:tr w14:paraId="2FCF5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restart"/>
            <w:tcBorders>
              <w:bottom w:val="nil"/>
            </w:tcBorders>
            <w:vAlign w:val="top"/>
          </w:tcPr>
          <w:p w14:paraId="16BB14E2">
            <w:pPr>
              <w:spacing w:line="262" w:lineRule="auto"/>
              <w:rPr>
                <w:rFonts w:ascii="Arial"/>
                <w:sz w:val="21"/>
              </w:rPr>
            </w:pPr>
          </w:p>
          <w:p w14:paraId="009E3CCB">
            <w:pPr>
              <w:spacing w:line="262" w:lineRule="auto"/>
              <w:rPr>
                <w:rFonts w:ascii="Arial"/>
                <w:sz w:val="21"/>
              </w:rPr>
            </w:pPr>
          </w:p>
          <w:p w14:paraId="7E697D10">
            <w:pPr>
              <w:spacing w:line="262" w:lineRule="auto"/>
              <w:rPr>
                <w:rFonts w:ascii="Arial"/>
                <w:sz w:val="21"/>
              </w:rPr>
            </w:pPr>
          </w:p>
          <w:p w14:paraId="1E00A8CB">
            <w:pPr>
              <w:spacing w:line="262" w:lineRule="auto"/>
              <w:rPr>
                <w:rFonts w:ascii="Arial"/>
                <w:sz w:val="21"/>
              </w:rPr>
            </w:pPr>
          </w:p>
          <w:p w14:paraId="6584F616">
            <w:pPr>
              <w:spacing w:line="263" w:lineRule="auto"/>
              <w:rPr>
                <w:rFonts w:ascii="Arial"/>
                <w:sz w:val="21"/>
              </w:rPr>
            </w:pPr>
          </w:p>
          <w:p w14:paraId="134C2B9D">
            <w:pPr>
              <w:spacing w:line="263" w:lineRule="auto"/>
              <w:rPr>
                <w:rFonts w:ascii="Arial"/>
                <w:sz w:val="21"/>
              </w:rPr>
            </w:pPr>
          </w:p>
          <w:p w14:paraId="2BE7A3EC">
            <w:pPr>
              <w:spacing w:line="263" w:lineRule="auto"/>
              <w:rPr>
                <w:rFonts w:ascii="Arial"/>
                <w:sz w:val="21"/>
              </w:rPr>
            </w:pPr>
          </w:p>
          <w:p w14:paraId="34E8C54E">
            <w:pPr>
              <w:spacing w:line="263" w:lineRule="auto"/>
              <w:rPr>
                <w:rFonts w:ascii="Arial"/>
                <w:sz w:val="21"/>
              </w:rPr>
            </w:pPr>
          </w:p>
          <w:p w14:paraId="6D62A6CE">
            <w:pPr>
              <w:spacing w:before="75" w:line="186" w:lineRule="auto"/>
              <w:ind w:left="161"/>
              <w:rPr>
                <w:rFonts w:ascii="仿宋" w:hAnsi="仿宋" w:eastAsia="仿宋" w:cs="仿宋"/>
                <w:sz w:val="23"/>
                <w:szCs w:val="23"/>
              </w:rPr>
            </w:pPr>
            <w:r>
              <w:rPr>
                <w:rFonts w:ascii="仿宋" w:hAnsi="仿宋" w:eastAsia="仿宋" w:cs="仿宋"/>
                <w:spacing w:val="-5"/>
                <w:sz w:val="23"/>
                <w:szCs w:val="23"/>
              </w:rPr>
              <w:t>176</w:t>
            </w:r>
          </w:p>
        </w:tc>
        <w:tc>
          <w:tcPr>
            <w:tcW w:w="1440" w:type="dxa"/>
            <w:vMerge w:val="restart"/>
            <w:tcBorders>
              <w:bottom w:val="nil"/>
            </w:tcBorders>
            <w:vAlign w:val="top"/>
          </w:tcPr>
          <w:p w14:paraId="17B44B81">
            <w:pPr>
              <w:spacing w:line="257" w:lineRule="auto"/>
              <w:rPr>
                <w:rFonts w:ascii="Arial"/>
                <w:sz w:val="21"/>
              </w:rPr>
            </w:pPr>
          </w:p>
          <w:p w14:paraId="5636E3A8">
            <w:pPr>
              <w:spacing w:line="257" w:lineRule="auto"/>
              <w:rPr>
                <w:rFonts w:ascii="Arial"/>
                <w:sz w:val="21"/>
              </w:rPr>
            </w:pPr>
          </w:p>
          <w:p w14:paraId="08FFB954">
            <w:pPr>
              <w:spacing w:line="257" w:lineRule="auto"/>
              <w:rPr>
                <w:rFonts w:ascii="Arial"/>
                <w:sz w:val="21"/>
              </w:rPr>
            </w:pPr>
          </w:p>
          <w:p w14:paraId="0F5D24A1">
            <w:pPr>
              <w:spacing w:line="257" w:lineRule="auto"/>
              <w:rPr>
                <w:rFonts w:ascii="Arial"/>
                <w:sz w:val="21"/>
              </w:rPr>
            </w:pPr>
          </w:p>
          <w:p w14:paraId="2804C857">
            <w:pPr>
              <w:spacing w:line="258" w:lineRule="auto"/>
              <w:rPr>
                <w:rFonts w:ascii="Arial"/>
                <w:sz w:val="21"/>
              </w:rPr>
            </w:pPr>
          </w:p>
          <w:p w14:paraId="38185D68">
            <w:pPr>
              <w:pStyle w:val="6"/>
              <w:spacing w:before="99" w:line="187" w:lineRule="auto"/>
              <w:ind w:left="114" w:right="111" w:firstLine="5"/>
              <w:jc w:val="both"/>
            </w:pPr>
            <w:r>
              <w:rPr>
                <w:spacing w:val="10"/>
              </w:rPr>
              <w:t>烟花爆竹生</w:t>
            </w:r>
            <w:r>
              <w:rPr>
                <w:spacing w:val="11"/>
              </w:rPr>
              <w:t>产企业雇佣未经考核合格的人员从事危险工序</w:t>
            </w:r>
            <w:r>
              <w:rPr>
                <w:spacing w:val="5"/>
              </w:rPr>
              <w:t>作业的</w:t>
            </w:r>
          </w:p>
        </w:tc>
        <w:tc>
          <w:tcPr>
            <w:tcW w:w="3202" w:type="dxa"/>
            <w:vMerge w:val="restart"/>
            <w:tcBorders>
              <w:bottom w:val="nil"/>
            </w:tcBorders>
            <w:vAlign w:val="top"/>
          </w:tcPr>
          <w:p w14:paraId="579BA138">
            <w:pPr>
              <w:pStyle w:val="6"/>
              <w:spacing w:before="24" w:line="185" w:lineRule="auto"/>
              <w:ind w:left="115" w:right="21" w:hanging="17"/>
            </w:pPr>
            <w:r>
              <w:rPr>
                <w:spacing w:val="18"/>
              </w:rPr>
              <w:t>【行政法规】《烟花爆竹安</w:t>
            </w:r>
            <w:r>
              <w:rPr>
                <w:spacing w:val="12"/>
              </w:rPr>
              <w:t>全管理条例》第十二条：生</w:t>
            </w:r>
            <w:r>
              <w:rPr>
                <w:spacing w:val="13"/>
              </w:rPr>
              <w:t>产烟花爆竹的企业，应当对</w:t>
            </w:r>
            <w:r>
              <w:rPr>
                <w:spacing w:val="17"/>
              </w:rPr>
              <w:t>生产作业人员进行安全生产</w:t>
            </w:r>
            <w:r>
              <w:rPr>
                <w:spacing w:val="2"/>
              </w:rPr>
              <w:t>知识教育，对从事药物混合、</w:t>
            </w:r>
            <w:r>
              <w:rPr>
                <w:spacing w:val="14"/>
              </w:rPr>
              <w:t>造粒、筛选、装药、筑药、</w:t>
            </w:r>
            <w:r>
              <w:rPr>
                <w:spacing w:val="17"/>
              </w:rPr>
              <w:t>压药、切引、搬运等危险工序的作业人员进行专业技术培训。从事危险工序的作业人员经设区的市人民政府安全生产监督管理部门考核合</w:t>
            </w:r>
            <w:r>
              <w:rPr>
                <w:spacing w:val="4"/>
              </w:rPr>
              <w:t>格，方可上岗作业。</w:t>
            </w:r>
          </w:p>
        </w:tc>
        <w:tc>
          <w:tcPr>
            <w:tcW w:w="2859" w:type="dxa"/>
            <w:vMerge w:val="restart"/>
            <w:tcBorders>
              <w:bottom w:val="nil"/>
            </w:tcBorders>
            <w:vAlign w:val="top"/>
          </w:tcPr>
          <w:p w14:paraId="6C848D38">
            <w:pPr>
              <w:pStyle w:val="6"/>
              <w:spacing w:before="39" w:line="184" w:lineRule="auto"/>
              <w:ind w:left="97" w:right="40"/>
              <w:jc w:val="both"/>
            </w:pPr>
            <w:r>
              <w:rPr>
                <w:spacing w:val="10"/>
              </w:rPr>
              <w:t>【行政法规】《烟花爆竹安全管理条例》第三十七条第三项：生产烟花爆竹</w:t>
            </w:r>
            <w:r>
              <w:rPr>
                <w:spacing w:val="28"/>
              </w:rPr>
              <w:t>的企业有下列行为之一</w:t>
            </w:r>
            <w:r>
              <w:rPr>
                <w:spacing w:val="10"/>
              </w:rPr>
              <w:t>的，由安全生产监督管理</w:t>
            </w:r>
            <w:r>
              <w:rPr>
                <w:spacing w:val="9"/>
              </w:rPr>
              <w:t>部门责令限期改正，处</w:t>
            </w:r>
            <w:r>
              <w:rPr>
                <w:rFonts w:ascii="宋体" w:hAnsi="宋体" w:eastAsia="宋体" w:cs="宋体"/>
                <w:spacing w:val="9"/>
              </w:rPr>
              <w:t>1</w:t>
            </w:r>
            <w:r>
              <w:rPr>
                <w:spacing w:val="6"/>
              </w:rPr>
              <w:t>万元以上</w:t>
            </w:r>
            <w:r>
              <w:rPr>
                <w:rFonts w:ascii="宋体" w:hAnsi="宋体" w:eastAsia="宋体" w:cs="宋体"/>
                <w:spacing w:val="6"/>
              </w:rPr>
              <w:t>5</w:t>
            </w:r>
            <w:r>
              <w:rPr>
                <w:spacing w:val="6"/>
              </w:rPr>
              <w:t>万元以下的罚</w:t>
            </w:r>
            <w:r>
              <w:rPr>
                <w:spacing w:val="10"/>
              </w:rPr>
              <w:t>款；逾期不改正的，责令停产停业整顿，情节严重</w:t>
            </w:r>
            <w:r>
              <w:rPr>
                <w:spacing w:val="-4"/>
              </w:rPr>
              <w:t>的，吊销安全生产许可证：</w:t>
            </w:r>
            <w:r>
              <w:rPr>
                <w:spacing w:val="10"/>
              </w:rPr>
              <w:t>（三）雇佣未经设区的市人民政府安全生产监督管理部门考核合格的人员从</w:t>
            </w:r>
            <w:r>
              <w:rPr>
                <w:spacing w:val="5"/>
              </w:rPr>
              <w:t>事危险工序作业的；</w:t>
            </w:r>
          </w:p>
        </w:tc>
        <w:tc>
          <w:tcPr>
            <w:tcW w:w="803" w:type="dxa"/>
            <w:vAlign w:val="top"/>
          </w:tcPr>
          <w:p w14:paraId="31E984CB">
            <w:pPr>
              <w:spacing w:line="297" w:lineRule="auto"/>
              <w:rPr>
                <w:rFonts w:ascii="Arial"/>
                <w:sz w:val="21"/>
              </w:rPr>
            </w:pPr>
          </w:p>
          <w:p w14:paraId="3C0A2D3E">
            <w:pPr>
              <w:spacing w:line="297" w:lineRule="auto"/>
              <w:rPr>
                <w:rFonts w:ascii="Arial"/>
                <w:sz w:val="21"/>
              </w:rPr>
            </w:pPr>
          </w:p>
          <w:p w14:paraId="02455FC8">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39B48BC">
            <w:pPr>
              <w:pStyle w:val="6"/>
              <w:spacing w:before="333" w:line="191" w:lineRule="auto"/>
              <w:ind w:left="118" w:right="107" w:firstLine="1"/>
              <w:jc w:val="both"/>
            </w:pPr>
            <w:r>
              <w:rPr>
                <w:spacing w:val="14"/>
              </w:rPr>
              <w:t>雇佣</w:t>
            </w:r>
            <w:r>
              <w:rPr>
                <w:rFonts w:ascii="宋体" w:hAnsi="宋体" w:eastAsia="宋体" w:cs="宋体"/>
                <w:spacing w:val="14"/>
              </w:rPr>
              <w:t>1</w:t>
            </w:r>
            <w:r>
              <w:rPr>
                <w:spacing w:val="14"/>
              </w:rPr>
              <w:t>名未经考核</w:t>
            </w:r>
            <w:r>
              <w:rPr>
                <w:spacing w:val="26"/>
              </w:rPr>
              <w:t>合格的人员从事危</w:t>
            </w:r>
            <w:r>
              <w:rPr>
                <w:spacing w:val="7"/>
              </w:rPr>
              <w:t>险工序作业的</w:t>
            </w:r>
          </w:p>
        </w:tc>
        <w:tc>
          <w:tcPr>
            <w:tcW w:w="2894" w:type="dxa"/>
            <w:vAlign w:val="top"/>
          </w:tcPr>
          <w:p w14:paraId="68EE43DA">
            <w:pPr>
              <w:pStyle w:val="6"/>
              <w:spacing w:before="30" w:line="178" w:lineRule="auto"/>
              <w:ind w:left="117" w:right="103" w:firstLine="10"/>
            </w:pPr>
            <w:r>
              <w:rPr>
                <w:spacing w:val="2"/>
              </w:rPr>
              <w:t>责令限期改正，处</w:t>
            </w:r>
            <w:r>
              <w:rPr>
                <w:rFonts w:ascii="宋体" w:hAnsi="宋体" w:eastAsia="宋体" w:cs="宋体"/>
                <w:spacing w:val="2"/>
              </w:rPr>
              <w:t>1</w:t>
            </w:r>
            <w:r>
              <w:rPr>
                <w:spacing w:val="2"/>
              </w:rPr>
              <w:t>万元</w:t>
            </w:r>
            <w:r>
              <w:rPr>
                <w:spacing w:val="3"/>
              </w:rPr>
              <w:t>以上</w:t>
            </w:r>
            <w:r>
              <w:rPr>
                <w:rFonts w:ascii="宋体" w:hAnsi="宋体" w:eastAsia="宋体" w:cs="宋体"/>
                <w:spacing w:val="3"/>
              </w:rPr>
              <w:t>2</w:t>
            </w:r>
            <w:r>
              <w:rPr>
                <w:spacing w:val="3"/>
              </w:rPr>
              <w:t>万元以下的罚款；</w:t>
            </w:r>
            <w:r>
              <w:rPr>
                <w:spacing w:val="8"/>
              </w:rPr>
              <w:t>逾期不改正的，责令停产</w:t>
            </w:r>
            <w:r>
              <w:rPr>
                <w:spacing w:val="7"/>
              </w:rPr>
              <w:t>停业整顿，情节严重的，</w:t>
            </w:r>
            <w:r>
              <w:rPr>
                <w:spacing w:val="8"/>
              </w:rPr>
              <w:t>吊销安全生产许可证</w:t>
            </w:r>
          </w:p>
        </w:tc>
        <w:tc>
          <w:tcPr>
            <w:tcW w:w="811" w:type="dxa"/>
            <w:vMerge w:val="restart"/>
            <w:tcBorders>
              <w:bottom w:val="nil"/>
            </w:tcBorders>
            <w:vAlign w:val="top"/>
          </w:tcPr>
          <w:p w14:paraId="0507E998">
            <w:pPr>
              <w:spacing w:line="262" w:lineRule="auto"/>
              <w:rPr>
                <w:rFonts w:ascii="Arial"/>
                <w:sz w:val="21"/>
              </w:rPr>
            </w:pPr>
          </w:p>
          <w:p w14:paraId="74D5DD30">
            <w:pPr>
              <w:spacing w:line="262" w:lineRule="auto"/>
              <w:rPr>
                <w:rFonts w:ascii="Arial"/>
                <w:sz w:val="21"/>
              </w:rPr>
            </w:pPr>
          </w:p>
          <w:p w14:paraId="0ECA312B">
            <w:pPr>
              <w:spacing w:line="262" w:lineRule="auto"/>
              <w:rPr>
                <w:rFonts w:ascii="Arial"/>
                <w:sz w:val="21"/>
              </w:rPr>
            </w:pPr>
          </w:p>
          <w:p w14:paraId="4A29966F">
            <w:pPr>
              <w:spacing w:line="262" w:lineRule="auto"/>
              <w:rPr>
                <w:rFonts w:ascii="Arial"/>
                <w:sz w:val="21"/>
              </w:rPr>
            </w:pPr>
          </w:p>
          <w:p w14:paraId="2A013EFD">
            <w:pPr>
              <w:spacing w:line="262" w:lineRule="auto"/>
              <w:rPr>
                <w:rFonts w:ascii="Arial"/>
                <w:sz w:val="21"/>
              </w:rPr>
            </w:pPr>
          </w:p>
          <w:p w14:paraId="56AFEE45">
            <w:pPr>
              <w:spacing w:line="262" w:lineRule="auto"/>
              <w:rPr>
                <w:rFonts w:ascii="Arial"/>
                <w:sz w:val="21"/>
              </w:rPr>
            </w:pPr>
          </w:p>
          <w:p w14:paraId="24F60BA1">
            <w:pPr>
              <w:spacing w:line="262" w:lineRule="auto"/>
              <w:rPr>
                <w:rFonts w:ascii="Arial"/>
                <w:sz w:val="21"/>
              </w:rPr>
            </w:pPr>
          </w:p>
          <w:p w14:paraId="216ED954">
            <w:pPr>
              <w:spacing w:line="262" w:lineRule="auto"/>
              <w:rPr>
                <w:rFonts w:ascii="Arial"/>
                <w:sz w:val="21"/>
              </w:rPr>
            </w:pPr>
          </w:p>
          <w:p w14:paraId="58AACC96">
            <w:pPr>
              <w:spacing w:before="75" w:line="189" w:lineRule="auto"/>
              <w:ind w:left="248"/>
              <w:rPr>
                <w:rFonts w:ascii="宋体" w:hAnsi="宋体" w:eastAsia="宋体" w:cs="宋体"/>
                <w:sz w:val="23"/>
                <w:szCs w:val="23"/>
              </w:rPr>
            </w:pPr>
            <w:r>
              <w:rPr>
                <w:rFonts w:ascii="宋体" w:hAnsi="宋体" w:eastAsia="宋体" w:cs="宋体"/>
                <w:spacing w:val="-6"/>
                <w:sz w:val="23"/>
                <w:szCs w:val="23"/>
              </w:rPr>
              <w:t>137</w:t>
            </w:r>
          </w:p>
        </w:tc>
      </w:tr>
      <w:tr w14:paraId="57791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continue"/>
            <w:tcBorders>
              <w:top w:val="nil"/>
              <w:bottom w:val="nil"/>
            </w:tcBorders>
            <w:vAlign w:val="top"/>
          </w:tcPr>
          <w:p w14:paraId="7DD03D6C">
            <w:pPr>
              <w:rPr>
                <w:rFonts w:ascii="Arial"/>
                <w:sz w:val="21"/>
              </w:rPr>
            </w:pPr>
          </w:p>
        </w:tc>
        <w:tc>
          <w:tcPr>
            <w:tcW w:w="1440" w:type="dxa"/>
            <w:vMerge w:val="continue"/>
            <w:tcBorders>
              <w:top w:val="nil"/>
              <w:bottom w:val="nil"/>
            </w:tcBorders>
            <w:vAlign w:val="top"/>
          </w:tcPr>
          <w:p w14:paraId="474ED857">
            <w:pPr>
              <w:rPr>
                <w:rFonts w:ascii="Arial"/>
                <w:sz w:val="21"/>
              </w:rPr>
            </w:pPr>
          </w:p>
        </w:tc>
        <w:tc>
          <w:tcPr>
            <w:tcW w:w="3202" w:type="dxa"/>
            <w:vMerge w:val="continue"/>
            <w:tcBorders>
              <w:top w:val="nil"/>
              <w:bottom w:val="nil"/>
            </w:tcBorders>
            <w:vAlign w:val="top"/>
          </w:tcPr>
          <w:p w14:paraId="421D4B15">
            <w:pPr>
              <w:rPr>
                <w:rFonts w:ascii="Arial"/>
                <w:sz w:val="21"/>
              </w:rPr>
            </w:pPr>
          </w:p>
        </w:tc>
        <w:tc>
          <w:tcPr>
            <w:tcW w:w="2859" w:type="dxa"/>
            <w:vMerge w:val="continue"/>
            <w:tcBorders>
              <w:top w:val="nil"/>
              <w:bottom w:val="nil"/>
            </w:tcBorders>
            <w:vAlign w:val="top"/>
          </w:tcPr>
          <w:p w14:paraId="6AD5C664">
            <w:pPr>
              <w:rPr>
                <w:rFonts w:ascii="Arial"/>
                <w:sz w:val="21"/>
              </w:rPr>
            </w:pPr>
          </w:p>
        </w:tc>
        <w:tc>
          <w:tcPr>
            <w:tcW w:w="803" w:type="dxa"/>
            <w:vAlign w:val="top"/>
          </w:tcPr>
          <w:p w14:paraId="6456D20B">
            <w:pPr>
              <w:spacing w:line="299" w:lineRule="auto"/>
              <w:rPr>
                <w:rFonts w:ascii="Arial"/>
                <w:sz w:val="21"/>
              </w:rPr>
            </w:pPr>
          </w:p>
          <w:p w14:paraId="7C2AA8E0">
            <w:pPr>
              <w:spacing w:line="300" w:lineRule="auto"/>
              <w:rPr>
                <w:rFonts w:ascii="Arial"/>
                <w:sz w:val="21"/>
              </w:rPr>
            </w:pPr>
          </w:p>
          <w:p w14:paraId="4B43BCB9">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53251FA">
            <w:pPr>
              <w:pStyle w:val="6"/>
              <w:spacing w:before="334" w:line="191" w:lineRule="auto"/>
              <w:ind w:left="118" w:right="107" w:firstLine="1"/>
              <w:jc w:val="both"/>
            </w:pPr>
            <w:r>
              <w:rPr>
                <w:spacing w:val="16"/>
              </w:rPr>
              <w:t>雇佣</w:t>
            </w:r>
            <w:r>
              <w:rPr>
                <w:rFonts w:ascii="宋体" w:hAnsi="宋体" w:eastAsia="宋体" w:cs="宋体"/>
                <w:spacing w:val="16"/>
              </w:rPr>
              <w:t>2</w:t>
            </w:r>
            <w:r>
              <w:rPr>
                <w:spacing w:val="16"/>
              </w:rPr>
              <w:t>名未经考核</w:t>
            </w:r>
            <w:r>
              <w:rPr>
                <w:spacing w:val="26"/>
              </w:rPr>
              <w:t>合格的人员从事危</w:t>
            </w:r>
            <w:r>
              <w:rPr>
                <w:spacing w:val="7"/>
              </w:rPr>
              <w:t>险工序作业的</w:t>
            </w:r>
          </w:p>
        </w:tc>
        <w:tc>
          <w:tcPr>
            <w:tcW w:w="2894" w:type="dxa"/>
            <w:vAlign w:val="top"/>
          </w:tcPr>
          <w:p w14:paraId="7AB9472B">
            <w:pPr>
              <w:pStyle w:val="6"/>
              <w:spacing w:before="30" w:line="178" w:lineRule="auto"/>
              <w:ind w:left="117" w:right="103" w:firstLine="10"/>
            </w:pPr>
            <w:r>
              <w:rPr>
                <w:spacing w:val="4"/>
              </w:rPr>
              <w:t>责令限期改正，处</w:t>
            </w:r>
            <w:r>
              <w:rPr>
                <w:rFonts w:ascii="宋体" w:hAnsi="宋体" w:eastAsia="宋体" w:cs="宋体"/>
                <w:spacing w:val="4"/>
              </w:rPr>
              <w:t>2</w:t>
            </w:r>
            <w:r>
              <w:rPr>
                <w:spacing w:val="4"/>
              </w:rPr>
              <w:t>万元</w:t>
            </w:r>
            <w:r>
              <w:rPr>
                <w:spacing w:val="3"/>
              </w:rPr>
              <w:t>以上</w:t>
            </w:r>
            <w:r>
              <w:rPr>
                <w:rFonts w:ascii="宋体" w:hAnsi="宋体" w:eastAsia="宋体" w:cs="宋体"/>
                <w:spacing w:val="3"/>
              </w:rPr>
              <w:t>4</w:t>
            </w:r>
            <w:r>
              <w:rPr>
                <w:spacing w:val="3"/>
              </w:rPr>
              <w:t>万元以下的罚款；</w:t>
            </w:r>
            <w:r>
              <w:rPr>
                <w:spacing w:val="8"/>
              </w:rPr>
              <w:t>逾期不改正的，责令停产</w:t>
            </w:r>
            <w:r>
              <w:rPr>
                <w:spacing w:val="7"/>
              </w:rPr>
              <w:t>停业整顿，情节严重的，</w:t>
            </w:r>
            <w:r>
              <w:rPr>
                <w:spacing w:val="8"/>
              </w:rPr>
              <w:t>吊销安全生产许可证</w:t>
            </w:r>
          </w:p>
        </w:tc>
        <w:tc>
          <w:tcPr>
            <w:tcW w:w="811" w:type="dxa"/>
            <w:vMerge w:val="continue"/>
            <w:tcBorders>
              <w:top w:val="nil"/>
              <w:bottom w:val="nil"/>
            </w:tcBorders>
            <w:vAlign w:val="top"/>
          </w:tcPr>
          <w:p w14:paraId="3EAC2184">
            <w:pPr>
              <w:rPr>
                <w:rFonts w:ascii="Arial"/>
                <w:sz w:val="21"/>
              </w:rPr>
            </w:pPr>
          </w:p>
        </w:tc>
      </w:tr>
      <w:tr w14:paraId="29CCE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8" w:hRule="atLeast"/>
        </w:trPr>
        <w:tc>
          <w:tcPr>
            <w:tcW w:w="818" w:type="dxa"/>
            <w:vMerge w:val="continue"/>
            <w:tcBorders>
              <w:top w:val="nil"/>
            </w:tcBorders>
            <w:vAlign w:val="top"/>
          </w:tcPr>
          <w:p w14:paraId="0187EAB3">
            <w:pPr>
              <w:rPr>
                <w:rFonts w:ascii="Arial"/>
                <w:sz w:val="21"/>
              </w:rPr>
            </w:pPr>
          </w:p>
        </w:tc>
        <w:tc>
          <w:tcPr>
            <w:tcW w:w="1440" w:type="dxa"/>
            <w:vMerge w:val="continue"/>
            <w:tcBorders>
              <w:top w:val="nil"/>
            </w:tcBorders>
            <w:vAlign w:val="top"/>
          </w:tcPr>
          <w:p w14:paraId="0D75612F">
            <w:pPr>
              <w:rPr>
                <w:rFonts w:ascii="Arial"/>
                <w:sz w:val="21"/>
              </w:rPr>
            </w:pPr>
          </w:p>
        </w:tc>
        <w:tc>
          <w:tcPr>
            <w:tcW w:w="3202" w:type="dxa"/>
            <w:vMerge w:val="continue"/>
            <w:tcBorders>
              <w:top w:val="nil"/>
            </w:tcBorders>
            <w:vAlign w:val="top"/>
          </w:tcPr>
          <w:p w14:paraId="13B97514">
            <w:pPr>
              <w:rPr>
                <w:rFonts w:ascii="Arial"/>
                <w:sz w:val="21"/>
              </w:rPr>
            </w:pPr>
          </w:p>
        </w:tc>
        <w:tc>
          <w:tcPr>
            <w:tcW w:w="2859" w:type="dxa"/>
            <w:vMerge w:val="continue"/>
            <w:tcBorders>
              <w:top w:val="nil"/>
            </w:tcBorders>
            <w:vAlign w:val="top"/>
          </w:tcPr>
          <w:p w14:paraId="24FE3E7E">
            <w:pPr>
              <w:rPr>
                <w:rFonts w:ascii="Arial"/>
                <w:sz w:val="21"/>
              </w:rPr>
            </w:pPr>
          </w:p>
        </w:tc>
        <w:tc>
          <w:tcPr>
            <w:tcW w:w="803" w:type="dxa"/>
            <w:vAlign w:val="top"/>
          </w:tcPr>
          <w:p w14:paraId="035F2607">
            <w:pPr>
              <w:spacing w:line="300" w:lineRule="auto"/>
              <w:rPr>
                <w:rFonts w:ascii="Arial"/>
                <w:sz w:val="21"/>
              </w:rPr>
            </w:pPr>
          </w:p>
          <w:p w14:paraId="7AB653E6">
            <w:pPr>
              <w:spacing w:line="301" w:lineRule="auto"/>
              <w:rPr>
                <w:rFonts w:ascii="Arial"/>
                <w:sz w:val="21"/>
              </w:rPr>
            </w:pPr>
          </w:p>
          <w:p w14:paraId="117DE90D">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E2378C8">
            <w:pPr>
              <w:pStyle w:val="6"/>
              <w:spacing w:before="334" w:line="191" w:lineRule="auto"/>
              <w:ind w:left="118" w:right="107" w:firstLine="1"/>
              <w:jc w:val="both"/>
            </w:pPr>
            <w:r>
              <w:rPr>
                <w:spacing w:val="16"/>
              </w:rPr>
              <w:t>雇佣</w:t>
            </w:r>
            <w:r>
              <w:rPr>
                <w:rFonts w:ascii="宋体" w:hAnsi="宋体" w:eastAsia="宋体" w:cs="宋体"/>
                <w:spacing w:val="16"/>
              </w:rPr>
              <w:t>3</w:t>
            </w:r>
            <w:r>
              <w:rPr>
                <w:spacing w:val="16"/>
              </w:rPr>
              <w:t>名以上未经</w:t>
            </w:r>
            <w:r>
              <w:rPr>
                <w:spacing w:val="26"/>
              </w:rPr>
              <w:t>考核合格的人员从</w:t>
            </w:r>
            <w:r>
              <w:rPr>
                <w:spacing w:val="7"/>
              </w:rPr>
              <w:t>事危险工序作业的</w:t>
            </w:r>
          </w:p>
        </w:tc>
        <w:tc>
          <w:tcPr>
            <w:tcW w:w="2894" w:type="dxa"/>
            <w:vAlign w:val="top"/>
          </w:tcPr>
          <w:p w14:paraId="4D4FCF56">
            <w:pPr>
              <w:pStyle w:val="6"/>
              <w:spacing w:before="34" w:line="178" w:lineRule="auto"/>
              <w:ind w:left="117" w:right="103" w:firstLine="10"/>
            </w:pPr>
            <w:r>
              <w:rPr>
                <w:spacing w:val="4"/>
              </w:rPr>
              <w:t>责令限期改正，处</w:t>
            </w:r>
            <w:r>
              <w:rPr>
                <w:rFonts w:ascii="宋体" w:hAnsi="宋体" w:eastAsia="宋体" w:cs="宋体"/>
                <w:spacing w:val="4"/>
              </w:rPr>
              <w:t>4</w:t>
            </w:r>
            <w:r>
              <w:rPr>
                <w:spacing w:val="4"/>
              </w:rPr>
              <w:t>万元</w:t>
            </w:r>
            <w:r>
              <w:rPr>
                <w:spacing w:val="3"/>
              </w:rPr>
              <w:t>以上</w:t>
            </w:r>
            <w:r>
              <w:rPr>
                <w:rFonts w:ascii="宋体" w:hAnsi="宋体" w:eastAsia="宋体" w:cs="宋体"/>
                <w:spacing w:val="3"/>
              </w:rPr>
              <w:t>5</w:t>
            </w:r>
            <w:r>
              <w:rPr>
                <w:spacing w:val="3"/>
              </w:rPr>
              <w:t>万元以下的罚款；</w:t>
            </w:r>
            <w:r>
              <w:rPr>
                <w:spacing w:val="8"/>
              </w:rPr>
              <w:t>逾期不改正的，责令停产</w:t>
            </w:r>
            <w:r>
              <w:rPr>
                <w:spacing w:val="7"/>
              </w:rPr>
              <w:t>停业整顿，情节严重的，</w:t>
            </w:r>
            <w:r>
              <w:rPr>
                <w:spacing w:val="8"/>
              </w:rPr>
              <w:t>吊销安全生产许可证</w:t>
            </w:r>
          </w:p>
        </w:tc>
        <w:tc>
          <w:tcPr>
            <w:tcW w:w="811" w:type="dxa"/>
            <w:vMerge w:val="continue"/>
            <w:tcBorders>
              <w:top w:val="nil"/>
            </w:tcBorders>
            <w:vAlign w:val="top"/>
          </w:tcPr>
          <w:p w14:paraId="51109296">
            <w:pPr>
              <w:rPr>
                <w:rFonts w:ascii="Arial"/>
                <w:sz w:val="21"/>
              </w:rPr>
            </w:pPr>
          </w:p>
        </w:tc>
      </w:tr>
    </w:tbl>
    <w:p w14:paraId="72AFF991">
      <w:pPr>
        <w:pStyle w:val="2"/>
      </w:pPr>
    </w:p>
    <w:p w14:paraId="4CCE70D3">
      <w:pPr>
        <w:sectPr>
          <w:footerReference r:id="rId192" w:type="default"/>
          <w:pgSz w:w="16839" w:h="11906"/>
          <w:pgMar w:top="1012" w:right="821" w:bottom="667" w:left="901" w:header="0" w:footer="388" w:gutter="0"/>
          <w:cols w:space="720" w:num="1"/>
        </w:sectPr>
      </w:pPr>
    </w:p>
    <w:p w14:paraId="3C54F1D1">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65436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C9543A7">
            <w:pPr>
              <w:spacing w:before="222" w:line="241" w:lineRule="auto"/>
              <w:ind w:left="131"/>
              <w:outlineLvl w:val="0"/>
              <w:rPr>
                <w:rFonts w:ascii="黑体" w:hAnsi="黑体" w:eastAsia="黑体" w:cs="黑体"/>
                <w:sz w:val="28"/>
                <w:szCs w:val="28"/>
              </w:rPr>
            </w:pPr>
            <w:bookmarkStart w:id="653" w:name="bookmark362"/>
            <w:bookmarkEnd w:id="653"/>
            <w:bookmarkStart w:id="654" w:name="bookmark585"/>
            <w:bookmarkEnd w:id="654"/>
            <w:r>
              <w:rPr>
                <w:rFonts w:ascii="黑体" w:hAnsi="黑体" w:eastAsia="黑体" w:cs="黑体"/>
                <w:spacing w:val="-2"/>
                <w:sz w:val="28"/>
                <w:szCs w:val="28"/>
              </w:rPr>
              <w:t>序号</w:t>
            </w:r>
          </w:p>
        </w:tc>
        <w:tc>
          <w:tcPr>
            <w:tcW w:w="1440" w:type="dxa"/>
            <w:vAlign w:val="top"/>
          </w:tcPr>
          <w:p w14:paraId="38E86A32">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5016B99">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ACD09DD">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EEF2FAB">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1B8CED0">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1EEFA6C0">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684C244B">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18FD6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restart"/>
            <w:tcBorders>
              <w:bottom w:val="nil"/>
            </w:tcBorders>
            <w:vAlign w:val="top"/>
          </w:tcPr>
          <w:p w14:paraId="44833AF7">
            <w:pPr>
              <w:spacing w:line="258" w:lineRule="auto"/>
              <w:rPr>
                <w:rFonts w:ascii="Arial"/>
                <w:sz w:val="21"/>
              </w:rPr>
            </w:pPr>
          </w:p>
          <w:p w14:paraId="13553F3D">
            <w:pPr>
              <w:spacing w:line="258" w:lineRule="auto"/>
              <w:rPr>
                <w:rFonts w:ascii="Arial"/>
                <w:sz w:val="21"/>
              </w:rPr>
            </w:pPr>
          </w:p>
          <w:p w14:paraId="56A2B385">
            <w:pPr>
              <w:spacing w:line="258" w:lineRule="auto"/>
              <w:rPr>
                <w:rFonts w:ascii="Arial"/>
                <w:sz w:val="21"/>
              </w:rPr>
            </w:pPr>
          </w:p>
          <w:p w14:paraId="4638D651">
            <w:pPr>
              <w:spacing w:line="258" w:lineRule="auto"/>
              <w:rPr>
                <w:rFonts w:ascii="Arial"/>
                <w:sz w:val="21"/>
              </w:rPr>
            </w:pPr>
          </w:p>
          <w:p w14:paraId="64B5C209">
            <w:pPr>
              <w:spacing w:line="258" w:lineRule="auto"/>
              <w:rPr>
                <w:rFonts w:ascii="Arial"/>
                <w:sz w:val="21"/>
              </w:rPr>
            </w:pPr>
          </w:p>
          <w:p w14:paraId="642E4812">
            <w:pPr>
              <w:spacing w:line="258" w:lineRule="auto"/>
              <w:rPr>
                <w:rFonts w:ascii="Arial"/>
                <w:sz w:val="21"/>
              </w:rPr>
            </w:pPr>
          </w:p>
          <w:p w14:paraId="6682C35E">
            <w:pPr>
              <w:spacing w:line="258" w:lineRule="auto"/>
              <w:rPr>
                <w:rFonts w:ascii="Arial"/>
                <w:sz w:val="21"/>
              </w:rPr>
            </w:pPr>
          </w:p>
          <w:p w14:paraId="00B9D413">
            <w:pPr>
              <w:spacing w:line="259" w:lineRule="auto"/>
              <w:rPr>
                <w:rFonts w:ascii="Arial"/>
                <w:sz w:val="21"/>
              </w:rPr>
            </w:pPr>
          </w:p>
          <w:p w14:paraId="736AD065">
            <w:pPr>
              <w:spacing w:line="259" w:lineRule="auto"/>
              <w:rPr>
                <w:rFonts w:ascii="Arial"/>
                <w:sz w:val="21"/>
              </w:rPr>
            </w:pPr>
          </w:p>
          <w:p w14:paraId="048E0C70">
            <w:pPr>
              <w:spacing w:line="259" w:lineRule="auto"/>
              <w:rPr>
                <w:rFonts w:ascii="Arial"/>
                <w:sz w:val="21"/>
              </w:rPr>
            </w:pPr>
          </w:p>
          <w:p w14:paraId="1271922D">
            <w:pPr>
              <w:spacing w:line="259" w:lineRule="auto"/>
              <w:rPr>
                <w:rFonts w:ascii="Arial"/>
                <w:sz w:val="21"/>
              </w:rPr>
            </w:pPr>
          </w:p>
          <w:p w14:paraId="6BDAB69E">
            <w:pPr>
              <w:spacing w:before="75" w:line="186" w:lineRule="auto"/>
              <w:ind w:left="161"/>
              <w:rPr>
                <w:rFonts w:ascii="仿宋" w:hAnsi="仿宋" w:eastAsia="仿宋" w:cs="仿宋"/>
                <w:sz w:val="23"/>
                <w:szCs w:val="23"/>
              </w:rPr>
            </w:pPr>
            <w:r>
              <w:rPr>
                <w:rFonts w:ascii="仿宋" w:hAnsi="仿宋" w:eastAsia="仿宋" w:cs="仿宋"/>
                <w:spacing w:val="-5"/>
                <w:sz w:val="23"/>
                <w:szCs w:val="23"/>
              </w:rPr>
              <w:t>177</w:t>
            </w:r>
          </w:p>
        </w:tc>
        <w:tc>
          <w:tcPr>
            <w:tcW w:w="1440" w:type="dxa"/>
            <w:vMerge w:val="restart"/>
            <w:tcBorders>
              <w:bottom w:val="nil"/>
            </w:tcBorders>
            <w:vAlign w:val="top"/>
          </w:tcPr>
          <w:p w14:paraId="226FF069">
            <w:pPr>
              <w:spacing w:line="264" w:lineRule="auto"/>
              <w:rPr>
                <w:rFonts w:ascii="Arial"/>
                <w:sz w:val="21"/>
              </w:rPr>
            </w:pPr>
          </w:p>
          <w:p w14:paraId="19E8E57D">
            <w:pPr>
              <w:spacing w:line="264" w:lineRule="auto"/>
              <w:rPr>
                <w:rFonts w:ascii="Arial"/>
                <w:sz w:val="21"/>
              </w:rPr>
            </w:pPr>
          </w:p>
          <w:p w14:paraId="026FCE67">
            <w:pPr>
              <w:spacing w:line="264" w:lineRule="auto"/>
              <w:rPr>
                <w:rFonts w:ascii="Arial"/>
                <w:sz w:val="21"/>
              </w:rPr>
            </w:pPr>
          </w:p>
          <w:p w14:paraId="47DF6F60">
            <w:pPr>
              <w:spacing w:line="264" w:lineRule="auto"/>
              <w:rPr>
                <w:rFonts w:ascii="Arial"/>
                <w:sz w:val="21"/>
              </w:rPr>
            </w:pPr>
          </w:p>
          <w:p w14:paraId="066BE3DD">
            <w:pPr>
              <w:spacing w:line="264" w:lineRule="auto"/>
              <w:rPr>
                <w:rFonts w:ascii="Arial"/>
                <w:sz w:val="21"/>
              </w:rPr>
            </w:pPr>
          </w:p>
          <w:p w14:paraId="4AC4D757">
            <w:pPr>
              <w:spacing w:line="265" w:lineRule="auto"/>
              <w:rPr>
                <w:rFonts w:ascii="Arial"/>
                <w:sz w:val="21"/>
              </w:rPr>
            </w:pPr>
          </w:p>
          <w:p w14:paraId="62492D37">
            <w:pPr>
              <w:pStyle w:val="6"/>
              <w:spacing w:before="98" w:line="185" w:lineRule="auto"/>
              <w:ind w:left="112" w:right="111" w:firstLine="7"/>
              <w:jc w:val="both"/>
            </w:pPr>
            <w:r>
              <w:rPr>
                <w:spacing w:val="10"/>
              </w:rPr>
              <w:t>烟花爆竹生</w:t>
            </w:r>
            <w:r>
              <w:rPr>
                <w:spacing w:val="12"/>
              </w:rPr>
              <w:t>产企业使用的原料不符合国家标准</w:t>
            </w:r>
            <w:r>
              <w:rPr>
                <w:spacing w:val="4"/>
              </w:rPr>
              <w:t>规定的，或</w:t>
            </w:r>
            <w:r>
              <w:rPr>
                <w:spacing w:val="12"/>
              </w:rPr>
              <w:t>者使用的原料超过国家标准规定的</w:t>
            </w:r>
            <w:r>
              <w:rPr>
                <w:spacing w:val="7"/>
              </w:rPr>
              <w:t>用量限制的</w:t>
            </w:r>
          </w:p>
        </w:tc>
        <w:tc>
          <w:tcPr>
            <w:tcW w:w="3202" w:type="dxa"/>
            <w:vMerge w:val="restart"/>
            <w:tcBorders>
              <w:bottom w:val="nil"/>
            </w:tcBorders>
            <w:vAlign w:val="top"/>
          </w:tcPr>
          <w:p w14:paraId="2B13C3D4">
            <w:pPr>
              <w:pStyle w:val="6"/>
              <w:spacing w:before="33" w:line="182" w:lineRule="auto"/>
              <w:ind w:left="117" w:right="111" w:hanging="19"/>
              <w:jc w:val="both"/>
            </w:pPr>
            <w:r>
              <w:rPr>
                <w:spacing w:val="18"/>
              </w:rPr>
              <w:t>【行政法规】《烟花爆竹安</w:t>
            </w:r>
            <w:r>
              <w:rPr>
                <w:spacing w:val="12"/>
              </w:rPr>
              <w:t>全管理条例》第十三条：生</w:t>
            </w:r>
            <w:r>
              <w:rPr>
                <w:spacing w:val="13"/>
              </w:rPr>
              <w:t>产烟花爆竹使用的原料，应</w:t>
            </w:r>
            <w:r>
              <w:rPr>
                <w:spacing w:val="17"/>
              </w:rPr>
              <w:t>当符合国家标准的规定。生</w:t>
            </w:r>
            <w:bookmarkStart w:id="655" w:name="bookmark364"/>
            <w:bookmarkEnd w:id="655"/>
            <w:bookmarkStart w:id="656" w:name="bookmark586"/>
            <w:bookmarkEnd w:id="656"/>
            <w:r>
              <w:rPr>
                <w:spacing w:val="10"/>
              </w:rPr>
              <w:t>产烟花爆竹使用的原料，国</w:t>
            </w:r>
            <w:r>
              <w:rPr>
                <w:spacing w:val="13"/>
              </w:rPr>
              <w:t>家标准有用量限制的，不得</w:t>
            </w:r>
            <w:r>
              <w:rPr>
                <w:spacing w:val="17"/>
              </w:rPr>
              <w:t>超过规定的用量。不得使用</w:t>
            </w:r>
          </w:p>
          <w:p w14:paraId="2DB7BFDC">
            <w:pPr>
              <w:pStyle w:val="6"/>
              <w:spacing w:line="182" w:lineRule="auto"/>
              <w:ind w:left="144"/>
              <w:outlineLvl w:val="0"/>
            </w:pPr>
            <w:r>
              <w:rPr>
                <w:spacing w:val="15"/>
              </w:rPr>
              <w:t>国家标准规定禁止使用或者</w:t>
            </w:r>
          </w:p>
          <w:p w14:paraId="0E2C6AD3">
            <w:pPr>
              <w:pStyle w:val="6"/>
              <w:spacing w:before="1" w:line="196" w:lineRule="auto"/>
              <w:ind w:left="119" w:right="111" w:firstLine="5"/>
            </w:pPr>
            <w:r>
              <w:rPr>
                <w:spacing w:val="16"/>
              </w:rPr>
              <w:t>禁忌配伍的物质生产烟花爆</w:t>
            </w:r>
            <w:r>
              <w:rPr>
                <w:spacing w:val="-8"/>
              </w:rPr>
              <w:t>竹。</w:t>
            </w:r>
          </w:p>
        </w:tc>
        <w:tc>
          <w:tcPr>
            <w:tcW w:w="2859" w:type="dxa"/>
            <w:vMerge w:val="restart"/>
            <w:tcBorders>
              <w:bottom w:val="nil"/>
            </w:tcBorders>
            <w:vAlign w:val="top"/>
          </w:tcPr>
          <w:p w14:paraId="3F8932C4">
            <w:pPr>
              <w:pStyle w:val="6"/>
              <w:spacing w:before="32" w:line="184" w:lineRule="auto"/>
              <w:ind w:left="97" w:right="40"/>
              <w:jc w:val="both"/>
            </w:pPr>
            <w:r>
              <w:rPr>
                <w:spacing w:val="10"/>
              </w:rPr>
              <w:t>【行政法规】《烟花爆竹安全管理条例》第三十七条第四项：生产烟花爆竹</w:t>
            </w:r>
            <w:r>
              <w:rPr>
                <w:spacing w:val="28"/>
              </w:rPr>
              <w:t>的企业有下列行为之一</w:t>
            </w:r>
            <w:r>
              <w:rPr>
                <w:spacing w:val="10"/>
              </w:rPr>
              <w:t>的，由安全生产监督管理</w:t>
            </w:r>
            <w:r>
              <w:rPr>
                <w:spacing w:val="9"/>
              </w:rPr>
              <w:t>部门责令限期改正，处</w:t>
            </w:r>
            <w:r>
              <w:rPr>
                <w:rFonts w:ascii="宋体" w:hAnsi="宋体" w:eastAsia="宋体" w:cs="宋体"/>
                <w:spacing w:val="9"/>
              </w:rPr>
              <w:t>1</w:t>
            </w:r>
            <w:r>
              <w:rPr>
                <w:spacing w:val="6"/>
              </w:rPr>
              <w:t>万元以上</w:t>
            </w:r>
            <w:r>
              <w:rPr>
                <w:rFonts w:ascii="宋体" w:hAnsi="宋体" w:eastAsia="宋体" w:cs="宋体"/>
                <w:spacing w:val="6"/>
              </w:rPr>
              <w:t>5</w:t>
            </w:r>
            <w:r>
              <w:rPr>
                <w:spacing w:val="6"/>
              </w:rPr>
              <w:t>万元以下的罚</w:t>
            </w:r>
            <w:r>
              <w:rPr>
                <w:spacing w:val="10"/>
              </w:rPr>
              <w:t>款；逾期不改正的，责令停产停业整顿，情节严重</w:t>
            </w:r>
            <w:r>
              <w:rPr>
                <w:spacing w:val="-4"/>
              </w:rPr>
              <w:t>的，吊销安全生产许可证：</w:t>
            </w:r>
            <w:r>
              <w:rPr>
                <w:spacing w:val="10"/>
              </w:rPr>
              <w:t>（四）生产烟花爆竹使用的原料不符合国家标准规定的，或者使用的原料超过国家标准规定的用量限</w:t>
            </w:r>
            <w:r>
              <w:rPr>
                <w:spacing w:val="-3"/>
              </w:rPr>
              <w:t>制的；</w:t>
            </w:r>
          </w:p>
        </w:tc>
        <w:tc>
          <w:tcPr>
            <w:tcW w:w="803" w:type="dxa"/>
            <w:vAlign w:val="top"/>
          </w:tcPr>
          <w:p w14:paraId="07294B26">
            <w:pPr>
              <w:spacing w:line="247" w:lineRule="auto"/>
              <w:rPr>
                <w:rFonts w:ascii="Arial"/>
                <w:sz w:val="21"/>
              </w:rPr>
            </w:pPr>
          </w:p>
          <w:p w14:paraId="0314A9E5">
            <w:pPr>
              <w:spacing w:line="247" w:lineRule="auto"/>
              <w:rPr>
                <w:rFonts w:ascii="Arial"/>
                <w:sz w:val="21"/>
              </w:rPr>
            </w:pPr>
          </w:p>
          <w:p w14:paraId="5D44A5AB">
            <w:pPr>
              <w:spacing w:line="247" w:lineRule="auto"/>
              <w:rPr>
                <w:rFonts w:ascii="Arial"/>
                <w:sz w:val="21"/>
              </w:rPr>
            </w:pPr>
          </w:p>
          <w:p w14:paraId="01010637">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548C781">
            <w:pPr>
              <w:pStyle w:val="6"/>
              <w:spacing w:before="28" w:line="179" w:lineRule="auto"/>
              <w:ind w:left="114" w:right="106" w:firstLine="16"/>
              <w:jc w:val="both"/>
            </w:pPr>
            <w:r>
              <w:rPr>
                <w:spacing w:val="24"/>
              </w:rPr>
              <w:t>生产烟花爆竹使用</w:t>
            </w:r>
            <w:r>
              <w:rPr>
                <w:spacing w:val="15"/>
              </w:rPr>
              <w:t>的原料有</w:t>
            </w:r>
            <w:r>
              <w:rPr>
                <w:rFonts w:ascii="宋体" w:hAnsi="宋体" w:eastAsia="宋体" w:cs="宋体"/>
                <w:spacing w:val="15"/>
              </w:rPr>
              <w:t>1</w:t>
            </w:r>
            <w:r>
              <w:rPr>
                <w:spacing w:val="15"/>
              </w:rPr>
              <w:t>种不符</w:t>
            </w:r>
            <w:r>
              <w:rPr>
                <w:spacing w:val="-2"/>
              </w:rPr>
              <w:t>合国家标准，或者使</w:t>
            </w:r>
            <w:r>
              <w:rPr>
                <w:spacing w:val="26"/>
              </w:rPr>
              <w:t>用的原料超过国家标准规定的用量限</w:t>
            </w:r>
            <w:r>
              <w:rPr>
                <w:spacing w:val="1"/>
              </w:rPr>
              <w:t>制，超过</w:t>
            </w:r>
            <w:r>
              <w:rPr>
                <w:rFonts w:ascii="宋体" w:hAnsi="宋体" w:eastAsia="宋体" w:cs="宋体"/>
                <w:spacing w:val="1"/>
              </w:rPr>
              <w:t>10%</w:t>
            </w:r>
            <w:r>
              <w:rPr>
                <w:spacing w:val="1"/>
              </w:rPr>
              <w:t>以下的</w:t>
            </w:r>
          </w:p>
        </w:tc>
        <w:tc>
          <w:tcPr>
            <w:tcW w:w="2894" w:type="dxa"/>
            <w:vAlign w:val="top"/>
          </w:tcPr>
          <w:p w14:paraId="382C1B87">
            <w:pPr>
              <w:pStyle w:val="6"/>
              <w:spacing w:before="177" w:line="188" w:lineRule="auto"/>
              <w:ind w:left="117" w:right="103" w:firstLine="10"/>
            </w:pPr>
            <w:r>
              <w:rPr>
                <w:spacing w:val="2"/>
              </w:rPr>
              <w:t>责令限期改正，处</w:t>
            </w:r>
            <w:r>
              <w:rPr>
                <w:rFonts w:ascii="宋体" w:hAnsi="宋体" w:eastAsia="宋体" w:cs="宋体"/>
                <w:spacing w:val="2"/>
              </w:rPr>
              <w:t>1</w:t>
            </w:r>
            <w:r>
              <w:rPr>
                <w:spacing w:val="2"/>
              </w:rPr>
              <w:t>万元</w:t>
            </w:r>
            <w:r>
              <w:rPr>
                <w:spacing w:val="3"/>
              </w:rPr>
              <w:t>以上</w:t>
            </w:r>
            <w:r>
              <w:rPr>
                <w:rFonts w:ascii="宋体" w:hAnsi="宋体" w:eastAsia="宋体" w:cs="宋体"/>
                <w:spacing w:val="3"/>
              </w:rPr>
              <w:t>2</w:t>
            </w:r>
            <w:r>
              <w:rPr>
                <w:spacing w:val="3"/>
              </w:rPr>
              <w:t>万元以下的罚款；</w:t>
            </w:r>
            <w:r>
              <w:rPr>
                <w:spacing w:val="8"/>
              </w:rPr>
              <w:t>逾期不改正的，责令停产</w:t>
            </w:r>
            <w:r>
              <w:rPr>
                <w:spacing w:val="7"/>
              </w:rPr>
              <w:t>停业整顿，情节严重的，</w:t>
            </w:r>
            <w:r>
              <w:rPr>
                <w:spacing w:val="8"/>
              </w:rPr>
              <w:t>吊销安全生产许可证</w:t>
            </w:r>
          </w:p>
        </w:tc>
        <w:tc>
          <w:tcPr>
            <w:tcW w:w="811" w:type="dxa"/>
            <w:vMerge w:val="restart"/>
            <w:tcBorders>
              <w:bottom w:val="nil"/>
            </w:tcBorders>
            <w:vAlign w:val="top"/>
          </w:tcPr>
          <w:p w14:paraId="3F968935">
            <w:pPr>
              <w:spacing w:line="258" w:lineRule="auto"/>
              <w:rPr>
                <w:rFonts w:ascii="Arial"/>
                <w:sz w:val="21"/>
              </w:rPr>
            </w:pPr>
          </w:p>
          <w:p w14:paraId="629869BB">
            <w:pPr>
              <w:spacing w:line="258" w:lineRule="auto"/>
              <w:rPr>
                <w:rFonts w:ascii="Arial"/>
                <w:sz w:val="21"/>
              </w:rPr>
            </w:pPr>
          </w:p>
          <w:p w14:paraId="2D446945">
            <w:pPr>
              <w:spacing w:line="258" w:lineRule="auto"/>
              <w:rPr>
                <w:rFonts w:ascii="Arial"/>
                <w:sz w:val="21"/>
              </w:rPr>
            </w:pPr>
          </w:p>
          <w:p w14:paraId="6E2761BC">
            <w:pPr>
              <w:spacing w:line="258" w:lineRule="auto"/>
              <w:rPr>
                <w:rFonts w:ascii="Arial"/>
                <w:sz w:val="21"/>
              </w:rPr>
            </w:pPr>
          </w:p>
          <w:p w14:paraId="009C2868">
            <w:pPr>
              <w:spacing w:line="258" w:lineRule="auto"/>
              <w:rPr>
                <w:rFonts w:ascii="Arial"/>
                <w:sz w:val="21"/>
              </w:rPr>
            </w:pPr>
          </w:p>
          <w:p w14:paraId="7C3A0978">
            <w:pPr>
              <w:spacing w:line="258" w:lineRule="auto"/>
              <w:rPr>
                <w:rFonts w:ascii="Arial"/>
                <w:sz w:val="21"/>
              </w:rPr>
            </w:pPr>
          </w:p>
          <w:p w14:paraId="7B7D0A04">
            <w:pPr>
              <w:spacing w:line="258" w:lineRule="auto"/>
              <w:rPr>
                <w:rFonts w:ascii="Arial"/>
                <w:sz w:val="21"/>
              </w:rPr>
            </w:pPr>
          </w:p>
          <w:p w14:paraId="590A2D8B">
            <w:pPr>
              <w:spacing w:line="258" w:lineRule="auto"/>
              <w:rPr>
                <w:rFonts w:ascii="Arial"/>
                <w:sz w:val="21"/>
              </w:rPr>
            </w:pPr>
          </w:p>
          <w:p w14:paraId="0D474C88">
            <w:pPr>
              <w:spacing w:line="258" w:lineRule="auto"/>
              <w:rPr>
                <w:rFonts w:ascii="Arial"/>
                <w:sz w:val="21"/>
              </w:rPr>
            </w:pPr>
          </w:p>
          <w:p w14:paraId="7D95F05A">
            <w:pPr>
              <w:spacing w:line="258" w:lineRule="auto"/>
              <w:rPr>
                <w:rFonts w:ascii="Arial"/>
                <w:sz w:val="21"/>
              </w:rPr>
            </w:pPr>
          </w:p>
          <w:p w14:paraId="02109854">
            <w:pPr>
              <w:spacing w:line="259" w:lineRule="auto"/>
              <w:rPr>
                <w:rFonts w:ascii="Arial"/>
                <w:sz w:val="21"/>
              </w:rPr>
            </w:pPr>
          </w:p>
          <w:p w14:paraId="26546F29">
            <w:pPr>
              <w:spacing w:before="74" w:line="189" w:lineRule="auto"/>
              <w:ind w:left="248"/>
              <w:rPr>
                <w:rFonts w:ascii="宋体" w:hAnsi="宋体" w:eastAsia="宋体" w:cs="宋体"/>
                <w:sz w:val="23"/>
                <w:szCs w:val="23"/>
              </w:rPr>
            </w:pPr>
            <w:r>
              <w:rPr>
                <w:rFonts w:ascii="宋体" w:hAnsi="宋体" w:eastAsia="宋体" w:cs="宋体"/>
                <w:spacing w:val="-6"/>
                <w:sz w:val="23"/>
                <w:szCs w:val="23"/>
              </w:rPr>
              <w:t>137</w:t>
            </w:r>
          </w:p>
        </w:tc>
      </w:tr>
      <w:tr w14:paraId="679ED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continue"/>
            <w:tcBorders>
              <w:top w:val="nil"/>
              <w:bottom w:val="nil"/>
            </w:tcBorders>
            <w:vAlign w:val="top"/>
          </w:tcPr>
          <w:p w14:paraId="264F3619">
            <w:pPr>
              <w:rPr>
                <w:rFonts w:ascii="Arial"/>
                <w:sz w:val="21"/>
              </w:rPr>
            </w:pPr>
          </w:p>
        </w:tc>
        <w:tc>
          <w:tcPr>
            <w:tcW w:w="1440" w:type="dxa"/>
            <w:vMerge w:val="continue"/>
            <w:tcBorders>
              <w:top w:val="nil"/>
              <w:bottom w:val="nil"/>
            </w:tcBorders>
            <w:vAlign w:val="top"/>
          </w:tcPr>
          <w:p w14:paraId="4A97D40A">
            <w:pPr>
              <w:rPr>
                <w:rFonts w:ascii="Arial"/>
                <w:sz w:val="21"/>
              </w:rPr>
            </w:pPr>
          </w:p>
        </w:tc>
        <w:tc>
          <w:tcPr>
            <w:tcW w:w="3202" w:type="dxa"/>
            <w:vMerge w:val="continue"/>
            <w:tcBorders>
              <w:top w:val="nil"/>
              <w:bottom w:val="nil"/>
            </w:tcBorders>
            <w:vAlign w:val="top"/>
          </w:tcPr>
          <w:p w14:paraId="538B3B67">
            <w:pPr>
              <w:rPr>
                <w:rFonts w:ascii="Arial"/>
                <w:sz w:val="21"/>
              </w:rPr>
            </w:pPr>
          </w:p>
        </w:tc>
        <w:tc>
          <w:tcPr>
            <w:tcW w:w="2859" w:type="dxa"/>
            <w:vMerge w:val="continue"/>
            <w:tcBorders>
              <w:top w:val="nil"/>
              <w:bottom w:val="nil"/>
            </w:tcBorders>
            <w:vAlign w:val="top"/>
          </w:tcPr>
          <w:p w14:paraId="1A801539">
            <w:pPr>
              <w:rPr>
                <w:rFonts w:ascii="Arial"/>
                <w:sz w:val="21"/>
              </w:rPr>
            </w:pPr>
          </w:p>
        </w:tc>
        <w:tc>
          <w:tcPr>
            <w:tcW w:w="803" w:type="dxa"/>
            <w:vAlign w:val="top"/>
          </w:tcPr>
          <w:p w14:paraId="5CC70A39">
            <w:pPr>
              <w:spacing w:line="298" w:lineRule="auto"/>
              <w:rPr>
                <w:rFonts w:ascii="Arial"/>
                <w:sz w:val="21"/>
              </w:rPr>
            </w:pPr>
          </w:p>
          <w:p w14:paraId="58E81166">
            <w:pPr>
              <w:spacing w:line="298" w:lineRule="auto"/>
              <w:rPr>
                <w:rFonts w:ascii="Arial"/>
                <w:sz w:val="21"/>
              </w:rPr>
            </w:pPr>
          </w:p>
          <w:p w14:paraId="3D39FF70">
            <w:pPr>
              <w:spacing w:line="299" w:lineRule="auto"/>
              <w:rPr>
                <w:rFonts w:ascii="Arial"/>
                <w:sz w:val="21"/>
              </w:rPr>
            </w:pPr>
          </w:p>
          <w:p w14:paraId="6B9F430E">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3A2B3B2">
            <w:pPr>
              <w:pStyle w:val="6"/>
              <w:spacing w:before="33" w:line="179" w:lineRule="auto"/>
              <w:ind w:left="114" w:right="105" w:firstLine="16"/>
              <w:jc w:val="both"/>
            </w:pPr>
            <w:r>
              <w:rPr>
                <w:spacing w:val="24"/>
              </w:rPr>
              <w:t>生产烟花爆竹使用</w:t>
            </w:r>
            <w:r>
              <w:rPr>
                <w:spacing w:val="17"/>
              </w:rPr>
              <w:t>的原料有</w:t>
            </w:r>
            <w:r>
              <w:rPr>
                <w:rFonts w:ascii="宋体" w:hAnsi="宋体" w:eastAsia="宋体" w:cs="宋体"/>
                <w:spacing w:val="17"/>
              </w:rPr>
              <w:t>2</w:t>
            </w:r>
            <w:r>
              <w:rPr>
                <w:spacing w:val="17"/>
              </w:rPr>
              <w:t>种不符</w:t>
            </w:r>
            <w:r>
              <w:rPr>
                <w:spacing w:val="-2"/>
              </w:rPr>
              <w:t>合国家标准，或者使</w:t>
            </w:r>
            <w:r>
              <w:rPr>
                <w:spacing w:val="26"/>
              </w:rPr>
              <w:t>用的原料超过国家标准规定的用量限</w:t>
            </w:r>
            <w:r>
              <w:rPr>
                <w:spacing w:val="3"/>
              </w:rPr>
              <w:t>制，超过</w:t>
            </w:r>
            <w:r>
              <w:rPr>
                <w:rFonts w:ascii="宋体" w:hAnsi="宋体" w:eastAsia="宋体" w:cs="宋体"/>
                <w:spacing w:val="3"/>
              </w:rPr>
              <w:t>10%</w:t>
            </w:r>
            <w:r>
              <w:rPr>
                <w:spacing w:val="3"/>
              </w:rPr>
              <w:t>以上</w:t>
            </w:r>
            <w:r>
              <w:rPr>
                <w:rFonts w:ascii="宋体" w:hAnsi="宋体" w:eastAsia="宋体" w:cs="宋体"/>
                <w:spacing w:val="6"/>
              </w:rPr>
              <w:t>30%</w:t>
            </w:r>
            <w:r>
              <w:rPr>
                <w:spacing w:val="6"/>
              </w:rPr>
              <w:t>以下的</w:t>
            </w:r>
          </w:p>
        </w:tc>
        <w:tc>
          <w:tcPr>
            <w:tcW w:w="2894" w:type="dxa"/>
            <w:vAlign w:val="top"/>
          </w:tcPr>
          <w:p w14:paraId="3C0BC63E">
            <w:pPr>
              <w:pStyle w:val="6"/>
              <w:spacing w:before="328" w:line="188" w:lineRule="auto"/>
              <w:ind w:left="117" w:right="103" w:firstLine="10"/>
            </w:pPr>
            <w:r>
              <w:rPr>
                <w:spacing w:val="4"/>
              </w:rPr>
              <w:t>责令限期改正，处</w:t>
            </w:r>
            <w:r>
              <w:rPr>
                <w:rFonts w:ascii="宋体" w:hAnsi="宋体" w:eastAsia="宋体" w:cs="宋体"/>
                <w:spacing w:val="4"/>
              </w:rPr>
              <w:t>2</w:t>
            </w:r>
            <w:r>
              <w:rPr>
                <w:spacing w:val="4"/>
              </w:rPr>
              <w:t>万元</w:t>
            </w:r>
            <w:r>
              <w:rPr>
                <w:spacing w:val="3"/>
              </w:rPr>
              <w:t>以上</w:t>
            </w:r>
            <w:r>
              <w:rPr>
                <w:rFonts w:ascii="宋体" w:hAnsi="宋体" w:eastAsia="宋体" w:cs="宋体"/>
                <w:spacing w:val="3"/>
              </w:rPr>
              <w:t>4</w:t>
            </w:r>
            <w:r>
              <w:rPr>
                <w:spacing w:val="3"/>
              </w:rPr>
              <w:t>万元以下的罚款；</w:t>
            </w:r>
            <w:r>
              <w:rPr>
                <w:spacing w:val="8"/>
              </w:rPr>
              <w:t>逾期不改正的，责令停产</w:t>
            </w:r>
            <w:r>
              <w:rPr>
                <w:spacing w:val="7"/>
              </w:rPr>
              <w:t>停业整顿，情节严重的，</w:t>
            </w:r>
            <w:r>
              <w:rPr>
                <w:spacing w:val="8"/>
              </w:rPr>
              <w:t>吊销安全生产许可证</w:t>
            </w:r>
          </w:p>
        </w:tc>
        <w:tc>
          <w:tcPr>
            <w:tcW w:w="811" w:type="dxa"/>
            <w:vMerge w:val="continue"/>
            <w:tcBorders>
              <w:top w:val="nil"/>
              <w:bottom w:val="nil"/>
            </w:tcBorders>
            <w:vAlign w:val="top"/>
          </w:tcPr>
          <w:p w14:paraId="70A95376">
            <w:pPr>
              <w:rPr>
                <w:rFonts w:ascii="Arial"/>
                <w:sz w:val="21"/>
              </w:rPr>
            </w:pPr>
          </w:p>
        </w:tc>
      </w:tr>
      <w:tr w14:paraId="707B2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continue"/>
            <w:tcBorders>
              <w:top w:val="nil"/>
            </w:tcBorders>
            <w:vAlign w:val="top"/>
          </w:tcPr>
          <w:p w14:paraId="5682E7E9">
            <w:pPr>
              <w:rPr>
                <w:rFonts w:ascii="Arial"/>
                <w:sz w:val="21"/>
              </w:rPr>
            </w:pPr>
          </w:p>
        </w:tc>
        <w:tc>
          <w:tcPr>
            <w:tcW w:w="1440" w:type="dxa"/>
            <w:vMerge w:val="continue"/>
            <w:tcBorders>
              <w:top w:val="nil"/>
            </w:tcBorders>
            <w:vAlign w:val="top"/>
          </w:tcPr>
          <w:p w14:paraId="37E2E8FA">
            <w:pPr>
              <w:rPr>
                <w:rFonts w:ascii="Arial"/>
                <w:sz w:val="21"/>
              </w:rPr>
            </w:pPr>
          </w:p>
        </w:tc>
        <w:tc>
          <w:tcPr>
            <w:tcW w:w="3202" w:type="dxa"/>
            <w:vMerge w:val="continue"/>
            <w:tcBorders>
              <w:top w:val="nil"/>
            </w:tcBorders>
            <w:vAlign w:val="top"/>
          </w:tcPr>
          <w:p w14:paraId="11B261C2">
            <w:pPr>
              <w:rPr>
                <w:rFonts w:ascii="Arial"/>
                <w:sz w:val="21"/>
              </w:rPr>
            </w:pPr>
          </w:p>
        </w:tc>
        <w:tc>
          <w:tcPr>
            <w:tcW w:w="2859" w:type="dxa"/>
            <w:vMerge w:val="continue"/>
            <w:tcBorders>
              <w:top w:val="nil"/>
            </w:tcBorders>
            <w:vAlign w:val="top"/>
          </w:tcPr>
          <w:p w14:paraId="773FFD81">
            <w:pPr>
              <w:rPr>
                <w:rFonts w:ascii="Arial"/>
                <w:sz w:val="21"/>
              </w:rPr>
            </w:pPr>
          </w:p>
        </w:tc>
        <w:tc>
          <w:tcPr>
            <w:tcW w:w="803" w:type="dxa"/>
            <w:vAlign w:val="top"/>
          </w:tcPr>
          <w:p w14:paraId="4300A351">
            <w:pPr>
              <w:spacing w:line="298" w:lineRule="auto"/>
              <w:rPr>
                <w:rFonts w:ascii="Arial"/>
                <w:sz w:val="21"/>
              </w:rPr>
            </w:pPr>
          </w:p>
          <w:p w14:paraId="37A96195">
            <w:pPr>
              <w:spacing w:line="298" w:lineRule="auto"/>
              <w:rPr>
                <w:rFonts w:ascii="Arial"/>
                <w:sz w:val="21"/>
              </w:rPr>
            </w:pPr>
          </w:p>
          <w:p w14:paraId="5426FA54">
            <w:pPr>
              <w:spacing w:line="299" w:lineRule="auto"/>
              <w:rPr>
                <w:rFonts w:ascii="Arial"/>
                <w:sz w:val="21"/>
              </w:rPr>
            </w:pPr>
          </w:p>
          <w:p w14:paraId="2839A898">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DCB9988">
            <w:pPr>
              <w:pStyle w:val="6"/>
              <w:spacing w:before="33" w:line="179" w:lineRule="auto"/>
              <w:ind w:left="120" w:right="105" w:firstLine="11"/>
              <w:jc w:val="both"/>
            </w:pPr>
            <w:r>
              <w:rPr>
                <w:spacing w:val="24"/>
              </w:rPr>
              <w:t>生产烟花爆竹使用</w:t>
            </w:r>
            <w:r>
              <w:rPr>
                <w:spacing w:val="16"/>
              </w:rPr>
              <w:t>的原料有</w:t>
            </w:r>
            <w:r>
              <w:rPr>
                <w:rFonts w:ascii="宋体" w:hAnsi="宋体" w:eastAsia="宋体" w:cs="宋体"/>
                <w:spacing w:val="16"/>
              </w:rPr>
              <w:t>3</w:t>
            </w:r>
            <w:r>
              <w:rPr>
                <w:spacing w:val="16"/>
              </w:rPr>
              <w:t>种以上</w:t>
            </w:r>
            <w:r>
              <w:rPr>
                <w:spacing w:val="-3"/>
              </w:rPr>
              <w:t>不符合国家标准，或</w:t>
            </w:r>
            <w:r>
              <w:rPr>
                <w:spacing w:val="26"/>
              </w:rPr>
              <w:t>者使用的原料超过国家标准规定的用</w:t>
            </w:r>
            <w:r>
              <w:rPr>
                <w:spacing w:val="2"/>
              </w:rPr>
              <w:t>量限制，超过</w:t>
            </w:r>
            <w:r>
              <w:rPr>
                <w:rFonts w:ascii="宋体" w:hAnsi="宋体" w:eastAsia="宋体" w:cs="宋体"/>
                <w:spacing w:val="2"/>
              </w:rPr>
              <w:t>30%</w:t>
            </w:r>
            <w:r>
              <w:rPr>
                <w:spacing w:val="2"/>
              </w:rPr>
              <w:t>以</w:t>
            </w:r>
            <w:r>
              <w:rPr>
                <w:spacing w:val="1"/>
              </w:rPr>
              <w:t>上的</w:t>
            </w:r>
          </w:p>
        </w:tc>
        <w:tc>
          <w:tcPr>
            <w:tcW w:w="2894" w:type="dxa"/>
            <w:vAlign w:val="top"/>
          </w:tcPr>
          <w:p w14:paraId="60A3ACFE">
            <w:pPr>
              <w:pStyle w:val="6"/>
              <w:spacing w:before="329" w:line="188" w:lineRule="auto"/>
              <w:ind w:left="117" w:right="103" w:firstLine="10"/>
            </w:pPr>
            <w:r>
              <w:rPr>
                <w:spacing w:val="4"/>
              </w:rPr>
              <w:t>责令限期改正，处</w:t>
            </w:r>
            <w:r>
              <w:rPr>
                <w:rFonts w:ascii="宋体" w:hAnsi="宋体" w:eastAsia="宋体" w:cs="宋体"/>
                <w:spacing w:val="4"/>
              </w:rPr>
              <w:t>4</w:t>
            </w:r>
            <w:r>
              <w:rPr>
                <w:spacing w:val="4"/>
              </w:rPr>
              <w:t>万元</w:t>
            </w:r>
            <w:r>
              <w:rPr>
                <w:spacing w:val="3"/>
              </w:rPr>
              <w:t>以上</w:t>
            </w:r>
            <w:r>
              <w:rPr>
                <w:rFonts w:ascii="宋体" w:hAnsi="宋体" w:eastAsia="宋体" w:cs="宋体"/>
                <w:spacing w:val="3"/>
              </w:rPr>
              <w:t>5</w:t>
            </w:r>
            <w:r>
              <w:rPr>
                <w:spacing w:val="3"/>
              </w:rPr>
              <w:t>万元以下的罚款；</w:t>
            </w:r>
            <w:r>
              <w:rPr>
                <w:spacing w:val="8"/>
              </w:rPr>
              <w:t>逾期不改正的，责令停产</w:t>
            </w:r>
            <w:r>
              <w:rPr>
                <w:spacing w:val="7"/>
              </w:rPr>
              <w:t>停业整顿，情节严重的，</w:t>
            </w:r>
            <w:r>
              <w:rPr>
                <w:spacing w:val="8"/>
              </w:rPr>
              <w:t>吊销安全生产许可证</w:t>
            </w:r>
          </w:p>
        </w:tc>
        <w:tc>
          <w:tcPr>
            <w:tcW w:w="811" w:type="dxa"/>
            <w:vMerge w:val="continue"/>
            <w:tcBorders>
              <w:top w:val="nil"/>
            </w:tcBorders>
            <w:vAlign w:val="top"/>
          </w:tcPr>
          <w:p w14:paraId="6C6F2134">
            <w:pPr>
              <w:rPr>
                <w:rFonts w:ascii="Arial"/>
                <w:sz w:val="21"/>
              </w:rPr>
            </w:pPr>
          </w:p>
        </w:tc>
      </w:tr>
      <w:tr w14:paraId="2C91B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restart"/>
            <w:tcBorders>
              <w:bottom w:val="nil"/>
            </w:tcBorders>
            <w:vAlign w:val="top"/>
          </w:tcPr>
          <w:p w14:paraId="68831D33">
            <w:pPr>
              <w:spacing w:line="270" w:lineRule="auto"/>
              <w:rPr>
                <w:rFonts w:ascii="Arial"/>
                <w:sz w:val="21"/>
              </w:rPr>
            </w:pPr>
          </w:p>
          <w:p w14:paraId="7B0E1715">
            <w:pPr>
              <w:spacing w:line="270" w:lineRule="auto"/>
              <w:rPr>
                <w:rFonts w:ascii="Arial"/>
                <w:sz w:val="21"/>
              </w:rPr>
            </w:pPr>
          </w:p>
          <w:p w14:paraId="7492B703">
            <w:pPr>
              <w:spacing w:line="270" w:lineRule="auto"/>
              <w:rPr>
                <w:rFonts w:ascii="Arial"/>
                <w:sz w:val="21"/>
              </w:rPr>
            </w:pPr>
          </w:p>
          <w:p w14:paraId="38D10C24">
            <w:pPr>
              <w:spacing w:line="270" w:lineRule="auto"/>
              <w:rPr>
                <w:rFonts w:ascii="Arial"/>
                <w:sz w:val="21"/>
              </w:rPr>
            </w:pPr>
          </w:p>
          <w:p w14:paraId="159E1532">
            <w:pPr>
              <w:spacing w:line="271" w:lineRule="auto"/>
              <w:rPr>
                <w:rFonts w:ascii="Arial"/>
                <w:sz w:val="21"/>
              </w:rPr>
            </w:pPr>
          </w:p>
          <w:p w14:paraId="1F4798FB">
            <w:pPr>
              <w:spacing w:before="75" w:line="186" w:lineRule="auto"/>
              <w:ind w:left="161"/>
              <w:rPr>
                <w:rFonts w:ascii="仿宋" w:hAnsi="仿宋" w:eastAsia="仿宋" w:cs="仿宋"/>
                <w:sz w:val="23"/>
                <w:szCs w:val="23"/>
              </w:rPr>
            </w:pPr>
            <w:r>
              <w:rPr>
                <w:rFonts w:ascii="仿宋" w:hAnsi="仿宋" w:eastAsia="仿宋" w:cs="仿宋"/>
                <w:spacing w:val="-5"/>
                <w:sz w:val="23"/>
                <w:szCs w:val="23"/>
              </w:rPr>
              <w:t>178</w:t>
            </w:r>
          </w:p>
        </w:tc>
        <w:tc>
          <w:tcPr>
            <w:tcW w:w="1440" w:type="dxa"/>
            <w:vMerge w:val="restart"/>
            <w:tcBorders>
              <w:bottom w:val="nil"/>
            </w:tcBorders>
            <w:vAlign w:val="top"/>
          </w:tcPr>
          <w:p w14:paraId="791C27A3">
            <w:pPr>
              <w:pStyle w:val="6"/>
              <w:spacing w:before="336" w:line="186" w:lineRule="auto"/>
              <w:ind w:left="110" w:right="111" w:firstLine="9"/>
              <w:jc w:val="both"/>
            </w:pPr>
            <w:r>
              <w:rPr>
                <w:spacing w:val="10"/>
              </w:rPr>
              <w:t>烟花爆竹生</w:t>
            </w:r>
            <w:r>
              <w:rPr>
                <w:spacing w:val="12"/>
              </w:rPr>
              <w:t>产企业使用按照国家标准规定禁止使用或者禁忌配伍的物质生产烟花</w:t>
            </w:r>
            <w:r>
              <w:rPr>
                <w:spacing w:val="6"/>
              </w:rPr>
              <w:t>爆竹的</w:t>
            </w:r>
          </w:p>
        </w:tc>
        <w:tc>
          <w:tcPr>
            <w:tcW w:w="3202" w:type="dxa"/>
            <w:vMerge w:val="restart"/>
            <w:tcBorders>
              <w:bottom w:val="nil"/>
            </w:tcBorders>
            <w:vAlign w:val="top"/>
          </w:tcPr>
          <w:p w14:paraId="46FDE1FB">
            <w:pPr>
              <w:pStyle w:val="6"/>
              <w:spacing w:before="29" w:line="181" w:lineRule="auto"/>
              <w:ind w:left="117" w:right="111" w:hanging="19"/>
              <w:jc w:val="both"/>
            </w:pPr>
            <w:r>
              <w:rPr>
                <w:spacing w:val="18"/>
              </w:rPr>
              <w:t>【行政法规】《烟花爆竹安</w:t>
            </w:r>
            <w:r>
              <w:rPr>
                <w:spacing w:val="12"/>
              </w:rPr>
              <w:t>全管理条例》第十三条：生</w:t>
            </w:r>
            <w:r>
              <w:rPr>
                <w:spacing w:val="13"/>
              </w:rPr>
              <w:t>产烟花爆竹使用的原料，应</w:t>
            </w:r>
            <w:r>
              <w:rPr>
                <w:spacing w:val="17"/>
              </w:rPr>
              <w:t>当符合国家标准的规定。生</w:t>
            </w:r>
            <w:r>
              <w:rPr>
                <w:spacing w:val="10"/>
              </w:rPr>
              <w:t>产烟花爆竹使用的原料，国</w:t>
            </w:r>
            <w:r>
              <w:rPr>
                <w:spacing w:val="13"/>
              </w:rPr>
              <w:t>家标准有用量限制的，不得</w:t>
            </w:r>
            <w:r>
              <w:rPr>
                <w:spacing w:val="17"/>
              </w:rPr>
              <w:t>超过规定的用量。不得使用国家标准规定禁止使用或者禁忌配伍的物质生产烟花爆</w:t>
            </w:r>
            <w:r>
              <w:rPr>
                <w:spacing w:val="-7"/>
              </w:rPr>
              <w:t>竹。</w:t>
            </w:r>
          </w:p>
        </w:tc>
        <w:tc>
          <w:tcPr>
            <w:tcW w:w="2859" w:type="dxa"/>
            <w:vMerge w:val="restart"/>
            <w:tcBorders>
              <w:bottom w:val="nil"/>
            </w:tcBorders>
            <w:vAlign w:val="top"/>
          </w:tcPr>
          <w:p w14:paraId="49AFBD18">
            <w:pPr>
              <w:pStyle w:val="6"/>
              <w:spacing w:before="29" w:line="181" w:lineRule="auto"/>
              <w:ind w:left="115" w:right="40" w:hanging="18"/>
              <w:jc w:val="both"/>
            </w:pPr>
            <w:r>
              <w:rPr>
                <w:spacing w:val="10"/>
              </w:rPr>
              <w:t>【行政法规】《烟花爆竹</w:t>
            </w:r>
            <w:r>
              <w:rPr>
                <w:spacing w:val="8"/>
              </w:rPr>
              <w:t>安全管理条例》第三十七条第五项：生产烟花爆竹</w:t>
            </w:r>
            <w:r>
              <w:rPr>
                <w:spacing w:val="27"/>
              </w:rPr>
              <w:t>的企业有下列行为之一</w:t>
            </w:r>
            <w:r>
              <w:rPr>
                <w:spacing w:val="8"/>
              </w:rPr>
              <w:t>的，由安全生产监督管理</w:t>
            </w:r>
            <w:r>
              <w:rPr>
                <w:spacing w:val="7"/>
              </w:rPr>
              <w:t>部门责令限期改正，处</w:t>
            </w:r>
            <w:r>
              <w:rPr>
                <w:rFonts w:ascii="宋体" w:hAnsi="宋体" w:eastAsia="宋体" w:cs="宋体"/>
                <w:spacing w:val="7"/>
              </w:rPr>
              <w:t>1</w:t>
            </w:r>
            <w:r>
              <w:rPr>
                <w:spacing w:val="5"/>
              </w:rPr>
              <w:t>万元以上</w:t>
            </w:r>
            <w:r>
              <w:rPr>
                <w:rFonts w:ascii="宋体" w:hAnsi="宋体" w:eastAsia="宋体" w:cs="宋体"/>
                <w:spacing w:val="5"/>
              </w:rPr>
              <w:t>5</w:t>
            </w:r>
            <w:r>
              <w:rPr>
                <w:spacing w:val="5"/>
              </w:rPr>
              <w:t>万元以下的罚</w:t>
            </w:r>
            <w:r>
              <w:rPr>
                <w:spacing w:val="8"/>
              </w:rPr>
              <w:t>款；逾期不改正的，责令停产停业整顿，情节严重</w:t>
            </w:r>
            <w:r>
              <w:rPr>
                <w:spacing w:val="-6"/>
              </w:rPr>
              <w:t>的，吊销安全生产许可证：</w:t>
            </w:r>
          </w:p>
        </w:tc>
        <w:tc>
          <w:tcPr>
            <w:tcW w:w="803" w:type="dxa"/>
            <w:vAlign w:val="top"/>
          </w:tcPr>
          <w:p w14:paraId="1992919A">
            <w:pPr>
              <w:spacing w:line="297" w:lineRule="auto"/>
              <w:rPr>
                <w:rFonts w:ascii="Arial"/>
                <w:sz w:val="21"/>
              </w:rPr>
            </w:pPr>
          </w:p>
          <w:p w14:paraId="0DE173FA">
            <w:pPr>
              <w:spacing w:line="297" w:lineRule="auto"/>
              <w:rPr>
                <w:rFonts w:ascii="Arial"/>
                <w:sz w:val="21"/>
              </w:rPr>
            </w:pPr>
          </w:p>
          <w:p w14:paraId="37FBFFC5">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08D6ADB">
            <w:pPr>
              <w:pStyle w:val="6"/>
              <w:spacing w:before="180" w:line="189" w:lineRule="auto"/>
              <w:ind w:left="113" w:right="107" w:hanging="1"/>
              <w:jc w:val="both"/>
            </w:pPr>
            <w:r>
              <w:rPr>
                <w:spacing w:val="15"/>
              </w:rPr>
              <w:t>使用</w:t>
            </w:r>
            <w:r>
              <w:rPr>
                <w:rFonts w:ascii="宋体" w:hAnsi="宋体" w:eastAsia="宋体" w:cs="宋体"/>
                <w:spacing w:val="15"/>
              </w:rPr>
              <w:t>1</w:t>
            </w:r>
            <w:r>
              <w:rPr>
                <w:spacing w:val="15"/>
              </w:rPr>
              <w:t>种按照国家</w:t>
            </w:r>
            <w:r>
              <w:rPr>
                <w:spacing w:val="26"/>
              </w:rPr>
              <w:t>标准规定禁止使用或者禁忌配伍的物</w:t>
            </w:r>
            <w:r>
              <w:rPr>
                <w:spacing w:val="4"/>
              </w:rPr>
              <w:t>质的</w:t>
            </w:r>
          </w:p>
        </w:tc>
        <w:tc>
          <w:tcPr>
            <w:tcW w:w="2894" w:type="dxa"/>
            <w:vAlign w:val="top"/>
          </w:tcPr>
          <w:p w14:paraId="7AA60C70">
            <w:pPr>
              <w:pStyle w:val="6"/>
              <w:spacing w:before="30" w:line="178" w:lineRule="auto"/>
              <w:ind w:left="117" w:right="103" w:firstLine="10"/>
            </w:pPr>
            <w:r>
              <w:rPr>
                <w:spacing w:val="2"/>
              </w:rPr>
              <w:t>责令限期改正，处</w:t>
            </w:r>
            <w:r>
              <w:rPr>
                <w:rFonts w:ascii="宋体" w:hAnsi="宋体" w:eastAsia="宋体" w:cs="宋体"/>
                <w:spacing w:val="2"/>
              </w:rPr>
              <w:t>1</w:t>
            </w:r>
            <w:r>
              <w:rPr>
                <w:spacing w:val="2"/>
              </w:rPr>
              <w:t>万元</w:t>
            </w:r>
            <w:r>
              <w:rPr>
                <w:spacing w:val="3"/>
              </w:rPr>
              <w:t>以上</w:t>
            </w:r>
            <w:r>
              <w:rPr>
                <w:rFonts w:ascii="宋体" w:hAnsi="宋体" w:eastAsia="宋体" w:cs="宋体"/>
                <w:spacing w:val="3"/>
              </w:rPr>
              <w:t>2</w:t>
            </w:r>
            <w:r>
              <w:rPr>
                <w:spacing w:val="3"/>
              </w:rPr>
              <w:t>万元以下的罚款；</w:t>
            </w:r>
            <w:r>
              <w:rPr>
                <w:spacing w:val="8"/>
              </w:rPr>
              <w:t>逾期不改正的，责令停产</w:t>
            </w:r>
            <w:r>
              <w:rPr>
                <w:spacing w:val="7"/>
              </w:rPr>
              <w:t>停业整顿，情节严重的，</w:t>
            </w:r>
            <w:r>
              <w:rPr>
                <w:spacing w:val="8"/>
              </w:rPr>
              <w:t>吊销安全生产许可证</w:t>
            </w:r>
          </w:p>
        </w:tc>
        <w:tc>
          <w:tcPr>
            <w:tcW w:w="811" w:type="dxa"/>
            <w:vMerge w:val="restart"/>
            <w:tcBorders>
              <w:bottom w:val="nil"/>
            </w:tcBorders>
            <w:vAlign w:val="top"/>
          </w:tcPr>
          <w:p w14:paraId="3B532487">
            <w:pPr>
              <w:spacing w:line="269" w:lineRule="auto"/>
              <w:rPr>
                <w:rFonts w:ascii="Arial"/>
                <w:sz w:val="21"/>
              </w:rPr>
            </w:pPr>
          </w:p>
          <w:p w14:paraId="37CC4284">
            <w:pPr>
              <w:spacing w:line="269" w:lineRule="auto"/>
              <w:rPr>
                <w:rFonts w:ascii="Arial"/>
                <w:sz w:val="21"/>
              </w:rPr>
            </w:pPr>
          </w:p>
          <w:p w14:paraId="37E7EECB">
            <w:pPr>
              <w:spacing w:line="269" w:lineRule="auto"/>
              <w:rPr>
                <w:rFonts w:ascii="Arial"/>
                <w:sz w:val="21"/>
              </w:rPr>
            </w:pPr>
          </w:p>
          <w:p w14:paraId="2F7ACD4C">
            <w:pPr>
              <w:spacing w:line="270" w:lineRule="auto"/>
              <w:rPr>
                <w:rFonts w:ascii="Arial"/>
                <w:sz w:val="21"/>
              </w:rPr>
            </w:pPr>
          </w:p>
          <w:p w14:paraId="006E33DE">
            <w:pPr>
              <w:spacing w:line="270" w:lineRule="auto"/>
              <w:rPr>
                <w:rFonts w:ascii="Arial"/>
                <w:sz w:val="21"/>
              </w:rPr>
            </w:pPr>
          </w:p>
          <w:p w14:paraId="2708BBA9">
            <w:pPr>
              <w:spacing w:before="75" w:line="189" w:lineRule="auto"/>
              <w:ind w:left="248"/>
              <w:rPr>
                <w:rFonts w:ascii="宋体" w:hAnsi="宋体" w:eastAsia="宋体" w:cs="宋体"/>
                <w:sz w:val="23"/>
                <w:szCs w:val="23"/>
              </w:rPr>
            </w:pPr>
            <w:r>
              <w:rPr>
                <w:rFonts w:ascii="宋体" w:hAnsi="宋体" w:eastAsia="宋体" w:cs="宋体"/>
                <w:spacing w:val="-6"/>
                <w:sz w:val="23"/>
                <w:szCs w:val="23"/>
              </w:rPr>
              <w:t>137</w:t>
            </w:r>
          </w:p>
        </w:tc>
      </w:tr>
      <w:tr w14:paraId="59915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818" w:type="dxa"/>
            <w:vMerge w:val="continue"/>
            <w:tcBorders>
              <w:top w:val="nil"/>
            </w:tcBorders>
            <w:vAlign w:val="top"/>
          </w:tcPr>
          <w:p w14:paraId="72FCC4FA">
            <w:pPr>
              <w:rPr>
                <w:rFonts w:ascii="Arial"/>
                <w:sz w:val="21"/>
              </w:rPr>
            </w:pPr>
          </w:p>
        </w:tc>
        <w:tc>
          <w:tcPr>
            <w:tcW w:w="1440" w:type="dxa"/>
            <w:vMerge w:val="continue"/>
            <w:tcBorders>
              <w:top w:val="nil"/>
            </w:tcBorders>
            <w:vAlign w:val="top"/>
          </w:tcPr>
          <w:p w14:paraId="64116242">
            <w:pPr>
              <w:rPr>
                <w:rFonts w:ascii="Arial"/>
                <w:sz w:val="21"/>
              </w:rPr>
            </w:pPr>
          </w:p>
        </w:tc>
        <w:tc>
          <w:tcPr>
            <w:tcW w:w="3202" w:type="dxa"/>
            <w:vMerge w:val="continue"/>
            <w:tcBorders>
              <w:top w:val="nil"/>
            </w:tcBorders>
            <w:vAlign w:val="top"/>
          </w:tcPr>
          <w:p w14:paraId="010780C8">
            <w:pPr>
              <w:rPr>
                <w:rFonts w:ascii="Arial"/>
                <w:sz w:val="21"/>
              </w:rPr>
            </w:pPr>
          </w:p>
        </w:tc>
        <w:tc>
          <w:tcPr>
            <w:tcW w:w="2859" w:type="dxa"/>
            <w:vMerge w:val="continue"/>
            <w:tcBorders>
              <w:top w:val="nil"/>
            </w:tcBorders>
            <w:vAlign w:val="top"/>
          </w:tcPr>
          <w:p w14:paraId="4CD31284">
            <w:pPr>
              <w:rPr>
                <w:rFonts w:ascii="Arial"/>
                <w:sz w:val="21"/>
              </w:rPr>
            </w:pPr>
          </w:p>
        </w:tc>
        <w:tc>
          <w:tcPr>
            <w:tcW w:w="803" w:type="dxa"/>
            <w:vAlign w:val="top"/>
          </w:tcPr>
          <w:p w14:paraId="593C33AD">
            <w:pPr>
              <w:spacing w:line="299" w:lineRule="auto"/>
              <w:rPr>
                <w:rFonts w:ascii="Arial"/>
                <w:sz w:val="21"/>
              </w:rPr>
            </w:pPr>
          </w:p>
          <w:p w14:paraId="5D809211">
            <w:pPr>
              <w:spacing w:line="300" w:lineRule="auto"/>
              <w:rPr>
                <w:rFonts w:ascii="Arial"/>
                <w:sz w:val="21"/>
              </w:rPr>
            </w:pPr>
          </w:p>
          <w:p w14:paraId="2376E563">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C506F79">
            <w:pPr>
              <w:pStyle w:val="6"/>
              <w:spacing w:before="183" w:line="189" w:lineRule="auto"/>
              <w:ind w:left="113" w:right="107" w:hanging="1"/>
              <w:jc w:val="both"/>
            </w:pPr>
            <w:r>
              <w:rPr>
                <w:spacing w:val="17"/>
              </w:rPr>
              <w:t>使用</w:t>
            </w:r>
            <w:r>
              <w:rPr>
                <w:rFonts w:ascii="宋体" w:hAnsi="宋体" w:eastAsia="宋体" w:cs="宋体"/>
                <w:spacing w:val="17"/>
              </w:rPr>
              <w:t>2</w:t>
            </w:r>
            <w:r>
              <w:rPr>
                <w:spacing w:val="17"/>
              </w:rPr>
              <w:t>种按照国家</w:t>
            </w:r>
            <w:r>
              <w:rPr>
                <w:spacing w:val="26"/>
              </w:rPr>
              <w:t>标准规定禁止使用或者禁忌配伍的物</w:t>
            </w:r>
            <w:r>
              <w:rPr>
                <w:spacing w:val="4"/>
              </w:rPr>
              <w:t>质的</w:t>
            </w:r>
          </w:p>
        </w:tc>
        <w:tc>
          <w:tcPr>
            <w:tcW w:w="2894" w:type="dxa"/>
            <w:vAlign w:val="top"/>
          </w:tcPr>
          <w:p w14:paraId="2CF2192C">
            <w:pPr>
              <w:pStyle w:val="6"/>
              <w:spacing w:before="33" w:line="178" w:lineRule="auto"/>
              <w:ind w:left="117" w:right="103" w:firstLine="10"/>
            </w:pPr>
            <w:r>
              <w:rPr>
                <w:spacing w:val="4"/>
              </w:rPr>
              <w:t>责令限期改正，处</w:t>
            </w:r>
            <w:r>
              <w:rPr>
                <w:rFonts w:ascii="宋体" w:hAnsi="宋体" w:eastAsia="宋体" w:cs="宋体"/>
                <w:spacing w:val="4"/>
              </w:rPr>
              <w:t>2</w:t>
            </w:r>
            <w:r>
              <w:rPr>
                <w:spacing w:val="4"/>
              </w:rPr>
              <w:t>万元</w:t>
            </w:r>
            <w:r>
              <w:rPr>
                <w:spacing w:val="3"/>
              </w:rPr>
              <w:t>以上</w:t>
            </w:r>
            <w:r>
              <w:rPr>
                <w:rFonts w:ascii="宋体" w:hAnsi="宋体" w:eastAsia="宋体" w:cs="宋体"/>
                <w:spacing w:val="3"/>
              </w:rPr>
              <w:t>4</w:t>
            </w:r>
            <w:r>
              <w:rPr>
                <w:spacing w:val="3"/>
              </w:rPr>
              <w:t>万元以下的罚款；</w:t>
            </w:r>
            <w:r>
              <w:rPr>
                <w:spacing w:val="8"/>
              </w:rPr>
              <w:t>逾期不改正的，责令停产</w:t>
            </w:r>
            <w:r>
              <w:rPr>
                <w:spacing w:val="7"/>
              </w:rPr>
              <w:t>停业整顿，情节严重的，</w:t>
            </w:r>
            <w:r>
              <w:rPr>
                <w:spacing w:val="8"/>
              </w:rPr>
              <w:t>吊销安全生产许可证</w:t>
            </w:r>
          </w:p>
        </w:tc>
        <w:tc>
          <w:tcPr>
            <w:tcW w:w="811" w:type="dxa"/>
            <w:vMerge w:val="continue"/>
            <w:tcBorders>
              <w:top w:val="nil"/>
            </w:tcBorders>
            <w:vAlign w:val="top"/>
          </w:tcPr>
          <w:p w14:paraId="6FA974E5">
            <w:pPr>
              <w:rPr>
                <w:rFonts w:ascii="Arial"/>
                <w:sz w:val="21"/>
              </w:rPr>
            </w:pPr>
          </w:p>
        </w:tc>
      </w:tr>
    </w:tbl>
    <w:p w14:paraId="71335472">
      <w:pPr>
        <w:pStyle w:val="2"/>
      </w:pPr>
    </w:p>
    <w:p w14:paraId="53797882">
      <w:pPr>
        <w:sectPr>
          <w:footerReference r:id="rId193" w:type="default"/>
          <w:pgSz w:w="16839" w:h="11906"/>
          <w:pgMar w:top="1012" w:right="821" w:bottom="667" w:left="901" w:header="0" w:footer="388" w:gutter="0"/>
          <w:cols w:space="720" w:num="1"/>
        </w:sectPr>
      </w:pPr>
    </w:p>
    <w:p w14:paraId="0320451D">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B05D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1628866">
            <w:pPr>
              <w:spacing w:before="222" w:line="241" w:lineRule="auto"/>
              <w:ind w:left="131"/>
              <w:outlineLvl w:val="0"/>
              <w:rPr>
                <w:rFonts w:ascii="黑体" w:hAnsi="黑体" w:eastAsia="黑体" w:cs="黑体"/>
                <w:sz w:val="28"/>
                <w:szCs w:val="28"/>
              </w:rPr>
            </w:pPr>
            <w:bookmarkStart w:id="657" w:name="bookmark587"/>
            <w:bookmarkEnd w:id="657"/>
            <w:bookmarkStart w:id="658" w:name="bookmark366"/>
            <w:bookmarkEnd w:id="658"/>
            <w:r>
              <w:rPr>
                <w:rFonts w:ascii="黑体" w:hAnsi="黑体" w:eastAsia="黑体" w:cs="黑体"/>
                <w:spacing w:val="-2"/>
                <w:sz w:val="28"/>
                <w:szCs w:val="28"/>
              </w:rPr>
              <w:t>序号</w:t>
            </w:r>
          </w:p>
        </w:tc>
        <w:tc>
          <w:tcPr>
            <w:tcW w:w="1440" w:type="dxa"/>
            <w:vAlign w:val="top"/>
          </w:tcPr>
          <w:p w14:paraId="3435C807">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EB7B3CB">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17074F9">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53C48D6">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1C76D1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5561A199">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C62FA80">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B7AA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Align w:val="top"/>
          </w:tcPr>
          <w:p w14:paraId="281840DB">
            <w:pPr>
              <w:rPr>
                <w:rFonts w:ascii="Arial"/>
                <w:sz w:val="21"/>
              </w:rPr>
            </w:pPr>
          </w:p>
        </w:tc>
        <w:tc>
          <w:tcPr>
            <w:tcW w:w="1440" w:type="dxa"/>
            <w:vAlign w:val="top"/>
          </w:tcPr>
          <w:p w14:paraId="215F8DDC">
            <w:pPr>
              <w:rPr>
                <w:rFonts w:ascii="Arial"/>
                <w:sz w:val="21"/>
              </w:rPr>
            </w:pPr>
          </w:p>
        </w:tc>
        <w:tc>
          <w:tcPr>
            <w:tcW w:w="3202" w:type="dxa"/>
            <w:vAlign w:val="top"/>
          </w:tcPr>
          <w:p w14:paraId="149573E9">
            <w:pPr>
              <w:rPr>
                <w:rFonts w:ascii="Arial"/>
                <w:sz w:val="21"/>
              </w:rPr>
            </w:pPr>
          </w:p>
        </w:tc>
        <w:tc>
          <w:tcPr>
            <w:tcW w:w="2859" w:type="dxa"/>
            <w:vAlign w:val="top"/>
          </w:tcPr>
          <w:p w14:paraId="3689CC00">
            <w:pPr>
              <w:pStyle w:val="6"/>
              <w:spacing w:before="27" w:line="189" w:lineRule="auto"/>
              <w:ind w:left="116" w:right="110" w:hanging="18"/>
              <w:jc w:val="both"/>
            </w:pPr>
            <w:r>
              <w:rPr>
                <w:spacing w:val="10"/>
              </w:rPr>
              <w:t>（五）使用按照国家标准</w:t>
            </w:r>
            <w:r>
              <w:rPr>
                <w:spacing w:val="8"/>
              </w:rPr>
              <w:t>规定禁止使用或者禁忌配</w:t>
            </w:r>
            <w:r>
              <w:rPr>
                <w:spacing w:val="32"/>
              </w:rPr>
              <w:t>伍的物质生产烟花爆竹</w:t>
            </w:r>
            <w:r>
              <w:rPr>
                <w:spacing w:val="-10"/>
              </w:rPr>
              <w:t>的；</w:t>
            </w:r>
          </w:p>
        </w:tc>
        <w:tc>
          <w:tcPr>
            <w:tcW w:w="803" w:type="dxa"/>
            <w:vAlign w:val="top"/>
          </w:tcPr>
          <w:p w14:paraId="31FCCE93">
            <w:pPr>
              <w:spacing w:line="297" w:lineRule="auto"/>
              <w:rPr>
                <w:rFonts w:ascii="Arial"/>
                <w:sz w:val="21"/>
              </w:rPr>
            </w:pPr>
          </w:p>
          <w:p w14:paraId="1618A575">
            <w:pPr>
              <w:spacing w:line="298" w:lineRule="auto"/>
              <w:rPr>
                <w:rFonts w:ascii="Arial"/>
                <w:sz w:val="21"/>
              </w:rPr>
            </w:pPr>
          </w:p>
          <w:p w14:paraId="51A5E602">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D37000A">
            <w:pPr>
              <w:pStyle w:val="6"/>
              <w:spacing w:before="179" w:line="189" w:lineRule="auto"/>
              <w:ind w:left="112" w:right="107"/>
              <w:jc w:val="both"/>
            </w:pPr>
            <w:r>
              <w:rPr>
                <w:spacing w:val="17"/>
              </w:rPr>
              <w:t>使用</w:t>
            </w:r>
            <w:r>
              <w:rPr>
                <w:rFonts w:ascii="宋体" w:hAnsi="宋体" w:eastAsia="宋体" w:cs="宋体"/>
                <w:spacing w:val="17"/>
              </w:rPr>
              <w:t>3</w:t>
            </w:r>
            <w:r>
              <w:rPr>
                <w:spacing w:val="17"/>
              </w:rPr>
              <w:t>种以上按照</w:t>
            </w:r>
            <w:r>
              <w:rPr>
                <w:spacing w:val="26"/>
              </w:rPr>
              <w:t>国家标准规定禁止使用或者禁忌配伍</w:t>
            </w:r>
            <w:r>
              <w:rPr>
                <w:spacing w:val="7"/>
              </w:rPr>
              <w:t>的物质的</w:t>
            </w:r>
          </w:p>
        </w:tc>
        <w:tc>
          <w:tcPr>
            <w:tcW w:w="2894" w:type="dxa"/>
            <w:vAlign w:val="top"/>
          </w:tcPr>
          <w:p w14:paraId="72887946">
            <w:pPr>
              <w:pStyle w:val="6"/>
              <w:spacing w:before="30" w:line="178" w:lineRule="auto"/>
              <w:ind w:left="117" w:right="103" w:firstLine="10"/>
            </w:pPr>
            <w:r>
              <w:rPr>
                <w:spacing w:val="4"/>
              </w:rPr>
              <w:t>责令限期改正，处</w:t>
            </w:r>
            <w:r>
              <w:rPr>
                <w:rFonts w:ascii="宋体" w:hAnsi="宋体" w:eastAsia="宋体" w:cs="宋体"/>
                <w:spacing w:val="4"/>
              </w:rPr>
              <w:t>4</w:t>
            </w:r>
            <w:r>
              <w:rPr>
                <w:spacing w:val="4"/>
              </w:rPr>
              <w:t>万元</w:t>
            </w:r>
            <w:r>
              <w:rPr>
                <w:spacing w:val="3"/>
              </w:rPr>
              <w:t>以上</w:t>
            </w:r>
            <w:r>
              <w:rPr>
                <w:rFonts w:ascii="宋体" w:hAnsi="宋体" w:eastAsia="宋体" w:cs="宋体"/>
                <w:spacing w:val="3"/>
              </w:rPr>
              <w:t>5</w:t>
            </w:r>
            <w:r>
              <w:rPr>
                <w:spacing w:val="3"/>
              </w:rPr>
              <w:t>万元以下的罚款；</w:t>
            </w:r>
            <w:r>
              <w:rPr>
                <w:spacing w:val="8"/>
              </w:rPr>
              <w:t>逾期不改正的，责令停产</w:t>
            </w:r>
            <w:r>
              <w:rPr>
                <w:spacing w:val="7"/>
              </w:rPr>
              <w:t>停业整顿，情节严重的，</w:t>
            </w:r>
            <w:r>
              <w:rPr>
                <w:spacing w:val="8"/>
              </w:rPr>
              <w:t>吊销安全生产许可证</w:t>
            </w:r>
          </w:p>
        </w:tc>
        <w:tc>
          <w:tcPr>
            <w:tcW w:w="811" w:type="dxa"/>
            <w:vAlign w:val="top"/>
          </w:tcPr>
          <w:p w14:paraId="523F93A0">
            <w:pPr>
              <w:rPr>
                <w:rFonts w:ascii="Arial"/>
                <w:sz w:val="21"/>
              </w:rPr>
            </w:pPr>
          </w:p>
        </w:tc>
      </w:tr>
      <w:tr w14:paraId="6C0C3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trPr>
        <w:tc>
          <w:tcPr>
            <w:tcW w:w="818" w:type="dxa"/>
            <w:vMerge w:val="restart"/>
            <w:tcBorders>
              <w:bottom w:val="nil"/>
            </w:tcBorders>
            <w:vAlign w:val="top"/>
          </w:tcPr>
          <w:p w14:paraId="6B66D0AA">
            <w:pPr>
              <w:spacing w:line="256" w:lineRule="auto"/>
              <w:rPr>
                <w:rFonts w:ascii="Arial"/>
                <w:sz w:val="21"/>
              </w:rPr>
            </w:pPr>
          </w:p>
          <w:p w14:paraId="370BE2B2">
            <w:pPr>
              <w:spacing w:line="256" w:lineRule="auto"/>
              <w:rPr>
                <w:rFonts w:ascii="Arial"/>
                <w:sz w:val="21"/>
              </w:rPr>
            </w:pPr>
          </w:p>
          <w:p w14:paraId="666B3DDA">
            <w:pPr>
              <w:spacing w:line="256" w:lineRule="auto"/>
              <w:rPr>
                <w:rFonts w:ascii="Arial"/>
                <w:sz w:val="21"/>
              </w:rPr>
            </w:pPr>
          </w:p>
          <w:p w14:paraId="20C2B2B9">
            <w:pPr>
              <w:spacing w:line="256" w:lineRule="auto"/>
              <w:rPr>
                <w:rFonts w:ascii="Arial"/>
                <w:sz w:val="21"/>
              </w:rPr>
            </w:pPr>
          </w:p>
          <w:p w14:paraId="677E9BE1">
            <w:pPr>
              <w:spacing w:line="256" w:lineRule="auto"/>
              <w:rPr>
                <w:rFonts w:ascii="Arial"/>
                <w:sz w:val="21"/>
              </w:rPr>
            </w:pPr>
          </w:p>
          <w:p w14:paraId="5C7110AD">
            <w:pPr>
              <w:spacing w:line="256" w:lineRule="auto"/>
              <w:rPr>
                <w:rFonts w:ascii="Arial"/>
                <w:sz w:val="21"/>
              </w:rPr>
            </w:pPr>
          </w:p>
          <w:p w14:paraId="63080D59">
            <w:pPr>
              <w:spacing w:line="256" w:lineRule="auto"/>
              <w:rPr>
                <w:rFonts w:ascii="Arial"/>
                <w:sz w:val="21"/>
              </w:rPr>
            </w:pPr>
          </w:p>
          <w:p w14:paraId="7B0A7018">
            <w:pPr>
              <w:spacing w:line="256" w:lineRule="auto"/>
              <w:rPr>
                <w:rFonts w:ascii="Arial"/>
                <w:sz w:val="21"/>
              </w:rPr>
            </w:pPr>
          </w:p>
          <w:p w14:paraId="093487C0">
            <w:pPr>
              <w:spacing w:line="256" w:lineRule="auto"/>
              <w:rPr>
                <w:rFonts w:ascii="Arial"/>
                <w:sz w:val="21"/>
              </w:rPr>
            </w:pPr>
          </w:p>
          <w:p w14:paraId="07D05972">
            <w:pPr>
              <w:spacing w:line="257" w:lineRule="auto"/>
              <w:rPr>
                <w:rFonts w:ascii="Arial"/>
                <w:sz w:val="21"/>
              </w:rPr>
            </w:pPr>
          </w:p>
          <w:p w14:paraId="602F71F0">
            <w:pPr>
              <w:spacing w:line="257" w:lineRule="auto"/>
              <w:rPr>
                <w:rFonts w:ascii="Arial"/>
                <w:sz w:val="21"/>
              </w:rPr>
            </w:pPr>
          </w:p>
          <w:p w14:paraId="0BD3D011">
            <w:pPr>
              <w:spacing w:line="257" w:lineRule="auto"/>
              <w:rPr>
                <w:rFonts w:ascii="Arial"/>
                <w:sz w:val="21"/>
              </w:rPr>
            </w:pPr>
          </w:p>
          <w:p w14:paraId="6DB928F3">
            <w:pPr>
              <w:spacing w:line="257" w:lineRule="auto"/>
              <w:rPr>
                <w:rFonts w:ascii="Arial"/>
                <w:sz w:val="21"/>
              </w:rPr>
            </w:pPr>
          </w:p>
          <w:p w14:paraId="7B458EDB">
            <w:pPr>
              <w:spacing w:line="257" w:lineRule="auto"/>
              <w:rPr>
                <w:rFonts w:ascii="Arial"/>
                <w:sz w:val="21"/>
              </w:rPr>
            </w:pPr>
          </w:p>
          <w:p w14:paraId="64E9269C">
            <w:pPr>
              <w:spacing w:before="75" w:line="186" w:lineRule="auto"/>
              <w:ind w:left="161"/>
              <w:rPr>
                <w:rFonts w:ascii="仿宋" w:hAnsi="仿宋" w:eastAsia="仿宋" w:cs="仿宋"/>
                <w:sz w:val="23"/>
                <w:szCs w:val="23"/>
              </w:rPr>
            </w:pPr>
            <w:r>
              <w:rPr>
                <w:rFonts w:ascii="仿宋" w:hAnsi="仿宋" w:eastAsia="仿宋" w:cs="仿宋"/>
                <w:spacing w:val="-5"/>
                <w:sz w:val="23"/>
                <w:szCs w:val="23"/>
              </w:rPr>
              <w:t>179</w:t>
            </w:r>
          </w:p>
        </w:tc>
        <w:tc>
          <w:tcPr>
            <w:tcW w:w="1440" w:type="dxa"/>
            <w:vMerge w:val="restart"/>
            <w:tcBorders>
              <w:bottom w:val="nil"/>
            </w:tcBorders>
            <w:vAlign w:val="top"/>
          </w:tcPr>
          <w:p w14:paraId="536B8BB3">
            <w:pPr>
              <w:spacing w:line="246" w:lineRule="auto"/>
              <w:rPr>
                <w:rFonts w:ascii="Arial"/>
                <w:sz w:val="21"/>
              </w:rPr>
            </w:pPr>
          </w:p>
          <w:p w14:paraId="753AC123">
            <w:pPr>
              <w:spacing w:line="246" w:lineRule="auto"/>
              <w:rPr>
                <w:rFonts w:ascii="Arial"/>
                <w:sz w:val="21"/>
              </w:rPr>
            </w:pPr>
          </w:p>
          <w:p w14:paraId="763A1F80">
            <w:pPr>
              <w:spacing w:line="246" w:lineRule="auto"/>
              <w:rPr>
                <w:rFonts w:ascii="Arial"/>
                <w:sz w:val="21"/>
              </w:rPr>
            </w:pPr>
          </w:p>
          <w:p w14:paraId="54D22711">
            <w:pPr>
              <w:spacing w:line="246" w:lineRule="auto"/>
              <w:rPr>
                <w:rFonts w:ascii="Arial"/>
                <w:sz w:val="21"/>
              </w:rPr>
            </w:pPr>
          </w:p>
          <w:p w14:paraId="70080699">
            <w:pPr>
              <w:spacing w:line="247" w:lineRule="auto"/>
              <w:rPr>
                <w:rFonts w:ascii="Arial"/>
                <w:sz w:val="21"/>
              </w:rPr>
            </w:pPr>
          </w:p>
          <w:p w14:paraId="7B55ECF2">
            <w:pPr>
              <w:spacing w:line="247" w:lineRule="auto"/>
              <w:rPr>
                <w:rFonts w:ascii="Arial"/>
                <w:sz w:val="21"/>
              </w:rPr>
            </w:pPr>
          </w:p>
          <w:p w14:paraId="3E797591">
            <w:pPr>
              <w:spacing w:line="247" w:lineRule="auto"/>
              <w:rPr>
                <w:rFonts w:ascii="Arial"/>
                <w:sz w:val="21"/>
              </w:rPr>
            </w:pPr>
          </w:p>
          <w:p w14:paraId="6682BCE3">
            <w:pPr>
              <w:pStyle w:val="6"/>
              <w:spacing w:before="98" w:line="185" w:lineRule="auto"/>
              <w:ind w:left="115" w:right="111" w:firstLine="4"/>
              <w:jc w:val="both"/>
            </w:pPr>
            <w:r>
              <w:rPr>
                <w:spacing w:val="10"/>
              </w:rPr>
              <w:t>烟花爆竹生</w:t>
            </w:r>
            <w:r>
              <w:rPr>
                <w:spacing w:val="11"/>
              </w:rPr>
              <w:t>产企业未按照国家标准的规定在烟花爆竹产品上标注燃放</w:t>
            </w:r>
            <w:r>
              <w:rPr>
                <w:spacing w:val="3"/>
              </w:rPr>
              <w:t>说明，或者</w:t>
            </w:r>
            <w:r>
              <w:rPr>
                <w:spacing w:val="11"/>
              </w:rPr>
              <w:t>未在烟花爆竹的包装物上印制易燃易爆危险物品警示标志</w:t>
            </w:r>
            <w:r>
              <w:t>的</w:t>
            </w:r>
          </w:p>
        </w:tc>
        <w:tc>
          <w:tcPr>
            <w:tcW w:w="3202" w:type="dxa"/>
            <w:vMerge w:val="restart"/>
            <w:tcBorders>
              <w:bottom w:val="nil"/>
            </w:tcBorders>
            <w:vAlign w:val="top"/>
          </w:tcPr>
          <w:p w14:paraId="197F9310">
            <w:pPr>
              <w:pStyle w:val="6"/>
              <w:spacing w:before="32" w:line="186" w:lineRule="auto"/>
              <w:ind w:left="116" w:right="110" w:hanging="18"/>
            </w:pPr>
            <w:r>
              <w:rPr>
                <w:spacing w:val="18"/>
              </w:rPr>
              <w:t>【行政法规】《烟花爆竹安</w:t>
            </w:r>
            <w:r>
              <w:rPr>
                <w:spacing w:val="12"/>
              </w:rPr>
              <w:t>全管理条例》第十四条：生</w:t>
            </w:r>
            <w:r>
              <w:rPr>
                <w:spacing w:val="13"/>
              </w:rPr>
              <w:t>产烟花爆竹的企业，应当按照国家标准的规定，在烟花爆竹产品上标注燃放说明，</w:t>
            </w:r>
            <w:r>
              <w:rPr>
                <w:spacing w:val="17"/>
              </w:rPr>
              <w:t>并在烟花爆竹包装物上印制</w:t>
            </w:r>
            <w:r>
              <w:rPr>
                <w:spacing w:val="39"/>
              </w:rPr>
              <w:t>易燃易爆危险物品警示标</w:t>
            </w:r>
            <w:r>
              <w:rPr>
                <w:spacing w:val="-7"/>
              </w:rPr>
              <w:t>志。</w:t>
            </w:r>
          </w:p>
        </w:tc>
        <w:tc>
          <w:tcPr>
            <w:tcW w:w="2859" w:type="dxa"/>
            <w:vMerge w:val="restart"/>
            <w:tcBorders>
              <w:bottom w:val="nil"/>
            </w:tcBorders>
            <w:vAlign w:val="top"/>
          </w:tcPr>
          <w:p w14:paraId="1F8427FB">
            <w:pPr>
              <w:pStyle w:val="6"/>
              <w:spacing w:before="38" w:line="184" w:lineRule="auto"/>
              <w:ind w:left="97" w:right="40"/>
              <w:jc w:val="both"/>
            </w:pPr>
            <w:r>
              <w:rPr>
                <w:spacing w:val="10"/>
              </w:rPr>
              <w:t>【行政法规】《烟花爆竹安全管理条例》第三十七条第六项：生产烟花爆竹</w:t>
            </w:r>
            <w:r>
              <w:rPr>
                <w:spacing w:val="28"/>
              </w:rPr>
              <w:t>的企业有下列行为之一</w:t>
            </w:r>
            <w:r>
              <w:rPr>
                <w:spacing w:val="10"/>
              </w:rPr>
              <w:t>的，由安全生产监督管理</w:t>
            </w:r>
            <w:r>
              <w:rPr>
                <w:spacing w:val="9"/>
              </w:rPr>
              <w:t>部门责令限期改正，处</w:t>
            </w:r>
            <w:r>
              <w:rPr>
                <w:rFonts w:ascii="宋体" w:hAnsi="宋体" w:eastAsia="宋体" w:cs="宋体"/>
                <w:spacing w:val="9"/>
              </w:rPr>
              <w:t>1</w:t>
            </w:r>
            <w:r>
              <w:rPr>
                <w:spacing w:val="6"/>
              </w:rPr>
              <w:t>万元以上</w:t>
            </w:r>
            <w:r>
              <w:rPr>
                <w:rFonts w:ascii="宋体" w:hAnsi="宋体" w:eastAsia="宋体" w:cs="宋体"/>
                <w:spacing w:val="6"/>
              </w:rPr>
              <w:t>5</w:t>
            </w:r>
            <w:r>
              <w:rPr>
                <w:spacing w:val="6"/>
              </w:rPr>
              <w:t>万元以下的罚</w:t>
            </w:r>
            <w:r>
              <w:rPr>
                <w:spacing w:val="10"/>
              </w:rPr>
              <w:t>款；逾期不改正的，责令停产停业整顿，情节严重</w:t>
            </w:r>
            <w:r>
              <w:rPr>
                <w:spacing w:val="-4"/>
              </w:rPr>
              <w:t>的，吊销安全生产许可证：</w:t>
            </w:r>
            <w:r>
              <w:rPr>
                <w:spacing w:val="10"/>
              </w:rPr>
              <w:t>（六）未按照国家标准的规定在烟花爆竹产品上标注燃放说明，或者未在烟花爆竹的包装物上印制易燃易爆危险物品警示标志</w:t>
            </w:r>
            <w:r>
              <w:rPr>
                <w:spacing w:val="-3"/>
              </w:rPr>
              <w:t>的。</w:t>
            </w:r>
          </w:p>
        </w:tc>
        <w:tc>
          <w:tcPr>
            <w:tcW w:w="803" w:type="dxa"/>
            <w:vAlign w:val="top"/>
          </w:tcPr>
          <w:p w14:paraId="129B31E1">
            <w:pPr>
              <w:spacing w:line="297" w:lineRule="auto"/>
              <w:rPr>
                <w:rFonts w:ascii="Arial"/>
                <w:sz w:val="21"/>
              </w:rPr>
            </w:pPr>
          </w:p>
          <w:p w14:paraId="71FE2180">
            <w:pPr>
              <w:spacing w:line="297" w:lineRule="auto"/>
              <w:rPr>
                <w:rFonts w:ascii="Arial"/>
                <w:sz w:val="21"/>
              </w:rPr>
            </w:pPr>
          </w:p>
          <w:p w14:paraId="68B4000B">
            <w:pPr>
              <w:spacing w:line="298" w:lineRule="auto"/>
              <w:rPr>
                <w:rFonts w:ascii="Arial"/>
                <w:sz w:val="21"/>
              </w:rPr>
            </w:pPr>
          </w:p>
          <w:p w14:paraId="3F221CA2">
            <w:pPr>
              <w:spacing w:line="298" w:lineRule="auto"/>
              <w:rPr>
                <w:rFonts w:ascii="Arial"/>
                <w:sz w:val="21"/>
              </w:rPr>
            </w:pPr>
          </w:p>
          <w:p w14:paraId="312FDC0F">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299EC1B">
            <w:pPr>
              <w:pStyle w:val="6"/>
              <w:spacing w:before="29" w:line="180" w:lineRule="auto"/>
              <w:ind w:left="114" w:right="109" w:firstLine="1"/>
              <w:jc w:val="both"/>
            </w:pPr>
            <w:r>
              <w:rPr>
                <w:rFonts w:ascii="宋体" w:hAnsi="宋体" w:eastAsia="宋体" w:cs="宋体"/>
                <w:spacing w:val="4"/>
              </w:rPr>
              <w:t>20</w:t>
            </w:r>
            <w:r>
              <w:rPr>
                <w:spacing w:val="4"/>
              </w:rPr>
              <w:t>箱（件）以下的</w:t>
            </w:r>
            <w:r>
              <w:rPr>
                <w:spacing w:val="26"/>
              </w:rPr>
              <w:t>烟花爆竹制品未按照国家标准的规定在烟花爆竹产品上</w:t>
            </w:r>
            <w:r>
              <w:rPr>
                <w:spacing w:val="-2"/>
              </w:rPr>
              <w:t>标注燃放说明，或者</w:t>
            </w:r>
            <w:r>
              <w:rPr>
                <w:spacing w:val="26"/>
              </w:rPr>
              <w:t>未在烟花爆竹的包装物上印制易燃易爆危险物品警示标</w:t>
            </w:r>
            <w:r>
              <w:rPr>
                <w:spacing w:val="4"/>
              </w:rPr>
              <w:t>志的</w:t>
            </w:r>
          </w:p>
        </w:tc>
        <w:tc>
          <w:tcPr>
            <w:tcW w:w="2894" w:type="dxa"/>
            <w:vAlign w:val="top"/>
          </w:tcPr>
          <w:p w14:paraId="2B96DE96">
            <w:pPr>
              <w:spacing w:line="263" w:lineRule="auto"/>
              <w:rPr>
                <w:rFonts w:ascii="Arial"/>
                <w:sz w:val="21"/>
              </w:rPr>
            </w:pPr>
          </w:p>
          <w:p w14:paraId="074E3DB4">
            <w:pPr>
              <w:spacing w:line="264" w:lineRule="auto"/>
              <w:rPr>
                <w:rFonts w:ascii="Arial"/>
                <w:sz w:val="21"/>
              </w:rPr>
            </w:pPr>
          </w:p>
          <w:p w14:paraId="04F6B4A3">
            <w:pPr>
              <w:pStyle w:val="6"/>
              <w:spacing w:before="98" w:line="188" w:lineRule="auto"/>
              <w:ind w:left="117" w:right="103" w:firstLine="10"/>
            </w:pPr>
            <w:r>
              <w:rPr>
                <w:spacing w:val="2"/>
              </w:rPr>
              <w:t>责令限期改正，处</w:t>
            </w:r>
            <w:r>
              <w:rPr>
                <w:rFonts w:ascii="宋体" w:hAnsi="宋体" w:eastAsia="宋体" w:cs="宋体"/>
                <w:spacing w:val="2"/>
              </w:rPr>
              <w:t>1</w:t>
            </w:r>
            <w:r>
              <w:rPr>
                <w:spacing w:val="2"/>
              </w:rPr>
              <w:t>万元</w:t>
            </w:r>
            <w:r>
              <w:rPr>
                <w:spacing w:val="3"/>
              </w:rPr>
              <w:t>以上</w:t>
            </w:r>
            <w:r>
              <w:rPr>
                <w:rFonts w:ascii="宋体" w:hAnsi="宋体" w:eastAsia="宋体" w:cs="宋体"/>
                <w:spacing w:val="3"/>
              </w:rPr>
              <w:t>2</w:t>
            </w:r>
            <w:r>
              <w:rPr>
                <w:spacing w:val="3"/>
              </w:rPr>
              <w:t>万元以下的罚款；</w:t>
            </w:r>
            <w:r>
              <w:rPr>
                <w:spacing w:val="8"/>
              </w:rPr>
              <w:t>逾期不改正的，责令停产</w:t>
            </w:r>
            <w:r>
              <w:rPr>
                <w:spacing w:val="7"/>
              </w:rPr>
              <w:t>停业整顿，情节严重的，</w:t>
            </w:r>
            <w:r>
              <w:rPr>
                <w:spacing w:val="8"/>
              </w:rPr>
              <w:t>吊销安全生产许可证</w:t>
            </w:r>
          </w:p>
        </w:tc>
        <w:tc>
          <w:tcPr>
            <w:tcW w:w="811" w:type="dxa"/>
            <w:vMerge w:val="restart"/>
            <w:tcBorders>
              <w:bottom w:val="nil"/>
            </w:tcBorders>
            <w:vAlign w:val="top"/>
          </w:tcPr>
          <w:p w14:paraId="4E0F9F7D">
            <w:pPr>
              <w:spacing w:line="256" w:lineRule="auto"/>
              <w:rPr>
                <w:rFonts w:ascii="Arial"/>
                <w:sz w:val="21"/>
              </w:rPr>
            </w:pPr>
          </w:p>
          <w:p w14:paraId="5D395094">
            <w:pPr>
              <w:spacing w:line="256" w:lineRule="auto"/>
              <w:rPr>
                <w:rFonts w:ascii="Arial"/>
                <w:sz w:val="21"/>
              </w:rPr>
            </w:pPr>
          </w:p>
          <w:p w14:paraId="007B735E">
            <w:pPr>
              <w:spacing w:line="256" w:lineRule="auto"/>
              <w:rPr>
                <w:rFonts w:ascii="Arial"/>
                <w:sz w:val="21"/>
              </w:rPr>
            </w:pPr>
          </w:p>
          <w:p w14:paraId="6BAA8552">
            <w:pPr>
              <w:spacing w:line="256" w:lineRule="auto"/>
              <w:rPr>
                <w:rFonts w:ascii="Arial"/>
                <w:sz w:val="21"/>
              </w:rPr>
            </w:pPr>
          </w:p>
          <w:p w14:paraId="1F4D424E">
            <w:pPr>
              <w:spacing w:line="256" w:lineRule="auto"/>
              <w:rPr>
                <w:rFonts w:ascii="Arial"/>
                <w:sz w:val="21"/>
              </w:rPr>
            </w:pPr>
          </w:p>
          <w:p w14:paraId="43094927">
            <w:pPr>
              <w:spacing w:line="256" w:lineRule="auto"/>
              <w:rPr>
                <w:rFonts w:ascii="Arial"/>
                <w:sz w:val="21"/>
              </w:rPr>
            </w:pPr>
          </w:p>
          <w:p w14:paraId="3FBB5C52">
            <w:pPr>
              <w:spacing w:line="256" w:lineRule="auto"/>
              <w:rPr>
                <w:rFonts w:ascii="Arial"/>
                <w:sz w:val="21"/>
              </w:rPr>
            </w:pPr>
          </w:p>
          <w:p w14:paraId="7BA4AA2F">
            <w:pPr>
              <w:spacing w:line="256" w:lineRule="auto"/>
              <w:rPr>
                <w:rFonts w:ascii="Arial"/>
                <w:sz w:val="21"/>
              </w:rPr>
            </w:pPr>
          </w:p>
          <w:p w14:paraId="75A82261">
            <w:pPr>
              <w:spacing w:line="256" w:lineRule="auto"/>
              <w:rPr>
                <w:rFonts w:ascii="Arial"/>
                <w:sz w:val="21"/>
              </w:rPr>
            </w:pPr>
          </w:p>
          <w:p w14:paraId="2AB4ADCC">
            <w:pPr>
              <w:spacing w:line="256" w:lineRule="auto"/>
              <w:rPr>
                <w:rFonts w:ascii="Arial"/>
                <w:sz w:val="21"/>
              </w:rPr>
            </w:pPr>
          </w:p>
          <w:p w14:paraId="2571DAEC">
            <w:pPr>
              <w:spacing w:line="256" w:lineRule="auto"/>
              <w:rPr>
                <w:rFonts w:ascii="Arial"/>
                <w:sz w:val="21"/>
              </w:rPr>
            </w:pPr>
          </w:p>
          <w:p w14:paraId="6D16387D">
            <w:pPr>
              <w:spacing w:line="256" w:lineRule="auto"/>
              <w:rPr>
                <w:rFonts w:ascii="Arial"/>
                <w:sz w:val="21"/>
              </w:rPr>
            </w:pPr>
          </w:p>
          <w:p w14:paraId="7B19A166">
            <w:pPr>
              <w:spacing w:line="257" w:lineRule="auto"/>
              <w:rPr>
                <w:rFonts w:ascii="Arial"/>
                <w:sz w:val="21"/>
              </w:rPr>
            </w:pPr>
          </w:p>
          <w:p w14:paraId="1C780D04">
            <w:pPr>
              <w:spacing w:line="257" w:lineRule="auto"/>
              <w:rPr>
                <w:rFonts w:ascii="Arial"/>
                <w:sz w:val="21"/>
              </w:rPr>
            </w:pPr>
          </w:p>
          <w:p w14:paraId="73C231C9">
            <w:pPr>
              <w:spacing w:before="74" w:line="189" w:lineRule="auto"/>
              <w:ind w:left="248"/>
              <w:rPr>
                <w:rFonts w:ascii="宋体" w:hAnsi="宋体" w:eastAsia="宋体" w:cs="宋体"/>
                <w:sz w:val="23"/>
                <w:szCs w:val="23"/>
              </w:rPr>
            </w:pPr>
            <w:r>
              <w:rPr>
                <w:rFonts w:ascii="宋体" w:hAnsi="宋体" w:eastAsia="宋体" w:cs="宋体"/>
                <w:spacing w:val="-6"/>
                <w:sz w:val="23"/>
                <w:szCs w:val="23"/>
              </w:rPr>
              <w:t>137</w:t>
            </w:r>
          </w:p>
        </w:tc>
      </w:tr>
      <w:tr w14:paraId="4A995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818" w:type="dxa"/>
            <w:vMerge w:val="continue"/>
            <w:tcBorders>
              <w:top w:val="nil"/>
              <w:bottom w:val="nil"/>
            </w:tcBorders>
            <w:vAlign w:val="top"/>
          </w:tcPr>
          <w:p w14:paraId="0B587CD6">
            <w:pPr>
              <w:rPr>
                <w:rFonts w:ascii="Arial"/>
                <w:sz w:val="21"/>
              </w:rPr>
            </w:pPr>
          </w:p>
        </w:tc>
        <w:tc>
          <w:tcPr>
            <w:tcW w:w="1440" w:type="dxa"/>
            <w:vMerge w:val="continue"/>
            <w:tcBorders>
              <w:top w:val="nil"/>
              <w:bottom w:val="nil"/>
            </w:tcBorders>
            <w:vAlign w:val="top"/>
          </w:tcPr>
          <w:p w14:paraId="3200D812">
            <w:pPr>
              <w:rPr>
                <w:rFonts w:ascii="Arial"/>
                <w:sz w:val="21"/>
              </w:rPr>
            </w:pPr>
          </w:p>
        </w:tc>
        <w:tc>
          <w:tcPr>
            <w:tcW w:w="3202" w:type="dxa"/>
            <w:vMerge w:val="continue"/>
            <w:tcBorders>
              <w:top w:val="nil"/>
              <w:bottom w:val="nil"/>
            </w:tcBorders>
            <w:vAlign w:val="top"/>
          </w:tcPr>
          <w:p w14:paraId="47358BC2">
            <w:pPr>
              <w:rPr>
                <w:rFonts w:ascii="Arial"/>
                <w:sz w:val="21"/>
              </w:rPr>
            </w:pPr>
          </w:p>
        </w:tc>
        <w:tc>
          <w:tcPr>
            <w:tcW w:w="2859" w:type="dxa"/>
            <w:vMerge w:val="continue"/>
            <w:tcBorders>
              <w:top w:val="nil"/>
              <w:bottom w:val="nil"/>
            </w:tcBorders>
            <w:vAlign w:val="top"/>
          </w:tcPr>
          <w:p w14:paraId="4409ED60">
            <w:pPr>
              <w:rPr>
                <w:rFonts w:ascii="Arial"/>
                <w:sz w:val="21"/>
              </w:rPr>
            </w:pPr>
          </w:p>
        </w:tc>
        <w:tc>
          <w:tcPr>
            <w:tcW w:w="803" w:type="dxa"/>
            <w:vAlign w:val="top"/>
          </w:tcPr>
          <w:p w14:paraId="178593A0">
            <w:pPr>
              <w:spacing w:line="298" w:lineRule="auto"/>
              <w:rPr>
                <w:rFonts w:ascii="Arial"/>
                <w:sz w:val="21"/>
              </w:rPr>
            </w:pPr>
          </w:p>
          <w:p w14:paraId="10A79835">
            <w:pPr>
              <w:spacing w:line="299" w:lineRule="auto"/>
              <w:rPr>
                <w:rFonts w:ascii="Arial"/>
                <w:sz w:val="21"/>
              </w:rPr>
            </w:pPr>
          </w:p>
          <w:p w14:paraId="67A350B0">
            <w:pPr>
              <w:spacing w:line="299" w:lineRule="auto"/>
              <w:rPr>
                <w:rFonts w:ascii="Arial"/>
                <w:sz w:val="21"/>
              </w:rPr>
            </w:pPr>
          </w:p>
          <w:p w14:paraId="389606EB">
            <w:pPr>
              <w:spacing w:line="299" w:lineRule="auto"/>
              <w:rPr>
                <w:rFonts w:ascii="Arial"/>
                <w:sz w:val="21"/>
              </w:rPr>
            </w:pPr>
          </w:p>
          <w:p w14:paraId="6AFAD221">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5F933605">
            <w:pPr>
              <w:pStyle w:val="6"/>
              <w:spacing w:before="30" w:line="180" w:lineRule="auto"/>
              <w:ind w:left="116" w:right="109"/>
              <w:jc w:val="both"/>
            </w:pPr>
            <w:r>
              <w:rPr>
                <w:rFonts w:ascii="宋体" w:hAnsi="宋体" w:eastAsia="宋体" w:cs="宋体"/>
                <w:spacing w:val="3"/>
              </w:rPr>
              <w:t>20</w:t>
            </w:r>
            <w:r>
              <w:rPr>
                <w:spacing w:val="3"/>
              </w:rPr>
              <w:t>箱（件）以上</w:t>
            </w:r>
            <w:r>
              <w:rPr>
                <w:rFonts w:ascii="宋体" w:hAnsi="宋体" w:eastAsia="宋体" w:cs="宋体"/>
                <w:spacing w:val="3"/>
              </w:rPr>
              <w:t>50</w:t>
            </w:r>
            <w:r>
              <w:rPr>
                <w:spacing w:val="-2"/>
              </w:rPr>
              <w:t>箱（件）以下的烟花</w:t>
            </w:r>
            <w:r>
              <w:rPr>
                <w:spacing w:val="26"/>
              </w:rPr>
              <w:t>爆竹制品未按照国家标准的规定在烟花爆竹产品上标注</w:t>
            </w:r>
            <w:r>
              <w:rPr>
                <w:spacing w:val="-2"/>
              </w:rPr>
              <w:t>燃放说明，或者未在</w:t>
            </w:r>
            <w:r>
              <w:rPr>
                <w:spacing w:val="26"/>
              </w:rPr>
              <w:t>烟花爆竹的包装物上印制易燃易爆危</w:t>
            </w:r>
            <w:r>
              <w:rPr>
                <w:spacing w:val="7"/>
              </w:rPr>
              <w:t>险物品警示标志的</w:t>
            </w:r>
          </w:p>
        </w:tc>
        <w:tc>
          <w:tcPr>
            <w:tcW w:w="2894" w:type="dxa"/>
            <w:vAlign w:val="top"/>
          </w:tcPr>
          <w:p w14:paraId="2DF3E365">
            <w:pPr>
              <w:spacing w:line="264" w:lineRule="auto"/>
              <w:rPr>
                <w:rFonts w:ascii="Arial"/>
                <w:sz w:val="21"/>
              </w:rPr>
            </w:pPr>
          </w:p>
          <w:p w14:paraId="7881B911">
            <w:pPr>
              <w:spacing w:line="264" w:lineRule="auto"/>
              <w:rPr>
                <w:rFonts w:ascii="Arial"/>
                <w:sz w:val="21"/>
              </w:rPr>
            </w:pPr>
          </w:p>
          <w:p w14:paraId="39C197E4">
            <w:pPr>
              <w:pStyle w:val="6"/>
              <w:spacing w:before="99" w:line="188" w:lineRule="auto"/>
              <w:ind w:left="117" w:right="103" w:firstLine="10"/>
            </w:pPr>
            <w:r>
              <w:rPr>
                <w:spacing w:val="4"/>
              </w:rPr>
              <w:t>责令限期改正，处</w:t>
            </w:r>
            <w:r>
              <w:rPr>
                <w:rFonts w:ascii="宋体" w:hAnsi="宋体" w:eastAsia="宋体" w:cs="宋体"/>
                <w:spacing w:val="4"/>
              </w:rPr>
              <w:t>2</w:t>
            </w:r>
            <w:r>
              <w:rPr>
                <w:spacing w:val="4"/>
              </w:rPr>
              <w:t>万元</w:t>
            </w:r>
            <w:r>
              <w:rPr>
                <w:spacing w:val="3"/>
              </w:rPr>
              <w:t>以上</w:t>
            </w:r>
            <w:r>
              <w:rPr>
                <w:rFonts w:ascii="宋体" w:hAnsi="宋体" w:eastAsia="宋体" w:cs="宋体"/>
                <w:spacing w:val="3"/>
              </w:rPr>
              <w:t>4</w:t>
            </w:r>
            <w:r>
              <w:rPr>
                <w:spacing w:val="3"/>
              </w:rPr>
              <w:t>万元以下的罚款；</w:t>
            </w:r>
            <w:r>
              <w:rPr>
                <w:spacing w:val="8"/>
              </w:rPr>
              <w:t>逾期不改正的，责令停产</w:t>
            </w:r>
            <w:r>
              <w:rPr>
                <w:spacing w:val="7"/>
              </w:rPr>
              <w:t>停业整顿，情节严重的，</w:t>
            </w:r>
            <w:r>
              <w:rPr>
                <w:spacing w:val="8"/>
              </w:rPr>
              <w:t>吊销安全生产许可证</w:t>
            </w:r>
          </w:p>
        </w:tc>
        <w:tc>
          <w:tcPr>
            <w:tcW w:w="811" w:type="dxa"/>
            <w:vMerge w:val="continue"/>
            <w:tcBorders>
              <w:top w:val="nil"/>
              <w:bottom w:val="nil"/>
            </w:tcBorders>
            <w:vAlign w:val="top"/>
          </w:tcPr>
          <w:p w14:paraId="7F7DA32A">
            <w:pPr>
              <w:rPr>
                <w:rFonts w:ascii="Arial"/>
                <w:sz w:val="21"/>
              </w:rPr>
            </w:pPr>
          </w:p>
        </w:tc>
      </w:tr>
      <w:tr w14:paraId="43BF1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7" w:hRule="atLeast"/>
        </w:trPr>
        <w:tc>
          <w:tcPr>
            <w:tcW w:w="818" w:type="dxa"/>
            <w:vMerge w:val="continue"/>
            <w:tcBorders>
              <w:top w:val="nil"/>
            </w:tcBorders>
            <w:vAlign w:val="top"/>
          </w:tcPr>
          <w:p w14:paraId="20EDD610">
            <w:pPr>
              <w:rPr>
                <w:rFonts w:ascii="Arial"/>
                <w:sz w:val="21"/>
              </w:rPr>
            </w:pPr>
          </w:p>
        </w:tc>
        <w:tc>
          <w:tcPr>
            <w:tcW w:w="1440" w:type="dxa"/>
            <w:vMerge w:val="continue"/>
            <w:tcBorders>
              <w:top w:val="nil"/>
            </w:tcBorders>
            <w:vAlign w:val="top"/>
          </w:tcPr>
          <w:p w14:paraId="339561F0">
            <w:pPr>
              <w:rPr>
                <w:rFonts w:ascii="Arial"/>
                <w:sz w:val="21"/>
              </w:rPr>
            </w:pPr>
          </w:p>
        </w:tc>
        <w:tc>
          <w:tcPr>
            <w:tcW w:w="3202" w:type="dxa"/>
            <w:vMerge w:val="continue"/>
            <w:tcBorders>
              <w:top w:val="nil"/>
            </w:tcBorders>
            <w:vAlign w:val="top"/>
          </w:tcPr>
          <w:p w14:paraId="29721688">
            <w:pPr>
              <w:rPr>
                <w:rFonts w:ascii="Arial"/>
                <w:sz w:val="21"/>
              </w:rPr>
            </w:pPr>
          </w:p>
        </w:tc>
        <w:tc>
          <w:tcPr>
            <w:tcW w:w="2859" w:type="dxa"/>
            <w:vMerge w:val="continue"/>
            <w:tcBorders>
              <w:top w:val="nil"/>
            </w:tcBorders>
            <w:vAlign w:val="top"/>
          </w:tcPr>
          <w:p w14:paraId="5CE27B81">
            <w:pPr>
              <w:rPr>
                <w:rFonts w:ascii="Arial"/>
                <w:sz w:val="21"/>
              </w:rPr>
            </w:pPr>
          </w:p>
        </w:tc>
        <w:tc>
          <w:tcPr>
            <w:tcW w:w="803" w:type="dxa"/>
            <w:vAlign w:val="top"/>
          </w:tcPr>
          <w:p w14:paraId="23440E4D">
            <w:pPr>
              <w:spacing w:line="298" w:lineRule="auto"/>
              <w:rPr>
                <w:rFonts w:ascii="Arial"/>
                <w:sz w:val="21"/>
              </w:rPr>
            </w:pPr>
          </w:p>
          <w:p w14:paraId="3ED9C808">
            <w:pPr>
              <w:spacing w:line="299" w:lineRule="auto"/>
              <w:rPr>
                <w:rFonts w:ascii="Arial"/>
                <w:sz w:val="21"/>
              </w:rPr>
            </w:pPr>
          </w:p>
          <w:p w14:paraId="4DB8723D">
            <w:pPr>
              <w:spacing w:line="299" w:lineRule="auto"/>
              <w:rPr>
                <w:rFonts w:ascii="Arial"/>
                <w:sz w:val="21"/>
              </w:rPr>
            </w:pPr>
          </w:p>
          <w:p w14:paraId="6A418EED">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7763253">
            <w:pPr>
              <w:pStyle w:val="6"/>
              <w:spacing w:before="36" w:line="179" w:lineRule="auto"/>
              <w:ind w:left="114" w:right="108" w:firstLine="3"/>
              <w:jc w:val="both"/>
            </w:pPr>
            <w:r>
              <w:rPr>
                <w:rFonts w:ascii="宋体" w:hAnsi="宋体" w:eastAsia="宋体" w:cs="宋体"/>
                <w:spacing w:val="4"/>
              </w:rPr>
              <w:t>50</w:t>
            </w:r>
            <w:r>
              <w:rPr>
                <w:spacing w:val="4"/>
              </w:rPr>
              <w:t>箱（件）以上的</w:t>
            </w:r>
            <w:r>
              <w:rPr>
                <w:spacing w:val="26"/>
              </w:rPr>
              <w:t>烟花爆竹制品未按照国家标准的规定在烟花爆竹产品上</w:t>
            </w:r>
            <w:r>
              <w:rPr>
                <w:spacing w:val="-2"/>
              </w:rPr>
              <w:t>标注燃放说明，或者</w:t>
            </w:r>
            <w:r>
              <w:rPr>
                <w:spacing w:val="26"/>
              </w:rPr>
              <w:t>未在烟花爆竹的包装物上印制易燃易</w:t>
            </w:r>
          </w:p>
        </w:tc>
        <w:tc>
          <w:tcPr>
            <w:tcW w:w="2894" w:type="dxa"/>
            <w:vAlign w:val="top"/>
          </w:tcPr>
          <w:p w14:paraId="5291C4BF">
            <w:pPr>
              <w:pStyle w:val="6"/>
              <w:spacing w:before="331" w:line="188" w:lineRule="auto"/>
              <w:ind w:left="117" w:right="103" w:firstLine="10"/>
            </w:pPr>
            <w:r>
              <w:rPr>
                <w:spacing w:val="4"/>
              </w:rPr>
              <w:t>责令限期改正，处</w:t>
            </w:r>
            <w:r>
              <w:rPr>
                <w:rFonts w:ascii="宋体" w:hAnsi="宋体" w:eastAsia="宋体" w:cs="宋体"/>
                <w:spacing w:val="4"/>
              </w:rPr>
              <w:t>4</w:t>
            </w:r>
            <w:r>
              <w:rPr>
                <w:spacing w:val="4"/>
              </w:rPr>
              <w:t>万元</w:t>
            </w:r>
            <w:r>
              <w:rPr>
                <w:spacing w:val="3"/>
              </w:rPr>
              <w:t>以上</w:t>
            </w:r>
            <w:r>
              <w:rPr>
                <w:rFonts w:ascii="宋体" w:hAnsi="宋体" w:eastAsia="宋体" w:cs="宋体"/>
                <w:spacing w:val="3"/>
              </w:rPr>
              <w:t>5</w:t>
            </w:r>
            <w:r>
              <w:rPr>
                <w:spacing w:val="3"/>
              </w:rPr>
              <w:t>万元以下的罚款；</w:t>
            </w:r>
            <w:r>
              <w:rPr>
                <w:spacing w:val="8"/>
              </w:rPr>
              <w:t>逾期不改正的，责令停产</w:t>
            </w:r>
            <w:r>
              <w:rPr>
                <w:spacing w:val="7"/>
              </w:rPr>
              <w:t>停业整顿，情节严重的，</w:t>
            </w:r>
            <w:r>
              <w:rPr>
                <w:spacing w:val="8"/>
              </w:rPr>
              <w:t>吊销安全生产许可证</w:t>
            </w:r>
          </w:p>
        </w:tc>
        <w:tc>
          <w:tcPr>
            <w:tcW w:w="811" w:type="dxa"/>
            <w:vMerge w:val="continue"/>
            <w:tcBorders>
              <w:top w:val="nil"/>
            </w:tcBorders>
            <w:vAlign w:val="top"/>
          </w:tcPr>
          <w:p w14:paraId="2A538095">
            <w:pPr>
              <w:rPr>
                <w:rFonts w:ascii="Arial"/>
                <w:sz w:val="21"/>
              </w:rPr>
            </w:pPr>
          </w:p>
        </w:tc>
      </w:tr>
    </w:tbl>
    <w:p w14:paraId="694FD036">
      <w:pPr>
        <w:pStyle w:val="2"/>
      </w:pPr>
    </w:p>
    <w:p w14:paraId="53350850">
      <w:pPr>
        <w:sectPr>
          <w:footerReference r:id="rId194" w:type="default"/>
          <w:pgSz w:w="16839" w:h="11906"/>
          <w:pgMar w:top="1012" w:right="821" w:bottom="667" w:left="901" w:header="0" w:footer="388" w:gutter="0"/>
          <w:cols w:space="720" w:num="1"/>
        </w:sectPr>
      </w:pPr>
    </w:p>
    <w:p w14:paraId="531CE466">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FD45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32CC70F7">
            <w:pPr>
              <w:spacing w:before="222" w:line="241" w:lineRule="auto"/>
              <w:ind w:left="131"/>
              <w:outlineLvl w:val="0"/>
              <w:rPr>
                <w:rFonts w:ascii="黑体" w:hAnsi="黑体" w:eastAsia="黑体" w:cs="黑体"/>
                <w:sz w:val="28"/>
                <w:szCs w:val="28"/>
              </w:rPr>
            </w:pPr>
            <w:bookmarkStart w:id="659" w:name="bookmark588"/>
            <w:bookmarkEnd w:id="659"/>
            <w:bookmarkStart w:id="660" w:name="bookmark368"/>
            <w:bookmarkEnd w:id="660"/>
            <w:r>
              <w:rPr>
                <w:rFonts w:ascii="黑体" w:hAnsi="黑体" w:eastAsia="黑体" w:cs="黑体"/>
                <w:spacing w:val="-2"/>
                <w:sz w:val="28"/>
                <w:szCs w:val="28"/>
              </w:rPr>
              <w:t>序号</w:t>
            </w:r>
          </w:p>
        </w:tc>
        <w:tc>
          <w:tcPr>
            <w:tcW w:w="1440" w:type="dxa"/>
            <w:vAlign w:val="top"/>
          </w:tcPr>
          <w:p w14:paraId="6FB22D35">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C35D6ED">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83B404D">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0CC8F7E">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E0898F3">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8AE1BC5">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C09D47C">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6BA5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18" w:type="dxa"/>
            <w:vAlign w:val="top"/>
          </w:tcPr>
          <w:p w14:paraId="1D4D49CD">
            <w:pPr>
              <w:rPr>
                <w:rFonts w:ascii="Arial"/>
                <w:sz w:val="21"/>
              </w:rPr>
            </w:pPr>
          </w:p>
        </w:tc>
        <w:tc>
          <w:tcPr>
            <w:tcW w:w="1440" w:type="dxa"/>
            <w:vAlign w:val="top"/>
          </w:tcPr>
          <w:p w14:paraId="01C37B4B">
            <w:pPr>
              <w:rPr>
                <w:rFonts w:ascii="Arial"/>
                <w:sz w:val="21"/>
              </w:rPr>
            </w:pPr>
          </w:p>
        </w:tc>
        <w:tc>
          <w:tcPr>
            <w:tcW w:w="3202" w:type="dxa"/>
            <w:vAlign w:val="top"/>
          </w:tcPr>
          <w:p w14:paraId="554828EF">
            <w:pPr>
              <w:rPr>
                <w:rFonts w:ascii="Arial"/>
                <w:sz w:val="21"/>
              </w:rPr>
            </w:pPr>
          </w:p>
        </w:tc>
        <w:tc>
          <w:tcPr>
            <w:tcW w:w="2859" w:type="dxa"/>
            <w:vAlign w:val="top"/>
          </w:tcPr>
          <w:p w14:paraId="58FBC48F">
            <w:pPr>
              <w:rPr>
                <w:rFonts w:ascii="Arial"/>
                <w:sz w:val="21"/>
              </w:rPr>
            </w:pPr>
          </w:p>
        </w:tc>
        <w:tc>
          <w:tcPr>
            <w:tcW w:w="803" w:type="dxa"/>
            <w:vAlign w:val="top"/>
          </w:tcPr>
          <w:p w14:paraId="11BA239F">
            <w:pPr>
              <w:rPr>
                <w:rFonts w:ascii="Arial"/>
                <w:sz w:val="21"/>
              </w:rPr>
            </w:pPr>
          </w:p>
        </w:tc>
        <w:tc>
          <w:tcPr>
            <w:tcW w:w="2283" w:type="dxa"/>
            <w:vAlign w:val="top"/>
          </w:tcPr>
          <w:p w14:paraId="15E6B999">
            <w:pPr>
              <w:pStyle w:val="6"/>
              <w:spacing w:before="29" w:line="172" w:lineRule="auto"/>
              <w:ind w:left="128" w:right="109" w:hanging="12"/>
            </w:pPr>
            <w:r>
              <w:rPr>
                <w:spacing w:val="26"/>
              </w:rPr>
              <w:t>爆危险物品警示标</w:t>
            </w:r>
            <w:r>
              <w:rPr>
                <w:spacing w:val="-2"/>
              </w:rPr>
              <w:t>志的</w:t>
            </w:r>
          </w:p>
        </w:tc>
        <w:tc>
          <w:tcPr>
            <w:tcW w:w="2894" w:type="dxa"/>
            <w:vAlign w:val="top"/>
          </w:tcPr>
          <w:p w14:paraId="28E8BC23">
            <w:pPr>
              <w:rPr>
                <w:rFonts w:ascii="Arial"/>
                <w:sz w:val="21"/>
              </w:rPr>
            </w:pPr>
          </w:p>
        </w:tc>
        <w:tc>
          <w:tcPr>
            <w:tcW w:w="811" w:type="dxa"/>
            <w:vAlign w:val="top"/>
          </w:tcPr>
          <w:p w14:paraId="603A5F62">
            <w:pPr>
              <w:rPr>
                <w:rFonts w:ascii="Arial"/>
                <w:sz w:val="21"/>
              </w:rPr>
            </w:pPr>
          </w:p>
        </w:tc>
      </w:tr>
      <w:tr w14:paraId="648B7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6" w:hRule="atLeast"/>
        </w:trPr>
        <w:tc>
          <w:tcPr>
            <w:tcW w:w="818" w:type="dxa"/>
            <w:vMerge w:val="restart"/>
            <w:tcBorders>
              <w:bottom w:val="nil"/>
            </w:tcBorders>
            <w:vAlign w:val="top"/>
          </w:tcPr>
          <w:p w14:paraId="637B2E31">
            <w:pPr>
              <w:spacing w:line="255" w:lineRule="auto"/>
              <w:rPr>
                <w:rFonts w:ascii="Arial"/>
                <w:sz w:val="21"/>
              </w:rPr>
            </w:pPr>
          </w:p>
          <w:p w14:paraId="65FC3E39">
            <w:pPr>
              <w:spacing w:line="256" w:lineRule="auto"/>
              <w:rPr>
                <w:rFonts w:ascii="Arial"/>
                <w:sz w:val="21"/>
              </w:rPr>
            </w:pPr>
          </w:p>
          <w:p w14:paraId="34E06F91">
            <w:pPr>
              <w:spacing w:line="256" w:lineRule="auto"/>
              <w:rPr>
                <w:rFonts w:ascii="Arial"/>
                <w:sz w:val="21"/>
              </w:rPr>
            </w:pPr>
          </w:p>
          <w:p w14:paraId="32D796CC">
            <w:pPr>
              <w:spacing w:line="256" w:lineRule="auto"/>
              <w:rPr>
                <w:rFonts w:ascii="Arial"/>
                <w:sz w:val="21"/>
              </w:rPr>
            </w:pPr>
          </w:p>
          <w:p w14:paraId="6B7587DA">
            <w:pPr>
              <w:spacing w:line="256" w:lineRule="auto"/>
              <w:rPr>
                <w:rFonts w:ascii="Arial"/>
                <w:sz w:val="21"/>
              </w:rPr>
            </w:pPr>
          </w:p>
          <w:p w14:paraId="376D209F">
            <w:pPr>
              <w:spacing w:line="256" w:lineRule="auto"/>
              <w:rPr>
                <w:rFonts w:ascii="Arial"/>
                <w:sz w:val="21"/>
              </w:rPr>
            </w:pPr>
          </w:p>
          <w:p w14:paraId="78C61AC4">
            <w:pPr>
              <w:spacing w:line="256" w:lineRule="auto"/>
              <w:rPr>
                <w:rFonts w:ascii="Arial"/>
                <w:sz w:val="21"/>
              </w:rPr>
            </w:pPr>
          </w:p>
          <w:p w14:paraId="70B57113">
            <w:pPr>
              <w:spacing w:line="256" w:lineRule="auto"/>
              <w:rPr>
                <w:rFonts w:ascii="Arial"/>
                <w:sz w:val="21"/>
              </w:rPr>
            </w:pPr>
          </w:p>
          <w:p w14:paraId="20901BF1">
            <w:pPr>
              <w:spacing w:line="256" w:lineRule="auto"/>
              <w:rPr>
                <w:rFonts w:ascii="Arial"/>
                <w:sz w:val="21"/>
              </w:rPr>
            </w:pPr>
          </w:p>
          <w:p w14:paraId="26308DD3">
            <w:pPr>
              <w:spacing w:line="256" w:lineRule="auto"/>
              <w:rPr>
                <w:rFonts w:ascii="Arial"/>
                <w:sz w:val="21"/>
              </w:rPr>
            </w:pPr>
          </w:p>
          <w:p w14:paraId="7E15AE2E">
            <w:pPr>
              <w:spacing w:line="256" w:lineRule="auto"/>
              <w:rPr>
                <w:rFonts w:ascii="Arial"/>
                <w:sz w:val="21"/>
              </w:rPr>
            </w:pPr>
          </w:p>
          <w:p w14:paraId="1D70D036">
            <w:pPr>
              <w:spacing w:line="256" w:lineRule="auto"/>
              <w:rPr>
                <w:rFonts w:ascii="Arial"/>
                <w:sz w:val="21"/>
              </w:rPr>
            </w:pPr>
          </w:p>
          <w:p w14:paraId="08BA19E5">
            <w:pPr>
              <w:spacing w:line="256" w:lineRule="auto"/>
              <w:rPr>
                <w:rFonts w:ascii="Arial"/>
                <w:sz w:val="21"/>
              </w:rPr>
            </w:pPr>
          </w:p>
          <w:p w14:paraId="4EDA376D">
            <w:pPr>
              <w:spacing w:line="256" w:lineRule="auto"/>
              <w:rPr>
                <w:rFonts w:ascii="Arial"/>
                <w:sz w:val="21"/>
              </w:rPr>
            </w:pPr>
          </w:p>
          <w:p w14:paraId="67633560">
            <w:pPr>
              <w:spacing w:line="256" w:lineRule="auto"/>
              <w:rPr>
                <w:rFonts w:ascii="Arial"/>
                <w:sz w:val="21"/>
              </w:rPr>
            </w:pPr>
          </w:p>
          <w:p w14:paraId="71236570">
            <w:pPr>
              <w:spacing w:before="75" w:line="186" w:lineRule="auto"/>
              <w:ind w:left="161"/>
              <w:rPr>
                <w:rFonts w:ascii="仿宋" w:hAnsi="仿宋" w:eastAsia="仿宋" w:cs="仿宋"/>
                <w:sz w:val="23"/>
                <w:szCs w:val="23"/>
              </w:rPr>
            </w:pPr>
            <w:r>
              <w:rPr>
                <w:rFonts w:ascii="仿宋" w:hAnsi="仿宋" w:eastAsia="仿宋" w:cs="仿宋"/>
                <w:spacing w:val="-5"/>
                <w:sz w:val="23"/>
                <w:szCs w:val="23"/>
              </w:rPr>
              <w:t>180</w:t>
            </w:r>
          </w:p>
        </w:tc>
        <w:tc>
          <w:tcPr>
            <w:tcW w:w="1440" w:type="dxa"/>
            <w:vMerge w:val="restart"/>
            <w:tcBorders>
              <w:bottom w:val="nil"/>
            </w:tcBorders>
            <w:vAlign w:val="top"/>
          </w:tcPr>
          <w:p w14:paraId="3484ED78">
            <w:pPr>
              <w:spacing w:line="246" w:lineRule="auto"/>
              <w:rPr>
                <w:rFonts w:ascii="Arial"/>
                <w:sz w:val="21"/>
              </w:rPr>
            </w:pPr>
          </w:p>
          <w:p w14:paraId="2A79F721">
            <w:pPr>
              <w:spacing w:line="246" w:lineRule="auto"/>
              <w:rPr>
                <w:rFonts w:ascii="Arial"/>
                <w:sz w:val="21"/>
              </w:rPr>
            </w:pPr>
          </w:p>
          <w:p w14:paraId="0E130B71">
            <w:pPr>
              <w:spacing w:line="246" w:lineRule="auto"/>
              <w:rPr>
                <w:rFonts w:ascii="Arial"/>
                <w:sz w:val="21"/>
              </w:rPr>
            </w:pPr>
          </w:p>
          <w:p w14:paraId="2EBCC852">
            <w:pPr>
              <w:spacing w:line="246" w:lineRule="auto"/>
              <w:rPr>
                <w:rFonts w:ascii="Arial"/>
                <w:sz w:val="21"/>
              </w:rPr>
            </w:pPr>
          </w:p>
          <w:p w14:paraId="511F4BAA">
            <w:pPr>
              <w:spacing w:line="246" w:lineRule="auto"/>
              <w:rPr>
                <w:rFonts w:ascii="Arial"/>
                <w:sz w:val="21"/>
              </w:rPr>
            </w:pPr>
          </w:p>
          <w:p w14:paraId="0DB95462">
            <w:pPr>
              <w:spacing w:line="246" w:lineRule="auto"/>
              <w:rPr>
                <w:rFonts w:ascii="Arial"/>
                <w:sz w:val="21"/>
              </w:rPr>
            </w:pPr>
          </w:p>
          <w:p w14:paraId="49982EA4">
            <w:pPr>
              <w:spacing w:line="247" w:lineRule="auto"/>
              <w:rPr>
                <w:rFonts w:ascii="Arial"/>
                <w:sz w:val="21"/>
              </w:rPr>
            </w:pPr>
          </w:p>
          <w:p w14:paraId="03704222">
            <w:pPr>
              <w:spacing w:line="247" w:lineRule="auto"/>
              <w:rPr>
                <w:rFonts w:ascii="Arial"/>
                <w:sz w:val="21"/>
              </w:rPr>
            </w:pPr>
          </w:p>
          <w:p w14:paraId="1F649CC9">
            <w:pPr>
              <w:pStyle w:val="6"/>
              <w:spacing w:before="99" w:line="185" w:lineRule="auto"/>
              <w:ind w:left="113" w:right="106" w:firstLine="5"/>
              <w:jc w:val="both"/>
            </w:pPr>
            <w:r>
              <w:rPr>
                <w:spacing w:val="10"/>
              </w:rPr>
              <w:t>对烟花爆竹</w:t>
            </w:r>
            <w:r>
              <w:rPr>
                <w:spacing w:val="12"/>
              </w:rPr>
              <w:t>生产经营企业工（库）房等进行检维修等作业</w:t>
            </w:r>
            <w:r>
              <w:rPr>
                <w:spacing w:val="4"/>
              </w:rPr>
              <w:t>前，未制定</w:t>
            </w:r>
            <w:r>
              <w:rPr>
                <w:spacing w:val="12"/>
              </w:rPr>
              <w:t>安全作业方</w:t>
            </w:r>
            <w:r>
              <w:rPr>
                <w:spacing w:val="4"/>
              </w:rPr>
              <w:t>案，或者未</w:t>
            </w:r>
            <w:r>
              <w:rPr>
                <w:spacing w:val="-5"/>
                <w:w w:val="98"/>
              </w:rPr>
              <w:t>切断被检</w:t>
            </w:r>
            <w:r>
              <w:rPr>
                <w:spacing w:val="12"/>
              </w:rPr>
              <w:t>修、维修的电气线路和机械设备电</w:t>
            </w:r>
            <w:r>
              <w:rPr>
                <w:spacing w:val="3"/>
              </w:rPr>
              <w:t>源的</w:t>
            </w:r>
          </w:p>
        </w:tc>
        <w:tc>
          <w:tcPr>
            <w:tcW w:w="3202" w:type="dxa"/>
            <w:vMerge w:val="restart"/>
            <w:tcBorders>
              <w:bottom w:val="nil"/>
            </w:tcBorders>
            <w:vAlign w:val="top"/>
          </w:tcPr>
          <w:p w14:paraId="33507518">
            <w:pPr>
              <w:pStyle w:val="6"/>
              <w:spacing w:before="33" w:line="184" w:lineRule="auto"/>
              <w:ind w:left="114" w:right="19" w:hanging="16"/>
            </w:pPr>
            <w:r>
              <w:rPr>
                <w:spacing w:val="18"/>
              </w:rPr>
              <w:t>【部门规章】《烟花爆竹生</w:t>
            </w:r>
            <w:r>
              <w:rPr>
                <w:spacing w:val="17"/>
              </w:rPr>
              <w:t>产经营安全规定》第二十二</w:t>
            </w:r>
            <w:r>
              <w:rPr>
                <w:spacing w:val="7"/>
              </w:rPr>
              <w:t>条第二款：对工（库）房、</w:t>
            </w:r>
            <w:r>
              <w:rPr>
                <w:spacing w:val="17"/>
              </w:rPr>
              <w:t>安全设施、电气线路、机械设备等进行检测、检修、维</w:t>
            </w:r>
            <w:r>
              <w:rPr>
                <w:spacing w:val="-9"/>
              </w:rPr>
              <w:t>修、改造作业前，生产企业、</w:t>
            </w:r>
            <w:r>
              <w:rPr>
                <w:spacing w:val="17"/>
              </w:rPr>
              <w:t>批发企业应当制定安全作业</w:t>
            </w:r>
            <w:r>
              <w:rPr>
                <w:spacing w:val="14"/>
              </w:rPr>
              <w:t>方案，停止相关生产经营活</w:t>
            </w:r>
            <w:r>
              <w:rPr>
                <w:spacing w:val="13"/>
              </w:rPr>
              <w:t>动，转移烟花爆竹成品、半成品和原材料，清除残存药</w:t>
            </w:r>
            <w:r>
              <w:rPr>
                <w:spacing w:val="14"/>
              </w:rPr>
              <w:t>物和粉尘，切断被检测、检</w:t>
            </w:r>
            <w:r>
              <w:rPr>
                <w:spacing w:val="17"/>
              </w:rPr>
              <w:t>修、维修、改造的电气线路</w:t>
            </w:r>
            <w:r>
              <w:rPr>
                <w:spacing w:val="13"/>
              </w:rPr>
              <w:t>和机械设备电源，严格控制检修、维修作业人员数量，</w:t>
            </w:r>
            <w:r>
              <w:rPr>
                <w:spacing w:val="4"/>
              </w:rPr>
              <w:t>撤离无关的人员。</w:t>
            </w:r>
          </w:p>
        </w:tc>
        <w:tc>
          <w:tcPr>
            <w:tcW w:w="2859" w:type="dxa"/>
            <w:vMerge w:val="restart"/>
            <w:tcBorders>
              <w:bottom w:val="nil"/>
            </w:tcBorders>
            <w:vAlign w:val="top"/>
          </w:tcPr>
          <w:p w14:paraId="13749921">
            <w:pPr>
              <w:pStyle w:val="6"/>
              <w:spacing w:before="29" w:line="184" w:lineRule="auto"/>
              <w:ind w:left="97" w:right="19"/>
            </w:pPr>
            <w:r>
              <w:rPr>
                <w:spacing w:val="10"/>
              </w:rPr>
              <w:t>【部门规章】《烟花爆竹生产经营安全规定》第三十七条第一项：生产经营</w:t>
            </w:r>
            <w:r>
              <w:rPr>
                <w:spacing w:val="9"/>
              </w:rPr>
              <w:t>单位有下列行为之一的，</w:t>
            </w:r>
            <w:r>
              <w:rPr>
                <w:spacing w:val="6"/>
              </w:rPr>
              <w:t>责令改正；拒不改正的，</w:t>
            </w:r>
            <w:r>
              <w:rPr>
                <w:spacing w:val="10"/>
              </w:rPr>
              <w:t>处一万元以上三万元以下</w:t>
            </w:r>
            <w:r>
              <w:rPr>
                <w:spacing w:val="3"/>
              </w:rPr>
              <w:t>的罚款，对其直接负责的</w:t>
            </w:r>
            <w:r>
              <w:rPr>
                <w:spacing w:val="10"/>
              </w:rPr>
              <w:t>主管人员和其他直接责任人员处五千元以上一万元</w:t>
            </w:r>
            <w:r>
              <w:t>以下的罚款</w:t>
            </w:r>
            <w:r>
              <w:rPr>
                <w:spacing w:val="-2"/>
              </w:rPr>
              <w:t>：（</w:t>
            </w:r>
            <w:r>
              <w:t>一）对工</w:t>
            </w:r>
            <w:r>
              <w:rPr>
                <w:spacing w:val="10"/>
              </w:rPr>
              <w:t>（库）房、安全设施、电气线路、机械设备等进行检测、检修、维修、改造</w:t>
            </w:r>
            <w:r>
              <w:rPr>
                <w:spacing w:val="3"/>
              </w:rPr>
              <w:t>作业前，未制定安全作业</w:t>
            </w:r>
            <w:r>
              <w:rPr>
                <w:spacing w:val="-2"/>
              </w:rPr>
              <w:t>方案，或者未切断被检修、</w:t>
            </w:r>
            <w:r>
              <w:rPr>
                <w:spacing w:val="10"/>
              </w:rPr>
              <w:t>维修的电气线路和机械设</w:t>
            </w:r>
            <w:r>
              <w:rPr>
                <w:spacing w:val="1"/>
              </w:rPr>
              <w:t>备电源的；</w:t>
            </w:r>
          </w:p>
        </w:tc>
        <w:tc>
          <w:tcPr>
            <w:tcW w:w="803" w:type="dxa"/>
            <w:vAlign w:val="top"/>
          </w:tcPr>
          <w:p w14:paraId="406A965C">
            <w:pPr>
              <w:spacing w:line="263" w:lineRule="auto"/>
              <w:rPr>
                <w:rFonts w:ascii="Arial"/>
                <w:sz w:val="21"/>
              </w:rPr>
            </w:pPr>
          </w:p>
          <w:p w14:paraId="3D862286">
            <w:pPr>
              <w:spacing w:line="264" w:lineRule="auto"/>
              <w:rPr>
                <w:rFonts w:ascii="Arial"/>
                <w:sz w:val="21"/>
              </w:rPr>
            </w:pPr>
          </w:p>
          <w:p w14:paraId="75B05FCD">
            <w:pPr>
              <w:spacing w:line="264" w:lineRule="auto"/>
              <w:rPr>
                <w:rFonts w:ascii="Arial"/>
                <w:sz w:val="21"/>
              </w:rPr>
            </w:pPr>
          </w:p>
          <w:p w14:paraId="5A868CC7">
            <w:pPr>
              <w:spacing w:line="264" w:lineRule="auto"/>
              <w:rPr>
                <w:rFonts w:ascii="Arial"/>
                <w:sz w:val="21"/>
              </w:rPr>
            </w:pPr>
          </w:p>
          <w:p w14:paraId="1B14DA9B">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3E3A566">
            <w:pPr>
              <w:spacing w:line="242" w:lineRule="auto"/>
              <w:rPr>
                <w:rFonts w:ascii="Arial"/>
                <w:sz w:val="21"/>
              </w:rPr>
            </w:pPr>
          </w:p>
          <w:p w14:paraId="57B96C6F">
            <w:pPr>
              <w:pStyle w:val="6"/>
              <w:spacing w:before="99" w:line="187" w:lineRule="auto"/>
              <w:ind w:left="115" w:right="46" w:firstLine="5"/>
              <w:jc w:val="both"/>
            </w:pPr>
            <w:r>
              <w:rPr>
                <w:spacing w:val="-3"/>
              </w:rPr>
              <w:t>对工（库）房、安全</w:t>
            </w:r>
            <w:r>
              <w:rPr>
                <w:spacing w:val="-2"/>
              </w:rPr>
              <w:t>设施、电气线路、机</w:t>
            </w:r>
            <w:r>
              <w:rPr>
                <w:spacing w:val="5"/>
              </w:rPr>
              <w:t>械设备等进行检测、</w:t>
            </w:r>
            <w:r>
              <w:rPr>
                <w:spacing w:val="-2"/>
              </w:rPr>
              <w:t>检修、维修、改造作业前，未制定安全作</w:t>
            </w:r>
            <w:r>
              <w:rPr>
                <w:spacing w:val="6"/>
              </w:rPr>
              <w:t>业方案的</w:t>
            </w:r>
          </w:p>
        </w:tc>
        <w:tc>
          <w:tcPr>
            <w:tcW w:w="2894" w:type="dxa"/>
            <w:vAlign w:val="top"/>
          </w:tcPr>
          <w:p w14:paraId="26000114">
            <w:pPr>
              <w:spacing w:line="242" w:lineRule="auto"/>
              <w:rPr>
                <w:rFonts w:ascii="Arial"/>
                <w:sz w:val="21"/>
              </w:rPr>
            </w:pPr>
          </w:p>
          <w:p w14:paraId="224996DB">
            <w:pPr>
              <w:pStyle w:val="6"/>
              <w:spacing w:before="99" w:line="187" w:lineRule="auto"/>
              <w:ind w:left="119" w:right="103" w:firstLine="8"/>
            </w:pPr>
            <w:r>
              <w:rPr>
                <w:spacing w:val="3"/>
              </w:rPr>
              <w:t>责令改正；拒不改正的，</w:t>
            </w:r>
            <w:r>
              <w:rPr>
                <w:spacing w:val="-1"/>
              </w:rPr>
              <w:t>处</w:t>
            </w:r>
            <w:r>
              <w:rPr>
                <w:rFonts w:ascii="宋体" w:hAnsi="宋体" w:eastAsia="宋体" w:cs="宋体"/>
                <w:spacing w:val="-1"/>
              </w:rPr>
              <w:t>1</w:t>
            </w:r>
            <w:r>
              <w:rPr>
                <w:spacing w:val="-1"/>
              </w:rPr>
              <w:t>万元以上</w:t>
            </w:r>
            <w:r>
              <w:rPr>
                <w:rFonts w:ascii="宋体" w:hAnsi="宋体" w:eastAsia="宋体" w:cs="宋体"/>
                <w:spacing w:val="-1"/>
              </w:rPr>
              <w:t>1.5</w:t>
            </w:r>
            <w:r>
              <w:rPr>
                <w:spacing w:val="-1"/>
              </w:rPr>
              <w:t>万元以</w:t>
            </w:r>
            <w:r>
              <w:rPr>
                <w:spacing w:val="8"/>
              </w:rPr>
              <w:t>下的罚款，对其直接负责</w:t>
            </w:r>
            <w:r>
              <w:rPr>
                <w:spacing w:val="11"/>
              </w:rPr>
              <w:t>的主管人员和其他直接责</w:t>
            </w:r>
            <w:r>
              <w:rPr>
                <w:spacing w:val="2"/>
              </w:rPr>
              <w:t>任人员处</w:t>
            </w:r>
            <w:r>
              <w:rPr>
                <w:rFonts w:ascii="宋体" w:hAnsi="宋体" w:eastAsia="宋体" w:cs="宋体"/>
                <w:spacing w:val="2"/>
              </w:rPr>
              <w:t>5</w:t>
            </w:r>
            <w:r>
              <w:rPr>
                <w:spacing w:val="2"/>
              </w:rPr>
              <w:t>千元以上</w:t>
            </w:r>
            <w:r>
              <w:rPr>
                <w:rFonts w:ascii="宋体" w:hAnsi="宋体" w:eastAsia="宋体" w:cs="宋体"/>
                <w:spacing w:val="2"/>
              </w:rPr>
              <w:t>1</w:t>
            </w:r>
            <w:r>
              <w:rPr>
                <w:spacing w:val="2"/>
              </w:rPr>
              <w:t>万</w:t>
            </w:r>
            <w:r>
              <w:rPr>
                <w:spacing w:val="7"/>
              </w:rPr>
              <w:t>元以下的罚款</w:t>
            </w:r>
          </w:p>
        </w:tc>
        <w:tc>
          <w:tcPr>
            <w:tcW w:w="811" w:type="dxa"/>
            <w:vMerge w:val="restart"/>
            <w:tcBorders>
              <w:bottom w:val="nil"/>
            </w:tcBorders>
            <w:vAlign w:val="top"/>
          </w:tcPr>
          <w:p w14:paraId="469C2685">
            <w:pPr>
              <w:spacing w:line="255" w:lineRule="auto"/>
              <w:rPr>
                <w:rFonts w:ascii="Arial"/>
                <w:sz w:val="21"/>
              </w:rPr>
            </w:pPr>
          </w:p>
          <w:p w14:paraId="0B2DD701">
            <w:pPr>
              <w:spacing w:line="255" w:lineRule="auto"/>
              <w:rPr>
                <w:rFonts w:ascii="Arial"/>
                <w:sz w:val="21"/>
              </w:rPr>
            </w:pPr>
          </w:p>
          <w:p w14:paraId="4B3EE3C6">
            <w:pPr>
              <w:spacing w:line="255" w:lineRule="auto"/>
              <w:rPr>
                <w:rFonts w:ascii="Arial"/>
                <w:sz w:val="21"/>
              </w:rPr>
            </w:pPr>
          </w:p>
          <w:p w14:paraId="5915C17E">
            <w:pPr>
              <w:spacing w:line="255" w:lineRule="auto"/>
              <w:rPr>
                <w:rFonts w:ascii="Arial"/>
                <w:sz w:val="21"/>
              </w:rPr>
            </w:pPr>
          </w:p>
          <w:p w14:paraId="0F38E4B1">
            <w:pPr>
              <w:spacing w:line="255" w:lineRule="auto"/>
              <w:rPr>
                <w:rFonts w:ascii="Arial"/>
                <w:sz w:val="21"/>
              </w:rPr>
            </w:pPr>
          </w:p>
          <w:p w14:paraId="012AE89C">
            <w:pPr>
              <w:spacing w:line="256" w:lineRule="auto"/>
              <w:rPr>
                <w:rFonts w:ascii="Arial"/>
                <w:sz w:val="21"/>
              </w:rPr>
            </w:pPr>
          </w:p>
          <w:p w14:paraId="37837679">
            <w:pPr>
              <w:spacing w:line="256" w:lineRule="auto"/>
              <w:rPr>
                <w:rFonts w:ascii="Arial"/>
                <w:sz w:val="21"/>
              </w:rPr>
            </w:pPr>
          </w:p>
          <w:p w14:paraId="74DCF595">
            <w:pPr>
              <w:spacing w:line="256" w:lineRule="auto"/>
              <w:rPr>
                <w:rFonts w:ascii="Arial"/>
                <w:sz w:val="21"/>
              </w:rPr>
            </w:pPr>
          </w:p>
          <w:p w14:paraId="7FA4A7F4">
            <w:pPr>
              <w:spacing w:line="256" w:lineRule="auto"/>
              <w:rPr>
                <w:rFonts w:ascii="Arial"/>
                <w:sz w:val="21"/>
              </w:rPr>
            </w:pPr>
          </w:p>
          <w:p w14:paraId="718824F7">
            <w:pPr>
              <w:spacing w:line="256" w:lineRule="auto"/>
              <w:rPr>
                <w:rFonts w:ascii="Arial"/>
                <w:sz w:val="21"/>
              </w:rPr>
            </w:pPr>
          </w:p>
          <w:p w14:paraId="048CF2AD">
            <w:pPr>
              <w:spacing w:line="256" w:lineRule="auto"/>
              <w:rPr>
                <w:rFonts w:ascii="Arial"/>
                <w:sz w:val="21"/>
              </w:rPr>
            </w:pPr>
          </w:p>
          <w:p w14:paraId="0BF0AB13">
            <w:pPr>
              <w:spacing w:line="256" w:lineRule="auto"/>
              <w:rPr>
                <w:rFonts w:ascii="Arial"/>
                <w:sz w:val="21"/>
              </w:rPr>
            </w:pPr>
          </w:p>
          <w:p w14:paraId="57D12569">
            <w:pPr>
              <w:spacing w:line="256" w:lineRule="auto"/>
              <w:rPr>
                <w:rFonts w:ascii="Arial"/>
                <w:sz w:val="21"/>
              </w:rPr>
            </w:pPr>
          </w:p>
          <w:p w14:paraId="1328162E">
            <w:pPr>
              <w:spacing w:line="256" w:lineRule="auto"/>
              <w:rPr>
                <w:rFonts w:ascii="Arial"/>
                <w:sz w:val="21"/>
              </w:rPr>
            </w:pPr>
          </w:p>
          <w:p w14:paraId="43832B57">
            <w:pPr>
              <w:spacing w:line="256" w:lineRule="auto"/>
              <w:rPr>
                <w:rFonts w:ascii="Arial"/>
                <w:sz w:val="21"/>
              </w:rPr>
            </w:pPr>
          </w:p>
          <w:p w14:paraId="66629CA9">
            <w:pPr>
              <w:spacing w:before="75" w:line="189" w:lineRule="auto"/>
              <w:ind w:left="248"/>
              <w:rPr>
                <w:rFonts w:ascii="宋体" w:hAnsi="宋体" w:eastAsia="宋体" w:cs="宋体"/>
                <w:sz w:val="23"/>
                <w:szCs w:val="23"/>
              </w:rPr>
            </w:pPr>
            <w:r>
              <w:rPr>
                <w:rFonts w:ascii="宋体" w:hAnsi="宋体" w:eastAsia="宋体" w:cs="宋体"/>
                <w:spacing w:val="-6"/>
                <w:sz w:val="23"/>
                <w:szCs w:val="23"/>
              </w:rPr>
              <w:t>158</w:t>
            </w:r>
          </w:p>
        </w:tc>
      </w:tr>
      <w:tr w14:paraId="75AB1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8" w:hRule="atLeast"/>
        </w:trPr>
        <w:tc>
          <w:tcPr>
            <w:tcW w:w="818" w:type="dxa"/>
            <w:vMerge w:val="continue"/>
            <w:tcBorders>
              <w:top w:val="nil"/>
              <w:bottom w:val="nil"/>
            </w:tcBorders>
            <w:vAlign w:val="top"/>
          </w:tcPr>
          <w:p w14:paraId="70C91818">
            <w:pPr>
              <w:rPr>
                <w:rFonts w:ascii="Arial"/>
                <w:sz w:val="21"/>
              </w:rPr>
            </w:pPr>
          </w:p>
        </w:tc>
        <w:tc>
          <w:tcPr>
            <w:tcW w:w="1440" w:type="dxa"/>
            <w:vMerge w:val="continue"/>
            <w:tcBorders>
              <w:top w:val="nil"/>
              <w:bottom w:val="nil"/>
            </w:tcBorders>
            <w:vAlign w:val="top"/>
          </w:tcPr>
          <w:p w14:paraId="6B669001">
            <w:pPr>
              <w:rPr>
                <w:rFonts w:ascii="Arial"/>
                <w:sz w:val="21"/>
              </w:rPr>
            </w:pPr>
          </w:p>
        </w:tc>
        <w:tc>
          <w:tcPr>
            <w:tcW w:w="3202" w:type="dxa"/>
            <w:vMerge w:val="continue"/>
            <w:tcBorders>
              <w:top w:val="nil"/>
              <w:bottom w:val="nil"/>
            </w:tcBorders>
            <w:vAlign w:val="top"/>
          </w:tcPr>
          <w:p w14:paraId="6C389D15">
            <w:pPr>
              <w:rPr>
                <w:rFonts w:ascii="Arial"/>
                <w:sz w:val="21"/>
              </w:rPr>
            </w:pPr>
          </w:p>
        </w:tc>
        <w:tc>
          <w:tcPr>
            <w:tcW w:w="2859" w:type="dxa"/>
            <w:vMerge w:val="continue"/>
            <w:tcBorders>
              <w:top w:val="nil"/>
              <w:bottom w:val="nil"/>
            </w:tcBorders>
            <w:vAlign w:val="top"/>
          </w:tcPr>
          <w:p w14:paraId="7962ADA8">
            <w:pPr>
              <w:rPr>
                <w:rFonts w:ascii="Arial"/>
                <w:sz w:val="21"/>
              </w:rPr>
            </w:pPr>
          </w:p>
        </w:tc>
        <w:tc>
          <w:tcPr>
            <w:tcW w:w="803" w:type="dxa"/>
            <w:vAlign w:val="top"/>
          </w:tcPr>
          <w:p w14:paraId="599C50B8">
            <w:pPr>
              <w:spacing w:line="245" w:lineRule="auto"/>
              <w:rPr>
                <w:rFonts w:ascii="Arial"/>
                <w:sz w:val="21"/>
              </w:rPr>
            </w:pPr>
          </w:p>
          <w:p w14:paraId="777C178E">
            <w:pPr>
              <w:spacing w:line="245" w:lineRule="auto"/>
              <w:rPr>
                <w:rFonts w:ascii="Arial"/>
                <w:sz w:val="21"/>
              </w:rPr>
            </w:pPr>
          </w:p>
          <w:p w14:paraId="39E2104D">
            <w:pPr>
              <w:spacing w:line="245" w:lineRule="auto"/>
              <w:rPr>
                <w:rFonts w:ascii="Arial"/>
                <w:sz w:val="21"/>
              </w:rPr>
            </w:pPr>
          </w:p>
          <w:p w14:paraId="08669177">
            <w:pPr>
              <w:spacing w:line="245" w:lineRule="auto"/>
              <w:rPr>
                <w:rFonts w:ascii="Arial"/>
                <w:sz w:val="21"/>
              </w:rPr>
            </w:pPr>
          </w:p>
          <w:p w14:paraId="537523BD">
            <w:pPr>
              <w:spacing w:line="245" w:lineRule="auto"/>
              <w:rPr>
                <w:rFonts w:ascii="Arial"/>
                <w:sz w:val="21"/>
              </w:rPr>
            </w:pPr>
          </w:p>
          <w:p w14:paraId="33E41119">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A7E6A68">
            <w:pPr>
              <w:spacing w:line="263" w:lineRule="auto"/>
              <w:rPr>
                <w:rFonts w:ascii="Arial"/>
                <w:sz w:val="21"/>
              </w:rPr>
            </w:pPr>
          </w:p>
          <w:p w14:paraId="43D61664">
            <w:pPr>
              <w:pStyle w:val="6"/>
              <w:spacing w:before="98" w:line="186" w:lineRule="auto"/>
              <w:ind w:left="115" w:right="46" w:firstLine="5"/>
              <w:jc w:val="both"/>
            </w:pPr>
            <w:r>
              <w:rPr>
                <w:spacing w:val="-3"/>
              </w:rPr>
              <w:t>对工（库）房、安全</w:t>
            </w:r>
            <w:r>
              <w:rPr>
                <w:spacing w:val="-2"/>
              </w:rPr>
              <w:t>设施、电气线路、机</w:t>
            </w:r>
            <w:r>
              <w:rPr>
                <w:spacing w:val="5"/>
              </w:rPr>
              <w:t>械设备等进行检测、</w:t>
            </w:r>
            <w:r>
              <w:rPr>
                <w:spacing w:val="-2"/>
              </w:rPr>
              <w:t>检修、维修、改造作</w:t>
            </w:r>
            <w:r>
              <w:rPr>
                <w:spacing w:val="16"/>
              </w:rPr>
              <w:t>业前，未切断被检</w:t>
            </w:r>
            <w:r>
              <w:rPr>
                <w:spacing w:val="-2"/>
              </w:rPr>
              <w:t>修、维修的电气线路</w:t>
            </w:r>
            <w:r>
              <w:rPr>
                <w:spacing w:val="8"/>
              </w:rPr>
              <w:t>和机械设备电源的</w:t>
            </w:r>
          </w:p>
        </w:tc>
        <w:tc>
          <w:tcPr>
            <w:tcW w:w="2894" w:type="dxa"/>
            <w:vAlign w:val="top"/>
          </w:tcPr>
          <w:p w14:paraId="281669CD">
            <w:pPr>
              <w:spacing w:line="409" w:lineRule="auto"/>
              <w:rPr>
                <w:rFonts w:ascii="Arial"/>
                <w:sz w:val="21"/>
              </w:rPr>
            </w:pPr>
          </w:p>
          <w:p w14:paraId="612A9A1B">
            <w:pPr>
              <w:pStyle w:val="6"/>
              <w:spacing w:before="99" w:line="187" w:lineRule="auto"/>
              <w:ind w:left="119" w:right="103" w:firstLine="8"/>
            </w:pPr>
            <w:r>
              <w:rPr>
                <w:spacing w:val="3"/>
              </w:rPr>
              <w:t>责令改正；拒不改正的，</w:t>
            </w:r>
            <w:r>
              <w:rPr>
                <w:spacing w:val="2"/>
              </w:rPr>
              <w:t>处</w:t>
            </w:r>
            <w:r>
              <w:rPr>
                <w:rFonts w:ascii="宋体" w:hAnsi="宋体" w:eastAsia="宋体" w:cs="宋体"/>
                <w:spacing w:val="2"/>
              </w:rPr>
              <w:t>1.5</w:t>
            </w:r>
            <w:r>
              <w:rPr>
                <w:spacing w:val="2"/>
              </w:rPr>
              <w:t>万元以上</w:t>
            </w:r>
            <w:r>
              <w:rPr>
                <w:rFonts w:ascii="宋体" w:hAnsi="宋体" w:eastAsia="宋体" w:cs="宋体"/>
                <w:spacing w:val="2"/>
              </w:rPr>
              <w:t>2</w:t>
            </w:r>
            <w:r>
              <w:rPr>
                <w:spacing w:val="2"/>
              </w:rPr>
              <w:t>万元以</w:t>
            </w:r>
            <w:r>
              <w:rPr>
                <w:spacing w:val="8"/>
              </w:rPr>
              <w:t>下的罚款，对其直接负责</w:t>
            </w:r>
            <w:r>
              <w:rPr>
                <w:spacing w:val="11"/>
              </w:rPr>
              <w:t>的主管人员和其他直接责</w:t>
            </w:r>
            <w:r>
              <w:rPr>
                <w:spacing w:val="2"/>
              </w:rPr>
              <w:t>任人员处</w:t>
            </w:r>
            <w:r>
              <w:rPr>
                <w:rFonts w:ascii="宋体" w:hAnsi="宋体" w:eastAsia="宋体" w:cs="宋体"/>
                <w:spacing w:val="2"/>
              </w:rPr>
              <w:t>5</w:t>
            </w:r>
            <w:r>
              <w:rPr>
                <w:spacing w:val="2"/>
              </w:rPr>
              <w:t>千元以上</w:t>
            </w:r>
            <w:r>
              <w:rPr>
                <w:rFonts w:ascii="宋体" w:hAnsi="宋体" w:eastAsia="宋体" w:cs="宋体"/>
                <w:spacing w:val="2"/>
              </w:rPr>
              <w:t>1</w:t>
            </w:r>
            <w:r>
              <w:rPr>
                <w:spacing w:val="2"/>
              </w:rPr>
              <w:t>万</w:t>
            </w:r>
            <w:r>
              <w:rPr>
                <w:spacing w:val="7"/>
              </w:rPr>
              <w:t>元以下的罚款</w:t>
            </w:r>
          </w:p>
        </w:tc>
        <w:tc>
          <w:tcPr>
            <w:tcW w:w="811" w:type="dxa"/>
            <w:vMerge w:val="continue"/>
            <w:tcBorders>
              <w:top w:val="nil"/>
              <w:bottom w:val="nil"/>
            </w:tcBorders>
            <w:vAlign w:val="top"/>
          </w:tcPr>
          <w:p w14:paraId="18237FAD">
            <w:pPr>
              <w:rPr>
                <w:rFonts w:ascii="Arial"/>
                <w:sz w:val="21"/>
              </w:rPr>
            </w:pPr>
          </w:p>
        </w:tc>
      </w:tr>
      <w:tr w14:paraId="376B6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4" w:hRule="atLeast"/>
        </w:trPr>
        <w:tc>
          <w:tcPr>
            <w:tcW w:w="818" w:type="dxa"/>
            <w:vMerge w:val="continue"/>
            <w:tcBorders>
              <w:top w:val="nil"/>
            </w:tcBorders>
            <w:vAlign w:val="top"/>
          </w:tcPr>
          <w:p w14:paraId="61D648CD">
            <w:pPr>
              <w:rPr>
                <w:rFonts w:ascii="Arial"/>
                <w:sz w:val="21"/>
              </w:rPr>
            </w:pPr>
          </w:p>
        </w:tc>
        <w:tc>
          <w:tcPr>
            <w:tcW w:w="1440" w:type="dxa"/>
            <w:vMerge w:val="continue"/>
            <w:tcBorders>
              <w:top w:val="nil"/>
            </w:tcBorders>
            <w:vAlign w:val="top"/>
          </w:tcPr>
          <w:p w14:paraId="1542385A">
            <w:pPr>
              <w:rPr>
                <w:rFonts w:ascii="Arial"/>
                <w:sz w:val="21"/>
              </w:rPr>
            </w:pPr>
          </w:p>
        </w:tc>
        <w:tc>
          <w:tcPr>
            <w:tcW w:w="3202" w:type="dxa"/>
            <w:vMerge w:val="continue"/>
            <w:tcBorders>
              <w:top w:val="nil"/>
            </w:tcBorders>
            <w:vAlign w:val="top"/>
          </w:tcPr>
          <w:p w14:paraId="3E1BD518">
            <w:pPr>
              <w:rPr>
                <w:rFonts w:ascii="Arial"/>
                <w:sz w:val="21"/>
              </w:rPr>
            </w:pPr>
          </w:p>
        </w:tc>
        <w:tc>
          <w:tcPr>
            <w:tcW w:w="2859" w:type="dxa"/>
            <w:vMerge w:val="continue"/>
            <w:tcBorders>
              <w:top w:val="nil"/>
            </w:tcBorders>
            <w:vAlign w:val="top"/>
          </w:tcPr>
          <w:p w14:paraId="77406017">
            <w:pPr>
              <w:rPr>
                <w:rFonts w:ascii="Arial"/>
                <w:sz w:val="21"/>
              </w:rPr>
            </w:pPr>
          </w:p>
        </w:tc>
        <w:tc>
          <w:tcPr>
            <w:tcW w:w="803" w:type="dxa"/>
            <w:vAlign w:val="top"/>
          </w:tcPr>
          <w:p w14:paraId="5FE7C57E">
            <w:pPr>
              <w:spacing w:line="249" w:lineRule="auto"/>
              <w:rPr>
                <w:rFonts w:ascii="Arial"/>
                <w:sz w:val="21"/>
              </w:rPr>
            </w:pPr>
          </w:p>
          <w:p w14:paraId="5C4B94D2">
            <w:pPr>
              <w:spacing w:line="249" w:lineRule="auto"/>
              <w:rPr>
                <w:rFonts w:ascii="Arial"/>
                <w:sz w:val="21"/>
              </w:rPr>
            </w:pPr>
          </w:p>
          <w:p w14:paraId="5E433745">
            <w:pPr>
              <w:spacing w:line="249" w:lineRule="auto"/>
              <w:rPr>
                <w:rFonts w:ascii="Arial"/>
                <w:sz w:val="21"/>
              </w:rPr>
            </w:pPr>
          </w:p>
          <w:p w14:paraId="43143FD4">
            <w:pPr>
              <w:spacing w:line="250" w:lineRule="auto"/>
              <w:rPr>
                <w:rFonts w:ascii="Arial"/>
                <w:sz w:val="21"/>
              </w:rPr>
            </w:pPr>
          </w:p>
          <w:p w14:paraId="0AF613FF">
            <w:pPr>
              <w:spacing w:line="250" w:lineRule="auto"/>
              <w:rPr>
                <w:rFonts w:ascii="Arial"/>
                <w:sz w:val="21"/>
              </w:rPr>
            </w:pPr>
          </w:p>
          <w:p w14:paraId="532526B2">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76E8BC1">
            <w:pPr>
              <w:pStyle w:val="6"/>
              <w:spacing w:before="81" w:line="184" w:lineRule="auto"/>
              <w:ind w:left="115" w:right="46" w:firstLine="5"/>
              <w:jc w:val="both"/>
            </w:pPr>
            <w:r>
              <w:rPr>
                <w:spacing w:val="-3"/>
              </w:rPr>
              <w:t>对工（库）房、安全</w:t>
            </w:r>
            <w:r>
              <w:rPr>
                <w:spacing w:val="-2"/>
              </w:rPr>
              <w:t>设施、电气线路、机</w:t>
            </w:r>
            <w:r>
              <w:rPr>
                <w:spacing w:val="5"/>
              </w:rPr>
              <w:t>械设备等进行检测、</w:t>
            </w:r>
            <w:r>
              <w:rPr>
                <w:spacing w:val="-2"/>
              </w:rPr>
              <w:t>检修、维修、改造作业前，未制定安全作业方案，且未切断被检修、维修的电气线</w:t>
            </w:r>
            <w:r>
              <w:rPr>
                <w:spacing w:val="26"/>
              </w:rPr>
              <w:t>路和机械设备电源</w:t>
            </w:r>
            <w:r>
              <w:t>的</w:t>
            </w:r>
          </w:p>
        </w:tc>
        <w:tc>
          <w:tcPr>
            <w:tcW w:w="2894" w:type="dxa"/>
            <w:vAlign w:val="top"/>
          </w:tcPr>
          <w:p w14:paraId="5F3CE487">
            <w:pPr>
              <w:spacing w:line="432" w:lineRule="auto"/>
              <w:rPr>
                <w:rFonts w:ascii="Arial"/>
                <w:sz w:val="21"/>
              </w:rPr>
            </w:pPr>
          </w:p>
          <w:p w14:paraId="58DFDF3D">
            <w:pPr>
              <w:pStyle w:val="6"/>
              <w:spacing w:before="99" w:line="187" w:lineRule="auto"/>
              <w:ind w:left="119" w:right="103" w:firstLine="8"/>
            </w:pPr>
            <w:r>
              <w:rPr>
                <w:spacing w:val="3"/>
              </w:rPr>
              <w:t>责令改正；拒不改正的，处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万元以下</w:t>
            </w:r>
            <w:r>
              <w:rPr>
                <w:spacing w:val="8"/>
              </w:rPr>
              <w:t>的罚款，对其直接负责的</w:t>
            </w:r>
            <w:r>
              <w:rPr>
                <w:spacing w:val="11"/>
              </w:rPr>
              <w:t>主管人员和其他直接责任</w:t>
            </w:r>
            <w:r>
              <w:rPr>
                <w:spacing w:val="2"/>
              </w:rPr>
              <w:t>人员处</w:t>
            </w:r>
            <w:r>
              <w:rPr>
                <w:rFonts w:ascii="宋体" w:hAnsi="宋体" w:eastAsia="宋体" w:cs="宋体"/>
                <w:spacing w:val="2"/>
              </w:rPr>
              <w:t>5</w:t>
            </w:r>
            <w:r>
              <w:rPr>
                <w:spacing w:val="2"/>
              </w:rPr>
              <w:t>千元以上</w:t>
            </w:r>
            <w:r>
              <w:rPr>
                <w:rFonts w:ascii="宋体" w:hAnsi="宋体" w:eastAsia="宋体" w:cs="宋体"/>
                <w:spacing w:val="2"/>
              </w:rPr>
              <w:t>1</w:t>
            </w:r>
            <w:r>
              <w:rPr>
                <w:spacing w:val="2"/>
              </w:rPr>
              <w:t>万元</w:t>
            </w:r>
            <w:r>
              <w:rPr>
                <w:spacing w:val="6"/>
              </w:rPr>
              <w:t>以下的罚款</w:t>
            </w:r>
          </w:p>
        </w:tc>
        <w:tc>
          <w:tcPr>
            <w:tcW w:w="811" w:type="dxa"/>
            <w:vMerge w:val="continue"/>
            <w:tcBorders>
              <w:top w:val="nil"/>
            </w:tcBorders>
            <w:vAlign w:val="top"/>
          </w:tcPr>
          <w:p w14:paraId="70929CCC">
            <w:pPr>
              <w:rPr>
                <w:rFonts w:ascii="Arial"/>
                <w:sz w:val="21"/>
              </w:rPr>
            </w:pPr>
          </w:p>
        </w:tc>
      </w:tr>
    </w:tbl>
    <w:p w14:paraId="54B958E6">
      <w:pPr>
        <w:pStyle w:val="2"/>
      </w:pPr>
    </w:p>
    <w:p w14:paraId="7AB83977">
      <w:pPr>
        <w:sectPr>
          <w:footerReference r:id="rId195" w:type="default"/>
          <w:pgSz w:w="16839" w:h="11906"/>
          <w:pgMar w:top="1012" w:right="821" w:bottom="667" w:left="901" w:header="0" w:footer="388" w:gutter="0"/>
          <w:cols w:space="720" w:num="1"/>
        </w:sectPr>
      </w:pPr>
    </w:p>
    <w:p w14:paraId="4DA707D5">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109E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47805E2">
            <w:pPr>
              <w:spacing w:before="222" w:line="241" w:lineRule="auto"/>
              <w:ind w:left="131"/>
              <w:outlineLvl w:val="0"/>
              <w:rPr>
                <w:rFonts w:ascii="黑体" w:hAnsi="黑体" w:eastAsia="黑体" w:cs="黑体"/>
                <w:sz w:val="28"/>
                <w:szCs w:val="28"/>
              </w:rPr>
            </w:pPr>
            <w:bookmarkStart w:id="661" w:name="bookmark589"/>
            <w:bookmarkEnd w:id="661"/>
            <w:bookmarkStart w:id="662" w:name="bookmark370"/>
            <w:bookmarkEnd w:id="662"/>
            <w:r>
              <w:rPr>
                <w:rFonts w:ascii="黑体" w:hAnsi="黑体" w:eastAsia="黑体" w:cs="黑体"/>
                <w:spacing w:val="-2"/>
                <w:sz w:val="28"/>
                <w:szCs w:val="28"/>
              </w:rPr>
              <w:t>序号</w:t>
            </w:r>
          </w:p>
        </w:tc>
        <w:tc>
          <w:tcPr>
            <w:tcW w:w="1440" w:type="dxa"/>
            <w:vAlign w:val="top"/>
          </w:tcPr>
          <w:p w14:paraId="207A1072">
            <w:pPr>
              <w:spacing w:before="221"/>
              <w:ind w:left="163"/>
              <w:outlineLvl w:val="1"/>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17F92D8">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C43EE50">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0CD8A3E">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95CEE4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85A2C25">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9CF3ACF">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FFA7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0" w:hRule="atLeast"/>
        </w:trPr>
        <w:tc>
          <w:tcPr>
            <w:tcW w:w="818" w:type="dxa"/>
            <w:vMerge w:val="restart"/>
            <w:tcBorders>
              <w:bottom w:val="nil"/>
            </w:tcBorders>
            <w:vAlign w:val="top"/>
          </w:tcPr>
          <w:p w14:paraId="22FD902F">
            <w:pPr>
              <w:spacing w:line="241" w:lineRule="auto"/>
              <w:rPr>
                <w:rFonts w:ascii="Arial"/>
                <w:sz w:val="21"/>
              </w:rPr>
            </w:pPr>
          </w:p>
          <w:p w14:paraId="3D3BA21F">
            <w:pPr>
              <w:spacing w:line="241" w:lineRule="auto"/>
              <w:rPr>
                <w:rFonts w:ascii="Arial"/>
                <w:sz w:val="21"/>
              </w:rPr>
            </w:pPr>
          </w:p>
          <w:p w14:paraId="7E970B1C">
            <w:pPr>
              <w:spacing w:line="241" w:lineRule="auto"/>
              <w:rPr>
                <w:rFonts w:ascii="Arial"/>
                <w:sz w:val="21"/>
              </w:rPr>
            </w:pPr>
          </w:p>
          <w:p w14:paraId="289A0575">
            <w:pPr>
              <w:spacing w:line="241" w:lineRule="auto"/>
              <w:rPr>
                <w:rFonts w:ascii="Arial"/>
                <w:sz w:val="21"/>
              </w:rPr>
            </w:pPr>
          </w:p>
          <w:p w14:paraId="725875F6">
            <w:pPr>
              <w:spacing w:line="241" w:lineRule="auto"/>
              <w:rPr>
                <w:rFonts w:ascii="Arial"/>
                <w:sz w:val="21"/>
              </w:rPr>
            </w:pPr>
          </w:p>
          <w:p w14:paraId="1BF759B1">
            <w:pPr>
              <w:spacing w:line="241" w:lineRule="auto"/>
              <w:rPr>
                <w:rFonts w:ascii="Arial"/>
                <w:sz w:val="21"/>
              </w:rPr>
            </w:pPr>
          </w:p>
          <w:p w14:paraId="5F5ED9BE">
            <w:pPr>
              <w:spacing w:line="241" w:lineRule="auto"/>
              <w:rPr>
                <w:rFonts w:ascii="Arial"/>
                <w:sz w:val="21"/>
              </w:rPr>
            </w:pPr>
          </w:p>
          <w:p w14:paraId="5EA894DE">
            <w:pPr>
              <w:spacing w:line="241" w:lineRule="auto"/>
              <w:rPr>
                <w:rFonts w:ascii="Arial"/>
                <w:sz w:val="21"/>
              </w:rPr>
            </w:pPr>
          </w:p>
          <w:p w14:paraId="1E2FE043">
            <w:pPr>
              <w:spacing w:line="241" w:lineRule="auto"/>
              <w:rPr>
                <w:rFonts w:ascii="Arial"/>
                <w:sz w:val="21"/>
              </w:rPr>
            </w:pPr>
          </w:p>
          <w:p w14:paraId="767A44F1">
            <w:pPr>
              <w:spacing w:line="241" w:lineRule="auto"/>
              <w:rPr>
                <w:rFonts w:ascii="Arial"/>
                <w:sz w:val="21"/>
              </w:rPr>
            </w:pPr>
          </w:p>
          <w:p w14:paraId="5B7BFAEF">
            <w:pPr>
              <w:spacing w:line="241" w:lineRule="auto"/>
              <w:rPr>
                <w:rFonts w:ascii="Arial"/>
                <w:sz w:val="21"/>
              </w:rPr>
            </w:pPr>
          </w:p>
          <w:p w14:paraId="603EAD64">
            <w:pPr>
              <w:spacing w:line="242" w:lineRule="auto"/>
              <w:rPr>
                <w:rFonts w:ascii="Arial"/>
                <w:sz w:val="21"/>
              </w:rPr>
            </w:pPr>
          </w:p>
          <w:p w14:paraId="0DDC2B78">
            <w:pPr>
              <w:spacing w:line="242" w:lineRule="auto"/>
              <w:rPr>
                <w:rFonts w:ascii="Arial"/>
                <w:sz w:val="21"/>
              </w:rPr>
            </w:pPr>
          </w:p>
          <w:p w14:paraId="1FE7C996">
            <w:pPr>
              <w:spacing w:line="242" w:lineRule="auto"/>
              <w:rPr>
                <w:rFonts w:ascii="Arial"/>
                <w:sz w:val="21"/>
              </w:rPr>
            </w:pPr>
          </w:p>
          <w:p w14:paraId="5A51FE05">
            <w:pPr>
              <w:spacing w:line="242" w:lineRule="auto"/>
              <w:rPr>
                <w:rFonts w:ascii="Arial"/>
                <w:sz w:val="21"/>
              </w:rPr>
            </w:pPr>
          </w:p>
          <w:p w14:paraId="3C1873F5">
            <w:pPr>
              <w:spacing w:line="242" w:lineRule="auto"/>
              <w:rPr>
                <w:rFonts w:ascii="Arial"/>
                <w:sz w:val="21"/>
              </w:rPr>
            </w:pPr>
          </w:p>
          <w:p w14:paraId="23BA1DBF">
            <w:pPr>
              <w:spacing w:line="242" w:lineRule="auto"/>
              <w:rPr>
                <w:rFonts w:ascii="Arial"/>
                <w:sz w:val="21"/>
              </w:rPr>
            </w:pPr>
          </w:p>
          <w:p w14:paraId="7B04BD08">
            <w:pPr>
              <w:spacing w:line="242" w:lineRule="auto"/>
              <w:rPr>
                <w:rFonts w:ascii="Arial"/>
                <w:sz w:val="21"/>
              </w:rPr>
            </w:pPr>
          </w:p>
          <w:p w14:paraId="746E428B">
            <w:pPr>
              <w:spacing w:before="75" w:line="186" w:lineRule="auto"/>
              <w:ind w:left="161"/>
              <w:rPr>
                <w:rFonts w:ascii="仿宋" w:hAnsi="仿宋" w:eastAsia="仿宋" w:cs="仿宋"/>
                <w:sz w:val="23"/>
                <w:szCs w:val="23"/>
              </w:rPr>
            </w:pPr>
            <w:r>
              <w:rPr>
                <w:rFonts w:ascii="仿宋" w:hAnsi="仿宋" w:eastAsia="仿宋" w:cs="仿宋"/>
                <w:spacing w:val="-5"/>
                <w:sz w:val="23"/>
                <w:szCs w:val="23"/>
              </w:rPr>
              <w:t>181</w:t>
            </w:r>
          </w:p>
        </w:tc>
        <w:tc>
          <w:tcPr>
            <w:tcW w:w="1440" w:type="dxa"/>
            <w:vMerge w:val="restart"/>
            <w:tcBorders>
              <w:bottom w:val="nil"/>
            </w:tcBorders>
            <w:vAlign w:val="top"/>
          </w:tcPr>
          <w:p w14:paraId="196D659B">
            <w:pPr>
              <w:spacing w:line="248" w:lineRule="auto"/>
              <w:rPr>
                <w:rFonts w:ascii="Arial"/>
                <w:sz w:val="21"/>
              </w:rPr>
            </w:pPr>
          </w:p>
          <w:p w14:paraId="52486736">
            <w:pPr>
              <w:spacing w:line="248" w:lineRule="auto"/>
              <w:rPr>
                <w:rFonts w:ascii="Arial"/>
                <w:sz w:val="21"/>
              </w:rPr>
            </w:pPr>
          </w:p>
          <w:p w14:paraId="56E102EB">
            <w:pPr>
              <w:spacing w:line="248" w:lineRule="auto"/>
              <w:rPr>
                <w:rFonts w:ascii="Arial"/>
                <w:sz w:val="21"/>
              </w:rPr>
            </w:pPr>
          </w:p>
          <w:p w14:paraId="0732D3DF">
            <w:pPr>
              <w:spacing w:line="248" w:lineRule="auto"/>
              <w:rPr>
                <w:rFonts w:ascii="Arial"/>
                <w:sz w:val="21"/>
              </w:rPr>
            </w:pPr>
          </w:p>
          <w:p w14:paraId="2F37F87E">
            <w:pPr>
              <w:spacing w:line="248" w:lineRule="auto"/>
              <w:rPr>
                <w:rFonts w:ascii="Arial"/>
                <w:sz w:val="21"/>
              </w:rPr>
            </w:pPr>
          </w:p>
          <w:p w14:paraId="00D4A0EC">
            <w:pPr>
              <w:spacing w:line="248" w:lineRule="auto"/>
              <w:rPr>
                <w:rFonts w:ascii="Arial"/>
                <w:sz w:val="21"/>
              </w:rPr>
            </w:pPr>
          </w:p>
          <w:p w14:paraId="53B8807F">
            <w:pPr>
              <w:spacing w:line="248" w:lineRule="auto"/>
              <w:rPr>
                <w:rFonts w:ascii="Arial"/>
                <w:sz w:val="21"/>
              </w:rPr>
            </w:pPr>
          </w:p>
          <w:p w14:paraId="47FAC96F">
            <w:pPr>
              <w:spacing w:line="248" w:lineRule="auto"/>
              <w:rPr>
                <w:rFonts w:ascii="Arial"/>
                <w:sz w:val="21"/>
              </w:rPr>
            </w:pPr>
          </w:p>
          <w:p w14:paraId="35B42372">
            <w:pPr>
              <w:spacing w:line="248" w:lineRule="auto"/>
              <w:rPr>
                <w:rFonts w:ascii="Arial"/>
                <w:sz w:val="21"/>
              </w:rPr>
            </w:pPr>
          </w:p>
          <w:p w14:paraId="51B1463E">
            <w:pPr>
              <w:spacing w:line="248" w:lineRule="auto"/>
              <w:rPr>
                <w:rFonts w:ascii="Arial"/>
                <w:sz w:val="21"/>
              </w:rPr>
            </w:pPr>
          </w:p>
          <w:p w14:paraId="5FFE02CE">
            <w:pPr>
              <w:spacing w:line="249" w:lineRule="auto"/>
              <w:rPr>
                <w:rFonts w:ascii="Arial"/>
                <w:sz w:val="21"/>
              </w:rPr>
            </w:pPr>
          </w:p>
          <w:p w14:paraId="6F64A5BA">
            <w:pPr>
              <w:spacing w:line="249" w:lineRule="auto"/>
              <w:rPr>
                <w:rFonts w:ascii="Arial"/>
                <w:sz w:val="21"/>
              </w:rPr>
            </w:pPr>
          </w:p>
          <w:p w14:paraId="2F080184">
            <w:pPr>
              <w:spacing w:line="249" w:lineRule="auto"/>
              <w:rPr>
                <w:rFonts w:ascii="Arial"/>
                <w:sz w:val="21"/>
              </w:rPr>
            </w:pPr>
          </w:p>
          <w:p w14:paraId="3182B2A2">
            <w:pPr>
              <w:pStyle w:val="6"/>
              <w:spacing w:before="99" w:line="186" w:lineRule="auto"/>
              <w:ind w:left="112" w:right="111" w:firstLine="7"/>
              <w:jc w:val="both"/>
            </w:pPr>
            <w:r>
              <w:rPr>
                <w:spacing w:val="10"/>
              </w:rPr>
              <w:t>烟花爆竹生</w:t>
            </w:r>
            <w:r>
              <w:rPr>
                <w:spacing w:val="12"/>
              </w:rPr>
              <w:t>产企业、批发企业防范静电危害的措施不符合相关国家标准或者行业</w:t>
            </w:r>
            <w:r>
              <w:rPr>
                <w:spacing w:val="7"/>
              </w:rPr>
              <w:t>标准规定的</w:t>
            </w:r>
          </w:p>
        </w:tc>
        <w:tc>
          <w:tcPr>
            <w:tcW w:w="3202" w:type="dxa"/>
            <w:vMerge w:val="restart"/>
            <w:tcBorders>
              <w:bottom w:val="nil"/>
            </w:tcBorders>
            <w:vAlign w:val="top"/>
          </w:tcPr>
          <w:p w14:paraId="799B10E6">
            <w:pPr>
              <w:pStyle w:val="6"/>
              <w:spacing w:before="28" w:line="182" w:lineRule="auto"/>
              <w:ind w:left="98"/>
            </w:pPr>
            <w:r>
              <w:rPr>
                <w:spacing w:val="17"/>
              </w:rPr>
              <w:t>【部门规章】《烟花爆竹生</w:t>
            </w:r>
          </w:p>
          <w:p w14:paraId="64633EAB">
            <w:pPr>
              <w:pStyle w:val="6"/>
              <w:spacing w:line="182" w:lineRule="auto"/>
              <w:ind w:left="119"/>
              <w:outlineLvl w:val="1"/>
            </w:pPr>
            <w:r>
              <w:rPr>
                <w:spacing w:val="15"/>
              </w:rPr>
              <w:t>产经营安全规定》第七条：</w:t>
            </w:r>
          </w:p>
          <w:p w14:paraId="7E2FD486">
            <w:pPr>
              <w:pStyle w:val="6"/>
              <w:spacing w:before="1" w:line="182" w:lineRule="auto"/>
              <w:ind w:left="134" w:right="111" w:hanging="3"/>
            </w:pPr>
            <w:r>
              <w:rPr>
                <w:spacing w:val="16"/>
              </w:rPr>
              <w:t>生产企业、批发企业应当不</w:t>
            </w:r>
            <w:r>
              <w:rPr>
                <w:spacing w:val="14"/>
              </w:rPr>
              <w:t>断完善安全生产基础设施，</w:t>
            </w:r>
          </w:p>
          <w:p w14:paraId="60CBF228">
            <w:pPr>
              <w:pStyle w:val="6"/>
              <w:spacing w:line="182" w:lineRule="auto"/>
              <w:ind w:left="116"/>
              <w:outlineLvl w:val="1"/>
            </w:pPr>
            <w:r>
              <w:rPr>
                <w:spacing w:val="17"/>
              </w:rPr>
              <w:t>持续保障和提升安全生产条</w:t>
            </w:r>
          </w:p>
          <w:p w14:paraId="3BB067B9">
            <w:pPr>
              <w:pStyle w:val="6"/>
              <w:spacing w:before="1" w:line="182" w:lineRule="auto"/>
              <w:ind w:left="119"/>
            </w:pPr>
            <w:r>
              <w:rPr>
                <w:spacing w:val="-8"/>
              </w:rPr>
              <w:t>件。</w:t>
            </w:r>
          </w:p>
          <w:p w14:paraId="0005F9FA">
            <w:pPr>
              <w:pStyle w:val="6"/>
              <w:spacing w:before="5" w:line="182" w:lineRule="auto"/>
              <w:ind w:left="116" w:right="111" w:firstLine="14"/>
            </w:pPr>
            <w:r>
              <w:rPr>
                <w:spacing w:val="16"/>
              </w:rPr>
              <w:t>生产企业、批发企业的防雷</w:t>
            </w:r>
            <w:r>
              <w:rPr>
                <w:spacing w:val="17"/>
              </w:rPr>
              <w:t>设施应当经具有相应资质的</w:t>
            </w:r>
            <w:r>
              <w:rPr>
                <w:spacing w:val="13"/>
              </w:rPr>
              <w:t>机构设计、施工，确保符合</w:t>
            </w:r>
            <w:r>
              <w:rPr>
                <w:spacing w:val="17"/>
              </w:rPr>
              <w:t>相关国家标准或者行业标准</w:t>
            </w:r>
            <w:r>
              <w:rPr>
                <w:spacing w:val="10"/>
              </w:rPr>
              <w:t>的规定；防范静电危害的措</w:t>
            </w:r>
            <w:r>
              <w:rPr>
                <w:spacing w:val="17"/>
              </w:rPr>
              <w:t>施应当符合相关国家标准或</w:t>
            </w:r>
            <w:r>
              <w:rPr>
                <w:spacing w:val="4"/>
              </w:rPr>
              <w:t>者行业标准的规定。</w:t>
            </w:r>
          </w:p>
          <w:p w14:paraId="55179AC9">
            <w:pPr>
              <w:pStyle w:val="6"/>
              <w:spacing w:before="6" w:line="182" w:lineRule="auto"/>
              <w:ind w:left="116" w:right="111" w:firstLine="14"/>
            </w:pPr>
            <w:r>
              <w:rPr>
                <w:spacing w:val="16"/>
              </w:rPr>
              <w:t>生产企业、批发企业在工艺</w:t>
            </w:r>
            <w:r>
              <w:rPr>
                <w:spacing w:val="17"/>
              </w:rPr>
              <w:t>技术条件发生变化和扩大生</w:t>
            </w:r>
            <w:r>
              <w:rPr>
                <w:spacing w:val="13"/>
              </w:rPr>
              <w:t>产储存规模投入生产前，应</w:t>
            </w:r>
            <w:r>
              <w:rPr>
                <w:spacing w:val="17"/>
              </w:rPr>
              <w:t>当对企业的总体布局、工艺</w:t>
            </w:r>
            <w:r>
              <w:rPr>
                <w:spacing w:val="11"/>
              </w:rPr>
              <w:t>流程、危险性工（库）房、</w:t>
            </w:r>
            <w:r>
              <w:rPr>
                <w:spacing w:val="17"/>
              </w:rPr>
              <w:t>安全防护屏障、防火防雷防静电等基础设施进行安全评</w:t>
            </w:r>
            <w:r>
              <w:rPr>
                <w:spacing w:val="-7"/>
              </w:rPr>
              <w:t>价。</w:t>
            </w:r>
          </w:p>
          <w:p w14:paraId="2099F3BC">
            <w:pPr>
              <w:pStyle w:val="6"/>
              <w:spacing w:before="14" w:line="182" w:lineRule="auto"/>
              <w:ind w:left="116" w:right="19" w:firstLine="7"/>
              <w:jc w:val="both"/>
            </w:pPr>
            <w:r>
              <w:rPr>
                <w:spacing w:val="16"/>
              </w:rPr>
              <w:t>新的国家标准、行业标准公</w:t>
            </w:r>
            <w:r>
              <w:rPr>
                <w:spacing w:val="12"/>
              </w:rPr>
              <w:t>布后，生产企业、批发企业</w:t>
            </w:r>
            <w:r>
              <w:rPr>
                <w:spacing w:val="17"/>
              </w:rPr>
              <w:t>应当对企业的总体布局、工</w:t>
            </w:r>
            <w:r>
              <w:rPr>
                <w:spacing w:val="2"/>
              </w:rPr>
              <w:t>艺流程、危险性工（库）房、</w:t>
            </w:r>
            <w:r>
              <w:rPr>
                <w:spacing w:val="17"/>
              </w:rPr>
              <w:t>安全防护屏障、防火防雷防静电等基础设施以及安全管</w:t>
            </w:r>
            <w:r>
              <w:rPr>
                <w:spacing w:val="13"/>
              </w:rPr>
              <w:t>理制度进行符合性检查，并</w:t>
            </w:r>
            <w:r>
              <w:rPr>
                <w:spacing w:val="17"/>
              </w:rPr>
              <w:t>依据新的国家标准、行业标准采取相应的改进、完善措</w:t>
            </w:r>
          </w:p>
        </w:tc>
        <w:tc>
          <w:tcPr>
            <w:tcW w:w="2859" w:type="dxa"/>
            <w:vMerge w:val="restart"/>
            <w:tcBorders>
              <w:bottom w:val="nil"/>
            </w:tcBorders>
            <w:vAlign w:val="top"/>
          </w:tcPr>
          <w:p w14:paraId="381D1402">
            <w:pPr>
              <w:pStyle w:val="6"/>
              <w:spacing w:before="30" w:line="184" w:lineRule="auto"/>
              <w:ind w:left="116" w:right="19" w:hanging="19"/>
            </w:pPr>
            <w:r>
              <w:rPr>
                <w:spacing w:val="10"/>
              </w:rPr>
              <w:t>【部门规章】《烟花爆竹</w:t>
            </w:r>
            <w:r>
              <w:rPr>
                <w:spacing w:val="8"/>
              </w:rPr>
              <w:t>生产经营安全规定》第三</w:t>
            </w:r>
            <w:r>
              <w:rPr>
                <w:spacing w:val="-4"/>
              </w:rPr>
              <w:t>十四条第一项：生产企业、</w:t>
            </w:r>
            <w:r>
              <w:rPr>
                <w:spacing w:val="6"/>
              </w:rPr>
              <w:t>批发企业有下列行为之一</w:t>
            </w:r>
            <w:r>
              <w:rPr>
                <w:spacing w:val="8"/>
              </w:rPr>
              <w:t>的，责令限期改正，可以</w:t>
            </w:r>
            <w:r>
              <w:rPr>
                <w:spacing w:val="2"/>
              </w:rPr>
              <w:t>处五万元以下的罚款；逾</w:t>
            </w:r>
            <w:r>
              <w:rPr>
                <w:spacing w:val="8"/>
              </w:rPr>
              <w:t>期未改正的，处五万元以</w:t>
            </w:r>
            <w:r>
              <w:rPr>
                <w:spacing w:val="7"/>
              </w:rPr>
              <w:t>上二十万元以下的罚款，</w:t>
            </w:r>
            <w:r>
              <w:rPr>
                <w:spacing w:val="8"/>
              </w:rPr>
              <w:t>对其直接负责的主管人员</w:t>
            </w:r>
            <w:r>
              <w:rPr>
                <w:spacing w:val="6"/>
              </w:rPr>
              <w:t>和其他直接责任人员处一</w:t>
            </w:r>
            <w:r>
              <w:rPr>
                <w:spacing w:val="8"/>
              </w:rPr>
              <w:t>万元以上二万元以下的罚款；情节严重的，责令停</w:t>
            </w:r>
            <w:r>
              <w:rPr>
                <w:spacing w:val="-2"/>
              </w:rPr>
              <w:t>产停业整顿：（一）防范</w:t>
            </w:r>
            <w:r>
              <w:rPr>
                <w:spacing w:val="8"/>
              </w:rPr>
              <w:t>静电危害的措施不符合相关国家标准或者行业标准</w:t>
            </w:r>
            <w:r>
              <w:rPr>
                <w:spacing w:val="-4"/>
              </w:rPr>
              <w:t>规定的；</w:t>
            </w:r>
          </w:p>
        </w:tc>
        <w:tc>
          <w:tcPr>
            <w:tcW w:w="803" w:type="dxa"/>
            <w:vAlign w:val="top"/>
          </w:tcPr>
          <w:p w14:paraId="54F68F53">
            <w:pPr>
              <w:spacing w:line="274" w:lineRule="auto"/>
              <w:rPr>
                <w:rFonts w:ascii="Arial"/>
                <w:sz w:val="21"/>
              </w:rPr>
            </w:pPr>
          </w:p>
          <w:p w14:paraId="0E052853">
            <w:pPr>
              <w:spacing w:line="274" w:lineRule="auto"/>
              <w:rPr>
                <w:rFonts w:ascii="Arial"/>
                <w:sz w:val="21"/>
              </w:rPr>
            </w:pPr>
          </w:p>
          <w:p w14:paraId="76D68A6F">
            <w:pPr>
              <w:spacing w:line="274" w:lineRule="auto"/>
              <w:rPr>
                <w:rFonts w:ascii="Arial"/>
                <w:sz w:val="21"/>
              </w:rPr>
            </w:pPr>
          </w:p>
          <w:p w14:paraId="54E293E1">
            <w:pPr>
              <w:spacing w:line="274" w:lineRule="auto"/>
              <w:rPr>
                <w:rFonts w:ascii="Arial"/>
                <w:sz w:val="21"/>
              </w:rPr>
            </w:pPr>
          </w:p>
          <w:p w14:paraId="528D9FE6">
            <w:pPr>
              <w:spacing w:line="274" w:lineRule="auto"/>
              <w:rPr>
                <w:rFonts w:ascii="Arial"/>
                <w:sz w:val="21"/>
              </w:rPr>
            </w:pPr>
          </w:p>
          <w:p w14:paraId="740C9AE9">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BC2466A">
            <w:pPr>
              <w:spacing w:line="285" w:lineRule="auto"/>
              <w:rPr>
                <w:rFonts w:ascii="Arial"/>
                <w:sz w:val="21"/>
              </w:rPr>
            </w:pPr>
          </w:p>
          <w:p w14:paraId="7F4F8757">
            <w:pPr>
              <w:spacing w:line="286" w:lineRule="auto"/>
              <w:rPr>
                <w:rFonts w:ascii="Arial"/>
                <w:sz w:val="21"/>
              </w:rPr>
            </w:pPr>
          </w:p>
          <w:p w14:paraId="0A2DAA01">
            <w:pPr>
              <w:spacing w:line="286" w:lineRule="auto"/>
              <w:rPr>
                <w:rFonts w:ascii="Arial"/>
                <w:sz w:val="21"/>
              </w:rPr>
            </w:pPr>
          </w:p>
          <w:p w14:paraId="34293F4D">
            <w:pPr>
              <w:pStyle w:val="6"/>
              <w:spacing w:before="99" w:line="189" w:lineRule="auto"/>
              <w:ind w:left="122" w:right="107"/>
              <w:jc w:val="both"/>
            </w:pPr>
            <w:r>
              <w:rPr>
                <w:spacing w:val="14"/>
              </w:rPr>
              <w:t>有</w:t>
            </w:r>
            <w:r>
              <w:rPr>
                <w:rFonts w:ascii="宋体" w:hAnsi="宋体" w:eastAsia="宋体" w:cs="宋体"/>
                <w:spacing w:val="14"/>
              </w:rPr>
              <w:t>1</w:t>
            </w:r>
            <w:r>
              <w:rPr>
                <w:spacing w:val="14"/>
              </w:rPr>
              <w:t>项防范静电危</w:t>
            </w:r>
            <w:r>
              <w:rPr>
                <w:spacing w:val="25"/>
              </w:rPr>
              <w:t>害的措施不符合相关国家标准或者行</w:t>
            </w:r>
            <w:r>
              <w:rPr>
                <w:spacing w:val="6"/>
              </w:rPr>
              <w:t>业标准规定的</w:t>
            </w:r>
          </w:p>
        </w:tc>
        <w:tc>
          <w:tcPr>
            <w:tcW w:w="2894" w:type="dxa"/>
            <w:vAlign w:val="top"/>
          </w:tcPr>
          <w:p w14:paraId="0AD7916D">
            <w:pPr>
              <w:pStyle w:val="6"/>
              <w:spacing w:before="219" w:line="185" w:lineRule="auto"/>
              <w:ind w:left="120" w:right="104" w:firstLine="7"/>
              <w:jc w:val="both"/>
            </w:pPr>
            <w:r>
              <w:rPr>
                <w:spacing w:val="10"/>
              </w:rPr>
              <w:t>责令限期改正，可以处</w:t>
            </w:r>
            <w:r>
              <w:rPr>
                <w:rFonts w:ascii="宋体" w:hAnsi="宋体" w:eastAsia="宋体" w:cs="宋体"/>
                <w:spacing w:val="10"/>
              </w:rPr>
              <w:t>2</w:t>
            </w:r>
            <w:r>
              <w:rPr>
                <w:spacing w:val="9"/>
              </w:rPr>
              <w:t>万元以下的罚款；逾期未</w:t>
            </w:r>
            <w:r>
              <w:t>改正的，处</w:t>
            </w:r>
            <w:r>
              <w:rPr>
                <w:rFonts w:ascii="宋体" w:hAnsi="宋体" w:eastAsia="宋体" w:cs="宋体"/>
              </w:rPr>
              <w:t>5</w:t>
            </w:r>
            <w:r>
              <w:t>万元以上</w:t>
            </w:r>
            <w:r>
              <w:rPr>
                <w:rFonts w:ascii="宋体" w:hAnsi="宋体" w:eastAsia="宋体" w:cs="宋体"/>
              </w:rPr>
              <w:t>10</w:t>
            </w:r>
            <w:r>
              <w:rPr>
                <w:spacing w:val="8"/>
              </w:rPr>
              <w:t>万元以下的罚款，对其直</w:t>
            </w:r>
            <w:r>
              <w:rPr>
                <w:spacing w:val="11"/>
              </w:rPr>
              <w:t>接负责的主管人员和其他</w:t>
            </w:r>
            <w:r>
              <w:rPr>
                <w:spacing w:val="5"/>
              </w:rPr>
              <w:t>直接责任人员处</w:t>
            </w:r>
            <w:r>
              <w:rPr>
                <w:rFonts w:ascii="宋体" w:hAnsi="宋体" w:eastAsia="宋体" w:cs="宋体"/>
                <w:spacing w:val="5"/>
              </w:rPr>
              <w:t>1</w:t>
            </w:r>
            <w:r>
              <w:rPr>
                <w:spacing w:val="5"/>
              </w:rPr>
              <w:t>万元以</w:t>
            </w:r>
            <w:r>
              <w:rPr>
                <w:spacing w:val="3"/>
              </w:rPr>
              <w:t>上</w:t>
            </w:r>
            <w:r>
              <w:rPr>
                <w:rFonts w:ascii="宋体" w:hAnsi="宋体" w:eastAsia="宋体" w:cs="宋体"/>
                <w:spacing w:val="3"/>
              </w:rPr>
              <w:t>2</w:t>
            </w:r>
            <w:r>
              <w:rPr>
                <w:spacing w:val="3"/>
              </w:rPr>
              <w:t>万元以下的罚款；情</w:t>
            </w:r>
            <w:r>
              <w:rPr>
                <w:spacing w:val="8"/>
              </w:rPr>
              <w:t>节严重的，责令停产停业</w:t>
            </w:r>
            <w:r>
              <w:rPr>
                <w:spacing w:val="2"/>
              </w:rPr>
              <w:t>整顿</w:t>
            </w:r>
          </w:p>
        </w:tc>
        <w:tc>
          <w:tcPr>
            <w:tcW w:w="811" w:type="dxa"/>
            <w:vMerge w:val="restart"/>
            <w:tcBorders>
              <w:bottom w:val="nil"/>
            </w:tcBorders>
            <w:vAlign w:val="top"/>
          </w:tcPr>
          <w:p w14:paraId="533571F0">
            <w:pPr>
              <w:spacing w:line="241" w:lineRule="auto"/>
              <w:rPr>
                <w:rFonts w:ascii="Arial"/>
                <w:sz w:val="21"/>
              </w:rPr>
            </w:pPr>
          </w:p>
          <w:p w14:paraId="2E12A875">
            <w:pPr>
              <w:spacing w:line="241" w:lineRule="auto"/>
              <w:rPr>
                <w:rFonts w:ascii="Arial"/>
                <w:sz w:val="21"/>
              </w:rPr>
            </w:pPr>
          </w:p>
          <w:p w14:paraId="4EBF132D">
            <w:pPr>
              <w:spacing w:line="241" w:lineRule="auto"/>
              <w:rPr>
                <w:rFonts w:ascii="Arial"/>
                <w:sz w:val="21"/>
              </w:rPr>
            </w:pPr>
          </w:p>
          <w:p w14:paraId="0593E2DA">
            <w:pPr>
              <w:spacing w:line="241" w:lineRule="auto"/>
              <w:rPr>
                <w:rFonts w:ascii="Arial"/>
                <w:sz w:val="21"/>
              </w:rPr>
            </w:pPr>
          </w:p>
          <w:p w14:paraId="787DE7B3">
            <w:pPr>
              <w:spacing w:line="241" w:lineRule="auto"/>
              <w:rPr>
                <w:rFonts w:ascii="Arial"/>
                <w:sz w:val="21"/>
              </w:rPr>
            </w:pPr>
          </w:p>
          <w:p w14:paraId="65E40A57">
            <w:pPr>
              <w:spacing w:line="241" w:lineRule="auto"/>
              <w:rPr>
                <w:rFonts w:ascii="Arial"/>
                <w:sz w:val="21"/>
              </w:rPr>
            </w:pPr>
          </w:p>
          <w:p w14:paraId="48C90A81">
            <w:pPr>
              <w:spacing w:line="241" w:lineRule="auto"/>
              <w:rPr>
                <w:rFonts w:ascii="Arial"/>
                <w:sz w:val="21"/>
              </w:rPr>
            </w:pPr>
          </w:p>
          <w:p w14:paraId="33F648E8">
            <w:pPr>
              <w:spacing w:line="241" w:lineRule="auto"/>
              <w:rPr>
                <w:rFonts w:ascii="Arial"/>
                <w:sz w:val="21"/>
              </w:rPr>
            </w:pPr>
          </w:p>
          <w:p w14:paraId="7EF8A52D">
            <w:pPr>
              <w:spacing w:line="241" w:lineRule="auto"/>
              <w:rPr>
                <w:rFonts w:ascii="Arial"/>
                <w:sz w:val="21"/>
              </w:rPr>
            </w:pPr>
          </w:p>
          <w:p w14:paraId="6EC6D337">
            <w:pPr>
              <w:spacing w:line="241" w:lineRule="auto"/>
              <w:rPr>
                <w:rFonts w:ascii="Arial"/>
                <w:sz w:val="21"/>
              </w:rPr>
            </w:pPr>
          </w:p>
          <w:p w14:paraId="5D962277">
            <w:pPr>
              <w:spacing w:line="241" w:lineRule="auto"/>
              <w:rPr>
                <w:rFonts w:ascii="Arial"/>
                <w:sz w:val="21"/>
              </w:rPr>
            </w:pPr>
          </w:p>
          <w:p w14:paraId="41916B2B">
            <w:pPr>
              <w:spacing w:line="241" w:lineRule="auto"/>
              <w:rPr>
                <w:rFonts w:ascii="Arial"/>
                <w:sz w:val="21"/>
              </w:rPr>
            </w:pPr>
          </w:p>
          <w:p w14:paraId="59E63701">
            <w:pPr>
              <w:spacing w:line="241" w:lineRule="auto"/>
              <w:rPr>
                <w:rFonts w:ascii="Arial"/>
                <w:sz w:val="21"/>
              </w:rPr>
            </w:pPr>
          </w:p>
          <w:p w14:paraId="33138818">
            <w:pPr>
              <w:spacing w:line="241" w:lineRule="auto"/>
              <w:rPr>
                <w:rFonts w:ascii="Arial"/>
                <w:sz w:val="21"/>
              </w:rPr>
            </w:pPr>
          </w:p>
          <w:p w14:paraId="70625A71">
            <w:pPr>
              <w:spacing w:line="241" w:lineRule="auto"/>
              <w:rPr>
                <w:rFonts w:ascii="Arial"/>
                <w:sz w:val="21"/>
              </w:rPr>
            </w:pPr>
          </w:p>
          <w:p w14:paraId="5E38D62B">
            <w:pPr>
              <w:spacing w:line="242" w:lineRule="auto"/>
              <w:rPr>
                <w:rFonts w:ascii="Arial"/>
                <w:sz w:val="21"/>
              </w:rPr>
            </w:pPr>
          </w:p>
          <w:p w14:paraId="2C661206">
            <w:pPr>
              <w:spacing w:line="242" w:lineRule="auto"/>
              <w:rPr>
                <w:rFonts w:ascii="Arial"/>
                <w:sz w:val="21"/>
              </w:rPr>
            </w:pPr>
          </w:p>
          <w:p w14:paraId="2C1E3D96">
            <w:pPr>
              <w:spacing w:line="242" w:lineRule="auto"/>
              <w:rPr>
                <w:rFonts w:ascii="Arial"/>
                <w:sz w:val="21"/>
              </w:rPr>
            </w:pPr>
          </w:p>
          <w:p w14:paraId="2C54A77D">
            <w:pPr>
              <w:spacing w:before="75" w:line="189" w:lineRule="auto"/>
              <w:ind w:left="248"/>
              <w:rPr>
                <w:rFonts w:ascii="宋体" w:hAnsi="宋体" w:eastAsia="宋体" w:cs="宋体"/>
                <w:sz w:val="23"/>
                <w:szCs w:val="23"/>
              </w:rPr>
            </w:pPr>
            <w:r>
              <w:rPr>
                <w:rFonts w:ascii="宋体" w:hAnsi="宋体" w:eastAsia="宋体" w:cs="宋体"/>
                <w:spacing w:val="-6"/>
                <w:sz w:val="23"/>
                <w:szCs w:val="23"/>
              </w:rPr>
              <w:t>159</w:t>
            </w:r>
          </w:p>
        </w:tc>
      </w:tr>
      <w:tr w14:paraId="07B73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8" w:hRule="atLeast"/>
        </w:trPr>
        <w:tc>
          <w:tcPr>
            <w:tcW w:w="818" w:type="dxa"/>
            <w:vMerge w:val="continue"/>
            <w:tcBorders>
              <w:top w:val="nil"/>
              <w:bottom w:val="nil"/>
            </w:tcBorders>
            <w:vAlign w:val="top"/>
          </w:tcPr>
          <w:p w14:paraId="3231BB8F">
            <w:pPr>
              <w:rPr>
                <w:rFonts w:ascii="Arial"/>
                <w:sz w:val="21"/>
              </w:rPr>
            </w:pPr>
          </w:p>
        </w:tc>
        <w:tc>
          <w:tcPr>
            <w:tcW w:w="1440" w:type="dxa"/>
            <w:vMerge w:val="continue"/>
            <w:tcBorders>
              <w:top w:val="nil"/>
              <w:bottom w:val="nil"/>
            </w:tcBorders>
            <w:vAlign w:val="top"/>
          </w:tcPr>
          <w:p w14:paraId="5B051273">
            <w:pPr>
              <w:rPr>
                <w:rFonts w:ascii="Arial"/>
                <w:sz w:val="21"/>
              </w:rPr>
            </w:pPr>
          </w:p>
        </w:tc>
        <w:tc>
          <w:tcPr>
            <w:tcW w:w="3202" w:type="dxa"/>
            <w:vMerge w:val="continue"/>
            <w:tcBorders>
              <w:top w:val="nil"/>
              <w:bottom w:val="nil"/>
            </w:tcBorders>
            <w:vAlign w:val="top"/>
          </w:tcPr>
          <w:p w14:paraId="2CAB8544">
            <w:pPr>
              <w:rPr>
                <w:rFonts w:ascii="Arial"/>
                <w:sz w:val="21"/>
              </w:rPr>
            </w:pPr>
          </w:p>
        </w:tc>
        <w:tc>
          <w:tcPr>
            <w:tcW w:w="2859" w:type="dxa"/>
            <w:vMerge w:val="continue"/>
            <w:tcBorders>
              <w:top w:val="nil"/>
              <w:bottom w:val="nil"/>
            </w:tcBorders>
            <w:vAlign w:val="top"/>
          </w:tcPr>
          <w:p w14:paraId="71429AD4">
            <w:pPr>
              <w:rPr>
                <w:rFonts w:ascii="Arial"/>
                <w:sz w:val="21"/>
              </w:rPr>
            </w:pPr>
          </w:p>
        </w:tc>
        <w:tc>
          <w:tcPr>
            <w:tcW w:w="803" w:type="dxa"/>
            <w:vAlign w:val="top"/>
          </w:tcPr>
          <w:p w14:paraId="6BCC72D9">
            <w:pPr>
              <w:spacing w:line="244" w:lineRule="auto"/>
              <w:rPr>
                <w:rFonts w:ascii="Arial"/>
                <w:sz w:val="21"/>
              </w:rPr>
            </w:pPr>
          </w:p>
          <w:p w14:paraId="110A247E">
            <w:pPr>
              <w:spacing w:line="245" w:lineRule="auto"/>
              <w:rPr>
                <w:rFonts w:ascii="Arial"/>
                <w:sz w:val="21"/>
              </w:rPr>
            </w:pPr>
          </w:p>
          <w:p w14:paraId="57FAD186">
            <w:pPr>
              <w:spacing w:line="245" w:lineRule="auto"/>
              <w:rPr>
                <w:rFonts w:ascii="Arial"/>
                <w:sz w:val="21"/>
              </w:rPr>
            </w:pPr>
          </w:p>
          <w:p w14:paraId="03E52503">
            <w:pPr>
              <w:spacing w:line="245" w:lineRule="auto"/>
              <w:rPr>
                <w:rFonts w:ascii="Arial"/>
                <w:sz w:val="21"/>
              </w:rPr>
            </w:pPr>
          </w:p>
          <w:p w14:paraId="1039AB00">
            <w:pPr>
              <w:spacing w:line="245" w:lineRule="auto"/>
              <w:rPr>
                <w:rFonts w:ascii="Arial"/>
                <w:sz w:val="21"/>
              </w:rPr>
            </w:pPr>
          </w:p>
          <w:p w14:paraId="75D1A4D8">
            <w:pPr>
              <w:spacing w:line="245" w:lineRule="auto"/>
              <w:rPr>
                <w:rFonts w:ascii="Arial"/>
                <w:sz w:val="21"/>
              </w:rPr>
            </w:pPr>
          </w:p>
          <w:p w14:paraId="37779C8B">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262A636">
            <w:pPr>
              <w:spacing w:line="317" w:lineRule="auto"/>
              <w:rPr>
                <w:rFonts w:ascii="Arial"/>
                <w:sz w:val="21"/>
              </w:rPr>
            </w:pPr>
          </w:p>
          <w:p w14:paraId="759362F9">
            <w:pPr>
              <w:spacing w:line="317" w:lineRule="auto"/>
              <w:rPr>
                <w:rFonts w:ascii="Arial"/>
                <w:sz w:val="21"/>
              </w:rPr>
            </w:pPr>
          </w:p>
          <w:p w14:paraId="173A4767">
            <w:pPr>
              <w:spacing w:line="318" w:lineRule="auto"/>
              <w:rPr>
                <w:rFonts w:ascii="Arial"/>
                <w:sz w:val="21"/>
              </w:rPr>
            </w:pPr>
          </w:p>
          <w:p w14:paraId="0189EACF">
            <w:pPr>
              <w:pStyle w:val="6"/>
              <w:spacing w:before="99" w:line="189" w:lineRule="auto"/>
              <w:ind w:left="122" w:right="107"/>
              <w:jc w:val="both"/>
            </w:pPr>
            <w:r>
              <w:rPr>
                <w:spacing w:val="16"/>
              </w:rPr>
              <w:t>有</w:t>
            </w:r>
            <w:r>
              <w:rPr>
                <w:rFonts w:ascii="宋体" w:hAnsi="宋体" w:eastAsia="宋体" w:cs="宋体"/>
                <w:spacing w:val="16"/>
              </w:rPr>
              <w:t>2</w:t>
            </w:r>
            <w:r>
              <w:rPr>
                <w:spacing w:val="16"/>
              </w:rPr>
              <w:t>项防范静电危</w:t>
            </w:r>
            <w:r>
              <w:rPr>
                <w:spacing w:val="25"/>
              </w:rPr>
              <w:t>害的措施不符合相关国家标准或者行</w:t>
            </w:r>
            <w:r>
              <w:rPr>
                <w:spacing w:val="6"/>
              </w:rPr>
              <w:t>业标准规定的</w:t>
            </w:r>
          </w:p>
        </w:tc>
        <w:tc>
          <w:tcPr>
            <w:tcW w:w="2894" w:type="dxa"/>
            <w:vAlign w:val="top"/>
          </w:tcPr>
          <w:p w14:paraId="1410E74C">
            <w:pPr>
              <w:pStyle w:val="6"/>
              <w:spacing w:before="312" w:line="185" w:lineRule="auto"/>
              <w:ind w:left="122" w:right="104" w:firstLine="4"/>
            </w:pPr>
            <w:r>
              <w:rPr>
                <w:spacing w:val="10"/>
              </w:rPr>
              <w:t>责令限期改正，可以处</w:t>
            </w:r>
            <w:r>
              <w:rPr>
                <w:rFonts w:ascii="宋体" w:hAnsi="宋体" w:eastAsia="宋体" w:cs="宋体"/>
                <w:spacing w:val="10"/>
              </w:rPr>
              <w:t>2</w:t>
            </w:r>
            <w:r>
              <w:rPr>
                <w:spacing w:val="7"/>
              </w:rPr>
              <w:t>万元以上</w:t>
            </w:r>
            <w:r>
              <w:rPr>
                <w:rFonts w:ascii="宋体" w:hAnsi="宋体" w:eastAsia="宋体" w:cs="宋体"/>
                <w:spacing w:val="7"/>
              </w:rPr>
              <w:t>4</w:t>
            </w:r>
            <w:r>
              <w:rPr>
                <w:spacing w:val="7"/>
              </w:rPr>
              <w:t>万元以下的罚</w:t>
            </w:r>
            <w:r>
              <w:rPr>
                <w:spacing w:val="-3"/>
              </w:rPr>
              <w:t>款；逾期未改正的，处</w:t>
            </w:r>
            <w:r>
              <w:rPr>
                <w:rFonts w:ascii="宋体" w:hAnsi="宋体" w:eastAsia="宋体" w:cs="宋体"/>
                <w:spacing w:val="-3"/>
              </w:rPr>
              <w:t>10</w:t>
            </w:r>
            <w:r>
              <w:rPr>
                <w:spacing w:val="11"/>
              </w:rPr>
              <w:t>万元以上</w:t>
            </w:r>
            <w:r>
              <w:rPr>
                <w:rFonts w:ascii="宋体" w:hAnsi="宋体" w:eastAsia="宋体" w:cs="宋体"/>
                <w:spacing w:val="11"/>
              </w:rPr>
              <w:t>15</w:t>
            </w:r>
            <w:r>
              <w:rPr>
                <w:spacing w:val="11"/>
              </w:rPr>
              <w:t>万元以下的</w:t>
            </w:r>
            <w:r>
              <w:rPr>
                <w:spacing w:val="8"/>
              </w:rPr>
              <w:t>罚款，对其直接负责的主</w:t>
            </w:r>
            <w:r>
              <w:rPr>
                <w:spacing w:val="11"/>
              </w:rPr>
              <w:t>管人员和其他直接责任人</w:t>
            </w:r>
            <w:r>
              <w:rPr>
                <w:spacing w:val="1"/>
              </w:rPr>
              <w:t>员处</w:t>
            </w:r>
            <w:r>
              <w:rPr>
                <w:rFonts w:ascii="宋体" w:hAnsi="宋体" w:eastAsia="宋体" w:cs="宋体"/>
                <w:spacing w:val="1"/>
              </w:rPr>
              <w:t>1</w:t>
            </w:r>
            <w:r>
              <w:rPr>
                <w:spacing w:val="1"/>
              </w:rPr>
              <w:t>万元以上</w:t>
            </w:r>
            <w:r>
              <w:rPr>
                <w:rFonts w:ascii="宋体" w:hAnsi="宋体" w:eastAsia="宋体" w:cs="宋体"/>
                <w:spacing w:val="1"/>
              </w:rPr>
              <w:t>2</w:t>
            </w:r>
            <w:r>
              <w:rPr>
                <w:spacing w:val="1"/>
              </w:rPr>
              <w:t>万元以</w:t>
            </w:r>
            <w:r>
              <w:rPr>
                <w:spacing w:val="6"/>
              </w:rPr>
              <w:t>下的罚款；情节严重的，</w:t>
            </w:r>
            <w:r>
              <w:rPr>
                <w:spacing w:val="7"/>
              </w:rPr>
              <w:t>责令停产停业整顿</w:t>
            </w:r>
          </w:p>
        </w:tc>
        <w:tc>
          <w:tcPr>
            <w:tcW w:w="811" w:type="dxa"/>
            <w:vMerge w:val="continue"/>
            <w:tcBorders>
              <w:top w:val="nil"/>
              <w:bottom w:val="nil"/>
            </w:tcBorders>
            <w:vAlign w:val="top"/>
          </w:tcPr>
          <w:p w14:paraId="50D790BE">
            <w:pPr>
              <w:rPr>
                <w:rFonts w:ascii="Arial"/>
                <w:sz w:val="21"/>
              </w:rPr>
            </w:pPr>
          </w:p>
        </w:tc>
      </w:tr>
      <w:tr w14:paraId="33A47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7" w:hRule="atLeast"/>
        </w:trPr>
        <w:tc>
          <w:tcPr>
            <w:tcW w:w="818" w:type="dxa"/>
            <w:vMerge w:val="continue"/>
            <w:tcBorders>
              <w:top w:val="nil"/>
            </w:tcBorders>
            <w:vAlign w:val="top"/>
          </w:tcPr>
          <w:p w14:paraId="0EBE6274">
            <w:pPr>
              <w:rPr>
                <w:rFonts w:ascii="Arial"/>
                <w:sz w:val="21"/>
              </w:rPr>
            </w:pPr>
          </w:p>
        </w:tc>
        <w:tc>
          <w:tcPr>
            <w:tcW w:w="1440" w:type="dxa"/>
            <w:vMerge w:val="continue"/>
            <w:tcBorders>
              <w:top w:val="nil"/>
            </w:tcBorders>
            <w:vAlign w:val="top"/>
          </w:tcPr>
          <w:p w14:paraId="7D38E02C">
            <w:pPr>
              <w:rPr>
                <w:rFonts w:ascii="Arial"/>
                <w:sz w:val="21"/>
              </w:rPr>
            </w:pPr>
          </w:p>
        </w:tc>
        <w:tc>
          <w:tcPr>
            <w:tcW w:w="3202" w:type="dxa"/>
            <w:vMerge w:val="continue"/>
            <w:tcBorders>
              <w:top w:val="nil"/>
            </w:tcBorders>
            <w:vAlign w:val="top"/>
          </w:tcPr>
          <w:p w14:paraId="61C72E90">
            <w:pPr>
              <w:rPr>
                <w:rFonts w:ascii="Arial"/>
                <w:sz w:val="21"/>
              </w:rPr>
            </w:pPr>
          </w:p>
        </w:tc>
        <w:tc>
          <w:tcPr>
            <w:tcW w:w="2859" w:type="dxa"/>
            <w:vMerge w:val="continue"/>
            <w:tcBorders>
              <w:top w:val="nil"/>
            </w:tcBorders>
            <w:vAlign w:val="top"/>
          </w:tcPr>
          <w:p w14:paraId="61FAE798">
            <w:pPr>
              <w:rPr>
                <w:rFonts w:ascii="Arial"/>
                <w:sz w:val="21"/>
              </w:rPr>
            </w:pPr>
          </w:p>
        </w:tc>
        <w:tc>
          <w:tcPr>
            <w:tcW w:w="803" w:type="dxa"/>
            <w:vAlign w:val="top"/>
          </w:tcPr>
          <w:p w14:paraId="252CB688">
            <w:pPr>
              <w:spacing w:line="298" w:lineRule="auto"/>
              <w:rPr>
                <w:rFonts w:ascii="Arial"/>
                <w:sz w:val="21"/>
              </w:rPr>
            </w:pPr>
          </w:p>
          <w:p w14:paraId="198CC03A">
            <w:pPr>
              <w:spacing w:line="298" w:lineRule="auto"/>
              <w:rPr>
                <w:rFonts w:ascii="Arial"/>
                <w:sz w:val="21"/>
              </w:rPr>
            </w:pPr>
          </w:p>
          <w:p w14:paraId="4917ADF9">
            <w:pPr>
              <w:spacing w:line="299" w:lineRule="auto"/>
              <w:rPr>
                <w:rFonts w:ascii="Arial"/>
                <w:sz w:val="21"/>
              </w:rPr>
            </w:pPr>
          </w:p>
          <w:p w14:paraId="6E1ADA77">
            <w:pPr>
              <w:spacing w:line="299" w:lineRule="auto"/>
              <w:rPr>
                <w:rFonts w:ascii="Arial"/>
                <w:sz w:val="21"/>
              </w:rPr>
            </w:pPr>
          </w:p>
          <w:p w14:paraId="5BE0CE0F">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B08DCCA">
            <w:pPr>
              <w:spacing w:line="339" w:lineRule="auto"/>
              <w:rPr>
                <w:rFonts w:ascii="Arial"/>
                <w:sz w:val="21"/>
              </w:rPr>
            </w:pPr>
          </w:p>
          <w:p w14:paraId="0E8B5C4C">
            <w:pPr>
              <w:spacing w:line="340" w:lineRule="auto"/>
              <w:rPr>
                <w:rFonts w:ascii="Arial"/>
                <w:sz w:val="21"/>
              </w:rPr>
            </w:pPr>
          </w:p>
          <w:p w14:paraId="0C1CDCDB">
            <w:pPr>
              <w:pStyle w:val="6"/>
              <w:spacing w:before="99" w:line="189" w:lineRule="auto"/>
              <w:ind w:left="118" w:right="108" w:firstLine="4"/>
              <w:jc w:val="both"/>
            </w:pPr>
            <w:r>
              <w:rPr>
                <w:spacing w:val="16"/>
              </w:rPr>
              <w:t>有</w:t>
            </w:r>
            <w:r>
              <w:rPr>
                <w:rFonts w:ascii="宋体" w:hAnsi="宋体" w:eastAsia="宋体" w:cs="宋体"/>
                <w:spacing w:val="16"/>
              </w:rPr>
              <w:t>3</w:t>
            </w:r>
            <w:r>
              <w:rPr>
                <w:spacing w:val="16"/>
              </w:rPr>
              <w:t>项以上防范静</w:t>
            </w:r>
            <w:r>
              <w:rPr>
                <w:spacing w:val="26"/>
              </w:rPr>
              <w:t>电危害的措施不符合相关国家标准或</w:t>
            </w:r>
            <w:r>
              <w:rPr>
                <w:spacing w:val="7"/>
              </w:rPr>
              <w:t>者行业标准规定的</w:t>
            </w:r>
          </w:p>
        </w:tc>
        <w:tc>
          <w:tcPr>
            <w:tcW w:w="2894" w:type="dxa"/>
            <w:vAlign w:val="top"/>
          </w:tcPr>
          <w:p w14:paraId="31C09198">
            <w:pPr>
              <w:pStyle w:val="6"/>
              <w:spacing w:before="33" w:line="180" w:lineRule="auto"/>
              <w:ind w:left="122" w:right="104" w:firstLine="4"/>
            </w:pPr>
            <w:r>
              <w:rPr>
                <w:spacing w:val="10"/>
              </w:rPr>
              <w:t>责令限期改正，可以处</w:t>
            </w:r>
            <w:r>
              <w:rPr>
                <w:rFonts w:ascii="宋体" w:hAnsi="宋体" w:eastAsia="宋体" w:cs="宋体"/>
                <w:spacing w:val="10"/>
              </w:rPr>
              <w:t>4</w:t>
            </w:r>
            <w:r>
              <w:rPr>
                <w:spacing w:val="7"/>
              </w:rPr>
              <w:t>万元以上</w:t>
            </w:r>
            <w:r>
              <w:rPr>
                <w:rFonts w:ascii="宋体" w:hAnsi="宋体" w:eastAsia="宋体" w:cs="宋体"/>
                <w:spacing w:val="7"/>
              </w:rPr>
              <w:t>5</w:t>
            </w:r>
            <w:r>
              <w:rPr>
                <w:spacing w:val="7"/>
              </w:rPr>
              <w:t>万元以下的罚</w:t>
            </w:r>
            <w:r>
              <w:rPr>
                <w:spacing w:val="-3"/>
              </w:rPr>
              <w:t>款；逾期未改正的，处</w:t>
            </w:r>
            <w:r>
              <w:rPr>
                <w:rFonts w:ascii="宋体" w:hAnsi="宋体" w:eastAsia="宋体" w:cs="宋体"/>
                <w:spacing w:val="-3"/>
              </w:rPr>
              <w:t>15</w:t>
            </w:r>
            <w:r>
              <w:rPr>
                <w:spacing w:val="13"/>
              </w:rPr>
              <w:t>万元以上</w:t>
            </w:r>
            <w:r>
              <w:rPr>
                <w:rFonts w:ascii="宋体" w:hAnsi="宋体" w:eastAsia="宋体" w:cs="宋体"/>
                <w:spacing w:val="13"/>
              </w:rPr>
              <w:t>20</w:t>
            </w:r>
            <w:r>
              <w:rPr>
                <w:spacing w:val="13"/>
              </w:rPr>
              <w:t>万元以下的</w:t>
            </w:r>
            <w:r>
              <w:rPr>
                <w:spacing w:val="8"/>
              </w:rPr>
              <w:t>罚款，对其直接负责的主</w:t>
            </w:r>
            <w:r>
              <w:rPr>
                <w:spacing w:val="11"/>
              </w:rPr>
              <w:t>管人员和其他直接责任人</w:t>
            </w:r>
            <w:r>
              <w:rPr>
                <w:spacing w:val="1"/>
              </w:rPr>
              <w:t>员处</w:t>
            </w:r>
            <w:r>
              <w:rPr>
                <w:rFonts w:ascii="宋体" w:hAnsi="宋体" w:eastAsia="宋体" w:cs="宋体"/>
                <w:spacing w:val="1"/>
              </w:rPr>
              <w:t>1</w:t>
            </w:r>
            <w:r>
              <w:rPr>
                <w:spacing w:val="1"/>
              </w:rPr>
              <w:t>万元以上</w:t>
            </w:r>
            <w:r>
              <w:rPr>
                <w:rFonts w:ascii="宋体" w:hAnsi="宋体" w:eastAsia="宋体" w:cs="宋体"/>
                <w:spacing w:val="1"/>
              </w:rPr>
              <w:t>2</w:t>
            </w:r>
            <w:r>
              <w:rPr>
                <w:spacing w:val="1"/>
              </w:rPr>
              <w:t>万元以</w:t>
            </w:r>
            <w:r>
              <w:rPr>
                <w:spacing w:val="6"/>
              </w:rPr>
              <w:t>下的罚款；情节严重的，</w:t>
            </w:r>
            <w:r>
              <w:rPr>
                <w:spacing w:val="7"/>
              </w:rPr>
              <w:t>责令停产停业整顿</w:t>
            </w:r>
          </w:p>
        </w:tc>
        <w:tc>
          <w:tcPr>
            <w:tcW w:w="811" w:type="dxa"/>
            <w:vMerge w:val="continue"/>
            <w:tcBorders>
              <w:top w:val="nil"/>
            </w:tcBorders>
            <w:vAlign w:val="top"/>
          </w:tcPr>
          <w:p w14:paraId="0D2B8C0E">
            <w:pPr>
              <w:rPr>
                <w:rFonts w:ascii="Arial"/>
                <w:sz w:val="21"/>
              </w:rPr>
            </w:pPr>
          </w:p>
        </w:tc>
      </w:tr>
    </w:tbl>
    <w:p w14:paraId="694D4378">
      <w:pPr>
        <w:pStyle w:val="2"/>
      </w:pPr>
    </w:p>
    <w:p w14:paraId="28C227E0">
      <w:pPr>
        <w:sectPr>
          <w:footerReference r:id="rId196" w:type="default"/>
          <w:pgSz w:w="16839" w:h="11906"/>
          <w:pgMar w:top="1012" w:right="821" w:bottom="667" w:left="901" w:header="0" w:footer="388" w:gutter="0"/>
          <w:cols w:space="720" w:num="1"/>
        </w:sectPr>
      </w:pPr>
    </w:p>
    <w:p w14:paraId="4AFABE8C">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1AA0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5B21227">
            <w:pPr>
              <w:spacing w:before="222" w:line="241" w:lineRule="auto"/>
              <w:ind w:left="131"/>
              <w:outlineLvl w:val="0"/>
              <w:rPr>
                <w:rFonts w:ascii="黑体" w:hAnsi="黑体" w:eastAsia="黑体" w:cs="黑体"/>
                <w:sz w:val="28"/>
                <w:szCs w:val="28"/>
              </w:rPr>
            </w:pPr>
            <w:bookmarkStart w:id="663" w:name="bookmark372"/>
            <w:bookmarkEnd w:id="663"/>
            <w:r>
              <w:rPr>
                <w:rFonts w:ascii="黑体" w:hAnsi="黑体" w:eastAsia="黑体" w:cs="黑体"/>
                <w:spacing w:val="-2"/>
                <w:sz w:val="28"/>
                <w:szCs w:val="28"/>
              </w:rPr>
              <w:t>序号</w:t>
            </w:r>
          </w:p>
        </w:tc>
        <w:tc>
          <w:tcPr>
            <w:tcW w:w="1440" w:type="dxa"/>
            <w:vAlign w:val="top"/>
          </w:tcPr>
          <w:p w14:paraId="39155EC6">
            <w:pPr>
              <w:spacing w:before="221"/>
              <w:ind w:left="163"/>
              <w:outlineLvl w:val="1"/>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B0060EF">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A35BCA2">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1766E3B">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ECE858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E9D3A28">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433C5F0">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AD7E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Align w:val="top"/>
          </w:tcPr>
          <w:p w14:paraId="3CDE90A7">
            <w:pPr>
              <w:rPr>
                <w:rFonts w:ascii="Arial"/>
                <w:sz w:val="21"/>
              </w:rPr>
            </w:pPr>
          </w:p>
        </w:tc>
        <w:tc>
          <w:tcPr>
            <w:tcW w:w="1440" w:type="dxa"/>
            <w:vAlign w:val="top"/>
          </w:tcPr>
          <w:p w14:paraId="17E716FD">
            <w:pPr>
              <w:rPr>
                <w:rFonts w:ascii="Arial"/>
                <w:sz w:val="21"/>
              </w:rPr>
            </w:pPr>
          </w:p>
        </w:tc>
        <w:tc>
          <w:tcPr>
            <w:tcW w:w="3202" w:type="dxa"/>
            <w:vAlign w:val="top"/>
          </w:tcPr>
          <w:p w14:paraId="4158DB03">
            <w:pPr>
              <w:pStyle w:val="6"/>
              <w:spacing w:before="28" w:line="182" w:lineRule="auto"/>
              <w:ind w:left="122"/>
            </w:pPr>
            <w:r>
              <w:rPr>
                <w:spacing w:val="-8"/>
              </w:rPr>
              <w:t>施。</w:t>
            </w:r>
          </w:p>
          <w:p w14:paraId="72599ECB">
            <w:pPr>
              <w:pStyle w:val="6"/>
              <w:spacing w:line="182" w:lineRule="auto"/>
              <w:ind w:left="116"/>
              <w:outlineLvl w:val="1"/>
            </w:pPr>
            <w:r>
              <w:rPr>
                <w:spacing w:val="17"/>
              </w:rPr>
              <w:t>鼓励生产企业、批发企业制</w:t>
            </w:r>
          </w:p>
          <w:p w14:paraId="7CBE6C8F">
            <w:pPr>
              <w:pStyle w:val="6"/>
              <w:spacing w:line="172" w:lineRule="auto"/>
              <w:ind w:left="127" w:right="111" w:hanging="10"/>
            </w:pPr>
            <w:r>
              <w:rPr>
                <w:spacing w:val="17"/>
              </w:rPr>
              <w:t>定并实施严于国家标准、行</w:t>
            </w:r>
            <w:r>
              <w:rPr>
                <w:spacing w:val="3"/>
              </w:rPr>
              <w:t>业标准的企业标准。</w:t>
            </w:r>
          </w:p>
        </w:tc>
        <w:tc>
          <w:tcPr>
            <w:tcW w:w="2859" w:type="dxa"/>
            <w:vAlign w:val="top"/>
          </w:tcPr>
          <w:p w14:paraId="55B1EEB2">
            <w:pPr>
              <w:rPr>
                <w:rFonts w:ascii="Arial"/>
                <w:sz w:val="21"/>
              </w:rPr>
            </w:pPr>
          </w:p>
        </w:tc>
        <w:tc>
          <w:tcPr>
            <w:tcW w:w="803" w:type="dxa"/>
            <w:vAlign w:val="top"/>
          </w:tcPr>
          <w:p w14:paraId="5EA636D1">
            <w:pPr>
              <w:rPr>
                <w:rFonts w:ascii="Arial"/>
                <w:sz w:val="21"/>
              </w:rPr>
            </w:pPr>
          </w:p>
        </w:tc>
        <w:tc>
          <w:tcPr>
            <w:tcW w:w="2283" w:type="dxa"/>
            <w:vAlign w:val="top"/>
          </w:tcPr>
          <w:p w14:paraId="723DCE71">
            <w:pPr>
              <w:rPr>
                <w:rFonts w:ascii="Arial"/>
                <w:sz w:val="21"/>
              </w:rPr>
            </w:pPr>
          </w:p>
        </w:tc>
        <w:tc>
          <w:tcPr>
            <w:tcW w:w="2894" w:type="dxa"/>
            <w:vAlign w:val="top"/>
          </w:tcPr>
          <w:p w14:paraId="02616B5E">
            <w:pPr>
              <w:rPr>
                <w:rFonts w:ascii="Arial"/>
                <w:sz w:val="21"/>
              </w:rPr>
            </w:pPr>
          </w:p>
        </w:tc>
        <w:tc>
          <w:tcPr>
            <w:tcW w:w="811" w:type="dxa"/>
            <w:vAlign w:val="top"/>
          </w:tcPr>
          <w:p w14:paraId="28278653">
            <w:pPr>
              <w:rPr>
                <w:rFonts w:ascii="Arial"/>
                <w:sz w:val="21"/>
              </w:rPr>
            </w:pPr>
          </w:p>
        </w:tc>
      </w:tr>
      <w:tr w14:paraId="522CD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trPr>
        <w:tc>
          <w:tcPr>
            <w:tcW w:w="818" w:type="dxa"/>
            <w:vMerge w:val="restart"/>
            <w:tcBorders>
              <w:bottom w:val="nil"/>
            </w:tcBorders>
            <w:vAlign w:val="top"/>
          </w:tcPr>
          <w:p w14:paraId="2797ACF1">
            <w:pPr>
              <w:spacing w:line="249" w:lineRule="auto"/>
              <w:rPr>
                <w:rFonts w:ascii="Arial"/>
                <w:sz w:val="21"/>
              </w:rPr>
            </w:pPr>
          </w:p>
          <w:p w14:paraId="338E34E9">
            <w:pPr>
              <w:spacing w:line="249" w:lineRule="auto"/>
              <w:rPr>
                <w:rFonts w:ascii="Arial"/>
                <w:sz w:val="21"/>
              </w:rPr>
            </w:pPr>
          </w:p>
          <w:p w14:paraId="78453A45">
            <w:pPr>
              <w:spacing w:line="249" w:lineRule="auto"/>
              <w:rPr>
                <w:rFonts w:ascii="Arial"/>
                <w:sz w:val="21"/>
              </w:rPr>
            </w:pPr>
          </w:p>
          <w:p w14:paraId="2F1A6867">
            <w:pPr>
              <w:spacing w:line="249" w:lineRule="auto"/>
              <w:rPr>
                <w:rFonts w:ascii="Arial"/>
                <w:sz w:val="21"/>
              </w:rPr>
            </w:pPr>
          </w:p>
          <w:p w14:paraId="09FECAB2">
            <w:pPr>
              <w:spacing w:line="249" w:lineRule="auto"/>
              <w:rPr>
                <w:rFonts w:ascii="Arial"/>
                <w:sz w:val="21"/>
              </w:rPr>
            </w:pPr>
          </w:p>
          <w:p w14:paraId="5E200DA1">
            <w:pPr>
              <w:spacing w:line="249" w:lineRule="auto"/>
              <w:rPr>
                <w:rFonts w:ascii="Arial"/>
                <w:sz w:val="21"/>
              </w:rPr>
            </w:pPr>
          </w:p>
          <w:p w14:paraId="19834997">
            <w:pPr>
              <w:spacing w:line="249" w:lineRule="auto"/>
              <w:rPr>
                <w:rFonts w:ascii="Arial"/>
                <w:sz w:val="21"/>
              </w:rPr>
            </w:pPr>
          </w:p>
          <w:p w14:paraId="6DA78E5E">
            <w:pPr>
              <w:spacing w:line="249" w:lineRule="auto"/>
              <w:rPr>
                <w:rFonts w:ascii="Arial"/>
                <w:sz w:val="21"/>
              </w:rPr>
            </w:pPr>
          </w:p>
          <w:p w14:paraId="5A9B5CA0">
            <w:pPr>
              <w:spacing w:line="249" w:lineRule="auto"/>
              <w:rPr>
                <w:rFonts w:ascii="Arial"/>
                <w:sz w:val="21"/>
              </w:rPr>
            </w:pPr>
          </w:p>
          <w:p w14:paraId="0A158873">
            <w:pPr>
              <w:spacing w:line="249" w:lineRule="auto"/>
              <w:rPr>
                <w:rFonts w:ascii="Arial"/>
                <w:sz w:val="21"/>
              </w:rPr>
            </w:pPr>
          </w:p>
          <w:p w14:paraId="3416AB85">
            <w:pPr>
              <w:spacing w:line="250" w:lineRule="auto"/>
              <w:rPr>
                <w:rFonts w:ascii="Arial"/>
                <w:sz w:val="21"/>
              </w:rPr>
            </w:pPr>
          </w:p>
          <w:p w14:paraId="4AFEB5F2">
            <w:pPr>
              <w:spacing w:line="250" w:lineRule="auto"/>
              <w:rPr>
                <w:rFonts w:ascii="Arial"/>
                <w:sz w:val="21"/>
              </w:rPr>
            </w:pPr>
          </w:p>
          <w:p w14:paraId="2C2A3CBD">
            <w:pPr>
              <w:spacing w:line="250" w:lineRule="auto"/>
              <w:rPr>
                <w:rFonts w:ascii="Arial"/>
                <w:sz w:val="21"/>
              </w:rPr>
            </w:pPr>
          </w:p>
          <w:p w14:paraId="54BB1DF4">
            <w:pPr>
              <w:spacing w:line="250" w:lineRule="auto"/>
              <w:rPr>
                <w:rFonts w:ascii="Arial"/>
                <w:sz w:val="21"/>
              </w:rPr>
            </w:pPr>
          </w:p>
          <w:p w14:paraId="61B14E30">
            <w:pPr>
              <w:spacing w:line="250" w:lineRule="auto"/>
              <w:rPr>
                <w:rFonts w:ascii="Arial"/>
                <w:sz w:val="21"/>
              </w:rPr>
            </w:pPr>
          </w:p>
          <w:p w14:paraId="017033E8">
            <w:pPr>
              <w:spacing w:before="74" w:line="186" w:lineRule="auto"/>
              <w:ind w:left="161"/>
              <w:rPr>
                <w:rFonts w:ascii="仿宋" w:hAnsi="仿宋" w:eastAsia="仿宋" w:cs="仿宋"/>
                <w:sz w:val="23"/>
                <w:szCs w:val="23"/>
              </w:rPr>
            </w:pPr>
            <w:r>
              <w:rPr>
                <w:rFonts w:ascii="仿宋" w:hAnsi="仿宋" w:eastAsia="仿宋" w:cs="仿宋"/>
                <w:spacing w:val="-5"/>
                <w:sz w:val="23"/>
                <w:szCs w:val="23"/>
              </w:rPr>
              <w:t>182</w:t>
            </w:r>
          </w:p>
        </w:tc>
        <w:tc>
          <w:tcPr>
            <w:tcW w:w="1440" w:type="dxa"/>
            <w:vMerge w:val="restart"/>
            <w:tcBorders>
              <w:bottom w:val="nil"/>
            </w:tcBorders>
            <w:vAlign w:val="top"/>
          </w:tcPr>
          <w:p w14:paraId="505DB9FC">
            <w:pPr>
              <w:spacing w:line="251" w:lineRule="auto"/>
              <w:rPr>
                <w:rFonts w:ascii="Arial"/>
                <w:sz w:val="21"/>
              </w:rPr>
            </w:pPr>
          </w:p>
          <w:p w14:paraId="1E062903">
            <w:pPr>
              <w:spacing w:line="251" w:lineRule="auto"/>
              <w:rPr>
                <w:rFonts w:ascii="Arial"/>
                <w:sz w:val="21"/>
              </w:rPr>
            </w:pPr>
          </w:p>
          <w:p w14:paraId="69B1ED7B">
            <w:pPr>
              <w:spacing w:line="251" w:lineRule="auto"/>
              <w:rPr>
                <w:rFonts w:ascii="Arial"/>
                <w:sz w:val="21"/>
              </w:rPr>
            </w:pPr>
          </w:p>
          <w:p w14:paraId="58D3982A">
            <w:pPr>
              <w:spacing w:line="252" w:lineRule="auto"/>
              <w:rPr>
                <w:rFonts w:ascii="Arial"/>
                <w:sz w:val="21"/>
              </w:rPr>
            </w:pPr>
          </w:p>
          <w:p w14:paraId="44F11451">
            <w:pPr>
              <w:spacing w:line="252" w:lineRule="auto"/>
              <w:rPr>
                <w:rFonts w:ascii="Arial"/>
                <w:sz w:val="21"/>
              </w:rPr>
            </w:pPr>
          </w:p>
          <w:p w14:paraId="3B3791D0">
            <w:pPr>
              <w:spacing w:line="252" w:lineRule="auto"/>
              <w:rPr>
                <w:rFonts w:ascii="Arial"/>
                <w:sz w:val="21"/>
              </w:rPr>
            </w:pPr>
          </w:p>
          <w:p w14:paraId="316992E7">
            <w:pPr>
              <w:spacing w:line="252" w:lineRule="auto"/>
              <w:rPr>
                <w:rFonts w:ascii="Arial"/>
                <w:sz w:val="21"/>
              </w:rPr>
            </w:pPr>
          </w:p>
          <w:p w14:paraId="3057FA1C">
            <w:pPr>
              <w:spacing w:line="252" w:lineRule="auto"/>
              <w:rPr>
                <w:rFonts w:ascii="Arial"/>
                <w:sz w:val="21"/>
              </w:rPr>
            </w:pPr>
          </w:p>
          <w:p w14:paraId="14AEF2CC">
            <w:pPr>
              <w:spacing w:line="252" w:lineRule="auto"/>
              <w:rPr>
                <w:rFonts w:ascii="Arial"/>
                <w:sz w:val="21"/>
              </w:rPr>
            </w:pPr>
          </w:p>
          <w:p w14:paraId="383022C2">
            <w:pPr>
              <w:spacing w:line="252" w:lineRule="auto"/>
              <w:rPr>
                <w:rFonts w:ascii="Arial"/>
                <w:sz w:val="21"/>
              </w:rPr>
            </w:pPr>
          </w:p>
          <w:p w14:paraId="0F03E47D">
            <w:pPr>
              <w:spacing w:line="252" w:lineRule="auto"/>
              <w:rPr>
                <w:rFonts w:ascii="Arial"/>
                <w:sz w:val="21"/>
              </w:rPr>
            </w:pPr>
          </w:p>
          <w:p w14:paraId="354495E3">
            <w:pPr>
              <w:pStyle w:val="6"/>
              <w:spacing w:before="99" w:line="187" w:lineRule="auto"/>
              <w:ind w:left="114" w:right="108" w:firstLine="5"/>
              <w:jc w:val="both"/>
            </w:pPr>
            <w:r>
              <w:rPr>
                <w:spacing w:val="11"/>
              </w:rPr>
              <w:t>烟花爆竹生产企业、批发企业使用</w:t>
            </w:r>
            <w:r>
              <w:rPr>
                <w:spacing w:val="-5"/>
              </w:rPr>
              <w:t>新安全设</w:t>
            </w:r>
            <w:r>
              <w:rPr>
                <w:spacing w:val="4"/>
              </w:rPr>
              <w:t>备，未进行</w:t>
            </w:r>
            <w:r>
              <w:rPr>
                <w:spacing w:val="11"/>
              </w:rPr>
              <w:t>安全性论证</w:t>
            </w:r>
            <w:r>
              <w:t>的</w:t>
            </w:r>
          </w:p>
        </w:tc>
        <w:tc>
          <w:tcPr>
            <w:tcW w:w="3202" w:type="dxa"/>
            <w:vMerge w:val="restart"/>
            <w:tcBorders>
              <w:bottom w:val="nil"/>
            </w:tcBorders>
            <w:vAlign w:val="top"/>
          </w:tcPr>
          <w:p w14:paraId="5BA01F9A">
            <w:pPr>
              <w:pStyle w:val="6"/>
              <w:spacing w:before="31" w:line="182" w:lineRule="auto"/>
              <w:ind w:left="98"/>
              <w:outlineLvl w:val="1"/>
            </w:pPr>
            <w:r>
              <w:rPr>
                <w:spacing w:val="17"/>
              </w:rPr>
              <w:t>【部门规章】《烟花爆竹生</w:t>
            </w:r>
          </w:p>
          <w:p w14:paraId="1F9DDCB7">
            <w:pPr>
              <w:pStyle w:val="6"/>
              <w:spacing w:before="7" w:line="186" w:lineRule="auto"/>
              <w:ind w:left="117" w:right="111" w:firstLine="1"/>
            </w:pPr>
            <w:r>
              <w:rPr>
                <w:spacing w:val="13"/>
              </w:rPr>
              <w:t>产经营安全规定》第九条：</w:t>
            </w:r>
            <w:r>
              <w:rPr>
                <w:spacing w:val="17"/>
              </w:rPr>
              <w:t>生产企业的涉药生产环节采</w:t>
            </w:r>
            <w:r>
              <w:rPr>
                <w:spacing w:val="13"/>
              </w:rPr>
              <w:t>用新工艺、使用新设备前，</w:t>
            </w:r>
            <w:r>
              <w:rPr>
                <w:spacing w:val="17"/>
              </w:rPr>
              <w:t>应当组织具有相应能力的机构、专家进行安全性能、安</w:t>
            </w:r>
            <w:r>
              <w:rPr>
                <w:spacing w:val="3"/>
              </w:rPr>
              <w:t>全技术要求论证。</w:t>
            </w:r>
          </w:p>
        </w:tc>
        <w:tc>
          <w:tcPr>
            <w:tcW w:w="2859" w:type="dxa"/>
            <w:vMerge w:val="restart"/>
            <w:tcBorders>
              <w:bottom w:val="nil"/>
            </w:tcBorders>
            <w:vAlign w:val="top"/>
          </w:tcPr>
          <w:p w14:paraId="21DAEF08">
            <w:pPr>
              <w:pStyle w:val="6"/>
              <w:spacing w:before="35" w:line="184" w:lineRule="auto"/>
              <w:ind w:left="116" w:right="19" w:hanging="19"/>
            </w:pPr>
            <w:r>
              <w:rPr>
                <w:spacing w:val="10"/>
              </w:rPr>
              <w:t>【部门规章】《烟花爆竹</w:t>
            </w:r>
            <w:r>
              <w:rPr>
                <w:spacing w:val="8"/>
              </w:rPr>
              <w:t>生产经营安全规定》第三</w:t>
            </w:r>
            <w:r>
              <w:rPr>
                <w:spacing w:val="-4"/>
              </w:rPr>
              <w:t>十四条第二项：生产企业、</w:t>
            </w:r>
            <w:r>
              <w:rPr>
                <w:spacing w:val="6"/>
              </w:rPr>
              <w:t>批发企业有下列行为之一</w:t>
            </w:r>
            <w:r>
              <w:rPr>
                <w:spacing w:val="8"/>
              </w:rPr>
              <w:t>的，责令限期改正，可以</w:t>
            </w:r>
            <w:r>
              <w:rPr>
                <w:spacing w:val="2"/>
              </w:rPr>
              <w:t>处五万元以下的罚款；逾</w:t>
            </w:r>
            <w:r>
              <w:rPr>
                <w:spacing w:val="8"/>
              </w:rPr>
              <w:t>期未改正的，处五万元以</w:t>
            </w:r>
            <w:r>
              <w:rPr>
                <w:spacing w:val="7"/>
              </w:rPr>
              <w:t>上二十万元以下的罚款，</w:t>
            </w:r>
            <w:r>
              <w:rPr>
                <w:spacing w:val="8"/>
              </w:rPr>
              <w:t>对其直接负责的主管人员</w:t>
            </w:r>
            <w:r>
              <w:rPr>
                <w:spacing w:val="6"/>
              </w:rPr>
              <w:t>和其他直接责任人员处一</w:t>
            </w:r>
            <w:r>
              <w:rPr>
                <w:spacing w:val="8"/>
              </w:rPr>
              <w:t>万元以上二万元以下的罚款；情节严重的，责令停产停业整顿</w:t>
            </w:r>
            <w:r>
              <w:rPr>
                <w:spacing w:val="11"/>
              </w:rPr>
              <w:t>：（</w:t>
            </w:r>
            <w:r>
              <w:rPr>
                <w:spacing w:val="8"/>
              </w:rPr>
              <w:t>二）使用新安全设备，未进行安全</w:t>
            </w:r>
            <w:r>
              <w:rPr>
                <w:spacing w:val="-2"/>
              </w:rPr>
              <w:t>性论证的；</w:t>
            </w:r>
          </w:p>
        </w:tc>
        <w:tc>
          <w:tcPr>
            <w:tcW w:w="803" w:type="dxa"/>
            <w:vAlign w:val="top"/>
          </w:tcPr>
          <w:p w14:paraId="29361CF0">
            <w:pPr>
              <w:spacing w:line="297" w:lineRule="auto"/>
              <w:rPr>
                <w:rFonts w:ascii="Arial"/>
                <w:sz w:val="21"/>
              </w:rPr>
            </w:pPr>
          </w:p>
          <w:p w14:paraId="11D3DB3B">
            <w:pPr>
              <w:spacing w:line="297" w:lineRule="auto"/>
              <w:rPr>
                <w:rFonts w:ascii="Arial"/>
                <w:sz w:val="21"/>
              </w:rPr>
            </w:pPr>
          </w:p>
          <w:p w14:paraId="47F494E2">
            <w:pPr>
              <w:spacing w:line="298" w:lineRule="auto"/>
              <w:rPr>
                <w:rFonts w:ascii="Arial"/>
                <w:sz w:val="21"/>
              </w:rPr>
            </w:pPr>
          </w:p>
          <w:p w14:paraId="39586ADE">
            <w:pPr>
              <w:spacing w:line="298" w:lineRule="auto"/>
              <w:rPr>
                <w:rFonts w:ascii="Arial"/>
                <w:sz w:val="21"/>
              </w:rPr>
            </w:pPr>
          </w:p>
          <w:p w14:paraId="0F0A02DE">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0F6F0B0">
            <w:pPr>
              <w:spacing w:line="276" w:lineRule="auto"/>
              <w:rPr>
                <w:rFonts w:ascii="Arial"/>
                <w:sz w:val="21"/>
              </w:rPr>
            </w:pPr>
          </w:p>
          <w:p w14:paraId="68F7A6A1">
            <w:pPr>
              <w:spacing w:line="276" w:lineRule="auto"/>
              <w:rPr>
                <w:rFonts w:ascii="Arial"/>
                <w:sz w:val="21"/>
              </w:rPr>
            </w:pPr>
          </w:p>
          <w:p w14:paraId="0C9FCE4E">
            <w:pPr>
              <w:spacing w:line="276" w:lineRule="auto"/>
              <w:rPr>
                <w:rFonts w:ascii="Arial"/>
                <w:sz w:val="21"/>
              </w:rPr>
            </w:pPr>
          </w:p>
          <w:p w14:paraId="32051D81">
            <w:pPr>
              <w:pStyle w:val="6"/>
              <w:spacing w:before="98" w:line="192" w:lineRule="auto"/>
              <w:ind w:left="114" w:right="108" w:firstLine="8"/>
              <w:jc w:val="both"/>
            </w:pPr>
            <w:r>
              <w:rPr>
                <w:spacing w:val="-12"/>
              </w:rPr>
              <w:t>有</w:t>
            </w:r>
            <w:r>
              <w:rPr>
                <w:rFonts w:ascii="宋体" w:hAnsi="宋体" w:eastAsia="宋体" w:cs="宋体"/>
                <w:spacing w:val="-12"/>
              </w:rPr>
              <w:t>1</w:t>
            </w:r>
            <w:r>
              <w:rPr>
                <w:spacing w:val="-12"/>
              </w:rPr>
              <w:t>台（套）新安全</w:t>
            </w:r>
            <w:r>
              <w:rPr>
                <w:spacing w:val="26"/>
              </w:rPr>
              <w:t>设备未进行安全性</w:t>
            </w:r>
            <w:r>
              <w:rPr>
                <w:spacing w:val="6"/>
              </w:rPr>
              <w:t>论证的</w:t>
            </w:r>
          </w:p>
        </w:tc>
        <w:tc>
          <w:tcPr>
            <w:tcW w:w="2894" w:type="dxa"/>
            <w:vAlign w:val="top"/>
          </w:tcPr>
          <w:p w14:paraId="5BCFA8A5">
            <w:pPr>
              <w:pStyle w:val="6"/>
              <w:spacing w:before="29" w:line="180" w:lineRule="auto"/>
              <w:ind w:left="120" w:right="104" w:firstLine="7"/>
              <w:jc w:val="both"/>
            </w:pPr>
            <w:r>
              <w:rPr>
                <w:spacing w:val="10"/>
              </w:rPr>
              <w:t>责令限期改正，可以处</w:t>
            </w:r>
            <w:r>
              <w:rPr>
                <w:rFonts w:ascii="宋体" w:hAnsi="宋体" w:eastAsia="宋体" w:cs="宋体"/>
                <w:spacing w:val="10"/>
              </w:rPr>
              <w:t>2</w:t>
            </w:r>
            <w:r>
              <w:rPr>
                <w:spacing w:val="9"/>
              </w:rPr>
              <w:t>万元以下的罚款；逾期未</w:t>
            </w:r>
            <w:r>
              <w:t>改正的，处</w:t>
            </w:r>
            <w:r>
              <w:rPr>
                <w:rFonts w:ascii="宋体" w:hAnsi="宋体" w:eastAsia="宋体" w:cs="宋体"/>
              </w:rPr>
              <w:t>5</w:t>
            </w:r>
            <w:r>
              <w:t>万元以上</w:t>
            </w:r>
            <w:r>
              <w:rPr>
                <w:rFonts w:ascii="宋体" w:hAnsi="宋体" w:eastAsia="宋体" w:cs="宋体"/>
              </w:rPr>
              <w:t>10</w:t>
            </w:r>
            <w:r>
              <w:rPr>
                <w:spacing w:val="8"/>
              </w:rPr>
              <w:t>万元以下的罚款，对其直</w:t>
            </w:r>
            <w:r>
              <w:rPr>
                <w:spacing w:val="11"/>
              </w:rPr>
              <w:t>接负责的主管人员和其他</w:t>
            </w:r>
            <w:r>
              <w:rPr>
                <w:spacing w:val="5"/>
              </w:rPr>
              <w:t>直接责任人员处</w:t>
            </w:r>
            <w:r>
              <w:rPr>
                <w:rFonts w:ascii="宋体" w:hAnsi="宋体" w:eastAsia="宋体" w:cs="宋体"/>
                <w:spacing w:val="5"/>
              </w:rPr>
              <w:t>1</w:t>
            </w:r>
            <w:r>
              <w:rPr>
                <w:spacing w:val="5"/>
              </w:rPr>
              <w:t>万元以</w:t>
            </w:r>
            <w:r>
              <w:rPr>
                <w:spacing w:val="3"/>
              </w:rPr>
              <w:t>上</w:t>
            </w:r>
            <w:r>
              <w:rPr>
                <w:rFonts w:ascii="宋体" w:hAnsi="宋体" w:eastAsia="宋体" w:cs="宋体"/>
                <w:spacing w:val="3"/>
              </w:rPr>
              <w:t>2</w:t>
            </w:r>
            <w:r>
              <w:rPr>
                <w:spacing w:val="3"/>
              </w:rPr>
              <w:t>万元以下的罚款；情</w:t>
            </w:r>
            <w:r>
              <w:rPr>
                <w:spacing w:val="8"/>
              </w:rPr>
              <w:t>节严重的，责令停产停业</w:t>
            </w:r>
            <w:r>
              <w:rPr>
                <w:spacing w:val="2"/>
              </w:rPr>
              <w:t>整顿</w:t>
            </w:r>
          </w:p>
        </w:tc>
        <w:tc>
          <w:tcPr>
            <w:tcW w:w="811" w:type="dxa"/>
            <w:vMerge w:val="restart"/>
            <w:tcBorders>
              <w:bottom w:val="nil"/>
            </w:tcBorders>
            <w:vAlign w:val="top"/>
          </w:tcPr>
          <w:p w14:paraId="464A3932">
            <w:pPr>
              <w:spacing w:line="249" w:lineRule="auto"/>
              <w:rPr>
                <w:rFonts w:ascii="Arial"/>
                <w:sz w:val="21"/>
              </w:rPr>
            </w:pPr>
          </w:p>
          <w:p w14:paraId="4D32EF1D">
            <w:pPr>
              <w:spacing w:line="249" w:lineRule="auto"/>
              <w:rPr>
                <w:rFonts w:ascii="Arial"/>
                <w:sz w:val="21"/>
              </w:rPr>
            </w:pPr>
          </w:p>
          <w:p w14:paraId="677FBFD5">
            <w:pPr>
              <w:spacing w:line="249" w:lineRule="auto"/>
              <w:rPr>
                <w:rFonts w:ascii="Arial"/>
                <w:sz w:val="21"/>
              </w:rPr>
            </w:pPr>
          </w:p>
          <w:p w14:paraId="0D8D0056">
            <w:pPr>
              <w:spacing w:line="249" w:lineRule="auto"/>
              <w:rPr>
                <w:rFonts w:ascii="Arial"/>
                <w:sz w:val="21"/>
              </w:rPr>
            </w:pPr>
          </w:p>
          <w:p w14:paraId="79AC2958">
            <w:pPr>
              <w:spacing w:line="249" w:lineRule="auto"/>
              <w:rPr>
                <w:rFonts w:ascii="Arial"/>
                <w:sz w:val="21"/>
              </w:rPr>
            </w:pPr>
          </w:p>
          <w:p w14:paraId="082DEC13">
            <w:pPr>
              <w:spacing w:line="249" w:lineRule="auto"/>
              <w:rPr>
                <w:rFonts w:ascii="Arial"/>
                <w:sz w:val="21"/>
              </w:rPr>
            </w:pPr>
          </w:p>
          <w:p w14:paraId="4013CBAD">
            <w:pPr>
              <w:spacing w:line="249" w:lineRule="auto"/>
              <w:rPr>
                <w:rFonts w:ascii="Arial"/>
                <w:sz w:val="21"/>
              </w:rPr>
            </w:pPr>
          </w:p>
          <w:p w14:paraId="416B5579">
            <w:pPr>
              <w:spacing w:line="249" w:lineRule="auto"/>
              <w:rPr>
                <w:rFonts w:ascii="Arial"/>
                <w:sz w:val="21"/>
              </w:rPr>
            </w:pPr>
          </w:p>
          <w:p w14:paraId="477A56A9">
            <w:pPr>
              <w:spacing w:line="249" w:lineRule="auto"/>
              <w:rPr>
                <w:rFonts w:ascii="Arial"/>
                <w:sz w:val="21"/>
              </w:rPr>
            </w:pPr>
          </w:p>
          <w:p w14:paraId="47D2508F">
            <w:pPr>
              <w:spacing w:line="249" w:lineRule="auto"/>
              <w:rPr>
                <w:rFonts w:ascii="Arial"/>
                <w:sz w:val="21"/>
              </w:rPr>
            </w:pPr>
          </w:p>
          <w:p w14:paraId="1A5677E9">
            <w:pPr>
              <w:spacing w:line="249" w:lineRule="auto"/>
              <w:rPr>
                <w:rFonts w:ascii="Arial"/>
                <w:sz w:val="21"/>
              </w:rPr>
            </w:pPr>
          </w:p>
          <w:p w14:paraId="5CA49D75">
            <w:pPr>
              <w:spacing w:line="249" w:lineRule="auto"/>
              <w:rPr>
                <w:rFonts w:ascii="Arial"/>
                <w:sz w:val="21"/>
              </w:rPr>
            </w:pPr>
          </w:p>
          <w:p w14:paraId="767BC24A">
            <w:pPr>
              <w:spacing w:line="249" w:lineRule="auto"/>
              <w:rPr>
                <w:rFonts w:ascii="Arial"/>
                <w:sz w:val="21"/>
              </w:rPr>
            </w:pPr>
          </w:p>
          <w:p w14:paraId="44F95844">
            <w:pPr>
              <w:spacing w:line="249" w:lineRule="auto"/>
              <w:rPr>
                <w:rFonts w:ascii="Arial"/>
                <w:sz w:val="21"/>
              </w:rPr>
            </w:pPr>
          </w:p>
          <w:p w14:paraId="056FDFA9">
            <w:pPr>
              <w:spacing w:line="250" w:lineRule="auto"/>
              <w:rPr>
                <w:rFonts w:ascii="Arial"/>
                <w:sz w:val="21"/>
              </w:rPr>
            </w:pPr>
          </w:p>
          <w:p w14:paraId="57298839">
            <w:pPr>
              <w:spacing w:before="75" w:line="189" w:lineRule="auto"/>
              <w:ind w:left="248"/>
              <w:rPr>
                <w:rFonts w:ascii="宋体" w:hAnsi="宋体" w:eastAsia="宋体" w:cs="宋体"/>
                <w:sz w:val="23"/>
                <w:szCs w:val="23"/>
              </w:rPr>
            </w:pPr>
            <w:r>
              <w:rPr>
                <w:rFonts w:ascii="宋体" w:hAnsi="宋体" w:eastAsia="宋体" w:cs="宋体"/>
                <w:spacing w:val="-6"/>
                <w:sz w:val="23"/>
                <w:szCs w:val="23"/>
              </w:rPr>
              <w:t>159</w:t>
            </w:r>
          </w:p>
        </w:tc>
      </w:tr>
      <w:tr w14:paraId="44C42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818" w:type="dxa"/>
            <w:vMerge w:val="continue"/>
            <w:tcBorders>
              <w:top w:val="nil"/>
              <w:bottom w:val="nil"/>
            </w:tcBorders>
            <w:vAlign w:val="top"/>
          </w:tcPr>
          <w:p w14:paraId="195E87B7">
            <w:pPr>
              <w:rPr>
                <w:rFonts w:ascii="Arial"/>
                <w:sz w:val="21"/>
              </w:rPr>
            </w:pPr>
          </w:p>
        </w:tc>
        <w:tc>
          <w:tcPr>
            <w:tcW w:w="1440" w:type="dxa"/>
            <w:vMerge w:val="continue"/>
            <w:tcBorders>
              <w:top w:val="nil"/>
              <w:bottom w:val="nil"/>
            </w:tcBorders>
            <w:vAlign w:val="top"/>
          </w:tcPr>
          <w:p w14:paraId="41B0DD61">
            <w:pPr>
              <w:rPr>
                <w:rFonts w:ascii="Arial"/>
                <w:sz w:val="21"/>
              </w:rPr>
            </w:pPr>
          </w:p>
        </w:tc>
        <w:tc>
          <w:tcPr>
            <w:tcW w:w="3202" w:type="dxa"/>
            <w:vMerge w:val="continue"/>
            <w:tcBorders>
              <w:top w:val="nil"/>
              <w:bottom w:val="nil"/>
            </w:tcBorders>
            <w:vAlign w:val="top"/>
          </w:tcPr>
          <w:p w14:paraId="4E133F08">
            <w:pPr>
              <w:rPr>
                <w:rFonts w:ascii="Arial"/>
                <w:sz w:val="21"/>
              </w:rPr>
            </w:pPr>
          </w:p>
        </w:tc>
        <w:tc>
          <w:tcPr>
            <w:tcW w:w="2859" w:type="dxa"/>
            <w:vMerge w:val="continue"/>
            <w:tcBorders>
              <w:top w:val="nil"/>
              <w:bottom w:val="nil"/>
            </w:tcBorders>
            <w:vAlign w:val="top"/>
          </w:tcPr>
          <w:p w14:paraId="54C264B0">
            <w:pPr>
              <w:rPr>
                <w:rFonts w:ascii="Arial"/>
                <w:sz w:val="21"/>
              </w:rPr>
            </w:pPr>
          </w:p>
        </w:tc>
        <w:tc>
          <w:tcPr>
            <w:tcW w:w="803" w:type="dxa"/>
            <w:vAlign w:val="top"/>
          </w:tcPr>
          <w:p w14:paraId="123A8469">
            <w:pPr>
              <w:spacing w:line="298" w:lineRule="auto"/>
              <w:rPr>
                <w:rFonts w:ascii="Arial"/>
                <w:sz w:val="21"/>
              </w:rPr>
            </w:pPr>
          </w:p>
          <w:p w14:paraId="031553F9">
            <w:pPr>
              <w:spacing w:line="299" w:lineRule="auto"/>
              <w:rPr>
                <w:rFonts w:ascii="Arial"/>
                <w:sz w:val="21"/>
              </w:rPr>
            </w:pPr>
          </w:p>
          <w:p w14:paraId="3A9E2395">
            <w:pPr>
              <w:spacing w:line="299" w:lineRule="auto"/>
              <w:rPr>
                <w:rFonts w:ascii="Arial"/>
                <w:sz w:val="21"/>
              </w:rPr>
            </w:pPr>
          </w:p>
          <w:p w14:paraId="455E1E64">
            <w:pPr>
              <w:spacing w:line="299" w:lineRule="auto"/>
              <w:rPr>
                <w:rFonts w:ascii="Arial"/>
                <w:sz w:val="21"/>
              </w:rPr>
            </w:pPr>
          </w:p>
          <w:p w14:paraId="2E01D9A0">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9A86728">
            <w:pPr>
              <w:spacing w:line="276" w:lineRule="auto"/>
              <w:rPr>
                <w:rFonts w:ascii="Arial"/>
                <w:sz w:val="21"/>
              </w:rPr>
            </w:pPr>
          </w:p>
          <w:p w14:paraId="697CF3D5">
            <w:pPr>
              <w:spacing w:line="276" w:lineRule="auto"/>
              <w:rPr>
                <w:rFonts w:ascii="Arial"/>
                <w:sz w:val="21"/>
              </w:rPr>
            </w:pPr>
          </w:p>
          <w:p w14:paraId="72D6B6B7">
            <w:pPr>
              <w:spacing w:line="277" w:lineRule="auto"/>
              <w:rPr>
                <w:rFonts w:ascii="Arial"/>
                <w:sz w:val="21"/>
              </w:rPr>
            </w:pPr>
          </w:p>
          <w:p w14:paraId="6B250936">
            <w:pPr>
              <w:pStyle w:val="6"/>
              <w:spacing w:before="99" w:line="192" w:lineRule="auto"/>
              <w:ind w:left="114" w:right="108" w:firstLine="8"/>
              <w:jc w:val="both"/>
            </w:pPr>
            <w:r>
              <w:rPr>
                <w:spacing w:val="-9"/>
              </w:rPr>
              <w:t>有</w:t>
            </w:r>
            <w:r>
              <w:rPr>
                <w:rFonts w:ascii="宋体" w:hAnsi="宋体" w:eastAsia="宋体" w:cs="宋体"/>
                <w:spacing w:val="-9"/>
              </w:rPr>
              <w:t>2</w:t>
            </w:r>
            <w:r>
              <w:rPr>
                <w:spacing w:val="-9"/>
              </w:rPr>
              <w:t>台（套）新安全</w:t>
            </w:r>
            <w:r>
              <w:rPr>
                <w:spacing w:val="26"/>
              </w:rPr>
              <w:t>设备未进行安全性</w:t>
            </w:r>
            <w:r>
              <w:rPr>
                <w:spacing w:val="6"/>
              </w:rPr>
              <w:t>论证的</w:t>
            </w:r>
          </w:p>
        </w:tc>
        <w:tc>
          <w:tcPr>
            <w:tcW w:w="2894" w:type="dxa"/>
            <w:vAlign w:val="top"/>
          </w:tcPr>
          <w:p w14:paraId="2759B74E">
            <w:pPr>
              <w:pStyle w:val="6"/>
              <w:spacing w:before="30" w:line="180" w:lineRule="auto"/>
              <w:ind w:left="122" w:right="104" w:firstLine="4"/>
            </w:pPr>
            <w:r>
              <w:rPr>
                <w:spacing w:val="10"/>
              </w:rPr>
              <w:t>责令限期改正，可以处</w:t>
            </w:r>
            <w:r>
              <w:rPr>
                <w:rFonts w:ascii="宋体" w:hAnsi="宋体" w:eastAsia="宋体" w:cs="宋体"/>
                <w:spacing w:val="10"/>
              </w:rPr>
              <w:t>2</w:t>
            </w:r>
            <w:r>
              <w:rPr>
                <w:spacing w:val="7"/>
              </w:rPr>
              <w:t>万元以上</w:t>
            </w:r>
            <w:r>
              <w:rPr>
                <w:rFonts w:ascii="宋体" w:hAnsi="宋体" w:eastAsia="宋体" w:cs="宋体"/>
                <w:spacing w:val="7"/>
              </w:rPr>
              <w:t>4</w:t>
            </w:r>
            <w:r>
              <w:rPr>
                <w:spacing w:val="7"/>
              </w:rPr>
              <w:t>万元以下的罚</w:t>
            </w:r>
            <w:r>
              <w:rPr>
                <w:spacing w:val="-3"/>
              </w:rPr>
              <w:t>款；逾期未改正的，处</w:t>
            </w:r>
            <w:r>
              <w:rPr>
                <w:rFonts w:ascii="宋体" w:hAnsi="宋体" w:eastAsia="宋体" w:cs="宋体"/>
                <w:spacing w:val="-3"/>
              </w:rPr>
              <w:t>10</w:t>
            </w:r>
            <w:r>
              <w:rPr>
                <w:spacing w:val="11"/>
              </w:rPr>
              <w:t>万元以上</w:t>
            </w:r>
            <w:r>
              <w:rPr>
                <w:rFonts w:ascii="宋体" w:hAnsi="宋体" w:eastAsia="宋体" w:cs="宋体"/>
                <w:spacing w:val="11"/>
              </w:rPr>
              <w:t>15</w:t>
            </w:r>
            <w:r>
              <w:rPr>
                <w:spacing w:val="11"/>
              </w:rPr>
              <w:t>万元以下的</w:t>
            </w:r>
            <w:r>
              <w:rPr>
                <w:spacing w:val="8"/>
              </w:rPr>
              <w:t>罚款，对其直接负责的主</w:t>
            </w:r>
            <w:r>
              <w:rPr>
                <w:spacing w:val="11"/>
              </w:rPr>
              <w:t>管人员和其他直接责任人</w:t>
            </w:r>
            <w:r>
              <w:rPr>
                <w:spacing w:val="1"/>
              </w:rPr>
              <w:t>员处</w:t>
            </w:r>
            <w:r>
              <w:rPr>
                <w:rFonts w:ascii="宋体" w:hAnsi="宋体" w:eastAsia="宋体" w:cs="宋体"/>
                <w:spacing w:val="1"/>
              </w:rPr>
              <w:t>1</w:t>
            </w:r>
            <w:r>
              <w:rPr>
                <w:spacing w:val="1"/>
              </w:rPr>
              <w:t>万元以上</w:t>
            </w:r>
            <w:r>
              <w:rPr>
                <w:rFonts w:ascii="宋体" w:hAnsi="宋体" w:eastAsia="宋体" w:cs="宋体"/>
                <w:spacing w:val="1"/>
              </w:rPr>
              <w:t>2</w:t>
            </w:r>
            <w:r>
              <w:rPr>
                <w:spacing w:val="1"/>
              </w:rPr>
              <w:t>万元以</w:t>
            </w:r>
            <w:r>
              <w:rPr>
                <w:spacing w:val="6"/>
              </w:rPr>
              <w:t>下的罚款；情节严重的，</w:t>
            </w:r>
            <w:r>
              <w:rPr>
                <w:spacing w:val="7"/>
              </w:rPr>
              <w:t>责令停产停业整顿</w:t>
            </w:r>
          </w:p>
        </w:tc>
        <w:tc>
          <w:tcPr>
            <w:tcW w:w="811" w:type="dxa"/>
            <w:vMerge w:val="continue"/>
            <w:tcBorders>
              <w:top w:val="nil"/>
              <w:bottom w:val="nil"/>
            </w:tcBorders>
            <w:vAlign w:val="top"/>
          </w:tcPr>
          <w:p w14:paraId="328EBF2C">
            <w:pPr>
              <w:rPr>
                <w:rFonts w:ascii="Arial"/>
                <w:sz w:val="21"/>
              </w:rPr>
            </w:pPr>
          </w:p>
        </w:tc>
      </w:tr>
      <w:tr w14:paraId="74B85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7" w:hRule="atLeast"/>
        </w:trPr>
        <w:tc>
          <w:tcPr>
            <w:tcW w:w="818" w:type="dxa"/>
            <w:vMerge w:val="continue"/>
            <w:tcBorders>
              <w:top w:val="nil"/>
            </w:tcBorders>
            <w:vAlign w:val="top"/>
          </w:tcPr>
          <w:p w14:paraId="0B6508AC">
            <w:pPr>
              <w:rPr>
                <w:rFonts w:ascii="Arial"/>
                <w:sz w:val="21"/>
              </w:rPr>
            </w:pPr>
          </w:p>
        </w:tc>
        <w:tc>
          <w:tcPr>
            <w:tcW w:w="1440" w:type="dxa"/>
            <w:vMerge w:val="continue"/>
            <w:tcBorders>
              <w:top w:val="nil"/>
            </w:tcBorders>
            <w:vAlign w:val="top"/>
          </w:tcPr>
          <w:p w14:paraId="625AEA1E">
            <w:pPr>
              <w:rPr>
                <w:rFonts w:ascii="Arial"/>
                <w:sz w:val="21"/>
              </w:rPr>
            </w:pPr>
          </w:p>
        </w:tc>
        <w:tc>
          <w:tcPr>
            <w:tcW w:w="3202" w:type="dxa"/>
            <w:vMerge w:val="continue"/>
            <w:tcBorders>
              <w:top w:val="nil"/>
            </w:tcBorders>
            <w:vAlign w:val="top"/>
          </w:tcPr>
          <w:p w14:paraId="373E5EA5">
            <w:pPr>
              <w:rPr>
                <w:rFonts w:ascii="Arial"/>
                <w:sz w:val="21"/>
              </w:rPr>
            </w:pPr>
          </w:p>
        </w:tc>
        <w:tc>
          <w:tcPr>
            <w:tcW w:w="2859" w:type="dxa"/>
            <w:vMerge w:val="continue"/>
            <w:tcBorders>
              <w:top w:val="nil"/>
            </w:tcBorders>
            <w:vAlign w:val="top"/>
          </w:tcPr>
          <w:p w14:paraId="56BB5F7F">
            <w:pPr>
              <w:rPr>
                <w:rFonts w:ascii="Arial"/>
                <w:sz w:val="21"/>
              </w:rPr>
            </w:pPr>
          </w:p>
        </w:tc>
        <w:tc>
          <w:tcPr>
            <w:tcW w:w="803" w:type="dxa"/>
            <w:vAlign w:val="top"/>
          </w:tcPr>
          <w:p w14:paraId="1E9E800C">
            <w:pPr>
              <w:spacing w:line="261" w:lineRule="auto"/>
              <w:rPr>
                <w:rFonts w:ascii="Arial"/>
                <w:sz w:val="21"/>
              </w:rPr>
            </w:pPr>
          </w:p>
          <w:p w14:paraId="2CA18E1C">
            <w:pPr>
              <w:spacing w:line="261" w:lineRule="auto"/>
              <w:rPr>
                <w:rFonts w:ascii="Arial"/>
                <w:sz w:val="21"/>
              </w:rPr>
            </w:pPr>
          </w:p>
          <w:p w14:paraId="6BF9563E">
            <w:pPr>
              <w:spacing w:line="262" w:lineRule="auto"/>
              <w:rPr>
                <w:rFonts w:ascii="Arial"/>
                <w:sz w:val="21"/>
              </w:rPr>
            </w:pPr>
          </w:p>
          <w:p w14:paraId="685D2E2A">
            <w:pPr>
              <w:spacing w:line="262" w:lineRule="auto"/>
              <w:rPr>
                <w:rFonts w:ascii="Arial"/>
                <w:sz w:val="21"/>
              </w:rPr>
            </w:pPr>
          </w:p>
          <w:p w14:paraId="54A8E223">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29338D0A">
            <w:pPr>
              <w:spacing w:line="340" w:lineRule="auto"/>
              <w:rPr>
                <w:rFonts w:ascii="Arial"/>
                <w:sz w:val="21"/>
              </w:rPr>
            </w:pPr>
          </w:p>
          <w:p w14:paraId="45A197AE">
            <w:pPr>
              <w:spacing w:line="340" w:lineRule="auto"/>
              <w:rPr>
                <w:rFonts w:ascii="Arial"/>
                <w:sz w:val="21"/>
              </w:rPr>
            </w:pPr>
          </w:p>
          <w:p w14:paraId="497AAF37">
            <w:pPr>
              <w:pStyle w:val="6"/>
              <w:spacing w:before="99" w:line="191" w:lineRule="auto"/>
              <w:ind w:left="117" w:right="108" w:firstLine="5"/>
              <w:jc w:val="both"/>
            </w:pPr>
            <w:r>
              <w:rPr>
                <w:spacing w:val="-9"/>
              </w:rPr>
              <w:t>有</w:t>
            </w:r>
            <w:r>
              <w:rPr>
                <w:rFonts w:ascii="宋体" w:hAnsi="宋体" w:eastAsia="宋体" w:cs="宋体"/>
                <w:spacing w:val="-9"/>
              </w:rPr>
              <w:t>3</w:t>
            </w:r>
            <w:r>
              <w:rPr>
                <w:spacing w:val="-9"/>
              </w:rPr>
              <w:t>台（套）以上新</w:t>
            </w:r>
            <w:r>
              <w:rPr>
                <w:spacing w:val="26"/>
              </w:rPr>
              <w:t>安全设备未进行安</w:t>
            </w:r>
            <w:r>
              <w:rPr>
                <w:spacing w:val="6"/>
              </w:rPr>
              <w:t>全性论证的</w:t>
            </w:r>
          </w:p>
        </w:tc>
        <w:tc>
          <w:tcPr>
            <w:tcW w:w="2894" w:type="dxa"/>
            <w:vAlign w:val="top"/>
          </w:tcPr>
          <w:p w14:paraId="1E654C6A">
            <w:pPr>
              <w:pStyle w:val="6"/>
              <w:spacing w:before="29" w:line="180" w:lineRule="auto"/>
              <w:ind w:left="122" w:right="104" w:firstLine="4"/>
              <w:jc w:val="both"/>
            </w:pPr>
            <w:r>
              <w:rPr>
                <w:spacing w:val="10"/>
              </w:rPr>
              <w:t>责令限期改正，可以处</w:t>
            </w:r>
            <w:r>
              <w:rPr>
                <w:rFonts w:ascii="宋体" w:hAnsi="宋体" w:eastAsia="宋体" w:cs="宋体"/>
                <w:spacing w:val="10"/>
              </w:rPr>
              <w:t>4</w:t>
            </w:r>
            <w:r>
              <w:rPr>
                <w:spacing w:val="7"/>
              </w:rPr>
              <w:t>万元以上</w:t>
            </w:r>
            <w:r>
              <w:rPr>
                <w:rFonts w:ascii="宋体" w:hAnsi="宋体" w:eastAsia="宋体" w:cs="宋体"/>
                <w:spacing w:val="7"/>
              </w:rPr>
              <w:t>5</w:t>
            </w:r>
            <w:r>
              <w:rPr>
                <w:spacing w:val="7"/>
              </w:rPr>
              <w:t>万元以下的罚</w:t>
            </w:r>
            <w:r>
              <w:rPr>
                <w:spacing w:val="-3"/>
              </w:rPr>
              <w:t>款；逾期未改正的，处</w:t>
            </w:r>
            <w:r>
              <w:rPr>
                <w:rFonts w:ascii="宋体" w:hAnsi="宋体" w:eastAsia="宋体" w:cs="宋体"/>
                <w:spacing w:val="-3"/>
              </w:rPr>
              <w:t>15</w:t>
            </w:r>
            <w:r>
              <w:rPr>
                <w:spacing w:val="13"/>
              </w:rPr>
              <w:t>万元以上</w:t>
            </w:r>
            <w:r>
              <w:rPr>
                <w:rFonts w:ascii="宋体" w:hAnsi="宋体" w:eastAsia="宋体" w:cs="宋体"/>
                <w:spacing w:val="13"/>
              </w:rPr>
              <w:t>20</w:t>
            </w:r>
            <w:r>
              <w:rPr>
                <w:spacing w:val="13"/>
              </w:rPr>
              <w:t>万元以下的</w:t>
            </w:r>
            <w:r>
              <w:rPr>
                <w:spacing w:val="8"/>
              </w:rPr>
              <w:t>罚款，对其直接负责的主</w:t>
            </w:r>
            <w:r>
              <w:rPr>
                <w:spacing w:val="11"/>
              </w:rPr>
              <w:t>管人员和其他直接责任人</w:t>
            </w:r>
            <w:r>
              <w:rPr>
                <w:spacing w:val="1"/>
              </w:rPr>
              <w:t>员处</w:t>
            </w:r>
            <w:r>
              <w:rPr>
                <w:rFonts w:ascii="宋体" w:hAnsi="宋体" w:eastAsia="宋体" w:cs="宋体"/>
                <w:spacing w:val="1"/>
              </w:rPr>
              <w:t>1</w:t>
            </w:r>
            <w:r>
              <w:rPr>
                <w:spacing w:val="1"/>
              </w:rPr>
              <w:t>万元以上</w:t>
            </w:r>
            <w:r>
              <w:rPr>
                <w:rFonts w:ascii="宋体" w:hAnsi="宋体" w:eastAsia="宋体" w:cs="宋体"/>
                <w:spacing w:val="1"/>
              </w:rPr>
              <w:t>2</w:t>
            </w:r>
            <w:r>
              <w:rPr>
                <w:spacing w:val="1"/>
              </w:rPr>
              <w:t>万元以</w:t>
            </w:r>
            <w:r>
              <w:rPr>
                <w:spacing w:val="6"/>
              </w:rPr>
              <w:t>下的罚款；情节严重的，</w:t>
            </w:r>
          </w:p>
        </w:tc>
        <w:tc>
          <w:tcPr>
            <w:tcW w:w="811" w:type="dxa"/>
            <w:vMerge w:val="continue"/>
            <w:tcBorders>
              <w:top w:val="nil"/>
            </w:tcBorders>
            <w:vAlign w:val="top"/>
          </w:tcPr>
          <w:p w14:paraId="45CC0628">
            <w:pPr>
              <w:rPr>
                <w:rFonts w:ascii="Arial"/>
                <w:sz w:val="21"/>
              </w:rPr>
            </w:pPr>
          </w:p>
        </w:tc>
      </w:tr>
    </w:tbl>
    <w:p w14:paraId="6E684002">
      <w:pPr>
        <w:pStyle w:val="2"/>
      </w:pPr>
    </w:p>
    <w:p w14:paraId="61A1417B">
      <w:pPr>
        <w:sectPr>
          <w:footerReference r:id="rId197" w:type="default"/>
          <w:pgSz w:w="16839" w:h="11906"/>
          <w:pgMar w:top="1012" w:right="821" w:bottom="667" w:left="901" w:header="0" w:footer="388" w:gutter="0"/>
          <w:cols w:space="720" w:num="1"/>
        </w:sectPr>
      </w:pPr>
    </w:p>
    <w:p w14:paraId="44D1001B">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6ADE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31C680C6">
            <w:pPr>
              <w:spacing w:before="222" w:line="241" w:lineRule="auto"/>
              <w:ind w:left="131"/>
              <w:rPr>
                <w:rFonts w:ascii="黑体" w:hAnsi="黑体" w:eastAsia="黑体" w:cs="黑体"/>
                <w:sz w:val="28"/>
                <w:szCs w:val="28"/>
              </w:rPr>
            </w:pPr>
            <w:bookmarkStart w:id="664" w:name="bookmark374"/>
            <w:bookmarkEnd w:id="664"/>
            <w:bookmarkStart w:id="665" w:name="bookmark590"/>
            <w:bookmarkEnd w:id="665"/>
            <w:r>
              <w:rPr>
                <w:rFonts w:ascii="黑体" w:hAnsi="黑体" w:eastAsia="黑体" w:cs="黑体"/>
                <w:spacing w:val="-2"/>
                <w:sz w:val="28"/>
                <w:szCs w:val="28"/>
              </w:rPr>
              <w:t>序号</w:t>
            </w:r>
          </w:p>
        </w:tc>
        <w:tc>
          <w:tcPr>
            <w:tcW w:w="1440" w:type="dxa"/>
            <w:vAlign w:val="top"/>
          </w:tcPr>
          <w:p w14:paraId="2D4C3F4B">
            <w:pPr>
              <w:spacing w:before="221"/>
              <w:ind w:left="163"/>
              <w:outlineLvl w:val="1"/>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0AEF461">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0929786">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443A4262">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A6DB3A2">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9DD7715">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3624DF8">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72E4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818" w:type="dxa"/>
            <w:vAlign w:val="top"/>
          </w:tcPr>
          <w:p w14:paraId="7C593032">
            <w:pPr>
              <w:rPr>
                <w:rFonts w:ascii="Arial"/>
                <w:sz w:val="21"/>
              </w:rPr>
            </w:pPr>
          </w:p>
        </w:tc>
        <w:tc>
          <w:tcPr>
            <w:tcW w:w="1440" w:type="dxa"/>
            <w:vAlign w:val="top"/>
          </w:tcPr>
          <w:p w14:paraId="57E4F760">
            <w:pPr>
              <w:rPr>
                <w:rFonts w:ascii="Arial"/>
                <w:sz w:val="21"/>
              </w:rPr>
            </w:pPr>
          </w:p>
        </w:tc>
        <w:tc>
          <w:tcPr>
            <w:tcW w:w="3202" w:type="dxa"/>
            <w:vAlign w:val="top"/>
          </w:tcPr>
          <w:p w14:paraId="08BD1886">
            <w:pPr>
              <w:rPr>
                <w:rFonts w:ascii="Arial"/>
                <w:sz w:val="21"/>
              </w:rPr>
            </w:pPr>
          </w:p>
        </w:tc>
        <w:tc>
          <w:tcPr>
            <w:tcW w:w="2859" w:type="dxa"/>
            <w:vAlign w:val="top"/>
          </w:tcPr>
          <w:p w14:paraId="165B889C">
            <w:pPr>
              <w:rPr>
                <w:rFonts w:ascii="Arial"/>
                <w:sz w:val="21"/>
              </w:rPr>
            </w:pPr>
          </w:p>
        </w:tc>
        <w:tc>
          <w:tcPr>
            <w:tcW w:w="803" w:type="dxa"/>
            <w:vAlign w:val="top"/>
          </w:tcPr>
          <w:p w14:paraId="4E39E978">
            <w:pPr>
              <w:rPr>
                <w:rFonts w:ascii="Arial"/>
                <w:sz w:val="21"/>
              </w:rPr>
            </w:pPr>
          </w:p>
        </w:tc>
        <w:tc>
          <w:tcPr>
            <w:tcW w:w="2283" w:type="dxa"/>
            <w:vAlign w:val="top"/>
          </w:tcPr>
          <w:p w14:paraId="0F9828CF">
            <w:pPr>
              <w:rPr>
                <w:rFonts w:ascii="Arial"/>
                <w:sz w:val="21"/>
              </w:rPr>
            </w:pPr>
          </w:p>
        </w:tc>
        <w:tc>
          <w:tcPr>
            <w:tcW w:w="2894" w:type="dxa"/>
            <w:vAlign w:val="top"/>
          </w:tcPr>
          <w:p w14:paraId="14EFE8E3">
            <w:pPr>
              <w:pStyle w:val="6"/>
              <w:spacing w:before="28" w:line="162" w:lineRule="auto"/>
              <w:ind w:left="127"/>
            </w:pPr>
            <w:r>
              <w:rPr>
                <w:spacing w:val="6"/>
              </w:rPr>
              <w:t>责令停产停业整顿</w:t>
            </w:r>
          </w:p>
        </w:tc>
        <w:tc>
          <w:tcPr>
            <w:tcW w:w="811" w:type="dxa"/>
            <w:vAlign w:val="top"/>
          </w:tcPr>
          <w:p w14:paraId="5AD32090">
            <w:pPr>
              <w:rPr>
                <w:rFonts w:ascii="Arial"/>
                <w:sz w:val="21"/>
              </w:rPr>
            </w:pPr>
          </w:p>
        </w:tc>
      </w:tr>
      <w:tr w14:paraId="4F1CC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trPr>
        <w:tc>
          <w:tcPr>
            <w:tcW w:w="818" w:type="dxa"/>
            <w:vMerge w:val="restart"/>
            <w:tcBorders>
              <w:bottom w:val="nil"/>
            </w:tcBorders>
            <w:vAlign w:val="top"/>
          </w:tcPr>
          <w:p w14:paraId="007C41C4">
            <w:pPr>
              <w:spacing w:line="242" w:lineRule="auto"/>
              <w:rPr>
                <w:rFonts w:ascii="Arial"/>
                <w:sz w:val="21"/>
              </w:rPr>
            </w:pPr>
          </w:p>
          <w:p w14:paraId="66D0D1DB">
            <w:pPr>
              <w:spacing w:line="243" w:lineRule="auto"/>
              <w:rPr>
                <w:rFonts w:ascii="Arial"/>
                <w:sz w:val="21"/>
              </w:rPr>
            </w:pPr>
          </w:p>
          <w:p w14:paraId="41B6BD1D">
            <w:pPr>
              <w:spacing w:line="243" w:lineRule="auto"/>
              <w:rPr>
                <w:rFonts w:ascii="Arial"/>
                <w:sz w:val="21"/>
              </w:rPr>
            </w:pPr>
          </w:p>
          <w:p w14:paraId="662EC531">
            <w:pPr>
              <w:spacing w:line="243" w:lineRule="auto"/>
              <w:rPr>
                <w:rFonts w:ascii="Arial"/>
                <w:sz w:val="21"/>
              </w:rPr>
            </w:pPr>
          </w:p>
          <w:p w14:paraId="5945C410">
            <w:pPr>
              <w:spacing w:line="243" w:lineRule="auto"/>
              <w:rPr>
                <w:rFonts w:ascii="Arial"/>
                <w:sz w:val="21"/>
              </w:rPr>
            </w:pPr>
          </w:p>
          <w:p w14:paraId="4F7D8C7E">
            <w:pPr>
              <w:spacing w:line="243" w:lineRule="auto"/>
              <w:rPr>
                <w:rFonts w:ascii="Arial"/>
                <w:sz w:val="21"/>
              </w:rPr>
            </w:pPr>
          </w:p>
          <w:p w14:paraId="436CE93E">
            <w:pPr>
              <w:spacing w:line="243" w:lineRule="auto"/>
              <w:rPr>
                <w:rFonts w:ascii="Arial"/>
                <w:sz w:val="21"/>
              </w:rPr>
            </w:pPr>
          </w:p>
          <w:p w14:paraId="4AFDB9F5">
            <w:pPr>
              <w:spacing w:line="243" w:lineRule="auto"/>
              <w:rPr>
                <w:rFonts w:ascii="Arial"/>
                <w:sz w:val="21"/>
              </w:rPr>
            </w:pPr>
          </w:p>
          <w:p w14:paraId="07FED8CB">
            <w:pPr>
              <w:spacing w:line="243" w:lineRule="auto"/>
              <w:rPr>
                <w:rFonts w:ascii="Arial"/>
                <w:sz w:val="21"/>
              </w:rPr>
            </w:pPr>
          </w:p>
          <w:p w14:paraId="3DBFAF26">
            <w:pPr>
              <w:spacing w:line="243" w:lineRule="auto"/>
              <w:rPr>
                <w:rFonts w:ascii="Arial"/>
                <w:sz w:val="21"/>
              </w:rPr>
            </w:pPr>
          </w:p>
          <w:p w14:paraId="33E8D59E">
            <w:pPr>
              <w:spacing w:line="243" w:lineRule="auto"/>
              <w:rPr>
                <w:rFonts w:ascii="Arial"/>
                <w:sz w:val="21"/>
              </w:rPr>
            </w:pPr>
          </w:p>
          <w:p w14:paraId="6BAB84E1">
            <w:pPr>
              <w:spacing w:line="243" w:lineRule="auto"/>
              <w:rPr>
                <w:rFonts w:ascii="Arial"/>
                <w:sz w:val="21"/>
              </w:rPr>
            </w:pPr>
          </w:p>
          <w:p w14:paraId="205F3232">
            <w:pPr>
              <w:spacing w:line="243" w:lineRule="auto"/>
              <w:rPr>
                <w:rFonts w:ascii="Arial"/>
                <w:sz w:val="21"/>
              </w:rPr>
            </w:pPr>
          </w:p>
          <w:p w14:paraId="3E4E5494">
            <w:pPr>
              <w:spacing w:line="243" w:lineRule="auto"/>
              <w:rPr>
                <w:rFonts w:ascii="Arial"/>
                <w:sz w:val="21"/>
              </w:rPr>
            </w:pPr>
          </w:p>
          <w:p w14:paraId="05B4949E">
            <w:pPr>
              <w:spacing w:line="243" w:lineRule="auto"/>
              <w:rPr>
                <w:rFonts w:ascii="Arial"/>
                <w:sz w:val="21"/>
              </w:rPr>
            </w:pPr>
          </w:p>
          <w:p w14:paraId="36E71C19">
            <w:pPr>
              <w:spacing w:line="243" w:lineRule="auto"/>
              <w:rPr>
                <w:rFonts w:ascii="Arial"/>
                <w:sz w:val="21"/>
              </w:rPr>
            </w:pPr>
          </w:p>
          <w:p w14:paraId="37230613">
            <w:pPr>
              <w:spacing w:before="74" w:line="186" w:lineRule="auto"/>
              <w:ind w:left="161"/>
              <w:rPr>
                <w:rFonts w:ascii="仿宋" w:hAnsi="仿宋" w:eastAsia="仿宋" w:cs="仿宋"/>
                <w:sz w:val="23"/>
                <w:szCs w:val="23"/>
              </w:rPr>
            </w:pPr>
            <w:r>
              <w:rPr>
                <w:rFonts w:ascii="仿宋" w:hAnsi="仿宋" w:eastAsia="仿宋" w:cs="仿宋"/>
                <w:spacing w:val="-5"/>
                <w:sz w:val="23"/>
                <w:szCs w:val="23"/>
              </w:rPr>
              <w:t>183</w:t>
            </w:r>
          </w:p>
        </w:tc>
        <w:tc>
          <w:tcPr>
            <w:tcW w:w="1440" w:type="dxa"/>
            <w:vMerge w:val="restart"/>
            <w:tcBorders>
              <w:bottom w:val="nil"/>
            </w:tcBorders>
            <w:vAlign w:val="top"/>
          </w:tcPr>
          <w:p w14:paraId="44B3D274">
            <w:pPr>
              <w:spacing w:line="247" w:lineRule="auto"/>
              <w:rPr>
                <w:rFonts w:ascii="Arial"/>
                <w:sz w:val="21"/>
              </w:rPr>
            </w:pPr>
          </w:p>
          <w:p w14:paraId="6C15CE06">
            <w:pPr>
              <w:spacing w:line="247" w:lineRule="auto"/>
              <w:rPr>
                <w:rFonts w:ascii="Arial"/>
                <w:sz w:val="21"/>
              </w:rPr>
            </w:pPr>
          </w:p>
          <w:p w14:paraId="78C6768E">
            <w:pPr>
              <w:spacing w:line="247" w:lineRule="auto"/>
              <w:rPr>
                <w:rFonts w:ascii="Arial"/>
                <w:sz w:val="21"/>
              </w:rPr>
            </w:pPr>
          </w:p>
          <w:p w14:paraId="35F74898">
            <w:pPr>
              <w:spacing w:line="247" w:lineRule="auto"/>
              <w:rPr>
                <w:rFonts w:ascii="Arial"/>
                <w:sz w:val="21"/>
              </w:rPr>
            </w:pPr>
          </w:p>
          <w:p w14:paraId="0C6D3346">
            <w:pPr>
              <w:spacing w:line="247" w:lineRule="auto"/>
              <w:rPr>
                <w:rFonts w:ascii="Arial"/>
                <w:sz w:val="21"/>
              </w:rPr>
            </w:pPr>
          </w:p>
          <w:p w14:paraId="4C385EC2">
            <w:pPr>
              <w:spacing w:line="248" w:lineRule="auto"/>
              <w:rPr>
                <w:rFonts w:ascii="Arial"/>
                <w:sz w:val="21"/>
              </w:rPr>
            </w:pPr>
          </w:p>
          <w:p w14:paraId="623B444E">
            <w:pPr>
              <w:spacing w:line="248" w:lineRule="auto"/>
              <w:rPr>
                <w:rFonts w:ascii="Arial"/>
                <w:sz w:val="21"/>
              </w:rPr>
            </w:pPr>
          </w:p>
          <w:p w14:paraId="64B971FF">
            <w:pPr>
              <w:pStyle w:val="6"/>
              <w:spacing w:before="98" w:line="182" w:lineRule="auto"/>
              <w:ind w:left="119"/>
              <w:outlineLvl w:val="0"/>
            </w:pPr>
            <w:r>
              <w:rPr>
                <w:spacing w:val="11"/>
              </w:rPr>
              <w:t>烟花爆竹生</w:t>
            </w:r>
          </w:p>
          <w:p w14:paraId="4A3CC7C8">
            <w:pPr>
              <w:pStyle w:val="6"/>
              <w:spacing w:before="8" w:line="184" w:lineRule="auto"/>
              <w:ind w:left="96" w:firstLine="20"/>
            </w:pPr>
            <w:r>
              <w:rPr>
                <w:spacing w:val="8"/>
              </w:rPr>
              <w:t>产企业、批</w:t>
            </w:r>
            <w:r>
              <w:rPr>
                <w:spacing w:val="12"/>
              </w:rPr>
              <w:t>发企业在生</w:t>
            </w:r>
            <w:r>
              <w:rPr>
                <w:spacing w:val="-7"/>
              </w:rPr>
              <w:t>产区、工</w:t>
            </w:r>
            <w:bookmarkStart w:id="666" w:name="bookmark591"/>
            <w:bookmarkEnd w:id="666"/>
            <w:bookmarkStart w:id="667" w:name="bookmark376"/>
            <w:bookmarkEnd w:id="667"/>
            <w:r>
              <w:rPr>
                <w:spacing w:val="5"/>
              </w:rPr>
              <w:t>（库）房等</w:t>
            </w:r>
            <w:r>
              <w:rPr>
                <w:spacing w:val="12"/>
              </w:rPr>
              <w:t>有药区域对安全设备进行检测、改</w:t>
            </w:r>
            <w:r>
              <w:rPr>
                <w:spacing w:val="3"/>
              </w:rPr>
              <w:t>造作业时，</w:t>
            </w:r>
            <w:r>
              <w:rPr>
                <w:spacing w:val="-7"/>
              </w:rPr>
              <w:t>未将工（库）</w:t>
            </w:r>
            <w:r>
              <w:rPr>
                <w:spacing w:val="-20"/>
              </w:rPr>
              <w:t>房内的药</w:t>
            </w:r>
            <w:r>
              <w:rPr>
                <w:spacing w:val="12"/>
              </w:rPr>
              <w:t>物、有药半成品、成品搬走并清理</w:t>
            </w:r>
            <w:r>
              <w:rPr>
                <w:spacing w:val="7"/>
              </w:rPr>
              <w:t>作业现场的</w:t>
            </w:r>
          </w:p>
        </w:tc>
        <w:tc>
          <w:tcPr>
            <w:tcW w:w="3202" w:type="dxa"/>
            <w:vMerge w:val="restart"/>
            <w:tcBorders>
              <w:bottom w:val="nil"/>
            </w:tcBorders>
            <w:vAlign w:val="top"/>
          </w:tcPr>
          <w:p w14:paraId="544F6068">
            <w:pPr>
              <w:pStyle w:val="6"/>
              <w:spacing w:before="32" w:line="182" w:lineRule="auto"/>
              <w:ind w:left="118" w:right="111" w:hanging="20"/>
              <w:jc w:val="both"/>
            </w:pPr>
            <w:r>
              <w:rPr>
                <w:spacing w:val="18"/>
              </w:rPr>
              <w:t>【部门规章】《烟花爆竹生</w:t>
            </w:r>
            <w:r>
              <w:rPr>
                <w:spacing w:val="17"/>
              </w:rPr>
              <w:t>产经营安全规定》第二十二</w:t>
            </w:r>
            <w:r>
              <w:rPr>
                <w:spacing w:val="7"/>
              </w:rPr>
              <w:t>条第二款：对工（库）房、</w:t>
            </w:r>
          </w:p>
          <w:p w14:paraId="6AAE9E8A">
            <w:pPr>
              <w:pStyle w:val="6"/>
              <w:spacing w:line="182" w:lineRule="auto"/>
              <w:ind w:left="123"/>
              <w:outlineLvl w:val="1"/>
            </w:pPr>
            <w:r>
              <w:rPr>
                <w:spacing w:val="16"/>
              </w:rPr>
              <w:t>安全设施、电气线路、机械</w:t>
            </w:r>
          </w:p>
          <w:p w14:paraId="28A4A536">
            <w:pPr>
              <w:pStyle w:val="6"/>
              <w:spacing w:line="182" w:lineRule="auto"/>
              <w:ind w:left="116"/>
              <w:outlineLvl w:val="1"/>
            </w:pPr>
            <w:r>
              <w:rPr>
                <w:spacing w:val="17"/>
              </w:rPr>
              <w:t>设备等进行检测、检修、维</w:t>
            </w:r>
          </w:p>
          <w:p w14:paraId="007832E0">
            <w:pPr>
              <w:pStyle w:val="6"/>
              <w:spacing w:line="185" w:lineRule="auto"/>
              <w:ind w:left="114" w:right="19"/>
            </w:pPr>
            <w:r>
              <w:rPr>
                <w:spacing w:val="-9"/>
              </w:rPr>
              <w:t>修、改造作业前，生产企业、</w:t>
            </w:r>
            <w:r>
              <w:rPr>
                <w:spacing w:val="17"/>
              </w:rPr>
              <w:t>批发企业应当制定安全作业</w:t>
            </w:r>
            <w:r>
              <w:rPr>
                <w:spacing w:val="14"/>
              </w:rPr>
              <w:t>方案，停止相关生产经营活</w:t>
            </w:r>
            <w:r>
              <w:rPr>
                <w:spacing w:val="13"/>
              </w:rPr>
              <w:t>动，转移烟花爆竹成品、半成品和原材料，清除残存药</w:t>
            </w:r>
            <w:r>
              <w:rPr>
                <w:spacing w:val="14"/>
              </w:rPr>
              <w:t>物和粉尘，切断被检测、检</w:t>
            </w:r>
            <w:r>
              <w:rPr>
                <w:spacing w:val="17"/>
              </w:rPr>
              <w:t>修、维修、改造的电气线路</w:t>
            </w:r>
            <w:r>
              <w:rPr>
                <w:spacing w:val="13"/>
              </w:rPr>
              <w:t>和机械设备电源，严格控制检修、维修作业人员数量，</w:t>
            </w:r>
            <w:r>
              <w:rPr>
                <w:spacing w:val="4"/>
              </w:rPr>
              <w:t>撤离无关的人员。</w:t>
            </w:r>
          </w:p>
        </w:tc>
        <w:tc>
          <w:tcPr>
            <w:tcW w:w="2859" w:type="dxa"/>
            <w:vMerge w:val="restart"/>
            <w:tcBorders>
              <w:bottom w:val="nil"/>
            </w:tcBorders>
            <w:vAlign w:val="top"/>
          </w:tcPr>
          <w:p w14:paraId="67095A7B">
            <w:pPr>
              <w:pStyle w:val="6"/>
              <w:spacing w:before="25" w:line="184" w:lineRule="auto"/>
              <w:ind w:left="97" w:right="19"/>
            </w:pPr>
            <w:r>
              <w:rPr>
                <w:spacing w:val="10"/>
              </w:rPr>
              <w:t>【部门规章】《烟花爆竹生产经营安全规定》第三</w:t>
            </w:r>
            <w:r>
              <w:rPr>
                <w:spacing w:val="-2"/>
              </w:rPr>
              <w:t>十四条第三项：生产企业、</w:t>
            </w:r>
            <w:r>
              <w:rPr>
                <w:spacing w:val="7"/>
              </w:rPr>
              <w:t>批发企业有下列行为之一</w:t>
            </w:r>
            <w:r>
              <w:rPr>
                <w:spacing w:val="10"/>
              </w:rPr>
              <w:t>的，责令限期改正，可以</w:t>
            </w:r>
            <w:r>
              <w:rPr>
                <w:spacing w:val="3"/>
              </w:rPr>
              <w:t>处五万元以下的罚款；逾</w:t>
            </w:r>
            <w:r>
              <w:rPr>
                <w:spacing w:val="10"/>
              </w:rPr>
              <w:t>期未改正的，处五万元以</w:t>
            </w:r>
            <w:r>
              <w:rPr>
                <w:spacing w:val="9"/>
              </w:rPr>
              <w:t>上二十万元以下的罚款，</w:t>
            </w:r>
            <w:r>
              <w:rPr>
                <w:spacing w:val="10"/>
              </w:rPr>
              <w:t>对其直接负责的主管人员</w:t>
            </w:r>
            <w:r>
              <w:rPr>
                <w:spacing w:val="7"/>
              </w:rPr>
              <w:t>和其他直接责任人员处一</w:t>
            </w:r>
            <w:r>
              <w:rPr>
                <w:spacing w:val="10"/>
              </w:rPr>
              <w:t>万元以上二万元以下的罚款；情节严重的，责令停产停业整顿</w:t>
            </w:r>
            <w:r>
              <w:rPr>
                <w:spacing w:val="11"/>
              </w:rPr>
              <w:t>：（</w:t>
            </w:r>
            <w:r>
              <w:rPr>
                <w:spacing w:val="10"/>
              </w:rPr>
              <w:t>三）在生产区、工（库）房等有药</w:t>
            </w:r>
            <w:r>
              <w:rPr>
                <w:spacing w:val="34"/>
              </w:rPr>
              <w:t>区域对安全设备进行检</w:t>
            </w:r>
            <w:r>
              <w:rPr>
                <w:spacing w:val="10"/>
              </w:rPr>
              <w:t>测、改造作业时，未将工（库）房内的药物、有药半成品、成品搬走并清理</w:t>
            </w:r>
            <w:r>
              <w:rPr>
                <w:spacing w:val="4"/>
              </w:rPr>
              <w:t>作业现场的。</w:t>
            </w:r>
          </w:p>
        </w:tc>
        <w:tc>
          <w:tcPr>
            <w:tcW w:w="803" w:type="dxa"/>
            <w:vAlign w:val="top"/>
          </w:tcPr>
          <w:p w14:paraId="257DCB60">
            <w:pPr>
              <w:spacing w:line="297" w:lineRule="auto"/>
              <w:rPr>
                <w:rFonts w:ascii="Arial"/>
                <w:sz w:val="21"/>
              </w:rPr>
            </w:pPr>
          </w:p>
          <w:p w14:paraId="3795531D">
            <w:pPr>
              <w:spacing w:line="297" w:lineRule="auto"/>
              <w:rPr>
                <w:rFonts w:ascii="Arial"/>
                <w:sz w:val="21"/>
              </w:rPr>
            </w:pPr>
          </w:p>
          <w:p w14:paraId="78D4A87D">
            <w:pPr>
              <w:spacing w:line="297" w:lineRule="auto"/>
              <w:rPr>
                <w:rFonts w:ascii="Arial"/>
                <w:sz w:val="21"/>
              </w:rPr>
            </w:pPr>
          </w:p>
          <w:p w14:paraId="055931A1">
            <w:pPr>
              <w:spacing w:line="298" w:lineRule="auto"/>
              <w:rPr>
                <w:rFonts w:ascii="Arial"/>
                <w:sz w:val="21"/>
              </w:rPr>
            </w:pPr>
          </w:p>
          <w:p w14:paraId="3DFF21B9">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728F63A">
            <w:pPr>
              <w:pStyle w:val="6"/>
              <w:spacing w:before="179" w:line="182" w:lineRule="auto"/>
              <w:ind w:right="13"/>
              <w:jc w:val="right"/>
              <w:outlineLvl w:val="0"/>
            </w:pPr>
            <w:r>
              <w:rPr>
                <w:spacing w:val="8"/>
              </w:rPr>
              <w:t>在生产区、工（库）</w:t>
            </w:r>
          </w:p>
          <w:p w14:paraId="18803CEA">
            <w:pPr>
              <w:pStyle w:val="6"/>
              <w:spacing w:before="3" w:line="186" w:lineRule="auto"/>
              <w:ind w:left="98" w:right="46" w:firstLine="23"/>
              <w:jc w:val="both"/>
            </w:pPr>
            <w:r>
              <w:rPr>
                <w:spacing w:val="25"/>
              </w:rPr>
              <w:t>房等有药区域对安</w:t>
            </w:r>
            <w:r>
              <w:t>全设备进行检测、改</w:t>
            </w:r>
            <w:r>
              <w:rPr>
                <w:spacing w:val="-5"/>
              </w:rPr>
              <w:t>造作业时，有</w:t>
            </w:r>
            <w:r>
              <w:rPr>
                <w:rFonts w:ascii="宋体" w:hAnsi="宋体" w:eastAsia="宋体" w:cs="宋体"/>
                <w:spacing w:val="-5"/>
              </w:rPr>
              <w:t>1</w:t>
            </w:r>
            <w:r>
              <w:rPr>
                <w:spacing w:val="-5"/>
              </w:rPr>
              <w:t>处工</w:t>
            </w:r>
            <w:r>
              <w:rPr>
                <w:spacing w:val="6"/>
              </w:rPr>
              <w:t>（库）房内的药物、</w:t>
            </w:r>
            <w:r>
              <w:t>有药半成品、成品未</w:t>
            </w:r>
            <w:r>
              <w:rPr>
                <w:spacing w:val="28"/>
              </w:rPr>
              <w:t>搬走并清理作业现</w:t>
            </w:r>
            <w:r>
              <w:rPr>
                <w:spacing w:val="12"/>
              </w:rPr>
              <w:t>场的</w:t>
            </w:r>
          </w:p>
        </w:tc>
        <w:tc>
          <w:tcPr>
            <w:tcW w:w="2894" w:type="dxa"/>
            <w:vAlign w:val="top"/>
          </w:tcPr>
          <w:p w14:paraId="45312E44">
            <w:pPr>
              <w:pStyle w:val="6"/>
              <w:spacing w:before="29" w:line="180" w:lineRule="auto"/>
              <w:ind w:left="120" w:right="104" w:firstLine="7"/>
              <w:jc w:val="both"/>
            </w:pPr>
            <w:r>
              <w:rPr>
                <w:spacing w:val="10"/>
              </w:rPr>
              <w:t>责令限期改正，可以处</w:t>
            </w:r>
            <w:r>
              <w:rPr>
                <w:rFonts w:ascii="宋体" w:hAnsi="宋体" w:eastAsia="宋体" w:cs="宋体"/>
                <w:spacing w:val="10"/>
              </w:rPr>
              <w:t>2</w:t>
            </w:r>
            <w:r>
              <w:rPr>
                <w:spacing w:val="9"/>
              </w:rPr>
              <w:t>万元以下的罚款；逾期未</w:t>
            </w:r>
            <w:r>
              <w:t>改正的，处</w:t>
            </w:r>
            <w:r>
              <w:rPr>
                <w:rFonts w:ascii="宋体" w:hAnsi="宋体" w:eastAsia="宋体" w:cs="宋体"/>
              </w:rPr>
              <w:t>5</w:t>
            </w:r>
            <w:r>
              <w:t>万元以上</w:t>
            </w:r>
            <w:r>
              <w:rPr>
                <w:rFonts w:ascii="宋体" w:hAnsi="宋体" w:eastAsia="宋体" w:cs="宋体"/>
              </w:rPr>
              <w:t>10</w:t>
            </w:r>
            <w:r>
              <w:rPr>
                <w:spacing w:val="8"/>
              </w:rPr>
              <w:t>万元以下的罚款，对其直</w:t>
            </w:r>
            <w:r>
              <w:rPr>
                <w:spacing w:val="11"/>
              </w:rPr>
              <w:t>接负责的主管人员和其他</w:t>
            </w:r>
            <w:r>
              <w:rPr>
                <w:spacing w:val="5"/>
              </w:rPr>
              <w:t>直接责任人员处</w:t>
            </w:r>
            <w:r>
              <w:rPr>
                <w:rFonts w:ascii="宋体" w:hAnsi="宋体" w:eastAsia="宋体" w:cs="宋体"/>
                <w:spacing w:val="5"/>
              </w:rPr>
              <w:t>1</w:t>
            </w:r>
            <w:r>
              <w:rPr>
                <w:spacing w:val="5"/>
              </w:rPr>
              <w:t>万元以</w:t>
            </w:r>
            <w:r>
              <w:rPr>
                <w:spacing w:val="3"/>
              </w:rPr>
              <w:t>上</w:t>
            </w:r>
            <w:r>
              <w:rPr>
                <w:rFonts w:ascii="宋体" w:hAnsi="宋体" w:eastAsia="宋体" w:cs="宋体"/>
                <w:spacing w:val="3"/>
              </w:rPr>
              <w:t>2</w:t>
            </w:r>
            <w:r>
              <w:rPr>
                <w:spacing w:val="3"/>
              </w:rPr>
              <w:t>万元以下的罚款；情</w:t>
            </w:r>
            <w:r>
              <w:rPr>
                <w:spacing w:val="8"/>
              </w:rPr>
              <w:t>节严重的，责令停产停业</w:t>
            </w:r>
            <w:r>
              <w:rPr>
                <w:spacing w:val="2"/>
              </w:rPr>
              <w:t>整顿</w:t>
            </w:r>
          </w:p>
        </w:tc>
        <w:tc>
          <w:tcPr>
            <w:tcW w:w="811" w:type="dxa"/>
            <w:vMerge w:val="restart"/>
            <w:tcBorders>
              <w:bottom w:val="nil"/>
            </w:tcBorders>
            <w:vAlign w:val="top"/>
          </w:tcPr>
          <w:p w14:paraId="2F16D028">
            <w:pPr>
              <w:spacing w:line="242" w:lineRule="auto"/>
              <w:rPr>
                <w:rFonts w:ascii="Arial"/>
                <w:sz w:val="21"/>
              </w:rPr>
            </w:pPr>
          </w:p>
          <w:p w14:paraId="74FC809A">
            <w:pPr>
              <w:spacing w:line="242" w:lineRule="auto"/>
              <w:rPr>
                <w:rFonts w:ascii="Arial"/>
                <w:sz w:val="21"/>
              </w:rPr>
            </w:pPr>
          </w:p>
          <w:p w14:paraId="3956175A">
            <w:pPr>
              <w:spacing w:line="242" w:lineRule="auto"/>
              <w:rPr>
                <w:rFonts w:ascii="Arial"/>
                <w:sz w:val="21"/>
              </w:rPr>
            </w:pPr>
          </w:p>
          <w:p w14:paraId="586C8ED2">
            <w:pPr>
              <w:spacing w:line="242" w:lineRule="auto"/>
              <w:rPr>
                <w:rFonts w:ascii="Arial"/>
                <w:sz w:val="21"/>
              </w:rPr>
            </w:pPr>
          </w:p>
          <w:p w14:paraId="6F413E79">
            <w:pPr>
              <w:spacing w:line="242" w:lineRule="auto"/>
              <w:rPr>
                <w:rFonts w:ascii="Arial"/>
                <w:sz w:val="21"/>
              </w:rPr>
            </w:pPr>
          </w:p>
          <w:p w14:paraId="658BC60F">
            <w:pPr>
              <w:spacing w:line="243" w:lineRule="auto"/>
              <w:rPr>
                <w:rFonts w:ascii="Arial"/>
                <w:sz w:val="21"/>
              </w:rPr>
            </w:pPr>
          </w:p>
          <w:p w14:paraId="6E241A14">
            <w:pPr>
              <w:spacing w:line="243" w:lineRule="auto"/>
              <w:rPr>
                <w:rFonts w:ascii="Arial"/>
                <w:sz w:val="21"/>
              </w:rPr>
            </w:pPr>
          </w:p>
          <w:p w14:paraId="547F006A">
            <w:pPr>
              <w:spacing w:line="243" w:lineRule="auto"/>
              <w:rPr>
                <w:rFonts w:ascii="Arial"/>
                <w:sz w:val="21"/>
              </w:rPr>
            </w:pPr>
          </w:p>
          <w:p w14:paraId="1DF645F2">
            <w:pPr>
              <w:spacing w:line="243" w:lineRule="auto"/>
              <w:rPr>
                <w:rFonts w:ascii="Arial"/>
                <w:sz w:val="21"/>
              </w:rPr>
            </w:pPr>
          </w:p>
          <w:p w14:paraId="58753C9B">
            <w:pPr>
              <w:spacing w:line="243" w:lineRule="auto"/>
              <w:rPr>
                <w:rFonts w:ascii="Arial"/>
                <w:sz w:val="21"/>
              </w:rPr>
            </w:pPr>
          </w:p>
          <w:p w14:paraId="534E231C">
            <w:pPr>
              <w:spacing w:line="243" w:lineRule="auto"/>
              <w:rPr>
                <w:rFonts w:ascii="Arial"/>
                <w:sz w:val="21"/>
              </w:rPr>
            </w:pPr>
          </w:p>
          <w:p w14:paraId="52F977C5">
            <w:pPr>
              <w:spacing w:line="243" w:lineRule="auto"/>
              <w:rPr>
                <w:rFonts w:ascii="Arial"/>
                <w:sz w:val="21"/>
              </w:rPr>
            </w:pPr>
          </w:p>
          <w:p w14:paraId="0813B342">
            <w:pPr>
              <w:spacing w:line="243" w:lineRule="auto"/>
              <w:rPr>
                <w:rFonts w:ascii="Arial"/>
                <w:sz w:val="21"/>
              </w:rPr>
            </w:pPr>
          </w:p>
          <w:p w14:paraId="3C4E37E0">
            <w:pPr>
              <w:spacing w:line="243" w:lineRule="auto"/>
              <w:rPr>
                <w:rFonts w:ascii="Arial"/>
                <w:sz w:val="21"/>
              </w:rPr>
            </w:pPr>
          </w:p>
          <w:p w14:paraId="2C2678E0">
            <w:pPr>
              <w:spacing w:line="243" w:lineRule="auto"/>
              <w:rPr>
                <w:rFonts w:ascii="Arial"/>
                <w:sz w:val="21"/>
              </w:rPr>
            </w:pPr>
          </w:p>
          <w:p w14:paraId="0724806F">
            <w:pPr>
              <w:spacing w:line="243" w:lineRule="auto"/>
              <w:rPr>
                <w:rFonts w:ascii="Arial"/>
                <w:sz w:val="21"/>
              </w:rPr>
            </w:pPr>
          </w:p>
          <w:p w14:paraId="5212C619">
            <w:pPr>
              <w:spacing w:before="75" w:line="189" w:lineRule="auto"/>
              <w:ind w:left="248"/>
              <w:rPr>
                <w:rFonts w:ascii="宋体" w:hAnsi="宋体" w:eastAsia="宋体" w:cs="宋体"/>
                <w:sz w:val="23"/>
                <w:szCs w:val="23"/>
              </w:rPr>
            </w:pPr>
            <w:r>
              <w:rPr>
                <w:rFonts w:ascii="宋体" w:hAnsi="宋体" w:eastAsia="宋体" w:cs="宋体"/>
                <w:spacing w:val="-6"/>
                <w:sz w:val="23"/>
                <w:szCs w:val="23"/>
              </w:rPr>
              <w:t>159</w:t>
            </w:r>
          </w:p>
        </w:tc>
      </w:tr>
      <w:tr w14:paraId="6DD4D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trPr>
        <w:tc>
          <w:tcPr>
            <w:tcW w:w="818" w:type="dxa"/>
            <w:vMerge w:val="continue"/>
            <w:tcBorders>
              <w:top w:val="nil"/>
              <w:bottom w:val="nil"/>
            </w:tcBorders>
            <w:vAlign w:val="top"/>
          </w:tcPr>
          <w:p w14:paraId="6F4A5BC2">
            <w:pPr>
              <w:rPr>
                <w:rFonts w:ascii="Arial"/>
                <w:sz w:val="21"/>
              </w:rPr>
            </w:pPr>
          </w:p>
        </w:tc>
        <w:tc>
          <w:tcPr>
            <w:tcW w:w="1440" w:type="dxa"/>
            <w:vMerge w:val="continue"/>
            <w:tcBorders>
              <w:top w:val="nil"/>
              <w:bottom w:val="nil"/>
            </w:tcBorders>
            <w:vAlign w:val="top"/>
          </w:tcPr>
          <w:p w14:paraId="32A108A7">
            <w:pPr>
              <w:rPr>
                <w:rFonts w:ascii="Arial"/>
                <w:sz w:val="21"/>
              </w:rPr>
            </w:pPr>
          </w:p>
        </w:tc>
        <w:tc>
          <w:tcPr>
            <w:tcW w:w="3202" w:type="dxa"/>
            <w:vMerge w:val="continue"/>
            <w:tcBorders>
              <w:top w:val="nil"/>
              <w:bottom w:val="nil"/>
            </w:tcBorders>
            <w:vAlign w:val="top"/>
          </w:tcPr>
          <w:p w14:paraId="4A210B8B">
            <w:pPr>
              <w:rPr>
                <w:rFonts w:ascii="Arial"/>
                <w:sz w:val="21"/>
              </w:rPr>
            </w:pPr>
          </w:p>
        </w:tc>
        <w:tc>
          <w:tcPr>
            <w:tcW w:w="2859" w:type="dxa"/>
            <w:vMerge w:val="continue"/>
            <w:tcBorders>
              <w:top w:val="nil"/>
              <w:bottom w:val="nil"/>
            </w:tcBorders>
            <w:vAlign w:val="top"/>
          </w:tcPr>
          <w:p w14:paraId="7760695C">
            <w:pPr>
              <w:rPr>
                <w:rFonts w:ascii="Arial"/>
                <w:sz w:val="21"/>
              </w:rPr>
            </w:pPr>
          </w:p>
        </w:tc>
        <w:tc>
          <w:tcPr>
            <w:tcW w:w="803" w:type="dxa"/>
            <w:vAlign w:val="top"/>
          </w:tcPr>
          <w:p w14:paraId="4C5A213C">
            <w:pPr>
              <w:spacing w:line="298" w:lineRule="auto"/>
              <w:rPr>
                <w:rFonts w:ascii="Arial"/>
                <w:sz w:val="21"/>
              </w:rPr>
            </w:pPr>
          </w:p>
          <w:p w14:paraId="44E948CD">
            <w:pPr>
              <w:spacing w:line="298" w:lineRule="auto"/>
              <w:rPr>
                <w:rFonts w:ascii="Arial"/>
                <w:sz w:val="21"/>
              </w:rPr>
            </w:pPr>
          </w:p>
          <w:p w14:paraId="74B9334E">
            <w:pPr>
              <w:spacing w:line="299" w:lineRule="auto"/>
              <w:rPr>
                <w:rFonts w:ascii="Arial"/>
                <w:sz w:val="21"/>
              </w:rPr>
            </w:pPr>
          </w:p>
          <w:p w14:paraId="3E5A5AEF">
            <w:pPr>
              <w:spacing w:line="299" w:lineRule="auto"/>
              <w:rPr>
                <w:rFonts w:ascii="Arial"/>
                <w:sz w:val="21"/>
              </w:rPr>
            </w:pPr>
          </w:p>
          <w:p w14:paraId="244CFD4C">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DD494C3">
            <w:pPr>
              <w:pStyle w:val="6"/>
              <w:spacing w:before="177" w:line="186" w:lineRule="auto"/>
              <w:ind w:left="98" w:right="13" w:firstLine="18"/>
              <w:jc w:val="both"/>
            </w:pPr>
            <w:r>
              <w:rPr>
                <w:spacing w:val="8"/>
              </w:rPr>
              <w:t>在生产区、工（库）</w:t>
            </w:r>
            <w:r>
              <w:rPr>
                <w:spacing w:val="28"/>
              </w:rPr>
              <w:t>房等有药区域对安</w:t>
            </w:r>
            <w:r>
              <w:t>全设备进行检测、改</w:t>
            </w:r>
            <w:r>
              <w:rPr>
                <w:spacing w:val="-3"/>
              </w:rPr>
              <w:t>造作业时，有</w:t>
            </w:r>
            <w:r>
              <w:rPr>
                <w:rFonts w:ascii="宋体" w:hAnsi="宋体" w:eastAsia="宋体" w:cs="宋体"/>
                <w:spacing w:val="-3"/>
              </w:rPr>
              <w:t>2</w:t>
            </w:r>
            <w:r>
              <w:rPr>
                <w:spacing w:val="-3"/>
              </w:rPr>
              <w:t>处工</w:t>
            </w:r>
            <w:r>
              <w:rPr>
                <w:spacing w:val="6"/>
              </w:rPr>
              <w:t>（库）房内的药物、</w:t>
            </w:r>
            <w:r>
              <w:t>有药半成品、成品未</w:t>
            </w:r>
            <w:r>
              <w:rPr>
                <w:spacing w:val="28"/>
              </w:rPr>
              <w:t>搬走并清理作业现</w:t>
            </w:r>
            <w:r>
              <w:rPr>
                <w:spacing w:val="12"/>
              </w:rPr>
              <w:t>场的</w:t>
            </w:r>
          </w:p>
        </w:tc>
        <w:tc>
          <w:tcPr>
            <w:tcW w:w="2894" w:type="dxa"/>
            <w:vAlign w:val="top"/>
          </w:tcPr>
          <w:p w14:paraId="216E15DE">
            <w:pPr>
              <w:pStyle w:val="6"/>
              <w:spacing w:before="29" w:line="180" w:lineRule="auto"/>
              <w:ind w:left="122" w:right="104" w:firstLine="4"/>
            </w:pPr>
            <w:r>
              <w:rPr>
                <w:spacing w:val="10"/>
              </w:rPr>
              <w:t>责令限期改正，可以处</w:t>
            </w:r>
            <w:r>
              <w:rPr>
                <w:rFonts w:ascii="宋体" w:hAnsi="宋体" w:eastAsia="宋体" w:cs="宋体"/>
                <w:spacing w:val="10"/>
              </w:rPr>
              <w:t>2</w:t>
            </w:r>
            <w:r>
              <w:rPr>
                <w:spacing w:val="7"/>
              </w:rPr>
              <w:t>万元以上</w:t>
            </w:r>
            <w:r>
              <w:rPr>
                <w:rFonts w:ascii="宋体" w:hAnsi="宋体" w:eastAsia="宋体" w:cs="宋体"/>
                <w:spacing w:val="7"/>
              </w:rPr>
              <w:t>4</w:t>
            </w:r>
            <w:r>
              <w:rPr>
                <w:spacing w:val="7"/>
              </w:rPr>
              <w:t>万元以下的罚</w:t>
            </w:r>
            <w:r>
              <w:rPr>
                <w:spacing w:val="-3"/>
              </w:rPr>
              <w:t>款；逾期未改正的，处</w:t>
            </w:r>
            <w:r>
              <w:rPr>
                <w:rFonts w:ascii="宋体" w:hAnsi="宋体" w:eastAsia="宋体" w:cs="宋体"/>
                <w:spacing w:val="-3"/>
              </w:rPr>
              <w:t>10</w:t>
            </w:r>
            <w:r>
              <w:rPr>
                <w:spacing w:val="11"/>
              </w:rPr>
              <w:t>万元以上</w:t>
            </w:r>
            <w:r>
              <w:rPr>
                <w:rFonts w:ascii="宋体" w:hAnsi="宋体" w:eastAsia="宋体" w:cs="宋体"/>
                <w:spacing w:val="11"/>
              </w:rPr>
              <w:t>15</w:t>
            </w:r>
            <w:r>
              <w:rPr>
                <w:spacing w:val="11"/>
              </w:rPr>
              <w:t>万元以下的</w:t>
            </w:r>
            <w:r>
              <w:rPr>
                <w:spacing w:val="8"/>
              </w:rPr>
              <w:t>罚款，对其直接负责的主</w:t>
            </w:r>
            <w:r>
              <w:rPr>
                <w:spacing w:val="11"/>
              </w:rPr>
              <w:t>管人员和其他直接责任人</w:t>
            </w:r>
            <w:r>
              <w:rPr>
                <w:spacing w:val="1"/>
              </w:rPr>
              <w:t>员处</w:t>
            </w:r>
            <w:r>
              <w:rPr>
                <w:rFonts w:ascii="宋体" w:hAnsi="宋体" w:eastAsia="宋体" w:cs="宋体"/>
                <w:spacing w:val="1"/>
              </w:rPr>
              <w:t>1</w:t>
            </w:r>
            <w:r>
              <w:rPr>
                <w:spacing w:val="1"/>
              </w:rPr>
              <w:t>万元以上</w:t>
            </w:r>
            <w:r>
              <w:rPr>
                <w:rFonts w:ascii="宋体" w:hAnsi="宋体" w:eastAsia="宋体" w:cs="宋体"/>
                <w:spacing w:val="1"/>
              </w:rPr>
              <w:t>2</w:t>
            </w:r>
            <w:r>
              <w:rPr>
                <w:spacing w:val="1"/>
              </w:rPr>
              <w:t>万元以</w:t>
            </w:r>
            <w:r>
              <w:rPr>
                <w:spacing w:val="6"/>
              </w:rPr>
              <w:t>下的罚款；情节严重的，</w:t>
            </w:r>
            <w:r>
              <w:rPr>
                <w:spacing w:val="7"/>
              </w:rPr>
              <w:t>责令停产停业整顿</w:t>
            </w:r>
          </w:p>
        </w:tc>
        <w:tc>
          <w:tcPr>
            <w:tcW w:w="811" w:type="dxa"/>
            <w:vMerge w:val="continue"/>
            <w:tcBorders>
              <w:top w:val="nil"/>
              <w:bottom w:val="nil"/>
            </w:tcBorders>
            <w:vAlign w:val="top"/>
          </w:tcPr>
          <w:p w14:paraId="737842AB">
            <w:pPr>
              <w:rPr>
                <w:rFonts w:ascii="Arial"/>
                <w:sz w:val="21"/>
              </w:rPr>
            </w:pPr>
          </w:p>
        </w:tc>
      </w:tr>
      <w:tr w14:paraId="109EF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818" w:type="dxa"/>
            <w:vMerge w:val="continue"/>
            <w:tcBorders>
              <w:top w:val="nil"/>
            </w:tcBorders>
            <w:vAlign w:val="top"/>
          </w:tcPr>
          <w:p w14:paraId="612DA838">
            <w:pPr>
              <w:rPr>
                <w:rFonts w:ascii="Arial"/>
                <w:sz w:val="21"/>
              </w:rPr>
            </w:pPr>
          </w:p>
        </w:tc>
        <w:tc>
          <w:tcPr>
            <w:tcW w:w="1440" w:type="dxa"/>
            <w:vMerge w:val="continue"/>
            <w:tcBorders>
              <w:top w:val="nil"/>
            </w:tcBorders>
            <w:vAlign w:val="top"/>
          </w:tcPr>
          <w:p w14:paraId="37F0F0E8">
            <w:pPr>
              <w:rPr>
                <w:rFonts w:ascii="Arial"/>
                <w:sz w:val="21"/>
              </w:rPr>
            </w:pPr>
          </w:p>
        </w:tc>
        <w:tc>
          <w:tcPr>
            <w:tcW w:w="3202" w:type="dxa"/>
            <w:vMerge w:val="continue"/>
            <w:tcBorders>
              <w:top w:val="nil"/>
            </w:tcBorders>
            <w:vAlign w:val="top"/>
          </w:tcPr>
          <w:p w14:paraId="4257E843">
            <w:pPr>
              <w:rPr>
                <w:rFonts w:ascii="Arial"/>
                <w:sz w:val="21"/>
              </w:rPr>
            </w:pPr>
          </w:p>
        </w:tc>
        <w:tc>
          <w:tcPr>
            <w:tcW w:w="2859" w:type="dxa"/>
            <w:vMerge w:val="continue"/>
            <w:tcBorders>
              <w:top w:val="nil"/>
            </w:tcBorders>
            <w:vAlign w:val="top"/>
          </w:tcPr>
          <w:p w14:paraId="72F8A092">
            <w:pPr>
              <w:rPr>
                <w:rFonts w:ascii="Arial"/>
                <w:sz w:val="21"/>
              </w:rPr>
            </w:pPr>
          </w:p>
        </w:tc>
        <w:tc>
          <w:tcPr>
            <w:tcW w:w="803" w:type="dxa"/>
            <w:vAlign w:val="top"/>
          </w:tcPr>
          <w:p w14:paraId="37089C74">
            <w:pPr>
              <w:spacing w:line="298" w:lineRule="auto"/>
              <w:rPr>
                <w:rFonts w:ascii="Arial"/>
                <w:sz w:val="21"/>
              </w:rPr>
            </w:pPr>
          </w:p>
          <w:p w14:paraId="0E2657AE">
            <w:pPr>
              <w:spacing w:line="298" w:lineRule="auto"/>
              <w:rPr>
                <w:rFonts w:ascii="Arial"/>
                <w:sz w:val="21"/>
              </w:rPr>
            </w:pPr>
          </w:p>
          <w:p w14:paraId="0D615F2D">
            <w:pPr>
              <w:spacing w:line="299" w:lineRule="auto"/>
              <w:rPr>
                <w:rFonts w:ascii="Arial"/>
                <w:sz w:val="21"/>
              </w:rPr>
            </w:pPr>
          </w:p>
          <w:p w14:paraId="67E9056F">
            <w:pPr>
              <w:spacing w:line="299" w:lineRule="auto"/>
              <w:rPr>
                <w:rFonts w:ascii="Arial"/>
                <w:sz w:val="21"/>
              </w:rPr>
            </w:pPr>
          </w:p>
          <w:p w14:paraId="29B0E2F8">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D8CB1DF">
            <w:pPr>
              <w:pStyle w:val="6"/>
              <w:spacing w:before="179" w:line="186" w:lineRule="auto"/>
              <w:ind w:left="116" w:right="13"/>
              <w:jc w:val="both"/>
            </w:pPr>
            <w:r>
              <w:rPr>
                <w:spacing w:val="8"/>
              </w:rPr>
              <w:t>在生产区、工（库）</w:t>
            </w:r>
            <w:r>
              <w:rPr>
                <w:spacing w:val="26"/>
              </w:rPr>
              <w:t>房等有药区域对安</w:t>
            </w:r>
            <w:r>
              <w:rPr>
                <w:spacing w:val="-2"/>
              </w:rPr>
              <w:t>全设备进行检测、改</w:t>
            </w:r>
            <w:r>
              <w:rPr>
                <w:spacing w:val="-5"/>
              </w:rPr>
              <w:t>造作业时，有</w:t>
            </w:r>
            <w:r>
              <w:rPr>
                <w:rFonts w:ascii="宋体" w:hAnsi="宋体" w:eastAsia="宋体" w:cs="宋体"/>
                <w:spacing w:val="-5"/>
              </w:rPr>
              <w:t>3</w:t>
            </w:r>
            <w:r>
              <w:rPr>
                <w:spacing w:val="-5"/>
              </w:rPr>
              <w:t>处以</w:t>
            </w:r>
            <w:r>
              <w:rPr>
                <w:spacing w:val="-2"/>
              </w:rPr>
              <w:t>上工（库）房内的药物、有药半成品、成</w:t>
            </w:r>
            <w:r>
              <w:rPr>
                <w:spacing w:val="26"/>
              </w:rPr>
              <w:t>品未搬走并清理作</w:t>
            </w:r>
            <w:r>
              <w:rPr>
                <w:spacing w:val="6"/>
              </w:rPr>
              <w:t>业现场的</w:t>
            </w:r>
          </w:p>
        </w:tc>
        <w:tc>
          <w:tcPr>
            <w:tcW w:w="2894" w:type="dxa"/>
            <w:vAlign w:val="top"/>
          </w:tcPr>
          <w:p w14:paraId="20BC62EB">
            <w:pPr>
              <w:pStyle w:val="6"/>
              <w:spacing w:before="30" w:line="180" w:lineRule="auto"/>
              <w:ind w:left="122" w:right="104" w:firstLine="4"/>
            </w:pPr>
            <w:r>
              <w:rPr>
                <w:spacing w:val="10"/>
              </w:rPr>
              <w:t>责令限期改正，可以处</w:t>
            </w:r>
            <w:r>
              <w:rPr>
                <w:rFonts w:ascii="宋体" w:hAnsi="宋体" w:eastAsia="宋体" w:cs="宋体"/>
                <w:spacing w:val="10"/>
              </w:rPr>
              <w:t>4</w:t>
            </w:r>
            <w:r>
              <w:rPr>
                <w:spacing w:val="7"/>
              </w:rPr>
              <w:t>万元以上</w:t>
            </w:r>
            <w:r>
              <w:rPr>
                <w:rFonts w:ascii="宋体" w:hAnsi="宋体" w:eastAsia="宋体" w:cs="宋体"/>
                <w:spacing w:val="7"/>
              </w:rPr>
              <w:t>5</w:t>
            </w:r>
            <w:r>
              <w:rPr>
                <w:spacing w:val="7"/>
              </w:rPr>
              <w:t>万元以下的罚</w:t>
            </w:r>
            <w:r>
              <w:rPr>
                <w:spacing w:val="-3"/>
              </w:rPr>
              <w:t>款；逾期未改正的，处</w:t>
            </w:r>
            <w:r>
              <w:rPr>
                <w:rFonts w:ascii="宋体" w:hAnsi="宋体" w:eastAsia="宋体" w:cs="宋体"/>
                <w:spacing w:val="-3"/>
              </w:rPr>
              <w:t>15</w:t>
            </w:r>
            <w:r>
              <w:rPr>
                <w:spacing w:val="13"/>
              </w:rPr>
              <w:t>万元以上</w:t>
            </w:r>
            <w:r>
              <w:rPr>
                <w:rFonts w:ascii="宋体" w:hAnsi="宋体" w:eastAsia="宋体" w:cs="宋体"/>
                <w:spacing w:val="13"/>
              </w:rPr>
              <w:t>20</w:t>
            </w:r>
            <w:r>
              <w:rPr>
                <w:spacing w:val="13"/>
              </w:rPr>
              <w:t>万元以下的</w:t>
            </w:r>
            <w:r>
              <w:rPr>
                <w:spacing w:val="8"/>
              </w:rPr>
              <w:t>罚款，对其直接负责的主</w:t>
            </w:r>
            <w:r>
              <w:rPr>
                <w:spacing w:val="11"/>
              </w:rPr>
              <w:t>管人员和其他直接责任人</w:t>
            </w:r>
            <w:r>
              <w:rPr>
                <w:spacing w:val="1"/>
              </w:rPr>
              <w:t>员处</w:t>
            </w:r>
            <w:r>
              <w:rPr>
                <w:rFonts w:ascii="宋体" w:hAnsi="宋体" w:eastAsia="宋体" w:cs="宋体"/>
                <w:spacing w:val="1"/>
              </w:rPr>
              <w:t>1</w:t>
            </w:r>
            <w:r>
              <w:rPr>
                <w:spacing w:val="1"/>
              </w:rPr>
              <w:t>万元以上</w:t>
            </w:r>
            <w:r>
              <w:rPr>
                <w:rFonts w:ascii="宋体" w:hAnsi="宋体" w:eastAsia="宋体" w:cs="宋体"/>
                <w:spacing w:val="1"/>
              </w:rPr>
              <w:t>2</w:t>
            </w:r>
            <w:r>
              <w:rPr>
                <w:spacing w:val="1"/>
              </w:rPr>
              <w:t>万元以</w:t>
            </w:r>
            <w:r>
              <w:rPr>
                <w:spacing w:val="6"/>
              </w:rPr>
              <w:t>下的罚款；情节严重的，</w:t>
            </w:r>
            <w:r>
              <w:rPr>
                <w:spacing w:val="7"/>
              </w:rPr>
              <w:t>责令停产停业整顿</w:t>
            </w:r>
          </w:p>
        </w:tc>
        <w:tc>
          <w:tcPr>
            <w:tcW w:w="811" w:type="dxa"/>
            <w:vMerge w:val="continue"/>
            <w:tcBorders>
              <w:top w:val="nil"/>
            </w:tcBorders>
            <w:vAlign w:val="top"/>
          </w:tcPr>
          <w:p w14:paraId="21219259">
            <w:pPr>
              <w:rPr>
                <w:rFonts w:ascii="Arial"/>
                <w:sz w:val="21"/>
              </w:rPr>
            </w:pPr>
          </w:p>
        </w:tc>
      </w:tr>
      <w:tr w14:paraId="33E36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18" w:type="dxa"/>
            <w:vAlign w:val="top"/>
          </w:tcPr>
          <w:p w14:paraId="3558DE49">
            <w:pPr>
              <w:spacing w:before="231" w:line="186" w:lineRule="auto"/>
              <w:ind w:left="161"/>
              <w:rPr>
                <w:rFonts w:ascii="仿宋" w:hAnsi="仿宋" w:eastAsia="仿宋" w:cs="仿宋"/>
                <w:sz w:val="23"/>
                <w:szCs w:val="23"/>
              </w:rPr>
            </w:pPr>
            <w:r>
              <w:rPr>
                <w:rFonts w:ascii="仿宋" w:hAnsi="仿宋" w:eastAsia="仿宋" w:cs="仿宋"/>
                <w:spacing w:val="-5"/>
                <w:sz w:val="23"/>
                <w:szCs w:val="23"/>
              </w:rPr>
              <w:t>184</w:t>
            </w:r>
          </w:p>
        </w:tc>
        <w:tc>
          <w:tcPr>
            <w:tcW w:w="1440" w:type="dxa"/>
            <w:vAlign w:val="top"/>
          </w:tcPr>
          <w:p w14:paraId="45A0008C">
            <w:pPr>
              <w:pStyle w:val="6"/>
              <w:spacing w:before="32" w:line="172" w:lineRule="auto"/>
              <w:ind w:left="117" w:right="111" w:firstLine="2"/>
            </w:pPr>
            <w:r>
              <w:rPr>
                <w:spacing w:val="10"/>
              </w:rPr>
              <w:t>烟花爆竹生</w:t>
            </w:r>
            <w:r>
              <w:rPr>
                <w:spacing w:val="11"/>
              </w:rPr>
              <w:t>产企业、批</w:t>
            </w:r>
          </w:p>
        </w:tc>
        <w:tc>
          <w:tcPr>
            <w:tcW w:w="3202" w:type="dxa"/>
            <w:vAlign w:val="top"/>
          </w:tcPr>
          <w:p w14:paraId="54E70558">
            <w:pPr>
              <w:pStyle w:val="6"/>
              <w:spacing w:before="32" w:line="172" w:lineRule="auto"/>
              <w:ind w:left="119" w:right="42" w:hanging="21"/>
            </w:pPr>
            <w:r>
              <w:rPr>
                <w:spacing w:val="18"/>
              </w:rPr>
              <w:t>【部门规章】《烟花爆竹生</w:t>
            </w:r>
            <w:r>
              <w:rPr>
                <w:spacing w:val="3"/>
              </w:rPr>
              <w:t>产经营安全规定》第十七条：</w:t>
            </w:r>
          </w:p>
        </w:tc>
        <w:tc>
          <w:tcPr>
            <w:tcW w:w="2859" w:type="dxa"/>
            <w:vAlign w:val="top"/>
          </w:tcPr>
          <w:p w14:paraId="5E9CD4F1">
            <w:pPr>
              <w:pStyle w:val="6"/>
              <w:spacing w:before="32" w:line="172" w:lineRule="auto"/>
              <w:ind w:left="130" w:right="110" w:hanging="33"/>
            </w:pPr>
            <w:r>
              <w:rPr>
                <w:spacing w:val="10"/>
              </w:rPr>
              <w:t>【部门规章】《烟花爆竹</w:t>
            </w:r>
            <w:r>
              <w:rPr>
                <w:spacing w:val="7"/>
              </w:rPr>
              <w:t>生产经营安全规定》第三</w:t>
            </w:r>
          </w:p>
        </w:tc>
        <w:tc>
          <w:tcPr>
            <w:tcW w:w="803" w:type="dxa"/>
            <w:vAlign w:val="top"/>
          </w:tcPr>
          <w:p w14:paraId="6424A39F">
            <w:pPr>
              <w:spacing w:before="226"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F6C2DFE">
            <w:pPr>
              <w:pStyle w:val="6"/>
              <w:spacing w:before="32" w:line="172" w:lineRule="auto"/>
              <w:ind w:left="119" w:right="109" w:hanging="1"/>
            </w:pPr>
            <w:r>
              <w:rPr>
                <w:spacing w:val="-3"/>
              </w:rPr>
              <w:t>未建立从业人员、外来人员、车辆出入厂</w:t>
            </w:r>
          </w:p>
        </w:tc>
        <w:tc>
          <w:tcPr>
            <w:tcW w:w="2894" w:type="dxa"/>
            <w:vAlign w:val="top"/>
          </w:tcPr>
          <w:p w14:paraId="12A30CE8">
            <w:pPr>
              <w:pStyle w:val="6"/>
              <w:spacing w:before="32" w:line="172" w:lineRule="auto"/>
              <w:ind w:left="129" w:right="104" w:hanging="2"/>
            </w:pPr>
            <w:r>
              <w:rPr>
                <w:spacing w:val="10"/>
              </w:rPr>
              <w:t>责令限期改正，可以处</w:t>
            </w:r>
            <w:r>
              <w:rPr>
                <w:rFonts w:ascii="宋体" w:hAnsi="宋体" w:eastAsia="宋体" w:cs="宋体"/>
                <w:spacing w:val="10"/>
              </w:rPr>
              <w:t>3</w:t>
            </w:r>
            <w:r>
              <w:rPr>
                <w:spacing w:val="8"/>
              </w:rPr>
              <w:t>万元以下的罚款；逾期未</w:t>
            </w:r>
          </w:p>
        </w:tc>
        <w:tc>
          <w:tcPr>
            <w:tcW w:w="811" w:type="dxa"/>
            <w:vAlign w:val="top"/>
          </w:tcPr>
          <w:p w14:paraId="19AC17D1">
            <w:pPr>
              <w:rPr>
                <w:rFonts w:ascii="Arial"/>
                <w:sz w:val="21"/>
              </w:rPr>
            </w:pPr>
          </w:p>
        </w:tc>
      </w:tr>
    </w:tbl>
    <w:p w14:paraId="7D53A2BE">
      <w:pPr>
        <w:pStyle w:val="2"/>
      </w:pPr>
    </w:p>
    <w:p w14:paraId="75CE3796">
      <w:pPr>
        <w:sectPr>
          <w:footerReference r:id="rId198" w:type="default"/>
          <w:pgSz w:w="16839" w:h="11906"/>
          <w:pgMar w:top="1012" w:right="821" w:bottom="667" w:left="901" w:header="0" w:footer="388" w:gutter="0"/>
          <w:cols w:space="720" w:num="1"/>
        </w:sectPr>
      </w:pPr>
    </w:p>
    <w:p w14:paraId="19893BAE">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6FAB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1FAD269">
            <w:pPr>
              <w:spacing w:before="222" w:line="241" w:lineRule="auto"/>
              <w:ind w:left="131"/>
              <w:rPr>
                <w:rFonts w:ascii="黑体" w:hAnsi="黑体" w:eastAsia="黑体" w:cs="黑体"/>
                <w:sz w:val="28"/>
                <w:szCs w:val="28"/>
              </w:rPr>
            </w:pPr>
            <w:bookmarkStart w:id="668" w:name="bookmark592"/>
            <w:bookmarkEnd w:id="668"/>
            <w:r>
              <w:rPr>
                <w:rFonts w:ascii="黑体" w:hAnsi="黑体" w:eastAsia="黑体" w:cs="黑体"/>
                <w:spacing w:val="-2"/>
                <w:sz w:val="28"/>
                <w:szCs w:val="28"/>
              </w:rPr>
              <w:t>序号</w:t>
            </w:r>
          </w:p>
        </w:tc>
        <w:tc>
          <w:tcPr>
            <w:tcW w:w="1440" w:type="dxa"/>
            <w:vAlign w:val="top"/>
          </w:tcPr>
          <w:p w14:paraId="43768CB5">
            <w:pPr>
              <w:spacing w:before="221"/>
              <w:ind w:left="163"/>
              <w:outlineLvl w:val="1"/>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E0CE8EF">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F36F1C7">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FEFDA43">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0D18DA4">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3BC5A704">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725F12C">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45D9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restart"/>
            <w:tcBorders>
              <w:bottom w:val="nil"/>
            </w:tcBorders>
            <w:vAlign w:val="top"/>
          </w:tcPr>
          <w:p w14:paraId="66E9DA24">
            <w:pPr>
              <w:rPr>
                <w:rFonts w:ascii="Arial"/>
                <w:sz w:val="21"/>
              </w:rPr>
            </w:pPr>
          </w:p>
        </w:tc>
        <w:tc>
          <w:tcPr>
            <w:tcW w:w="1440" w:type="dxa"/>
            <w:vMerge w:val="restart"/>
            <w:tcBorders>
              <w:bottom w:val="nil"/>
            </w:tcBorders>
            <w:vAlign w:val="top"/>
          </w:tcPr>
          <w:p w14:paraId="11BDE8F1">
            <w:pPr>
              <w:pStyle w:val="6"/>
              <w:spacing w:before="28" w:line="182" w:lineRule="auto"/>
              <w:ind w:left="117"/>
              <w:outlineLvl w:val="0"/>
            </w:pPr>
            <w:r>
              <w:rPr>
                <w:spacing w:val="11"/>
              </w:rPr>
              <w:t>发企业未建</w:t>
            </w:r>
          </w:p>
          <w:p w14:paraId="1F0C076B">
            <w:pPr>
              <w:pStyle w:val="6"/>
              <w:spacing w:before="3" w:line="187" w:lineRule="auto"/>
              <w:ind w:left="117" w:right="106" w:firstLine="3"/>
              <w:jc w:val="both"/>
            </w:pPr>
            <w:r>
              <w:rPr>
                <w:spacing w:val="-6"/>
                <w:w w:val="98"/>
              </w:rPr>
              <w:t>立从业人</w:t>
            </w:r>
            <w:r>
              <w:rPr>
                <w:spacing w:val="11"/>
              </w:rPr>
              <w:t>员、外来人员、车辆出</w:t>
            </w:r>
            <w:r>
              <w:rPr>
                <w:spacing w:val="12"/>
              </w:rPr>
              <w:t>入厂（库）</w:t>
            </w:r>
            <w:r>
              <w:rPr>
                <w:spacing w:val="11"/>
              </w:rPr>
              <w:t>区登记制度</w:t>
            </w:r>
            <w:r>
              <w:t>的</w:t>
            </w:r>
          </w:p>
        </w:tc>
        <w:tc>
          <w:tcPr>
            <w:tcW w:w="3202" w:type="dxa"/>
            <w:vMerge w:val="restart"/>
            <w:tcBorders>
              <w:bottom w:val="nil"/>
            </w:tcBorders>
            <w:vAlign w:val="top"/>
          </w:tcPr>
          <w:p w14:paraId="4B46FAC4">
            <w:pPr>
              <w:pStyle w:val="6"/>
              <w:spacing w:before="29" w:line="182" w:lineRule="auto"/>
              <w:ind w:left="123" w:right="111" w:firstLine="8"/>
            </w:pPr>
            <w:r>
              <w:rPr>
                <w:spacing w:val="16"/>
              </w:rPr>
              <w:t>生产企业、批发企业应当建立从业人员、外来人员、车</w:t>
            </w:r>
          </w:p>
          <w:p w14:paraId="22D40890">
            <w:pPr>
              <w:pStyle w:val="6"/>
              <w:spacing w:line="182" w:lineRule="auto"/>
              <w:ind w:right="2"/>
              <w:jc w:val="right"/>
              <w:outlineLvl w:val="1"/>
            </w:pPr>
            <w:r>
              <w:rPr>
                <w:spacing w:val="6"/>
              </w:rPr>
              <w:t>辆进出厂（库）区登记制度，</w:t>
            </w:r>
          </w:p>
          <w:p w14:paraId="43FD0375">
            <w:pPr>
              <w:pStyle w:val="6"/>
              <w:spacing w:before="1" w:line="182" w:lineRule="auto"/>
              <w:ind w:left="138" w:right="111" w:hanging="17"/>
            </w:pPr>
            <w:r>
              <w:rPr>
                <w:spacing w:val="10"/>
              </w:rPr>
              <w:t>对进出厂（库）区的从业人</w:t>
            </w:r>
            <w:r>
              <w:rPr>
                <w:spacing w:val="15"/>
              </w:rPr>
              <w:t>员、外来人员、车辆如实登</w:t>
            </w:r>
          </w:p>
          <w:p w14:paraId="6F0EE4E2">
            <w:pPr>
              <w:pStyle w:val="6"/>
              <w:spacing w:line="182" w:lineRule="auto"/>
              <w:ind w:left="120"/>
              <w:outlineLvl w:val="1"/>
            </w:pPr>
            <w:r>
              <w:rPr>
                <w:spacing w:val="12"/>
              </w:rPr>
              <w:t>记记录，随时掌握厂（库）</w:t>
            </w:r>
          </w:p>
          <w:p w14:paraId="64E7C126">
            <w:pPr>
              <w:pStyle w:val="6"/>
              <w:spacing w:before="8" w:line="186" w:lineRule="auto"/>
              <w:ind w:left="114" w:firstLine="34"/>
              <w:jc w:val="both"/>
            </w:pPr>
            <w:r>
              <w:rPr>
                <w:spacing w:val="13"/>
              </w:rPr>
              <w:t>区人员和车辆的情况。禁止</w:t>
            </w:r>
            <w:bookmarkStart w:id="669" w:name="bookmark378"/>
            <w:bookmarkEnd w:id="669"/>
            <w:r>
              <w:rPr>
                <w:spacing w:val="7"/>
              </w:rPr>
              <w:t>无关人员和车辆进入厂（库）</w:t>
            </w:r>
            <w:r>
              <w:rPr>
                <w:spacing w:val="16"/>
              </w:rPr>
              <w:t>区。禁止未安装阻火装置等不符合国家标准或者行业标准规定安全条件的机动车辆</w:t>
            </w:r>
            <w:r>
              <w:rPr>
                <w:spacing w:val="4"/>
              </w:rPr>
              <w:t>进入生产区和仓库区。</w:t>
            </w:r>
          </w:p>
        </w:tc>
        <w:tc>
          <w:tcPr>
            <w:tcW w:w="2859" w:type="dxa"/>
            <w:vMerge w:val="restart"/>
            <w:tcBorders>
              <w:bottom w:val="nil"/>
            </w:tcBorders>
            <w:vAlign w:val="top"/>
          </w:tcPr>
          <w:p w14:paraId="362A1EF6">
            <w:pPr>
              <w:pStyle w:val="6"/>
              <w:spacing w:before="35" w:line="182" w:lineRule="auto"/>
              <w:ind w:left="115" w:right="19" w:firstLine="10"/>
            </w:pPr>
            <w:r>
              <w:rPr>
                <w:spacing w:val="-5"/>
              </w:rPr>
              <w:t>十五条第一项：生产企业、</w:t>
            </w:r>
            <w:r>
              <w:rPr>
                <w:spacing w:val="6"/>
              </w:rPr>
              <w:t>批发企业有下列行为之一</w:t>
            </w:r>
            <w:r>
              <w:rPr>
                <w:spacing w:val="8"/>
              </w:rPr>
              <w:t>的，责令限期改正，可以</w:t>
            </w:r>
            <w:r>
              <w:rPr>
                <w:spacing w:val="2"/>
              </w:rPr>
              <w:t>处十万元以下的罚款；逾</w:t>
            </w:r>
            <w:r>
              <w:rPr>
                <w:spacing w:val="8"/>
              </w:rPr>
              <w:t>期未改正的，责令停产停</w:t>
            </w:r>
            <w:r>
              <w:rPr>
                <w:spacing w:val="4"/>
              </w:rPr>
              <w:t>业整顿，并处十万元以上</w:t>
            </w:r>
            <w:r>
              <w:rPr>
                <w:spacing w:val="2"/>
              </w:rPr>
              <w:t>二十万元以下的罚款，对</w:t>
            </w:r>
            <w:r>
              <w:rPr>
                <w:spacing w:val="8"/>
              </w:rPr>
              <w:t>其直接负责的主管人员和其他直接责任人员处二万</w:t>
            </w:r>
            <w:r>
              <w:rPr>
                <w:spacing w:val="32"/>
              </w:rPr>
              <w:t>元以上五万元以下的罚</w:t>
            </w:r>
          </w:p>
          <w:p w14:paraId="16236FBC">
            <w:pPr>
              <w:pStyle w:val="6"/>
              <w:spacing w:before="3" w:line="189" w:lineRule="auto"/>
              <w:ind w:left="120" w:right="110"/>
            </w:pPr>
            <w:r>
              <w:rPr>
                <w:spacing w:val="-3"/>
              </w:rPr>
              <w:t>款</w:t>
            </w:r>
            <w:r>
              <w:rPr>
                <w:spacing w:val="-10"/>
              </w:rPr>
              <w:t>：（</w:t>
            </w:r>
            <w:r>
              <w:rPr>
                <w:spacing w:val="-3"/>
              </w:rPr>
              <w:t>一）未建立从业人</w:t>
            </w:r>
            <w:r>
              <w:rPr>
                <w:spacing w:val="8"/>
              </w:rPr>
              <w:t>员、外来人员、车辆出入</w:t>
            </w:r>
            <w:r>
              <w:rPr>
                <w:spacing w:val="3"/>
              </w:rPr>
              <w:t>厂（库）区登记制度的；</w:t>
            </w:r>
          </w:p>
        </w:tc>
        <w:tc>
          <w:tcPr>
            <w:tcW w:w="803" w:type="dxa"/>
            <w:vAlign w:val="top"/>
          </w:tcPr>
          <w:p w14:paraId="2FFA7D3A">
            <w:pPr>
              <w:rPr>
                <w:rFonts w:ascii="Arial"/>
                <w:sz w:val="21"/>
              </w:rPr>
            </w:pPr>
          </w:p>
        </w:tc>
        <w:tc>
          <w:tcPr>
            <w:tcW w:w="2283" w:type="dxa"/>
            <w:vAlign w:val="top"/>
          </w:tcPr>
          <w:p w14:paraId="65DC2ECD">
            <w:pPr>
              <w:pStyle w:val="6"/>
              <w:spacing w:before="27" w:line="196" w:lineRule="auto"/>
              <w:ind w:left="119" w:right="105" w:hanging="21"/>
            </w:pPr>
            <w:r>
              <w:rPr>
                <w:spacing w:val="-6"/>
              </w:rPr>
              <w:t>（库）区其中</w:t>
            </w:r>
            <w:r>
              <w:rPr>
                <w:rFonts w:ascii="宋体" w:hAnsi="宋体" w:eastAsia="宋体" w:cs="宋体"/>
                <w:spacing w:val="-6"/>
              </w:rPr>
              <w:t>1</w:t>
            </w:r>
            <w:r>
              <w:rPr>
                <w:spacing w:val="-6"/>
              </w:rPr>
              <w:t>项登</w:t>
            </w:r>
            <w:r>
              <w:rPr>
                <w:spacing w:val="5"/>
              </w:rPr>
              <w:t>记制度的</w:t>
            </w:r>
          </w:p>
        </w:tc>
        <w:tc>
          <w:tcPr>
            <w:tcW w:w="2894" w:type="dxa"/>
            <w:vAlign w:val="top"/>
          </w:tcPr>
          <w:p w14:paraId="37AB10B4">
            <w:pPr>
              <w:pStyle w:val="6"/>
              <w:spacing w:before="28" w:line="179" w:lineRule="auto"/>
              <w:ind w:left="120" w:right="104" w:firstLine="18"/>
              <w:jc w:val="both"/>
            </w:pPr>
            <w:r>
              <w:rPr>
                <w:spacing w:val="6"/>
              </w:rPr>
              <w:t>改正的，责令停产停业整</w:t>
            </w:r>
            <w:r>
              <w:rPr>
                <w:spacing w:val="-1"/>
              </w:rPr>
              <w:t>顿，并处</w:t>
            </w:r>
            <w:r>
              <w:rPr>
                <w:rFonts w:ascii="宋体" w:hAnsi="宋体" w:eastAsia="宋体" w:cs="宋体"/>
                <w:spacing w:val="-1"/>
              </w:rPr>
              <w:t>10</w:t>
            </w:r>
            <w:r>
              <w:rPr>
                <w:spacing w:val="-1"/>
              </w:rPr>
              <w:t>万元以上</w:t>
            </w:r>
            <w:r>
              <w:rPr>
                <w:rFonts w:ascii="宋体" w:hAnsi="宋体" w:eastAsia="宋体" w:cs="宋体"/>
                <w:spacing w:val="-1"/>
              </w:rPr>
              <w:t>13</w:t>
            </w:r>
            <w:r>
              <w:rPr>
                <w:spacing w:val="8"/>
              </w:rPr>
              <w:t>万元以下的罚款，对其直</w:t>
            </w:r>
            <w:r>
              <w:rPr>
                <w:spacing w:val="11"/>
              </w:rPr>
              <w:t>接负责的主管人员和其他</w:t>
            </w:r>
            <w:r>
              <w:rPr>
                <w:spacing w:val="7"/>
              </w:rPr>
              <w:t>直接责任人员处</w:t>
            </w:r>
            <w:r>
              <w:rPr>
                <w:rFonts w:ascii="宋体" w:hAnsi="宋体" w:eastAsia="宋体" w:cs="宋体"/>
                <w:spacing w:val="7"/>
              </w:rPr>
              <w:t>2</w:t>
            </w:r>
            <w:r>
              <w:rPr>
                <w:spacing w:val="7"/>
              </w:rPr>
              <w:t>万元以</w:t>
            </w:r>
            <w:r>
              <w:rPr>
                <w:spacing w:val="3"/>
              </w:rPr>
              <w:t>上</w:t>
            </w:r>
            <w:r>
              <w:rPr>
                <w:rFonts w:ascii="宋体" w:hAnsi="宋体" w:eastAsia="宋体" w:cs="宋体"/>
                <w:spacing w:val="3"/>
              </w:rPr>
              <w:t>3</w:t>
            </w:r>
            <w:r>
              <w:rPr>
                <w:spacing w:val="3"/>
              </w:rPr>
              <w:t>万元以下的罚款</w:t>
            </w:r>
          </w:p>
        </w:tc>
        <w:tc>
          <w:tcPr>
            <w:tcW w:w="811" w:type="dxa"/>
            <w:vMerge w:val="restart"/>
            <w:tcBorders>
              <w:bottom w:val="nil"/>
            </w:tcBorders>
            <w:vAlign w:val="top"/>
          </w:tcPr>
          <w:p w14:paraId="207644A0">
            <w:pPr>
              <w:rPr>
                <w:rFonts w:ascii="Arial"/>
                <w:sz w:val="21"/>
              </w:rPr>
            </w:pPr>
          </w:p>
        </w:tc>
      </w:tr>
      <w:tr w14:paraId="40A25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818" w:type="dxa"/>
            <w:vMerge w:val="continue"/>
            <w:tcBorders>
              <w:top w:val="nil"/>
              <w:bottom w:val="nil"/>
            </w:tcBorders>
            <w:vAlign w:val="top"/>
          </w:tcPr>
          <w:p w14:paraId="509017FB">
            <w:pPr>
              <w:rPr>
                <w:rFonts w:ascii="Arial"/>
                <w:sz w:val="21"/>
              </w:rPr>
            </w:pPr>
          </w:p>
        </w:tc>
        <w:tc>
          <w:tcPr>
            <w:tcW w:w="1440" w:type="dxa"/>
            <w:vMerge w:val="continue"/>
            <w:tcBorders>
              <w:top w:val="nil"/>
              <w:bottom w:val="nil"/>
            </w:tcBorders>
            <w:vAlign w:val="top"/>
          </w:tcPr>
          <w:p w14:paraId="0FF652FF">
            <w:pPr>
              <w:rPr>
                <w:rFonts w:ascii="Arial"/>
                <w:sz w:val="21"/>
              </w:rPr>
            </w:pPr>
          </w:p>
        </w:tc>
        <w:tc>
          <w:tcPr>
            <w:tcW w:w="3202" w:type="dxa"/>
            <w:vMerge w:val="continue"/>
            <w:tcBorders>
              <w:top w:val="nil"/>
              <w:bottom w:val="nil"/>
            </w:tcBorders>
            <w:vAlign w:val="top"/>
          </w:tcPr>
          <w:p w14:paraId="79479D8F">
            <w:pPr>
              <w:rPr>
                <w:rFonts w:ascii="Arial"/>
                <w:sz w:val="21"/>
              </w:rPr>
            </w:pPr>
          </w:p>
        </w:tc>
        <w:tc>
          <w:tcPr>
            <w:tcW w:w="2859" w:type="dxa"/>
            <w:vMerge w:val="continue"/>
            <w:tcBorders>
              <w:top w:val="nil"/>
              <w:bottom w:val="nil"/>
            </w:tcBorders>
            <w:vAlign w:val="top"/>
          </w:tcPr>
          <w:p w14:paraId="73C46C85">
            <w:pPr>
              <w:rPr>
                <w:rFonts w:ascii="Arial"/>
                <w:sz w:val="21"/>
              </w:rPr>
            </w:pPr>
          </w:p>
        </w:tc>
        <w:tc>
          <w:tcPr>
            <w:tcW w:w="803" w:type="dxa"/>
            <w:vAlign w:val="top"/>
          </w:tcPr>
          <w:p w14:paraId="2939A5A1">
            <w:pPr>
              <w:spacing w:line="298" w:lineRule="auto"/>
              <w:rPr>
                <w:rFonts w:ascii="Arial"/>
                <w:sz w:val="21"/>
              </w:rPr>
            </w:pPr>
          </w:p>
          <w:p w14:paraId="01DF9978">
            <w:pPr>
              <w:spacing w:line="298" w:lineRule="auto"/>
              <w:rPr>
                <w:rFonts w:ascii="Arial"/>
                <w:sz w:val="21"/>
              </w:rPr>
            </w:pPr>
          </w:p>
          <w:p w14:paraId="5ABF1ADB">
            <w:pPr>
              <w:spacing w:line="298" w:lineRule="auto"/>
              <w:rPr>
                <w:rFonts w:ascii="Arial"/>
                <w:sz w:val="21"/>
              </w:rPr>
            </w:pPr>
          </w:p>
          <w:p w14:paraId="1A4B2975">
            <w:pPr>
              <w:spacing w:line="299" w:lineRule="auto"/>
              <w:rPr>
                <w:rFonts w:ascii="Arial"/>
                <w:sz w:val="21"/>
              </w:rPr>
            </w:pPr>
          </w:p>
          <w:p w14:paraId="00F35D57">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C126BB4">
            <w:pPr>
              <w:spacing w:line="338" w:lineRule="auto"/>
              <w:rPr>
                <w:rFonts w:ascii="Arial"/>
                <w:sz w:val="21"/>
              </w:rPr>
            </w:pPr>
          </w:p>
          <w:p w14:paraId="49F1BA78">
            <w:pPr>
              <w:spacing w:line="339" w:lineRule="auto"/>
              <w:rPr>
                <w:rFonts w:ascii="Arial"/>
                <w:sz w:val="21"/>
              </w:rPr>
            </w:pPr>
          </w:p>
          <w:p w14:paraId="2CC57FF1">
            <w:pPr>
              <w:pStyle w:val="6"/>
              <w:spacing w:before="99" w:line="189" w:lineRule="auto"/>
              <w:ind w:left="98" w:right="105" w:firstLine="19"/>
              <w:jc w:val="both"/>
            </w:pPr>
            <w:r>
              <w:rPr>
                <w:spacing w:val="-3"/>
              </w:rPr>
              <w:t>未建立从业人员、外</w:t>
            </w:r>
            <w:r>
              <w:t>来人员、车辆出入厂</w:t>
            </w:r>
            <w:r>
              <w:rPr>
                <w:spacing w:val="-3"/>
              </w:rPr>
              <w:t>（库）区其中</w:t>
            </w:r>
            <w:r>
              <w:rPr>
                <w:rFonts w:ascii="宋体" w:hAnsi="宋体" w:eastAsia="宋体" w:cs="宋体"/>
                <w:spacing w:val="-3"/>
              </w:rPr>
              <w:t>2</w:t>
            </w:r>
            <w:r>
              <w:rPr>
                <w:spacing w:val="-3"/>
              </w:rPr>
              <w:t>项登</w:t>
            </w:r>
            <w:r>
              <w:rPr>
                <w:spacing w:val="10"/>
              </w:rPr>
              <w:t>记制度的</w:t>
            </w:r>
          </w:p>
        </w:tc>
        <w:tc>
          <w:tcPr>
            <w:tcW w:w="2894" w:type="dxa"/>
            <w:vAlign w:val="top"/>
          </w:tcPr>
          <w:p w14:paraId="1B5C4056">
            <w:pPr>
              <w:pStyle w:val="6"/>
              <w:spacing w:before="30" w:line="180" w:lineRule="auto"/>
              <w:ind w:left="119" w:right="104" w:firstLine="8"/>
              <w:jc w:val="both"/>
            </w:pPr>
            <w:r>
              <w:rPr>
                <w:spacing w:val="10"/>
              </w:rPr>
              <w:t>责令限期改正，可以处</w:t>
            </w:r>
            <w:r>
              <w:rPr>
                <w:rFonts w:ascii="宋体" w:hAnsi="宋体" w:eastAsia="宋体" w:cs="宋体"/>
                <w:spacing w:val="10"/>
              </w:rPr>
              <w:t>3</w:t>
            </w:r>
            <w:r>
              <w:rPr>
                <w:spacing w:val="7"/>
              </w:rPr>
              <w:t>万元以上</w:t>
            </w:r>
            <w:r>
              <w:rPr>
                <w:rFonts w:ascii="宋体" w:hAnsi="宋体" w:eastAsia="宋体" w:cs="宋体"/>
                <w:spacing w:val="7"/>
              </w:rPr>
              <w:t>7</w:t>
            </w:r>
            <w:r>
              <w:rPr>
                <w:spacing w:val="7"/>
              </w:rPr>
              <w:t>万元以下的罚</w:t>
            </w:r>
            <w:r>
              <w:rPr>
                <w:spacing w:val="5"/>
              </w:rPr>
              <w:t>款；逾期未改正的，责令</w:t>
            </w:r>
            <w:r>
              <w:rPr>
                <w:spacing w:val="-4"/>
              </w:rPr>
              <w:t>停产停业整顿，并处</w:t>
            </w:r>
            <w:r>
              <w:rPr>
                <w:rFonts w:ascii="宋体" w:hAnsi="宋体" w:eastAsia="宋体" w:cs="宋体"/>
                <w:spacing w:val="-4"/>
              </w:rPr>
              <w:t>13</w:t>
            </w:r>
            <w:r>
              <w:rPr>
                <w:spacing w:val="-4"/>
              </w:rPr>
              <w:t>万</w:t>
            </w:r>
            <w:r>
              <w:rPr>
                <w:spacing w:val="11"/>
              </w:rPr>
              <w:t>元以上</w:t>
            </w:r>
            <w:r>
              <w:rPr>
                <w:rFonts w:ascii="宋体" w:hAnsi="宋体" w:eastAsia="宋体" w:cs="宋体"/>
                <w:spacing w:val="11"/>
              </w:rPr>
              <w:t>17</w:t>
            </w:r>
            <w:r>
              <w:rPr>
                <w:spacing w:val="11"/>
              </w:rPr>
              <w:t>万元以下的罚</w:t>
            </w:r>
            <w:r>
              <w:rPr>
                <w:spacing w:val="8"/>
              </w:rPr>
              <w:t>款，对其直接负责的主管</w:t>
            </w:r>
            <w:r>
              <w:rPr>
                <w:spacing w:val="11"/>
              </w:rPr>
              <w:t>人员和其他直接责任人员</w:t>
            </w:r>
            <w:r>
              <w:rPr>
                <w:spacing w:val="3"/>
              </w:rPr>
              <w:t>处</w:t>
            </w:r>
            <w:r>
              <w:rPr>
                <w:rFonts w:ascii="宋体" w:hAnsi="宋体" w:eastAsia="宋体" w:cs="宋体"/>
                <w:spacing w:val="3"/>
              </w:rPr>
              <w:t>3</w:t>
            </w:r>
            <w:r>
              <w:rPr>
                <w:spacing w:val="3"/>
              </w:rPr>
              <w:t>万元以上</w:t>
            </w:r>
            <w:r>
              <w:rPr>
                <w:rFonts w:ascii="宋体" w:hAnsi="宋体" w:eastAsia="宋体" w:cs="宋体"/>
                <w:spacing w:val="3"/>
              </w:rPr>
              <w:t>4</w:t>
            </w:r>
            <w:r>
              <w:rPr>
                <w:spacing w:val="3"/>
              </w:rPr>
              <w:t>万元以下</w:t>
            </w:r>
            <w:r>
              <w:rPr>
                <w:spacing w:val="5"/>
              </w:rPr>
              <w:t>的罚款</w:t>
            </w:r>
          </w:p>
        </w:tc>
        <w:tc>
          <w:tcPr>
            <w:tcW w:w="811" w:type="dxa"/>
            <w:vMerge w:val="continue"/>
            <w:tcBorders>
              <w:top w:val="nil"/>
              <w:bottom w:val="nil"/>
            </w:tcBorders>
            <w:vAlign w:val="top"/>
          </w:tcPr>
          <w:p w14:paraId="77284446">
            <w:pPr>
              <w:rPr>
                <w:rFonts w:ascii="Arial"/>
                <w:sz w:val="21"/>
              </w:rPr>
            </w:pPr>
          </w:p>
        </w:tc>
      </w:tr>
      <w:tr w14:paraId="5186D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trPr>
        <w:tc>
          <w:tcPr>
            <w:tcW w:w="818" w:type="dxa"/>
            <w:vMerge w:val="continue"/>
            <w:tcBorders>
              <w:top w:val="nil"/>
            </w:tcBorders>
            <w:vAlign w:val="top"/>
          </w:tcPr>
          <w:p w14:paraId="77ED45A1">
            <w:pPr>
              <w:rPr>
                <w:rFonts w:ascii="Arial"/>
                <w:sz w:val="21"/>
              </w:rPr>
            </w:pPr>
          </w:p>
        </w:tc>
        <w:tc>
          <w:tcPr>
            <w:tcW w:w="1440" w:type="dxa"/>
            <w:vMerge w:val="continue"/>
            <w:tcBorders>
              <w:top w:val="nil"/>
            </w:tcBorders>
            <w:vAlign w:val="top"/>
          </w:tcPr>
          <w:p w14:paraId="4023B94C">
            <w:pPr>
              <w:rPr>
                <w:rFonts w:ascii="Arial"/>
                <w:sz w:val="21"/>
              </w:rPr>
            </w:pPr>
          </w:p>
        </w:tc>
        <w:tc>
          <w:tcPr>
            <w:tcW w:w="3202" w:type="dxa"/>
            <w:vMerge w:val="continue"/>
            <w:tcBorders>
              <w:top w:val="nil"/>
            </w:tcBorders>
            <w:vAlign w:val="top"/>
          </w:tcPr>
          <w:p w14:paraId="3050F459">
            <w:pPr>
              <w:rPr>
                <w:rFonts w:ascii="Arial"/>
                <w:sz w:val="21"/>
              </w:rPr>
            </w:pPr>
          </w:p>
        </w:tc>
        <w:tc>
          <w:tcPr>
            <w:tcW w:w="2859" w:type="dxa"/>
            <w:vMerge w:val="continue"/>
            <w:tcBorders>
              <w:top w:val="nil"/>
            </w:tcBorders>
            <w:vAlign w:val="top"/>
          </w:tcPr>
          <w:p w14:paraId="7F24AA29">
            <w:pPr>
              <w:rPr>
                <w:rFonts w:ascii="Arial"/>
                <w:sz w:val="21"/>
              </w:rPr>
            </w:pPr>
          </w:p>
        </w:tc>
        <w:tc>
          <w:tcPr>
            <w:tcW w:w="803" w:type="dxa"/>
            <w:vAlign w:val="top"/>
          </w:tcPr>
          <w:p w14:paraId="7C0A5672">
            <w:pPr>
              <w:spacing w:line="298" w:lineRule="auto"/>
              <w:rPr>
                <w:rFonts w:ascii="Arial"/>
                <w:sz w:val="21"/>
              </w:rPr>
            </w:pPr>
          </w:p>
          <w:p w14:paraId="318AB5A4">
            <w:pPr>
              <w:spacing w:line="298" w:lineRule="auto"/>
              <w:rPr>
                <w:rFonts w:ascii="Arial"/>
                <w:sz w:val="21"/>
              </w:rPr>
            </w:pPr>
          </w:p>
          <w:p w14:paraId="7A47EAD3">
            <w:pPr>
              <w:spacing w:line="298" w:lineRule="auto"/>
              <w:rPr>
                <w:rFonts w:ascii="Arial"/>
                <w:sz w:val="21"/>
              </w:rPr>
            </w:pPr>
          </w:p>
          <w:p w14:paraId="7B83971C">
            <w:pPr>
              <w:spacing w:line="299" w:lineRule="auto"/>
              <w:rPr>
                <w:rFonts w:ascii="Arial"/>
                <w:sz w:val="21"/>
              </w:rPr>
            </w:pPr>
          </w:p>
          <w:p w14:paraId="10055834">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F8814B4">
            <w:pPr>
              <w:spacing w:line="338" w:lineRule="auto"/>
              <w:rPr>
                <w:rFonts w:ascii="Arial"/>
                <w:sz w:val="21"/>
              </w:rPr>
            </w:pPr>
          </w:p>
          <w:p w14:paraId="25331DE7">
            <w:pPr>
              <w:spacing w:line="339" w:lineRule="auto"/>
              <w:rPr>
                <w:rFonts w:ascii="Arial"/>
                <w:sz w:val="21"/>
              </w:rPr>
            </w:pPr>
          </w:p>
          <w:p w14:paraId="3649BE8D">
            <w:pPr>
              <w:pStyle w:val="6"/>
              <w:spacing w:before="99" w:line="189" w:lineRule="auto"/>
              <w:ind w:left="98" w:right="105" w:firstLine="19"/>
              <w:jc w:val="both"/>
            </w:pPr>
            <w:r>
              <w:rPr>
                <w:spacing w:val="-3"/>
              </w:rPr>
              <w:t>未建立从业人员、外</w:t>
            </w:r>
            <w:r>
              <w:t>来人员、车辆出入厂</w:t>
            </w:r>
            <w:r>
              <w:rPr>
                <w:spacing w:val="-3"/>
              </w:rPr>
              <w:t>（库）区其中</w:t>
            </w:r>
            <w:r>
              <w:rPr>
                <w:rFonts w:ascii="宋体" w:hAnsi="宋体" w:eastAsia="宋体" w:cs="宋体"/>
                <w:spacing w:val="-3"/>
              </w:rPr>
              <w:t>3</w:t>
            </w:r>
            <w:r>
              <w:rPr>
                <w:spacing w:val="-3"/>
              </w:rPr>
              <w:t>项登</w:t>
            </w:r>
            <w:r>
              <w:rPr>
                <w:spacing w:val="10"/>
              </w:rPr>
              <w:t>记制度的</w:t>
            </w:r>
          </w:p>
        </w:tc>
        <w:tc>
          <w:tcPr>
            <w:tcW w:w="2894" w:type="dxa"/>
            <w:vAlign w:val="top"/>
          </w:tcPr>
          <w:p w14:paraId="60249CD3">
            <w:pPr>
              <w:pStyle w:val="6"/>
              <w:spacing w:before="29" w:line="180" w:lineRule="auto"/>
              <w:ind w:left="117" w:right="104" w:firstLine="10"/>
              <w:jc w:val="both"/>
            </w:pPr>
            <w:r>
              <w:rPr>
                <w:spacing w:val="9"/>
              </w:rPr>
              <w:t>责令限期改正，可以处</w:t>
            </w:r>
            <w:r>
              <w:rPr>
                <w:rFonts w:ascii="宋体" w:hAnsi="宋体" w:eastAsia="宋体" w:cs="宋体"/>
                <w:spacing w:val="9"/>
              </w:rPr>
              <w:t>7</w:t>
            </w:r>
            <w:r>
              <w:rPr>
                <w:spacing w:val="11"/>
              </w:rPr>
              <w:t>万元以上</w:t>
            </w:r>
            <w:r>
              <w:rPr>
                <w:rFonts w:ascii="宋体" w:hAnsi="宋体" w:eastAsia="宋体" w:cs="宋体"/>
                <w:spacing w:val="11"/>
              </w:rPr>
              <w:t>10</w:t>
            </w:r>
            <w:r>
              <w:rPr>
                <w:spacing w:val="11"/>
              </w:rPr>
              <w:t>万元以下的</w:t>
            </w:r>
            <w:r>
              <w:rPr>
                <w:spacing w:val="5"/>
              </w:rPr>
              <w:t>罚款；逾期未改正的，责</w:t>
            </w:r>
            <w:r>
              <w:rPr>
                <w:spacing w:val="-2"/>
              </w:rPr>
              <w:t>令停产停业整顿，并处</w:t>
            </w:r>
            <w:r>
              <w:rPr>
                <w:rFonts w:ascii="宋体" w:hAnsi="宋体" w:eastAsia="宋体" w:cs="宋体"/>
                <w:spacing w:val="-2"/>
              </w:rPr>
              <w:t>17</w:t>
            </w:r>
            <w:r>
              <w:rPr>
                <w:spacing w:val="13"/>
              </w:rPr>
              <w:t>万元以上</w:t>
            </w:r>
            <w:r>
              <w:rPr>
                <w:rFonts w:ascii="宋体" w:hAnsi="宋体" w:eastAsia="宋体" w:cs="宋体"/>
                <w:spacing w:val="13"/>
              </w:rPr>
              <w:t>20</w:t>
            </w:r>
            <w:r>
              <w:rPr>
                <w:spacing w:val="13"/>
              </w:rPr>
              <w:t>万元以下的</w:t>
            </w:r>
            <w:r>
              <w:rPr>
                <w:spacing w:val="8"/>
              </w:rPr>
              <w:t>罚款，对其直接负责的主</w:t>
            </w:r>
            <w:r>
              <w:rPr>
                <w:spacing w:val="11"/>
              </w:rPr>
              <w:t>管人员和其他直接责任人</w:t>
            </w:r>
            <w:r>
              <w:rPr>
                <w:spacing w:val="3"/>
              </w:rPr>
              <w:t>员处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w:t>
            </w:r>
            <w:r>
              <w:rPr>
                <w:spacing w:val="6"/>
              </w:rPr>
              <w:t>下的罚款</w:t>
            </w:r>
          </w:p>
        </w:tc>
        <w:tc>
          <w:tcPr>
            <w:tcW w:w="811" w:type="dxa"/>
            <w:vMerge w:val="continue"/>
            <w:tcBorders>
              <w:top w:val="nil"/>
            </w:tcBorders>
            <w:vAlign w:val="top"/>
          </w:tcPr>
          <w:p w14:paraId="7EEB3AB7">
            <w:pPr>
              <w:rPr>
                <w:rFonts w:ascii="Arial"/>
                <w:sz w:val="21"/>
              </w:rPr>
            </w:pPr>
          </w:p>
        </w:tc>
      </w:tr>
      <w:tr w14:paraId="337D1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818" w:type="dxa"/>
            <w:vAlign w:val="top"/>
          </w:tcPr>
          <w:p w14:paraId="615847C2">
            <w:pPr>
              <w:spacing w:line="250" w:lineRule="auto"/>
              <w:rPr>
                <w:rFonts w:ascii="Arial"/>
                <w:sz w:val="21"/>
              </w:rPr>
            </w:pPr>
          </w:p>
          <w:p w14:paraId="7692DCEF">
            <w:pPr>
              <w:spacing w:line="250" w:lineRule="auto"/>
              <w:rPr>
                <w:rFonts w:ascii="Arial"/>
                <w:sz w:val="21"/>
              </w:rPr>
            </w:pPr>
          </w:p>
          <w:p w14:paraId="2459F9DB">
            <w:pPr>
              <w:spacing w:line="251" w:lineRule="auto"/>
              <w:rPr>
                <w:rFonts w:ascii="Arial"/>
                <w:sz w:val="21"/>
              </w:rPr>
            </w:pPr>
          </w:p>
          <w:p w14:paraId="49280868">
            <w:pPr>
              <w:spacing w:before="74" w:line="186" w:lineRule="auto"/>
              <w:ind w:left="161"/>
              <w:rPr>
                <w:rFonts w:ascii="仿宋" w:hAnsi="仿宋" w:eastAsia="仿宋" w:cs="仿宋"/>
                <w:sz w:val="23"/>
                <w:szCs w:val="23"/>
              </w:rPr>
            </w:pPr>
            <w:r>
              <w:rPr>
                <w:rFonts w:ascii="仿宋" w:hAnsi="仿宋" w:eastAsia="仿宋" w:cs="仿宋"/>
                <w:spacing w:val="-5"/>
                <w:sz w:val="23"/>
                <w:szCs w:val="23"/>
              </w:rPr>
              <w:t>185</w:t>
            </w:r>
          </w:p>
        </w:tc>
        <w:tc>
          <w:tcPr>
            <w:tcW w:w="1440" w:type="dxa"/>
            <w:vAlign w:val="top"/>
          </w:tcPr>
          <w:p w14:paraId="563EA89E">
            <w:pPr>
              <w:pStyle w:val="6"/>
              <w:spacing w:before="31" w:line="179" w:lineRule="auto"/>
              <w:ind w:left="114" w:right="111" w:firstLine="5"/>
              <w:jc w:val="both"/>
            </w:pPr>
            <w:r>
              <w:rPr>
                <w:spacing w:val="10"/>
              </w:rPr>
              <w:t>烟花爆竹生</w:t>
            </w:r>
            <w:r>
              <w:rPr>
                <w:spacing w:val="11"/>
              </w:rPr>
              <w:t>产企业、批发企业未建立烟花爆竹买卖合同管</w:t>
            </w:r>
            <w:r>
              <w:rPr>
                <w:spacing w:val="6"/>
              </w:rPr>
              <w:t>理制度的</w:t>
            </w:r>
          </w:p>
        </w:tc>
        <w:tc>
          <w:tcPr>
            <w:tcW w:w="3202" w:type="dxa"/>
            <w:vAlign w:val="top"/>
          </w:tcPr>
          <w:p w14:paraId="7F5E1D17">
            <w:pPr>
              <w:pStyle w:val="6"/>
              <w:spacing w:before="31" w:line="179" w:lineRule="auto"/>
              <w:ind w:left="118" w:right="110" w:hanging="20"/>
              <w:jc w:val="both"/>
            </w:pPr>
            <w:r>
              <w:rPr>
                <w:spacing w:val="18"/>
              </w:rPr>
              <w:t>【部门规章】《烟花爆竹生</w:t>
            </w:r>
            <w:r>
              <w:rPr>
                <w:spacing w:val="17"/>
              </w:rPr>
              <w:t>产经营安全规定》第二十三</w:t>
            </w:r>
            <w:r>
              <w:rPr>
                <w:spacing w:val="12"/>
              </w:rPr>
              <w:t>条第一款：生产企业、批发</w:t>
            </w:r>
            <w:r>
              <w:rPr>
                <w:spacing w:val="39"/>
              </w:rPr>
              <w:t>企业在烟花爆竹购销活动</w:t>
            </w:r>
            <w:r>
              <w:rPr>
                <w:spacing w:val="13"/>
              </w:rPr>
              <w:t>中，应当依法签订规范的烟花爆竹买卖合同，建立烟花</w:t>
            </w:r>
          </w:p>
        </w:tc>
        <w:tc>
          <w:tcPr>
            <w:tcW w:w="2859" w:type="dxa"/>
            <w:vAlign w:val="top"/>
          </w:tcPr>
          <w:p w14:paraId="3AA72F06">
            <w:pPr>
              <w:pStyle w:val="6"/>
              <w:spacing w:before="31" w:line="179" w:lineRule="auto"/>
              <w:ind w:left="116" w:right="19" w:hanging="19"/>
              <w:jc w:val="both"/>
            </w:pPr>
            <w:r>
              <w:rPr>
                <w:spacing w:val="10"/>
              </w:rPr>
              <w:t>【部门规章】《烟花爆竹</w:t>
            </w:r>
            <w:r>
              <w:rPr>
                <w:spacing w:val="8"/>
              </w:rPr>
              <w:t>生产经营安全规定》第三</w:t>
            </w:r>
            <w:r>
              <w:rPr>
                <w:spacing w:val="-4"/>
              </w:rPr>
              <w:t>十五条第三项：生产企业、</w:t>
            </w:r>
            <w:r>
              <w:rPr>
                <w:spacing w:val="6"/>
              </w:rPr>
              <w:t>批发企业有下列行为之一</w:t>
            </w:r>
            <w:r>
              <w:rPr>
                <w:spacing w:val="8"/>
              </w:rPr>
              <w:t>的，责令限期改正，可以</w:t>
            </w:r>
            <w:r>
              <w:rPr>
                <w:spacing w:val="2"/>
              </w:rPr>
              <w:t>处十万元以下的罚款；逾</w:t>
            </w:r>
          </w:p>
        </w:tc>
        <w:tc>
          <w:tcPr>
            <w:tcW w:w="803" w:type="dxa"/>
            <w:vAlign w:val="top"/>
          </w:tcPr>
          <w:p w14:paraId="7EDB5F58">
            <w:pPr>
              <w:spacing w:line="248" w:lineRule="auto"/>
              <w:rPr>
                <w:rFonts w:ascii="Arial"/>
                <w:sz w:val="21"/>
              </w:rPr>
            </w:pPr>
          </w:p>
          <w:p w14:paraId="1FEBFE4C">
            <w:pPr>
              <w:spacing w:line="249" w:lineRule="auto"/>
              <w:rPr>
                <w:rFonts w:ascii="Arial"/>
                <w:sz w:val="21"/>
              </w:rPr>
            </w:pPr>
          </w:p>
          <w:p w14:paraId="22F9C7AA">
            <w:pPr>
              <w:spacing w:line="249" w:lineRule="auto"/>
              <w:rPr>
                <w:rFonts w:ascii="Arial"/>
                <w:sz w:val="21"/>
              </w:rPr>
            </w:pPr>
          </w:p>
          <w:p w14:paraId="373BEB9B">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644843F2">
            <w:pPr>
              <w:spacing w:line="382" w:lineRule="auto"/>
              <w:rPr>
                <w:rFonts w:ascii="Arial"/>
                <w:sz w:val="21"/>
              </w:rPr>
            </w:pPr>
          </w:p>
          <w:p w14:paraId="5C1E8F00">
            <w:pPr>
              <w:pStyle w:val="6"/>
              <w:spacing w:before="98" w:line="192" w:lineRule="auto"/>
              <w:ind w:left="128" w:right="109" w:hanging="1"/>
              <w:jc w:val="both"/>
            </w:pPr>
            <w:r>
              <w:rPr>
                <w:spacing w:val="25"/>
              </w:rPr>
              <w:t>没有违法所得或违</w:t>
            </w:r>
            <w:r>
              <w:rPr>
                <w:spacing w:val="14"/>
              </w:rPr>
              <w:t>法所得</w:t>
            </w:r>
            <w:r>
              <w:rPr>
                <w:rFonts w:ascii="宋体" w:hAnsi="宋体" w:eastAsia="宋体" w:cs="宋体"/>
                <w:spacing w:val="14"/>
              </w:rPr>
              <w:t>5</w:t>
            </w:r>
            <w:r>
              <w:rPr>
                <w:spacing w:val="14"/>
              </w:rPr>
              <w:t>万元以下</w:t>
            </w:r>
            <w:r>
              <w:t>的</w:t>
            </w:r>
          </w:p>
        </w:tc>
        <w:tc>
          <w:tcPr>
            <w:tcW w:w="2894" w:type="dxa"/>
            <w:vAlign w:val="top"/>
          </w:tcPr>
          <w:p w14:paraId="5C219A19">
            <w:pPr>
              <w:pStyle w:val="6"/>
              <w:spacing w:before="31" w:line="179" w:lineRule="auto"/>
              <w:ind w:left="120" w:right="104" w:firstLine="7"/>
              <w:jc w:val="both"/>
            </w:pPr>
            <w:r>
              <w:rPr>
                <w:spacing w:val="10"/>
              </w:rPr>
              <w:t>责令限期改正，可以处</w:t>
            </w:r>
            <w:r>
              <w:rPr>
                <w:rFonts w:ascii="宋体" w:hAnsi="宋体" w:eastAsia="宋体" w:cs="宋体"/>
                <w:spacing w:val="10"/>
              </w:rPr>
              <w:t>3</w:t>
            </w:r>
            <w:r>
              <w:rPr>
                <w:spacing w:val="9"/>
              </w:rPr>
              <w:t>万元以下的罚款；逾期未</w:t>
            </w:r>
            <w:r>
              <w:rPr>
                <w:spacing w:val="8"/>
              </w:rPr>
              <w:t>改正的，责令停产停业整</w:t>
            </w:r>
            <w:r>
              <w:rPr>
                <w:spacing w:val="-1"/>
              </w:rPr>
              <w:t>顿，并处</w:t>
            </w:r>
            <w:r>
              <w:rPr>
                <w:rFonts w:ascii="宋体" w:hAnsi="宋体" w:eastAsia="宋体" w:cs="宋体"/>
                <w:spacing w:val="-1"/>
              </w:rPr>
              <w:t>10</w:t>
            </w:r>
            <w:r>
              <w:rPr>
                <w:spacing w:val="-1"/>
              </w:rPr>
              <w:t>万元以上</w:t>
            </w:r>
            <w:r>
              <w:rPr>
                <w:rFonts w:ascii="宋体" w:hAnsi="宋体" w:eastAsia="宋体" w:cs="宋体"/>
                <w:spacing w:val="-1"/>
              </w:rPr>
              <w:t>13</w:t>
            </w:r>
            <w:r>
              <w:rPr>
                <w:spacing w:val="8"/>
              </w:rPr>
              <w:t>万元以下的罚款，对其直</w:t>
            </w:r>
            <w:r>
              <w:rPr>
                <w:spacing w:val="11"/>
              </w:rPr>
              <w:t>接负责的主管人员和其他</w:t>
            </w:r>
          </w:p>
        </w:tc>
        <w:tc>
          <w:tcPr>
            <w:tcW w:w="811" w:type="dxa"/>
            <w:vAlign w:val="top"/>
          </w:tcPr>
          <w:p w14:paraId="53EF5EA0">
            <w:pPr>
              <w:rPr>
                <w:rFonts w:ascii="Arial"/>
                <w:sz w:val="21"/>
              </w:rPr>
            </w:pPr>
          </w:p>
        </w:tc>
      </w:tr>
    </w:tbl>
    <w:p w14:paraId="16AD9AB4">
      <w:pPr>
        <w:pStyle w:val="2"/>
      </w:pPr>
    </w:p>
    <w:p w14:paraId="1C1B66CE">
      <w:pPr>
        <w:sectPr>
          <w:footerReference r:id="rId199" w:type="default"/>
          <w:pgSz w:w="16839" w:h="11906"/>
          <w:pgMar w:top="1012" w:right="821" w:bottom="667" w:left="901" w:header="0" w:footer="388" w:gutter="0"/>
          <w:cols w:space="720" w:num="1"/>
        </w:sectPr>
      </w:pPr>
    </w:p>
    <w:p w14:paraId="6222A865">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FA05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6D2569B">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1054F566">
            <w:pPr>
              <w:spacing w:before="221"/>
              <w:ind w:left="163"/>
              <w:outlineLvl w:val="1"/>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7E3A714">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1D2B1B1">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1EBC805C">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3F45A08">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37CCAF4F">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CB110D2">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6937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18" w:type="dxa"/>
            <w:vMerge w:val="restart"/>
            <w:tcBorders>
              <w:bottom w:val="nil"/>
            </w:tcBorders>
            <w:vAlign w:val="top"/>
          </w:tcPr>
          <w:p w14:paraId="74A9E706">
            <w:pPr>
              <w:rPr>
                <w:rFonts w:ascii="Arial"/>
                <w:sz w:val="21"/>
              </w:rPr>
            </w:pPr>
          </w:p>
        </w:tc>
        <w:tc>
          <w:tcPr>
            <w:tcW w:w="1440" w:type="dxa"/>
            <w:vMerge w:val="restart"/>
            <w:tcBorders>
              <w:bottom w:val="nil"/>
            </w:tcBorders>
            <w:vAlign w:val="top"/>
          </w:tcPr>
          <w:p w14:paraId="16DDFA7B">
            <w:pPr>
              <w:rPr>
                <w:rFonts w:ascii="Arial"/>
                <w:sz w:val="21"/>
              </w:rPr>
            </w:pPr>
          </w:p>
        </w:tc>
        <w:tc>
          <w:tcPr>
            <w:tcW w:w="3202" w:type="dxa"/>
            <w:vMerge w:val="restart"/>
            <w:tcBorders>
              <w:bottom w:val="nil"/>
            </w:tcBorders>
            <w:vAlign w:val="top"/>
          </w:tcPr>
          <w:p w14:paraId="77F26324">
            <w:pPr>
              <w:pStyle w:val="6"/>
              <w:spacing w:before="28" w:line="182" w:lineRule="auto"/>
              <w:ind w:left="116"/>
            </w:pPr>
            <w:r>
              <w:rPr>
                <w:spacing w:val="17"/>
              </w:rPr>
              <w:t>爆竹买卖合同和流向管理制</w:t>
            </w:r>
          </w:p>
          <w:p w14:paraId="30AFABAB">
            <w:pPr>
              <w:pStyle w:val="6"/>
              <w:spacing w:line="182" w:lineRule="auto"/>
              <w:ind w:left="115"/>
              <w:outlineLvl w:val="1"/>
            </w:pPr>
            <w:r>
              <w:rPr>
                <w:spacing w:val="14"/>
              </w:rPr>
              <w:t>度，使用全国统一的烟花爆</w:t>
            </w:r>
          </w:p>
          <w:p w14:paraId="721181DE">
            <w:pPr>
              <w:pStyle w:val="6"/>
              <w:spacing w:line="182" w:lineRule="auto"/>
              <w:ind w:left="119"/>
            </w:pPr>
            <w:r>
              <w:rPr>
                <w:spacing w:val="12"/>
              </w:rPr>
              <w:t>竹流向管理信息系统，如实</w:t>
            </w:r>
          </w:p>
          <w:p w14:paraId="03C1BFE4">
            <w:pPr>
              <w:pStyle w:val="6"/>
              <w:spacing w:line="209" w:lineRule="auto"/>
              <w:ind w:left="118"/>
              <w:outlineLvl w:val="0"/>
            </w:pPr>
            <w:r>
              <w:rPr>
                <w:spacing w:val="4"/>
              </w:rPr>
              <w:t>登记烟花爆竹流向。</w:t>
            </w:r>
          </w:p>
        </w:tc>
        <w:tc>
          <w:tcPr>
            <w:tcW w:w="2859" w:type="dxa"/>
            <w:vMerge w:val="restart"/>
            <w:tcBorders>
              <w:bottom w:val="nil"/>
            </w:tcBorders>
            <w:vAlign w:val="top"/>
          </w:tcPr>
          <w:p w14:paraId="0025EBF0">
            <w:pPr>
              <w:pStyle w:val="6"/>
              <w:spacing w:before="32" w:line="182" w:lineRule="auto"/>
              <w:ind w:left="115" w:right="110" w:firstLine="9"/>
              <w:jc w:val="both"/>
            </w:pPr>
            <w:r>
              <w:rPr>
                <w:spacing w:val="8"/>
              </w:rPr>
              <w:t>期未改正的，责令停产停</w:t>
            </w:r>
            <w:r>
              <w:rPr>
                <w:spacing w:val="4"/>
              </w:rPr>
              <w:t>业整顿，并处十万元以上</w:t>
            </w:r>
            <w:r>
              <w:rPr>
                <w:spacing w:val="2"/>
              </w:rPr>
              <w:t>二十万元以下的罚款，对</w:t>
            </w:r>
            <w:r>
              <w:rPr>
                <w:spacing w:val="8"/>
              </w:rPr>
              <w:t>其直接负责的主管人员和其他直接责任人员处二万</w:t>
            </w:r>
            <w:bookmarkStart w:id="670" w:name="bookmark380"/>
            <w:bookmarkEnd w:id="670"/>
            <w:r>
              <w:rPr>
                <w:spacing w:val="32"/>
              </w:rPr>
              <w:t>元以上五万元以下的罚</w:t>
            </w:r>
          </w:p>
          <w:p w14:paraId="360201DB">
            <w:pPr>
              <w:pStyle w:val="6"/>
              <w:spacing w:line="182" w:lineRule="auto"/>
              <w:ind w:left="120"/>
              <w:outlineLvl w:val="1"/>
            </w:pPr>
            <w:r>
              <w:rPr>
                <w:spacing w:val="9"/>
              </w:rPr>
              <w:t>款</w:t>
            </w:r>
            <w:r>
              <w:rPr>
                <w:spacing w:val="5"/>
              </w:rPr>
              <w:t>：（</w:t>
            </w:r>
            <w:r>
              <w:rPr>
                <w:spacing w:val="9"/>
              </w:rPr>
              <w:t>三）未建立烟花爆</w:t>
            </w:r>
          </w:p>
          <w:p w14:paraId="1DA5EA30">
            <w:pPr>
              <w:pStyle w:val="6"/>
              <w:spacing w:line="208" w:lineRule="auto"/>
              <w:ind w:left="119"/>
            </w:pPr>
            <w:r>
              <w:rPr>
                <w:spacing w:val="4"/>
              </w:rPr>
              <w:t>竹买卖合同管理制度的；</w:t>
            </w:r>
          </w:p>
        </w:tc>
        <w:tc>
          <w:tcPr>
            <w:tcW w:w="803" w:type="dxa"/>
            <w:vAlign w:val="top"/>
          </w:tcPr>
          <w:p w14:paraId="4A4653E0">
            <w:pPr>
              <w:rPr>
                <w:rFonts w:ascii="Arial"/>
                <w:sz w:val="21"/>
              </w:rPr>
            </w:pPr>
          </w:p>
        </w:tc>
        <w:tc>
          <w:tcPr>
            <w:tcW w:w="2283" w:type="dxa"/>
            <w:vAlign w:val="top"/>
          </w:tcPr>
          <w:p w14:paraId="74C10076">
            <w:pPr>
              <w:rPr>
                <w:rFonts w:ascii="Arial"/>
                <w:sz w:val="21"/>
              </w:rPr>
            </w:pPr>
          </w:p>
        </w:tc>
        <w:tc>
          <w:tcPr>
            <w:tcW w:w="2894" w:type="dxa"/>
            <w:vAlign w:val="top"/>
          </w:tcPr>
          <w:p w14:paraId="6B0B745F">
            <w:pPr>
              <w:pStyle w:val="6"/>
              <w:spacing w:before="29" w:line="172" w:lineRule="auto"/>
              <w:ind w:left="123" w:right="106" w:hanging="1"/>
            </w:pPr>
            <w:r>
              <w:rPr>
                <w:spacing w:val="7"/>
              </w:rPr>
              <w:t>直接责任人员处</w:t>
            </w:r>
            <w:r>
              <w:rPr>
                <w:rFonts w:ascii="宋体" w:hAnsi="宋体" w:eastAsia="宋体" w:cs="宋体"/>
                <w:spacing w:val="7"/>
              </w:rPr>
              <w:t>2</w:t>
            </w:r>
            <w:r>
              <w:rPr>
                <w:spacing w:val="7"/>
              </w:rPr>
              <w:t>万元以</w:t>
            </w:r>
            <w:r>
              <w:rPr>
                <w:spacing w:val="2"/>
              </w:rPr>
              <w:t>上</w:t>
            </w:r>
            <w:r>
              <w:rPr>
                <w:rFonts w:ascii="宋体" w:hAnsi="宋体" w:eastAsia="宋体" w:cs="宋体"/>
                <w:spacing w:val="2"/>
              </w:rPr>
              <w:t>3</w:t>
            </w:r>
            <w:r>
              <w:rPr>
                <w:spacing w:val="2"/>
              </w:rPr>
              <w:t>万元以下的罚款</w:t>
            </w:r>
          </w:p>
        </w:tc>
        <w:tc>
          <w:tcPr>
            <w:tcW w:w="811" w:type="dxa"/>
            <w:vMerge w:val="restart"/>
            <w:tcBorders>
              <w:bottom w:val="nil"/>
            </w:tcBorders>
            <w:vAlign w:val="top"/>
          </w:tcPr>
          <w:p w14:paraId="7BCFCF1D">
            <w:pPr>
              <w:rPr>
                <w:rFonts w:ascii="Arial"/>
                <w:sz w:val="21"/>
              </w:rPr>
            </w:pPr>
          </w:p>
        </w:tc>
      </w:tr>
      <w:tr w14:paraId="0912A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trPr>
        <w:tc>
          <w:tcPr>
            <w:tcW w:w="818" w:type="dxa"/>
            <w:vMerge w:val="continue"/>
            <w:tcBorders>
              <w:top w:val="nil"/>
              <w:bottom w:val="nil"/>
            </w:tcBorders>
            <w:vAlign w:val="top"/>
          </w:tcPr>
          <w:p w14:paraId="0CEF06E1">
            <w:pPr>
              <w:rPr>
                <w:rFonts w:ascii="Arial"/>
                <w:sz w:val="21"/>
              </w:rPr>
            </w:pPr>
          </w:p>
        </w:tc>
        <w:tc>
          <w:tcPr>
            <w:tcW w:w="1440" w:type="dxa"/>
            <w:vMerge w:val="continue"/>
            <w:tcBorders>
              <w:top w:val="nil"/>
              <w:bottom w:val="nil"/>
            </w:tcBorders>
            <w:vAlign w:val="top"/>
          </w:tcPr>
          <w:p w14:paraId="34AAF349">
            <w:pPr>
              <w:rPr>
                <w:rFonts w:ascii="Arial"/>
                <w:sz w:val="21"/>
              </w:rPr>
            </w:pPr>
          </w:p>
        </w:tc>
        <w:tc>
          <w:tcPr>
            <w:tcW w:w="3202" w:type="dxa"/>
            <w:vMerge w:val="continue"/>
            <w:tcBorders>
              <w:top w:val="nil"/>
              <w:bottom w:val="nil"/>
            </w:tcBorders>
            <w:vAlign w:val="top"/>
          </w:tcPr>
          <w:p w14:paraId="04F6A908">
            <w:pPr>
              <w:rPr>
                <w:rFonts w:ascii="Arial"/>
                <w:sz w:val="21"/>
              </w:rPr>
            </w:pPr>
          </w:p>
        </w:tc>
        <w:tc>
          <w:tcPr>
            <w:tcW w:w="2859" w:type="dxa"/>
            <w:vMerge w:val="continue"/>
            <w:tcBorders>
              <w:top w:val="nil"/>
              <w:bottom w:val="nil"/>
            </w:tcBorders>
            <w:vAlign w:val="top"/>
          </w:tcPr>
          <w:p w14:paraId="7504D8F6">
            <w:pPr>
              <w:rPr>
                <w:rFonts w:ascii="Arial"/>
                <w:sz w:val="21"/>
              </w:rPr>
            </w:pPr>
          </w:p>
        </w:tc>
        <w:tc>
          <w:tcPr>
            <w:tcW w:w="803" w:type="dxa"/>
            <w:vAlign w:val="top"/>
          </w:tcPr>
          <w:p w14:paraId="553BFFDD">
            <w:pPr>
              <w:spacing w:line="298" w:lineRule="auto"/>
              <w:rPr>
                <w:rFonts w:ascii="Arial"/>
                <w:sz w:val="21"/>
              </w:rPr>
            </w:pPr>
          </w:p>
          <w:p w14:paraId="4B0D68B3">
            <w:pPr>
              <w:spacing w:line="298" w:lineRule="auto"/>
              <w:rPr>
                <w:rFonts w:ascii="Arial"/>
                <w:sz w:val="21"/>
              </w:rPr>
            </w:pPr>
          </w:p>
          <w:p w14:paraId="18DEB69B">
            <w:pPr>
              <w:spacing w:line="298" w:lineRule="auto"/>
              <w:rPr>
                <w:rFonts w:ascii="Arial"/>
                <w:sz w:val="21"/>
              </w:rPr>
            </w:pPr>
          </w:p>
          <w:p w14:paraId="286FCD3F">
            <w:pPr>
              <w:spacing w:line="298" w:lineRule="auto"/>
              <w:rPr>
                <w:rFonts w:ascii="Arial"/>
                <w:sz w:val="21"/>
              </w:rPr>
            </w:pPr>
          </w:p>
          <w:p w14:paraId="14E26EFE">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54FF554">
            <w:pPr>
              <w:spacing w:line="243" w:lineRule="auto"/>
              <w:rPr>
                <w:rFonts w:ascii="Arial"/>
                <w:sz w:val="21"/>
              </w:rPr>
            </w:pPr>
          </w:p>
          <w:p w14:paraId="064BBF48">
            <w:pPr>
              <w:spacing w:line="243" w:lineRule="auto"/>
              <w:rPr>
                <w:rFonts w:ascii="Arial"/>
                <w:sz w:val="21"/>
              </w:rPr>
            </w:pPr>
          </w:p>
          <w:p w14:paraId="4C36F369">
            <w:pPr>
              <w:spacing w:line="243" w:lineRule="auto"/>
              <w:rPr>
                <w:rFonts w:ascii="Arial"/>
                <w:sz w:val="21"/>
              </w:rPr>
            </w:pPr>
          </w:p>
          <w:p w14:paraId="7596E1C0">
            <w:pPr>
              <w:spacing w:line="244" w:lineRule="auto"/>
              <w:rPr>
                <w:rFonts w:ascii="Arial"/>
                <w:sz w:val="21"/>
              </w:rPr>
            </w:pPr>
          </w:p>
          <w:p w14:paraId="47F117E8">
            <w:pPr>
              <w:pStyle w:val="6"/>
              <w:spacing w:before="98" w:line="196" w:lineRule="auto"/>
              <w:ind w:left="122" w:right="106" w:hanging="5"/>
            </w:pPr>
            <w:r>
              <w:rPr>
                <w:spacing w:val="15"/>
              </w:rPr>
              <w:t>违法所得</w:t>
            </w:r>
            <w:r>
              <w:rPr>
                <w:rFonts w:ascii="宋体" w:hAnsi="宋体" w:eastAsia="宋体" w:cs="宋体"/>
                <w:spacing w:val="15"/>
              </w:rPr>
              <w:t>5</w:t>
            </w:r>
            <w:r>
              <w:rPr>
                <w:spacing w:val="15"/>
              </w:rPr>
              <w:t>万元以</w:t>
            </w:r>
            <w:r>
              <w:rPr>
                <w:spacing w:val="-1"/>
              </w:rPr>
              <w:t>上</w:t>
            </w:r>
            <w:r>
              <w:rPr>
                <w:rFonts w:ascii="宋体" w:hAnsi="宋体" w:eastAsia="宋体" w:cs="宋体"/>
                <w:spacing w:val="-1"/>
              </w:rPr>
              <w:t>10</w:t>
            </w:r>
            <w:r>
              <w:rPr>
                <w:spacing w:val="-1"/>
              </w:rPr>
              <w:t>万元以下的</w:t>
            </w:r>
          </w:p>
        </w:tc>
        <w:tc>
          <w:tcPr>
            <w:tcW w:w="2894" w:type="dxa"/>
            <w:vAlign w:val="top"/>
          </w:tcPr>
          <w:p w14:paraId="5DCBFFD7">
            <w:pPr>
              <w:pStyle w:val="6"/>
              <w:spacing w:before="29" w:line="180" w:lineRule="auto"/>
              <w:ind w:left="119" w:right="104" w:firstLine="8"/>
              <w:jc w:val="both"/>
            </w:pPr>
            <w:r>
              <w:rPr>
                <w:spacing w:val="10"/>
              </w:rPr>
              <w:t>责令限期改正，可以处</w:t>
            </w:r>
            <w:r>
              <w:rPr>
                <w:rFonts w:ascii="宋体" w:hAnsi="宋体" w:eastAsia="宋体" w:cs="宋体"/>
                <w:spacing w:val="10"/>
              </w:rPr>
              <w:t>3</w:t>
            </w:r>
            <w:r>
              <w:rPr>
                <w:spacing w:val="7"/>
              </w:rPr>
              <w:t>万元以上</w:t>
            </w:r>
            <w:r>
              <w:rPr>
                <w:rFonts w:ascii="宋体" w:hAnsi="宋体" w:eastAsia="宋体" w:cs="宋体"/>
                <w:spacing w:val="7"/>
              </w:rPr>
              <w:t>7</w:t>
            </w:r>
            <w:r>
              <w:rPr>
                <w:spacing w:val="7"/>
              </w:rPr>
              <w:t>万元以下的罚</w:t>
            </w:r>
            <w:r>
              <w:rPr>
                <w:spacing w:val="5"/>
              </w:rPr>
              <w:t>款；逾期未改正的，责令</w:t>
            </w:r>
            <w:r>
              <w:rPr>
                <w:spacing w:val="-4"/>
              </w:rPr>
              <w:t>停产停业整顿，并处</w:t>
            </w:r>
            <w:r>
              <w:rPr>
                <w:rFonts w:ascii="宋体" w:hAnsi="宋体" w:eastAsia="宋体" w:cs="宋体"/>
                <w:spacing w:val="-4"/>
              </w:rPr>
              <w:t>13</w:t>
            </w:r>
            <w:r>
              <w:rPr>
                <w:spacing w:val="-4"/>
              </w:rPr>
              <w:t>万</w:t>
            </w:r>
            <w:r>
              <w:rPr>
                <w:spacing w:val="11"/>
              </w:rPr>
              <w:t>元以上</w:t>
            </w:r>
            <w:r>
              <w:rPr>
                <w:rFonts w:ascii="宋体" w:hAnsi="宋体" w:eastAsia="宋体" w:cs="宋体"/>
                <w:spacing w:val="11"/>
              </w:rPr>
              <w:t>17</w:t>
            </w:r>
            <w:r>
              <w:rPr>
                <w:spacing w:val="11"/>
              </w:rPr>
              <w:t>万元以下的罚</w:t>
            </w:r>
            <w:r>
              <w:rPr>
                <w:spacing w:val="8"/>
              </w:rPr>
              <w:t>款，对其直接负责的主管</w:t>
            </w:r>
            <w:r>
              <w:rPr>
                <w:spacing w:val="11"/>
              </w:rPr>
              <w:t>人员和其他直接责任人员</w:t>
            </w:r>
            <w:r>
              <w:rPr>
                <w:spacing w:val="3"/>
              </w:rPr>
              <w:t>处</w:t>
            </w:r>
            <w:r>
              <w:rPr>
                <w:rFonts w:ascii="宋体" w:hAnsi="宋体" w:eastAsia="宋体" w:cs="宋体"/>
                <w:spacing w:val="3"/>
              </w:rPr>
              <w:t>3</w:t>
            </w:r>
            <w:r>
              <w:rPr>
                <w:spacing w:val="3"/>
              </w:rPr>
              <w:t>万元以上</w:t>
            </w:r>
            <w:r>
              <w:rPr>
                <w:rFonts w:ascii="宋体" w:hAnsi="宋体" w:eastAsia="宋体" w:cs="宋体"/>
                <w:spacing w:val="3"/>
              </w:rPr>
              <w:t>4</w:t>
            </w:r>
            <w:r>
              <w:rPr>
                <w:spacing w:val="3"/>
              </w:rPr>
              <w:t>万元以下</w:t>
            </w:r>
            <w:r>
              <w:rPr>
                <w:spacing w:val="5"/>
              </w:rPr>
              <w:t>的罚款</w:t>
            </w:r>
          </w:p>
        </w:tc>
        <w:tc>
          <w:tcPr>
            <w:tcW w:w="811" w:type="dxa"/>
            <w:vMerge w:val="continue"/>
            <w:tcBorders>
              <w:top w:val="nil"/>
              <w:bottom w:val="nil"/>
            </w:tcBorders>
            <w:vAlign w:val="top"/>
          </w:tcPr>
          <w:p w14:paraId="367E2B79">
            <w:pPr>
              <w:rPr>
                <w:rFonts w:ascii="Arial"/>
                <w:sz w:val="21"/>
              </w:rPr>
            </w:pPr>
          </w:p>
        </w:tc>
      </w:tr>
      <w:tr w14:paraId="0CD61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trPr>
        <w:tc>
          <w:tcPr>
            <w:tcW w:w="818" w:type="dxa"/>
            <w:vMerge w:val="continue"/>
            <w:tcBorders>
              <w:top w:val="nil"/>
            </w:tcBorders>
            <w:vAlign w:val="top"/>
          </w:tcPr>
          <w:p w14:paraId="67FA8B6F">
            <w:pPr>
              <w:rPr>
                <w:rFonts w:ascii="Arial"/>
                <w:sz w:val="21"/>
              </w:rPr>
            </w:pPr>
          </w:p>
        </w:tc>
        <w:tc>
          <w:tcPr>
            <w:tcW w:w="1440" w:type="dxa"/>
            <w:vMerge w:val="continue"/>
            <w:tcBorders>
              <w:top w:val="nil"/>
            </w:tcBorders>
            <w:vAlign w:val="top"/>
          </w:tcPr>
          <w:p w14:paraId="57490882">
            <w:pPr>
              <w:rPr>
                <w:rFonts w:ascii="Arial"/>
                <w:sz w:val="21"/>
              </w:rPr>
            </w:pPr>
          </w:p>
        </w:tc>
        <w:tc>
          <w:tcPr>
            <w:tcW w:w="3202" w:type="dxa"/>
            <w:vMerge w:val="continue"/>
            <w:tcBorders>
              <w:top w:val="nil"/>
            </w:tcBorders>
            <w:vAlign w:val="top"/>
          </w:tcPr>
          <w:p w14:paraId="4131348C">
            <w:pPr>
              <w:rPr>
                <w:rFonts w:ascii="Arial"/>
                <w:sz w:val="21"/>
              </w:rPr>
            </w:pPr>
          </w:p>
        </w:tc>
        <w:tc>
          <w:tcPr>
            <w:tcW w:w="2859" w:type="dxa"/>
            <w:vMerge w:val="continue"/>
            <w:tcBorders>
              <w:top w:val="nil"/>
            </w:tcBorders>
            <w:vAlign w:val="top"/>
          </w:tcPr>
          <w:p w14:paraId="54B78BB2">
            <w:pPr>
              <w:rPr>
                <w:rFonts w:ascii="Arial"/>
                <w:sz w:val="21"/>
              </w:rPr>
            </w:pPr>
          </w:p>
        </w:tc>
        <w:tc>
          <w:tcPr>
            <w:tcW w:w="803" w:type="dxa"/>
            <w:vAlign w:val="top"/>
          </w:tcPr>
          <w:p w14:paraId="2B470E50">
            <w:pPr>
              <w:spacing w:line="298" w:lineRule="auto"/>
              <w:rPr>
                <w:rFonts w:ascii="Arial"/>
                <w:sz w:val="21"/>
              </w:rPr>
            </w:pPr>
          </w:p>
          <w:p w14:paraId="60B6981B">
            <w:pPr>
              <w:spacing w:line="298" w:lineRule="auto"/>
              <w:rPr>
                <w:rFonts w:ascii="Arial"/>
                <w:sz w:val="21"/>
              </w:rPr>
            </w:pPr>
          </w:p>
          <w:p w14:paraId="61A08AAC">
            <w:pPr>
              <w:spacing w:line="298" w:lineRule="auto"/>
              <w:rPr>
                <w:rFonts w:ascii="Arial"/>
                <w:sz w:val="21"/>
              </w:rPr>
            </w:pPr>
          </w:p>
          <w:p w14:paraId="052B4EF7">
            <w:pPr>
              <w:spacing w:line="299" w:lineRule="auto"/>
              <w:rPr>
                <w:rFonts w:ascii="Arial"/>
                <w:sz w:val="21"/>
              </w:rPr>
            </w:pPr>
          </w:p>
          <w:p w14:paraId="297D448F">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057ED7E">
            <w:pPr>
              <w:spacing w:line="244" w:lineRule="auto"/>
              <w:rPr>
                <w:rFonts w:ascii="Arial"/>
                <w:sz w:val="21"/>
              </w:rPr>
            </w:pPr>
          </w:p>
          <w:p w14:paraId="1C607EED">
            <w:pPr>
              <w:spacing w:line="244" w:lineRule="auto"/>
              <w:rPr>
                <w:rFonts w:ascii="Arial"/>
                <w:sz w:val="21"/>
              </w:rPr>
            </w:pPr>
          </w:p>
          <w:p w14:paraId="51FF078C">
            <w:pPr>
              <w:spacing w:line="244" w:lineRule="auto"/>
              <w:rPr>
                <w:rFonts w:ascii="Arial"/>
                <w:sz w:val="21"/>
              </w:rPr>
            </w:pPr>
          </w:p>
          <w:p w14:paraId="1FC0923D">
            <w:pPr>
              <w:spacing w:line="244" w:lineRule="auto"/>
              <w:rPr>
                <w:rFonts w:ascii="Arial"/>
                <w:sz w:val="21"/>
              </w:rPr>
            </w:pPr>
          </w:p>
          <w:p w14:paraId="345BE348">
            <w:pPr>
              <w:pStyle w:val="6"/>
              <w:spacing w:before="99" w:line="197" w:lineRule="auto"/>
              <w:ind w:left="122" w:right="106" w:hanging="5"/>
            </w:pPr>
            <w:r>
              <w:rPr>
                <w:spacing w:val="3"/>
              </w:rPr>
              <w:t>违法所得</w:t>
            </w:r>
            <w:r>
              <w:rPr>
                <w:rFonts w:ascii="宋体" w:hAnsi="宋体" w:eastAsia="宋体" w:cs="宋体"/>
                <w:spacing w:val="3"/>
              </w:rPr>
              <w:t>10</w:t>
            </w:r>
            <w:r>
              <w:rPr>
                <w:spacing w:val="3"/>
              </w:rPr>
              <w:t>万元以</w:t>
            </w:r>
            <w:r>
              <w:t>上的</w:t>
            </w:r>
          </w:p>
        </w:tc>
        <w:tc>
          <w:tcPr>
            <w:tcW w:w="2894" w:type="dxa"/>
            <w:vAlign w:val="top"/>
          </w:tcPr>
          <w:p w14:paraId="6BCD04A3">
            <w:pPr>
              <w:pStyle w:val="6"/>
              <w:spacing w:before="29" w:line="180" w:lineRule="auto"/>
              <w:ind w:left="117" w:right="104" w:firstLine="10"/>
              <w:jc w:val="both"/>
            </w:pPr>
            <w:r>
              <w:rPr>
                <w:spacing w:val="9"/>
              </w:rPr>
              <w:t>责令限期改正，可以处</w:t>
            </w:r>
            <w:r>
              <w:rPr>
                <w:rFonts w:ascii="宋体" w:hAnsi="宋体" w:eastAsia="宋体" w:cs="宋体"/>
                <w:spacing w:val="9"/>
              </w:rPr>
              <w:t>7</w:t>
            </w:r>
            <w:r>
              <w:rPr>
                <w:spacing w:val="11"/>
              </w:rPr>
              <w:t>万元以上</w:t>
            </w:r>
            <w:r>
              <w:rPr>
                <w:rFonts w:ascii="宋体" w:hAnsi="宋体" w:eastAsia="宋体" w:cs="宋体"/>
                <w:spacing w:val="11"/>
              </w:rPr>
              <w:t>10</w:t>
            </w:r>
            <w:r>
              <w:rPr>
                <w:spacing w:val="11"/>
              </w:rPr>
              <w:t>万元以下的</w:t>
            </w:r>
            <w:r>
              <w:rPr>
                <w:spacing w:val="5"/>
              </w:rPr>
              <w:t>罚款；逾期未改正的，责</w:t>
            </w:r>
            <w:r>
              <w:rPr>
                <w:spacing w:val="-2"/>
              </w:rPr>
              <w:t>令停产停业整顿，并处</w:t>
            </w:r>
            <w:r>
              <w:rPr>
                <w:rFonts w:ascii="宋体" w:hAnsi="宋体" w:eastAsia="宋体" w:cs="宋体"/>
                <w:spacing w:val="-2"/>
              </w:rPr>
              <w:t>17</w:t>
            </w:r>
            <w:r>
              <w:rPr>
                <w:spacing w:val="13"/>
              </w:rPr>
              <w:t>万元以上</w:t>
            </w:r>
            <w:r>
              <w:rPr>
                <w:rFonts w:ascii="宋体" w:hAnsi="宋体" w:eastAsia="宋体" w:cs="宋体"/>
                <w:spacing w:val="13"/>
              </w:rPr>
              <w:t>20</w:t>
            </w:r>
            <w:r>
              <w:rPr>
                <w:spacing w:val="13"/>
              </w:rPr>
              <w:t>万元以下的</w:t>
            </w:r>
            <w:r>
              <w:rPr>
                <w:spacing w:val="8"/>
              </w:rPr>
              <w:t>罚款，对其直接负责的主</w:t>
            </w:r>
            <w:r>
              <w:rPr>
                <w:spacing w:val="11"/>
              </w:rPr>
              <w:t>管人员和其他直接责任人</w:t>
            </w:r>
            <w:r>
              <w:rPr>
                <w:spacing w:val="3"/>
              </w:rPr>
              <w:t>员处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w:t>
            </w:r>
            <w:r>
              <w:rPr>
                <w:spacing w:val="6"/>
              </w:rPr>
              <w:t>下的罚款</w:t>
            </w:r>
          </w:p>
        </w:tc>
        <w:tc>
          <w:tcPr>
            <w:tcW w:w="811" w:type="dxa"/>
            <w:vMerge w:val="continue"/>
            <w:tcBorders>
              <w:top w:val="nil"/>
            </w:tcBorders>
            <w:vAlign w:val="top"/>
          </w:tcPr>
          <w:p w14:paraId="07C9547D">
            <w:pPr>
              <w:rPr>
                <w:rFonts w:ascii="Arial"/>
                <w:sz w:val="21"/>
              </w:rPr>
            </w:pPr>
          </w:p>
        </w:tc>
      </w:tr>
      <w:tr w14:paraId="4568B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Merge w:val="restart"/>
            <w:tcBorders>
              <w:bottom w:val="nil"/>
            </w:tcBorders>
            <w:vAlign w:val="top"/>
          </w:tcPr>
          <w:p w14:paraId="18CBB192">
            <w:pPr>
              <w:spacing w:line="270" w:lineRule="auto"/>
              <w:rPr>
                <w:rFonts w:ascii="Arial"/>
                <w:sz w:val="21"/>
              </w:rPr>
            </w:pPr>
          </w:p>
          <w:p w14:paraId="3E504FCE">
            <w:pPr>
              <w:spacing w:line="270" w:lineRule="auto"/>
              <w:rPr>
                <w:rFonts w:ascii="Arial"/>
                <w:sz w:val="21"/>
              </w:rPr>
            </w:pPr>
          </w:p>
          <w:p w14:paraId="1D756FF6">
            <w:pPr>
              <w:spacing w:line="270" w:lineRule="auto"/>
              <w:rPr>
                <w:rFonts w:ascii="Arial"/>
                <w:sz w:val="21"/>
              </w:rPr>
            </w:pPr>
          </w:p>
          <w:p w14:paraId="7F9E16F2">
            <w:pPr>
              <w:spacing w:line="271" w:lineRule="auto"/>
              <w:rPr>
                <w:rFonts w:ascii="Arial"/>
                <w:sz w:val="21"/>
              </w:rPr>
            </w:pPr>
          </w:p>
          <w:p w14:paraId="1836477C">
            <w:pPr>
              <w:spacing w:line="271" w:lineRule="auto"/>
              <w:rPr>
                <w:rFonts w:ascii="Arial"/>
                <w:sz w:val="21"/>
              </w:rPr>
            </w:pPr>
          </w:p>
          <w:p w14:paraId="145B4DF4">
            <w:pPr>
              <w:spacing w:before="75" w:line="186" w:lineRule="auto"/>
              <w:ind w:left="161"/>
              <w:rPr>
                <w:rFonts w:ascii="仿宋" w:hAnsi="仿宋" w:eastAsia="仿宋" w:cs="仿宋"/>
                <w:sz w:val="23"/>
                <w:szCs w:val="23"/>
              </w:rPr>
            </w:pPr>
            <w:r>
              <w:rPr>
                <w:rFonts w:ascii="仿宋" w:hAnsi="仿宋" w:eastAsia="仿宋" w:cs="仿宋"/>
                <w:spacing w:val="-5"/>
                <w:sz w:val="23"/>
                <w:szCs w:val="23"/>
              </w:rPr>
              <w:t>186</w:t>
            </w:r>
          </w:p>
        </w:tc>
        <w:tc>
          <w:tcPr>
            <w:tcW w:w="1440" w:type="dxa"/>
            <w:vMerge w:val="restart"/>
            <w:tcBorders>
              <w:bottom w:val="nil"/>
            </w:tcBorders>
            <w:vAlign w:val="top"/>
          </w:tcPr>
          <w:p w14:paraId="0CAF0E11">
            <w:pPr>
              <w:spacing w:line="267" w:lineRule="auto"/>
              <w:rPr>
                <w:rFonts w:ascii="Arial"/>
                <w:sz w:val="21"/>
              </w:rPr>
            </w:pPr>
          </w:p>
          <w:p w14:paraId="423C0A2E">
            <w:pPr>
              <w:spacing w:line="267" w:lineRule="auto"/>
              <w:rPr>
                <w:rFonts w:ascii="Arial"/>
                <w:sz w:val="21"/>
              </w:rPr>
            </w:pPr>
          </w:p>
          <w:p w14:paraId="4FAC806C">
            <w:pPr>
              <w:pStyle w:val="6"/>
              <w:spacing w:before="99" w:line="187" w:lineRule="auto"/>
              <w:ind w:left="117" w:right="111" w:firstLine="2"/>
              <w:jc w:val="both"/>
            </w:pPr>
            <w:r>
              <w:rPr>
                <w:spacing w:val="10"/>
              </w:rPr>
              <w:t>烟花爆竹生</w:t>
            </w:r>
            <w:r>
              <w:rPr>
                <w:spacing w:val="11"/>
              </w:rPr>
              <w:t>产企业、批发企业未按规定建立烟花爆竹流向</w:t>
            </w:r>
            <w:r>
              <w:rPr>
                <w:spacing w:val="6"/>
              </w:rPr>
              <w:t>管理制度的</w:t>
            </w:r>
          </w:p>
        </w:tc>
        <w:tc>
          <w:tcPr>
            <w:tcW w:w="3202" w:type="dxa"/>
            <w:vMerge w:val="restart"/>
            <w:tcBorders>
              <w:bottom w:val="nil"/>
            </w:tcBorders>
            <w:vAlign w:val="top"/>
          </w:tcPr>
          <w:p w14:paraId="6FE60E63">
            <w:pPr>
              <w:pStyle w:val="6"/>
              <w:spacing w:before="30" w:line="181" w:lineRule="auto"/>
              <w:ind w:left="115" w:right="110" w:hanging="17"/>
              <w:jc w:val="both"/>
            </w:pPr>
            <w:r>
              <w:rPr>
                <w:spacing w:val="18"/>
              </w:rPr>
              <w:t>【部门规章】《烟花爆竹生</w:t>
            </w:r>
            <w:r>
              <w:rPr>
                <w:spacing w:val="17"/>
              </w:rPr>
              <w:t>产经营安全规定》第二十三</w:t>
            </w:r>
            <w:r>
              <w:rPr>
                <w:spacing w:val="12"/>
              </w:rPr>
              <w:t>条第一款：生产企业、批发</w:t>
            </w:r>
            <w:r>
              <w:rPr>
                <w:spacing w:val="40"/>
              </w:rPr>
              <w:t>企业在烟花爆竹购销活动</w:t>
            </w:r>
            <w:r>
              <w:rPr>
                <w:spacing w:val="13"/>
              </w:rPr>
              <w:t>中，应当依法签订规范的烟</w:t>
            </w:r>
            <w:r>
              <w:rPr>
                <w:spacing w:val="14"/>
              </w:rPr>
              <w:t>花爆竹买卖合同，建立烟花</w:t>
            </w:r>
            <w:r>
              <w:rPr>
                <w:spacing w:val="17"/>
              </w:rPr>
              <w:t>爆竹买卖合同和流向管理制</w:t>
            </w:r>
            <w:r>
              <w:rPr>
                <w:spacing w:val="14"/>
              </w:rPr>
              <w:t>度，使用全国统一的烟花爆</w:t>
            </w:r>
            <w:r>
              <w:rPr>
                <w:spacing w:val="13"/>
              </w:rPr>
              <w:t>竹流向管理信息系统，如实</w:t>
            </w:r>
            <w:r>
              <w:rPr>
                <w:spacing w:val="4"/>
              </w:rPr>
              <w:t>登记烟花爆竹流向。</w:t>
            </w:r>
          </w:p>
        </w:tc>
        <w:tc>
          <w:tcPr>
            <w:tcW w:w="2859" w:type="dxa"/>
            <w:vMerge w:val="restart"/>
            <w:tcBorders>
              <w:bottom w:val="nil"/>
            </w:tcBorders>
            <w:vAlign w:val="top"/>
          </w:tcPr>
          <w:p w14:paraId="136F93C4">
            <w:pPr>
              <w:pStyle w:val="6"/>
              <w:spacing w:before="30" w:line="181" w:lineRule="auto"/>
              <w:ind w:left="114" w:right="19" w:hanging="17"/>
              <w:jc w:val="both"/>
            </w:pPr>
            <w:r>
              <w:rPr>
                <w:spacing w:val="10"/>
              </w:rPr>
              <w:t>【部门规章】《烟花爆竹</w:t>
            </w:r>
            <w:r>
              <w:rPr>
                <w:spacing w:val="8"/>
              </w:rPr>
              <w:t>生产经营安全规定》第三</w:t>
            </w:r>
            <w:r>
              <w:rPr>
                <w:spacing w:val="-4"/>
              </w:rPr>
              <w:t>十五条第四项：生产企业、</w:t>
            </w:r>
            <w:r>
              <w:rPr>
                <w:spacing w:val="6"/>
              </w:rPr>
              <w:t>批发企业有下列行为之一</w:t>
            </w:r>
            <w:r>
              <w:rPr>
                <w:spacing w:val="8"/>
              </w:rPr>
              <w:t>的，责令限期改正，可以</w:t>
            </w:r>
            <w:r>
              <w:rPr>
                <w:spacing w:val="2"/>
              </w:rPr>
              <w:t>处十万元以下的罚款；逾</w:t>
            </w:r>
            <w:r>
              <w:rPr>
                <w:spacing w:val="8"/>
              </w:rPr>
              <w:t>期未改正的，责令停产停</w:t>
            </w:r>
            <w:r>
              <w:rPr>
                <w:spacing w:val="4"/>
              </w:rPr>
              <w:t>业整顿，并处十万元以上</w:t>
            </w:r>
            <w:r>
              <w:rPr>
                <w:spacing w:val="2"/>
              </w:rPr>
              <w:t>二十万元以下的罚款，对</w:t>
            </w:r>
            <w:r>
              <w:rPr>
                <w:spacing w:val="8"/>
              </w:rPr>
              <w:t>其直接负责的主管人员和</w:t>
            </w:r>
          </w:p>
        </w:tc>
        <w:tc>
          <w:tcPr>
            <w:tcW w:w="803" w:type="dxa"/>
            <w:vAlign w:val="top"/>
          </w:tcPr>
          <w:p w14:paraId="56D47653">
            <w:pPr>
              <w:spacing w:line="261" w:lineRule="auto"/>
              <w:rPr>
                <w:rFonts w:ascii="Arial"/>
                <w:sz w:val="21"/>
              </w:rPr>
            </w:pPr>
          </w:p>
          <w:p w14:paraId="0F1227A0">
            <w:pPr>
              <w:spacing w:line="261" w:lineRule="auto"/>
              <w:rPr>
                <w:rFonts w:ascii="Arial"/>
                <w:sz w:val="21"/>
              </w:rPr>
            </w:pPr>
          </w:p>
          <w:p w14:paraId="674F23FB">
            <w:pPr>
              <w:spacing w:line="261" w:lineRule="auto"/>
              <w:rPr>
                <w:rFonts w:ascii="Arial"/>
                <w:sz w:val="21"/>
              </w:rPr>
            </w:pPr>
          </w:p>
          <w:p w14:paraId="325313ED">
            <w:pPr>
              <w:spacing w:line="261" w:lineRule="auto"/>
              <w:rPr>
                <w:rFonts w:ascii="Arial"/>
                <w:sz w:val="21"/>
              </w:rPr>
            </w:pPr>
          </w:p>
          <w:p w14:paraId="44653EEC">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52A0B29">
            <w:pPr>
              <w:spacing w:line="275" w:lineRule="auto"/>
              <w:rPr>
                <w:rFonts w:ascii="Arial"/>
                <w:sz w:val="21"/>
              </w:rPr>
            </w:pPr>
          </w:p>
          <w:p w14:paraId="1F27CE2A">
            <w:pPr>
              <w:spacing w:line="276" w:lineRule="auto"/>
              <w:rPr>
                <w:rFonts w:ascii="Arial"/>
                <w:sz w:val="21"/>
              </w:rPr>
            </w:pPr>
          </w:p>
          <w:p w14:paraId="3E54C724">
            <w:pPr>
              <w:spacing w:line="276" w:lineRule="auto"/>
              <w:rPr>
                <w:rFonts w:ascii="Arial"/>
                <w:sz w:val="21"/>
              </w:rPr>
            </w:pPr>
          </w:p>
          <w:p w14:paraId="5C84853B">
            <w:pPr>
              <w:pStyle w:val="6"/>
              <w:spacing w:before="99" w:line="197" w:lineRule="auto"/>
              <w:ind w:left="122" w:right="105" w:hanging="2"/>
            </w:pPr>
            <w:r>
              <w:rPr>
                <w:spacing w:val="6"/>
              </w:rPr>
              <w:t>从业人员在</w:t>
            </w:r>
            <w:r>
              <w:rPr>
                <w:rFonts w:ascii="宋体" w:hAnsi="宋体" w:eastAsia="宋体" w:cs="宋体"/>
                <w:spacing w:val="6"/>
              </w:rPr>
              <w:t>50</w:t>
            </w:r>
            <w:r>
              <w:rPr>
                <w:spacing w:val="6"/>
              </w:rPr>
              <w:t>人以</w:t>
            </w:r>
            <w:r>
              <w:t>下的</w:t>
            </w:r>
          </w:p>
        </w:tc>
        <w:tc>
          <w:tcPr>
            <w:tcW w:w="2894" w:type="dxa"/>
            <w:vAlign w:val="top"/>
          </w:tcPr>
          <w:p w14:paraId="60589D1A">
            <w:pPr>
              <w:pStyle w:val="6"/>
              <w:spacing w:before="39" w:line="179" w:lineRule="auto"/>
              <w:ind w:left="120" w:right="104" w:firstLine="7"/>
              <w:jc w:val="both"/>
            </w:pPr>
            <w:r>
              <w:rPr>
                <w:spacing w:val="10"/>
              </w:rPr>
              <w:t>责令限期改正，可以处</w:t>
            </w:r>
            <w:r>
              <w:rPr>
                <w:rFonts w:ascii="宋体" w:hAnsi="宋体" w:eastAsia="宋体" w:cs="宋体"/>
                <w:spacing w:val="10"/>
              </w:rPr>
              <w:t>3</w:t>
            </w:r>
            <w:r>
              <w:rPr>
                <w:spacing w:val="9"/>
              </w:rPr>
              <w:t>万元以下的罚款；逾期未</w:t>
            </w:r>
            <w:r>
              <w:rPr>
                <w:spacing w:val="8"/>
              </w:rPr>
              <w:t>改正的，责令停产停业整</w:t>
            </w:r>
            <w:r>
              <w:rPr>
                <w:spacing w:val="-1"/>
              </w:rPr>
              <w:t>顿，并处</w:t>
            </w:r>
            <w:r>
              <w:rPr>
                <w:rFonts w:ascii="宋体" w:hAnsi="宋体" w:eastAsia="宋体" w:cs="宋体"/>
                <w:spacing w:val="-1"/>
              </w:rPr>
              <w:t>10</w:t>
            </w:r>
            <w:r>
              <w:rPr>
                <w:spacing w:val="-1"/>
              </w:rPr>
              <w:t>万元以上</w:t>
            </w:r>
            <w:r>
              <w:rPr>
                <w:rFonts w:ascii="宋体" w:hAnsi="宋体" w:eastAsia="宋体" w:cs="宋体"/>
                <w:spacing w:val="-1"/>
              </w:rPr>
              <w:t>13</w:t>
            </w:r>
            <w:r>
              <w:rPr>
                <w:spacing w:val="8"/>
              </w:rPr>
              <w:t>万元以下的罚款，对其直</w:t>
            </w:r>
            <w:r>
              <w:rPr>
                <w:spacing w:val="11"/>
              </w:rPr>
              <w:t>接负责的主管人员和其他</w:t>
            </w:r>
            <w:r>
              <w:rPr>
                <w:spacing w:val="7"/>
              </w:rPr>
              <w:t>直接责任人员处</w:t>
            </w:r>
            <w:r>
              <w:rPr>
                <w:rFonts w:ascii="宋体" w:hAnsi="宋体" w:eastAsia="宋体" w:cs="宋体"/>
                <w:spacing w:val="7"/>
              </w:rPr>
              <w:t>2</w:t>
            </w:r>
            <w:r>
              <w:rPr>
                <w:spacing w:val="7"/>
              </w:rPr>
              <w:t>万元以</w:t>
            </w:r>
            <w:r>
              <w:rPr>
                <w:spacing w:val="3"/>
              </w:rPr>
              <w:t>上</w:t>
            </w:r>
            <w:r>
              <w:rPr>
                <w:rFonts w:ascii="宋体" w:hAnsi="宋体" w:eastAsia="宋体" w:cs="宋体"/>
                <w:spacing w:val="3"/>
              </w:rPr>
              <w:t>3</w:t>
            </w:r>
            <w:r>
              <w:rPr>
                <w:spacing w:val="3"/>
              </w:rPr>
              <w:t>万元以下的罚款</w:t>
            </w:r>
          </w:p>
        </w:tc>
        <w:tc>
          <w:tcPr>
            <w:tcW w:w="811" w:type="dxa"/>
            <w:vMerge w:val="restart"/>
            <w:tcBorders>
              <w:bottom w:val="nil"/>
            </w:tcBorders>
            <w:vAlign w:val="top"/>
          </w:tcPr>
          <w:p w14:paraId="20B02FC4">
            <w:pPr>
              <w:rPr>
                <w:rFonts w:ascii="Arial"/>
                <w:sz w:val="21"/>
              </w:rPr>
            </w:pPr>
          </w:p>
        </w:tc>
      </w:tr>
      <w:tr w14:paraId="3021B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18" w:type="dxa"/>
            <w:vMerge w:val="continue"/>
            <w:tcBorders>
              <w:top w:val="nil"/>
            </w:tcBorders>
            <w:vAlign w:val="top"/>
          </w:tcPr>
          <w:p w14:paraId="590985C3">
            <w:pPr>
              <w:rPr>
                <w:rFonts w:ascii="Arial"/>
                <w:sz w:val="21"/>
              </w:rPr>
            </w:pPr>
          </w:p>
        </w:tc>
        <w:tc>
          <w:tcPr>
            <w:tcW w:w="1440" w:type="dxa"/>
            <w:vMerge w:val="continue"/>
            <w:tcBorders>
              <w:top w:val="nil"/>
            </w:tcBorders>
            <w:vAlign w:val="top"/>
          </w:tcPr>
          <w:p w14:paraId="1C2FACE2">
            <w:pPr>
              <w:rPr>
                <w:rFonts w:ascii="Arial"/>
                <w:sz w:val="21"/>
              </w:rPr>
            </w:pPr>
          </w:p>
        </w:tc>
        <w:tc>
          <w:tcPr>
            <w:tcW w:w="3202" w:type="dxa"/>
            <w:vMerge w:val="continue"/>
            <w:tcBorders>
              <w:top w:val="nil"/>
            </w:tcBorders>
            <w:vAlign w:val="top"/>
          </w:tcPr>
          <w:p w14:paraId="45C9CD7D">
            <w:pPr>
              <w:rPr>
                <w:rFonts w:ascii="Arial"/>
                <w:sz w:val="21"/>
              </w:rPr>
            </w:pPr>
          </w:p>
        </w:tc>
        <w:tc>
          <w:tcPr>
            <w:tcW w:w="2859" w:type="dxa"/>
            <w:vMerge w:val="continue"/>
            <w:tcBorders>
              <w:top w:val="nil"/>
            </w:tcBorders>
            <w:vAlign w:val="top"/>
          </w:tcPr>
          <w:p w14:paraId="06DD78AC">
            <w:pPr>
              <w:rPr>
                <w:rFonts w:ascii="Arial"/>
                <w:sz w:val="21"/>
              </w:rPr>
            </w:pPr>
          </w:p>
        </w:tc>
        <w:tc>
          <w:tcPr>
            <w:tcW w:w="803" w:type="dxa"/>
            <w:vAlign w:val="top"/>
          </w:tcPr>
          <w:p w14:paraId="05D5C078">
            <w:pPr>
              <w:spacing w:before="229"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E0F55F8">
            <w:pPr>
              <w:pStyle w:val="6"/>
              <w:spacing w:before="32" w:line="172" w:lineRule="auto"/>
              <w:ind w:left="122" w:right="105" w:hanging="2"/>
            </w:pPr>
            <w:r>
              <w:rPr>
                <w:spacing w:val="6"/>
              </w:rPr>
              <w:t>从业人员在</w:t>
            </w:r>
            <w:r>
              <w:rPr>
                <w:rFonts w:ascii="宋体" w:hAnsi="宋体" w:eastAsia="宋体" w:cs="宋体"/>
                <w:spacing w:val="6"/>
              </w:rPr>
              <w:t>50</w:t>
            </w:r>
            <w:r>
              <w:rPr>
                <w:spacing w:val="6"/>
              </w:rPr>
              <w:t>人以</w:t>
            </w:r>
            <w:r>
              <w:rPr>
                <w:spacing w:val="-1"/>
              </w:rPr>
              <w:t>上</w:t>
            </w:r>
            <w:r>
              <w:rPr>
                <w:rFonts w:ascii="宋体" w:hAnsi="宋体" w:eastAsia="宋体" w:cs="宋体"/>
                <w:spacing w:val="-1"/>
              </w:rPr>
              <w:t>100</w:t>
            </w:r>
            <w:r>
              <w:rPr>
                <w:spacing w:val="-1"/>
              </w:rPr>
              <w:t>人以下的</w:t>
            </w:r>
          </w:p>
        </w:tc>
        <w:tc>
          <w:tcPr>
            <w:tcW w:w="2894" w:type="dxa"/>
            <w:vAlign w:val="top"/>
          </w:tcPr>
          <w:p w14:paraId="172EA209">
            <w:pPr>
              <w:pStyle w:val="6"/>
              <w:spacing w:before="32" w:line="172" w:lineRule="auto"/>
              <w:ind w:left="129" w:right="104" w:hanging="2"/>
            </w:pPr>
            <w:r>
              <w:rPr>
                <w:spacing w:val="10"/>
              </w:rPr>
              <w:t>责令限期改正，可以处</w:t>
            </w:r>
            <w:r>
              <w:rPr>
                <w:rFonts w:ascii="宋体" w:hAnsi="宋体" w:eastAsia="宋体" w:cs="宋体"/>
                <w:spacing w:val="10"/>
              </w:rPr>
              <w:t>3</w:t>
            </w:r>
            <w:r>
              <w:rPr>
                <w:spacing w:val="6"/>
              </w:rPr>
              <w:t>万元以上</w:t>
            </w:r>
            <w:r>
              <w:rPr>
                <w:rFonts w:ascii="宋体" w:hAnsi="宋体" w:eastAsia="宋体" w:cs="宋体"/>
                <w:spacing w:val="6"/>
              </w:rPr>
              <w:t>7</w:t>
            </w:r>
            <w:r>
              <w:rPr>
                <w:spacing w:val="6"/>
              </w:rPr>
              <w:t>万元以下的罚</w:t>
            </w:r>
          </w:p>
        </w:tc>
        <w:tc>
          <w:tcPr>
            <w:tcW w:w="811" w:type="dxa"/>
            <w:vMerge w:val="continue"/>
            <w:tcBorders>
              <w:top w:val="nil"/>
            </w:tcBorders>
            <w:vAlign w:val="top"/>
          </w:tcPr>
          <w:p w14:paraId="28A60020">
            <w:pPr>
              <w:rPr>
                <w:rFonts w:ascii="Arial"/>
                <w:sz w:val="21"/>
              </w:rPr>
            </w:pPr>
          </w:p>
        </w:tc>
      </w:tr>
    </w:tbl>
    <w:p w14:paraId="34D2837B">
      <w:pPr>
        <w:pStyle w:val="2"/>
      </w:pPr>
    </w:p>
    <w:p w14:paraId="37271DC3">
      <w:pPr>
        <w:sectPr>
          <w:footerReference r:id="rId200" w:type="default"/>
          <w:pgSz w:w="16839" w:h="11906"/>
          <w:pgMar w:top="1012" w:right="821" w:bottom="667" w:left="901" w:header="0" w:footer="388" w:gutter="0"/>
          <w:cols w:space="720" w:num="1"/>
        </w:sectPr>
      </w:pPr>
    </w:p>
    <w:p w14:paraId="72A5199B">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C614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5AFB446">
            <w:pPr>
              <w:spacing w:before="222" w:line="241" w:lineRule="auto"/>
              <w:ind w:left="131"/>
              <w:outlineLvl w:val="0"/>
              <w:rPr>
                <w:rFonts w:ascii="黑体" w:hAnsi="黑体" w:eastAsia="黑体" w:cs="黑体"/>
                <w:sz w:val="28"/>
                <w:szCs w:val="28"/>
              </w:rPr>
            </w:pPr>
            <w:bookmarkStart w:id="671" w:name="bookmark593"/>
            <w:bookmarkEnd w:id="671"/>
            <w:bookmarkStart w:id="672" w:name="bookmark382"/>
            <w:bookmarkEnd w:id="672"/>
            <w:r>
              <w:rPr>
                <w:rFonts w:ascii="黑体" w:hAnsi="黑体" w:eastAsia="黑体" w:cs="黑体"/>
                <w:spacing w:val="-2"/>
                <w:sz w:val="28"/>
                <w:szCs w:val="28"/>
              </w:rPr>
              <w:t>序号</w:t>
            </w:r>
          </w:p>
        </w:tc>
        <w:tc>
          <w:tcPr>
            <w:tcW w:w="1440" w:type="dxa"/>
            <w:vAlign w:val="top"/>
          </w:tcPr>
          <w:p w14:paraId="44CAD0FB">
            <w:pPr>
              <w:spacing w:before="221"/>
              <w:ind w:left="163"/>
              <w:outlineLvl w:val="1"/>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7EB3573F">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84B3303">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41315460">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084F0116">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568EA113">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5152383">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6B6C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restart"/>
            <w:tcBorders>
              <w:bottom w:val="nil"/>
            </w:tcBorders>
            <w:vAlign w:val="top"/>
          </w:tcPr>
          <w:p w14:paraId="20284FD5">
            <w:pPr>
              <w:rPr>
                <w:rFonts w:ascii="Arial"/>
                <w:sz w:val="21"/>
              </w:rPr>
            </w:pPr>
          </w:p>
        </w:tc>
        <w:tc>
          <w:tcPr>
            <w:tcW w:w="1440" w:type="dxa"/>
            <w:vMerge w:val="restart"/>
            <w:tcBorders>
              <w:bottom w:val="nil"/>
            </w:tcBorders>
            <w:vAlign w:val="top"/>
          </w:tcPr>
          <w:p w14:paraId="15037570">
            <w:pPr>
              <w:rPr>
                <w:rFonts w:ascii="Arial"/>
                <w:sz w:val="21"/>
              </w:rPr>
            </w:pPr>
          </w:p>
        </w:tc>
        <w:tc>
          <w:tcPr>
            <w:tcW w:w="3202" w:type="dxa"/>
            <w:vMerge w:val="restart"/>
            <w:tcBorders>
              <w:bottom w:val="nil"/>
            </w:tcBorders>
            <w:vAlign w:val="top"/>
          </w:tcPr>
          <w:p w14:paraId="0319E5C8">
            <w:pPr>
              <w:rPr>
                <w:rFonts w:ascii="Arial"/>
                <w:sz w:val="21"/>
              </w:rPr>
            </w:pPr>
          </w:p>
        </w:tc>
        <w:tc>
          <w:tcPr>
            <w:tcW w:w="2859" w:type="dxa"/>
            <w:vMerge w:val="restart"/>
            <w:tcBorders>
              <w:bottom w:val="nil"/>
            </w:tcBorders>
            <w:vAlign w:val="top"/>
          </w:tcPr>
          <w:p w14:paraId="1E8DDAD4">
            <w:pPr>
              <w:pStyle w:val="6"/>
              <w:spacing w:before="30" w:line="182" w:lineRule="auto"/>
              <w:ind w:left="120" w:right="110" w:hanging="5"/>
              <w:jc w:val="both"/>
            </w:pPr>
            <w:r>
              <w:rPr>
                <w:spacing w:val="8"/>
              </w:rPr>
              <w:t>其他直接责任人员处二万</w:t>
            </w:r>
            <w:r>
              <w:rPr>
                <w:spacing w:val="32"/>
              </w:rPr>
              <w:t>元以上五万元以下的罚</w:t>
            </w:r>
            <w:r>
              <w:rPr>
                <w:spacing w:val="9"/>
              </w:rPr>
              <w:t>款</w:t>
            </w:r>
            <w:r>
              <w:rPr>
                <w:spacing w:val="5"/>
              </w:rPr>
              <w:t>：（</w:t>
            </w:r>
            <w:r>
              <w:rPr>
                <w:spacing w:val="9"/>
              </w:rPr>
              <w:t>四）未按规定建立</w:t>
            </w:r>
          </w:p>
          <w:p w14:paraId="791EA9D5">
            <w:pPr>
              <w:pStyle w:val="6"/>
              <w:spacing w:line="182" w:lineRule="auto"/>
              <w:ind w:left="121"/>
              <w:outlineLvl w:val="1"/>
            </w:pPr>
            <w:r>
              <w:rPr>
                <w:spacing w:val="32"/>
              </w:rPr>
              <w:t>烟花爆竹流向管理制度</w:t>
            </w:r>
          </w:p>
          <w:p w14:paraId="17593F0A">
            <w:pPr>
              <w:pStyle w:val="6"/>
              <w:spacing w:before="1" w:line="211" w:lineRule="auto"/>
              <w:ind w:left="139"/>
              <w:outlineLvl w:val="1"/>
            </w:pPr>
            <w:r>
              <w:rPr>
                <w:spacing w:val="-13"/>
              </w:rPr>
              <w:t>的。</w:t>
            </w:r>
          </w:p>
        </w:tc>
        <w:tc>
          <w:tcPr>
            <w:tcW w:w="803" w:type="dxa"/>
            <w:vAlign w:val="top"/>
          </w:tcPr>
          <w:p w14:paraId="78A1BE12">
            <w:pPr>
              <w:rPr>
                <w:rFonts w:ascii="Arial"/>
                <w:sz w:val="21"/>
              </w:rPr>
            </w:pPr>
          </w:p>
        </w:tc>
        <w:tc>
          <w:tcPr>
            <w:tcW w:w="2283" w:type="dxa"/>
            <w:vAlign w:val="top"/>
          </w:tcPr>
          <w:p w14:paraId="68F63D07">
            <w:pPr>
              <w:rPr>
                <w:rFonts w:ascii="Arial"/>
                <w:sz w:val="21"/>
              </w:rPr>
            </w:pPr>
          </w:p>
        </w:tc>
        <w:tc>
          <w:tcPr>
            <w:tcW w:w="2894" w:type="dxa"/>
            <w:vAlign w:val="top"/>
          </w:tcPr>
          <w:p w14:paraId="10742AC0">
            <w:pPr>
              <w:pStyle w:val="6"/>
              <w:spacing w:before="33" w:line="179" w:lineRule="auto"/>
              <w:ind w:left="119" w:right="104" w:firstLine="3"/>
              <w:jc w:val="both"/>
            </w:pPr>
            <w:r>
              <w:rPr>
                <w:spacing w:val="5"/>
              </w:rPr>
              <w:t>款；逾期未改正的，责令</w:t>
            </w:r>
            <w:r>
              <w:rPr>
                <w:spacing w:val="-4"/>
              </w:rPr>
              <w:t>停产停业整顿，并处</w:t>
            </w:r>
            <w:r>
              <w:rPr>
                <w:rFonts w:ascii="宋体" w:hAnsi="宋体" w:eastAsia="宋体" w:cs="宋体"/>
                <w:spacing w:val="-4"/>
              </w:rPr>
              <w:t>13</w:t>
            </w:r>
            <w:r>
              <w:rPr>
                <w:spacing w:val="-4"/>
              </w:rPr>
              <w:t>万</w:t>
            </w:r>
            <w:r>
              <w:rPr>
                <w:spacing w:val="11"/>
              </w:rPr>
              <w:t>元以上</w:t>
            </w:r>
            <w:r>
              <w:rPr>
                <w:rFonts w:ascii="宋体" w:hAnsi="宋体" w:eastAsia="宋体" w:cs="宋体"/>
                <w:spacing w:val="11"/>
              </w:rPr>
              <w:t>17</w:t>
            </w:r>
            <w:r>
              <w:rPr>
                <w:spacing w:val="11"/>
              </w:rPr>
              <w:t>万元以下的罚</w:t>
            </w:r>
            <w:r>
              <w:rPr>
                <w:spacing w:val="8"/>
              </w:rPr>
              <w:t>款，对其直接负责的主管</w:t>
            </w:r>
            <w:r>
              <w:rPr>
                <w:spacing w:val="11"/>
              </w:rPr>
              <w:t>人员和其他直接责任人员</w:t>
            </w:r>
            <w:r>
              <w:rPr>
                <w:spacing w:val="3"/>
              </w:rPr>
              <w:t>处</w:t>
            </w:r>
            <w:r>
              <w:rPr>
                <w:rFonts w:ascii="宋体" w:hAnsi="宋体" w:eastAsia="宋体" w:cs="宋体"/>
                <w:spacing w:val="3"/>
              </w:rPr>
              <w:t>3</w:t>
            </w:r>
            <w:r>
              <w:rPr>
                <w:spacing w:val="3"/>
              </w:rPr>
              <w:t>万元以上</w:t>
            </w:r>
            <w:r>
              <w:rPr>
                <w:rFonts w:ascii="宋体" w:hAnsi="宋体" w:eastAsia="宋体" w:cs="宋体"/>
                <w:spacing w:val="3"/>
              </w:rPr>
              <w:t>4</w:t>
            </w:r>
            <w:r>
              <w:rPr>
                <w:spacing w:val="3"/>
              </w:rPr>
              <w:t>万元以下</w:t>
            </w:r>
            <w:r>
              <w:rPr>
                <w:spacing w:val="5"/>
              </w:rPr>
              <w:t>的罚款</w:t>
            </w:r>
          </w:p>
        </w:tc>
        <w:tc>
          <w:tcPr>
            <w:tcW w:w="811" w:type="dxa"/>
            <w:vMerge w:val="restart"/>
            <w:tcBorders>
              <w:bottom w:val="nil"/>
            </w:tcBorders>
            <w:vAlign w:val="top"/>
          </w:tcPr>
          <w:p w14:paraId="70EB3D57">
            <w:pPr>
              <w:rPr>
                <w:rFonts w:ascii="Arial"/>
                <w:sz w:val="21"/>
              </w:rPr>
            </w:pPr>
          </w:p>
        </w:tc>
      </w:tr>
      <w:tr w14:paraId="719A4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818" w:type="dxa"/>
            <w:vMerge w:val="continue"/>
            <w:tcBorders>
              <w:top w:val="nil"/>
            </w:tcBorders>
            <w:vAlign w:val="top"/>
          </w:tcPr>
          <w:p w14:paraId="25D4588B">
            <w:pPr>
              <w:rPr>
                <w:rFonts w:ascii="Arial"/>
                <w:sz w:val="21"/>
              </w:rPr>
            </w:pPr>
          </w:p>
        </w:tc>
        <w:tc>
          <w:tcPr>
            <w:tcW w:w="1440" w:type="dxa"/>
            <w:vMerge w:val="continue"/>
            <w:tcBorders>
              <w:top w:val="nil"/>
            </w:tcBorders>
            <w:vAlign w:val="top"/>
          </w:tcPr>
          <w:p w14:paraId="56CC9B68">
            <w:pPr>
              <w:rPr>
                <w:rFonts w:ascii="Arial"/>
                <w:sz w:val="21"/>
              </w:rPr>
            </w:pPr>
          </w:p>
        </w:tc>
        <w:tc>
          <w:tcPr>
            <w:tcW w:w="3202" w:type="dxa"/>
            <w:vMerge w:val="continue"/>
            <w:tcBorders>
              <w:top w:val="nil"/>
            </w:tcBorders>
            <w:vAlign w:val="top"/>
          </w:tcPr>
          <w:p w14:paraId="31DC9B8F">
            <w:pPr>
              <w:rPr>
                <w:rFonts w:ascii="Arial"/>
                <w:sz w:val="21"/>
              </w:rPr>
            </w:pPr>
          </w:p>
        </w:tc>
        <w:tc>
          <w:tcPr>
            <w:tcW w:w="2859" w:type="dxa"/>
            <w:vMerge w:val="continue"/>
            <w:tcBorders>
              <w:top w:val="nil"/>
            </w:tcBorders>
            <w:vAlign w:val="top"/>
          </w:tcPr>
          <w:p w14:paraId="6936951E">
            <w:pPr>
              <w:rPr>
                <w:rFonts w:ascii="Arial"/>
                <w:sz w:val="21"/>
              </w:rPr>
            </w:pPr>
          </w:p>
        </w:tc>
        <w:tc>
          <w:tcPr>
            <w:tcW w:w="803" w:type="dxa"/>
            <w:vAlign w:val="top"/>
          </w:tcPr>
          <w:p w14:paraId="334245FE">
            <w:pPr>
              <w:spacing w:line="298" w:lineRule="auto"/>
              <w:rPr>
                <w:rFonts w:ascii="Arial"/>
                <w:sz w:val="21"/>
              </w:rPr>
            </w:pPr>
          </w:p>
          <w:p w14:paraId="677084EC">
            <w:pPr>
              <w:spacing w:line="298" w:lineRule="auto"/>
              <w:rPr>
                <w:rFonts w:ascii="Arial"/>
                <w:sz w:val="21"/>
              </w:rPr>
            </w:pPr>
          </w:p>
          <w:p w14:paraId="1714C4F8">
            <w:pPr>
              <w:spacing w:line="298" w:lineRule="auto"/>
              <w:rPr>
                <w:rFonts w:ascii="Arial"/>
                <w:sz w:val="21"/>
              </w:rPr>
            </w:pPr>
          </w:p>
          <w:p w14:paraId="7156A7BE">
            <w:pPr>
              <w:spacing w:line="298" w:lineRule="auto"/>
              <w:rPr>
                <w:rFonts w:ascii="Arial"/>
                <w:sz w:val="21"/>
              </w:rPr>
            </w:pPr>
          </w:p>
          <w:p w14:paraId="29E67744">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DAE7F7C">
            <w:pPr>
              <w:spacing w:line="243" w:lineRule="auto"/>
              <w:rPr>
                <w:rFonts w:ascii="Arial"/>
                <w:sz w:val="21"/>
              </w:rPr>
            </w:pPr>
          </w:p>
          <w:p w14:paraId="17CD66BE">
            <w:pPr>
              <w:spacing w:line="243" w:lineRule="auto"/>
              <w:rPr>
                <w:rFonts w:ascii="Arial"/>
                <w:sz w:val="21"/>
              </w:rPr>
            </w:pPr>
          </w:p>
          <w:p w14:paraId="36A6C81F">
            <w:pPr>
              <w:spacing w:line="244" w:lineRule="auto"/>
              <w:rPr>
                <w:rFonts w:ascii="Arial"/>
                <w:sz w:val="21"/>
              </w:rPr>
            </w:pPr>
          </w:p>
          <w:p w14:paraId="105BE29A">
            <w:pPr>
              <w:spacing w:line="244" w:lineRule="auto"/>
              <w:rPr>
                <w:rFonts w:ascii="Arial"/>
                <w:sz w:val="21"/>
              </w:rPr>
            </w:pPr>
          </w:p>
          <w:p w14:paraId="6FB739FD">
            <w:pPr>
              <w:pStyle w:val="6"/>
              <w:spacing w:before="98" w:line="196" w:lineRule="auto"/>
              <w:ind w:left="145" w:right="105" w:hanging="25"/>
            </w:pPr>
            <w:r>
              <w:rPr>
                <w:spacing w:val="12"/>
              </w:rPr>
              <w:t>从业人员在</w:t>
            </w:r>
            <w:r>
              <w:rPr>
                <w:rFonts w:ascii="宋体" w:hAnsi="宋体" w:eastAsia="宋体" w:cs="宋体"/>
                <w:spacing w:val="12"/>
              </w:rPr>
              <w:t>100</w:t>
            </w:r>
            <w:r>
              <w:rPr>
                <w:spacing w:val="12"/>
              </w:rPr>
              <w:t>人</w:t>
            </w:r>
            <w:r>
              <w:rPr>
                <w:spacing w:val="-3"/>
              </w:rPr>
              <w:t>以上的</w:t>
            </w:r>
          </w:p>
        </w:tc>
        <w:tc>
          <w:tcPr>
            <w:tcW w:w="2894" w:type="dxa"/>
            <w:vAlign w:val="top"/>
          </w:tcPr>
          <w:p w14:paraId="3E492BD7">
            <w:pPr>
              <w:pStyle w:val="6"/>
              <w:spacing w:before="30" w:line="180" w:lineRule="auto"/>
              <w:ind w:left="117" w:right="104" w:firstLine="10"/>
              <w:jc w:val="both"/>
            </w:pPr>
            <w:r>
              <w:rPr>
                <w:spacing w:val="9"/>
              </w:rPr>
              <w:t>责令限期改正，可以处</w:t>
            </w:r>
            <w:r>
              <w:rPr>
                <w:rFonts w:ascii="宋体" w:hAnsi="宋体" w:eastAsia="宋体" w:cs="宋体"/>
                <w:spacing w:val="9"/>
              </w:rPr>
              <w:t>7</w:t>
            </w:r>
            <w:r>
              <w:rPr>
                <w:spacing w:val="11"/>
              </w:rPr>
              <w:t>万元以上</w:t>
            </w:r>
            <w:r>
              <w:rPr>
                <w:rFonts w:ascii="宋体" w:hAnsi="宋体" w:eastAsia="宋体" w:cs="宋体"/>
                <w:spacing w:val="11"/>
              </w:rPr>
              <w:t>10</w:t>
            </w:r>
            <w:r>
              <w:rPr>
                <w:spacing w:val="11"/>
              </w:rPr>
              <w:t>万元以下的</w:t>
            </w:r>
            <w:r>
              <w:rPr>
                <w:spacing w:val="5"/>
              </w:rPr>
              <w:t>罚款；逾期未改正的，责</w:t>
            </w:r>
            <w:r>
              <w:rPr>
                <w:spacing w:val="-2"/>
              </w:rPr>
              <w:t>令停产停业整顿，并处</w:t>
            </w:r>
            <w:r>
              <w:rPr>
                <w:rFonts w:ascii="宋体" w:hAnsi="宋体" w:eastAsia="宋体" w:cs="宋体"/>
                <w:spacing w:val="-2"/>
              </w:rPr>
              <w:t>17</w:t>
            </w:r>
            <w:r>
              <w:rPr>
                <w:spacing w:val="13"/>
              </w:rPr>
              <w:t>万元以上</w:t>
            </w:r>
            <w:r>
              <w:rPr>
                <w:rFonts w:ascii="宋体" w:hAnsi="宋体" w:eastAsia="宋体" w:cs="宋体"/>
                <w:spacing w:val="13"/>
              </w:rPr>
              <w:t>20</w:t>
            </w:r>
            <w:r>
              <w:rPr>
                <w:spacing w:val="13"/>
              </w:rPr>
              <w:t>万元以下的</w:t>
            </w:r>
            <w:r>
              <w:rPr>
                <w:spacing w:val="8"/>
              </w:rPr>
              <w:t>罚款，对其直接负责的主</w:t>
            </w:r>
            <w:r>
              <w:rPr>
                <w:spacing w:val="11"/>
              </w:rPr>
              <w:t>管人员和其他直接责任人</w:t>
            </w:r>
            <w:r>
              <w:rPr>
                <w:spacing w:val="3"/>
              </w:rPr>
              <w:t>员处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w:t>
            </w:r>
            <w:r>
              <w:rPr>
                <w:spacing w:val="6"/>
              </w:rPr>
              <w:t>下的罚款</w:t>
            </w:r>
          </w:p>
        </w:tc>
        <w:tc>
          <w:tcPr>
            <w:tcW w:w="811" w:type="dxa"/>
            <w:vMerge w:val="continue"/>
            <w:tcBorders>
              <w:top w:val="nil"/>
            </w:tcBorders>
            <w:vAlign w:val="top"/>
          </w:tcPr>
          <w:p w14:paraId="27B4CA1B">
            <w:pPr>
              <w:rPr>
                <w:rFonts w:ascii="Arial"/>
                <w:sz w:val="21"/>
              </w:rPr>
            </w:pPr>
          </w:p>
        </w:tc>
      </w:tr>
      <w:tr w14:paraId="72D54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3" w:hRule="atLeast"/>
        </w:trPr>
        <w:tc>
          <w:tcPr>
            <w:tcW w:w="818" w:type="dxa"/>
            <w:vMerge w:val="restart"/>
            <w:tcBorders>
              <w:bottom w:val="nil"/>
            </w:tcBorders>
            <w:vAlign w:val="top"/>
          </w:tcPr>
          <w:p w14:paraId="7E2DF201">
            <w:pPr>
              <w:spacing w:line="243" w:lineRule="auto"/>
              <w:rPr>
                <w:rFonts w:ascii="Arial"/>
                <w:sz w:val="21"/>
              </w:rPr>
            </w:pPr>
          </w:p>
          <w:p w14:paraId="333A3EC8">
            <w:pPr>
              <w:spacing w:line="243" w:lineRule="auto"/>
              <w:rPr>
                <w:rFonts w:ascii="Arial"/>
                <w:sz w:val="21"/>
              </w:rPr>
            </w:pPr>
          </w:p>
          <w:p w14:paraId="45333F96">
            <w:pPr>
              <w:spacing w:line="243" w:lineRule="auto"/>
              <w:rPr>
                <w:rFonts w:ascii="Arial"/>
                <w:sz w:val="21"/>
              </w:rPr>
            </w:pPr>
          </w:p>
          <w:p w14:paraId="0728CA2B">
            <w:pPr>
              <w:spacing w:line="243" w:lineRule="auto"/>
              <w:rPr>
                <w:rFonts w:ascii="Arial"/>
                <w:sz w:val="21"/>
              </w:rPr>
            </w:pPr>
          </w:p>
          <w:p w14:paraId="448F8A30">
            <w:pPr>
              <w:spacing w:line="243" w:lineRule="auto"/>
              <w:rPr>
                <w:rFonts w:ascii="Arial"/>
                <w:sz w:val="21"/>
              </w:rPr>
            </w:pPr>
          </w:p>
          <w:p w14:paraId="793DCDDF">
            <w:pPr>
              <w:spacing w:line="244" w:lineRule="auto"/>
              <w:rPr>
                <w:rFonts w:ascii="Arial"/>
                <w:sz w:val="21"/>
              </w:rPr>
            </w:pPr>
          </w:p>
          <w:p w14:paraId="7E03E0D3">
            <w:pPr>
              <w:spacing w:line="244" w:lineRule="auto"/>
              <w:rPr>
                <w:rFonts w:ascii="Arial"/>
                <w:sz w:val="21"/>
              </w:rPr>
            </w:pPr>
          </w:p>
          <w:p w14:paraId="1D90D070">
            <w:pPr>
              <w:spacing w:line="244" w:lineRule="auto"/>
              <w:rPr>
                <w:rFonts w:ascii="Arial"/>
                <w:sz w:val="21"/>
              </w:rPr>
            </w:pPr>
          </w:p>
          <w:p w14:paraId="0C9CA955">
            <w:pPr>
              <w:spacing w:before="74" w:line="186" w:lineRule="auto"/>
              <w:ind w:left="161"/>
              <w:rPr>
                <w:rFonts w:ascii="仿宋" w:hAnsi="仿宋" w:eastAsia="仿宋" w:cs="仿宋"/>
                <w:sz w:val="23"/>
                <w:szCs w:val="23"/>
              </w:rPr>
            </w:pPr>
            <w:r>
              <w:rPr>
                <w:rFonts w:ascii="仿宋" w:hAnsi="仿宋" w:eastAsia="仿宋" w:cs="仿宋"/>
                <w:spacing w:val="-5"/>
                <w:sz w:val="23"/>
                <w:szCs w:val="23"/>
              </w:rPr>
              <w:t>187</w:t>
            </w:r>
          </w:p>
        </w:tc>
        <w:tc>
          <w:tcPr>
            <w:tcW w:w="1440" w:type="dxa"/>
            <w:vMerge w:val="restart"/>
            <w:tcBorders>
              <w:bottom w:val="nil"/>
            </w:tcBorders>
            <w:vAlign w:val="top"/>
          </w:tcPr>
          <w:p w14:paraId="257CBFF8">
            <w:pPr>
              <w:pStyle w:val="6"/>
              <w:spacing w:before="38" w:line="181" w:lineRule="auto"/>
              <w:ind w:left="116" w:right="109" w:firstLine="3"/>
              <w:jc w:val="both"/>
            </w:pPr>
            <w:r>
              <w:rPr>
                <w:spacing w:val="10"/>
              </w:rPr>
              <w:t>烟花爆竹生</w:t>
            </w:r>
            <w:r>
              <w:rPr>
                <w:spacing w:val="11"/>
              </w:rPr>
              <w:t>产企业从其他企业购买烟花爆竹半成品加工后</w:t>
            </w:r>
            <w:r>
              <w:rPr>
                <w:spacing w:val="3"/>
              </w:rPr>
              <w:t>销售，或者</w:t>
            </w:r>
            <w:r>
              <w:rPr>
                <w:spacing w:val="11"/>
              </w:rPr>
              <w:t>购买其他企业烟花爆竹成品加贴本企业标签后</w:t>
            </w:r>
            <w:r>
              <w:rPr>
                <w:spacing w:val="3"/>
              </w:rPr>
              <w:t>销售，或者</w:t>
            </w:r>
            <w:r>
              <w:rPr>
                <w:spacing w:val="11"/>
              </w:rPr>
              <w:t>向其他企业销售烟花爆</w:t>
            </w:r>
            <w:r>
              <w:rPr>
                <w:spacing w:val="6"/>
              </w:rPr>
              <w:t>竹半成品的</w:t>
            </w:r>
          </w:p>
        </w:tc>
        <w:tc>
          <w:tcPr>
            <w:tcW w:w="3202" w:type="dxa"/>
            <w:vMerge w:val="restart"/>
            <w:tcBorders>
              <w:bottom w:val="nil"/>
            </w:tcBorders>
            <w:vAlign w:val="top"/>
          </w:tcPr>
          <w:p w14:paraId="5964DD86">
            <w:pPr>
              <w:pStyle w:val="6"/>
              <w:spacing w:before="24" w:line="185" w:lineRule="auto"/>
              <w:ind w:left="116" w:right="110" w:hanging="18"/>
              <w:jc w:val="both"/>
            </w:pPr>
            <w:r>
              <w:rPr>
                <w:spacing w:val="18"/>
              </w:rPr>
              <w:t>【部门规章】《烟花爆竹生</w:t>
            </w:r>
            <w:r>
              <w:rPr>
                <w:spacing w:val="17"/>
              </w:rPr>
              <w:t>产企业安全生产许可证实施</w:t>
            </w:r>
            <w:r>
              <w:rPr>
                <w:spacing w:val="13"/>
              </w:rPr>
              <w:t>办法》第四十条第二款：企</w:t>
            </w:r>
            <w:r>
              <w:rPr>
                <w:spacing w:val="17"/>
              </w:rPr>
              <w:t>业不得从其他企业购买烟花爆竹半成品加工后销售或者购买其他企业烟花爆竹成品</w:t>
            </w:r>
            <w:r>
              <w:rPr>
                <w:spacing w:val="13"/>
              </w:rPr>
              <w:t>加贴本企业标签后销售，不</w:t>
            </w:r>
            <w:r>
              <w:rPr>
                <w:spacing w:val="17"/>
              </w:rPr>
              <w:t>得向其他企业销售烟花爆竹半成品。从事礼花弹生产的企业不得将礼花弹销售给未</w:t>
            </w:r>
            <w:r>
              <w:rPr>
                <w:spacing w:val="39"/>
              </w:rPr>
              <w:t>经公安机关批准的燃放活</w:t>
            </w:r>
            <w:r>
              <w:rPr>
                <w:spacing w:val="-7"/>
              </w:rPr>
              <w:t>动。</w:t>
            </w:r>
          </w:p>
        </w:tc>
        <w:tc>
          <w:tcPr>
            <w:tcW w:w="2859" w:type="dxa"/>
            <w:vMerge w:val="restart"/>
            <w:tcBorders>
              <w:bottom w:val="nil"/>
            </w:tcBorders>
            <w:vAlign w:val="top"/>
          </w:tcPr>
          <w:p w14:paraId="72274B2B">
            <w:pPr>
              <w:pStyle w:val="6"/>
              <w:spacing w:before="38" w:line="181" w:lineRule="auto"/>
              <w:ind w:left="113" w:right="105" w:hanging="16"/>
              <w:jc w:val="both"/>
            </w:pPr>
            <w:r>
              <w:rPr>
                <w:spacing w:val="10"/>
              </w:rPr>
              <w:t>【部门规章】《烟花爆竹</w:t>
            </w:r>
            <w:r>
              <w:rPr>
                <w:spacing w:val="8"/>
              </w:rPr>
              <w:t>生产企业安全生产许可证实施办法》第四十三条第二项：企业有下列行为之一的，责令停止违法活动</w:t>
            </w:r>
            <w:r>
              <w:rPr>
                <w:spacing w:val="3"/>
              </w:rPr>
              <w:t>或者限期改正，并处</w:t>
            </w:r>
            <w:r>
              <w:rPr>
                <w:rFonts w:ascii="宋体" w:hAnsi="宋体" w:eastAsia="宋体" w:cs="宋体"/>
                <w:spacing w:val="3"/>
              </w:rPr>
              <w:t>1</w:t>
            </w:r>
            <w:r>
              <w:rPr>
                <w:spacing w:val="3"/>
              </w:rPr>
              <w:t>万</w:t>
            </w:r>
            <w:r>
              <w:rPr>
                <w:spacing w:val="20"/>
              </w:rPr>
              <w:t>元以上</w:t>
            </w:r>
            <w:r>
              <w:rPr>
                <w:rFonts w:ascii="宋体" w:hAnsi="宋体" w:eastAsia="宋体" w:cs="宋体"/>
                <w:spacing w:val="20"/>
              </w:rPr>
              <w:t>3</w:t>
            </w:r>
            <w:r>
              <w:rPr>
                <w:spacing w:val="20"/>
              </w:rPr>
              <w:t>万元以下的罚</w:t>
            </w:r>
            <w:r>
              <w:rPr>
                <w:spacing w:val="8"/>
              </w:rPr>
              <w:t>款</w:t>
            </w:r>
            <w:r>
              <w:rPr>
                <w:spacing w:val="11"/>
              </w:rPr>
              <w:t>：（</w:t>
            </w:r>
            <w:r>
              <w:rPr>
                <w:spacing w:val="8"/>
              </w:rPr>
              <w:t>二）从其他企业购买烟花爆竹半成品加工后</w:t>
            </w:r>
            <w:r>
              <w:rPr>
                <w:spacing w:val="5"/>
              </w:rPr>
              <w:t>销售，或者购买其他企业</w:t>
            </w:r>
            <w:r>
              <w:rPr>
                <w:spacing w:val="8"/>
              </w:rPr>
              <w:t>烟花爆竹成品加贴本企业标签后销售，或者向其他企业销售烟花爆竹半成品</w:t>
            </w:r>
            <w:r>
              <w:rPr>
                <w:spacing w:val="-7"/>
              </w:rPr>
              <w:t>的。</w:t>
            </w:r>
          </w:p>
        </w:tc>
        <w:tc>
          <w:tcPr>
            <w:tcW w:w="803" w:type="dxa"/>
            <w:vAlign w:val="top"/>
          </w:tcPr>
          <w:p w14:paraId="03929778">
            <w:pPr>
              <w:spacing w:line="268" w:lineRule="auto"/>
              <w:rPr>
                <w:rFonts w:ascii="Arial"/>
                <w:sz w:val="21"/>
              </w:rPr>
            </w:pPr>
          </w:p>
          <w:p w14:paraId="098A20BC">
            <w:pPr>
              <w:spacing w:line="268" w:lineRule="auto"/>
              <w:rPr>
                <w:rFonts w:ascii="Arial"/>
                <w:sz w:val="21"/>
              </w:rPr>
            </w:pPr>
          </w:p>
          <w:p w14:paraId="298BADC8">
            <w:pPr>
              <w:spacing w:line="268" w:lineRule="auto"/>
              <w:rPr>
                <w:rFonts w:ascii="Arial"/>
                <w:sz w:val="21"/>
              </w:rPr>
            </w:pPr>
          </w:p>
          <w:p w14:paraId="5A905E31">
            <w:pPr>
              <w:spacing w:line="268" w:lineRule="auto"/>
              <w:rPr>
                <w:rFonts w:ascii="Arial"/>
                <w:sz w:val="21"/>
              </w:rPr>
            </w:pPr>
          </w:p>
          <w:p w14:paraId="61AAB39B">
            <w:pPr>
              <w:spacing w:line="268" w:lineRule="auto"/>
              <w:rPr>
                <w:rFonts w:ascii="Arial"/>
                <w:sz w:val="21"/>
              </w:rPr>
            </w:pPr>
          </w:p>
          <w:p w14:paraId="2A1E4A5A">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B8F88EA">
            <w:pPr>
              <w:pStyle w:val="6"/>
              <w:spacing w:before="33" w:line="180" w:lineRule="auto"/>
              <w:ind w:left="118" w:right="105" w:firstLine="1"/>
              <w:jc w:val="both"/>
            </w:pPr>
            <w:r>
              <w:rPr>
                <w:spacing w:val="26"/>
              </w:rPr>
              <w:t>从其他企业购买烟花爆竹半成品加工</w:t>
            </w:r>
            <w:r>
              <w:rPr>
                <w:spacing w:val="-3"/>
              </w:rPr>
              <w:t>后销售，或者购买其</w:t>
            </w:r>
            <w:r>
              <w:rPr>
                <w:spacing w:val="26"/>
              </w:rPr>
              <w:t>他企业烟花爆竹成品加贴本企业标签</w:t>
            </w:r>
            <w:r>
              <w:rPr>
                <w:spacing w:val="-3"/>
              </w:rPr>
              <w:t>后销售，或者向其他</w:t>
            </w:r>
            <w:r>
              <w:rPr>
                <w:spacing w:val="26"/>
              </w:rPr>
              <w:t>企业销售烟花爆竹</w:t>
            </w:r>
            <w:r>
              <w:rPr>
                <w:spacing w:val="-3"/>
              </w:rPr>
              <w:t>半成品，涉及烟花爆</w:t>
            </w:r>
            <w:r>
              <w:rPr>
                <w:spacing w:val="3"/>
              </w:rPr>
              <w:t>竹产品数量</w:t>
            </w:r>
            <w:r>
              <w:rPr>
                <w:rFonts w:ascii="宋体" w:hAnsi="宋体" w:eastAsia="宋体" w:cs="宋体"/>
                <w:spacing w:val="3"/>
              </w:rPr>
              <w:t>10</w:t>
            </w:r>
            <w:r>
              <w:rPr>
                <w:spacing w:val="3"/>
              </w:rPr>
              <w:t>箱以</w:t>
            </w:r>
            <w:r>
              <w:rPr>
                <w:spacing w:val="2"/>
              </w:rPr>
              <w:t>下的</w:t>
            </w:r>
          </w:p>
        </w:tc>
        <w:tc>
          <w:tcPr>
            <w:tcW w:w="2894" w:type="dxa"/>
            <w:vAlign w:val="top"/>
          </w:tcPr>
          <w:p w14:paraId="5EC11C17">
            <w:pPr>
              <w:spacing w:line="244" w:lineRule="auto"/>
              <w:rPr>
                <w:rFonts w:ascii="Arial"/>
                <w:sz w:val="21"/>
              </w:rPr>
            </w:pPr>
          </w:p>
          <w:p w14:paraId="046AF3F6">
            <w:pPr>
              <w:spacing w:line="244" w:lineRule="auto"/>
              <w:rPr>
                <w:rFonts w:ascii="Arial"/>
                <w:sz w:val="21"/>
              </w:rPr>
            </w:pPr>
          </w:p>
          <w:p w14:paraId="5BFA0274">
            <w:pPr>
              <w:spacing w:line="244" w:lineRule="auto"/>
              <w:rPr>
                <w:rFonts w:ascii="Arial"/>
                <w:sz w:val="21"/>
              </w:rPr>
            </w:pPr>
          </w:p>
          <w:p w14:paraId="65E49168">
            <w:pPr>
              <w:spacing w:line="245" w:lineRule="auto"/>
              <w:rPr>
                <w:rFonts w:ascii="Arial"/>
                <w:sz w:val="21"/>
              </w:rPr>
            </w:pPr>
          </w:p>
          <w:p w14:paraId="36C4F575">
            <w:pPr>
              <w:pStyle w:val="6"/>
              <w:spacing w:before="98" w:line="191" w:lineRule="auto"/>
              <w:ind w:left="126" w:right="110"/>
              <w:jc w:val="both"/>
            </w:pPr>
            <w:r>
              <w:rPr>
                <w:spacing w:val="10"/>
              </w:rPr>
              <w:t>责令停止违法活动或者限</w:t>
            </w:r>
            <w:r>
              <w:rPr>
                <w:spacing w:val="2"/>
              </w:rPr>
              <w:t>期改正，并处</w:t>
            </w:r>
            <w:r>
              <w:rPr>
                <w:rFonts w:ascii="宋体" w:hAnsi="宋体" w:eastAsia="宋体" w:cs="宋体"/>
                <w:spacing w:val="2"/>
              </w:rPr>
              <w:t>1</w:t>
            </w:r>
            <w:r>
              <w:rPr>
                <w:spacing w:val="2"/>
              </w:rPr>
              <w:t>万元以上</w:t>
            </w:r>
            <w:r>
              <w:rPr>
                <w:rFonts w:ascii="宋体" w:hAnsi="宋体" w:eastAsia="宋体" w:cs="宋体"/>
                <w:spacing w:val="3"/>
              </w:rPr>
              <w:t>1.5</w:t>
            </w:r>
            <w:r>
              <w:rPr>
                <w:spacing w:val="3"/>
              </w:rPr>
              <w:t>万元以下的罚款</w:t>
            </w:r>
          </w:p>
        </w:tc>
        <w:tc>
          <w:tcPr>
            <w:tcW w:w="811" w:type="dxa"/>
            <w:vMerge w:val="restart"/>
            <w:tcBorders>
              <w:bottom w:val="nil"/>
            </w:tcBorders>
            <w:vAlign w:val="top"/>
          </w:tcPr>
          <w:p w14:paraId="0FD165E9">
            <w:pPr>
              <w:spacing w:line="242" w:lineRule="auto"/>
              <w:rPr>
                <w:rFonts w:ascii="Arial"/>
                <w:sz w:val="21"/>
              </w:rPr>
            </w:pPr>
          </w:p>
          <w:p w14:paraId="47B7F8F4">
            <w:pPr>
              <w:spacing w:line="243" w:lineRule="auto"/>
              <w:rPr>
                <w:rFonts w:ascii="Arial"/>
                <w:sz w:val="21"/>
              </w:rPr>
            </w:pPr>
          </w:p>
          <w:p w14:paraId="3120C0F5">
            <w:pPr>
              <w:spacing w:line="243" w:lineRule="auto"/>
              <w:rPr>
                <w:rFonts w:ascii="Arial"/>
                <w:sz w:val="21"/>
              </w:rPr>
            </w:pPr>
          </w:p>
          <w:p w14:paraId="79F29B6B">
            <w:pPr>
              <w:spacing w:line="243" w:lineRule="auto"/>
              <w:rPr>
                <w:rFonts w:ascii="Arial"/>
                <w:sz w:val="21"/>
              </w:rPr>
            </w:pPr>
          </w:p>
          <w:p w14:paraId="0101E3C7">
            <w:pPr>
              <w:spacing w:line="243" w:lineRule="auto"/>
              <w:rPr>
                <w:rFonts w:ascii="Arial"/>
                <w:sz w:val="21"/>
              </w:rPr>
            </w:pPr>
          </w:p>
          <w:p w14:paraId="3F961722">
            <w:pPr>
              <w:spacing w:line="243" w:lineRule="auto"/>
              <w:rPr>
                <w:rFonts w:ascii="Arial"/>
                <w:sz w:val="21"/>
              </w:rPr>
            </w:pPr>
          </w:p>
          <w:p w14:paraId="223CCB80">
            <w:pPr>
              <w:spacing w:line="243" w:lineRule="auto"/>
              <w:rPr>
                <w:rFonts w:ascii="Arial"/>
                <w:sz w:val="21"/>
              </w:rPr>
            </w:pPr>
          </w:p>
          <w:p w14:paraId="513545F2">
            <w:pPr>
              <w:spacing w:line="243" w:lineRule="auto"/>
              <w:rPr>
                <w:rFonts w:ascii="Arial"/>
                <w:sz w:val="21"/>
              </w:rPr>
            </w:pPr>
          </w:p>
          <w:p w14:paraId="770B64CF">
            <w:pPr>
              <w:spacing w:before="75" w:line="189" w:lineRule="auto"/>
              <w:ind w:left="248"/>
              <w:rPr>
                <w:rFonts w:ascii="宋体" w:hAnsi="宋体" w:eastAsia="宋体" w:cs="宋体"/>
                <w:sz w:val="23"/>
                <w:szCs w:val="23"/>
              </w:rPr>
            </w:pPr>
            <w:r>
              <w:rPr>
                <w:rFonts w:ascii="宋体" w:hAnsi="宋体" w:eastAsia="宋体" w:cs="宋体"/>
                <w:spacing w:val="-6"/>
                <w:sz w:val="23"/>
                <w:szCs w:val="23"/>
              </w:rPr>
              <w:t>160</w:t>
            </w:r>
          </w:p>
        </w:tc>
      </w:tr>
      <w:tr w14:paraId="4C51B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818" w:type="dxa"/>
            <w:vMerge w:val="continue"/>
            <w:tcBorders>
              <w:top w:val="nil"/>
            </w:tcBorders>
            <w:vAlign w:val="top"/>
          </w:tcPr>
          <w:p w14:paraId="316A43D0">
            <w:pPr>
              <w:rPr>
                <w:rFonts w:ascii="Arial"/>
                <w:sz w:val="21"/>
              </w:rPr>
            </w:pPr>
          </w:p>
        </w:tc>
        <w:tc>
          <w:tcPr>
            <w:tcW w:w="1440" w:type="dxa"/>
            <w:vMerge w:val="continue"/>
            <w:tcBorders>
              <w:top w:val="nil"/>
            </w:tcBorders>
            <w:vAlign w:val="top"/>
          </w:tcPr>
          <w:p w14:paraId="5E6EF485">
            <w:pPr>
              <w:rPr>
                <w:rFonts w:ascii="Arial"/>
                <w:sz w:val="21"/>
              </w:rPr>
            </w:pPr>
          </w:p>
        </w:tc>
        <w:tc>
          <w:tcPr>
            <w:tcW w:w="3202" w:type="dxa"/>
            <w:vMerge w:val="continue"/>
            <w:tcBorders>
              <w:top w:val="nil"/>
            </w:tcBorders>
            <w:vAlign w:val="top"/>
          </w:tcPr>
          <w:p w14:paraId="15022765">
            <w:pPr>
              <w:rPr>
                <w:rFonts w:ascii="Arial"/>
                <w:sz w:val="21"/>
              </w:rPr>
            </w:pPr>
          </w:p>
        </w:tc>
        <w:tc>
          <w:tcPr>
            <w:tcW w:w="2859" w:type="dxa"/>
            <w:vMerge w:val="continue"/>
            <w:tcBorders>
              <w:top w:val="nil"/>
            </w:tcBorders>
            <w:vAlign w:val="top"/>
          </w:tcPr>
          <w:p w14:paraId="19CBAC0C">
            <w:pPr>
              <w:rPr>
                <w:rFonts w:ascii="Arial"/>
                <w:sz w:val="21"/>
              </w:rPr>
            </w:pPr>
          </w:p>
        </w:tc>
        <w:tc>
          <w:tcPr>
            <w:tcW w:w="803" w:type="dxa"/>
            <w:vAlign w:val="top"/>
          </w:tcPr>
          <w:p w14:paraId="1D6F79BC">
            <w:pPr>
              <w:spacing w:line="451" w:lineRule="auto"/>
              <w:rPr>
                <w:rFonts w:ascii="Arial"/>
                <w:sz w:val="21"/>
              </w:rPr>
            </w:pPr>
          </w:p>
          <w:p w14:paraId="0DA3C2B4">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5AFAC88">
            <w:pPr>
              <w:pStyle w:val="6"/>
              <w:spacing w:before="32" w:line="177" w:lineRule="auto"/>
              <w:ind w:left="118" w:right="109" w:firstLine="1"/>
              <w:jc w:val="both"/>
            </w:pPr>
            <w:r>
              <w:rPr>
                <w:spacing w:val="26"/>
              </w:rPr>
              <w:t>从其他企业购买烟花爆竹半成品加工</w:t>
            </w:r>
            <w:r>
              <w:rPr>
                <w:spacing w:val="-3"/>
              </w:rPr>
              <w:t>后销售，或者购买其</w:t>
            </w:r>
            <w:r>
              <w:rPr>
                <w:spacing w:val="26"/>
              </w:rPr>
              <w:t>他企业烟花爆竹成</w:t>
            </w:r>
          </w:p>
        </w:tc>
        <w:tc>
          <w:tcPr>
            <w:tcW w:w="2894" w:type="dxa"/>
            <w:vAlign w:val="top"/>
          </w:tcPr>
          <w:p w14:paraId="0F78F788">
            <w:pPr>
              <w:pStyle w:val="6"/>
              <w:spacing w:before="183" w:line="191" w:lineRule="auto"/>
              <w:ind w:left="124" w:right="103" w:firstLine="2"/>
              <w:jc w:val="both"/>
            </w:pPr>
            <w:r>
              <w:rPr>
                <w:spacing w:val="10"/>
              </w:rPr>
              <w:t>责令停止违法活动或者限</w:t>
            </w:r>
            <w:r>
              <w:rPr>
                <w:spacing w:val="1"/>
              </w:rPr>
              <w:t>期改正，并处</w:t>
            </w:r>
            <w:r>
              <w:rPr>
                <w:rFonts w:ascii="宋体" w:hAnsi="宋体" w:eastAsia="宋体" w:cs="宋体"/>
                <w:spacing w:val="1"/>
              </w:rPr>
              <w:t>1.5</w:t>
            </w:r>
            <w:r>
              <w:rPr>
                <w:spacing w:val="1"/>
              </w:rPr>
              <w:t>万元以</w:t>
            </w:r>
            <w:r>
              <w:rPr>
                <w:spacing w:val="2"/>
              </w:rPr>
              <w:t>上</w:t>
            </w:r>
            <w:r>
              <w:rPr>
                <w:rFonts w:ascii="宋体" w:hAnsi="宋体" w:eastAsia="宋体" w:cs="宋体"/>
                <w:spacing w:val="2"/>
              </w:rPr>
              <w:t>2</w:t>
            </w:r>
            <w:r>
              <w:rPr>
                <w:spacing w:val="2"/>
              </w:rPr>
              <w:t>万元以下的罚款</w:t>
            </w:r>
          </w:p>
        </w:tc>
        <w:tc>
          <w:tcPr>
            <w:tcW w:w="811" w:type="dxa"/>
            <w:vMerge w:val="continue"/>
            <w:tcBorders>
              <w:top w:val="nil"/>
            </w:tcBorders>
            <w:vAlign w:val="top"/>
          </w:tcPr>
          <w:p w14:paraId="735C1D70">
            <w:pPr>
              <w:rPr>
                <w:rFonts w:ascii="Arial"/>
                <w:sz w:val="21"/>
              </w:rPr>
            </w:pPr>
          </w:p>
        </w:tc>
      </w:tr>
    </w:tbl>
    <w:p w14:paraId="7E386E1C">
      <w:pPr>
        <w:pStyle w:val="2"/>
      </w:pPr>
    </w:p>
    <w:p w14:paraId="03EC85C6">
      <w:pPr>
        <w:sectPr>
          <w:footerReference r:id="rId201" w:type="default"/>
          <w:pgSz w:w="16839" w:h="11906"/>
          <w:pgMar w:top="1012" w:right="821" w:bottom="666" w:left="901" w:header="0" w:footer="388" w:gutter="0"/>
          <w:cols w:space="720" w:num="1"/>
        </w:sectPr>
      </w:pPr>
    </w:p>
    <w:p w14:paraId="04A80070">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43C9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133FCEB">
            <w:pPr>
              <w:spacing w:before="222" w:line="241" w:lineRule="auto"/>
              <w:ind w:left="131"/>
              <w:outlineLvl w:val="0"/>
              <w:rPr>
                <w:rFonts w:ascii="黑体" w:hAnsi="黑体" w:eastAsia="黑体" w:cs="黑体"/>
                <w:sz w:val="28"/>
                <w:szCs w:val="28"/>
              </w:rPr>
            </w:pPr>
            <w:bookmarkStart w:id="673" w:name="bookmark594"/>
            <w:bookmarkEnd w:id="673"/>
            <w:bookmarkStart w:id="674" w:name="bookmark384"/>
            <w:bookmarkEnd w:id="674"/>
            <w:r>
              <w:rPr>
                <w:rFonts w:ascii="黑体" w:hAnsi="黑体" w:eastAsia="黑体" w:cs="黑体"/>
                <w:spacing w:val="-2"/>
                <w:sz w:val="28"/>
                <w:szCs w:val="28"/>
              </w:rPr>
              <w:t>序号</w:t>
            </w:r>
          </w:p>
        </w:tc>
        <w:tc>
          <w:tcPr>
            <w:tcW w:w="1440" w:type="dxa"/>
            <w:vAlign w:val="top"/>
          </w:tcPr>
          <w:p w14:paraId="5A446940">
            <w:pPr>
              <w:spacing w:before="221"/>
              <w:ind w:left="163"/>
              <w:outlineLvl w:val="1"/>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C96F3F4">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C5EE1D5">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BB81F0C">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8F48991">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5D13BBC3">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008C1E4">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BF05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restart"/>
            <w:tcBorders>
              <w:bottom w:val="nil"/>
            </w:tcBorders>
            <w:vAlign w:val="top"/>
          </w:tcPr>
          <w:p w14:paraId="5E27A2D6">
            <w:pPr>
              <w:rPr>
                <w:rFonts w:ascii="Arial"/>
                <w:sz w:val="21"/>
              </w:rPr>
            </w:pPr>
          </w:p>
        </w:tc>
        <w:tc>
          <w:tcPr>
            <w:tcW w:w="1440" w:type="dxa"/>
            <w:vMerge w:val="restart"/>
            <w:tcBorders>
              <w:bottom w:val="nil"/>
            </w:tcBorders>
            <w:vAlign w:val="top"/>
          </w:tcPr>
          <w:p w14:paraId="67F92E23">
            <w:pPr>
              <w:rPr>
                <w:rFonts w:ascii="Arial"/>
                <w:sz w:val="21"/>
              </w:rPr>
            </w:pPr>
          </w:p>
        </w:tc>
        <w:tc>
          <w:tcPr>
            <w:tcW w:w="3202" w:type="dxa"/>
            <w:vMerge w:val="restart"/>
            <w:tcBorders>
              <w:bottom w:val="nil"/>
            </w:tcBorders>
            <w:vAlign w:val="top"/>
          </w:tcPr>
          <w:p w14:paraId="261B6118">
            <w:pPr>
              <w:rPr>
                <w:rFonts w:ascii="Arial"/>
                <w:sz w:val="21"/>
              </w:rPr>
            </w:pPr>
          </w:p>
        </w:tc>
        <w:tc>
          <w:tcPr>
            <w:tcW w:w="2859" w:type="dxa"/>
            <w:vMerge w:val="restart"/>
            <w:tcBorders>
              <w:bottom w:val="nil"/>
            </w:tcBorders>
            <w:vAlign w:val="top"/>
          </w:tcPr>
          <w:p w14:paraId="514DFA61">
            <w:pPr>
              <w:rPr>
                <w:rFonts w:ascii="Arial"/>
                <w:sz w:val="21"/>
              </w:rPr>
            </w:pPr>
          </w:p>
        </w:tc>
        <w:tc>
          <w:tcPr>
            <w:tcW w:w="803" w:type="dxa"/>
            <w:vAlign w:val="top"/>
          </w:tcPr>
          <w:p w14:paraId="5B53ED70">
            <w:pPr>
              <w:rPr>
                <w:rFonts w:ascii="Arial"/>
                <w:sz w:val="21"/>
              </w:rPr>
            </w:pPr>
          </w:p>
        </w:tc>
        <w:tc>
          <w:tcPr>
            <w:tcW w:w="2283" w:type="dxa"/>
            <w:vAlign w:val="top"/>
          </w:tcPr>
          <w:p w14:paraId="2C43B94E">
            <w:pPr>
              <w:pStyle w:val="6"/>
              <w:spacing w:before="30" w:line="182" w:lineRule="auto"/>
              <w:ind w:left="120" w:right="109" w:firstLine="25"/>
              <w:jc w:val="both"/>
            </w:pPr>
            <w:r>
              <w:rPr>
                <w:spacing w:val="22"/>
              </w:rPr>
              <w:t>品加贴本企业标签</w:t>
            </w:r>
            <w:r>
              <w:rPr>
                <w:spacing w:val="-3"/>
              </w:rPr>
              <w:t>后销售，或者向其他</w:t>
            </w:r>
            <w:r>
              <w:rPr>
                <w:spacing w:val="26"/>
              </w:rPr>
              <w:t>企业销售烟花爆竹</w:t>
            </w:r>
          </w:p>
          <w:p w14:paraId="72FDA4CD">
            <w:pPr>
              <w:pStyle w:val="6"/>
              <w:spacing w:line="182" w:lineRule="auto"/>
              <w:ind w:left="119"/>
              <w:outlineLvl w:val="1"/>
            </w:pPr>
            <w:r>
              <w:rPr>
                <w:spacing w:val="-3"/>
              </w:rPr>
              <w:t>半成品，涉及烟花爆</w:t>
            </w:r>
          </w:p>
          <w:p w14:paraId="36A26678">
            <w:pPr>
              <w:pStyle w:val="6"/>
              <w:spacing w:line="182" w:lineRule="auto"/>
              <w:ind w:left="119"/>
            </w:pPr>
            <w:r>
              <w:rPr>
                <w:spacing w:val="3"/>
              </w:rPr>
              <w:t>竹产品数量</w:t>
            </w:r>
            <w:r>
              <w:rPr>
                <w:rFonts w:ascii="宋体" w:hAnsi="宋体" w:eastAsia="宋体" w:cs="宋体"/>
                <w:spacing w:val="3"/>
              </w:rPr>
              <w:t>10</w:t>
            </w:r>
            <w:r>
              <w:rPr>
                <w:spacing w:val="3"/>
              </w:rPr>
              <w:t>箱以</w:t>
            </w:r>
          </w:p>
          <w:p w14:paraId="04D1CD01">
            <w:pPr>
              <w:pStyle w:val="6"/>
              <w:spacing w:before="1" w:line="161" w:lineRule="auto"/>
              <w:ind w:left="123"/>
              <w:outlineLvl w:val="1"/>
            </w:pPr>
            <w:r>
              <w:rPr>
                <w:spacing w:val="1"/>
              </w:rPr>
              <w:t>上</w:t>
            </w:r>
            <w:r>
              <w:rPr>
                <w:rFonts w:ascii="宋体" w:hAnsi="宋体" w:eastAsia="宋体" w:cs="宋体"/>
                <w:spacing w:val="1"/>
              </w:rPr>
              <w:t>30</w:t>
            </w:r>
            <w:r>
              <w:rPr>
                <w:spacing w:val="1"/>
              </w:rPr>
              <w:t>箱以下的</w:t>
            </w:r>
          </w:p>
        </w:tc>
        <w:tc>
          <w:tcPr>
            <w:tcW w:w="2894" w:type="dxa"/>
            <w:vAlign w:val="top"/>
          </w:tcPr>
          <w:p w14:paraId="70261115">
            <w:pPr>
              <w:rPr>
                <w:rFonts w:ascii="Arial"/>
                <w:sz w:val="21"/>
              </w:rPr>
            </w:pPr>
          </w:p>
        </w:tc>
        <w:tc>
          <w:tcPr>
            <w:tcW w:w="811" w:type="dxa"/>
            <w:vMerge w:val="restart"/>
            <w:tcBorders>
              <w:bottom w:val="nil"/>
            </w:tcBorders>
            <w:vAlign w:val="top"/>
          </w:tcPr>
          <w:p w14:paraId="2F2E810F">
            <w:pPr>
              <w:rPr>
                <w:rFonts w:ascii="Arial"/>
                <w:sz w:val="21"/>
              </w:rPr>
            </w:pPr>
          </w:p>
        </w:tc>
      </w:tr>
      <w:tr w14:paraId="1AF23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3" w:hRule="atLeast"/>
        </w:trPr>
        <w:tc>
          <w:tcPr>
            <w:tcW w:w="818" w:type="dxa"/>
            <w:vMerge w:val="continue"/>
            <w:tcBorders>
              <w:top w:val="nil"/>
            </w:tcBorders>
            <w:vAlign w:val="top"/>
          </w:tcPr>
          <w:p w14:paraId="01CB6C78">
            <w:pPr>
              <w:rPr>
                <w:rFonts w:ascii="Arial"/>
                <w:sz w:val="21"/>
              </w:rPr>
            </w:pPr>
          </w:p>
        </w:tc>
        <w:tc>
          <w:tcPr>
            <w:tcW w:w="1440" w:type="dxa"/>
            <w:vMerge w:val="continue"/>
            <w:tcBorders>
              <w:top w:val="nil"/>
            </w:tcBorders>
            <w:vAlign w:val="top"/>
          </w:tcPr>
          <w:p w14:paraId="15E91058">
            <w:pPr>
              <w:rPr>
                <w:rFonts w:ascii="Arial"/>
                <w:sz w:val="21"/>
              </w:rPr>
            </w:pPr>
          </w:p>
        </w:tc>
        <w:tc>
          <w:tcPr>
            <w:tcW w:w="3202" w:type="dxa"/>
            <w:vMerge w:val="continue"/>
            <w:tcBorders>
              <w:top w:val="nil"/>
            </w:tcBorders>
            <w:vAlign w:val="top"/>
          </w:tcPr>
          <w:p w14:paraId="714F37A9">
            <w:pPr>
              <w:rPr>
                <w:rFonts w:ascii="Arial"/>
                <w:sz w:val="21"/>
              </w:rPr>
            </w:pPr>
          </w:p>
        </w:tc>
        <w:tc>
          <w:tcPr>
            <w:tcW w:w="2859" w:type="dxa"/>
            <w:vMerge w:val="continue"/>
            <w:tcBorders>
              <w:top w:val="nil"/>
            </w:tcBorders>
            <w:vAlign w:val="top"/>
          </w:tcPr>
          <w:p w14:paraId="554155CC">
            <w:pPr>
              <w:rPr>
                <w:rFonts w:ascii="Arial"/>
                <w:sz w:val="21"/>
              </w:rPr>
            </w:pPr>
          </w:p>
        </w:tc>
        <w:tc>
          <w:tcPr>
            <w:tcW w:w="803" w:type="dxa"/>
            <w:vAlign w:val="top"/>
          </w:tcPr>
          <w:p w14:paraId="5939B14B">
            <w:pPr>
              <w:spacing w:line="268" w:lineRule="auto"/>
              <w:rPr>
                <w:rFonts w:ascii="Arial"/>
                <w:sz w:val="21"/>
              </w:rPr>
            </w:pPr>
          </w:p>
          <w:p w14:paraId="7736F7AA">
            <w:pPr>
              <w:spacing w:line="268" w:lineRule="auto"/>
              <w:rPr>
                <w:rFonts w:ascii="Arial"/>
                <w:sz w:val="21"/>
              </w:rPr>
            </w:pPr>
          </w:p>
          <w:p w14:paraId="0F928759">
            <w:pPr>
              <w:spacing w:line="268" w:lineRule="auto"/>
              <w:rPr>
                <w:rFonts w:ascii="Arial"/>
                <w:sz w:val="21"/>
              </w:rPr>
            </w:pPr>
          </w:p>
          <w:p w14:paraId="0E4BD701">
            <w:pPr>
              <w:spacing w:line="268" w:lineRule="auto"/>
              <w:rPr>
                <w:rFonts w:ascii="Arial"/>
                <w:sz w:val="21"/>
              </w:rPr>
            </w:pPr>
          </w:p>
          <w:p w14:paraId="6D91C1A2">
            <w:pPr>
              <w:spacing w:line="268" w:lineRule="auto"/>
              <w:rPr>
                <w:rFonts w:ascii="Arial"/>
                <w:sz w:val="21"/>
              </w:rPr>
            </w:pPr>
          </w:p>
          <w:p w14:paraId="49598D62">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D50D79A">
            <w:pPr>
              <w:pStyle w:val="6"/>
              <w:spacing w:before="33" w:line="180" w:lineRule="auto"/>
              <w:ind w:left="118" w:right="105" w:firstLine="1"/>
              <w:jc w:val="both"/>
            </w:pPr>
            <w:r>
              <w:rPr>
                <w:spacing w:val="26"/>
              </w:rPr>
              <w:t>从其他企业购买烟花爆竹半成品加工</w:t>
            </w:r>
            <w:r>
              <w:rPr>
                <w:spacing w:val="-3"/>
              </w:rPr>
              <w:t>后销售，或者购买其</w:t>
            </w:r>
            <w:r>
              <w:rPr>
                <w:spacing w:val="26"/>
              </w:rPr>
              <w:t>他企业烟花爆竹成品加贴本企业标签</w:t>
            </w:r>
            <w:r>
              <w:rPr>
                <w:spacing w:val="-3"/>
              </w:rPr>
              <w:t>后销售，或者向其他</w:t>
            </w:r>
            <w:r>
              <w:rPr>
                <w:spacing w:val="26"/>
              </w:rPr>
              <w:t>企业销售烟花爆竹</w:t>
            </w:r>
            <w:r>
              <w:rPr>
                <w:spacing w:val="-3"/>
              </w:rPr>
              <w:t>半成品，涉及烟花爆</w:t>
            </w:r>
            <w:r>
              <w:rPr>
                <w:spacing w:val="6"/>
              </w:rPr>
              <w:t>竹产品数量</w:t>
            </w:r>
            <w:r>
              <w:rPr>
                <w:rFonts w:ascii="宋体" w:hAnsi="宋体" w:eastAsia="宋体" w:cs="宋体"/>
                <w:spacing w:val="6"/>
              </w:rPr>
              <w:t>30</w:t>
            </w:r>
            <w:r>
              <w:rPr>
                <w:spacing w:val="6"/>
              </w:rPr>
              <w:t>箱以</w:t>
            </w:r>
            <w:r>
              <w:rPr>
                <w:spacing w:val="2"/>
              </w:rPr>
              <w:t>上的</w:t>
            </w:r>
          </w:p>
        </w:tc>
        <w:tc>
          <w:tcPr>
            <w:tcW w:w="2894" w:type="dxa"/>
            <w:vAlign w:val="top"/>
          </w:tcPr>
          <w:p w14:paraId="66D99462">
            <w:pPr>
              <w:spacing w:line="244" w:lineRule="auto"/>
              <w:rPr>
                <w:rFonts w:ascii="Arial"/>
                <w:sz w:val="21"/>
              </w:rPr>
            </w:pPr>
          </w:p>
          <w:p w14:paraId="29F797BA">
            <w:pPr>
              <w:spacing w:line="244" w:lineRule="auto"/>
              <w:rPr>
                <w:rFonts w:ascii="Arial"/>
                <w:sz w:val="21"/>
              </w:rPr>
            </w:pPr>
          </w:p>
          <w:p w14:paraId="5F16C872">
            <w:pPr>
              <w:spacing w:line="244" w:lineRule="auto"/>
              <w:rPr>
                <w:rFonts w:ascii="Arial"/>
                <w:sz w:val="21"/>
              </w:rPr>
            </w:pPr>
          </w:p>
          <w:p w14:paraId="48B2E329">
            <w:pPr>
              <w:spacing w:line="244" w:lineRule="auto"/>
              <w:rPr>
                <w:rFonts w:ascii="Arial"/>
                <w:sz w:val="21"/>
              </w:rPr>
            </w:pPr>
          </w:p>
          <w:p w14:paraId="481A6899">
            <w:pPr>
              <w:pStyle w:val="6"/>
              <w:spacing w:before="99" w:line="191" w:lineRule="auto"/>
              <w:ind w:left="120" w:right="110" w:firstLine="7"/>
              <w:jc w:val="both"/>
            </w:pPr>
            <w:r>
              <w:rPr>
                <w:spacing w:val="10"/>
              </w:rPr>
              <w:t>责令停止违法活动或者限</w:t>
            </w:r>
            <w:r>
              <w:rPr>
                <w:spacing w:val="4"/>
              </w:rPr>
              <w:t>期改正，并处</w:t>
            </w:r>
            <w:r>
              <w:rPr>
                <w:rFonts w:ascii="宋体" w:hAnsi="宋体" w:eastAsia="宋体" w:cs="宋体"/>
                <w:spacing w:val="4"/>
              </w:rPr>
              <w:t>2</w:t>
            </w:r>
            <w:r>
              <w:rPr>
                <w:spacing w:val="4"/>
              </w:rPr>
              <w:t>万元以上</w:t>
            </w:r>
            <w:r>
              <w:rPr>
                <w:rFonts w:ascii="宋体" w:hAnsi="宋体" w:eastAsia="宋体" w:cs="宋体"/>
                <w:spacing w:val="4"/>
              </w:rPr>
              <w:t>3</w:t>
            </w:r>
            <w:r>
              <w:rPr>
                <w:spacing w:val="4"/>
              </w:rPr>
              <w:t>万元以下的罚款</w:t>
            </w:r>
          </w:p>
        </w:tc>
        <w:tc>
          <w:tcPr>
            <w:tcW w:w="811" w:type="dxa"/>
            <w:vMerge w:val="continue"/>
            <w:tcBorders>
              <w:top w:val="nil"/>
            </w:tcBorders>
            <w:vAlign w:val="top"/>
          </w:tcPr>
          <w:p w14:paraId="2335DA04">
            <w:pPr>
              <w:rPr>
                <w:rFonts w:ascii="Arial"/>
                <w:sz w:val="21"/>
              </w:rPr>
            </w:pPr>
          </w:p>
        </w:tc>
      </w:tr>
      <w:tr w14:paraId="5A6B7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restart"/>
            <w:tcBorders>
              <w:bottom w:val="nil"/>
            </w:tcBorders>
            <w:vAlign w:val="top"/>
          </w:tcPr>
          <w:p w14:paraId="420C41D1">
            <w:pPr>
              <w:spacing w:line="275" w:lineRule="auto"/>
              <w:rPr>
                <w:rFonts w:ascii="Arial"/>
                <w:sz w:val="21"/>
              </w:rPr>
            </w:pPr>
          </w:p>
          <w:p w14:paraId="1E56E9F8">
            <w:pPr>
              <w:spacing w:line="275" w:lineRule="auto"/>
              <w:rPr>
                <w:rFonts w:ascii="Arial"/>
                <w:sz w:val="21"/>
              </w:rPr>
            </w:pPr>
          </w:p>
          <w:p w14:paraId="532932E1">
            <w:pPr>
              <w:spacing w:line="276" w:lineRule="auto"/>
              <w:rPr>
                <w:rFonts w:ascii="Arial"/>
                <w:sz w:val="21"/>
              </w:rPr>
            </w:pPr>
          </w:p>
          <w:p w14:paraId="57E69487">
            <w:pPr>
              <w:spacing w:line="276" w:lineRule="auto"/>
              <w:rPr>
                <w:rFonts w:ascii="Arial"/>
                <w:sz w:val="21"/>
              </w:rPr>
            </w:pPr>
          </w:p>
          <w:p w14:paraId="132A680F">
            <w:pPr>
              <w:spacing w:line="276" w:lineRule="auto"/>
              <w:rPr>
                <w:rFonts w:ascii="Arial"/>
                <w:sz w:val="21"/>
              </w:rPr>
            </w:pPr>
          </w:p>
          <w:p w14:paraId="54AFC6B2">
            <w:pPr>
              <w:spacing w:line="276" w:lineRule="auto"/>
              <w:rPr>
                <w:rFonts w:ascii="Arial"/>
                <w:sz w:val="21"/>
              </w:rPr>
            </w:pPr>
          </w:p>
          <w:p w14:paraId="223EC6F3">
            <w:pPr>
              <w:spacing w:before="75" w:line="186" w:lineRule="auto"/>
              <w:ind w:left="161"/>
              <w:rPr>
                <w:rFonts w:ascii="仿宋" w:hAnsi="仿宋" w:eastAsia="仿宋" w:cs="仿宋"/>
                <w:sz w:val="23"/>
                <w:szCs w:val="23"/>
              </w:rPr>
            </w:pPr>
            <w:r>
              <w:rPr>
                <w:rFonts w:ascii="仿宋" w:hAnsi="仿宋" w:eastAsia="仿宋" w:cs="仿宋"/>
                <w:spacing w:val="-5"/>
                <w:sz w:val="23"/>
                <w:szCs w:val="23"/>
              </w:rPr>
              <w:t>188</w:t>
            </w:r>
          </w:p>
        </w:tc>
        <w:tc>
          <w:tcPr>
            <w:tcW w:w="1440" w:type="dxa"/>
            <w:vMerge w:val="restart"/>
            <w:tcBorders>
              <w:bottom w:val="nil"/>
            </w:tcBorders>
            <w:vAlign w:val="top"/>
          </w:tcPr>
          <w:p w14:paraId="6D0908B2">
            <w:pPr>
              <w:spacing w:line="395" w:lineRule="auto"/>
              <w:rPr>
                <w:rFonts w:ascii="Arial"/>
                <w:sz w:val="21"/>
              </w:rPr>
            </w:pPr>
          </w:p>
          <w:p w14:paraId="0077D36B">
            <w:pPr>
              <w:pStyle w:val="6"/>
              <w:spacing w:before="99" w:line="185" w:lineRule="auto"/>
              <w:ind w:left="96" w:right="108" w:firstLine="23"/>
            </w:pPr>
            <w:r>
              <w:rPr>
                <w:spacing w:val="11"/>
              </w:rPr>
              <w:t>烟花爆竹生</w:t>
            </w:r>
            <w:r>
              <w:rPr>
                <w:spacing w:val="15"/>
              </w:rPr>
              <w:t>产企业、批</w:t>
            </w:r>
            <w:r>
              <w:rPr>
                <w:spacing w:val="-4"/>
              </w:rPr>
              <w:t>发企业工</w:t>
            </w:r>
            <w:r>
              <w:rPr>
                <w:spacing w:val="7"/>
              </w:rPr>
              <w:t>（库）房没</w:t>
            </w:r>
            <w:r>
              <w:rPr>
                <w:spacing w:val="-1"/>
              </w:rPr>
              <w:t>有设置准</w:t>
            </w:r>
            <w:r>
              <w:rPr>
                <w:spacing w:val="9"/>
              </w:rPr>
              <w:t>确、清晰、</w:t>
            </w:r>
            <w:r>
              <w:rPr>
                <w:spacing w:val="-17"/>
              </w:rPr>
              <w:t>醒目的定</w:t>
            </w:r>
            <w:r>
              <w:rPr>
                <w:spacing w:val="9"/>
              </w:rPr>
              <w:t>员、定量、</w:t>
            </w:r>
            <w:r>
              <w:rPr>
                <w:spacing w:val="10"/>
              </w:rPr>
              <w:t>定级标识的</w:t>
            </w:r>
          </w:p>
        </w:tc>
        <w:tc>
          <w:tcPr>
            <w:tcW w:w="3202" w:type="dxa"/>
            <w:vMerge w:val="restart"/>
            <w:tcBorders>
              <w:bottom w:val="nil"/>
            </w:tcBorders>
            <w:vAlign w:val="top"/>
          </w:tcPr>
          <w:p w14:paraId="73B99A80">
            <w:pPr>
              <w:pStyle w:val="6"/>
              <w:spacing w:before="24" w:line="182" w:lineRule="auto"/>
              <w:ind w:left="98" w:right="110"/>
              <w:jc w:val="both"/>
            </w:pPr>
            <w:r>
              <w:rPr>
                <w:spacing w:val="18"/>
              </w:rPr>
              <w:t>【部门规章】《烟花爆竹生产经营安全规定》第十一条</w:t>
            </w:r>
            <w:r>
              <w:rPr>
                <w:spacing w:val="14"/>
              </w:rPr>
              <w:t>第一款：生产企业、批发企</w:t>
            </w:r>
            <w:r>
              <w:rPr>
                <w:spacing w:val="18"/>
              </w:rPr>
              <w:t>业的生产区、总仓库区、工</w:t>
            </w:r>
            <w:r>
              <w:rPr>
                <w:spacing w:val="14"/>
              </w:rPr>
              <w:t>（库）房及其他有较大危险</w:t>
            </w:r>
            <w:r>
              <w:rPr>
                <w:spacing w:val="18"/>
              </w:rPr>
              <w:t>因素的生产经营场所和有关</w:t>
            </w:r>
            <w:r>
              <w:rPr>
                <w:spacing w:val="14"/>
              </w:rPr>
              <w:t>设施设备上，应当设置明显</w:t>
            </w:r>
            <w:r>
              <w:rPr>
                <w:spacing w:val="32"/>
              </w:rPr>
              <w:t>的安全警示标志；所有工</w:t>
            </w:r>
            <w:r>
              <w:rPr>
                <w:spacing w:val="14"/>
              </w:rPr>
              <w:t>（库）房应当按照国家标准</w:t>
            </w:r>
            <w:r>
              <w:rPr>
                <w:spacing w:val="18"/>
              </w:rPr>
              <w:t>或者行业标准的规定设置准确、清晰、醒目的定员、定</w:t>
            </w:r>
            <w:r>
              <w:rPr>
                <w:spacing w:val="5"/>
              </w:rPr>
              <w:t>量、定级标识。</w:t>
            </w:r>
          </w:p>
        </w:tc>
        <w:tc>
          <w:tcPr>
            <w:tcW w:w="2859" w:type="dxa"/>
            <w:vMerge w:val="restart"/>
            <w:tcBorders>
              <w:bottom w:val="nil"/>
            </w:tcBorders>
            <w:vAlign w:val="top"/>
          </w:tcPr>
          <w:p w14:paraId="0780FBF2">
            <w:pPr>
              <w:pStyle w:val="6"/>
              <w:spacing w:before="33" w:line="185" w:lineRule="auto"/>
              <w:ind w:left="116" w:hanging="19"/>
              <w:jc w:val="both"/>
            </w:pPr>
            <w:r>
              <w:rPr>
                <w:spacing w:val="9"/>
              </w:rPr>
              <w:t>【部门规章】《烟花爆竹</w:t>
            </w:r>
            <w:r>
              <w:rPr>
                <w:spacing w:val="7"/>
              </w:rPr>
              <w:t>生产经营安全规定》第三</w:t>
            </w:r>
            <w:r>
              <w:rPr>
                <w:spacing w:val="-5"/>
              </w:rPr>
              <w:t>十三条第一项：生产企业、</w:t>
            </w:r>
            <w:r>
              <w:rPr>
                <w:spacing w:val="4"/>
              </w:rPr>
              <w:t>批发企业有下列行为之一</w:t>
            </w:r>
            <w:r>
              <w:rPr>
                <w:spacing w:val="7"/>
              </w:rPr>
              <w:t>的，责令限期改正；逾期未改正的，处一万元以上</w:t>
            </w:r>
            <w:r>
              <w:rPr>
                <w:spacing w:val="-13"/>
                <w:w w:val="99"/>
              </w:rPr>
              <w:t>三万元以下的罚款</w:t>
            </w:r>
            <w:r>
              <w:rPr>
                <w:spacing w:val="-4"/>
              </w:rPr>
              <w:t>：（</w:t>
            </w:r>
            <w:r>
              <w:rPr>
                <w:spacing w:val="-13"/>
                <w:w w:val="99"/>
              </w:rPr>
              <w:t>一）</w:t>
            </w:r>
            <w:r>
              <w:rPr>
                <w:spacing w:val="-5"/>
              </w:rPr>
              <w:t>工（库）房没有设置准确、清晰、醒目的定员、定量、</w:t>
            </w:r>
            <w:r>
              <w:rPr>
                <w:spacing w:val="-1"/>
              </w:rPr>
              <w:t>定级标识的；</w:t>
            </w:r>
          </w:p>
        </w:tc>
        <w:tc>
          <w:tcPr>
            <w:tcW w:w="803" w:type="dxa"/>
            <w:vAlign w:val="top"/>
          </w:tcPr>
          <w:p w14:paraId="4CD15A73">
            <w:pPr>
              <w:spacing w:line="447" w:lineRule="auto"/>
              <w:rPr>
                <w:rFonts w:ascii="Arial"/>
                <w:sz w:val="21"/>
              </w:rPr>
            </w:pPr>
          </w:p>
          <w:p w14:paraId="10ACFDB4">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3AFAA3A">
            <w:pPr>
              <w:pStyle w:val="6"/>
              <w:spacing w:before="29" w:line="177" w:lineRule="auto"/>
              <w:ind w:left="117" w:right="109" w:firstLine="5"/>
              <w:jc w:val="both"/>
            </w:pPr>
            <w:r>
              <w:rPr>
                <w:spacing w:val="-3"/>
              </w:rPr>
              <w:t>工（库）房没有设置准确、清晰、醒目的定员、定量、定级标</w:t>
            </w:r>
            <w:r>
              <w:rPr>
                <w:spacing w:val="-6"/>
              </w:rPr>
              <w:t>识</w:t>
            </w:r>
            <w:r>
              <w:rPr>
                <w:rFonts w:ascii="宋体" w:hAnsi="宋体" w:eastAsia="宋体" w:cs="宋体"/>
                <w:spacing w:val="-6"/>
              </w:rPr>
              <w:t>1</w:t>
            </w:r>
            <w:r>
              <w:rPr>
                <w:spacing w:val="-6"/>
              </w:rPr>
              <w:t>处的</w:t>
            </w:r>
          </w:p>
        </w:tc>
        <w:tc>
          <w:tcPr>
            <w:tcW w:w="2894" w:type="dxa"/>
            <w:vAlign w:val="top"/>
          </w:tcPr>
          <w:p w14:paraId="64CD5F21">
            <w:pPr>
              <w:pStyle w:val="6"/>
              <w:spacing w:before="182" w:line="191" w:lineRule="auto"/>
              <w:ind w:left="127" w:right="104"/>
              <w:jc w:val="both"/>
            </w:pPr>
            <w:r>
              <w:rPr>
                <w:spacing w:val="8"/>
              </w:rPr>
              <w:t>责令限期改正；逾期未改</w:t>
            </w:r>
            <w:r>
              <w:rPr>
                <w:spacing w:val="-1"/>
              </w:rPr>
              <w:t>正的，处</w:t>
            </w:r>
            <w:r>
              <w:rPr>
                <w:rFonts w:ascii="宋体" w:hAnsi="宋体" w:eastAsia="宋体" w:cs="宋体"/>
                <w:spacing w:val="-1"/>
              </w:rPr>
              <w:t>1</w:t>
            </w:r>
            <w:r>
              <w:rPr>
                <w:spacing w:val="-1"/>
              </w:rPr>
              <w:t>万元以上</w:t>
            </w:r>
            <w:r>
              <w:rPr>
                <w:rFonts w:ascii="宋体" w:hAnsi="宋体" w:eastAsia="宋体" w:cs="宋体"/>
                <w:spacing w:val="-1"/>
              </w:rPr>
              <w:t>1.5</w:t>
            </w:r>
            <w:r>
              <w:rPr>
                <w:spacing w:val="6"/>
              </w:rPr>
              <w:t>万元以下的罚款</w:t>
            </w:r>
          </w:p>
        </w:tc>
        <w:tc>
          <w:tcPr>
            <w:tcW w:w="811" w:type="dxa"/>
            <w:vMerge w:val="restart"/>
            <w:tcBorders>
              <w:bottom w:val="nil"/>
            </w:tcBorders>
            <w:vAlign w:val="top"/>
          </w:tcPr>
          <w:p w14:paraId="60B84DED">
            <w:pPr>
              <w:spacing w:line="275" w:lineRule="auto"/>
              <w:rPr>
                <w:rFonts w:ascii="Arial"/>
                <w:sz w:val="21"/>
              </w:rPr>
            </w:pPr>
          </w:p>
          <w:p w14:paraId="4CABD85E">
            <w:pPr>
              <w:spacing w:line="275" w:lineRule="auto"/>
              <w:rPr>
                <w:rFonts w:ascii="Arial"/>
                <w:sz w:val="21"/>
              </w:rPr>
            </w:pPr>
          </w:p>
          <w:p w14:paraId="45CF04BA">
            <w:pPr>
              <w:spacing w:line="275" w:lineRule="auto"/>
              <w:rPr>
                <w:rFonts w:ascii="Arial"/>
                <w:sz w:val="21"/>
              </w:rPr>
            </w:pPr>
          </w:p>
          <w:p w14:paraId="4D06AFD8">
            <w:pPr>
              <w:spacing w:line="275" w:lineRule="auto"/>
              <w:rPr>
                <w:rFonts w:ascii="Arial"/>
                <w:sz w:val="21"/>
              </w:rPr>
            </w:pPr>
          </w:p>
          <w:p w14:paraId="1505DBD4">
            <w:pPr>
              <w:spacing w:line="275" w:lineRule="auto"/>
              <w:rPr>
                <w:rFonts w:ascii="Arial"/>
                <w:sz w:val="21"/>
              </w:rPr>
            </w:pPr>
          </w:p>
          <w:p w14:paraId="4E090309">
            <w:pPr>
              <w:spacing w:line="275" w:lineRule="auto"/>
              <w:rPr>
                <w:rFonts w:ascii="Arial"/>
                <w:sz w:val="21"/>
              </w:rPr>
            </w:pPr>
          </w:p>
          <w:p w14:paraId="1382D04C">
            <w:pPr>
              <w:spacing w:before="75" w:line="189" w:lineRule="auto"/>
              <w:ind w:left="248"/>
              <w:rPr>
                <w:rFonts w:ascii="宋体" w:hAnsi="宋体" w:eastAsia="宋体" w:cs="宋体"/>
                <w:sz w:val="23"/>
                <w:szCs w:val="23"/>
              </w:rPr>
            </w:pPr>
            <w:r>
              <w:rPr>
                <w:rFonts w:ascii="宋体" w:hAnsi="宋体" w:eastAsia="宋体" w:cs="宋体"/>
                <w:spacing w:val="-6"/>
                <w:sz w:val="23"/>
                <w:szCs w:val="23"/>
              </w:rPr>
              <w:t>161</w:t>
            </w:r>
          </w:p>
        </w:tc>
      </w:tr>
      <w:tr w14:paraId="38AD1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continue"/>
            <w:tcBorders>
              <w:top w:val="nil"/>
              <w:bottom w:val="nil"/>
            </w:tcBorders>
            <w:vAlign w:val="top"/>
          </w:tcPr>
          <w:p w14:paraId="383F17FA">
            <w:pPr>
              <w:rPr>
                <w:rFonts w:ascii="Arial"/>
                <w:sz w:val="21"/>
              </w:rPr>
            </w:pPr>
          </w:p>
        </w:tc>
        <w:tc>
          <w:tcPr>
            <w:tcW w:w="1440" w:type="dxa"/>
            <w:vMerge w:val="continue"/>
            <w:tcBorders>
              <w:top w:val="nil"/>
              <w:bottom w:val="nil"/>
            </w:tcBorders>
            <w:vAlign w:val="top"/>
          </w:tcPr>
          <w:p w14:paraId="7126ABB0">
            <w:pPr>
              <w:rPr>
                <w:rFonts w:ascii="Arial"/>
                <w:sz w:val="21"/>
              </w:rPr>
            </w:pPr>
          </w:p>
        </w:tc>
        <w:tc>
          <w:tcPr>
            <w:tcW w:w="3202" w:type="dxa"/>
            <w:vMerge w:val="continue"/>
            <w:tcBorders>
              <w:top w:val="nil"/>
              <w:bottom w:val="nil"/>
            </w:tcBorders>
            <w:vAlign w:val="top"/>
          </w:tcPr>
          <w:p w14:paraId="4D1856DB">
            <w:pPr>
              <w:rPr>
                <w:rFonts w:ascii="Arial"/>
                <w:sz w:val="21"/>
              </w:rPr>
            </w:pPr>
          </w:p>
        </w:tc>
        <w:tc>
          <w:tcPr>
            <w:tcW w:w="2859" w:type="dxa"/>
            <w:vMerge w:val="continue"/>
            <w:tcBorders>
              <w:top w:val="nil"/>
              <w:bottom w:val="nil"/>
            </w:tcBorders>
            <w:vAlign w:val="top"/>
          </w:tcPr>
          <w:p w14:paraId="456AAFB7">
            <w:pPr>
              <w:rPr>
                <w:rFonts w:ascii="Arial"/>
                <w:sz w:val="21"/>
              </w:rPr>
            </w:pPr>
          </w:p>
        </w:tc>
        <w:tc>
          <w:tcPr>
            <w:tcW w:w="803" w:type="dxa"/>
            <w:vAlign w:val="top"/>
          </w:tcPr>
          <w:p w14:paraId="64CFF09A">
            <w:pPr>
              <w:spacing w:line="451" w:lineRule="auto"/>
              <w:rPr>
                <w:rFonts w:ascii="Arial"/>
                <w:sz w:val="21"/>
              </w:rPr>
            </w:pPr>
          </w:p>
          <w:p w14:paraId="6E89E3D0">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B264845">
            <w:pPr>
              <w:pStyle w:val="6"/>
              <w:spacing w:before="36" w:line="176" w:lineRule="auto"/>
              <w:ind w:left="117" w:right="109" w:firstLine="5"/>
              <w:jc w:val="both"/>
            </w:pPr>
            <w:r>
              <w:rPr>
                <w:spacing w:val="-3"/>
              </w:rPr>
              <w:t>工（库）房没有设置准确、清晰、醒目的定员、定量、定级标</w:t>
            </w:r>
            <w:r>
              <w:rPr>
                <w:spacing w:val="-1"/>
              </w:rPr>
              <w:t>识</w:t>
            </w:r>
            <w:r>
              <w:rPr>
                <w:rFonts w:ascii="宋体" w:hAnsi="宋体" w:eastAsia="宋体" w:cs="宋体"/>
                <w:spacing w:val="-1"/>
              </w:rPr>
              <w:t>2</w:t>
            </w:r>
            <w:r>
              <w:rPr>
                <w:spacing w:val="-1"/>
              </w:rPr>
              <w:t>处的</w:t>
            </w:r>
          </w:p>
        </w:tc>
        <w:tc>
          <w:tcPr>
            <w:tcW w:w="2894" w:type="dxa"/>
            <w:vAlign w:val="top"/>
          </w:tcPr>
          <w:p w14:paraId="2B8A30D0">
            <w:pPr>
              <w:pStyle w:val="6"/>
              <w:spacing w:before="183" w:line="191" w:lineRule="auto"/>
              <w:ind w:left="127" w:right="104"/>
              <w:jc w:val="both"/>
            </w:pPr>
            <w:r>
              <w:rPr>
                <w:spacing w:val="8"/>
              </w:rPr>
              <w:t>责令限期改正；逾期未改</w:t>
            </w:r>
            <w:r>
              <w:rPr>
                <w:spacing w:val="2"/>
              </w:rPr>
              <w:t>正的，处</w:t>
            </w:r>
            <w:r>
              <w:rPr>
                <w:rFonts w:ascii="宋体" w:hAnsi="宋体" w:eastAsia="宋体" w:cs="宋体"/>
                <w:spacing w:val="2"/>
              </w:rPr>
              <w:t>1.5</w:t>
            </w:r>
            <w:r>
              <w:rPr>
                <w:spacing w:val="2"/>
              </w:rPr>
              <w:t>万元以上</w:t>
            </w:r>
            <w:r>
              <w:rPr>
                <w:rFonts w:ascii="宋体" w:hAnsi="宋体" w:eastAsia="宋体" w:cs="宋体"/>
                <w:spacing w:val="2"/>
              </w:rPr>
              <w:t>2</w:t>
            </w:r>
            <w:r>
              <w:rPr>
                <w:spacing w:val="6"/>
              </w:rPr>
              <w:t>万元以下的罚款</w:t>
            </w:r>
          </w:p>
        </w:tc>
        <w:tc>
          <w:tcPr>
            <w:tcW w:w="811" w:type="dxa"/>
            <w:vMerge w:val="continue"/>
            <w:tcBorders>
              <w:top w:val="nil"/>
              <w:bottom w:val="nil"/>
            </w:tcBorders>
            <w:vAlign w:val="top"/>
          </w:tcPr>
          <w:p w14:paraId="72BC969C">
            <w:pPr>
              <w:rPr>
                <w:rFonts w:ascii="Arial"/>
                <w:sz w:val="21"/>
              </w:rPr>
            </w:pPr>
          </w:p>
        </w:tc>
      </w:tr>
      <w:tr w14:paraId="42DD8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818" w:type="dxa"/>
            <w:vMerge w:val="continue"/>
            <w:tcBorders>
              <w:top w:val="nil"/>
            </w:tcBorders>
            <w:vAlign w:val="top"/>
          </w:tcPr>
          <w:p w14:paraId="24CBFB18">
            <w:pPr>
              <w:rPr>
                <w:rFonts w:ascii="Arial"/>
                <w:sz w:val="21"/>
              </w:rPr>
            </w:pPr>
          </w:p>
        </w:tc>
        <w:tc>
          <w:tcPr>
            <w:tcW w:w="1440" w:type="dxa"/>
            <w:vMerge w:val="continue"/>
            <w:tcBorders>
              <w:top w:val="nil"/>
            </w:tcBorders>
            <w:vAlign w:val="top"/>
          </w:tcPr>
          <w:p w14:paraId="3AD34C07">
            <w:pPr>
              <w:rPr>
                <w:rFonts w:ascii="Arial"/>
                <w:sz w:val="21"/>
              </w:rPr>
            </w:pPr>
          </w:p>
        </w:tc>
        <w:tc>
          <w:tcPr>
            <w:tcW w:w="3202" w:type="dxa"/>
            <w:vMerge w:val="continue"/>
            <w:tcBorders>
              <w:top w:val="nil"/>
            </w:tcBorders>
            <w:vAlign w:val="top"/>
          </w:tcPr>
          <w:p w14:paraId="604E442E">
            <w:pPr>
              <w:rPr>
                <w:rFonts w:ascii="Arial"/>
                <w:sz w:val="21"/>
              </w:rPr>
            </w:pPr>
          </w:p>
        </w:tc>
        <w:tc>
          <w:tcPr>
            <w:tcW w:w="2859" w:type="dxa"/>
            <w:vMerge w:val="continue"/>
            <w:tcBorders>
              <w:top w:val="nil"/>
            </w:tcBorders>
            <w:vAlign w:val="top"/>
          </w:tcPr>
          <w:p w14:paraId="763763D3">
            <w:pPr>
              <w:rPr>
                <w:rFonts w:ascii="Arial"/>
                <w:sz w:val="21"/>
              </w:rPr>
            </w:pPr>
          </w:p>
        </w:tc>
        <w:tc>
          <w:tcPr>
            <w:tcW w:w="803" w:type="dxa"/>
            <w:vAlign w:val="top"/>
          </w:tcPr>
          <w:p w14:paraId="6DA28018">
            <w:pPr>
              <w:spacing w:line="451" w:lineRule="auto"/>
              <w:rPr>
                <w:rFonts w:ascii="Arial"/>
                <w:sz w:val="21"/>
              </w:rPr>
            </w:pPr>
          </w:p>
          <w:p w14:paraId="0F19A84B">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00CD3D4">
            <w:pPr>
              <w:pStyle w:val="6"/>
              <w:spacing w:before="33" w:line="177" w:lineRule="auto"/>
              <w:ind w:left="117" w:right="109" w:firstLine="5"/>
              <w:jc w:val="both"/>
            </w:pPr>
            <w:r>
              <w:rPr>
                <w:spacing w:val="-3"/>
              </w:rPr>
              <w:t>工（库）房没有设置准确、清晰、醒目的定员、定量、定级标</w:t>
            </w:r>
            <w:r>
              <w:rPr>
                <w:spacing w:val="2"/>
              </w:rPr>
              <w:t>识</w:t>
            </w:r>
            <w:r>
              <w:rPr>
                <w:rFonts w:ascii="宋体" w:hAnsi="宋体" w:eastAsia="宋体" w:cs="宋体"/>
                <w:spacing w:val="2"/>
              </w:rPr>
              <w:t>3</w:t>
            </w:r>
            <w:r>
              <w:rPr>
                <w:spacing w:val="2"/>
              </w:rPr>
              <w:t>处以上的</w:t>
            </w:r>
          </w:p>
        </w:tc>
        <w:tc>
          <w:tcPr>
            <w:tcW w:w="2894" w:type="dxa"/>
            <w:vAlign w:val="top"/>
          </w:tcPr>
          <w:p w14:paraId="78559D6E">
            <w:pPr>
              <w:pStyle w:val="6"/>
              <w:spacing w:before="186" w:line="191" w:lineRule="auto"/>
              <w:ind w:left="124" w:right="104" w:firstLine="2"/>
              <w:jc w:val="both"/>
            </w:pPr>
            <w:r>
              <w:rPr>
                <w:spacing w:val="8"/>
              </w:rPr>
              <w:t>责令限期改正；逾期未改</w:t>
            </w:r>
            <w:r>
              <w:rPr>
                <w:spacing w:val="1"/>
              </w:rPr>
              <w:t>正的，处</w:t>
            </w:r>
            <w:r>
              <w:rPr>
                <w:rFonts w:ascii="宋体" w:hAnsi="宋体" w:eastAsia="宋体" w:cs="宋体"/>
                <w:spacing w:val="1"/>
              </w:rPr>
              <w:t>2</w:t>
            </w:r>
            <w:r>
              <w:rPr>
                <w:spacing w:val="1"/>
              </w:rPr>
              <w:t>万元以上</w:t>
            </w:r>
            <w:r>
              <w:rPr>
                <w:rFonts w:ascii="宋体" w:hAnsi="宋体" w:eastAsia="宋体" w:cs="宋体"/>
                <w:spacing w:val="1"/>
              </w:rPr>
              <w:t>3</w:t>
            </w:r>
            <w:r>
              <w:rPr>
                <w:spacing w:val="1"/>
              </w:rPr>
              <w:t>万</w:t>
            </w:r>
            <w:r>
              <w:rPr>
                <w:spacing w:val="6"/>
              </w:rPr>
              <w:t>元以下的罚款</w:t>
            </w:r>
          </w:p>
        </w:tc>
        <w:tc>
          <w:tcPr>
            <w:tcW w:w="811" w:type="dxa"/>
            <w:vMerge w:val="continue"/>
            <w:tcBorders>
              <w:top w:val="nil"/>
            </w:tcBorders>
            <w:vAlign w:val="top"/>
          </w:tcPr>
          <w:p w14:paraId="2E4A1702">
            <w:pPr>
              <w:rPr>
                <w:rFonts w:ascii="Arial"/>
                <w:sz w:val="21"/>
              </w:rPr>
            </w:pPr>
          </w:p>
        </w:tc>
      </w:tr>
    </w:tbl>
    <w:p w14:paraId="5B8C072E">
      <w:pPr>
        <w:pStyle w:val="2"/>
      </w:pPr>
    </w:p>
    <w:p w14:paraId="00A5E11D">
      <w:pPr>
        <w:sectPr>
          <w:footerReference r:id="rId202" w:type="default"/>
          <w:pgSz w:w="16839" w:h="11906"/>
          <w:pgMar w:top="1012" w:right="821" w:bottom="667" w:left="901" w:header="0" w:footer="388" w:gutter="0"/>
          <w:cols w:space="720" w:num="1"/>
        </w:sectPr>
      </w:pPr>
    </w:p>
    <w:p w14:paraId="74475A07">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90A2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2348429">
            <w:pPr>
              <w:spacing w:before="222" w:line="241" w:lineRule="auto"/>
              <w:ind w:left="131"/>
              <w:outlineLvl w:val="0"/>
              <w:rPr>
                <w:rFonts w:ascii="黑体" w:hAnsi="黑体" w:eastAsia="黑体" w:cs="黑体"/>
                <w:sz w:val="28"/>
                <w:szCs w:val="28"/>
              </w:rPr>
            </w:pPr>
            <w:bookmarkStart w:id="675" w:name="bookmark386"/>
            <w:bookmarkEnd w:id="675"/>
            <w:r>
              <w:rPr>
                <w:rFonts w:ascii="黑体" w:hAnsi="黑体" w:eastAsia="黑体" w:cs="黑体"/>
                <w:spacing w:val="-2"/>
                <w:sz w:val="28"/>
                <w:szCs w:val="28"/>
              </w:rPr>
              <w:t>序号</w:t>
            </w:r>
          </w:p>
        </w:tc>
        <w:tc>
          <w:tcPr>
            <w:tcW w:w="1440" w:type="dxa"/>
            <w:vAlign w:val="top"/>
          </w:tcPr>
          <w:p w14:paraId="3F5512E5">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D1170CD">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B4D12C6">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44317AA">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06DCF1D">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1C09395C">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5521B75">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183F7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4" w:hRule="atLeast"/>
        </w:trPr>
        <w:tc>
          <w:tcPr>
            <w:tcW w:w="818" w:type="dxa"/>
            <w:vMerge w:val="restart"/>
            <w:tcBorders>
              <w:bottom w:val="nil"/>
            </w:tcBorders>
            <w:vAlign w:val="top"/>
          </w:tcPr>
          <w:p w14:paraId="012DED57">
            <w:pPr>
              <w:rPr>
                <w:rFonts w:ascii="Arial"/>
                <w:sz w:val="21"/>
              </w:rPr>
            </w:pPr>
          </w:p>
          <w:p w14:paraId="771FF76F">
            <w:pPr>
              <w:rPr>
                <w:rFonts w:ascii="Arial"/>
                <w:sz w:val="21"/>
              </w:rPr>
            </w:pPr>
          </w:p>
          <w:p w14:paraId="23674848">
            <w:pPr>
              <w:rPr>
                <w:rFonts w:ascii="Arial"/>
                <w:sz w:val="21"/>
              </w:rPr>
            </w:pPr>
          </w:p>
          <w:p w14:paraId="5998F3DB">
            <w:pPr>
              <w:rPr>
                <w:rFonts w:ascii="Arial"/>
                <w:sz w:val="21"/>
              </w:rPr>
            </w:pPr>
          </w:p>
          <w:p w14:paraId="54A1B61F">
            <w:pPr>
              <w:rPr>
                <w:rFonts w:ascii="Arial"/>
                <w:sz w:val="21"/>
              </w:rPr>
            </w:pPr>
          </w:p>
          <w:p w14:paraId="5D689AC8">
            <w:pPr>
              <w:rPr>
                <w:rFonts w:ascii="Arial"/>
                <w:sz w:val="21"/>
              </w:rPr>
            </w:pPr>
          </w:p>
          <w:p w14:paraId="150A0AC4">
            <w:pPr>
              <w:rPr>
                <w:rFonts w:ascii="Arial"/>
                <w:sz w:val="21"/>
              </w:rPr>
            </w:pPr>
          </w:p>
          <w:p w14:paraId="7A8F28FF">
            <w:pPr>
              <w:rPr>
                <w:rFonts w:ascii="Arial"/>
                <w:sz w:val="21"/>
              </w:rPr>
            </w:pPr>
          </w:p>
          <w:p w14:paraId="3A4BAE32">
            <w:pPr>
              <w:rPr>
                <w:rFonts w:ascii="Arial"/>
                <w:sz w:val="21"/>
              </w:rPr>
            </w:pPr>
          </w:p>
          <w:p w14:paraId="36510D2B">
            <w:pPr>
              <w:rPr>
                <w:rFonts w:ascii="Arial"/>
                <w:sz w:val="21"/>
              </w:rPr>
            </w:pPr>
          </w:p>
          <w:p w14:paraId="7DB9E677">
            <w:pPr>
              <w:rPr>
                <w:rFonts w:ascii="Arial"/>
                <w:sz w:val="21"/>
              </w:rPr>
            </w:pPr>
          </w:p>
          <w:p w14:paraId="1D98ED99">
            <w:pPr>
              <w:rPr>
                <w:rFonts w:ascii="Arial"/>
                <w:sz w:val="21"/>
              </w:rPr>
            </w:pPr>
          </w:p>
          <w:p w14:paraId="501C46B9">
            <w:pPr>
              <w:rPr>
                <w:rFonts w:ascii="Arial"/>
                <w:sz w:val="21"/>
              </w:rPr>
            </w:pPr>
          </w:p>
          <w:p w14:paraId="37645502">
            <w:pPr>
              <w:rPr>
                <w:rFonts w:ascii="Arial"/>
                <w:sz w:val="21"/>
              </w:rPr>
            </w:pPr>
          </w:p>
          <w:p w14:paraId="00867C0A">
            <w:pPr>
              <w:rPr>
                <w:rFonts w:ascii="Arial"/>
                <w:sz w:val="21"/>
              </w:rPr>
            </w:pPr>
          </w:p>
          <w:p w14:paraId="0E52A949">
            <w:pPr>
              <w:spacing w:line="241" w:lineRule="auto"/>
              <w:rPr>
                <w:rFonts w:ascii="Arial"/>
                <w:sz w:val="21"/>
              </w:rPr>
            </w:pPr>
          </w:p>
          <w:p w14:paraId="14E3B530">
            <w:pPr>
              <w:spacing w:line="241" w:lineRule="auto"/>
              <w:rPr>
                <w:rFonts w:ascii="Arial"/>
                <w:sz w:val="21"/>
              </w:rPr>
            </w:pPr>
          </w:p>
          <w:p w14:paraId="24686A90">
            <w:pPr>
              <w:spacing w:line="241" w:lineRule="auto"/>
              <w:rPr>
                <w:rFonts w:ascii="Arial"/>
                <w:sz w:val="21"/>
              </w:rPr>
            </w:pPr>
          </w:p>
          <w:p w14:paraId="4C41A6A7">
            <w:pPr>
              <w:spacing w:before="75" w:line="186" w:lineRule="auto"/>
              <w:ind w:left="161"/>
              <w:rPr>
                <w:rFonts w:ascii="仿宋" w:hAnsi="仿宋" w:eastAsia="仿宋" w:cs="仿宋"/>
                <w:sz w:val="23"/>
                <w:szCs w:val="23"/>
              </w:rPr>
            </w:pPr>
            <w:r>
              <w:rPr>
                <w:rFonts w:ascii="仿宋" w:hAnsi="仿宋" w:eastAsia="仿宋" w:cs="仿宋"/>
                <w:spacing w:val="-5"/>
                <w:sz w:val="23"/>
                <w:szCs w:val="23"/>
              </w:rPr>
              <w:t>189</w:t>
            </w:r>
          </w:p>
        </w:tc>
        <w:tc>
          <w:tcPr>
            <w:tcW w:w="1440" w:type="dxa"/>
            <w:vMerge w:val="restart"/>
            <w:tcBorders>
              <w:bottom w:val="nil"/>
            </w:tcBorders>
            <w:vAlign w:val="top"/>
          </w:tcPr>
          <w:p w14:paraId="0D7675B2">
            <w:pPr>
              <w:spacing w:line="250" w:lineRule="auto"/>
              <w:rPr>
                <w:rFonts w:ascii="Arial"/>
                <w:sz w:val="21"/>
              </w:rPr>
            </w:pPr>
          </w:p>
          <w:p w14:paraId="5F8192D3">
            <w:pPr>
              <w:spacing w:line="250" w:lineRule="auto"/>
              <w:rPr>
                <w:rFonts w:ascii="Arial"/>
                <w:sz w:val="21"/>
              </w:rPr>
            </w:pPr>
          </w:p>
          <w:p w14:paraId="48F4CAE7">
            <w:pPr>
              <w:spacing w:line="250" w:lineRule="auto"/>
              <w:rPr>
                <w:rFonts w:ascii="Arial"/>
                <w:sz w:val="21"/>
              </w:rPr>
            </w:pPr>
          </w:p>
          <w:p w14:paraId="19511DD0">
            <w:pPr>
              <w:spacing w:line="250" w:lineRule="auto"/>
              <w:rPr>
                <w:rFonts w:ascii="Arial"/>
                <w:sz w:val="21"/>
              </w:rPr>
            </w:pPr>
          </w:p>
          <w:p w14:paraId="4B2D4A22">
            <w:pPr>
              <w:spacing w:line="250" w:lineRule="auto"/>
              <w:rPr>
                <w:rFonts w:ascii="Arial"/>
                <w:sz w:val="21"/>
              </w:rPr>
            </w:pPr>
          </w:p>
          <w:p w14:paraId="57C186B0">
            <w:pPr>
              <w:spacing w:line="250" w:lineRule="auto"/>
              <w:rPr>
                <w:rFonts w:ascii="Arial"/>
                <w:sz w:val="21"/>
              </w:rPr>
            </w:pPr>
          </w:p>
          <w:p w14:paraId="4551B482">
            <w:pPr>
              <w:spacing w:line="251" w:lineRule="auto"/>
              <w:rPr>
                <w:rFonts w:ascii="Arial"/>
                <w:sz w:val="21"/>
              </w:rPr>
            </w:pPr>
          </w:p>
          <w:p w14:paraId="0F91CFE9">
            <w:pPr>
              <w:spacing w:line="251" w:lineRule="auto"/>
              <w:rPr>
                <w:rFonts w:ascii="Arial"/>
                <w:sz w:val="21"/>
              </w:rPr>
            </w:pPr>
          </w:p>
          <w:p w14:paraId="7D0382BC">
            <w:pPr>
              <w:spacing w:line="251" w:lineRule="auto"/>
              <w:rPr>
                <w:rFonts w:ascii="Arial"/>
                <w:sz w:val="21"/>
              </w:rPr>
            </w:pPr>
          </w:p>
          <w:p w14:paraId="187283A6">
            <w:pPr>
              <w:spacing w:line="251" w:lineRule="auto"/>
              <w:rPr>
                <w:rFonts w:ascii="Arial"/>
                <w:sz w:val="21"/>
              </w:rPr>
            </w:pPr>
          </w:p>
          <w:p w14:paraId="309A1E5B">
            <w:pPr>
              <w:spacing w:line="251" w:lineRule="auto"/>
              <w:rPr>
                <w:rFonts w:ascii="Arial"/>
                <w:sz w:val="21"/>
              </w:rPr>
            </w:pPr>
          </w:p>
          <w:p w14:paraId="3A2224D1">
            <w:pPr>
              <w:spacing w:line="251" w:lineRule="auto"/>
              <w:rPr>
                <w:rFonts w:ascii="Arial"/>
                <w:sz w:val="21"/>
              </w:rPr>
            </w:pPr>
          </w:p>
          <w:p w14:paraId="50473163">
            <w:pPr>
              <w:spacing w:line="251" w:lineRule="auto"/>
              <w:rPr>
                <w:rFonts w:ascii="Arial"/>
                <w:sz w:val="21"/>
              </w:rPr>
            </w:pPr>
          </w:p>
          <w:p w14:paraId="30488F40">
            <w:pPr>
              <w:spacing w:line="251" w:lineRule="auto"/>
              <w:rPr>
                <w:rFonts w:ascii="Arial"/>
                <w:sz w:val="21"/>
              </w:rPr>
            </w:pPr>
          </w:p>
          <w:p w14:paraId="467C7C9C">
            <w:pPr>
              <w:pStyle w:val="6"/>
              <w:spacing w:before="99" w:line="187" w:lineRule="auto"/>
              <w:ind w:left="117" w:right="111" w:hanging="1"/>
            </w:pPr>
            <w:r>
              <w:rPr>
                <w:spacing w:val="11"/>
              </w:rPr>
              <w:t>未经许可经营、超许可</w:t>
            </w:r>
            <w:r>
              <w:rPr>
                <w:spacing w:val="5"/>
              </w:rPr>
              <w:t>范围经营、</w:t>
            </w:r>
            <w:r>
              <w:rPr>
                <w:spacing w:val="11"/>
              </w:rPr>
              <w:t>许可证过期继续经营烟</w:t>
            </w:r>
            <w:r>
              <w:rPr>
                <w:spacing w:val="5"/>
              </w:rPr>
              <w:t>花爆竹的</w:t>
            </w:r>
          </w:p>
        </w:tc>
        <w:tc>
          <w:tcPr>
            <w:tcW w:w="3202" w:type="dxa"/>
            <w:vMerge w:val="restart"/>
            <w:tcBorders>
              <w:bottom w:val="nil"/>
            </w:tcBorders>
            <w:vAlign w:val="top"/>
          </w:tcPr>
          <w:p w14:paraId="6D5E64E9">
            <w:pPr>
              <w:pStyle w:val="6"/>
              <w:spacing w:before="32" w:line="182" w:lineRule="auto"/>
              <w:ind w:left="116" w:right="21" w:firstLine="14"/>
              <w:jc w:val="both"/>
            </w:pPr>
            <w:r>
              <w:rPr>
                <w:rFonts w:ascii="宋体" w:hAnsi="宋体" w:eastAsia="宋体" w:cs="宋体"/>
                <w:spacing w:val="14"/>
              </w:rPr>
              <w:t>1.</w:t>
            </w:r>
            <w:r>
              <w:rPr>
                <w:spacing w:val="14"/>
              </w:rPr>
              <w:t>【行政法规】《烟花爆竹</w:t>
            </w:r>
            <w:r>
              <w:rPr>
                <w:spacing w:val="10"/>
              </w:rPr>
              <w:t>安全管理条例》第三条：国</w:t>
            </w:r>
            <w:r>
              <w:rPr>
                <w:spacing w:val="5"/>
              </w:rPr>
              <w:t>家对烟花爆竹的生产、经营、</w:t>
            </w:r>
            <w:r>
              <w:rPr>
                <w:spacing w:val="17"/>
              </w:rPr>
              <w:t>运输和举办焰火晚会以及其</w:t>
            </w:r>
            <w:r>
              <w:rPr>
                <w:spacing w:val="12"/>
              </w:rPr>
              <w:t>他大型焰火燃放活动，实行</w:t>
            </w:r>
            <w:r>
              <w:rPr>
                <w:spacing w:val="1"/>
              </w:rPr>
              <w:t>许可证制度。</w:t>
            </w:r>
          </w:p>
          <w:p w14:paraId="7B359697">
            <w:pPr>
              <w:pStyle w:val="6"/>
              <w:spacing w:before="3" w:line="182" w:lineRule="auto"/>
              <w:ind w:left="119" w:right="110" w:hanging="1"/>
              <w:jc w:val="both"/>
            </w:pPr>
            <w:r>
              <w:rPr>
                <w:spacing w:val="13"/>
              </w:rPr>
              <w:t>未经许可，任何单位或者个</w:t>
            </w:r>
            <w:r>
              <w:rPr>
                <w:spacing w:val="17"/>
              </w:rPr>
              <w:t>人不得生产、经营、运输烟</w:t>
            </w:r>
            <w:r>
              <w:rPr>
                <w:spacing w:val="13"/>
              </w:rPr>
              <w:t>花爆竹，不得举办焰火晚会</w:t>
            </w:r>
            <w:r>
              <w:rPr>
                <w:spacing w:val="39"/>
              </w:rPr>
              <w:t>以及其他大型焰火燃放活</w:t>
            </w:r>
            <w:r>
              <w:rPr>
                <w:spacing w:val="-8"/>
              </w:rPr>
              <w:t>动。</w:t>
            </w:r>
          </w:p>
          <w:p w14:paraId="2C86C366">
            <w:pPr>
              <w:pStyle w:val="6"/>
              <w:spacing w:before="8" w:line="182" w:lineRule="auto"/>
              <w:ind w:left="98" w:firstLine="17"/>
              <w:jc w:val="both"/>
            </w:pPr>
            <w:r>
              <w:rPr>
                <w:rFonts w:ascii="宋体" w:hAnsi="宋体" w:eastAsia="宋体" w:cs="宋体"/>
                <w:spacing w:val="14"/>
              </w:rPr>
              <w:t>2.</w:t>
            </w:r>
            <w:r>
              <w:rPr>
                <w:spacing w:val="14"/>
              </w:rPr>
              <w:t>【部门规章】《烟花爆竹</w:t>
            </w:r>
            <w:r>
              <w:rPr>
                <w:spacing w:val="4"/>
              </w:rPr>
              <w:t>经营许可实施办法》第三条：</w:t>
            </w:r>
            <w:r>
              <w:rPr>
                <w:spacing w:val="40"/>
              </w:rPr>
              <w:t>从事烟花爆竹批发的企业</w:t>
            </w:r>
            <w:r>
              <w:rPr>
                <w:spacing w:val="14"/>
              </w:rPr>
              <w:t>（以下简称批发企业）和从</w:t>
            </w:r>
            <w:r>
              <w:rPr>
                <w:spacing w:val="40"/>
              </w:rPr>
              <w:t>事烟花爆竹零售的经营者</w:t>
            </w:r>
            <w:r>
              <w:rPr>
                <w:spacing w:val="13"/>
              </w:rPr>
              <w:t>（以下简称零售经营者）应</w:t>
            </w:r>
            <w:r>
              <w:rPr>
                <w:spacing w:val="14"/>
              </w:rPr>
              <w:t>当按照本办法的规定，分别</w:t>
            </w:r>
            <w:r>
              <w:rPr>
                <w:spacing w:val="8"/>
              </w:rPr>
              <w:t>取得《烟花爆竹经营（批发）</w:t>
            </w:r>
            <w:r>
              <w:rPr>
                <w:spacing w:val="17"/>
              </w:rPr>
              <w:t>许可证》（以下简称批发许</w:t>
            </w:r>
            <w:r>
              <w:rPr>
                <w:spacing w:val="-3"/>
              </w:rPr>
              <w:t>可证）和《烟花爆竹经营（零</w:t>
            </w:r>
            <w:r>
              <w:rPr>
                <w:spacing w:val="13"/>
              </w:rPr>
              <w:t>售）许可证》（以下简称零</w:t>
            </w:r>
            <w:r>
              <w:rPr>
                <w:spacing w:val="3"/>
              </w:rPr>
              <w:t>售许可证）。</w:t>
            </w:r>
          </w:p>
          <w:p w14:paraId="4ABCD3AC">
            <w:pPr>
              <w:pStyle w:val="6"/>
              <w:spacing w:before="2" w:line="182" w:lineRule="auto"/>
              <w:ind w:left="127" w:right="110" w:hanging="7"/>
              <w:jc w:val="both"/>
            </w:pPr>
            <w:r>
              <w:rPr>
                <w:spacing w:val="39"/>
              </w:rPr>
              <w:t>从事烟花爆竹进出口的企</w:t>
            </w:r>
            <w:r>
              <w:rPr>
                <w:spacing w:val="12"/>
              </w:rPr>
              <w:t>业，应当按照本办法的规定</w:t>
            </w:r>
            <w:r>
              <w:rPr>
                <w:spacing w:val="3"/>
              </w:rPr>
              <w:t>申请办理批发许可证。</w:t>
            </w:r>
          </w:p>
          <w:p w14:paraId="542CAA16">
            <w:pPr>
              <w:pStyle w:val="6"/>
              <w:spacing w:before="2" w:line="182" w:lineRule="auto"/>
              <w:ind w:left="119" w:right="111" w:hanging="1"/>
            </w:pPr>
            <w:r>
              <w:rPr>
                <w:spacing w:val="17"/>
              </w:rPr>
              <w:t>未取得烟花爆竹经营许可证</w:t>
            </w:r>
            <w:r>
              <w:rPr>
                <w:spacing w:val="13"/>
              </w:rPr>
              <w:t>的，任何单位或者个人不得</w:t>
            </w:r>
            <w:r>
              <w:rPr>
                <w:spacing w:val="5"/>
              </w:rPr>
              <w:t>从事烟花爆竹经营活动。</w:t>
            </w:r>
          </w:p>
          <w:p w14:paraId="4E06994D">
            <w:pPr>
              <w:pStyle w:val="6"/>
              <w:spacing w:line="161" w:lineRule="auto"/>
              <w:ind w:left="128"/>
            </w:pPr>
            <w:r>
              <w:rPr>
                <w:spacing w:val="13"/>
              </w:rPr>
              <w:t>第二十一条：零售许可证的</w:t>
            </w:r>
          </w:p>
        </w:tc>
        <w:tc>
          <w:tcPr>
            <w:tcW w:w="2859" w:type="dxa"/>
            <w:vMerge w:val="restart"/>
            <w:tcBorders>
              <w:bottom w:val="nil"/>
            </w:tcBorders>
            <w:vAlign w:val="top"/>
          </w:tcPr>
          <w:p w14:paraId="3E23A211">
            <w:pPr>
              <w:pStyle w:val="6"/>
              <w:spacing w:before="37" w:line="182" w:lineRule="auto"/>
              <w:ind w:left="117" w:right="38" w:firstLine="13"/>
            </w:pPr>
            <w:r>
              <w:rPr>
                <w:rFonts w:ascii="宋体" w:hAnsi="宋体" w:eastAsia="宋体" w:cs="宋体"/>
                <w:spacing w:val="6"/>
              </w:rPr>
              <w:t>1.</w:t>
            </w:r>
            <w:r>
              <w:rPr>
                <w:spacing w:val="6"/>
              </w:rPr>
              <w:t>【行政法规】《烟花爆</w:t>
            </w:r>
            <w:r>
              <w:rPr>
                <w:spacing w:val="8"/>
              </w:rPr>
              <w:t>竹安全管理条例》第三十六条第一款：对未经许可</w:t>
            </w:r>
            <w:r>
              <w:rPr>
                <w:spacing w:val="-6"/>
              </w:rPr>
              <w:t>生产、经营烟花爆竹制品，</w:t>
            </w:r>
            <w:r>
              <w:rPr>
                <w:spacing w:val="8"/>
              </w:rPr>
              <w:t>或者向未取得烟花爆竹安全生产许可的单位或者个</w:t>
            </w:r>
            <w:r>
              <w:rPr>
                <w:spacing w:val="6"/>
              </w:rPr>
              <w:t>人销售黑火药、烟火药、</w:t>
            </w:r>
            <w:r>
              <w:rPr>
                <w:spacing w:val="8"/>
              </w:rPr>
              <w:t>引火线的，由安全生产监督管理部门责令停止非法</w:t>
            </w:r>
            <w:r>
              <w:rPr>
                <w:spacing w:val="5"/>
              </w:rPr>
              <w:t>生产、经营活动，处</w:t>
            </w:r>
            <w:r>
              <w:rPr>
                <w:rFonts w:ascii="宋体" w:hAnsi="宋体" w:eastAsia="宋体" w:cs="宋体"/>
                <w:spacing w:val="5"/>
              </w:rPr>
              <w:t>2</w:t>
            </w:r>
            <w:r>
              <w:rPr>
                <w:spacing w:val="5"/>
              </w:rPr>
              <w:t>万</w:t>
            </w:r>
            <w:r>
              <w:rPr>
                <w:spacing w:val="9"/>
              </w:rPr>
              <w:t>元以上</w:t>
            </w:r>
            <w:r>
              <w:rPr>
                <w:rFonts w:ascii="宋体" w:hAnsi="宋体" w:eastAsia="宋体" w:cs="宋体"/>
                <w:spacing w:val="9"/>
              </w:rPr>
              <w:t>10</w:t>
            </w:r>
            <w:r>
              <w:rPr>
                <w:spacing w:val="9"/>
              </w:rPr>
              <w:t>万元以下的罚</w:t>
            </w:r>
            <w:r>
              <w:rPr>
                <w:spacing w:val="8"/>
              </w:rPr>
              <w:t>款，并没收非法生产、经</w:t>
            </w:r>
            <w:r>
              <w:rPr>
                <w:spacing w:val="4"/>
              </w:rPr>
              <w:t>营的物品及违法所得。</w:t>
            </w:r>
          </w:p>
          <w:p w14:paraId="3F896F23">
            <w:pPr>
              <w:pStyle w:val="6"/>
              <w:spacing w:before="2" w:line="185" w:lineRule="auto"/>
              <w:ind w:left="118" w:right="105" w:hanging="2"/>
            </w:pPr>
            <w:r>
              <w:rPr>
                <w:rFonts w:ascii="宋体" w:hAnsi="宋体" w:eastAsia="宋体" w:cs="宋体"/>
                <w:spacing w:val="7"/>
              </w:rPr>
              <w:t>2.</w:t>
            </w:r>
            <w:r>
              <w:rPr>
                <w:spacing w:val="7"/>
              </w:rPr>
              <w:t>【部门规章】《烟花爆</w:t>
            </w:r>
            <w:r>
              <w:rPr>
                <w:spacing w:val="8"/>
              </w:rPr>
              <w:t>竹经营许可实施办法》第三十一条：对未经许可经营、超许可范围经营、许可证过期继续经营烟花爆竹的，责令其停止非法经</w:t>
            </w:r>
            <w:r>
              <w:rPr>
                <w:spacing w:val="-3"/>
              </w:rPr>
              <w:t>营活动，处</w:t>
            </w:r>
            <w:r>
              <w:rPr>
                <w:rFonts w:ascii="宋体" w:hAnsi="宋体" w:eastAsia="宋体" w:cs="宋体"/>
                <w:spacing w:val="-3"/>
              </w:rPr>
              <w:t>2</w:t>
            </w:r>
            <w:r>
              <w:rPr>
                <w:spacing w:val="-3"/>
              </w:rPr>
              <w:t>万元以上</w:t>
            </w:r>
            <w:r>
              <w:rPr>
                <w:rFonts w:ascii="宋体" w:hAnsi="宋体" w:eastAsia="宋体" w:cs="宋体"/>
                <w:spacing w:val="-3"/>
              </w:rPr>
              <w:t>10</w:t>
            </w:r>
            <w:r>
              <w:rPr>
                <w:spacing w:val="8"/>
              </w:rPr>
              <w:t>万元以下的罚款，并没收非法经营的物品及违法所</w:t>
            </w:r>
            <w:r>
              <w:rPr>
                <w:spacing w:val="-8"/>
              </w:rPr>
              <w:t>得。</w:t>
            </w:r>
          </w:p>
        </w:tc>
        <w:tc>
          <w:tcPr>
            <w:tcW w:w="803" w:type="dxa"/>
            <w:vAlign w:val="top"/>
          </w:tcPr>
          <w:p w14:paraId="56CDA816">
            <w:pPr>
              <w:spacing w:line="280" w:lineRule="auto"/>
              <w:rPr>
                <w:rFonts w:ascii="Arial"/>
                <w:sz w:val="21"/>
              </w:rPr>
            </w:pPr>
          </w:p>
          <w:p w14:paraId="193DBA46">
            <w:pPr>
              <w:spacing w:line="280" w:lineRule="auto"/>
              <w:rPr>
                <w:rFonts w:ascii="Arial"/>
                <w:sz w:val="21"/>
              </w:rPr>
            </w:pPr>
          </w:p>
          <w:p w14:paraId="4417445E">
            <w:pPr>
              <w:spacing w:line="280" w:lineRule="auto"/>
              <w:rPr>
                <w:rFonts w:ascii="Arial"/>
                <w:sz w:val="21"/>
              </w:rPr>
            </w:pPr>
          </w:p>
          <w:p w14:paraId="27B598D8">
            <w:pPr>
              <w:spacing w:line="280" w:lineRule="auto"/>
              <w:rPr>
                <w:rFonts w:ascii="Arial"/>
                <w:sz w:val="21"/>
              </w:rPr>
            </w:pPr>
          </w:p>
          <w:p w14:paraId="50614E01">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5055CE5">
            <w:pPr>
              <w:spacing w:line="252" w:lineRule="auto"/>
              <w:rPr>
                <w:rFonts w:ascii="Arial"/>
                <w:sz w:val="21"/>
              </w:rPr>
            </w:pPr>
          </w:p>
          <w:p w14:paraId="0D18B4BE">
            <w:pPr>
              <w:spacing w:line="252" w:lineRule="auto"/>
              <w:rPr>
                <w:rFonts w:ascii="Arial"/>
                <w:sz w:val="21"/>
              </w:rPr>
            </w:pPr>
          </w:p>
          <w:p w14:paraId="337E162D">
            <w:pPr>
              <w:spacing w:line="252" w:lineRule="auto"/>
              <w:rPr>
                <w:rFonts w:ascii="Arial"/>
                <w:sz w:val="21"/>
              </w:rPr>
            </w:pPr>
          </w:p>
          <w:p w14:paraId="73A82AF4">
            <w:pPr>
              <w:pStyle w:val="6"/>
              <w:spacing w:before="99" w:line="192" w:lineRule="auto"/>
              <w:ind w:left="128" w:right="109" w:hanging="1"/>
              <w:jc w:val="both"/>
            </w:pPr>
            <w:r>
              <w:rPr>
                <w:spacing w:val="25"/>
              </w:rPr>
              <w:t>没有违法所得或违</w:t>
            </w:r>
            <w:r>
              <w:rPr>
                <w:spacing w:val="12"/>
              </w:rPr>
              <w:t>法所得</w:t>
            </w:r>
            <w:r>
              <w:rPr>
                <w:rFonts w:ascii="宋体" w:hAnsi="宋体" w:eastAsia="宋体" w:cs="宋体"/>
                <w:spacing w:val="12"/>
              </w:rPr>
              <w:t>1</w:t>
            </w:r>
            <w:r>
              <w:rPr>
                <w:spacing w:val="12"/>
              </w:rPr>
              <w:t>万元以下</w:t>
            </w:r>
            <w:r>
              <w:t>的</w:t>
            </w:r>
          </w:p>
        </w:tc>
        <w:tc>
          <w:tcPr>
            <w:tcW w:w="2894" w:type="dxa"/>
            <w:vAlign w:val="top"/>
          </w:tcPr>
          <w:p w14:paraId="1BD28EF7">
            <w:pPr>
              <w:spacing w:line="454" w:lineRule="auto"/>
              <w:rPr>
                <w:rFonts w:ascii="Arial"/>
                <w:sz w:val="21"/>
              </w:rPr>
            </w:pPr>
          </w:p>
          <w:p w14:paraId="1CAB58CB">
            <w:pPr>
              <w:pStyle w:val="6"/>
              <w:spacing w:before="99" w:line="188" w:lineRule="auto"/>
              <w:ind w:left="124" w:right="104" w:firstLine="2"/>
              <w:jc w:val="both"/>
            </w:pPr>
            <w:r>
              <w:rPr>
                <w:spacing w:val="10"/>
              </w:rPr>
              <w:t>责令停止非法生产、经营</w:t>
            </w:r>
            <w:r>
              <w:rPr>
                <w:spacing w:val="1"/>
              </w:rPr>
              <w:t>活动，处</w:t>
            </w:r>
            <w:r>
              <w:rPr>
                <w:rFonts w:ascii="宋体" w:hAnsi="宋体" w:eastAsia="宋体" w:cs="宋体"/>
                <w:spacing w:val="1"/>
              </w:rPr>
              <w:t>2</w:t>
            </w:r>
            <w:r>
              <w:rPr>
                <w:spacing w:val="1"/>
              </w:rPr>
              <w:t>万元以上</w:t>
            </w:r>
            <w:r>
              <w:rPr>
                <w:rFonts w:ascii="宋体" w:hAnsi="宋体" w:eastAsia="宋体" w:cs="宋体"/>
                <w:spacing w:val="1"/>
              </w:rPr>
              <w:t>5</w:t>
            </w:r>
            <w:r>
              <w:rPr>
                <w:spacing w:val="1"/>
              </w:rPr>
              <w:t>万</w:t>
            </w:r>
            <w:r>
              <w:rPr>
                <w:spacing w:val="7"/>
              </w:rPr>
              <w:t>元以下的罚款，并没收非</w:t>
            </w:r>
            <w:r>
              <w:rPr>
                <w:spacing w:val="11"/>
              </w:rPr>
              <w:t>法生产、经营的物品及违</w:t>
            </w:r>
            <w:r>
              <w:rPr>
                <w:spacing w:val="3"/>
              </w:rPr>
              <w:t>法所得</w:t>
            </w:r>
          </w:p>
        </w:tc>
        <w:tc>
          <w:tcPr>
            <w:tcW w:w="811" w:type="dxa"/>
            <w:vMerge w:val="restart"/>
            <w:tcBorders>
              <w:bottom w:val="nil"/>
            </w:tcBorders>
            <w:vAlign w:val="top"/>
          </w:tcPr>
          <w:p w14:paraId="0BCCFF22">
            <w:pPr>
              <w:rPr>
                <w:rFonts w:ascii="Arial"/>
                <w:sz w:val="21"/>
              </w:rPr>
            </w:pPr>
          </w:p>
          <w:p w14:paraId="45C2CFDE">
            <w:pPr>
              <w:rPr>
                <w:rFonts w:ascii="Arial"/>
                <w:sz w:val="21"/>
              </w:rPr>
            </w:pPr>
          </w:p>
          <w:p w14:paraId="6F9876F0">
            <w:pPr>
              <w:rPr>
                <w:rFonts w:ascii="Arial"/>
                <w:sz w:val="21"/>
              </w:rPr>
            </w:pPr>
          </w:p>
          <w:p w14:paraId="7371EDFC">
            <w:pPr>
              <w:rPr>
                <w:rFonts w:ascii="Arial"/>
                <w:sz w:val="21"/>
              </w:rPr>
            </w:pPr>
          </w:p>
          <w:p w14:paraId="50F91F12">
            <w:pPr>
              <w:rPr>
                <w:rFonts w:ascii="Arial"/>
                <w:sz w:val="21"/>
              </w:rPr>
            </w:pPr>
          </w:p>
          <w:p w14:paraId="451884CD">
            <w:pPr>
              <w:rPr>
                <w:rFonts w:ascii="Arial"/>
                <w:sz w:val="21"/>
              </w:rPr>
            </w:pPr>
          </w:p>
          <w:p w14:paraId="254BE775">
            <w:pPr>
              <w:rPr>
                <w:rFonts w:ascii="Arial"/>
                <w:sz w:val="21"/>
              </w:rPr>
            </w:pPr>
          </w:p>
          <w:p w14:paraId="4F8B36F3">
            <w:pPr>
              <w:rPr>
                <w:rFonts w:ascii="Arial"/>
                <w:sz w:val="21"/>
              </w:rPr>
            </w:pPr>
          </w:p>
          <w:p w14:paraId="061823EC">
            <w:pPr>
              <w:rPr>
                <w:rFonts w:ascii="Arial"/>
                <w:sz w:val="21"/>
              </w:rPr>
            </w:pPr>
          </w:p>
          <w:p w14:paraId="1BEC7FA8">
            <w:pPr>
              <w:rPr>
                <w:rFonts w:ascii="Arial"/>
                <w:sz w:val="21"/>
              </w:rPr>
            </w:pPr>
          </w:p>
          <w:p w14:paraId="0CBB28C0">
            <w:pPr>
              <w:rPr>
                <w:rFonts w:ascii="Arial"/>
                <w:sz w:val="21"/>
              </w:rPr>
            </w:pPr>
          </w:p>
          <w:p w14:paraId="66F98CEA">
            <w:pPr>
              <w:rPr>
                <w:rFonts w:ascii="Arial"/>
                <w:sz w:val="21"/>
              </w:rPr>
            </w:pPr>
          </w:p>
          <w:p w14:paraId="3F9B9911">
            <w:pPr>
              <w:rPr>
                <w:rFonts w:ascii="Arial"/>
                <w:sz w:val="21"/>
              </w:rPr>
            </w:pPr>
          </w:p>
          <w:p w14:paraId="40EA291A">
            <w:pPr>
              <w:rPr>
                <w:rFonts w:ascii="Arial"/>
                <w:sz w:val="21"/>
              </w:rPr>
            </w:pPr>
          </w:p>
          <w:p w14:paraId="1E716881">
            <w:pPr>
              <w:rPr>
                <w:rFonts w:ascii="Arial"/>
                <w:sz w:val="21"/>
              </w:rPr>
            </w:pPr>
          </w:p>
          <w:p w14:paraId="06F51C5D">
            <w:pPr>
              <w:rPr>
                <w:rFonts w:ascii="Arial"/>
                <w:sz w:val="21"/>
              </w:rPr>
            </w:pPr>
          </w:p>
          <w:p w14:paraId="55D60BBB">
            <w:pPr>
              <w:rPr>
                <w:rFonts w:ascii="Arial"/>
                <w:sz w:val="21"/>
              </w:rPr>
            </w:pPr>
          </w:p>
          <w:p w14:paraId="2C6C5136">
            <w:pPr>
              <w:rPr>
                <w:rFonts w:ascii="Arial"/>
                <w:sz w:val="21"/>
              </w:rPr>
            </w:pPr>
          </w:p>
          <w:p w14:paraId="32761B6A">
            <w:pPr>
              <w:spacing w:before="75" w:line="189" w:lineRule="auto"/>
              <w:ind w:left="248"/>
              <w:rPr>
                <w:rFonts w:ascii="宋体" w:hAnsi="宋体" w:eastAsia="宋体" w:cs="宋体"/>
                <w:sz w:val="23"/>
                <w:szCs w:val="23"/>
              </w:rPr>
            </w:pPr>
            <w:r>
              <w:rPr>
                <w:rFonts w:ascii="宋体" w:hAnsi="宋体" w:eastAsia="宋体" w:cs="宋体"/>
                <w:spacing w:val="-6"/>
                <w:sz w:val="23"/>
                <w:szCs w:val="23"/>
              </w:rPr>
              <w:t>163</w:t>
            </w:r>
          </w:p>
        </w:tc>
      </w:tr>
      <w:tr w14:paraId="6697C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8" w:hRule="atLeast"/>
        </w:trPr>
        <w:tc>
          <w:tcPr>
            <w:tcW w:w="818" w:type="dxa"/>
            <w:vMerge w:val="continue"/>
            <w:tcBorders>
              <w:top w:val="nil"/>
              <w:bottom w:val="nil"/>
            </w:tcBorders>
            <w:vAlign w:val="top"/>
          </w:tcPr>
          <w:p w14:paraId="5039E2DE">
            <w:pPr>
              <w:rPr>
                <w:rFonts w:ascii="Arial"/>
                <w:sz w:val="21"/>
              </w:rPr>
            </w:pPr>
          </w:p>
        </w:tc>
        <w:tc>
          <w:tcPr>
            <w:tcW w:w="1440" w:type="dxa"/>
            <w:vMerge w:val="continue"/>
            <w:tcBorders>
              <w:top w:val="nil"/>
              <w:bottom w:val="nil"/>
            </w:tcBorders>
            <w:vAlign w:val="top"/>
          </w:tcPr>
          <w:p w14:paraId="42519459">
            <w:pPr>
              <w:rPr>
                <w:rFonts w:ascii="Arial"/>
                <w:sz w:val="21"/>
              </w:rPr>
            </w:pPr>
          </w:p>
        </w:tc>
        <w:tc>
          <w:tcPr>
            <w:tcW w:w="3202" w:type="dxa"/>
            <w:vMerge w:val="continue"/>
            <w:tcBorders>
              <w:top w:val="nil"/>
              <w:bottom w:val="nil"/>
            </w:tcBorders>
            <w:vAlign w:val="top"/>
          </w:tcPr>
          <w:p w14:paraId="337875DA">
            <w:pPr>
              <w:rPr>
                <w:rFonts w:ascii="Arial"/>
                <w:sz w:val="21"/>
              </w:rPr>
            </w:pPr>
          </w:p>
        </w:tc>
        <w:tc>
          <w:tcPr>
            <w:tcW w:w="2859" w:type="dxa"/>
            <w:vMerge w:val="continue"/>
            <w:tcBorders>
              <w:top w:val="nil"/>
              <w:bottom w:val="nil"/>
            </w:tcBorders>
            <w:vAlign w:val="top"/>
          </w:tcPr>
          <w:p w14:paraId="42665D17">
            <w:pPr>
              <w:rPr>
                <w:rFonts w:ascii="Arial"/>
                <w:sz w:val="21"/>
              </w:rPr>
            </w:pPr>
          </w:p>
        </w:tc>
        <w:tc>
          <w:tcPr>
            <w:tcW w:w="803" w:type="dxa"/>
            <w:vAlign w:val="top"/>
          </w:tcPr>
          <w:p w14:paraId="21135278">
            <w:pPr>
              <w:spacing w:line="274" w:lineRule="auto"/>
              <w:rPr>
                <w:rFonts w:ascii="Arial"/>
                <w:sz w:val="21"/>
              </w:rPr>
            </w:pPr>
          </w:p>
          <w:p w14:paraId="7D2A3C6B">
            <w:pPr>
              <w:spacing w:line="274" w:lineRule="auto"/>
              <w:rPr>
                <w:rFonts w:ascii="Arial"/>
                <w:sz w:val="21"/>
              </w:rPr>
            </w:pPr>
          </w:p>
          <w:p w14:paraId="6F36034F">
            <w:pPr>
              <w:spacing w:line="275" w:lineRule="auto"/>
              <w:rPr>
                <w:rFonts w:ascii="Arial"/>
                <w:sz w:val="21"/>
              </w:rPr>
            </w:pPr>
          </w:p>
          <w:p w14:paraId="48BE9A9F">
            <w:pPr>
              <w:spacing w:line="275" w:lineRule="auto"/>
              <w:rPr>
                <w:rFonts w:ascii="Arial"/>
                <w:sz w:val="21"/>
              </w:rPr>
            </w:pPr>
          </w:p>
          <w:p w14:paraId="37928BB0">
            <w:pPr>
              <w:spacing w:line="275" w:lineRule="auto"/>
              <w:rPr>
                <w:rFonts w:ascii="Arial"/>
                <w:sz w:val="21"/>
              </w:rPr>
            </w:pPr>
          </w:p>
          <w:p w14:paraId="069CB23D">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1B72DEA">
            <w:pPr>
              <w:spacing w:line="289" w:lineRule="auto"/>
              <w:rPr>
                <w:rFonts w:ascii="Arial"/>
                <w:sz w:val="21"/>
              </w:rPr>
            </w:pPr>
          </w:p>
          <w:p w14:paraId="3364C395">
            <w:pPr>
              <w:spacing w:line="289" w:lineRule="auto"/>
              <w:rPr>
                <w:rFonts w:ascii="Arial"/>
                <w:sz w:val="21"/>
              </w:rPr>
            </w:pPr>
          </w:p>
          <w:p w14:paraId="7E4CC67C">
            <w:pPr>
              <w:spacing w:line="289" w:lineRule="auto"/>
              <w:rPr>
                <w:rFonts w:ascii="Arial"/>
                <w:sz w:val="21"/>
              </w:rPr>
            </w:pPr>
          </w:p>
          <w:p w14:paraId="4335F0B0">
            <w:pPr>
              <w:spacing w:line="289" w:lineRule="auto"/>
              <w:rPr>
                <w:rFonts w:ascii="Arial"/>
                <w:sz w:val="21"/>
              </w:rPr>
            </w:pPr>
          </w:p>
          <w:p w14:paraId="665CD0CC">
            <w:pPr>
              <w:pStyle w:val="6"/>
              <w:spacing w:before="98" w:line="196" w:lineRule="auto"/>
              <w:ind w:left="122" w:right="106" w:hanging="5"/>
            </w:pPr>
            <w:r>
              <w:rPr>
                <w:spacing w:val="11"/>
              </w:rPr>
              <w:t>违法所得</w:t>
            </w:r>
            <w:r>
              <w:rPr>
                <w:rFonts w:ascii="宋体" w:hAnsi="宋体" w:eastAsia="宋体" w:cs="宋体"/>
                <w:spacing w:val="11"/>
              </w:rPr>
              <w:t>1</w:t>
            </w:r>
            <w:r>
              <w:rPr>
                <w:spacing w:val="11"/>
              </w:rPr>
              <w:t>万元以</w:t>
            </w:r>
            <w:r>
              <w:rPr>
                <w:spacing w:val="-1"/>
              </w:rPr>
              <w:t>上</w:t>
            </w:r>
            <w:r>
              <w:rPr>
                <w:rFonts w:ascii="宋体" w:hAnsi="宋体" w:eastAsia="宋体" w:cs="宋体"/>
                <w:spacing w:val="-1"/>
              </w:rPr>
              <w:t>10</w:t>
            </w:r>
            <w:r>
              <w:rPr>
                <w:spacing w:val="-1"/>
              </w:rPr>
              <w:t>万元以下的</w:t>
            </w:r>
          </w:p>
        </w:tc>
        <w:tc>
          <w:tcPr>
            <w:tcW w:w="2894" w:type="dxa"/>
            <w:vAlign w:val="top"/>
          </w:tcPr>
          <w:p w14:paraId="7AF687B5">
            <w:pPr>
              <w:spacing w:line="353" w:lineRule="auto"/>
              <w:rPr>
                <w:rFonts w:ascii="Arial"/>
                <w:sz w:val="21"/>
              </w:rPr>
            </w:pPr>
          </w:p>
          <w:p w14:paraId="637F0962">
            <w:pPr>
              <w:spacing w:line="353" w:lineRule="auto"/>
              <w:rPr>
                <w:rFonts w:ascii="Arial"/>
                <w:sz w:val="21"/>
              </w:rPr>
            </w:pPr>
          </w:p>
          <w:p w14:paraId="44C56014">
            <w:pPr>
              <w:pStyle w:val="6"/>
              <w:spacing w:before="99" w:line="188" w:lineRule="auto"/>
              <w:ind w:left="124" w:right="104" w:firstLine="2"/>
              <w:jc w:val="both"/>
            </w:pPr>
            <w:r>
              <w:rPr>
                <w:spacing w:val="10"/>
              </w:rPr>
              <w:t>责令停止非法生产、经营</w:t>
            </w:r>
            <w:r>
              <w:rPr>
                <w:spacing w:val="1"/>
              </w:rPr>
              <w:t>活动，处</w:t>
            </w:r>
            <w:r>
              <w:rPr>
                <w:rFonts w:ascii="宋体" w:hAnsi="宋体" w:eastAsia="宋体" w:cs="宋体"/>
                <w:spacing w:val="1"/>
              </w:rPr>
              <w:t>5</w:t>
            </w:r>
            <w:r>
              <w:rPr>
                <w:spacing w:val="1"/>
              </w:rPr>
              <w:t>万元以上</w:t>
            </w:r>
            <w:r>
              <w:rPr>
                <w:rFonts w:ascii="宋体" w:hAnsi="宋体" w:eastAsia="宋体" w:cs="宋体"/>
                <w:spacing w:val="1"/>
              </w:rPr>
              <w:t>8</w:t>
            </w:r>
            <w:r>
              <w:rPr>
                <w:spacing w:val="1"/>
              </w:rPr>
              <w:t>万</w:t>
            </w:r>
            <w:r>
              <w:rPr>
                <w:spacing w:val="7"/>
              </w:rPr>
              <w:t>元以下的罚款，并没收非</w:t>
            </w:r>
            <w:r>
              <w:rPr>
                <w:spacing w:val="11"/>
              </w:rPr>
              <w:t>法生产、经营的物品及违</w:t>
            </w:r>
            <w:r>
              <w:rPr>
                <w:spacing w:val="3"/>
              </w:rPr>
              <w:t>法所得</w:t>
            </w:r>
          </w:p>
        </w:tc>
        <w:tc>
          <w:tcPr>
            <w:tcW w:w="811" w:type="dxa"/>
            <w:vMerge w:val="continue"/>
            <w:tcBorders>
              <w:top w:val="nil"/>
              <w:bottom w:val="nil"/>
            </w:tcBorders>
            <w:vAlign w:val="top"/>
          </w:tcPr>
          <w:p w14:paraId="003F5B86">
            <w:pPr>
              <w:rPr>
                <w:rFonts w:ascii="Arial"/>
                <w:sz w:val="21"/>
              </w:rPr>
            </w:pPr>
          </w:p>
        </w:tc>
      </w:tr>
      <w:tr w14:paraId="1B756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1" w:hRule="atLeast"/>
        </w:trPr>
        <w:tc>
          <w:tcPr>
            <w:tcW w:w="818" w:type="dxa"/>
            <w:vMerge w:val="continue"/>
            <w:tcBorders>
              <w:top w:val="nil"/>
            </w:tcBorders>
            <w:vAlign w:val="top"/>
          </w:tcPr>
          <w:p w14:paraId="15D99465">
            <w:pPr>
              <w:rPr>
                <w:rFonts w:ascii="Arial"/>
                <w:sz w:val="21"/>
              </w:rPr>
            </w:pPr>
          </w:p>
        </w:tc>
        <w:tc>
          <w:tcPr>
            <w:tcW w:w="1440" w:type="dxa"/>
            <w:vMerge w:val="continue"/>
            <w:tcBorders>
              <w:top w:val="nil"/>
            </w:tcBorders>
            <w:vAlign w:val="top"/>
          </w:tcPr>
          <w:p w14:paraId="3415E170">
            <w:pPr>
              <w:rPr>
                <w:rFonts w:ascii="Arial"/>
                <w:sz w:val="21"/>
              </w:rPr>
            </w:pPr>
          </w:p>
        </w:tc>
        <w:tc>
          <w:tcPr>
            <w:tcW w:w="3202" w:type="dxa"/>
            <w:vMerge w:val="continue"/>
            <w:tcBorders>
              <w:top w:val="nil"/>
            </w:tcBorders>
            <w:vAlign w:val="top"/>
          </w:tcPr>
          <w:p w14:paraId="2DE48F4F">
            <w:pPr>
              <w:rPr>
                <w:rFonts w:ascii="Arial"/>
                <w:sz w:val="21"/>
              </w:rPr>
            </w:pPr>
          </w:p>
        </w:tc>
        <w:tc>
          <w:tcPr>
            <w:tcW w:w="2859" w:type="dxa"/>
            <w:vMerge w:val="continue"/>
            <w:tcBorders>
              <w:top w:val="nil"/>
            </w:tcBorders>
            <w:vAlign w:val="top"/>
          </w:tcPr>
          <w:p w14:paraId="7F4385FE">
            <w:pPr>
              <w:rPr>
                <w:rFonts w:ascii="Arial"/>
                <w:sz w:val="21"/>
              </w:rPr>
            </w:pPr>
          </w:p>
        </w:tc>
        <w:tc>
          <w:tcPr>
            <w:tcW w:w="803" w:type="dxa"/>
            <w:vAlign w:val="top"/>
          </w:tcPr>
          <w:p w14:paraId="566D0526">
            <w:pPr>
              <w:spacing w:line="253" w:lineRule="auto"/>
              <w:rPr>
                <w:rFonts w:ascii="Arial"/>
                <w:sz w:val="21"/>
              </w:rPr>
            </w:pPr>
          </w:p>
          <w:p w14:paraId="6C51B662">
            <w:pPr>
              <w:spacing w:line="253" w:lineRule="auto"/>
              <w:rPr>
                <w:rFonts w:ascii="Arial"/>
                <w:sz w:val="21"/>
              </w:rPr>
            </w:pPr>
          </w:p>
          <w:p w14:paraId="5F12AF79">
            <w:pPr>
              <w:spacing w:line="253" w:lineRule="auto"/>
              <w:rPr>
                <w:rFonts w:ascii="Arial"/>
                <w:sz w:val="21"/>
              </w:rPr>
            </w:pPr>
          </w:p>
          <w:p w14:paraId="16FF3873">
            <w:pPr>
              <w:spacing w:line="253" w:lineRule="auto"/>
              <w:rPr>
                <w:rFonts w:ascii="Arial"/>
                <w:sz w:val="21"/>
              </w:rPr>
            </w:pPr>
          </w:p>
          <w:p w14:paraId="45C36B15">
            <w:pPr>
              <w:spacing w:line="253" w:lineRule="auto"/>
              <w:rPr>
                <w:rFonts w:ascii="Arial"/>
                <w:sz w:val="21"/>
              </w:rPr>
            </w:pPr>
          </w:p>
          <w:p w14:paraId="47CBF1A9">
            <w:pPr>
              <w:spacing w:line="254" w:lineRule="auto"/>
              <w:rPr>
                <w:rFonts w:ascii="Arial"/>
                <w:sz w:val="21"/>
              </w:rPr>
            </w:pPr>
          </w:p>
          <w:p w14:paraId="716C0F4E">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504125B">
            <w:pPr>
              <w:spacing w:line="260" w:lineRule="auto"/>
              <w:rPr>
                <w:rFonts w:ascii="Arial"/>
                <w:sz w:val="21"/>
              </w:rPr>
            </w:pPr>
          </w:p>
          <w:p w14:paraId="366FA0C2">
            <w:pPr>
              <w:spacing w:line="260" w:lineRule="auto"/>
              <w:rPr>
                <w:rFonts w:ascii="Arial"/>
                <w:sz w:val="21"/>
              </w:rPr>
            </w:pPr>
          </w:p>
          <w:p w14:paraId="30DF5249">
            <w:pPr>
              <w:spacing w:line="260" w:lineRule="auto"/>
              <w:rPr>
                <w:rFonts w:ascii="Arial"/>
                <w:sz w:val="21"/>
              </w:rPr>
            </w:pPr>
          </w:p>
          <w:p w14:paraId="26CDCCE4">
            <w:pPr>
              <w:spacing w:line="261" w:lineRule="auto"/>
              <w:rPr>
                <w:rFonts w:ascii="Arial"/>
                <w:sz w:val="21"/>
              </w:rPr>
            </w:pPr>
          </w:p>
          <w:p w14:paraId="3AE98A19">
            <w:pPr>
              <w:spacing w:line="261" w:lineRule="auto"/>
              <w:rPr>
                <w:rFonts w:ascii="Arial"/>
                <w:sz w:val="21"/>
              </w:rPr>
            </w:pPr>
          </w:p>
          <w:p w14:paraId="3A93CECC">
            <w:pPr>
              <w:pStyle w:val="6"/>
              <w:spacing w:before="98" w:line="197" w:lineRule="auto"/>
              <w:ind w:left="122" w:right="106" w:hanging="5"/>
            </w:pPr>
            <w:r>
              <w:rPr>
                <w:spacing w:val="3"/>
              </w:rPr>
              <w:t>违法所得</w:t>
            </w:r>
            <w:r>
              <w:rPr>
                <w:rFonts w:ascii="宋体" w:hAnsi="宋体" w:eastAsia="宋体" w:cs="宋体"/>
                <w:spacing w:val="3"/>
              </w:rPr>
              <w:t>10</w:t>
            </w:r>
            <w:r>
              <w:rPr>
                <w:spacing w:val="3"/>
              </w:rPr>
              <w:t>万元以</w:t>
            </w:r>
            <w:r>
              <w:t>上的</w:t>
            </w:r>
          </w:p>
        </w:tc>
        <w:tc>
          <w:tcPr>
            <w:tcW w:w="2894" w:type="dxa"/>
            <w:vAlign w:val="top"/>
          </w:tcPr>
          <w:p w14:paraId="52AF7939">
            <w:pPr>
              <w:spacing w:line="284" w:lineRule="auto"/>
              <w:rPr>
                <w:rFonts w:ascii="Arial"/>
                <w:sz w:val="21"/>
              </w:rPr>
            </w:pPr>
          </w:p>
          <w:p w14:paraId="7A649938">
            <w:pPr>
              <w:spacing w:line="284" w:lineRule="auto"/>
              <w:rPr>
                <w:rFonts w:ascii="Arial"/>
                <w:sz w:val="21"/>
              </w:rPr>
            </w:pPr>
          </w:p>
          <w:p w14:paraId="20DA198E">
            <w:pPr>
              <w:spacing w:line="285" w:lineRule="auto"/>
              <w:rPr>
                <w:rFonts w:ascii="Arial"/>
                <w:sz w:val="21"/>
              </w:rPr>
            </w:pPr>
          </w:p>
          <w:p w14:paraId="657EA10B">
            <w:pPr>
              <w:pStyle w:val="6"/>
              <w:spacing w:before="98" w:line="188" w:lineRule="auto"/>
              <w:ind w:left="124" w:right="104" w:firstLine="2"/>
              <w:jc w:val="both"/>
            </w:pPr>
            <w:r>
              <w:rPr>
                <w:spacing w:val="10"/>
              </w:rPr>
              <w:t>责令停止非法生产、经营</w:t>
            </w:r>
            <w:r>
              <w:rPr>
                <w:spacing w:val="-7"/>
              </w:rPr>
              <w:t>活动，处</w:t>
            </w:r>
            <w:r>
              <w:rPr>
                <w:rFonts w:ascii="宋体" w:hAnsi="宋体" w:eastAsia="宋体" w:cs="宋体"/>
                <w:spacing w:val="-7"/>
              </w:rPr>
              <w:t>8</w:t>
            </w:r>
            <w:r>
              <w:rPr>
                <w:spacing w:val="-7"/>
              </w:rPr>
              <w:t>万元以上</w:t>
            </w:r>
            <w:r>
              <w:rPr>
                <w:rFonts w:ascii="宋体" w:hAnsi="宋体" w:eastAsia="宋体" w:cs="宋体"/>
                <w:spacing w:val="-7"/>
              </w:rPr>
              <w:t>10</w:t>
            </w:r>
            <w:r>
              <w:rPr>
                <w:spacing w:val="-7"/>
              </w:rPr>
              <w:t>万</w:t>
            </w:r>
            <w:r>
              <w:rPr>
                <w:spacing w:val="7"/>
              </w:rPr>
              <w:t>元以下的罚款，并没收非</w:t>
            </w:r>
            <w:r>
              <w:rPr>
                <w:spacing w:val="11"/>
              </w:rPr>
              <w:t>法生产、经营的物品及违</w:t>
            </w:r>
            <w:r>
              <w:rPr>
                <w:spacing w:val="3"/>
              </w:rPr>
              <w:t>法所得</w:t>
            </w:r>
          </w:p>
        </w:tc>
        <w:tc>
          <w:tcPr>
            <w:tcW w:w="811" w:type="dxa"/>
            <w:vMerge w:val="continue"/>
            <w:tcBorders>
              <w:top w:val="nil"/>
            </w:tcBorders>
            <w:vAlign w:val="top"/>
          </w:tcPr>
          <w:p w14:paraId="5047A28F">
            <w:pPr>
              <w:rPr>
                <w:rFonts w:ascii="Arial"/>
                <w:sz w:val="21"/>
              </w:rPr>
            </w:pPr>
          </w:p>
        </w:tc>
      </w:tr>
    </w:tbl>
    <w:p w14:paraId="4EC51237">
      <w:pPr>
        <w:pStyle w:val="2"/>
      </w:pPr>
    </w:p>
    <w:p w14:paraId="115BAACD">
      <w:pPr>
        <w:sectPr>
          <w:footerReference r:id="rId203" w:type="default"/>
          <w:pgSz w:w="16839" w:h="11906"/>
          <w:pgMar w:top="1012" w:right="821" w:bottom="666" w:left="901" w:header="0" w:footer="388" w:gutter="0"/>
          <w:cols w:space="720" w:num="1"/>
        </w:sectPr>
      </w:pPr>
    </w:p>
    <w:p w14:paraId="3BC6F7B1">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70E4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25E1F35">
            <w:pPr>
              <w:spacing w:before="222" w:line="241" w:lineRule="auto"/>
              <w:ind w:left="131"/>
              <w:rPr>
                <w:rFonts w:ascii="黑体" w:hAnsi="黑体" w:eastAsia="黑体" w:cs="黑体"/>
                <w:sz w:val="28"/>
                <w:szCs w:val="28"/>
              </w:rPr>
            </w:pPr>
            <w:bookmarkStart w:id="676" w:name="bookmark388"/>
            <w:bookmarkEnd w:id="676"/>
            <w:r>
              <w:rPr>
                <w:rFonts w:ascii="黑体" w:hAnsi="黑体" w:eastAsia="黑体" w:cs="黑体"/>
                <w:spacing w:val="-2"/>
                <w:sz w:val="28"/>
                <w:szCs w:val="28"/>
              </w:rPr>
              <w:t>序号</w:t>
            </w:r>
          </w:p>
        </w:tc>
        <w:tc>
          <w:tcPr>
            <w:tcW w:w="1440" w:type="dxa"/>
            <w:vAlign w:val="top"/>
          </w:tcPr>
          <w:p w14:paraId="0A503F06">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7EF2C8D6">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8D906D9">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0BC339B4">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E9B607F">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1CE7160">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C9A5C8F">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6DDD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Align w:val="top"/>
          </w:tcPr>
          <w:p w14:paraId="6D166684">
            <w:pPr>
              <w:rPr>
                <w:rFonts w:ascii="Arial"/>
                <w:sz w:val="21"/>
              </w:rPr>
            </w:pPr>
          </w:p>
        </w:tc>
        <w:tc>
          <w:tcPr>
            <w:tcW w:w="1440" w:type="dxa"/>
            <w:vAlign w:val="top"/>
          </w:tcPr>
          <w:p w14:paraId="491B5CC6">
            <w:pPr>
              <w:rPr>
                <w:rFonts w:ascii="Arial"/>
                <w:sz w:val="21"/>
              </w:rPr>
            </w:pPr>
          </w:p>
        </w:tc>
        <w:tc>
          <w:tcPr>
            <w:tcW w:w="3202" w:type="dxa"/>
            <w:vAlign w:val="top"/>
          </w:tcPr>
          <w:p w14:paraId="7FBA01C1">
            <w:pPr>
              <w:pStyle w:val="6"/>
              <w:spacing w:before="31" w:line="182" w:lineRule="auto"/>
              <w:ind w:left="119" w:right="110" w:firstLine="3"/>
            </w:pPr>
            <w:r>
              <w:rPr>
                <w:spacing w:val="12"/>
              </w:rPr>
              <w:t>有效期限由发证机关确定，</w:t>
            </w:r>
            <w:r>
              <w:rPr>
                <w:spacing w:val="13"/>
              </w:rPr>
              <w:t>最长不超过</w:t>
            </w:r>
            <w:r>
              <w:rPr>
                <w:rFonts w:ascii="宋体" w:hAnsi="宋体" w:eastAsia="宋体" w:cs="宋体"/>
                <w:spacing w:val="13"/>
              </w:rPr>
              <w:t>2</w:t>
            </w:r>
            <w:r>
              <w:rPr>
                <w:spacing w:val="13"/>
              </w:rPr>
              <w:t>年。零售许可</w:t>
            </w:r>
            <w:r>
              <w:rPr>
                <w:spacing w:val="17"/>
              </w:rPr>
              <w:t>证有效期满后拟继续从事烟</w:t>
            </w:r>
            <w:r>
              <w:rPr>
                <w:spacing w:val="13"/>
              </w:rPr>
              <w:t>花爆竹零售经营活动，或者</w:t>
            </w:r>
          </w:p>
          <w:p w14:paraId="7A22DB18">
            <w:pPr>
              <w:pStyle w:val="6"/>
              <w:spacing w:line="182" w:lineRule="auto"/>
              <w:ind w:left="117"/>
              <w:outlineLvl w:val="0"/>
            </w:pPr>
            <w:r>
              <w:rPr>
                <w:spacing w:val="39"/>
              </w:rPr>
              <w:t>在有效期内变更零售点名</w:t>
            </w:r>
          </w:p>
          <w:p w14:paraId="3BCD738F">
            <w:pPr>
              <w:pStyle w:val="6"/>
              <w:spacing w:before="2" w:line="175" w:lineRule="auto"/>
              <w:ind w:left="119" w:right="111"/>
              <w:jc w:val="both"/>
            </w:pPr>
            <w:r>
              <w:rPr>
                <w:spacing w:val="17"/>
              </w:rPr>
              <w:t>称、主要负责人、零售场所</w:t>
            </w:r>
            <w:bookmarkStart w:id="677" w:name="bookmark595"/>
            <w:bookmarkEnd w:id="677"/>
            <w:bookmarkStart w:id="678" w:name="bookmark390"/>
            <w:bookmarkEnd w:id="678"/>
            <w:r>
              <w:rPr>
                <w:spacing w:val="13"/>
              </w:rPr>
              <w:t>和许可范围的，应当重新申</w:t>
            </w:r>
            <w:r>
              <w:rPr>
                <w:spacing w:val="4"/>
              </w:rPr>
              <w:t>请取得零售许可证。</w:t>
            </w:r>
          </w:p>
        </w:tc>
        <w:tc>
          <w:tcPr>
            <w:tcW w:w="2859" w:type="dxa"/>
            <w:vAlign w:val="top"/>
          </w:tcPr>
          <w:p w14:paraId="433D96A1">
            <w:pPr>
              <w:rPr>
                <w:rFonts w:ascii="Arial"/>
                <w:sz w:val="21"/>
              </w:rPr>
            </w:pPr>
          </w:p>
        </w:tc>
        <w:tc>
          <w:tcPr>
            <w:tcW w:w="803" w:type="dxa"/>
            <w:vAlign w:val="top"/>
          </w:tcPr>
          <w:p w14:paraId="66F7952C">
            <w:pPr>
              <w:rPr>
                <w:rFonts w:ascii="Arial"/>
                <w:sz w:val="21"/>
              </w:rPr>
            </w:pPr>
          </w:p>
        </w:tc>
        <w:tc>
          <w:tcPr>
            <w:tcW w:w="2283" w:type="dxa"/>
            <w:vAlign w:val="top"/>
          </w:tcPr>
          <w:p w14:paraId="4AE8898B">
            <w:pPr>
              <w:rPr>
                <w:rFonts w:ascii="Arial"/>
                <w:sz w:val="21"/>
              </w:rPr>
            </w:pPr>
          </w:p>
        </w:tc>
        <w:tc>
          <w:tcPr>
            <w:tcW w:w="2894" w:type="dxa"/>
            <w:vAlign w:val="top"/>
          </w:tcPr>
          <w:p w14:paraId="482000FC">
            <w:pPr>
              <w:rPr>
                <w:rFonts w:ascii="Arial"/>
                <w:sz w:val="21"/>
              </w:rPr>
            </w:pPr>
          </w:p>
        </w:tc>
        <w:tc>
          <w:tcPr>
            <w:tcW w:w="811" w:type="dxa"/>
            <w:vAlign w:val="top"/>
          </w:tcPr>
          <w:p w14:paraId="795E8E91">
            <w:pPr>
              <w:rPr>
                <w:rFonts w:ascii="Arial"/>
                <w:sz w:val="21"/>
              </w:rPr>
            </w:pPr>
          </w:p>
        </w:tc>
      </w:tr>
      <w:tr w14:paraId="58AC2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restart"/>
            <w:tcBorders>
              <w:bottom w:val="nil"/>
            </w:tcBorders>
            <w:vAlign w:val="top"/>
          </w:tcPr>
          <w:p w14:paraId="30760EB4">
            <w:pPr>
              <w:spacing w:line="262" w:lineRule="auto"/>
              <w:rPr>
                <w:rFonts w:ascii="Arial"/>
                <w:sz w:val="21"/>
              </w:rPr>
            </w:pPr>
          </w:p>
          <w:p w14:paraId="30B5F421">
            <w:pPr>
              <w:spacing w:line="262" w:lineRule="auto"/>
              <w:rPr>
                <w:rFonts w:ascii="Arial"/>
                <w:sz w:val="21"/>
              </w:rPr>
            </w:pPr>
          </w:p>
          <w:p w14:paraId="4B7627EC">
            <w:pPr>
              <w:spacing w:line="262" w:lineRule="auto"/>
              <w:rPr>
                <w:rFonts w:ascii="Arial"/>
                <w:sz w:val="21"/>
              </w:rPr>
            </w:pPr>
          </w:p>
          <w:p w14:paraId="6139B123">
            <w:pPr>
              <w:spacing w:line="262" w:lineRule="auto"/>
              <w:rPr>
                <w:rFonts w:ascii="Arial"/>
                <w:sz w:val="21"/>
              </w:rPr>
            </w:pPr>
          </w:p>
          <w:p w14:paraId="4A23F98A">
            <w:pPr>
              <w:spacing w:line="262" w:lineRule="auto"/>
              <w:rPr>
                <w:rFonts w:ascii="Arial"/>
                <w:sz w:val="21"/>
              </w:rPr>
            </w:pPr>
          </w:p>
          <w:p w14:paraId="000D15E9">
            <w:pPr>
              <w:spacing w:line="263" w:lineRule="auto"/>
              <w:rPr>
                <w:rFonts w:ascii="Arial"/>
                <w:sz w:val="21"/>
              </w:rPr>
            </w:pPr>
          </w:p>
          <w:p w14:paraId="760FF5D8">
            <w:pPr>
              <w:spacing w:line="263" w:lineRule="auto"/>
              <w:rPr>
                <w:rFonts w:ascii="Arial"/>
                <w:sz w:val="21"/>
              </w:rPr>
            </w:pPr>
          </w:p>
          <w:p w14:paraId="093094F6">
            <w:pPr>
              <w:spacing w:line="263" w:lineRule="auto"/>
              <w:rPr>
                <w:rFonts w:ascii="Arial"/>
                <w:sz w:val="21"/>
              </w:rPr>
            </w:pPr>
          </w:p>
          <w:p w14:paraId="48C8C271">
            <w:pPr>
              <w:spacing w:before="74" w:line="186" w:lineRule="auto"/>
              <w:ind w:left="161"/>
              <w:rPr>
                <w:rFonts w:ascii="仿宋" w:hAnsi="仿宋" w:eastAsia="仿宋" w:cs="仿宋"/>
                <w:sz w:val="23"/>
                <w:szCs w:val="23"/>
              </w:rPr>
            </w:pPr>
            <w:r>
              <w:rPr>
                <w:rFonts w:ascii="仿宋" w:hAnsi="仿宋" w:eastAsia="仿宋" w:cs="仿宋"/>
                <w:spacing w:val="-5"/>
                <w:sz w:val="23"/>
                <w:szCs w:val="23"/>
              </w:rPr>
              <w:t>190</w:t>
            </w:r>
          </w:p>
        </w:tc>
        <w:tc>
          <w:tcPr>
            <w:tcW w:w="1440" w:type="dxa"/>
            <w:vMerge w:val="restart"/>
            <w:tcBorders>
              <w:bottom w:val="nil"/>
            </w:tcBorders>
            <w:vAlign w:val="top"/>
          </w:tcPr>
          <w:p w14:paraId="480C3E8A">
            <w:pPr>
              <w:spacing w:line="284" w:lineRule="auto"/>
              <w:rPr>
                <w:rFonts w:ascii="Arial"/>
                <w:sz w:val="21"/>
              </w:rPr>
            </w:pPr>
          </w:p>
          <w:p w14:paraId="0657A465">
            <w:pPr>
              <w:spacing w:line="285" w:lineRule="auto"/>
              <w:rPr>
                <w:rFonts w:ascii="Arial"/>
                <w:sz w:val="21"/>
              </w:rPr>
            </w:pPr>
          </w:p>
          <w:p w14:paraId="6CE3CE79">
            <w:pPr>
              <w:spacing w:line="285" w:lineRule="auto"/>
              <w:rPr>
                <w:rFonts w:ascii="Arial"/>
                <w:sz w:val="21"/>
              </w:rPr>
            </w:pPr>
          </w:p>
          <w:p w14:paraId="6BE73277">
            <w:pPr>
              <w:spacing w:line="285" w:lineRule="auto"/>
              <w:rPr>
                <w:rFonts w:ascii="Arial"/>
                <w:sz w:val="21"/>
              </w:rPr>
            </w:pPr>
          </w:p>
          <w:p w14:paraId="128C2353">
            <w:pPr>
              <w:pStyle w:val="6"/>
              <w:spacing w:before="98" w:line="186" w:lineRule="auto"/>
              <w:ind w:left="117" w:right="17" w:firstLine="30"/>
              <w:jc w:val="both"/>
            </w:pPr>
            <w:r>
              <w:rPr>
                <w:spacing w:val="4"/>
              </w:rPr>
              <w:t>向未取得烟</w:t>
            </w:r>
            <w:r>
              <w:rPr>
                <w:spacing w:val="11"/>
              </w:rPr>
              <w:t>花爆竹安全生产许可的单位或者个人销售黑火</w:t>
            </w:r>
            <w:r>
              <w:rPr>
                <w:spacing w:val="-14"/>
              </w:rPr>
              <w:t>药、烟火药、</w:t>
            </w:r>
            <w:r>
              <w:rPr>
                <w:spacing w:val="5"/>
              </w:rPr>
              <w:t>引火线的</w:t>
            </w:r>
          </w:p>
        </w:tc>
        <w:tc>
          <w:tcPr>
            <w:tcW w:w="3202" w:type="dxa"/>
            <w:vMerge w:val="restart"/>
            <w:tcBorders>
              <w:bottom w:val="nil"/>
            </w:tcBorders>
            <w:vAlign w:val="top"/>
          </w:tcPr>
          <w:p w14:paraId="0AB3FAC1">
            <w:pPr>
              <w:pStyle w:val="6"/>
              <w:spacing w:before="33" w:line="182" w:lineRule="auto"/>
              <w:ind w:left="117" w:right="19" w:hanging="19"/>
            </w:pPr>
            <w:r>
              <w:rPr>
                <w:spacing w:val="18"/>
              </w:rPr>
              <w:t>【行政法规】《烟花爆竹安</w:t>
            </w:r>
            <w:r>
              <w:rPr>
                <w:spacing w:val="13"/>
              </w:rPr>
              <w:t>全管理条例》第二十一条：</w:t>
            </w:r>
            <w:r>
              <w:rPr>
                <w:spacing w:val="5"/>
              </w:rPr>
              <w:t>生产、经营黑火药、烟火药、</w:t>
            </w:r>
            <w:r>
              <w:rPr>
                <w:spacing w:val="13"/>
              </w:rPr>
              <w:t>引火线的企业，不得向未取</w:t>
            </w:r>
          </w:p>
          <w:p w14:paraId="46753C84">
            <w:pPr>
              <w:pStyle w:val="6"/>
              <w:spacing w:line="182" w:lineRule="auto"/>
              <w:ind w:left="119"/>
              <w:outlineLvl w:val="0"/>
            </w:pPr>
            <w:r>
              <w:rPr>
                <w:spacing w:val="17"/>
              </w:rPr>
              <w:t>得烟花爆竹安全生产许可的</w:t>
            </w:r>
          </w:p>
          <w:p w14:paraId="5DA65BC5">
            <w:pPr>
              <w:pStyle w:val="6"/>
              <w:spacing w:before="2" w:line="195" w:lineRule="auto"/>
              <w:ind w:left="132" w:right="111" w:hanging="13"/>
            </w:pPr>
            <w:r>
              <w:rPr>
                <w:spacing w:val="17"/>
              </w:rPr>
              <w:t>任何单位或者个人销售黑火</w:t>
            </w:r>
            <w:r>
              <w:rPr>
                <w:spacing w:val="3"/>
              </w:rPr>
              <w:t>药、烟火药和引火线。</w:t>
            </w:r>
          </w:p>
        </w:tc>
        <w:tc>
          <w:tcPr>
            <w:tcW w:w="2859" w:type="dxa"/>
            <w:vMerge w:val="restart"/>
            <w:tcBorders>
              <w:bottom w:val="nil"/>
            </w:tcBorders>
            <w:vAlign w:val="top"/>
          </w:tcPr>
          <w:p w14:paraId="2F209E3C">
            <w:pPr>
              <w:pStyle w:val="6"/>
              <w:spacing w:before="41" w:line="184" w:lineRule="auto"/>
              <w:ind w:left="116" w:right="105" w:hanging="19"/>
            </w:pPr>
            <w:r>
              <w:rPr>
                <w:spacing w:val="10"/>
              </w:rPr>
              <w:t>【行政法规】《烟花爆竹</w:t>
            </w:r>
            <w:r>
              <w:rPr>
                <w:spacing w:val="8"/>
              </w:rPr>
              <w:t>安全管理条例》第三十六条第一款：对未经许可生</w:t>
            </w:r>
            <w:r>
              <w:rPr>
                <w:spacing w:val="7"/>
              </w:rPr>
              <w:t>产、经营烟花爆竹制品，</w:t>
            </w:r>
            <w:r>
              <w:rPr>
                <w:spacing w:val="8"/>
              </w:rPr>
              <w:t>或者向未取得烟花爆竹安全生产许可的单位或者个</w:t>
            </w:r>
            <w:r>
              <w:rPr>
                <w:spacing w:val="6"/>
              </w:rPr>
              <w:t>人销售黑火药、烟火药、</w:t>
            </w:r>
            <w:r>
              <w:rPr>
                <w:spacing w:val="8"/>
              </w:rPr>
              <w:t>引火线的，由安全生产监督管理部门责令停止非法</w:t>
            </w:r>
            <w:r>
              <w:rPr>
                <w:spacing w:val="5"/>
              </w:rPr>
              <w:t>生产、经营活动，处</w:t>
            </w:r>
            <w:r>
              <w:rPr>
                <w:rFonts w:ascii="宋体" w:hAnsi="宋体" w:eastAsia="宋体" w:cs="宋体"/>
                <w:spacing w:val="5"/>
              </w:rPr>
              <w:t>2</w:t>
            </w:r>
            <w:r>
              <w:rPr>
                <w:spacing w:val="5"/>
              </w:rPr>
              <w:t>万</w:t>
            </w:r>
            <w:r>
              <w:rPr>
                <w:spacing w:val="9"/>
              </w:rPr>
              <w:t>元以上</w:t>
            </w:r>
            <w:r>
              <w:rPr>
                <w:rFonts w:ascii="宋体" w:hAnsi="宋体" w:eastAsia="宋体" w:cs="宋体"/>
                <w:spacing w:val="9"/>
              </w:rPr>
              <w:t>10</w:t>
            </w:r>
            <w:r>
              <w:rPr>
                <w:spacing w:val="9"/>
              </w:rPr>
              <w:t>万元以下的罚</w:t>
            </w:r>
            <w:r>
              <w:rPr>
                <w:spacing w:val="8"/>
              </w:rPr>
              <w:t>款，并没收非法生产、经</w:t>
            </w:r>
            <w:r>
              <w:rPr>
                <w:spacing w:val="4"/>
              </w:rPr>
              <w:t>营的物品及违法所得。</w:t>
            </w:r>
          </w:p>
        </w:tc>
        <w:tc>
          <w:tcPr>
            <w:tcW w:w="803" w:type="dxa"/>
            <w:vAlign w:val="top"/>
          </w:tcPr>
          <w:p w14:paraId="04FB243B">
            <w:pPr>
              <w:spacing w:line="296" w:lineRule="auto"/>
              <w:rPr>
                <w:rFonts w:ascii="Arial"/>
                <w:sz w:val="21"/>
              </w:rPr>
            </w:pPr>
          </w:p>
          <w:p w14:paraId="1DDB7C86">
            <w:pPr>
              <w:spacing w:line="297" w:lineRule="auto"/>
              <w:rPr>
                <w:rFonts w:ascii="Arial"/>
                <w:sz w:val="21"/>
              </w:rPr>
            </w:pPr>
          </w:p>
          <w:p w14:paraId="50DD3E07">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20E19DE">
            <w:pPr>
              <w:pStyle w:val="6"/>
              <w:spacing w:before="332" w:line="192" w:lineRule="auto"/>
              <w:ind w:left="128" w:right="109" w:hanging="1"/>
              <w:jc w:val="both"/>
            </w:pPr>
            <w:r>
              <w:rPr>
                <w:spacing w:val="25"/>
              </w:rPr>
              <w:t>没有违法所得或违</w:t>
            </w:r>
            <w:r>
              <w:rPr>
                <w:spacing w:val="12"/>
              </w:rPr>
              <w:t>法所得</w:t>
            </w:r>
            <w:r>
              <w:rPr>
                <w:rFonts w:ascii="宋体" w:hAnsi="宋体" w:eastAsia="宋体" w:cs="宋体"/>
                <w:spacing w:val="12"/>
              </w:rPr>
              <w:t>1</w:t>
            </w:r>
            <w:r>
              <w:rPr>
                <w:spacing w:val="12"/>
              </w:rPr>
              <w:t>万元以下</w:t>
            </w:r>
            <w:r>
              <w:t>的</w:t>
            </w:r>
          </w:p>
        </w:tc>
        <w:tc>
          <w:tcPr>
            <w:tcW w:w="2894" w:type="dxa"/>
            <w:vAlign w:val="top"/>
          </w:tcPr>
          <w:p w14:paraId="43700639">
            <w:pPr>
              <w:pStyle w:val="6"/>
              <w:spacing w:before="30" w:line="178" w:lineRule="auto"/>
              <w:ind w:left="124" w:right="104" w:firstLine="2"/>
              <w:jc w:val="both"/>
            </w:pPr>
            <w:r>
              <w:rPr>
                <w:spacing w:val="10"/>
              </w:rPr>
              <w:t>责令停止非法生产、经营</w:t>
            </w:r>
            <w:r>
              <w:rPr>
                <w:spacing w:val="1"/>
              </w:rPr>
              <w:t>活动，处</w:t>
            </w:r>
            <w:r>
              <w:rPr>
                <w:rFonts w:ascii="宋体" w:hAnsi="宋体" w:eastAsia="宋体" w:cs="宋体"/>
                <w:spacing w:val="1"/>
              </w:rPr>
              <w:t>2</w:t>
            </w:r>
            <w:r>
              <w:rPr>
                <w:spacing w:val="1"/>
              </w:rPr>
              <w:t>万元以上</w:t>
            </w:r>
            <w:r>
              <w:rPr>
                <w:rFonts w:ascii="宋体" w:hAnsi="宋体" w:eastAsia="宋体" w:cs="宋体"/>
                <w:spacing w:val="1"/>
              </w:rPr>
              <w:t>5</w:t>
            </w:r>
            <w:r>
              <w:rPr>
                <w:spacing w:val="1"/>
              </w:rPr>
              <w:t>万</w:t>
            </w:r>
            <w:r>
              <w:rPr>
                <w:spacing w:val="7"/>
              </w:rPr>
              <w:t>元以下的罚款，并没收非</w:t>
            </w:r>
            <w:r>
              <w:rPr>
                <w:spacing w:val="11"/>
              </w:rPr>
              <w:t>法生产、经营的物品及违</w:t>
            </w:r>
            <w:r>
              <w:rPr>
                <w:spacing w:val="3"/>
              </w:rPr>
              <w:t>法所得</w:t>
            </w:r>
          </w:p>
        </w:tc>
        <w:tc>
          <w:tcPr>
            <w:tcW w:w="811" w:type="dxa"/>
            <w:vMerge w:val="restart"/>
            <w:tcBorders>
              <w:bottom w:val="nil"/>
            </w:tcBorders>
            <w:vAlign w:val="top"/>
          </w:tcPr>
          <w:p w14:paraId="76CEDB9F">
            <w:pPr>
              <w:spacing w:line="261" w:lineRule="auto"/>
              <w:rPr>
                <w:rFonts w:ascii="Arial"/>
                <w:sz w:val="21"/>
              </w:rPr>
            </w:pPr>
          </w:p>
          <w:p w14:paraId="2D1C2EAC">
            <w:pPr>
              <w:spacing w:line="262" w:lineRule="auto"/>
              <w:rPr>
                <w:rFonts w:ascii="Arial"/>
                <w:sz w:val="21"/>
              </w:rPr>
            </w:pPr>
          </w:p>
          <w:p w14:paraId="44BFED8E">
            <w:pPr>
              <w:spacing w:line="262" w:lineRule="auto"/>
              <w:rPr>
                <w:rFonts w:ascii="Arial"/>
                <w:sz w:val="21"/>
              </w:rPr>
            </w:pPr>
          </w:p>
          <w:p w14:paraId="4B9E2E96">
            <w:pPr>
              <w:spacing w:line="262" w:lineRule="auto"/>
              <w:rPr>
                <w:rFonts w:ascii="Arial"/>
                <w:sz w:val="21"/>
              </w:rPr>
            </w:pPr>
          </w:p>
          <w:p w14:paraId="206071C7">
            <w:pPr>
              <w:spacing w:line="262" w:lineRule="auto"/>
              <w:rPr>
                <w:rFonts w:ascii="Arial"/>
                <w:sz w:val="21"/>
              </w:rPr>
            </w:pPr>
          </w:p>
          <w:p w14:paraId="007A0CA9">
            <w:pPr>
              <w:spacing w:line="262" w:lineRule="auto"/>
              <w:rPr>
                <w:rFonts w:ascii="Arial"/>
                <w:sz w:val="21"/>
              </w:rPr>
            </w:pPr>
          </w:p>
          <w:p w14:paraId="03966A65">
            <w:pPr>
              <w:spacing w:line="262" w:lineRule="auto"/>
              <w:rPr>
                <w:rFonts w:ascii="Arial"/>
                <w:sz w:val="21"/>
              </w:rPr>
            </w:pPr>
          </w:p>
          <w:p w14:paraId="4D230A16">
            <w:pPr>
              <w:spacing w:line="262" w:lineRule="auto"/>
              <w:rPr>
                <w:rFonts w:ascii="Arial"/>
                <w:sz w:val="21"/>
              </w:rPr>
            </w:pPr>
          </w:p>
          <w:p w14:paraId="14FCE628">
            <w:pPr>
              <w:spacing w:before="75" w:line="189" w:lineRule="auto"/>
              <w:ind w:left="248"/>
              <w:rPr>
                <w:rFonts w:ascii="宋体" w:hAnsi="宋体" w:eastAsia="宋体" w:cs="宋体"/>
                <w:sz w:val="23"/>
                <w:szCs w:val="23"/>
              </w:rPr>
            </w:pPr>
            <w:r>
              <w:rPr>
                <w:rFonts w:ascii="宋体" w:hAnsi="宋体" w:eastAsia="宋体" w:cs="宋体"/>
                <w:spacing w:val="-6"/>
                <w:sz w:val="23"/>
                <w:szCs w:val="23"/>
              </w:rPr>
              <w:t>164</w:t>
            </w:r>
          </w:p>
        </w:tc>
      </w:tr>
      <w:tr w14:paraId="5033D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continue"/>
            <w:tcBorders>
              <w:top w:val="nil"/>
              <w:bottom w:val="nil"/>
            </w:tcBorders>
            <w:vAlign w:val="top"/>
          </w:tcPr>
          <w:p w14:paraId="26F3F3B9">
            <w:pPr>
              <w:rPr>
                <w:rFonts w:ascii="Arial"/>
                <w:sz w:val="21"/>
              </w:rPr>
            </w:pPr>
          </w:p>
        </w:tc>
        <w:tc>
          <w:tcPr>
            <w:tcW w:w="1440" w:type="dxa"/>
            <w:vMerge w:val="continue"/>
            <w:tcBorders>
              <w:top w:val="nil"/>
              <w:bottom w:val="nil"/>
            </w:tcBorders>
            <w:vAlign w:val="top"/>
          </w:tcPr>
          <w:p w14:paraId="1D839DF3">
            <w:pPr>
              <w:rPr>
                <w:rFonts w:ascii="Arial"/>
                <w:sz w:val="21"/>
              </w:rPr>
            </w:pPr>
          </w:p>
        </w:tc>
        <w:tc>
          <w:tcPr>
            <w:tcW w:w="3202" w:type="dxa"/>
            <w:vMerge w:val="continue"/>
            <w:tcBorders>
              <w:top w:val="nil"/>
              <w:bottom w:val="nil"/>
            </w:tcBorders>
            <w:vAlign w:val="top"/>
          </w:tcPr>
          <w:p w14:paraId="2ACE5D88">
            <w:pPr>
              <w:rPr>
                <w:rFonts w:ascii="Arial"/>
                <w:sz w:val="21"/>
              </w:rPr>
            </w:pPr>
          </w:p>
        </w:tc>
        <w:tc>
          <w:tcPr>
            <w:tcW w:w="2859" w:type="dxa"/>
            <w:vMerge w:val="continue"/>
            <w:tcBorders>
              <w:top w:val="nil"/>
              <w:bottom w:val="nil"/>
            </w:tcBorders>
            <w:vAlign w:val="top"/>
          </w:tcPr>
          <w:p w14:paraId="5D9AFA54">
            <w:pPr>
              <w:rPr>
                <w:rFonts w:ascii="Arial"/>
                <w:sz w:val="21"/>
              </w:rPr>
            </w:pPr>
          </w:p>
        </w:tc>
        <w:tc>
          <w:tcPr>
            <w:tcW w:w="803" w:type="dxa"/>
            <w:vAlign w:val="top"/>
          </w:tcPr>
          <w:p w14:paraId="726C4660">
            <w:pPr>
              <w:spacing w:line="299" w:lineRule="auto"/>
              <w:rPr>
                <w:rFonts w:ascii="Arial"/>
                <w:sz w:val="21"/>
              </w:rPr>
            </w:pPr>
          </w:p>
          <w:p w14:paraId="27F7953B">
            <w:pPr>
              <w:spacing w:line="299" w:lineRule="auto"/>
              <w:rPr>
                <w:rFonts w:ascii="Arial"/>
                <w:sz w:val="21"/>
              </w:rPr>
            </w:pPr>
          </w:p>
          <w:p w14:paraId="136D7302">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CA0E3BA">
            <w:pPr>
              <w:spacing w:line="378" w:lineRule="auto"/>
              <w:rPr>
                <w:rFonts w:ascii="Arial"/>
                <w:sz w:val="21"/>
              </w:rPr>
            </w:pPr>
          </w:p>
          <w:p w14:paraId="62C162A1">
            <w:pPr>
              <w:pStyle w:val="6"/>
              <w:spacing w:before="99" w:line="196" w:lineRule="auto"/>
              <w:ind w:left="122" w:right="106" w:hanging="5"/>
            </w:pPr>
            <w:r>
              <w:rPr>
                <w:spacing w:val="11"/>
              </w:rPr>
              <w:t>违法所得</w:t>
            </w:r>
            <w:r>
              <w:rPr>
                <w:rFonts w:ascii="宋体" w:hAnsi="宋体" w:eastAsia="宋体" w:cs="宋体"/>
                <w:spacing w:val="11"/>
              </w:rPr>
              <w:t>1</w:t>
            </w:r>
            <w:r>
              <w:rPr>
                <w:spacing w:val="11"/>
              </w:rPr>
              <w:t>万元以</w:t>
            </w:r>
            <w:r>
              <w:rPr>
                <w:spacing w:val="-1"/>
              </w:rPr>
              <w:t>上</w:t>
            </w:r>
            <w:r>
              <w:rPr>
                <w:rFonts w:ascii="宋体" w:hAnsi="宋体" w:eastAsia="宋体" w:cs="宋体"/>
                <w:spacing w:val="-1"/>
              </w:rPr>
              <w:t>10</w:t>
            </w:r>
            <w:r>
              <w:rPr>
                <w:spacing w:val="-1"/>
              </w:rPr>
              <w:t>万元以下的</w:t>
            </w:r>
          </w:p>
        </w:tc>
        <w:tc>
          <w:tcPr>
            <w:tcW w:w="2894" w:type="dxa"/>
            <w:vAlign w:val="top"/>
          </w:tcPr>
          <w:p w14:paraId="295C50E2">
            <w:pPr>
              <w:pStyle w:val="6"/>
              <w:spacing w:before="30" w:line="178" w:lineRule="auto"/>
              <w:ind w:left="124" w:right="104" w:firstLine="2"/>
              <w:jc w:val="both"/>
            </w:pPr>
            <w:r>
              <w:rPr>
                <w:spacing w:val="10"/>
              </w:rPr>
              <w:t>责令停止非法生产、经营</w:t>
            </w:r>
            <w:r>
              <w:rPr>
                <w:spacing w:val="1"/>
              </w:rPr>
              <w:t>活动，处</w:t>
            </w:r>
            <w:r>
              <w:rPr>
                <w:rFonts w:ascii="宋体" w:hAnsi="宋体" w:eastAsia="宋体" w:cs="宋体"/>
                <w:spacing w:val="1"/>
              </w:rPr>
              <w:t>5</w:t>
            </w:r>
            <w:r>
              <w:rPr>
                <w:spacing w:val="1"/>
              </w:rPr>
              <w:t>万元以上</w:t>
            </w:r>
            <w:r>
              <w:rPr>
                <w:rFonts w:ascii="宋体" w:hAnsi="宋体" w:eastAsia="宋体" w:cs="宋体"/>
                <w:spacing w:val="1"/>
              </w:rPr>
              <w:t>8</w:t>
            </w:r>
            <w:r>
              <w:rPr>
                <w:spacing w:val="1"/>
              </w:rPr>
              <w:t>万</w:t>
            </w:r>
            <w:r>
              <w:rPr>
                <w:spacing w:val="7"/>
              </w:rPr>
              <w:t>元以下的罚款，并没收非</w:t>
            </w:r>
            <w:r>
              <w:rPr>
                <w:spacing w:val="11"/>
              </w:rPr>
              <w:t>法生产、经营的物品及违</w:t>
            </w:r>
            <w:r>
              <w:rPr>
                <w:spacing w:val="3"/>
              </w:rPr>
              <w:t>法所得</w:t>
            </w:r>
          </w:p>
        </w:tc>
        <w:tc>
          <w:tcPr>
            <w:tcW w:w="811" w:type="dxa"/>
            <w:vMerge w:val="continue"/>
            <w:tcBorders>
              <w:top w:val="nil"/>
              <w:bottom w:val="nil"/>
            </w:tcBorders>
            <w:vAlign w:val="top"/>
          </w:tcPr>
          <w:p w14:paraId="23D1373D">
            <w:pPr>
              <w:rPr>
                <w:rFonts w:ascii="Arial"/>
                <w:sz w:val="21"/>
              </w:rPr>
            </w:pPr>
          </w:p>
        </w:tc>
      </w:tr>
      <w:tr w14:paraId="528D1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continue"/>
            <w:tcBorders>
              <w:top w:val="nil"/>
            </w:tcBorders>
            <w:vAlign w:val="top"/>
          </w:tcPr>
          <w:p w14:paraId="1E5C51BA">
            <w:pPr>
              <w:rPr>
                <w:rFonts w:ascii="Arial"/>
                <w:sz w:val="21"/>
              </w:rPr>
            </w:pPr>
          </w:p>
        </w:tc>
        <w:tc>
          <w:tcPr>
            <w:tcW w:w="1440" w:type="dxa"/>
            <w:vMerge w:val="continue"/>
            <w:tcBorders>
              <w:top w:val="nil"/>
            </w:tcBorders>
            <w:vAlign w:val="top"/>
          </w:tcPr>
          <w:p w14:paraId="2C3D8E51">
            <w:pPr>
              <w:rPr>
                <w:rFonts w:ascii="Arial"/>
                <w:sz w:val="21"/>
              </w:rPr>
            </w:pPr>
          </w:p>
        </w:tc>
        <w:tc>
          <w:tcPr>
            <w:tcW w:w="3202" w:type="dxa"/>
            <w:vMerge w:val="continue"/>
            <w:tcBorders>
              <w:top w:val="nil"/>
            </w:tcBorders>
            <w:vAlign w:val="top"/>
          </w:tcPr>
          <w:p w14:paraId="4D90DDA8">
            <w:pPr>
              <w:rPr>
                <w:rFonts w:ascii="Arial"/>
                <w:sz w:val="21"/>
              </w:rPr>
            </w:pPr>
          </w:p>
        </w:tc>
        <w:tc>
          <w:tcPr>
            <w:tcW w:w="2859" w:type="dxa"/>
            <w:vMerge w:val="continue"/>
            <w:tcBorders>
              <w:top w:val="nil"/>
            </w:tcBorders>
            <w:vAlign w:val="top"/>
          </w:tcPr>
          <w:p w14:paraId="44BA20A9">
            <w:pPr>
              <w:rPr>
                <w:rFonts w:ascii="Arial"/>
                <w:sz w:val="21"/>
              </w:rPr>
            </w:pPr>
          </w:p>
        </w:tc>
        <w:tc>
          <w:tcPr>
            <w:tcW w:w="803" w:type="dxa"/>
            <w:vAlign w:val="top"/>
          </w:tcPr>
          <w:p w14:paraId="735C7E7B">
            <w:pPr>
              <w:spacing w:line="298" w:lineRule="auto"/>
              <w:rPr>
                <w:rFonts w:ascii="Arial"/>
                <w:sz w:val="21"/>
              </w:rPr>
            </w:pPr>
          </w:p>
          <w:p w14:paraId="447458F2">
            <w:pPr>
              <w:spacing w:line="299" w:lineRule="auto"/>
              <w:rPr>
                <w:rFonts w:ascii="Arial"/>
                <w:sz w:val="21"/>
              </w:rPr>
            </w:pPr>
          </w:p>
          <w:p w14:paraId="216DAA4E">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6DCA0F9">
            <w:pPr>
              <w:spacing w:line="380" w:lineRule="auto"/>
              <w:rPr>
                <w:rFonts w:ascii="Arial"/>
                <w:sz w:val="21"/>
              </w:rPr>
            </w:pPr>
          </w:p>
          <w:p w14:paraId="7C965D92">
            <w:pPr>
              <w:pStyle w:val="6"/>
              <w:spacing w:before="99" w:line="197" w:lineRule="auto"/>
              <w:ind w:left="122" w:right="106" w:hanging="5"/>
            </w:pPr>
            <w:r>
              <w:rPr>
                <w:spacing w:val="3"/>
              </w:rPr>
              <w:t>违法所得</w:t>
            </w:r>
            <w:r>
              <w:rPr>
                <w:rFonts w:ascii="宋体" w:hAnsi="宋体" w:eastAsia="宋体" w:cs="宋体"/>
                <w:spacing w:val="3"/>
              </w:rPr>
              <w:t>10</w:t>
            </w:r>
            <w:r>
              <w:rPr>
                <w:spacing w:val="3"/>
              </w:rPr>
              <w:t>万元以</w:t>
            </w:r>
            <w:r>
              <w:t>上的</w:t>
            </w:r>
          </w:p>
        </w:tc>
        <w:tc>
          <w:tcPr>
            <w:tcW w:w="2894" w:type="dxa"/>
            <w:vAlign w:val="top"/>
          </w:tcPr>
          <w:p w14:paraId="44BD9B4D">
            <w:pPr>
              <w:pStyle w:val="6"/>
              <w:spacing w:before="30" w:line="178" w:lineRule="auto"/>
              <w:ind w:left="124" w:right="104" w:firstLine="2"/>
              <w:jc w:val="both"/>
            </w:pPr>
            <w:r>
              <w:rPr>
                <w:spacing w:val="10"/>
              </w:rPr>
              <w:t>责令停止非法生产、经营</w:t>
            </w:r>
            <w:r>
              <w:rPr>
                <w:spacing w:val="-7"/>
              </w:rPr>
              <w:t>活动，处</w:t>
            </w:r>
            <w:r>
              <w:rPr>
                <w:rFonts w:ascii="宋体" w:hAnsi="宋体" w:eastAsia="宋体" w:cs="宋体"/>
                <w:spacing w:val="-7"/>
              </w:rPr>
              <w:t>8</w:t>
            </w:r>
            <w:r>
              <w:rPr>
                <w:spacing w:val="-7"/>
              </w:rPr>
              <w:t>万元以上</w:t>
            </w:r>
            <w:r>
              <w:rPr>
                <w:rFonts w:ascii="宋体" w:hAnsi="宋体" w:eastAsia="宋体" w:cs="宋体"/>
                <w:spacing w:val="-7"/>
              </w:rPr>
              <w:t>10</w:t>
            </w:r>
            <w:r>
              <w:rPr>
                <w:spacing w:val="-7"/>
              </w:rPr>
              <w:t>万</w:t>
            </w:r>
            <w:r>
              <w:rPr>
                <w:spacing w:val="7"/>
              </w:rPr>
              <w:t>元以下的罚款，并没收非</w:t>
            </w:r>
            <w:r>
              <w:rPr>
                <w:spacing w:val="11"/>
              </w:rPr>
              <w:t>法生产、经营的物品及违</w:t>
            </w:r>
            <w:r>
              <w:rPr>
                <w:spacing w:val="3"/>
              </w:rPr>
              <w:t>法所得</w:t>
            </w:r>
          </w:p>
        </w:tc>
        <w:tc>
          <w:tcPr>
            <w:tcW w:w="811" w:type="dxa"/>
            <w:vMerge w:val="continue"/>
            <w:tcBorders>
              <w:top w:val="nil"/>
            </w:tcBorders>
            <w:vAlign w:val="top"/>
          </w:tcPr>
          <w:p w14:paraId="14698329">
            <w:pPr>
              <w:rPr>
                <w:rFonts w:ascii="Arial"/>
                <w:sz w:val="21"/>
              </w:rPr>
            </w:pPr>
          </w:p>
        </w:tc>
      </w:tr>
      <w:tr w14:paraId="0DB83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restart"/>
            <w:tcBorders>
              <w:bottom w:val="nil"/>
            </w:tcBorders>
            <w:vAlign w:val="top"/>
          </w:tcPr>
          <w:p w14:paraId="211A5845">
            <w:pPr>
              <w:spacing w:line="301" w:lineRule="auto"/>
              <w:rPr>
                <w:rFonts w:ascii="Arial"/>
                <w:sz w:val="21"/>
              </w:rPr>
            </w:pPr>
          </w:p>
          <w:p w14:paraId="021F79FA">
            <w:pPr>
              <w:spacing w:line="302" w:lineRule="auto"/>
              <w:rPr>
                <w:rFonts w:ascii="Arial"/>
                <w:sz w:val="21"/>
              </w:rPr>
            </w:pPr>
          </w:p>
          <w:p w14:paraId="04311CAD">
            <w:pPr>
              <w:spacing w:line="302" w:lineRule="auto"/>
              <w:rPr>
                <w:rFonts w:ascii="Arial"/>
                <w:sz w:val="21"/>
              </w:rPr>
            </w:pPr>
          </w:p>
          <w:p w14:paraId="67DECA79">
            <w:pPr>
              <w:spacing w:before="75" w:line="186" w:lineRule="auto"/>
              <w:ind w:left="161"/>
              <w:rPr>
                <w:rFonts w:ascii="仿宋" w:hAnsi="仿宋" w:eastAsia="仿宋" w:cs="仿宋"/>
                <w:sz w:val="23"/>
                <w:szCs w:val="23"/>
              </w:rPr>
            </w:pPr>
            <w:r>
              <w:rPr>
                <w:rFonts w:ascii="仿宋" w:hAnsi="仿宋" w:eastAsia="仿宋" w:cs="仿宋"/>
                <w:spacing w:val="-5"/>
                <w:sz w:val="23"/>
                <w:szCs w:val="23"/>
              </w:rPr>
              <w:t>191</w:t>
            </w:r>
          </w:p>
        </w:tc>
        <w:tc>
          <w:tcPr>
            <w:tcW w:w="1440" w:type="dxa"/>
            <w:vMerge w:val="restart"/>
            <w:tcBorders>
              <w:bottom w:val="nil"/>
            </w:tcBorders>
            <w:vAlign w:val="top"/>
          </w:tcPr>
          <w:p w14:paraId="6F2901D1">
            <w:pPr>
              <w:pStyle w:val="6"/>
              <w:spacing w:before="35" w:line="180" w:lineRule="auto"/>
              <w:ind w:left="117" w:right="111" w:firstLine="2"/>
              <w:jc w:val="both"/>
            </w:pPr>
            <w:r>
              <w:rPr>
                <w:spacing w:val="10"/>
              </w:rPr>
              <w:t>烟花爆竹零</w:t>
            </w:r>
            <w:r>
              <w:rPr>
                <w:spacing w:val="11"/>
              </w:rPr>
              <w:t>售经营者变更零售点名称、主要负责人或者经</w:t>
            </w:r>
            <w:r>
              <w:rPr>
                <w:spacing w:val="4"/>
              </w:rPr>
              <w:t>营场所，未</w:t>
            </w:r>
            <w:r>
              <w:rPr>
                <w:spacing w:val="11"/>
              </w:rPr>
              <w:t>重新办理零</w:t>
            </w:r>
          </w:p>
        </w:tc>
        <w:tc>
          <w:tcPr>
            <w:tcW w:w="3202" w:type="dxa"/>
            <w:vMerge w:val="restart"/>
            <w:tcBorders>
              <w:bottom w:val="nil"/>
            </w:tcBorders>
            <w:vAlign w:val="top"/>
          </w:tcPr>
          <w:p w14:paraId="4AFCCE56">
            <w:pPr>
              <w:pStyle w:val="6"/>
              <w:spacing w:before="35" w:line="180" w:lineRule="auto"/>
              <w:ind w:left="118" w:right="111" w:hanging="20"/>
              <w:jc w:val="both"/>
            </w:pPr>
            <w:r>
              <w:rPr>
                <w:spacing w:val="18"/>
              </w:rPr>
              <w:t>【部门规章】《烟花爆竹经</w:t>
            </w:r>
            <w:r>
              <w:rPr>
                <w:spacing w:val="14"/>
              </w:rPr>
              <w:t>营许可实施办法》第二十一</w:t>
            </w:r>
            <w:r>
              <w:rPr>
                <w:spacing w:val="13"/>
              </w:rPr>
              <w:t>条：零售许可证的有效期限由发证机关确定，最长不超</w:t>
            </w:r>
            <w:r>
              <w:rPr>
                <w:spacing w:val="12"/>
              </w:rPr>
              <w:t>过</w:t>
            </w:r>
            <w:r>
              <w:rPr>
                <w:rFonts w:ascii="宋体" w:hAnsi="宋体" w:eastAsia="宋体" w:cs="宋体"/>
                <w:spacing w:val="12"/>
              </w:rPr>
              <w:t>2</w:t>
            </w:r>
            <w:r>
              <w:rPr>
                <w:spacing w:val="12"/>
              </w:rPr>
              <w:t>年。零售许可证有效期</w:t>
            </w:r>
            <w:r>
              <w:rPr>
                <w:spacing w:val="17"/>
              </w:rPr>
              <w:t>满后拟继续从事烟花爆竹零</w:t>
            </w:r>
            <w:r>
              <w:rPr>
                <w:spacing w:val="13"/>
              </w:rPr>
              <w:t>售经营活动，或者在有效期</w:t>
            </w:r>
          </w:p>
        </w:tc>
        <w:tc>
          <w:tcPr>
            <w:tcW w:w="2859" w:type="dxa"/>
            <w:vMerge w:val="restart"/>
            <w:tcBorders>
              <w:bottom w:val="nil"/>
            </w:tcBorders>
            <w:vAlign w:val="top"/>
          </w:tcPr>
          <w:p w14:paraId="3B7753DF">
            <w:pPr>
              <w:pStyle w:val="6"/>
              <w:spacing w:before="35" w:line="180" w:lineRule="auto"/>
              <w:ind w:left="114" w:right="105" w:hanging="17"/>
              <w:jc w:val="both"/>
              <w:rPr>
                <w:rFonts w:ascii="宋体" w:hAnsi="宋体" w:eastAsia="宋体" w:cs="宋体"/>
              </w:rPr>
            </w:pPr>
            <w:r>
              <w:rPr>
                <w:spacing w:val="10"/>
              </w:rPr>
              <w:t>【部门规章】《烟花爆竹</w:t>
            </w:r>
            <w:r>
              <w:rPr>
                <w:spacing w:val="8"/>
              </w:rPr>
              <w:t>经营许可实施办法》第三十五条第一项：零售经营</w:t>
            </w:r>
            <w:r>
              <w:rPr>
                <w:spacing w:val="4"/>
              </w:rPr>
              <w:t>者有下列行为之一的，责</w:t>
            </w:r>
            <w:r>
              <w:rPr>
                <w:spacing w:val="11"/>
              </w:rPr>
              <w:t>令其限期改正，处</w:t>
            </w:r>
            <w:r>
              <w:rPr>
                <w:rFonts w:ascii="宋体" w:hAnsi="宋体" w:eastAsia="宋体" w:cs="宋体"/>
                <w:spacing w:val="11"/>
              </w:rPr>
              <w:t>1000</w:t>
            </w:r>
            <w:r>
              <w:rPr>
                <w:spacing w:val="12"/>
              </w:rPr>
              <w:t>元以上</w:t>
            </w:r>
            <w:r>
              <w:rPr>
                <w:rFonts w:ascii="宋体" w:hAnsi="宋体" w:eastAsia="宋体" w:cs="宋体"/>
                <w:spacing w:val="12"/>
              </w:rPr>
              <w:t>5000</w:t>
            </w:r>
            <w:r>
              <w:rPr>
                <w:spacing w:val="12"/>
              </w:rPr>
              <w:t>元以下的罚</w:t>
            </w:r>
            <w:r>
              <w:rPr>
                <w:spacing w:val="2"/>
              </w:rPr>
              <w:t>款；情节严重的，处</w:t>
            </w:r>
            <w:r>
              <w:rPr>
                <w:rFonts w:ascii="宋体" w:hAnsi="宋体" w:eastAsia="宋体" w:cs="宋体"/>
                <w:spacing w:val="2"/>
              </w:rPr>
              <w:t>5000</w:t>
            </w:r>
          </w:p>
        </w:tc>
        <w:tc>
          <w:tcPr>
            <w:tcW w:w="803" w:type="dxa"/>
            <w:vAlign w:val="top"/>
          </w:tcPr>
          <w:p w14:paraId="420D9976">
            <w:pPr>
              <w:spacing w:line="447" w:lineRule="auto"/>
              <w:rPr>
                <w:rFonts w:ascii="Arial"/>
                <w:sz w:val="21"/>
              </w:rPr>
            </w:pPr>
          </w:p>
          <w:p w14:paraId="5A1C90EE">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59280F5">
            <w:pPr>
              <w:pStyle w:val="6"/>
              <w:spacing w:before="183" w:line="191" w:lineRule="auto"/>
              <w:ind w:left="117" w:right="105" w:firstLine="12"/>
              <w:jc w:val="both"/>
            </w:pPr>
            <w:r>
              <w:rPr>
                <w:spacing w:val="-4"/>
              </w:rPr>
              <w:t>变更零售点名称、主</w:t>
            </w:r>
            <w:r>
              <w:rPr>
                <w:spacing w:val="26"/>
              </w:rPr>
              <w:t>要负责人或者经营</w:t>
            </w:r>
            <w:r>
              <w:rPr>
                <w:spacing w:val="-8"/>
              </w:rPr>
              <w:t>场所，有其中</w:t>
            </w:r>
            <w:r>
              <w:rPr>
                <w:rFonts w:ascii="宋体" w:hAnsi="宋体" w:eastAsia="宋体" w:cs="宋体"/>
                <w:spacing w:val="-8"/>
              </w:rPr>
              <w:t>1</w:t>
            </w:r>
            <w:r>
              <w:rPr>
                <w:spacing w:val="-8"/>
              </w:rPr>
              <w:t>项的</w:t>
            </w:r>
          </w:p>
        </w:tc>
        <w:tc>
          <w:tcPr>
            <w:tcW w:w="2894" w:type="dxa"/>
            <w:vAlign w:val="top"/>
          </w:tcPr>
          <w:p w14:paraId="78CB4BFF">
            <w:pPr>
              <w:pStyle w:val="6"/>
              <w:spacing w:before="29" w:line="177" w:lineRule="auto"/>
              <w:ind w:left="124" w:right="70" w:firstLine="2"/>
              <w:jc w:val="both"/>
            </w:pPr>
            <w:r>
              <w:rPr>
                <w:spacing w:val="-4"/>
              </w:rPr>
              <w:t>责令限期改正，处</w:t>
            </w:r>
            <w:r>
              <w:rPr>
                <w:rFonts w:ascii="宋体" w:hAnsi="宋体" w:eastAsia="宋体" w:cs="宋体"/>
                <w:spacing w:val="-4"/>
              </w:rPr>
              <w:t>1000</w:t>
            </w:r>
            <w:r>
              <w:rPr>
                <w:spacing w:val="-4"/>
              </w:rPr>
              <w:t>元</w:t>
            </w:r>
            <w:r>
              <w:t>以上</w:t>
            </w:r>
            <w:r>
              <w:rPr>
                <w:rFonts w:ascii="宋体" w:hAnsi="宋体" w:eastAsia="宋体" w:cs="宋体"/>
              </w:rPr>
              <w:t>5000</w:t>
            </w:r>
            <w:r>
              <w:t>元以下的罚款；</w:t>
            </w:r>
            <w:r>
              <w:rPr>
                <w:spacing w:val="-2"/>
              </w:rPr>
              <w:t>情节严重的，处</w:t>
            </w:r>
            <w:r>
              <w:rPr>
                <w:rFonts w:ascii="宋体" w:hAnsi="宋体" w:eastAsia="宋体" w:cs="宋体"/>
                <w:spacing w:val="-2"/>
              </w:rPr>
              <w:t>5000</w:t>
            </w:r>
            <w:r>
              <w:rPr>
                <w:spacing w:val="-2"/>
              </w:rPr>
              <w:t>元以</w:t>
            </w:r>
            <w:r>
              <w:rPr>
                <w:spacing w:val="1"/>
              </w:rPr>
              <w:t>上</w:t>
            </w:r>
            <w:r>
              <w:rPr>
                <w:rFonts w:ascii="宋体" w:hAnsi="宋体" w:eastAsia="宋体" w:cs="宋体"/>
                <w:spacing w:val="1"/>
              </w:rPr>
              <w:t>1</w:t>
            </w:r>
            <w:r>
              <w:rPr>
                <w:spacing w:val="1"/>
              </w:rPr>
              <w:t>万元以下的罚款</w:t>
            </w:r>
          </w:p>
        </w:tc>
        <w:tc>
          <w:tcPr>
            <w:tcW w:w="811" w:type="dxa"/>
            <w:vMerge w:val="restart"/>
            <w:tcBorders>
              <w:bottom w:val="nil"/>
            </w:tcBorders>
            <w:vAlign w:val="top"/>
          </w:tcPr>
          <w:p w14:paraId="00DFB49A">
            <w:pPr>
              <w:spacing w:line="300" w:lineRule="auto"/>
              <w:rPr>
                <w:rFonts w:ascii="Arial"/>
                <w:sz w:val="21"/>
              </w:rPr>
            </w:pPr>
          </w:p>
          <w:p w14:paraId="3D4C825B">
            <w:pPr>
              <w:spacing w:line="301" w:lineRule="auto"/>
              <w:rPr>
                <w:rFonts w:ascii="Arial"/>
                <w:sz w:val="21"/>
              </w:rPr>
            </w:pPr>
          </w:p>
          <w:p w14:paraId="325261AD">
            <w:pPr>
              <w:spacing w:line="301" w:lineRule="auto"/>
              <w:rPr>
                <w:rFonts w:ascii="Arial"/>
                <w:sz w:val="21"/>
              </w:rPr>
            </w:pPr>
          </w:p>
          <w:p w14:paraId="1614B731">
            <w:pPr>
              <w:spacing w:before="74" w:line="189" w:lineRule="auto"/>
              <w:ind w:left="248"/>
              <w:rPr>
                <w:rFonts w:ascii="宋体" w:hAnsi="宋体" w:eastAsia="宋体" w:cs="宋体"/>
                <w:sz w:val="23"/>
                <w:szCs w:val="23"/>
              </w:rPr>
            </w:pPr>
            <w:r>
              <w:rPr>
                <w:rFonts w:ascii="宋体" w:hAnsi="宋体" w:eastAsia="宋体" w:cs="宋体"/>
                <w:spacing w:val="-6"/>
                <w:sz w:val="23"/>
                <w:szCs w:val="23"/>
              </w:rPr>
              <w:t>165</w:t>
            </w:r>
          </w:p>
        </w:tc>
      </w:tr>
      <w:tr w14:paraId="03EF6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818" w:type="dxa"/>
            <w:vMerge w:val="continue"/>
            <w:tcBorders>
              <w:top w:val="nil"/>
            </w:tcBorders>
            <w:vAlign w:val="top"/>
          </w:tcPr>
          <w:p w14:paraId="48AC12D1">
            <w:pPr>
              <w:rPr>
                <w:rFonts w:ascii="Arial"/>
                <w:sz w:val="21"/>
              </w:rPr>
            </w:pPr>
          </w:p>
        </w:tc>
        <w:tc>
          <w:tcPr>
            <w:tcW w:w="1440" w:type="dxa"/>
            <w:vMerge w:val="continue"/>
            <w:tcBorders>
              <w:top w:val="nil"/>
            </w:tcBorders>
            <w:vAlign w:val="top"/>
          </w:tcPr>
          <w:p w14:paraId="24921D8D">
            <w:pPr>
              <w:rPr>
                <w:rFonts w:ascii="Arial"/>
                <w:sz w:val="21"/>
              </w:rPr>
            </w:pPr>
          </w:p>
        </w:tc>
        <w:tc>
          <w:tcPr>
            <w:tcW w:w="3202" w:type="dxa"/>
            <w:vMerge w:val="continue"/>
            <w:tcBorders>
              <w:top w:val="nil"/>
            </w:tcBorders>
            <w:vAlign w:val="top"/>
          </w:tcPr>
          <w:p w14:paraId="594C3D0C">
            <w:pPr>
              <w:rPr>
                <w:rFonts w:ascii="Arial"/>
                <w:sz w:val="21"/>
              </w:rPr>
            </w:pPr>
          </w:p>
        </w:tc>
        <w:tc>
          <w:tcPr>
            <w:tcW w:w="2859" w:type="dxa"/>
            <w:vMerge w:val="continue"/>
            <w:tcBorders>
              <w:top w:val="nil"/>
            </w:tcBorders>
            <w:vAlign w:val="top"/>
          </w:tcPr>
          <w:p w14:paraId="4998E466">
            <w:pPr>
              <w:rPr>
                <w:rFonts w:ascii="Arial"/>
                <w:sz w:val="21"/>
              </w:rPr>
            </w:pPr>
          </w:p>
        </w:tc>
        <w:tc>
          <w:tcPr>
            <w:tcW w:w="803" w:type="dxa"/>
            <w:vAlign w:val="top"/>
          </w:tcPr>
          <w:p w14:paraId="44D404C2">
            <w:pPr>
              <w:spacing w:line="303" w:lineRule="auto"/>
              <w:rPr>
                <w:rFonts w:ascii="Arial"/>
                <w:sz w:val="21"/>
              </w:rPr>
            </w:pPr>
          </w:p>
          <w:p w14:paraId="45D5527B">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6F0C2F4">
            <w:pPr>
              <w:pStyle w:val="6"/>
              <w:spacing w:before="34" w:line="175" w:lineRule="auto"/>
              <w:ind w:left="117" w:right="105" w:firstLine="12"/>
              <w:jc w:val="both"/>
            </w:pPr>
            <w:r>
              <w:rPr>
                <w:spacing w:val="-4"/>
              </w:rPr>
              <w:t>变更零售点名称、主</w:t>
            </w:r>
            <w:r>
              <w:rPr>
                <w:spacing w:val="26"/>
              </w:rPr>
              <w:t>要负责人或者经营</w:t>
            </w:r>
            <w:r>
              <w:rPr>
                <w:spacing w:val="-5"/>
              </w:rPr>
              <w:t>场所，有其中</w:t>
            </w:r>
            <w:r>
              <w:rPr>
                <w:rFonts w:ascii="宋体" w:hAnsi="宋体" w:eastAsia="宋体" w:cs="宋体"/>
                <w:spacing w:val="-5"/>
              </w:rPr>
              <w:t>2</w:t>
            </w:r>
            <w:r>
              <w:rPr>
                <w:spacing w:val="-5"/>
              </w:rPr>
              <w:t>项的</w:t>
            </w:r>
          </w:p>
        </w:tc>
        <w:tc>
          <w:tcPr>
            <w:tcW w:w="2894" w:type="dxa"/>
            <w:vAlign w:val="top"/>
          </w:tcPr>
          <w:p w14:paraId="160A6B74">
            <w:pPr>
              <w:pStyle w:val="6"/>
              <w:spacing w:before="34" w:line="175" w:lineRule="auto"/>
              <w:ind w:left="127" w:right="70"/>
              <w:jc w:val="both"/>
            </w:pPr>
            <w:r>
              <w:rPr>
                <w:spacing w:val="-4"/>
              </w:rPr>
              <w:t>责令限期改正，处</w:t>
            </w:r>
            <w:r>
              <w:rPr>
                <w:rFonts w:ascii="宋体" w:hAnsi="宋体" w:eastAsia="宋体" w:cs="宋体"/>
                <w:spacing w:val="-4"/>
              </w:rPr>
              <w:t>1000</w:t>
            </w:r>
            <w:r>
              <w:rPr>
                <w:spacing w:val="-4"/>
              </w:rPr>
              <w:t>元</w:t>
            </w:r>
            <w:r>
              <w:t>以上</w:t>
            </w:r>
            <w:r>
              <w:rPr>
                <w:rFonts w:ascii="宋体" w:hAnsi="宋体" w:eastAsia="宋体" w:cs="宋体"/>
              </w:rPr>
              <w:t>5000</w:t>
            </w:r>
            <w:r>
              <w:t>元以下的罚款；</w:t>
            </w:r>
            <w:r>
              <w:rPr>
                <w:spacing w:val="2"/>
              </w:rPr>
              <w:t>情节严重的，处</w:t>
            </w:r>
            <w:r>
              <w:rPr>
                <w:rFonts w:ascii="宋体" w:hAnsi="宋体" w:eastAsia="宋体" w:cs="宋体"/>
                <w:spacing w:val="2"/>
              </w:rPr>
              <w:t>1</w:t>
            </w:r>
            <w:r>
              <w:rPr>
                <w:spacing w:val="2"/>
              </w:rPr>
              <w:t>万元以</w:t>
            </w:r>
          </w:p>
        </w:tc>
        <w:tc>
          <w:tcPr>
            <w:tcW w:w="811" w:type="dxa"/>
            <w:vMerge w:val="continue"/>
            <w:tcBorders>
              <w:top w:val="nil"/>
            </w:tcBorders>
            <w:vAlign w:val="top"/>
          </w:tcPr>
          <w:p w14:paraId="37EE13B5">
            <w:pPr>
              <w:rPr>
                <w:rFonts w:ascii="Arial"/>
                <w:sz w:val="21"/>
              </w:rPr>
            </w:pPr>
          </w:p>
        </w:tc>
      </w:tr>
    </w:tbl>
    <w:p w14:paraId="4290E3A1">
      <w:pPr>
        <w:pStyle w:val="2"/>
      </w:pPr>
    </w:p>
    <w:p w14:paraId="66488E90">
      <w:pPr>
        <w:sectPr>
          <w:footerReference r:id="rId204" w:type="default"/>
          <w:pgSz w:w="16839" w:h="11906"/>
          <w:pgMar w:top="1012" w:right="821" w:bottom="666" w:left="901" w:header="0" w:footer="388" w:gutter="0"/>
          <w:cols w:space="720" w:num="1"/>
        </w:sectPr>
      </w:pPr>
    </w:p>
    <w:p w14:paraId="46BB53E6">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1A7A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3BF2614">
            <w:pPr>
              <w:spacing w:before="222" w:line="241" w:lineRule="auto"/>
              <w:ind w:left="131"/>
              <w:outlineLvl w:val="0"/>
              <w:rPr>
                <w:rFonts w:ascii="黑体" w:hAnsi="黑体" w:eastAsia="黑体" w:cs="黑体"/>
                <w:sz w:val="28"/>
                <w:szCs w:val="28"/>
              </w:rPr>
            </w:pPr>
            <w:bookmarkStart w:id="679" w:name="bookmark392"/>
            <w:bookmarkEnd w:id="679"/>
            <w:r>
              <w:rPr>
                <w:rFonts w:ascii="黑体" w:hAnsi="黑体" w:eastAsia="黑体" w:cs="黑体"/>
                <w:spacing w:val="-2"/>
                <w:sz w:val="28"/>
                <w:szCs w:val="28"/>
              </w:rPr>
              <w:t>序号</w:t>
            </w:r>
          </w:p>
        </w:tc>
        <w:tc>
          <w:tcPr>
            <w:tcW w:w="1440" w:type="dxa"/>
            <w:vAlign w:val="top"/>
          </w:tcPr>
          <w:p w14:paraId="4F4528DB">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9E43802">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D9CB74B">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0CD37FF1">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3A202A6">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915EF65">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A6FE21C">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B4B9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818" w:type="dxa"/>
            <w:vMerge w:val="restart"/>
            <w:tcBorders>
              <w:bottom w:val="nil"/>
            </w:tcBorders>
            <w:vAlign w:val="top"/>
          </w:tcPr>
          <w:p w14:paraId="281F15AF">
            <w:pPr>
              <w:rPr>
                <w:rFonts w:ascii="Arial"/>
                <w:sz w:val="21"/>
              </w:rPr>
            </w:pPr>
          </w:p>
        </w:tc>
        <w:tc>
          <w:tcPr>
            <w:tcW w:w="1440" w:type="dxa"/>
            <w:vMerge w:val="restart"/>
            <w:tcBorders>
              <w:bottom w:val="nil"/>
            </w:tcBorders>
            <w:vAlign w:val="top"/>
          </w:tcPr>
          <w:p w14:paraId="4BE7A3D4">
            <w:pPr>
              <w:pStyle w:val="6"/>
              <w:spacing w:before="28" w:line="209" w:lineRule="auto"/>
              <w:ind w:left="121"/>
            </w:pPr>
            <w:r>
              <w:rPr>
                <w:spacing w:val="5"/>
              </w:rPr>
              <w:t>售许可证的</w:t>
            </w:r>
          </w:p>
        </w:tc>
        <w:tc>
          <w:tcPr>
            <w:tcW w:w="3202" w:type="dxa"/>
            <w:vMerge w:val="restart"/>
            <w:tcBorders>
              <w:bottom w:val="nil"/>
            </w:tcBorders>
            <w:vAlign w:val="top"/>
          </w:tcPr>
          <w:p w14:paraId="6C0A98FC">
            <w:pPr>
              <w:pStyle w:val="6"/>
              <w:spacing w:before="30" w:line="182" w:lineRule="auto"/>
              <w:ind w:left="126" w:right="111" w:firstLine="26"/>
              <w:jc w:val="both"/>
            </w:pPr>
            <w:r>
              <w:rPr>
                <w:spacing w:val="14"/>
              </w:rPr>
              <w:t>内变更零售点名称、主要负</w:t>
            </w:r>
            <w:r>
              <w:rPr>
                <w:spacing w:val="16"/>
              </w:rPr>
              <w:t>责人、零售场所和许可范围</w:t>
            </w:r>
            <w:r>
              <w:rPr>
                <w:spacing w:val="12"/>
              </w:rPr>
              <w:t>的，应当重新申请取得零售</w:t>
            </w:r>
          </w:p>
          <w:p w14:paraId="0DDED206">
            <w:pPr>
              <w:pStyle w:val="6"/>
              <w:spacing w:line="210" w:lineRule="auto"/>
              <w:ind w:left="123"/>
              <w:outlineLvl w:val="0"/>
            </w:pPr>
            <w:r>
              <w:rPr>
                <w:spacing w:val="-3"/>
              </w:rPr>
              <w:t>许可证。</w:t>
            </w:r>
          </w:p>
        </w:tc>
        <w:tc>
          <w:tcPr>
            <w:tcW w:w="2859" w:type="dxa"/>
            <w:vMerge w:val="restart"/>
            <w:tcBorders>
              <w:bottom w:val="nil"/>
            </w:tcBorders>
            <w:vAlign w:val="top"/>
          </w:tcPr>
          <w:p w14:paraId="1BD10997">
            <w:pPr>
              <w:pStyle w:val="6"/>
              <w:spacing w:before="24" w:line="180" w:lineRule="auto"/>
              <w:ind w:left="117" w:right="107" w:firstLine="5"/>
              <w:jc w:val="both"/>
            </w:pPr>
            <w:r>
              <w:rPr>
                <w:spacing w:val="4"/>
              </w:rPr>
              <w:t>元以上</w:t>
            </w:r>
            <w:r>
              <w:rPr>
                <w:rFonts w:ascii="宋体" w:hAnsi="宋体" w:eastAsia="宋体" w:cs="宋体"/>
                <w:spacing w:val="4"/>
              </w:rPr>
              <w:t>30000</w:t>
            </w:r>
            <w:r>
              <w:rPr>
                <w:spacing w:val="4"/>
              </w:rPr>
              <w:t>元以下的罚</w:t>
            </w:r>
            <w:r>
              <w:rPr>
                <w:spacing w:val="-1"/>
              </w:rPr>
              <w:t>款</w:t>
            </w:r>
            <w:r>
              <w:rPr>
                <w:spacing w:val="-8"/>
              </w:rPr>
              <w:t>：（</w:t>
            </w:r>
            <w:r>
              <w:rPr>
                <w:spacing w:val="-1"/>
              </w:rPr>
              <w:t>一）变更零售点名</w:t>
            </w:r>
            <w:r>
              <w:rPr>
                <w:spacing w:val="8"/>
              </w:rPr>
              <w:t>称、主要负责人或者经营场所，未重新办理零售许</w:t>
            </w:r>
            <w:r>
              <w:rPr>
                <w:spacing w:val="-4"/>
              </w:rPr>
              <w:t>可证的；</w:t>
            </w:r>
          </w:p>
        </w:tc>
        <w:tc>
          <w:tcPr>
            <w:tcW w:w="803" w:type="dxa"/>
            <w:vAlign w:val="top"/>
          </w:tcPr>
          <w:p w14:paraId="01F130B5">
            <w:pPr>
              <w:rPr>
                <w:rFonts w:ascii="Arial"/>
                <w:sz w:val="21"/>
              </w:rPr>
            </w:pPr>
          </w:p>
        </w:tc>
        <w:tc>
          <w:tcPr>
            <w:tcW w:w="2283" w:type="dxa"/>
            <w:vAlign w:val="top"/>
          </w:tcPr>
          <w:p w14:paraId="036908CD">
            <w:pPr>
              <w:rPr>
                <w:rFonts w:ascii="Arial"/>
                <w:sz w:val="21"/>
              </w:rPr>
            </w:pPr>
          </w:p>
        </w:tc>
        <w:tc>
          <w:tcPr>
            <w:tcW w:w="2894" w:type="dxa"/>
            <w:vAlign w:val="top"/>
          </w:tcPr>
          <w:p w14:paraId="56ED6D3E">
            <w:pPr>
              <w:pStyle w:val="6"/>
              <w:spacing w:before="28" w:line="162" w:lineRule="auto"/>
              <w:ind w:left="124"/>
            </w:pPr>
            <w:r>
              <w:rPr>
                <w:spacing w:val="2"/>
              </w:rPr>
              <w:t>上</w:t>
            </w:r>
            <w:r>
              <w:rPr>
                <w:rFonts w:ascii="宋体" w:hAnsi="宋体" w:eastAsia="宋体" w:cs="宋体"/>
                <w:spacing w:val="2"/>
              </w:rPr>
              <w:t>2</w:t>
            </w:r>
            <w:r>
              <w:rPr>
                <w:spacing w:val="2"/>
              </w:rPr>
              <w:t>万元以下的罚款</w:t>
            </w:r>
          </w:p>
        </w:tc>
        <w:tc>
          <w:tcPr>
            <w:tcW w:w="811" w:type="dxa"/>
            <w:vMerge w:val="restart"/>
            <w:tcBorders>
              <w:bottom w:val="nil"/>
            </w:tcBorders>
            <w:vAlign w:val="top"/>
          </w:tcPr>
          <w:p w14:paraId="2FFF3FB4">
            <w:pPr>
              <w:rPr>
                <w:rFonts w:ascii="Arial"/>
                <w:sz w:val="21"/>
              </w:rPr>
            </w:pPr>
          </w:p>
        </w:tc>
      </w:tr>
      <w:tr w14:paraId="346F8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continue"/>
            <w:tcBorders>
              <w:top w:val="nil"/>
            </w:tcBorders>
            <w:vAlign w:val="top"/>
          </w:tcPr>
          <w:p w14:paraId="4CEEA321">
            <w:pPr>
              <w:rPr>
                <w:rFonts w:ascii="Arial"/>
                <w:sz w:val="21"/>
              </w:rPr>
            </w:pPr>
          </w:p>
        </w:tc>
        <w:tc>
          <w:tcPr>
            <w:tcW w:w="1440" w:type="dxa"/>
            <w:vMerge w:val="continue"/>
            <w:tcBorders>
              <w:top w:val="nil"/>
            </w:tcBorders>
            <w:vAlign w:val="top"/>
          </w:tcPr>
          <w:p w14:paraId="290FB051">
            <w:pPr>
              <w:rPr>
                <w:rFonts w:ascii="Arial"/>
                <w:sz w:val="21"/>
              </w:rPr>
            </w:pPr>
          </w:p>
        </w:tc>
        <w:tc>
          <w:tcPr>
            <w:tcW w:w="3202" w:type="dxa"/>
            <w:vMerge w:val="continue"/>
            <w:tcBorders>
              <w:top w:val="nil"/>
            </w:tcBorders>
            <w:vAlign w:val="top"/>
          </w:tcPr>
          <w:p w14:paraId="5930C46F">
            <w:pPr>
              <w:rPr>
                <w:rFonts w:ascii="Arial"/>
                <w:sz w:val="21"/>
              </w:rPr>
            </w:pPr>
          </w:p>
        </w:tc>
        <w:tc>
          <w:tcPr>
            <w:tcW w:w="2859" w:type="dxa"/>
            <w:vMerge w:val="continue"/>
            <w:tcBorders>
              <w:top w:val="nil"/>
            </w:tcBorders>
            <w:vAlign w:val="top"/>
          </w:tcPr>
          <w:p w14:paraId="3095C2B1">
            <w:pPr>
              <w:rPr>
                <w:rFonts w:ascii="Arial"/>
                <w:sz w:val="21"/>
              </w:rPr>
            </w:pPr>
          </w:p>
        </w:tc>
        <w:tc>
          <w:tcPr>
            <w:tcW w:w="803" w:type="dxa"/>
            <w:vAlign w:val="top"/>
          </w:tcPr>
          <w:p w14:paraId="2C8F6016">
            <w:pPr>
              <w:spacing w:line="445" w:lineRule="auto"/>
              <w:rPr>
                <w:rFonts w:ascii="Arial"/>
                <w:sz w:val="21"/>
              </w:rPr>
            </w:pPr>
          </w:p>
          <w:p w14:paraId="4CF8A145">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4973423">
            <w:pPr>
              <w:pStyle w:val="6"/>
              <w:spacing w:before="178" w:line="191" w:lineRule="auto"/>
              <w:ind w:left="117" w:right="105" w:firstLine="12"/>
              <w:jc w:val="both"/>
            </w:pPr>
            <w:r>
              <w:rPr>
                <w:spacing w:val="-4"/>
              </w:rPr>
              <w:t>变更零售点名称、主</w:t>
            </w:r>
            <w:r>
              <w:rPr>
                <w:spacing w:val="26"/>
              </w:rPr>
              <w:t>要负责人或者经营</w:t>
            </w:r>
            <w:r>
              <w:rPr>
                <w:spacing w:val="-5"/>
              </w:rPr>
              <w:t>场所，有其中</w:t>
            </w:r>
            <w:r>
              <w:rPr>
                <w:rFonts w:ascii="宋体" w:hAnsi="宋体" w:eastAsia="宋体" w:cs="宋体"/>
                <w:spacing w:val="-5"/>
              </w:rPr>
              <w:t>3</w:t>
            </w:r>
            <w:r>
              <w:rPr>
                <w:spacing w:val="-5"/>
              </w:rPr>
              <w:t>项的</w:t>
            </w:r>
          </w:p>
        </w:tc>
        <w:tc>
          <w:tcPr>
            <w:tcW w:w="2894" w:type="dxa"/>
            <w:vAlign w:val="top"/>
          </w:tcPr>
          <w:p w14:paraId="7969001C">
            <w:pPr>
              <w:pStyle w:val="6"/>
              <w:spacing w:before="29" w:line="177" w:lineRule="auto"/>
              <w:ind w:left="124" w:right="70" w:firstLine="2"/>
              <w:jc w:val="both"/>
            </w:pPr>
            <w:r>
              <w:rPr>
                <w:spacing w:val="-4"/>
              </w:rPr>
              <w:t>责令限期改正，处</w:t>
            </w:r>
            <w:r>
              <w:rPr>
                <w:rFonts w:ascii="宋体" w:hAnsi="宋体" w:eastAsia="宋体" w:cs="宋体"/>
                <w:spacing w:val="-4"/>
              </w:rPr>
              <w:t>1000</w:t>
            </w:r>
            <w:r>
              <w:rPr>
                <w:spacing w:val="-4"/>
              </w:rPr>
              <w:t>元</w:t>
            </w:r>
            <w:r>
              <w:t>以上</w:t>
            </w:r>
            <w:r>
              <w:rPr>
                <w:rFonts w:ascii="宋体" w:hAnsi="宋体" w:eastAsia="宋体" w:cs="宋体"/>
              </w:rPr>
              <w:t>5000</w:t>
            </w:r>
            <w:r>
              <w:t>元以下的罚款；</w:t>
            </w:r>
            <w:r>
              <w:rPr>
                <w:spacing w:val="4"/>
              </w:rPr>
              <w:t>情节严重的，处</w:t>
            </w:r>
            <w:r>
              <w:rPr>
                <w:rFonts w:ascii="宋体" w:hAnsi="宋体" w:eastAsia="宋体" w:cs="宋体"/>
                <w:spacing w:val="4"/>
              </w:rPr>
              <w:t>2</w:t>
            </w:r>
            <w:r>
              <w:rPr>
                <w:spacing w:val="4"/>
              </w:rPr>
              <w:t>万元以</w:t>
            </w:r>
            <w:r>
              <w:rPr>
                <w:spacing w:val="2"/>
              </w:rPr>
              <w:t>上</w:t>
            </w:r>
            <w:r>
              <w:rPr>
                <w:rFonts w:ascii="宋体" w:hAnsi="宋体" w:eastAsia="宋体" w:cs="宋体"/>
                <w:spacing w:val="2"/>
              </w:rPr>
              <w:t>3</w:t>
            </w:r>
            <w:r>
              <w:rPr>
                <w:spacing w:val="2"/>
              </w:rPr>
              <w:t>万元以下的罚款</w:t>
            </w:r>
          </w:p>
        </w:tc>
        <w:tc>
          <w:tcPr>
            <w:tcW w:w="811" w:type="dxa"/>
            <w:vMerge w:val="continue"/>
            <w:tcBorders>
              <w:top w:val="nil"/>
            </w:tcBorders>
            <w:vAlign w:val="top"/>
          </w:tcPr>
          <w:p w14:paraId="3517FEB7">
            <w:pPr>
              <w:rPr>
                <w:rFonts w:ascii="Arial"/>
                <w:sz w:val="21"/>
              </w:rPr>
            </w:pPr>
          </w:p>
        </w:tc>
      </w:tr>
      <w:tr w14:paraId="2DB77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9" w:hRule="atLeast"/>
        </w:trPr>
        <w:tc>
          <w:tcPr>
            <w:tcW w:w="818" w:type="dxa"/>
            <w:vMerge w:val="restart"/>
            <w:tcBorders>
              <w:bottom w:val="nil"/>
            </w:tcBorders>
            <w:vAlign w:val="top"/>
          </w:tcPr>
          <w:p w14:paraId="5F95F411">
            <w:pPr>
              <w:spacing w:line="242" w:lineRule="auto"/>
              <w:rPr>
                <w:rFonts w:ascii="Arial"/>
                <w:sz w:val="21"/>
              </w:rPr>
            </w:pPr>
          </w:p>
          <w:p w14:paraId="728510E5">
            <w:pPr>
              <w:spacing w:line="242" w:lineRule="auto"/>
              <w:rPr>
                <w:rFonts w:ascii="Arial"/>
                <w:sz w:val="21"/>
              </w:rPr>
            </w:pPr>
          </w:p>
          <w:p w14:paraId="18CC3784">
            <w:pPr>
              <w:spacing w:line="242" w:lineRule="auto"/>
              <w:rPr>
                <w:rFonts w:ascii="Arial"/>
                <w:sz w:val="21"/>
              </w:rPr>
            </w:pPr>
          </w:p>
          <w:p w14:paraId="282DB1A5">
            <w:pPr>
              <w:spacing w:line="243" w:lineRule="auto"/>
              <w:rPr>
                <w:rFonts w:ascii="Arial"/>
                <w:sz w:val="21"/>
              </w:rPr>
            </w:pPr>
          </w:p>
          <w:p w14:paraId="021F3F1F">
            <w:pPr>
              <w:spacing w:line="243" w:lineRule="auto"/>
              <w:rPr>
                <w:rFonts w:ascii="Arial"/>
                <w:sz w:val="21"/>
              </w:rPr>
            </w:pPr>
          </w:p>
          <w:p w14:paraId="667351EC">
            <w:pPr>
              <w:spacing w:line="243" w:lineRule="auto"/>
              <w:rPr>
                <w:rFonts w:ascii="Arial"/>
                <w:sz w:val="21"/>
              </w:rPr>
            </w:pPr>
          </w:p>
          <w:p w14:paraId="3B40A4FD">
            <w:pPr>
              <w:spacing w:line="243" w:lineRule="auto"/>
              <w:rPr>
                <w:rFonts w:ascii="Arial"/>
                <w:sz w:val="21"/>
              </w:rPr>
            </w:pPr>
          </w:p>
          <w:p w14:paraId="079A579F">
            <w:pPr>
              <w:spacing w:line="243" w:lineRule="auto"/>
              <w:rPr>
                <w:rFonts w:ascii="Arial"/>
                <w:sz w:val="21"/>
              </w:rPr>
            </w:pPr>
          </w:p>
          <w:p w14:paraId="31913F07">
            <w:pPr>
              <w:spacing w:before="75" w:line="186" w:lineRule="auto"/>
              <w:ind w:left="161"/>
              <w:rPr>
                <w:rFonts w:ascii="仿宋" w:hAnsi="仿宋" w:eastAsia="仿宋" w:cs="仿宋"/>
                <w:sz w:val="23"/>
                <w:szCs w:val="23"/>
              </w:rPr>
            </w:pPr>
            <w:r>
              <w:rPr>
                <w:rFonts w:ascii="仿宋" w:hAnsi="仿宋" w:eastAsia="仿宋" w:cs="仿宋"/>
                <w:spacing w:val="-5"/>
                <w:sz w:val="23"/>
                <w:szCs w:val="23"/>
              </w:rPr>
              <w:t>192</w:t>
            </w:r>
          </w:p>
        </w:tc>
        <w:tc>
          <w:tcPr>
            <w:tcW w:w="1440" w:type="dxa"/>
            <w:vMerge w:val="restart"/>
            <w:tcBorders>
              <w:bottom w:val="nil"/>
            </w:tcBorders>
            <w:vAlign w:val="top"/>
          </w:tcPr>
          <w:p w14:paraId="6DE6E699">
            <w:pPr>
              <w:spacing w:line="280" w:lineRule="auto"/>
              <w:rPr>
                <w:rFonts w:ascii="Arial"/>
                <w:sz w:val="21"/>
              </w:rPr>
            </w:pPr>
          </w:p>
          <w:p w14:paraId="6F8EE67F">
            <w:pPr>
              <w:spacing w:line="281" w:lineRule="auto"/>
              <w:rPr>
                <w:rFonts w:ascii="Arial"/>
                <w:sz w:val="21"/>
              </w:rPr>
            </w:pPr>
          </w:p>
          <w:p w14:paraId="1B8FD043">
            <w:pPr>
              <w:spacing w:line="281" w:lineRule="auto"/>
              <w:rPr>
                <w:rFonts w:ascii="Arial"/>
                <w:sz w:val="21"/>
              </w:rPr>
            </w:pPr>
          </w:p>
          <w:p w14:paraId="6833A56E">
            <w:pPr>
              <w:spacing w:line="281" w:lineRule="auto"/>
              <w:rPr>
                <w:rFonts w:ascii="Arial"/>
                <w:sz w:val="21"/>
              </w:rPr>
            </w:pPr>
          </w:p>
          <w:p w14:paraId="461F4C18">
            <w:pPr>
              <w:pStyle w:val="6"/>
              <w:spacing w:before="99" w:line="187" w:lineRule="auto"/>
              <w:ind w:left="115" w:right="111" w:firstLine="4"/>
              <w:jc w:val="both"/>
            </w:pPr>
            <w:r>
              <w:rPr>
                <w:spacing w:val="10"/>
              </w:rPr>
              <w:t>烟花爆竹零</w:t>
            </w:r>
            <w:r>
              <w:rPr>
                <w:spacing w:val="11"/>
              </w:rPr>
              <w:t>售经营者存放的烟花爆竹数量超过零售许可证</w:t>
            </w:r>
            <w:r>
              <w:rPr>
                <w:spacing w:val="6"/>
              </w:rPr>
              <w:t>载明范围的</w:t>
            </w:r>
          </w:p>
        </w:tc>
        <w:tc>
          <w:tcPr>
            <w:tcW w:w="3202" w:type="dxa"/>
            <w:vMerge w:val="restart"/>
            <w:tcBorders>
              <w:bottom w:val="nil"/>
            </w:tcBorders>
            <w:vAlign w:val="top"/>
          </w:tcPr>
          <w:p w14:paraId="7492F59D">
            <w:pPr>
              <w:pStyle w:val="6"/>
              <w:spacing w:before="34" w:line="182" w:lineRule="auto"/>
              <w:ind w:left="118" w:right="111" w:hanging="20"/>
              <w:jc w:val="both"/>
            </w:pPr>
            <w:bookmarkStart w:id="680" w:name="bookmark394"/>
            <w:bookmarkEnd w:id="680"/>
            <w:r>
              <w:rPr>
                <w:spacing w:val="18"/>
              </w:rPr>
              <w:t>【部门规章】《烟花爆竹经</w:t>
            </w:r>
            <w:r>
              <w:rPr>
                <w:spacing w:val="17"/>
              </w:rPr>
              <w:t>营许可实施办法》第二十三</w:t>
            </w:r>
            <w:r>
              <w:rPr>
                <w:spacing w:val="13"/>
              </w:rPr>
              <w:t>条：禁止在烟花爆竹经营许可证载明的储存（零售）场</w:t>
            </w:r>
            <w:r>
              <w:rPr>
                <w:spacing w:val="4"/>
              </w:rPr>
              <w:t>所以外储存烟花爆竹。</w:t>
            </w:r>
          </w:p>
          <w:p w14:paraId="605E11FE">
            <w:pPr>
              <w:pStyle w:val="6"/>
              <w:spacing w:before="3" w:line="182" w:lineRule="auto"/>
              <w:ind w:left="117" w:right="110" w:firstLine="4"/>
              <w:jc w:val="both"/>
            </w:pPr>
            <w:r>
              <w:rPr>
                <w:spacing w:val="16"/>
              </w:rPr>
              <w:t>烟花爆竹仓库储存的烟花爆</w:t>
            </w:r>
            <w:r>
              <w:rPr>
                <w:spacing w:val="13"/>
              </w:rPr>
              <w:t>竹品种、规格和数量，不得</w:t>
            </w:r>
            <w:r>
              <w:rPr>
                <w:spacing w:val="17"/>
              </w:rPr>
              <w:t>超过国家标准或者行业标准</w:t>
            </w:r>
            <w:r>
              <w:rPr>
                <w:spacing w:val="39"/>
              </w:rPr>
              <w:t>规定的危险等级和核定限</w:t>
            </w:r>
            <w:r>
              <w:rPr>
                <w:spacing w:val="-7"/>
              </w:rPr>
              <w:t>量。</w:t>
            </w:r>
          </w:p>
          <w:p w14:paraId="6C02BC1F">
            <w:pPr>
              <w:pStyle w:val="6"/>
              <w:spacing w:before="3" w:line="176" w:lineRule="auto"/>
              <w:ind w:left="119" w:right="111" w:hanging="2"/>
              <w:jc w:val="both"/>
            </w:pPr>
            <w:r>
              <w:rPr>
                <w:spacing w:val="17"/>
              </w:rPr>
              <w:t>零售点存放的烟花爆竹品种</w:t>
            </w:r>
            <w:r>
              <w:rPr>
                <w:spacing w:val="13"/>
              </w:rPr>
              <w:t>和数量，不得超过烟花爆竹</w:t>
            </w:r>
            <w:r>
              <w:rPr>
                <w:spacing w:val="17"/>
              </w:rPr>
              <w:t>经营许可证载明的范围和限</w:t>
            </w:r>
            <w:r>
              <w:rPr>
                <w:spacing w:val="-8"/>
              </w:rPr>
              <w:t>量。</w:t>
            </w:r>
          </w:p>
        </w:tc>
        <w:tc>
          <w:tcPr>
            <w:tcW w:w="2859" w:type="dxa"/>
            <w:vMerge w:val="restart"/>
            <w:tcBorders>
              <w:bottom w:val="nil"/>
            </w:tcBorders>
            <w:vAlign w:val="top"/>
          </w:tcPr>
          <w:p w14:paraId="51A16A16">
            <w:pPr>
              <w:pStyle w:val="6"/>
              <w:spacing w:before="28" w:line="185" w:lineRule="auto"/>
              <w:ind w:left="114" w:right="105" w:hanging="17"/>
              <w:jc w:val="both"/>
            </w:pPr>
            <w:r>
              <w:rPr>
                <w:spacing w:val="10"/>
              </w:rPr>
              <w:t>【部门规章】《烟花爆竹</w:t>
            </w:r>
            <w:r>
              <w:rPr>
                <w:spacing w:val="8"/>
              </w:rPr>
              <w:t>经营许可实施办法》第三十五条第二项：零售经营</w:t>
            </w:r>
            <w:r>
              <w:rPr>
                <w:spacing w:val="4"/>
              </w:rPr>
              <w:t>者有下列行为之一的，责</w:t>
            </w:r>
            <w:r>
              <w:rPr>
                <w:spacing w:val="11"/>
              </w:rPr>
              <w:t>令其限期改正，处</w:t>
            </w:r>
            <w:r>
              <w:rPr>
                <w:rFonts w:ascii="宋体" w:hAnsi="宋体" w:eastAsia="宋体" w:cs="宋体"/>
                <w:spacing w:val="11"/>
              </w:rPr>
              <w:t>1000</w:t>
            </w:r>
            <w:r>
              <w:rPr>
                <w:spacing w:val="12"/>
              </w:rPr>
              <w:t>元以上</w:t>
            </w:r>
            <w:r>
              <w:rPr>
                <w:rFonts w:ascii="宋体" w:hAnsi="宋体" w:eastAsia="宋体" w:cs="宋体"/>
                <w:spacing w:val="12"/>
              </w:rPr>
              <w:t>5000</w:t>
            </w:r>
            <w:r>
              <w:rPr>
                <w:spacing w:val="12"/>
              </w:rPr>
              <w:t>元以下的罚</w:t>
            </w:r>
            <w:r>
              <w:rPr>
                <w:spacing w:val="2"/>
              </w:rPr>
              <w:t>款；情节严重的，处</w:t>
            </w:r>
            <w:r>
              <w:rPr>
                <w:rFonts w:ascii="宋体" w:hAnsi="宋体" w:eastAsia="宋体" w:cs="宋体"/>
                <w:spacing w:val="2"/>
              </w:rPr>
              <w:t>5000</w:t>
            </w:r>
            <w:r>
              <w:rPr>
                <w:spacing w:val="4"/>
              </w:rPr>
              <w:t>元以上</w:t>
            </w:r>
            <w:r>
              <w:rPr>
                <w:rFonts w:ascii="宋体" w:hAnsi="宋体" w:eastAsia="宋体" w:cs="宋体"/>
                <w:spacing w:val="4"/>
              </w:rPr>
              <w:t>30000</w:t>
            </w:r>
            <w:r>
              <w:rPr>
                <w:spacing w:val="4"/>
              </w:rPr>
              <w:t>元以下的罚</w:t>
            </w:r>
            <w:r>
              <w:rPr>
                <w:spacing w:val="8"/>
              </w:rPr>
              <w:t>款</w:t>
            </w:r>
            <w:r>
              <w:rPr>
                <w:spacing w:val="11"/>
              </w:rPr>
              <w:t>：（</w:t>
            </w:r>
            <w:r>
              <w:rPr>
                <w:spacing w:val="8"/>
              </w:rPr>
              <w:t>二）存放的烟花爆竹数量超过零售许可证载</w:t>
            </w:r>
            <w:r>
              <w:t>明范围的。</w:t>
            </w:r>
          </w:p>
        </w:tc>
        <w:tc>
          <w:tcPr>
            <w:tcW w:w="803" w:type="dxa"/>
            <w:vAlign w:val="top"/>
          </w:tcPr>
          <w:p w14:paraId="395770BE">
            <w:pPr>
              <w:spacing w:line="275" w:lineRule="auto"/>
              <w:rPr>
                <w:rFonts w:ascii="Arial"/>
                <w:sz w:val="21"/>
              </w:rPr>
            </w:pPr>
          </w:p>
          <w:p w14:paraId="101A4639">
            <w:pPr>
              <w:spacing w:line="275" w:lineRule="auto"/>
              <w:rPr>
                <w:rFonts w:ascii="Arial"/>
                <w:sz w:val="21"/>
              </w:rPr>
            </w:pPr>
          </w:p>
          <w:p w14:paraId="0B2C6F04">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2FFC9DF">
            <w:pPr>
              <w:spacing w:line="334" w:lineRule="auto"/>
              <w:rPr>
                <w:rFonts w:ascii="Arial"/>
                <w:sz w:val="21"/>
              </w:rPr>
            </w:pPr>
          </w:p>
          <w:p w14:paraId="02779E66">
            <w:pPr>
              <w:pStyle w:val="6"/>
              <w:spacing w:before="99" w:line="196" w:lineRule="auto"/>
              <w:ind w:left="145" w:right="107" w:hanging="28"/>
            </w:pPr>
            <w:r>
              <w:rPr>
                <w:spacing w:val="23"/>
              </w:rPr>
              <w:t>超过规定数量</w:t>
            </w:r>
            <w:r>
              <w:rPr>
                <w:rFonts w:ascii="宋体" w:hAnsi="宋体" w:eastAsia="宋体" w:cs="宋体"/>
                <w:spacing w:val="23"/>
              </w:rPr>
              <w:t>20%</w:t>
            </w:r>
            <w:r>
              <w:rPr>
                <w:spacing w:val="-3"/>
              </w:rPr>
              <w:t>以下的</w:t>
            </w:r>
          </w:p>
        </w:tc>
        <w:tc>
          <w:tcPr>
            <w:tcW w:w="2894" w:type="dxa"/>
            <w:vAlign w:val="top"/>
          </w:tcPr>
          <w:p w14:paraId="03875DB8">
            <w:pPr>
              <w:pStyle w:val="6"/>
              <w:spacing w:before="136" w:line="189" w:lineRule="auto"/>
              <w:ind w:left="124" w:right="70" w:firstLine="2"/>
              <w:jc w:val="both"/>
            </w:pPr>
            <w:r>
              <w:rPr>
                <w:spacing w:val="-4"/>
              </w:rPr>
              <w:t>责令限期改正，处</w:t>
            </w:r>
            <w:r>
              <w:rPr>
                <w:rFonts w:ascii="宋体" w:hAnsi="宋体" w:eastAsia="宋体" w:cs="宋体"/>
                <w:spacing w:val="-4"/>
              </w:rPr>
              <w:t>1000</w:t>
            </w:r>
            <w:r>
              <w:rPr>
                <w:spacing w:val="-4"/>
              </w:rPr>
              <w:t>元</w:t>
            </w:r>
            <w:r>
              <w:t>以上</w:t>
            </w:r>
            <w:r>
              <w:rPr>
                <w:rFonts w:ascii="宋体" w:hAnsi="宋体" w:eastAsia="宋体" w:cs="宋体"/>
              </w:rPr>
              <w:t>5000</w:t>
            </w:r>
            <w:r>
              <w:t>元以下的罚款；</w:t>
            </w:r>
            <w:r>
              <w:rPr>
                <w:spacing w:val="-2"/>
              </w:rPr>
              <w:t>情节严重的，处</w:t>
            </w:r>
            <w:r>
              <w:rPr>
                <w:rFonts w:ascii="宋体" w:hAnsi="宋体" w:eastAsia="宋体" w:cs="宋体"/>
                <w:spacing w:val="-2"/>
              </w:rPr>
              <w:t>5000</w:t>
            </w:r>
            <w:r>
              <w:rPr>
                <w:spacing w:val="-2"/>
              </w:rPr>
              <w:t>元以</w:t>
            </w:r>
            <w:r>
              <w:rPr>
                <w:spacing w:val="1"/>
              </w:rPr>
              <w:t>上</w:t>
            </w:r>
            <w:r>
              <w:rPr>
                <w:rFonts w:ascii="宋体" w:hAnsi="宋体" w:eastAsia="宋体" w:cs="宋体"/>
                <w:spacing w:val="1"/>
              </w:rPr>
              <w:t>1</w:t>
            </w:r>
            <w:r>
              <w:rPr>
                <w:spacing w:val="1"/>
              </w:rPr>
              <w:t>万元以下的罚款</w:t>
            </w:r>
          </w:p>
        </w:tc>
        <w:tc>
          <w:tcPr>
            <w:tcW w:w="811" w:type="dxa"/>
            <w:vMerge w:val="restart"/>
            <w:tcBorders>
              <w:bottom w:val="nil"/>
            </w:tcBorders>
            <w:vAlign w:val="top"/>
          </w:tcPr>
          <w:p w14:paraId="763BE551">
            <w:pPr>
              <w:spacing w:line="242" w:lineRule="auto"/>
              <w:rPr>
                <w:rFonts w:ascii="Arial"/>
                <w:sz w:val="21"/>
              </w:rPr>
            </w:pPr>
          </w:p>
          <w:p w14:paraId="12857BF7">
            <w:pPr>
              <w:spacing w:line="242" w:lineRule="auto"/>
              <w:rPr>
                <w:rFonts w:ascii="Arial"/>
                <w:sz w:val="21"/>
              </w:rPr>
            </w:pPr>
          </w:p>
          <w:p w14:paraId="40397AE6">
            <w:pPr>
              <w:spacing w:line="242" w:lineRule="auto"/>
              <w:rPr>
                <w:rFonts w:ascii="Arial"/>
                <w:sz w:val="21"/>
              </w:rPr>
            </w:pPr>
          </w:p>
          <w:p w14:paraId="51D49897">
            <w:pPr>
              <w:spacing w:line="242" w:lineRule="auto"/>
              <w:rPr>
                <w:rFonts w:ascii="Arial"/>
                <w:sz w:val="21"/>
              </w:rPr>
            </w:pPr>
          </w:p>
          <w:p w14:paraId="2D365BDC">
            <w:pPr>
              <w:spacing w:line="242" w:lineRule="auto"/>
              <w:rPr>
                <w:rFonts w:ascii="Arial"/>
                <w:sz w:val="21"/>
              </w:rPr>
            </w:pPr>
          </w:p>
          <w:p w14:paraId="37516C71">
            <w:pPr>
              <w:spacing w:line="242" w:lineRule="auto"/>
              <w:rPr>
                <w:rFonts w:ascii="Arial"/>
                <w:sz w:val="21"/>
              </w:rPr>
            </w:pPr>
          </w:p>
          <w:p w14:paraId="68B84B6A">
            <w:pPr>
              <w:spacing w:line="242" w:lineRule="auto"/>
              <w:rPr>
                <w:rFonts w:ascii="Arial"/>
                <w:sz w:val="21"/>
              </w:rPr>
            </w:pPr>
          </w:p>
          <w:p w14:paraId="242A1E3E">
            <w:pPr>
              <w:spacing w:line="243" w:lineRule="auto"/>
              <w:rPr>
                <w:rFonts w:ascii="Arial"/>
                <w:sz w:val="21"/>
              </w:rPr>
            </w:pPr>
          </w:p>
          <w:p w14:paraId="3EAD984B">
            <w:pPr>
              <w:spacing w:before="75" w:line="189" w:lineRule="auto"/>
              <w:ind w:left="248"/>
              <w:rPr>
                <w:rFonts w:ascii="宋体" w:hAnsi="宋体" w:eastAsia="宋体" w:cs="宋体"/>
                <w:sz w:val="23"/>
                <w:szCs w:val="23"/>
              </w:rPr>
            </w:pPr>
            <w:r>
              <w:rPr>
                <w:rFonts w:ascii="宋体" w:hAnsi="宋体" w:eastAsia="宋体" w:cs="宋体"/>
                <w:spacing w:val="-6"/>
                <w:sz w:val="23"/>
                <w:szCs w:val="23"/>
              </w:rPr>
              <w:t>165</w:t>
            </w:r>
          </w:p>
        </w:tc>
      </w:tr>
      <w:tr w14:paraId="5EB46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5" w:hRule="atLeast"/>
        </w:trPr>
        <w:tc>
          <w:tcPr>
            <w:tcW w:w="818" w:type="dxa"/>
            <w:vMerge w:val="continue"/>
            <w:tcBorders>
              <w:top w:val="nil"/>
              <w:bottom w:val="nil"/>
            </w:tcBorders>
            <w:vAlign w:val="top"/>
          </w:tcPr>
          <w:p w14:paraId="79B93A26">
            <w:pPr>
              <w:rPr>
                <w:rFonts w:ascii="Arial"/>
                <w:sz w:val="21"/>
              </w:rPr>
            </w:pPr>
          </w:p>
        </w:tc>
        <w:tc>
          <w:tcPr>
            <w:tcW w:w="1440" w:type="dxa"/>
            <w:vMerge w:val="continue"/>
            <w:tcBorders>
              <w:top w:val="nil"/>
              <w:bottom w:val="nil"/>
            </w:tcBorders>
            <w:vAlign w:val="top"/>
          </w:tcPr>
          <w:p w14:paraId="006631E0">
            <w:pPr>
              <w:rPr>
                <w:rFonts w:ascii="Arial"/>
                <w:sz w:val="21"/>
              </w:rPr>
            </w:pPr>
          </w:p>
        </w:tc>
        <w:tc>
          <w:tcPr>
            <w:tcW w:w="3202" w:type="dxa"/>
            <w:vMerge w:val="continue"/>
            <w:tcBorders>
              <w:top w:val="nil"/>
              <w:bottom w:val="nil"/>
            </w:tcBorders>
            <w:vAlign w:val="top"/>
          </w:tcPr>
          <w:p w14:paraId="2265DBBE">
            <w:pPr>
              <w:rPr>
                <w:rFonts w:ascii="Arial"/>
                <w:sz w:val="21"/>
              </w:rPr>
            </w:pPr>
          </w:p>
        </w:tc>
        <w:tc>
          <w:tcPr>
            <w:tcW w:w="2859" w:type="dxa"/>
            <w:vMerge w:val="continue"/>
            <w:tcBorders>
              <w:top w:val="nil"/>
              <w:bottom w:val="nil"/>
            </w:tcBorders>
            <w:vAlign w:val="top"/>
          </w:tcPr>
          <w:p w14:paraId="4F4560FD">
            <w:pPr>
              <w:rPr>
                <w:rFonts w:ascii="Arial"/>
                <w:sz w:val="21"/>
              </w:rPr>
            </w:pPr>
          </w:p>
        </w:tc>
        <w:tc>
          <w:tcPr>
            <w:tcW w:w="803" w:type="dxa"/>
            <w:vAlign w:val="top"/>
          </w:tcPr>
          <w:p w14:paraId="3EFC8EE6">
            <w:pPr>
              <w:spacing w:line="292" w:lineRule="auto"/>
              <w:rPr>
                <w:rFonts w:ascii="Arial"/>
                <w:sz w:val="21"/>
              </w:rPr>
            </w:pPr>
          </w:p>
          <w:p w14:paraId="6B7162D0">
            <w:pPr>
              <w:spacing w:line="292" w:lineRule="auto"/>
              <w:rPr>
                <w:rFonts w:ascii="Arial"/>
                <w:sz w:val="21"/>
              </w:rPr>
            </w:pPr>
          </w:p>
          <w:p w14:paraId="7B94881C">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F92559E">
            <w:pPr>
              <w:spacing w:line="364" w:lineRule="auto"/>
              <w:rPr>
                <w:rFonts w:ascii="Arial"/>
                <w:sz w:val="21"/>
              </w:rPr>
            </w:pPr>
          </w:p>
          <w:p w14:paraId="5682B4EB">
            <w:pPr>
              <w:pStyle w:val="6"/>
              <w:spacing w:before="99" w:line="196" w:lineRule="auto"/>
              <w:ind w:left="145" w:right="107" w:hanging="28"/>
            </w:pPr>
            <w:r>
              <w:rPr>
                <w:spacing w:val="23"/>
              </w:rPr>
              <w:t>超过规定数量</w:t>
            </w:r>
            <w:r>
              <w:rPr>
                <w:rFonts w:ascii="宋体" w:hAnsi="宋体" w:eastAsia="宋体" w:cs="宋体"/>
                <w:spacing w:val="23"/>
              </w:rPr>
              <w:t>20%</w:t>
            </w:r>
            <w:r>
              <w:rPr>
                <w:spacing w:val="2"/>
              </w:rPr>
              <w:t>以上</w:t>
            </w:r>
            <w:r>
              <w:rPr>
                <w:rFonts w:ascii="宋体" w:hAnsi="宋体" w:eastAsia="宋体" w:cs="宋体"/>
                <w:spacing w:val="2"/>
              </w:rPr>
              <w:t>50%</w:t>
            </w:r>
            <w:r>
              <w:rPr>
                <w:spacing w:val="2"/>
              </w:rPr>
              <w:t>以下的</w:t>
            </w:r>
          </w:p>
        </w:tc>
        <w:tc>
          <w:tcPr>
            <w:tcW w:w="2894" w:type="dxa"/>
            <w:vAlign w:val="top"/>
          </w:tcPr>
          <w:p w14:paraId="696B0BC3">
            <w:pPr>
              <w:pStyle w:val="6"/>
              <w:spacing w:before="167" w:line="189" w:lineRule="auto"/>
              <w:ind w:left="124" w:right="70" w:firstLine="2"/>
              <w:jc w:val="both"/>
            </w:pPr>
            <w:r>
              <w:rPr>
                <w:spacing w:val="-4"/>
              </w:rPr>
              <w:t>责令限期改正，处</w:t>
            </w:r>
            <w:r>
              <w:rPr>
                <w:rFonts w:ascii="宋体" w:hAnsi="宋体" w:eastAsia="宋体" w:cs="宋体"/>
                <w:spacing w:val="-4"/>
              </w:rPr>
              <w:t>1000</w:t>
            </w:r>
            <w:r>
              <w:rPr>
                <w:spacing w:val="-4"/>
              </w:rPr>
              <w:t>元</w:t>
            </w:r>
            <w:r>
              <w:t>以上</w:t>
            </w:r>
            <w:r>
              <w:rPr>
                <w:rFonts w:ascii="宋体" w:hAnsi="宋体" w:eastAsia="宋体" w:cs="宋体"/>
              </w:rPr>
              <w:t>5000</w:t>
            </w:r>
            <w:r>
              <w:t>元以下的罚款；</w:t>
            </w:r>
            <w:r>
              <w:rPr>
                <w:spacing w:val="2"/>
              </w:rPr>
              <w:t>情节严重的，处</w:t>
            </w:r>
            <w:r>
              <w:rPr>
                <w:rFonts w:ascii="宋体" w:hAnsi="宋体" w:eastAsia="宋体" w:cs="宋体"/>
                <w:spacing w:val="2"/>
              </w:rPr>
              <w:t>1</w:t>
            </w:r>
            <w:r>
              <w:rPr>
                <w:spacing w:val="2"/>
              </w:rPr>
              <w:t>万元以上</w:t>
            </w:r>
            <w:r>
              <w:rPr>
                <w:rFonts w:ascii="宋体" w:hAnsi="宋体" w:eastAsia="宋体" w:cs="宋体"/>
                <w:spacing w:val="2"/>
              </w:rPr>
              <w:t>2</w:t>
            </w:r>
            <w:r>
              <w:rPr>
                <w:spacing w:val="2"/>
              </w:rPr>
              <w:t>万元以下的罚款</w:t>
            </w:r>
          </w:p>
        </w:tc>
        <w:tc>
          <w:tcPr>
            <w:tcW w:w="811" w:type="dxa"/>
            <w:vMerge w:val="continue"/>
            <w:tcBorders>
              <w:top w:val="nil"/>
              <w:bottom w:val="nil"/>
            </w:tcBorders>
            <w:vAlign w:val="top"/>
          </w:tcPr>
          <w:p w14:paraId="3BE15FF3">
            <w:pPr>
              <w:rPr>
                <w:rFonts w:ascii="Arial"/>
                <w:sz w:val="21"/>
              </w:rPr>
            </w:pPr>
          </w:p>
        </w:tc>
      </w:tr>
      <w:tr w14:paraId="2820E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8" w:hRule="atLeast"/>
        </w:trPr>
        <w:tc>
          <w:tcPr>
            <w:tcW w:w="818" w:type="dxa"/>
            <w:vMerge w:val="continue"/>
            <w:tcBorders>
              <w:top w:val="nil"/>
            </w:tcBorders>
            <w:vAlign w:val="top"/>
          </w:tcPr>
          <w:p w14:paraId="466911AA">
            <w:pPr>
              <w:rPr>
                <w:rFonts w:ascii="Arial"/>
                <w:sz w:val="21"/>
              </w:rPr>
            </w:pPr>
          </w:p>
        </w:tc>
        <w:tc>
          <w:tcPr>
            <w:tcW w:w="1440" w:type="dxa"/>
            <w:vMerge w:val="continue"/>
            <w:tcBorders>
              <w:top w:val="nil"/>
            </w:tcBorders>
            <w:vAlign w:val="top"/>
          </w:tcPr>
          <w:p w14:paraId="70C5372B">
            <w:pPr>
              <w:rPr>
                <w:rFonts w:ascii="Arial"/>
                <w:sz w:val="21"/>
              </w:rPr>
            </w:pPr>
          </w:p>
        </w:tc>
        <w:tc>
          <w:tcPr>
            <w:tcW w:w="3202" w:type="dxa"/>
            <w:vMerge w:val="continue"/>
            <w:tcBorders>
              <w:top w:val="nil"/>
            </w:tcBorders>
            <w:vAlign w:val="top"/>
          </w:tcPr>
          <w:p w14:paraId="69E74826">
            <w:pPr>
              <w:rPr>
                <w:rFonts w:ascii="Arial"/>
                <w:sz w:val="21"/>
              </w:rPr>
            </w:pPr>
          </w:p>
        </w:tc>
        <w:tc>
          <w:tcPr>
            <w:tcW w:w="2859" w:type="dxa"/>
            <w:vMerge w:val="continue"/>
            <w:tcBorders>
              <w:top w:val="nil"/>
            </w:tcBorders>
            <w:vAlign w:val="top"/>
          </w:tcPr>
          <w:p w14:paraId="78FF0026">
            <w:pPr>
              <w:rPr>
                <w:rFonts w:ascii="Arial"/>
                <w:sz w:val="21"/>
              </w:rPr>
            </w:pPr>
          </w:p>
        </w:tc>
        <w:tc>
          <w:tcPr>
            <w:tcW w:w="803" w:type="dxa"/>
            <w:vAlign w:val="top"/>
          </w:tcPr>
          <w:p w14:paraId="672098B9">
            <w:pPr>
              <w:spacing w:line="247" w:lineRule="auto"/>
              <w:rPr>
                <w:rFonts w:ascii="Arial"/>
                <w:sz w:val="21"/>
              </w:rPr>
            </w:pPr>
          </w:p>
          <w:p w14:paraId="0FFF9D55">
            <w:pPr>
              <w:spacing w:line="248" w:lineRule="auto"/>
              <w:rPr>
                <w:rFonts w:ascii="Arial"/>
                <w:sz w:val="21"/>
              </w:rPr>
            </w:pPr>
          </w:p>
          <w:p w14:paraId="032B7D0C">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BB95B02">
            <w:pPr>
              <w:spacing w:line="277" w:lineRule="auto"/>
              <w:rPr>
                <w:rFonts w:ascii="Arial"/>
                <w:sz w:val="21"/>
              </w:rPr>
            </w:pPr>
          </w:p>
          <w:p w14:paraId="59A2DFC5">
            <w:pPr>
              <w:pStyle w:val="6"/>
              <w:spacing w:before="98" w:line="196" w:lineRule="auto"/>
              <w:ind w:left="145" w:right="107" w:hanging="28"/>
            </w:pPr>
            <w:r>
              <w:rPr>
                <w:spacing w:val="23"/>
              </w:rPr>
              <w:t>超过规定数量</w:t>
            </w:r>
            <w:r>
              <w:rPr>
                <w:rFonts w:ascii="宋体" w:hAnsi="宋体" w:eastAsia="宋体" w:cs="宋体"/>
                <w:spacing w:val="23"/>
              </w:rPr>
              <w:t>50%</w:t>
            </w:r>
            <w:r>
              <w:rPr>
                <w:spacing w:val="-3"/>
              </w:rPr>
              <w:t>以上的</w:t>
            </w:r>
          </w:p>
        </w:tc>
        <w:tc>
          <w:tcPr>
            <w:tcW w:w="2894" w:type="dxa"/>
            <w:vAlign w:val="top"/>
          </w:tcPr>
          <w:p w14:paraId="05AF7DD5">
            <w:pPr>
              <w:pStyle w:val="6"/>
              <w:spacing w:before="77" w:line="184" w:lineRule="auto"/>
              <w:ind w:left="124" w:right="70" w:firstLine="2"/>
              <w:jc w:val="both"/>
            </w:pPr>
            <w:r>
              <w:rPr>
                <w:spacing w:val="-4"/>
              </w:rPr>
              <w:t>责令限期改正，处</w:t>
            </w:r>
            <w:r>
              <w:rPr>
                <w:rFonts w:ascii="宋体" w:hAnsi="宋体" w:eastAsia="宋体" w:cs="宋体"/>
                <w:spacing w:val="-4"/>
              </w:rPr>
              <w:t>1000</w:t>
            </w:r>
            <w:r>
              <w:rPr>
                <w:spacing w:val="-4"/>
              </w:rPr>
              <w:t>元</w:t>
            </w:r>
            <w:r>
              <w:t>以上</w:t>
            </w:r>
            <w:r>
              <w:rPr>
                <w:rFonts w:ascii="宋体" w:hAnsi="宋体" w:eastAsia="宋体" w:cs="宋体"/>
              </w:rPr>
              <w:t>5000</w:t>
            </w:r>
            <w:r>
              <w:t>元以下的罚款；</w:t>
            </w:r>
            <w:r>
              <w:rPr>
                <w:spacing w:val="4"/>
              </w:rPr>
              <w:t>情节严重的，处</w:t>
            </w:r>
            <w:r>
              <w:rPr>
                <w:rFonts w:ascii="宋体" w:hAnsi="宋体" w:eastAsia="宋体" w:cs="宋体"/>
                <w:spacing w:val="4"/>
              </w:rPr>
              <w:t>2</w:t>
            </w:r>
            <w:r>
              <w:rPr>
                <w:spacing w:val="4"/>
              </w:rPr>
              <w:t>万元以</w:t>
            </w:r>
            <w:r>
              <w:rPr>
                <w:spacing w:val="2"/>
              </w:rPr>
              <w:t>上</w:t>
            </w:r>
            <w:r>
              <w:rPr>
                <w:rFonts w:ascii="宋体" w:hAnsi="宋体" w:eastAsia="宋体" w:cs="宋体"/>
                <w:spacing w:val="2"/>
              </w:rPr>
              <w:t>3</w:t>
            </w:r>
            <w:r>
              <w:rPr>
                <w:spacing w:val="2"/>
              </w:rPr>
              <w:t>万元以下的罚款</w:t>
            </w:r>
          </w:p>
        </w:tc>
        <w:tc>
          <w:tcPr>
            <w:tcW w:w="811" w:type="dxa"/>
            <w:vMerge w:val="continue"/>
            <w:tcBorders>
              <w:top w:val="nil"/>
            </w:tcBorders>
            <w:vAlign w:val="top"/>
          </w:tcPr>
          <w:p w14:paraId="6E2ACBBF">
            <w:pPr>
              <w:rPr>
                <w:rFonts w:ascii="Arial"/>
                <w:sz w:val="21"/>
              </w:rPr>
            </w:pPr>
          </w:p>
        </w:tc>
      </w:tr>
      <w:tr w14:paraId="74953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18" w:type="dxa"/>
            <w:vMerge w:val="restart"/>
            <w:tcBorders>
              <w:bottom w:val="nil"/>
            </w:tcBorders>
            <w:vAlign w:val="top"/>
          </w:tcPr>
          <w:p w14:paraId="4D7B229B">
            <w:pPr>
              <w:spacing w:line="250" w:lineRule="auto"/>
              <w:rPr>
                <w:rFonts w:ascii="Arial"/>
                <w:sz w:val="21"/>
              </w:rPr>
            </w:pPr>
          </w:p>
          <w:p w14:paraId="6C4DE4A9">
            <w:pPr>
              <w:spacing w:line="250" w:lineRule="auto"/>
              <w:rPr>
                <w:rFonts w:ascii="Arial"/>
                <w:sz w:val="21"/>
              </w:rPr>
            </w:pPr>
          </w:p>
          <w:p w14:paraId="13501D09">
            <w:pPr>
              <w:spacing w:line="251" w:lineRule="auto"/>
              <w:rPr>
                <w:rFonts w:ascii="Arial"/>
                <w:sz w:val="21"/>
              </w:rPr>
            </w:pPr>
          </w:p>
          <w:p w14:paraId="06A323FF">
            <w:pPr>
              <w:spacing w:line="251" w:lineRule="auto"/>
              <w:rPr>
                <w:rFonts w:ascii="Arial"/>
                <w:sz w:val="21"/>
              </w:rPr>
            </w:pPr>
          </w:p>
          <w:p w14:paraId="1EFC3A29">
            <w:pPr>
              <w:spacing w:line="251" w:lineRule="auto"/>
              <w:rPr>
                <w:rFonts w:ascii="Arial"/>
                <w:sz w:val="21"/>
              </w:rPr>
            </w:pPr>
          </w:p>
          <w:p w14:paraId="727F18B6">
            <w:pPr>
              <w:spacing w:line="251" w:lineRule="auto"/>
              <w:rPr>
                <w:rFonts w:ascii="Arial"/>
                <w:sz w:val="21"/>
              </w:rPr>
            </w:pPr>
          </w:p>
          <w:p w14:paraId="6D0FBA36">
            <w:pPr>
              <w:spacing w:before="75" w:line="186" w:lineRule="auto"/>
              <w:ind w:left="161"/>
              <w:rPr>
                <w:rFonts w:ascii="仿宋" w:hAnsi="仿宋" w:eastAsia="仿宋" w:cs="仿宋"/>
                <w:sz w:val="23"/>
                <w:szCs w:val="23"/>
              </w:rPr>
            </w:pPr>
            <w:r>
              <w:rPr>
                <w:rFonts w:ascii="仿宋" w:hAnsi="仿宋" w:eastAsia="仿宋" w:cs="仿宋"/>
                <w:spacing w:val="-5"/>
                <w:sz w:val="23"/>
                <w:szCs w:val="23"/>
              </w:rPr>
              <w:t>193</w:t>
            </w:r>
          </w:p>
        </w:tc>
        <w:tc>
          <w:tcPr>
            <w:tcW w:w="1440" w:type="dxa"/>
            <w:vMerge w:val="restart"/>
            <w:tcBorders>
              <w:bottom w:val="nil"/>
            </w:tcBorders>
            <w:vAlign w:val="top"/>
          </w:tcPr>
          <w:p w14:paraId="43661358">
            <w:pPr>
              <w:spacing w:line="345" w:lineRule="auto"/>
              <w:rPr>
                <w:rFonts w:ascii="Arial"/>
                <w:sz w:val="21"/>
              </w:rPr>
            </w:pPr>
          </w:p>
          <w:p w14:paraId="039F65E8">
            <w:pPr>
              <w:spacing w:line="345" w:lineRule="auto"/>
              <w:rPr>
                <w:rFonts w:ascii="Arial"/>
                <w:sz w:val="21"/>
              </w:rPr>
            </w:pPr>
          </w:p>
          <w:p w14:paraId="5281C88A">
            <w:pPr>
              <w:pStyle w:val="6"/>
              <w:spacing w:before="99" w:line="187" w:lineRule="auto"/>
              <w:ind w:left="118" w:right="111"/>
            </w:pPr>
            <w:r>
              <w:rPr>
                <w:spacing w:val="10"/>
              </w:rPr>
              <w:t>烟花爆竹经</w:t>
            </w:r>
            <w:r>
              <w:rPr>
                <w:spacing w:val="-11"/>
              </w:rPr>
              <w:t>营单位出</w:t>
            </w:r>
            <w:r>
              <w:rPr>
                <w:spacing w:val="5"/>
              </w:rPr>
              <w:t>租、出借、</w:t>
            </w:r>
            <w:r>
              <w:rPr>
                <w:spacing w:val="10"/>
              </w:rPr>
              <w:t>转让、买卖烟花爆竹经</w:t>
            </w:r>
            <w:r>
              <w:rPr>
                <w:spacing w:val="6"/>
              </w:rPr>
              <w:t>营许可证的</w:t>
            </w:r>
          </w:p>
        </w:tc>
        <w:tc>
          <w:tcPr>
            <w:tcW w:w="3202" w:type="dxa"/>
            <w:vMerge w:val="restart"/>
            <w:tcBorders>
              <w:bottom w:val="nil"/>
            </w:tcBorders>
            <w:vAlign w:val="top"/>
          </w:tcPr>
          <w:p w14:paraId="2D75D512">
            <w:pPr>
              <w:pStyle w:val="6"/>
              <w:spacing w:before="32" w:line="187" w:lineRule="auto"/>
              <w:ind w:left="118" w:right="111" w:hanging="20"/>
            </w:pPr>
            <w:r>
              <w:rPr>
                <w:spacing w:val="18"/>
              </w:rPr>
              <w:t>【部门规章】《烟花爆竹经</w:t>
            </w:r>
            <w:r>
              <w:rPr>
                <w:spacing w:val="17"/>
              </w:rPr>
              <w:t>营许可实施办法》第二十六</w:t>
            </w:r>
            <w:r>
              <w:rPr>
                <w:spacing w:val="13"/>
              </w:rPr>
              <w:t>条：烟花爆竹经营单位不得</w:t>
            </w:r>
            <w:r>
              <w:rPr>
                <w:spacing w:val="14"/>
              </w:rPr>
              <w:t>出租、出借、转让、买卖、</w:t>
            </w:r>
            <w:r>
              <w:rPr>
                <w:spacing w:val="17"/>
              </w:rPr>
              <w:t>冒用或者使用伪造的烟花爆</w:t>
            </w:r>
            <w:r>
              <w:rPr>
                <w:spacing w:val="2"/>
              </w:rPr>
              <w:t>竹经营许可证。</w:t>
            </w:r>
          </w:p>
        </w:tc>
        <w:tc>
          <w:tcPr>
            <w:tcW w:w="2859" w:type="dxa"/>
            <w:vMerge w:val="restart"/>
            <w:tcBorders>
              <w:bottom w:val="nil"/>
            </w:tcBorders>
            <w:vAlign w:val="top"/>
          </w:tcPr>
          <w:p w14:paraId="38D2125C">
            <w:pPr>
              <w:pStyle w:val="6"/>
              <w:spacing w:before="39" w:line="185" w:lineRule="auto"/>
              <w:ind w:left="114" w:right="105" w:hanging="17"/>
              <w:jc w:val="both"/>
            </w:pPr>
            <w:r>
              <w:rPr>
                <w:spacing w:val="10"/>
              </w:rPr>
              <w:t>【部门规章】《烟花爆竹</w:t>
            </w:r>
            <w:r>
              <w:rPr>
                <w:spacing w:val="8"/>
              </w:rPr>
              <w:t>经营许可实施办法》第三十六条第一款：烟花爆竹经营单位出租、出借、转让、买卖烟花爆竹经营许</w:t>
            </w:r>
            <w:r>
              <w:rPr>
                <w:spacing w:val="4"/>
              </w:rPr>
              <w:t>可证的，责令其停止违法</w:t>
            </w:r>
            <w:r>
              <w:t>行为，处</w:t>
            </w:r>
            <w:r>
              <w:rPr>
                <w:rFonts w:ascii="宋体" w:hAnsi="宋体" w:eastAsia="宋体" w:cs="宋体"/>
              </w:rPr>
              <w:t>1</w:t>
            </w:r>
            <w:r>
              <w:t>万元以上</w:t>
            </w:r>
            <w:r>
              <w:rPr>
                <w:rFonts w:ascii="宋体" w:hAnsi="宋体" w:eastAsia="宋体" w:cs="宋体"/>
              </w:rPr>
              <w:t>3</w:t>
            </w:r>
            <w:r>
              <w:t>万</w:t>
            </w:r>
            <w:r>
              <w:rPr>
                <w:spacing w:val="8"/>
              </w:rPr>
              <w:t>元以下的罚款，并依法撤</w:t>
            </w:r>
            <w:r>
              <w:rPr>
                <w:spacing w:val="5"/>
              </w:rPr>
              <w:t>销烟花爆竹经营许可证。</w:t>
            </w:r>
          </w:p>
        </w:tc>
        <w:tc>
          <w:tcPr>
            <w:tcW w:w="803" w:type="dxa"/>
            <w:vAlign w:val="top"/>
          </w:tcPr>
          <w:p w14:paraId="7058F89E">
            <w:pPr>
              <w:spacing w:line="447" w:lineRule="auto"/>
              <w:rPr>
                <w:rFonts w:ascii="Arial"/>
                <w:sz w:val="21"/>
              </w:rPr>
            </w:pPr>
          </w:p>
          <w:p w14:paraId="663092F4">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72785B6">
            <w:pPr>
              <w:pStyle w:val="6"/>
              <w:spacing w:before="183" w:line="192" w:lineRule="auto"/>
              <w:ind w:left="128" w:right="109" w:hanging="1"/>
              <w:jc w:val="both"/>
            </w:pPr>
            <w:r>
              <w:rPr>
                <w:spacing w:val="25"/>
              </w:rPr>
              <w:t>没有违法所得或违</w:t>
            </w:r>
            <w:r>
              <w:rPr>
                <w:spacing w:val="12"/>
              </w:rPr>
              <w:t>法所得</w:t>
            </w:r>
            <w:r>
              <w:rPr>
                <w:rFonts w:ascii="宋体" w:hAnsi="宋体" w:eastAsia="宋体" w:cs="宋体"/>
                <w:spacing w:val="12"/>
              </w:rPr>
              <w:t>1</w:t>
            </w:r>
            <w:r>
              <w:rPr>
                <w:spacing w:val="12"/>
              </w:rPr>
              <w:t>万元以下</w:t>
            </w:r>
            <w:r>
              <w:t>的</w:t>
            </w:r>
          </w:p>
        </w:tc>
        <w:tc>
          <w:tcPr>
            <w:tcW w:w="2894" w:type="dxa"/>
            <w:vAlign w:val="top"/>
          </w:tcPr>
          <w:p w14:paraId="6AC800D6">
            <w:pPr>
              <w:pStyle w:val="6"/>
              <w:spacing w:before="30" w:line="177" w:lineRule="auto"/>
              <w:ind w:left="121" w:right="104" w:firstLine="6"/>
              <w:jc w:val="both"/>
            </w:pPr>
            <w:r>
              <w:rPr>
                <w:spacing w:val="8"/>
              </w:rPr>
              <w:t>责令停止违法行为，处</w:t>
            </w:r>
            <w:r>
              <w:rPr>
                <w:rFonts w:ascii="宋体" w:hAnsi="宋体" w:eastAsia="宋体" w:cs="宋体"/>
                <w:spacing w:val="8"/>
              </w:rPr>
              <w:t>1</w:t>
            </w:r>
            <w:r>
              <w:rPr>
                <w:spacing w:val="4"/>
              </w:rPr>
              <w:t>万元以上</w:t>
            </w:r>
            <w:r>
              <w:rPr>
                <w:rFonts w:ascii="宋体" w:hAnsi="宋体" w:eastAsia="宋体" w:cs="宋体"/>
                <w:spacing w:val="4"/>
              </w:rPr>
              <w:t>1.5</w:t>
            </w:r>
            <w:r>
              <w:rPr>
                <w:spacing w:val="4"/>
              </w:rPr>
              <w:t>万元以下的</w:t>
            </w:r>
            <w:r>
              <w:rPr>
                <w:spacing w:val="8"/>
              </w:rPr>
              <w:t>罚款，并依法撤销烟花爆</w:t>
            </w:r>
            <w:r>
              <w:rPr>
                <w:spacing w:val="6"/>
              </w:rPr>
              <w:t>竹经营许可证</w:t>
            </w:r>
          </w:p>
        </w:tc>
        <w:tc>
          <w:tcPr>
            <w:tcW w:w="811" w:type="dxa"/>
            <w:vMerge w:val="restart"/>
            <w:tcBorders>
              <w:bottom w:val="nil"/>
            </w:tcBorders>
            <w:vAlign w:val="top"/>
          </w:tcPr>
          <w:p w14:paraId="40D0D57C">
            <w:pPr>
              <w:spacing w:line="250" w:lineRule="auto"/>
              <w:rPr>
                <w:rFonts w:ascii="Arial"/>
                <w:sz w:val="21"/>
              </w:rPr>
            </w:pPr>
          </w:p>
          <w:p w14:paraId="2982FC0B">
            <w:pPr>
              <w:spacing w:line="250" w:lineRule="auto"/>
              <w:rPr>
                <w:rFonts w:ascii="Arial"/>
                <w:sz w:val="21"/>
              </w:rPr>
            </w:pPr>
          </w:p>
          <w:p w14:paraId="77B490D8">
            <w:pPr>
              <w:spacing w:line="250" w:lineRule="auto"/>
              <w:rPr>
                <w:rFonts w:ascii="Arial"/>
                <w:sz w:val="21"/>
              </w:rPr>
            </w:pPr>
          </w:p>
          <w:p w14:paraId="6B7E9D14">
            <w:pPr>
              <w:spacing w:line="250" w:lineRule="auto"/>
              <w:rPr>
                <w:rFonts w:ascii="Arial"/>
                <w:sz w:val="21"/>
              </w:rPr>
            </w:pPr>
          </w:p>
          <w:p w14:paraId="6338EB06">
            <w:pPr>
              <w:spacing w:line="250" w:lineRule="auto"/>
              <w:rPr>
                <w:rFonts w:ascii="Arial"/>
                <w:sz w:val="21"/>
              </w:rPr>
            </w:pPr>
          </w:p>
          <w:p w14:paraId="29797D40">
            <w:pPr>
              <w:spacing w:line="251" w:lineRule="auto"/>
              <w:rPr>
                <w:rFonts w:ascii="Arial"/>
                <w:sz w:val="21"/>
              </w:rPr>
            </w:pPr>
          </w:p>
          <w:p w14:paraId="7373CF04">
            <w:pPr>
              <w:spacing w:before="74" w:line="189" w:lineRule="auto"/>
              <w:ind w:left="248"/>
              <w:rPr>
                <w:rFonts w:ascii="宋体" w:hAnsi="宋体" w:eastAsia="宋体" w:cs="宋体"/>
                <w:sz w:val="23"/>
                <w:szCs w:val="23"/>
              </w:rPr>
            </w:pPr>
            <w:r>
              <w:rPr>
                <w:rFonts w:ascii="宋体" w:hAnsi="宋体" w:eastAsia="宋体" w:cs="宋体"/>
                <w:spacing w:val="-6"/>
                <w:sz w:val="23"/>
                <w:szCs w:val="23"/>
              </w:rPr>
              <w:t>166</w:t>
            </w:r>
          </w:p>
        </w:tc>
      </w:tr>
      <w:tr w14:paraId="0C8B8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continue"/>
            <w:tcBorders>
              <w:top w:val="nil"/>
              <w:bottom w:val="nil"/>
            </w:tcBorders>
            <w:vAlign w:val="top"/>
          </w:tcPr>
          <w:p w14:paraId="214D1555">
            <w:pPr>
              <w:rPr>
                <w:rFonts w:ascii="Arial"/>
                <w:sz w:val="21"/>
              </w:rPr>
            </w:pPr>
          </w:p>
        </w:tc>
        <w:tc>
          <w:tcPr>
            <w:tcW w:w="1440" w:type="dxa"/>
            <w:vMerge w:val="continue"/>
            <w:tcBorders>
              <w:top w:val="nil"/>
              <w:bottom w:val="nil"/>
            </w:tcBorders>
            <w:vAlign w:val="top"/>
          </w:tcPr>
          <w:p w14:paraId="13831EA0">
            <w:pPr>
              <w:rPr>
                <w:rFonts w:ascii="Arial"/>
                <w:sz w:val="21"/>
              </w:rPr>
            </w:pPr>
          </w:p>
        </w:tc>
        <w:tc>
          <w:tcPr>
            <w:tcW w:w="3202" w:type="dxa"/>
            <w:vMerge w:val="continue"/>
            <w:tcBorders>
              <w:top w:val="nil"/>
              <w:bottom w:val="nil"/>
            </w:tcBorders>
            <w:vAlign w:val="top"/>
          </w:tcPr>
          <w:p w14:paraId="291C489A">
            <w:pPr>
              <w:rPr>
                <w:rFonts w:ascii="Arial"/>
                <w:sz w:val="21"/>
              </w:rPr>
            </w:pPr>
          </w:p>
        </w:tc>
        <w:tc>
          <w:tcPr>
            <w:tcW w:w="2859" w:type="dxa"/>
            <w:vMerge w:val="continue"/>
            <w:tcBorders>
              <w:top w:val="nil"/>
              <w:bottom w:val="nil"/>
            </w:tcBorders>
            <w:vAlign w:val="top"/>
          </w:tcPr>
          <w:p w14:paraId="7182934D">
            <w:pPr>
              <w:rPr>
                <w:rFonts w:ascii="Arial"/>
                <w:sz w:val="21"/>
              </w:rPr>
            </w:pPr>
          </w:p>
        </w:tc>
        <w:tc>
          <w:tcPr>
            <w:tcW w:w="803" w:type="dxa"/>
            <w:vAlign w:val="top"/>
          </w:tcPr>
          <w:p w14:paraId="395EAC24">
            <w:pPr>
              <w:spacing w:line="451" w:lineRule="auto"/>
              <w:rPr>
                <w:rFonts w:ascii="Arial"/>
                <w:sz w:val="21"/>
              </w:rPr>
            </w:pPr>
          </w:p>
          <w:p w14:paraId="389EFA42">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B9DB305">
            <w:pPr>
              <w:pStyle w:val="6"/>
              <w:spacing w:before="331" w:line="196" w:lineRule="auto"/>
              <w:ind w:left="122" w:right="106" w:hanging="5"/>
            </w:pPr>
            <w:r>
              <w:rPr>
                <w:spacing w:val="11"/>
              </w:rPr>
              <w:t>违法所得</w:t>
            </w:r>
            <w:r>
              <w:rPr>
                <w:rFonts w:ascii="宋体" w:hAnsi="宋体" w:eastAsia="宋体" w:cs="宋体"/>
                <w:spacing w:val="11"/>
              </w:rPr>
              <w:t>1</w:t>
            </w:r>
            <w:r>
              <w:rPr>
                <w:spacing w:val="11"/>
              </w:rPr>
              <w:t>万元以</w:t>
            </w:r>
            <w:r>
              <w:rPr>
                <w:spacing w:val="1"/>
              </w:rPr>
              <w:t>上</w:t>
            </w:r>
            <w:r>
              <w:rPr>
                <w:rFonts w:ascii="宋体" w:hAnsi="宋体" w:eastAsia="宋体" w:cs="宋体"/>
                <w:spacing w:val="1"/>
              </w:rPr>
              <w:t>5</w:t>
            </w:r>
            <w:r>
              <w:rPr>
                <w:spacing w:val="1"/>
              </w:rPr>
              <w:t>万元以下的</w:t>
            </w:r>
          </w:p>
        </w:tc>
        <w:tc>
          <w:tcPr>
            <w:tcW w:w="2894" w:type="dxa"/>
            <w:vAlign w:val="top"/>
          </w:tcPr>
          <w:p w14:paraId="350A8B0C">
            <w:pPr>
              <w:pStyle w:val="6"/>
              <w:spacing w:before="29" w:line="177" w:lineRule="auto"/>
              <w:ind w:left="122" w:right="104" w:firstLine="4"/>
              <w:jc w:val="both"/>
            </w:pPr>
            <w:r>
              <w:rPr>
                <w:spacing w:val="-5"/>
              </w:rPr>
              <w:t>责令停止违法行为，处</w:t>
            </w:r>
            <w:r>
              <w:rPr>
                <w:rFonts w:ascii="宋体" w:hAnsi="宋体" w:eastAsia="宋体" w:cs="宋体"/>
                <w:spacing w:val="-5"/>
              </w:rPr>
              <w:t>1.5</w:t>
            </w:r>
            <w:r>
              <w:rPr>
                <w:spacing w:val="7"/>
              </w:rPr>
              <w:t>万元以上</w:t>
            </w:r>
            <w:r>
              <w:rPr>
                <w:rFonts w:ascii="宋体" w:hAnsi="宋体" w:eastAsia="宋体" w:cs="宋体"/>
                <w:spacing w:val="7"/>
              </w:rPr>
              <w:t>2</w:t>
            </w:r>
            <w:r>
              <w:rPr>
                <w:spacing w:val="7"/>
              </w:rPr>
              <w:t>万元以下的罚</w:t>
            </w:r>
            <w:r>
              <w:rPr>
                <w:spacing w:val="8"/>
              </w:rPr>
              <w:t>款，并依法撤销烟花爆竹</w:t>
            </w:r>
            <w:r>
              <w:rPr>
                <w:spacing w:val="6"/>
              </w:rPr>
              <w:t>经营许可证</w:t>
            </w:r>
          </w:p>
        </w:tc>
        <w:tc>
          <w:tcPr>
            <w:tcW w:w="811" w:type="dxa"/>
            <w:vMerge w:val="continue"/>
            <w:tcBorders>
              <w:top w:val="nil"/>
              <w:bottom w:val="nil"/>
            </w:tcBorders>
            <w:vAlign w:val="top"/>
          </w:tcPr>
          <w:p w14:paraId="71A555E3">
            <w:pPr>
              <w:rPr>
                <w:rFonts w:ascii="Arial"/>
                <w:sz w:val="21"/>
              </w:rPr>
            </w:pPr>
          </w:p>
        </w:tc>
      </w:tr>
      <w:tr w14:paraId="379BA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818" w:type="dxa"/>
            <w:vMerge w:val="continue"/>
            <w:tcBorders>
              <w:top w:val="nil"/>
            </w:tcBorders>
            <w:vAlign w:val="top"/>
          </w:tcPr>
          <w:p w14:paraId="680580C1">
            <w:pPr>
              <w:rPr>
                <w:rFonts w:ascii="Arial"/>
                <w:sz w:val="21"/>
              </w:rPr>
            </w:pPr>
          </w:p>
        </w:tc>
        <w:tc>
          <w:tcPr>
            <w:tcW w:w="1440" w:type="dxa"/>
            <w:vMerge w:val="continue"/>
            <w:tcBorders>
              <w:top w:val="nil"/>
            </w:tcBorders>
            <w:vAlign w:val="top"/>
          </w:tcPr>
          <w:p w14:paraId="7FE4AD5B">
            <w:pPr>
              <w:rPr>
                <w:rFonts w:ascii="Arial"/>
                <w:sz w:val="21"/>
              </w:rPr>
            </w:pPr>
          </w:p>
        </w:tc>
        <w:tc>
          <w:tcPr>
            <w:tcW w:w="3202" w:type="dxa"/>
            <w:vMerge w:val="continue"/>
            <w:tcBorders>
              <w:top w:val="nil"/>
            </w:tcBorders>
            <w:vAlign w:val="top"/>
          </w:tcPr>
          <w:p w14:paraId="4E6442E1">
            <w:pPr>
              <w:rPr>
                <w:rFonts w:ascii="Arial"/>
                <w:sz w:val="21"/>
              </w:rPr>
            </w:pPr>
          </w:p>
        </w:tc>
        <w:tc>
          <w:tcPr>
            <w:tcW w:w="2859" w:type="dxa"/>
            <w:vMerge w:val="continue"/>
            <w:tcBorders>
              <w:top w:val="nil"/>
            </w:tcBorders>
            <w:vAlign w:val="top"/>
          </w:tcPr>
          <w:p w14:paraId="7542A3A1">
            <w:pPr>
              <w:rPr>
                <w:rFonts w:ascii="Arial"/>
                <w:sz w:val="21"/>
              </w:rPr>
            </w:pPr>
          </w:p>
        </w:tc>
        <w:tc>
          <w:tcPr>
            <w:tcW w:w="803" w:type="dxa"/>
            <w:vAlign w:val="top"/>
          </w:tcPr>
          <w:p w14:paraId="493A1A06">
            <w:pPr>
              <w:spacing w:line="302" w:lineRule="auto"/>
              <w:rPr>
                <w:rFonts w:ascii="Arial"/>
                <w:sz w:val="21"/>
              </w:rPr>
            </w:pPr>
          </w:p>
          <w:p w14:paraId="29F8DE9F">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B714F6C">
            <w:pPr>
              <w:pStyle w:val="6"/>
              <w:spacing w:before="185" w:line="197" w:lineRule="auto"/>
              <w:ind w:left="122" w:right="106" w:hanging="5"/>
            </w:pPr>
            <w:r>
              <w:rPr>
                <w:spacing w:val="15"/>
              </w:rPr>
              <w:t>违法所得</w:t>
            </w:r>
            <w:r>
              <w:rPr>
                <w:rFonts w:ascii="宋体" w:hAnsi="宋体" w:eastAsia="宋体" w:cs="宋体"/>
                <w:spacing w:val="15"/>
              </w:rPr>
              <w:t>5</w:t>
            </w:r>
            <w:r>
              <w:rPr>
                <w:spacing w:val="15"/>
              </w:rPr>
              <w:t>万元以</w:t>
            </w:r>
            <w:r>
              <w:t>上的</w:t>
            </w:r>
          </w:p>
        </w:tc>
        <w:tc>
          <w:tcPr>
            <w:tcW w:w="2894" w:type="dxa"/>
            <w:vAlign w:val="top"/>
          </w:tcPr>
          <w:p w14:paraId="0E362FA3">
            <w:pPr>
              <w:pStyle w:val="6"/>
              <w:spacing w:before="34" w:line="175" w:lineRule="auto"/>
              <w:ind w:left="122" w:right="104" w:firstLine="4"/>
              <w:jc w:val="both"/>
            </w:pPr>
            <w:r>
              <w:rPr>
                <w:spacing w:val="10"/>
              </w:rPr>
              <w:t>责令停止违法行为，处</w:t>
            </w:r>
            <w:r>
              <w:rPr>
                <w:rFonts w:ascii="宋体" w:hAnsi="宋体" w:eastAsia="宋体" w:cs="宋体"/>
                <w:spacing w:val="10"/>
              </w:rPr>
              <w:t>2</w:t>
            </w:r>
            <w:r>
              <w:rPr>
                <w:spacing w:val="7"/>
              </w:rPr>
              <w:t>万元以上</w:t>
            </w:r>
            <w:r>
              <w:rPr>
                <w:rFonts w:ascii="宋体" w:hAnsi="宋体" w:eastAsia="宋体" w:cs="宋体"/>
                <w:spacing w:val="7"/>
              </w:rPr>
              <w:t>3</w:t>
            </w:r>
            <w:r>
              <w:rPr>
                <w:spacing w:val="7"/>
              </w:rPr>
              <w:t>万元以下的罚</w:t>
            </w:r>
            <w:r>
              <w:rPr>
                <w:spacing w:val="8"/>
              </w:rPr>
              <w:t>款，并依法撤销烟花爆竹</w:t>
            </w:r>
          </w:p>
        </w:tc>
        <w:tc>
          <w:tcPr>
            <w:tcW w:w="811" w:type="dxa"/>
            <w:vMerge w:val="continue"/>
            <w:tcBorders>
              <w:top w:val="nil"/>
            </w:tcBorders>
            <w:vAlign w:val="top"/>
          </w:tcPr>
          <w:p w14:paraId="448D2940">
            <w:pPr>
              <w:rPr>
                <w:rFonts w:ascii="Arial"/>
                <w:sz w:val="21"/>
              </w:rPr>
            </w:pPr>
          </w:p>
        </w:tc>
      </w:tr>
    </w:tbl>
    <w:p w14:paraId="2ED0B920">
      <w:pPr>
        <w:pStyle w:val="2"/>
      </w:pPr>
    </w:p>
    <w:p w14:paraId="2D4C9B14">
      <w:pPr>
        <w:sectPr>
          <w:footerReference r:id="rId205" w:type="default"/>
          <w:pgSz w:w="16839" w:h="11906"/>
          <w:pgMar w:top="1012" w:right="821" w:bottom="666" w:left="901" w:header="0" w:footer="388" w:gutter="0"/>
          <w:cols w:space="720" w:num="1"/>
        </w:sectPr>
      </w:pPr>
    </w:p>
    <w:p w14:paraId="08E035D4">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D01F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07C77E7">
            <w:pPr>
              <w:spacing w:before="222" w:line="241" w:lineRule="auto"/>
              <w:ind w:left="131"/>
              <w:outlineLvl w:val="0"/>
              <w:rPr>
                <w:rFonts w:ascii="黑体" w:hAnsi="黑体" w:eastAsia="黑体" w:cs="黑体"/>
                <w:sz w:val="28"/>
                <w:szCs w:val="28"/>
              </w:rPr>
            </w:pPr>
            <w:bookmarkStart w:id="681" w:name="bookmark396"/>
            <w:bookmarkEnd w:id="681"/>
            <w:bookmarkStart w:id="682" w:name="bookmark398"/>
            <w:bookmarkEnd w:id="682"/>
            <w:r>
              <w:rPr>
                <w:rFonts w:ascii="黑体" w:hAnsi="黑体" w:eastAsia="黑体" w:cs="黑体"/>
                <w:spacing w:val="-2"/>
                <w:sz w:val="28"/>
                <w:szCs w:val="28"/>
              </w:rPr>
              <w:t>序号</w:t>
            </w:r>
          </w:p>
        </w:tc>
        <w:tc>
          <w:tcPr>
            <w:tcW w:w="1440" w:type="dxa"/>
            <w:vAlign w:val="top"/>
          </w:tcPr>
          <w:p w14:paraId="47E54B85">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0BC7D6A">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79D07AD">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59D8A81">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5E7C8E4">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1E75D416">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DA5F39C">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F6A4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818" w:type="dxa"/>
            <w:vAlign w:val="top"/>
          </w:tcPr>
          <w:p w14:paraId="65AD6F2D">
            <w:pPr>
              <w:rPr>
                <w:rFonts w:ascii="Arial"/>
                <w:sz w:val="21"/>
              </w:rPr>
            </w:pPr>
          </w:p>
        </w:tc>
        <w:tc>
          <w:tcPr>
            <w:tcW w:w="1440" w:type="dxa"/>
            <w:vAlign w:val="top"/>
          </w:tcPr>
          <w:p w14:paraId="33E1CD5D">
            <w:pPr>
              <w:rPr>
                <w:rFonts w:ascii="Arial"/>
                <w:sz w:val="21"/>
              </w:rPr>
            </w:pPr>
          </w:p>
        </w:tc>
        <w:tc>
          <w:tcPr>
            <w:tcW w:w="3202" w:type="dxa"/>
            <w:vAlign w:val="top"/>
          </w:tcPr>
          <w:p w14:paraId="0A549CC1">
            <w:pPr>
              <w:rPr>
                <w:rFonts w:ascii="Arial"/>
                <w:sz w:val="21"/>
              </w:rPr>
            </w:pPr>
          </w:p>
        </w:tc>
        <w:tc>
          <w:tcPr>
            <w:tcW w:w="2859" w:type="dxa"/>
            <w:vAlign w:val="top"/>
          </w:tcPr>
          <w:p w14:paraId="155F97F1">
            <w:pPr>
              <w:rPr>
                <w:rFonts w:ascii="Arial"/>
                <w:sz w:val="21"/>
              </w:rPr>
            </w:pPr>
          </w:p>
        </w:tc>
        <w:tc>
          <w:tcPr>
            <w:tcW w:w="803" w:type="dxa"/>
            <w:vAlign w:val="top"/>
          </w:tcPr>
          <w:p w14:paraId="7D835EB6">
            <w:pPr>
              <w:rPr>
                <w:rFonts w:ascii="Arial"/>
                <w:sz w:val="21"/>
              </w:rPr>
            </w:pPr>
          </w:p>
        </w:tc>
        <w:tc>
          <w:tcPr>
            <w:tcW w:w="2283" w:type="dxa"/>
            <w:vAlign w:val="top"/>
          </w:tcPr>
          <w:p w14:paraId="12C53B03">
            <w:pPr>
              <w:rPr>
                <w:rFonts w:ascii="Arial"/>
                <w:sz w:val="21"/>
              </w:rPr>
            </w:pPr>
          </w:p>
        </w:tc>
        <w:tc>
          <w:tcPr>
            <w:tcW w:w="2894" w:type="dxa"/>
            <w:vAlign w:val="top"/>
          </w:tcPr>
          <w:p w14:paraId="4EBD4429">
            <w:pPr>
              <w:pStyle w:val="6"/>
              <w:spacing w:before="28" w:line="162" w:lineRule="auto"/>
              <w:ind w:left="124"/>
            </w:pPr>
            <w:r>
              <w:rPr>
                <w:spacing w:val="5"/>
              </w:rPr>
              <w:t>经营许可证</w:t>
            </w:r>
          </w:p>
        </w:tc>
        <w:tc>
          <w:tcPr>
            <w:tcW w:w="811" w:type="dxa"/>
            <w:vAlign w:val="top"/>
          </w:tcPr>
          <w:p w14:paraId="209889D4">
            <w:pPr>
              <w:rPr>
                <w:rFonts w:ascii="Arial"/>
                <w:sz w:val="21"/>
              </w:rPr>
            </w:pPr>
          </w:p>
        </w:tc>
      </w:tr>
      <w:tr w14:paraId="4EB7C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restart"/>
            <w:tcBorders>
              <w:bottom w:val="nil"/>
            </w:tcBorders>
            <w:vAlign w:val="top"/>
          </w:tcPr>
          <w:p w14:paraId="15AEE471">
            <w:pPr>
              <w:spacing w:line="242" w:lineRule="auto"/>
              <w:rPr>
                <w:rFonts w:ascii="Arial"/>
                <w:sz w:val="21"/>
              </w:rPr>
            </w:pPr>
          </w:p>
          <w:p w14:paraId="141E9205">
            <w:pPr>
              <w:spacing w:line="242" w:lineRule="auto"/>
              <w:rPr>
                <w:rFonts w:ascii="Arial"/>
                <w:sz w:val="21"/>
              </w:rPr>
            </w:pPr>
          </w:p>
          <w:p w14:paraId="2B48DBE7">
            <w:pPr>
              <w:spacing w:line="242" w:lineRule="auto"/>
              <w:rPr>
                <w:rFonts w:ascii="Arial"/>
                <w:sz w:val="21"/>
              </w:rPr>
            </w:pPr>
          </w:p>
          <w:p w14:paraId="75419B5E">
            <w:pPr>
              <w:spacing w:line="242" w:lineRule="auto"/>
              <w:rPr>
                <w:rFonts w:ascii="Arial"/>
                <w:sz w:val="21"/>
              </w:rPr>
            </w:pPr>
          </w:p>
          <w:p w14:paraId="47357D8D">
            <w:pPr>
              <w:spacing w:line="242" w:lineRule="auto"/>
              <w:rPr>
                <w:rFonts w:ascii="Arial"/>
                <w:sz w:val="21"/>
              </w:rPr>
            </w:pPr>
          </w:p>
          <w:p w14:paraId="72F66AF7">
            <w:pPr>
              <w:spacing w:line="242" w:lineRule="auto"/>
              <w:rPr>
                <w:rFonts w:ascii="Arial"/>
                <w:sz w:val="21"/>
              </w:rPr>
            </w:pPr>
          </w:p>
          <w:p w14:paraId="163D4CEC">
            <w:pPr>
              <w:spacing w:line="243" w:lineRule="auto"/>
              <w:rPr>
                <w:rFonts w:ascii="Arial"/>
                <w:sz w:val="21"/>
              </w:rPr>
            </w:pPr>
          </w:p>
          <w:p w14:paraId="5EF6EE12">
            <w:pPr>
              <w:spacing w:line="243" w:lineRule="auto"/>
              <w:rPr>
                <w:rFonts w:ascii="Arial"/>
                <w:sz w:val="21"/>
              </w:rPr>
            </w:pPr>
          </w:p>
          <w:p w14:paraId="6FA15CC7">
            <w:pPr>
              <w:spacing w:before="75" w:line="186" w:lineRule="auto"/>
              <w:ind w:left="161"/>
              <w:rPr>
                <w:rFonts w:ascii="仿宋" w:hAnsi="仿宋" w:eastAsia="仿宋" w:cs="仿宋"/>
                <w:sz w:val="23"/>
                <w:szCs w:val="23"/>
              </w:rPr>
            </w:pPr>
            <w:r>
              <w:rPr>
                <w:rFonts w:ascii="仿宋" w:hAnsi="仿宋" w:eastAsia="仿宋" w:cs="仿宋"/>
                <w:spacing w:val="-5"/>
                <w:sz w:val="23"/>
                <w:szCs w:val="23"/>
              </w:rPr>
              <w:t>194</w:t>
            </w:r>
          </w:p>
        </w:tc>
        <w:tc>
          <w:tcPr>
            <w:tcW w:w="1440" w:type="dxa"/>
            <w:vMerge w:val="restart"/>
            <w:tcBorders>
              <w:bottom w:val="nil"/>
            </w:tcBorders>
            <w:vAlign w:val="top"/>
          </w:tcPr>
          <w:p w14:paraId="3F5CAFF9">
            <w:pPr>
              <w:spacing w:line="254" w:lineRule="auto"/>
              <w:rPr>
                <w:rFonts w:ascii="Arial"/>
                <w:sz w:val="21"/>
              </w:rPr>
            </w:pPr>
          </w:p>
          <w:p w14:paraId="559C447D">
            <w:pPr>
              <w:spacing w:line="254" w:lineRule="auto"/>
              <w:rPr>
                <w:rFonts w:ascii="Arial"/>
                <w:sz w:val="21"/>
              </w:rPr>
            </w:pPr>
          </w:p>
          <w:p w14:paraId="1FD5EAD5">
            <w:pPr>
              <w:spacing w:line="255" w:lineRule="auto"/>
              <w:rPr>
                <w:rFonts w:ascii="Arial"/>
                <w:sz w:val="21"/>
              </w:rPr>
            </w:pPr>
          </w:p>
          <w:p w14:paraId="671EE3B6">
            <w:pPr>
              <w:spacing w:line="255" w:lineRule="auto"/>
              <w:rPr>
                <w:rFonts w:ascii="Arial"/>
                <w:sz w:val="21"/>
              </w:rPr>
            </w:pPr>
          </w:p>
          <w:p w14:paraId="13A2D7D0">
            <w:pPr>
              <w:spacing w:line="255" w:lineRule="auto"/>
              <w:rPr>
                <w:rFonts w:ascii="Arial"/>
                <w:sz w:val="21"/>
              </w:rPr>
            </w:pPr>
          </w:p>
          <w:p w14:paraId="2D019135">
            <w:pPr>
              <w:pStyle w:val="6"/>
              <w:spacing w:before="98" w:line="182" w:lineRule="auto"/>
              <w:ind w:left="119"/>
              <w:outlineLvl w:val="0"/>
            </w:pPr>
            <w:r>
              <w:rPr>
                <w:spacing w:val="10"/>
              </w:rPr>
              <w:t>烟花爆竹经</w:t>
            </w:r>
          </w:p>
          <w:p w14:paraId="679EC7E3">
            <w:pPr>
              <w:pStyle w:val="6"/>
              <w:spacing w:before="1" w:line="189" w:lineRule="auto"/>
              <w:ind w:left="114" w:right="111" w:firstLine="14"/>
              <w:jc w:val="both"/>
            </w:pPr>
            <w:r>
              <w:rPr>
                <w:spacing w:val="8"/>
              </w:rPr>
              <w:t>营单位冒用</w:t>
            </w:r>
            <w:r>
              <w:rPr>
                <w:spacing w:val="11"/>
              </w:rPr>
              <w:t>或者使用伪造的安全生</w:t>
            </w:r>
            <w:r>
              <w:rPr>
                <w:spacing w:val="7"/>
              </w:rPr>
              <w:t>产许可证的</w:t>
            </w:r>
          </w:p>
        </w:tc>
        <w:tc>
          <w:tcPr>
            <w:tcW w:w="3202" w:type="dxa"/>
            <w:vMerge w:val="restart"/>
            <w:tcBorders>
              <w:bottom w:val="nil"/>
            </w:tcBorders>
            <w:vAlign w:val="top"/>
          </w:tcPr>
          <w:p w14:paraId="27A0DEF5">
            <w:pPr>
              <w:pStyle w:val="6"/>
              <w:spacing w:before="29" w:line="187" w:lineRule="auto"/>
              <w:ind w:left="118" w:right="111" w:hanging="20"/>
            </w:pPr>
            <w:r>
              <w:rPr>
                <w:spacing w:val="18"/>
              </w:rPr>
              <w:t>【部门规章】《烟花爆竹经</w:t>
            </w:r>
            <w:r>
              <w:rPr>
                <w:spacing w:val="17"/>
              </w:rPr>
              <w:t>营许可实施办法》第二十六</w:t>
            </w:r>
            <w:r>
              <w:rPr>
                <w:spacing w:val="13"/>
              </w:rPr>
              <w:t>条：烟花爆竹经营单位不得</w:t>
            </w:r>
            <w:r>
              <w:rPr>
                <w:spacing w:val="14"/>
              </w:rPr>
              <w:t>出租、出借、转让、买卖、</w:t>
            </w:r>
            <w:r>
              <w:rPr>
                <w:spacing w:val="17"/>
              </w:rPr>
              <w:t>冒用或者使用伪造的烟花爆</w:t>
            </w:r>
            <w:r>
              <w:rPr>
                <w:spacing w:val="2"/>
              </w:rPr>
              <w:t>竹经营许可证。</w:t>
            </w:r>
          </w:p>
        </w:tc>
        <w:tc>
          <w:tcPr>
            <w:tcW w:w="2859" w:type="dxa"/>
            <w:vMerge w:val="restart"/>
            <w:tcBorders>
              <w:bottom w:val="nil"/>
            </w:tcBorders>
            <w:vAlign w:val="top"/>
          </w:tcPr>
          <w:p w14:paraId="413EEA85">
            <w:pPr>
              <w:pStyle w:val="6"/>
              <w:spacing w:before="34" w:line="182" w:lineRule="auto"/>
              <w:ind w:left="111" w:right="110" w:hanging="14"/>
            </w:pPr>
            <w:r>
              <w:rPr>
                <w:spacing w:val="10"/>
              </w:rPr>
              <w:t>【部门规章】《烟花爆竹</w:t>
            </w:r>
            <w:r>
              <w:rPr>
                <w:spacing w:val="9"/>
              </w:rPr>
              <w:t>经营许可实施办法》第三十六条第二款：冒用或者使用伪造的烟花爆竹经营许可证的，依照本办法第</w:t>
            </w:r>
            <w:r>
              <w:rPr>
                <w:spacing w:val="5"/>
              </w:rPr>
              <w:t>三十一条的规定处罚。</w:t>
            </w:r>
          </w:p>
          <w:p w14:paraId="4D601ADF">
            <w:pPr>
              <w:pStyle w:val="6"/>
              <w:spacing w:before="7" w:line="179" w:lineRule="auto"/>
              <w:ind w:left="116" w:right="110" w:firstLine="11"/>
            </w:pPr>
            <w:r>
              <w:rPr>
                <w:spacing w:val="7"/>
              </w:rPr>
              <w:t>第三十一条：对未经许可</w:t>
            </w:r>
            <w:r>
              <w:rPr>
                <w:spacing w:val="6"/>
              </w:rPr>
              <w:t>经营、超许可范围经营、</w:t>
            </w:r>
            <w:r>
              <w:rPr>
                <w:spacing w:val="8"/>
              </w:rPr>
              <w:t>许可证过期继续经营烟花</w:t>
            </w:r>
            <w:r>
              <w:rPr>
                <w:spacing w:val="4"/>
              </w:rPr>
              <w:t>爆竹的，责令其停止非法经营活动，处</w:t>
            </w:r>
            <w:r>
              <w:rPr>
                <w:rFonts w:ascii="宋体" w:hAnsi="宋体" w:eastAsia="宋体" w:cs="宋体"/>
                <w:spacing w:val="4"/>
              </w:rPr>
              <w:t>2</w:t>
            </w:r>
            <w:r>
              <w:rPr>
                <w:spacing w:val="4"/>
              </w:rPr>
              <w:t>万元以上</w:t>
            </w:r>
            <w:r>
              <w:rPr>
                <w:rFonts w:ascii="宋体" w:hAnsi="宋体" w:eastAsia="宋体" w:cs="宋体"/>
              </w:rPr>
              <w:t>10</w:t>
            </w:r>
            <w:r>
              <w:t>万元以下的罚款，并没</w:t>
            </w:r>
            <w:r>
              <w:rPr>
                <w:spacing w:val="8"/>
              </w:rPr>
              <w:t>收非法经营的物品及违法</w:t>
            </w:r>
            <w:r>
              <w:rPr>
                <w:spacing w:val="-4"/>
              </w:rPr>
              <w:t>所得。</w:t>
            </w:r>
          </w:p>
        </w:tc>
        <w:tc>
          <w:tcPr>
            <w:tcW w:w="803" w:type="dxa"/>
            <w:vAlign w:val="top"/>
          </w:tcPr>
          <w:p w14:paraId="02BD210C">
            <w:pPr>
              <w:spacing w:line="442" w:lineRule="auto"/>
              <w:rPr>
                <w:rFonts w:ascii="Arial"/>
                <w:sz w:val="21"/>
              </w:rPr>
            </w:pPr>
          </w:p>
          <w:p w14:paraId="381ECB51">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6767BBDC">
            <w:pPr>
              <w:pStyle w:val="6"/>
              <w:spacing w:before="180" w:line="192" w:lineRule="auto"/>
              <w:ind w:left="128" w:right="109" w:hanging="1"/>
              <w:jc w:val="both"/>
            </w:pPr>
            <w:r>
              <w:rPr>
                <w:spacing w:val="25"/>
              </w:rPr>
              <w:t>没有违法所得或违</w:t>
            </w:r>
            <w:r>
              <w:rPr>
                <w:spacing w:val="12"/>
              </w:rPr>
              <w:t>法所得</w:t>
            </w:r>
            <w:r>
              <w:rPr>
                <w:rFonts w:ascii="宋体" w:hAnsi="宋体" w:eastAsia="宋体" w:cs="宋体"/>
                <w:spacing w:val="12"/>
              </w:rPr>
              <w:t>1</w:t>
            </w:r>
            <w:r>
              <w:rPr>
                <w:spacing w:val="12"/>
              </w:rPr>
              <w:t>万元以下</w:t>
            </w:r>
            <w:r>
              <w:t>的</w:t>
            </w:r>
          </w:p>
        </w:tc>
        <w:tc>
          <w:tcPr>
            <w:tcW w:w="2894" w:type="dxa"/>
            <w:vAlign w:val="top"/>
          </w:tcPr>
          <w:p w14:paraId="659F3099">
            <w:pPr>
              <w:pStyle w:val="6"/>
              <w:spacing w:before="29" w:line="177" w:lineRule="auto"/>
              <w:ind w:left="119" w:right="106" w:firstLine="8"/>
            </w:pPr>
            <w:r>
              <w:rPr>
                <w:spacing w:val="9"/>
              </w:rPr>
              <w:t>责令停止非法经营活动，</w:t>
            </w:r>
            <w:r>
              <w:rPr>
                <w:spacing w:val="3"/>
              </w:rPr>
              <w:t>处</w:t>
            </w:r>
            <w:r>
              <w:rPr>
                <w:rFonts w:ascii="宋体" w:hAnsi="宋体" w:eastAsia="宋体" w:cs="宋体"/>
                <w:spacing w:val="3"/>
              </w:rPr>
              <w:t>2</w:t>
            </w:r>
            <w:r>
              <w:rPr>
                <w:spacing w:val="3"/>
              </w:rPr>
              <w:t>万元以上</w:t>
            </w:r>
            <w:r>
              <w:rPr>
                <w:rFonts w:ascii="宋体" w:hAnsi="宋体" w:eastAsia="宋体" w:cs="宋体"/>
                <w:spacing w:val="3"/>
              </w:rPr>
              <w:t>5</w:t>
            </w:r>
            <w:r>
              <w:rPr>
                <w:spacing w:val="3"/>
              </w:rPr>
              <w:t>万元以下</w:t>
            </w:r>
            <w:r>
              <w:rPr>
                <w:spacing w:val="8"/>
              </w:rPr>
              <w:t>的罚款，并没收非法经营</w:t>
            </w:r>
            <w:r>
              <w:rPr>
                <w:spacing w:val="7"/>
              </w:rPr>
              <w:t>的物品及违法所得</w:t>
            </w:r>
          </w:p>
        </w:tc>
        <w:tc>
          <w:tcPr>
            <w:tcW w:w="811" w:type="dxa"/>
            <w:vMerge w:val="restart"/>
            <w:tcBorders>
              <w:bottom w:val="nil"/>
            </w:tcBorders>
            <w:vAlign w:val="top"/>
          </w:tcPr>
          <w:p w14:paraId="02E9A08B">
            <w:pPr>
              <w:spacing w:line="241" w:lineRule="auto"/>
              <w:rPr>
                <w:rFonts w:ascii="Arial"/>
                <w:sz w:val="21"/>
              </w:rPr>
            </w:pPr>
          </w:p>
          <w:p w14:paraId="17142E17">
            <w:pPr>
              <w:spacing w:line="241" w:lineRule="auto"/>
              <w:rPr>
                <w:rFonts w:ascii="Arial"/>
                <w:sz w:val="21"/>
              </w:rPr>
            </w:pPr>
          </w:p>
          <w:p w14:paraId="7E1F3F8A">
            <w:pPr>
              <w:spacing w:line="242" w:lineRule="auto"/>
              <w:rPr>
                <w:rFonts w:ascii="Arial"/>
                <w:sz w:val="21"/>
              </w:rPr>
            </w:pPr>
          </w:p>
          <w:p w14:paraId="683B68D9">
            <w:pPr>
              <w:spacing w:line="242" w:lineRule="auto"/>
              <w:rPr>
                <w:rFonts w:ascii="Arial"/>
                <w:sz w:val="21"/>
              </w:rPr>
            </w:pPr>
          </w:p>
          <w:p w14:paraId="7DFB9FFC">
            <w:pPr>
              <w:spacing w:line="242" w:lineRule="auto"/>
              <w:rPr>
                <w:rFonts w:ascii="Arial"/>
                <w:sz w:val="21"/>
              </w:rPr>
            </w:pPr>
          </w:p>
          <w:p w14:paraId="017C7CDB">
            <w:pPr>
              <w:spacing w:line="242" w:lineRule="auto"/>
              <w:rPr>
                <w:rFonts w:ascii="Arial"/>
                <w:sz w:val="21"/>
              </w:rPr>
            </w:pPr>
          </w:p>
          <w:p w14:paraId="4A172817">
            <w:pPr>
              <w:spacing w:line="242" w:lineRule="auto"/>
              <w:rPr>
                <w:rFonts w:ascii="Arial"/>
                <w:sz w:val="21"/>
              </w:rPr>
            </w:pPr>
          </w:p>
          <w:p w14:paraId="58BCB4A9">
            <w:pPr>
              <w:spacing w:line="242" w:lineRule="auto"/>
              <w:rPr>
                <w:rFonts w:ascii="Arial"/>
                <w:sz w:val="21"/>
              </w:rPr>
            </w:pPr>
          </w:p>
          <w:p w14:paraId="2EE6C442">
            <w:pPr>
              <w:spacing w:before="75" w:line="189" w:lineRule="auto"/>
              <w:ind w:left="248"/>
              <w:rPr>
                <w:rFonts w:ascii="宋体" w:hAnsi="宋体" w:eastAsia="宋体" w:cs="宋体"/>
                <w:sz w:val="23"/>
                <w:szCs w:val="23"/>
              </w:rPr>
            </w:pPr>
            <w:r>
              <w:rPr>
                <w:rFonts w:ascii="宋体" w:hAnsi="宋体" w:eastAsia="宋体" w:cs="宋体"/>
                <w:spacing w:val="-6"/>
                <w:sz w:val="23"/>
                <w:szCs w:val="23"/>
              </w:rPr>
              <w:t>166</w:t>
            </w:r>
          </w:p>
        </w:tc>
      </w:tr>
      <w:tr w14:paraId="16A97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7" w:hRule="atLeast"/>
        </w:trPr>
        <w:tc>
          <w:tcPr>
            <w:tcW w:w="818" w:type="dxa"/>
            <w:vMerge w:val="continue"/>
            <w:tcBorders>
              <w:top w:val="nil"/>
              <w:bottom w:val="nil"/>
            </w:tcBorders>
            <w:vAlign w:val="top"/>
          </w:tcPr>
          <w:p w14:paraId="4A887474">
            <w:pPr>
              <w:rPr>
                <w:rFonts w:ascii="Arial"/>
                <w:sz w:val="21"/>
              </w:rPr>
            </w:pPr>
          </w:p>
        </w:tc>
        <w:tc>
          <w:tcPr>
            <w:tcW w:w="1440" w:type="dxa"/>
            <w:vMerge w:val="continue"/>
            <w:tcBorders>
              <w:top w:val="nil"/>
              <w:bottom w:val="nil"/>
            </w:tcBorders>
            <w:vAlign w:val="top"/>
          </w:tcPr>
          <w:p w14:paraId="6353024F">
            <w:pPr>
              <w:rPr>
                <w:rFonts w:ascii="Arial"/>
                <w:sz w:val="21"/>
              </w:rPr>
            </w:pPr>
          </w:p>
        </w:tc>
        <w:tc>
          <w:tcPr>
            <w:tcW w:w="3202" w:type="dxa"/>
            <w:vMerge w:val="continue"/>
            <w:tcBorders>
              <w:top w:val="nil"/>
              <w:bottom w:val="nil"/>
            </w:tcBorders>
            <w:vAlign w:val="top"/>
          </w:tcPr>
          <w:p w14:paraId="3A580F57">
            <w:pPr>
              <w:rPr>
                <w:rFonts w:ascii="Arial"/>
                <w:sz w:val="21"/>
              </w:rPr>
            </w:pPr>
          </w:p>
        </w:tc>
        <w:tc>
          <w:tcPr>
            <w:tcW w:w="2859" w:type="dxa"/>
            <w:vMerge w:val="continue"/>
            <w:tcBorders>
              <w:top w:val="nil"/>
              <w:bottom w:val="nil"/>
            </w:tcBorders>
            <w:vAlign w:val="top"/>
          </w:tcPr>
          <w:p w14:paraId="50DC5D2C">
            <w:pPr>
              <w:rPr>
                <w:rFonts w:ascii="Arial"/>
                <w:sz w:val="21"/>
              </w:rPr>
            </w:pPr>
          </w:p>
        </w:tc>
        <w:tc>
          <w:tcPr>
            <w:tcW w:w="803" w:type="dxa"/>
            <w:vAlign w:val="top"/>
          </w:tcPr>
          <w:p w14:paraId="22D3B60A">
            <w:pPr>
              <w:spacing w:line="281" w:lineRule="auto"/>
              <w:rPr>
                <w:rFonts w:ascii="Arial"/>
                <w:sz w:val="21"/>
              </w:rPr>
            </w:pPr>
          </w:p>
          <w:p w14:paraId="6039CFAF">
            <w:pPr>
              <w:spacing w:line="282" w:lineRule="auto"/>
              <w:rPr>
                <w:rFonts w:ascii="Arial"/>
                <w:sz w:val="21"/>
              </w:rPr>
            </w:pPr>
          </w:p>
          <w:p w14:paraId="118BCEA8">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A142AFD">
            <w:pPr>
              <w:spacing w:line="344" w:lineRule="auto"/>
              <w:rPr>
                <w:rFonts w:ascii="Arial"/>
                <w:sz w:val="21"/>
              </w:rPr>
            </w:pPr>
          </w:p>
          <w:p w14:paraId="3330CC4A">
            <w:pPr>
              <w:pStyle w:val="6"/>
              <w:spacing w:before="98" w:line="196" w:lineRule="auto"/>
              <w:ind w:left="122" w:right="106" w:hanging="5"/>
            </w:pPr>
            <w:r>
              <w:rPr>
                <w:spacing w:val="11"/>
              </w:rPr>
              <w:t>违法所得</w:t>
            </w:r>
            <w:r>
              <w:rPr>
                <w:rFonts w:ascii="宋体" w:hAnsi="宋体" w:eastAsia="宋体" w:cs="宋体"/>
                <w:spacing w:val="11"/>
              </w:rPr>
              <w:t>1</w:t>
            </w:r>
            <w:r>
              <w:rPr>
                <w:spacing w:val="11"/>
              </w:rPr>
              <w:t>万元以</w:t>
            </w:r>
            <w:r>
              <w:rPr>
                <w:spacing w:val="1"/>
              </w:rPr>
              <w:t>上</w:t>
            </w:r>
            <w:r>
              <w:rPr>
                <w:rFonts w:ascii="宋体" w:hAnsi="宋体" w:eastAsia="宋体" w:cs="宋体"/>
                <w:spacing w:val="1"/>
              </w:rPr>
              <w:t>5</w:t>
            </w:r>
            <w:r>
              <w:rPr>
                <w:spacing w:val="1"/>
              </w:rPr>
              <w:t>万元以下的</w:t>
            </w:r>
          </w:p>
        </w:tc>
        <w:tc>
          <w:tcPr>
            <w:tcW w:w="2894" w:type="dxa"/>
            <w:vAlign w:val="top"/>
          </w:tcPr>
          <w:p w14:paraId="251918A5">
            <w:pPr>
              <w:pStyle w:val="6"/>
              <w:spacing w:before="146" w:line="189" w:lineRule="auto"/>
              <w:ind w:left="119" w:right="106" w:firstLine="8"/>
            </w:pPr>
            <w:r>
              <w:rPr>
                <w:spacing w:val="9"/>
              </w:rPr>
              <w:t>责令停止非法经营活动，</w:t>
            </w:r>
            <w:r>
              <w:rPr>
                <w:spacing w:val="3"/>
              </w:rPr>
              <w:t>处</w:t>
            </w:r>
            <w:r>
              <w:rPr>
                <w:rFonts w:ascii="宋体" w:hAnsi="宋体" w:eastAsia="宋体" w:cs="宋体"/>
                <w:spacing w:val="3"/>
              </w:rPr>
              <w:t>5</w:t>
            </w:r>
            <w:r>
              <w:rPr>
                <w:spacing w:val="3"/>
              </w:rPr>
              <w:t>万元以上</w:t>
            </w:r>
            <w:r>
              <w:rPr>
                <w:rFonts w:ascii="宋体" w:hAnsi="宋体" w:eastAsia="宋体" w:cs="宋体"/>
                <w:spacing w:val="3"/>
              </w:rPr>
              <w:t>8</w:t>
            </w:r>
            <w:r>
              <w:rPr>
                <w:spacing w:val="3"/>
              </w:rPr>
              <w:t>万元以下</w:t>
            </w:r>
            <w:r>
              <w:rPr>
                <w:spacing w:val="8"/>
              </w:rPr>
              <w:t>的罚款，并没收非法经营</w:t>
            </w:r>
            <w:r>
              <w:rPr>
                <w:spacing w:val="7"/>
              </w:rPr>
              <w:t>的物品及违法所得</w:t>
            </w:r>
          </w:p>
        </w:tc>
        <w:tc>
          <w:tcPr>
            <w:tcW w:w="811" w:type="dxa"/>
            <w:vMerge w:val="continue"/>
            <w:tcBorders>
              <w:top w:val="nil"/>
              <w:bottom w:val="nil"/>
            </w:tcBorders>
            <w:vAlign w:val="top"/>
          </w:tcPr>
          <w:p w14:paraId="7301D011">
            <w:pPr>
              <w:rPr>
                <w:rFonts w:ascii="Arial"/>
                <w:sz w:val="21"/>
              </w:rPr>
            </w:pPr>
          </w:p>
        </w:tc>
      </w:tr>
      <w:tr w14:paraId="6A7E1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1" w:hRule="atLeast"/>
        </w:trPr>
        <w:tc>
          <w:tcPr>
            <w:tcW w:w="818" w:type="dxa"/>
            <w:vMerge w:val="continue"/>
            <w:tcBorders>
              <w:top w:val="nil"/>
            </w:tcBorders>
            <w:vAlign w:val="top"/>
          </w:tcPr>
          <w:p w14:paraId="5C260592">
            <w:pPr>
              <w:rPr>
                <w:rFonts w:ascii="Arial"/>
                <w:sz w:val="21"/>
              </w:rPr>
            </w:pPr>
          </w:p>
        </w:tc>
        <w:tc>
          <w:tcPr>
            <w:tcW w:w="1440" w:type="dxa"/>
            <w:vMerge w:val="continue"/>
            <w:tcBorders>
              <w:top w:val="nil"/>
            </w:tcBorders>
            <w:vAlign w:val="top"/>
          </w:tcPr>
          <w:p w14:paraId="2BF2FC6F">
            <w:pPr>
              <w:rPr>
                <w:rFonts w:ascii="Arial"/>
                <w:sz w:val="21"/>
              </w:rPr>
            </w:pPr>
          </w:p>
        </w:tc>
        <w:tc>
          <w:tcPr>
            <w:tcW w:w="3202" w:type="dxa"/>
            <w:vMerge w:val="continue"/>
            <w:tcBorders>
              <w:top w:val="nil"/>
            </w:tcBorders>
            <w:vAlign w:val="top"/>
          </w:tcPr>
          <w:p w14:paraId="573AA851">
            <w:pPr>
              <w:rPr>
                <w:rFonts w:ascii="Arial"/>
                <w:sz w:val="21"/>
              </w:rPr>
            </w:pPr>
          </w:p>
        </w:tc>
        <w:tc>
          <w:tcPr>
            <w:tcW w:w="2859" w:type="dxa"/>
            <w:vMerge w:val="continue"/>
            <w:tcBorders>
              <w:top w:val="nil"/>
            </w:tcBorders>
            <w:vAlign w:val="top"/>
          </w:tcPr>
          <w:p w14:paraId="30C91938">
            <w:pPr>
              <w:rPr>
                <w:rFonts w:ascii="Arial"/>
                <w:sz w:val="21"/>
              </w:rPr>
            </w:pPr>
          </w:p>
        </w:tc>
        <w:tc>
          <w:tcPr>
            <w:tcW w:w="803" w:type="dxa"/>
            <w:vAlign w:val="top"/>
          </w:tcPr>
          <w:p w14:paraId="472C6BAC">
            <w:pPr>
              <w:spacing w:line="310" w:lineRule="auto"/>
              <w:rPr>
                <w:rFonts w:ascii="Arial"/>
                <w:sz w:val="21"/>
              </w:rPr>
            </w:pPr>
          </w:p>
          <w:p w14:paraId="62A75E8E">
            <w:pPr>
              <w:spacing w:line="310" w:lineRule="auto"/>
              <w:rPr>
                <w:rFonts w:ascii="Arial"/>
                <w:sz w:val="21"/>
              </w:rPr>
            </w:pPr>
          </w:p>
          <w:p w14:paraId="0F5BF026">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290DD4E6">
            <w:pPr>
              <w:spacing w:line="403" w:lineRule="auto"/>
              <w:rPr>
                <w:rFonts w:ascii="Arial"/>
                <w:sz w:val="21"/>
              </w:rPr>
            </w:pPr>
          </w:p>
          <w:p w14:paraId="2BD950C0">
            <w:pPr>
              <w:pStyle w:val="6"/>
              <w:spacing w:before="98" w:line="197" w:lineRule="auto"/>
              <w:ind w:left="122" w:right="106" w:hanging="5"/>
            </w:pPr>
            <w:r>
              <w:rPr>
                <w:spacing w:val="15"/>
              </w:rPr>
              <w:t>违法所得</w:t>
            </w:r>
            <w:r>
              <w:rPr>
                <w:rFonts w:ascii="宋体" w:hAnsi="宋体" w:eastAsia="宋体" w:cs="宋体"/>
                <w:spacing w:val="15"/>
              </w:rPr>
              <w:t>5</w:t>
            </w:r>
            <w:r>
              <w:rPr>
                <w:spacing w:val="15"/>
              </w:rPr>
              <w:t>万元以</w:t>
            </w:r>
            <w:r>
              <w:t>上的</w:t>
            </w:r>
          </w:p>
        </w:tc>
        <w:tc>
          <w:tcPr>
            <w:tcW w:w="2894" w:type="dxa"/>
            <w:vAlign w:val="top"/>
          </w:tcPr>
          <w:p w14:paraId="3B15ADDC">
            <w:pPr>
              <w:pStyle w:val="6"/>
              <w:spacing w:before="204" w:line="189" w:lineRule="auto"/>
              <w:ind w:left="119" w:right="104" w:firstLine="8"/>
            </w:pPr>
            <w:r>
              <w:rPr>
                <w:spacing w:val="9"/>
              </w:rPr>
              <w:t>责令停止非法经营活动，</w:t>
            </w:r>
            <w:r>
              <w:rPr>
                <w:spacing w:val="5"/>
              </w:rPr>
              <w:t>处</w:t>
            </w:r>
            <w:r>
              <w:rPr>
                <w:rFonts w:ascii="宋体" w:hAnsi="宋体" w:eastAsia="宋体" w:cs="宋体"/>
                <w:spacing w:val="5"/>
              </w:rPr>
              <w:t>8</w:t>
            </w:r>
            <w:r>
              <w:rPr>
                <w:spacing w:val="5"/>
              </w:rPr>
              <w:t>万元以上</w:t>
            </w:r>
            <w:r>
              <w:rPr>
                <w:rFonts w:ascii="宋体" w:hAnsi="宋体" w:eastAsia="宋体" w:cs="宋体"/>
                <w:spacing w:val="5"/>
              </w:rPr>
              <w:t>10</w:t>
            </w:r>
            <w:r>
              <w:rPr>
                <w:spacing w:val="5"/>
              </w:rPr>
              <w:t>万元以下</w:t>
            </w:r>
            <w:r>
              <w:rPr>
                <w:spacing w:val="8"/>
              </w:rPr>
              <w:t>的罚款，并没收非法经营</w:t>
            </w:r>
            <w:r>
              <w:rPr>
                <w:spacing w:val="7"/>
              </w:rPr>
              <w:t>的物品及违法所得</w:t>
            </w:r>
          </w:p>
        </w:tc>
        <w:tc>
          <w:tcPr>
            <w:tcW w:w="811" w:type="dxa"/>
            <w:vMerge w:val="continue"/>
            <w:tcBorders>
              <w:top w:val="nil"/>
            </w:tcBorders>
            <w:vAlign w:val="top"/>
          </w:tcPr>
          <w:p w14:paraId="16ECCFEF">
            <w:pPr>
              <w:rPr>
                <w:rFonts w:ascii="Arial"/>
                <w:sz w:val="21"/>
              </w:rPr>
            </w:pPr>
          </w:p>
        </w:tc>
      </w:tr>
      <w:tr w14:paraId="67C9B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restart"/>
            <w:tcBorders>
              <w:bottom w:val="nil"/>
            </w:tcBorders>
            <w:vAlign w:val="top"/>
          </w:tcPr>
          <w:p w14:paraId="285394F3">
            <w:pPr>
              <w:spacing w:line="262" w:lineRule="auto"/>
              <w:rPr>
                <w:rFonts w:ascii="Arial"/>
                <w:sz w:val="21"/>
              </w:rPr>
            </w:pPr>
          </w:p>
          <w:p w14:paraId="25C3D75D">
            <w:pPr>
              <w:spacing w:line="262" w:lineRule="auto"/>
              <w:rPr>
                <w:rFonts w:ascii="Arial"/>
                <w:sz w:val="21"/>
              </w:rPr>
            </w:pPr>
          </w:p>
          <w:p w14:paraId="3FDC17B1">
            <w:pPr>
              <w:spacing w:line="262" w:lineRule="auto"/>
              <w:rPr>
                <w:rFonts w:ascii="Arial"/>
                <w:sz w:val="21"/>
              </w:rPr>
            </w:pPr>
          </w:p>
          <w:p w14:paraId="625B23C0">
            <w:pPr>
              <w:spacing w:line="262" w:lineRule="auto"/>
              <w:rPr>
                <w:rFonts w:ascii="Arial"/>
                <w:sz w:val="21"/>
              </w:rPr>
            </w:pPr>
          </w:p>
          <w:p w14:paraId="189FF7D4">
            <w:pPr>
              <w:spacing w:line="263" w:lineRule="auto"/>
              <w:rPr>
                <w:rFonts w:ascii="Arial"/>
                <w:sz w:val="21"/>
              </w:rPr>
            </w:pPr>
          </w:p>
          <w:p w14:paraId="6B391BE5">
            <w:pPr>
              <w:spacing w:line="263" w:lineRule="auto"/>
              <w:rPr>
                <w:rFonts w:ascii="Arial"/>
                <w:sz w:val="21"/>
              </w:rPr>
            </w:pPr>
          </w:p>
          <w:p w14:paraId="338C6570">
            <w:pPr>
              <w:spacing w:line="263" w:lineRule="auto"/>
              <w:rPr>
                <w:rFonts w:ascii="Arial"/>
                <w:sz w:val="21"/>
              </w:rPr>
            </w:pPr>
          </w:p>
          <w:p w14:paraId="0D2F10C8">
            <w:pPr>
              <w:spacing w:line="263" w:lineRule="auto"/>
              <w:rPr>
                <w:rFonts w:ascii="Arial"/>
                <w:sz w:val="21"/>
              </w:rPr>
            </w:pPr>
          </w:p>
          <w:p w14:paraId="2D557D4E">
            <w:pPr>
              <w:spacing w:before="75" w:line="186" w:lineRule="auto"/>
              <w:ind w:left="161"/>
              <w:rPr>
                <w:rFonts w:ascii="仿宋" w:hAnsi="仿宋" w:eastAsia="仿宋" w:cs="仿宋"/>
                <w:sz w:val="23"/>
                <w:szCs w:val="23"/>
              </w:rPr>
            </w:pPr>
            <w:r>
              <w:rPr>
                <w:rFonts w:ascii="仿宋" w:hAnsi="仿宋" w:eastAsia="仿宋" w:cs="仿宋"/>
                <w:spacing w:val="-5"/>
                <w:sz w:val="23"/>
                <w:szCs w:val="23"/>
              </w:rPr>
              <w:t>195</w:t>
            </w:r>
          </w:p>
        </w:tc>
        <w:tc>
          <w:tcPr>
            <w:tcW w:w="1440" w:type="dxa"/>
            <w:vMerge w:val="restart"/>
            <w:tcBorders>
              <w:bottom w:val="nil"/>
            </w:tcBorders>
            <w:vAlign w:val="top"/>
          </w:tcPr>
          <w:p w14:paraId="7F6360FC">
            <w:pPr>
              <w:pStyle w:val="6"/>
              <w:spacing w:before="336" w:line="185" w:lineRule="auto"/>
              <w:ind w:left="114" w:right="111" w:firstLine="5"/>
            </w:pPr>
            <w:r>
              <w:rPr>
                <w:spacing w:val="10"/>
              </w:rPr>
              <w:t>烟花爆竹批</w:t>
            </w:r>
            <w:r>
              <w:rPr>
                <w:spacing w:val="11"/>
              </w:rPr>
              <w:t>发企业向烟花爆竹零售经营者供应</w:t>
            </w:r>
            <w:r>
              <w:rPr>
                <w:spacing w:val="6"/>
              </w:rPr>
              <w:t>非法生产、</w:t>
            </w:r>
            <w:r>
              <w:rPr>
                <w:spacing w:val="11"/>
              </w:rPr>
              <w:t>经营的烟花</w:t>
            </w:r>
            <w:r>
              <w:rPr>
                <w:spacing w:val="4"/>
              </w:rPr>
              <w:t>爆竹，或者</w:t>
            </w:r>
            <w:r>
              <w:rPr>
                <w:spacing w:val="11"/>
              </w:rPr>
              <w:t>供应按照国家标准规定应由专业燃放人员燃放的烟花爆竹</w:t>
            </w:r>
            <w:r>
              <w:t>的</w:t>
            </w:r>
          </w:p>
        </w:tc>
        <w:tc>
          <w:tcPr>
            <w:tcW w:w="3202" w:type="dxa"/>
            <w:vMerge w:val="restart"/>
            <w:tcBorders>
              <w:bottom w:val="nil"/>
            </w:tcBorders>
            <w:vAlign w:val="top"/>
          </w:tcPr>
          <w:p w14:paraId="5056A846">
            <w:pPr>
              <w:pStyle w:val="6"/>
              <w:spacing w:before="39" w:line="182" w:lineRule="auto"/>
              <w:ind w:left="116" w:right="110" w:firstLine="14"/>
            </w:pPr>
            <w:r>
              <w:rPr>
                <w:rFonts w:ascii="宋体" w:hAnsi="宋体" w:eastAsia="宋体" w:cs="宋体"/>
                <w:spacing w:val="14"/>
              </w:rPr>
              <w:t>1.</w:t>
            </w:r>
            <w:r>
              <w:rPr>
                <w:spacing w:val="14"/>
              </w:rPr>
              <w:t>【行政法规】《烟花爆竹</w:t>
            </w:r>
            <w:r>
              <w:rPr>
                <w:spacing w:val="13"/>
              </w:rPr>
              <w:t>安全管理条例》第二十条：从事烟花爆竹批发的企业，</w:t>
            </w:r>
            <w:r>
              <w:rPr>
                <w:spacing w:val="17"/>
              </w:rPr>
              <w:t>应当向生产烟花爆竹的企业</w:t>
            </w:r>
            <w:r>
              <w:rPr>
                <w:spacing w:val="10"/>
              </w:rPr>
              <w:t>采购烟花爆竹，向从事烟花</w:t>
            </w:r>
            <w:r>
              <w:rPr>
                <w:spacing w:val="17"/>
              </w:rPr>
              <w:t>爆竹零售的经营者供应烟花爆竹。从事烟花爆竹零售的</w:t>
            </w:r>
            <w:r>
              <w:rPr>
                <w:spacing w:val="13"/>
              </w:rPr>
              <w:t>经营者，应当向从事烟花爆</w:t>
            </w:r>
            <w:r>
              <w:rPr>
                <w:spacing w:val="39"/>
              </w:rPr>
              <w:t>竹批发的企业采购烟花爆</w:t>
            </w:r>
            <w:r>
              <w:rPr>
                <w:spacing w:val="-7"/>
              </w:rPr>
              <w:t>竹。</w:t>
            </w:r>
          </w:p>
          <w:p w14:paraId="1120E178">
            <w:pPr>
              <w:pStyle w:val="6"/>
              <w:spacing w:before="3" w:line="180" w:lineRule="auto"/>
              <w:ind w:left="117" w:right="26" w:firstLine="2"/>
            </w:pPr>
            <w:r>
              <w:rPr>
                <w:spacing w:val="14"/>
              </w:rPr>
              <w:t>从事烟花爆竹批发的企业、</w:t>
            </w:r>
            <w:r>
              <w:rPr>
                <w:spacing w:val="17"/>
              </w:rPr>
              <w:t>零售经营者不得采购和销售</w:t>
            </w:r>
            <w:r>
              <w:rPr>
                <w:spacing w:val="4"/>
              </w:rPr>
              <w:t>非法生产、经营的烟花爆竹。</w:t>
            </w:r>
            <w:r>
              <w:rPr>
                <w:spacing w:val="13"/>
              </w:rPr>
              <w:t>从事烟花爆竹批发的企业，</w:t>
            </w:r>
            <w:r>
              <w:rPr>
                <w:spacing w:val="17"/>
              </w:rPr>
              <w:t>不得向从事烟花爆竹零售的</w:t>
            </w:r>
          </w:p>
        </w:tc>
        <w:tc>
          <w:tcPr>
            <w:tcW w:w="2859" w:type="dxa"/>
            <w:vMerge w:val="restart"/>
            <w:tcBorders>
              <w:bottom w:val="nil"/>
            </w:tcBorders>
            <w:vAlign w:val="top"/>
          </w:tcPr>
          <w:p w14:paraId="716456AC">
            <w:pPr>
              <w:pStyle w:val="6"/>
              <w:spacing w:before="27" w:line="182" w:lineRule="auto"/>
              <w:ind w:left="116" w:right="38" w:firstLine="14"/>
              <w:jc w:val="both"/>
            </w:pPr>
            <w:r>
              <w:rPr>
                <w:rFonts w:ascii="宋体" w:hAnsi="宋体" w:eastAsia="宋体" w:cs="宋体"/>
                <w:spacing w:val="6"/>
              </w:rPr>
              <w:t>1.</w:t>
            </w:r>
            <w:r>
              <w:rPr>
                <w:spacing w:val="6"/>
              </w:rPr>
              <w:t>【行政法规】《烟花爆</w:t>
            </w:r>
            <w:r>
              <w:rPr>
                <w:spacing w:val="8"/>
              </w:rPr>
              <w:t>竹安全管理条例》第三十八条第一款：从事烟花爆竹批发的企业向从事烟花爆竹零售的经营者供应非</w:t>
            </w:r>
            <w:r>
              <w:rPr>
                <w:spacing w:val="-6"/>
              </w:rPr>
              <w:t>法生产、经营的烟花爆竹，</w:t>
            </w:r>
            <w:r>
              <w:rPr>
                <w:spacing w:val="8"/>
              </w:rPr>
              <w:t>或者供应按照国家标准规定应由专业燃放人员燃放的烟花爆竹的，由安全生产监督管理部门责令停止</w:t>
            </w:r>
            <w:r>
              <w:rPr>
                <w:spacing w:val="4"/>
              </w:rPr>
              <w:t>违法行为，处</w:t>
            </w:r>
            <w:r>
              <w:rPr>
                <w:rFonts w:ascii="宋体" w:hAnsi="宋体" w:eastAsia="宋体" w:cs="宋体"/>
                <w:spacing w:val="4"/>
              </w:rPr>
              <w:t>2</w:t>
            </w:r>
            <w:r>
              <w:rPr>
                <w:spacing w:val="4"/>
              </w:rPr>
              <w:t>万元以上</w:t>
            </w:r>
            <w:r>
              <w:rPr>
                <w:rFonts w:ascii="宋体" w:hAnsi="宋体" w:eastAsia="宋体" w:cs="宋体"/>
              </w:rPr>
              <w:t>10</w:t>
            </w:r>
            <w:r>
              <w:t>万元以下的罚款，并没</w:t>
            </w:r>
            <w:r>
              <w:rPr>
                <w:spacing w:val="8"/>
              </w:rPr>
              <w:t>收非法经营的物品及违法</w:t>
            </w:r>
            <w:r>
              <w:rPr>
                <w:spacing w:val="-2"/>
              </w:rPr>
              <w:t>所得；情节严重的，吊销</w:t>
            </w:r>
            <w:r>
              <w:rPr>
                <w:spacing w:val="4"/>
              </w:rPr>
              <w:t>烟花爆竹经营许可证。</w:t>
            </w:r>
          </w:p>
        </w:tc>
        <w:tc>
          <w:tcPr>
            <w:tcW w:w="803" w:type="dxa"/>
            <w:vAlign w:val="top"/>
          </w:tcPr>
          <w:p w14:paraId="751C05F6">
            <w:pPr>
              <w:spacing w:line="248" w:lineRule="auto"/>
              <w:rPr>
                <w:rFonts w:ascii="Arial"/>
                <w:sz w:val="21"/>
              </w:rPr>
            </w:pPr>
          </w:p>
          <w:p w14:paraId="06023692">
            <w:pPr>
              <w:spacing w:line="248" w:lineRule="auto"/>
              <w:rPr>
                <w:rFonts w:ascii="Arial"/>
                <w:sz w:val="21"/>
              </w:rPr>
            </w:pPr>
          </w:p>
          <w:p w14:paraId="36FAC261">
            <w:pPr>
              <w:spacing w:line="249" w:lineRule="auto"/>
              <w:rPr>
                <w:rFonts w:ascii="Arial"/>
                <w:sz w:val="21"/>
              </w:rPr>
            </w:pPr>
          </w:p>
          <w:p w14:paraId="389B6305">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37914F4">
            <w:pPr>
              <w:spacing w:line="381" w:lineRule="auto"/>
              <w:rPr>
                <w:rFonts w:ascii="Arial"/>
                <w:sz w:val="21"/>
              </w:rPr>
            </w:pPr>
          </w:p>
          <w:p w14:paraId="10240DAA">
            <w:pPr>
              <w:pStyle w:val="6"/>
              <w:spacing w:before="99" w:line="192" w:lineRule="auto"/>
              <w:ind w:left="128" w:right="109" w:hanging="1"/>
              <w:jc w:val="both"/>
            </w:pPr>
            <w:r>
              <w:rPr>
                <w:spacing w:val="25"/>
              </w:rPr>
              <w:t>没有违法所得或违</w:t>
            </w:r>
            <w:r>
              <w:rPr>
                <w:spacing w:val="12"/>
              </w:rPr>
              <w:t>法所得</w:t>
            </w:r>
            <w:r>
              <w:rPr>
                <w:rFonts w:ascii="宋体" w:hAnsi="宋体" w:eastAsia="宋体" w:cs="宋体"/>
                <w:spacing w:val="12"/>
              </w:rPr>
              <w:t>1</w:t>
            </w:r>
            <w:r>
              <w:rPr>
                <w:spacing w:val="12"/>
              </w:rPr>
              <w:t>万元以下</w:t>
            </w:r>
            <w:r>
              <w:t>的</w:t>
            </w:r>
          </w:p>
        </w:tc>
        <w:tc>
          <w:tcPr>
            <w:tcW w:w="2894" w:type="dxa"/>
            <w:vAlign w:val="top"/>
          </w:tcPr>
          <w:p w14:paraId="6070D729">
            <w:pPr>
              <w:pStyle w:val="6"/>
              <w:spacing w:before="28" w:line="179" w:lineRule="auto"/>
              <w:ind w:left="122" w:right="104" w:firstLine="4"/>
              <w:jc w:val="both"/>
            </w:pPr>
            <w:r>
              <w:rPr>
                <w:spacing w:val="10"/>
              </w:rPr>
              <w:t>责令停止违法行为，处</w:t>
            </w:r>
            <w:r>
              <w:rPr>
                <w:rFonts w:ascii="宋体" w:hAnsi="宋体" w:eastAsia="宋体" w:cs="宋体"/>
                <w:spacing w:val="10"/>
              </w:rPr>
              <w:t>2</w:t>
            </w:r>
            <w:r>
              <w:rPr>
                <w:spacing w:val="7"/>
              </w:rPr>
              <w:t>万元以上</w:t>
            </w:r>
            <w:r>
              <w:rPr>
                <w:rFonts w:ascii="宋体" w:hAnsi="宋体" w:eastAsia="宋体" w:cs="宋体"/>
                <w:spacing w:val="7"/>
              </w:rPr>
              <w:t>5</w:t>
            </w:r>
            <w:r>
              <w:rPr>
                <w:spacing w:val="7"/>
              </w:rPr>
              <w:t>万元以下的罚</w:t>
            </w:r>
            <w:r>
              <w:rPr>
                <w:spacing w:val="8"/>
              </w:rPr>
              <w:t>款，并没收非法经营的物</w:t>
            </w:r>
            <w:r>
              <w:rPr>
                <w:spacing w:val="7"/>
              </w:rPr>
              <w:t>品及违法所得；情节严重</w:t>
            </w:r>
            <w:r>
              <w:rPr>
                <w:spacing w:val="4"/>
              </w:rPr>
              <w:t>的，吊销烟花爆竹经营许</w:t>
            </w:r>
            <w:r>
              <w:rPr>
                <w:spacing w:val="1"/>
              </w:rPr>
              <w:t>可证</w:t>
            </w:r>
          </w:p>
        </w:tc>
        <w:tc>
          <w:tcPr>
            <w:tcW w:w="811" w:type="dxa"/>
            <w:vMerge w:val="restart"/>
            <w:tcBorders>
              <w:bottom w:val="nil"/>
            </w:tcBorders>
            <w:vAlign w:val="top"/>
          </w:tcPr>
          <w:p w14:paraId="6D678846">
            <w:pPr>
              <w:spacing w:line="262" w:lineRule="auto"/>
              <w:rPr>
                <w:rFonts w:ascii="Arial"/>
                <w:sz w:val="21"/>
              </w:rPr>
            </w:pPr>
          </w:p>
          <w:p w14:paraId="77093A87">
            <w:pPr>
              <w:spacing w:line="262" w:lineRule="auto"/>
              <w:rPr>
                <w:rFonts w:ascii="Arial"/>
                <w:sz w:val="21"/>
              </w:rPr>
            </w:pPr>
          </w:p>
          <w:p w14:paraId="7185A7EF">
            <w:pPr>
              <w:spacing w:line="262" w:lineRule="auto"/>
              <w:rPr>
                <w:rFonts w:ascii="Arial"/>
                <w:sz w:val="21"/>
              </w:rPr>
            </w:pPr>
          </w:p>
          <w:p w14:paraId="0D8EF706">
            <w:pPr>
              <w:spacing w:line="262" w:lineRule="auto"/>
              <w:rPr>
                <w:rFonts w:ascii="Arial"/>
                <w:sz w:val="21"/>
              </w:rPr>
            </w:pPr>
          </w:p>
          <w:p w14:paraId="7803B3E5">
            <w:pPr>
              <w:spacing w:line="262" w:lineRule="auto"/>
              <w:rPr>
                <w:rFonts w:ascii="Arial"/>
                <w:sz w:val="21"/>
              </w:rPr>
            </w:pPr>
          </w:p>
          <w:p w14:paraId="1CD08D09">
            <w:pPr>
              <w:spacing w:line="262" w:lineRule="auto"/>
              <w:rPr>
                <w:rFonts w:ascii="Arial"/>
                <w:sz w:val="21"/>
              </w:rPr>
            </w:pPr>
          </w:p>
          <w:p w14:paraId="1BAA65FD">
            <w:pPr>
              <w:spacing w:line="262" w:lineRule="auto"/>
              <w:rPr>
                <w:rFonts w:ascii="Arial"/>
                <w:sz w:val="21"/>
              </w:rPr>
            </w:pPr>
          </w:p>
          <w:p w14:paraId="13855AA0">
            <w:pPr>
              <w:spacing w:line="262" w:lineRule="auto"/>
              <w:rPr>
                <w:rFonts w:ascii="Arial"/>
                <w:sz w:val="21"/>
              </w:rPr>
            </w:pPr>
          </w:p>
          <w:p w14:paraId="06CEC774">
            <w:pPr>
              <w:spacing w:before="75" w:line="189" w:lineRule="auto"/>
              <w:ind w:left="248"/>
              <w:rPr>
                <w:rFonts w:ascii="宋体" w:hAnsi="宋体" w:eastAsia="宋体" w:cs="宋体"/>
                <w:sz w:val="23"/>
                <w:szCs w:val="23"/>
              </w:rPr>
            </w:pPr>
            <w:r>
              <w:rPr>
                <w:rFonts w:ascii="宋体" w:hAnsi="宋体" w:eastAsia="宋体" w:cs="宋体"/>
                <w:spacing w:val="-6"/>
                <w:sz w:val="23"/>
                <w:szCs w:val="23"/>
              </w:rPr>
              <w:t>168</w:t>
            </w:r>
          </w:p>
        </w:tc>
      </w:tr>
      <w:tr w14:paraId="2F2D9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bottom w:val="nil"/>
            </w:tcBorders>
            <w:vAlign w:val="top"/>
          </w:tcPr>
          <w:p w14:paraId="1F9E4111">
            <w:pPr>
              <w:rPr>
                <w:rFonts w:ascii="Arial"/>
                <w:sz w:val="21"/>
              </w:rPr>
            </w:pPr>
          </w:p>
        </w:tc>
        <w:tc>
          <w:tcPr>
            <w:tcW w:w="1440" w:type="dxa"/>
            <w:vMerge w:val="continue"/>
            <w:tcBorders>
              <w:top w:val="nil"/>
              <w:bottom w:val="nil"/>
            </w:tcBorders>
            <w:vAlign w:val="top"/>
          </w:tcPr>
          <w:p w14:paraId="67DFD4DC">
            <w:pPr>
              <w:rPr>
                <w:rFonts w:ascii="Arial"/>
                <w:sz w:val="21"/>
              </w:rPr>
            </w:pPr>
          </w:p>
        </w:tc>
        <w:tc>
          <w:tcPr>
            <w:tcW w:w="3202" w:type="dxa"/>
            <w:vMerge w:val="continue"/>
            <w:tcBorders>
              <w:top w:val="nil"/>
              <w:bottom w:val="nil"/>
            </w:tcBorders>
            <w:vAlign w:val="top"/>
          </w:tcPr>
          <w:p w14:paraId="1F5A0DF1">
            <w:pPr>
              <w:rPr>
                <w:rFonts w:ascii="Arial"/>
                <w:sz w:val="21"/>
              </w:rPr>
            </w:pPr>
          </w:p>
        </w:tc>
        <w:tc>
          <w:tcPr>
            <w:tcW w:w="2859" w:type="dxa"/>
            <w:vMerge w:val="continue"/>
            <w:tcBorders>
              <w:top w:val="nil"/>
              <w:bottom w:val="nil"/>
            </w:tcBorders>
            <w:vAlign w:val="top"/>
          </w:tcPr>
          <w:p w14:paraId="11544DB0">
            <w:pPr>
              <w:rPr>
                <w:rFonts w:ascii="Arial"/>
                <w:sz w:val="21"/>
              </w:rPr>
            </w:pPr>
          </w:p>
        </w:tc>
        <w:tc>
          <w:tcPr>
            <w:tcW w:w="803" w:type="dxa"/>
            <w:vAlign w:val="top"/>
          </w:tcPr>
          <w:p w14:paraId="7600512A">
            <w:pPr>
              <w:spacing w:line="249" w:lineRule="auto"/>
              <w:rPr>
                <w:rFonts w:ascii="Arial"/>
                <w:sz w:val="21"/>
              </w:rPr>
            </w:pPr>
          </w:p>
          <w:p w14:paraId="25DE732F">
            <w:pPr>
              <w:spacing w:line="250" w:lineRule="auto"/>
              <w:rPr>
                <w:rFonts w:ascii="Arial"/>
                <w:sz w:val="21"/>
              </w:rPr>
            </w:pPr>
          </w:p>
          <w:p w14:paraId="6B305D6B">
            <w:pPr>
              <w:spacing w:line="250" w:lineRule="auto"/>
              <w:rPr>
                <w:rFonts w:ascii="Arial"/>
                <w:sz w:val="21"/>
              </w:rPr>
            </w:pPr>
          </w:p>
          <w:p w14:paraId="6AA6B314">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2960117">
            <w:pPr>
              <w:spacing w:line="265" w:lineRule="auto"/>
              <w:rPr>
                <w:rFonts w:ascii="Arial"/>
                <w:sz w:val="21"/>
              </w:rPr>
            </w:pPr>
          </w:p>
          <w:p w14:paraId="3F7BDB44">
            <w:pPr>
              <w:spacing w:line="265" w:lineRule="auto"/>
              <w:rPr>
                <w:rFonts w:ascii="Arial"/>
                <w:sz w:val="21"/>
              </w:rPr>
            </w:pPr>
          </w:p>
          <w:p w14:paraId="226E5E61">
            <w:pPr>
              <w:pStyle w:val="6"/>
              <w:spacing w:before="98" w:line="196" w:lineRule="auto"/>
              <w:ind w:left="122" w:right="106" w:hanging="5"/>
            </w:pPr>
            <w:r>
              <w:rPr>
                <w:spacing w:val="11"/>
              </w:rPr>
              <w:t>违法所得</w:t>
            </w:r>
            <w:r>
              <w:rPr>
                <w:rFonts w:ascii="宋体" w:hAnsi="宋体" w:eastAsia="宋体" w:cs="宋体"/>
                <w:spacing w:val="11"/>
              </w:rPr>
              <w:t>1</w:t>
            </w:r>
            <w:r>
              <w:rPr>
                <w:spacing w:val="11"/>
              </w:rPr>
              <w:t>万元以</w:t>
            </w:r>
            <w:r>
              <w:rPr>
                <w:spacing w:val="1"/>
              </w:rPr>
              <w:t>上</w:t>
            </w:r>
            <w:r>
              <w:rPr>
                <w:rFonts w:ascii="宋体" w:hAnsi="宋体" w:eastAsia="宋体" w:cs="宋体"/>
                <w:spacing w:val="1"/>
              </w:rPr>
              <w:t>5</w:t>
            </w:r>
            <w:r>
              <w:rPr>
                <w:spacing w:val="1"/>
              </w:rPr>
              <w:t>万元以下的</w:t>
            </w:r>
          </w:p>
        </w:tc>
        <w:tc>
          <w:tcPr>
            <w:tcW w:w="2894" w:type="dxa"/>
            <w:vAlign w:val="top"/>
          </w:tcPr>
          <w:p w14:paraId="56ED00B2">
            <w:pPr>
              <w:pStyle w:val="6"/>
              <w:spacing w:before="37" w:line="178" w:lineRule="auto"/>
              <w:ind w:left="122" w:right="104" w:firstLine="4"/>
              <w:jc w:val="both"/>
            </w:pPr>
            <w:r>
              <w:rPr>
                <w:spacing w:val="10"/>
              </w:rPr>
              <w:t>责令停止违法行为，处</w:t>
            </w:r>
            <w:r>
              <w:rPr>
                <w:rFonts w:ascii="宋体" w:hAnsi="宋体" w:eastAsia="宋体" w:cs="宋体"/>
                <w:spacing w:val="10"/>
              </w:rPr>
              <w:t>5</w:t>
            </w:r>
            <w:r>
              <w:rPr>
                <w:spacing w:val="7"/>
              </w:rPr>
              <w:t>万元以上</w:t>
            </w:r>
            <w:r>
              <w:rPr>
                <w:rFonts w:ascii="宋体" w:hAnsi="宋体" w:eastAsia="宋体" w:cs="宋体"/>
                <w:spacing w:val="7"/>
              </w:rPr>
              <w:t>8</w:t>
            </w:r>
            <w:r>
              <w:rPr>
                <w:spacing w:val="7"/>
              </w:rPr>
              <w:t>万元以下的罚</w:t>
            </w:r>
            <w:r>
              <w:rPr>
                <w:spacing w:val="8"/>
              </w:rPr>
              <w:t>款，并没收非法经营的物</w:t>
            </w:r>
            <w:r>
              <w:rPr>
                <w:spacing w:val="7"/>
              </w:rPr>
              <w:t>品及违法所得；情节严重</w:t>
            </w:r>
            <w:r>
              <w:rPr>
                <w:spacing w:val="4"/>
              </w:rPr>
              <w:t>的，吊销烟花爆竹经营许</w:t>
            </w:r>
            <w:r>
              <w:rPr>
                <w:spacing w:val="1"/>
              </w:rPr>
              <w:t>可证</w:t>
            </w:r>
          </w:p>
        </w:tc>
        <w:tc>
          <w:tcPr>
            <w:tcW w:w="811" w:type="dxa"/>
            <w:vMerge w:val="continue"/>
            <w:tcBorders>
              <w:top w:val="nil"/>
              <w:bottom w:val="nil"/>
            </w:tcBorders>
            <w:vAlign w:val="top"/>
          </w:tcPr>
          <w:p w14:paraId="1DBE076F">
            <w:pPr>
              <w:rPr>
                <w:rFonts w:ascii="Arial"/>
                <w:sz w:val="21"/>
              </w:rPr>
            </w:pPr>
          </w:p>
        </w:tc>
      </w:tr>
      <w:tr w14:paraId="6C96A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818" w:type="dxa"/>
            <w:vMerge w:val="continue"/>
            <w:tcBorders>
              <w:top w:val="nil"/>
            </w:tcBorders>
            <w:vAlign w:val="top"/>
          </w:tcPr>
          <w:p w14:paraId="36120161">
            <w:pPr>
              <w:rPr>
                <w:rFonts w:ascii="Arial"/>
                <w:sz w:val="21"/>
              </w:rPr>
            </w:pPr>
          </w:p>
        </w:tc>
        <w:tc>
          <w:tcPr>
            <w:tcW w:w="1440" w:type="dxa"/>
            <w:vMerge w:val="continue"/>
            <w:tcBorders>
              <w:top w:val="nil"/>
            </w:tcBorders>
            <w:vAlign w:val="top"/>
          </w:tcPr>
          <w:p w14:paraId="36722520">
            <w:pPr>
              <w:rPr>
                <w:rFonts w:ascii="Arial"/>
                <w:sz w:val="21"/>
              </w:rPr>
            </w:pPr>
          </w:p>
        </w:tc>
        <w:tc>
          <w:tcPr>
            <w:tcW w:w="3202" w:type="dxa"/>
            <w:vMerge w:val="continue"/>
            <w:tcBorders>
              <w:top w:val="nil"/>
            </w:tcBorders>
            <w:vAlign w:val="top"/>
          </w:tcPr>
          <w:p w14:paraId="3D845EAA">
            <w:pPr>
              <w:rPr>
                <w:rFonts w:ascii="Arial"/>
                <w:sz w:val="21"/>
              </w:rPr>
            </w:pPr>
          </w:p>
        </w:tc>
        <w:tc>
          <w:tcPr>
            <w:tcW w:w="2859" w:type="dxa"/>
            <w:vMerge w:val="continue"/>
            <w:tcBorders>
              <w:top w:val="nil"/>
            </w:tcBorders>
            <w:vAlign w:val="top"/>
          </w:tcPr>
          <w:p w14:paraId="2BAF6F93">
            <w:pPr>
              <w:rPr>
                <w:rFonts w:ascii="Arial"/>
                <w:sz w:val="21"/>
              </w:rPr>
            </w:pPr>
          </w:p>
        </w:tc>
        <w:tc>
          <w:tcPr>
            <w:tcW w:w="803" w:type="dxa"/>
            <w:vAlign w:val="top"/>
          </w:tcPr>
          <w:p w14:paraId="5B8D66B2">
            <w:pPr>
              <w:spacing w:line="300" w:lineRule="auto"/>
              <w:rPr>
                <w:rFonts w:ascii="Arial"/>
                <w:sz w:val="21"/>
              </w:rPr>
            </w:pPr>
          </w:p>
          <w:p w14:paraId="133F2713">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DA68853">
            <w:pPr>
              <w:pStyle w:val="6"/>
              <w:spacing w:before="185" w:line="197" w:lineRule="auto"/>
              <w:ind w:left="122" w:right="106" w:hanging="5"/>
            </w:pPr>
            <w:r>
              <w:rPr>
                <w:spacing w:val="15"/>
              </w:rPr>
              <w:t>违法所得</w:t>
            </w:r>
            <w:r>
              <w:rPr>
                <w:rFonts w:ascii="宋体" w:hAnsi="宋体" w:eastAsia="宋体" w:cs="宋体"/>
                <w:spacing w:val="15"/>
              </w:rPr>
              <w:t>5</w:t>
            </w:r>
            <w:r>
              <w:rPr>
                <w:spacing w:val="15"/>
              </w:rPr>
              <w:t>万元以</w:t>
            </w:r>
            <w:r>
              <w:t>上的</w:t>
            </w:r>
          </w:p>
        </w:tc>
        <w:tc>
          <w:tcPr>
            <w:tcW w:w="2894" w:type="dxa"/>
            <w:vAlign w:val="top"/>
          </w:tcPr>
          <w:p w14:paraId="57FBCF29">
            <w:pPr>
              <w:pStyle w:val="6"/>
              <w:spacing w:before="34" w:line="175" w:lineRule="auto"/>
              <w:ind w:left="127" w:right="104"/>
              <w:jc w:val="both"/>
            </w:pPr>
            <w:r>
              <w:rPr>
                <w:spacing w:val="10"/>
              </w:rPr>
              <w:t>责令停止违法行为，处</w:t>
            </w:r>
            <w:r>
              <w:rPr>
                <w:rFonts w:ascii="宋体" w:hAnsi="宋体" w:eastAsia="宋体" w:cs="宋体"/>
                <w:spacing w:val="10"/>
              </w:rPr>
              <w:t>8</w:t>
            </w:r>
            <w:r>
              <w:rPr>
                <w:spacing w:val="10"/>
              </w:rPr>
              <w:t>万元以上</w:t>
            </w:r>
            <w:r>
              <w:rPr>
                <w:rFonts w:ascii="宋体" w:hAnsi="宋体" w:eastAsia="宋体" w:cs="宋体"/>
                <w:spacing w:val="10"/>
              </w:rPr>
              <w:t>10</w:t>
            </w:r>
            <w:r>
              <w:rPr>
                <w:spacing w:val="10"/>
              </w:rPr>
              <w:t>万元以下的</w:t>
            </w:r>
            <w:r>
              <w:rPr>
                <w:spacing w:val="7"/>
              </w:rPr>
              <w:t>罚款，并没收非法经营的</w:t>
            </w:r>
          </w:p>
        </w:tc>
        <w:tc>
          <w:tcPr>
            <w:tcW w:w="811" w:type="dxa"/>
            <w:vMerge w:val="continue"/>
            <w:tcBorders>
              <w:top w:val="nil"/>
            </w:tcBorders>
            <w:vAlign w:val="top"/>
          </w:tcPr>
          <w:p w14:paraId="5A19761A">
            <w:pPr>
              <w:rPr>
                <w:rFonts w:ascii="Arial"/>
                <w:sz w:val="21"/>
              </w:rPr>
            </w:pPr>
          </w:p>
        </w:tc>
      </w:tr>
    </w:tbl>
    <w:p w14:paraId="6249DB87">
      <w:pPr>
        <w:pStyle w:val="2"/>
      </w:pPr>
    </w:p>
    <w:p w14:paraId="2D374A38">
      <w:pPr>
        <w:sectPr>
          <w:footerReference r:id="rId206" w:type="default"/>
          <w:pgSz w:w="16839" w:h="11906"/>
          <w:pgMar w:top="1012" w:right="821" w:bottom="666" w:left="901" w:header="0" w:footer="388" w:gutter="0"/>
          <w:cols w:space="720" w:num="1"/>
        </w:sectPr>
      </w:pPr>
    </w:p>
    <w:p w14:paraId="7B926D1E">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DD9C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0E2D373">
            <w:pPr>
              <w:spacing w:before="222" w:line="241" w:lineRule="auto"/>
              <w:ind w:left="131"/>
              <w:rPr>
                <w:rFonts w:ascii="黑体" w:hAnsi="黑体" w:eastAsia="黑体" w:cs="黑体"/>
                <w:sz w:val="28"/>
                <w:szCs w:val="28"/>
              </w:rPr>
            </w:pPr>
            <w:bookmarkStart w:id="683" w:name="bookmark596"/>
            <w:bookmarkEnd w:id="683"/>
            <w:r>
              <w:rPr>
                <w:rFonts w:ascii="黑体" w:hAnsi="黑体" w:eastAsia="黑体" w:cs="黑体"/>
                <w:spacing w:val="-2"/>
                <w:sz w:val="28"/>
                <w:szCs w:val="28"/>
              </w:rPr>
              <w:t>序号</w:t>
            </w:r>
          </w:p>
        </w:tc>
        <w:tc>
          <w:tcPr>
            <w:tcW w:w="1440" w:type="dxa"/>
            <w:vAlign w:val="top"/>
          </w:tcPr>
          <w:p w14:paraId="7D2E8B46">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60DEDE9">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2AE5AC9">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0D3C3859">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C7973BA">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37860F2F">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63161F29">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8B4D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1" w:hRule="atLeast"/>
        </w:trPr>
        <w:tc>
          <w:tcPr>
            <w:tcW w:w="818" w:type="dxa"/>
            <w:vAlign w:val="top"/>
          </w:tcPr>
          <w:p w14:paraId="4D961FDE">
            <w:pPr>
              <w:rPr>
                <w:rFonts w:ascii="Arial"/>
                <w:sz w:val="21"/>
              </w:rPr>
            </w:pPr>
          </w:p>
        </w:tc>
        <w:tc>
          <w:tcPr>
            <w:tcW w:w="1440" w:type="dxa"/>
            <w:vAlign w:val="top"/>
          </w:tcPr>
          <w:p w14:paraId="63A7CD54">
            <w:pPr>
              <w:rPr>
                <w:rFonts w:ascii="Arial"/>
                <w:sz w:val="21"/>
              </w:rPr>
            </w:pPr>
          </w:p>
        </w:tc>
        <w:tc>
          <w:tcPr>
            <w:tcW w:w="3202" w:type="dxa"/>
            <w:vAlign w:val="top"/>
          </w:tcPr>
          <w:p w14:paraId="3ACCD9DC">
            <w:pPr>
              <w:pStyle w:val="6"/>
              <w:spacing w:before="31" w:line="182" w:lineRule="auto"/>
              <w:ind w:left="117" w:right="111" w:firstLine="5"/>
              <w:jc w:val="both"/>
            </w:pPr>
            <w:r>
              <w:rPr>
                <w:spacing w:val="16"/>
              </w:rPr>
              <w:t>经营者供应按照国家标准规</w:t>
            </w:r>
            <w:r>
              <w:rPr>
                <w:spacing w:val="17"/>
              </w:rPr>
              <w:t>定应由专业燃放人员燃放的烟花爆竹。从事烟花爆竹零</w:t>
            </w:r>
            <w:r>
              <w:rPr>
                <w:spacing w:val="13"/>
              </w:rPr>
              <w:t>售的经营者，不得销售按照</w:t>
            </w:r>
          </w:p>
          <w:p w14:paraId="0E7AA154">
            <w:pPr>
              <w:pStyle w:val="6"/>
              <w:spacing w:line="182" w:lineRule="auto"/>
              <w:ind w:left="144"/>
              <w:outlineLvl w:val="0"/>
            </w:pPr>
            <w:r>
              <w:rPr>
                <w:spacing w:val="15"/>
              </w:rPr>
              <w:t>国家标准规定应由专业燃放</w:t>
            </w:r>
          </w:p>
          <w:p w14:paraId="2BFD21B6">
            <w:pPr>
              <w:pStyle w:val="6"/>
              <w:spacing w:line="182" w:lineRule="auto"/>
              <w:ind w:left="120"/>
              <w:outlineLvl w:val="1"/>
            </w:pPr>
            <w:r>
              <w:rPr>
                <w:spacing w:val="4"/>
              </w:rPr>
              <w:t>人员燃放的烟花爆竹。</w:t>
            </w:r>
          </w:p>
          <w:p w14:paraId="2F7AEFDB">
            <w:pPr>
              <w:pStyle w:val="6"/>
              <w:spacing w:before="5" w:line="182" w:lineRule="auto"/>
              <w:ind w:left="119" w:right="111" w:hanging="3"/>
              <w:jc w:val="both"/>
            </w:pPr>
            <w:r>
              <w:rPr>
                <w:rFonts w:ascii="宋体" w:hAnsi="宋体" w:eastAsia="宋体" w:cs="宋体"/>
                <w:spacing w:val="15"/>
              </w:rPr>
              <w:t>2.</w:t>
            </w:r>
            <w:r>
              <w:rPr>
                <w:spacing w:val="15"/>
              </w:rPr>
              <w:t>【部门规章】《烟花爆竹</w:t>
            </w:r>
            <w:bookmarkStart w:id="684" w:name="bookmark597"/>
            <w:bookmarkEnd w:id="684"/>
            <w:bookmarkStart w:id="685" w:name="bookmark400"/>
            <w:bookmarkEnd w:id="685"/>
            <w:r>
              <w:rPr>
                <w:spacing w:val="17"/>
              </w:rPr>
              <w:t>经营许可实施办法》第二十</w:t>
            </w:r>
            <w:r>
              <w:rPr>
                <w:spacing w:val="13"/>
              </w:rPr>
              <w:t>二条第一款、第二款：批发</w:t>
            </w:r>
            <w:r>
              <w:rPr>
                <w:spacing w:val="17"/>
              </w:rPr>
              <w:t>企业、零售经营者不得采购和销售非法生产、经营的烟花爆竹和产品质量不符合国家标准或者行业标准规定的</w:t>
            </w:r>
            <w:r>
              <w:rPr>
                <w:spacing w:val="-1"/>
              </w:rPr>
              <w:t>烟花爆竹。</w:t>
            </w:r>
          </w:p>
          <w:p w14:paraId="113EDB2A">
            <w:pPr>
              <w:pStyle w:val="6"/>
              <w:spacing w:before="3" w:line="180" w:lineRule="auto"/>
              <w:ind w:left="116" w:right="111" w:firstLine="4"/>
            </w:pPr>
            <w:r>
              <w:rPr>
                <w:spacing w:val="17"/>
              </w:rPr>
              <w:t>批发企业不得向未取得零售许可证的单位或者个人销售</w:t>
            </w:r>
            <w:r>
              <w:rPr>
                <w:spacing w:val="13"/>
              </w:rPr>
              <w:t>烟花爆竹，不得向零售经营</w:t>
            </w:r>
            <w:r>
              <w:rPr>
                <w:spacing w:val="17"/>
              </w:rPr>
              <w:t>者销售礼花弹等应当由专业</w:t>
            </w:r>
            <w:r>
              <w:rPr>
                <w:spacing w:val="13"/>
              </w:rPr>
              <w:t>燃放人员燃放的烟花爆竹；</w:t>
            </w:r>
            <w:r>
              <w:rPr>
                <w:spacing w:val="17"/>
              </w:rPr>
              <w:t>从事黑火药、引火线批发的企业不得向无《烟花爆竹安全生产许可证》的单位或者</w:t>
            </w:r>
            <w:r>
              <w:rPr>
                <w:spacing w:val="15"/>
              </w:rPr>
              <w:t>个人销售烟火药、黑火药、</w:t>
            </w:r>
            <w:r>
              <w:rPr>
                <w:spacing w:val="-2"/>
              </w:rPr>
              <w:t>引火线。</w:t>
            </w:r>
          </w:p>
        </w:tc>
        <w:tc>
          <w:tcPr>
            <w:tcW w:w="2859" w:type="dxa"/>
            <w:vAlign w:val="top"/>
          </w:tcPr>
          <w:p w14:paraId="6543B260">
            <w:pPr>
              <w:pStyle w:val="6"/>
              <w:spacing w:before="29" w:line="184" w:lineRule="auto"/>
              <w:ind w:left="116" w:right="40"/>
              <w:jc w:val="both"/>
            </w:pPr>
            <w:r>
              <w:rPr>
                <w:rFonts w:ascii="宋体" w:hAnsi="宋体" w:eastAsia="宋体" w:cs="宋体"/>
                <w:spacing w:val="7"/>
              </w:rPr>
              <w:t>2.</w:t>
            </w:r>
            <w:r>
              <w:rPr>
                <w:spacing w:val="7"/>
              </w:rPr>
              <w:t>【部门规章】《烟花爆</w:t>
            </w:r>
            <w:r>
              <w:rPr>
                <w:spacing w:val="8"/>
              </w:rPr>
              <w:t>竹经营许可实施办法》第</w:t>
            </w:r>
            <w:r>
              <w:rPr>
                <w:spacing w:val="-6"/>
              </w:rPr>
              <w:t>三十三条第二项、第三项：</w:t>
            </w:r>
            <w:r>
              <w:rPr>
                <w:spacing w:val="6"/>
              </w:rPr>
              <w:t>批发企业有下列行为之一</w:t>
            </w:r>
            <w:r>
              <w:rPr>
                <w:spacing w:val="2"/>
              </w:rPr>
              <w:t>的，责令其停业整顿，依</w:t>
            </w:r>
            <w:r>
              <w:rPr>
                <w:spacing w:val="9"/>
              </w:rPr>
              <w:t>法暂扣批发许可证，处</w:t>
            </w:r>
            <w:r>
              <w:rPr>
                <w:rFonts w:ascii="宋体" w:hAnsi="宋体" w:eastAsia="宋体" w:cs="宋体"/>
                <w:spacing w:val="9"/>
              </w:rPr>
              <w:t>2</w:t>
            </w:r>
            <w:r>
              <w:rPr>
                <w:spacing w:val="9"/>
              </w:rPr>
              <w:t>万元以上</w:t>
            </w:r>
            <w:r>
              <w:rPr>
                <w:rFonts w:ascii="宋体" w:hAnsi="宋体" w:eastAsia="宋体" w:cs="宋体"/>
                <w:spacing w:val="9"/>
              </w:rPr>
              <w:t>10</w:t>
            </w:r>
            <w:r>
              <w:rPr>
                <w:spacing w:val="9"/>
              </w:rPr>
              <w:t>万元以下的</w:t>
            </w:r>
            <w:r>
              <w:rPr>
                <w:spacing w:val="8"/>
              </w:rPr>
              <w:t>罚款，并没收非法经营的物品及违法所得；情节严</w:t>
            </w:r>
            <w:r>
              <w:rPr>
                <w:spacing w:val="5"/>
              </w:rPr>
              <w:t>重的，依法吊销批发许可</w:t>
            </w:r>
            <w:r>
              <w:rPr>
                <w:spacing w:val="9"/>
              </w:rPr>
              <w:t>证</w:t>
            </w:r>
            <w:r>
              <w:rPr>
                <w:spacing w:val="7"/>
              </w:rPr>
              <w:t>：（</w:t>
            </w:r>
            <w:r>
              <w:rPr>
                <w:spacing w:val="9"/>
              </w:rPr>
              <w:t>二）向零售经营者</w:t>
            </w:r>
            <w:r>
              <w:rPr>
                <w:spacing w:val="8"/>
              </w:rPr>
              <w:t>供应非法生产、经营的烟</w:t>
            </w:r>
            <w:r>
              <w:rPr>
                <w:spacing w:val="9"/>
              </w:rPr>
              <w:t>花爆竹的</w:t>
            </w:r>
            <w:r>
              <w:rPr>
                <w:spacing w:val="7"/>
              </w:rPr>
              <w:t>；（</w:t>
            </w:r>
            <w:r>
              <w:rPr>
                <w:spacing w:val="9"/>
              </w:rPr>
              <w:t>三）向零售</w:t>
            </w:r>
            <w:r>
              <w:rPr>
                <w:spacing w:val="8"/>
              </w:rPr>
              <w:t>经营者供应礼花弹等按照国家标准规定应当由专业</w:t>
            </w:r>
            <w:r>
              <w:rPr>
                <w:spacing w:val="5"/>
              </w:rPr>
              <w:t>人员燃放的烟花爆竹的。</w:t>
            </w:r>
          </w:p>
        </w:tc>
        <w:tc>
          <w:tcPr>
            <w:tcW w:w="803" w:type="dxa"/>
            <w:vAlign w:val="top"/>
          </w:tcPr>
          <w:p w14:paraId="4193F46D">
            <w:pPr>
              <w:rPr>
                <w:rFonts w:ascii="Arial"/>
                <w:sz w:val="21"/>
              </w:rPr>
            </w:pPr>
          </w:p>
        </w:tc>
        <w:tc>
          <w:tcPr>
            <w:tcW w:w="2283" w:type="dxa"/>
            <w:vAlign w:val="top"/>
          </w:tcPr>
          <w:p w14:paraId="58D98F64">
            <w:pPr>
              <w:rPr>
                <w:rFonts w:ascii="Arial"/>
                <w:sz w:val="21"/>
              </w:rPr>
            </w:pPr>
          </w:p>
        </w:tc>
        <w:tc>
          <w:tcPr>
            <w:tcW w:w="2894" w:type="dxa"/>
            <w:vAlign w:val="top"/>
          </w:tcPr>
          <w:p w14:paraId="1454998B">
            <w:pPr>
              <w:pStyle w:val="6"/>
              <w:spacing w:before="26" w:line="192" w:lineRule="auto"/>
              <w:ind w:left="124" w:right="110" w:firstLine="1"/>
              <w:jc w:val="both"/>
            </w:pPr>
            <w:r>
              <w:rPr>
                <w:spacing w:val="7"/>
              </w:rPr>
              <w:t>物品及违法所得；情节严</w:t>
            </w:r>
            <w:r>
              <w:rPr>
                <w:spacing w:val="4"/>
              </w:rPr>
              <w:t>重的，吊销烟花爆竹经营</w:t>
            </w:r>
            <w:r>
              <w:rPr>
                <w:spacing w:val="3"/>
              </w:rPr>
              <w:t>许可证</w:t>
            </w:r>
          </w:p>
        </w:tc>
        <w:tc>
          <w:tcPr>
            <w:tcW w:w="811" w:type="dxa"/>
            <w:vAlign w:val="top"/>
          </w:tcPr>
          <w:p w14:paraId="5B4E2AC4">
            <w:pPr>
              <w:rPr>
                <w:rFonts w:ascii="Arial"/>
                <w:sz w:val="21"/>
              </w:rPr>
            </w:pPr>
          </w:p>
        </w:tc>
      </w:tr>
      <w:tr w14:paraId="35788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6" w:hRule="atLeast"/>
        </w:trPr>
        <w:tc>
          <w:tcPr>
            <w:tcW w:w="818" w:type="dxa"/>
            <w:vMerge w:val="restart"/>
            <w:tcBorders>
              <w:bottom w:val="nil"/>
            </w:tcBorders>
            <w:vAlign w:val="top"/>
          </w:tcPr>
          <w:p w14:paraId="04504139">
            <w:pPr>
              <w:spacing w:line="267" w:lineRule="auto"/>
              <w:rPr>
                <w:rFonts w:ascii="Arial"/>
                <w:sz w:val="21"/>
              </w:rPr>
            </w:pPr>
          </w:p>
          <w:p w14:paraId="6955A729">
            <w:pPr>
              <w:spacing w:line="267" w:lineRule="auto"/>
              <w:rPr>
                <w:rFonts w:ascii="Arial"/>
                <w:sz w:val="21"/>
              </w:rPr>
            </w:pPr>
          </w:p>
          <w:p w14:paraId="72888ECF">
            <w:pPr>
              <w:spacing w:line="268" w:lineRule="auto"/>
              <w:rPr>
                <w:rFonts w:ascii="Arial"/>
                <w:sz w:val="21"/>
              </w:rPr>
            </w:pPr>
          </w:p>
          <w:p w14:paraId="0A5791C1">
            <w:pPr>
              <w:spacing w:before="74" w:line="186" w:lineRule="auto"/>
              <w:ind w:left="161"/>
              <w:rPr>
                <w:rFonts w:ascii="仿宋" w:hAnsi="仿宋" w:eastAsia="仿宋" w:cs="仿宋"/>
                <w:sz w:val="23"/>
                <w:szCs w:val="23"/>
              </w:rPr>
            </w:pPr>
            <w:r>
              <w:rPr>
                <w:rFonts w:ascii="仿宋" w:hAnsi="仿宋" w:eastAsia="仿宋" w:cs="仿宋"/>
                <w:spacing w:val="-5"/>
                <w:sz w:val="23"/>
                <w:szCs w:val="23"/>
              </w:rPr>
              <w:t>196</w:t>
            </w:r>
          </w:p>
        </w:tc>
        <w:tc>
          <w:tcPr>
            <w:tcW w:w="1440" w:type="dxa"/>
            <w:vMerge w:val="restart"/>
            <w:tcBorders>
              <w:bottom w:val="nil"/>
            </w:tcBorders>
            <w:vAlign w:val="top"/>
          </w:tcPr>
          <w:p w14:paraId="43188509">
            <w:pPr>
              <w:pStyle w:val="6"/>
              <w:spacing w:before="83" w:line="184" w:lineRule="auto"/>
              <w:ind w:left="114" w:right="111" w:firstLine="5"/>
              <w:jc w:val="both"/>
            </w:pPr>
            <w:r>
              <w:rPr>
                <w:spacing w:val="10"/>
              </w:rPr>
              <w:t>烟花爆竹批</w:t>
            </w:r>
            <w:r>
              <w:rPr>
                <w:spacing w:val="11"/>
              </w:rPr>
              <w:t>发企业在城市建成区内设立烟花爆</w:t>
            </w:r>
            <w:r>
              <w:rPr>
                <w:spacing w:val="-4"/>
              </w:rPr>
              <w:t>竹储存仓</w:t>
            </w:r>
            <w:r>
              <w:rPr>
                <w:spacing w:val="4"/>
              </w:rPr>
              <w:t>库，或者在</w:t>
            </w:r>
          </w:p>
        </w:tc>
        <w:tc>
          <w:tcPr>
            <w:tcW w:w="3202" w:type="dxa"/>
            <w:vMerge w:val="restart"/>
            <w:tcBorders>
              <w:bottom w:val="nil"/>
            </w:tcBorders>
            <w:vAlign w:val="top"/>
          </w:tcPr>
          <w:p w14:paraId="703CC2BC">
            <w:pPr>
              <w:pStyle w:val="6"/>
              <w:spacing w:before="31" w:line="187" w:lineRule="auto"/>
              <w:ind w:left="117" w:right="106" w:hanging="19"/>
              <w:jc w:val="both"/>
            </w:pPr>
            <w:r>
              <w:rPr>
                <w:spacing w:val="18"/>
              </w:rPr>
              <w:t>【部门规章】《烟花爆竹经</w:t>
            </w:r>
            <w:r>
              <w:rPr>
                <w:spacing w:val="17"/>
              </w:rPr>
              <w:t>营许可实施办法》第四条第</w:t>
            </w:r>
            <w:r>
              <w:rPr>
                <w:spacing w:val="13"/>
              </w:rPr>
              <w:t>二款：批发企业不得在城市</w:t>
            </w:r>
            <w:r>
              <w:rPr>
                <w:spacing w:val="17"/>
              </w:rPr>
              <w:t>建成区内设立烟花爆竹储存</w:t>
            </w:r>
            <w:r>
              <w:rPr>
                <w:spacing w:val="13"/>
              </w:rPr>
              <w:t>仓库，不得在批发（展示）场所摆放有药样品；严格控</w:t>
            </w:r>
          </w:p>
        </w:tc>
        <w:tc>
          <w:tcPr>
            <w:tcW w:w="2859" w:type="dxa"/>
            <w:vMerge w:val="restart"/>
            <w:tcBorders>
              <w:bottom w:val="nil"/>
            </w:tcBorders>
            <w:vAlign w:val="top"/>
          </w:tcPr>
          <w:p w14:paraId="5268CAB4">
            <w:pPr>
              <w:pStyle w:val="6"/>
              <w:spacing w:before="32" w:line="187" w:lineRule="auto"/>
              <w:ind w:left="114" w:right="106" w:hanging="17"/>
              <w:jc w:val="both"/>
            </w:pPr>
            <w:r>
              <w:rPr>
                <w:spacing w:val="10"/>
              </w:rPr>
              <w:t>【部门规章】《烟花爆竹</w:t>
            </w:r>
            <w:r>
              <w:rPr>
                <w:spacing w:val="8"/>
              </w:rPr>
              <w:t>经营许可实施办法》第三十二条第一项：批发企业有下列行为之一的，责令</w:t>
            </w:r>
            <w:r>
              <w:rPr>
                <w:spacing w:val="-4"/>
              </w:rPr>
              <w:t>其限期改正，处</w:t>
            </w:r>
            <w:r>
              <w:rPr>
                <w:rFonts w:ascii="宋体" w:hAnsi="宋体" w:eastAsia="宋体" w:cs="宋体"/>
                <w:spacing w:val="-4"/>
              </w:rPr>
              <w:t>5000</w:t>
            </w:r>
            <w:r>
              <w:rPr>
                <w:spacing w:val="-4"/>
              </w:rPr>
              <w:t>元以</w:t>
            </w:r>
            <w:r>
              <w:rPr>
                <w:spacing w:val="17"/>
              </w:rPr>
              <w:t>上</w:t>
            </w:r>
            <w:r>
              <w:rPr>
                <w:rFonts w:ascii="宋体" w:hAnsi="宋体" w:eastAsia="宋体" w:cs="宋体"/>
                <w:spacing w:val="17"/>
              </w:rPr>
              <w:t>3</w:t>
            </w:r>
            <w:r>
              <w:rPr>
                <w:spacing w:val="17"/>
              </w:rPr>
              <w:t>万元以下的罚款：</w:t>
            </w:r>
          </w:p>
        </w:tc>
        <w:tc>
          <w:tcPr>
            <w:tcW w:w="803" w:type="dxa"/>
            <w:vAlign w:val="top"/>
          </w:tcPr>
          <w:p w14:paraId="208F6285">
            <w:pPr>
              <w:spacing w:line="343" w:lineRule="auto"/>
              <w:rPr>
                <w:rFonts w:ascii="Arial"/>
                <w:sz w:val="21"/>
              </w:rPr>
            </w:pPr>
          </w:p>
          <w:p w14:paraId="44607DD4">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EAE93B4">
            <w:pPr>
              <w:pStyle w:val="6"/>
              <w:spacing w:before="229" w:line="195" w:lineRule="auto"/>
              <w:ind w:left="116" w:right="109"/>
            </w:pPr>
            <w:r>
              <w:rPr>
                <w:spacing w:val="-3"/>
              </w:rPr>
              <w:t>在批发（展示）场所</w:t>
            </w:r>
            <w:r>
              <w:rPr>
                <w:spacing w:val="7"/>
              </w:rPr>
              <w:t>摆放有药样品的</w:t>
            </w:r>
          </w:p>
        </w:tc>
        <w:tc>
          <w:tcPr>
            <w:tcW w:w="2894" w:type="dxa"/>
            <w:vAlign w:val="top"/>
          </w:tcPr>
          <w:p w14:paraId="15D44996">
            <w:pPr>
              <w:pStyle w:val="6"/>
              <w:spacing w:before="227" w:line="196" w:lineRule="auto"/>
              <w:ind w:left="146" w:right="104" w:hanging="19"/>
            </w:pPr>
            <w:r>
              <w:rPr>
                <w:spacing w:val="-2"/>
              </w:rPr>
              <w:t>责令限期改正，处</w:t>
            </w:r>
            <w:r>
              <w:rPr>
                <w:rFonts w:ascii="宋体" w:hAnsi="宋体" w:eastAsia="宋体" w:cs="宋体"/>
                <w:spacing w:val="-2"/>
              </w:rPr>
              <w:t>5000</w:t>
            </w:r>
            <w:r>
              <w:rPr>
                <w:spacing w:val="-2"/>
              </w:rPr>
              <w:t>元</w:t>
            </w:r>
            <w:r>
              <w:rPr>
                <w:spacing w:val="-1"/>
              </w:rPr>
              <w:t>以上</w:t>
            </w:r>
            <w:r>
              <w:rPr>
                <w:rFonts w:ascii="宋体" w:hAnsi="宋体" w:eastAsia="宋体" w:cs="宋体"/>
                <w:spacing w:val="-1"/>
              </w:rPr>
              <w:t>1</w:t>
            </w:r>
            <w:r>
              <w:rPr>
                <w:spacing w:val="-1"/>
              </w:rPr>
              <w:t>万元以下的罚款</w:t>
            </w:r>
          </w:p>
        </w:tc>
        <w:tc>
          <w:tcPr>
            <w:tcW w:w="811" w:type="dxa"/>
            <w:vMerge w:val="restart"/>
            <w:tcBorders>
              <w:bottom w:val="nil"/>
            </w:tcBorders>
            <w:vAlign w:val="top"/>
          </w:tcPr>
          <w:p w14:paraId="328BD43B">
            <w:pPr>
              <w:spacing w:line="266" w:lineRule="auto"/>
              <w:rPr>
                <w:rFonts w:ascii="Arial"/>
                <w:sz w:val="21"/>
              </w:rPr>
            </w:pPr>
          </w:p>
          <w:p w14:paraId="21652DC0">
            <w:pPr>
              <w:spacing w:line="266" w:lineRule="auto"/>
              <w:rPr>
                <w:rFonts w:ascii="Arial"/>
                <w:sz w:val="21"/>
              </w:rPr>
            </w:pPr>
          </w:p>
          <w:p w14:paraId="161B8CD5">
            <w:pPr>
              <w:spacing w:line="266" w:lineRule="auto"/>
              <w:rPr>
                <w:rFonts w:ascii="Arial"/>
                <w:sz w:val="21"/>
              </w:rPr>
            </w:pPr>
          </w:p>
          <w:p w14:paraId="1C341F24">
            <w:pPr>
              <w:spacing w:before="75" w:line="189" w:lineRule="auto"/>
              <w:ind w:left="248"/>
              <w:rPr>
                <w:rFonts w:ascii="宋体" w:hAnsi="宋体" w:eastAsia="宋体" w:cs="宋体"/>
                <w:sz w:val="23"/>
                <w:szCs w:val="23"/>
              </w:rPr>
            </w:pPr>
            <w:r>
              <w:rPr>
                <w:rFonts w:ascii="宋体" w:hAnsi="宋体" w:eastAsia="宋体" w:cs="宋体"/>
                <w:spacing w:val="-6"/>
                <w:sz w:val="23"/>
                <w:szCs w:val="23"/>
              </w:rPr>
              <w:t>170</w:t>
            </w:r>
          </w:p>
        </w:tc>
      </w:tr>
      <w:tr w14:paraId="0A46D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818" w:type="dxa"/>
            <w:vMerge w:val="continue"/>
            <w:tcBorders>
              <w:top w:val="nil"/>
            </w:tcBorders>
            <w:vAlign w:val="top"/>
          </w:tcPr>
          <w:p w14:paraId="1F9E3B37">
            <w:pPr>
              <w:rPr>
                <w:rFonts w:ascii="Arial"/>
                <w:sz w:val="21"/>
              </w:rPr>
            </w:pPr>
          </w:p>
        </w:tc>
        <w:tc>
          <w:tcPr>
            <w:tcW w:w="1440" w:type="dxa"/>
            <w:vMerge w:val="continue"/>
            <w:tcBorders>
              <w:top w:val="nil"/>
            </w:tcBorders>
            <w:vAlign w:val="top"/>
          </w:tcPr>
          <w:p w14:paraId="7786F419">
            <w:pPr>
              <w:rPr>
                <w:rFonts w:ascii="Arial"/>
                <w:sz w:val="21"/>
              </w:rPr>
            </w:pPr>
          </w:p>
        </w:tc>
        <w:tc>
          <w:tcPr>
            <w:tcW w:w="3202" w:type="dxa"/>
            <w:vMerge w:val="continue"/>
            <w:tcBorders>
              <w:top w:val="nil"/>
            </w:tcBorders>
            <w:vAlign w:val="top"/>
          </w:tcPr>
          <w:p w14:paraId="55A07588">
            <w:pPr>
              <w:rPr>
                <w:rFonts w:ascii="Arial"/>
                <w:sz w:val="21"/>
              </w:rPr>
            </w:pPr>
          </w:p>
        </w:tc>
        <w:tc>
          <w:tcPr>
            <w:tcW w:w="2859" w:type="dxa"/>
            <w:vMerge w:val="continue"/>
            <w:tcBorders>
              <w:top w:val="nil"/>
            </w:tcBorders>
            <w:vAlign w:val="top"/>
          </w:tcPr>
          <w:p w14:paraId="309BEAEB">
            <w:pPr>
              <w:rPr>
                <w:rFonts w:ascii="Arial"/>
                <w:sz w:val="21"/>
              </w:rPr>
            </w:pPr>
          </w:p>
        </w:tc>
        <w:tc>
          <w:tcPr>
            <w:tcW w:w="803" w:type="dxa"/>
            <w:vAlign w:val="top"/>
          </w:tcPr>
          <w:p w14:paraId="0012D3F5">
            <w:pPr>
              <w:spacing w:line="301" w:lineRule="auto"/>
              <w:rPr>
                <w:rFonts w:ascii="Arial"/>
                <w:sz w:val="21"/>
              </w:rPr>
            </w:pPr>
          </w:p>
          <w:p w14:paraId="42A9860F">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F309151">
            <w:pPr>
              <w:pStyle w:val="6"/>
              <w:spacing w:before="34" w:line="175" w:lineRule="auto"/>
              <w:ind w:left="122" w:right="109" w:hanging="5"/>
              <w:jc w:val="both"/>
            </w:pPr>
            <w:r>
              <w:rPr>
                <w:spacing w:val="26"/>
              </w:rPr>
              <w:t>在城市建成区内设</w:t>
            </w:r>
            <w:r>
              <w:rPr>
                <w:spacing w:val="25"/>
              </w:rPr>
              <w:t>立烟花爆竹储存仓</w:t>
            </w:r>
            <w:r>
              <w:t>库的</w:t>
            </w:r>
          </w:p>
        </w:tc>
        <w:tc>
          <w:tcPr>
            <w:tcW w:w="2894" w:type="dxa"/>
            <w:vAlign w:val="top"/>
          </w:tcPr>
          <w:p w14:paraId="72A5769B">
            <w:pPr>
              <w:pStyle w:val="6"/>
              <w:spacing w:before="183" w:line="196" w:lineRule="auto"/>
              <w:ind w:left="146" w:right="103" w:hanging="19"/>
            </w:pPr>
            <w:r>
              <w:rPr>
                <w:spacing w:val="2"/>
              </w:rPr>
              <w:t>责令限期改正，处</w:t>
            </w:r>
            <w:r>
              <w:rPr>
                <w:rFonts w:ascii="宋体" w:hAnsi="宋体" w:eastAsia="宋体" w:cs="宋体"/>
                <w:spacing w:val="2"/>
              </w:rPr>
              <w:t>1</w:t>
            </w:r>
            <w:r>
              <w:rPr>
                <w:spacing w:val="2"/>
              </w:rPr>
              <w:t>万元</w:t>
            </w:r>
            <w:r>
              <w:rPr>
                <w:spacing w:val="1"/>
              </w:rPr>
              <w:t>以上</w:t>
            </w:r>
            <w:r>
              <w:rPr>
                <w:rFonts w:ascii="宋体" w:hAnsi="宋体" w:eastAsia="宋体" w:cs="宋体"/>
                <w:spacing w:val="1"/>
              </w:rPr>
              <w:t>2</w:t>
            </w:r>
            <w:r>
              <w:rPr>
                <w:spacing w:val="1"/>
              </w:rPr>
              <w:t>万元以下的罚款</w:t>
            </w:r>
          </w:p>
        </w:tc>
        <w:tc>
          <w:tcPr>
            <w:tcW w:w="811" w:type="dxa"/>
            <w:vMerge w:val="continue"/>
            <w:tcBorders>
              <w:top w:val="nil"/>
            </w:tcBorders>
            <w:vAlign w:val="top"/>
          </w:tcPr>
          <w:p w14:paraId="61A27CA1">
            <w:pPr>
              <w:rPr>
                <w:rFonts w:ascii="Arial"/>
                <w:sz w:val="21"/>
              </w:rPr>
            </w:pPr>
          </w:p>
        </w:tc>
      </w:tr>
    </w:tbl>
    <w:p w14:paraId="77A2C0C1">
      <w:pPr>
        <w:pStyle w:val="2"/>
        <w:spacing w:line="236" w:lineRule="exact"/>
        <w:rPr>
          <w:sz w:val="20"/>
        </w:rPr>
      </w:pPr>
    </w:p>
    <w:p w14:paraId="34A24AFD">
      <w:pPr>
        <w:spacing w:line="236" w:lineRule="exact"/>
        <w:rPr>
          <w:sz w:val="20"/>
          <w:szCs w:val="20"/>
        </w:rPr>
        <w:sectPr>
          <w:footerReference r:id="rId207" w:type="default"/>
          <w:pgSz w:w="16839" w:h="11906"/>
          <w:pgMar w:top="1012" w:right="821" w:bottom="666" w:left="901" w:header="0" w:footer="388" w:gutter="0"/>
          <w:cols w:space="720" w:num="1"/>
        </w:sectPr>
      </w:pPr>
    </w:p>
    <w:p w14:paraId="42982BF4">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5AC5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473387E">
            <w:pPr>
              <w:spacing w:before="222" w:line="241" w:lineRule="auto"/>
              <w:ind w:left="131"/>
              <w:outlineLvl w:val="0"/>
              <w:rPr>
                <w:rFonts w:ascii="黑体" w:hAnsi="黑体" w:eastAsia="黑体" w:cs="黑体"/>
                <w:sz w:val="28"/>
                <w:szCs w:val="28"/>
              </w:rPr>
            </w:pPr>
            <w:bookmarkStart w:id="686" w:name="bookmark402"/>
            <w:bookmarkEnd w:id="686"/>
            <w:r>
              <w:rPr>
                <w:rFonts w:ascii="黑体" w:hAnsi="黑体" w:eastAsia="黑体" w:cs="黑体"/>
                <w:spacing w:val="-2"/>
                <w:sz w:val="28"/>
                <w:szCs w:val="28"/>
              </w:rPr>
              <w:t>序号</w:t>
            </w:r>
          </w:p>
        </w:tc>
        <w:tc>
          <w:tcPr>
            <w:tcW w:w="1440" w:type="dxa"/>
            <w:vAlign w:val="top"/>
          </w:tcPr>
          <w:p w14:paraId="6A763ED1">
            <w:pPr>
              <w:spacing w:before="221"/>
              <w:ind w:left="163"/>
              <w:outlineLvl w:val="1"/>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3A73991">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14AF33B">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4877A65">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14D761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8790193">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C8330D4">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11D3C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Align w:val="top"/>
          </w:tcPr>
          <w:p w14:paraId="25EF1116">
            <w:pPr>
              <w:rPr>
                <w:rFonts w:ascii="Arial"/>
                <w:sz w:val="21"/>
              </w:rPr>
            </w:pPr>
          </w:p>
        </w:tc>
        <w:tc>
          <w:tcPr>
            <w:tcW w:w="1440" w:type="dxa"/>
            <w:vAlign w:val="top"/>
          </w:tcPr>
          <w:p w14:paraId="7FDD030F">
            <w:pPr>
              <w:pStyle w:val="6"/>
              <w:spacing w:before="29" w:line="191" w:lineRule="auto"/>
              <w:ind w:left="115" w:firstLine="3"/>
              <w:jc w:val="both"/>
            </w:pPr>
            <w:r>
              <w:rPr>
                <w:spacing w:val="-11"/>
              </w:rPr>
              <w:t>批发（展示）</w:t>
            </w:r>
            <w:r>
              <w:rPr>
                <w:spacing w:val="8"/>
              </w:rPr>
              <w:t>场所摆放有</w:t>
            </w:r>
            <w:r>
              <w:rPr>
                <w:spacing w:val="3"/>
              </w:rPr>
              <w:t>药样品的</w:t>
            </w:r>
          </w:p>
        </w:tc>
        <w:tc>
          <w:tcPr>
            <w:tcW w:w="3202" w:type="dxa"/>
            <w:vAlign w:val="top"/>
          </w:tcPr>
          <w:p w14:paraId="56BE0198">
            <w:pPr>
              <w:pStyle w:val="6"/>
              <w:spacing w:before="28" w:line="182" w:lineRule="auto"/>
              <w:ind w:left="123"/>
              <w:outlineLvl w:val="1"/>
            </w:pPr>
            <w:r>
              <w:rPr>
                <w:spacing w:val="16"/>
              </w:rPr>
              <w:t>制城市建成区内烟花爆竹零</w:t>
            </w:r>
          </w:p>
          <w:p w14:paraId="456631CA">
            <w:pPr>
              <w:pStyle w:val="6"/>
              <w:spacing w:line="182" w:lineRule="auto"/>
              <w:ind w:left="124"/>
              <w:outlineLvl w:val="1"/>
            </w:pPr>
            <w:r>
              <w:rPr>
                <w:spacing w:val="13"/>
              </w:rPr>
              <w:t>售点数量，且烟花爆竹零售</w:t>
            </w:r>
          </w:p>
          <w:p w14:paraId="088E48CA">
            <w:pPr>
              <w:pStyle w:val="6"/>
              <w:spacing w:line="182" w:lineRule="auto"/>
              <w:ind w:left="133"/>
              <w:outlineLvl w:val="1"/>
            </w:pPr>
            <w:r>
              <w:rPr>
                <w:spacing w:val="16"/>
              </w:rPr>
              <w:t>点不得与居民居住场所设置</w:t>
            </w:r>
          </w:p>
          <w:p w14:paraId="6B090321">
            <w:pPr>
              <w:pStyle w:val="6"/>
              <w:spacing w:before="1" w:line="209" w:lineRule="auto"/>
              <w:ind w:left="117"/>
            </w:pPr>
            <w:r>
              <w:rPr>
                <w:spacing w:val="3"/>
              </w:rPr>
              <w:t>在同一建筑物内。</w:t>
            </w:r>
          </w:p>
        </w:tc>
        <w:tc>
          <w:tcPr>
            <w:tcW w:w="2859" w:type="dxa"/>
            <w:vAlign w:val="top"/>
          </w:tcPr>
          <w:p w14:paraId="13CAEBF4">
            <w:pPr>
              <w:pStyle w:val="6"/>
              <w:spacing w:before="27" w:line="189" w:lineRule="auto"/>
              <w:ind w:left="118" w:right="110" w:hanging="20"/>
              <w:jc w:val="both"/>
            </w:pPr>
            <w:r>
              <w:t>（一）在城市建成区内设</w:t>
            </w:r>
            <w:r>
              <w:rPr>
                <w:spacing w:val="2"/>
              </w:rPr>
              <w:t>立烟花爆竹储存仓库，或</w:t>
            </w:r>
            <w:r>
              <w:rPr>
                <w:spacing w:val="8"/>
              </w:rPr>
              <w:t>者在批发（展示）场所摆</w:t>
            </w:r>
            <w:r>
              <w:rPr>
                <w:spacing w:val="1"/>
              </w:rPr>
              <w:t>放有药样品的；</w:t>
            </w:r>
          </w:p>
        </w:tc>
        <w:tc>
          <w:tcPr>
            <w:tcW w:w="803" w:type="dxa"/>
            <w:vAlign w:val="top"/>
          </w:tcPr>
          <w:p w14:paraId="24C2D221">
            <w:pPr>
              <w:spacing w:line="297" w:lineRule="auto"/>
              <w:rPr>
                <w:rFonts w:ascii="Arial"/>
                <w:sz w:val="21"/>
              </w:rPr>
            </w:pPr>
          </w:p>
          <w:p w14:paraId="74E5FD4F">
            <w:pPr>
              <w:spacing w:line="298" w:lineRule="auto"/>
              <w:rPr>
                <w:rFonts w:ascii="Arial"/>
                <w:sz w:val="21"/>
              </w:rPr>
            </w:pPr>
          </w:p>
          <w:p w14:paraId="553AE82F">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8E15E88">
            <w:pPr>
              <w:pStyle w:val="6"/>
              <w:spacing w:before="30" w:line="178" w:lineRule="auto"/>
              <w:ind w:left="112" w:right="109" w:firstLine="4"/>
              <w:jc w:val="both"/>
            </w:pPr>
            <w:r>
              <w:rPr>
                <w:spacing w:val="-3"/>
              </w:rPr>
              <w:t>在批发（展示）场所</w:t>
            </w:r>
            <w:r>
              <w:rPr>
                <w:spacing w:val="-2"/>
              </w:rPr>
              <w:t>摆放有药样品，且在</w:t>
            </w:r>
            <w:r>
              <w:rPr>
                <w:spacing w:val="26"/>
              </w:rPr>
              <w:t>城市建成区内设立烟花爆竹储存仓库</w:t>
            </w:r>
            <w:r>
              <w:rPr>
                <w:spacing w:val="1"/>
              </w:rPr>
              <w:t>的</w:t>
            </w:r>
          </w:p>
        </w:tc>
        <w:tc>
          <w:tcPr>
            <w:tcW w:w="2894" w:type="dxa"/>
            <w:vAlign w:val="top"/>
          </w:tcPr>
          <w:p w14:paraId="5FFE4358">
            <w:pPr>
              <w:spacing w:line="378" w:lineRule="auto"/>
              <w:rPr>
                <w:rFonts w:ascii="Arial"/>
                <w:sz w:val="21"/>
              </w:rPr>
            </w:pPr>
          </w:p>
          <w:p w14:paraId="51604E1E">
            <w:pPr>
              <w:pStyle w:val="6"/>
              <w:spacing w:before="99" w:line="182" w:lineRule="auto"/>
              <w:ind w:left="127"/>
              <w:outlineLvl w:val="1"/>
            </w:pPr>
            <w:r>
              <w:rPr>
                <w:spacing w:val="4"/>
              </w:rPr>
              <w:t>责令限期改正，处</w:t>
            </w:r>
            <w:r>
              <w:rPr>
                <w:rFonts w:ascii="宋体" w:hAnsi="宋体" w:eastAsia="宋体" w:cs="宋体"/>
                <w:spacing w:val="4"/>
              </w:rPr>
              <w:t>2</w:t>
            </w:r>
            <w:r>
              <w:rPr>
                <w:spacing w:val="4"/>
              </w:rPr>
              <w:t>万元</w:t>
            </w:r>
          </w:p>
          <w:p w14:paraId="46994883">
            <w:pPr>
              <w:pStyle w:val="6"/>
              <w:spacing w:before="1" w:line="208" w:lineRule="auto"/>
              <w:ind w:left="147"/>
              <w:outlineLvl w:val="1"/>
            </w:pPr>
            <w:r>
              <w:rPr>
                <w:spacing w:val="1"/>
              </w:rPr>
              <w:t>以上</w:t>
            </w:r>
            <w:r>
              <w:rPr>
                <w:rFonts w:ascii="宋体" w:hAnsi="宋体" w:eastAsia="宋体" w:cs="宋体"/>
                <w:spacing w:val="1"/>
              </w:rPr>
              <w:t>3</w:t>
            </w:r>
            <w:r>
              <w:rPr>
                <w:spacing w:val="1"/>
              </w:rPr>
              <w:t>万元以下的罚款</w:t>
            </w:r>
          </w:p>
        </w:tc>
        <w:tc>
          <w:tcPr>
            <w:tcW w:w="811" w:type="dxa"/>
            <w:vAlign w:val="top"/>
          </w:tcPr>
          <w:p w14:paraId="43531019">
            <w:pPr>
              <w:rPr>
                <w:rFonts w:ascii="Arial"/>
                <w:sz w:val="21"/>
              </w:rPr>
            </w:pPr>
          </w:p>
        </w:tc>
      </w:tr>
      <w:tr w14:paraId="1AB07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5" w:hRule="atLeast"/>
        </w:trPr>
        <w:tc>
          <w:tcPr>
            <w:tcW w:w="818" w:type="dxa"/>
            <w:vMerge w:val="restart"/>
            <w:tcBorders>
              <w:bottom w:val="nil"/>
            </w:tcBorders>
            <w:vAlign w:val="top"/>
          </w:tcPr>
          <w:p w14:paraId="33D13117">
            <w:pPr>
              <w:spacing w:line="257" w:lineRule="auto"/>
              <w:rPr>
                <w:rFonts w:ascii="Arial"/>
                <w:sz w:val="21"/>
              </w:rPr>
            </w:pPr>
          </w:p>
          <w:p w14:paraId="4CC0A43D">
            <w:pPr>
              <w:spacing w:line="257" w:lineRule="auto"/>
              <w:rPr>
                <w:rFonts w:ascii="Arial"/>
                <w:sz w:val="21"/>
              </w:rPr>
            </w:pPr>
          </w:p>
          <w:p w14:paraId="239B7F71">
            <w:pPr>
              <w:spacing w:line="257" w:lineRule="auto"/>
              <w:rPr>
                <w:rFonts w:ascii="Arial"/>
                <w:sz w:val="21"/>
              </w:rPr>
            </w:pPr>
          </w:p>
          <w:p w14:paraId="1A7EDE59">
            <w:pPr>
              <w:spacing w:line="257" w:lineRule="auto"/>
              <w:rPr>
                <w:rFonts w:ascii="Arial"/>
                <w:sz w:val="21"/>
              </w:rPr>
            </w:pPr>
          </w:p>
          <w:p w14:paraId="5F321503">
            <w:pPr>
              <w:spacing w:line="257" w:lineRule="auto"/>
              <w:rPr>
                <w:rFonts w:ascii="Arial"/>
                <w:sz w:val="21"/>
              </w:rPr>
            </w:pPr>
          </w:p>
          <w:p w14:paraId="342A5F11">
            <w:pPr>
              <w:spacing w:line="258" w:lineRule="auto"/>
              <w:rPr>
                <w:rFonts w:ascii="Arial"/>
                <w:sz w:val="21"/>
              </w:rPr>
            </w:pPr>
          </w:p>
          <w:p w14:paraId="4FAF679E">
            <w:pPr>
              <w:spacing w:line="258" w:lineRule="auto"/>
              <w:rPr>
                <w:rFonts w:ascii="Arial"/>
                <w:sz w:val="21"/>
              </w:rPr>
            </w:pPr>
          </w:p>
          <w:p w14:paraId="1FCF19D6">
            <w:pPr>
              <w:spacing w:line="258" w:lineRule="auto"/>
              <w:rPr>
                <w:rFonts w:ascii="Arial"/>
                <w:sz w:val="21"/>
              </w:rPr>
            </w:pPr>
          </w:p>
          <w:p w14:paraId="2036CBAC">
            <w:pPr>
              <w:spacing w:line="258" w:lineRule="auto"/>
              <w:rPr>
                <w:rFonts w:ascii="Arial"/>
                <w:sz w:val="21"/>
              </w:rPr>
            </w:pPr>
          </w:p>
          <w:p w14:paraId="5F74C2D0">
            <w:pPr>
              <w:spacing w:line="258" w:lineRule="auto"/>
              <w:rPr>
                <w:rFonts w:ascii="Arial"/>
                <w:sz w:val="21"/>
              </w:rPr>
            </w:pPr>
          </w:p>
          <w:p w14:paraId="54BEAEAD">
            <w:pPr>
              <w:spacing w:line="258" w:lineRule="auto"/>
              <w:rPr>
                <w:rFonts w:ascii="Arial"/>
                <w:sz w:val="21"/>
              </w:rPr>
            </w:pPr>
          </w:p>
          <w:p w14:paraId="6D64EF56">
            <w:pPr>
              <w:spacing w:before="75" w:line="186" w:lineRule="auto"/>
              <w:ind w:left="161"/>
              <w:rPr>
                <w:rFonts w:ascii="仿宋" w:hAnsi="仿宋" w:eastAsia="仿宋" w:cs="仿宋"/>
                <w:sz w:val="23"/>
                <w:szCs w:val="23"/>
              </w:rPr>
            </w:pPr>
            <w:r>
              <w:rPr>
                <w:rFonts w:ascii="仿宋" w:hAnsi="仿宋" w:eastAsia="仿宋" w:cs="仿宋"/>
                <w:spacing w:val="-5"/>
                <w:sz w:val="23"/>
                <w:szCs w:val="23"/>
              </w:rPr>
              <w:t>197</w:t>
            </w:r>
          </w:p>
        </w:tc>
        <w:tc>
          <w:tcPr>
            <w:tcW w:w="1440" w:type="dxa"/>
            <w:vMerge w:val="restart"/>
            <w:tcBorders>
              <w:bottom w:val="nil"/>
            </w:tcBorders>
            <w:vAlign w:val="top"/>
          </w:tcPr>
          <w:p w14:paraId="567F0FAC">
            <w:pPr>
              <w:spacing w:line="246" w:lineRule="auto"/>
              <w:rPr>
                <w:rFonts w:ascii="Arial"/>
                <w:sz w:val="21"/>
              </w:rPr>
            </w:pPr>
          </w:p>
          <w:p w14:paraId="7879FA18">
            <w:pPr>
              <w:spacing w:line="246" w:lineRule="auto"/>
              <w:rPr>
                <w:rFonts w:ascii="Arial"/>
                <w:sz w:val="21"/>
              </w:rPr>
            </w:pPr>
          </w:p>
          <w:p w14:paraId="0B685979">
            <w:pPr>
              <w:spacing w:line="246" w:lineRule="auto"/>
              <w:rPr>
                <w:rFonts w:ascii="Arial"/>
                <w:sz w:val="21"/>
              </w:rPr>
            </w:pPr>
          </w:p>
          <w:p w14:paraId="4B3137C3">
            <w:pPr>
              <w:spacing w:line="246" w:lineRule="auto"/>
              <w:rPr>
                <w:rFonts w:ascii="Arial"/>
                <w:sz w:val="21"/>
              </w:rPr>
            </w:pPr>
          </w:p>
          <w:p w14:paraId="53FEA231">
            <w:pPr>
              <w:spacing w:line="246" w:lineRule="auto"/>
              <w:rPr>
                <w:rFonts w:ascii="Arial"/>
                <w:sz w:val="21"/>
              </w:rPr>
            </w:pPr>
          </w:p>
          <w:p w14:paraId="781FCB7B">
            <w:pPr>
              <w:spacing w:line="246" w:lineRule="auto"/>
              <w:rPr>
                <w:rFonts w:ascii="Arial"/>
                <w:sz w:val="21"/>
              </w:rPr>
            </w:pPr>
          </w:p>
          <w:p w14:paraId="1CAD049E">
            <w:pPr>
              <w:spacing w:line="247" w:lineRule="auto"/>
              <w:rPr>
                <w:rFonts w:ascii="Arial"/>
                <w:sz w:val="21"/>
              </w:rPr>
            </w:pPr>
          </w:p>
          <w:p w14:paraId="6ED5FFA5">
            <w:pPr>
              <w:pStyle w:val="6"/>
              <w:spacing w:before="99" w:line="186" w:lineRule="auto"/>
              <w:ind w:left="112" w:right="111" w:firstLine="7"/>
              <w:jc w:val="both"/>
            </w:pPr>
            <w:r>
              <w:rPr>
                <w:spacing w:val="10"/>
              </w:rPr>
              <w:t>烟花爆竹批</w:t>
            </w:r>
            <w:r>
              <w:rPr>
                <w:spacing w:val="12"/>
              </w:rPr>
              <w:t>发企业采购和销售质量不符合国家标准或者行业标准规定的烟花爆竹</w:t>
            </w:r>
            <w:r>
              <w:t>的</w:t>
            </w:r>
          </w:p>
        </w:tc>
        <w:tc>
          <w:tcPr>
            <w:tcW w:w="3202" w:type="dxa"/>
            <w:vMerge w:val="restart"/>
            <w:tcBorders>
              <w:bottom w:val="nil"/>
            </w:tcBorders>
            <w:vAlign w:val="top"/>
          </w:tcPr>
          <w:p w14:paraId="64A2B9DE">
            <w:pPr>
              <w:pStyle w:val="6"/>
              <w:spacing w:before="31" w:line="182" w:lineRule="auto"/>
              <w:ind w:left="98"/>
              <w:outlineLvl w:val="0"/>
            </w:pPr>
            <w:r>
              <w:rPr>
                <w:spacing w:val="17"/>
              </w:rPr>
              <w:t>【部门规章】《烟花爆竹经</w:t>
            </w:r>
          </w:p>
          <w:p w14:paraId="624CBA48">
            <w:pPr>
              <w:pStyle w:val="6"/>
              <w:spacing w:before="8" w:line="186" w:lineRule="auto"/>
              <w:ind w:left="118" w:right="111" w:firstLine="12"/>
              <w:jc w:val="both"/>
            </w:pPr>
            <w:r>
              <w:rPr>
                <w:spacing w:val="16"/>
              </w:rPr>
              <w:t>营许可实施办法》第二十二</w:t>
            </w:r>
            <w:r>
              <w:rPr>
                <w:spacing w:val="13"/>
              </w:rPr>
              <w:t>条第一款：批发企业、零售</w:t>
            </w:r>
            <w:bookmarkStart w:id="687" w:name="bookmark404"/>
            <w:bookmarkEnd w:id="687"/>
            <w:r>
              <w:rPr>
                <w:spacing w:val="17"/>
              </w:rPr>
              <w:t>经营者不得采购和销售非法生产、经营的烟花爆竹和产品质量不符合国家标准或者</w:t>
            </w:r>
            <w:r>
              <w:rPr>
                <w:spacing w:val="5"/>
              </w:rPr>
              <w:t>行业标准规定的烟花爆竹。</w:t>
            </w:r>
          </w:p>
        </w:tc>
        <w:tc>
          <w:tcPr>
            <w:tcW w:w="2859" w:type="dxa"/>
            <w:vMerge w:val="restart"/>
            <w:tcBorders>
              <w:bottom w:val="nil"/>
            </w:tcBorders>
            <w:vAlign w:val="top"/>
          </w:tcPr>
          <w:p w14:paraId="4BDC6A98">
            <w:pPr>
              <w:pStyle w:val="6"/>
              <w:spacing w:before="36" w:line="185" w:lineRule="auto"/>
              <w:ind w:left="97" w:right="106"/>
            </w:pPr>
            <w:r>
              <w:rPr>
                <w:spacing w:val="10"/>
              </w:rPr>
              <w:t>【部门规章】《烟花爆竹经营许可实施办法》第三十二条第二项：批发企业有下列行为之一的，责令</w:t>
            </w:r>
            <w:r>
              <w:rPr>
                <w:spacing w:val="-3"/>
              </w:rPr>
              <w:t>其限期改正，处</w:t>
            </w:r>
            <w:r>
              <w:rPr>
                <w:rFonts w:ascii="宋体" w:hAnsi="宋体" w:eastAsia="宋体" w:cs="宋体"/>
                <w:spacing w:val="-3"/>
              </w:rPr>
              <w:t>5000</w:t>
            </w:r>
            <w:r>
              <w:rPr>
                <w:spacing w:val="-3"/>
              </w:rPr>
              <w:t>元以</w:t>
            </w:r>
            <w:r>
              <w:rPr>
                <w:spacing w:val="17"/>
              </w:rPr>
              <w:t>上</w:t>
            </w:r>
            <w:r>
              <w:rPr>
                <w:rFonts w:ascii="宋体" w:hAnsi="宋体" w:eastAsia="宋体" w:cs="宋体"/>
                <w:spacing w:val="17"/>
              </w:rPr>
              <w:t>3</w:t>
            </w:r>
            <w:r>
              <w:rPr>
                <w:spacing w:val="17"/>
              </w:rPr>
              <w:t>万元以下的罚款：</w:t>
            </w:r>
            <w:r>
              <w:rPr>
                <w:spacing w:val="10"/>
              </w:rPr>
              <w:t>（二）采购和销售质量不符合国家标准或者行业标</w:t>
            </w:r>
            <w:r>
              <w:rPr>
                <w:spacing w:val="5"/>
              </w:rPr>
              <w:t>准规定的烟花爆竹的；</w:t>
            </w:r>
          </w:p>
        </w:tc>
        <w:tc>
          <w:tcPr>
            <w:tcW w:w="803" w:type="dxa"/>
            <w:vAlign w:val="top"/>
          </w:tcPr>
          <w:p w14:paraId="71511E1E">
            <w:pPr>
              <w:spacing w:line="294" w:lineRule="auto"/>
              <w:rPr>
                <w:rFonts w:ascii="Arial"/>
                <w:sz w:val="21"/>
              </w:rPr>
            </w:pPr>
          </w:p>
          <w:p w14:paraId="4D1CF839">
            <w:pPr>
              <w:spacing w:line="294" w:lineRule="auto"/>
              <w:rPr>
                <w:rFonts w:ascii="Arial"/>
                <w:sz w:val="21"/>
              </w:rPr>
            </w:pPr>
          </w:p>
          <w:p w14:paraId="4CA8D5F2">
            <w:pPr>
              <w:spacing w:line="294" w:lineRule="auto"/>
              <w:rPr>
                <w:rFonts w:ascii="Arial"/>
                <w:sz w:val="21"/>
              </w:rPr>
            </w:pPr>
          </w:p>
          <w:p w14:paraId="4CE572F4">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326EBA6">
            <w:pPr>
              <w:pStyle w:val="6"/>
              <w:spacing w:before="168" w:line="187" w:lineRule="auto"/>
              <w:ind w:left="116" w:right="109" w:firstLine="2"/>
              <w:jc w:val="both"/>
            </w:pPr>
            <w:r>
              <w:rPr>
                <w:spacing w:val="26"/>
              </w:rPr>
              <w:t>采购和销售质量不符合国家标准或者行业标准规定的烟</w:t>
            </w:r>
            <w:r>
              <w:rPr>
                <w:spacing w:val="-2"/>
              </w:rPr>
              <w:t>花爆竹，流入市场的</w:t>
            </w:r>
            <w:r>
              <w:rPr>
                <w:spacing w:val="26"/>
              </w:rPr>
              <w:t>烟花爆竹产品数量</w:t>
            </w:r>
            <w:r>
              <w:rPr>
                <w:rFonts w:ascii="宋体" w:hAnsi="宋体" w:eastAsia="宋体" w:cs="宋体"/>
                <w:spacing w:val="2"/>
              </w:rPr>
              <w:t>20</w:t>
            </w:r>
            <w:r>
              <w:rPr>
                <w:spacing w:val="2"/>
              </w:rPr>
              <w:t>箱以下的</w:t>
            </w:r>
          </w:p>
        </w:tc>
        <w:tc>
          <w:tcPr>
            <w:tcW w:w="2894" w:type="dxa"/>
            <w:vAlign w:val="top"/>
          </w:tcPr>
          <w:p w14:paraId="7F052BA5">
            <w:pPr>
              <w:spacing w:line="333" w:lineRule="auto"/>
              <w:rPr>
                <w:rFonts w:ascii="Arial"/>
                <w:sz w:val="21"/>
              </w:rPr>
            </w:pPr>
          </w:p>
          <w:p w14:paraId="7166607B">
            <w:pPr>
              <w:spacing w:line="333" w:lineRule="auto"/>
              <w:rPr>
                <w:rFonts w:ascii="Arial"/>
                <w:sz w:val="21"/>
              </w:rPr>
            </w:pPr>
          </w:p>
          <w:p w14:paraId="7E82DC68">
            <w:pPr>
              <w:pStyle w:val="6"/>
              <w:spacing w:before="99" w:line="196" w:lineRule="auto"/>
              <w:ind w:left="146" w:right="104" w:hanging="19"/>
            </w:pPr>
            <w:r>
              <w:rPr>
                <w:spacing w:val="-2"/>
              </w:rPr>
              <w:t>责令限期改正，处</w:t>
            </w:r>
            <w:r>
              <w:rPr>
                <w:rFonts w:ascii="宋体" w:hAnsi="宋体" w:eastAsia="宋体" w:cs="宋体"/>
                <w:spacing w:val="-2"/>
              </w:rPr>
              <w:t>5000</w:t>
            </w:r>
            <w:r>
              <w:rPr>
                <w:spacing w:val="-2"/>
              </w:rPr>
              <w:t>元</w:t>
            </w:r>
            <w:r>
              <w:rPr>
                <w:spacing w:val="-1"/>
              </w:rPr>
              <w:t>以上</w:t>
            </w:r>
            <w:r>
              <w:rPr>
                <w:rFonts w:ascii="宋体" w:hAnsi="宋体" w:eastAsia="宋体" w:cs="宋体"/>
                <w:spacing w:val="-1"/>
              </w:rPr>
              <w:t>1</w:t>
            </w:r>
            <w:r>
              <w:rPr>
                <w:spacing w:val="-1"/>
              </w:rPr>
              <w:t>万元以下的罚款</w:t>
            </w:r>
          </w:p>
        </w:tc>
        <w:tc>
          <w:tcPr>
            <w:tcW w:w="811" w:type="dxa"/>
            <w:vMerge w:val="restart"/>
            <w:tcBorders>
              <w:bottom w:val="nil"/>
            </w:tcBorders>
            <w:vAlign w:val="top"/>
          </w:tcPr>
          <w:p w14:paraId="405A5474">
            <w:pPr>
              <w:spacing w:line="257" w:lineRule="auto"/>
              <w:rPr>
                <w:rFonts w:ascii="Arial"/>
                <w:sz w:val="21"/>
              </w:rPr>
            </w:pPr>
          </w:p>
          <w:p w14:paraId="1EF550A7">
            <w:pPr>
              <w:spacing w:line="257" w:lineRule="auto"/>
              <w:rPr>
                <w:rFonts w:ascii="Arial"/>
                <w:sz w:val="21"/>
              </w:rPr>
            </w:pPr>
          </w:p>
          <w:p w14:paraId="2BFE5060">
            <w:pPr>
              <w:spacing w:line="257" w:lineRule="auto"/>
              <w:rPr>
                <w:rFonts w:ascii="Arial"/>
                <w:sz w:val="21"/>
              </w:rPr>
            </w:pPr>
          </w:p>
          <w:p w14:paraId="32A67034">
            <w:pPr>
              <w:spacing w:line="257" w:lineRule="auto"/>
              <w:rPr>
                <w:rFonts w:ascii="Arial"/>
                <w:sz w:val="21"/>
              </w:rPr>
            </w:pPr>
          </w:p>
          <w:p w14:paraId="3113D775">
            <w:pPr>
              <w:spacing w:line="257" w:lineRule="auto"/>
              <w:rPr>
                <w:rFonts w:ascii="Arial"/>
                <w:sz w:val="21"/>
              </w:rPr>
            </w:pPr>
          </w:p>
          <w:p w14:paraId="537D59E3">
            <w:pPr>
              <w:spacing w:line="257" w:lineRule="auto"/>
              <w:rPr>
                <w:rFonts w:ascii="Arial"/>
                <w:sz w:val="21"/>
              </w:rPr>
            </w:pPr>
          </w:p>
          <w:p w14:paraId="57DAD027">
            <w:pPr>
              <w:spacing w:line="257" w:lineRule="auto"/>
              <w:rPr>
                <w:rFonts w:ascii="Arial"/>
                <w:sz w:val="21"/>
              </w:rPr>
            </w:pPr>
          </w:p>
          <w:p w14:paraId="612F42BA">
            <w:pPr>
              <w:spacing w:line="257" w:lineRule="auto"/>
              <w:rPr>
                <w:rFonts w:ascii="Arial"/>
                <w:sz w:val="21"/>
              </w:rPr>
            </w:pPr>
          </w:p>
          <w:p w14:paraId="62A5D03B">
            <w:pPr>
              <w:spacing w:line="258" w:lineRule="auto"/>
              <w:rPr>
                <w:rFonts w:ascii="Arial"/>
                <w:sz w:val="21"/>
              </w:rPr>
            </w:pPr>
          </w:p>
          <w:p w14:paraId="109CC3A8">
            <w:pPr>
              <w:spacing w:line="258" w:lineRule="auto"/>
              <w:rPr>
                <w:rFonts w:ascii="Arial"/>
                <w:sz w:val="21"/>
              </w:rPr>
            </w:pPr>
          </w:p>
          <w:p w14:paraId="62607429">
            <w:pPr>
              <w:spacing w:line="258" w:lineRule="auto"/>
              <w:rPr>
                <w:rFonts w:ascii="Arial"/>
                <w:sz w:val="21"/>
              </w:rPr>
            </w:pPr>
          </w:p>
          <w:p w14:paraId="40A725C3">
            <w:pPr>
              <w:spacing w:before="74" w:line="189" w:lineRule="auto"/>
              <w:ind w:left="248"/>
              <w:rPr>
                <w:rFonts w:ascii="宋体" w:hAnsi="宋体" w:eastAsia="宋体" w:cs="宋体"/>
                <w:sz w:val="23"/>
                <w:szCs w:val="23"/>
              </w:rPr>
            </w:pPr>
            <w:r>
              <w:rPr>
                <w:rFonts w:ascii="宋体" w:hAnsi="宋体" w:eastAsia="宋体" w:cs="宋体"/>
                <w:spacing w:val="-6"/>
                <w:sz w:val="23"/>
                <w:szCs w:val="23"/>
              </w:rPr>
              <w:t>170</w:t>
            </w:r>
          </w:p>
        </w:tc>
      </w:tr>
      <w:tr w14:paraId="7E567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continue"/>
            <w:tcBorders>
              <w:top w:val="nil"/>
              <w:bottom w:val="nil"/>
            </w:tcBorders>
            <w:vAlign w:val="top"/>
          </w:tcPr>
          <w:p w14:paraId="61A20F52">
            <w:pPr>
              <w:rPr>
                <w:rFonts w:ascii="Arial"/>
                <w:sz w:val="21"/>
              </w:rPr>
            </w:pPr>
          </w:p>
        </w:tc>
        <w:tc>
          <w:tcPr>
            <w:tcW w:w="1440" w:type="dxa"/>
            <w:vMerge w:val="continue"/>
            <w:tcBorders>
              <w:top w:val="nil"/>
              <w:bottom w:val="nil"/>
            </w:tcBorders>
            <w:vAlign w:val="top"/>
          </w:tcPr>
          <w:p w14:paraId="40E3C36D">
            <w:pPr>
              <w:rPr>
                <w:rFonts w:ascii="Arial"/>
                <w:sz w:val="21"/>
              </w:rPr>
            </w:pPr>
          </w:p>
        </w:tc>
        <w:tc>
          <w:tcPr>
            <w:tcW w:w="3202" w:type="dxa"/>
            <w:vMerge w:val="continue"/>
            <w:tcBorders>
              <w:top w:val="nil"/>
              <w:bottom w:val="nil"/>
            </w:tcBorders>
            <w:vAlign w:val="top"/>
          </w:tcPr>
          <w:p w14:paraId="06E16D5F">
            <w:pPr>
              <w:rPr>
                <w:rFonts w:ascii="Arial"/>
                <w:sz w:val="21"/>
              </w:rPr>
            </w:pPr>
          </w:p>
        </w:tc>
        <w:tc>
          <w:tcPr>
            <w:tcW w:w="2859" w:type="dxa"/>
            <w:vMerge w:val="continue"/>
            <w:tcBorders>
              <w:top w:val="nil"/>
              <w:bottom w:val="nil"/>
            </w:tcBorders>
            <w:vAlign w:val="top"/>
          </w:tcPr>
          <w:p w14:paraId="353D7E6C">
            <w:pPr>
              <w:rPr>
                <w:rFonts w:ascii="Arial"/>
                <w:sz w:val="21"/>
              </w:rPr>
            </w:pPr>
          </w:p>
        </w:tc>
        <w:tc>
          <w:tcPr>
            <w:tcW w:w="803" w:type="dxa"/>
            <w:vAlign w:val="top"/>
          </w:tcPr>
          <w:p w14:paraId="1C725449">
            <w:pPr>
              <w:spacing w:line="298" w:lineRule="auto"/>
              <w:rPr>
                <w:rFonts w:ascii="Arial"/>
                <w:sz w:val="21"/>
              </w:rPr>
            </w:pPr>
          </w:p>
          <w:p w14:paraId="33C9EE50">
            <w:pPr>
              <w:spacing w:line="298" w:lineRule="auto"/>
              <w:rPr>
                <w:rFonts w:ascii="Arial"/>
                <w:sz w:val="21"/>
              </w:rPr>
            </w:pPr>
          </w:p>
          <w:p w14:paraId="5ECCDCC9">
            <w:pPr>
              <w:spacing w:line="299" w:lineRule="auto"/>
              <w:rPr>
                <w:rFonts w:ascii="Arial"/>
                <w:sz w:val="21"/>
              </w:rPr>
            </w:pPr>
          </w:p>
          <w:p w14:paraId="2975CADA">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7EA66F5">
            <w:pPr>
              <w:pStyle w:val="6"/>
              <w:spacing w:before="33" w:line="179" w:lineRule="auto"/>
              <w:ind w:left="116" w:right="106" w:firstLine="2"/>
              <w:jc w:val="both"/>
            </w:pPr>
            <w:r>
              <w:rPr>
                <w:spacing w:val="26"/>
              </w:rPr>
              <w:t>采购和销售质量不符合国家标准或者行业标准规定的烟</w:t>
            </w:r>
            <w:r>
              <w:rPr>
                <w:spacing w:val="-2"/>
              </w:rPr>
              <w:t>花爆竹，流入市场的</w:t>
            </w:r>
            <w:r>
              <w:rPr>
                <w:spacing w:val="26"/>
              </w:rPr>
              <w:t>烟花爆竹产品数量</w:t>
            </w:r>
            <w:r>
              <w:rPr>
                <w:rFonts w:ascii="宋体" w:hAnsi="宋体" w:eastAsia="宋体" w:cs="宋体"/>
              </w:rPr>
              <w:t>20</w:t>
            </w:r>
            <w:r>
              <w:t>箱以上</w:t>
            </w:r>
            <w:r>
              <w:rPr>
                <w:rFonts w:ascii="宋体" w:hAnsi="宋体" w:eastAsia="宋体" w:cs="宋体"/>
              </w:rPr>
              <w:t>50</w:t>
            </w:r>
            <w:r>
              <w:t>箱以下的</w:t>
            </w:r>
          </w:p>
        </w:tc>
        <w:tc>
          <w:tcPr>
            <w:tcW w:w="2894" w:type="dxa"/>
            <w:vAlign w:val="top"/>
          </w:tcPr>
          <w:p w14:paraId="6E3B4F49">
            <w:pPr>
              <w:spacing w:line="339" w:lineRule="auto"/>
              <w:rPr>
                <w:rFonts w:ascii="Arial"/>
                <w:sz w:val="21"/>
              </w:rPr>
            </w:pPr>
          </w:p>
          <w:p w14:paraId="48E34274">
            <w:pPr>
              <w:spacing w:line="339" w:lineRule="auto"/>
              <w:rPr>
                <w:rFonts w:ascii="Arial"/>
                <w:sz w:val="21"/>
              </w:rPr>
            </w:pPr>
          </w:p>
          <w:p w14:paraId="253C039F">
            <w:pPr>
              <w:pStyle w:val="6"/>
              <w:spacing w:before="98" w:line="182" w:lineRule="auto"/>
              <w:ind w:left="127"/>
              <w:outlineLvl w:val="1"/>
            </w:pPr>
            <w:r>
              <w:rPr>
                <w:spacing w:val="2"/>
              </w:rPr>
              <w:t>责令限期改正，处</w:t>
            </w:r>
            <w:r>
              <w:rPr>
                <w:rFonts w:ascii="宋体" w:hAnsi="宋体" w:eastAsia="宋体" w:cs="宋体"/>
                <w:spacing w:val="2"/>
              </w:rPr>
              <w:t>1</w:t>
            </w:r>
            <w:r>
              <w:rPr>
                <w:spacing w:val="2"/>
              </w:rPr>
              <w:t>万元</w:t>
            </w:r>
          </w:p>
          <w:p w14:paraId="47D13442">
            <w:pPr>
              <w:pStyle w:val="6"/>
              <w:spacing w:before="1" w:line="208" w:lineRule="auto"/>
              <w:ind w:left="147"/>
            </w:pPr>
            <w:r>
              <w:rPr>
                <w:spacing w:val="1"/>
              </w:rPr>
              <w:t>以上</w:t>
            </w:r>
            <w:r>
              <w:rPr>
                <w:rFonts w:ascii="宋体" w:hAnsi="宋体" w:eastAsia="宋体" w:cs="宋体"/>
                <w:spacing w:val="1"/>
              </w:rPr>
              <w:t>2</w:t>
            </w:r>
            <w:r>
              <w:rPr>
                <w:spacing w:val="1"/>
              </w:rPr>
              <w:t>万元以下的罚款</w:t>
            </w:r>
          </w:p>
        </w:tc>
        <w:tc>
          <w:tcPr>
            <w:tcW w:w="811" w:type="dxa"/>
            <w:vMerge w:val="continue"/>
            <w:tcBorders>
              <w:top w:val="nil"/>
              <w:bottom w:val="nil"/>
            </w:tcBorders>
            <w:vAlign w:val="top"/>
          </w:tcPr>
          <w:p w14:paraId="03C7608E">
            <w:pPr>
              <w:rPr>
                <w:rFonts w:ascii="Arial"/>
                <w:sz w:val="21"/>
              </w:rPr>
            </w:pPr>
          </w:p>
        </w:tc>
      </w:tr>
      <w:tr w14:paraId="0E438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tcBorders>
            <w:vAlign w:val="top"/>
          </w:tcPr>
          <w:p w14:paraId="181E80BB">
            <w:pPr>
              <w:rPr>
                <w:rFonts w:ascii="Arial"/>
                <w:sz w:val="21"/>
              </w:rPr>
            </w:pPr>
          </w:p>
        </w:tc>
        <w:tc>
          <w:tcPr>
            <w:tcW w:w="1440" w:type="dxa"/>
            <w:vMerge w:val="continue"/>
            <w:tcBorders>
              <w:top w:val="nil"/>
            </w:tcBorders>
            <w:vAlign w:val="top"/>
          </w:tcPr>
          <w:p w14:paraId="38010FBA">
            <w:pPr>
              <w:rPr>
                <w:rFonts w:ascii="Arial"/>
                <w:sz w:val="21"/>
              </w:rPr>
            </w:pPr>
          </w:p>
        </w:tc>
        <w:tc>
          <w:tcPr>
            <w:tcW w:w="3202" w:type="dxa"/>
            <w:vMerge w:val="continue"/>
            <w:tcBorders>
              <w:top w:val="nil"/>
            </w:tcBorders>
            <w:vAlign w:val="top"/>
          </w:tcPr>
          <w:p w14:paraId="38BDEF30">
            <w:pPr>
              <w:rPr>
                <w:rFonts w:ascii="Arial"/>
                <w:sz w:val="21"/>
              </w:rPr>
            </w:pPr>
          </w:p>
        </w:tc>
        <w:tc>
          <w:tcPr>
            <w:tcW w:w="2859" w:type="dxa"/>
            <w:vMerge w:val="continue"/>
            <w:tcBorders>
              <w:top w:val="nil"/>
            </w:tcBorders>
            <w:vAlign w:val="top"/>
          </w:tcPr>
          <w:p w14:paraId="27612231">
            <w:pPr>
              <w:rPr>
                <w:rFonts w:ascii="Arial"/>
                <w:sz w:val="21"/>
              </w:rPr>
            </w:pPr>
          </w:p>
        </w:tc>
        <w:tc>
          <w:tcPr>
            <w:tcW w:w="803" w:type="dxa"/>
            <w:vAlign w:val="top"/>
          </w:tcPr>
          <w:p w14:paraId="4D19D7B9">
            <w:pPr>
              <w:spacing w:line="249" w:lineRule="auto"/>
              <w:rPr>
                <w:rFonts w:ascii="Arial"/>
                <w:sz w:val="21"/>
              </w:rPr>
            </w:pPr>
          </w:p>
          <w:p w14:paraId="54C66674">
            <w:pPr>
              <w:spacing w:line="249" w:lineRule="auto"/>
              <w:rPr>
                <w:rFonts w:ascii="Arial"/>
                <w:sz w:val="21"/>
              </w:rPr>
            </w:pPr>
          </w:p>
          <w:p w14:paraId="3C00D410">
            <w:pPr>
              <w:spacing w:line="249" w:lineRule="auto"/>
              <w:rPr>
                <w:rFonts w:ascii="Arial"/>
                <w:sz w:val="21"/>
              </w:rPr>
            </w:pPr>
          </w:p>
          <w:p w14:paraId="2FCED8F3">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FA39055">
            <w:pPr>
              <w:pStyle w:val="6"/>
              <w:spacing w:before="28" w:line="179" w:lineRule="auto"/>
              <w:ind w:left="118" w:right="109"/>
              <w:jc w:val="both"/>
            </w:pPr>
            <w:r>
              <w:rPr>
                <w:spacing w:val="26"/>
              </w:rPr>
              <w:t>采购和销售质量不符合国家标准或者行业标准规定的烟</w:t>
            </w:r>
            <w:r>
              <w:rPr>
                <w:spacing w:val="-3"/>
              </w:rPr>
              <w:t>花爆竹，流入市场的</w:t>
            </w:r>
            <w:r>
              <w:rPr>
                <w:spacing w:val="26"/>
              </w:rPr>
              <w:t>烟花爆竹产品数量</w:t>
            </w:r>
            <w:r>
              <w:rPr>
                <w:rFonts w:ascii="宋体" w:hAnsi="宋体" w:eastAsia="宋体" w:cs="宋体"/>
                <w:spacing w:val="2"/>
              </w:rPr>
              <w:t>50</w:t>
            </w:r>
            <w:r>
              <w:rPr>
                <w:spacing w:val="2"/>
              </w:rPr>
              <w:t>箱以上的</w:t>
            </w:r>
          </w:p>
        </w:tc>
        <w:tc>
          <w:tcPr>
            <w:tcW w:w="2894" w:type="dxa"/>
            <w:vAlign w:val="top"/>
          </w:tcPr>
          <w:p w14:paraId="4ED22870">
            <w:pPr>
              <w:spacing w:line="264" w:lineRule="auto"/>
              <w:rPr>
                <w:rFonts w:ascii="Arial"/>
                <w:sz w:val="21"/>
              </w:rPr>
            </w:pPr>
          </w:p>
          <w:p w14:paraId="18CFECB1">
            <w:pPr>
              <w:spacing w:line="265" w:lineRule="auto"/>
              <w:rPr>
                <w:rFonts w:ascii="Arial"/>
                <w:sz w:val="21"/>
              </w:rPr>
            </w:pPr>
          </w:p>
          <w:p w14:paraId="656D662C">
            <w:pPr>
              <w:pStyle w:val="6"/>
              <w:spacing w:before="98" w:line="196" w:lineRule="auto"/>
              <w:ind w:left="146" w:right="103" w:hanging="19"/>
            </w:pPr>
            <w:r>
              <w:rPr>
                <w:spacing w:val="4"/>
              </w:rPr>
              <w:t>责令限期改正，处</w:t>
            </w:r>
            <w:r>
              <w:rPr>
                <w:rFonts w:ascii="宋体" w:hAnsi="宋体" w:eastAsia="宋体" w:cs="宋体"/>
                <w:spacing w:val="4"/>
              </w:rPr>
              <w:t>2</w:t>
            </w:r>
            <w:r>
              <w:rPr>
                <w:spacing w:val="4"/>
              </w:rPr>
              <w:t>万元</w:t>
            </w:r>
            <w:r>
              <w:rPr>
                <w:spacing w:val="1"/>
              </w:rPr>
              <w:t>以上</w:t>
            </w:r>
            <w:r>
              <w:rPr>
                <w:rFonts w:ascii="宋体" w:hAnsi="宋体" w:eastAsia="宋体" w:cs="宋体"/>
                <w:spacing w:val="1"/>
              </w:rPr>
              <w:t>3</w:t>
            </w:r>
            <w:r>
              <w:rPr>
                <w:spacing w:val="1"/>
              </w:rPr>
              <w:t>万元以下的罚款</w:t>
            </w:r>
          </w:p>
        </w:tc>
        <w:tc>
          <w:tcPr>
            <w:tcW w:w="811" w:type="dxa"/>
            <w:vMerge w:val="continue"/>
            <w:tcBorders>
              <w:top w:val="nil"/>
            </w:tcBorders>
            <w:vAlign w:val="top"/>
          </w:tcPr>
          <w:p w14:paraId="5549A255">
            <w:pPr>
              <w:rPr>
                <w:rFonts w:ascii="Arial"/>
                <w:sz w:val="21"/>
              </w:rPr>
            </w:pPr>
          </w:p>
        </w:tc>
      </w:tr>
      <w:tr w14:paraId="1B4BA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818" w:type="dxa"/>
            <w:vAlign w:val="top"/>
          </w:tcPr>
          <w:p w14:paraId="0DD50B8D">
            <w:pPr>
              <w:spacing w:line="301" w:lineRule="auto"/>
              <w:rPr>
                <w:rFonts w:ascii="Arial"/>
                <w:sz w:val="21"/>
              </w:rPr>
            </w:pPr>
          </w:p>
          <w:p w14:paraId="4DCEA717">
            <w:pPr>
              <w:spacing w:line="301" w:lineRule="auto"/>
              <w:rPr>
                <w:rFonts w:ascii="Arial"/>
                <w:sz w:val="21"/>
              </w:rPr>
            </w:pPr>
          </w:p>
          <w:p w14:paraId="02E2FB32">
            <w:pPr>
              <w:spacing w:before="75" w:line="186" w:lineRule="auto"/>
              <w:ind w:left="161"/>
              <w:rPr>
                <w:rFonts w:ascii="仿宋" w:hAnsi="仿宋" w:eastAsia="仿宋" w:cs="仿宋"/>
                <w:sz w:val="23"/>
                <w:szCs w:val="23"/>
              </w:rPr>
            </w:pPr>
            <w:r>
              <w:rPr>
                <w:rFonts w:ascii="仿宋" w:hAnsi="仿宋" w:eastAsia="仿宋" w:cs="仿宋"/>
                <w:spacing w:val="-5"/>
                <w:sz w:val="23"/>
                <w:szCs w:val="23"/>
              </w:rPr>
              <w:t>198</w:t>
            </w:r>
          </w:p>
        </w:tc>
        <w:tc>
          <w:tcPr>
            <w:tcW w:w="1440" w:type="dxa"/>
            <w:vAlign w:val="top"/>
          </w:tcPr>
          <w:p w14:paraId="6C28C2E4">
            <w:pPr>
              <w:pStyle w:val="6"/>
              <w:spacing w:before="33" w:line="178" w:lineRule="auto"/>
              <w:ind w:left="116" w:right="108" w:firstLine="3"/>
              <w:jc w:val="both"/>
            </w:pPr>
            <w:r>
              <w:rPr>
                <w:spacing w:val="11"/>
              </w:rPr>
              <w:t>烟花爆竹批发企业在仓库内违反国家标准或者行业标准规</w:t>
            </w:r>
          </w:p>
        </w:tc>
        <w:tc>
          <w:tcPr>
            <w:tcW w:w="3202" w:type="dxa"/>
            <w:vAlign w:val="top"/>
          </w:tcPr>
          <w:p w14:paraId="7A1CEEF4">
            <w:pPr>
              <w:pStyle w:val="6"/>
              <w:spacing w:before="33" w:line="178" w:lineRule="auto"/>
              <w:ind w:left="117" w:right="111" w:hanging="19"/>
              <w:jc w:val="both"/>
            </w:pPr>
            <w:r>
              <w:rPr>
                <w:spacing w:val="18"/>
              </w:rPr>
              <w:t>【部门规章】《烟花爆竹经</w:t>
            </w:r>
            <w:r>
              <w:rPr>
                <w:spacing w:val="17"/>
              </w:rPr>
              <w:t>营许可实施办法》第二十三</w:t>
            </w:r>
            <w:r>
              <w:rPr>
                <w:spacing w:val="13"/>
              </w:rPr>
              <w:t>条第二款：烟花爆竹仓库储</w:t>
            </w:r>
            <w:r>
              <w:rPr>
                <w:spacing w:val="17"/>
              </w:rPr>
              <w:t>存的烟花爆竹品种、规格和</w:t>
            </w:r>
            <w:r>
              <w:rPr>
                <w:spacing w:val="13"/>
              </w:rPr>
              <w:t>数量，不得超过国家标准或</w:t>
            </w:r>
          </w:p>
        </w:tc>
        <w:tc>
          <w:tcPr>
            <w:tcW w:w="2859" w:type="dxa"/>
            <w:vAlign w:val="top"/>
          </w:tcPr>
          <w:p w14:paraId="697CC278">
            <w:pPr>
              <w:pStyle w:val="6"/>
              <w:spacing w:before="33" w:line="178" w:lineRule="auto"/>
              <w:ind w:left="114" w:right="106" w:hanging="17"/>
              <w:jc w:val="both"/>
            </w:pPr>
            <w:r>
              <w:rPr>
                <w:spacing w:val="10"/>
              </w:rPr>
              <w:t>【部门规章】《烟花爆竹</w:t>
            </w:r>
            <w:r>
              <w:rPr>
                <w:spacing w:val="8"/>
              </w:rPr>
              <w:t>经营许可实施办法》第三十二条第三项：批发企业有下列行为之一的，责令</w:t>
            </w:r>
            <w:r>
              <w:rPr>
                <w:spacing w:val="-4"/>
              </w:rPr>
              <w:t>其限期改正，处</w:t>
            </w:r>
            <w:r>
              <w:rPr>
                <w:rFonts w:ascii="宋体" w:hAnsi="宋体" w:eastAsia="宋体" w:cs="宋体"/>
                <w:spacing w:val="-4"/>
              </w:rPr>
              <w:t>5000</w:t>
            </w:r>
            <w:r>
              <w:rPr>
                <w:spacing w:val="-4"/>
              </w:rPr>
              <w:t>元以</w:t>
            </w:r>
          </w:p>
        </w:tc>
        <w:tc>
          <w:tcPr>
            <w:tcW w:w="803" w:type="dxa"/>
            <w:vAlign w:val="top"/>
          </w:tcPr>
          <w:p w14:paraId="25563C05">
            <w:pPr>
              <w:spacing w:line="298" w:lineRule="auto"/>
              <w:rPr>
                <w:rFonts w:ascii="Arial"/>
                <w:sz w:val="21"/>
              </w:rPr>
            </w:pPr>
          </w:p>
          <w:p w14:paraId="71232B03">
            <w:pPr>
              <w:spacing w:line="299" w:lineRule="auto"/>
              <w:rPr>
                <w:rFonts w:ascii="Arial"/>
                <w:sz w:val="21"/>
              </w:rPr>
            </w:pPr>
          </w:p>
          <w:p w14:paraId="20A19F57">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995B31D">
            <w:pPr>
              <w:pStyle w:val="6"/>
              <w:spacing w:before="33" w:line="178" w:lineRule="auto"/>
              <w:ind w:left="114" w:right="46" w:firstLine="2"/>
              <w:jc w:val="both"/>
            </w:pPr>
            <w:r>
              <w:rPr>
                <w:spacing w:val="26"/>
              </w:rPr>
              <w:t>在仓库内违反国家标准或者行业标准</w:t>
            </w:r>
            <w:r>
              <w:rPr>
                <w:spacing w:val="3"/>
              </w:rPr>
              <w:t>规定储存烟花爆竹，</w:t>
            </w:r>
            <w:r>
              <w:rPr>
                <w:spacing w:val="5"/>
              </w:rPr>
              <w:t>涉及烟花爆竹品种、</w:t>
            </w:r>
            <w:r>
              <w:rPr>
                <w:spacing w:val="-2"/>
              </w:rPr>
              <w:t>规格和数量，有三种</w:t>
            </w:r>
          </w:p>
        </w:tc>
        <w:tc>
          <w:tcPr>
            <w:tcW w:w="2894" w:type="dxa"/>
            <w:vAlign w:val="top"/>
          </w:tcPr>
          <w:p w14:paraId="1F3A0D4B">
            <w:pPr>
              <w:spacing w:line="381" w:lineRule="auto"/>
              <w:rPr>
                <w:rFonts w:ascii="Arial"/>
                <w:sz w:val="21"/>
              </w:rPr>
            </w:pPr>
          </w:p>
          <w:p w14:paraId="6E66FEED">
            <w:pPr>
              <w:pStyle w:val="6"/>
              <w:spacing w:before="99" w:line="196" w:lineRule="auto"/>
              <w:ind w:left="146" w:right="104" w:hanging="19"/>
            </w:pPr>
            <w:r>
              <w:rPr>
                <w:spacing w:val="-2"/>
              </w:rPr>
              <w:t>责令限期改正，处</w:t>
            </w:r>
            <w:r>
              <w:rPr>
                <w:rFonts w:ascii="宋体" w:hAnsi="宋体" w:eastAsia="宋体" w:cs="宋体"/>
                <w:spacing w:val="-2"/>
              </w:rPr>
              <w:t>5000</w:t>
            </w:r>
            <w:r>
              <w:rPr>
                <w:spacing w:val="-2"/>
              </w:rPr>
              <w:t>元</w:t>
            </w:r>
            <w:r>
              <w:rPr>
                <w:spacing w:val="-1"/>
              </w:rPr>
              <w:t>以上</w:t>
            </w:r>
            <w:r>
              <w:rPr>
                <w:rFonts w:ascii="宋体" w:hAnsi="宋体" w:eastAsia="宋体" w:cs="宋体"/>
                <w:spacing w:val="-1"/>
              </w:rPr>
              <w:t>1</w:t>
            </w:r>
            <w:r>
              <w:rPr>
                <w:spacing w:val="-1"/>
              </w:rPr>
              <w:t>万元以下的罚款</w:t>
            </w:r>
          </w:p>
        </w:tc>
        <w:tc>
          <w:tcPr>
            <w:tcW w:w="811" w:type="dxa"/>
            <w:vAlign w:val="top"/>
          </w:tcPr>
          <w:p w14:paraId="4A61C108">
            <w:pPr>
              <w:spacing w:line="299" w:lineRule="auto"/>
              <w:rPr>
                <w:rFonts w:ascii="Arial"/>
                <w:sz w:val="21"/>
              </w:rPr>
            </w:pPr>
          </w:p>
          <w:p w14:paraId="0B551628">
            <w:pPr>
              <w:spacing w:line="299" w:lineRule="auto"/>
              <w:rPr>
                <w:rFonts w:ascii="Arial"/>
                <w:sz w:val="21"/>
              </w:rPr>
            </w:pPr>
          </w:p>
          <w:p w14:paraId="59947DEB">
            <w:pPr>
              <w:spacing w:before="75" w:line="189" w:lineRule="auto"/>
              <w:ind w:left="248"/>
              <w:rPr>
                <w:rFonts w:ascii="宋体" w:hAnsi="宋体" w:eastAsia="宋体" w:cs="宋体"/>
                <w:sz w:val="23"/>
                <w:szCs w:val="23"/>
              </w:rPr>
            </w:pPr>
            <w:r>
              <w:rPr>
                <w:rFonts w:ascii="宋体" w:hAnsi="宋体" w:eastAsia="宋体" w:cs="宋体"/>
                <w:spacing w:val="-6"/>
                <w:sz w:val="23"/>
                <w:szCs w:val="23"/>
              </w:rPr>
              <w:t>170</w:t>
            </w:r>
          </w:p>
        </w:tc>
      </w:tr>
    </w:tbl>
    <w:p w14:paraId="1CBC79EA">
      <w:pPr>
        <w:pStyle w:val="2"/>
      </w:pPr>
    </w:p>
    <w:p w14:paraId="39A68071">
      <w:pPr>
        <w:sectPr>
          <w:footerReference r:id="rId208" w:type="default"/>
          <w:pgSz w:w="16839" w:h="11906"/>
          <w:pgMar w:top="1012" w:right="821" w:bottom="666" w:left="901" w:header="0" w:footer="388" w:gutter="0"/>
          <w:cols w:space="720" w:num="1"/>
        </w:sectPr>
      </w:pPr>
    </w:p>
    <w:p w14:paraId="37A857F5">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3F0F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9D2F0A5">
            <w:pPr>
              <w:spacing w:before="222" w:line="241" w:lineRule="auto"/>
              <w:ind w:left="131"/>
              <w:rPr>
                <w:rFonts w:ascii="黑体" w:hAnsi="黑体" w:eastAsia="黑体" w:cs="黑体"/>
                <w:sz w:val="28"/>
                <w:szCs w:val="28"/>
              </w:rPr>
            </w:pPr>
            <w:bookmarkStart w:id="688" w:name="bookmark406"/>
            <w:bookmarkEnd w:id="688"/>
            <w:r>
              <w:rPr>
                <w:rFonts w:ascii="黑体" w:hAnsi="黑体" w:eastAsia="黑体" w:cs="黑体"/>
                <w:spacing w:val="-2"/>
                <w:sz w:val="28"/>
                <w:szCs w:val="28"/>
              </w:rPr>
              <w:t>序号</w:t>
            </w:r>
          </w:p>
        </w:tc>
        <w:tc>
          <w:tcPr>
            <w:tcW w:w="1440" w:type="dxa"/>
            <w:vAlign w:val="top"/>
          </w:tcPr>
          <w:p w14:paraId="185665C2">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78926C8D">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EFE2818">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BC4A2AB">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E45DCBA">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7ECE71E">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22C52AA">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179CD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818" w:type="dxa"/>
            <w:vMerge w:val="restart"/>
            <w:tcBorders>
              <w:bottom w:val="nil"/>
            </w:tcBorders>
            <w:vAlign w:val="top"/>
          </w:tcPr>
          <w:p w14:paraId="47301FEE">
            <w:pPr>
              <w:rPr>
                <w:rFonts w:ascii="Arial"/>
                <w:sz w:val="21"/>
              </w:rPr>
            </w:pPr>
          </w:p>
        </w:tc>
        <w:tc>
          <w:tcPr>
            <w:tcW w:w="1440" w:type="dxa"/>
            <w:vMerge w:val="restart"/>
            <w:tcBorders>
              <w:bottom w:val="nil"/>
            </w:tcBorders>
            <w:vAlign w:val="top"/>
          </w:tcPr>
          <w:p w14:paraId="2B949C52">
            <w:pPr>
              <w:pStyle w:val="6"/>
              <w:spacing w:before="28" w:line="182" w:lineRule="auto"/>
              <w:ind w:left="115"/>
              <w:outlineLvl w:val="1"/>
            </w:pPr>
            <w:r>
              <w:rPr>
                <w:spacing w:val="11"/>
              </w:rPr>
              <w:t>定储存烟花</w:t>
            </w:r>
          </w:p>
          <w:p w14:paraId="4EFE6C71">
            <w:pPr>
              <w:pStyle w:val="6"/>
              <w:spacing w:line="210" w:lineRule="auto"/>
              <w:ind w:left="114"/>
              <w:outlineLvl w:val="0"/>
            </w:pPr>
            <w:r>
              <w:rPr>
                <w:spacing w:val="5"/>
              </w:rPr>
              <w:t>爆竹的</w:t>
            </w:r>
          </w:p>
        </w:tc>
        <w:tc>
          <w:tcPr>
            <w:tcW w:w="3202" w:type="dxa"/>
            <w:vMerge w:val="restart"/>
            <w:tcBorders>
              <w:bottom w:val="nil"/>
            </w:tcBorders>
            <w:vAlign w:val="top"/>
          </w:tcPr>
          <w:p w14:paraId="5380BD92">
            <w:pPr>
              <w:pStyle w:val="6"/>
              <w:spacing w:before="28" w:line="182" w:lineRule="auto"/>
              <w:ind w:left="120"/>
            </w:pPr>
            <w:r>
              <w:rPr>
                <w:spacing w:val="17"/>
              </w:rPr>
              <w:t>者行业标准规定的危险等级</w:t>
            </w:r>
          </w:p>
          <w:p w14:paraId="41339E8D">
            <w:pPr>
              <w:pStyle w:val="6"/>
              <w:spacing w:line="208" w:lineRule="auto"/>
              <w:ind w:left="120"/>
              <w:outlineLvl w:val="1"/>
            </w:pPr>
            <w:r>
              <w:rPr>
                <w:spacing w:val="1"/>
              </w:rPr>
              <w:t>和核定限量。</w:t>
            </w:r>
          </w:p>
        </w:tc>
        <w:tc>
          <w:tcPr>
            <w:tcW w:w="2859" w:type="dxa"/>
            <w:vMerge w:val="restart"/>
            <w:tcBorders>
              <w:bottom w:val="nil"/>
            </w:tcBorders>
            <w:vAlign w:val="top"/>
          </w:tcPr>
          <w:p w14:paraId="08114EBB">
            <w:pPr>
              <w:pStyle w:val="6"/>
              <w:spacing w:before="28" w:line="182" w:lineRule="auto"/>
              <w:ind w:left="122"/>
            </w:pPr>
            <w:r>
              <w:rPr>
                <w:spacing w:val="16"/>
              </w:rPr>
              <w:t>上</w:t>
            </w:r>
            <w:r>
              <w:rPr>
                <w:rFonts w:ascii="宋体" w:hAnsi="宋体" w:eastAsia="宋体" w:cs="宋体"/>
                <w:spacing w:val="16"/>
              </w:rPr>
              <w:t>3</w:t>
            </w:r>
            <w:r>
              <w:rPr>
                <w:spacing w:val="16"/>
              </w:rPr>
              <w:t>万元以下的罚款：</w:t>
            </w:r>
          </w:p>
          <w:p w14:paraId="6EC06D68">
            <w:pPr>
              <w:pStyle w:val="6"/>
              <w:spacing w:line="182" w:lineRule="auto"/>
              <w:ind w:left="98"/>
            </w:pPr>
            <w:r>
              <w:rPr>
                <w:spacing w:val="9"/>
              </w:rPr>
              <w:t>（三）在仓库内违反国家</w:t>
            </w:r>
          </w:p>
          <w:p w14:paraId="6F56FC31">
            <w:pPr>
              <w:pStyle w:val="6"/>
              <w:spacing w:line="182" w:lineRule="auto"/>
              <w:ind w:left="114"/>
              <w:outlineLvl w:val="1"/>
            </w:pPr>
            <w:r>
              <w:rPr>
                <w:spacing w:val="8"/>
              </w:rPr>
              <w:t>标准或者行业标准规定储</w:t>
            </w:r>
          </w:p>
          <w:p w14:paraId="074F8388">
            <w:pPr>
              <w:pStyle w:val="6"/>
              <w:spacing w:before="1" w:line="208" w:lineRule="auto"/>
              <w:ind w:left="117"/>
              <w:outlineLvl w:val="1"/>
            </w:pPr>
            <w:r>
              <w:rPr>
                <w:spacing w:val="1"/>
              </w:rPr>
              <w:t>存烟花爆竹的；</w:t>
            </w:r>
          </w:p>
        </w:tc>
        <w:tc>
          <w:tcPr>
            <w:tcW w:w="803" w:type="dxa"/>
            <w:vAlign w:val="top"/>
          </w:tcPr>
          <w:p w14:paraId="762D4B91">
            <w:pPr>
              <w:rPr>
                <w:rFonts w:ascii="Arial"/>
                <w:sz w:val="21"/>
              </w:rPr>
            </w:pPr>
          </w:p>
        </w:tc>
        <w:tc>
          <w:tcPr>
            <w:tcW w:w="2283" w:type="dxa"/>
            <w:vAlign w:val="top"/>
          </w:tcPr>
          <w:p w14:paraId="0CAC9CEB">
            <w:pPr>
              <w:pStyle w:val="6"/>
              <w:spacing w:before="28" w:line="162" w:lineRule="auto"/>
              <w:ind w:left="126"/>
            </w:pPr>
            <w:r>
              <w:rPr>
                <w:spacing w:val="-3"/>
              </w:rPr>
              <w:t>情形中</w:t>
            </w:r>
            <w:r>
              <w:rPr>
                <w:rFonts w:ascii="宋体" w:hAnsi="宋体" w:eastAsia="宋体" w:cs="宋体"/>
                <w:spacing w:val="-3"/>
              </w:rPr>
              <w:t>1</w:t>
            </w:r>
            <w:r>
              <w:rPr>
                <w:spacing w:val="-3"/>
              </w:rPr>
              <w:t>种的</w:t>
            </w:r>
          </w:p>
        </w:tc>
        <w:tc>
          <w:tcPr>
            <w:tcW w:w="2894" w:type="dxa"/>
            <w:vAlign w:val="top"/>
          </w:tcPr>
          <w:p w14:paraId="6467865E">
            <w:pPr>
              <w:rPr>
                <w:rFonts w:ascii="Arial"/>
                <w:sz w:val="21"/>
              </w:rPr>
            </w:pPr>
          </w:p>
        </w:tc>
        <w:tc>
          <w:tcPr>
            <w:tcW w:w="811" w:type="dxa"/>
            <w:vMerge w:val="restart"/>
            <w:tcBorders>
              <w:bottom w:val="nil"/>
            </w:tcBorders>
            <w:vAlign w:val="top"/>
          </w:tcPr>
          <w:p w14:paraId="3D2269E8">
            <w:pPr>
              <w:rPr>
                <w:rFonts w:ascii="Arial"/>
                <w:sz w:val="21"/>
              </w:rPr>
            </w:pPr>
          </w:p>
        </w:tc>
      </w:tr>
      <w:tr w14:paraId="519FA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bottom w:val="nil"/>
            </w:tcBorders>
            <w:vAlign w:val="top"/>
          </w:tcPr>
          <w:p w14:paraId="1E2812A3">
            <w:pPr>
              <w:rPr>
                <w:rFonts w:ascii="Arial"/>
                <w:sz w:val="21"/>
              </w:rPr>
            </w:pPr>
          </w:p>
        </w:tc>
        <w:tc>
          <w:tcPr>
            <w:tcW w:w="1440" w:type="dxa"/>
            <w:vMerge w:val="continue"/>
            <w:tcBorders>
              <w:top w:val="nil"/>
              <w:bottom w:val="nil"/>
            </w:tcBorders>
            <w:vAlign w:val="top"/>
          </w:tcPr>
          <w:p w14:paraId="2375E694">
            <w:pPr>
              <w:rPr>
                <w:rFonts w:ascii="Arial"/>
                <w:sz w:val="21"/>
              </w:rPr>
            </w:pPr>
          </w:p>
        </w:tc>
        <w:tc>
          <w:tcPr>
            <w:tcW w:w="3202" w:type="dxa"/>
            <w:vMerge w:val="continue"/>
            <w:tcBorders>
              <w:top w:val="nil"/>
              <w:bottom w:val="nil"/>
            </w:tcBorders>
            <w:vAlign w:val="top"/>
          </w:tcPr>
          <w:p w14:paraId="2A3033AB">
            <w:pPr>
              <w:rPr>
                <w:rFonts w:ascii="Arial"/>
                <w:sz w:val="21"/>
              </w:rPr>
            </w:pPr>
          </w:p>
        </w:tc>
        <w:tc>
          <w:tcPr>
            <w:tcW w:w="2859" w:type="dxa"/>
            <w:vMerge w:val="continue"/>
            <w:tcBorders>
              <w:top w:val="nil"/>
              <w:bottom w:val="nil"/>
            </w:tcBorders>
            <w:vAlign w:val="top"/>
          </w:tcPr>
          <w:p w14:paraId="2CA56FD8">
            <w:pPr>
              <w:rPr>
                <w:rFonts w:ascii="Arial"/>
                <w:sz w:val="21"/>
              </w:rPr>
            </w:pPr>
          </w:p>
        </w:tc>
        <w:tc>
          <w:tcPr>
            <w:tcW w:w="803" w:type="dxa"/>
            <w:vAlign w:val="top"/>
          </w:tcPr>
          <w:p w14:paraId="3785E758">
            <w:pPr>
              <w:spacing w:line="248" w:lineRule="auto"/>
              <w:rPr>
                <w:rFonts w:ascii="Arial"/>
                <w:sz w:val="21"/>
              </w:rPr>
            </w:pPr>
          </w:p>
          <w:p w14:paraId="78D656BC">
            <w:pPr>
              <w:spacing w:line="248" w:lineRule="auto"/>
              <w:rPr>
                <w:rFonts w:ascii="Arial"/>
                <w:sz w:val="21"/>
              </w:rPr>
            </w:pPr>
          </w:p>
          <w:p w14:paraId="52E9D070">
            <w:pPr>
              <w:spacing w:line="248" w:lineRule="auto"/>
              <w:rPr>
                <w:rFonts w:ascii="Arial"/>
                <w:sz w:val="21"/>
              </w:rPr>
            </w:pPr>
          </w:p>
          <w:p w14:paraId="167A9F7D">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E05EB64">
            <w:pPr>
              <w:pStyle w:val="6"/>
              <w:spacing w:before="32" w:line="182" w:lineRule="auto"/>
              <w:ind w:left="114" w:right="46" w:firstLine="2"/>
              <w:jc w:val="both"/>
            </w:pPr>
            <w:r>
              <w:rPr>
                <w:spacing w:val="26"/>
              </w:rPr>
              <w:t>在仓库内违反国家标准或者行业标准</w:t>
            </w:r>
            <w:r>
              <w:rPr>
                <w:spacing w:val="3"/>
              </w:rPr>
              <w:t>规定储存烟花爆竹，</w:t>
            </w:r>
            <w:r>
              <w:rPr>
                <w:spacing w:val="5"/>
              </w:rPr>
              <w:t>涉及烟花爆竹品种、</w:t>
            </w:r>
          </w:p>
          <w:p w14:paraId="11546B8F">
            <w:pPr>
              <w:pStyle w:val="6"/>
              <w:spacing w:line="182" w:lineRule="auto"/>
              <w:ind w:left="122"/>
              <w:outlineLvl w:val="1"/>
            </w:pPr>
            <w:r>
              <w:rPr>
                <w:spacing w:val="-3"/>
              </w:rPr>
              <w:t>规格和数量，有三种</w:t>
            </w:r>
          </w:p>
          <w:p w14:paraId="555D0BB8">
            <w:pPr>
              <w:pStyle w:val="6"/>
              <w:spacing w:line="160" w:lineRule="auto"/>
              <w:ind w:left="126"/>
            </w:pPr>
            <w:r>
              <w:t>情形中</w:t>
            </w:r>
            <w:r>
              <w:rPr>
                <w:rFonts w:ascii="宋体" w:hAnsi="宋体" w:eastAsia="宋体" w:cs="宋体"/>
              </w:rPr>
              <w:t>2</w:t>
            </w:r>
            <w:r>
              <w:t>种的</w:t>
            </w:r>
          </w:p>
        </w:tc>
        <w:tc>
          <w:tcPr>
            <w:tcW w:w="2894" w:type="dxa"/>
            <w:vAlign w:val="top"/>
          </w:tcPr>
          <w:p w14:paraId="2D8262AE">
            <w:pPr>
              <w:spacing w:line="263" w:lineRule="auto"/>
              <w:rPr>
                <w:rFonts w:ascii="Arial"/>
                <w:sz w:val="21"/>
              </w:rPr>
            </w:pPr>
          </w:p>
          <w:p w14:paraId="37248B76">
            <w:pPr>
              <w:spacing w:line="264" w:lineRule="auto"/>
              <w:rPr>
                <w:rFonts w:ascii="Arial"/>
                <w:sz w:val="21"/>
              </w:rPr>
            </w:pPr>
          </w:p>
          <w:p w14:paraId="1704FE00">
            <w:pPr>
              <w:pStyle w:val="6"/>
              <w:spacing w:before="98" w:line="196" w:lineRule="auto"/>
              <w:ind w:left="146" w:right="103" w:hanging="19"/>
            </w:pPr>
            <w:r>
              <w:rPr>
                <w:spacing w:val="2"/>
              </w:rPr>
              <w:t>责令限期改正，处</w:t>
            </w:r>
            <w:r>
              <w:rPr>
                <w:rFonts w:ascii="宋体" w:hAnsi="宋体" w:eastAsia="宋体" w:cs="宋体"/>
                <w:spacing w:val="2"/>
              </w:rPr>
              <w:t>1</w:t>
            </w:r>
            <w:r>
              <w:rPr>
                <w:spacing w:val="2"/>
              </w:rPr>
              <w:t>万元</w:t>
            </w:r>
            <w:r>
              <w:rPr>
                <w:spacing w:val="1"/>
              </w:rPr>
              <w:t>以上</w:t>
            </w:r>
            <w:r>
              <w:rPr>
                <w:rFonts w:ascii="宋体" w:hAnsi="宋体" w:eastAsia="宋体" w:cs="宋体"/>
                <w:spacing w:val="1"/>
              </w:rPr>
              <w:t>2</w:t>
            </w:r>
            <w:r>
              <w:rPr>
                <w:spacing w:val="1"/>
              </w:rPr>
              <w:t>万元以下的罚款</w:t>
            </w:r>
          </w:p>
        </w:tc>
        <w:tc>
          <w:tcPr>
            <w:tcW w:w="811" w:type="dxa"/>
            <w:vMerge w:val="continue"/>
            <w:tcBorders>
              <w:top w:val="nil"/>
              <w:bottom w:val="nil"/>
            </w:tcBorders>
            <w:vAlign w:val="top"/>
          </w:tcPr>
          <w:p w14:paraId="3433F6A2">
            <w:pPr>
              <w:rPr>
                <w:rFonts w:ascii="Arial"/>
                <w:sz w:val="21"/>
              </w:rPr>
            </w:pPr>
          </w:p>
        </w:tc>
      </w:tr>
      <w:tr w14:paraId="15E61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tcBorders>
            <w:vAlign w:val="top"/>
          </w:tcPr>
          <w:p w14:paraId="1AB12300">
            <w:pPr>
              <w:rPr>
                <w:rFonts w:ascii="Arial"/>
                <w:sz w:val="21"/>
              </w:rPr>
            </w:pPr>
          </w:p>
        </w:tc>
        <w:tc>
          <w:tcPr>
            <w:tcW w:w="1440" w:type="dxa"/>
            <w:vMerge w:val="continue"/>
            <w:tcBorders>
              <w:top w:val="nil"/>
            </w:tcBorders>
            <w:vAlign w:val="top"/>
          </w:tcPr>
          <w:p w14:paraId="7138F975">
            <w:pPr>
              <w:rPr>
                <w:rFonts w:ascii="Arial"/>
                <w:sz w:val="21"/>
              </w:rPr>
            </w:pPr>
          </w:p>
        </w:tc>
        <w:tc>
          <w:tcPr>
            <w:tcW w:w="3202" w:type="dxa"/>
            <w:vMerge w:val="continue"/>
            <w:tcBorders>
              <w:top w:val="nil"/>
            </w:tcBorders>
            <w:vAlign w:val="top"/>
          </w:tcPr>
          <w:p w14:paraId="58B46594">
            <w:pPr>
              <w:rPr>
                <w:rFonts w:ascii="Arial"/>
                <w:sz w:val="21"/>
              </w:rPr>
            </w:pPr>
          </w:p>
        </w:tc>
        <w:tc>
          <w:tcPr>
            <w:tcW w:w="2859" w:type="dxa"/>
            <w:vMerge w:val="continue"/>
            <w:tcBorders>
              <w:top w:val="nil"/>
            </w:tcBorders>
            <w:vAlign w:val="top"/>
          </w:tcPr>
          <w:p w14:paraId="5AF7DAD8">
            <w:pPr>
              <w:rPr>
                <w:rFonts w:ascii="Arial"/>
                <w:sz w:val="21"/>
              </w:rPr>
            </w:pPr>
          </w:p>
        </w:tc>
        <w:tc>
          <w:tcPr>
            <w:tcW w:w="803" w:type="dxa"/>
            <w:vAlign w:val="top"/>
          </w:tcPr>
          <w:p w14:paraId="68C2EC93">
            <w:pPr>
              <w:spacing w:line="248" w:lineRule="auto"/>
              <w:rPr>
                <w:rFonts w:ascii="Arial"/>
                <w:sz w:val="21"/>
              </w:rPr>
            </w:pPr>
          </w:p>
          <w:p w14:paraId="18B43317">
            <w:pPr>
              <w:spacing w:line="249" w:lineRule="auto"/>
              <w:rPr>
                <w:rFonts w:ascii="Arial"/>
                <w:sz w:val="21"/>
              </w:rPr>
            </w:pPr>
          </w:p>
          <w:p w14:paraId="6B9EEC2F">
            <w:pPr>
              <w:spacing w:line="249" w:lineRule="auto"/>
              <w:rPr>
                <w:rFonts w:ascii="Arial"/>
                <w:sz w:val="21"/>
              </w:rPr>
            </w:pPr>
          </w:p>
          <w:p w14:paraId="0EC7FD6C">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EB8797D">
            <w:pPr>
              <w:pStyle w:val="6"/>
              <w:spacing w:before="28" w:line="179" w:lineRule="auto"/>
              <w:ind w:left="114" w:right="46" w:firstLine="2"/>
              <w:jc w:val="both"/>
            </w:pPr>
            <w:r>
              <w:rPr>
                <w:spacing w:val="26"/>
              </w:rPr>
              <w:t>在仓库内违反国家标准或者行业标准</w:t>
            </w:r>
            <w:r>
              <w:rPr>
                <w:spacing w:val="3"/>
              </w:rPr>
              <w:t>规定储存烟花爆竹，</w:t>
            </w:r>
            <w:bookmarkStart w:id="689" w:name="bookmark598"/>
            <w:bookmarkEnd w:id="689"/>
            <w:bookmarkStart w:id="690" w:name="bookmark408"/>
            <w:bookmarkEnd w:id="690"/>
            <w:r>
              <w:rPr>
                <w:spacing w:val="5"/>
              </w:rPr>
              <w:t>涉及烟花爆竹品种、</w:t>
            </w:r>
            <w:r>
              <w:rPr>
                <w:spacing w:val="-2"/>
              </w:rPr>
              <w:t>规格和数量，有三种</w:t>
            </w:r>
            <w:r>
              <w:rPr>
                <w:spacing w:val="2"/>
              </w:rPr>
              <w:t>情形中</w:t>
            </w:r>
            <w:r>
              <w:rPr>
                <w:rFonts w:ascii="宋体" w:hAnsi="宋体" w:eastAsia="宋体" w:cs="宋体"/>
                <w:spacing w:val="2"/>
              </w:rPr>
              <w:t>3</w:t>
            </w:r>
            <w:r>
              <w:rPr>
                <w:spacing w:val="2"/>
              </w:rPr>
              <w:t>种的</w:t>
            </w:r>
          </w:p>
        </w:tc>
        <w:tc>
          <w:tcPr>
            <w:tcW w:w="2894" w:type="dxa"/>
            <w:vAlign w:val="top"/>
          </w:tcPr>
          <w:p w14:paraId="59B74635">
            <w:pPr>
              <w:spacing w:line="264" w:lineRule="auto"/>
              <w:rPr>
                <w:rFonts w:ascii="Arial"/>
                <w:sz w:val="21"/>
              </w:rPr>
            </w:pPr>
          </w:p>
          <w:p w14:paraId="22F3C852">
            <w:pPr>
              <w:spacing w:line="265" w:lineRule="auto"/>
              <w:rPr>
                <w:rFonts w:ascii="Arial"/>
                <w:sz w:val="21"/>
              </w:rPr>
            </w:pPr>
          </w:p>
          <w:p w14:paraId="7E71C199">
            <w:pPr>
              <w:pStyle w:val="6"/>
              <w:spacing w:before="99" w:line="182" w:lineRule="auto"/>
              <w:ind w:left="127"/>
              <w:outlineLvl w:val="1"/>
            </w:pPr>
            <w:r>
              <w:rPr>
                <w:spacing w:val="4"/>
              </w:rPr>
              <w:t>责令限期改正，处</w:t>
            </w:r>
            <w:r>
              <w:rPr>
                <w:rFonts w:ascii="宋体" w:hAnsi="宋体" w:eastAsia="宋体" w:cs="宋体"/>
                <w:spacing w:val="4"/>
              </w:rPr>
              <w:t>2</w:t>
            </w:r>
            <w:r>
              <w:rPr>
                <w:spacing w:val="4"/>
              </w:rPr>
              <w:t>万元</w:t>
            </w:r>
          </w:p>
          <w:p w14:paraId="6F8D9642">
            <w:pPr>
              <w:pStyle w:val="6"/>
              <w:spacing w:before="1" w:line="208" w:lineRule="auto"/>
              <w:ind w:left="147"/>
            </w:pPr>
            <w:r>
              <w:rPr>
                <w:spacing w:val="1"/>
              </w:rPr>
              <w:t>以上</w:t>
            </w:r>
            <w:r>
              <w:rPr>
                <w:rFonts w:ascii="宋体" w:hAnsi="宋体" w:eastAsia="宋体" w:cs="宋体"/>
                <w:spacing w:val="1"/>
              </w:rPr>
              <w:t>3</w:t>
            </w:r>
            <w:r>
              <w:rPr>
                <w:spacing w:val="1"/>
              </w:rPr>
              <w:t>万元以下的罚款</w:t>
            </w:r>
          </w:p>
        </w:tc>
        <w:tc>
          <w:tcPr>
            <w:tcW w:w="811" w:type="dxa"/>
            <w:vMerge w:val="continue"/>
            <w:tcBorders>
              <w:top w:val="nil"/>
            </w:tcBorders>
            <w:vAlign w:val="top"/>
          </w:tcPr>
          <w:p w14:paraId="63F6817D">
            <w:pPr>
              <w:rPr>
                <w:rFonts w:ascii="Arial"/>
                <w:sz w:val="21"/>
              </w:rPr>
            </w:pPr>
          </w:p>
        </w:tc>
      </w:tr>
      <w:tr w14:paraId="4EDA6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restart"/>
            <w:tcBorders>
              <w:bottom w:val="nil"/>
            </w:tcBorders>
            <w:vAlign w:val="top"/>
          </w:tcPr>
          <w:p w14:paraId="65FD6A1B">
            <w:pPr>
              <w:spacing w:line="257" w:lineRule="auto"/>
              <w:rPr>
                <w:rFonts w:ascii="Arial"/>
                <w:sz w:val="21"/>
              </w:rPr>
            </w:pPr>
          </w:p>
          <w:p w14:paraId="011CFF4E">
            <w:pPr>
              <w:spacing w:line="257" w:lineRule="auto"/>
              <w:rPr>
                <w:rFonts w:ascii="Arial"/>
                <w:sz w:val="21"/>
              </w:rPr>
            </w:pPr>
          </w:p>
          <w:p w14:paraId="19AD2D1A">
            <w:pPr>
              <w:spacing w:line="257" w:lineRule="auto"/>
              <w:rPr>
                <w:rFonts w:ascii="Arial"/>
                <w:sz w:val="21"/>
              </w:rPr>
            </w:pPr>
          </w:p>
          <w:p w14:paraId="08C2A1D0">
            <w:pPr>
              <w:spacing w:line="257" w:lineRule="auto"/>
              <w:rPr>
                <w:rFonts w:ascii="Arial"/>
                <w:sz w:val="21"/>
              </w:rPr>
            </w:pPr>
          </w:p>
          <w:p w14:paraId="12D9D8C9">
            <w:pPr>
              <w:spacing w:line="257" w:lineRule="auto"/>
              <w:rPr>
                <w:rFonts w:ascii="Arial"/>
                <w:sz w:val="21"/>
              </w:rPr>
            </w:pPr>
          </w:p>
          <w:p w14:paraId="1C9CD97B">
            <w:pPr>
              <w:spacing w:line="258" w:lineRule="auto"/>
              <w:rPr>
                <w:rFonts w:ascii="Arial"/>
                <w:sz w:val="21"/>
              </w:rPr>
            </w:pPr>
          </w:p>
          <w:p w14:paraId="662B0D19">
            <w:pPr>
              <w:spacing w:line="258" w:lineRule="auto"/>
              <w:rPr>
                <w:rFonts w:ascii="Arial"/>
                <w:sz w:val="21"/>
              </w:rPr>
            </w:pPr>
          </w:p>
          <w:p w14:paraId="55A75A35">
            <w:pPr>
              <w:spacing w:before="74" w:line="186" w:lineRule="auto"/>
              <w:ind w:left="161"/>
              <w:rPr>
                <w:rFonts w:ascii="仿宋" w:hAnsi="仿宋" w:eastAsia="仿宋" w:cs="仿宋"/>
                <w:sz w:val="23"/>
                <w:szCs w:val="23"/>
              </w:rPr>
            </w:pPr>
            <w:r>
              <w:rPr>
                <w:rFonts w:ascii="仿宋" w:hAnsi="仿宋" w:eastAsia="仿宋" w:cs="仿宋"/>
                <w:spacing w:val="-5"/>
                <w:sz w:val="23"/>
                <w:szCs w:val="23"/>
              </w:rPr>
              <w:t>199</w:t>
            </w:r>
          </w:p>
        </w:tc>
        <w:tc>
          <w:tcPr>
            <w:tcW w:w="1440" w:type="dxa"/>
            <w:vMerge w:val="restart"/>
            <w:tcBorders>
              <w:bottom w:val="nil"/>
            </w:tcBorders>
            <w:vAlign w:val="top"/>
          </w:tcPr>
          <w:p w14:paraId="61B1CEAA">
            <w:pPr>
              <w:spacing w:line="280" w:lineRule="auto"/>
              <w:rPr>
                <w:rFonts w:ascii="Arial"/>
                <w:sz w:val="21"/>
              </w:rPr>
            </w:pPr>
          </w:p>
          <w:p w14:paraId="3A3D4285">
            <w:pPr>
              <w:spacing w:line="281" w:lineRule="auto"/>
              <w:rPr>
                <w:rFonts w:ascii="Arial"/>
                <w:sz w:val="21"/>
              </w:rPr>
            </w:pPr>
          </w:p>
          <w:p w14:paraId="432DBE60">
            <w:pPr>
              <w:spacing w:line="281" w:lineRule="auto"/>
              <w:rPr>
                <w:rFonts w:ascii="Arial"/>
                <w:sz w:val="21"/>
              </w:rPr>
            </w:pPr>
          </w:p>
          <w:p w14:paraId="3D70E356">
            <w:pPr>
              <w:pStyle w:val="6"/>
              <w:spacing w:before="98" w:line="186" w:lineRule="auto"/>
              <w:ind w:left="114" w:right="111" w:firstLine="5"/>
              <w:jc w:val="both"/>
            </w:pPr>
            <w:r>
              <w:rPr>
                <w:spacing w:val="10"/>
              </w:rPr>
              <w:t>烟花爆竹批</w:t>
            </w:r>
            <w:r>
              <w:rPr>
                <w:spacing w:val="11"/>
              </w:rPr>
              <w:t>发企业在烟花爆竹经营许可证载明的仓库以外储存烟花爆</w:t>
            </w:r>
            <w:r>
              <w:rPr>
                <w:spacing w:val="3"/>
              </w:rPr>
              <w:t>竹的</w:t>
            </w:r>
          </w:p>
        </w:tc>
        <w:tc>
          <w:tcPr>
            <w:tcW w:w="3202" w:type="dxa"/>
            <w:vMerge w:val="restart"/>
            <w:tcBorders>
              <w:bottom w:val="nil"/>
            </w:tcBorders>
            <w:vAlign w:val="top"/>
          </w:tcPr>
          <w:p w14:paraId="210238EF">
            <w:pPr>
              <w:pStyle w:val="6"/>
              <w:spacing w:before="29" w:line="187" w:lineRule="auto"/>
              <w:ind w:left="118" w:right="26" w:hanging="20"/>
              <w:jc w:val="both"/>
            </w:pPr>
            <w:r>
              <w:rPr>
                <w:spacing w:val="18"/>
              </w:rPr>
              <w:t>【部门规章】《烟花爆竹经</w:t>
            </w:r>
            <w:r>
              <w:rPr>
                <w:spacing w:val="17"/>
              </w:rPr>
              <w:t>营许可实施办法》第二十三</w:t>
            </w:r>
            <w:r>
              <w:rPr>
                <w:spacing w:val="12"/>
              </w:rPr>
              <w:t>条第一款：禁止在烟花爆竹</w:t>
            </w:r>
            <w:r>
              <w:rPr>
                <w:spacing w:val="17"/>
              </w:rPr>
              <w:t>经营许可证载明的储存（零</w:t>
            </w:r>
            <w:r>
              <w:rPr>
                <w:spacing w:val="4"/>
              </w:rPr>
              <w:t>售）场所以外储存烟花爆竹。</w:t>
            </w:r>
          </w:p>
        </w:tc>
        <w:tc>
          <w:tcPr>
            <w:tcW w:w="2859" w:type="dxa"/>
            <w:vMerge w:val="restart"/>
            <w:tcBorders>
              <w:bottom w:val="nil"/>
            </w:tcBorders>
            <w:vAlign w:val="top"/>
          </w:tcPr>
          <w:p w14:paraId="179C9854">
            <w:pPr>
              <w:pStyle w:val="6"/>
              <w:spacing w:before="36" w:line="185" w:lineRule="auto"/>
              <w:ind w:left="97" w:right="106"/>
            </w:pPr>
            <w:r>
              <w:rPr>
                <w:spacing w:val="10"/>
              </w:rPr>
              <w:t>【部门规章】《烟花爆竹经营许可实施办法》第三十二条第四项：批发企业有下列行为之一的，责令</w:t>
            </w:r>
            <w:r>
              <w:rPr>
                <w:spacing w:val="-3"/>
              </w:rPr>
              <w:t>其限期改正，处</w:t>
            </w:r>
            <w:r>
              <w:rPr>
                <w:rFonts w:ascii="宋体" w:hAnsi="宋体" w:eastAsia="宋体" w:cs="宋体"/>
                <w:spacing w:val="-3"/>
              </w:rPr>
              <w:t>5000</w:t>
            </w:r>
            <w:r>
              <w:rPr>
                <w:spacing w:val="-3"/>
              </w:rPr>
              <w:t>元以</w:t>
            </w:r>
            <w:r>
              <w:rPr>
                <w:spacing w:val="17"/>
              </w:rPr>
              <w:t>上</w:t>
            </w:r>
            <w:r>
              <w:rPr>
                <w:rFonts w:ascii="宋体" w:hAnsi="宋体" w:eastAsia="宋体" w:cs="宋体"/>
                <w:spacing w:val="17"/>
              </w:rPr>
              <w:t>3</w:t>
            </w:r>
            <w:r>
              <w:rPr>
                <w:spacing w:val="17"/>
              </w:rPr>
              <w:t>万元以下的罚款：</w:t>
            </w:r>
            <w:r>
              <w:rPr>
                <w:spacing w:val="10"/>
              </w:rPr>
              <w:t>（四）在烟花爆竹经营许可证载明的仓库以外储存</w:t>
            </w:r>
            <w:r>
              <w:rPr>
                <w:spacing w:val="3"/>
              </w:rPr>
              <w:t>烟花爆竹的；</w:t>
            </w:r>
          </w:p>
        </w:tc>
        <w:tc>
          <w:tcPr>
            <w:tcW w:w="803" w:type="dxa"/>
            <w:vAlign w:val="top"/>
          </w:tcPr>
          <w:p w14:paraId="1A3F5243">
            <w:pPr>
              <w:spacing w:line="446" w:lineRule="auto"/>
              <w:rPr>
                <w:rFonts w:ascii="Arial"/>
                <w:sz w:val="21"/>
              </w:rPr>
            </w:pPr>
          </w:p>
          <w:p w14:paraId="201308E8">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AC71249">
            <w:pPr>
              <w:pStyle w:val="6"/>
              <w:spacing w:before="29" w:line="177" w:lineRule="auto"/>
              <w:ind w:left="126" w:right="109" w:hanging="9"/>
              <w:jc w:val="both"/>
            </w:pPr>
            <w:r>
              <w:rPr>
                <w:spacing w:val="26"/>
              </w:rPr>
              <w:t>在烟花爆竹经营许</w:t>
            </w:r>
            <w:r>
              <w:rPr>
                <w:spacing w:val="25"/>
              </w:rPr>
              <w:t>可证载明的仓库以外储存烟花爆竹产</w:t>
            </w:r>
            <w:r>
              <w:t>品</w:t>
            </w:r>
            <w:r>
              <w:rPr>
                <w:rFonts w:ascii="宋体" w:hAnsi="宋体" w:eastAsia="宋体" w:cs="宋体"/>
              </w:rPr>
              <w:t>20</w:t>
            </w:r>
            <w:r>
              <w:t>箱以下的</w:t>
            </w:r>
          </w:p>
        </w:tc>
        <w:tc>
          <w:tcPr>
            <w:tcW w:w="2894" w:type="dxa"/>
            <w:vAlign w:val="top"/>
          </w:tcPr>
          <w:p w14:paraId="59955330">
            <w:pPr>
              <w:pStyle w:val="6"/>
              <w:spacing w:before="330" w:line="196" w:lineRule="auto"/>
              <w:ind w:left="146" w:right="104" w:hanging="19"/>
            </w:pPr>
            <w:r>
              <w:rPr>
                <w:spacing w:val="-2"/>
              </w:rPr>
              <w:t>责令限期改正，处</w:t>
            </w:r>
            <w:r>
              <w:rPr>
                <w:rFonts w:ascii="宋体" w:hAnsi="宋体" w:eastAsia="宋体" w:cs="宋体"/>
                <w:spacing w:val="-2"/>
              </w:rPr>
              <w:t>5000</w:t>
            </w:r>
            <w:r>
              <w:rPr>
                <w:spacing w:val="-2"/>
              </w:rPr>
              <w:t>元</w:t>
            </w:r>
            <w:r>
              <w:rPr>
                <w:spacing w:val="-1"/>
              </w:rPr>
              <w:t>以上</w:t>
            </w:r>
            <w:r>
              <w:rPr>
                <w:rFonts w:ascii="宋体" w:hAnsi="宋体" w:eastAsia="宋体" w:cs="宋体"/>
                <w:spacing w:val="-1"/>
              </w:rPr>
              <w:t>1</w:t>
            </w:r>
            <w:r>
              <w:rPr>
                <w:spacing w:val="-1"/>
              </w:rPr>
              <w:t>万元以下的罚款</w:t>
            </w:r>
          </w:p>
        </w:tc>
        <w:tc>
          <w:tcPr>
            <w:tcW w:w="811" w:type="dxa"/>
            <w:vMerge w:val="restart"/>
            <w:tcBorders>
              <w:bottom w:val="nil"/>
            </w:tcBorders>
            <w:vAlign w:val="top"/>
          </w:tcPr>
          <w:p w14:paraId="12042575">
            <w:pPr>
              <w:spacing w:line="256" w:lineRule="auto"/>
              <w:rPr>
                <w:rFonts w:ascii="Arial"/>
                <w:sz w:val="21"/>
              </w:rPr>
            </w:pPr>
          </w:p>
          <w:p w14:paraId="7D0E3728">
            <w:pPr>
              <w:spacing w:line="256" w:lineRule="auto"/>
              <w:rPr>
                <w:rFonts w:ascii="Arial"/>
                <w:sz w:val="21"/>
              </w:rPr>
            </w:pPr>
          </w:p>
          <w:p w14:paraId="15A8F836">
            <w:pPr>
              <w:spacing w:line="257" w:lineRule="auto"/>
              <w:rPr>
                <w:rFonts w:ascii="Arial"/>
                <w:sz w:val="21"/>
              </w:rPr>
            </w:pPr>
          </w:p>
          <w:p w14:paraId="3DF9EBF9">
            <w:pPr>
              <w:spacing w:line="257" w:lineRule="auto"/>
              <w:rPr>
                <w:rFonts w:ascii="Arial"/>
                <w:sz w:val="21"/>
              </w:rPr>
            </w:pPr>
          </w:p>
          <w:p w14:paraId="063E4E54">
            <w:pPr>
              <w:spacing w:line="257" w:lineRule="auto"/>
              <w:rPr>
                <w:rFonts w:ascii="Arial"/>
                <w:sz w:val="21"/>
              </w:rPr>
            </w:pPr>
          </w:p>
          <w:p w14:paraId="492592D6">
            <w:pPr>
              <w:spacing w:line="257" w:lineRule="auto"/>
              <w:rPr>
                <w:rFonts w:ascii="Arial"/>
                <w:sz w:val="21"/>
              </w:rPr>
            </w:pPr>
          </w:p>
          <w:p w14:paraId="732F7160">
            <w:pPr>
              <w:spacing w:line="257" w:lineRule="auto"/>
              <w:rPr>
                <w:rFonts w:ascii="Arial"/>
                <w:sz w:val="21"/>
              </w:rPr>
            </w:pPr>
          </w:p>
          <w:p w14:paraId="7F4B76EF">
            <w:pPr>
              <w:spacing w:before="75" w:line="189" w:lineRule="auto"/>
              <w:ind w:left="248"/>
              <w:rPr>
                <w:rFonts w:ascii="宋体" w:hAnsi="宋体" w:eastAsia="宋体" w:cs="宋体"/>
                <w:sz w:val="23"/>
                <w:szCs w:val="23"/>
              </w:rPr>
            </w:pPr>
            <w:r>
              <w:rPr>
                <w:rFonts w:ascii="宋体" w:hAnsi="宋体" w:eastAsia="宋体" w:cs="宋体"/>
                <w:spacing w:val="-6"/>
                <w:sz w:val="23"/>
                <w:szCs w:val="23"/>
              </w:rPr>
              <w:t>170</w:t>
            </w:r>
          </w:p>
        </w:tc>
      </w:tr>
      <w:tr w14:paraId="4107A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continue"/>
            <w:tcBorders>
              <w:top w:val="nil"/>
              <w:bottom w:val="nil"/>
            </w:tcBorders>
            <w:vAlign w:val="top"/>
          </w:tcPr>
          <w:p w14:paraId="41AE4FB1">
            <w:pPr>
              <w:rPr>
                <w:rFonts w:ascii="Arial"/>
                <w:sz w:val="21"/>
              </w:rPr>
            </w:pPr>
          </w:p>
        </w:tc>
        <w:tc>
          <w:tcPr>
            <w:tcW w:w="1440" w:type="dxa"/>
            <w:vMerge w:val="continue"/>
            <w:tcBorders>
              <w:top w:val="nil"/>
              <w:bottom w:val="nil"/>
            </w:tcBorders>
            <w:vAlign w:val="top"/>
          </w:tcPr>
          <w:p w14:paraId="5573C3EA">
            <w:pPr>
              <w:rPr>
                <w:rFonts w:ascii="Arial"/>
                <w:sz w:val="21"/>
              </w:rPr>
            </w:pPr>
          </w:p>
        </w:tc>
        <w:tc>
          <w:tcPr>
            <w:tcW w:w="3202" w:type="dxa"/>
            <w:vMerge w:val="continue"/>
            <w:tcBorders>
              <w:top w:val="nil"/>
              <w:bottom w:val="nil"/>
            </w:tcBorders>
            <w:vAlign w:val="top"/>
          </w:tcPr>
          <w:p w14:paraId="02A2DCBB">
            <w:pPr>
              <w:rPr>
                <w:rFonts w:ascii="Arial"/>
                <w:sz w:val="21"/>
              </w:rPr>
            </w:pPr>
          </w:p>
        </w:tc>
        <w:tc>
          <w:tcPr>
            <w:tcW w:w="2859" w:type="dxa"/>
            <w:vMerge w:val="continue"/>
            <w:tcBorders>
              <w:top w:val="nil"/>
              <w:bottom w:val="nil"/>
            </w:tcBorders>
            <w:vAlign w:val="top"/>
          </w:tcPr>
          <w:p w14:paraId="4FFB30A6">
            <w:pPr>
              <w:rPr>
                <w:rFonts w:ascii="Arial"/>
                <w:sz w:val="21"/>
              </w:rPr>
            </w:pPr>
          </w:p>
        </w:tc>
        <w:tc>
          <w:tcPr>
            <w:tcW w:w="803" w:type="dxa"/>
            <w:vAlign w:val="top"/>
          </w:tcPr>
          <w:p w14:paraId="7C18C35E">
            <w:pPr>
              <w:spacing w:line="299" w:lineRule="auto"/>
              <w:rPr>
                <w:rFonts w:ascii="Arial"/>
                <w:sz w:val="21"/>
              </w:rPr>
            </w:pPr>
          </w:p>
          <w:p w14:paraId="37D4C069">
            <w:pPr>
              <w:spacing w:line="299" w:lineRule="auto"/>
              <w:rPr>
                <w:rFonts w:ascii="Arial"/>
                <w:sz w:val="21"/>
              </w:rPr>
            </w:pPr>
          </w:p>
          <w:p w14:paraId="71315F06">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78BB18E">
            <w:pPr>
              <w:pStyle w:val="6"/>
              <w:spacing w:before="30" w:line="178" w:lineRule="auto"/>
              <w:ind w:left="122" w:right="105" w:hanging="5"/>
              <w:jc w:val="both"/>
            </w:pPr>
            <w:r>
              <w:rPr>
                <w:spacing w:val="26"/>
              </w:rPr>
              <w:t>在烟花爆竹经营许</w:t>
            </w:r>
            <w:r>
              <w:rPr>
                <w:spacing w:val="25"/>
              </w:rPr>
              <w:t>可证载明的仓库以外储存烟花爆竹产</w:t>
            </w:r>
            <w:r>
              <w:rPr>
                <w:spacing w:val="-1"/>
              </w:rPr>
              <w:t>品</w:t>
            </w:r>
            <w:r>
              <w:rPr>
                <w:rFonts w:ascii="宋体" w:hAnsi="宋体" w:eastAsia="宋体" w:cs="宋体"/>
                <w:spacing w:val="-1"/>
              </w:rPr>
              <w:t>20</w:t>
            </w:r>
            <w:r>
              <w:rPr>
                <w:spacing w:val="-1"/>
              </w:rPr>
              <w:t>箱以上</w:t>
            </w:r>
            <w:r>
              <w:rPr>
                <w:rFonts w:ascii="宋体" w:hAnsi="宋体" w:eastAsia="宋体" w:cs="宋体"/>
                <w:spacing w:val="-1"/>
              </w:rPr>
              <w:t>50</w:t>
            </w:r>
            <w:r>
              <w:rPr>
                <w:spacing w:val="-1"/>
              </w:rPr>
              <w:t>箱以</w:t>
            </w:r>
            <w:r>
              <w:t>下的</w:t>
            </w:r>
          </w:p>
        </w:tc>
        <w:tc>
          <w:tcPr>
            <w:tcW w:w="2894" w:type="dxa"/>
            <w:vAlign w:val="top"/>
          </w:tcPr>
          <w:p w14:paraId="768FEFBA">
            <w:pPr>
              <w:spacing w:line="380" w:lineRule="auto"/>
              <w:rPr>
                <w:rFonts w:ascii="Arial"/>
                <w:sz w:val="21"/>
              </w:rPr>
            </w:pPr>
          </w:p>
          <w:p w14:paraId="4BEA69D3">
            <w:pPr>
              <w:pStyle w:val="6"/>
              <w:spacing w:before="99" w:line="196" w:lineRule="auto"/>
              <w:ind w:left="146" w:right="103" w:hanging="19"/>
            </w:pPr>
            <w:r>
              <w:rPr>
                <w:spacing w:val="2"/>
              </w:rPr>
              <w:t>责令限期改正，处</w:t>
            </w:r>
            <w:r>
              <w:rPr>
                <w:rFonts w:ascii="宋体" w:hAnsi="宋体" w:eastAsia="宋体" w:cs="宋体"/>
                <w:spacing w:val="2"/>
              </w:rPr>
              <w:t>1</w:t>
            </w:r>
            <w:r>
              <w:rPr>
                <w:spacing w:val="2"/>
              </w:rPr>
              <w:t>万元</w:t>
            </w:r>
            <w:r>
              <w:rPr>
                <w:spacing w:val="1"/>
              </w:rPr>
              <w:t>以上</w:t>
            </w:r>
            <w:r>
              <w:rPr>
                <w:rFonts w:ascii="宋体" w:hAnsi="宋体" w:eastAsia="宋体" w:cs="宋体"/>
                <w:spacing w:val="1"/>
              </w:rPr>
              <w:t>2</w:t>
            </w:r>
            <w:r>
              <w:rPr>
                <w:spacing w:val="1"/>
              </w:rPr>
              <w:t>万元以下的罚款</w:t>
            </w:r>
          </w:p>
        </w:tc>
        <w:tc>
          <w:tcPr>
            <w:tcW w:w="811" w:type="dxa"/>
            <w:vMerge w:val="continue"/>
            <w:tcBorders>
              <w:top w:val="nil"/>
              <w:bottom w:val="nil"/>
            </w:tcBorders>
            <w:vAlign w:val="top"/>
          </w:tcPr>
          <w:p w14:paraId="2226CF3F">
            <w:pPr>
              <w:rPr>
                <w:rFonts w:ascii="Arial"/>
                <w:sz w:val="21"/>
              </w:rPr>
            </w:pPr>
          </w:p>
        </w:tc>
      </w:tr>
      <w:tr w14:paraId="194BF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continue"/>
            <w:tcBorders>
              <w:top w:val="nil"/>
            </w:tcBorders>
            <w:vAlign w:val="top"/>
          </w:tcPr>
          <w:p w14:paraId="62082338">
            <w:pPr>
              <w:rPr>
                <w:rFonts w:ascii="Arial"/>
                <w:sz w:val="21"/>
              </w:rPr>
            </w:pPr>
          </w:p>
        </w:tc>
        <w:tc>
          <w:tcPr>
            <w:tcW w:w="1440" w:type="dxa"/>
            <w:vMerge w:val="continue"/>
            <w:tcBorders>
              <w:top w:val="nil"/>
            </w:tcBorders>
            <w:vAlign w:val="top"/>
          </w:tcPr>
          <w:p w14:paraId="6D28D379">
            <w:pPr>
              <w:rPr>
                <w:rFonts w:ascii="Arial"/>
                <w:sz w:val="21"/>
              </w:rPr>
            </w:pPr>
          </w:p>
        </w:tc>
        <w:tc>
          <w:tcPr>
            <w:tcW w:w="3202" w:type="dxa"/>
            <w:vMerge w:val="continue"/>
            <w:tcBorders>
              <w:top w:val="nil"/>
            </w:tcBorders>
            <w:vAlign w:val="top"/>
          </w:tcPr>
          <w:p w14:paraId="0E59B20D">
            <w:pPr>
              <w:rPr>
                <w:rFonts w:ascii="Arial"/>
                <w:sz w:val="21"/>
              </w:rPr>
            </w:pPr>
          </w:p>
        </w:tc>
        <w:tc>
          <w:tcPr>
            <w:tcW w:w="2859" w:type="dxa"/>
            <w:vMerge w:val="continue"/>
            <w:tcBorders>
              <w:top w:val="nil"/>
            </w:tcBorders>
            <w:vAlign w:val="top"/>
          </w:tcPr>
          <w:p w14:paraId="4819EB13">
            <w:pPr>
              <w:rPr>
                <w:rFonts w:ascii="Arial"/>
                <w:sz w:val="21"/>
              </w:rPr>
            </w:pPr>
          </w:p>
        </w:tc>
        <w:tc>
          <w:tcPr>
            <w:tcW w:w="803" w:type="dxa"/>
            <w:vAlign w:val="top"/>
          </w:tcPr>
          <w:p w14:paraId="07A1EC48">
            <w:pPr>
              <w:spacing w:line="449" w:lineRule="auto"/>
              <w:rPr>
                <w:rFonts w:ascii="Arial"/>
                <w:sz w:val="21"/>
              </w:rPr>
            </w:pPr>
          </w:p>
          <w:p w14:paraId="2380F972">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5332539">
            <w:pPr>
              <w:pStyle w:val="6"/>
              <w:spacing w:before="29" w:line="177" w:lineRule="auto"/>
              <w:ind w:left="126" w:right="109" w:hanging="9"/>
              <w:jc w:val="both"/>
            </w:pPr>
            <w:r>
              <w:rPr>
                <w:spacing w:val="26"/>
              </w:rPr>
              <w:t>在烟花爆竹经营许</w:t>
            </w:r>
            <w:r>
              <w:rPr>
                <w:spacing w:val="25"/>
              </w:rPr>
              <w:t>可证载明的仓库以外储存烟花爆竹产</w:t>
            </w:r>
            <w:r>
              <w:t>品</w:t>
            </w:r>
            <w:r>
              <w:rPr>
                <w:rFonts w:ascii="宋体" w:hAnsi="宋体" w:eastAsia="宋体" w:cs="宋体"/>
              </w:rPr>
              <w:t>50</w:t>
            </w:r>
            <w:r>
              <w:t>箱以上的</w:t>
            </w:r>
          </w:p>
        </w:tc>
        <w:tc>
          <w:tcPr>
            <w:tcW w:w="2894" w:type="dxa"/>
            <w:vAlign w:val="top"/>
          </w:tcPr>
          <w:p w14:paraId="7382E98D">
            <w:pPr>
              <w:pStyle w:val="6"/>
              <w:spacing w:before="331" w:line="196" w:lineRule="auto"/>
              <w:ind w:left="146" w:right="103" w:hanging="19"/>
            </w:pPr>
            <w:r>
              <w:rPr>
                <w:spacing w:val="4"/>
              </w:rPr>
              <w:t>责令限期改正，处</w:t>
            </w:r>
            <w:r>
              <w:rPr>
                <w:rFonts w:ascii="宋体" w:hAnsi="宋体" w:eastAsia="宋体" w:cs="宋体"/>
                <w:spacing w:val="4"/>
              </w:rPr>
              <w:t>2</w:t>
            </w:r>
            <w:r>
              <w:rPr>
                <w:spacing w:val="4"/>
              </w:rPr>
              <w:t>万元</w:t>
            </w:r>
            <w:r>
              <w:rPr>
                <w:spacing w:val="1"/>
              </w:rPr>
              <w:t>以上</w:t>
            </w:r>
            <w:r>
              <w:rPr>
                <w:rFonts w:ascii="宋体" w:hAnsi="宋体" w:eastAsia="宋体" w:cs="宋体"/>
                <w:spacing w:val="1"/>
              </w:rPr>
              <w:t>3</w:t>
            </w:r>
            <w:r>
              <w:rPr>
                <w:spacing w:val="1"/>
              </w:rPr>
              <w:t>万元以下的罚款</w:t>
            </w:r>
          </w:p>
        </w:tc>
        <w:tc>
          <w:tcPr>
            <w:tcW w:w="811" w:type="dxa"/>
            <w:vMerge w:val="continue"/>
            <w:tcBorders>
              <w:top w:val="nil"/>
            </w:tcBorders>
            <w:vAlign w:val="top"/>
          </w:tcPr>
          <w:p w14:paraId="0A9A8E33">
            <w:pPr>
              <w:rPr>
                <w:rFonts w:ascii="Arial"/>
                <w:sz w:val="21"/>
              </w:rPr>
            </w:pPr>
          </w:p>
        </w:tc>
      </w:tr>
      <w:tr w14:paraId="4642F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9" w:hRule="atLeast"/>
        </w:trPr>
        <w:tc>
          <w:tcPr>
            <w:tcW w:w="818" w:type="dxa"/>
            <w:vAlign w:val="top"/>
          </w:tcPr>
          <w:p w14:paraId="613E458B">
            <w:pPr>
              <w:spacing w:line="439" w:lineRule="auto"/>
              <w:rPr>
                <w:rFonts w:ascii="Arial"/>
                <w:sz w:val="21"/>
              </w:rPr>
            </w:pPr>
          </w:p>
          <w:p w14:paraId="0E6246E3">
            <w:pPr>
              <w:spacing w:before="75" w:line="185" w:lineRule="auto"/>
              <w:ind w:left="146"/>
              <w:rPr>
                <w:rFonts w:ascii="仿宋" w:hAnsi="仿宋" w:eastAsia="仿宋" w:cs="仿宋"/>
                <w:sz w:val="23"/>
                <w:szCs w:val="23"/>
              </w:rPr>
            </w:pPr>
            <w:r>
              <w:rPr>
                <w:rFonts w:ascii="仿宋" w:hAnsi="仿宋" w:eastAsia="仿宋" w:cs="仿宋"/>
                <w:sz w:val="23"/>
                <w:szCs w:val="23"/>
              </w:rPr>
              <w:t>200</w:t>
            </w:r>
          </w:p>
        </w:tc>
        <w:tc>
          <w:tcPr>
            <w:tcW w:w="1440" w:type="dxa"/>
            <w:vAlign w:val="top"/>
          </w:tcPr>
          <w:p w14:paraId="5D9D98B3">
            <w:pPr>
              <w:pStyle w:val="6"/>
              <w:spacing w:before="171" w:line="191" w:lineRule="auto"/>
              <w:ind w:left="117" w:right="111" w:firstLine="2"/>
              <w:jc w:val="both"/>
            </w:pPr>
            <w:r>
              <w:rPr>
                <w:spacing w:val="10"/>
              </w:rPr>
              <w:t>烟花爆竹批</w:t>
            </w:r>
            <w:r>
              <w:rPr>
                <w:spacing w:val="11"/>
              </w:rPr>
              <w:t>发企业对假冒伪劣、过</w:t>
            </w:r>
          </w:p>
        </w:tc>
        <w:tc>
          <w:tcPr>
            <w:tcW w:w="3202" w:type="dxa"/>
            <w:vAlign w:val="top"/>
          </w:tcPr>
          <w:p w14:paraId="0048C7F4">
            <w:pPr>
              <w:pStyle w:val="6"/>
              <w:spacing w:before="34" w:line="191" w:lineRule="auto"/>
              <w:ind w:left="118" w:right="111" w:hanging="20"/>
              <w:jc w:val="both"/>
            </w:pPr>
            <w:r>
              <w:rPr>
                <w:spacing w:val="18"/>
              </w:rPr>
              <w:t>【部门规章】《烟花爆竹经</w:t>
            </w:r>
            <w:r>
              <w:rPr>
                <w:spacing w:val="17"/>
              </w:rPr>
              <w:t>营许可实施办法》第二十四</w:t>
            </w:r>
            <w:r>
              <w:rPr>
                <w:spacing w:val="13"/>
              </w:rPr>
              <w:t>条第一款：批发企业对非法</w:t>
            </w:r>
          </w:p>
        </w:tc>
        <w:tc>
          <w:tcPr>
            <w:tcW w:w="2859" w:type="dxa"/>
            <w:vAlign w:val="top"/>
          </w:tcPr>
          <w:p w14:paraId="717C0735">
            <w:pPr>
              <w:pStyle w:val="6"/>
              <w:spacing w:before="32" w:line="191" w:lineRule="auto"/>
              <w:ind w:left="122" w:right="110" w:hanging="25"/>
              <w:jc w:val="both"/>
            </w:pPr>
            <w:r>
              <w:rPr>
                <w:spacing w:val="10"/>
              </w:rPr>
              <w:t>【部门规章】《烟花爆竹</w:t>
            </w:r>
            <w:r>
              <w:rPr>
                <w:spacing w:val="8"/>
              </w:rPr>
              <w:t>经营许可实施办法》第三十二条第五项：批发企业</w:t>
            </w:r>
          </w:p>
        </w:tc>
        <w:tc>
          <w:tcPr>
            <w:tcW w:w="803" w:type="dxa"/>
            <w:vAlign w:val="top"/>
          </w:tcPr>
          <w:p w14:paraId="66620610">
            <w:pPr>
              <w:spacing w:line="433" w:lineRule="auto"/>
              <w:rPr>
                <w:rFonts w:ascii="Arial"/>
                <w:sz w:val="21"/>
              </w:rPr>
            </w:pPr>
          </w:p>
          <w:p w14:paraId="6219F290">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93B0D66">
            <w:pPr>
              <w:pStyle w:val="6"/>
              <w:spacing w:before="171" w:line="191" w:lineRule="auto"/>
              <w:ind w:left="118" w:right="106" w:firstLine="52"/>
              <w:jc w:val="both"/>
            </w:pPr>
            <w:r>
              <w:rPr>
                <w:spacing w:val="19"/>
              </w:rPr>
              <w:t>自发现或者应当发</w:t>
            </w:r>
            <w:r>
              <w:rPr>
                <w:spacing w:val="-2"/>
              </w:rPr>
              <w:t>现之日起</w:t>
            </w:r>
            <w:r>
              <w:rPr>
                <w:rFonts w:ascii="宋体" w:hAnsi="宋体" w:eastAsia="宋体" w:cs="宋体"/>
                <w:spacing w:val="-2"/>
              </w:rPr>
              <w:t>10</w:t>
            </w:r>
            <w:r>
              <w:rPr>
                <w:spacing w:val="-2"/>
              </w:rPr>
              <w:t>日以内</w:t>
            </w:r>
            <w:r>
              <w:rPr>
                <w:spacing w:val="6"/>
              </w:rPr>
              <w:t>未予销毁的</w:t>
            </w:r>
          </w:p>
        </w:tc>
        <w:tc>
          <w:tcPr>
            <w:tcW w:w="2894" w:type="dxa"/>
            <w:vAlign w:val="top"/>
          </w:tcPr>
          <w:p w14:paraId="4A7BD0F6">
            <w:pPr>
              <w:pStyle w:val="6"/>
              <w:spacing w:before="317" w:line="196" w:lineRule="auto"/>
              <w:ind w:left="146" w:right="104" w:hanging="19"/>
            </w:pPr>
            <w:r>
              <w:rPr>
                <w:spacing w:val="-2"/>
              </w:rPr>
              <w:t>责令限期改正，处</w:t>
            </w:r>
            <w:r>
              <w:rPr>
                <w:rFonts w:ascii="宋体" w:hAnsi="宋体" w:eastAsia="宋体" w:cs="宋体"/>
                <w:spacing w:val="-2"/>
              </w:rPr>
              <w:t>5000</w:t>
            </w:r>
            <w:r>
              <w:rPr>
                <w:spacing w:val="-2"/>
              </w:rPr>
              <w:t>元</w:t>
            </w:r>
            <w:r>
              <w:rPr>
                <w:spacing w:val="-1"/>
              </w:rPr>
              <w:t>以上</w:t>
            </w:r>
            <w:r>
              <w:rPr>
                <w:rFonts w:ascii="宋体" w:hAnsi="宋体" w:eastAsia="宋体" w:cs="宋体"/>
                <w:spacing w:val="-1"/>
              </w:rPr>
              <w:t>1</w:t>
            </w:r>
            <w:r>
              <w:rPr>
                <w:spacing w:val="-1"/>
              </w:rPr>
              <w:t>万元以下的罚款</w:t>
            </w:r>
          </w:p>
        </w:tc>
        <w:tc>
          <w:tcPr>
            <w:tcW w:w="811" w:type="dxa"/>
            <w:vAlign w:val="top"/>
          </w:tcPr>
          <w:p w14:paraId="0A0E0877">
            <w:pPr>
              <w:spacing w:line="434" w:lineRule="auto"/>
              <w:rPr>
                <w:rFonts w:ascii="Arial"/>
                <w:sz w:val="21"/>
              </w:rPr>
            </w:pPr>
          </w:p>
          <w:p w14:paraId="4A6BEEEC">
            <w:pPr>
              <w:spacing w:before="75" w:line="189" w:lineRule="auto"/>
              <w:ind w:left="248"/>
              <w:rPr>
                <w:rFonts w:ascii="宋体" w:hAnsi="宋体" w:eastAsia="宋体" w:cs="宋体"/>
                <w:sz w:val="23"/>
                <w:szCs w:val="23"/>
              </w:rPr>
            </w:pPr>
            <w:r>
              <w:rPr>
                <w:rFonts w:ascii="宋体" w:hAnsi="宋体" w:eastAsia="宋体" w:cs="宋体"/>
                <w:spacing w:val="-6"/>
                <w:sz w:val="23"/>
                <w:szCs w:val="23"/>
              </w:rPr>
              <w:t>170</w:t>
            </w:r>
          </w:p>
        </w:tc>
      </w:tr>
    </w:tbl>
    <w:p w14:paraId="59DCE355">
      <w:pPr>
        <w:pStyle w:val="2"/>
      </w:pPr>
    </w:p>
    <w:p w14:paraId="3C2563D2">
      <w:pPr>
        <w:sectPr>
          <w:footerReference r:id="rId209" w:type="default"/>
          <w:pgSz w:w="16839" w:h="11906"/>
          <w:pgMar w:top="1012" w:right="821" w:bottom="666" w:left="901" w:header="0" w:footer="388" w:gutter="0"/>
          <w:cols w:space="720" w:num="1"/>
        </w:sectPr>
      </w:pPr>
    </w:p>
    <w:p w14:paraId="0B36DE57">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556D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219CECD">
            <w:pPr>
              <w:spacing w:before="222" w:line="241" w:lineRule="auto"/>
              <w:ind w:left="131"/>
              <w:outlineLvl w:val="0"/>
              <w:rPr>
                <w:rFonts w:ascii="黑体" w:hAnsi="黑体" w:eastAsia="黑体" w:cs="黑体"/>
                <w:sz w:val="28"/>
                <w:szCs w:val="28"/>
              </w:rPr>
            </w:pPr>
            <w:bookmarkStart w:id="691" w:name="bookmark410"/>
            <w:bookmarkEnd w:id="691"/>
            <w:bookmarkStart w:id="692" w:name="bookmark599"/>
            <w:bookmarkEnd w:id="692"/>
            <w:r>
              <w:rPr>
                <w:rFonts w:ascii="黑体" w:hAnsi="黑体" w:eastAsia="黑体" w:cs="黑体"/>
                <w:spacing w:val="-2"/>
                <w:sz w:val="28"/>
                <w:szCs w:val="28"/>
              </w:rPr>
              <w:t>序号</w:t>
            </w:r>
          </w:p>
        </w:tc>
        <w:tc>
          <w:tcPr>
            <w:tcW w:w="1440" w:type="dxa"/>
            <w:vAlign w:val="top"/>
          </w:tcPr>
          <w:p w14:paraId="38055834">
            <w:pPr>
              <w:spacing w:before="221"/>
              <w:ind w:left="163"/>
              <w:outlineLvl w:val="1"/>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146AB24">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4048FBD">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3BCE0F8">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4521A7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BBE84B4">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449773F">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C309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restart"/>
            <w:tcBorders>
              <w:bottom w:val="nil"/>
            </w:tcBorders>
            <w:vAlign w:val="top"/>
          </w:tcPr>
          <w:p w14:paraId="66875161">
            <w:pPr>
              <w:rPr>
                <w:rFonts w:ascii="Arial"/>
                <w:sz w:val="21"/>
              </w:rPr>
            </w:pPr>
          </w:p>
        </w:tc>
        <w:tc>
          <w:tcPr>
            <w:tcW w:w="1440" w:type="dxa"/>
            <w:vMerge w:val="restart"/>
            <w:tcBorders>
              <w:bottom w:val="nil"/>
            </w:tcBorders>
            <w:vAlign w:val="top"/>
          </w:tcPr>
          <w:p w14:paraId="2C0AF949">
            <w:pPr>
              <w:pStyle w:val="6"/>
              <w:spacing w:before="31" w:line="182" w:lineRule="auto"/>
              <w:ind w:left="115" w:right="111" w:firstLine="7"/>
              <w:jc w:val="both"/>
            </w:pPr>
            <w:r>
              <w:rPr>
                <w:spacing w:val="10"/>
              </w:rPr>
              <w:t>期、含有超</w:t>
            </w:r>
            <w:r>
              <w:rPr>
                <w:spacing w:val="11"/>
              </w:rPr>
              <w:t>量、违禁药物以及其他存在严重质</w:t>
            </w:r>
          </w:p>
          <w:p w14:paraId="1AC5A31E">
            <w:pPr>
              <w:pStyle w:val="6"/>
              <w:spacing w:line="182" w:lineRule="auto"/>
              <w:ind w:left="119"/>
              <w:outlineLvl w:val="0"/>
            </w:pPr>
            <w:r>
              <w:rPr>
                <w:spacing w:val="10"/>
              </w:rPr>
              <w:t>量问题的烟</w:t>
            </w:r>
          </w:p>
          <w:p w14:paraId="0D87A388">
            <w:pPr>
              <w:pStyle w:val="6"/>
              <w:spacing w:line="182" w:lineRule="auto"/>
              <w:ind w:left="117"/>
              <w:outlineLvl w:val="1"/>
            </w:pPr>
            <w:r>
              <w:rPr>
                <w:spacing w:val="11"/>
              </w:rPr>
              <w:t>花爆竹未及</w:t>
            </w:r>
          </w:p>
          <w:p w14:paraId="13091994">
            <w:pPr>
              <w:pStyle w:val="6"/>
              <w:spacing w:before="1" w:line="167" w:lineRule="auto"/>
              <w:ind w:left="138"/>
            </w:pPr>
            <w:r>
              <w:t>时销毁的</w:t>
            </w:r>
          </w:p>
        </w:tc>
        <w:tc>
          <w:tcPr>
            <w:tcW w:w="3202" w:type="dxa"/>
            <w:vMerge w:val="restart"/>
            <w:tcBorders>
              <w:bottom w:val="nil"/>
            </w:tcBorders>
            <w:vAlign w:val="top"/>
          </w:tcPr>
          <w:p w14:paraId="2F9F36C4">
            <w:pPr>
              <w:pStyle w:val="6"/>
              <w:spacing w:before="28" w:line="182" w:lineRule="auto"/>
              <w:ind w:left="131"/>
            </w:pPr>
            <w:r>
              <w:rPr>
                <w:spacing w:val="16"/>
              </w:rPr>
              <w:t>生产、假冒伪劣、过期、含</w:t>
            </w:r>
          </w:p>
          <w:p w14:paraId="0C2B0C19">
            <w:pPr>
              <w:pStyle w:val="6"/>
              <w:spacing w:line="182" w:lineRule="auto"/>
              <w:ind w:left="123"/>
              <w:outlineLvl w:val="1"/>
            </w:pPr>
            <w:r>
              <w:rPr>
                <w:spacing w:val="16"/>
              </w:rPr>
              <w:t>有违禁药物以及其他存在严</w:t>
            </w:r>
          </w:p>
          <w:p w14:paraId="0E872A77">
            <w:pPr>
              <w:pStyle w:val="6"/>
              <w:spacing w:line="182" w:lineRule="auto"/>
              <w:ind w:left="127"/>
            </w:pPr>
            <w:r>
              <w:rPr>
                <w:spacing w:val="13"/>
              </w:rPr>
              <w:t>重质量问题的烟花爆竹，应</w:t>
            </w:r>
          </w:p>
          <w:p w14:paraId="23422B8C">
            <w:pPr>
              <w:pStyle w:val="6"/>
              <w:spacing w:line="209" w:lineRule="auto"/>
              <w:ind w:left="149"/>
              <w:outlineLvl w:val="1"/>
            </w:pPr>
            <w:r>
              <w:t>当及时、妥善销毁。</w:t>
            </w:r>
          </w:p>
        </w:tc>
        <w:tc>
          <w:tcPr>
            <w:tcW w:w="2859" w:type="dxa"/>
            <w:vMerge w:val="restart"/>
            <w:tcBorders>
              <w:bottom w:val="nil"/>
            </w:tcBorders>
            <w:vAlign w:val="top"/>
          </w:tcPr>
          <w:p w14:paraId="65D78D99">
            <w:pPr>
              <w:pStyle w:val="6"/>
              <w:spacing w:before="32" w:line="180" w:lineRule="auto"/>
              <w:ind w:left="98" w:right="19" w:firstLine="24"/>
            </w:pPr>
            <w:r>
              <w:rPr>
                <w:spacing w:val="8"/>
              </w:rPr>
              <w:t>有下列行为之一的，责令</w:t>
            </w:r>
            <w:r>
              <w:rPr>
                <w:spacing w:val="-3"/>
              </w:rPr>
              <w:t>其限期改正，处</w:t>
            </w:r>
            <w:r>
              <w:rPr>
                <w:rFonts w:ascii="宋体" w:hAnsi="宋体" w:eastAsia="宋体" w:cs="宋体"/>
                <w:spacing w:val="-3"/>
              </w:rPr>
              <w:t>5000</w:t>
            </w:r>
            <w:r>
              <w:rPr>
                <w:spacing w:val="-3"/>
              </w:rPr>
              <w:t>元以</w:t>
            </w:r>
            <w:r>
              <w:rPr>
                <w:spacing w:val="17"/>
              </w:rPr>
              <w:t>上</w:t>
            </w:r>
            <w:r>
              <w:rPr>
                <w:rFonts w:ascii="宋体" w:hAnsi="宋体" w:eastAsia="宋体" w:cs="宋体"/>
                <w:spacing w:val="17"/>
              </w:rPr>
              <w:t>3</w:t>
            </w:r>
            <w:r>
              <w:rPr>
                <w:spacing w:val="17"/>
              </w:rPr>
              <w:t>万元以下的罚款：</w:t>
            </w:r>
            <w:r>
              <w:rPr>
                <w:spacing w:val="-2"/>
              </w:rPr>
              <w:t>（五）对假冒伪劣、过期、</w:t>
            </w:r>
            <w:r>
              <w:rPr>
                <w:spacing w:val="10"/>
              </w:rPr>
              <w:t>含有超量、违禁药物以及其他存在严重质量问题的</w:t>
            </w:r>
            <w:r>
              <w:rPr>
                <w:spacing w:val="5"/>
              </w:rPr>
              <w:t>烟花爆竹未及时销毁的；</w:t>
            </w:r>
          </w:p>
        </w:tc>
        <w:tc>
          <w:tcPr>
            <w:tcW w:w="803" w:type="dxa"/>
            <w:vAlign w:val="top"/>
          </w:tcPr>
          <w:p w14:paraId="7FAC6E69">
            <w:pPr>
              <w:spacing w:line="446" w:lineRule="auto"/>
              <w:rPr>
                <w:rFonts w:ascii="Arial"/>
                <w:sz w:val="21"/>
              </w:rPr>
            </w:pPr>
          </w:p>
          <w:p w14:paraId="63B39781">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E51A498">
            <w:pPr>
              <w:pStyle w:val="6"/>
              <w:spacing w:before="29" w:line="177" w:lineRule="auto"/>
              <w:ind w:left="116" w:right="108" w:firstLine="54"/>
              <w:jc w:val="both"/>
            </w:pPr>
            <w:r>
              <w:rPr>
                <w:spacing w:val="19"/>
              </w:rPr>
              <w:t>自发现或者应当发</w:t>
            </w:r>
            <w:r>
              <w:rPr>
                <w:spacing w:val="-4"/>
              </w:rPr>
              <w:t>现之日起</w:t>
            </w:r>
            <w:r>
              <w:rPr>
                <w:rFonts w:ascii="宋体" w:hAnsi="宋体" w:eastAsia="宋体" w:cs="宋体"/>
                <w:spacing w:val="-4"/>
              </w:rPr>
              <w:t>10</w:t>
            </w:r>
            <w:r>
              <w:rPr>
                <w:spacing w:val="-4"/>
              </w:rPr>
              <w:t>日以上</w:t>
            </w:r>
            <w:r>
              <w:rPr>
                <w:rFonts w:ascii="宋体" w:hAnsi="宋体" w:eastAsia="宋体" w:cs="宋体"/>
                <w:spacing w:val="7"/>
              </w:rPr>
              <w:t>20</w:t>
            </w:r>
            <w:r>
              <w:rPr>
                <w:spacing w:val="7"/>
              </w:rPr>
              <w:t>日以内未予销毁</w:t>
            </w:r>
            <w:r>
              <w:t>的</w:t>
            </w:r>
          </w:p>
        </w:tc>
        <w:tc>
          <w:tcPr>
            <w:tcW w:w="2894" w:type="dxa"/>
            <w:vAlign w:val="top"/>
          </w:tcPr>
          <w:p w14:paraId="747341A4">
            <w:pPr>
              <w:pStyle w:val="6"/>
              <w:spacing w:before="327" w:line="196" w:lineRule="auto"/>
              <w:ind w:left="146" w:right="103" w:hanging="19"/>
            </w:pPr>
            <w:r>
              <w:rPr>
                <w:spacing w:val="2"/>
              </w:rPr>
              <w:t>责令限期改正，处</w:t>
            </w:r>
            <w:r>
              <w:rPr>
                <w:rFonts w:ascii="宋体" w:hAnsi="宋体" w:eastAsia="宋体" w:cs="宋体"/>
                <w:spacing w:val="2"/>
              </w:rPr>
              <w:t>1</w:t>
            </w:r>
            <w:r>
              <w:rPr>
                <w:spacing w:val="2"/>
              </w:rPr>
              <w:t>万元</w:t>
            </w:r>
            <w:r>
              <w:rPr>
                <w:spacing w:val="1"/>
              </w:rPr>
              <w:t>以上</w:t>
            </w:r>
            <w:r>
              <w:rPr>
                <w:rFonts w:ascii="宋体" w:hAnsi="宋体" w:eastAsia="宋体" w:cs="宋体"/>
                <w:spacing w:val="1"/>
              </w:rPr>
              <w:t>2</w:t>
            </w:r>
            <w:r>
              <w:rPr>
                <w:spacing w:val="1"/>
              </w:rPr>
              <w:t>万元以下的罚款</w:t>
            </w:r>
          </w:p>
        </w:tc>
        <w:tc>
          <w:tcPr>
            <w:tcW w:w="811" w:type="dxa"/>
            <w:vMerge w:val="restart"/>
            <w:tcBorders>
              <w:bottom w:val="nil"/>
            </w:tcBorders>
            <w:vAlign w:val="top"/>
          </w:tcPr>
          <w:p w14:paraId="71DFBB26">
            <w:pPr>
              <w:rPr>
                <w:rFonts w:ascii="Arial"/>
                <w:sz w:val="21"/>
              </w:rPr>
            </w:pPr>
          </w:p>
        </w:tc>
      </w:tr>
      <w:tr w14:paraId="64DE5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818" w:type="dxa"/>
            <w:vMerge w:val="continue"/>
            <w:tcBorders>
              <w:top w:val="nil"/>
            </w:tcBorders>
            <w:vAlign w:val="top"/>
          </w:tcPr>
          <w:p w14:paraId="46DC5697">
            <w:pPr>
              <w:rPr>
                <w:rFonts w:ascii="Arial"/>
                <w:sz w:val="21"/>
              </w:rPr>
            </w:pPr>
          </w:p>
        </w:tc>
        <w:tc>
          <w:tcPr>
            <w:tcW w:w="1440" w:type="dxa"/>
            <w:vMerge w:val="continue"/>
            <w:tcBorders>
              <w:top w:val="nil"/>
            </w:tcBorders>
            <w:vAlign w:val="top"/>
          </w:tcPr>
          <w:p w14:paraId="224E1551">
            <w:pPr>
              <w:rPr>
                <w:rFonts w:ascii="Arial"/>
                <w:sz w:val="21"/>
              </w:rPr>
            </w:pPr>
          </w:p>
        </w:tc>
        <w:tc>
          <w:tcPr>
            <w:tcW w:w="3202" w:type="dxa"/>
            <w:vMerge w:val="continue"/>
            <w:tcBorders>
              <w:top w:val="nil"/>
            </w:tcBorders>
            <w:vAlign w:val="top"/>
          </w:tcPr>
          <w:p w14:paraId="77814948">
            <w:pPr>
              <w:rPr>
                <w:rFonts w:ascii="Arial"/>
                <w:sz w:val="21"/>
              </w:rPr>
            </w:pPr>
          </w:p>
        </w:tc>
        <w:tc>
          <w:tcPr>
            <w:tcW w:w="2859" w:type="dxa"/>
            <w:vMerge w:val="continue"/>
            <w:tcBorders>
              <w:top w:val="nil"/>
            </w:tcBorders>
            <w:vAlign w:val="top"/>
          </w:tcPr>
          <w:p w14:paraId="386F4075">
            <w:pPr>
              <w:rPr>
                <w:rFonts w:ascii="Arial"/>
                <w:sz w:val="21"/>
              </w:rPr>
            </w:pPr>
          </w:p>
        </w:tc>
        <w:tc>
          <w:tcPr>
            <w:tcW w:w="803" w:type="dxa"/>
            <w:vAlign w:val="top"/>
          </w:tcPr>
          <w:p w14:paraId="6A8881C9">
            <w:pPr>
              <w:spacing w:line="298" w:lineRule="auto"/>
              <w:rPr>
                <w:rFonts w:ascii="Arial"/>
                <w:sz w:val="21"/>
              </w:rPr>
            </w:pPr>
          </w:p>
          <w:p w14:paraId="1952B7B6">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9E268E6">
            <w:pPr>
              <w:pStyle w:val="6"/>
              <w:spacing w:before="31" w:line="175" w:lineRule="auto"/>
              <w:ind w:left="118" w:right="106" w:firstLine="52"/>
              <w:jc w:val="both"/>
            </w:pPr>
            <w:r>
              <w:rPr>
                <w:spacing w:val="19"/>
              </w:rPr>
              <w:t>自发现或者应当发</w:t>
            </w:r>
            <w:r>
              <w:t>现之日起</w:t>
            </w:r>
            <w:r>
              <w:rPr>
                <w:rFonts w:ascii="宋体" w:hAnsi="宋体" w:eastAsia="宋体" w:cs="宋体"/>
              </w:rPr>
              <w:t>20</w:t>
            </w:r>
            <w:r>
              <w:t>日以上</w:t>
            </w:r>
            <w:r>
              <w:rPr>
                <w:spacing w:val="6"/>
              </w:rPr>
              <w:t>未予销毁的</w:t>
            </w:r>
          </w:p>
        </w:tc>
        <w:tc>
          <w:tcPr>
            <w:tcW w:w="2894" w:type="dxa"/>
            <w:vAlign w:val="top"/>
          </w:tcPr>
          <w:p w14:paraId="3586E2E7">
            <w:pPr>
              <w:pStyle w:val="6"/>
              <w:spacing w:before="178" w:line="196" w:lineRule="auto"/>
              <w:ind w:left="146" w:right="103" w:hanging="19"/>
            </w:pPr>
            <w:r>
              <w:rPr>
                <w:spacing w:val="4"/>
              </w:rPr>
              <w:t>责令限期改正，处</w:t>
            </w:r>
            <w:r>
              <w:rPr>
                <w:rFonts w:ascii="宋体" w:hAnsi="宋体" w:eastAsia="宋体" w:cs="宋体"/>
                <w:spacing w:val="4"/>
              </w:rPr>
              <w:t>2</w:t>
            </w:r>
            <w:r>
              <w:rPr>
                <w:spacing w:val="4"/>
              </w:rPr>
              <w:t>万元</w:t>
            </w:r>
            <w:r>
              <w:rPr>
                <w:spacing w:val="1"/>
              </w:rPr>
              <w:t>以上</w:t>
            </w:r>
            <w:r>
              <w:rPr>
                <w:rFonts w:ascii="宋体" w:hAnsi="宋体" w:eastAsia="宋体" w:cs="宋体"/>
                <w:spacing w:val="1"/>
              </w:rPr>
              <w:t>3</w:t>
            </w:r>
            <w:r>
              <w:rPr>
                <w:spacing w:val="1"/>
              </w:rPr>
              <w:t>万元以下的罚款</w:t>
            </w:r>
          </w:p>
        </w:tc>
        <w:tc>
          <w:tcPr>
            <w:tcW w:w="811" w:type="dxa"/>
            <w:vMerge w:val="continue"/>
            <w:tcBorders>
              <w:top w:val="nil"/>
            </w:tcBorders>
            <w:vAlign w:val="top"/>
          </w:tcPr>
          <w:p w14:paraId="5A4048D1">
            <w:pPr>
              <w:rPr>
                <w:rFonts w:ascii="Arial"/>
                <w:sz w:val="21"/>
              </w:rPr>
            </w:pPr>
          </w:p>
        </w:tc>
      </w:tr>
      <w:tr w14:paraId="6A3A2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restart"/>
            <w:tcBorders>
              <w:bottom w:val="nil"/>
            </w:tcBorders>
            <w:vAlign w:val="top"/>
          </w:tcPr>
          <w:p w14:paraId="0FFEF925">
            <w:pPr>
              <w:spacing w:line="254" w:lineRule="auto"/>
              <w:rPr>
                <w:rFonts w:ascii="Arial"/>
                <w:sz w:val="21"/>
              </w:rPr>
            </w:pPr>
          </w:p>
          <w:p w14:paraId="29377BE3">
            <w:pPr>
              <w:spacing w:line="254" w:lineRule="auto"/>
              <w:rPr>
                <w:rFonts w:ascii="Arial"/>
                <w:sz w:val="21"/>
              </w:rPr>
            </w:pPr>
          </w:p>
          <w:p w14:paraId="722C13AB">
            <w:pPr>
              <w:spacing w:line="254" w:lineRule="auto"/>
              <w:rPr>
                <w:rFonts w:ascii="Arial"/>
                <w:sz w:val="21"/>
              </w:rPr>
            </w:pPr>
          </w:p>
          <w:p w14:paraId="4278BCBA">
            <w:pPr>
              <w:spacing w:line="255" w:lineRule="auto"/>
              <w:rPr>
                <w:rFonts w:ascii="Arial"/>
                <w:sz w:val="21"/>
              </w:rPr>
            </w:pPr>
          </w:p>
          <w:p w14:paraId="0C904C62">
            <w:pPr>
              <w:spacing w:line="255" w:lineRule="auto"/>
              <w:rPr>
                <w:rFonts w:ascii="Arial"/>
                <w:sz w:val="21"/>
              </w:rPr>
            </w:pPr>
          </w:p>
          <w:p w14:paraId="44169AD6">
            <w:pPr>
              <w:spacing w:line="255" w:lineRule="auto"/>
              <w:rPr>
                <w:rFonts w:ascii="Arial"/>
                <w:sz w:val="21"/>
              </w:rPr>
            </w:pPr>
          </w:p>
          <w:p w14:paraId="2E1B031E">
            <w:pPr>
              <w:spacing w:line="255" w:lineRule="auto"/>
              <w:rPr>
                <w:rFonts w:ascii="Arial"/>
                <w:sz w:val="21"/>
              </w:rPr>
            </w:pPr>
          </w:p>
          <w:p w14:paraId="2B96620F">
            <w:pPr>
              <w:spacing w:line="255" w:lineRule="auto"/>
              <w:rPr>
                <w:rFonts w:ascii="Arial"/>
                <w:sz w:val="21"/>
              </w:rPr>
            </w:pPr>
          </w:p>
          <w:p w14:paraId="6EF6D682">
            <w:pPr>
              <w:spacing w:line="255" w:lineRule="auto"/>
              <w:rPr>
                <w:rFonts w:ascii="Arial"/>
                <w:sz w:val="21"/>
              </w:rPr>
            </w:pPr>
          </w:p>
          <w:p w14:paraId="3D692D16">
            <w:pPr>
              <w:spacing w:line="255" w:lineRule="auto"/>
              <w:rPr>
                <w:rFonts w:ascii="Arial"/>
                <w:sz w:val="21"/>
              </w:rPr>
            </w:pPr>
          </w:p>
          <w:p w14:paraId="02DA8C35">
            <w:pPr>
              <w:spacing w:before="74" w:line="186" w:lineRule="auto"/>
              <w:ind w:left="146"/>
              <w:rPr>
                <w:rFonts w:ascii="仿宋" w:hAnsi="仿宋" w:eastAsia="仿宋" w:cs="仿宋"/>
                <w:sz w:val="23"/>
                <w:szCs w:val="23"/>
              </w:rPr>
            </w:pPr>
            <w:r>
              <w:rPr>
                <w:rFonts w:ascii="仿宋" w:hAnsi="仿宋" w:eastAsia="仿宋" w:cs="仿宋"/>
                <w:sz w:val="23"/>
                <w:szCs w:val="23"/>
              </w:rPr>
              <w:t>201</w:t>
            </w:r>
          </w:p>
        </w:tc>
        <w:tc>
          <w:tcPr>
            <w:tcW w:w="1440" w:type="dxa"/>
            <w:vMerge w:val="restart"/>
            <w:tcBorders>
              <w:bottom w:val="nil"/>
            </w:tcBorders>
            <w:vAlign w:val="top"/>
          </w:tcPr>
          <w:p w14:paraId="7C1E46B6">
            <w:pPr>
              <w:spacing w:line="257" w:lineRule="auto"/>
              <w:rPr>
                <w:rFonts w:ascii="Arial"/>
                <w:sz w:val="21"/>
              </w:rPr>
            </w:pPr>
          </w:p>
          <w:p w14:paraId="0DD8E895">
            <w:pPr>
              <w:spacing w:line="257" w:lineRule="auto"/>
              <w:rPr>
                <w:rFonts w:ascii="Arial"/>
                <w:sz w:val="21"/>
              </w:rPr>
            </w:pPr>
          </w:p>
          <w:p w14:paraId="6D06A9A0">
            <w:pPr>
              <w:spacing w:line="258" w:lineRule="auto"/>
              <w:rPr>
                <w:rFonts w:ascii="Arial"/>
                <w:sz w:val="21"/>
              </w:rPr>
            </w:pPr>
          </w:p>
          <w:p w14:paraId="3411C087">
            <w:pPr>
              <w:spacing w:line="258" w:lineRule="auto"/>
              <w:rPr>
                <w:rFonts w:ascii="Arial"/>
                <w:sz w:val="21"/>
              </w:rPr>
            </w:pPr>
          </w:p>
          <w:p w14:paraId="4C3A782D">
            <w:pPr>
              <w:spacing w:line="258" w:lineRule="auto"/>
              <w:rPr>
                <w:rFonts w:ascii="Arial"/>
                <w:sz w:val="21"/>
              </w:rPr>
            </w:pPr>
          </w:p>
          <w:p w14:paraId="663ED5F5">
            <w:pPr>
              <w:pStyle w:val="6"/>
              <w:spacing w:before="99" w:line="185" w:lineRule="auto"/>
              <w:ind w:left="114" w:right="111" w:firstLine="5"/>
              <w:jc w:val="both"/>
            </w:pPr>
            <w:r>
              <w:rPr>
                <w:spacing w:val="10"/>
              </w:rPr>
              <w:t>烟花爆竹批</w:t>
            </w:r>
            <w:r>
              <w:rPr>
                <w:spacing w:val="11"/>
              </w:rPr>
              <w:t>发企业未执</w:t>
            </w:r>
            <w:r>
              <w:rPr>
                <w:spacing w:val="-10"/>
              </w:rPr>
              <w:t>行合同管</w:t>
            </w:r>
            <w:r>
              <w:rPr>
                <w:spacing w:val="11"/>
              </w:rPr>
              <w:t>理、流向登记制度或者未按照规定应用烟花爆竹流向管理</w:t>
            </w:r>
            <w:r>
              <w:rPr>
                <w:spacing w:val="7"/>
              </w:rPr>
              <w:t>信息系统的</w:t>
            </w:r>
          </w:p>
        </w:tc>
        <w:tc>
          <w:tcPr>
            <w:tcW w:w="3202" w:type="dxa"/>
            <w:vMerge w:val="restart"/>
            <w:tcBorders>
              <w:bottom w:val="nil"/>
            </w:tcBorders>
            <w:vAlign w:val="top"/>
          </w:tcPr>
          <w:p w14:paraId="16FA4AC0">
            <w:pPr>
              <w:pStyle w:val="6"/>
              <w:spacing w:before="33" w:line="186" w:lineRule="auto"/>
              <w:ind w:left="117" w:right="107" w:hanging="19"/>
              <w:jc w:val="both"/>
            </w:pPr>
            <w:r>
              <w:rPr>
                <w:spacing w:val="18"/>
              </w:rPr>
              <w:t>【部门规章】《烟花爆竹经</w:t>
            </w:r>
            <w:bookmarkStart w:id="693" w:name="bookmark412"/>
            <w:bookmarkEnd w:id="693"/>
            <w:r>
              <w:rPr>
                <w:spacing w:val="17"/>
              </w:rPr>
              <w:t>营许可实施办法》第二十五</w:t>
            </w:r>
            <w:r>
              <w:rPr>
                <w:spacing w:val="13"/>
              </w:rPr>
              <w:t>条第一款：批发企业应当建</w:t>
            </w:r>
            <w:r>
              <w:rPr>
                <w:spacing w:val="17"/>
              </w:rPr>
              <w:t>立并严格执行合同管理、流</w:t>
            </w:r>
            <w:r>
              <w:rPr>
                <w:spacing w:val="13"/>
              </w:rPr>
              <w:t>向登记制度，健全合同管理</w:t>
            </w:r>
            <w:r>
              <w:rPr>
                <w:spacing w:val="12"/>
              </w:rPr>
              <w:t>和流向登记档案，并留存</w:t>
            </w:r>
            <w:r>
              <w:rPr>
                <w:rFonts w:ascii="宋体" w:hAnsi="宋体" w:eastAsia="宋体" w:cs="宋体"/>
                <w:spacing w:val="12"/>
              </w:rPr>
              <w:t>3</w:t>
            </w:r>
            <w:r>
              <w:rPr>
                <w:spacing w:val="-2"/>
              </w:rPr>
              <w:t>年备查。</w:t>
            </w:r>
          </w:p>
        </w:tc>
        <w:tc>
          <w:tcPr>
            <w:tcW w:w="2859" w:type="dxa"/>
            <w:vMerge w:val="restart"/>
            <w:tcBorders>
              <w:bottom w:val="nil"/>
            </w:tcBorders>
            <w:vAlign w:val="top"/>
          </w:tcPr>
          <w:p w14:paraId="4AFD305A">
            <w:pPr>
              <w:pStyle w:val="6"/>
              <w:spacing w:before="31" w:line="185" w:lineRule="auto"/>
              <w:ind w:left="97" w:right="106"/>
            </w:pPr>
            <w:r>
              <w:rPr>
                <w:spacing w:val="10"/>
              </w:rPr>
              <w:t>【部门规章】《烟花爆竹经营许可实施办法》第三十二条第六项：批发企业有下列行为之一的，责令</w:t>
            </w:r>
            <w:r>
              <w:rPr>
                <w:spacing w:val="-3"/>
              </w:rPr>
              <w:t>其限期改正，处</w:t>
            </w:r>
            <w:r>
              <w:rPr>
                <w:rFonts w:ascii="宋体" w:hAnsi="宋体" w:eastAsia="宋体" w:cs="宋体"/>
                <w:spacing w:val="-3"/>
              </w:rPr>
              <w:t>5000</w:t>
            </w:r>
            <w:r>
              <w:rPr>
                <w:spacing w:val="-3"/>
              </w:rPr>
              <w:t>元以</w:t>
            </w:r>
            <w:r>
              <w:rPr>
                <w:spacing w:val="17"/>
              </w:rPr>
              <w:t>上</w:t>
            </w:r>
            <w:r>
              <w:rPr>
                <w:rFonts w:ascii="宋体" w:hAnsi="宋体" w:eastAsia="宋体" w:cs="宋体"/>
                <w:spacing w:val="17"/>
              </w:rPr>
              <w:t>3</w:t>
            </w:r>
            <w:r>
              <w:rPr>
                <w:spacing w:val="17"/>
              </w:rPr>
              <w:t>万元以下的罚款：</w:t>
            </w:r>
            <w:r>
              <w:rPr>
                <w:spacing w:val="7"/>
              </w:rPr>
              <w:t>（六）未执行合同管理、</w:t>
            </w:r>
            <w:r>
              <w:rPr>
                <w:spacing w:val="10"/>
              </w:rPr>
              <w:t>流向登记制度或者未按照规定应用烟花爆竹流向管</w:t>
            </w:r>
            <w:r>
              <w:rPr>
                <w:spacing w:val="3"/>
              </w:rPr>
              <w:t>理信息系统的；</w:t>
            </w:r>
          </w:p>
        </w:tc>
        <w:tc>
          <w:tcPr>
            <w:tcW w:w="803" w:type="dxa"/>
            <w:vAlign w:val="top"/>
          </w:tcPr>
          <w:p w14:paraId="2C70C697">
            <w:pPr>
              <w:spacing w:line="247" w:lineRule="auto"/>
              <w:rPr>
                <w:rFonts w:ascii="Arial"/>
                <w:sz w:val="21"/>
              </w:rPr>
            </w:pPr>
          </w:p>
          <w:p w14:paraId="28461699">
            <w:pPr>
              <w:spacing w:line="248" w:lineRule="auto"/>
              <w:rPr>
                <w:rFonts w:ascii="Arial"/>
                <w:sz w:val="21"/>
              </w:rPr>
            </w:pPr>
          </w:p>
          <w:p w14:paraId="0C0C0D9B">
            <w:pPr>
              <w:spacing w:line="248" w:lineRule="auto"/>
              <w:rPr>
                <w:rFonts w:ascii="Arial"/>
                <w:sz w:val="21"/>
              </w:rPr>
            </w:pPr>
          </w:p>
          <w:p w14:paraId="4C2DBA9C">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19B11BF">
            <w:pPr>
              <w:pStyle w:val="6"/>
              <w:spacing w:before="28" w:line="179" w:lineRule="auto"/>
              <w:ind w:left="116" w:right="105" w:firstLine="1"/>
              <w:jc w:val="both"/>
            </w:pPr>
            <w:r>
              <w:rPr>
                <w:spacing w:val="-3"/>
              </w:rPr>
              <w:t>未执行合同管理、流</w:t>
            </w:r>
            <w:r>
              <w:rPr>
                <w:spacing w:val="26"/>
              </w:rPr>
              <w:t>向登记制度或者未按照规定应用烟花爆竹流向管理信息</w:t>
            </w:r>
            <w:r>
              <w:rPr>
                <w:spacing w:val="-8"/>
              </w:rPr>
              <w:t>系统，有上述</w:t>
            </w:r>
            <w:r>
              <w:rPr>
                <w:rFonts w:ascii="宋体" w:hAnsi="宋体" w:eastAsia="宋体" w:cs="宋体"/>
                <w:spacing w:val="-8"/>
              </w:rPr>
              <w:t>1</w:t>
            </w:r>
            <w:r>
              <w:rPr>
                <w:spacing w:val="-8"/>
              </w:rPr>
              <w:t>种情</w:t>
            </w:r>
            <w:r>
              <w:rPr>
                <w:spacing w:val="3"/>
              </w:rPr>
              <w:t>形的</w:t>
            </w:r>
          </w:p>
        </w:tc>
        <w:tc>
          <w:tcPr>
            <w:tcW w:w="2894" w:type="dxa"/>
            <w:vAlign w:val="top"/>
          </w:tcPr>
          <w:p w14:paraId="67E45E06">
            <w:pPr>
              <w:spacing w:line="263" w:lineRule="auto"/>
              <w:rPr>
                <w:rFonts w:ascii="Arial"/>
                <w:sz w:val="21"/>
              </w:rPr>
            </w:pPr>
          </w:p>
          <w:p w14:paraId="031EFB58">
            <w:pPr>
              <w:spacing w:line="264" w:lineRule="auto"/>
              <w:rPr>
                <w:rFonts w:ascii="Arial"/>
                <w:sz w:val="21"/>
              </w:rPr>
            </w:pPr>
          </w:p>
          <w:p w14:paraId="7EB9440D">
            <w:pPr>
              <w:pStyle w:val="6"/>
              <w:spacing w:before="99" w:line="196" w:lineRule="auto"/>
              <w:ind w:left="146" w:right="104" w:hanging="19"/>
            </w:pPr>
            <w:r>
              <w:rPr>
                <w:spacing w:val="-2"/>
              </w:rPr>
              <w:t>责令限期改正，处</w:t>
            </w:r>
            <w:r>
              <w:rPr>
                <w:rFonts w:ascii="宋体" w:hAnsi="宋体" w:eastAsia="宋体" w:cs="宋体"/>
                <w:spacing w:val="-2"/>
              </w:rPr>
              <w:t>5000</w:t>
            </w:r>
            <w:r>
              <w:rPr>
                <w:spacing w:val="-2"/>
              </w:rPr>
              <w:t>元</w:t>
            </w:r>
            <w:r>
              <w:rPr>
                <w:spacing w:val="-1"/>
              </w:rPr>
              <w:t>以上</w:t>
            </w:r>
            <w:r>
              <w:rPr>
                <w:rFonts w:ascii="宋体" w:hAnsi="宋体" w:eastAsia="宋体" w:cs="宋体"/>
                <w:spacing w:val="-1"/>
              </w:rPr>
              <w:t>1</w:t>
            </w:r>
            <w:r>
              <w:rPr>
                <w:spacing w:val="-1"/>
              </w:rPr>
              <w:t>万元以下的罚款</w:t>
            </w:r>
          </w:p>
        </w:tc>
        <w:tc>
          <w:tcPr>
            <w:tcW w:w="811" w:type="dxa"/>
            <w:vMerge w:val="restart"/>
            <w:tcBorders>
              <w:bottom w:val="nil"/>
            </w:tcBorders>
            <w:vAlign w:val="top"/>
          </w:tcPr>
          <w:p w14:paraId="0AB62BC7">
            <w:pPr>
              <w:spacing w:line="254" w:lineRule="auto"/>
              <w:rPr>
                <w:rFonts w:ascii="Arial"/>
                <w:sz w:val="21"/>
              </w:rPr>
            </w:pPr>
          </w:p>
          <w:p w14:paraId="0DF1DC80">
            <w:pPr>
              <w:spacing w:line="254" w:lineRule="auto"/>
              <w:rPr>
                <w:rFonts w:ascii="Arial"/>
                <w:sz w:val="21"/>
              </w:rPr>
            </w:pPr>
          </w:p>
          <w:p w14:paraId="77EA28EC">
            <w:pPr>
              <w:spacing w:line="254" w:lineRule="auto"/>
              <w:rPr>
                <w:rFonts w:ascii="Arial"/>
                <w:sz w:val="21"/>
              </w:rPr>
            </w:pPr>
          </w:p>
          <w:p w14:paraId="31ECC432">
            <w:pPr>
              <w:spacing w:line="254" w:lineRule="auto"/>
              <w:rPr>
                <w:rFonts w:ascii="Arial"/>
                <w:sz w:val="21"/>
              </w:rPr>
            </w:pPr>
          </w:p>
          <w:p w14:paraId="6B3DFF35">
            <w:pPr>
              <w:spacing w:line="254" w:lineRule="auto"/>
              <w:rPr>
                <w:rFonts w:ascii="Arial"/>
                <w:sz w:val="21"/>
              </w:rPr>
            </w:pPr>
          </w:p>
          <w:p w14:paraId="73F6E434">
            <w:pPr>
              <w:spacing w:line="254" w:lineRule="auto"/>
              <w:rPr>
                <w:rFonts w:ascii="Arial"/>
                <w:sz w:val="21"/>
              </w:rPr>
            </w:pPr>
          </w:p>
          <w:p w14:paraId="0F405D20">
            <w:pPr>
              <w:spacing w:line="254" w:lineRule="auto"/>
              <w:rPr>
                <w:rFonts w:ascii="Arial"/>
                <w:sz w:val="21"/>
              </w:rPr>
            </w:pPr>
          </w:p>
          <w:p w14:paraId="3E5EB835">
            <w:pPr>
              <w:spacing w:line="255" w:lineRule="auto"/>
              <w:rPr>
                <w:rFonts w:ascii="Arial"/>
                <w:sz w:val="21"/>
              </w:rPr>
            </w:pPr>
          </w:p>
          <w:p w14:paraId="2DE89BD8">
            <w:pPr>
              <w:spacing w:line="255" w:lineRule="auto"/>
              <w:rPr>
                <w:rFonts w:ascii="Arial"/>
                <w:sz w:val="21"/>
              </w:rPr>
            </w:pPr>
          </w:p>
          <w:p w14:paraId="40965123">
            <w:pPr>
              <w:spacing w:line="255" w:lineRule="auto"/>
              <w:rPr>
                <w:rFonts w:ascii="Arial"/>
                <w:sz w:val="21"/>
              </w:rPr>
            </w:pPr>
          </w:p>
          <w:p w14:paraId="5616D10B">
            <w:pPr>
              <w:spacing w:before="75" w:line="189" w:lineRule="auto"/>
              <w:ind w:left="248"/>
              <w:rPr>
                <w:rFonts w:ascii="宋体" w:hAnsi="宋体" w:eastAsia="宋体" w:cs="宋体"/>
                <w:sz w:val="23"/>
                <w:szCs w:val="23"/>
              </w:rPr>
            </w:pPr>
            <w:r>
              <w:rPr>
                <w:rFonts w:ascii="宋体" w:hAnsi="宋体" w:eastAsia="宋体" w:cs="宋体"/>
                <w:spacing w:val="-6"/>
                <w:sz w:val="23"/>
                <w:szCs w:val="23"/>
              </w:rPr>
              <w:t>170</w:t>
            </w:r>
          </w:p>
        </w:tc>
      </w:tr>
      <w:tr w14:paraId="73C90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bottom w:val="nil"/>
            </w:tcBorders>
            <w:vAlign w:val="top"/>
          </w:tcPr>
          <w:p w14:paraId="05DB089F">
            <w:pPr>
              <w:rPr>
                <w:rFonts w:ascii="Arial"/>
                <w:sz w:val="21"/>
              </w:rPr>
            </w:pPr>
          </w:p>
        </w:tc>
        <w:tc>
          <w:tcPr>
            <w:tcW w:w="1440" w:type="dxa"/>
            <w:vMerge w:val="continue"/>
            <w:tcBorders>
              <w:top w:val="nil"/>
              <w:bottom w:val="nil"/>
            </w:tcBorders>
            <w:vAlign w:val="top"/>
          </w:tcPr>
          <w:p w14:paraId="3BA766AF">
            <w:pPr>
              <w:rPr>
                <w:rFonts w:ascii="Arial"/>
                <w:sz w:val="21"/>
              </w:rPr>
            </w:pPr>
          </w:p>
        </w:tc>
        <w:tc>
          <w:tcPr>
            <w:tcW w:w="3202" w:type="dxa"/>
            <w:vMerge w:val="continue"/>
            <w:tcBorders>
              <w:top w:val="nil"/>
              <w:bottom w:val="nil"/>
            </w:tcBorders>
            <w:vAlign w:val="top"/>
          </w:tcPr>
          <w:p w14:paraId="1DF3E827">
            <w:pPr>
              <w:rPr>
                <w:rFonts w:ascii="Arial"/>
                <w:sz w:val="21"/>
              </w:rPr>
            </w:pPr>
          </w:p>
        </w:tc>
        <w:tc>
          <w:tcPr>
            <w:tcW w:w="2859" w:type="dxa"/>
            <w:vMerge w:val="continue"/>
            <w:tcBorders>
              <w:top w:val="nil"/>
              <w:bottom w:val="nil"/>
            </w:tcBorders>
            <w:vAlign w:val="top"/>
          </w:tcPr>
          <w:p w14:paraId="48C71602">
            <w:pPr>
              <w:rPr>
                <w:rFonts w:ascii="Arial"/>
                <w:sz w:val="21"/>
              </w:rPr>
            </w:pPr>
          </w:p>
        </w:tc>
        <w:tc>
          <w:tcPr>
            <w:tcW w:w="803" w:type="dxa"/>
            <w:vAlign w:val="top"/>
          </w:tcPr>
          <w:p w14:paraId="11549C8B">
            <w:pPr>
              <w:spacing w:line="249" w:lineRule="auto"/>
              <w:rPr>
                <w:rFonts w:ascii="Arial"/>
                <w:sz w:val="21"/>
              </w:rPr>
            </w:pPr>
          </w:p>
          <w:p w14:paraId="1E928B10">
            <w:pPr>
              <w:spacing w:line="249" w:lineRule="auto"/>
              <w:rPr>
                <w:rFonts w:ascii="Arial"/>
                <w:sz w:val="21"/>
              </w:rPr>
            </w:pPr>
          </w:p>
          <w:p w14:paraId="598C6035">
            <w:pPr>
              <w:spacing w:line="249" w:lineRule="auto"/>
              <w:rPr>
                <w:rFonts w:ascii="Arial"/>
                <w:sz w:val="21"/>
              </w:rPr>
            </w:pPr>
          </w:p>
          <w:p w14:paraId="6D97BC3A">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7DA7961">
            <w:pPr>
              <w:pStyle w:val="6"/>
              <w:spacing w:before="28" w:line="179" w:lineRule="auto"/>
              <w:ind w:left="116" w:right="105" w:firstLine="1"/>
              <w:jc w:val="both"/>
            </w:pPr>
            <w:r>
              <w:rPr>
                <w:spacing w:val="-3"/>
              </w:rPr>
              <w:t>未执行合同管理、流</w:t>
            </w:r>
            <w:r>
              <w:rPr>
                <w:spacing w:val="26"/>
              </w:rPr>
              <w:t>向登记制度或者未按照规定应用烟花爆竹流向管理信息</w:t>
            </w:r>
            <w:r>
              <w:rPr>
                <w:spacing w:val="-5"/>
              </w:rPr>
              <w:t>系统，有上述</w:t>
            </w:r>
            <w:r>
              <w:rPr>
                <w:rFonts w:ascii="宋体" w:hAnsi="宋体" w:eastAsia="宋体" w:cs="宋体"/>
                <w:spacing w:val="-5"/>
              </w:rPr>
              <w:t>2</w:t>
            </w:r>
            <w:r>
              <w:rPr>
                <w:spacing w:val="-5"/>
              </w:rPr>
              <w:t>种情</w:t>
            </w:r>
            <w:r>
              <w:rPr>
                <w:spacing w:val="3"/>
              </w:rPr>
              <w:t>形的</w:t>
            </w:r>
          </w:p>
        </w:tc>
        <w:tc>
          <w:tcPr>
            <w:tcW w:w="2894" w:type="dxa"/>
            <w:vAlign w:val="top"/>
          </w:tcPr>
          <w:p w14:paraId="1F178672">
            <w:pPr>
              <w:spacing w:line="264" w:lineRule="auto"/>
              <w:rPr>
                <w:rFonts w:ascii="Arial"/>
                <w:sz w:val="21"/>
              </w:rPr>
            </w:pPr>
          </w:p>
          <w:p w14:paraId="77767913">
            <w:pPr>
              <w:spacing w:line="264" w:lineRule="auto"/>
              <w:rPr>
                <w:rFonts w:ascii="Arial"/>
                <w:sz w:val="21"/>
              </w:rPr>
            </w:pPr>
          </w:p>
          <w:p w14:paraId="7F2A41BC">
            <w:pPr>
              <w:pStyle w:val="6"/>
              <w:spacing w:before="98" w:line="196" w:lineRule="auto"/>
              <w:ind w:left="146" w:right="103" w:hanging="19"/>
            </w:pPr>
            <w:r>
              <w:rPr>
                <w:spacing w:val="2"/>
              </w:rPr>
              <w:t>责令限期改正，处</w:t>
            </w:r>
            <w:r>
              <w:rPr>
                <w:rFonts w:ascii="宋体" w:hAnsi="宋体" w:eastAsia="宋体" w:cs="宋体"/>
                <w:spacing w:val="2"/>
              </w:rPr>
              <w:t>1</w:t>
            </w:r>
            <w:r>
              <w:rPr>
                <w:spacing w:val="2"/>
              </w:rPr>
              <w:t>万元</w:t>
            </w:r>
            <w:r>
              <w:rPr>
                <w:spacing w:val="1"/>
              </w:rPr>
              <w:t>以上</w:t>
            </w:r>
            <w:r>
              <w:rPr>
                <w:rFonts w:ascii="宋体" w:hAnsi="宋体" w:eastAsia="宋体" w:cs="宋体"/>
                <w:spacing w:val="1"/>
              </w:rPr>
              <w:t>2</w:t>
            </w:r>
            <w:r>
              <w:rPr>
                <w:spacing w:val="1"/>
              </w:rPr>
              <w:t>万元以下的罚款</w:t>
            </w:r>
          </w:p>
        </w:tc>
        <w:tc>
          <w:tcPr>
            <w:tcW w:w="811" w:type="dxa"/>
            <w:vMerge w:val="continue"/>
            <w:tcBorders>
              <w:top w:val="nil"/>
              <w:bottom w:val="nil"/>
            </w:tcBorders>
            <w:vAlign w:val="top"/>
          </w:tcPr>
          <w:p w14:paraId="5FF16903">
            <w:pPr>
              <w:rPr>
                <w:rFonts w:ascii="Arial"/>
                <w:sz w:val="21"/>
              </w:rPr>
            </w:pPr>
          </w:p>
        </w:tc>
      </w:tr>
      <w:tr w14:paraId="77DAF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tcBorders>
            <w:vAlign w:val="top"/>
          </w:tcPr>
          <w:p w14:paraId="284FF0D4">
            <w:pPr>
              <w:rPr>
                <w:rFonts w:ascii="Arial"/>
                <w:sz w:val="21"/>
              </w:rPr>
            </w:pPr>
          </w:p>
        </w:tc>
        <w:tc>
          <w:tcPr>
            <w:tcW w:w="1440" w:type="dxa"/>
            <w:vMerge w:val="continue"/>
            <w:tcBorders>
              <w:top w:val="nil"/>
            </w:tcBorders>
            <w:vAlign w:val="top"/>
          </w:tcPr>
          <w:p w14:paraId="2530E5FD">
            <w:pPr>
              <w:rPr>
                <w:rFonts w:ascii="Arial"/>
                <w:sz w:val="21"/>
              </w:rPr>
            </w:pPr>
          </w:p>
        </w:tc>
        <w:tc>
          <w:tcPr>
            <w:tcW w:w="3202" w:type="dxa"/>
            <w:vMerge w:val="continue"/>
            <w:tcBorders>
              <w:top w:val="nil"/>
            </w:tcBorders>
            <w:vAlign w:val="top"/>
          </w:tcPr>
          <w:p w14:paraId="1310E50E">
            <w:pPr>
              <w:rPr>
                <w:rFonts w:ascii="Arial"/>
                <w:sz w:val="21"/>
              </w:rPr>
            </w:pPr>
          </w:p>
        </w:tc>
        <w:tc>
          <w:tcPr>
            <w:tcW w:w="2859" w:type="dxa"/>
            <w:vMerge w:val="continue"/>
            <w:tcBorders>
              <w:top w:val="nil"/>
            </w:tcBorders>
            <w:vAlign w:val="top"/>
          </w:tcPr>
          <w:p w14:paraId="5A36F8DD">
            <w:pPr>
              <w:rPr>
                <w:rFonts w:ascii="Arial"/>
                <w:sz w:val="21"/>
              </w:rPr>
            </w:pPr>
          </w:p>
        </w:tc>
        <w:tc>
          <w:tcPr>
            <w:tcW w:w="803" w:type="dxa"/>
            <w:vAlign w:val="top"/>
          </w:tcPr>
          <w:p w14:paraId="22E7BAC5">
            <w:pPr>
              <w:spacing w:line="249" w:lineRule="auto"/>
              <w:rPr>
                <w:rFonts w:ascii="Arial"/>
                <w:sz w:val="21"/>
              </w:rPr>
            </w:pPr>
          </w:p>
          <w:p w14:paraId="74180F66">
            <w:pPr>
              <w:spacing w:line="249" w:lineRule="auto"/>
              <w:rPr>
                <w:rFonts w:ascii="Arial"/>
                <w:sz w:val="21"/>
              </w:rPr>
            </w:pPr>
          </w:p>
          <w:p w14:paraId="09C9F6A5">
            <w:pPr>
              <w:spacing w:line="249" w:lineRule="auto"/>
              <w:rPr>
                <w:rFonts w:ascii="Arial"/>
                <w:sz w:val="21"/>
              </w:rPr>
            </w:pPr>
          </w:p>
          <w:p w14:paraId="2DABD45A">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EEDF335">
            <w:pPr>
              <w:pStyle w:val="6"/>
              <w:spacing w:before="28" w:line="179" w:lineRule="auto"/>
              <w:ind w:left="116" w:right="105" w:firstLine="1"/>
              <w:jc w:val="both"/>
            </w:pPr>
            <w:r>
              <w:rPr>
                <w:spacing w:val="-3"/>
              </w:rPr>
              <w:t>未执行合同管理、流</w:t>
            </w:r>
            <w:r>
              <w:rPr>
                <w:spacing w:val="26"/>
              </w:rPr>
              <w:t>向登记制度或者未按照规定应用烟花爆竹流向管理信息</w:t>
            </w:r>
            <w:r>
              <w:rPr>
                <w:spacing w:val="-5"/>
              </w:rPr>
              <w:t>系统，有上述</w:t>
            </w:r>
            <w:r>
              <w:rPr>
                <w:rFonts w:ascii="宋体" w:hAnsi="宋体" w:eastAsia="宋体" w:cs="宋体"/>
                <w:spacing w:val="-5"/>
              </w:rPr>
              <w:t>3</w:t>
            </w:r>
            <w:r>
              <w:rPr>
                <w:spacing w:val="-5"/>
              </w:rPr>
              <w:t>种情</w:t>
            </w:r>
            <w:r>
              <w:rPr>
                <w:spacing w:val="3"/>
              </w:rPr>
              <w:t>形的</w:t>
            </w:r>
          </w:p>
        </w:tc>
        <w:tc>
          <w:tcPr>
            <w:tcW w:w="2894" w:type="dxa"/>
            <w:vAlign w:val="top"/>
          </w:tcPr>
          <w:p w14:paraId="6579C758">
            <w:pPr>
              <w:spacing w:line="264" w:lineRule="auto"/>
              <w:rPr>
                <w:rFonts w:ascii="Arial"/>
                <w:sz w:val="21"/>
              </w:rPr>
            </w:pPr>
          </w:p>
          <w:p w14:paraId="4D54DB81">
            <w:pPr>
              <w:spacing w:line="264" w:lineRule="auto"/>
              <w:rPr>
                <w:rFonts w:ascii="Arial"/>
                <w:sz w:val="21"/>
              </w:rPr>
            </w:pPr>
          </w:p>
          <w:p w14:paraId="0790CF82">
            <w:pPr>
              <w:pStyle w:val="6"/>
              <w:spacing w:before="99" w:line="196" w:lineRule="auto"/>
              <w:ind w:left="146" w:right="103" w:hanging="19"/>
            </w:pPr>
            <w:r>
              <w:rPr>
                <w:spacing w:val="4"/>
              </w:rPr>
              <w:t>责令限期改正，处</w:t>
            </w:r>
            <w:r>
              <w:rPr>
                <w:rFonts w:ascii="宋体" w:hAnsi="宋体" w:eastAsia="宋体" w:cs="宋体"/>
                <w:spacing w:val="4"/>
              </w:rPr>
              <w:t>2</w:t>
            </w:r>
            <w:r>
              <w:rPr>
                <w:spacing w:val="4"/>
              </w:rPr>
              <w:t>万元</w:t>
            </w:r>
            <w:r>
              <w:rPr>
                <w:spacing w:val="1"/>
              </w:rPr>
              <w:t>以上</w:t>
            </w:r>
            <w:r>
              <w:rPr>
                <w:rFonts w:ascii="宋体" w:hAnsi="宋体" w:eastAsia="宋体" w:cs="宋体"/>
                <w:spacing w:val="1"/>
              </w:rPr>
              <w:t>3</w:t>
            </w:r>
            <w:r>
              <w:rPr>
                <w:spacing w:val="1"/>
              </w:rPr>
              <w:t>万元以下的罚款</w:t>
            </w:r>
          </w:p>
        </w:tc>
        <w:tc>
          <w:tcPr>
            <w:tcW w:w="811" w:type="dxa"/>
            <w:vMerge w:val="continue"/>
            <w:tcBorders>
              <w:top w:val="nil"/>
            </w:tcBorders>
            <w:vAlign w:val="top"/>
          </w:tcPr>
          <w:p w14:paraId="44F60893">
            <w:pPr>
              <w:rPr>
                <w:rFonts w:ascii="Arial"/>
                <w:sz w:val="21"/>
              </w:rPr>
            </w:pPr>
          </w:p>
        </w:tc>
      </w:tr>
      <w:tr w14:paraId="24EB3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818" w:type="dxa"/>
            <w:vAlign w:val="top"/>
          </w:tcPr>
          <w:p w14:paraId="4A6F6D60">
            <w:pPr>
              <w:spacing w:line="301" w:lineRule="auto"/>
              <w:rPr>
                <w:rFonts w:ascii="Arial"/>
                <w:sz w:val="21"/>
              </w:rPr>
            </w:pPr>
          </w:p>
          <w:p w14:paraId="7571717F">
            <w:pPr>
              <w:spacing w:line="302" w:lineRule="auto"/>
              <w:rPr>
                <w:rFonts w:ascii="Arial"/>
                <w:sz w:val="21"/>
              </w:rPr>
            </w:pPr>
          </w:p>
          <w:p w14:paraId="49AB7B4E">
            <w:pPr>
              <w:spacing w:before="75" w:line="185" w:lineRule="auto"/>
              <w:ind w:left="146"/>
              <w:rPr>
                <w:rFonts w:ascii="仿宋" w:hAnsi="仿宋" w:eastAsia="仿宋" w:cs="仿宋"/>
                <w:sz w:val="23"/>
                <w:szCs w:val="23"/>
              </w:rPr>
            </w:pPr>
            <w:r>
              <w:rPr>
                <w:rFonts w:ascii="仿宋" w:hAnsi="仿宋" w:eastAsia="仿宋" w:cs="仿宋"/>
                <w:sz w:val="23"/>
                <w:szCs w:val="23"/>
              </w:rPr>
              <w:t>202</w:t>
            </w:r>
          </w:p>
        </w:tc>
        <w:tc>
          <w:tcPr>
            <w:tcW w:w="1440" w:type="dxa"/>
            <w:vAlign w:val="top"/>
          </w:tcPr>
          <w:p w14:paraId="4A04CC84">
            <w:pPr>
              <w:pStyle w:val="6"/>
              <w:spacing w:before="33" w:line="178" w:lineRule="auto"/>
              <w:ind w:left="117" w:right="111" w:firstLine="2"/>
              <w:jc w:val="both"/>
            </w:pPr>
            <w:r>
              <w:rPr>
                <w:spacing w:val="10"/>
              </w:rPr>
              <w:t>烟花爆竹批</w:t>
            </w:r>
            <w:r>
              <w:rPr>
                <w:spacing w:val="11"/>
              </w:rPr>
              <w:t>发企业未将黑火药、引</w:t>
            </w:r>
            <w:r>
              <w:rPr>
                <w:spacing w:val="-8"/>
                <w:w w:val="97"/>
              </w:rPr>
              <w:t>火线的采</w:t>
            </w:r>
            <w:r>
              <w:rPr>
                <w:spacing w:val="11"/>
              </w:rPr>
              <w:t>购、销售记</w:t>
            </w:r>
          </w:p>
        </w:tc>
        <w:tc>
          <w:tcPr>
            <w:tcW w:w="3202" w:type="dxa"/>
            <w:vAlign w:val="top"/>
          </w:tcPr>
          <w:p w14:paraId="61ED6CFB">
            <w:pPr>
              <w:pStyle w:val="6"/>
              <w:spacing w:before="33" w:line="178" w:lineRule="auto"/>
              <w:ind w:left="118" w:right="40" w:hanging="20"/>
              <w:jc w:val="both"/>
            </w:pPr>
            <w:r>
              <w:rPr>
                <w:spacing w:val="18"/>
              </w:rPr>
              <w:t>【部门规章】《烟花爆竹经</w:t>
            </w:r>
            <w:r>
              <w:rPr>
                <w:spacing w:val="17"/>
              </w:rPr>
              <w:t>营许可实施办法》第二十五</w:t>
            </w:r>
            <w:r>
              <w:rPr>
                <w:spacing w:val="12"/>
              </w:rPr>
              <w:t>条第二款：黑火药、引火线</w:t>
            </w:r>
            <w:r>
              <w:rPr>
                <w:spacing w:val="3"/>
              </w:rPr>
              <w:t>批发企业的采购、销售记录，</w:t>
            </w:r>
            <w:r>
              <w:rPr>
                <w:spacing w:val="17"/>
              </w:rPr>
              <w:t>应当自购买或者销售之日起</w:t>
            </w:r>
          </w:p>
        </w:tc>
        <w:tc>
          <w:tcPr>
            <w:tcW w:w="2859" w:type="dxa"/>
            <w:vAlign w:val="top"/>
          </w:tcPr>
          <w:p w14:paraId="7401EFEA">
            <w:pPr>
              <w:pStyle w:val="6"/>
              <w:spacing w:before="33" w:line="178" w:lineRule="auto"/>
              <w:ind w:left="114" w:right="106" w:hanging="17"/>
              <w:jc w:val="both"/>
            </w:pPr>
            <w:r>
              <w:rPr>
                <w:spacing w:val="10"/>
              </w:rPr>
              <w:t>【部门规章】《烟花爆竹</w:t>
            </w:r>
            <w:r>
              <w:rPr>
                <w:spacing w:val="8"/>
              </w:rPr>
              <w:t>经营许可实施办法》第三十二条第七项：批发企业有下列行为之一的，责令</w:t>
            </w:r>
            <w:r>
              <w:rPr>
                <w:spacing w:val="-4"/>
              </w:rPr>
              <w:t>其限期改正，处</w:t>
            </w:r>
            <w:r>
              <w:rPr>
                <w:rFonts w:ascii="宋体" w:hAnsi="宋体" w:eastAsia="宋体" w:cs="宋体"/>
                <w:spacing w:val="-4"/>
              </w:rPr>
              <w:t>5000</w:t>
            </w:r>
            <w:r>
              <w:rPr>
                <w:spacing w:val="-4"/>
              </w:rPr>
              <w:t>元以</w:t>
            </w:r>
          </w:p>
        </w:tc>
        <w:tc>
          <w:tcPr>
            <w:tcW w:w="803" w:type="dxa"/>
            <w:vAlign w:val="top"/>
          </w:tcPr>
          <w:p w14:paraId="6D99481D">
            <w:pPr>
              <w:spacing w:line="298" w:lineRule="auto"/>
              <w:rPr>
                <w:rFonts w:ascii="Arial"/>
                <w:sz w:val="21"/>
              </w:rPr>
            </w:pPr>
          </w:p>
          <w:p w14:paraId="0C040651">
            <w:pPr>
              <w:spacing w:line="299" w:lineRule="auto"/>
              <w:rPr>
                <w:rFonts w:ascii="Arial"/>
                <w:sz w:val="21"/>
              </w:rPr>
            </w:pPr>
          </w:p>
          <w:p w14:paraId="18AD0358">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2F84C8C">
            <w:pPr>
              <w:pStyle w:val="6"/>
              <w:spacing w:before="33" w:line="178" w:lineRule="auto"/>
              <w:ind w:left="119" w:right="46" w:hanging="2"/>
              <w:jc w:val="both"/>
            </w:pPr>
            <w:r>
              <w:rPr>
                <w:spacing w:val="10"/>
              </w:rPr>
              <w:t>超过规定时限</w:t>
            </w:r>
            <w:r>
              <w:rPr>
                <w:rFonts w:ascii="宋体" w:hAnsi="宋体" w:eastAsia="宋体" w:cs="宋体"/>
                <w:spacing w:val="10"/>
              </w:rPr>
              <w:t>3</w:t>
            </w:r>
            <w:r>
              <w:rPr>
                <w:spacing w:val="10"/>
              </w:rPr>
              <w:t>日</w:t>
            </w:r>
            <w:r>
              <w:rPr>
                <w:spacing w:val="4"/>
              </w:rPr>
              <w:t>以内，未将黑火药、</w:t>
            </w:r>
            <w:r>
              <w:rPr>
                <w:spacing w:val="-3"/>
              </w:rPr>
              <w:t>引火线的采购、销售</w:t>
            </w:r>
            <w:r>
              <w:rPr>
                <w:spacing w:val="26"/>
              </w:rPr>
              <w:t>记录报所在地县级安全监管部门备案</w:t>
            </w:r>
          </w:p>
        </w:tc>
        <w:tc>
          <w:tcPr>
            <w:tcW w:w="2894" w:type="dxa"/>
            <w:vAlign w:val="top"/>
          </w:tcPr>
          <w:p w14:paraId="26657F48">
            <w:pPr>
              <w:spacing w:line="381" w:lineRule="auto"/>
              <w:rPr>
                <w:rFonts w:ascii="Arial"/>
                <w:sz w:val="21"/>
              </w:rPr>
            </w:pPr>
          </w:p>
          <w:p w14:paraId="582D89DB">
            <w:pPr>
              <w:pStyle w:val="6"/>
              <w:spacing w:before="99" w:line="196" w:lineRule="auto"/>
              <w:ind w:left="146" w:right="104" w:hanging="19"/>
            </w:pPr>
            <w:r>
              <w:rPr>
                <w:spacing w:val="-2"/>
              </w:rPr>
              <w:t>责令限期改正，处</w:t>
            </w:r>
            <w:r>
              <w:rPr>
                <w:rFonts w:ascii="宋体" w:hAnsi="宋体" w:eastAsia="宋体" w:cs="宋体"/>
                <w:spacing w:val="-2"/>
              </w:rPr>
              <w:t>5000</w:t>
            </w:r>
            <w:r>
              <w:rPr>
                <w:spacing w:val="-2"/>
              </w:rPr>
              <w:t>元</w:t>
            </w:r>
            <w:r>
              <w:rPr>
                <w:spacing w:val="-1"/>
              </w:rPr>
              <w:t>以上</w:t>
            </w:r>
            <w:r>
              <w:rPr>
                <w:rFonts w:ascii="宋体" w:hAnsi="宋体" w:eastAsia="宋体" w:cs="宋体"/>
                <w:spacing w:val="-1"/>
              </w:rPr>
              <w:t>1</w:t>
            </w:r>
            <w:r>
              <w:rPr>
                <w:spacing w:val="-1"/>
              </w:rPr>
              <w:t>万元以下的罚款</w:t>
            </w:r>
          </w:p>
        </w:tc>
        <w:tc>
          <w:tcPr>
            <w:tcW w:w="811" w:type="dxa"/>
            <w:vAlign w:val="top"/>
          </w:tcPr>
          <w:p w14:paraId="6FDCBA20">
            <w:pPr>
              <w:spacing w:line="299" w:lineRule="auto"/>
              <w:rPr>
                <w:rFonts w:ascii="Arial"/>
                <w:sz w:val="21"/>
              </w:rPr>
            </w:pPr>
          </w:p>
          <w:p w14:paraId="5E1E3A2A">
            <w:pPr>
              <w:spacing w:line="299" w:lineRule="auto"/>
              <w:rPr>
                <w:rFonts w:ascii="Arial"/>
                <w:sz w:val="21"/>
              </w:rPr>
            </w:pPr>
          </w:p>
          <w:p w14:paraId="0D7BE5C8">
            <w:pPr>
              <w:spacing w:before="75" w:line="189" w:lineRule="auto"/>
              <w:ind w:left="248"/>
              <w:rPr>
                <w:rFonts w:ascii="宋体" w:hAnsi="宋体" w:eastAsia="宋体" w:cs="宋体"/>
                <w:sz w:val="23"/>
                <w:szCs w:val="23"/>
              </w:rPr>
            </w:pPr>
            <w:r>
              <w:rPr>
                <w:rFonts w:ascii="宋体" w:hAnsi="宋体" w:eastAsia="宋体" w:cs="宋体"/>
                <w:spacing w:val="-6"/>
                <w:sz w:val="23"/>
                <w:szCs w:val="23"/>
              </w:rPr>
              <w:t>170</w:t>
            </w:r>
          </w:p>
        </w:tc>
      </w:tr>
    </w:tbl>
    <w:p w14:paraId="416E46E6">
      <w:pPr>
        <w:pStyle w:val="2"/>
      </w:pPr>
    </w:p>
    <w:p w14:paraId="7DA0FD89">
      <w:pPr>
        <w:sectPr>
          <w:footerReference r:id="rId210" w:type="default"/>
          <w:pgSz w:w="16839" w:h="11906"/>
          <w:pgMar w:top="1012" w:right="821" w:bottom="666" w:left="901" w:header="0" w:footer="388" w:gutter="0"/>
          <w:cols w:space="720" w:num="1"/>
        </w:sectPr>
      </w:pPr>
    </w:p>
    <w:p w14:paraId="1EEFAA12">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BD6A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C051806">
            <w:pPr>
              <w:spacing w:before="222" w:line="241" w:lineRule="auto"/>
              <w:ind w:left="131"/>
              <w:outlineLvl w:val="0"/>
              <w:rPr>
                <w:rFonts w:ascii="黑体" w:hAnsi="黑体" w:eastAsia="黑体" w:cs="黑体"/>
                <w:sz w:val="28"/>
                <w:szCs w:val="28"/>
              </w:rPr>
            </w:pPr>
            <w:bookmarkStart w:id="694" w:name="bookmark414"/>
            <w:bookmarkEnd w:id="694"/>
            <w:r>
              <w:rPr>
                <w:rFonts w:ascii="黑体" w:hAnsi="黑体" w:eastAsia="黑体" w:cs="黑体"/>
                <w:spacing w:val="-2"/>
                <w:sz w:val="28"/>
                <w:szCs w:val="28"/>
              </w:rPr>
              <w:t>序号</w:t>
            </w:r>
          </w:p>
        </w:tc>
        <w:tc>
          <w:tcPr>
            <w:tcW w:w="1440" w:type="dxa"/>
            <w:vAlign w:val="top"/>
          </w:tcPr>
          <w:p w14:paraId="2FD2475E">
            <w:pPr>
              <w:spacing w:before="221"/>
              <w:ind w:left="163"/>
              <w:outlineLvl w:val="1"/>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E9786EC">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3528F07">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FD5407D">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0D5D61A1">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487276B">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A0F5F57">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4361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818" w:type="dxa"/>
            <w:vMerge w:val="restart"/>
            <w:tcBorders>
              <w:bottom w:val="nil"/>
            </w:tcBorders>
            <w:vAlign w:val="top"/>
          </w:tcPr>
          <w:p w14:paraId="6FC7D253">
            <w:pPr>
              <w:rPr>
                <w:rFonts w:ascii="Arial"/>
                <w:sz w:val="21"/>
              </w:rPr>
            </w:pPr>
          </w:p>
        </w:tc>
        <w:tc>
          <w:tcPr>
            <w:tcW w:w="1440" w:type="dxa"/>
            <w:vMerge w:val="restart"/>
            <w:tcBorders>
              <w:bottom w:val="nil"/>
            </w:tcBorders>
            <w:vAlign w:val="top"/>
          </w:tcPr>
          <w:p w14:paraId="5EA7C04B">
            <w:pPr>
              <w:pStyle w:val="6"/>
              <w:spacing w:before="28" w:line="209" w:lineRule="auto"/>
              <w:ind w:left="124"/>
            </w:pPr>
            <w:r>
              <w:rPr>
                <w:spacing w:val="3"/>
              </w:rPr>
              <w:t>录备案的</w:t>
            </w:r>
          </w:p>
        </w:tc>
        <w:tc>
          <w:tcPr>
            <w:tcW w:w="3202" w:type="dxa"/>
            <w:vMerge w:val="restart"/>
            <w:tcBorders>
              <w:bottom w:val="nil"/>
            </w:tcBorders>
            <w:vAlign w:val="top"/>
          </w:tcPr>
          <w:p w14:paraId="7237025A">
            <w:pPr>
              <w:pStyle w:val="6"/>
              <w:spacing w:before="28" w:line="182" w:lineRule="auto"/>
              <w:ind w:left="118"/>
              <w:outlineLvl w:val="1"/>
            </w:pPr>
            <w:r>
              <w:rPr>
                <w:rFonts w:ascii="宋体" w:hAnsi="宋体" w:eastAsia="宋体" w:cs="宋体"/>
                <w:spacing w:val="15"/>
              </w:rPr>
              <w:t>3</w:t>
            </w:r>
            <w:r>
              <w:rPr>
                <w:spacing w:val="15"/>
              </w:rPr>
              <w:t>日内报所在地县级安全监</w:t>
            </w:r>
          </w:p>
          <w:p w14:paraId="60B74AA8">
            <w:pPr>
              <w:pStyle w:val="6"/>
              <w:spacing w:line="209" w:lineRule="auto"/>
              <w:ind w:left="127"/>
              <w:outlineLvl w:val="1"/>
            </w:pPr>
            <w:r>
              <w:rPr>
                <w:spacing w:val="-2"/>
              </w:rPr>
              <w:t>管局备案。</w:t>
            </w:r>
          </w:p>
        </w:tc>
        <w:tc>
          <w:tcPr>
            <w:tcW w:w="2859" w:type="dxa"/>
            <w:vMerge w:val="restart"/>
            <w:tcBorders>
              <w:bottom w:val="nil"/>
            </w:tcBorders>
            <w:vAlign w:val="top"/>
          </w:tcPr>
          <w:p w14:paraId="3ABB0773">
            <w:pPr>
              <w:pStyle w:val="6"/>
              <w:spacing w:before="31" w:line="182" w:lineRule="auto"/>
              <w:ind w:left="98" w:right="110" w:firstLine="24"/>
            </w:pPr>
            <w:r>
              <w:rPr>
                <w:spacing w:val="15"/>
              </w:rPr>
              <w:t>上</w:t>
            </w:r>
            <w:r>
              <w:rPr>
                <w:rFonts w:ascii="宋体" w:hAnsi="宋体" w:eastAsia="宋体" w:cs="宋体"/>
                <w:spacing w:val="15"/>
              </w:rPr>
              <w:t>3</w:t>
            </w:r>
            <w:r>
              <w:rPr>
                <w:spacing w:val="15"/>
              </w:rPr>
              <w:t>万元以下的罚款：</w:t>
            </w:r>
            <w:r>
              <w:rPr>
                <w:spacing w:val="10"/>
              </w:rPr>
              <w:t>（七）未将黑火药、引火线的采购、销售记录报所在地县级安全监管局备案</w:t>
            </w:r>
          </w:p>
          <w:p w14:paraId="1D01A941">
            <w:pPr>
              <w:pStyle w:val="6"/>
              <w:spacing w:line="208" w:lineRule="auto"/>
              <w:ind w:left="139"/>
              <w:outlineLvl w:val="0"/>
            </w:pPr>
            <w:bookmarkStart w:id="695" w:name="bookmark600"/>
            <w:bookmarkEnd w:id="695"/>
            <w:bookmarkStart w:id="696" w:name="bookmark416"/>
            <w:bookmarkEnd w:id="696"/>
            <w:r>
              <w:rPr>
                <w:spacing w:val="-16"/>
              </w:rPr>
              <w:t>的；</w:t>
            </w:r>
          </w:p>
        </w:tc>
        <w:tc>
          <w:tcPr>
            <w:tcW w:w="803" w:type="dxa"/>
            <w:vAlign w:val="top"/>
          </w:tcPr>
          <w:p w14:paraId="450B50F6">
            <w:pPr>
              <w:rPr>
                <w:rFonts w:ascii="Arial"/>
                <w:sz w:val="21"/>
              </w:rPr>
            </w:pPr>
          </w:p>
        </w:tc>
        <w:tc>
          <w:tcPr>
            <w:tcW w:w="2283" w:type="dxa"/>
            <w:vAlign w:val="top"/>
          </w:tcPr>
          <w:p w14:paraId="48F19EAA">
            <w:pPr>
              <w:pStyle w:val="6"/>
              <w:spacing w:before="28" w:line="162" w:lineRule="auto"/>
              <w:ind w:left="139"/>
            </w:pPr>
            <w:r>
              <w:t>的</w:t>
            </w:r>
          </w:p>
        </w:tc>
        <w:tc>
          <w:tcPr>
            <w:tcW w:w="2894" w:type="dxa"/>
            <w:vAlign w:val="top"/>
          </w:tcPr>
          <w:p w14:paraId="7C376B5F">
            <w:pPr>
              <w:rPr>
                <w:rFonts w:ascii="Arial"/>
                <w:sz w:val="21"/>
              </w:rPr>
            </w:pPr>
          </w:p>
        </w:tc>
        <w:tc>
          <w:tcPr>
            <w:tcW w:w="811" w:type="dxa"/>
            <w:vMerge w:val="restart"/>
            <w:tcBorders>
              <w:bottom w:val="nil"/>
            </w:tcBorders>
            <w:vAlign w:val="top"/>
          </w:tcPr>
          <w:p w14:paraId="5E53DB63">
            <w:pPr>
              <w:rPr>
                <w:rFonts w:ascii="Arial"/>
                <w:sz w:val="21"/>
              </w:rPr>
            </w:pPr>
          </w:p>
        </w:tc>
      </w:tr>
      <w:tr w14:paraId="5E217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bottom w:val="nil"/>
            </w:tcBorders>
            <w:vAlign w:val="top"/>
          </w:tcPr>
          <w:p w14:paraId="1B757A90">
            <w:pPr>
              <w:rPr>
                <w:rFonts w:ascii="Arial"/>
                <w:sz w:val="21"/>
              </w:rPr>
            </w:pPr>
          </w:p>
        </w:tc>
        <w:tc>
          <w:tcPr>
            <w:tcW w:w="1440" w:type="dxa"/>
            <w:vMerge w:val="continue"/>
            <w:tcBorders>
              <w:top w:val="nil"/>
              <w:bottom w:val="nil"/>
            </w:tcBorders>
            <w:vAlign w:val="top"/>
          </w:tcPr>
          <w:p w14:paraId="3D53FC20">
            <w:pPr>
              <w:rPr>
                <w:rFonts w:ascii="Arial"/>
                <w:sz w:val="21"/>
              </w:rPr>
            </w:pPr>
          </w:p>
        </w:tc>
        <w:tc>
          <w:tcPr>
            <w:tcW w:w="3202" w:type="dxa"/>
            <w:vMerge w:val="continue"/>
            <w:tcBorders>
              <w:top w:val="nil"/>
              <w:bottom w:val="nil"/>
            </w:tcBorders>
            <w:vAlign w:val="top"/>
          </w:tcPr>
          <w:p w14:paraId="219722F6">
            <w:pPr>
              <w:rPr>
                <w:rFonts w:ascii="Arial"/>
                <w:sz w:val="21"/>
              </w:rPr>
            </w:pPr>
          </w:p>
        </w:tc>
        <w:tc>
          <w:tcPr>
            <w:tcW w:w="2859" w:type="dxa"/>
            <w:vMerge w:val="continue"/>
            <w:tcBorders>
              <w:top w:val="nil"/>
              <w:bottom w:val="nil"/>
            </w:tcBorders>
            <w:vAlign w:val="top"/>
          </w:tcPr>
          <w:p w14:paraId="00BFC4B6">
            <w:pPr>
              <w:rPr>
                <w:rFonts w:ascii="Arial"/>
                <w:sz w:val="21"/>
              </w:rPr>
            </w:pPr>
          </w:p>
        </w:tc>
        <w:tc>
          <w:tcPr>
            <w:tcW w:w="803" w:type="dxa"/>
            <w:vAlign w:val="top"/>
          </w:tcPr>
          <w:p w14:paraId="33DBBA21">
            <w:pPr>
              <w:spacing w:line="248" w:lineRule="auto"/>
              <w:rPr>
                <w:rFonts w:ascii="Arial"/>
                <w:sz w:val="21"/>
              </w:rPr>
            </w:pPr>
          </w:p>
          <w:p w14:paraId="2BA08C23">
            <w:pPr>
              <w:spacing w:line="248" w:lineRule="auto"/>
              <w:rPr>
                <w:rFonts w:ascii="Arial"/>
                <w:sz w:val="21"/>
              </w:rPr>
            </w:pPr>
          </w:p>
          <w:p w14:paraId="59A4968F">
            <w:pPr>
              <w:spacing w:line="248" w:lineRule="auto"/>
              <w:rPr>
                <w:rFonts w:ascii="Arial"/>
                <w:sz w:val="21"/>
              </w:rPr>
            </w:pPr>
          </w:p>
          <w:p w14:paraId="11897FA2">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0002AA4">
            <w:pPr>
              <w:pStyle w:val="6"/>
              <w:spacing w:before="28" w:line="179" w:lineRule="auto"/>
              <w:ind w:left="114" w:right="105" w:firstLine="2"/>
              <w:jc w:val="both"/>
            </w:pPr>
            <w:r>
              <w:rPr>
                <w:spacing w:val="10"/>
              </w:rPr>
              <w:t>超过规定时限</w:t>
            </w:r>
            <w:r>
              <w:rPr>
                <w:rFonts w:ascii="宋体" w:hAnsi="宋体" w:eastAsia="宋体" w:cs="宋体"/>
                <w:spacing w:val="10"/>
              </w:rPr>
              <w:t>3</w:t>
            </w:r>
            <w:r>
              <w:rPr>
                <w:spacing w:val="10"/>
              </w:rPr>
              <w:t>日</w:t>
            </w:r>
            <w:r>
              <w:rPr>
                <w:spacing w:val="-10"/>
              </w:rPr>
              <w:t>以上</w:t>
            </w:r>
            <w:r>
              <w:rPr>
                <w:rFonts w:ascii="宋体" w:hAnsi="宋体" w:eastAsia="宋体" w:cs="宋体"/>
                <w:spacing w:val="-10"/>
              </w:rPr>
              <w:t>5</w:t>
            </w:r>
            <w:r>
              <w:rPr>
                <w:spacing w:val="-10"/>
              </w:rPr>
              <w:t>日以内，未将</w:t>
            </w:r>
            <w:r>
              <w:rPr>
                <w:spacing w:val="-2"/>
              </w:rPr>
              <w:t>黑火药、引火线的采购、销售记录报所在</w:t>
            </w:r>
            <w:r>
              <w:rPr>
                <w:spacing w:val="26"/>
              </w:rPr>
              <w:t>地县级安全监管部</w:t>
            </w:r>
            <w:r>
              <w:rPr>
                <w:spacing w:val="6"/>
              </w:rPr>
              <w:t>门备案的</w:t>
            </w:r>
          </w:p>
        </w:tc>
        <w:tc>
          <w:tcPr>
            <w:tcW w:w="2894" w:type="dxa"/>
            <w:vAlign w:val="top"/>
          </w:tcPr>
          <w:p w14:paraId="01292014">
            <w:pPr>
              <w:spacing w:line="263" w:lineRule="auto"/>
              <w:rPr>
                <w:rFonts w:ascii="Arial"/>
                <w:sz w:val="21"/>
              </w:rPr>
            </w:pPr>
          </w:p>
          <w:p w14:paraId="0BBCB203">
            <w:pPr>
              <w:spacing w:line="264" w:lineRule="auto"/>
              <w:rPr>
                <w:rFonts w:ascii="Arial"/>
                <w:sz w:val="21"/>
              </w:rPr>
            </w:pPr>
          </w:p>
          <w:p w14:paraId="1221E64D">
            <w:pPr>
              <w:pStyle w:val="6"/>
              <w:spacing w:before="98" w:line="196" w:lineRule="auto"/>
              <w:ind w:left="146" w:right="103" w:hanging="19"/>
            </w:pPr>
            <w:r>
              <w:rPr>
                <w:spacing w:val="2"/>
              </w:rPr>
              <w:t>责令限期改正，处</w:t>
            </w:r>
            <w:r>
              <w:rPr>
                <w:rFonts w:ascii="宋体" w:hAnsi="宋体" w:eastAsia="宋体" w:cs="宋体"/>
                <w:spacing w:val="2"/>
              </w:rPr>
              <w:t>1</w:t>
            </w:r>
            <w:r>
              <w:rPr>
                <w:spacing w:val="2"/>
              </w:rPr>
              <w:t>万元</w:t>
            </w:r>
            <w:r>
              <w:rPr>
                <w:spacing w:val="1"/>
              </w:rPr>
              <w:t>以上</w:t>
            </w:r>
            <w:r>
              <w:rPr>
                <w:rFonts w:ascii="宋体" w:hAnsi="宋体" w:eastAsia="宋体" w:cs="宋体"/>
                <w:spacing w:val="1"/>
              </w:rPr>
              <w:t>2</w:t>
            </w:r>
            <w:r>
              <w:rPr>
                <w:spacing w:val="1"/>
              </w:rPr>
              <w:t>万元以下的罚款</w:t>
            </w:r>
          </w:p>
        </w:tc>
        <w:tc>
          <w:tcPr>
            <w:tcW w:w="811" w:type="dxa"/>
            <w:vMerge w:val="continue"/>
            <w:tcBorders>
              <w:top w:val="nil"/>
              <w:bottom w:val="nil"/>
            </w:tcBorders>
            <w:vAlign w:val="top"/>
          </w:tcPr>
          <w:p w14:paraId="0BC64DBD">
            <w:pPr>
              <w:rPr>
                <w:rFonts w:ascii="Arial"/>
                <w:sz w:val="21"/>
              </w:rPr>
            </w:pPr>
          </w:p>
        </w:tc>
      </w:tr>
      <w:tr w14:paraId="7AD77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tcBorders>
            <w:vAlign w:val="top"/>
          </w:tcPr>
          <w:p w14:paraId="43BF7363">
            <w:pPr>
              <w:rPr>
                <w:rFonts w:ascii="Arial"/>
                <w:sz w:val="21"/>
              </w:rPr>
            </w:pPr>
          </w:p>
        </w:tc>
        <w:tc>
          <w:tcPr>
            <w:tcW w:w="1440" w:type="dxa"/>
            <w:vMerge w:val="continue"/>
            <w:tcBorders>
              <w:top w:val="nil"/>
            </w:tcBorders>
            <w:vAlign w:val="top"/>
          </w:tcPr>
          <w:p w14:paraId="09D97834">
            <w:pPr>
              <w:rPr>
                <w:rFonts w:ascii="Arial"/>
                <w:sz w:val="21"/>
              </w:rPr>
            </w:pPr>
          </w:p>
        </w:tc>
        <w:tc>
          <w:tcPr>
            <w:tcW w:w="3202" w:type="dxa"/>
            <w:vMerge w:val="continue"/>
            <w:tcBorders>
              <w:top w:val="nil"/>
            </w:tcBorders>
            <w:vAlign w:val="top"/>
          </w:tcPr>
          <w:p w14:paraId="622B1AFC">
            <w:pPr>
              <w:rPr>
                <w:rFonts w:ascii="Arial"/>
                <w:sz w:val="21"/>
              </w:rPr>
            </w:pPr>
          </w:p>
        </w:tc>
        <w:tc>
          <w:tcPr>
            <w:tcW w:w="2859" w:type="dxa"/>
            <w:vMerge w:val="continue"/>
            <w:tcBorders>
              <w:top w:val="nil"/>
            </w:tcBorders>
            <w:vAlign w:val="top"/>
          </w:tcPr>
          <w:p w14:paraId="174473A9">
            <w:pPr>
              <w:rPr>
                <w:rFonts w:ascii="Arial"/>
                <w:sz w:val="21"/>
              </w:rPr>
            </w:pPr>
          </w:p>
        </w:tc>
        <w:tc>
          <w:tcPr>
            <w:tcW w:w="803" w:type="dxa"/>
            <w:vAlign w:val="top"/>
          </w:tcPr>
          <w:p w14:paraId="395DA289">
            <w:pPr>
              <w:spacing w:line="248" w:lineRule="auto"/>
              <w:rPr>
                <w:rFonts w:ascii="Arial"/>
                <w:sz w:val="21"/>
              </w:rPr>
            </w:pPr>
          </w:p>
          <w:p w14:paraId="55BBF323">
            <w:pPr>
              <w:spacing w:line="249" w:lineRule="auto"/>
              <w:rPr>
                <w:rFonts w:ascii="Arial"/>
                <w:sz w:val="21"/>
              </w:rPr>
            </w:pPr>
          </w:p>
          <w:p w14:paraId="1FC88F8B">
            <w:pPr>
              <w:spacing w:line="249" w:lineRule="auto"/>
              <w:rPr>
                <w:rFonts w:ascii="Arial"/>
                <w:sz w:val="21"/>
              </w:rPr>
            </w:pPr>
          </w:p>
          <w:p w14:paraId="5541D078">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BEC8D18">
            <w:pPr>
              <w:pStyle w:val="6"/>
              <w:spacing w:before="28" w:line="179" w:lineRule="auto"/>
              <w:ind w:left="119" w:right="46" w:hanging="2"/>
              <w:jc w:val="both"/>
            </w:pPr>
            <w:r>
              <w:rPr>
                <w:spacing w:val="10"/>
              </w:rPr>
              <w:t>超过规定时限</w:t>
            </w:r>
            <w:r>
              <w:rPr>
                <w:rFonts w:ascii="宋体" w:hAnsi="宋体" w:eastAsia="宋体" w:cs="宋体"/>
                <w:spacing w:val="10"/>
              </w:rPr>
              <w:t>5</w:t>
            </w:r>
            <w:r>
              <w:rPr>
                <w:spacing w:val="10"/>
              </w:rPr>
              <w:t>日</w:t>
            </w:r>
            <w:r>
              <w:rPr>
                <w:spacing w:val="4"/>
              </w:rPr>
              <w:t>以上，未将黑火药、</w:t>
            </w:r>
            <w:r>
              <w:rPr>
                <w:spacing w:val="-3"/>
              </w:rPr>
              <w:t>引火线的采购、销售</w:t>
            </w:r>
            <w:r>
              <w:rPr>
                <w:spacing w:val="26"/>
              </w:rPr>
              <w:t>记录报所在地县级安全监管部门备案</w:t>
            </w:r>
            <w:r>
              <w:t>的</w:t>
            </w:r>
          </w:p>
        </w:tc>
        <w:tc>
          <w:tcPr>
            <w:tcW w:w="2894" w:type="dxa"/>
            <w:vAlign w:val="top"/>
          </w:tcPr>
          <w:p w14:paraId="1D658DD4">
            <w:pPr>
              <w:spacing w:line="263" w:lineRule="auto"/>
              <w:rPr>
                <w:rFonts w:ascii="Arial"/>
                <w:sz w:val="21"/>
              </w:rPr>
            </w:pPr>
          </w:p>
          <w:p w14:paraId="436EC05F">
            <w:pPr>
              <w:spacing w:line="264" w:lineRule="auto"/>
              <w:rPr>
                <w:rFonts w:ascii="Arial"/>
                <w:sz w:val="21"/>
              </w:rPr>
            </w:pPr>
          </w:p>
          <w:p w14:paraId="3A2B9CAC">
            <w:pPr>
              <w:pStyle w:val="6"/>
              <w:spacing w:before="99" w:line="196" w:lineRule="auto"/>
              <w:ind w:left="146" w:right="103" w:hanging="19"/>
            </w:pPr>
            <w:r>
              <w:rPr>
                <w:spacing w:val="4"/>
              </w:rPr>
              <w:t>责令限期改正，处</w:t>
            </w:r>
            <w:r>
              <w:rPr>
                <w:rFonts w:ascii="宋体" w:hAnsi="宋体" w:eastAsia="宋体" w:cs="宋体"/>
                <w:spacing w:val="4"/>
              </w:rPr>
              <w:t>2</w:t>
            </w:r>
            <w:r>
              <w:rPr>
                <w:spacing w:val="4"/>
              </w:rPr>
              <w:t>万元</w:t>
            </w:r>
            <w:r>
              <w:rPr>
                <w:spacing w:val="1"/>
              </w:rPr>
              <w:t>以上</w:t>
            </w:r>
            <w:r>
              <w:rPr>
                <w:rFonts w:ascii="宋体" w:hAnsi="宋体" w:eastAsia="宋体" w:cs="宋体"/>
                <w:spacing w:val="1"/>
              </w:rPr>
              <w:t>3</w:t>
            </w:r>
            <w:r>
              <w:rPr>
                <w:spacing w:val="1"/>
              </w:rPr>
              <w:t>万元以下的罚款</w:t>
            </w:r>
          </w:p>
        </w:tc>
        <w:tc>
          <w:tcPr>
            <w:tcW w:w="811" w:type="dxa"/>
            <w:vMerge w:val="continue"/>
            <w:tcBorders>
              <w:top w:val="nil"/>
            </w:tcBorders>
            <w:vAlign w:val="top"/>
          </w:tcPr>
          <w:p w14:paraId="091990B1">
            <w:pPr>
              <w:rPr>
                <w:rFonts w:ascii="Arial"/>
                <w:sz w:val="21"/>
              </w:rPr>
            </w:pPr>
          </w:p>
        </w:tc>
      </w:tr>
      <w:tr w14:paraId="0453E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818" w:type="dxa"/>
            <w:vMerge w:val="restart"/>
            <w:tcBorders>
              <w:bottom w:val="nil"/>
            </w:tcBorders>
            <w:vAlign w:val="top"/>
          </w:tcPr>
          <w:p w14:paraId="6AE20E05">
            <w:pPr>
              <w:spacing w:line="251" w:lineRule="auto"/>
              <w:rPr>
                <w:rFonts w:ascii="Arial"/>
                <w:sz w:val="21"/>
              </w:rPr>
            </w:pPr>
          </w:p>
          <w:p w14:paraId="54B75B46">
            <w:pPr>
              <w:spacing w:line="251" w:lineRule="auto"/>
              <w:rPr>
                <w:rFonts w:ascii="Arial"/>
                <w:sz w:val="21"/>
              </w:rPr>
            </w:pPr>
          </w:p>
          <w:p w14:paraId="078332C4">
            <w:pPr>
              <w:spacing w:line="252" w:lineRule="auto"/>
              <w:rPr>
                <w:rFonts w:ascii="Arial"/>
                <w:sz w:val="21"/>
              </w:rPr>
            </w:pPr>
          </w:p>
          <w:p w14:paraId="31B5D91A">
            <w:pPr>
              <w:spacing w:line="252" w:lineRule="auto"/>
              <w:rPr>
                <w:rFonts w:ascii="Arial"/>
                <w:sz w:val="21"/>
              </w:rPr>
            </w:pPr>
          </w:p>
          <w:p w14:paraId="6722C5AC">
            <w:pPr>
              <w:spacing w:line="252" w:lineRule="auto"/>
              <w:rPr>
                <w:rFonts w:ascii="Arial"/>
                <w:sz w:val="21"/>
              </w:rPr>
            </w:pPr>
          </w:p>
          <w:p w14:paraId="4AE827EB">
            <w:pPr>
              <w:spacing w:before="75" w:line="185" w:lineRule="auto"/>
              <w:ind w:left="146"/>
              <w:rPr>
                <w:rFonts w:ascii="仿宋" w:hAnsi="仿宋" w:eastAsia="仿宋" w:cs="仿宋"/>
                <w:sz w:val="23"/>
                <w:szCs w:val="23"/>
              </w:rPr>
            </w:pPr>
            <w:r>
              <w:rPr>
                <w:rFonts w:ascii="仿宋" w:hAnsi="仿宋" w:eastAsia="仿宋" w:cs="仿宋"/>
                <w:sz w:val="23"/>
                <w:szCs w:val="23"/>
              </w:rPr>
              <w:t>203</w:t>
            </w:r>
          </w:p>
        </w:tc>
        <w:tc>
          <w:tcPr>
            <w:tcW w:w="1440" w:type="dxa"/>
            <w:vMerge w:val="restart"/>
            <w:tcBorders>
              <w:bottom w:val="nil"/>
            </w:tcBorders>
            <w:vAlign w:val="top"/>
          </w:tcPr>
          <w:p w14:paraId="48AA0A17">
            <w:pPr>
              <w:spacing w:line="292" w:lineRule="auto"/>
              <w:rPr>
                <w:rFonts w:ascii="Arial"/>
                <w:sz w:val="21"/>
              </w:rPr>
            </w:pPr>
          </w:p>
          <w:p w14:paraId="41E9C578">
            <w:pPr>
              <w:pStyle w:val="6"/>
              <w:spacing w:before="98" w:line="186" w:lineRule="auto"/>
              <w:ind w:left="114" w:right="111" w:firstLine="5"/>
            </w:pPr>
            <w:r>
              <w:rPr>
                <w:spacing w:val="10"/>
              </w:rPr>
              <w:t>烟花爆竹批</w:t>
            </w:r>
            <w:r>
              <w:rPr>
                <w:spacing w:val="11"/>
              </w:rPr>
              <w:t>发企业仓储</w:t>
            </w:r>
            <w:r>
              <w:rPr>
                <w:spacing w:val="6"/>
              </w:rPr>
              <w:t>设施新建、</w:t>
            </w:r>
            <w:r>
              <w:rPr>
                <w:spacing w:val="11"/>
              </w:rPr>
              <w:t>改建、扩建</w:t>
            </w:r>
            <w:r>
              <w:rPr>
                <w:spacing w:val="4"/>
              </w:rPr>
              <w:t>后，未重新</w:t>
            </w:r>
            <w:r>
              <w:rPr>
                <w:spacing w:val="11"/>
              </w:rPr>
              <w:t>申请办理许</w:t>
            </w:r>
            <w:r>
              <w:rPr>
                <w:spacing w:val="6"/>
              </w:rPr>
              <w:t>可手续的</w:t>
            </w:r>
          </w:p>
        </w:tc>
        <w:tc>
          <w:tcPr>
            <w:tcW w:w="3202" w:type="dxa"/>
            <w:vMerge w:val="restart"/>
            <w:tcBorders>
              <w:bottom w:val="nil"/>
            </w:tcBorders>
            <w:vAlign w:val="top"/>
          </w:tcPr>
          <w:p w14:paraId="5534C1A2">
            <w:pPr>
              <w:pStyle w:val="6"/>
              <w:spacing w:before="32" w:line="186" w:lineRule="auto"/>
              <w:ind w:left="117" w:right="111" w:hanging="19"/>
              <w:jc w:val="both"/>
            </w:pPr>
            <w:r>
              <w:rPr>
                <w:spacing w:val="18"/>
              </w:rPr>
              <w:t>【部门规章】《烟花爆竹经</w:t>
            </w:r>
            <w:r>
              <w:rPr>
                <w:spacing w:val="17"/>
              </w:rPr>
              <w:t>营许可实施办法》第十五条</w:t>
            </w:r>
            <w:r>
              <w:rPr>
                <w:spacing w:val="13"/>
              </w:rPr>
              <w:t>第二款：批发企业变更经营</w:t>
            </w:r>
            <w:r>
              <w:rPr>
                <w:spacing w:val="17"/>
              </w:rPr>
              <w:t>许可范围、储存仓库地址和仓储设施新建、改建、扩建</w:t>
            </w:r>
            <w:r>
              <w:rPr>
                <w:spacing w:val="13"/>
              </w:rPr>
              <w:t>的，应当重新申请办理许可</w:t>
            </w:r>
            <w:r>
              <w:rPr>
                <w:spacing w:val="-4"/>
              </w:rPr>
              <w:t>手续。</w:t>
            </w:r>
          </w:p>
        </w:tc>
        <w:tc>
          <w:tcPr>
            <w:tcW w:w="2859" w:type="dxa"/>
            <w:vMerge w:val="restart"/>
            <w:tcBorders>
              <w:bottom w:val="nil"/>
            </w:tcBorders>
            <w:vAlign w:val="top"/>
          </w:tcPr>
          <w:p w14:paraId="542562B8">
            <w:pPr>
              <w:pStyle w:val="6"/>
              <w:spacing w:before="35" w:line="185" w:lineRule="auto"/>
              <w:ind w:left="97" w:right="106"/>
            </w:pPr>
            <w:r>
              <w:rPr>
                <w:spacing w:val="10"/>
              </w:rPr>
              <w:t>【部门规章】《烟花爆竹经营许可实施办法》第三十二条第八项：批发企业有下列行为之一的，责令</w:t>
            </w:r>
            <w:r>
              <w:rPr>
                <w:spacing w:val="-3"/>
              </w:rPr>
              <w:t>其限期改正，处</w:t>
            </w:r>
            <w:r>
              <w:rPr>
                <w:rFonts w:ascii="宋体" w:hAnsi="宋体" w:eastAsia="宋体" w:cs="宋体"/>
                <w:spacing w:val="-3"/>
              </w:rPr>
              <w:t>5000</w:t>
            </w:r>
            <w:r>
              <w:rPr>
                <w:spacing w:val="-3"/>
              </w:rPr>
              <w:t>元以</w:t>
            </w:r>
            <w:r>
              <w:rPr>
                <w:spacing w:val="17"/>
              </w:rPr>
              <w:t>上</w:t>
            </w:r>
            <w:r>
              <w:rPr>
                <w:rFonts w:ascii="宋体" w:hAnsi="宋体" w:eastAsia="宋体" w:cs="宋体"/>
                <w:spacing w:val="17"/>
              </w:rPr>
              <w:t>3</w:t>
            </w:r>
            <w:r>
              <w:rPr>
                <w:spacing w:val="17"/>
              </w:rPr>
              <w:t>万元以下的罚款：</w:t>
            </w:r>
            <w:r>
              <w:rPr>
                <w:spacing w:val="10"/>
              </w:rPr>
              <w:t>（八）仓储设施新建、改建、扩建后，未重新申请</w:t>
            </w:r>
            <w:r>
              <w:rPr>
                <w:spacing w:val="4"/>
              </w:rPr>
              <w:t>办理许可手续的；</w:t>
            </w:r>
          </w:p>
        </w:tc>
        <w:tc>
          <w:tcPr>
            <w:tcW w:w="803" w:type="dxa"/>
            <w:vAlign w:val="top"/>
          </w:tcPr>
          <w:p w14:paraId="3CE87FF8">
            <w:pPr>
              <w:spacing w:line="295" w:lineRule="auto"/>
              <w:rPr>
                <w:rFonts w:ascii="Arial"/>
                <w:sz w:val="21"/>
              </w:rPr>
            </w:pPr>
          </w:p>
          <w:p w14:paraId="371EBF48">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5BC3225">
            <w:pPr>
              <w:pStyle w:val="6"/>
              <w:spacing w:before="31" w:line="175" w:lineRule="auto"/>
              <w:ind w:left="123" w:right="109" w:firstLine="14"/>
              <w:jc w:val="both"/>
            </w:pPr>
            <w:r>
              <w:rPr>
                <w:spacing w:val="-5"/>
              </w:rPr>
              <w:t>改建仓储设施后，未</w:t>
            </w:r>
            <w:r>
              <w:rPr>
                <w:spacing w:val="25"/>
              </w:rPr>
              <w:t>重新申请办理许可</w:t>
            </w:r>
            <w:r>
              <w:rPr>
                <w:spacing w:val="3"/>
              </w:rPr>
              <w:t>手续的</w:t>
            </w:r>
          </w:p>
        </w:tc>
        <w:tc>
          <w:tcPr>
            <w:tcW w:w="2894" w:type="dxa"/>
            <w:vAlign w:val="top"/>
          </w:tcPr>
          <w:p w14:paraId="4CB567CC">
            <w:pPr>
              <w:pStyle w:val="6"/>
              <w:spacing w:before="178" w:line="196" w:lineRule="auto"/>
              <w:ind w:left="146" w:right="104" w:hanging="19"/>
            </w:pPr>
            <w:r>
              <w:rPr>
                <w:spacing w:val="-2"/>
              </w:rPr>
              <w:t>责令限期改正，处</w:t>
            </w:r>
            <w:r>
              <w:rPr>
                <w:rFonts w:ascii="宋体" w:hAnsi="宋体" w:eastAsia="宋体" w:cs="宋体"/>
                <w:spacing w:val="-2"/>
              </w:rPr>
              <w:t>5000</w:t>
            </w:r>
            <w:r>
              <w:rPr>
                <w:spacing w:val="-2"/>
              </w:rPr>
              <w:t>元</w:t>
            </w:r>
            <w:r>
              <w:rPr>
                <w:spacing w:val="-1"/>
              </w:rPr>
              <w:t>以上</w:t>
            </w:r>
            <w:r>
              <w:rPr>
                <w:rFonts w:ascii="宋体" w:hAnsi="宋体" w:eastAsia="宋体" w:cs="宋体"/>
                <w:spacing w:val="-1"/>
              </w:rPr>
              <w:t>1</w:t>
            </w:r>
            <w:r>
              <w:rPr>
                <w:spacing w:val="-1"/>
              </w:rPr>
              <w:t>万元以下的罚款</w:t>
            </w:r>
          </w:p>
        </w:tc>
        <w:tc>
          <w:tcPr>
            <w:tcW w:w="811" w:type="dxa"/>
            <w:vMerge w:val="restart"/>
            <w:tcBorders>
              <w:bottom w:val="nil"/>
            </w:tcBorders>
            <w:vAlign w:val="top"/>
          </w:tcPr>
          <w:p w14:paraId="10375EC3">
            <w:pPr>
              <w:spacing w:line="250" w:lineRule="auto"/>
              <w:rPr>
                <w:rFonts w:ascii="Arial"/>
                <w:sz w:val="21"/>
              </w:rPr>
            </w:pPr>
          </w:p>
          <w:p w14:paraId="001C6980">
            <w:pPr>
              <w:spacing w:line="250" w:lineRule="auto"/>
              <w:rPr>
                <w:rFonts w:ascii="Arial"/>
                <w:sz w:val="21"/>
              </w:rPr>
            </w:pPr>
          </w:p>
          <w:p w14:paraId="31F15035">
            <w:pPr>
              <w:spacing w:line="251" w:lineRule="auto"/>
              <w:rPr>
                <w:rFonts w:ascii="Arial"/>
                <w:sz w:val="21"/>
              </w:rPr>
            </w:pPr>
          </w:p>
          <w:p w14:paraId="70A077D4">
            <w:pPr>
              <w:spacing w:line="251" w:lineRule="auto"/>
              <w:rPr>
                <w:rFonts w:ascii="Arial"/>
                <w:sz w:val="21"/>
              </w:rPr>
            </w:pPr>
          </w:p>
          <w:p w14:paraId="5FFF76D2">
            <w:pPr>
              <w:spacing w:line="251" w:lineRule="auto"/>
              <w:rPr>
                <w:rFonts w:ascii="Arial"/>
                <w:sz w:val="21"/>
              </w:rPr>
            </w:pPr>
          </w:p>
          <w:p w14:paraId="3A979461">
            <w:pPr>
              <w:spacing w:before="75" w:line="189" w:lineRule="auto"/>
              <w:ind w:left="248"/>
              <w:rPr>
                <w:rFonts w:ascii="宋体" w:hAnsi="宋体" w:eastAsia="宋体" w:cs="宋体"/>
                <w:sz w:val="23"/>
                <w:szCs w:val="23"/>
              </w:rPr>
            </w:pPr>
            <w:r>
              <w:rPr>
                <w:rFonts w:ascii="宋体" w:hAnsi="宋体" w:eastAsia="宋体" w:cs="宋体"/>
                <w:spacing w:val="-6"/>
                <w:sz w:val="23"/>
                <w:szCs w:val="23"/>
              </w:rPr>
              <w:t>170</w:t>
            </w:r>
          </w:p>
        </w:tc>
      </w:tr>
      <w:tr w14:paraId="0A071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7" w:hRule="atLeast"/>
        </w:trPr>
        <w:tc>
          <w:tcPr>
            <w:tcW w:w="818" w:type="dxa"/>
            <w:vMerge w:val="continue"/>
            <w:tcBorders>
              <w:top w:val="nil"/>
              <w:bottom w:val="nil"/>
            </w:tcBorders>
            <w:vAlign w:val="top"/>
          </w:tcPr>
          <w:p w14:paraId="32707B1A">
            <w:pPr>
              <w:rPr>
                <w:rFonts w:ascii="Arial"/>
                <w:sz w:val="21"/>
              </w:rPr>
            </w:pPr>
          </w:p>
        </w:tc>
        <w:tc>
          <w:tcPr>
            <w:tcW w:w="1440" w:type="dxa"/>
            <w:vMerge w:val="continue"/>
            <w:tcBorders>
              <w:top w:val="nil"/>
              <w:bottom w:val="nil"/>
            </w:tcBorders>
            <w:vAlign w:val="top"/>
          </w:tcPr>
          <w:p w14:paraId="72790285">
            <w:pPr>
              <w:rPr>
                <w:rFonts w:ascii="Arial"/>
                <w:sz w:val="21"/>
              </w:rPr>
            </w:pPr>
          </w:p>
        </w:tc>
        <w:tc>
          <w:tcPr>
            <w:tcW w:w="3202" w:type="dxa"/>
            <w:vMerge w:val="continue"/>
            <w:tcBorders>
              <w:top w:val="nil"/>
              <w:bottom w:val="nil"/>
            </w:tcBorders>
            <w:vAlign w:val="top"/>
          </w:tcPr>
          <w:p w14:paraId="74628314">
            <w:pPr>
              <w:rPr>
                <w:rFonts w:ascii="Arial"/>
                <w:sz w:val="21"/>
              </w:rPr>
            </w:pPr>
          </w:p>
        </w:tc>
        <w:tc>
          <w:tcPr>
            <w:tcW w:w="2859" w:type="dxa"/>
            <w:vMerge w:val="continue"/>
            <w:tcBorders>
              <w:top w:val="nil"/>
              <w:bottom w:val="nil"/>
            </w:tcBorders>
            <w:vAlign w:val="top"/>
          </w:tcPr>
          <w:p w14:paraId="72C5D600">
            <w:pPr>
              <w:rPr>
                <w:rFonts w:ascii="Arial"/>
                <w:sz w:val="21"/>
              </w:rPr>
            </w:pPr>
          </w:p>
        </w:tc>
        <w:tc>
          <w:tcPr>
            <w:tcW w:w="803" w:type="dxa"/>
            <w:vAlign w:val="top"/>
          </w:tcPr>
          <w:p w14:paraId="4F7FE23B">
            <w:pPr>
              <w:spacing w:line="351" w:lineRule="auto"/>
              <w:rPr>
                <w:rFonts w:ascii="Arial"/>
                <w:sz w:val="21"/>
              </w:rPr>
            </w:pPr>
          </w:p>
          <w:p w14:paraId="5EBECFE6">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6DBA09D">
            <w:pPr>
              <w:pStyle w:val="6"/>
              <w:spacing w:before="79" w:line="186" w:lineRule="auto"/>
              <w:ind w:left="122" w:right="109" w:hanging="3"/>
              <w:jc w:val="both"/>
            </w:pPr>
            <w:r>
              <w:rPr>
                <w:spacing w:val="-3"/>
              </w:rPr>
              <w:t>扩建仓储设施后，未</w:t>
            </w:r>
            <w:r>
              <w:rPr>
                <w:spacing w:val="25"/>
              </w:rPr>
              <w:t>重新申请办理许可</w:t>
            </w:r>
            <w:r>
              <w:rPr>
                <w:spacing w:val="3"/>
              </w:rPr>
              <w:t>手续的</w:t>
            </w:r>
          </w:p>
        </w:tc>
        <w:tc>
          <w:tcPr>
            <w:tcW w:w="2894" w:type="dxa"/>
            <w:vAlign w:val="top"/>
          </w:tcPr>
          <w:p w14:paraId="76F20498">
            <w:pPr>
              <w:pStyle w:val="6"/>
              <w:spacing w:before="231" w:line="196" w:lineRule="auto"/>
              <w:ind w:left="146" w:right="103" w:hanging="19"/>
            </w:pPr>
            <w:r>
              <w:rPr>
                <w:spacing w:val="2"/>
              </w:rPr>
              <w:t>责令限期改正，处</w:t>
            </w:r>
            <w:r>
              <w:rPr>
                <w:rFonts w:ascii="宋体" w:hAnsi="宋体" w:eastAsia="宋体" w:cs="宋体"/>
                <w:spacing w:val="2"/>
              </w:rPr>
              <w:t>1</w:t>
            </w:r>
            <w:r>
              <w:rPr>
                <w:spacing w:val="2"/>
              </w:rPr>
              <w:t>万元</w:t>
            </w:r>
            <w:r>
              <w:rPr>
                <w:spacing w:val="1"/>
              </w:rPr>
              <w:t>以上</w:t>
            </w:r>
            <w:r>
              <w:rPr>
                <w:rFonts w:ascii="宋体" w:hAnsi="宋体" w:eastAsia="宋体" w:cs="宋体"/>
                <w:spacing w:val="1"/>
              </w:rPr>
              <w:t>2</w:t>
            </w:r>
            <w:r>
              <w:rPr>
                <w:spacing w:val="1"/>
              </w:rPr>
              <w:t>万元以下的罚款</w:t>
            </w:r>
          </w:p>
        </w:tc>
        <w:tc>
          <w:tcPr>
            <w:tcW w:w="811" w:type="dxa"/>
            <w:vMerge w:val="continue"/>
            <w:tcBorders>
              <w:top w:val="nil"/>
              <w:bottom w:val="nil"/>
            </w:tcBorders>
            <w:vAlign w:val="top"/>
          </w:tcPr>
          <w:p w14:paraId="21258CD9">
            <w:pPr>
              <w:rPr>
                <w:rFonts w:ascii="Arial"/>
                <w:sz w:val="21"/>
              </w:rPr>
            </w:pPr>
          </w:p>
        </w:tc>
      </w:tr>
      <w:tr w14:paraId="0F79C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818" w:type="dxa"/>
            <w:vMerge w:val="continue"/>
            <w:tcBorders>
              <w:top w:val="nil"/>
            </w:tcBorders>
            <w:vAlign w:val="top"/>
          </w:tcPr>
          <w:p w14:paraId="7E495C6A">
            <w:pPr>
              <w:rPr>
                <w:rFonts w:ascii="Arial"/>
                <w:sz w:val="21"/>
              </w:rPr>
            </w:pPr>
          </w:p>
        </w:tc>
        <w:tc>
          <w:tcPr>
            <w:tcW w:w="1440" w:type="dxa"/>
            <w:vMerge w:val="continue"/>
            <w:tcBorders>
              <w:top w:val="nil"/>
            </w:tcBorders>
            <w:vAlign w:val="top"/>
          </w:tcPr>
          <w:p w14:paraId="09B316FC">
            <w:pPr>
              <w:rPr>
                <w:rFonts w:ascii="Arial"/>
                <w:sz w:val="21"/>
              </w:rPr>
            </w:pPr>
          </w:p>
        </w:tc>
        <w:tc>
          <w:tcPr>
            <w:tcW w:w="3202" w:type="dxa"/>
            <w:vMerge w:val="continue"/>
            <w:tcBorders>
              <w:top w:val="nil"/>
            </w:tcBorders>
            <w:vAlign w:val="top"/>
          </w:tcPr>
          <w:p w14:paraId="12F5FE3C">
            <w:pPr>
              <w:rPr>
                <w:rFonts w:ascii="Arial"/>
                <w:sz w:val="21"/>
              </w:rPr>
            </w:pPr>
          </w:p>
        </w:tc>
        <w:tc>
          <w:tcPr>
            <w:tcW w:w="2859" w:type="dxa"/>
            <w:vMerge w:val="continue"/>
            <w:tcBorders>
              <w:top w:val="nil"/>
            </w:tcBorders>
            <w:vAlign w:val="top"/>
          </w:tcPr>
          <w:p w14:paraId="67F5FF4B">
            <w:pPr>
              <w:rPr>
                <w:rFonts w:ascii="Arial"/>
                <w:sz w:val="21"/>
              </w:rPr>
            </w:pPr>
          </w:p>
        </w:tc>
        <w:tc>
          <w:tcPr>
            <w:tcW w:w="803" w:type="dxa"/>
            <w:vAlign w:val="top"/>
          </w:tcPr>
          <w:p w14:paraId="430DD593">
            <w:pPr>
              <w:spacing w:line="301" w:lineRule="auto"/>
              <w:rPr>
                <w:rFonts w:ascii="Arial"/>
                <w:sz w:val="21"/>
              </w:rPr>
            </w:pPr>
          </w:p>
          <w:p w14:paraId="1BB14CF8">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4C3F4A48">
            <w:pPr>
              <w:pStyle w:val="6"/>
              <w:spacing w:before="31" w:line="175" w:lineRule="auto"/>
              <w:ind w:left="123" w:right="109"/>
              <w:jc w:val="both"/>
            </w:pPr>
            <w:r>
              <w:rPr>
                <w:spacing w:val="-3"/>
              </w:rPr>
              <w:t>新建仓储设施后，未</w:t>
            </w:r>
            <w:r>
              <w:rPr>
                <w:spacing w:val="25"/>
              </w:rPr>
              <w:t>重新申请办理许可</w:t>
            </w:r>
            <w:r>
              <w:rPr>
                <w:spacing w:val="3"/>
              </w:rPr>
              <w:t>手续的</w:t>
            </w:r>
          </w:p>
        </w:tc>
        <w:tc>
          <w:tcPr>
            <w:tcW w:w="2894" w:type="dxa"/>
            <w:vAlign w:val="top"/>
          </w:tcPr>
          <w:p w14:paraId="101D6A09">
            <w:pPr>
              <w:pStyle w:val="6"/>
              <w:spacing w:before="181" w:line="196" w:lineRule="auto"/>
              <w:ind w:left="146" w:right="103" w:hanging="19"/>
            </w:pPr>
            <w:r>
              <w:rPr>
                <w:spacing w:val="4"/>
              </w:rPr>
              <w:t>责令限期改正，处</w:t>
            </w:r>
            <w:r>
              <w:rPr>
                <w:rFonts w:ascii="宋体" w:hAnsi="宋体" w:eastAsia="宋体" w:cs="宋体"/>
                <w:spacing w:val="4"/>
              </w:rPr>
              <w:t>2</w:t>
            </w:r>
            <w:r>
              <w:rPr>
                <w:spacing w:val="4"/>
              </w:rPr>
              <w:t>万元</w:t>
            </w:r>
            <w:r>
              <w:rPr>
                <w:spacing w:val="1"/>
              </w:rPr>
              <w:t>以上</w:t>
            </w:r>
            <w:r>
              <w:rPr>
                <w:rFonts w:ascii="宋体" w:hAnsi="宋体" w:eastAsia="宋体" w:cs="宋体"/>
                <w:spacing w:val="1"/>
              </w:rPr>
              <w:t>3</w:t>
            </w:r>
            <w:r>
              <w:rPr>
                <w:spacing w:val="1"/>
              </w:rPr>
              <w:t>万元以下的罚款</w:t>
            </w:r>
          </w:p>
        </w:tc>
        <w:tc>
          <w:tcPr>
            <w:tcW w:w="811" w:type="dxa"/>
            <w:vMerge w:val="continue"/>
            <w:tcBorders>
              <w:top w:val="nil"/>
            </w:tcBorders>
            <w:vAlign w:val="top"/>
          </w:tcPr>
          <w:p w14:paraId="0C4791F4">
            <w:pPr>
              <w:rPr>
                <w:rFonts w:ascii="Arial"/>
                <w:sz w:val="21"/>
              </w:rPr>
            </w:pPr>
          </w:p>
        </w:tc>
      </w:tr>
      <w:tr w14:paraId="562A5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2" w:hRule="atLeast"/>
        </w:trPr>
        <w:tc>
          <w:tcPr>
            <w:tcW w:w="818" w:type="dxa"/>
            <w:vMerge w:val="restart"/>
            <w:tcBorders>
              <w:bottom w:val="nil"/>
            </w:tcBorders>
            <w:vAlign w:val="top"/>
          </w:tcPr>
          <w:p w14:paraId="7A69A38B">
            <w:pPr>
              <w:spacing w:line="317" w:lineRule="auto"/>
              <w:rPr>
                <w:rFonts w:ascii="Arial"/>
                <w:sz w:val="21"/>
              </w:rPr>
            </w:pPr>
          </w:p>
          <w:p w14:paraId="5F840980">
            <w:pPr>
              <w:spacing w:line="318" w:lineRule="auto"/>
              <w:rPr>
                <w:rFonts w:ascii="Arial"/>
                <w:sz w:val="21"/>
              </w:rPr>
            </w:pPr>
          </w:p>
          <w:p w14:paraId="02B13913">
            <w:pPr>
              <w:spacing w:line="318" w:lineRule="auto"/>
              <w:rPr>
                <w:rFonts w:ascii="Arial"/>
                <w:sz w:val="21"/>
              </w:rPr>
            </w:pPr>
          </w:p>
          <w:p w14:paraId="5D4BCBE6">
            <w:pPr>
              <w:spacing w:before="74" w:line="185" w:lineRule="auto"/>
              <w:ind w:left="146"/>
              <w:rPr>
                <w:rFonts w:ascii="仿宋" w:hAnsi="仿宋" w:eastAsia="仿宋" w:cs="仿宋"/>
                <w:sz w:val="23"/>
                <w:szCs w:val="23"/>
              </w:rPr>
            </w:pPr>
            <w:r>
              <w:rPr>
                <w:rFonts w:ascii="仿宋" w:hAnsi="仿宋" w:eastAsia="仿宋" w:cs="仿宋"/>
                <w:sz w:val="23"/>
                <w:szCs w:val="23"/>
              </w:rPr>
              <w:t>204</w:t>
            </w:r>
          </w:p>
        </w:tc>
        <w:tc>
          <w:tcPr>
            <w:tcW w:w="1440" w:type="dxa"/>
            <w:vMerge w:val="restart"/>
            <w:tcBorders>
              <w:bottom w:val="nil"/>
            </w:tcBorders>
            <w:vAlign w:val="top"/>
          </w:tcPr>
          <w:p w14:paraId="6C72D686">
            <w:pPr>
              <w:pStyle w:val="6"/>
              <w:spacing w:before="87" w:line="184" w:lineRule="auto"/>
              <w:ind w:left="117" w:right="111" w:firstLine="2"/>
            </w:pPr>
            <w:r>
              <w:rPr>
                <w:spacing w:val="10"/>
              </w:rPr>
              <w:t>烟花爆竹批</w:t>
            </w:r>
            <w:r>
              <w:rPr>
                <w:spacing w:val="11"/>
              </w:rPr>
              <w:t>发企业变更</w:t>
            </w:r>
            <w:r>
              <w:rPr>
                <w:spacing w:val="5"/>
              </w:rPr>
              <w:t>企业名称、</w:t>
            </w:r>
            <w:r>
              <w:rPr>
                <w:spacing w:val="-7"/>
                <w:w w:val="97"/>
              </w:rPr>
              <w:t>主要负责</w:t>
            </w:r>
            <w:r>
              <w:rPr>
                <w:spacing w:val="11"/>
              </w:rPr>
              <w:t>人、注册地</w:t>
            </w:r>
            <w:r>
              <w:rPr>
                <w:spacing w:val="4"/>
              </w:rPr>
              <w:t>址，未申请</w:t>
            </w:r>
            <w:r>
              <w:rPr>
                <w:spacing w:val="11"/>
              </w:rPr>
              <w:t>办理许可证</w:t>
            </w:r>
          </w:p>
        </w:tc>
        <w:tc>
          <w:tcPr>
            <w:tcW w:w="3202" w:type="dxa"/>
            <w:vMerge w:val="restart"/>
            <w:tcBorders>
              <w:bottom w:val="nil"/>
            </w:tcBorders>
            <w:vAlign w:val="top"/>
          </w:tcPr>
          <w:p w14:paraId="0AD1FA32">
            <w:pPr>
              <w:pStyle w:val="6"/>
              <w:spacing w:before="33" w:line="186" w:lineRule="auto"/>
              <w:ind w:left="119" w:right="107" w:hanging="21"/>
              <w:jc w:val="both"/>
            </w:pPr>
            <w:r>
              <w:rPr>
                <w:spacing w:val="18"/>
              </w:rPr>
              <w:t>【部门规章】《烟花爆竹经</w:t>
            </w:r>
            <w:r>
              <w:rPr>
                <w:spacing w:val="17"/>
              </w:rPr>
              <w:t>营许可实施办法》第十五条</w:t>
            </w:r>
            <w:r>
              <w:rPr>
                <w:spacing w:val="13"/>
              </w:rPr>
              <w:t>第一款：批发企业在批发许</w:t>
            </w:r>
            <w:r>
              <w:rPr>
                <w:spacing w:val="39"/>
              </w:rPr>
              <w:t>可证有效期内变更企业名</w:t>
            </w:r>
            <w:r>
              <w:rPr>
                <w:spacing w:val="17"/>
              </w:rPr>
              <w:t>称、主要负责人和注册地址</w:t>
            </w:r>
            <w:r>
              <w:rPr>
                <w:spacing w:val="3"/>
              </w:rPr>
              <w:t>的，应当自变更之日起</w:t>
            </w:r>
            <w:r>
              <w:rPr>
                <w:rFonts w:ascii="宋体" w:hAnsi="宋体" w:eastAsia="宋体" w:cs="宋体"/>
                <w:spacing w:val="3"/>
              </w:rPr>
              <w:t>10</w:t>
            </w:r>
            <w:r>
              <w:rPr>
                <w:spacing w:val="3"/>
              </w:rPr>
              <w:t>个</w:t>
            </w:r>
            <w:r>
              <w:rPr>
                <w:spacing w:val="17"/>
              </w:rPr>
              <w:t>工作日内向原发证机关提出</w:t>
            </w:r>
          </w:p>
        </w:tc>
        <w:tc>
          <w:tcPr>
            <w:tcW w:w="2859" w:type="dxa"/>
            <w:vMerge w:val="restart"/>
            <w:tcBorders>
              <w:bottom w:val="nil"/>
            </w:tcBorders>
            <w:vAlign w:val="top"/>
          </w:tcPr>
          <w:p w14:paraId="3BFD646F">
            <w:pPr>
              <w:pStyle w:val="6"/>
              <w:spacing w:before="35" w:line="182" w:lineRule="auto"/>
              <w:ind w:left="114" w:right="106" w:hanging="17"/>
              <w:jc w:val="both"/>
            </w:pPr>
            <w:r>
              <w:rPr>
                <w:spacing w:val="10"/>
              </w:rPr>
              <w:t>【部门规章】《烟花爆竹</w:t>
            </w:r>
            <w:r>
              <w:rPr>
                <w:spacing w:val="8"/>
              </w:rPr>
              <w:t>经营许可实施办法》第三十二条第九项：批发企业有下列行为之一的，责令</w:t>
            </w:r>
            <w:r>
              <w:rPr>
                <w:spacing w:val="-4"/>
              </w:rPr>
              <w:t>其限期改正，处</w:t>
            </w:r>
            <w:r>
              <w:rPr>
                <w:rFonts w:ascii="宋体" w:hAnsi="宋体" w:eastAsia="宋体" w:cs="宋体"/>
                <w:spacing w:val="-4"/>
              </w:rPr>
              <w:t>5000</w:t>
            </w:r>
            <w:r>
              <w:rPr>
                <w:spacing w:val="-4"/>
              </w:rPr>
              <w:t>元以</w:t>
            </w:r>
            <w:r>
              <w:rPr>
                <w:spacing w:val="17"/>
              </w:rPr>
              <w:t>上</w:t>
            </w:r>
            <w:r>
              <w:rPr>
                <w:rFonts w:ascii="宋体" w:hAnsi="宋体" w:eastAsia="宋体" w:cs="宋体"/>
                <w:spacing w:val="17"/>
              </w:rPr>
              <w:t>3</w:t>
            </w:r>
            <w:r>
              <w:rPr>
                <w:spacing w:val="17"/>
              </w:rPr>
              <w:t>万元以下的罚款：</w:t>
            </w:r>
          </w:p>
          <w:p w14:paraId="36BDAAB3">
            <w:pPr>
              <w:pStyle w:val="6"/>
              <w:spacing w:before="1" w:line="203" w:lineRule="auto"/>
              <w:ind w:left="98"/>
            </w:pPr>
            <w:r>
              <w:rPr>
                <w:spacing w:val="8"/>
              </w:rPr>
              <w:t>（九）变更企业名称、主</w:t>
            </w:r>
          </w:p>
        </w:tc>
        <w:tc>
          <w:tcPr>
            <w:tcW w:w="803" w:type="dxa"/>
            <w:vAlign w:val="top"/>
          </w:tcPr>
          <w:p w14:paraId="135EB841">
            <w:pPr>
              <w:spacing w:line="386" w:lineRule="auto"/>
              <w:rPr>
                <w:rFonts w:ascii="Arial"/>
                <w:sz w:val="21"/>
              </w:rPr>
            </w:pPr>
          </w:p>
          <w:p w14:paraId="7A7BF692">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16CCF34">
            <w:pPr>
              <w:pStyle w:val="6"/>
              <w:spacing w:before="119" w:line="192" w:lineRule="auto"/>
              <w:ind w:left="118" w:right="105" w:hanging="1"/>
              <w:jc w:val="both"/>
            </w:pPr>
            <w:r>
              <w:rPr>
                <w:spacing w:val="-2"/>
              </w:rPr>
              <w:t>超过规定时限</w:t>
            </w:r>
            <w:r>
              <w:rPr>
                <w:rFonts w:ascii="宋体" w:hAnsi="宋体" w:eastAsia="宋体" w:cs="宋体"/>
                <w:spacing w:val="-2"/>
              </w:rPr>
              <w:t>10</w:t>
            </w:r>
            <w:r>
              <w:rPr>
                <w:spacing w:val="-2"/>
              </w:rPr>
              <w:t>日</w:t>
            </w:r>
            <w:r>
              <w:rPr>
                <w:spacing w:val="-3"/>
              </w:rPr>
              <w:t>以内，未提交变更申</w:t>
            </w:r>
            <w:r>
              <w:rPr>
                <w:spacing w:val="1"/>
              </w:rPr>
              <w:t>请的</w:t>
            </w:r>
          </w:p>
        </w:tc>
        <w:tc>
          <w:tcPr>
            <w:tcW w:w="2894" w:type="dxa"/>
            <w:vAlign w:val="top"/>
          </w:tcPr>
          <w:p w14:paraId="7AA554AD">
            <w:pPr>
              <w:pStyle w:val="6"/>
              <w:spacing w:before="270" w:line="196" w:lineRule="auto"/>
              <w:ind w:left="146" w:right="104" w:hanging="19"/>
            </w:pPr>
            <w:r>
              <w:rPr>
                <w:spacing w:val="-2"/>
              </w:rPr>
              <w:t>责令限期改正，处</w:t>
            </w:r>
            <w:r>
              <w:rPr>
                <w:rFonts w:ascii="宋体" w:hAnsi="宋体" w:eastAsia="宋体" w:cs="宋体"/>
                <w:spacing w:val="-2"/>
              </w:rPr>
              <w:t>5000</w:t>
            </w:r>
            <w:r>
              <w:rPr>
                <w:spacing w:val="-2"/>
              </w:rPr>
              <w:t>元</w:t>
            </w:r>
            <w:r>
              <w:rPr>
                <w:spacing w:val="-1"/>
              </w:rPr>
              <w:t>以上</w:t>
            </w:r>
            <w:r>
              <w:rPr>
                <w:rFonts w:ascii="宋体" w:hAnsi="宋体" w:eastAsia="宋体" w:cs="宋体"/>
                <w:spacing w:val="-1"/>
              </w:rPr>
              <w:t>1</w:t>
            </w:r>
            <w:r>
              <w:rPr>
                <w:spacing w:val="-1"/>
              </w:rPr>
              <w:t>万元以下的罚款</w:t>
            </w:r>
          </w:p>
        </w:tc>
        <w:tc>
          <w:tcPr>
            <w:tcW w:w="811" w:type="dxa"/>
            <w:vMerge w:val="restart"/>
            <w:tcBorders>
              <w:bottom w:val="nil"/>
            </w:tcBorders>
            <w:vAlign w:val="top"/>
          </w:tcPr>
          <w:p w14:paraId="2F9AB88D">
            <w:pPr>
              <w:spacing w:line="316" w:lineRule="auto"/>
              <w:rPr>
                <w:rFonts w:ascii="Arial"/>
                <w:sz w:val="21"/>
              </w:rPr>
            </w:pPr>
          </w:p>
          <w:p w14:paraId="7D656970">
            <w:pPr>
              <w:spacing w:line="316" w:lineRule="auto"/>
              <w:rPr>
                <w:rFonts w:ascii="Arial"/>
                <w:sz w:val="21"/>
              </w:rPr>
            </w:pPr>
          </w:p>
          <w:p w14:paraId="0BAFD2BE">
            <w:pPr>
              <w:spacing w:line="316" w:lineRule="auto"/>
              <w:rPr>
                <w:rFonts w:ascii="Arial"/>
                <w:sz w:val="21"/>
              </w:rPr>
            </w:pPr>
          </w:p>
          <w:p w14:paraId="4A16AD75">
            <w:pPr>
              <w:spacing w:before="74" w:line="189" w:lineRule="auto"/>
              <w:ind w:left="248"/>
              <w:rPr>
                <w:rFonts w:ascii="宋体" w:hAnsi="宋体" w:eastAsia="宋体" w:cs="宋体"/>
                <w:sz w:val="23"/>
                <w:szCs w:val="23"/>
              </w:rPr>
            </w:pPr>
            <w:r>
              <w:rPr>
                <w:rFonts w:ascii="宋体" w:hAnsi="宋体" w:eastAsia="宋体" w:cs="宋体"/>
                <w:spacing w:val="-6"/>
                <w:sz w:val="23"/>
                <w:szCs w:val="23"/>
              </w:rPr>
              <w:t>170</w:t>
            </w:r>
          </w:p>
        </w:tc>
      </w:tr>
      <w:tr w14:paraId="23677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818" w:type="dxa"/>
            <w:vMerge w:val="continue"/>
            <w:tcBorders>
              <w:top w:val="nil"/>
            </w:tcBorders>
            <w:vAlign w:val="top"/>
          </w:tcPr>
          <w:p w14:paraId="535DEE22">
            <w:pPr>
              <w:rPr>
                <w:rFonts w:ascii="Arial"/>
                <w:sz w:val="21"/>
              </w:rPr>
            </w:pPr>
          </w:p>
        </w:tc>
        <w:tc>
          <w:tcPr>
            <w:tcW w:w="1440" w:type="dxa"/>
            <w:vMerge w:val="continue"/>
            <w:tcBorders>
              <w:top w:val="nil"/>
            </w:tcBorders>
            <w:vAlign w:val="top"/>
          </w:tcPr>
          <w:p w14:paraId="6B61339B">
            <w:pPr>
              <w:rPr>
                <w:rFonts w:ascii="Arial"/>
                <w:sz w:val="21"/>
              </w:rPr>
            </w:pPr>
          </w:p>
        </w:tc>
        <w:tc>
          <w:tcPr>
            <w:tcW w:w="3202" w:type="dxa"/>
            <w:vMerge w:val="continue"/>
            <w:tcBorders>
              <w:top w:val="nil"/>
            </w:tcBorders>
            <w:vAlign w:val="top"/>
          </w:tcPr>
          <w:p w14:paraId="215B3783">
            <w:pPr>
              <w:rPr>
                <w:rFonts w:ascii="Arial"/>
                <w:sz w:val="21"/>
              </w:rPr>
            </w:pPr>
          </w:p>
        </w:tc>
        <w:tc>
          <w:tcPr>
            <w:tcW w:w="2859" w:type="dxa"/>
            <w:vMerge w:val="continue"/>
            <w:tcBorders>
              <w:top w:val="nil"/>
            </w:tcBorders>
            <w:vAlign w:val="top"/>
          </w:tcPr>
          <w:p w14:paraId="4A383773">
            <w:pPr>
              <w:rPr>
                <w:rFonts w:ascii="Arial"/>
                <w:sz w:val="21"/>
              </w:rPr>
            </w:pPr>
          </w:p>
        </w:tc>
        <w:tc>
          <w:tcPr>
            <w:tcW w:w="803" w:type="dxa"/>
            <w:vAlign w:val="top"/>
          </w:tcPr>
          <w:p w14:paraId="3BE96D54">
            <w:pPr>
              <w:spacing w:line="411" w:lineRule="auto"/>
              <w:rPr>
                <w:rFonts w:ascii="Arial"/>
                <w:sz w:val="21"/>
              </w:rPr>
            </w:pPr>
          </w:p>
          <w:p w14:paraId="15E96E3D">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FA61CEB">
            <w:pPr>
              <w:pStyle w:val="6"/>
              <w:spacing w:before="143" w:line="191" w:lineRule="auto"/>
              <w:ind w:left="116" w:right="105"/>
              <w:jc w:val="both"/>
            </w:pPr>
            <w:r>
              <w:rPr>
                <w:spacing w:val="-2"/>
              </w:rPr>
              <w:t>超过规定时限</w:t>
            </w:r>
            <w:r>
              <w:rPr>
                <w:rFonts w:ascii="宋体" w:hAnsi="宋体" w:eastAsia="宋体" w:cs="宋体"/>
                <w:spacing w:val="-2"/>
              </w:rPr>
              <w:t>10</w:t>
            </w:r>
            <w:r>
              <w:rPr>
                <w:spacing w:val="-2"/>
              </w:rPr>
              <w:t>日</w:t>
            </w:r>
            <w:r>
              <w:rPr>
                <w:spacing w:val="-3"/>
              </w:rPr>
              <w:t>以上</w:t>
            </w:r>
            <w:r>
              <w:rPr>
                <w:rFonts w:ascii="宋体" w:hAnsi="宋体" w:eastAsia="宋体" w:cs="宋体"/>
                <w:spacing w:val="-3"/>
              </w:rPr>
              <w:t>20</w:t>
            </w:r>
            <w:r>
              <w:rPr>
                <w:spacing w:val="-3"/>
              </w:rPr>
              <w:t>日以内，未</w:t>
            </w:r>
            <w:r>
              <w:rPr>
                <w:spacing w:val="7"/>
              </w:rPr>
              <w:t>提交变更申请的</w:t>
            </w:r>
          </w:p>
        </w:tc>
        <w:tc>
          <w:tcPr>
            <w:tcW w:w="2894" w:type="dxa"/>
            <w:vAlign w:val="top"/>
          </w:tcPr>
          <w:p w14:paraId="7CBB1CE0">
            <w:pPr>
              <w:pStyle w:val="6"/>
              <w:spacing w:before="291" w:line="196" w:lineRule="auto"/>
              <w:ind w:left="146" w:right="103" w:hanging="19"/>
            </w:pPr>
            <w:r>
              <w:rPr>
                <w:spacing w:val="2"/>
              </w:rPr>
              <w:t>责令限期改正，处</w:t>
            </w:r>
            <w:r>
              <w:rPr>
                <w:rFonts w:ascii="宋体" w:hAnsi="宋体" w:eastAsia="宋体" w:cs="宋体"/>
                <w:spacing w:val="2"/>
              </w:rPr>
              <w:t>1</w:t>
            </w:r>
            <w:r>
              <w:rPr>
                <w:spacing w:val="2"/>
              </w:rPr>
              <w:t>万元</w:t>
            </w:r>
            <w:r>
              <w:rPr>
                <w:spacing w:val="1"/>
              </w:rPr>
              <w:t>以上</w:t>
            </w:r>
            <w:r>
              <w:rPr>
                <w:rFonts w:ascii="宋体" w:hAnsi="宋体" w:eastAsia="宋体" w:cs="宋体"/>
                <w:spacing w:val="1"/>
              </w:rPr>
              <w:t>2</w:t>
            </w:r>
            <w:r>
              <w:rPr>
                <w:spacing w:val="1"/>
              </w:rPr>
              <w:t>万元以下的罚款</w:t>
            </w:r>
          </w:p>
        </w:tc>
        <w:tc>
          <w:tcPr>
            <w:tcW w:w="811" w:type="dxa"/>
            <w:vMerge w:val="continue"/>
            <w:tcBorders>
              <w:top w:val="nil"/>
            </w:tcBorders>
            <w:vAlign w:val="top"/>
          </w:tcPr>
          <w:p w14:paraId="09F48833">
            <w:pPr>
              <w:rPr>
                <w:rFonts w:ascii="Arial"/>
                <w:sz w:val="21"/>
              </w:rPr>
            </w:pPr>
          </w:p>
        </w:tc>
      </w:tr>
    </w:tbl>
    <w:p w14:paraId="4EFDFF38">
      <w:pPr>
        <w:pStyle w:val="2"/>
      </w:pPr>
    </w:p>
    <w:p w14:paraId="1EFE1C65">
      <w:pPr>
        <w:sectPr>
          <w:footerReference r:id="rId211" w:type="default"/>
          <w:pgSz w:w="16839" w:h="11906"/>
          <w:pgMar w:top="1012" w:right="821" w:bottom="667" w:left="901" w:header="0" w:footer="388" w:gutter="0"/>
          <w:cols w:space="720" w:num="1"/>
        </w:sectPr>
      </w:pPr>
    </w:p>
    <w:p w14:paraId="15C24AB7">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5E50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8527064">
            <w:pPr>
              <w:spacing w:before="222" w:line="241" w:lineRule="auto"/>
              <w:ind w:left="131"/>
              <w:rPr>
                <w:rFonts w:ascii="黑体" w:hAnsi="黑体" w:eastAsia="黑体" w:cs="黑体"/>
                <w:sz w:val="28"/>
                <w:szCs w:val="28"/>
              </w:rPr>
            </w:pPr>
            <w:bookmarkStart w:id="697" w:name="bookmark418"/>
            <w:bookmarkEnd w:id="697"/>
            <w:r>
              <w:rPr>
                <w:rFonts w:ascii="黑体" w:hAnsi="黑体" w:eastAsia="黑体" w:cs="黑体"/>
                <w:spacing w:val="-2"/>
                <w:sz w:val="28"/>
                <w:szCs w:val="28"/>
              </w:rPr>
              <w:t>序号</w:t>
            </w:r>
          </w:p>
        </w:tc>
        <w:tc>
          <w:tcPr>
            <w:tcW w:w="1440" w:type="dxa"/>
            <w:vAlign w:val="top"/>
          </w:tcPr>
          <w:p w14:paraId="01C1F483">
            <w:pPr>
              <w:spacing w:before="221"/>
              <w:ind w:left="163"/>
              <w:outlineLvl w:val="1"/>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77E14D02">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B4E227E">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021F934">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13C7461">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17EB2E3">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E6D301C">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62EC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Align w:val="top"/>
          </w:tcPr>
          <w:p w14:paraId="609C5402">
            <w:pPr>
              <w:rPr>
                <w:rFonts w:ascii="Arial"/>
                <w:sz w:val="21"/>
              </w:rPr>
            </w:pPr>
          </w:p>
        </w:tc>
        <w:tc>
          <w:tcPr>
            <w:tcW w:w="1440" w:type="dxa"/>
            <w:vAlign w:val="top"/>
          </w:tcPr>
          <w:p w14:paraId="4960748A">
            <w:pPr>
              <w:pStyle w:val="6"/>
              <w:spacing w:before="28" w:line="208" w:lineRule="auto"/>
              <w:ind w:left="128"/>
            </w:pPr>
            <w:r>
              <w:rPr>
                <w:spacing w:val="4"/>
              </w:rPr>
              <w:t>变更手续的</w:t>
            </w:r>
          </w:p>
        </w:tc>
        <w:tc>
          <w:tcPr>
            <w:tcW w:w="3202" w:type="dxa"/>
            <w:vAlign w:val="top"/>
          </w:tcPr>
          <w:p w14:paraId="2A7D5A5E">
            <w:pPr>
              <w:pStyle w:val="6"/>
              <w:spacing w:before="28" w:line="182" w:lineRule="auto"/>
              <w:ind w:left="130"/>
              <w:outlineLvl w:val="1"/>
            </w:pPr>
            <w:r>
              <w:rPr>
                <w:spacing w:val="11"/>
              </w:rPr>
              <w:t>变更，并提交下列文件、资</w:t>
            </w:r>
          </w:p>
          <w:p w14:paraId="16C1E16E">
            <w:pPr>
              <w:pStyle w:val="6"/>
              <w:spacing w:line="182" w:lineRule="auto"/>
              <w:ind w:left="121"/>
            </w:pPr>
            <w:r>
              <w:rPr>
                <w:spacing w:val="3"/>
              </w:rPr>
              <w:t>料</w:t>
            </w:r>
            <w:r>
              <w:rPr>
                <w:spacing w:val="-10"/>
              </w:rPr>
              <w:t>：（</w:t>
            </w:r>
            <w:r>
              <w:rPr>
                <w:spacing w:val="3"/>
              </w:rPr>
              <w:t>一）批发许可证变更</w:t>
            </w:r>
          </w:p>
          <w:p w14:paraId="2148DC30">
            <w:pPr>
              <w:pStyle w:val="6"/>
              <w:spacing w:line="182" w:lineRule="auto"/>
              <w:jc w:val="right"/>
              <w:outlineLvl w:val="1"/>
            </w:pPr>
            <w:r>
              <w:rPr>
                <w:spacing w:val="-6"/>
              </w:rPr>
              <w:t>申请书（一式三份</w:t>
            </w:r>
            <w:r>
              <w:rPr>
                <w:spacing w:val="-1"/>
              </w:rPr>
              <w:t>）；（</w:t>
            </w:r>
            <w:r>
              <w:rPr>
                <w:spacing w:val="-6"/>
              </w:rPr>
              <w:t>二）</w:t>
            </w:r>
          </w:p>
          <w:p w14:paraId="5730EC62">
            <w:pPr>
              <w:pStyle w:val="6"/>
              <w:spacing w:before="1" w:line="182" w:lineRule="auto"/>
              <w:ind w:left="130"/>
              <w:outlineLvl w:val="0"/>
            </w:pPr>
            <w:r>
              <w:rPr>
                <w:spacing w:val="16"/>
              </w:rPr>
              <w:t>变更后的企业名称工商预核</w:t>
            </w:r>
          </w:p>
          <w:p w14:paraId="79329EB6">
            <w:pPr>
              <w:pStyle w:val="6"/>
              <w:spacing w:line="182" w:lineRule="auto"/>
              <w:ind w:left="122"/>
            </w:pPr>
            <w:bookmarkStart w:id="698" w:name="bookmark420"/>
            <w:bookmarkEnd w:id="698"/>
            <w:bookmarkStart w:id="699" w:name="bookmark601"/>
            <w:bookmarkEnd w:id="699"/>
            <w:r>
              <w:rPr>
                <w:spacing w:val="16"/>
              </w:rPr>
              <w:t>准文件或者工商营业执照副</w:t>
            </w:r>
          </w:p>
          <w:p w14:paraId="1AE67707">
            <w:pPr>
              <w:pStyle w:val="6"/>
              <w:spacing w:before="1" w:line="182" w:lineRule="auto"/>
              <w:ind w:left="117"/>
              <w:outlineLvl w:val="1"/>
            </w:pPr>
            <w:r>
              <w:rPr>
                <w:spacing w:val="18"/>
              </w:rPr>
              <w:t>本复制件</w:t>
            </w:r>
            <w:r>
              <w:rPr>
                <w:spacing w:val="-14"/>
              </w:rPr>
              <w:t>；（</w:t>
            </w:r>
            <w:r>
              <w:rPr>
                <w:spacing w:val="18"/>
              </w:rPr>
              <w:t>三）变更后的</w:t>
            </w:r>
          </w:p>
          <w:p w14:paraId="6D0FE004">
            <w:pPr>
              <w:pStyle w:val="6"/>
              <w:spacing w:line="172" w:lineRule="auto"/>
              <w:ind w:left="123" w:right="111" w:firstLine="5"/>
            </w:pPr>
            <w:r>
              <w:rPr>
                <w:spacing w:val="16"/>
              </w:rPr>
              <w:t>主要负责人安全资格证书复</w:t>
            </w:r>
            <w:r>
              <w:rPr>
                <w:spacing w:val="-6"/>
              </w:rPr>
              <w:t>制件。</w:t>
            </w:r>
          </w:p>
        </w:tc>
        <w:tc>
          <w:tcPr>
            <w:tcW w:w="2859" w:type="dxa"/>
            <w:vAlign w:val="top"/>
          </w:tcPr>
          <w:p w14:paraId="526F2036">
            <w:pPr>
              <w:pStyle w:val="6"/>
              <w:spacing w:before="28" w:line="191" w:lineRule="auto"/>
              <w:ind w:left="138" w:right="110" w:hanging="14"/>
              <w:jc w:val="both"/>
            </w:pPr>
            <w:r>
              <w:rPr>
                <w:spacing w:val="1"/>
              </w:rPr>
              <w:t>要负责人、注册地址，未</w:t>
            </w:r>
            <w:r>
              <w:rPr>
                <w:spacing w:val="6"/>
              </w:rPr>
              <w:t>申请办理许可证变更手续</w:t>
            </w:r>
            <w:r>
              <w:rPr>
                <w:spacing w:val="-16"/>
              </w:rPr>
              <w:t>的；</w:t>
            </w:r>
          </w:p>
        </w:tc>
        <w:tc>
          <w:tcPr>
            <w:tcW w:w="803" w:type="dxa"/>
            <w:vAlign w:val="top"/>
          </w:tcPr>
          <w:p w14:paraId="1E6C3BB4">
            <w:pPr>
              <w:spacing w:line="260" w:lineRule="auto"/>
              <w:rPr>
                <w:rFonts w:ascii="Arial"/>
                <w:sz w:val="21"/>
              </w:rPr>
            </w:pPr>
          </w:p>
          <w:p w14:paraId="35442D31">
            <w:pPr>
              <w:spacing w:line="260" w:lineRule="auto"/>
              <w:rPr>
                <w:rFonts w:ascii="Arial"/>
                <w:sz w:val="21"/>
              </w:rPr>
            </w:pPr>
          </w:p>
          <w:p w14:paraId="2DF13B43">
            <w:pPr>
              <w:spacing w:line="260" w:lineRule="auto"/>
              <w:rPr>
                <w:rFonts w:ascii="Arial"/>
                <w:sz w:val="21"/>
              </w:rPr>
            </w:pPr>
          </w:p>
          <w:p w14:paraId="38FAF5B5">
            <w:pPr>
              <w:spacing w:line="261" w:lineRule="auto"/>
              <w:rPr>
                <w:rFonts w:ascii="Arial"/>
                <w:sz w:val="21"/>
              </w:rPr>
            </w:pPr>
          </w:p>
          <w:p w14:paraId="3F73365C">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8DBCE3D">
            <w:pPr>
              <w:spacing w:line="337" w:lineRule="auto"/>
              <w:rPr>
                <w:rFonts w:ascii="Arial"/>
                <w:sz w:val="21"/>
              </w:rPr>
            </w:pPr>
          </w:p>
          <w:p w14:paraId="4D83BC50">
            <w:pPr>
              <w:spacing w:line="338" w:lineRule="auto"/>
              <w:rPr>
                <w:rFonts w:ascii="Arial"/>
                <w:sz w:val="21"/>
              </w:rPr>
            </w:pPr>
          </w:p>
          <w:p w14:paraId="3CA47C74">
            <w:pPr>
              <w:pStyle w:val="6"/>
              <w:spacing w:before="99" w:line="192" w:lineRule="auto"/>
              <w:ind w:left="118" w:right="105" w:hanging="1"/>
              <w:jc w:val="both"/>
            </w:pPr>
            <w:r>
              <w:rPr>
                <w:spacing w:val="1"/>
              </w:rPr>
              <w:t>超过规定时限</w:t>
            </w:r>
            <w:r>
              <w:rPr>
                <w:rFonts w:ascii="宋体" w:hAnsi="宋体" w:eastAsia="宋体" w:cs="宋体"/>
                <w:spacing w:val="1"/>
              </w:rPr>
              <w:t>20</w:t>
            </w:r>
            <w:r>
              <w:rPr>
                <w:spacing w:val="1"/>
              </w:rPr>
              <w:t>日</w:t>
            </w:r>
            <w:r>
              <w:rPr>
                <w:spacing w:val="-3"/>
              </w:rPr>
              <w:t>以上，未提交变更申</w:t>
            </w:r>
            <w:r>
              <w:rPr>
                <w:spacing w:val="1"/>
              </w:rPr>
              <w:t>请的</w:t>
            </w:r>
          </w:p>
        </w:tc>
        <w:tc>
          <w:tcPr>
            <w:tcW w:w="2894" w:type="dxa"/>
            <w:vAlign w:val="top"/>
          </w:tcPr>
          <w:p w14:paraId="23B58CCC">
            <w:pPr>
              <w:spacing w:line="274" w:lineRule="auto"/>
              <w:rPr>
                <w:rFonts w:ascii="Arial"/>
                <w:sz w:val="21"/>
              </w:rPr>
            </w:pPr>
          </w:p>
          <w:p w14:paraId="6A6636E1">
            <w:pPr>
              <w:spacing w:line="274" w:lineRule="auto"/>
              <w:rPr>
                <w:rFonts w:ascii="Arial"/>
                <w:sz w:val="21"/>
              </w:rPr>
            </w:pPr>
          </w:p>
          <w:p w14:paraId="61BF617D">
            <w:pPr>
              <w:spacing w:line="275" w:lineRule="auto"/>
              <w:rPr>
                <w:rFonts w:ascii="Arial"/>
                <w:sz w:val="21"/>
              </w:rPr>
            </w:pPr>
          </w:p>
          <w:p w14:paraId="14316F71">
            <w:pPr>
              <w:pStyle w:val="6"/>
              <w:spacing w:before="98" w:line="196" w:lineRule="auto"/>
              <w:ind w:left="146" w:right="103" w:hanging="19"/>
            </w:pPr>
            <w:r>
              <w:rPr>
                <w:spacing w:val="4"/>
              </w:rPr>
              <w:t>责令限期改正，处</w:t>
            </w:r>
            <w:r>
              <w:rPr>
                <w:rFonts w:ascii="宋体" w:hAnsi="宋体" w:eastAsia="宋体" w:cs="宋体"/>
                <w:spacing w:val="4"/>
              </w:rPr>
              <w:t>2</w:t>
            </w:r>
            <w:r>
              <w:rPr>
                <w:spacing w:val="4"/>
              </w:rPr>
              <w:t>万元</w:t>
            </w:r>
            <w:r>
              <w:rPr>
                <w:spacing w:val="1"/>
              </w:rPr>
              <w:t>以上</w:t>
            </w:r>
            <w:r>
              <w:rPr>
                <w:rFonts w:ascii="宋体" w:hAnsi="宋体" w:eastAsia="宋体" w:cs="宋体"/>
                <w:spacing w:val="1"/>
              </w:rPr>
              <w:t>3</w:t>
            </w:r>
            <w:r>
              <w:rPr>
                <w:spacing w:val="1"/>
              </w:rPr>
              <w:t>万元以下的罚款</w:t>
            </w:r>
          </w:p>
        </w:tc>
        <w:tc>
          <w:tcPr>
            <w:tcW w:w="811" w:type="dxa"/>
            <w:vAlign w:val="top"/>
          </w:tcPr>
          <w:p w14:paraId="2E223877">
            <w:pPr>
              <w:rPr>
                <w:rFonts w:ascii="Arial"/>
                <w:sz w:val="21"/>
              </w:rPr>
            </w:pPr>
          </w:p>
        </w:tc>
      </w:tr>
      <w:tr w14:paraId="335A3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2" w:hRule="atLeast"/>
        </w:trPr>
        <w:tc>
          <w:tcPr>
            <w:tcW w:w="818" w:type="dxa"/>
            <w:vMerge w:val="restart"/>
            <w:tcBorders>
              <w:bottom w:val="nil"/>
            </w:tcBorders>
            <w:vAlign w:val="top"/>
          </w:tcPr>
          <w:p w14:paraId="17CD0AE7">
            <w:pPr>
              <w:spacing w:line="273" w:lineRule="auto"/>
              <w:rPr>
                <w:rFonts w:ascii="Arial"/>
                <w:sz w:val="21"/>
              </w:rPr>
            </w:pPr>
          </w:p>
          <w:p w14:paraId="065E4B9C">
            <w:pPr>
              <w:spacing w:line="273" w:lineRule="auto"/>
              <w:rPr>
                <w:rFonts w:ascii="Arial"/>
                <w:sz w:val="21"/>
              </w:rPr>
            </w:pPr>
          </w:p>
          <w:p w14:paraId="3EA5F275">
            <w:pPr>
              <w:spacing w:line="274" w:lineRule="auto"/>
              <w:rPr>
                <w:rFonts w:ascii="Arial"/>
                <w:sz w:val="21"/>
              </w:rPr>
            </w:pPr>
          </w:p>
          <w:p w14:paraId="3EC7B95E">
            <w:pPr>
              <w:spacing w:line="274" w:lineRule="auto"/>
              <w:rPr>
                <w:rFonts w:ascii="Arial"/>
                <w:sz w:val="21"/>
              </w:rPr>
            </w:pPr>
          </w:p>
          <w:p w14:paraId="6635C50F">
            <w:pPr>
              <w:spacing w:line="274" w:lineRule="auto"/>
              <w:rPr>
                <w:rFonts w:ascii="Arial"/>
                <w:sz w:val="21"/>
              </w:rPr>
            </w:pPr>
          </w:p>
          <w:p w14:paraId="2FEC5CFE">
            <w:pPr>
              <w:spacing w:line="274" w:lineRule="auto"/>
              <w:rPr>
                <w:rFonts w:ascii="Arial"/>
                <w:sz w:val="21"/>
              </w:rPr>
            </w:pPr>
          </w:p>
          <w:p w14:paraId="690EFC4D">
            <w:pPr>
              <w:spacing w:before="75" w:line="185" w:lineRule="auto"/>
              <w:ind w:left="146"/>
              <w:rPr>
                <w:rFonts w:ascii="仿宋" w:hAnsi="仿宋" w:eastAsia="仿宋" w:cs="仿宋"/>
                <w:sz w:val="23"/>
                <w:szCs w:val="23"/>
              </w:rPr>
            </w:pPr>
            <w:r>
              <w:rPr>
                <w:rFonts w:ascii="仿宋" w:hAnsi="仿宋" w:eastAsia="仿宋" w:cs="仿宋"/>
                <w:sz w:val="23"/>
                <w:szCs w:val="23"/>
              </w:rPr>
              <w:t>205</w:t>
            </w:r>
          </w:p>
        </w:tc>
        <w:tc>
          <w:tcPr>
            <w:tcW w:w="1440" w:type="dxa"/>
            <w:vMerge w:val="restart"/>
            <w:tcBorders>
              <w:bottom w:val="nil"/>
            </w:tcBorders>
            <w:vAlign w:val="top"/>
          </w:tcPr>
          <w:p w14:paraId="2194ADA5">
            <w:pPr>
              <w:spacing w:line="336" w:lineRule="auto"/>
              <w:rPr>
                <w:rFonts w:ascii="Arial"/>
                <w:sz w:val="21"/>
              </w:rPr>
            </w:pPr>
          </w:p>
          <w:p w14:paraId="3757339E">
            <w:pPr>
              <w:spacing w:line="337" w:lineRule="auto"/>
              <w:rPr>
                <w:rFonts w:ascii="Arial"/>
                <w:sz w:val="21"/>
              </w:rPr>
            </w:pPr>
          </w:p>
          <w:p w14:paraId="13342662">
            <w:pPr>
              <w:pStyle w:val="6"/>
              <w:spacing w:before="98" w:line="187" w:lineRule="auto"/>
              <w:ind w:left="114" w:right="111" w:firstLine="5"/>
              <w:jc w:val="both"/>
            </w:pPr>
            <w:r>
              <w:rPr>
                <w:spacing w:val="10"/>
              </w:rPr>
              <w:t>烟花爆竹批</w:t>
            </w:r>
            <w:r>
              <w:rPr>
                <w:spacing w:val="11"/>
              </w:rPr>
              <w:t>发企业向未取得零售许可证的单位或者个人销售烟花爆竹</w:t>
            </w:r>
            <w:r>
              <w:t>的</w:t>
            </w:r>
          </w:p>
        </w:tc>
        <w:tc>
          <w:tcPr>
            <w:tcW w:w="3202" w:type="dxa"/>
            <w:vMerge w:val="restart"/>
            <w:tcBorders>
              <w:bottom w:val="nil"/>
            </w:tcBorders>
            <w:vAlign w:val="top"/>
          </w:tcPr>
          <w:p w14:paraId="7890F458">
            <w:pPr>
              <w:pStyle w:val="6"/>
              <w:spacing w:before="33" w:line="182" w:lineRule="auto"/>
              <w:ind w:left="118" w:right="111" w:hanging="20"/>
              <w:outlineLvl w:val="1"/>
            </w:pPr>
            <w:r>
              <w:rPr>
                <w:spacing w:val="18"/>
              </w:rPr>
              <w:t>【部门规章】《烟花爆竹经</w:t>
            </w:r>
            <w:r>
              <w:rPr>
                <w:spacing w:val="17"/>
              </w:rPr>
              <w:t>营许可实施办法》第二十二</w:t>
            </w:r>
            <w:r>
              <w:rPr>
                <w:spacing w:val="13"/>
              </w:rPr>
              <w:t>条第二款：批发企业不得向</w:t>
            </w:r>
            <w:r>
              <w:rPr>
                <w:spacing w:val="17"/>
              </w:rPr>
              <w:t>未取得零售许可证的单位或</w:t>
            </w:r>
          </w:p>
          <w:p w14:paraId="44F69742">
            <w:pPr>
              <w:pStyle w:val="6"/>
              <w:spacing w:before="7" w:line="179" w:lineRule="auto"/>
              <w:ind w:left="90" w:right="110" w:firstLine="29"/>
              <w:jc w:val="both"/>
            </w:pPr>
            <w:r>
              <w:rPr>
                <w:spacing w:val="12"/>
              </w:rPr>
              <w:t>者个人销售烟花爆竹，不得</w:t>
            </w:r>
            <w:r>
              <w:rPr>
                <w:spacing w:val="19"/>
              </w:rPr>
              <w:t>向零售经营者销售礼花弹等应当由专业燃放人员燃放的</w:t>
            </w:r>
            <w:r>
              <w:rPr>
                <w:spacing w:val="15"/>
              </w:rPr>
              <w:t>烟花爆竹；从事黑火药、引</w:t>
            </w:r>
            <w:r>
              <w:rPr>
                <w:spacing w:val="42"/>
              </w:rPr>
              <w:t>火线批发的企业不得向无《烟花爆竹安全生产许可</w:t>
            </w:r>
            <w:r>
              <w:rPr>
                <w:spacing w:val="19"/>
              </w:rPr>
              <w:t>证》的单位或者个人销售烟</w:t>
            </w:r>
            <w:r>
              <w:rPr>
                <w:spacing w:val="7"/>
              </w:rPr>
              <w:t>火药、黑火药、引火线。</w:t>
            </w:r>
          </w:p>
        </w:tc>
        <w:tc>
          <w:tcPr>
            <w:tcW w:w="2859" w:type="dxa"/>
            <w:vMerge w:val="restart"/>
            <w:tcBorders>
              <w:bottom w:val="nil"/>
            </w:tcBorders>
            <w:vAlign w:val="top"/>
          </w:tcPr>
          <w:p w14:paraId="7D1F219D">
            <w:pPr>
              <w:pStyle w:val="6"/>
              <w:spacing w:before="24" w:line="186" w:lineRule="auto"/>
              <w:ind w:left="97" w:right="106"/>
            </w:pPr>
            <w:r>
              <w:rPr>
                <w:spacing w:val="10"/>
              </w:rPr>
              <w:t>【部门规章】《烟花爆竹经营许可实施办法》第三十二条第十项：批发企业有下列行为之一的，责令</w:t>
            </w:r>
            <w:r>
              <w:rPr>
                <w:spacing w:val="-3"/>
              </w:rPr>
              <w:t>其限期改正，处</w:t>
            </w:r>
            <w:r>
              <w:rPr>
                <w:rFonts w:ascii="宋体" w:hAnsi="宋体" w:eastAsia="宋体" w:cs="宋体"/>
                <w:spacing w:val="-3"/>
              </w:rPr>
              <w:t>5000</w:t>
            </w:r>
            <w:r>
              <w:rPr>
                <w:spacing w:val="-3"/>
              </w:rPr>
              <w:t>元以</w:t>
            </w:r>
            <w:r>
              <w:rPr>
                <w:spacing w:val="17"/>
              </w:rPr>
              <w:t>上</w:t>
            </w:r>
            <w:r>
              <w:rPr>
                <w:rFonts w:ascii="宋体" w:hAnsi="宋体" w:eastAsia="宋体" w:cs="宋体"/>
                <w:spacing w:val="17"/>
              </w:rPr>
              <w:t>3</w:t>
            </w:r>
            <w:r>
              <w:rPr>
                <w:spacing w:val="17"/>
              </w:rPr>
              <w:t>万元以下的罚款：</w:t>
            </w:r>
            <w:r>
              <w:rPr>
                <w:spacing w:val="10"/>
              </w:rPr>
              <w:t>（十）向未取得零售许可证的单位或者个人销售烟</w:t>
            </w:r>
            <w:r>
              <w:rPr>
                <w:spacing w:val="4"/>
              </w:rPr>
              <w:t>花爆竹的。</w:t>
            </w:r>
          </w:p>
        </w:tc>
        <w:tc>
          <w:tcPr>
            <w:tcW w:w="803" w:type="dxa"/>
            <w:vAlign w:val="top"/>
          </w:tcPr>
          <w:p w14:paraId="7B9360BE">
            <w:pPr>
              <w:spacing w:line="371" w:lineRule="auto"/>
              <w:rPr>
                <w:rFonts w:ascii="Arial"/>
                <w:sz w:val="21"/>
              </w:rPr>
            </w:pPr>
          </w:p>
          <w:p w14:paraId="2335D6A4">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A6703FE">
            <w:pPr>
              <w:pStyle w:val="6"/>
              <w:spacing w:before="108" w:line="182" w:lineRule="auto"/>
              <w:ind w:left="127"/>
              <w:outlineLvl w:val="1"/>
            </w:pPr>
            <w:r>
              <w:rPr>
                <w:spacing w:val="25"/>
              </w:rPr>
              <w:t>没有违法所得或违</w:t>
            </w:r>
          </w:p>
          <w:p w14:paraId="0D28FC98">
            <w:pPr>
              <w:pStyle w:val="6"/>
              <w:spacing w:before="2" w:line="195" w:lineRule="auto"/>
              <w:ind w:left="139" w:right="106" w:hanging="10"/>
            </w:pPr>
            <w:r>
              <w:rPr>
                <w:spacing w:val="4"/>
              </w:rPr>
              <w:t>法所得</w:t>
            </w:r>
            <w:r>
              <w:rPr>
                <w:rFonts w:ascii="宋体" w:hAnsi="宋体" w:eastAsia="宋体" w:cs="宋体"/>
                <w:spacing w:val="4"/>
              </w:rPr>
              <w:t>5000</w:t>
            </w:r>
            <w:r>
              <w:rPr>
                <w:spacing w:val="4"/>
              </w:rPr>
              <w:t>元以下</w:t>
            </w:r>
            <w:r>
              <w:t>的</w:t>
            </w:r>
          </w:p>
        </w:tc>
        <w:tc>
          <w:tcPr>
            <w:tcW w:w="2894" w:type="dxa"/>
            <w:vAlign w:val="top"/>
          </w:tcPr>
          <w:p w14:paraId="0011B719">
            <w:pPr>
              <w:pStyle w:val="6"/>
              <w:spacing w:before="258" w:line="196" w:lineRule="auto"/>
              <w:ind w:left="146" w:right="104" w:hanging="19"/>
            </w:pPr>
            <w:r>
              <w:rPr>
                <w:spacing w:val="-2"/>
              </w:rPr>
              <w:t>责令限期改正，处</w:t>
            </w:r>
            <w:r>
              <w:rPr>
                <w:rFonts w:ascii="宋体" w:hAnsi="宋体" w:eastAsia="宋体" w:cs="宋体"/>
                <w:spacing w:val="-2"/>
              </w:rPr>
              <w:t>5000</w:t>
            </w:r>
            <w:r>
              <w:rPr>
                <w:spacing w:val="-2"/>
              </w:rPr>
              <w:t>元</w:t>
            </w:r>
            <w:r>
              <w:rPr>
                <w:spacing w:val="-1"/>
              </w:rPr>
              <w:t>以上</w:t>
            </w:r>
            <w:r>
              <w:rPr>
                <w:rFonts w:ascii="宋体" w:hAnsi="宋体" w:eastAsia="宋体" w:cs="宋体"/>
                <w:spacing w:val="-1"/>
              </w:rPr>
              <w:t>1</w:t>
            </w:r>
            <w:r>
              <w:rPr>
                <w:spacing w:val="-1"/>
              </w:rPr>
              <w:t>万元以下的罚款</w:t>
            </w:r>
          </w:p>
        </w:tc>
        <w:tc>
          <w:tcPr>
            <w:tcW w:w="811" w:type="dxa"/>
            <w:vMerge w:val="restart"/>
            <w:tcBorders>
              <w:bottom w:val="nil"/>
            </w:tcBorders>
            <w:vAlign w:val="top"/>
          </w:tcPr>
          <w:p w14:paraId="28C51BC1">
            <w:pPr>
              <w:spacing w:line="272" w:lineRule="auto"/>
              <w:rPr>
                <w:rFonts w:ascii="Arial"/>
                <w:sz w:val="21"/>
              </w:rPr>
            </w:pPr>
          </w:p>
          <w:p w14:paraId="2684B443">
            <w:pPr>
              <w:spacing w:line="273" w:lineRule="auto"/>
              <w:rPr>
                <w:rFonts w:ascii="Arial"/>
                <w:sz w:val="21"/>
              </w:rPr>
            </w:pPr>
          </w:p>
          <w:p w14:paraId="29B1CD34">
            <w:pPr>
              <w:spacing w:line="273" w:lineRule="auto"/>
              <w:rPr>
                <w:rFonts w:ascii="Arial"/>
                <w:sz w:val="21"/>
              </w:rPr>
            </w:pPr>
          </w:p>
          <w:p w14:paraId="420E17C9">
            <w:pPr>
              <w:spacing w:line="273" w:lineRule="auto"/>
              <w:rPr>
                <w:rFonts w:ascii="Arial"/>
                <w:sz w:val="21"/>
              </w:rPr>
            </w:pPr>
          </w:p>
          <w:p w14:paraId="5373849F">
            <w:pPr>
              <w:spacing w:line="273" w:lineRule="auto"/>
              <w:rPr>
                <w:rFonts w:ascii="Arial"/>
                <w:sz w:val="21"/>
              </w:rPr>
            </w:pPr>
          </w:p>
          <w:p w14:paraId="7A5E8AD0">
            <w:pPr>
              <w:spacing w:line="273" w:lineRule="auto"/>
              <w:rPr>
                <w:rFonts w:ascii="Arial"/>
                <w:sz w:val="21"/>
              </w:rPr>
            </w:pPr>
          </w:p>
          <w:p w14:paraId="6D6AB6D6">
            <w:pPr>
              <w:spacing w:before="75" w:line="189" w:lineRule="auto"/>
              <w:ind w:left="248"/>
              <w:rPr>
                <w:rFonts w:ascii="宋体" w:hAnsi="宋体" w:eastAsia="宋体" w:cs="宋体"/>
                <w:sz w:val="23"/>
                <w:szCs w:val="23"/>
              </w:rPr>
            </w:pPr>
            <w:r>
              <w:rPr>
                <w:rFonts w:ascii="宋体" w:hAnsi="宋体" w:eastAsia="宋体" w:cs="宋体"/>
                <w:spacing w:val="-6"/>
                <w:sz w:val="23"/>
                <w:szCs w:val="23"/>
              </w:rPr>
              <w:t>170</w:t>
            </w:r>
          </w:p>
        </w:tc>
      </w:tr>
      <w:tr w14:paraId="490FB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9" w:hRule="atLeast"/>
        </w:trPr>
        <w:tc>
          <w:tcPr>
            <w:tcW w:w="818" w:type="dxa"/>
            <w:vMerge w:val="continue"/>
            <w:tcBorders>
              <w:top w:val="nil"/>
              <w:bottom w:val="nil"/>
            </w:tcBorders>
            <w:vAlign w:val="top"/>
          </w:tcPr>
          <w:p w14:paraId="38595E75">
            <w:pPr>
              <w:rPr>
                <w:rFonts w:ascii="Arial"/>
                <w:sz w:val="21"/>
              </w:rPr>
            </w:pPr>
          </w:p>
        </w:tc>
        <w:tc>
          <w:tcPr>
            <w:tcW w:w="1440" w:type="dxa"/>
            <w:vMerge w:val="continue"/>
            <w:tcBorders>
              <w:top w:val="nil"/>
              <w:bottom w:val="nil"/>
            </w:tcBorders>
            <w:vAlign w:val="top"/>
          </w:tcPr>
          <w:p w14:paraId="0FF16973">
            <w:pPr>
              <w:rPr>
                <w:rFonts w:ascii="Arial"/>
                <w:sz w:val="21"/>
              </w:rPr>
            </w:pPr>
          </w:p>
        </w:tc>
        <w:tc>
          <w:tcPr>
            <w:tcW w:w="3202" w:type="dxa"/>
            <w:vMerge w:val="continue"/>
            <w:tcBorders>
              <w:top w:val="nil"/>
              <w:bottom w:val="nil"/>
            </w:tcBorders>
            <w:vAlign w:val="top"/>
          </w:tcPr>
          <w:p w14:paraId="6BB49715">
            <w:pPr>
              <w:rPr>
                <w:rFonts w:ascii="Arial"/>
                <w:sz w:val="21"/>
              </w:rPr>
            </w:pPr>
          </w:p>
        </w:tc>
        <w:tc>
          <w:tcPr>
            <w:tcW w:w="2859" w:type="dxa"/>
            <w:vMerge w:val="continue"/>
            <w:tcBorders>
              <w:top w:val="nil"/>
              <w:bottom w:val="nil"/>
            </w:tcBorders>
            <w:vAlign w:val="top"/>
          </w:tcPr>
          <w:p w14:paraId="72A46D0E">
            <w:pPr>
              <w:rPr>
                <w:rFonts w:ascii="Arial"/>
                <w:sz w:val="21"/>
              </w:rPr>
            </w:pPr>
          </w:p>
        </w:tc>
        <w:tc>
          <w:tcPr>
            <w:tcW w:w="803" w:type="dxa"/>
            <w:vAlign w:val="top"/>
          </w:tcPr>
          <w:p w14:paraId="06D1465A">
            <w:pPr>
              <w:spacing w:line="455" w:lineRule="auto"/>
              <w:rPr>
                <w:rFonts w:ascii="Arial"/>
                <w:sz w:val="21"/>
              </w:rPr>
            </w:pPr>
          </w:p>
          <w:p w14:paraId="5F30B263">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EB39597">
            <w:pPr>
              <w:pStyle w:val="6"/>
              <w:spacing w:before="337" w:line="182" w:lineRule="auto"/>
              <w:ind w:left="117"/>
            </w:pPr>
            <w:r>
              <w:rPr>
                <w:spacing w:val="5"/>
              </w:rPr>
              <w:t>违法所得</w:t>
            </w:r>
            <w:r>
              <w:rPr>
                <w:rFonts w:ascii="宋体" w:hAnsi="宋体" w:eastAsia="宋体" w:cs="宋体"/>
                <w:spacing w:val="5"/>
              </w:rPr>
              <w:t>5000</w:t>
            </w:r>
            <w:r>
              <w:rPr>
                <w:spacing w:val="5"/>
              </w:rPr>
              <w:t>元以</w:t>
            </w:r>
          </w:p>
          <w:p w14:paraId="44D23850">
            <w:pPr>
              <w:pStyle w:val="6"/>
              <w:spacing w:before="1" w:line="208" w:lineRule="auto"/>
              <w:ind w:left="123"/>
              <w:outlineLvl w:val="1"/>
            </w:pPr>
            <w:r>
              <w:rPr>
                <w:spacing w:val="-2"/>
              </w:rPr>
              <w:t>上</w:t>
            </w:r>
            <w:r>
              <w:rPr>
                <w:rFonts w:ascii="宋体" w:hAnsi="宋体" w:eastAsia="宋体" w:cs="宋体"/>
                <w:spacing w:val="-2"/>
              </w:rPr>
              <w:t>1</w:t>
            </w:r>
            <w:r>
              <w:rPr>
                <w:spacing w:val="-2"/>
              </w:rPr>
              <w:t>万元以下的</w:t>
            </w:r>
          </w:p>
        </w:tc>
        <w:tc>
          <w:tcPr>
            <w:tcW w:w="2894" w:type="dxa"/>
            <w:vAlign w:val="top"/>
          </w:tcPr>
          <w:p w14:paraId="04AF2EE7">
            <w:pPr>
              <w:pStyle w:val="6"/>
              <w:spacing w:before="335" w:line="196" w:lineRule="auto"/>
              <w:ind w:left="146" w:right="103" w:hanging="19"/>
            </w:pPr>
            <w:r>
              <w:rPr>
                <w:spacing w:val="2"/>
              </w:rPr>
              <w:t>责令限期改正，处</w:t>
            </w:r>
            <w:r>
              <w:rPr>
                <w:rFonts w:ascii="宋体" w:hAnsi="宋体" w:eastAsia="宋体" w:cs="宋体"/>
                <w:spacing w:val="2"/>
              </w:rPr>
              <w:t>1</w:t>
            </w:r>
            <w:r>
              <w:rPr>
                <w:spacing w:val="2"/>
              </w:rPr>
              <w:t>万元</w:t>
            </w:r>
            <w:r>
              <w:rPr>
                <w:spacing w:val="1"/>
              </w:rPr>
              <w:t>以上</w:t>
            </w:r>
            <w:r>
              <w:rPr>
                <w:rFonts w:ascii="宋体" w:hAnsi="宋体" w:eastAsia="宋体" w:cs="宋体"/>
                <w:spacing w:val="1"/>
              </w:rPr>
              <w:t>2</w:t>
            </w:r>
            <w:r>
              <w:rPr>
                <w:spacing w:val="1"/>
              </w:rPr>
              <w:t>万元以下的罚款</w:t>
            </w:r>
          </w:p>
        </w:tc>
        <w:tc>
          <w:tcPr>
            <w:tcW w:w="811" w:type="dxa"/>
            <w:vMerge w:val="continue"/>
            <w:tcBorders>
              <w:top w:val="nil"/>
              <w:bottom w:val="nil"/>
            </w:tcBorders>
            <w:vAlign w:val="top"/>
          </w:tcPr>
          <w:p w14:paraId="0A267FAA">
            <w:pPr>
              <w:rPr>
                <w:rFonts w:ascii="Arial"/>
                <w:sz w:val="21"/>
              </w:rPr>
            </w:pPr>
          </w:p>
        </w:tc>
      </w:tr>
      <w:tr w14:paraId="0F3FC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818" w:type="dxa"/>
            <w:vMerge w:val="continue"/>
            <w:tcBorders>
              <w:top w:val="nil"/>
            </w:tcBorders>
            <w:vAlign w:val="top"/>
          </w:tcPr>
          <w:p w14:paraId="381404D4">
            <w:pPr>
              <w:rPr>
                <w:rFonts w:ascii="Arial"/>
                <w:sz w:val="21"/>
              </w:rPr>
            </w:pPr>
          </w:p>
        </w:tc>
        <w:tc>
          <w:tcPr>
            <w:tcW w:w="1440" w:type="dxa"/>
            <w:vMerge w:val="continue"/>
            <w:tcBorders>
              <w:top w:val="nil"/>
            </w:tcBorders>
            <w:vAlign w:val="top"/>
          </w:tcPr>
          <w:p w14:paraId="03CFAD9C">
            <w:pPr>
              <w:rPr>
                <w:rFonts w:ascii="Arial"/>
                <w:sz w:val="21"/>
              </w:rPr>
            </w:pPr>
          </w:p>
        </w:tc>
        <w:tc>
          <w:tcPr>
            <w:tcW w:w="3202" w:type="dxa"/>
            <w:vMerge w:val="continue"/>
            <w:tcBorders>
              <w:top w:val="nil"/>
            </w:tcBorders>
            <w:vAlign w:val="top"/>
          </w:tcPr>
          <w:p w14:paraId="3A0B7D42">
            <w:pPr>
              <w:rPr>
                <w:rFonts w:ascii="Arial"/>
                <w:sz w:val="21"/>
              </w:rPr>
            </w:pPr>
          </w:p>
        </w:tc>
        <w:tc>
          <w:tcPr>
            <w:tcW w:w="2859" w:type="dxa"/>
            <w:vMerge w:val="continue"/>
            <w:tcBorders>
              <w:top w:val="nil"/>
            </w:tcBorders>
            <w:vAlign w:val="top"/>
          </w:tcPr>
          <w:p w14:paraId="001ECD35">
            <w:pPr>
              <w:rPr>
                <w:rFonts w:ascii="Arial"/>
                <w:sz w:val="21"/>
              </w:rPr>
            </w:pPr>
          </w:p>
        </w:tc>
        <w:tc>
          <w:tcPr>
            <w:tcW w:w="803" w:type="dxa"/>
            <w:vAlign w:val="top"/>
          </w:tcPr>
          <w:p w14:paraId="1EA3DAFE">
            <w:pPr>
              <w:spacing w:line="250" w:lineRule="auto"/>
              <w:rPr>
                <w:rFonts w:ascii="Arial"/>
                <w:sz w:val="21"/>
              </w:rPr>
            </w:pPr>
          </w:p>
          <w:p w14:paraId="3936B3F0">
            <w:pPr>
              <w:spacing w:line="251" w:lineRule="auto"/>
              <w:rPr>
                <w:rFonts w:ascii="Arial"/>
                <w:sz w:val="21"/>
              </w:rPr>
            </w:pPr>
          </w:p>
          <w:p w14:paraId="5D533B18">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3928D06">
            <w:pPr>
              <w:spacing w:line="285" w:lineRule="auto"/>
              <w:rPr>
                <w:rFonts w:ascii="Arial"/>
                <w:sz w:val="21"/>
              </w:rPr>
            </w:pPr>
          </w:p>
          <w:p w14:paraId="6769FCF6">
            <w:pPr>
              <w:pStyle w:val="6"/>
              <w:spacing w:before="98" w:line="197" w:lineRule="auto"/>
              <w:ind w:left="122" w:right="106" w:hanging="5"/>
            </w:pPr>
            <w:r>
              <w:rPr>
                <w:spacing w:val="11"/>
              </w:rPr>
              <w:t>违法所得</w:t>
            </w:r>
            <w:r>
              <w:rPr>
                <w:rFonts w:ascii="宋体" w:hAnsi="宋体" w:eastAsia="宋体" w:cs="宋体"/>
                <w:spacing w:val="11"/>
              </w:rPr>
              <w:t>1</w:t>
            </w:r>
            <w:r>
              <w:rPr>
                <w:spacing w:val="11"/>
              </w:rPr>
              <w:t>万元以</w:t>
            </w:r>
            <w:r>
              <w:t>上的</w:t>
            </w:r>
          </w:p>
        </w:tc>
        <w:tc>
          <w:tcPr>
            <w:tcW w:w="2894" w:type="dxa"/>
            <w:vAlign w:val="top"/>
          </w:tcPr>
          <w:p w14:paraId="78E7D095">
            <w:pPr>
              <w:spacing w:line="283" w:lineRule="auto"/>
              <w:rPr>
                <w:rFonts w:ascii="Arial"/>
                <w:sz w:val="21"/>
              </w:rPr>
            </w:pPr>
          </w:p>
          <w:p w14:paraId="46BE8C28">
            <w:pPr>
              <w:pStyle w:val="6"/>
              <w:spacing w:before="99" w:line="196" w:lineRule="auto"/>
              <w:ind w:left="146" w:right="103" w:hanging="19"/>
            </w:pPr>
            <w:r>
              <w:rPr>
                <w:spacing w:val="4"/>
              </w:rPr>
              <w:t>责令限期改正，处</w:t>
            </w:r>
            <w:r>
              <w:rPr>
                <w:rFonts w:ascii="宋体" w:hAnsi="宋体" w:eastAsia="宋体" w:cs="宋体"/>
                <w:spacing w:val="4"/>
              </w:rPr>
              <w:t>2</w:t>
            </w:r>
            <w:r>
              <w:rPr>
                <w:spacing w:val="4"/>
              </w:rPr>
              <w:t>万元</w:t>
            </w:r>
            <w:r>
              <w:rPr>
                <w:spacing w:val="1"/>
              </w:rPr>
              <w:t>以上</w:t>
            </w:r>
            <w:r>
              <w:rPr>
                <w:rFonts w:ascii="宋体" w:hAnsi="宋体" w:eastAsia="宋体" w:cs="宋体"/>
                <w:spacing w:val="1"/>
              </w:rPr>
              <w:t>3</w:t>
            </w:r>
            <w:r>
              <w:rPr>
                <w:spacing w:val="1"/>
              </w:rPr>
              <w:t>万元以下的罚款</w:t>
            </w:r>
          </w:p>
        </w:tc>
        <w:tc>
          <w:tcPr>
            <w:tcW w:w="811" w:type="dxa"/>
            <w:vMerge w:val="continue"/>
            <w:tcBorders>
              <w:top w:val="nil"/>
            </w:tcBorders>
            <w:vAlign w:val="top"/>
          </w:tcPr>
          <w:p w14:paraId="4F77EA5B">
            <w:pPr>
              <w:rPr>
                <w:rFonts w:ascii="Arial"/>
                <w:sz w:val="21"/>
              </w:rPr>
            </w:pPr>
          </w:p>
        </w:tc>
      </w:tr>
      <w:tr w14:paraId="76F53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restart"/>
            <w:tcBorders>
              <w:bottom w:val="nil"/>
            </w:tcBorders>
            <w:vAlign w:val="top"/>
          </w:tcPr>
          <w:p w14:paraId="5F370374">
            <w:pPr>
              <w:spacing w:line="270" w:lineRule="auto"/>
              <w:rPr>
                <w:rFonts w:ascii="Arial"/>
                <w:sz w:val="21"/>
              </w:rPr>
            </w:pPr>
          </w:p>
          <w:p w14:paraId="39CEBB98">
            <w:pPr>
              <w:spacing w:line="270" w:lineRule="auto"/>
              <w:rPr>
                <w:rFonts w:ascii="Arial"/>
                <w:sz w:val="21"/>
              </w:rPr>
            </w:pPr>
          </w:p>
          <w:p w14:paraId="6D6AC86F">
            <w:pPr>
              <w:spacing w:line="270" w:lineRule="auto"/>
              <w:rPr>
                <w:rFonts w:ascii="Arial"/>
                <w:sz w:val="21"/>
              </w:rPr>
            </w:pPr>
          </w:p>
          <w:p w14:paraId="70E6054D">
            <w:pPr>
              <w:spacing w:line="271" w:lineRule="auto"/>
              <w:rPr>
                <w:rFonts w:ascii="Arial"/>
                <w:sz w:val="21"/>
              </w:rPr>
            </w:pPr>
          </w:p>
          <w:p w14:paraId="7ACB8FC1">
            <w:pPr>
              <w:spacing w:line="271" w:lineRule="auto"/>
              <w:rPr>
                <w:rFonts w:ascii="Arial"/>
                <w:sz w:val="21"/>
              </w:rPr>
            </w:pPr>
          </w:p>
          <w:p w14:paraId="02E348F8">
            <w:pPr>
              <w:spacing w:before="75" w:line="185" w:lineRule="auto"/>
              <w:ind w:left="146"/>
              <w:rPr>
                <w:rFonts w:ascii="仿宋" w:hAnsi="仿宋" w:eastAsia="仿宋" w:cs="仿宋"/>
                <w:sz w:val="23"/>
                <w:szCs w:val="23"/>
              </w:rPr>
            </w:pPr>
            <w:r>
              <w:rPr>
                <w:rFonts w:ascii="仿宋" w:hAnsi="仿宋" w:eastAsia="仿宋" w:cs="仿宋"/>
                <w:sz w:val="23"/>
                <w:szCs w:val="23"/>
              </w:rPr>
              <w:t>206</w:t>
            </w:r>
          </w:p>
        </w:tc>
        <w:tc>
          <w:tcPr>
            <w:tcW w:w="1440" w:type="dxa"/>
            <w:vMerge w:val="restart"/>
            <w:tcBorders>
              <w:bottom w:val="nil"/>
            </w:tcBorders>
            <w:vAlign w:val="top"/>
          </w:tcPr>
          <w:p w14:paraId="380B1C15">
            <w:pPr>
              <w:pStyle w:val="6"/>
              <w:spacing w:before="335" w:line="186" w:lineRule="auto"/>
              <w:ind w:left="114" w:right="17" w:firstLine="4"/>
              <w:jc w:val="both"/>
            </w:pPr>
            <w:r>
              <w:rPr>
                <w:spacing w:val="10"/>
              </w:rPr>
              <w:t>批发企业向</w:t>
            </w:r>
            <w:r>
              <w:rPr>
                <w:spacing w:val="11"/>
              </w:rPr>
              <w:t>未取得烟花爆竹安全生产许可证的单位或者个人销售烟火</w:t>
            </w:r>
            <w:r>
              <w:rPr>
                <w:spacing w:val="-13"/>
              </w:rPr>
              <w:t>药、黑火药、</w:t>
            </w:r>
            <w:r>
              <w:rPr>
                <w:spacing w:val="6"/>
              </w:rPr>
              <w:t>引火线的</w:t>
            </w:r>
          </w:p>
        </w:tc>
        <w:tc>
          <w:tcPr>
            <w:tcW w:w="3202" w:type="dxa"/>
            <w:vMerge w:val="restart"/>
            <w:tcBorders>
              <w:bottom w:val="nil"/>
            </w:tcBorders>
            <w:vAlign w:val="top"/>
          </w:tcPr>
          <w:p w14:paraId="199C74CB">
            <w:pPr>
              <w:pStyle w:val="6"/>
              <w:spacing w:before="29" w:line="181" w:lineRule="auto"/>
              <w:ind w:left="90" w:right="110" w:firstLine="7"/>
              <w:jc w:val="both"/>
            </w:pPr>
            <w:r>
              <w:rPr>
                <w:spacing w:val="18"/>
              </w:rPr>
              <w:t>【部门规章】《烟花爆竹经</w:t>
            </w:r>
            <w:r>
              <w:rPr>
                <w:spacing w:val="19"/>
              </w:rPr>
              <w:t>营许可实施办法》第二十二</w:t>
            </w:r>
            <w:r>
              <w:rPr>
                <w:spacing w:val="15"/>
              </w:rPr>
              <w:t>条第二款：批发企业不得向</w:t>
            </w:r>
            <w:r>
              <w:rPr>
                <w:spacing w:val="19"/>
              </w:rPr>
              <w:t>未取得零售许可证的单位或</w:t>
            </w:r>
            <w:r>
              <w:rPr>
                <w:spacing w:val="15"/>
              </w:rPr>
              <w:t>者个人销售烟花爆竹，不得</w:t>
            </w:r>
            <w:r>
              <w:rPr>
                <w:spacing w:val="19"/>
              </w:rPr>
              <w:t>向零售经营者销售礼花弹等应当由专业燃放人员燃放的</w:t>
            </w:r>
            <w:r>
              <w:rPr>
                <w:spacing w:val="15"/>
              </w:rPr>
              <w:t>烟花爆竹；从事黑火药、引</w:t>
            </w:r>
            <w:r>
              <w:rPr>
                <w:spacing w:val="42"/>
              </w:rPr>
              <w:t>火线批发的企业不得向无《烟花爆竹安全生产许可</w:t>
            </w:r>
          </w:p>
        </w:tc>
        <w:tc>
          <w:tcPr>
            <w:tcW w:w="2859" w:type="dxa"/>
            <w:vMerge w:val="restart"/>
            <w:tcBorders>
              <w:bottom w:val="nil"/>
            </w:tcBorders>
            <w:vAlign w:val="top"/>
          </w:tcPr>
          <w:p w14:paraId="382F70DE">
            <w:pPr>
              <w:pStyle w:val="6"/>
              <w:spacing w:before="29" w:line="181" w:lineRule="auto"/>
              <w:ind w:left="114" w:right="106" w:hanging="17"/>
              <w:jc w:val="both"/>
            </w:pPr>
            <w:r>
              <w:rPr>
                <w:spacing w:val="10"/>
              </w:rPr>
              <w:t>【部门规章】《烟花爆竹</w:t>
            </w:r>
            <w:r>
              <w:rPr>
                <w:spacing w:val="8"/>
              </w:rPr>
              <w:t>经营许可实施办法》第三十三条第一项：批发企业有下列行为之一的，责令其停业整顿，依法暂扣批</w:t>
            </w:r>
            <w:r>
              <w:rPr>
                <w:spacing w:val="4"/>
              </w:rPr>
              <w:t>发许可证，处</w:t>
            </w:r>
            <w:r>
              <w:rPr>
                <w:rFonts w:ascii="宋体" w:hAnsi="宋体" w:eastAsia="宋体" w:cs="宋体"/>
                <w:spacing w:val="4"/>
              </w:rPr>
              <w:t>2</w:t>
            </w:r>
            <w:r>
              <w:rPr>
                <w:spacing w:val="4"/>
              </w:rPr>
              <w:t>万元以上</w:t>
            </w:r>
            <w:r>
              <w:rPr>
                <w:rFonts w:ascii="宋体" w:hAnsi="宋体" w:eastAsia="宋体" w:cs="宋体"/>
              </w:rPr>
              <w:t>10</w:t>
            </w:r>
            <w:r>
              <w:t>万元以下的罚款，并没</w:t>
            </w:r>
            <w:r>
              <w:rPr>
                <w:spacing w:val="8"/>
              </w:rPr>
              <w:t>收非法经营的物品及违法所得；情节严重的，依法</w:t>
            </w:r>
            <w:r>
              <w:rPr>
                <w:spacing w:val="-4"/>
              </w:rPr>
              <w:t>吊销批发许可证</w:t>
            </w:r>
            <w:r>
              <w:rPr>
                <w:spacing w:val="-2"/>
              </w:rPr>
              <w:t>：（</w:t>
            </w:r>
            <w:r>
              <w:rPr>
                <w:spacing w:val="-4"/>
              </w:rPr>
              <w:t>一）</w:t>
            </w:r>
          </w:p>
        </w:tc>
        <w:tc>
          <w:tcPr>
            <w:tcW w:w="803" w:type="dxa"/>
            <w:vAlign w:val="top"/>
          </w:tcPr>
          <w:p w14:paraId="2998790F">
            <w:pPr>
              <w:spacing w:line="248" w:lineRule="auto"/>
              <w:rPr>
                <w:rFonts w:ascii="Arial"/>
                <w:sz w:val="21"/>
              </w:rPr>
            </w:pPr>
          </w:p>
          <w:p w14:paraId="42B727BF">
            <w:pPr>
              <w:spacing w:line="248" w:lineRule="auto"/>
              <w:rPr>
                <w:rFonts w:ascii="Arial"/>
                <w:sz w:val="21"/>
              </w:rPr>
            </w:pPr>
          </w:p>
          <w:p w14:paraId="2DE19E86">
            <w:pPr>
              <w:spacing w:line="249" w:lineRule="auto"/>
              <w:rPr>
                <w:rFonts w:ascii="Arial"/>
                <w:sz w:val="21"/>
              </w:rPr>
            </w:pPr>
          </w:p>
          <w:p w14:paraId="1D8F50E3">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2F2E152">
            <w:pPr>
              <w:spacing w:line="381" w:lineRule="auto"/>
              <w:rPr>
                <w:rFonts w:ascii="Arial"/>
                <w:sz w:val="21"/>
              </w:rPr>
            </w:pPr>
          </w:p>
          <w:p w14:paraId="3233F8EB">
            <w:pPr>
              <w:pStyle w:val="6"/>
              <w:spacing w:before="99" w:line="192" w:lineRule="auto"/>
              <w:ind w:left="128" w:right="109" w:hanging="1"/>
              <w:jc w:val="both"/>
            </w:pPr>
            <w:r>
              <w:rPr>
                <w:spacing w:val="25"/>
              </w:rPr>
              <w:t>没有违法所得或违</w:t>
            </w:r>
            <w:r>
              <w:rPr>
                <w:spacing w:val="14"/>
              </w:rPr>
              <w:t>法所得</w:t>
            </w:r>
            <w:r>
              <w:rPr>
                <w:rFonts w:ascii="宋体" w:hAnsi="宋体" w:eastAsia="宋体" w:cs="宋体"/>
                <w:spacing w:val="14"/>
              </w:rPr>
              <w:t>5</w:t>
            </w:r>
            <w:r>
              <w:rPr>
                <w:spacing w:val="14"/>
              </w:rPr>
              <w:t>万元以下</w:t>
            </w:r>
            <w:r>
              <w:t>的</w:t>
            </w:r>
          </w:p>
        </w:tc>
        <w:tc>
          <w:tcPr>
            <w:tcW w:w="2894" w:type="dxa"/>
            <w:vAlign w:val="top"/>
          </w:tcPr>
          <w:p w14:paraId="17C06FDF">
            <w:pPr>
              <w:pStyle w:val="6"/>
              <w:spacing w:before="28" w:line="179" w:lineRule="auto"/>
              <w:ind w:left="122" w:right="106" w:firstLine="4"/>
              <w:jc w:val="both"/>
            </w:pPr>
            <w:r>
              <w:rPr>
                <w:spacing w:val="8"/>
              </w:rPr>
              <w:t>责令停业整顿，依法暂扣</w:t>
            </w:r>
            <w:r>
              <w:rPr>
                <w:spacing w:val="4"/>
              </w:rPr>
              <w:t>批发许可证，处</w:t>
            </w:r>
            <w:r>
              <w:rPr>
                <w:rFonts w:ascii="宋体" w:hAnsi="宋体" w:eastAsia="宋体" w:cs="宋体"/>
                <w:spacing w:val="4"/>
              </w:rPr>
              <w:t>2</w:t>
            </w:r>
            <w:r>
              <w:rPr>
                <w:spacing w:val="4"/>
              </w:rPr>
              <w:t>万元以</w:t>
            </w:r>
            <w:r>
              <w:rPr>
                <w:spacing w:val="3"/>
              </w:rPr>
              <w:t>上</w:t>
            </w:r>
            <w:r>
              <w:rPr>
                <w:rFonts w:ascii="宋体" w:hAnsi="宋体" w:eastAsia="宋体" w:cs="宋体"/>
                <w:spacing w:val="3"/>
              </w:rPr>
              <w:t>5</w:t>
            </w:r>
            <w:r>
              <w:rPr>
                <w:spacing w:val="3"/>
              </w:rPr>
              <w:t>万元以下的罚款，并</w:t>
            </w:r>
            <w:r>
              <w:rPr>
                <w:spacing w:val="11"/>
              </w:rPr>
              <w:t>没收非法经营的物品及违</w:t>
            </w:r>
            <w:r>
              <w:rPr>
                <w:spacing w:val="5"/>
              </w:rPr>
              <w:t>法所得；情节严重的，依</w:t>
            </w:r>
            <w:r>
              <w:rPr>
                <w:spacing w:val="7"/>
              </w:rPr>
              <w:t>法吊销批发许可证</w:t>
            </w:r>
          </w:p>
        </w:tc>
        <w:tc>
          <w:tcPr>
            <w:tcW w:w="811" w:type="dxa"/>
            <w:vMerge w:val="restart"/>
            <w:tcBorders>
              <w:bottom w:val="nil"/>
            </w:tcBorders>
            <w:vAlign w:val="top"/>
          </w:tcPr>
          <w:p w14:paraId="53E7B711">
            <w:pPr>
              <w:rPr>
                <w:rFonts w:ascii="Arial"/>
                <w:sz w:val="21"/>
              </w:rPr>
            </w:pPr>
          </w:p>
        </w:tc>
      </w:tr>
      <w:tr w14:paraId="36F81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818" w:type="dxa"/>
            <w:vMerge w:val="continue"/>
            <w:tcBorders>
              <w:top w:val="nil"/>
            </w:tcBorders>
            <w:vAlign w:val="top"/>
          </w:tcPr>
          <w:p w14:paraId="7F44534C">
            <w:pPr>
              <w:rPr>
                <w:rFonts w:ascii="Arial"/>
                <w:sz w:val="21"/>
              </w:rPr>
            </w:pPr>
          </w:p>
        </w:tc>
        <w:tc>
          <w:tcPr>
            <w:tcW w:w="1440" w:type="dxa"/>
            <w:vMerge w:val="continue"/>
            <w:tcBorders>
              <w:top w:val="nil"/>
            </w:tcBorders>
            <w:vAlign w:val="top"/>
          </w:tcPr>
          <w:p w14:paraId="4A803A2A">
            <w:pPr>
              <w:rPr>
                <w:rFonts w:ascii="Arial"/>
                <w:sz w:val="21"/>
              </w:rPr>
            </w:pPr>
          </w:p>
        </w:tc>
        <w:tc>
          <w:tcPr>
            <w:tcW w:w="3202" w:type="dxa"/>
            <w:vMerge w:val="continue"/>
            <w:tcBorders>
              <w:top w:val="nil"/>
            </w:tcBorders>
            <w:vAlign w:val="top"/>
          </w:tcPr>
          <w:p w14:paraId="708EF9D1">
            <w:pPr>
              <w:rPr>
                <w:rFonts w:ascii="Arial"/>
                <w:sz w:val="21"/>
              </w:rPr>
            </w:pPr>
          </w:p>
        </w:tc>
        <w:tc>
          <w:tcPr>
            <w:tcW w:w="2859" w:type="dxa"/>
            <w:vMerge w:val="continue"/>
            <w:tcBorders>
              <w:top w:val="nil"/>
            </w:tcBorders>
            <w:vAlign w:val="top"/>
          </w:tcPr>
          <w:p w14:paraId="0A97E054">
            <w:pPr>
              <w:rPr>
                <w:rFonts w:ascii="Arial"/>
                <w:sz w:val="21"/>
              </w:rPr>
            </w:pPr>
          </w:p>
        </w:tc>
        <w:tc>
          <w:tcPr>
            <w:tcW w:w="803" w:type="dxa"/>
            <w:vAlign w:val="top"/>
          </w:tcPr>
          <w:p w14:paraId="59478F90">
            <w:pPr>
              <w:spacing w:line="451" w:lineRule="auto"/>
              <w:rPr>
                <w:rFonts w:ascii="Arial"/>
                <w:sz w:val="21"/>
              </w:rPr>
            </w:pPr>
          </w:p>
          <w:p w14:paraId="64E7C729">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79D02E2">
            <w:pPr>
              <w:pStyle w:val="6"/>
              <w:spacing w:before="332" w:line="196" w:lineRule="auto"/>
              <w:ind w:left="122" w:right="106" w:hanging="5"/>
            </w:pPr>
            <w:r>
              <w:rPr>
                <w:spacing w:val="15"/>
              </w:rPr>
              <w:t>违法所得</w:t>
            </w:r>
            <w:r>
              <w:rPr>
                <w:rFonts w:ascii="宋体" w:hAnsi="宋体" w:eastAsia="宋体" w:cs="宋体"/>
                <w:spacing w:val="15"/>
              </w:rPr>
              <w:t>5</w:t>
            </w:r>
            <w:r>
              <w:rPr>
                <w:spacing w:val="15"/>
              </w:rPr>
              <w:t>万元以</w:t>
            </w:r>
            <w:r>
              <w:rPr>
                <w:spacing w:val="-1"/>
              </w:rPr>
              <w:t>上</w:t>
            </w:r>
            <w:r>
              <w:rPr>
                <w:rFonts w:ascii="宋体" w:hAnsi="宋体" w:eastAsia="宋体" w:cs="宋体"/>
                <w:spacing w:val="-1"/>
              </w:rPr>
              <w:t>10</w:t>
            </w:r>
            <w:r>
              <w:rPr>
                <w:spacing w:val="-1"/>
              </w:rPr>
              <w:t>万元以下的</w:t>
            </w:r>
          </w:p>
        </w:tc>
        <w:tc>
          <w:tcPr>
            <w:tcW w:w="2894" w:type="dxa"/>
            <w:vAlign w:val="top"/>
          </w:tcPr>
          <w:p w14:paraId="35C07DAB">
            <w:pPr>
              <w:pStyle w:val="6"/>
              <w:spacing w:before="32" w:line="177" w:lineRule="auto"/>
              <w:ind w:left="122" w:right="106" w:firstLine="4"/>
              <w:jc w:val="both"/>
            </w:pPr>
            <w:r>
              <w:rPr>
                <w:spacing w:val="8"/>
              </w:rPr>
              <w:t>责令停业整顿，依法暂扣</w:t>
            </w:r>
            <w:r>
              <w:rPr>
                <w:spacing w:val="4"/>
              </w:rPr>
              <w:t>批发许可证，处</w:t>
            </w:r>
            <w:r>
              <w:rPr>
                <w:rFonts w:ascii="宋体" w:hAnsi="宋体" w:eastAsia="宋体" w:cs="宋体"/>
                <w:spacing w:val="4"/>
              </w:rPr>
              <w:t>5</w:t>
            </w:r>
            <w:r>
              <w:rPr>
                <w:spacing w:val="4"/>
              </w:rPr>
              <w:t>万元以</w:t>
            </w:r>
            <w:r>
              <w:rPr>
                <w:spacing w:val="3"/>
              </w:rPr>
              <w:t>上</w:t>
            </w:r>
            <w:r>
              <w:rPr>
                <w:rFonts w:ascii="宋体" w:hAnsi="宋体" w:eastAsia="宋体" w:cs="宋体"/>
                <w:spacing w:val="3"/>
              </w:rPr>
              <w:t>7</w:t>
            </w:r>
            <w:r>
              <w:rPr>
                <w:spacing w:val="3"/>
              </w:rPr>
              <w:t>万元以下的罚款，并</w:t>
            </w:r>
            <w:r>
              <w:rPr>
                <w:spacing w:val="11"/>
              </w:rPr>
              <w:t>没收非法经营的物品及违</w:t>
            </w:r>
          </w:p>
        </w:tc>
        <w:tc>
          <w:tcPr>
            <w:tcW w:w="811" w:type="dxa"/>
            <w:vMerge w:val="continue"/>
            <w:tcBorders>
              <w:top w:val="nil"/>
            </w:tcBorders>
            <w:vAlign w:val="top"/>
          </w:tcPr>
          <w:p w14:paraId="17373E7E">
            <w:pPr>
              <w:rPr>
                <w:rFonts w:ascii="Arial"/>
                <w:sz w:val="21"/>
              </w:rPr>
            </w:pPr>
          </w:p>
        </w:tc>
      </w:tr>
    </w:tbl>
    <w:p w14:paraId="3671760E">
      <w:pPr>
        <w:pStyle w:val="2"/>
      </w:pPr>
    </w:p>
    <w:p w14:paraId="2C0009FB">
      <w:pPr>
        <w:sectPr>
          <w:footerReference r:id="rId212" w:type="default"/>
          <w:pgSz w:w="16839" w:h="11906"/>
          <w:pgMar w:top="1012" w:right="821" w:bottom="667" w:left="901" w:header="0" w:footer="388" w:gutter="0"/>
          <w:cols w:space="720" w:num="1"/>
        </w:sectPr>
      </w:pPr>
    </w:p>
    <w:p w14:paraId="6AECAB95">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92FD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766077D">
            <w:pPr>
              <w:spacing w:before="222" w:line="241" w:lineRule="auto"/>
              <w:ind w:left="131"/>
              <w:outlineLvl w:val="0"/>
              <w:rPr>
                <w:rFonts w:ascii="黑体" w:hAnsi="黑体" w:eastAsia="黑体" w:cs="黑体"/>
                <w:sz w:val="28"/>
                <w:szCs w:val="28"/>
              </w:rPr>
            </w:pPr>
            <w:bookmarkStart w:id="700" w:name="bookmark422"/>
            <w:bookmarkEnd w:id="700"/>
            <w:r>
              <w:rPr>
                <w:rFonts w:ascii="黑体" w:hAnsi="黑体" w:eastAsia="黑体" w:cs="黑体"/>
                <w:spacing w:val="-2"/>
                <w:sz w:val="28"/>
                <w:szCs w:val="28"/>
              </w:rPr>
              <w:t>序号</w:t>
            </w:r>
          </w:p>
        </w:tc>
        <w:tc>
          <w:tcPr>
            <w:tcW w:w="1440" w:type="dxa"/>
            <w:vAlign w:val="top"/>
          </w:tcPr>
          <w:p w14:paraId="5B6281DA">
            <w:pPr>
              <w:spacing w:before="221"/>
              <w:ind w:left="163"/>
              <w:outlineLvl w:val="1"/>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7C1BC268">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7C77658">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2A790AC">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0A4A4405">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A63CB75">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CD14027">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3676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18" w:type="dxa"/>
            <w:vMerge w:val="restart"/>
            <w:tcBorders>
              <w:bottom w:val="nil"/>
            </w:tcBorders>
            <w:vAlign w:val="top"/>
          </w:tcPr>
          <w:p w14:paraId="7D67C0DC">
            <w:pPr>
              <w:rPr>
                <w:rFonts w:ascii="Arial"/>
                <w:sz w:val="21"/>
              </w:rPr>
            </w:pPr>
          </w:p>
        </w:tc>
        <w:tc>
          <w:tcPr>
            <w:tcW w:w="1440" w:type="dxa"/>
            <w:vMerge w:val="restart"/>
            <w:tcBorders>
              <w:bottom w:val="nil"/>
            </w:tcBorders>
            <w:vAlign w:val="top"/>
          </w:tcPr>
          <w:p w14:paraId="4A7AF41F">
            <w:pPr>
              <w:rPr>
                <w:rFonts w:ascii="Arial"/>
                <w:sz w:val="21"/>
              </w:rPr>
            </w:pPr>
          </w:p>
        </w:tc>
        <w:tc>
          <w:tcPr>
            <w:tcW w:w="3202" w:type="dxa"/>
            <w:vMerge w:val="restart"/>
            <w:tcBorders>
              <w:bottom w:val="nil"/>
            </w:tcBorders>
            <w:vAlign w:val="top"/>
          </w:tcPr>
          <w:p w14:paraId="76BF6910">
            <w:pPr>
              <w:pStyle w:val="6"/>
              <w:spacing w:before="28" w:line="182" w:lineRule="auto"/>
              <w:ind w:left="119"/>
              <w:outlineLvl w:val="1"/>
            </w:pPr>
            <w:r>
              <w:rPr>
                <w:spacing w:val="17"/>
              </w:rPr>
              <w:t>证》的单位或者个人销售烟</w:t>
            </w:r>
          </w:p>
          <w:p w14:paraId="19B77708">
            <w:pPr>
              <w:pStyle w:val="6"/>
              <w:spacing w:line="209" w:lineRule="auto"/>
              <w:ind w:left="127"/>
              <w:outlineLvl w:val="1"/>
            </w:pPr>
            <w:r>
              <w:rPr>
                <w:spacing w:val="4"/>
              </w:rPr>
              <w:t>火药、黑火药、引火线。</w:t>
            </w:r>
          </w:p>
        </w:tc>
        <w:tc>
          <w:tcPr>
            <w:tcW w:w="2859" w:type="dxa"/>
            <w:vMerge w:val="restart"/>
            <w:tcBorders>
              <w:bottom w:val="nil"/>
            </w:tcBorders>
            <w:vAlign w:val="top"/>
          </w:tcPr>
          <w:p w14:paraId="44A35DD8">
            <w:pPr>
              <w:pStyle w:val="6"/>
              <w:spacing w:before="28" w:line="182" w:lineRule="auto"/>
              <w:ind w:left="150"/>
              <w:outlineLvl w:val="0"/>
            </w:pPr>
            <w:r>
              <w:rPr>
                <w:spacing w:val="5"/>
              </w:rPr>
              <w:t>向未取得烟花爆竹安全生</w:t>
            </w:r>
          </w:p>
          <w:p w14:paraId="6539D0AC">
            <w:pPr>
              <w:pStyle w:val="6"/>
              <w:spacing w:before="1" w:line="182" w:lineRule="auto"/>
              <w:ind w:left="118" w:right="110"/>
            </w:pPr>
            <w:r>
              <w:rPr>
                <w:spacing w:val="8"/>
              </w:rPr>
              <w:t>产许可证的单位或者个人销售烟火药、黑火药、引</w:t>
            </w:r>
          </w:p>
          <w:p w14:paraId="0A85CDB8">
            <w:pPr>
              <w:pStyle w:val="6"/>
              <w:spacing w:line="208" w:lineRule="auto"/>
              <w:ind w:left="126"/>
              <w:outlineLvl w:val="0"/>
            </w:pPr>
            <w:bookmarkStart w:id="701" w:name="bookmark602"/>
            <w:bookmarkEnd w:id="701"/>
            <w:bookmarkStart w:id="702" w:name="bookmark424"/>
            <w:bookmarkEnd w:id="702"/>
            <w:r>
              <w:rPr>
                <w:spacing w:val="-6"/>
              </w:rPr>
              <w:t>火线的；</w:t>
            </w:r>
          </w:p>
        </w:tc>
        <w:tc>
          <w:tcPr>
            <w:tcW w:w="803" w:type="dxa"/>
            <w:vAlign w:val="top"/>
          </w:tcPr>
          <w:p w14:paraId="37AE2CB9">
            <w:pPr>
              <w:rPr>
                <w:rFonts w:ascii="Arial"/>
                <w:sz w:val="21"/>
              </w:rPr>
            </w:pPr>
          </w:p>
        </w:tc>
        <w:tc>
          <w:tcPr>
            <w:tcW w:w="2283" w:type="dxa"/>
            <w:vAlign w:val="top"/>
          </w:tcPr>
          <w:p w14:paraId="04D73CAB">
            <w:pPr>
              <w:rPr>
                <w:rFonts w:ascii="Arial"/>
                <w:sz w:val="21"/>
              </w:rPr>
            </w:pPr>
          </w:p>
        </w:tc>
        <w:tc>
          <w:tcPr>
            <w:tcW w:w="2894" w:type="dxa"/>
            <w:vAlign w:val="top"/>
          </w:tcPr>
          <w:p w14:paraId="0A0FE320">
            <w:pPr>
              <w:pStyle w:val="6"/>
              <w:spacing w:before="29" w:line="172" w:lineRule="auto"/>
              <w:ind w:left="131" w:right="110"/>
            </w:pPr>
            <w:r>
              <w:rPr>
                <w:spacing w:val="4"/>
              </w:rPr>
              <w:t>法所得；情节严重的，依</w:t>
            </w:r>
            <w:r>
              <w:rPr>
                <w:spacing w:val="6"/>
              </w:rPr>
              <w:t>法吊销批发许可证</w:t>
            </w:r>
          </w:p>
        </w:tc>
        <w:tc>
          <w:tcPr>
            <w:tcW w:w="811" w:type="dxa"/>
            <w:vMerge w:val="restart"/>
            <w:tcBorders>
              <w:bottom w:val="nil"/>
            </w:tcBorders>
            <w:vAlign w:val="top"/>
          </w:tcPr>
          <w:p w14:paraId="2DAD0A77">
            <w:pPr>
              <w:rPr>
                <w:rFonts w:ascii="Arial"/>
                <w:sz w:val="21"/>
              </w:rPr>
            </w:pPr>
          </w:p>
        </w:tc>
      </w:tr>
      <w:tr w14:paraId="27A52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tcBorders>
            <w:vAlign w:val="top"/>
          </w:tcPr>
          <w:p w14:paraId="42B3869C">
            <w:pPr>
              <w:rPr>
                <w:rFonts w:ascii="Arial"/>
                <w:sz w:val="21"/>
              </w:rPr>
            </w:pPr>
          </w:p>
        </w:tc>
        <w:tc>
          <w:tcPr>
            <w:tcW w:w="1440" w:type="dxa"/>
            <w:vMerge w:val="continue"/>
            <w:tcBorders>
              <w:top w:val="nil"/>
            </w:tcBorders>
            <w:vAlign w:val="top"/>
          </w:tcPr>
          <w:p w14:paraId="04F3CE81">
            <w:pPr>
              <w:rPr>
                <w:rFonts w:ascii="Arial"/>
                <w:sz w:val="21"/>
              </w:rPr>
            </w:pPr>
          </w:p>
        </w:tc>
        <w:tc>
          <w:tcPr>
            <w:tcW w:w="3202" w:type="dxa"/>
            <w:vMerge w:val="continue"/>
            <w:tcBorders>
              <w:top w:val="nil"/>
            </w:tcBorders>
            <w:vAlign w:val="top"/>
          </w:tcPr>
          <w:p w14:paraId="7AA4F499">
            <w:pPr>
              <w:rPr>
                <w:rFonts w:ascii="Arial"/>
                <w:sz w:val="21"/>
              </w:rPr>
            </w:pPr>
          </w:p>
        </w:tc>
        <w:tc>
          <w:tcPr>
            <w:tcW w:w="2859" w:type="dxa"/>
            <w:vMerge w:val="continue"/>
            <w:tcBorders>
              <w:top w:val="nil"/>
            </w:tcBorders>
            <w:vAlign w:val="top"/>
          </w:tcPr>
          <w:p w14:paraId="4CF1F82D">
            <w:pPr>
              <w:rPr>
                <w:rFonts w:ascii="Arial"/>
                <w:sz w:val="21"/>
              </w:rPr>
            </w:pPr>
          </w:p>
        </w:tc>
        <w:tc>
          <w:tcPr>
            <w:tcW w:w="803" w:type="dxa"/>
            <w:vAlign w:val="top"/>
          </w:tcPr>
          <w:p w14:paraId="29D05013">
            <w:pPr>
              <w:spacing w:line="247" w:lineRule="auto"/>
              <w:rPr>
                <w:rFonts w:ascii="Arial"/>
                <w:sz w:val="21"/>
              </w:rPr>
            </w:pPr>
          </w:p>
          <w:p w14:paraId="4C8E7150">
            <w:pPr>
              <w:spacing w:line="248" w:lineRule="auto"/>
              <w:rPr>
                <w:rFonts w:ascii="Arial"/>
                <w:sz w:val="21"/>
              </w:rPr>
            </w:pPr>
          </w:p>
          <w:p w14:paraId="6CAFA384">
            <w:pPr>
              <w:spacing w:line="248" w:lineRule="auto"/>
              <w:rPr>
                <w:rFonts w:ascii="Arial"/>
                <w:sz w:val="21"/>
              </w:rPr>
            </w:pPr>
          </w:p>
          <w:p w14:paraId="7018196B">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9AA37D4">
            <w:pPr>
              <w:spacing w:line="264" w:lineRule="auto"/>
              <w:rPr>
                <w:rFonts w:ascii="Arial"/>
                <w:sz w:val="21"/>
              </w:rPr>
            </w:pPr>
          </w:p>
          <w:p w14:paraId="44D0F2BE">
            <w:pPr>
              <w:spacing w:line="264" w:lineRule="auto"/>
              <w:rPr>
                <w:rFonts w:ascii="Arial"/>
                <w:sz w:val="21"/>
              </w:rPr>
            </w:pPr>
          </w:p>
          <w:p w14:paraId="73A9CE9F">
            <w:pPr>
              <w:pStyle w:val="6"/>
              <w:spacing w:before="99" w:line="182" w:lineRule="auto"/>
              <w:ind w:left="117"/>
              <w:outlineLvl w:val="1"/>
            </w:pPr>
            <w:r>
              <w:rPr>
                <w:spacing w:val="3"/>
              </w:rPr>
              <w:t>违法所得</w:t>
            </w:r>
            <w:r>
              <w:rPr>
                <w:rFonts w:ascii="宋体" w:hAnsi="宋体" w:eastAsia="宋体" w:cs="宋体"/>
                <w:spacing w:val="3"/>
              </w:rPr>
              <w:t>10</w:t>
            </w:r>
            <w:r>
              <w:rPr>
                <w:spacing w:val="3"/>
              </w:rPr>
              <w:t>万元以</w:t>
            </w:r>
          </w:p>
          <w:p w14:paraId="7C9B2A7D">
            <w:pPr>
              <w:pStyle w:val="6"/>
              <w:spacing w:before="1" w:line="211" w:lineRule="auto"/>
              <w:ind w:left="123"/>
            </w:pPr>
            <w:r>
              <w:t>上的</w:t>
            </w:r>
          </w:p>
        </w:tc>
        <w:tc>
          <w:tcPr>
            <w:tcW w:w="2894" w:type="dxa"/>
            <w:vAlign w:val="top"/>
          </w:tcPr>
          <w:p w14:paraId="78215C70">
            <w:pPr>
              <w:pStyle w:val="6"/>
              <w:spacing w:before="30" w:line="182" w:lineRule="auto"/>
              <w:ind w:left="127"/>
              <w:outlineLvl w:val="1"/>
            </w:pPr>
            <w:r>
              <w:rPr>
                <w:spacing w:val="8"/>
              </w:rPr>
              <w:t>责令停业整顿，依法暂扣</w:t>
            </w:r>
          </w:p>
          <w:p w14:paraId="5A8DC4B4">
            <w:pPr>
              <w:pStyle w:val="6"/>
              <w:spacing w:line="178" w:lineRule="auto"/>
              <w:ind w:left="123" w:right="106" w:hanging="1"/>
              <w:jc w:val="both"/>
            </w:pPr>
            <w:r>
              <w:rPr>
                <w:spacing w:val="4"/>
              </w:rPr>
              <w:t>批发许可证，处</w:t>
            </w:r>
            <w:r>
              <w:rPr>
                <w:rFonts w:ascii="宋体" w:hAnsi="宋体" w:eastAsia="宋体" w:cs="宋体"/>
                <w:spacing w:val="4"/>
              </w:rPr>
              <w:t>7</w:t>
            </w:r>
            <w:r>
              <w:rPr>
                <w:spacing w:val="4"/>
              </w:rPr>
              <w:t>万元以</w:t>
            </w:r>
            <w:r>
              <w:rPr>
                <w:spacing w:val="-5"/>
              </w:rPr>
              <w:t>上</w:t>
            </w:r>
            <w:r>
              <w:rPr>
                <w:rFonts w:ascii="宋体" w:hAnsi="宋体" w:eastAsia="宋体" w:cs="宋体"/>
                <w:spacing w:val="-5"/>
              </w:rPr>
              <w:t>10</w:t>
            </w:r>
            <w:r>
              <w:rPr>
                <w:spacing w:val="-5"/>
              </w:rPr>
              <w:t>万元以下的罚款，并</w:t>
            </w:r>
            <w:r>
              <w:rPr>
                <w:spacing w:val="11"/>
              </w:rPr>
              <w:t>没收非法经营的物品及违</w:t>
            </w:r>
            <w:r>
              <w:rPr>
                <w:spacing w:val="4"/>
              </w:rPr>
              <w:t>法所得；情节严重的，依</w:t>
            </w:r>
            <w:r>
              <w:rPr>
                <w:spacing w:val="7"/>
              </w:rPr>
              <w:t>法吊销批发许可证</w:t>
            </w:r>
          </w:p>
        </w:tc>
        <w:tc>
          <w:tcPr>
            <w:tcW w:w="811" w:type="dxa"/>
            <w:vMerge w:val="continue"/>
            <w:tcBorders>
              <w:top w:val="nil"/>
            </w:tcBorders>
            <w:vAlign w:val="top"/>
          </w:tcPr>
          <w:p w14:paraId="45D12E3A">
            <w:pPr>
              <w:rPr>
                <w:rFonts w:ascii="Arial"/>
                <w:sz w:val="21"/>
              </w:rPr>
            </w:pPr>
          </w:p>
        </w:tc>
      </w:tr>
      <w:tr w14:paraId="4FFB5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0" w:hRule="atLeast"/>
        </w:trPr>
        <w:tc>
          <w:tcPr>
            <w:tcW w:w="818" w:type="dxa"/>
            <w:vMerge w:val="restart"/>
            <w:tcBorders>
              <w:bottom w:val="nil"/>
            </w:tcBorders>
            <w:vAlign w:val="top"/>
          </w:tcPr>
          <w:p w14:paraId="13A58243">
            <w:pPr>
              <w:spacing w:line="241" w:lineRule="auto"/>
              <w:rPr>
                <w:rFonts w:ascii="Arial"/>
                <w:sz w:val="21"/>
              </w:rPr>
            </w:pPr>
          </w:p>
          <w:p w14:paraId="65EC2B9D">
            <w:pPr>
              <w:spacing w:line="241" w:lineRule="auto"/>
              <w:rPr>
                <w:rFonts w:ascii="Arial"/>
                <w:sz w:val="21"/>
              </w:rPr>
            </w:pPr>
          </w:p>
          <w:p w14:paraId="54BB3AFE">
            <w:pPr>
              <w:spacing w:line="241" w:lineRule="auto"/>
              <w:rPr>
                <w:rFonts w:ascii="Arial"/>
                <w:sz w:val="21"/>
              </w:rPr>
            </w:pPr>
          </w:p>
          <w:p w14:paraId="6A380370">
            <w:pPr>
              <w:spacing w:line="241" w:lineRule="auto"/>
              <w:rPr>
                <w:rFonts w:ascii="Arial"/>
                <w:sz w:val="21"/>
              </w:rPr>
            </w:pPr>
          </w:p>
          <w:p w14:paraId="4E1D6A10">
            <w:pPr>
              <w:spacing w:line="241" w:lineRule="auto"/>
              <w:rPr>
                <w:rFonts w:ascii="Arial"/>
                <w:sz w:val="21"/>
              </w:rPr>
            </w:pPr>
          </w:p>
          <w:p w14:paraId="4331BD9B">
            <w:pPr>
              <w:spacing w:line="241" w:lineRule="auto"/>
              <w:rPr>
                <w:rFonts w:ascii="Arial"/>
                <w:sz w:val="21"/>
              </w:rPr>
            </w:pPr>
          </w:p>
          <w:p w14:paraId="10E7FF98">
            <w:pPr>
              <w:spacing w:line="241" w:lineRule="auto"/>
              <w:rPr>
                <w:rFonts w:ascii="Arial"/>
                <w:sz w:val="21"/>
              </w:rPr>
            </w:pPr>
          </w:p>
          <w:p w14:paraId="7DF403B2">
            <w:pPr>
              <w:spacing w:before="75" w:line="185" w:lineRule="auto"/>
              <w:ind w:left="146"/>
              <w:rPr>
                <w:rFonts w:ascii="仿宋" w:hAnsi="仿宋" w:eastAsia="仿宋" w:cs="仿宋"/>
                <w:sz w:val="23"/>
                <w:szCs w:val="23"/>
              </w:rPr>
            </w:pPr>
            <w:r>
              <w:rPr>
                <w:rFonts w:ascii="仿宋" w:hAnsi="仿宋" w:eastAsia="仿宋" w:cs="仿宋"/>
                <w:sz w:val="23"/>
                <w:szCs w:val="23"/>
              </w:rPr>
              <w:t>207</w:t>
            </w:r>
          </w:p>
        </w:tc>
        <w:tc>
          <w:tcPr>
            <w:tcW w:w="1440" w:type="dxa"/>
            <w:vMerge w:val="restart"/>
            <w:tcBorders>
              <w:bottom w:val="nil"/>
            </w:tcBorders>
            <w:vAlign w:val="top"/>
          </w:tcPr>
          <w:p w14:paraId="0447CF96">
            <w:pPr>
              <w:rPr>
                <w:rFonts w:ascii="Arial"/>
                <w:sz w:val="21"/>
              </w:rPr>
            </w:pPr>
          </w:p>
          <w:p w14:paraId="391A68E0">
            <w:pPr>
              <w:rPr>
                <w:rFonts w:ascii="Arial"/>
                <w:sz w:val="21"/>
              </w:rPr>
            </w:pPr>
          </w:p>
          <w:p w14:paraId="7CC53EFE">
            <w:pPr>
              <w:spacing w:line="241" w:lineRule="auto"/>
              <w:rPr>
                <w:rFonts w:ascii="Arial"/>
                <w:sz w:val="21"/>
              </w:rPr>
            </w:pPr>
          </w:p>
          <w:p w14:paraId="105C5B44">
            <w:pPr>
              <w:pStyle w:val="6"/>
              <w:spacing w:before="98" w:line="186" w:lineRule="auto"/>
              <w:ind w:left="114" w:right="111" w:firstLine="14"/>
            </w:pPr>
            <w:r>
              <w:rPr>
                <w:spacing w:val="3"/>
              </w:rPr>
              <w:t>生产企业、</w:t>
            </w:r>
            <w:r>
              <w:rPr>
                <w:spacing w:val="11"/>
              </w:rPr>
              <w:t>批发企业未向零售经营者或者零售经营场所提供烟花爆竹</w:t>
            </w:r>
            <w:r>
              <w:rPr>
                <w:spacing w:val="7"/>
              </w:rPr>
              <w:t>配送服务的</w:t>
            </w:r>
          </w:p>
        </w:tc>
        <w:tc>
          <w:tcPr>
            <w:tcW w:w="3202" w:type="dxa"/>
            <w:vMerge w:val="restart"/>
            <w:tcBorders>
              <w:bottom w:val="nil"/>
            </w:tcBorders>
            <w:vAlign w:val="top"/>
          </w:tcPr>
          <w:p w14:paraId="50653B54">
            <w:pPr>
              <w:pStyle w:val="6"/>
              <w:spacing w:before="31" w:line="185" w:lineRule="auto"/>
              <w:ind w:left="116" w:right="111" w:hanging="18"/>
            </w:pPr>
            <w:r>
              <w:rPr>
                <w:spacing w:val="18"/>
              </w:rPr>
              <w:t>【部门规章】《烟花爆竹生</w:t>
            </w:r>
            <w:r>
              <w:rPr>
                <w:spacing w:val="17"/>
              </w:rPr>
              <w:t>产经营安全规定》第二十七</w:t>
            </w:r>
            <w:r>
              <w:rPr>
                <w:spacing w:val="13"/>
              </w:rPr>
              <w:t>条：批发企业应当向零售经</w:t>
            </w:r>
            <w:r>
              <w:rPr>
                <w:spacing w:val="17"/>
              </w:rPr>
              <w:t>营者及零售经营场所提供烟花爆竹配送服务。配送烟花爆竹抵达零售经营场所装卸</w:t>
            </w:r>
            <w:r>
              <w:rPr>
                <w:spacing w:val="13"/>
              </w:rPr>
              <w:t>作业时，应当轻拿轻放、妥</w:t>
            </w:r>
            <w:r>
              <w:rPr>
                <w:spacing w:val="10"/>
              </w:rPr>
              <w:t>善码放，禁止碰撞、拖拉、</w:t>
            </w:r>
            <w:r>
              <w:rPr>
                <w:spacing w:val="17"/>
              </w:rPr>
              <w:t>抛摔、翻滚、摩擦、挤压等</w:t>
            </w:r>
            <w:r>
              <w:rPr>
                <w:spacing w:val="1"/>
              </w:rPr>
              <w:t>不安全行为。</w:t>
            </w:r>
          </w:p>
        </w:tc>
        <w:tc>
          <w:tcPr>
            <w:tcW w:w="2859" w:type="dxa"/>
            <w:vMerge w:val="restart"/>
            <w:tcBorders>
              <w:bottom w:val="nil"/>
            </w:tcBorders>
            <w:vAlign w:val="top"/>
          </w:tcPr>
          <w:p w14:paraId="52718C52">
            <w:pPr>
              <w:pStyle w:val="6"/>
              <w:spacing w:before="31" w:line="185" w:lineRule="auto"/>
              <w:ind w:left="115" w:hanging="18"/>
              <w:jc w:val="both"/>
            </w:pPr>
            <w:r>
              <w:rPr>
                <w:spacing w:val="9"/>
              </w:rPr>
              <w:t>【部门规章】《烟花爆竹</w:t>
            </w:r>
            <w:r>
              <w:rPr>
                <w:spacing w:val="7"/>
              </w:rPr>
              <w:t>生产经营安全规定》第三</w:t>
            </w:r>
            <w:r>
              <w:rPr>
                <w:spacing w:val="-5"/>
              </w:rPr>
              <w:t>十三条第二项：生产企业、</w:t>
            </w:r>
            <w:r>
              <w:rPr>
                <w:spacing w:val="4"/>
              </w:rPr>
              <w:t>批发企业有下列行为之一</w:t>
            </w:r>
            <w:r>
              <w:rPr>
                <w:spacing w:val="7"/>
              </w:rPr>
              <w:t>的，责令限期改正；逾期未改正的，处一万元以上</w:t>
            </w:r>
            <w:r>
              <w:rPr>
                <w:spacing w:val="-4"/>
              </w:rPr>
              <w:t>三万元以下的罚款</w:t>
            </w:r>
            <w:r>
              <w:rPr>
                <w:spacing w:val="8"/>
              </w:rPr>
              <w:t>：（</w:t>
            </w:r>
            <w:r>
              <w:rPr>
                <w:spacing w:val="-4"/>
              </w:rPr>
              <w:t>二）</w:t>
            </w:r>
            <w:r>
              <w:rPr>
                <w:spacing w:val="7"/>
              </w:rPr>
              <w:t>未向零售经营者或者零售经营场所提供烟花爆竹配</w:t>
            </w:r>
            <w:r>
              <w:rPr>
                <w:spacing w:val="-1"/>
              </w:rPr>
              <w:t>送服务的。</w:t>
            </w:r>
          </w:p>
        </w:tc>
        <w:tc>
          <w:tcPr>
            <w:tcW w:w="803" w:type="dxa"/>
            <w:vAlign w:val="top"/>
          </w:tcPr>
          <w:p w14:paraId="7269BB4F">
            <w:pPr>
              <w:spacing w:line="476" w:lineRule="auto"/>
              <w:rPr>
                <w:rFonts w:ascii="Arial"/>
                <w:sz w:val="21"/>
              </w:rPr>
            </w:pPr>
          </w:p>
          <w:p w14:paraId="48FBB76D">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58A494BF">
            <w:pPr>
              <w:pStyle w:val="6"/>
              <w:spacing w:before="62" w:line="182" w:lineRule="auto"/>
              <w:ind w:left="116" w:right="109" w:firstLine="1"/>
              <w:jc w:val="both"/>
            </w:pPr>
            <w:r>
              <w:rPr>
                <w:spacing w:val="26"/>
              </w:rPr>
              <w:t>未向零售经营者或者零售经营场所提供烟花爆竹配送服</w:t>
            </w:r>
            <w:r>
              <w:rPr>
                <w:spacing w:val="-7"/>
              </w:rPr>
              <w:t>务</w:t>
            </w:r>
            <w:r>
              <w:rPr>
                <w:rFonts w:ascii="宋体" w:hAnsi="宋体" w:eastAsia="宋体" w:cs="宋体"/>
                <w:spacing w:val="-7"/>
              </w:rPr>
              <w:t>1</w:t>
            </w:r>
            <w:r>
              <w:rPr>
                <w:spacing w:val="-7"/>
              </w:rPr>
              <w:t>次的</w:t>
            </w:r>
          </w:p>
        </w:tc>
        <w:tc>
          <w:tcPr>
            <w:tcW w:w="2894" w:type="dxa"/>
            <w:vAlign w:val="top"/>
          </w:tcPr>
          <w:p w14:paraId="604A017A">
            <w:pPr>
              <w:pStyle w:val="6"/>
              <w:spacing w:before="214" w:line="191" w:lineRule="auto"/>
              <w:ind w:left="127" w:right="104"/>
              <w:jc w:val="both"/>
            </w:pPr>
            <w:r>
              <w:rPr>
                <w:spacing w:val="8"/>
              </w:rPr>
              <w:t>责令限期改正；逾期未改</w:t>
            </w:r>
            <w:r>
              <w:rPr>
                <w:spacing w:val="-1"/>
              </w:rPr>
              <w:t>正的，处</w:t>
            </w:r>
            <w:r>
              <w:rPr>
                <w:rFonts w:ascii="宋体" w:hAnsi="宋体" w:eastAsia="宋体" w:cs="宋体"/>
                <w:spacing w:val="-1"/>
              </w:rPr>
              <w:t>1</w:t>
            </w:r>
            <w:r>
              <w:rPr>
                <w:spacing w:val="-1"/>
              </w:rPr>
              <w:t>万元以上</w:t>
            </w:r>
            <w:r>
              <w:rPr>
                <w:rFonts w:ascii="宋体" w:hAnsi="宋体" w:eastAsia="宋体" w:cs="宋体"/>
                <w:spacing w:val="-1"/>
              </w:rPr>
              <w:t>1.5</w:t>
            </w:r>
            <w:r>
              <w:rPr>
                <w:spacing w:val="6"/>
              </w:rPr>
              <w:t>万元以下的罚款</w:t>
            </w:r>
          </w:p>
        </w:tc>
        <w:tc>
          <w:tcPr>
            <w:tcW w:w="811" w:type="dxa"/>
            <w:vMerge w:val="restart"/>
            <w:tcBorders>
              <w:bottom w:val="nil"/>
            </w:tcBorders>
            <w:vAlign w:val="top"/>
          </w:tcPr>
          <w:p w14:paraId="543127BB">
            <w:pPr>
              <w:rPr>
                <w:rFonts w:ascii="Arial"/>
                <w:sz w:val="21"/>
              </w:rPr>
            </w:pPr>
          </w:p>
          <w:p w14:paraId="20170E13">
            <w:pPr>
              <w:rPr>
                <w:rFonts w:ascii="Arial"/>
                <w:sz w:val="21"/>
              </w:rPr>
            </w:pPr>
          </w:p>
          <w:p w14:paraId="178DFA43">
            <w:pPr>
              <w:rPr>
                <w:rFonts w:ascii="Arial"/>
                <w:sz w:val="21"/>
              </w:rPr>
            </w:pPr>
          </w:p>
          <w:p w14:paraId="0C95AA84">
            <w:pPr>
              <w:rPr>
                <w:rFonts w:ascii="Arial"/>
                <w:sz w:val="21"/>
              </w:rPr>
            </w:pPr>
          </w:p>
          <w:p w14:paraId="3B02F207">
            <w:pPr>
              <w:rPr>
                <w:rFonts w:ascii="Arial"/>
                <w:sz w:val="21"/>
              </w:rPr>
            </w:pPr>
          </w:p>
          <w:p w14:paraId="44B93EE0">
            <w:pPr>
              <w:spacing w:line="241" w:lineRule="auto"/>
              <w:rPr>
                <w:rFonts w:ascii="Arial"/>
                <w:sz w:val="21"/>
              </w:rPr>
            </w:pPr>
          </w:p>
          <w:p w14:paraId="2093CFAB">
            <w:pPr>
              <w:spacing w:line="241" w:lineRule="auto"/>
              <w:rPr>
                <w:rFonts w:ascii="Arial"/>
                <w:sz w:val="21"/>
              </w:rPr>
            </w:pPr>
          </w:p>
          <w:p w14:paraId="2C830489">
            <w:pPr>
              <w:spacing w:before="75" w:line="189" w:lineRule="auto"/>
              <w:ind w:left="248"/>
              <w:rPr>
                <w:rFonts w:ascii="宋体" w:hAnsi="宋体" w:eastAsia="宋体" w:cs="宋体"/>
                <w:sz w:val="23"/>
                <w:szCs w:val="23"/>
              </w:rPr>
            </w:pPr>
            <w:r>
              <w:rPr>
                <w:rFonts w:ascii="宋体" w:hAnsi="宋体" w:eastAsia="宋体" w:cs="宋体"/>
                <w:spacing w:val="-6"/>
                <w:sz w:val="23"/>
                <w:szCs w:val="23"/>
              </w:rPr>
              <w:t>171</w:t>
            </w:r>
          </w:p>
        </w:tc>
      </w:tr>
      <w:tr w14:paraId="5EA3E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18" w:type="dxa"/>
            <w:vMerge w:val="continue"/>
            <w:tcBorders>
              <w:top w:val="nil"/>
              <w:bottom w:val="nil"/>
            </w:tcBorders>
            <w:vAlign w:val="top"/>
          </w:tcPr>
          <w:p w14:paraId="115FC398">
            <w:pPr>
              <w:rPr>
                <w:rFonts w:ascii="Arial"/>
                <w:sz w:val="21"/>
              </w:rPr>
            </w:pPr>
          </w:p>
        </w:tc>
        <w:tc>
          <w:tcPr>
            <w:tcW w:w="1440" w:type="dxa"/>
            <w:vMerge w:val="continue"/>
            <w:tcBorders>
              <w:top w:val="nil"/>
              <w:bottom w:val="nil"/>
            </w:tcBorders>
            <w:vAlign w:val="top"/>
          </w:tcPr>
          <w:p w14:paraId="6AABBF2D">
            <w:pPr>
              <w:rPr>
                <w:rFonts w:ascii="Arial"/>
                <w:sz w:val="21"/>
              </w:rPr>
            </w:pPr>
          </w:p>
        </w:tc>
        <w:tc>
          <w:tcPr>
            <w:tcW w:w="3202" w:type="dxa"/>
            <w:vMerge w:val="continue"/>
            <w:tcBorders>
              <w:top w:val="nil"/>
              <w:bottom w:val="nil"/>
            </w:tcBorders>
            <w:vAlign w:val="top"/>
          </w:tcPr>
          <w:p w14:paraId="6D4864D1">
            <w:pPr>
              <w:rPr>
                <w:rFonts w:ascii="Arial"/>
                <w:sz w:val="21"/>
              </w:rPr>
            </w:pPr>
          </w:p>
        </w:tc>
        <w:tc>
          <w:tcPr>
            <w:tcW w:w="2859" w:type="dxa"/>
            <w:vMerge w:val="continue"/>
            <w:tcBorders>
              <w:top w:val="nil"/>
              <w:bottom w:val="nil"/>
            </w:tcBorders>
            <w:vAlign w:val="top"/>
          </w:tcPr>
          <w:p w14:paraId="7683EB06">
            <w:pPr>
              <w:rPr>
                <w:rFonts w:ascii="Arial"/>
                <w:sz w:val="21"/>
              </w:rPr>
            </w:pPr>
          </w:p>
        </w:tc>
        <w:tc>
          <w:tcPr>
            <w:tcW w:w="803" w:type="dxa"/>
            <w:vAlign w:val="top"/>
          </w:tcPr>
          <w:p w14:paraId="0E0EAEC3">
            <w:pPr>
              <w:spacing w:line="448" w:lineRule="auto"/>
              <w:rPr>
                <w:rFonts w:ascii="Arial"/>
                <w:sz w:val="21"/>
              </w:rPr>
            </w:pPr>
          </w:p>
          <w:p w14:paraId="0829CB1F">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0F1F978">
            <w:pPr>
              <w:pStyle w:val="6"/>
              <w:spacing w:before="30" w:line="177" w:lineRule="auto"/>
              <w:ind w:left="116" w:right="109" w:firstLine="1"/>
              <w:jc w:val="both"/>
            </w:pPr>
            <w:r>
              <w:rPr>
                <w:spacing w:val="26"/>
              </w:rPr>
              <w:t>未向零售经营者或者零售经营场所提供烟花爆竹配送服</w:t>
            </w:r>
            <w:r>
              <w:rPr>
                <w:spacing w:val="-2"/>
              </w:rPr>
              <w:t>务</w:t>
            </w:r>
            <w:r>
              <w:rPr>
                <w:rFonts w:ascii="宋体" w:hAnsi="宋体" w:eastAsia="宋体" w:cs="宋体"/>
                <w:spacing w:val="-2"/>
              </w:rPr>
              <w:t>2</w:t>
            </w:r>
            <w:r>
              <w:rPr>
                <w:spacing w:val="-2"/>
              </w:rPr>
              <w:t>次的</w:t>
            </w:r>
          </w:p>
        </w:tc>
        <w:tc>
          <w:tcPr>
            <w:tcW w:w="2894" w:type="dxa"/>
            <w:vAlign w:val="top"/>
          </w:tcPr>
          <w:p w14:paraId="453835AE">
            <w:pPr>
              <w:pStyle w:val="6"/>
              <w:spacing w:before="182" w:line="191" w:lineRule="auto"/>
              <w:ind w:left="127" w:right="104"/>
              <w:jc w:val="both"/>
            </w:pPr>
            <w:r>
              <w:rPr>
                <w:spacing w:val="8"/>
              </w:rPr>
              <w:t>责令限期改正；逾期未改</w:t>
            </w:r>
            <w:r>
              <w:rPr>
                <w:spacing w:val="2"/>
              </w:rPr>
              <w:t>正的，处</w:t>
            </w:r>
            <w:r>
              <w:rPr>
                <w:rFonts w:ascii="宋体" w:hAnsi="宋体" w:eastAsia="宋体" w:cs="宋体"/>
                <w:spacing w:val="2"/>
              </w:rPr>
              <w:t>1.5</w:t>
            </w:r>
            <w:r>
              <w:rPr>
                <w:spacing w:val="2"/>
              </w:rPr>
              <w:t>万元以上</w:t>
            </w:r>
            <w:r>
              <w:rPr>
                <w:rFonts w:ascii="宋体" w:hAnsi="宋体" w:eastAsia="宋体" w:cs="宋体"/>
                <w:spacing w:val="2"/>
              </w:rPr>
              <w:t>2</w:t>
            </w:r>
            <w:r>
              <w:rPr>
                <w:spacing w:val="6"/>
              </w:rPr>
              <w:t>万元以下的罚款</w:t>
            </w:r>
          </w:p>
        </w:tc>
        <w:tc>
          <w:tcPr>
            <w:tcW w:w="811" w:type="dxa"/>
            <w:vMerge w:val="continue"/>
            <w:tcBorders>
              <w:top w:val="nil"/>
              <w:bottom w:val="nil"/>
            </w:tcBorders>
            <w:vAlign w:val="top"/>
          </w:tcPr>
          <w:p w14:paraId="019E7D1A">
            <w:pPr>
              <w:rPr>
                <w:rFonts w:ascii="Arial"/>
                <w:sz w:val="21"/>
              </w:rPr>
            </w:pPr>
          </w:p>
        </w:tc>
      </w:tr>
      <w:tr w14:paraId="4B7BC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continue"/>
            <w:tcBorders>
              <w:top w:val="nil"/>
            </w:tcBorders>
            <w:vAlign w:val="top"/>
          </w:tcPr>
          <w:p w14:paraId="406B0E9B">
            <w:pPr>
              <w:rPr>
                <w:rFonts w:ascii="Arial"/>
                <w:sz w:val="21"/>
              </w:rPr>
            </w:pPr>
          </w:p>
        </w:tc>
        <w:tc>
          <w:tcPr>
            <w:tcW w:w="1440" w:type="dxa"/>
            <w:vMerge w:val="continue"/>
            <w:tcBorders>
              <w:top w:val="nil"/>
            </w:tcBorders>
            <w:vAlign w:val="top"/>
          </w:tcPr>
          <w:p w14:paraId="48FEFFF3">
            <w:pPr>
              <w:rPr>
                <w:rFonts w:ascii="Arial"/>
                <w:sz w:val="21"/>
              </w:rPr>
            </w:pPr>
          </w:p>
        </w:tc>
        <w:tc>
          <w:tcPr>
            <w:tcW w:w="3202" w:type="dxa"/>
            <w:vMerge w:val="continue"/>
            <w:tcBorders>
              <w:top w:val="nil"/>
            </w:tcBorders>
            <w:vAlign w:val="top"/>
          </w:tcPr>
          <w:p w14:paraId="487ACCD0">
            <w:pPr>
              <w:rPr>
                <w:rFonts w:ascii="Arial"/>
                <w:sz w:val="21"/>
              </w:rPr>
            </w:pPr>
          </w:p>
        </w:tc>
        <w:tc>
          <w:tcPr>
            <w:tcW w:w="2859" w:type="dxa"/>
            <w:vMerge w:val="continue"/>
            <w:tcBorders>
              <w:top w:val="nil"/>
            </w:tcBorders>
            <w:vAlign w:val="top"/>
          </w:tcPr>
          <w:p w14:paraId="7E9A5127">
            <w:pPr>
              <w:rPr>
                <w:rFonts w:ascii="Arial"/>
                <w:sz w:val="21"/>
              </w:rPr>
            </w:pPr>
          </w:p>
        </w:tc>
        <w:tc>
          <w:tcPr>
            <w:tcW w:w="803" w:type="dxa"/>
            <w:vAlign w:val="top"/>
          </w:tcPr>
          <w:p w14:paraId="0C5C625C">
            <w:pPr>
              <w:spacing w:line="447" w:lineRule="auto"/>
              <w:rPr>
                <w:rFonts w:ascii="Arial"/>
                <w:sz w:val="21"/>
              </w:rPr>
            </w:pPr>
          </w:p>
          <w:p w14:paraId="12C0897E">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9F945B3">
            <w:pPr>
              <w:pStyle w:val="6"/>
              <w:spacing w:before="29" w:line="177" w:lineRule="auto"/>
              <w:ind w:left="116" w:right="109" w:firstLine="1"/>
              <w:jc w:val="both"/>
            </w:pPr>
            <w:r>
              <w:rPr>
                <w:spacing w:val="26"/>
              </w:rPr>
              <w:t>未向零售经营者或者零售经营场所提供烟花爆竹配送服</w:t>
            </w:r>
            <w:r>
              <w:rPr>
                <w:spacing w:val="1"/>
              </w:rPr>
              <w:t>务</w:t>
            </w:r>
            <w:r>
              <w:rPr>
                <w:rFonts w:ascii="宋体" w:hAnsi="宋体" w:eastAsia="宋体" w:cs="宋体"/>
                <w:spacing w:val="1"/>
              </w:rPr>
              <w:t>3</w:t>
            </w:r>
            <w:r>
              <w:rPr>
                <w:spacing w:val="1"/>
              </w:rPr>
              <w:t>次以上的</w:t>
            </w:r>
          </w:p>
        </w:tc>
        <w:tc>
          <w:tcPr>
            <w:tcW w:w="2894" w:type="dxa"/>
            <w:vAlign w:val="top"/>
          </w:tcPr>
          <w:p w14:paraId="3AFC011E">
            <w:pPr>
              <w:pStyle w:val="6"/>
              <w:spacing w:before="182" w:line="191" w:lineRule="auto"/>
              <w:ind w:left="124" w:right="104" w:firstLine="2"/>
              <w:jc w:val="both"/>
            </w:pPr>
            <w:r>
              <w:rPr>
                <w:spacing w:val="8"/>
              </w:rPr>
              <w:t>责令限期改正；逾期未改</w:t>
            </w:r>
            <w:r>
              <w:rPr>
                <w:spacing w:val="1"/>
              </w:rPr>
              <w:t>正的，处</w:t>
            </w:r>
            <w:r>
              <w:rPr>
                <w:rFonts w:ascii="宋体" w:hAnsi="宋体" w:eastAsia="宋体" w:cs="宋体"/>
                <w:spacing w:val="1"/>
              </w:rPr>
              <w:t>2</w:t>
            </w:r>
            <w:r>
              <w:rPr>
                <w:spacing w:val="1"/>
              </w:rPr>
              <w:t>万元以上</w:t>
            </w:r>
            <w:r>
              <w:rPr>
                <w:rFonts w:ascii="宋体" w:hAnsi="宋体" w:eastAsia="宋体" w:cs="宋体"/>
                <w:spacing w:val="1"/>
              </w:rPr>
              <w:t>3</w:t>
            </w:r>
            <w:r>
              <w:rPr>
                <w:spacing w:val="1"/>
              </w:rPr>
              <w:t>万</w:t>
            </w:r>
            <w:r>
              <w:rPr>
                <w:spacing w:val="6"/>
              </w:rPr>
              <w:t>元以下的罚款</w:t>
            </w:r>
          </w:p>
        </w:tc>
        <w:tc>
          <w:tcPr>
            <w:tcW w:w="811" w:type="dxa"/>
            <w:vMerge w:val="continue"/>
            <w:tcBorders>
              <w:top w:val="nil"/>
            </w:tcBorders>
            <w:vAlign w:val="top"/>
          </w:tcPr>
          <w:p w14:paraId="4458499E">
            <w:pPr>
              <w:rPr>
                <w:rFonts w:ascii="Arial"/>
                <w:sz w:val="21"/>
              </w:rPr>
            </w:pPr>
          </w:p>
        </w:tc>
      </w:tr>
      <w:tr w14:paraId="49FFA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restart"/>
            <w:tcBorders>
              <w:bottom w:val="nil"/>
            </w:tcBorders>
            <w:vAlign w:val="top"/>
          </w:tcPr>
          <w:p w14:paraId="01FEF06A">
            <w:pPr>
              <w:spacing w:line="270" w:lineRule="auto"/>
              <w:rPr>
                <w:rFonts w:ascii="Arial"/>
                <w:sz w:val="21"/>
              </w:rPr>
            </w:pPr>
          </w:p>
          <w:p w14:paraId="27FE528A">
            <w:pPr>
              <w:spacing w:line="270" w:lineRule="auto"/>
              <w:rPr>
                <w:rFonts w:ascii="Arial"/>
                <w:sz w:val="21"/>
              </w:rPr>
            </w:pPr>
          </w:p>
          <w:p w14:paraId="1080D6F0">
            <w:pPr>
              <w:spacing w:line="270" w:lineRule="auto"/>
              <w:rPr>
                <w:rFonts w:ascii="Arial"/>
                <w:sz w:val="21"/>
              </w:rPr>
            </w:pPr>
          </w:p>
          <w:p w14:paraId="42E35853">
            <w:pPr>
              <w:spacing w:line="271" w:lineRule="auto"/>
              <w:rPr>
                <w:rFonts w:ascii="Arial"/>
                <w:sz w:val="21"/>
              </w:rPr>
            </w:pPr>
          </w:p>
          <w:p w14:paraId="0120C8D5">
            <w:pPr>
              <w:spacing w:line="271" w:lineRule="auto"/>
              <w:rPr>
                <w:rFonts w:ascii="Arial"/>
                <w:sz w:val="21"/>
              </w:rPr>
            </w:pPr>
          </w:p>
          <w:p w14:paraId="13A64AA4">
            <w:pPr>
              <w:spacing w:before="75" w:line="185" w:lineRule="auto"/>
              <w:ind w:left="146"/>
              <w:rPr>
                <w:rFonts w:ascii="仿宋" w:hAnsi="仿宋" w:eastAsia="仿宋" w:cs="仿宋"/>
                <w:sz w:val="23"/>
                <w:szCs w:val="23"/>
              </w:rPr>
            </w:pPr>
            <w:r>
              <w:rPr>
                <w:rFonts w:ascii="仿宋" w:hAnsi="仿宋" w:eastAsia="仿宋" w:cs="仿宋"/>
                <w:sz w:val="23"/>
                <w:szCs w:val="23"/>
              </w:rPr>
              <w:t>208</w:t>
            </w:r>
          </w:p>
        </w:tc>
        <w:tc>
          <w:tcPr>
            <w:tcW w:w="1440" w:type="dxa"/>
            <w:vMerge w:val="restart"/>
            <w:tcBorders>
              <w:bottom w:val="nil"/>
            </w:tcBorders>
            <w:vAlign w:val="top"/>
          </w:tcPr>
          <w:p w14:paraId="31B51525">
            <w:pPr>
              <w:pStyle w:val="6"/>
              <w:spacing w:before="29" w:line="181" w:lineRule="auto"/>
              <w:ind w:left="114" w:right="109"/>
            </w:pPr>
            <w:r>
              <w:rPr>
                <w:spacing w:val="11"/>
              </w:rPr>
              <w:t>存在粉尘涉</w:t>
            </w:r>
            <w:r>
              <w:rPr>
                <w:spacing w:val="12"/>
              </w:rPr>
              <w:t>爆危险的工</w:t>
            </w:r>
            <w:r>
              <w:rPr>
                <w:spacing w:val="-8"/>
                <w:w w:val="99"/>
              </w:rPr>
              <w:t>贸企业新</w:t>
            </w:r>
            <w:r>
              <w:rPr>
                <w:spacing w:val="6"/>
              </w:rPr>
              <w:t>建、改建、</w:t>
            </w:r>
            <w:r>
              <w:rPr>
                <w:spacing w:val="11"/>
              </w:rPr>
              <w:t>扩建工程项目安全设施没有进行粉尘防爆安全</w:t>
            </w:r>
            <w:r>
              <w:rPr>
                <w:spacing w:val="4"/>
              </w:rPr>
              <w:t>设计，或者</w:t>
            </w:r>
            <w:r>
              <w:rPr>
                <w:spacing w:val="11"/>
              </w:rPr>
              <w:t>未按照设计</w:t>
            </w:r>
          </w:p>
        </w:tc>
        <w:tc>
          <w:tcPr>
            <w:tcW w:w="3202" w:type="dxa"/>
            <w:vMerge w:val="restart"/>
            <w:tcBorders>
              <w:bottom w:val="nil"/>
            </w:tcBorders>
            <w:vAlign w:val="top"/>
          </w:tcPr>
          <w:p w14:paraId="592B10CC">
            <w:pPr>
              <w:pStyle w:val="6"/>
              <w:spacing w:before="29" w:line="181" w:lineRule="auto"/>
              <w:ind w:left="118" w:right="42" w:hanging="20"/>
            </w:pPr>
            <w:r>
              <w:rPr>
                <w:spacing w:val="18"/>
              </w:rPr>
              <w:t>【部门规章】《工贸企业粉</w:t>
            </w:r>
            <w:r>
              <w:rPr>
                <w:spacing w:val="3"/>
              </w:rPr>
              <w:t>尘防爆安全规定》第十三条：</w:t>
            </w:r>
            <w:r>
              <w:rPr>
                <w:spacing w:val="14"/>
              </w:rPr>
              <w:t>粉尘涉爆企业新建、改建、</w:t>
            </w:r>
            <w:r>
              <w:rPr>
                <w:spacing w:val="17"/>
              </w:rPr>
              <w:t>扩建涉及粉尘爆炸危险的工程项目安全设施的设计、施工应当按照《粉尘防爆安全规程》等有关国家标准或者</w:t>
            </w:r>
            <w:r>
              <w:rPr>
                <w:spacing w:val="13"/>
              </w:rPr>
              <w:t>行业标准，在安全设施设计</w:t>
            </w:r>
            <w:r>
              <w:rPr>
                <w:spacing w:val="17"/>
              </w:rPr>
              <w:t>文件、施工方案中明确粉尘</w:t>
            </w:r>
            <w:r>
              <w:rPr>
                <w:spacing w:val="3"/>
              </w:rPr>
              <w:t>防爆的相关内容。</w:t>
            </w:r>
          </w:p>
        </w:tc>
        <w:tc>
          <w:tcPr>
            <w:tcW w:w="2859" w:type="dxa"/>
            <w:vMerge w:val="restart"/>
            <w:tcBorders>
              <w:bottom w:val="nil"/>
            </w:tcBorders>
            <w:vAlign w:val="top"/>
          </w:tcPr>
          <w:p w14:paraId="50C3113D">
            <w:pPr>
              <w:pStyle w:val="6"/>
              <w:spacing w:before="29" w:line="181" w:lineRule="auto"/>
              <w:ind w:left="114" w:right="105" w:hanging="17"/>
            </w:pPr>
            <w:r>
              <w:rPr>
                <w:spacing w:val="10"/>
              </w:rPr>
              <w:t>【部门规章】《工贸企业</w:t>
            </w:r>
            <w:r>
              <w:rPr>
                <w:spacing w:val="8"/>
              </w:rPr>
              <w:t>粉尘防爆安全规定》第三十条第一项：粉尘涉爆企</w:t>
            </w:r>
            <w:r>
              <w:rPr>
                <w:spacing w:val="2"/>
              </w:rPr>
              <w:t>业有下列情形之一的，由</w:t>
            </w:r>
            <w:r>
              <w:rPr>
                <w:spacing w:val="8"/>
              </w:rPr>
              <w:t>负责粉尘涉爆企业安全监</w:t>
            </w:r>
            <w:r>
              <w:rPr>
                <w:spacing w:val="7"/>
              </w:rPr>
              <w:t>管的部门责令限期改正，</w:t>
            </w:r>
            <w:r>
              <w:rPr>
                <w:spacing w:val="4"/>
              </w:rPr>
              <w:t>处</w:t>
            </w:r>
            <w:r>
              <w:rPr>
                <w:rFonts w:ascii="宋体" w:hAnsi="宋体" w:eastAsia="宋体" w:cs="宋体"/>
                <w:spacing w:val="4"/>
              </w:rPr>
              <w:t>3</w:t>
            </w:r>
            <w:r>
              <w:rPr>
                <w:spacing w:val="4"/>
              </w:rPr>
              <w:t>万元以下的罚款，对</w:t>
            </w:r>
            <w:r>
              <w:rPr>
                <w:spacing w:val="8"/>
              </w:rPr>
              <w:t>其直接负责的主管人员和</w:t>
            </w:r>
            <w:r>
              <w:rPr>
                <w:spacing w:val="3"/>
              </w:rPr>
              <w:t>其他直接责任人员处</w:t>
            </w:r>
            <w:r>
              <w:rPr>
                <w:rFonts w:ascii="宋体" w:hAnsi="宋体" w:eastAsia="宋体" w:cs="宋体"/>
                <w:spacing w:val="3"/>
              </w:rPr>
              <w:t>1</w:t>
            </w:r>
            <w:r>
              <w:rPr>
                <w:spacing w:val="3"/>
              </w:rPr>
              <w:t>万</w:t>
            </w:r>
            <w:r>
              <w:rPr>
                <w:spacing w:val="-3"/>
              </w:rPr>
              <w:t>元以下的罚款</w:t>
            </w:r>
            <w:r>
              <w:rPr>
                <w:spacing w:val="-4"/>
              </w:rPr>
              <w:t>：（</w:t>
            </w:r>
            <w:r>
              <w:rPr>
                <w:spacing w:val="-3"/>
              </w:rPr>
              <w:t>一）企</w:t>
            </w:r>
          </w:p>
        </w:tc>
        <w:tc>
          <w:tcPr>
            <w:tcW w:w="803" w:type="dxa"/>
            <w:vAlign w:val="top"/>
          </w:tcPr>
          <w:p w14:paraId="4B20E294">
            <w:pPr>
              <w:spacing w:line="297" w:lineRule="auto"/>
              <w:rPr>
                <w:rFonts w:ascii="Arial"/>
                <w:sz w:val="21"/>
              </w:rPr>
            </w:pPr>
          </w:p>
          <w:p w14:paraId="5F0A5435">
            <w:pPr>
              <w:spacing w:line="298" w:lineRule="auto"/>
              <w:rPr>
                <w:rFonts w:ascii="Arial"/>
                <w:sz w:val="21"/>
              </w:rPr>
            </w:pPr>
          </w:p>
          <w:p w14:paraId="0EF69748">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2F58C328">
            <w:pPr>
              <w:spacing w:line="381" w:lineRule="auto"/>
              <w:rPr>
                <w:rFonts w:ascii="Arial"/>
                <w:sz w:val="21"/>
              </w:rPr>
            </w:pPr>
          </w:p>
          <w:p w14:paraId="083AD513">
            <w:pPr>
              <w:pStyle w:val="6"/>
              <w:spacing w:before="98" w:line="182" w:lineRule="auto"/>
              <w:ind w:left="117"/>
            </w:pPr>
            <w:r>
              <w:rPr>
                <w:spacing w:val="26"/>
              </w:rPr>
              <w:t>建设项目总投资额</w:t>
            </w:r>
          </w:p>
          <w:p w14:paraId="316E68BE">
            <w:pPr>
              <w:pStyle w:val="6"/>
              <w:spacing w:before="1" w:line="208" w:lineRule="auto"/>
              <w:ind w:left="131"/>
            </w:pPr>
            <w:r>
              <w:rPr>
                <w:rFonts w:ascii="宋体" w:hAnsi="宋体" w:eastAsia="宋体" w:cs="宋体"/>
                <w:spacing w:val="1"/>
              </w:rPr>
              <w:t>1000</w:t>
            </w:r>
            <w:r>
              <w:rPr>
                <w:spacing w:val="1"/>
              </w:rPr>
              <w:t>万元以下的</w:t>
            </w:r>
          </w:p>
        </w:tc>
        <w:tc>
          <w:tcPr>
            <w:tcW w:w="2894" w:type="dxa"/>
            <w:vAlign w:val="top"/>
          </w:tcPr>
          <w:p w14:paraId="2F3F2CC8">
            <w:pPr>
              <w:pStyle w:val="6"/>
              <w:spacing w:before="30" w:line="178" w:lineRule="auto"/>
              <w:ind w:left="127" w:right="103"/>
              <w:jc w:val="both"/>
            </w:pPr>
            <w:r>
              <w:rPr>
                <w:spacing w:val="2"/>
              </w:rPr>
              <w:t>责令限期改正，处</w:t>
            </w:r>
            <w:r>
              <w:rPr>
                <w:rFonts w:ascii="宋体" w:hAnsi="宋体" w:eastAsia="宋体" w:cs="宋体"/>
                <w:spacing w:val="2"/>
              </w:rPr>
              <w:t>1</w:t>
            </w:r>
            <w:r>
              <w:rPr>
                <w:spacing w:val="2"/>
              </w:rPr>
              <w:t>万元</w:t>
            </w:r>
            <w:r>
              <w:rPr>
                <w:spacing w:val="7"/>
              </w:rPr>
              <w:t>以下的罚款，对其直接负</w:t>
            </w:r>
            <w:r>
              <w:rPr>
                <w:spacing w:val="10"/>
              </w:rPr>
              <w:t>责的主管人员和其他直接</w:t>
            </w:r>
            <w:r>
              <w:rPr>
                <w:spacing w:val="5"/>
              </w:rPr>
              <w:t>责任人员处</w:t>
            </w:r>
            <w:r>
              <w:rPr>
                <w:rFonts w:ascii="宋体" w:hAnsi="宋体" w:eastAsia="宋体" w:cs="宋体"/>
                <w:spacing w:val="5"/>
              </w:rPr>
              <w:t>1</w:t>
            </w:r>
            <w:r>
              <w:rPr>
                <w:spacing w:val="5"/>
              </w:rPr>
              <w:t>万元以下的</w:t>
            </w:r>
            <w:r>
              <w:rPr>
                <w:spacing w:val="-1"/>
              </w:rPr>
              <w:t>罚款</w:t>
            </w:r>
          </w:p>
        </w:tc>
        <w:tc>
          <w:tcPr>
            <w:tcW w:w="811" w:type="dxa"/>
            <w:vMerge w:val="restart"/>
            <w:tcBorders>
              <w:bottom w:val="nil"/>
            </w:tcBorders>
            <w:vAlign w:val="top"/>
          </w:tcPr>
          <w:p w14:paraId="68AB3449">
            <w:pPr>
              <w:spacing w:line="269" w:lineRule="auto"/>
              <w:rPr>
                <w:rFonts w:ascii="Arial"/>
                <w:sz w:val="21"/>
              </w:rPr>
            </w:pPr>
          </w:p>
          <w:p w14:paraId="01C9151E">
            <w:pPr>
              <w:spacing w:line="270" w:lineRule="auto"/>
              <w:rPr>
                <w:rFonts w:ascii="Arial"/>
                <w:sz w:val="21"/>
              </w:rPr>
            </w:pPr>
          </w:p>
          <w:p w14:paraId="2DB67349">
            <w:pPr>
              <w:spacing w:line="270" w:lineRule="auto"/>
              <w:rPr>
                <w:rFonts w:ascii="Arial"/>
                <w:sz w:val="21"/>
              </w:rPr>
            </w:pPr>
          </w:p>
          <w:p w14:paraId="2C17BAE2">
            <w:pPr>
              <w:spacing w:line="270" w:lineRule="auto"/>
              <w:rPr>
                <w:rFonts w:ascii="Arial"/>
                <w:sz w:val="21"/>
              </w:rPr>
            </w:pPr>
          </w:p>
          <w:p w14:paraId="7AA883A7">
            <w:pPr>
              <w:spacing w:line="270" w:lineRule="auto"/>
              <w:rPr>
                <w:rFonts w:ascii="Arial"/>
                <w:sz w:val="21"/>
              </w:rPr>
            </w:pPr>
          </w:p>
          <w:p w14:paraId="459207E9">
            <w:pPr>
              <w:spacing w:before="74" w:line="188" w:lineRule="auto"/>
              <w:ind w:left="233"/>
              <w:rPr>
                <w:rFonts w:ascii="宋体" w:hAnsi="宋体" w:eastAsia="宋体" w:cs="宋体"/>
                <w:sz w:val="23"/>
                <w:szCs w:val="23"/>
              </w:rPr>
            </w:pPr>
            <w:r>
              <w:rPr>
                <w:rFonts w:ascii="宋体" w:hAnsi="宋体" w:eastAsia="宋体" w:cs="宋体"/>
                <w:spacing w:val="-1"/>
                <w:sz w:val="23"/>
                <w:szCs w:val="23"/>
              </w:rPr>
              <w:t>236</w:t>
            </w:r>
          </w:p>
        </w:tc>
      </w:tr>
      <w:tr w14:paraId="21FF6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818" w:type="dxa"/>
            <w:vMerge w:val="continue"/>
            <w:tcBorders>
              <w:top w:val="nil"/>
            </w:tcBorders>
            <w:vAlign w:val="top"/>
          </w:tcPr>
          <w:p w14:paraId="47747B84">
            <w:pPr>
              <w:rPr>
                <w:rFonts w:ascii="Arial"/>
                <w:sz w:val="21"/>
              </w:rPr>
            </w:pPr>
          </w:p>
        </w:tc>
        <w:tc>
          <w:tcPr>
            <w:tcW w:w="1440" w:type="dxa"/>
            <w:vMerge w:val="continue"/>
            <w:tcBorders>
              <w:top w:val="nil"/>
            </w:tcBorders>
            <w:vAlign w:val="top"/>
          </w:tcPr>
          <w:p w14:paraId="29967D89">
            <w:pPr>
              <w:rPr>
                <w:rFonts w:ascii="Arial"/>
                <w:sz w:val="21"/>
              </w:rPr>
            </w:pPr>
          </w:p>
        </w:tc>
        <w:tc>
          <w:tcPr>
            <w:tcW w:w="3202" w:type="dxa"/>
            <w:vMerge w:val="continue"/>
            <w:tcBorders>
              <w:top w:val="nil"/>
            </w:tcBorders>
            <w:vAlign w:val="top"/>
          </w:tcPr>
          <w:p w14:paraId="1D77F1BF">
            <w:pPr>
              <w:rPr>
                <w:rFonts w:ascii="Arial"/>
                <w:sz w:val="21"/>
              </w:rPr>
            </w:pPr>
          </w:p>
        </w:tc>
        <w:tc>
          <w:tcPr>
            <w:tcW w:w="2859" w:type="dxa"/>
            <w:vMerge w:val="continue"/>
            <w:tcBorders>
              <w:top w:val="nil"/>
            </w:tcBorders>
            <w:vAlign w:val="top"/>
          </w:tcPr>
          <w:p w14:paraId="517CD104">
            <w:pPr>
              <w:rPr>
                <w:rFonts w:ascii="Arial"/>
                <w:sz w:val="21"/>
              </w:rPr>
            </w:pPr>
          </w:p>
        </w:tc>
        <w:tc>
          <w:tcPr>
            <w:tcW w:w="803" w:type="dxa"/>
            <w:vAlign w:val="top"/>
          </w:tcPr>
          <w:p w14:paraId="20F88018">
            <w:pPr>
              <w:spacing w:line="299" w:lineRule="auto"/>
              <w:rPr>
                <w:rFonts w:ascii="Arial"/>
                <w:sz w:val="21"/>
              </w:rPr>
            </w:pPr>
          </w:p>
          <w:p w14:paraId="6774AEE4">
            <w:pPr>
              <w:spacing w:line="300" w:lineRule="auto"/>
              <w:rPr>
                <w:rFonts w:ascii="Arial"/>
                <w:sz w:val="21"/>
              </w:rPr>
            </w:pPr>
          </w:p>
          <w:p w14:paraId="24ECC503">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0D07696">
            <w:pPr>
              <w:pStyle w:val="6"/>
              <w:spacing w:before="334" w:line="191" w:lineRule="auto"/>
              <w:ind w:left="128" w:right="109" w:hanging="11"/>
              <w:jc w:val="both"/>
            </w:pPr>
            <w:r>
              <w:rPr>
                <w:spacing w:val="26"/>
              </w:rPr>
              <w:t>建设项目总投资额</w:t>
            </w:r>
            <w:r>
              <w:rPr>
                <w:rFonts w:ascii="宋体" w:hAnsi="宋体" w:eastAsia="宋体" w:cs="宋体"/>
                <w:spacing w:val="1"/>
              </w:rPr>
              <w:t>1000</w:t>
            </w:r>
            <w:r>
              <w:rPr>
                <w:spacing w:val="1"/>
              </w:rPr>
              <w:t>万元以上</w:t>
            </w:r>
            <w:r>
              <w:rPr>
                <w:rFonts w:ascii="宋体" w:hAnsi="宋体" w:eastAsia="宋体" w:cs="宋体"/>
                <w:spacing w:val="1"/>
              </w:rPr>
              <w:t>3000</w:t>
            </w:r>
            <w:r>
              <w:rPr>
                <w:spacing w:val="4"/>
              </w:rPr>
              <w:t>万元以下的</w:t>
            </w:r>
          </w:p>
        </w:tc>
        <w:tc>
          <w:tcPr>
            <w:tcW w:w="2894" w:type="dxa"/>
            <w:vAlign w:val="top"/>
          </w:tcPr>
          <w:p w14:paraId="5FBAC7E4">
            <w:pPr>
              <w:pStyle w:val="6"/>
              <w:spacing w:before="33" w:line="178" w:lineRule="auto"/>
              <w:ind w:left="122" w:right="103" w:firstLine="5"/>
            </w:pPr>
            <w:r>
              <w:rPr>
                <w:spacing w:val="2"/>
              </w:rPr>
              <w:t>责令限期改正，处</w:t>
            </w:r>
            <w:r>
              <w:rPr>
                <w:rFonts w:ascii="宋体" w:hAnsi="宋体" w:eastAsia="宋体" w:cs="宋体"/>
                <w:spacing w:val="2"/>
              </w:rPr>
              <w:t>1</w:t>
            </w:r>
            <w:r>
              <w:rPr>
                <w:spacing w:val="2"/>
              </w:rPr>
              <w:t>万元</w:t>
            </w:r>
            <w:r>
              <w:rPr>
                <w:spacing w:val="6"/>
              </w:rPr>
              <w:t>以上</w:t>
            </w:r>
            <w:r>
              <w:rPr>
                <w:rFonts w:ascii="宋体" w:hAnsi="宋体" w:eastAsia="宋体" w:cs="宋体"/>
                <w:spacing w:val="6"/>
              </w:rPr>
              <w:t>2</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万元以下的罚款</w:t>
            </w:r>
          </w:p>
        </w:tc>
        <w:tc>
          <w:tcPr>
            <w:tcW w:w="811" w:type="dxa"/>
            <w:vMerge w:val="continue"/>
            <w:tcBorders>
              <w:top w:val="nil"/>
            </w:tcBorders>
            <w:vAlign w:val="top"/>
          </w:tcPr>
          <w:p w14:paraId="5A5235A8">
            <w:pPr>
              <w:rPr>
                <w:rFonts w:ascii="Arial"/>
                <w:sz w:val="21"/>
              </w:rPr>
            </w:pPr>
          </w:p>
        </w:tc>
      </w:tr>
    </w:tbl>
    <w:p w14:paraId="00DAF620">
      <w:pPr>
        <w:pStyle w:val="2"/>
        <w:spacing w:line="221" w:lineRule="exact"/>
        <w:rPr>
          <w:sz w:val="19"/>
        </w:rPr>
      </w:pPr>
    </w:p>
    <w:p w14:paraId="5B7DF09B">
      <w:pPr>
        <w:spacing w:line="221" w:lineRule="exact"/>
        <w:rPr>
          <w:sz w:val="19"/>
          <w:szCs w:val="19"/>
        </w:rPr>
        <w:sectPr>
          <w:footerReference r:id="rId213" w:type="default"/>
          <w:pgSz w:w="16839" w:h="11906"/>
          <w:pgMar w:top="1012" w:right="821" w:bottom="667" w:left="901" w:header="0" w:footer="388" w:gutter="0"/>
          <w:cols w:space="720" w:num="1"/>
        </w:sectPr>
      </w:pPr>
    </w:p>
    <w:p w14:paraId="59B70F6B">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2880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30FC92D">
            <w:pPr>
              <w:spacing w:before="222" w:line="241" w:lineRule="auto"/>
              <w:ind w:left="131"/>
              <w:outlineLvl w:val="0"/>
              <w:rPr>
                <w:rFonts w:ascii="黑体" w:hAnsi="黑体" w:eastAsia="黑体" w:cs="黑体"/>
                <w:sz w:val="28"/>
                <w:szCs w:val="28"/>
              </w:rPr>
            </w:pPr>
            <w:bookmarkStart w:id="703" w:name="bookmark603"/>
            <w:bookmarkEnd w:id="703"/>
            <w:bookmarkStart w:id="704" w:name="bookmark426"/>
            <w:bookmarkEnd w:id="704"/>
            <w:r>
              <w:rPr>
                <w:rFonts w:ascii="黑体" w:hAnsi="黑体" w:eastAsia="黑体" w:cs="黑体"/>
                <w:spacing w:val="-2"/>
                <w:sz w:val="28"/>
                <w:szCs w:val="28"/>
              </w:rPr>
              <w:t>序号</w:t>
            </w:r>
          </w:p>
        </w:tc>
        <w:tc>
          <w:tcPr>
            <w:tcW w:w="1440" w:type="dxa"/>
            <w:vAlign w:val="top"/>
          </w:tcPr>
          <w:p w14:paraId="5D1D64BA">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4148EBF4">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1A09D5C">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F2C1DA2">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ACFFAA7">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721EB767">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897273A">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3BF2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Align w:val="top"/>
          </w:tcPr>
          <w:p w14:paraId="4E5F02F9">
            <w:pPr>
              <w:rPr>
                <w:rFonts w:ascii="Arial"/>
                <w:sz w:val="21"/>
              </w:rPr>
            </w:pPr>
          </w:p>
        </w:tc>
        <w:tc>
          <w:tcPr>
            <w:tcW w:w="1440" w:type="dxa"/>
            <w:vAlign w:val="top"/>
          </w:tcPr>
          <w:p w14:paraId="3514B2CB">
            <w:pPr>
              <w:pStyle w:val="6"/>
              <w:spacing w:before="28" w:line="210" w:lineRule="auto"/>
              <w:ind w:left="112"/>
            </w:pPr>
            <w:r>
              <w:rPr>
                <w:spacing w:val="7"/>
              </w:rPr>
              <w:t>进行施工的</w:t>
            </w:r>
          </w:p>
        </w:tc>
        <w:tc>
          <w:tcPr>
            <w:tcW w:w="3202" w:type="dxa"/>
            <w:vAlign w:val="top"/>
          </w:tcPr>
          <w:p w14:paraId="62EE5730">
            <w:pPr>
              <w:pStyle w:val="6"/>
              <w:spacing w:before="30" w:line="182" w:lineRule="auto"/>
              <w:ind w:left="122" w:right="111" w:hanging="6"/>
              <w:jc w:val="both"/>
            </w:pPr>
            <w:r>
              <w:rPr>
                <w:spacing w:val="17"/>
              </w:rPr>
              <w:t>设计单位应当对安全设施粉</w:t>
            </w:r>
            <w:r>
              <w:rPr>
                <w:spacing w:val="12"/>
              </w:rPr>
              <w:t>尘防爆相关的设计负责，施</w:t>
            </w:r>
            <w:r>
              <w:rPr>
                <w:spacing w:val="16"/>
              </w:rPr>
              <w:t>工单位应当按照设计进行施</w:t>
            </w:r>
          </w:p>
          <w:p w14:paraId="2B4160D3">
            <w:pPr>
              <w:pStyle w:val="6"/>
              <w:spacing w:line="208" w:lineRule="auto"/>
              <w:ind w:left="123"/>
              <w:outlineLvl w:val="0"/>
            </w:pPr>
            <w:r>
              <w:rPr>
                <w:spacing w:val="4"/>
              </w:rPr>
              <w:t>工，并对施工质量负责。</w:t>
            </w:r>
          </w:p>
        </w:tc>
        <w:tc>
          <w:tcPr>
            <w:tcW w:w="2859" w:type="dxa"/>
            <w:vAlign w:val="top"/>
          </w:tcPr>
          <w:p w14:paraId="3A101FD4">
            <w:pPr>
              <w:pStyle w:val="6"/>
              <w:spacing w:before="27" w:line="189" w:lineRule="auto"/>
              <w:ind w:left="116" w:right="110" w:firstLine="11"/>
              <w:jc w:val="both"/>
            </w:pPr>
            <w:r>
              <w:rPr>
                <w:spacing w:val="7"/>
              </w:rPr>
              <w:t>业新建、改建、扩建工程</w:t>
            </w:r>
            <w:r>
              <w:rPr>
                <w:spacing w:val="8"/>
              </w:rPr>
              <w:t>项目安全设施没有进行粉尘防爆安全设计，或者未</w:t>
            </w:r>
            <w:r>
              <w:rPr>
                <w:spacing w:val="3"/>
              </w:rPr>
              <w:t>按照设计进行施工的；</w:t>
            </w:r>
          </w:p>
        </w:tc>
        <w:tc>
          <w:tcPr>
            <w:tcW w:w="803" w:type="dxa"/>
            <w:vAlign w:val="top"/>
          </w:tcPr>
          <w:p w14:paraId="7EBAFF5E">
            <w:pPr>
              <w:spacing w:line="297" w:lineRule="auto"/>
              <w:rPr>
                <w:rFonts w:ascii="Arial"/>
                <w:sz w:val="21"/>
              </w:rPr>
            </w:pPr>
          </w:p>
          <w:p w14:paraId="7D0F021D">
            <w:pPr>
              <w:spacing w:line="298" w:lineRule="auto"/>
              <w:rPr>
                <w:rFonts w:ascii="Arial"/>
                <w:sz w:val="21"/>
              </w:rPr>
            </w:pPr>
          </w:p>
          <w:p w14:paraId="17523BFD">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20493F04">
            <w:pPr>
              <w:spacing w:line="377" w:lineRule="auto"/>
              <w:rPr>
                <w:rFonts w:ascii="Arial"/>
                <w:sz w:val="21"/>
              </w:rPr>
            </w:pPr>
          </w:p>
          <w:p w14:paraId="5CCCDC91">
            <w:pPr>
              <w:pStyle w:val="6"/>
              <w:spacing w:before="98" w:line="196" w:lineRule="auto"/>
              <w:ind w:left="117" w:right="109"/>
            </w:pPr>
            <w:r>
              <w:rPr>
                <w:spacing w:val="26"/>
              </w:rPr>
              <w:t>建设项目总投资额</w:t>
            </w:r>
            <w:r>
              <w:rPr>
                <w:rFonts w:ascii="宋体" w:hAnsi="宋体" w:eastAsia="宋体" w:cs="宋体"/>
                <w:spacing w:val="2"/>
              </w:rPr>
              <w:t>3000</w:t>
            </w:r>
            <w:r>
              <w:rPr>
                <w:spacing w:val="2"/>
              </w:rPr>
              <w:t>万元以上的</w:t>
            </w:r>
          </w:p>
        </w:tc>
        <w:tc>
          <w:tcPr>
            <w:tcW w:w="2894" w:type="dxa"/>
            <w:vAlign w:val="top"/>
          </w:tcPr>
          <w:p w14:paraId="6BF90745">
            <w:pPr>
              <w:pStyle w:val="6"/>
              <w:spacing w:before="30" w:line="178" w:lineRule="auto"/>
              <w:ind w:left="122" w:right="103" w:firstLine="5"/>
            </w:pPr>
            <w:r>
              <w:rPr>
                <w:spacing w:val="4"/>
              </w:rPr>
              <w:t>责令限期改正，处</w:t>
            </w:r>
            <w:r>
              <w:rPr>
                <w:rFonts w:ascii="宋体" w:hAnsi="宋体" w:eastAsia="宋体" w:cs="宋体"/>
                <w:spacing w:val="4"/>
              </w:rPr>
              <w:t>2</w:t>
            </w:r>
            <w:r>
              <w:rPr>
                <w:spacing w:val="4"/>
              </w:rPr>
              <w:t>万元</w:t>
            </w:r>
            <w:r>
              <w:rPr>
                <w:spacing w:val="6"/>
              </w:rPr>
              <w:t>以上</w:t>
            </w:r>
            <w:r>
              <w:rPr>
                <w:rFonts w:ascii="宋体" w:hAnsi="宋体" w:eastAsia="宋体" w:cs="宋体"/>
                <w:spacing w:val="6"/>
              </w:rPr>
              <w:t>3</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万元以下的罚款</w:t>
            </w:r>
          </w:p>
        </w:tc>
        <w:tc>
          <w:tcPr>
            <w:tcW w:w="811" w:type="dxa"/>
            <w:vAlign w:val="top"/>
          </w:tcPr>
          <w:p w14:paraId="23D99B45">
            <w:pPr>
              <w:rPr>
                <w:rFonts w:ascii="Arial"/>
                <w:sz w:val="21"/>
              </w:rPr>
            </w:pPr>
          </w:p>
        </w:tc>
      </w:tr>
      <w:tr w14:paraId="7D982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restart"/>
            <w:tcBorders>
              <w:bottom w:val="nil"/>
            </w:tcBorders>
            <w:vAlign w:val="top"/>
          </w:tcPr>
          <w:p w14:paraId="7A6763B6">
            <w:pPr>
              <w:spacing w:line="250" w:lineRule="auto"/>
              <w:rPr>
                <w:rFonts w:ascii="Arial"/>
                <w:sz w:val="21"/>
              </w:rPr>
            </w:pPr>
          </w:p>
          <w:p w14:paraId="70DCF80D">
            <w:pPr>
              <w:spacing w:line="250" w:lineRule="auto"/>
              <w:rPr>
                <w:rFonts w:ascii="Arial"/>
                <w:sz w:val="21"/>
              </w:rPr>
            </w:pPr>
          </w:p>
          <w:p w14:paraId="642FBF29">
            <w:pPr>
              <w:spacing w:line="250" w:lineRule="auto"/>
              <w:rPr>
                <w:rFonts w:ascii="Arial"/>
                <w:sz w:val="21"/>
              </w:rPr>
            </w:pPr>
          </w:p>
          <w:p w14:paraId="1CB5433E">
            <w:pPr>
              <w:spacing w:line="250" w:lineRule="auto"/>
              <w:rPr>
                <w:rFonts w:ascii="Arial"/>
                <w:sz w:val="21"/>
              </w:rPr>
            </w:pPr>
          </w:p>
          <w:p w14:paraId="3022272A">
            <w:pPr>
              <w:spacing w:line="250" w:lineRule="auto"/>
              <w:rPr>
                <w:rFonts w:ascii="Arial"/>
                <w:sz w:val="21"/>
              </w:rPr>
            </w:pPr>
          </w:p>
          <w:p w14:paraId="33575F3C">
            <w:pPr>
              <w:spacing w:line="250" w:lineRule="auto"/>
              <w:rPr>
                <w:rFonts w:ascii="Arial"/>
                <w:sz w:val="21"/>
              </w:rPr>
            </w:pPr>
          </w:p>
          <w:p w14:paraId="5D1F3ECE">
            <w:pPr>
              <w:spacing w:line="250" w:lineRule="auto"/>
              <w:rPr>
                <w:rFonts w:ascii="Arial"/>
                <w:sz w:val="21"/>
              </w:rPr>
            </w:pPr>
          </w:p>
          <w:p w14:paraId="30B925EA">
            <w:pPr>
              <w:spacing w:line="251" w:lineRule="auto"/>
              <w:rPr>
                <w:rFonts w:ascii="Arial"/>
                <w:sz w:val="21"/>
              </w:rPr>
            </w:pPr>
          </w:p>
          <w:p w14:paraId="7C09A051">
            <w:pPr>
              <w:spacing w:line="251" w:lineRule="auto"/>
              <w:rPr>
                <w:rFonts w:ascii="Arial"/>
                <w:sz w:val="21"/>
              </w:rPr>
            </w:pPr>
          </w:p>
          <w:p w14:paraId="51087210">
            <w:pPr>
              <w:spacing w:line="251" w:lineRule="auto"/>
              <w:rPr>
                <w:rFonts w:ascii="Arial"/>
                <w:sz w:val="21"/>
              </w:rPr>
            </w:pPr>
          </w:p>
          <w:p w14:paraId="6BA7C586">
            <w:pPr>
              <w:spacing w:before="75" w:line="185" w:lineRule="auto"/>
              <w:ind w:left="146"/>
              <w:rPr>
                <w:rFonts w:ascii="仿宋" w:hAnsi="仿宋" w:eastAsia="仿宋" w:cs="仿宋"/>
                <w:sz w:val="23"/>
                <w:szCs w:val="23"/>
              </w:rPr>
            </w:pPr>
            <w:r>
              <w:rPr>
                <w:rFonts w:ascii="仿宋" w:hAnsi="仿宋" w:eastAsia="仿宋" w:cs="仿宋"/>
                <w:sz w:val="23"/>
                <w:szCs w:val="23"/>
              </w:rPr>
              <w:t>209</w:t>
            </w:r>
          </w:p>
        </w:tc>
        <w:tc>
          <w:tcPr>
            <w:tcW w:w="1440" w:type="dxa"/>
            <w:vMerge w:val="restart"/>
            <w:tcBorders>
              <w:bottom w:val="nil"/>
            </w:tcBorders>
            <w:vAlign w:val="top"/>
          </w:tcPr>
          <w:p w14:paraId="5CA561A3">
            <w:pPr>
              <w:spacing w:line="249" w:lineRule="auto"/>
              <w:rPr>
                <w:rFonts w:ascii="Arial"/>
                <w:sz w:val="21"/>
              </w:rPr>
            </w:pPr>
          </w:p>
          <w:p w14:paraId="292663B9">
            <w:pPr>
              <w:spacing w:line="249" w:lineRule="auto"/>
              <w:rPr>
                <w:rFonts w:ascii="Arial"/>
                <w:sz w:val="21"/>
              </w:rPr>
            </w:pPr>
          </w:p>
          <w:p w14:paraId="312AF2C1">
            <w:pPr>
              <w:spacing w:line="249" w:lineRule="auto"/>
              <w:rPr>
                <w:rFonts w:ascii="Arial"/>
                <w:sz w:val="21"/>
              </w:rPr>
            </w:pPr>
          </w:p>
          <w:p w14:paraId="0EBD4EEB">
            <w:pPr>
              <w:spacing w:line="249" w:lineRule="auto"/>
              <w:rPr>
                <w:rFonts w:ascii="Arial"/>
                <w:sz w:val="21"/>
              </w:rPr>
            </w:pPr>
          </w:p>
          <w:p w14:paraId="5211F60A">
            <w:pPr>
              <w:spacing w:line="250" w:lineRule="auto"/>
              <w:rPr>
                <w:rFonts w:ascii="Arial"/>
                <w:sz w:val="21"/>
              </w:rPr>
            </w:pPr>
          </w:p>
          <w:p w14:paraId="069124FD">
            <w:pPr>
              <w:pStyle w:val="6"/>
              <w:spacing w:before="99" w:line="185" w:lineRule="auto"/>
              <w:ind w:left="114" w:right="109"/>
              <w:jc w:val="both"/>
            </w:pPr>
            <w:r>
              <w:rPr>
                <w:spacing w:val="11"/>
              </w:rPr>
              <w:t>存在粉尘涉</w:t>
            </w:r>
            <w:r>
              <w:rPr>
                <w:spacing w:val="12"/>
              </w:rPr>
              <w:t>爆危险的工贸企业未按</w:t>
            </w:r>
            <w:r>
              <w:rPr>
                <w:spacing w:val="11"/>
              </w:rPr>
              <w:t>照规定建立粉尘防爆安全管理制度或者内容不符合企业实</w:t>
            </w:r>
            <w:r>
              <w:rPr>
                <w:spacing w:val="3"/>
              </w:rPr>
              <w:t>际的</w:t>
            </w:r>
          </w:p>
        </w:tc>
        <w:tc>
          <w:tcPr>
            <w:tcW w:w="3202" w:type="dxa"/>
            <w:vMerge w:val="restart"/>
            <w:tcBorders>
              <w:bottom w:val="nil"/>
            </w:tcBorders>
            <w:vAlign w:val="top"/>
          </w:tcPr>
          <w:p w14:paraId="433587AA">
            <w:pPr>
              <w:pStyle w:val="6"/>
              <w:spacing w:before="31" w:line="182" w:lineRule="auto"/>
              <w:ind w:left="98"/>
              <w:outlineLvl w:val="1"/>
            </w:pPr>
            <w:r>
              <w:rPr>
                <w:spacing w:val="18"/>
              </w:rPr>
              <w:t>【部门规章】《工贸企业粉</w:t>
            </w:r>
          </w:p>
          <w:p w14:paraId="791C83E8">
            <w:pPr>
              <w:pStyle w:val="6"/>
              <w:spacing w:before="1" w:line="184" w:lineRule="auto"/>
              <w:ind w:left="98" w:firstLine="29"/>
            </w:pPr>
            <w:bookmarkStart w:id="705" w:name="bookmark604"/>
            <w:bookmarkEnd w:id="705"/>
            <w:bookmarkStart w:id="706" w:name="bookmark428"/>
            <w:bookmarkEnd w:id="706"/>
            <w:r>
              <w:rPr>
                <w:spacing w:val="11"/>
              </w:rPr>
              <w:t>尘防爆安全规定》第七条：</w:t>
            </w:r>
            <w:r>
              <w:rPr>
                <w:spacing w:val="17"/>
              </w:rPr>
              <w:t>粉尘涉爆企业应当结合企业实际情况建立和落实粉尘防爆安全管理制度。粉尘防爆安全管理制度应当包括下列</w:t>
            </w:r>
            <w:r>
              <w:rPr>
                <w:spacing w:val="6"/>
              </w:rPr>
              <w:t>内容</w:t>
            </w:r>
            <w:r>
              <w:rPr>
                <w:spacing w:val="-12"/>
              </w:rPr>
              <w:t>：（</w:t>
            </w:r>
            <w:r>
              <w:rPr>
                <w:spacing w:val="6"/>
              </w:rPr>
              <w:t>一）粉尘爆炸风险</w:t>
            </w:r>
            <w:r>
              <w:rPr>
                <w:spacing w:val="19"/>
              </w:rPr>
              <w:t>辨识评估和管控</w:t>
            </w:r>
            <w:r>
              <w:rPr>
                <w:spacing w:val="-11"/>
              </w:rPr>
              <w:t>；（</w:t>
            </w:r>
            <w:r>
              <w:rPr>
                <w:spacing w:val="19"/>
              </w:rPr>
              <w:t>二）粉</w:t>
            </w:r>
            <w:r>
              <w:rPr>
                <w:spacing w:val="14"/>
              </w:rPr>
              <w:t>尘爆炸事故隐患排查治理；（三）粉尘作业岗位安全操</w:t>
            </w:r>
            <w:r>
              <w:rPr>
                <w:spacing w:val="20"/>
              </w:rPr>
              <w:t>作规程</w:t>
            </w:r>
            <w:r>
              <w:rPr>
                <w:spacing w:val="-15"/>
              </w:rPr>
              <w:t>；（</w:t>
            </w:r>
            <w:r>
              <w:rPr>
                <w:spacing w:val="20"/>
              </w:rPr>
              <w:t>四）粉尘防爆专</w:t>
            </w:r>
            <w:r>
              <w:rPr>
                <w:spacing w:val="36"/>
              </w:rPr>
              <w:t>项安全生产教育和培训；</w:t>
            </w:r>
            <w:r>
              <w:rPr>
                <w:spacing w:val="-11"/>
              </w:rPr>
              <w:t>（五）粉尘清理和处置</w:t>
            </w:r>
            <w:r>
              <w:rPr>
                <w:spacing w:val="4"/>
              </w:rPr>
              <w:t>；（</w:t>
            </w:r>
            <w:r>
              <w:rPr>
                <w:spacing w:val="-11"/>
              </w:rPr>
              <w:t>六）</w:t>
            </w:r>
            <w:r>
              <w:rPr>
                <w:spacing w:val="17"/>
              </w:rPr>
              <w:t>除尘系统和相关安全设施设备运行、维护及检修、维修</w:t>
            </w:r>
            <w:r>
              <w:rPr>
                <w:spacing w:val="20"/>
              </w:rPr>
              <w:t>管理</w:t>
            </w:r>
            <w:r>
              <w:rPr>
                <w:spacing w:val="-15"/>
              </w:rPr>
              <w:t>；（</w:t>
            </w:r>
            <w:r>
              <w:rPr>
                <w:spacing w:val="20"/>
              </w:rPr>
              <w:t>七）粉尘爆炸事故</w:t>
            </w:r>
            <w:r>
              <w:rPr>
                <w:spacing w:val="5"/>
              </w:rPr>
              <w:t>应急处置和救援。</w:t>
            </w:r>
          </w:p>
        </w:tc>
        <w:tc>
          <w:tcPr>
            <w:tcW w:w="2859" w:type="dxa"/>
            <w:vMerge w:val="restart"/>
            <w:tcBorders>
              <w:bottom w:val="nil"/>
            </w:tcBorders>
            <w:vAlign w:val="top"/>
          </w:tcPr>
          <w:p w14:paraId="2AB6721C">
            <w:pPr>
              <w:pStyle w:val="6"/>
              <w:spacing w:before="40" w:line="184" w:lineRule="auto"/>
              <w:ind w:left="114" w:right="105" w:hanging="17"/>
            </w:pPr>
            <w:r>
              <w:rPr>
                <w:spacing w:val="10"/>
              </w:rPr>
              <w:t>【部门规章】《工贸企业</w:t>
            </w:r>
            <w:r>
              <w:rPr>
                <w:spacing w:val="8"/>
              </w:rPr>
              <w:t>粉尘防爆安全规定》第三十条第二项：粉尘涉爆企</w:t>
            </w:r>
            <w:r>
              <w:rPr>
                <w:spacing w:val="2"/>
              </w:rPr>
              <w:t>业有下列情形之一的，由</w:t>
            </w:r>
            <w:r>
              <w:rPr>
                <w:spacing w:val="8"/>
              </w:rPr>
              <w:t>负责粉尘涉爆企业安全监</w:t>
            </w:r>
            <w:r>
              <w:rPr>
                <w:spacing w:val="7"/>
              </w:rPr>
              <w:t>管的部门责令限期改正，</w:t>
            </w:r>
            <w:r>
              <w:rPr>
                <w:spacing w:val="4"/>
              </w:rPr>
              <w:t>处</w:t>
            </w:r>
            <w:r>
              <w:rPr>
                <w:rFonts w:ascii="宋体" w:hAnsi="宋体" w:eastAsia="宋体" w:cs="宋体"/>
                <w:spacing w:val="4"/>
              </w:rPr>
              <w:t>3</w:t>
            </w:r>
            <w:r>
              <w:rPr>
                <w:spacing w:val="4"/>
              </w:rPr>
              <w:t>万元以下的罚款，对</w:t>
            </w:r>
            <w:r>
              <w:rPr>
                <w:spacing w:val="8"/>
              </w:rPr>
              <w:t>其直接负责的主管人员和</w:t>
            </w:r>
            <w:r>
              <w:rPr>
                <w:spacing w:val="3"/>
              </w:rPr>
              <w:t>其他直接责任人员处</w:t>
            </w:r>
            <w:r>
              <w:rPr>
                <w:rFonts w:ascii="宋体" w:hAnsi="宋体" w:eastAsia="宋体" w:cs="宋体"/>
                <w:spacing w:val="3"/>
              </w:rPr>
              <w:t>1</w:t>
            </w:r>
            <w:r>
              <w:rPr>
                <w:spacing w:val="3"/>
              </w:rPr>
              <w:t>万</w:t>
            </w:r>
            <w:r>
              <w:rPr>
                <w:spacing w:val="2"/>
              </w:rPr>
              <w:t>元以下的罚款</w:t>
            </w:r>
            <w:r>
              <w:rPr>
                <w:spacing w:val="4"/>
              </w:rPr>
              <w:t>：（</w:t>
            </w:r>
            <w:r>
              <w:rPr>
                <w:spacing w:val="2"/>
              </w:rPr>
              <w:t>二）未</w:t>
            </w:r>
            <w:r>
              <w:rPr>
                <w:spacing w:val="8"/>
              </w:rPr>
              <w:t>按照规定建立粉尘防爆安全管理制度或者内容不符</w:t>
            </w:r>
            <w:r>
              <w:rPr>
                <w:spacing w:val="1"/>
              </w:rPr>
              <w:t>合企业实际的；</w:t>
            </w:r>
          </w:p>
        </w:tc>
        <w:tc>
          <w:tcPr>
            <w:tcW w:w="803" w:type="dxa"/>
            <w:vAlign w:val="top"/>
          </w:tcPr>
          <w:p w14:paraId="30D6DCDF">
            <w:pPr>
              <w:spacing w:line="296" w:lineRule="auto"/>
              <w:rPr>
                <w:rFonts w:ascii="Arial"/>
                <w:sz w:val="21"/>
              </w:rPr>
            </w:pPr>
          </w:p>
          <w:p w14:paraId="2C72949B">
            <w:pPr>
              <w:spacing w:line="297" w:lineRule="auto"/>
              <w:rPr>
                <w:rFonts w:ascii="Arial"/>
                <w:sz w:val="21"/>
              </w:rPr>
            </w:pPr>
          </w:p>
          <w:p w14:paraId="17CB54AC">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6C9DD60">
            <w:pPr>
              <w:pStyle w:val="6"/>
              <w:spacing w:before="331" w:line="191" w:lineRule="auto"/>
              <w:ind w:left="122" w:right="109" w:hanging="4"/>
              <w:jc w:val="both"/>
            </w:pPr>
            <w:r>
              <w:rPr>
                <w:spacing w:val="26"/>
              </w:rPr>
              <w:t>粉尘防爆安全管理</w:t>
            </w:r>
            <w:r>
              <w:rPr>
                <w:spacing w:val="25"/>
              </w:rPr>
              <w:t>制度内容不符合企</w:t>
            </w:r>
            <w:r>
              <w:rPr>
                <w:spacing w:val="4"/>
              </w:rPr>
              <w:t>业实际的</w:t>
            </w:r>
          </w:p>
        </w:tc>
        <w:tc>
          <w:tcPr>
            <w:tcW w:w="2894" w:type="dxa"/>
            <w:vAlign w:val="top"/>
          </w:tcPr>
          <w:p w14:paraId="48E65FCD">
            <w:pPr>
              <w:pStyle w:val="6"/>
              <w:spacing w:before="30" w:line="178" w:lineRule="auto"/>
              <w:ind w:left="127" w:right="103"/>
              <w:jc w:val="both"/>
            </w:pPr>
            <w:r>
              <w:rPr>
                <w:spacing w:val="2"/>
              </w:rPr>
              <w:t>责令限期改正，处</w:t>
            </w:r>
            <w:r>
              <w:rPr>
                <w:rFonts w:ascii="宋体" w:hAnsi="宋体" w:eastAsia="宋体" w:cs="宋体"/>
                <w:spacing w:val="2"/>
              </w:rPr>
              <w:t>1</w:t>
            </w:r>
            <w:r>
              <w:rPr>
                <w:spacing w:val="2"/>
              </w:rPr>
              <w:t>万元</w:t>
            </w:r>
            <w:r>
              <w:rPr>
                <w:spacing w:val="7"/>
              </w:rPr>
              <w:t>以下的罚款，对其直接负</w:t>
            </w:r>
            <w:r>
              <w:rPr>
                <w:spacing w:val="10"/>
              </w:rPr>
              <w:t>责的主管人员和其他直接</w:t>
            </w:r>
            <w:r>
              <w:rPr>
                <w:spacing w:val="5"/>
              </w:rPr>
              <w:t>责任人员处</w:t>
            </w:r>
            <w:r>
              <w:rPr>
                <w:rFonts w:ascii="宋体" w:hAnsi="宋体" w:eastAsia="宋体" w:cs="宋体"/>
                <w:spacing w:val="5"/>
              </w:rPr>
              <w:t>1</w:t>
            </w:r>
            <w:r>
              <w:rPr>
                <w:spacing w:val="5"/>
              </w:rPr>
              <w:t>万元以下的</w:t>
            </w:r>
            <w:r>
              <w:rPr>
                <w:spacing w:val="-1"/>
              </w:rPr>
              <w:t>罚款</w:t>
            </w:r>
          </w:p>
        </w:tc>
        <w:tc>
          <w:tcPr>
            <w:tcW w:w="811" w:type="dxa"/>
            <w:vMerge w:val="restart"/>
            <w:tcBorders>
              <w:bottom w:val="nil"/>
            </w:tcBorders>
            <w:vAlign w:val="top"/>
          </w:tcPr>
          <w:p w14:paraId="7143D534">
            <w:pPr>
              <w:spacing w:line="249" w:lineRule="auto"/>
              <w:rPr>
                <w:rFonts w:ascii="Arial"/>
                <w:sz w:val="21"/>
              </w:rPr>
            </w:pPr>
          </w:p>
          <w:p w14:paraId="008E4122">
            <w:pPr>
              <w:spacing w:line="250" w:lineRule="auto"/>
              <w:rPr>
                <w:rFonts w:ascii="Arial"/>
                <w:sz w:val="21"/>
              </w:rPr>
            </w:pPr>
          </w:p>
          <w:p w14:paraId="33B291B4">
            <w:pPr>
              <w:spacing w:line="250" w:lineRule="auto"/>
              <w:rPr>
                <w:rFonts w:ascii="Arial"/>
                <w:sz w:val="21"/>
              </w:rPr>
            </w:pPr>
          </w:p>
          <w:p w14:paraId="15C2EF6E">
            <w:pPr>
              <w:spacing w:line="250" w:lineRule="auto"/>
              <w:rPr>
                <w:rFonts w:ascii="Arial"/>
                <w:sz w:val="21"/>
              </w:rPr>
            </w:pPr>
          </w:p>
          <w:p w14:paraId="3C73A4A8">
            <w:pPr>
              <w:spacing w:line="250" w:lineRule="auto"/>
              <w:rPr>
                <w:rFonts w:ascii="Arial"/>
                <w:sz w:val="21"/>
              </w:rPr>
            </w:pPr>
          </w:p>
          <w:p w14:paraId="3676D014">
            <w:pPr>
              <w:spacing w:line="250" w:lineRule="auto"/>
              <w:rPr>
                <w:rFonts w:ascii="Arial"/>
                <w:sz w:val="21"/>
              </w:rPr>
            </w:pPr>
          </w:p>
          <w:p w14:paraId="56B55D3F">
            <w:pPr>
              <w:spacing w:line="250" w:lineRule="auto"/>
              <w:rPr>
                <w:rFonts w:ascii="Arial"/>
                <w:sz w:val="21"/>
              </w:rPr>
            </w:pPr>
          </w:p>
          <w:p w14:paraId="6170FF04">
            <w:pPr>
              <w:spacing w:line="250" w:lineRule="auto"/>
              <w:rPr>
                <w:rFonts w:ascii="Arial"/>
                <w:sz w:val="21"/>
              </w:rPr>
            </w:pPr>
          </w:p>
          <w:p w14:paraId="5AFF92B2">
            <w:pPr>
              <w:spacing w:line="250" w:lineRule="auto"/>
              <w:rPr>
                <w:rFonts w:ascii="Arial"/>
                <w:sz w:val="21"/>
              </w:rPr>
            </w:pPr>
          </w:p>
          <w:p w14:paraId="1EF41C66">
            <w:pPr>
              <w:spacing w:line="250" w:lineRule="auto"/>
              <w:rPr>
                <w:rFonts w:ascii="Arial"/>
                <w:sz w:val="21"/>
              </w:rPr>
            </w:pPr>
          </w:p>
          <w:p w14:paraId="7AF1E761">
            <w:pPr>
              <w:spacing w:before="75" w:line="188" w:lineRule="auto"/>
              <w:ind w:left="233"/>
              <w:rPr>
                <w:rFonts w:ascii="宋体" w:hAnsi="宋体" w:eastAsia="宋体" w:cs="宋体"/>
                <w:sz w:val="23"/>
                <w:szCs w:val="23"/>
              </w:rPr>
            </w:pPr>
            <w:r>
              <w:rPr>
                <w:rFonts w:ascii="宋体" w:hAnsi="宋体" w:eastAsia="宋体" w:cs="宋体"/>
                <w:spacing w:val="-1"/>
                <w:sz w:val="23"/>
                <w:szCs w:val="23"/>
              </w:rPr>
              <w:t>236</w:t>
            </w:r>
          </w:p>
        </w:tc>
      </w:tr>
      <w:tr w14:paraId="1DAB2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3" w:hRule="atLeast"/>
        </w:trPr>
        <w:tc>
          <w:tcPr>
            <w:tcW w:w="818" w:type="dxa"/>
            <w:vMerge w:val="continue"/>
            <w:tcBorders>
              <w:top w:val="nil"/>
              <w:bottom w:val="nil"/>
            </w:tcBorders>
            <w:vAlign w:val="top"/>
          </w:tcPr>
          <w:p w14:paraId="68A813AC">
            <w:pPr>
              <w:rPr>
                <w:rFonts w:ascii="Arial"/>
                <w:sz w:val="21"/>
              </w:rPr>
            </w:pPr>
          </w:p>
        </w:tc>
        <w:tc>
          <w:tcPr>
            <w:tcW w:w="1440" w:type="dxa"/>
            <w:vMerge w:val="continue"/>
            <w:tcBorders>
              <w:top w:val="nil"/>
              <w:bottom w:val="nil"/>
            </w:tcBorders>
            <w:vAlign w:val="top"/>
          </w:tcPr>
          <w:p w14:paraId="77A119DC">
            <w:pPr>
              <w:rPr>
                <w:rFonts w:ascii="Arial"/>
                <w:sz w:val="21"/>
              </w:rPr>
            </w:pPr>
          </w:p>
        </w:tc>
        <w:tc>
          <w:tcPr>
            <w:tcW w:w="3202" w:type="dxa"/>
            <w:vMerge w:val="continue"/>
            <w:tcBorders>
              <w:top w:val="nil"/>
              <w:bottom w:val="nil"/>
            </w:tcBorders>
            <w:vAlign w:val="top"/>
          </w:tcPr>
          <w:p w14:paraId="128E6104">
            <w:pPr>
              <w:rPr>
                <w:rFonts w:ascii="Arial"/>
                <w:sz w:val="21"/>
              </w:rPr>
            </w:pPr>
          </w:p>
        </w:tc>
        <w:tc>
          <w:tcPr>
            <w:tcW w:w="2859" w:type="dxa"/>
            <w:vMerge w:val="continue"/>
            <w:tcBorders>
              <w:top w:val="nil"/>
              <w:bottom w:val="nil"/>
            </w:tcBorders>
            <w:vAlign w:val="top"/>
          </w:tcPr>
          <w:p w14:paraId="6C3C60B6">
            <w:pPr>
              <w:rPr>
                <w:rFonts w:ascii="Arial"/>
                <w:sz w:val="21"/>
              </w:rPr>
            </w:pPr>
          </w:p>
        </w:tc>
        <w:tc>
          <w:tcPr>
            <w:tcW w:w="803" w:type="dxa"/>
            <w:vAlign w:val="top"/>
          </w:tcPr>
          <w:p w14:paraId="10829D78">
            <w:pPr>
              <w:spacing w:line="251" w:lineRule="auto"/>
              <w:rPr>
                <w:rFonts w:ascii="Arial"/>
                <w:sz w:val="21"/>
              </w:rPr>
            </w:pPr>
          </w:p>
          <w:p w14:paraId="2BEFB222">
            <w:pPr>
              <w:spacing w:line="252" w:lineRule="auto"/>
              <w:rPr>
                <w:rFonts w:ascii="Arial"/>
                <w:sz w:val="21"/>
              </w:rPr>
            </w:pPr>
          </w:p>
          <w:p w14:paraId="31E18ADB">
            <w:pPr>
              <w:spacing w:line="252" w:lineRule="auto"/>
              <w:rPr>
                <w:rFonts w:ascii="Arial"/>
                <w:sz w:val="21"/>
              </w:rPr>
            </w:pPr>
          </w:p>
          <w:p w14:paraId="570356DB">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1507F64">
            <w:pPr>
              <w:pStyle w:val="6"/>
              <w:spacing w:before="186" w:line="188" w:lineRule="auto"/>
              <w:ind w:left="117" w:right="109"/>
              <w:jc w:val="both"/>
            </w:pPr>
            <w:r>
              <w:rPr>
                <w:spacing w:val="26"/>
              </w:rPr>
              <w:t>粉尘防爆安全管理</w:t>
            </w:r>
            <w:r>
              <w:rPr>
                <w:spacing w:val="-4"/>
              </w:rPr>
              <w:t>制度未包含《工贸企</w:t>
            </w:r>
            <w:r>
              <w:rPr>
                <w:spacing w:val="26"/>
              </w:rPr>
              <w:t>业粉尘防爆安全规</w:t>
            </w:r>
            <w:r>
              <w:rPr>
                <w:spacing w:val="-3"/>
              </w:rPr>
              <w:t>定》第七条规定的七</w:t>
            </w:r>
            <w:r>
              <w:rPr>
                <w:spacing w:val="6"/>
              </w:rPr>
              <w:t>项内容的</w:t>
            </w:r>
          </w:p>
        </w:tc>
        <w:tc>
          <w:tcPr>
            <w:tcW w:w="2894" w:type="dxa"/>
            <w:vAlign w:val="top"/>
          </w:tcPr>
          <w:p w14:paraId="6BAC34AB">
            <w:pPr>
              <w:pStyle w:val="6"/>
              <w:spacing w:before="187" w:line="188" w:lineRule="auto"/>
              <w:ind w:left="122" w:right="103" w:firstLine="5"/>
            </w:pPr>
            <w:r>
              <w:rPr>
                <w:spacing w:val="2"/>
              </w:rPr>
              <w:t>责令限期改正，处</w:t>
            </w:r>
            <w:r>
              <w:rPr>
                <w:rFonts w:ascii="宋体" w:hAnsi="宋体" w:eastAsia="宋体" w:cs="宋体"/>
                <w:spacing w:val="2"/>
              </w:rPr>
              <w:t>1</w:t>
            </w:r>
            <w:r>
              <w:rPr>
                <w:spacing w:val="2"/>
              </w:rPr>
              <w:t>万元</w:t>
            </w:r>
            <w:r>
              <w:rPr>
                <w:spacing w:val="6"/>
              </w:rPr>
              <w:t>以上</w:t>
            </w:r>
            <w:r>
              <w:rPr>
                <w:rFonts w:ascii="宋体" w:hAnsi="宋体" w:eastAsia="宋体" w:cs="宋体"/>
                <w:spacing w:val="6"/>
              </w:rPr>
              <w:t>2</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万元以下的罚款</w:t>
            </w:r>
          </w:p>
        </w:tc>
        <w:tc>
          <w:tcPr>
            <w:tcW w:w="811" w:type="dxa"/>
            <w:vMerge w:val="continue"/>
            <w:tcBorders>
              <w:top w:val="nil"/>
              <w:bottom w:val="nil"/>
            </w:tcBorders>
            <w:vAlign w:val="top"/>
          </w:tcPr>
          <w:p w14:paraId="4743239D">
            <w:pPr>
              <w:rPr>
                <w:rFonts w:ascii="Arial"/>
                <w:sz w:val="21"/>
              </w:rPr>
            </w:pPr>
          </w:p>
        </w:tc>
      </w:tr>
      <w:tr w14:paraId="54006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818" w:type="dxa"/>
            <w:vMerge w:val="continue"/>
            <w:tcBorders>
              <w:top w:val="nil"/>
            </w:tcBorders>
            <w:vAlign w:val="top"/>
          </w:tcPr>
          <w:p w14:paraId="5942EAC3">
            <w:pPr>
              <w:rPr>
                <w:rFonts w:ascii="Arial"/>
                <w:sz w:val="21"/>
              </w:rPr>
            </w:pPr>
          </w:p>
        </w:tc>
        <w:tc>
          <w:tcPr>
            <w:tcW w:w="1440" w:type="dxa"/>
            <w:vMerge w:val="continue"/>
            <w:tcBorders>
              <w:top w:val="nil"/>
            </w:tcBorders>
            <w:vAlign w:val="top"/>
          </w:tcPr>
          <w:p w14:paraId="2528D305">
            <w:pPr>
              <w:rPr>
                <w:rFonts w:ascii="Arial"/>
                <w:sz w:val="21"/>
              </w:rPr>
            </w:pPr>
          </w:p>
        </w:tc>
        <w:tc>
          <w:tcPr>
            <w:tcW w:w="3202" w:type="dxa"/>
            <w:vMerge w:val="continue"/>
            <w:tcBorders>
              <w:top w:val="nil"/>
            </w:tcBorders>
            <w:vAlign w:val="top"/>
          </w:tcPr>
          <w:p w14:paraId="2E934B75">
            <w:pPr>
              <w:rPr>
                <w:rFonts w:ascii="Arial"/>
                <w:sz w:val="21"/>
              </w:rPr>
            </w:pPr>
          </w:p>
        </w:tc>
        <w:tc>
          <w:tcPr>
            <w:tcW w:w="2859" w:type="dxa"/>
            <w:vMerge w:val="continue"/>
            <w:tcBorders>
              <w:top w:val="nil"/>
            </w:tcBorders>
            <w:vAlign w:val="top"/>
          </w:tcPr>
          <w:p w14:paraId="7DA17DF0">
            <w:pPr>
              <w:rPr>
                <w:rFonts w:ascii="Arial"/>
                <w:sz w:val="21"/>
              </w:rPr>
            </w:pPr>
          </w:p>
        </w:tc>
        <w:tc>
          <w:tcPr>
            <w:tcW w:w="803" w:type="dxa"/>
            <w:vAlign w:val="top"/>
          </w:tcPr>
          <w:p w14:paraId="0DFF3ADD">
            <w:pPr>
              <w:spacing w:line="281" w:lineRule="auto"/>
              <w:rPr>
                <w:rFonts w:ascii="Arial"/>
                <w:sz w:val="21"/>
              </w:rPr>
            </w:pPr>
          </w:p>
          <w:p w14:paraId="01174336">
            <w:pPr>
              <w:spacing w:line="281" w:lineRule="auto"/>
              <w:rPr>
                <w:rFonts w:ascii="Arial"/>
                <w:sz w:val="21"/>
              </w:rPr>
            </w:pPr>
          </w:p>
          <w:p w14:paraId="23329604">
            <w:pPr>
              <w:spacing w:line="281" w:lineRule="auto"/>
              <w:rPr>
                <w:rFonts w:ascii="Arial"/>
                <w:sz w:val="21"/>
              </w:rPr>
            </w:pPr>
          </w:p>
          <w:p w14:paraId="675A8AF9">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3B08658">
            <w:pPr>
              <w:spacing w:line="312" w:lineRule="auto"/>
              <w:rPr>
                <w:rFonts w:ascii="Arial"/>
                <w:sz w:val="21"/>
              </w:rPr>
            </w:pPr>
          </w:p>
          <w:p w14:paraId="131ABA0C">
            <w:pPr>
              <w:spacing w:line="312" w:lineRule="auto"/>
              <w:rPr>
                <w:rFonts w:ascii="Arial"/>
                <w:sz w:val="21"/>
              </w:rPr>
            </w:pPr>
          </w:p>
          <w:p w14:paraId="5B7030F2">
            <w:pPr>
              <w:pStyle w:val="6"/>
              <w:spacing w:before="99" w:line="196" w:lineRule="auto"/>
              <w:ind w:left="117" w:right="109"/>
            </w:pPr>
            <w:r>
              <w:rPr>
                <w:spacing w:val="26"/>
              </w:rPr>
              <w:t>未建立粉尘防爆安</w:t>
            </w:r>
            <w:r>
              <w:rPr>
                <w:spacing w:val="7"/>
              </w:rPr>
              <w:t>全管理制度的</w:t>
            </w:r>
          </w:p>
        </w:tc>
        <w:tc>
          <w:tcPr>
            <w:tcW w:w="2894" w:type="dxa"/>
            <w:vAlign w:val="top"/>
          </w:tcPr>
          <w:p w14:paraId="6D79E025">
            <w:pPr>
              <w:pStyle w:val="6"/>
              <w:spacing w:before="277" w:line="188" w:lineRule="auto"/>
              <w:ind w:left="122" w:right="103" w:firstLine="5"/>
            </w:pPr>
            <w:r>
              <w:rPr>
                <w:spacing w:val="4"/>
              </w:rPr>
              <w:t>责令限期改正，处</w:t>
            </w:r>
            <w:r>
              <w:rPr>
                <w:rFonts w:ascii="宋体" w:hAnsi="宋体" w:eastAsia="宋体" w:cs="宋体"/>
                <w:spacing w:val="4"/>
              </w:rPr>
              <w:t>2</w:t>
            </w:r>
            <w:r>
              <w:rPr>
                <w:spacing w:val="4"/>
              </w:rPr>
              <w:t>万元</w:t>
            </w:r>
            <w:r>
              <w:rPr>
                <w:spacing w:val="6"/>
              </w:rPr>
              <w:t>以上</w:t>
            </w:r>
            <w:r>
              <w:rPr>
                <w:rFonts w:ascii="宋体" w:hAnsi="宋体" w:eastAsia="宋体" w:cs="宋体"/>
                <w:spacing w:val="6"/>
              </w:rPr>
              <w:t>3</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万元以下的罚款</w:t>
            </w:r>
          </w:p>
        </w:tc>
        <w:tc>
          <w:tcPr>
            <w:tcW w:w="811" w:type="dxa"/>
            <w:vMerge w:val="continue"/>
            <w:tcBorders>
              <w:top w:val="nil"/>
            </w:tcBorders>
            <w:vAlign w:val="top"/>
          </w:tcPr>
          <w:p w14:paraId="0A74CFF0">
            <w:pPr>
              <w:rPr>
                <w:rFonts w:ascii="Arial"/>
                <w:sz w:val="21"/>
              </w:rPr>
            </w:pPr>
          </w:p>
        </w:tc>
      </w:tr>
      <w:tr w14:paraId="6A745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0" w:hRule="atLeast"/>
        </w:trPr>
        <w:tc>
          <w:tcPr>
            <w:tcW w:w="818" w:type="dxa"/>
            <w:vAlign w:val="top"/>
          </w:tcPr>
          <w:p w14:paraId="66CBA8B8">
            <w:pPr>
              <w:spacing w:line="254" w:lineRule="auto"/>
              <w:rPr>
                <w:rFonts w:ascii="Arial"/>
                <w:sz w:val="21"/>
              </w:rPr>
            </w:pPr>
          </w:p>
          <w:p w14:paraId="0145E85E">
            <w:pPr>
              <w:spacing w:line="254" w:lineRule="auto"/>
              <w:rPr>
                <w:rFonts w:ascii="Arial"/>
                <w:sz w:val="21"/>
              </w:rPr>
            </w:pPr>
          </w:p>
          <w:p w14:paraId="0AC5B3FB">
            <w:pPr>
              <w:spacing w:line="254" w:lineRule="auto"/>
              <w:rPr>
                <w:rFonts w:ascii="Arial"/>
                <w:sz w:val="21"/>
              </w:rPr>
            </w:pPr>
          </w:p>
          <w:p w14:paraId="5CC59A7B">
            <w:pPr>
              <w:spacing w:line="254" w:lineRule="auto"/>
              <w:rPr>
                <w:rFonts w:ascii="Arial"/>
                <w:sz w:val="21"/>
              </w:rPr>
            </w:pPr>
          </w:p>
          <w:p w14:paraId="4DD2A6D5">
            <w:pPr>
              <w:spacing w:before="74" w:line="186" w:lineRule="auto"/>
              <w:ind w:left="146"/>
              <w:rPr>
                <w:rFonts w:ascii="仿宋" w:hAnsi="仿宋" w:eastAsia="仿宋" w:cs="仿宋"/>
                <w:sz w:val="23"/>
                <w:szCs w:val="23"/>
              </w:rPr>
            </w:pPr>
            <w:r>
              <w:rPr>
                <w:rFonts w:ascii="仿宋" w:hAnsi="仿宋" w:eastAsia="仿宋" w:cs="仿宋"/>
                <w:sz w:val="23"/>
                <w:szCs w:val="23"/>
              </w:rPr>
              <w:t>210</w:t>
            </w:r>
          </w:p>
        </w:tc>
        <w:tc>
          <w:tcPr>
            <w:tcW w:w="1440" w:type="dxa"/>
            <w:vAlign w:val="top"/>
          </w:tcPr>
          <w:p w14:paraId="15667195">
            <w:pPr>
              <w:pStyle w:val="6"/>
              <w:spacing w:before="150" w:line="186" w:lineRule="auto"/>
              <w:ind w:left="114" w:right="109"/>
              <w:jc w:val="both"/>
            </w:pPr>
            <w:r>
              <w:rPr>
                <w:spacing w:val="11"/>
              </w:rPr>
              <w:t>存在粉尘涉</w:t>
            </w:r>
            <w:r>
              <w:rPr>
                <w:spacing w:val="12"/>
              </w:rPr>
              <w:t>爆危险的工贸企业未按</w:t>
            </w:r>
            <w:r>
              <w:rPr>
                <w:spacing w:val="11"/>
              </w:rPr>
              <w:t>照规定辨识评估管控粉尘爆炸安全</w:t>
            </w:r>
            <w:r>
              <w:rPr>
                <w:spacing w:val="4"/>
              </w:rPr>
              <w:t>风险，未建</w:t>
            </w:r>
          </w:p>
        </w:tc>
        <w:tc>
          <w:tcPr>
            <w:tcW w:w="3202" w:type="dxa"/>
            <w:vAlign w:val="top"/>
          </w:tcPr>
          <w:p w14:paraId="650510C9">
            <w:pPr>
              <w:pStyle w:val="6"/>
              <w:spacing w:before="35" w:line="186" w:lineRule="auto"/>
              <w:ind w:left="120" w:right="110" w:hanging="22"/>
            </w:pPr>
            <w:r>
              <w:rPr>
                <w:spacing w:val="18"/>
              </w:rPr>
              <w:t>【部门规章】《工贸企业粉</w:t>
            </w:r>
            <w:r>
              <w:rPr>
                <w:spacing w:val="17"/>
              </w:rPr>
              <w:t>尘防爆安全规定》第十一条</w:t>
            </w:r>
            <w:r>
              <w:rPr>
                <w:spacing w:val="13"/>
              </w:rPr>
              <w:t>第一款、第三款：粉尘涉爆</w:t>
            </w:r>
            <w:r>
              <w:rPr>
                <w:spacing w:val="14"/>
              </w:rPr>
              <w:t>企业应当定期辨识粉尘云、</w:t>
            </w:r>
            <w:r>
              <w:rPr>
                <w:spacing w:val="39"/>
              </w:rPr>
              <w:t>点燃源等粉尘爆炸危险因</w:t>
            </w:r>
            <w:r>
              <w:rPr>
                <w:spacing w:val="13"/>
              </w:rPr>
              <w:t>素，确定粉尘爆炸危险场所的位置、范围，并根据粉尘</w:t>
            </w:r>
          </w:p>
        </w:tc>
        <w:tc>
          <w:tcPr>
            <w:tcW w:w="2859" w:type="dxa"/>
            <w:vAlign w:val="top"/>
          </w:tcPr>
          <w:p w14:paraId="56AC14F4">
            <w:pPr>
              <w:pStyle w:val="6"/>
              <w:spacing w:before="34" w:line="186" w:lineRule="auto"/>
              <w:ind w:left="116" w:right="110" w:hanging="19"/>
            </w:pPr>
            <w:r>
              <w:rPr>
                <w:spacing w:val="10"/>
              </w:rPr>
              <w:t>【部门规章】《工贸企业</w:t>
            </w:r>
            <w:r>
              <w:rPr>
                <w:spacing w:val="8"/>
              </w:rPr>
              <w:t>粉尘防爆安全规定》第三十条第三项：粉尘涉爆企</w:t>
            </w:r>
            <w:r>
              <w:rPr>
                <w:spacing w:val="2"/>
              </w:rPr>
              <w:t>业有下列情形之一的，由</w:t>
            </w:r>
            <w:r>
              <w:rPr>
                <w:spacing w:val="8"/>
              </w:rPr>
              <w:t>负责粉尘涉爆企业安全监</w:t>
            </w:r>
            <w:r>
              <w:rPr>
                <w:spacing w:val="7"/>
              </w:rPr>
              <w:t>管的部门责令限期改正，</w:t>
            </w:r>
            <w:r>
              <w:rPr>
                <w:spacing w:val="4"/>
              </w:rPr>
              <w:t>处</w:t>
            </w:r>
            <w:r>
              <w:rPr>
                <w:rFonts w:ascii="宋体" w:hAnsi="宋体" w:eastAsia="宋体" w:cs="宋体"/>
                <w:spacing w:val="4"/>
              </w:rPr>
              <w:t>3</w:t>
            </w:r>
            <w:r>
              <w:rPr>
                <w:spacing w:val="4"/>
              </w:rPr>
              <w:t>万元以下的罚款，对</w:t>
            </w:r>
          </w:p>
        </w:tc>
        <w:tc>
          <w:tcPr>
            <w:tcW w:w="803" w:type="dxa"/>
            <w:vAlign w:val="top"/>
          </w:tcPr>
          <w:p w14:paraId="5876251D">
            <w:pPr>
              <w:spacing w:line="252" w:lineRule="auto"/>
              <w:rPr>
                <w:rFonts w:ascii="Arial"/>
                <w:sz w:val="21"/>
              </w:rPr>
            </w:pPr>
          </w:p>
          <w:p w14:paraId="5F0966FA">
            <w:pPr>
              <w:spacing w:line="253" w:lineRule="auto"/>
              <w:rPr>
                <w:rFonts w:ascii="Arial"/>
                <w:sz w:val="21"/>
              </w:rPr>
            </w:pPr>
          </w:p>
          <w:p w14:paraId="0F602F72">
            <w:pPr>
              <w:spacing w:line="253" w:lineRule="auto"/>
              <w:rPr>
                <w:rFonts w:ascii="Arial"/>
                <w:sz w:val="21"/>
              </w:rPr>
            </w:pPr>
          </w:p>
          <w:p w14:paraId="3ECF7744">
            <w:pPr>
              <w:spacing w:line="253" w:lineRule="auto"/>
              <w:rPr>
                <w:rFonts w:ascii="Arial"/>
                <w:sz w:val="21"/>
              </w:rPr>
            </w:pPr>
          </w:p>
          <w:p w14:paraId="1FDA1B09">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3319AD7">
            <w:pPr>
              <w:pStyle w:val="6"/>
              <w:spacing w:before="152" w:line="186" w:lineRule="auto"/>
              <w:ind w:left="117" w:right="105"/>
              <w:jc w:val="both"/>
            </w:pPr>
            <w:r>
              <w:rPr>
                <w:spacing w:val="26"/>
              </w:rPr>
              <w:t>未按照规定辨识评估管控粉尘爆炸安</w:t>
            </w:r>
            <w:r>
              <w:rPr>
                <w:spacing w:val="-3"/>
              </w:rPr>
              <w:t>全风险，未建立安全</w:t>
            </w:r>
            <w:r>
              <w:rPr>
                <w:spacing w:val="26"/>
              </w:rPr>
              <w:t>风险清单或者未及时维护相关信息档</w:t>
            </w:r>
            <w:r>
              <w:rPr>
                <w:spacing w:val="-8"/>
              </w:rPr>
              <w:t>案的，有上述</w:t>
            </w:r>
            <w:r>
              <w:rPr>
                <w:rFonts w:ascii="宋体" w:hAnsi="宋体" w:eastAsia="宋体" w:cs="宋体"/>
                <w:spacing w:val="-8"/>
              </w:rPr>
              <w:t>1</w:t>
            </w:r>
            <w:r>
              <w:rPr>
                <w:spacing w:val="-8"/>
              </w:rPr>
              <w:t>种情</w:t>
            </w:r>
            <w:r>
              <w:rPr>
                <w:spacing w:val="2"/>
              </w:rPr>
              <w:t>形的</w:t>
            </w:r>
          </w:p>
        </w:tc>
        <w:tc>
          <w:tcPr>
            <w:tcW w:w="2894" w:type="dxa"/>
            <w:vAlign w:val="top"/>
          </w:tcPr>
          <w:p w14:paraId="63F3F646">
            <w:pPr>
              <w:spacing w:line="346" w:lineRule="auto"/>
              <w:rPr>
                <w:rFonts w:ascii="Arial"/>
                <w:sz w:val="21"/>
              </w:rPr>
            </w:pPr>
          </w:p>
          <w:p w14:paraId="5934E5D2">
            <w:pPr>
              <w:pStyle w:val="6"/>
              <w:spacing w:before="98" w:line="188" w:lineRule="auto"/>
              <w:ind w:left="127" w:right="103"/>
              <w:jc w:val="both"/>
            </w:pPr>
            <w:r>
              <w:rPr>
                <w:spacing w:val="2"/>
              </w:rPr>
              <w:t>责令限期改正，处</w:t>
            </w:r>
            <w:r>
              <w:rPr>
                <w:rFonts w:ascii="宋体" w:hAnsi="宋体" w:eastAsia="宋体" w:cs="宋体"/>
                <w:spacing w:val="2"/>
              </w:rPr>
              <w:t>1</w:t>
            </w:r>
            <w:r>
              <w:rPr>
                <w:spacing w:val="2"/>
              </w:rPr>
              <w:t>万元</w:t>
            </w:r>
            <w:r>
              <w:rPr>
                <w:spacing w:val="7"/>
              </w:rPr>
              <w:t>以下的罚款，对其直接负</w:t>
            </w:r>
            <w:r>
              <w:rPr>
                <w:spacing w:val="10"/>
              </w:rPr>
              <w:t>责的主管人员和其他直接</w:t>
            </w:r>
            <w:r>
              <w:rPr>
                <w:spacing w:val="5"/>
              </w:rPr>
              <w:t>责任人员处</w:t>
            </w:r>
            <w:r>
              <w:rPr>
                <w:rFonts w:ascii="宋体" w:hAnsi="宋体" w:eastAsia="宋体" w:cs="宋体"/>
                <w:spacing w:val="5"/>
              </w:rPr>
              <w:t>1</w:t>
            </w:r>
            <w:r>
              <w:rPr>
                <w:spacing w:val="5"/>
              </w:rPr>
              <w:t>万元以下的</w:t>
            </w:r>
            <w:r>
              <w:rPr>
                <w:spacing w:val="-1"/>
              </w:rPr>
              <w:t>罚款</w:t>
            </w:r>
          </w:p>
        </w:tc>
        <w:tc>
          <w:tcPr>
            <w:tcW w:w="811" w:type="dxa"/>
            <w:vAlign w:val="top"/>
          </w:tcPr>
          <w:p w14:paraId="50A1245C">
            <w:pPr>
              <w:spacing w:line="253" w:lineRule="auto"/>
              <w:rPr>
                <w:rFonts w:ascii="Arial"/>
                <w:sz w:val="21"/>
              </w:rPr>
            </w:pPr>
          </w:p>
          <w:p w14:paraId="0D51142F">
            <w:pPr>
              <w:spacing w:line="253" w:lineRule="auto"/>
              <w:rPr>
                <w:rFonts w:ascii="Arial"/>
                <w:sz w:val="21"/>
              </w:rPr>
            </w:pPr>
          </w:p>
          <w:p w14:paraId="4C602A9D">
            <w:pPr>
              <w:spacing w:line="253" w:lineRule="auto"/>
              <w:rPr>
                <w:rFonts w:ascii="Arial"/>
                <w:sz w:val="21"/>
              </w:rPr>
            </w:pPr>
          </w:p>
          <w:p w14:paraId="60451523">
            <w:pPr>
              <w:spacing w:line="254" w:lineRule="auto"/>
              <w:rPr>
                <w:rFonts w:ascii="Arial"/>
                <w:sz w:val="21"/>
              </w:rPr>
            </w:pPr>
          </w:p>
          <w:p w14:paraId="11AE33BE">
            <w:pPr>
              <w:spacing w:before="75" w:line="188" w:lineRule="auto"/>
              <w:ind w:left="233"/>
              <w:rPr>
                <w:rFonts w:ascii="宋体" w:hAnsi="宋体" w:eastAsia="宋体" w:cs="宋体"/>
                <w:sz w:val="23"/>
                <w:szCs w:val="23"/>
              </w:rPr>
            </w:pPr>
            <w:r>
              <w:rPr>
                <w:rFonts w:ascii="宋体" w:hAnsi="宋体" w:eastAsia="宋体" w:cs="宋体"/>
                <w:spacing w:val="-1"/>
                <w:sz w:val="23"/>
                <w:szCs w:val="23"/>
              </w:rPr>
              <w:t>236</w:t>
            </w:r>
          </w:p>
        </w:tc>
      </w:tr>
    </w:tbl>
    <w:p w14:paraId="3C1DC514">
      <w:pPr>
        <w:pStyle w:val="2"/>
        <w:spacing w:line="161" w:lineRule="exact"/>
        <w:rPr>
          <w:sz w:val="14"/>
        </w:rPr>
      </w:pPr>
    </w:p>
    <w:p w14:paraId="507E2392">
      <w:pPr>
        <w:spacing w:line="161" w:lineRule="exact"/>
        <w:rPr>
          <w:sz w:val="14"/>
          <w:szCs w:val="14"/>
        </w:rPr>
        <w:sectPr>
          <w:footerReference r:id="rId214" w:type="default"/>
          <w:pgSz w:w="16839" w:h="11906"/>
          <w:pgMar w:top="1012" w:right="821" w:bottom="667" w:left="901" w:header="0" w:footer="388" w:gutter="0"/>
          <w:cols w:space="720" w:num="1"/>
        </w:sectPr>
      </w:pPr>
    </w:p>
    <w:p w14:paraId="7DEBE56D">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5D76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74317C33">
            <w:pPr>
              <w:spacing w:before="222" w:line="241" w:lineRule="auto"/>
              <w:ind w:left="131"/>
              <w:rPr>
                <w:rFonts w:ascii="黑体" w:hAnsi="黑体" w:eastAsia="黑体" w:cs="黑体"/>
                <w:sz w:val="28"/>
                <w:szCs w:val="28"/>
              </w:rPr>
            </w:pPr>
            <w:bookmarkStart w:id="707" w:name="bookmark605"/>
            <w:bookmarkEnd w:id="707"/>
            <w:r>
              <w:rPr>
                <w:rFonts w:ascii="黑体" w:hAnsi="黑体" w:eastAsia="黑体" w:cs="黑体"/>
                <w:spacing w:val="-2"/>
                <w:sz w:val="28"/>
                <w:szCs w:val="28"/>
              </w:rPr>
              <w:t>序号</w:t>
            </w:r>
          </w:p>
        </w:tc>
        <w:tc>
          <w:tcPr>
            <w:tcW w:w="1440" w:type="dxa"/>
            <w:vAlign w:val="top"/>
          </w:tcPr>
          <w:p w14:paraId="4C6431A5">
            <w:pPr>
              <w:spacing w:before="221"/>
              <w:ind w:left="163"/>
              <w:outlineLvl w:val="1"/>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68F55F5">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8EE514E">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31CDE2C4">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CA28988">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7B260F7">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3E79D0F5">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A7D9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restart"/>
            <w:tcBorders>
              <w:bottom w:val="nil"/>
            </w:tcBorders>
            <w:vAlign w:val="top"/>
          </w:tcPr>
          <w:p w14:paraId="4AF41F69">
            <w:pPr>
              <w:rPr>
                <w:rFonts w:ascii="Arial"/>
                <w:sz w:val="21"/>
              </w:rPr>
            </w:pPr>
          </w:p>
        </w:tc>
        <w:tc>
          <w:tcPr>
            <w:tcW w:w="1440" w:type="dxa"/>
            <w:vMerge w:val="restart"/>
            <w:tcBorders>
              <w:bottom w:val="nil"/>
            </w:tcBorders>
            <w:vAlign w:val="top"/>
          </w:tcPr>
          <w:p w14:paraId="721C1FE0">
            <w:pPr>
              <w:pStyle w:val="6"/>
              <w:spacing w:before="29" w:line="182" w:lineRule="auto"/>
              <w:ind w:left="122" w:right="111" w:hanging="2"/>
            </w:pPr>
            <w:r>
              <w:rPr>
                <w:spacing w:val="10"/>
              </w:rPr>
              <w:t>立安全风险</w:t>
            </w:r>
            <w:r>
              <w:rPr>
                <w:spacing w:val="9"/>
              </w:rPr>
              <w:t>清单或者未</w:t>
            </w:r>
          </w:p>
          <w:p w14:paraId="1F14F6AD">
            <w:pPr>
              <w:pStyle w:val="6"/>
              <w:spacing w:line="182" w:lineRule="auto"/>
              <w:ind w:left="113"/>
              <w:outlineLvl w:val="0"/>
            </w:pPr>
            <w:bookmarkStart w:id="708" w:name="bookmark430"/>
            <w:bookmarkEnd w:id="708"/>
            <w:r>
              <w:rPr>
                <w:spacing w:val="12"/>
              </w:rPr>
              <w:t>及时维护相</w:t>
            </w:r>
          </w:p>
          <w:p w14:paraId="44C7E256">
            <w:pPr>
              <w:pStyle w:val="6"/>
              <w:spacing w:line="197" w:lineRule="auto"/>
              <w:ind w:left="136" w:right="111" w:hanging="14"/>
            </w:pPr>
            <w:r>
              <w:rPr>
                <w:spacing w:val="10"/>
              </w:rPr>
              <w:t>关信息档案</w:t>
            </w:r>
            <w:r>
              <w:t>的</w:t>
            </w:r>
          </w:p>
        </w:tc>
        <w:tc>
          <w:tcPr>
            <w:tcW w:w="3202" w:type="dxa"/>
            <w:vMerge w:val="restart"/>
            <w:tcBorders>
              <w:bottom w:val="nil"/>
            </w:tcBorders>
            <w:vAlign w:val="top"/>
          </w:tcPr>
          <w:p w14:paraId="64651BC8">
            <w:pPr>
              <w:pStyle w:val="6"/>
              <w:spacing w:before="30" w:line="182" w:lineRule="auto"/>
              <w:ind w:left="124" w:right="111" w:hanging="8"/>
              <w:jc w:val="both"/>
            </w:pPr>
            <w:r>
              <w:rPr>
                <w:spacing w:val="17"/>
              </w:rPr>
              <w:t>爆炸特性和涉粉作业人数等</w:t>
            </w:r>
            <w:r>
              <w:rPr>
                <w:spacing w:val="13"/>
              </w:rPr>
              <w:t>关键要素，评估确定有关危</w:t>
            </w:r>
            <w:r>
              <w:rPr>
                <w:spacing w:val="12"/>
              </w:rPr>
              <w:t>险场所安全风险等级，制定</w:t>
            </w:r>
          </w:p>
          <w:p w14:paraId="4DCC070D">
            <w:pPr>
              <w:pStyle w:val="6"/>
              <w:spacing w:line="182" w:lineRule="auto"/>
              <w:ind w:left="125"/>
              <w:outlineLvl w:val="1"/>
            </w:pPr>
            <w:r>
              <w:rPr>
                <w:spacing w:val="10"/>
              </w:rPr>
              <w:t>并落实管控措施，明确责任</w:t>
            </w:r>
          </w:p>
          <w:p w14:paraId="3EE313DE">
            <w:pPr>
              <w:pStyle w:val="6"/>
              <w:spacing w:line="182" w:lineRule="auto"/>
              <w:ind w:left="116"/>
            </w:pPr>
            <w:r>
              <w:rPr>
                <w:spacing w:val="13"/>
              </w:rPr>
              <w:t>部门和责任人员，建立安全</w:t>
            </w:r>
          </w:p>
          <w:p w14:paraId="5FCEF550">
            <w:pPr>
              <w:pStyle w:val="6"/>
              <w:spacing w:line="182" w:lineRule="auto"/>
              <w:ind w:left="118"/>
              <w:outlineLvl w:val="1"/>
            </w:pPr>
            <w:r>
              <w:rPr>
                <w:spacing w:val="13"/>
              </w:rPr>
              <w:t>风险清单，及时维护安全风</w:t>
            </w:r>
          </w:p>
          <w:p w14:paraId="13577BD8">
            <w:pPr>
              <w:pStyle w:val="6"/>
              <w:spacing w:before="1" w:line="182" w:lineRule="auto"/>
              <w:ind w:left="119" w:right="111" w:firstLine="18"/>
            </w:pPr>
            <w:r>
              <w:rPr>
                <w:spacing w:val="15"/>
              </w:rPr>
              <w:t>险辨识、评估、管控过程的</w:t>
            </w:r>
            <w:r>
              <w:rPr>
                <w:spacing w:val="-1"/>
              </w:rPr>
              <w:t>信息档案。</w:t>
            </w:r>
          </w:p>
          <w:p w14:paraId="5C5FAE89">
            <w:pPr>
              <w:pStyle w:val="6"/>
              <w:spacing w:before="2" w:line="189" w:lineRule="auto"/>
              <w:ind w:left="114" w:right="111" w:firstLine="18"/>
            </w:pPr>
            <w:r>
              <w:rPr>
                <w:spacing w:val="13"/>
              </w:rPr>
              <w:t>涉及粉尘爆炸危险的工艺、</w:t>
            </w:r>
            <w:r>
              <w:rPr>
                <w:spacing w:val="17"/>
              </w:rPr>
              <w:t>场所、设施设备等发生变更</w:t>
            </w:r>
            <w:r>
              <w:rPr>
                <w:spacing w:val="14"/>
              </w:rPr>
              <w:t>的，粉尘涉爆企业应当重新</w:t>
            </w:r>
            <w:r>
              <w:rPr>
                <w:spacing w:val="5"/>
              </w:rPr>
              <w:t>进行安全风险辨识评估。</w:t>
            </w:r>
          </w:p>
        </w:tc>
        <w:tc>
          <w:tcPr>
            <w:tcW w:w="2859" w:type="dxa"/>
            <w:vMerge w:val="restart"/>
            <w:tcBorders>
              <w:bottom w:val="nil"/>
            </w:tcBorders>
            <w:vAlign w:val="top"/>
          </w:tcPr>
          <w:p w14:paraId="2D281F3D">
            <w:pPr>
              <w:pStyle w:val="6"/>
              <w:spacing w:before="30" w:line="186" w:lineRule="auto"/>
              <w:ind w:left="115" w:right="105"/>
              <w:jc w:val="both"/>
            </w:pPr>
            <w:r>
              <w:rPr>
                <w:spacing w:val="8"/>
              </w:rPr>
              <w:t>其直接负责的主管人员和</w:t>
            </w:r>
            <w:r>
              <w:rPr>
                <w:spacing w:val="3"/>
              </w:rPr>
              <w:t>其他直接责任人员处</w:t>
            </w:r>
            <w:r>
              <w:rPr>
                <w:rFonts w:ascii="宋体" w:hAnsi="宋体" w:eastAsia="宋体" w:cs="宋体"/>
                <w:spacing w:val="3"/>
              </w:rPr>
              <w:t>1</w:t>
            </w:r>
            <w:r>
              <w:rPr>
                <w:spacing w:val="3"/>
              </w:rPr>
              <w:t>万</w:t>
            </w:r>
            <w:r>
              <w:rPr>
                <w:spacing w:val="2"/>
              </w:rPr>
              <w:t>元以下的罚款</w:t>
            </w:r>
            <w:r>
              <w:rPr>
                <w:spacing w:val="4"/>
              </w:rPr>
              <w:t>：（</w:t>
            </w:r>
            <w:r>
              <w:rPr>
                <w:spacing w:val="2"/>
              </w:rPr>
              <w:t>三）未</w:t>
            </w:r>
            <w:r>
              <w:rPr>
                <w:spacing w:val="8"/>
              </w:rPr>
              <w:t>按照规定辨识评估管控粉尘爆炸安全风险，未建立安全风险清单或者未及时</w:t>
            </w:r>
            <w:r>
              <w:rPr>
                <w:spacing w:val="3"/>
              </w:rPr>
              <w:t>维护相关信息档案的；</w:t>
            </w:r>
          </w:p>
        </w:tc>
        <w:tc>
          <w:tcPr>
            <w:tcW w:w="803" w:type="dxa"/>
            <w:vAlign w:val="top"/>
          </w:tcPr>
          <w:p w14:paraId="3E3D5773">
            <w:pPr>
              <w:spacing w:line="298" w:lineRule="auto"/>
              <w:rPr>
                <w:rFonts w:ascii="Arial"/>
                <w:sz w:val="21"/>
              </w:rPr>
            </w:pPr>
          </w:p>
          <w:p w14:paraId="451D8288">
            <w:pPr>
              <w:spacing w:line="298" w:lineRule="auto"/>
              <w:rPr>
                <w:rFonts w:ascii="Arial"/>
                <w:sz w:val="21"/>
              </w:rPr>
            </w:pPr>
          </w:p>
          <w:p w14:paraId="07D72E36">
            <w:pPr>
              <w:spacing w:line="299" w:lineRule="auto"/>
              <w:rPr>
                <w:rFonts w:ascii="Arial"/>
                <w:sz w:val="21"/>
              </w:rPr>
            </w:pPr>
          </w:p>
          <w:p w14:paraId="47996D38">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61305B1">
            <w:pPr>
              <w:pStyle w:val="6"/>
              <w:spacing w:before="33" w:line="179" w:lineRule="auto"/>
              <w:ind w:left="117" w:right="105"/>
              <w:jc w:val="both"/>
            </w:pPr>
            <w:r>
              <w:rPr>
                <w:spacing w:val="26"/>
              </w:rPr>
              <w:t>未按照规定辨识评估管控粉尘爆炸安</w:t>
            </w:r>
            <w:r>
              <w:rPr>
                <w:spacing w:val="-3"/>
              </w:rPr>
              <w:t>全风险，未建立安全</w:t>
            </w:r>
            <w:r>
              <w:rPr>
                <w:spacing w:val="26"/>
              </w:rPr>
              <w:t>风险清单或者未及时维护相关信息档</w:t>
            </w:r>
            <w:r>
              <w:rPr>
                <w:spacing w:val="-5"/>
              </w:rPr>
              <w:t>案的，有上述</w:t>
            </w:r>
            <w:r>
              <w:rPr>
                <w:rFonts w:ascii="宋体" w:hAnsi="宋体" w:eastAsia="宋体" w:cs="宋体"/>
                <w:spacing w:val="-5"/>
              </w:rPr>
              <w:t>2</w:t>
            </w:r>
            <w:r>
              <w:rPr>
                <w:spacing w:val="-5"/>
              </w:rPr>
              <w:t>种情</w:t>
            </w:r>
            <w:r>
              <w:rPr>
                <w:spacing w:val="2"/>
              </w:rPr>
              <w:t>形的</w:t>
            </w:r>
          </w:p>
        </w:tc>
        <w:tc>
          <w:tcPr>
            <w:tcW w:w="2894" w:type="dxa"/>
            <w:vAlign w:val="top"/>
          </w:tcPr>
          <w:p w14:paraId="651F4DF5">
            <w:pPr>
              <w:pStyle w:val="6"/>
              <w:spacing w:before="325" w:line="188" w:lineRule="auto"/>
              <w:ind w:left="122" w:right="103" w:firstLine="5"/>
            </w:pPr>
            <w:r>
              <w:rPr>
                <w:spacing w:val="2"/>
              </w:rPr>
              <w:t>责令限期改正，处</w:t>
            </w:r>
            <w:r>
              <w:rPr>
                <w:rFonts w:ascii="宋体" w:hAnsi="宋体" w:eastAsia="宋体" w:cs="宋体"/>
                <w:spacing w:val="2"/>
              </w:rPr>
              <w:t>1</w:t>
            </w:r>
            <w:r>
              <w:rPr>
                <w:spacing w:val="2"/>
              </w:rPr>
              <w:t>万元</w:t>
            </w:r>
            <w:r>
              <w:rPr>
                <w:spacing w:val="6"/>
              </w:rPr>
              <w:t>以上</w:t>
            </w:r>
            <w:r>
              <w:rPr>
                <w:rFonts w:ascii="宋体" w:hAnsi="宋体" w:eastAsia="宋体" w:cs="宋体"/>
                <w:spacing w:val="6"/>
              </w:rPr>
              <w:t>2</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万元以下的罚款</w:t>
            </w:r>
          </w:p>
        </w:tc>
        <w:tc>
          <w:tcPr>
            <w:tcW w:w="811" w:type="dxa"/>
            <w:vMerge w:val="restart"/>
            <w:tcBorders>
              <w:bottom w:val="nil"/>
            </w:tcBorders>
            <w:vAlign w:val="top"/>
          </w:tcPr>
          <w:p w14:paraId="079BA55F">
            <w:pPr>
              <w:rPr>
                <w:rFonts w:ascii="Arial"/>
                <w:sz w:val="21"/>
              </w:rPr>
            </w:pPr>
          </w:p>
        </w:tc>
      </w:tr>
      <w:tr w14:paraId="19F92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continue"/>
            <w:tcBorders>
              <w:top w:val="nil"/>
            </w:tcBorders>
            <w:vAlign w:val="top"/>
          </w:tcPr>
          <w:p w14:paraId="381F3D0C">
            <w:pPr>
              <w:rPr>
                <w:rFonts w:ascii="Arial"/>
                <w:sz w:val="21"/>
              </w:rPr>
            </w:pPr>
          </w:p>
        </w:tc>
        <w:tc>
          <w:tcPr>
            <w:tcW w:w="1440" w:type="dxa"/>
            <w:vMerge w:val="continue"/>
            <w:tcBorders>
              <w:top w:val="nil"/>
            </w:tcBorders>
            <w:vAlign w:val="top"/>
          </w:tcPr>
          <w:p w14:paraId="28311647">
            <w:pPr>
              <w:rPr>
                <w:rFonts w:ascii="Arial"/>
                <w:sz w:val="21"/>
              </w:rPr>
            </w:pPr>
          </w:p>
        </w:tc>
        <w:tc>
          <w:tcPr>
            <w:tcW w:w="3202" w:type="dxa"/>
            <w:vMerge w:val="continue"/>
            <w:tcBorders>
              <w:top w:val="nil"/>
            </w:tcBorders>
            <w:vAlign w:val="top"/>
          </w:tcPr>
          <w:p w14:paraId="7D2F6093">
            <w:pPr>
              <w:rPr>
                <w:rFonts w:ascii="Arial"/>
                <w:sz w:val="21"/>
              </w:rPr>
            </w:pPr>
          </w:p>
        </w:tc>
        <w:tc>
          <w:tcPr>
            <w:tcW w:w="2859" w:type="dxa"/>
            <w:vMerge w:val="continue"/>
            <w:tcBorders>
              <w:top w:val="nil"/>
            </w:tcBorders>
            <w:vAlign w:val="top"/>
          </w:tcPr>
          <w:p w14:paraId="3F1DE4E9">
            <w:pPr>
              <w:rPr>
                <w:rFonts w:ascii="Arial"/>
                <w:sz w:val="21"/>
              </w:rPr>
            </w:pPr>
          </w:p>
        </w:tc>
        <w:tc>
          <w:tcPr>
            <w:tcW w:w="803" w:type="dxa"/>
            <w:vAlign w:val="top"/>
          </w:tcPr>
          <w:p w14:paraId="123F9F47">
            <w:pPr>
              <w:spacing w:line="298" w:lineRule="auto"/>
              <w:rPr>
                <w:rFonts w:ascii="Arial"/>
                <w:sz w:val="21"/>
              </w:rPr>
            </w:pPr>
          </w:p>
          <w:p w14:paraId="6726C139">
            <w:pPr>
              <w:spacing w:line="298" w:lineRule="auto"/>
              <w:rPr>
                <w:rFonts w:ascii="Arial"/>
                <w:sz w:val="21"/>
              </w:rPr>
            </w:pPr>
          </w:p>
          <w:p w14:paraId="21B955E5">
            <w:pPr>
              <w:spacing w:line="298" w:lineRule="auto"/>
              <w:rPr>
                <w:rFonts w:ascii="Arial"/>
                <w:sz w:val="21"/>
              </w:rPr>
            </w:pPr>
          </w:p>
          <w:p w14:paraId="79257C47">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511D3E4">
            <w:pPr>
              <w:pStyle w:val="6"/>
              <w:spacing w:before="33" w:line="179" w:lineRule="auto"/>
              <w:ind w:left="117" w:right="105"/>
              <w:jc w:val="both"/>
            </w:pPr>
            <w:r>
              <w:rPr>
                <w:spacing w:val="26"/>
              </w:rPr>
              <w:t>未按照规定辨识评估管控粉尘爆炸安</w:t>
            </w:r>
            <w:r>
              <w:rPr>
                <w:spacing w:val="-3"/>
              </w:rPr>
              <w:t>全风险，未建立安全</w:t>
            </w:r>
            <w:r>
              <w:rPr>
                <w:spacing w:val="26"/>
              </w:rPr>
              <w:t>风险清单或者未及时维护相关信息档</w:t>
            </w:r>
            <w:r>
              <w:rPr>
                <w:spacing w:val="-5"/>
              </w:rPr>
              <w:t>案的，有上述</w:t>
            </w:r>
            <w:r>
              <w:rPr>
                <w:rFonts w:ascii="宋体" w:hAnsi="宋体" w:eastAsia="宋体" w:cs="宋体"/>
                <w:spacing w:val="-5"/>
              </w:rPr>
              <w:t>3</w:t>
            </w:r>
            <w:r>
              <w:rPr>
                <w:spacing w:val="-5"/>
              </w:rPr>
              <w:t>种情</w:t>
            </w:r>
            <w:r>
              <w:rPr>
                <w:spacing w:val="2"/>
              </w:rPr>
              <w:t>形的</w:t>
            </w:r>
          </w:p>
        </w:tc>
        <w:tc>
          <w:tcPr>
            <w:tcW w:w="2894" w:type="dxa"/>
            <w:vAlign w:val="top"/>
          </w:tcPr>
          <w:p w14:paraId="3831F5D4">
            <w:pPr>
              <w:pStyle w:val="6"/>
              <w:spacing w:before="328" w:line="188" w:lineRule="auto"/>
              <w:ind w:left="122" w:right="103" w:firstLine="5"/>
            </w:pPr>
            <w:r>
              <w:rPr>
                <w:spacing w:val="4"/>
              </w:rPr>
              <w:t>责令限期改正，处</w:t>
            </w:r>
            <w:r>
              <w:rPr>
                <w:rFonts w:ascii="宋体" w:hAnsi="宋体" w:eastAsia="宋体" w:cs="宋体"/>
                <w:spacing w:val="4"/>
              </w:rPr>
              <w:t>2</w:t>
            </w:r>
            <w:r>
              <w:rPr>
                <w:spacing w:val="4"/>
              </w:rPr>
              <w:t>万元</w:t>
            </w:r>
            <w:r>
              <w:rPr>
                <w:spacing w:val="6"/>
              </w:rPr>
              <w:t>以上</w:t>
            </w:r>
            <w:r>
              <w:rPr>
                <w:rFonts w:ascii="宋体" w:hAnsi="宋体" w:eastAsia="宋体" w:cs="宋体"/>
                <w:spacing w:val="6"/>
              </w:rPr>
              <w:t>3</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万元以下的罚款</w:t>
            </w:r>
          </w:p>
        </w:tc>
        <w:tc>
          <w:tcPr>
            <w:tcW w:w="811" w:type="dxa"/>
            <w:vMerge w:val="continue"/>
            <w:tcBorders>
              <w:top w:val="nil"/>
            </w:tcBorders>
            <w:vAlign w:val="top"/>
          </w:tcPr>
          <w:p w14:paraId="39233C0B">
            <w:pPr>
              <w:rPr>
                <w:rFonts w:ascii="Arial"/>
                <w:sz w:val="21"/>
              </w:rPr>
            </w:pPr>
          </w:p>
        </w:tc>
      </w:tr>
      <w:tr w14:paraId="7151B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0" w:hRule="atLeast"/>
        </w:trPr>
        <w:tc>
          <w:tcPr>
            <w:tcW w:w="818" w:type="dxa"/>
            <w:vMerge w:val="restart"/>
            <w:tcBorders>
              <w:bottom w:val="nil"/>
            </w:tcBorders>
            <w:vAlign w:val="top"/>
          </w:tcPr>
          <w:p w14:paraId="45950462">
            <w:pPr>
              <w:spacing w:line="249" w:lineRule="auto"/>
              <w:rPr>
                <w:rFonts w:ascii="Arial"/>
                <w:sz w:val="21"/>
              </w:rPr>
            </w:pPr>
          </w:p>
          <w:p w14:paraId="03EA8D4D">
            <w:pPr>
              <w:spacing w:line="249" w:lineRule="auto"/>
              <w:rPr>
                <w:rFonts w:ascii="Arial"/>
                <w:sz w:val="21"/>
              </w:rPr>
            </w:pPr>
          </w:p>
          <w:p w14:paraId="5EE8999B">
            <w:pPr>
              <w:spacing w:line="249" w:lineRule="auto"/>
              <w:rPr>
                <w:rFonts w:ascii="Arial"/>
                <w:sz w:val="21"/>
              </w:rPr>
            </w:pPr>
          </w:p>
          <w:p w14:paraId="451C0251">
            <w:pPr>
              <w:spacing w:line="250" w:lineRule="auto"/>
              <w:rPr>
                <w:rFonts w:ascii="Arial"/>
                <w:sz w:val="21"/>
              </w:rPr>
            </w:pPr>
          </w:p>
          <w:p w14:paraId="4E027FC1">
            <w:pPr>
              <w:spacing w:line="250" w:lineRule="auto"/>
              <w:rPr>
                <w:rFonts w:ascii="Arial"/>
                <w:sz w:val="21"/>
              </w:rPr>
            </w:pPr>
          </w:p>
          <w:p w14:paraId="18423590">
            <w:pPr>
              <w:spacing w:line="250" w:lineRule="auto"/>
              <w:rPr>
                <w:rFonts w:ascii="Arial"/>
                <w:sz w:val="21"/>
              </w:rPr>
            </w:pPr>
          </w:p>
          <w:p w14:paraId="2B8321AB">
            <w:pPr>
              <w:spacing w:line="250" w:lineRule="auto"/>
              <w:rPr>
                <w:rFonts w:ascii="Arial"/>
                <w:sz w:val="21"/>
              </w:rPr>
            </w:pPr>
          </w:p>
          <w:p w14:paraId="50BF8CF2">
            <w:pPr>
              <w:spacing w:line="250" w:lineRule="auto"/>
              <w:rPr>
                <w:rFonts w:ascii="Arial"/>
                <w:sz w:val="21"/>
              </w:rPr>
            </w:pPr>
          </w:p>
          <w:p w14:paraId="7F8E4887">
            <w:pPr>
              <w:spacing w:line="250" w:lineRule="auto"/>
              <w:rPr>
                <w:rFonts w:ascii="Arial"/>
                <w:sz w:val="21"/>
              </w:rPr>
            </w:pPr>
          </w:p>
          <w:p w14:paraId="3D2F7D29">
            <w:pPr>
              <w:spacing w:before="75" w:line="186" w:lineRule="auto"/>
              <w:ind w:left="146"/>
              <w:rPr>
                <w:rFonts w:ascii="仿宋" w:hAnsi="仿宋" w:eastAsia="仿宋" w:cs="仿宋"/>
                <w:sz w:val="23"/>
                <w:szCs w:val="23"/>
              </w:rPr>
            </w:pPr>
            <w:r>
              <w:rPr>
                <w:rFonts w:ascii="仿宋" w:hAnsi="仿宋" w:eastAsia="仿宋" w:cs="仿宋"/>
                <w:sz w:val="23"/>
                <w:szCs w:val="23"/>
              </w:rPr>
              <w:t>211</w:t>
            </w:r>
          </w:p>
        </w:tc>
        <w:tc>
          <w:tcPr>
            <w:tcW w:w="1440" w:type="dxa"/>
            <w:vMerge w:val="restart"/>
            <w:tcBorders>
              <w:bottom w:val="nil"/>
            </w:tcBorders>
            <w:vAlign w:val="top"/>
          </w:tcPr>
          <w:p w14:paraId="525782D4">
            <w:pPr>
              <w:spacing w:line="286" w:lineRule="auto"/>
              <w:rPr>
                <w:rFonts w:ascii="Arial"/>
                <w:sz w:val="21"/>
              </w:rPr>
            </w:pPr>
          </w:p>
          <w:p w14:paraId="05DA361A">
            <w:pPr>
              <w:spacing w:line="286" w:lineRule="auto"/>
              <w:rPr>
                <w:rFonts w:ascii="Arial"/>
                <w:sz w:val="21"/>
              </w:rPr>
            </w:pPr>
          </w:p>
          <w:p w14:paraId="69A9706F">
            <w:pPr>
              <w:spacing w:line="286" w:lineRule="auto"/>
              <w:rPr>
                <w:rFonts w:ascii="Arial"/>
                <w:sz w:val="21"/>
              </w:rPr>
            </w:pPr>
          </w:p>
          <w:p w14:paraId="524CF04C">
            <w:pPr>
              <w:spacing w:line="287" w:lineRule="auto"/>
              <w:rPr>
                <w:rFonts w:ascii="Arial"/>
                <w:sz w:val="21"/>
              </w:rPr>
            </w:pPr>
          </w:p>
          <w:p w14:paraId="6BD3E15D">
            <w:pPr>
              <w:spacing w:line="287" w:lineRule="auto"/>
              <w:rPr>
                <w:rFonts w:ascii="Arial"/>
                <w:sz w:val="21"/>
              </w:rPr>
            </w:pPr>
          </w:p>
          <w:p w14:paraId="025BD803">
            <w:pPr>
              <w:pStyle w:val="6"/>
              <w:spacing w:before="98" w:line="187" w:lineRule="auto"/>
              <w:ind w:left="114" w:right="109"/>
              <w:jc w:val="both"/>
            </w:pPr>
            <w:r>
              <w:rPr>
                <w:spacing w:val="11"/>
              </w:rPr>
              <w:t>存在粉尘涉</w:t>
            </w:r>
            <w:r>
              <w:rPr>
                <w:spacing w:val="12"/>
              </w:rPr>
              <w:t>爆危险的工贸企业的粉</w:t>
            </w:r>
            <w:r>
              <w:rPr>
                <w:spacing w:val="11"/>
              </w:rPr>
              <w:t>尘防爆安全设备未正常</w:t>
            </w:r>
            <w:r>
              <w:rPr>
                <w:spacing w:val="5"/>
              </w:rPr>
              <w:t>运行的</w:t>
            </w:r>
          </w:p>
        </w:tc>
        <w:tc>
          <w:tcPr>
            <w:tcW w:w="3202" w:type="dxa"/>
            <w:vMerge w:val="restart"/>
            <w:tcBorders>
              <w:bottom w:val="nil"/>
            </w:tcBorders>
            <w:vAlign w:val="top"/>
          </w:tcPr>
          <w:p w14:paraId="2B424E6E">
            <w:pPr>
              <w:pStyle w:val="6"/>
              <w:spacing w:before="23" w:line="182" w:lineRule="auto"/>
              <w:ind w:left="114" w:right="19" w:hanging="16"/>
            </w:pPr>
            <w:r>
              <w:rPr>
                <w:spacing w:val="18"/>
              </w:rPr>
              <w:t>【部门规章】《工贸企业粉</w:t>
            </w:r>
            <w:r>
              <w:rPr>
                <w:spacing w:val="17"/>
              </w:rPr>
              <w:t>尘防爆安全规定》第十七条</w:t>
            </w:r>
            <w:r>
              <w:rPr>
                <w:spacing w:val="14"/>
              </w:rPr>
              <w:t>第二款：粉尘涉爆企业应当</w:t>
            </w:r>
            <w:r>
              <w:rPr>
                <w:spacing w:val="17"/>
              </w:rPr>
              <w:t>对粉尘防爆安全设备进行经</w:t>
            </w:r>
            <w:r>
              <w:rPr>
                <w:spacing w:val="-11"/>
              </w:rPr>
              <w:t>常性维护、保养，并按照《粉</w:t>
            </w:r>
            <w:r>
              <w:rPr>
                <w:spacing w:val="17"/>
              </w:rPr>
              <w:t>尘防爆安全规程》等有关国家标准或者行业标准定期检</w:t>
            </w:r>
            <w:r>
              <w:t>测或者检查，保证正常运行，</w:t>
            </w:r>
            <w:r>
              <w:rPr>
                <w:spacing w:val="11"/>
              </w:rPr>
              <w:t>做好相关记录，不得关闭、</w:t>
            </w:r>
            <w:r>
              <w:rPr>
                <w:spacing w:val="17"/>
              </w:rPr>
              <w:t>破坏直接关系粉尘防爆安全</w:t>
            </w:r>
            <w:r>
              <w:rPr>
                <w:spacing w:val="5"/>
              </w:rPr>
              <w:t>的监控、报警、防控等设备、</w:t>
            </w:r>
            <w:r>
              <w:rPr>
                <w:spacing w:val="13"/>
              </w:rPr>
              <w:t>设施，或者篡改、隐瞒、销</w:t>
            </w:r>
            <w:r>
              <w:rPr>
                <w:spacing w:val="17"/>
              </w:rPr>
              <w:t>毁其相关数据、信息。粉尘涉爆企业应当规范选用与爆炸危险区域相适应的防爆型</w:t>
            </w:r>
            <w:r>
              <w:t>电气设备。</w:t>
            </w:r>
          </w:p>
        </w:tc>
        <w:tc>
          <w:tcPr>
            <w:tcW w:w="2859" w:type="dxa"/>
            <w:vMerge w:val="restart"/>
            <w:tcBorders>
              <w:bottom w:val="nil"/>
            </w:tcBorders>
            <w:vAlign w:val="top"/>
          </w:tcPr>
          <w:p w14:paraId="65C5DCBD">
            <w:pPr>
              <w:pStyle w:val="6"/>
              <w:spacing w:before="27" w:line="185" w:lineRule="auto"/>
              <w:ind w:left="114" w:right="105" w:hanging="17"/>
            </w:pPr>
            <w:r>
              <w:rPr>
                <w:spacing w:val="10"/>
              </w:rPr>
              <w:t>【部门规章】《工贸企业</w:t>
            </w:r>
            <w:r>
              <w:rPr>
                <w:spacing w:val="8"/>
              </w:rPr>
              <w:t>粉尘防爆安全规定》第三十条第四项：粉尘涉爆企</w:t>
            </w:r>
            <w:r>
              <w:rPr>
                <w:spacing w:val="2"/>
              </w:rPr>
              <w:t>业有下列情形之一的，由</w:t>
            </w:r>
            <w:r>
              <w:rPr>
                <w:spacing w:val="8"/>
              </w:rPr>
              <w:t>负责粉尘涉爆企业安全监</w:t>
            </w:r>
            <w:r>
              <w:rPr>
                <w:spacing w:val="7"/>
              </w:rPr>
              <w:t>管的部门责令限期改正，</w:t>
            </w:r>
            <w:r>
              <w:rPr>
                <w:spacing w:val="4"/>
              </w:rPr>
              <w:t>处</w:t>
            </w:r>
            <w:r>
              <w:rPr>
                <w:rFonts w:ascii="宋体" w:hAnsi="宋体" w:eastAsia="宋体" w:cs="宋体"/>
                <w:spacing w:val="4"/>
              </w:rPr>
              <w:t>3</w:t>
            </w:r>
            <w:r>
              <w:rPr>
                <w:spacing w:val="4"/>
              </w:rPr>
              <w:t>万元以下的罚款，对</w:t>
            </w:r>
            <w:r>
              <w:rPr>
                <w:spacing w:val="8"/>
              </w:rPr>
              <w:t>其直接负责的主管人员和</w:t>
            </w:r>
            <w:r>
              <w:rPr>
                <w:spacing w:val="3"/>
              </w:rPr>
              <w:t>其他直接责任人员处</w:t>
            </w:r>
            <w:r>
              <w:rPr>
                <w:rFonts w:ascii="宋体" w:hAnsi="宋体" w:eastAsia="宋体" w:cs="宋体"/>
                <w:spacing w:val="3"/>
              </w:rPr>
              <w:t>1</w:t>
            </w:r>
            <w:r>
              <w:rPr>
                <w:spacing w:val="3"/>
              </w:rPr>
              <w:t>万</w:t>
            </w:r>
            <w:r>
              <w:rPr>
                <w:spacing w:val="2"/>
              </w:rPr>
              <w:t>元以下的罚款</w:t>
            </w:r>
            <w:r>
              <w:rPr>
                <w:spacing w:val="4"/>
              </w:rPr>
              <w:t>：（</w:t>
            </w:r>
            <w:r>
              <w:rPr>
                <w:spacing w:val="2"/>
              </w:rPr>
              <w:t>四）粉</w:t>
            </w:r>
            <w:r>
              <w:rPr>
                <w:spacing w:val="8"/>
              </w:rPr>
              <w:t>尘防爆安全设备未正常运</w:t>
            </w:r>
            <w:r>
              <w:rPr>
                <w:spacing w:val="-4"/>
              </w:rPr>
              <w:t>行的。</w:t>
            </w:r>
          </w:p>
        </w:tc>
        <w:tc>
          <w:tcPr>
            <w:tcW w:w="803" w:type="dxa"/>
            <w:vAlign w:val="top"/>
          </w:tcPr>
          <w:p w14:paraId="5E3802FE">
            <w:pPr>
              <w:spacing w:line="343" w:lineRule="auto"/>
              <w:rPr>
                <w:rFonts w:ascii="Arial"/>
                <w:sz w:val="21"/>
              </w:rPr>
            </w:pPr>
          </w:p>
          <w:p w14:paraId="5EDD0671">
            <w:pPr>
              <w:spacing w:line="344" w:lineRule="auto"/>
              <w:rPr>
                <w:rFonts w:ascii="Arial"/>
                <w:sz w:val="21"/>
              </w:rPr>
            </w:pPr>
          </w:p>
          <w:p w14:paraId="10131445">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EFD9204">
            <w:pPr>
              <w:spacing w:line="320" w:lineRule="auto"/>
              <w:rPr>
                <w:rFonts w:ascii="Arial"/>
                <w:sz w:val="21"/>
              </w:rPr>
            </w:pPr>
          </w:p>
          <w:p w14:paraId="016C2C0F">
            <w:pPr>
              <w:pStyle w:val="6"/>
              <w:spacing w:before="99" w:line="192" w:lineRule="auto"/>
              <w:ind w:left="116" w:right="108" w:firstLine="1"/>
              <w:jc w:val="both"/>
            </w:pPr>
            <w:r>
              <w:rPr>
                <w:spacing w:val="26"/>
              </w:rPr>
              <w:t>粉尘防爆安全设备</w:t>
            </w:r>
            <w:r>
              <w:rPr>
                <w:spacing w:val="-11"/>
              </w:rPr>
              <w:t>有</w:t>
            </w:r>
            <w:r>
              <w:rPr>
                <w:rFonts w:ascii="宋体" w:hAnsi="宋体" w:eastAsia="宋体" w:cs="宋体"/>
                <w:spacing w:val="-11"/>
              </w:rPr>
              <w:t>1</w:t>
            </w:r>
            <w:r>
              <w:rPr>
                <w:spacing w:val="-11"/>
              </w:rPr>
              <w:t>台（套）未正常</w:t>
            </w:r>
            <w:r>
              <w:rPr>
                <w:spacing w:val="5"/>
              </w:rPr>
              <w:t>运行的</w:t>
            </w:r>
          </w:p>
        </w:tc>
        <w:tc>
          <w:tcPr>
            <w:tcW w:w="2894" w:type="dxa"/>
            <w:vAlign w:val="top"/>
          </w:tcPr>
          <w:p w14:paraId="1E6CE5A8">
            <w:pPr>
              <w:pStyle w:val="6"/>
              <w:spacing w:before="121" w:line="188" w:lineRule="auto"/>
              <w:ind w:left="127" w:right="103"/>
              <w:jc w:val="both"/>
            </w:pPr>
            <w:r>
              <w:rPr>
                <w:spacing w:val="2"/>
              </w:rPr>
              <w:t>责令限期改正，处</w:t>
            </w:r>
            <w:r>
              <w:rPr>
                <w:rFonts w:ascii="宋体" w:hAnsi="宋体" w:eastAsia="宋体" w:cs="宋体"/>
                <w:spacing w:val="2"/>
              </w:rPr>
              <w:t>1</w:t>
            </w:r>
            <w:r>
              <w:rPr>
                <w:spacing w:val="2"/>
              </w:rPr>
              <w:t>万元</w:t>
            </w:r>
            <w:r>
              <w:rPr>
                <w:spacing w:val="7"/>
              </w:rPr>
              <w:t>以下的罚款，对其直接负</w:t>
            </w:r>
            <w:r>
              <w:rPr>
                <w:spacing w:val="10"/>
              </w:rPr>
              <w:t>责的主管人员和其他直接</w:t>
            </w:r>
            <w:r>
              <w:rPr>
                <w:spacing w:val="5"/>
              </w:rPr>
              <w:t>责任人员处</w:t>
            </w:r>
            <w:r>
              <w:rPr>
                <w:rFonts w:ascii="宋体" w:hAnsi="宋体" w:eastAsia="宋体" w:cs="宋体"/>
                <w:spacing w:val="5"/>
              </w:rPr>
              <w:t>1</w:t>
            </w:r>
            <w:r>
              <w:rPr>
                <w:spacing w:val="5"/>
              </w:rPr>
              <w:t>万元以下的</w:t>
            </w:r>
            <w:r>
              <w:rPr>
                <w:spacing w:val="-1"/>
              </w:rPr>
              <w:t>罚款</w:t>
            </w:r>
          </w:p>
        </w:tc>
        <w:tc>
          <w:tcPr>
            <w:tcW w:w="811" w:type="dxa"/>
            <w:vMerge w:val="restart"/>
            <w:tcBorders>
              <w:bottom w:val="nil"/>
            </w:tcBorders>
            <w:vAlign w:val="top"/>
          </w:tcPr>
          <w:p w14:paraId="30F4A2B1">
            <w:pPr>
              <w:spacing w:line="249" w:lineRule="auto"/>
              <w:rPr>
                <w:rFonts w:ascii="Arial"/>
                <w:sz w:val="21"/>
              </w:rPr>
            </w:pPr>
          </w:p>
          <w:p w14:paraId="79B15ACA">
            <w:pPr>
              <w:spacing w:line="249" w:lineRule="auto"/>
              <w:rPr>
                <w:rFonts w:ascii="Arial"/>
                <w:sz w:val="21"/>
              </w:rPr>
            </w:pPr>
          </w:p>
          <w:p w14:paraId="7F839FE7">
            <w:pPr>
              <w:spacing w:line="249" w:lineRule="auto"/>
              <w:rPr>
                <w:rFonts w:ascii="Arial"/>
                <w:sz w:val="21"/>
              </w:rPr>
            </w:pPr>
          </w:p>
          <w:p w14:paraId="3C5E6E8C">
            <w:pPr>
              <w:spacing w:line="249" w:lineRule="auto"/>
              <w:rPr>
                <w:rFonts w:ascii="Arial"/>
                <w:sz w:val="21"/>
              </w:rPr>
            </w:pPr>
          </w:p>
          <w:p w14:paraId="31A8E662">
            <w:pPr>
              <w:spacing w:line="249" w:lineRule="auto"/>
              <w:rPr>
                <w:rFonts w:ascii="Arial"/>
                <w:sz w:val="21"/>
              </w:rPr>
            </w:pPr>
          </w:p>
          <w:p w14:paraId="3D1034BD">
            <w:pPr>
              <w:spacing w:line="250" w:lineRule="auto"/>
              <w:rPr>
                <w:rFonts w:ascii="Arial"/>
                <w:sz w:val="21"/>
              </w:rPr>
            </w:pPr>
          </w:p>
          <w:p w14:paraId="213395FA">
            <w:pPr>
              <w:spacing w:line="250" w:lineRule="auto"/>
              <w:rPr>
                <w:rFonts w:ascii="Arial"/>
                <w:sz w:val="21"/>
              </w:rPr>
            </w:pPr>
          </w:p>
          <w:p w14:paraId="5F2F1F08">
            <w:pPr>
              <w:spacing w:line="250" w:lineRule="auto"/>
              <w:rPr>
                <w:rFonts w:ascii="Arial"/>
                <w:sz w:val="21"/>
              </w:rPr>
            </w:pPr>
          </w:p>
          <w:p w14:paraId="2AF8971A">
            <w:pPr>
              <w:spacing w:line="250" w:lineRule="auto"/>
              <w:rPr>
                <w:rFonts w:ascii="Arial"/>
                <w:sz w:val="21"/>
              </w:rPr>
            </w:pPr>
          </w:p>
          <w:p w14:paraId="6A43F59D">
            <w:pPr>
              <w:spacing w:before="74" w:line="188" w:lineRule="auto"/>
              <w:ind w:left="233"/>
              <w:rPr>
                <w:rFonts w:ascii="宋体" w:hAnsi="宋体" w:eastAsia="宋体" w:cs="宋体"/>
                <w:sz w:val="23"/>
                <w:szCs w:val="23"/>
              </w:rPr>
            </w:pPr>
            <w:r>
              <w:rPr>
                <w:rFonts w:ascii="宋体" w:hAnsi="宋体" w:eastAsia="宋体" w:cs="宋体"/>
                <w:spacing w:val="-1"/>
                <w:sz w:val="23"/>
                <w:szCs w:val="23"/>
              </w:rPr>
              <w:t>236</w:t>
            </w:r>
          </w:p>
        </w:tc>
      </w:tr>
      <w:tr w14:paraId="02447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continue"/>
            <w:tcBorders>
              <w:top w:val="nil"/>
              <w:bottom w:val="nil"/>
            </w:tcBorders>
            <w:vAlign w:val="top"/>
          </w:tcPr>
          <w:p w14:paraId="2C52B4EB">
            <w:pPr>
              <w:rPr>
                <w:rFonts w:ascii="Arial"/>
                <w:sz w:val="21"/>
              </w:rPr>
            </w:pPr>
          </w:p>
        </w:tc>
        <w:tc>
          <w:tcPr>
            <w:tcW w:w="1440" w:type="dxa"/>
            <w:vMerge w:val="continue"/>
            <w:tcBorders>
              <w:top w:val="nil"/>
              <w:bottom w:val="nil"/>
            </w:tcBorders>
            <w:vAlign w:val="top"/>
          </w:tcPr>
          <w:p w14:paraId="7E3F43F1">
            <w:pPr>
              <w:rPr>
                <w:rFonts w:ascii="Arial"/>
                <w:sz w:val="21"/>
              </w:rPr>
            </w:pPr>
          </w:p>
        </w:tc>
        <w:tc>
          <w:tcPr>
            <w:tcW w:w="3202" w:type="dxa"/>
            <w:vMerge w:val="continue"/>
            <w:tcBorders>
              <w:top w:val="nil"/>
              <w:bottom w:val="nil"/>
            </w:tcBorders>
            <w:vAlign w:val="top"/>
          </w:tcPr>
          <w:p w14:paraId="54B9E006">
            <w:pPr>
              <w:rPr>
                <w:rFonts w:ascii="Arial"/>
                <w:sz w:val="21"/>
              </w:rPr>
            </w:pPr>
          </w:p>
        </w:tc>
        <w:tc>
          <w:tcPr>
            <w:tcW w:w="2859" w:type="dxa"/>
            <w:vMerge w:val="continue"/>
            <w:tcBorders>
              <w:top w:val="nil"/>
              <w:bottom w:val="nil"/>
            </w:tcBorders>
            <w:vAlign w:val="top"/>
          </w:tcPr>
          <w:p w14:paraId="149EDE11">
            <w:pPr>
              <w:rPr>
                <w:rFonts w:ascii="Arial"/>
                <w:sz w:val="21"/>
              </w:rPr>
            </w:pPr>
          </w:p>
        </w:tc>
        <w:tc>
          <w:tcPr>
            <w:tcW w:w="803" w:type="dxa"/>
            <w:vAlign w:val="top"/>
          </w:tcPr>
          <w:p w14:paraId="317BC510">
            <w:pPr>
              <w:spacing w:line="299" w:lineRule="auto"/>
              <w:rPr>
                <w:rFonts w:ascii="Arial"/>
                <w:sz w:val="21"/>
              </w:rPr>
            </w:pPr>
          </w:p>
          <w:p w14:paraId="1D87D81C">
            <w:pPr>
              <w:spacing w:line="300" w:lineRule="auto"/>
              <w:rPr>
                <w:rFonts w:ascii="Arial"/>
                <w:sz w:val="21"/>
              </w:rPr>
            </w:pPr>
          </w:p>
          <w:p w14:paraId="7FCCDBED">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9E842D0">
            <w:pPr>
              <w:pStyle w:val="6"/>
              <w:spacing w:before="329" w:line="192" w:lineRule="auto"/>
              <w:ind w:left="116" w:right="108" w:firstLine="1"/>
              <w:jc w:val="both"/>
            </w:pPr>
            <w:r>
              <w:rPr>
                <w:spacing w:val="26"/>
              </w:rPr>
              <w:t>粉尘防爆安全设备</w:t>
            </w:r>
            <w:r>
              <w:rPr>
                <w:spacing w:val="-8"/>
              </w:rPr>
              <w:t>有</w:t>
            </w:r>
            <w:r>
              <w:rPr>
                <w:rFonts w:ascii="宋体" w:hAnsi="宋体" w:eastAsia="宋体" w:cs="宋体"/>
                <w:spacing w:val="-8"/>
              </w:rPr>
              <w:t>2</w:t>
            </w:r>
            <w:r>
              <w:rPr>
                <w:spacing w:val="-8"/>
              </w:rPr>
              <w:t>台（套）未正常</w:t>
            </w:r>
            <w:r>
              <w:rPr>
                <w:spacing w:val="5"/>
              </w:rPr>
              <w:t>运行的</w:t>
            </w:r>
          </w:p>
        </w:tc>
        <w:tc>
          <w:tcPr>
            <w:tcW w:w="2894" w:type="dxa"/>
            <w:vAlign w:val="top"/>
          </w:tcPr>
          <w:p w14:paraId="2F78EA98">
            <w:pPr>
              <w:pStyle w:val="6"/>
              <w:spacing w:before="30" w:line="178" w:lineRule="auto"/>
              <w:ind w:left="122" w:right="103" w:firstLine="5"/>
            </w:pPr>
            <w:r>
              <w:rPr>
                <w:spacing w:val="2"/>
              </w:rPr>
              <w:t>责令限期改正，处</w:t>
            </w:r>
            <w:r>
              <w:rPr>
                <w:rFonts w:ascii="宋体" w:hAnsi="宋体" w:eastAsia="宋体" w:cs="宋体"/>
                <w:spacing w:val="2"/>
              </w:rPr>
              <w:t>1</w:t>
            </w:r>
            <w:r>
              <w:rPr>
                <w:spacing w:val="2"/>
              </w:rPr>
              <w:t>万元</w:t>
            </w:r>
            <w:r>
              <w:rPr>
                <w:spacing w:val="6"/>
              </w:rPr>
              <w:t>以上</w:t>
            </w:r>
            <w:r>
              <w:rPr>
                <w:rFonts w:ascii="宋体" w:hAnsi="宋体" w:eastAsia="宋体" w:cs="宋体"/>
                <w:spacing w:val="6"/>
              </w:rPr>
              <w:t>2</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万元以下的罚款</w:t>
            </w:r>
          </w:p>
        </w:tc>
        <w:tc>
          <w:tcPr>
            <w:tcW w:w="811" w:type="dxa"/>
            <w:vMerge w:val="continue"/>
            <w:tcBorders>
              <w:top w:val="nil"/>
              <w:bottom w:val="nil"/>
            </w:tcBorders>
            <w:vAlign w:val="top"/>
          </w:tcPr>
          <w:p w14:paraId="00BF8568">
            <w:pPr>
              <w:rPr>
                <w:rFonts w:ascii="Arial"/>
                <w:sz w:val="21"/>
              </w:rPr>
            </w:pPr>
          </w:p>
        </w:tc>
      </w:tr>
      <w:tr w14:paraId="67D77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8" w:hRule="atLeast"/>
        </w:trPr>
        <w:tc>
          <w:tcPr>
            <w:tcW w:w="818" w:type="dxa"/>
            <w:vMerge w:val="continue"/>
            <w:tcBorders>
              <w:top w:val="nil"/>
            </w:tcBorders>
            <w:vAlign w:val="top"/>
          </w:tcPr>
          <w:p w14:paraId="5FDA5E8F">
            <w:pPr>
              <w:rPr>
                <w:rFonts w:ascii="Arial"/>
                <w:sz w:val="21"/>
              </w:rPr>
            </w:pPr>
          </w:p>
        </w:tc>
        <w:tc>
          <w:tcPr>
            <w:tcW w:w="1440" w:type="dxa"/>
            <w:vMerge w:val="continue"/>
            <w:tcBorders>
              <w:top w:val="nil"/>
            </w:tcBorders>
            <w:vAlign w:val="top"/>
          </w:tcPr>
          <w:p w14:paraId="3B99D80C">
            <w:pPr>
              <w:rPr>
                <w:rFonts w:ascii="Arial"/>
                <w:sz w:val="21"/>
              </w:rPr>
            </w:pPr>
          </w:p>
        </w:tc>
        <w:tc>
          <w:tcPr>
            <w:tcW w:w="3202" w:type="dxa"/>
            <w:vMerge w:val="continue"/>
            <w:tcBorders>
              <w:top w:val="nil"/>
            </w:tcBorders>
            <w:vAlign w:val="top"/>
          </w:tcPr>
          <w:p w14:paraId="131A2BCA">
            <w:pPr>
              <w:rPr>
                <w:rFonts w:ascii="Arial"/>
                <w:sz w:val="21"/>
              </w:rPr>
            </w:pPr>
          </w:p>
        </w:tc>
        <w:tc>
          <w:tcPr>
            <w:tcW w:w="2859" w:type="dxa"/>
            <w:vMerge w:val="continue"/>
            <w:tcBorders>
              <w:top w:val="nil"/>
            </w:tcBorders>
            <w:vAlign w:val="top"/>
          </w:tcPr>
          <w:p w14:paraId="2F3F4465">
            <w:pPr>
              <w:rPr>
                <w:rFonts w:ascii="Arial"/>
                <w:sz w:val="21"/>
              </w:rPr>
            </w:pPr>
          </w:p>
        </w:tc>
        <w:tc>
          <w:tcPr>
            <w:tcW w:w="803" w:type="dxa"/>
            <w:vAlign w:val="top"/>
          </w:tcPr>
          <w:p w14:paraId="612FD804">
            <w:pPr>
              <w:spacing w:line="327" w:lineRule="auto"/>
              <w:rPr>
                <w:rFonts w:ascii="Arial"/>
                <w:sz w:val="21"/>
              </w:rPr>
            </w:pPr>
          </w:p>
          <w:p w14:paraId="551F442B">
            <w:pPr>
              <w:spacing w:line="327" w:lineRule="auto"/>
              <w:rPr>
                <w:rFonts w:ascii="Arial"/>
                <w:sz w:val="21"/>
              </w:rPr>
            </w:pPr>
          </w:p>
          <w:p w14:paraId="71077F4A">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7C2C4A48">
            <w:pPr>
              <w:spacing w:line="288" w:lineRule="auto"/>
              <w:rPr>
                <w:rFonts w:ascii="Arial"/>
                <w:sz w:val="21"/>
              </w:rPr>
            </w:pPr>
          </w:p>
          <w:p w14:paraId="7064874C">
            <w:pPr>
              <w:pStyle w:val="6"/>
              <w:spacing w:before="99" w:line="191" w:lineRule="auto"/>
              <w:ind w:left="122" w:right="108" w:hanging="4"/>
              <w:jc w:val="both"/>
            </w:pPr>
            <w:r>
              <w:rPr>
                <w:spacing w:val="26"/>
              </w:rPr>
              <w:t>粉尘防爆安全设备</w:t>
            </w:r>
            <w:r>
              <w:rPr>
                <w:spacing w:val="-9"/>
              </w:rPr>
              <w:t>有</w:t>
            </w:r>
            <w:r>
              <w:rPr>
                <w:rFonts w:ascii="宋体" w:hAnsi="宋体" w:eastAsia="宋体" w:cs="宋体"/>
                <w:spacing w:val="-9"/>
              </w:rPr>
              <w:t>3</w:t>
            </w:r>
            <w:r>
              <w:rPr>
                <w:spacing w:val="-9"/>
              </w:rPr>
              <w:t>台（套）以上未</w:t>
            </w:r>
            <w:r>
              <w:rPr>
                <w:spacing w:val="5"/>
              </w:rPr>
              <w:t>正常运行的</w:t>
            </w:r>
          </w:p>
        </w:tc>
        <w:tc>
          <w:tcPr>
            <w:tcW w:w="2894" w:type="dxa"/>
            <w:vAlign w:val="top"/>
          </w:tcPr>
          <w:p w14:paraId="2FF03A9B">
            <w:pPr>
              <w:pStyle w:val="6"/>
              <w:spacing w:before="87" w:line="185" w:lineRule="auto"/>
              <w:ind w:left="122" w:right="103" w:firstLine="5"/>
            </w:pPr>
            <w:r>
              <w:rPr>
                <w:spacing w:val="4"/>
              </w:rPr>
              <w:t>责令限期改正，处</w:t>
            </w:r>
            <w:r>
              <w:rPr>
                <w:rFonts w:ascii="宋体" w:hAnsi="宋体" w:eastAsia="宋体" w:cs="宋体"/>
                <w:spacing w:val="4"/>
              </w:rPr>
              <w:t>2</w:t>
            </w:r>
            <w:r>
              <w:rPr>
                <w:spacing w:val="4"/>
              </w:rPr>
              <w:t>万元</w:t>
            </w:r>
            <w:r>
              <w:rPr>
                <w:spacing w:val="6"/>
              </w:rPr>
              <w:t>以上</w:t>
            </w:r>
            <w:r>
              <w:rPr>
                <w:rFonts w:ascii="宋体" w:hAnsi="宋体" w:eastAsia="宋体" w:cs="宋体"/>
                <w:spacing w:val="6"/>
              </w:rPr>
              <w:t>3</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万元以下的罚款</w:t>
            </w:r>
          </w:p>
        </w:tc>
        <w:tc>
          <w:tcPr>
            <w:tcW w:w="811" w:type="dxa"/>
            <w:vMerge w:val="continue"/>
            <w:tcBorders>
              <w:top w:val="nil"/>
            </w:tcBorders>
            <w:vAlign w:val="top"/>
          </w:tcPr>
          <w:p w14:paraId="79CFE719">
            <w:pPr>
              <w:rPr>
                <w:rFonts w:ascii="Arial"/>
                <w:sz w:val="21"/>
              </w:rPr>
            </w:pPr>
          </w:p>
        </w:tc>
      </w:tr>
    </w:tbl>
    <w:p w14:paraId="2309B5FF">
      <w:pPr>
        <w:pStyle w:val="2"/>
      </w:pPr>
    </w:p>
    <w:p w14:paraId="6EF67E7B">
      <w:pPr>
        <w:sectPr>
          <w:footerReference r:id="rId215" w:type="default"/>
          <w:pgSz w:w="16839" w:h="11906"/>
          <w:pgMar w:top="1012" w:right="821" w:bottom="667" w:left="901" w:header="0" w:footer="388" w:gutter="0"/>
          <w:cols w:space="720" w:num="1"/>
        </w:sectPr>
      </w:pPr>
    </w:p>
    <w:p w14:paraId="537C9960">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6E2EC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0E4AE321">
            <w:pPr>
              <w:spacing w:before="222" w:line="241" w:lineRule="auto"/>
              <w:ind w:left="131"/>
              <w:outlineLvl w:val="0"/>
              <w:rPr>
                <w:rFonts w:ascii="黑体" w:hAnsi="黑体" w:eastAsia="黑体" w:cs="黑体"/>
                <w:sz w:val="28"/>
                <w:szCs w:val="28"/>
              </w:rPr>
            </w:pPr>
            <w:bookmarkStart w:id="709" w:name="bookmark432"/>
            <w:bookmarkEnd w:id="709"/>
            <w:r>
              <w:rPr>
                <w:rFonts w:ascii="黑体" w:hAnsi="黑体" w:eastAsia="黑体" w:cs="黑体"/>
                <w:spacing w:val="-2"/>
                <w:sz w:val="28"/>
                <w:szCs w:val="28"/>
              </w:rPr>
              <w:t>序号</w:t>
            </w:r>
          </w:p>
        </w:tc>
        <w:tc>
          <w:tcPr>
            <w:tcW w:w="1440" w:type="dxa"/>
            <w:vAlign w:val="top"/>
          </w:tcPr>
          <w:p w14:paraId="6A325A7E">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A978D92">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DC10332">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F66E59C">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B4979C3">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391B7B67">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0EAFC00">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47AA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818" w:type="dxa"/>
            <w:vMerge w:val="restart"/>
            <w:tcBorders>
              <w:bottom w:val="nil"/>
            </w:tcBorders>
            <w:vAlign w:val="top"/>
          </w:tcPr>
          <w:p w14:paraId="4D8FD9A9">
            <w:pPr>
              <w:spacing w:line="265" w:lineRule="auto"/>
              <w:rPr>
                <w:rFonts w:ascii="Arial"/>
                <w:sz w:val="21"/>
              </w:rPr>
            </w:pPr>
          </w:p>
          <w:p w14:paraId="3432F97A">
            <w:pPr>
              <w:spacing w:line="265" w:lineRule="auto"/>
              <w:rPr>
                <w:rFonts w:ascii="Arial"/>
                <w:sz w:val="21"/>
              </w:rPr>
            </w:pPr>
          </w:p>
          <w:p w14:paraId="6BC92F75">
            <w:pPr>
              <w:spacing w:line="265" w:lineRule="auto"/>
              <w:rPr>
                <w:rFonts w:ascii="Arial"/>
                <w:sz w:val="21"/>
              </w:rPr>
            </w:pPr>
          </w:p>
          <w:p w14:paraId="33A17BA5">
            <w:pPr>
              <w:spacing w:line="265" w:lineRule="auto"/>
              <w:rPr>
                <w:rFonts w:ascii="Arial"/>
                <w:sz w:val="21"/>
              </w:rPr>
            </w:pPr>
          </w:p>
          <w:p w14:paraId="19D98539">
            <w:pPr>
              <w:spacing w:line="266" w:lineRule="auto"/>
              <w:rPr>
                <w:rFonts w:ascii="Arial"/>
                <w:sz w:val="21"/>
              </w:rPr>
            </w:pPr>
          </w:p>
          <w:p w14:paraId="206905D5">
            <w:pPr>
              <w:spacing w:line="266" w:lineRule="auto"/>
              <w:rPr>
                <w:rFonts w:ascii="Arial"/>
                <w:sz w:val="21"/>
              </w:rPr>
            </w:pPr>
          </w:p>
          <w:p w14:paraId="6B740F94">
            <w:pPr>
              <w:spacing w:line="266" w:lineRule="auto"/>
              <w:rPr>
                <w:rFonts w:ascii="Arial"/>
                <w:sz w:val="21"/>
              </w:rPr>
            </w:pPr>
          </w:p>
          <w:p w14:paraId="78C85AD8">
            <w:pPr>
              <w:spacing w:line="266" w:lineRule="auto"/>
              <w:rPr>
                <w:rFonts w:ascii="Arial"/>
                <w:sz w:val="21"/>
              </w:rPr>
            </w:pPr>
          </w:p>
          <w:p w14:paraId="335D1642">
            <w:pPr>
              <w:spacing w:before="75" w:line="186" w:lineRule="auto"/>
              <w:ind w:left="146"/>
              <w:rPr>
                <w:rFonts w:ascii="仿宋" w:hAnsi="仿宋" w:eastAsia="仿宋" w:cs="仿宋"/>
                <w:sz w:val="23"/>
                <w:szCs w:val="23"/>
              </w:rPr>
            </w:pPr>
            <w:r>
              <w:rPr>
                <w:rFonts w:ascii="仿宋" w:hAnsi="仿宋" w:eastAsia="仿宋" w:cs="仿宋"/>
                <w:sz w:val="23"/>
                <w:szCs w:val="23"/>
              </w:rPr>
              <w:t>212</w:t>
            </w:r>
          </w:p>
        </w:tc>
        <w:tc>
          <w:tcPr>
            <w:tcW w:w="1440" w:type="dxa"/>
            <w:vMerge w:val="restart"/>
            <w:tcBorders>
              <w:bottom w:val="nil"/>
            </w:tcBorders>
            <w:vAlign w:val="top"/>
          </w:tcPr>
          <w:p w14:paraId="198E0C55">
            <w:pPr>
              <w:spacing w:line="251" w:lineRule="auto"/>
              <w:rPr>
                <w:rFonts w:ascii="Arial"/>
                <w:sz w:val="21"/>
              </w:rPr>
            </w:pPr>
          </w:p>
          <w:p w14:paraId="72C2A80A">
            <w:pPr>
              <w:spacing w:line="252" w:lineRule="auto"/>
              <w:rPr>
                <w:rFonts w:ascii="Arial"/>
                <w:sz w:val="21"/>
              </w:rPr>
            </w:pPr>
          </w:p>
          <w:p w14:paraId="703828EC">
            <w:pPr>
              <w:spacing w:line="252" w:lineRule="auto"/>
              <w:rPr>
                <w:rFonts w:ascii="Arial"/>
                <w:sz w:val="21"/>
              </w:rPr>
            </w:pPr>
          </w:p>
          <w:p w14:paraId="3A22A1FD">
            <w:pPr>
              <w:spacing w:line="252" w:lineRule="auto"/>
              <w:rPr>
                <w:rFonts w:ascii="Arial"/>
                <w:sz w:val="21"/>
              </w:rPr>
            </w:pPr>
          </w:p>
          <w:p w14:paraId="02FD91CD">
            <w:pPr>
              <w:pStyle w:val="6"/>
              <w:spacing w:before="99" w:line="186" w:lineRule="auto"/>
              <w:ind w:left="116" w:right="108" w:firstLine="4"/>
            </w:pPr>
            <w:bookmarkStart w:id="710" w:name="bookmark433"/>
            <w:bookmarkEnd w:id="710"/>
            <w:r>
              <w:rPr>
                <w:spacing w:val="11"/>
              </w:rPr>
              <w:t>工贸企业开展有限空间作业未配备</w:t>
            </w:r>
            <w:r>
              <w:rPr>
                <w:spacing w:val="2"/>
              </w:rPr>
              <w:t>监护人员，</w:t>
            </w:r>
            <w:r>
              <w:rPr>
                <w:spacing w:val="11"/>
              </w:rPr>
              <w:t>或者监护人员未按规定履行岗位职</w:t>
            </w:r>
            <w:r>
              <w:rPr>
                <w:spacing w:val="2"/>
              </w:rPr>
              <w:t>责的</w:t>
            </w:r>
          </w:p>
        </w:tc>
        <w:tc>
          <w:tcPr>
            <w:tcW w:w="3202" w:type="dxa"/>
            <w:vMerge w:val="restart"/>
            <w:tcBorders>
              <w:bottom w:val="nil"/>
            </w:tcBorders>
            <w:vAlign w:val="top"/>
          </w:tcPr>
          <w:p w14:paraId="3B90BFEC">
            <w:pPr>
              <w:pStyle w:val="6"/>
              <w:spacing w:before="33" w:line="182" w:lineRule="auto"/>
              <w:ind w:left="118" w:right="111" w:hanging="20"/>
              <w:jc w:val="both"/>
            </w:pPr>
            <w:r>
              <w:rPr>
                <w:spacing w:val="18"/>
              </w:rPr>
              <w:t>【部门规章】《工贸企业有</w:t>
            </w:r>
            <w:r>
              <w:rPr>
                <w:spacing w:val="17"/>
              </w:rPr>
              <w:t>限空间作业安全规定》第五</w:t>
            </w:r>
            <w:r>
              <w:rPr>
                <w:spacing w:val="13"/>
              </w:rPr>
              <w:t>条：工贸企业应当实行有限</w:t>
            </w:r>
            <w:r>
              <w:rPr>
                <w:spacing w:val="10"/>
              </w:rPr>
              <w:t>空间作业监护制，明确专职</w:t>
            </w:r>
            <w:r>
              <w:rPr>
                <w:spacing w:val="12"/>
              </w:rPr>
              <w:t>或者兼职的监护人员，负责</w:t>
            </w:r>
            <w:r>
              <w:rPr>
                <w:spacing w:val="17"/>
              </w:rPr>
              <w:t>监督有限空间作业安全措施</w:t>
            </w:r>
            <w:r>
              <w:rPr>
                <w:spacing w:val="-2"/>
              </w:rPr>
              <w:t>的落实。</w:t>
            </w:r>
          </w:p>
          <w:p w14:paraId="12F3F049">
            <w:pPr>
              <w:pStyle w:val="6"/>
              <w:spacing w:before="8" w:line="186" w:lineRule="auto"/>
              <w:ind w:left="118" w:right="21" w:firstLine="2"/>
              <w:jc w:val="both"/>
            </w:pPr>
            <w:r>
              <w:rPr>
                <w:spacing w:val="17"/>
              </w:rPr>
              <w:t>监护人员应当具备与监督有限空间作业相适应的安全知</w:t>
            </w:r>
            <w:r>
              <w:rPr>
                <w:spacing w:val="12"/>
              </w:rPr>
              <w:t>识和应急处置能力，能够正</w:t>
            </w:r>
            <w:r>
              <w:rPr>
                <w:spacing w:val="5"/>
              </w:rPr>
              <w:t>确使用气体检测、机械通风、呼吸防护、应急救援等用品、</w:t>
            </w:r>
            <w:r>
              <w:rPr>
                <w:spacing w:val="-5"/>
              </w:rPr>
              <w:t>装备。</w:t>
            </w:r>
          </w:p>
        </w:tc>
        <w:tc>
          <w:tcPr>
            <w:tcW w:w="2859" w:type="dxa"/>
            <w:vMerge w:val="restart"/>
            <w:tcBorders>
              <w:bottom w:val="nil"/>
            </w:tcBorders>
            <w:vAlign w:val="top"/>
          </w:tcPr>
          <w:p w14:paraId="2F55F856">
            <w:pPr>
              <w:pStyle w:val="6"/>
              <w:spacing w:before="20" w:line="185" w:lineRule="auto"/>
              <w:ind w:left="97" w:right="97"/>
            </w:pPr>
            <w:r>
              <w:rPr>
                <w:spacing w:val="10"/>
              </w:rPr>
              <w:t>【部门规章】《工贸企业</w:t>
            </w:r>
            <w:r>
              <w:rPr>
                <w:spacing w:val="11"/>
              </w:rPr>
              <w:t>有限空间作业安全规定》</w:t>
            </w:r>
            <w:r>
              <w:rPr>
                <w:spacing w:val="10"/>
              </w:rPr>
              <w:t>第二十一条第一项：违反</w:t>
            </w:r>
            <w:r>
              <w:rPr>
                <w:spacing w:val="1"/>
              </w:rPr>
              <w:t>本规定，有下列情形之一</w:t>
            </w:r>
            <w:r>
              <w:rPr>
                <w:spacing w:val="10"/>
              </w:rPr>
              <w:t>的，责令限期改正，对工</w:t>
            </w:r>
            <w:r>
              <w:rPr>
                <w:spacing w:val="6"/>
              </w:rPr>
              <w:t>贸企业处</w:t>
            </w:r>
            <w:r>
              <w:rPr>
                <w:rFonts w:ascii="宋体" w:hAnsi="宋体" w:eastAsia="宋体" w:cs="宋体"/>
                <w:spacing w:val="6"/>
              </w:rPr>
              <w:t>5</w:t>
            </w:r>
            <w:r>
              <w:rPr>
                <w:spacing w:val="6"/>
              </w:rPr>
              <w:t>万元以下的罚</w:t>
            </w:r>
            <w:r>
              <w:rPr>
                <w:spacing w:val="10"/>
              </w:rPr>
              <w:t>款，对其直接负责的主管人员和其他直接责任人员</w:t>
            </w:r>
            <w:r>
              <w:rPr>
                <w:spacing w:val="16"/>
              </w:rPr>
              <w:t>处</w:t>
            </w:r>
            <w:r>
              <w:rPr>
                <w:rFonts w:ascii="宋体" w:hAnsi="宋体" w:eastAsia="宋体" w:cs="宋体"/>
                <w:spacing w:val="16"/>
              </w:rPr>
              <w:t>1</w:t>
            </w:r>
            <w:r>
              <w:rPr>
                <w:spacing w:val="16"/>
              </w:rPr>
              <w:t>万元以下的罚款：</w:t>
            </w:r>
            <w:r>
              <w:rPr>
                <w:spacing w:val="2"/>
              </w:rPr>
              <w:t>（一）未配备监护人员，</w:t>
            </w:r>
            <w:r>
              <w:rPr>
                <w:spacing w:val="10"/>
              </w:rPr>
              <w:t>或者监护人员未按规定履</w:t>
            </w:r>
            <w:r>
              <w:rPr>
                <w:spacing w:val="3"/>
              </w:rPr>
              <w:t>行岗位职责的；</w:t>
            </w:r>
          </w:p>
        </w:tc>
        <w:tc>
          <w:tcPr>
            <w:tcW w:w="803" w:type="dxa"/>
            <w:vAlign w:val="top"/>
          </w:tcPr>
          <w:p w14:paraId="358103A7">
            <w:pPr>
              <w:spacing w:line="307" w:lineRule="auto"/>
              <w:rPr>
                <w:rFonts w:ascii="Arial"/>
                <w:sz w:val="21"/>
              </w:rPr>
            </w:pPr>
          </w:p>
          <w:p w14:paraId="03AD1F6E">
            <w:pPr>
              <w:spacing w:line="307" w:lineRule="auto"/>
              <w:rPr>
                <w:rFonts w:ascii="Arial"/>
                <w:sz w:val="21"/>
              </w:rPr>
            </w:pPr>
          </w:p>
          <w:p w14:paraId="67621DA2">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E1BE01D">
            <w:pPr>
              <w:spacing w:line="253" w:lineRule="auto"/>
              <w:rPr>
                <w:rFonts w:ascii="Arial"/>
                <w:sz w:val="21"/>
              </w:rPr>
            </w:pPr>
          </w:p>
          <w:p w14:paraId="0EAA59C5">
            <w:pPr>
              <w:pStyle w:val="6"/>
              <w:spacing w:before="99" w:line="191" w:lineRule="auto"/>
              <w:ind w:left="116" w:right="109" w:firstLine="8"/>
              <w:jc w:val="both"/>
            </w:pPr>
            <w:r>
              <w:rPr>
                <w:spacing w:val="25"/>
              </w:rPr>
              <w:t>配备的监护人员未</w:t>
            </w:r>
            <w:r>
              <w:rPr>
                <w:spacing w:val="26"/>
              </w:rPr>
              <w:t>按规定履行岗位职</w:t>
            </w:r>
            <w:r>
              <w:rPr>
                <w:spacing w:val="3"/>
              </w:rPr>
              <w:t>责的</w:t>
            </w:r>
          </w:p>
        </w:tc>
        <w:tc>
          <w:tcPr>
            <w:tcW w:w="2894" w:type="dxa"/>
            <w:vAlign w:val="top"/>
          </w:tcPr>
          <w:p w14:paraId="09AC82CA">
            <w:pPr>
              <w:pStyle w:val="6"/>
              <w:spacing w:before="49" w:line="181" w:lineRule="auto"/>
              <w:ind w:left="127" w:right="103"/>
              <w:jc w:val="both"/>
            </w:pPr>
            <w:r>
              <w:rPr>
                <w:spacing w:val="4"/>
              </w:rPr>
              <w:t>责令限期改正，处</w:t>
            </w:r>
            <w:r>
              <w:rPr>
                <w:rFonts w:ascii="宋体" w:hAnsi="宋体" w:eastAsia="宋体" w:cs="宋体"/>
                <w:spacing w:val="4"/>
              </w:rPr>
              <w:t>2</w:t>
            </w:r>
            <w:r>
              <w:rPr>
                <w:spacing w:val="4"/>
              </w:rPr>
              <w:t>万元</w:t>
            </w:r>
            <w:r>
              <w:rPr>
                <w:spacing w:val="7"/>
              </w:rPr>
              <w:t>以下的罚款，对其直接负</w:t>
            </w:r>
            <w:r>
              <w:rPr>
                <w:spacing w:val="10"/>
              </w:rPr>
              <w:t>责的主管人员和其他直接</w:t>
            </w:r>
            <w:r>
              <w:rPr>
                <w:spacing w:val="5"/>
              </w:rPr>
              <w:t>责任人员处</w:t>
            </w:r>
            <w:r>
              <w:rPr>
                <w:rFonts w:ascii="宋体" w:hAnsi="宋体" w:eastAsia="宋体" w:cs="宋体"/>
                <w:spacing w:val="5"/>
              </w:rPr>
              <w:t>1</w:t>
            </w:r>
            <w:r>
              <w:rPr>
                <w:spacing w:val="5"/>
              </w:rPr>
              <w:t>万元以下的</w:t>
            </w:r>
            <w:r>
              <w:rPr>
                <w:spacing w:val="-1"/>
              </w:rPr>
              <w:t>罚款</w:t>
            </w:r>
          </w:p>
        </w:tc>
        <w:tc>
          <w:tcPr>
            <w:tcW w:w="811" w:type="dxa"/>
            <w:vMerge w:val="restart"/>
            <w:tcBorders>
              <w:bottom w:val="nil"/>
            </w:tcBorders>
            <w:vAlign w:val="top"/>
          </w:tcPr>
          <w:p w14:paraId="4050C377">
            <w:pPr>
              <w:rPr>
                <w:rFonts w:ascii="Arial"/>
                <w:sz w:val="21"/>
              </w:rPr>
            </w:pPr>
          </w:p>
        </w:tc>
      </w:tr>
      <w:tr w14:paraId="160E1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continue"/>
            <w:tcBorders>
              <w:top w:val="nil"/>
              <w:bottom w:val="nil"/>
            </w:tcBorders>
            <w:vAlign w:val="top"/>
          </w:tcPr>
          <w:p w14:paraId="7FDECFEB">
            <w:pPr>
              <w:rPr>
                <w:rFonts w:ascii="Arial"/>
                <w:sz w:val="21"/>
              </w:rPr>
            </w:pPr>
          </w:p>
        </w:tc>
        <w:tc>
          <w:tcPr>
            <w:tcW w:w="1440" w:type="dxa"/>
            <w:vMerge w:val="continue"/>
            <w:tcBorders>
              <w:top w:val="nil"/>
              <w:bottom w:val="nil"/>
            </w:tcBorders>
            <w:vAlign w:val="top"/>
          </w:tcPr>
          <w:p w14:paraId="350A49E5">
            <w:pPr>
              <w:rPr>
                <w:rFonts w:ascii="Arial"/>
                <w:sz w:val="21"/>
              </w:rPr>
            </w:pPr>
          </w:p>
        </w:tc>
        <w:tc>
          <w:tcPr>
            <w:tcW w:w="3202" w:type="dxa"/>
            <w:vMerge w:val="continue"/>
            <w:tcBorders>
              <w:top w:val="nil"/>
              <w:bottom w:val="nil"/>
            </w:tcBorders>
            <w:vAlign w:val="top"/>
          </w:tcPr>
          <w:p w14:paraId="1596B984">
            <w:pPr>
              <w:rPr>
                <w:rFonts w:ascii="Arial"/>
                <w:sz w:val="21"/>
              </w:rPr>
            </w:pPr>
          </w:p>
        </w:tc>
        <w:tc>
          <w:tcPr>
            <w:tcW w:w="2859" w:type="dxa"/>
            <w:vMerge w:val="continue"/>
            <w:tcBorders>
              <w:top w:val="nil"/>
              <w:bottom w:val="nil"/>
            </w:tcBorders>
            <w:vAlign w:val="top"/>
          </w:tcPr>
          <w:p w14:paraId="1819BDEB">
            <w:pPr>
              <w:rPr>
                <w:rFonts w:ascii="Arial"/>
                <w:sz w:val="21"/>
              </w:rPr>
            </w:pPr>
          </w:p>
        </w:tc>
        <w:tc>
          <w:tcPr>
            <w:tcW w:w="803" w:type="dxa"/>
            <w:vAlign w:val="top"/>
          </w:tcPr>
          <w:p w14:paraId="63A8D591">
            <w:pPr>
              <w:spacing w:line="298" w:lineRule="auto"/>
              <w:rPr>
                <w:rFonts w:ascii="Arial"/>
                <w:sz w:val="21"/>
              </w:rPr>
            </w:pPr>
          </w:p>
          <w:p w14:paraId="03122954">
            <w:pPr>
              <w:spacing w:line="298" w:lineRule="auto"/>
              <w:rPr>
                <w:rFonts w:ascii="Arial"/>
                <w:sz w:val="21"/>
              </w:rPr>
            </w:pPr>
          </w:p>
          <w:p w14:paraId="366A13F6">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DAAA94D">
            <w:pPr>
              <w:pStyle w:val="6"/>
              <w:spacing w:before="330" w:line="191" w:lineRule="auto"/>
              <w:ind w:left="117" w:right="109" w:firstLine="7"/>
              <w:jc w:val="both"/>
            </w:pPr>
            <w:r>
              <w:rPr>
                <w:spacing w:val="25"/>
              </w:rPr>
              <w:t>配备的监护人员不</w:t>
            </w:r>
            <w:r>
              <w:rPr>
                <w:spacing w:val="26"/>
              </w:rPr>
              <w:t>具备相应安全知识</w:t>
            </w:r>
            <w:r>
              <w:rPr>
                <w:spacing w:val="7"/>
              </w:rPr>
              <w:t>和应急处置能力的</w:t>
            </w:r>
          </w:p>
        </w:tc>
        <w:tc>
          <w:tcPr>
            <w:tcW w:w="2894" w:type="dxa"/>
            <w:vAlign w:val="top"/>
          </w:tcPr>
          <w:p w14:paraId="136108FE">
            <w:pPr>
              <w:pStyle w:val="6"/>
              <w:spacing w:before="30" w:line="178" w:lineRule="auto"/>
              <w:ind w:left="122" w:right="103" w:firstLine="5"/>
            </w:pPr>
            <w:r>
              <w:rPr>
                <w:spacing w:val="4"/>
              </w:rPr>
              <w:t>责令限期改正，处</w:t>
            </w:r>
            <w:r>
              <w:rPr>
                <w:rFonts w:ascii="宋体" w:hAnsi="宋体" w:eastAsia="宋体" w:cs="宋体"/>
                <w:spacing w:val="4"/>
              </w:rPr>
              <w:t>2</w:t>
            </w:r>
            <w:r>
              <w:rPr>
                <w:spacing w:val="4"/>
              </w:rPr>
              <w:t>万元</w:t>
            </w:r>
            <w:r>
              <w:rPr>
                <w:spacing w:val="6"/>
              </w:rPr>
              <w:t>以上</w:t>
            </w:r>
            <w:r>
              <w:rPr>
                <w:rFonts w:ascii="宋体" w:hAnsi="宋体" w:eastAsia="宋体" w:cs="宋体"/>
                <w:spacing w:val="6"/>
              </w:rPr>
              <w:t>4</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万元以下的罚款</w:t>
            </w:r>
          </w:p>
        </w:tc>
        <w:tc>
          <w:tcPr>
            <w:tcW w:w="811" w:type="dxa"/>
            <w:vMerge w:val="continue"/>
            <w:tcBorders>
              <w:top w:val="nil"/>
              <w:bottom w:val="nil"/>
            </w:tcBorders>
            <w:vAlign w:val="top"/>
          </w:tcPr>
          <w:p w14:paraId="5DEF3967">
            <w:pPr>
              <w:rPr>
                <w:rFonts w:ascii="Arial"/>
                <w:sz w:val="21"/>
              </w:rPr>
            </w:pPr>
          </w:p>
        </w:tc>
      </w:tr>
      <w:tr w14:paraId="00D9D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5" w:hRule="atLeast"/>
        </w:trPr>
        <w:tc>
          <w:tcPr>
            <w:tcW w:w="818" w:type="dxa"/>
            <w:vMerge w:val="continue"/>
            <w:tcBorders>
              <w:top w:val="nil"/>
            </w:tcBorders>
            <w:vAlign w:val="top"/>
          </w:tcPr>
          <w:p w14:paraId="1554C0BA">
            <w:pPr>
              <w:rPr>
                <w:rFonts w:ascii="Arial"/>
                <w:sz w:val="21"/>
              </w:rPr>
            </w:pPr>
          </w:p>
        </w:tc>
        <w:tc>
          <w:tcPr>
            <w:tcW w:w="1440" w:type="dxa"/>
            <w:vMerge w:val="continue"/>
            <w:tcBorders>
              <w:top w:val="nil"/>
            </w:tcBorders>
            <w:vAlign w:val="top"/>
          </w:tcPr>
          <w:p w14:paraId="4885636B">
            <w:pPr>
              <w:rPr>
                <w:rFonts w:ascii="Arial"/>
                <w:sz w:val="21"/>
              </w:rPr>
            </w:pPr>
          </w:p>
        </w:tc>
        <w:tc>
          <w:tcPr>
            <w:tcW w:w="3202" w:type="dxa"/>
            <w:vMerge w:val="continue"/>
            <w:tcBorders>
              <w:top w:val="nil"/>
            </w:tcBorders>
            <w:vAlign w:val="top"/>
          </w:tcPr>
          <w:p w14:paraId="61F2C388">
            <w:pPr>
              <w:rPr>
                <w:rFonts w:ascii="Arial"/>
                <w:sz w:val="21"/>
              </w:rPr>
            </w:pPr>
          </w:p>
        </w:tc>
        <w:tc>
          <w:tcPr>
            <w:tcW w:w="2859" w:type="dxa"/>
            <w:vMerge w:val="continue"/>
            <w:tcBorders>
              <w:top w:val="nil"/>
            </w:tcBorders>
            <w:vAlign w:val="top"/>
          </w:tcPr>
          <w:p w14:paraId="2AC2D023">
            <w:pPr>
              <w:rPr>
                <w:rFonts w:ascii="Arial"/>
                <w:sz w:val="21"/>
              </w:rPr>
            </w:pPr>
          </w:p>
        </w:tc>
        <w:tc>
          <w:tcPr>
            <w:tcW w:w="803" w:type="dxa"/>
            <w:vAlign w:val="top"/>
          </w:tcPr>
          <w:p w14:paraId="23F43EBB">
            <w:pPr>
              <w:spacing w:line="301" w:lineRule="auto"/>
              <w:rPr>
                <w:rFonts w:ascii="Arial"/>
                <w:sz w:val="21"/>
              </w:rPr>
            </w:pPr>
          </w:p>
          <w:p w14:paraId="621D9ACB">
            <w:pPr>
              <w:spacing w:line="302" w:lineRule="auto"/>
              <w:rPr>
                <w:rFonts w:ascii="Arial"/>
                <w:sz w:val="21"/>
              </w:rPr>
            </w:pPr>
          </w:p>
          <w:p w14:paraId="74A76972">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7677493">
            <w:pPr>
              <w:spacing w:line="266" w:lineRule="auto"/>
              <w:rPr>
                <w:rFonts w:ascii="Arial"/>
                <w:sz w:val="21"/>
              </w:rPr>
            </w:pPr>
          </w:p>
          <w:p w14:paraId="20344F83">
            <w:pPr>
              <w:spacing w:line="267" w:lineRule="auto"/>
              <w:rPr>
                <w:rFonts w:ascii="Arial"/>
                <w:sz w:val="21"/>
              </w:rPr>
            </w:pPr>
          </w:p>
          <w:p w14:paraId="32897E6E">
            <w:pPr>
              <w:pStyle w:val="6"/>
              <w:spacing w:before="99" w:line="208" w:lineRule="auto"/>
              <w:ind w:left="118"/>
            </w:pPr>
            <w:r>
              <w:rPr>
                <w:spacing w:val="7"/>
              </w:rPr>
              <w:t>未配备监护人员的</w:t>
            </w:r>
          </w:p>
        </w:tc>
        <w:tc>
          <w:tcPr>
            <w:tcW w:w="2894" w:type="dxa"/>
            <w:vAlign w:val="top"/>
          </w:tcPr>
          <w:p w14:paraId="7A04B19B">
            <w:pPr>
              <w:pStyle w:val="6"/>
              <w:spacing w:before="33" w:line="179" w:lineRule="auto"/>
              <w:ind w:left="122" w:right="103" w:firstLine="5"/>
            </w:pPr>
            <w:r>
              <w:rPr>
                <w:spacing w:val="4"/>
              </w:rPr>
              <w:t>责令限期改正，处</w:t>
            </w:r>
            <w:r>
              <w:rPr>
                <w:rFonts w:ascii="宋体" w:hAnsi="宋体" w:eastAsia="宋体" w:cs="宋体"/>
                <w:spacing w:val="4"/>
              </w:rPr>
              <w:t>4</w:t>
            </w:r>
            <w:r>
              <w:rPr>
                <w:spacing w:val="4"/>
              </w:rPr>
              <w:t>万元</w:t>
            </w:r>
            <w:r>
              <w:rPr>
                <w:spacing w:val="6"/>
              </w:rPr>
              <w:t>以上</w:t>
            </w:r>
            <w:r>
              <w:rPr>
                <w:rFonts w:ascii="宋体" w:hAnsi="宋体" w:eastAsia="宋体" w:cs="宋体"/>
                <w:spacing w:val="6"/>
              </w:rPr>
              <w:t>5</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万元以下的罚款</w:t>
            </w:r>
          </w:p>
        </w:tc>
        <w:tc>
          <w:tcPr>
            <w:tcW w:w="811" w:type="dxa"/>
            <w:vMerge w:val="continue"/>
            <w:tcBorders>
              <w:top w:val="nil"/>
            </w:tcBorders>
            <w:vAlign w:val="top"/>
          </w:tcPr>
          <w:p w14:paraId="55159744">
            <w:pPr>
              <w:rPr>
                <w:rFonts w:ascii="Arial"/>
                <w:sz w:val="21"/>
              </w:rPr>
            </w:pPr>
          </w:p>
        </w:tc>
      </w:tr>
      <w:tr w14:paraId="68C74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restart"/>
            <w:tcBorders>
              <w:bottom w:val="nil"/>
            </w:tcBorders>
            <w:vAlign w:val="top"/>
          </w:tcPr>
          <w:p w14:paraId="71BEF91C">
            <w:pPr>
              <w:spacing w:line="262" w:lineRule="auto"/>
              <w:rPr>
                <w:rFonts w:ascii="Arial"/>
                <w:sz w:val="21"/>
              </w:rPr>
            </w:pPr>
          </w:p>
          <w:p w14:paraId="25B6A393">
            <w:pPr>
              <w:spacing w:line="262" w:lineRule="auto"/>
              <w:rPr>
                <w:rFonts w:ascii="Arial"/>
                <w:sz w:val="21"/>
              </w:rPr>
            </w:pPr>
          </w:p>
          <w:p w14:paraId="0766A8AC">
            <w:pPr>
              <w:spacing w:line="262" w:lineRule="auto"/>
              <w:rPr>
                <w:rFonts w:ascii="Arial"/>
                <w:sz w:val="21"/>
              </w:rPr>
            </w:pPr>
          </w:p>
          <w:p w14:paraId="35AFFADE">
            <w:pPr>
              <w:spacing w:line="262" w:lineRule="auto"/>
              <w:rPr>
                <w:rFonts w:ascii="Arial"/>
                <w:sz w:val="21"/>
              </w:rPr>
            </w:pPr>
          </w:p>
          <w:p w14:paraId="3876A7A2">
            <w:pPr>
              <w:spacing w:line="263" w:lineRule="auto"/>
              <w:rPr>
                <w:rFonts w:ascii="Arial"/>
                <w:sz w:val="21"/>
              </w:rPr>
            </w:pPr>
          </w:p>
          <w:p w14:paraId="0C89CF69">
            <w:pPr>
              <w:spacing w:line="263" w:lineRule="auto"/>
              <w:rPr>
                <w:rFonts w:ascii="Arial"/>
                <w:sz w:val="21"/>
              </w:rPr>
            </w:pPr>
          </w:p>
          <w:p w14:paraId="5F34E7C1">
            <w:pPr>
              <w:spacing w:line="263" w:lineRule="auto"/>
              <w:rPr>
                <w:rFonts w:ascii="Arial"/>
                <w:sz w:val="21"/>
              </w:rPr>
            </w:pPr>
          </w:p>
          <w:p w14:paraId="0B669A46">
            <w:pPr>
              <w:spacing w:line="263" w:lineRule="auto"/>
              <w:rPr>
                <w:rFonts w:ascii="Arial"/>
                <w:sz w:val="21"/>
              </w:rPr>
            </w:pPr>
          </w:p>
          <w:p w14:paraId="7D5A44E4">
            <w:pPr>
              <w:spacing w:before="75" w:line="186" w:lineRule="auto"/>
              <w:ind w:left="146"/>
              <w:rPr>
                <w:rFonts w:ascii="仿宋" w:hAnsi="仿宋" w:eastAsia="仿宋" w:cs="仿宋"/>
                <w:sz w:val="23"/>
                <w:szCs w:val="23"/>
              </w:rPr>
            </w:pPr>
            <w:r>
              <w:rPr>
                <w:rFonts w:ascii="仿宋" w:hAnsi="仿宋" w:eastAsia="仿宋" w:cs="仿宋"/>
                <w:sz w:val="23"/>
                <w:szCs w:val="23"/>
              </w:rPr>
              <w:t>213</w:t>
            </w:r>
          </w:p>
        </w:tc>
        <w:tc>
          <w:tcPr>
            <w:tcW w:w="1440" w:type="dxa"/>
            <w:vMerge w:val="restart"/>
            <w:tcBorders>
              <w:bottom w:val="nil"/>
            </w:tcBorders>
            <w:vAlign w:val="top"/>
          </w:tcPr>
          <w:p w14:paraId="6028BAB8">
            <w:pPr>
              <w:spacing w:line="256" w:lineRule="auto"/>
              <w:rPr>
                <w:rFonts w:ascii="Arial"/>
                <w:sz w:val="21"/>
              </w:rPr>
            </w:pPr>
          </w:p>
          <w:p w14:paraId="51302825">
            <w:pPr>
              <w:spacing w:line="256" w:lineRule="auto"/>
              <w:rPr>
                <w:rFonts w:ascii="Arial"/>
                <w:sz w:val="21"/>
              </w:rPr>
            </w:pPr>
          </w:p>
          <w:p w14:paraId="4D138F26">
            <w:pPr>
              <w:spacing w:line="256" w:lineRule="auto"/>
              <w:rPr>
                <w:rFonts w:ascii="Arial"/>
                <w:sz w:val="21"/>
              </w:rPr>
            </w:pPr>
          </w:p>
          <w:p w14:paraId="15FABF82">
            <w:pPr>
              <w:spacing w:line="257" w:lineRule="auto"/>
              <w:rPr>
                <w:rFonts w:ascii="Arial"/>
                <w:sz w:val="21"/>
              </w:rPr>
            </w:pPr>
          </w:p>
          <w:p w14:paraId="67C7021D">
            <w:pPr>
              <w:spacing w:line="257" w:lineRule="auto"/>
              <w:rPr>
                <w:rFonts w:ascii="Arial"/>
                <w:sz w:val="21"/>
              </w:rPr>
            </w:pPr>
          </w:p>
          <w:p w14:paraId="2B1D284B">
            <w:pPr>
              <w:pStyle w:val="6"/>
              <w:spacing w:before="99" w:line="187" w:lineRule="auto"/>
              <w:ind w:left="112" w:right="111" w:firstLine="8"/>
            </w:pPr>
            <w:r>
              <w:rPr>
                <w:spacing w:val="10"/>
              </w:rPr>
              <w:t>工贸企业未</w:t>
            </w:r>
            <w:r>
              <w:rPr>
                <w:spacing w:val="12"/>
              </w:rPr>
              <w:t>对有限空间</w:t>
            </w:r>
            <w:r>
              <w:rPr>
                <w:spacing w:val="2"/>
              </w:rPr>
              <w:t>进行辨识，</w:t>
            </w:r>
            <w:r>
              <w:rPr>
                <w:spacing w:val="12"/>
              </w:rPr>
              <w:t>或者未建立有限空间管</w:t>
            </w:r>
            <w:r>
              <w:rPr>
                <w:spacing w:val="6"/>
              </w:rPr>
              <w:t>理台账的</w:t>
            </w:r>
          </w:p>
        </w:tc>
        <w:tc>
          <w:tcPr>
            <w:tcW w:w="3202" w:type="dxa"/>
            <w:vMerge w:val="restart"/>
            <w:tcBorders>
              <w:bottom w:val="nil"/>
            </w:tcBorders>
            <w:vAlign w:val="top"/>
          </w:tcPr>
          <w:p w14:paraId="2FCD4EC8">
            <w:pPr>
              <w:pStyle w:val="6"/>
              <w:spacing w:before="34" w:line="182" w:lineRule="auto"/>
              <w:ind w:left="118" w:right="111" w:hanging="20"/>
              <w:jc w:val="both"/>
            </w:pPr>
            <w:r>
              <w:rPr>
                <w:spacing w:val="18"/>
              </w:rPr>
              <w:t>【部门规章】《工贸企业有</w:t>
            </w:r>
            <w:r>
              <w:rPr>
                <w:spacing w:val="17"/>
              </w:rPr>
              <w:t>限空间作业安全规定》第六</w:t>
            </w:r>
            <w:r>
              <w:rPr>
                <w:spacing w:val="12"/>
              </w:rPr>
              <w:t>条第一款：工贸企业应当对</w:t>
            </w:r>
          </w:p>
          <w:p w14:paraId="2AC5730D">
            <w:pPr>
              <w:pStyle w:val="6"/>
              <w:spacing w:line="182" w:lineRule="auto"/>
              <w:ind w:left="123"/>
              <w:outlineLvl w:val="0"/>
            </w:pPr>
            <w:r>
              <w:rPr>
                <w:spacing w:val="13"/>
              </w:rPr>
              <w:t>有限空间进行辨识，建立有</w:t>
            </w:r>
          </w:p>
          <w:p w14:paraId="3F72F7B2">
            <w:pPr>
              <w:pStyle w:val="6"/>
              <w:spacing w:line="191" w:lineRule="auto"/>
              <w:ind w:left="128" w:right="111" w:firstLine="12"/>
              <w:jc w:val="both"/>
            </w:pPr>
            <w:r>
              <w:rPr>
                <w:spacing w:val="8"/>
              </w:rPr>
              <w:t>限空间管理台账，明确有限</w:t>
            </w:r>
            <w:r>
              <w:rPr>
                <w:spacing w:val="16"/>
              </w:rPr>
              <w:t>空间数量、位置以及危险因</w:t>
            </w:r>
            <w:r>
              <w:rPr>
                <w:spacing w:val="4"/>
              </w:rPr>
              <w:t>素等信息，并及时更新。</w:t>
            </w:r>
          </w:p>
        </w:tc>
        <w:tc>
          <w:tcPr>
            <w:tcW w:w="2859" w:type="dxa"/>
            <w:vMerge w:val="restart"/>
            <w:tcBorders>
              <w:bottom w:val="nil"/>
            </w:tcBorders>
            <w:vAlign w:val="top"/>
          </w:tcPr>
          <w:p w14:paraId="58F2ECD9">
            <w:pPr>
              <w:pStyle w:val="6"/>
              <w:spacing w:before="24" w:line="185" w:lineRule="auto"/>
              <w:ind w:left="97" w:right="97"/>
            </w:pPr>
            <w:r>
              <w:rPr>
                <w:spacing w:val="10"/>
              </w:rPr>
              <w:t>【部门规章】《工贸企业</w:t>
            </w:r>
            <w:r>
              <w:rPr>
                <w:spacing w:val="11"/>
              </w:rPr>
              <w:t>有限空间作业安全规定》</w:t>
            </w:r>
            <w:r>
              <w:rPr>
                <w:spacing w:val="10"/>
              </w:rPr>
              <w:t>第二十一条第二项：违反</w:t>
            </w:r>
            <w:r>
              <w:rPr>
                <w:spacing w:val="3"/>
              </w:rPr>
              <w:t>本规定，有下列情形之一</w:t>
            </w:r>
            <w:r>
              <w:rPr>
                <w:spacing w:val="10"/>
              </w:rPr>
              <w:t>的，责令限期改正，对工</w:t>
            </w:r>
            <w:r>
              <w:rPr>
                <w:spacing w:val="6"/>
              </w:rPr>
              <w:t>贸企业处</w:t>
            </w:r>
            <w:r>
              <w:rPr>
                <w:rFonts w:ascii="宋体" w:hAnsi="宋体" w:eastAsia="宋体" w:cs="宋体"/>
                <w:spacing w:val="6"/>
              </w:rPr>
              <w:t>5</w:t>
            </w:r>
            <w:r>
              <w:rPr>
                <w:spacing w:val="6"/>
              </w:rPr>
              <w:t>万元以下的罚</w:t>
            </w:r>
            <w:r>
              <w:rPr>
                <w:spacing w:val="10"/>
              </w:rPr>
              <w:t>款，对其直接负责的主管人员和其他直接责任人员</w:t>
            </w:r>
            <w:r>
              <w:rPr>
                <w:spacing w:val="16"/>
              </w:rPr>
              <w:t>处</w:t>
            </w:r>
            <w:r>
              <w:rPr>
                <w:rFonts w:ascii="宋体" w:hAnsi="宋体" w:eastAsia="宋体" w:cs="宋体"/>
                <w:spacing w:val="16"/>
              </w:rPr>
              <w:t>1</w:t>
            </w:r>
            <w:r>
              <w:rPr>
                <w:spacing w:val="16"/>
              </w:rPr>
              <w:t>万元以下的罚款：</w:t>
            </w:r>
            <w:r>
              <w:rPr>
                <w:spacing w:val="10"/>
              </w:rPr>
              <w:t>（二）未对有限空间进行辨识，或者未建立有限空</w:t>
            </w:r>
            <w:r>
              <w:rPr>
                <w:spacing w:val="3"/>
              </w:rPr>
              <w:t>间管理台账的；</w:t>
            </w:r>
          </w:p>
        </w:tc>
        <w:tc>
          <w:tcPr>
            <w:tcW w:w="803" w:type="dxa"/>
            <w:vAlign w:val="top"/>
          </w:tcPr>
          <w:p w14:paraId="1BC4E3D7">
            <w:pPr>
              <w:spacing w:line="297" w:lineRule="auto"/>
              <w:rPr>
                <w:rFonts w:ascii="Arial"/>
                <w:sz w:val="21"/>
              </w:rPr>
            </w:pPr>
          </w:p>
          <w:p w14:paraId="1995B93A">
            <w:pPr>
              <w:spacing w:line="298" w:lineRule="auto"/>
              <w:rPr>
                <w:rFonts w:ascii="Arial"/>
                <w:sz w:val="21"/>
              </w:rPr>
            </w:pPr>
          </w:p>
          <w:p w14:paraId="407C9D77">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E43A3F9">
            <w:pPr>
              <w:spacing w:line="378" w:lineRule="auto"/>
              <w:rPr>
                <w:rFonts w:ascii="Arial"/>
                <w:sz w:val="21"/>
              </w:rPr>
            </w:pPr>
          </w:p>
          <w:p w14:paraId="4DC6EA22">
            <w:pPr>
              <w:pStyle w:val="6"/>
              <w:spacing w:before="99" w:line="196" w:lineRule="auto"/>
              <w:ind w:left="116" w:right="109" w:firstLine="1"/>
            </w:pPr>
            <w:r>
              <w:rPr>
                <w:spacing w:val="26"/>
              </w:rPr>
              <w:t>未建立有限空间管</w:t>
            </w:r>
            <w:r>
              <w:rPr>
                <w:spacing w:val="6"/>
              </w:rPr>
              <w:t>理台账的</w:t>
            </w:r>
          </w:p>
        </w:tc>
        <w:tc>
          <w:tcPr>
            <w:tcW w:w="2894" w:type="dxa"/>
            <w:vAlign w:val="top"/>
          </w:tcPr>
          <w:p w14:paraId="26331352">
            <w:pPr>
              <w:pStyle w:val="6"/>
              <w:spacing w:before="30" w:line="178" w:lineRule="auto"/>
              <w:ind w:left="127" w:right="103"/>
              <w:jc w:val="both"/>
            </w:pPr>
            <w:r>
              <w:rPr>
                <w:spacing w:val="4"/>
              </w:rPr>
              <w:t>责令限期改正，处</w:t>
            </w:r>
            <w:r>
              <w:rPr>
                <w:rFonts w:ascii="宋体" w:hAnsi="宋体" w:eastAsia="宋体" w:cs="宋体"/>
                <w:spacing w:val="4"/>
              </w:rPr>
              <w:t>2</w:t>
            </w:r>
            <w:r>
              <w:rPr>
                <w:spacing w:val="4"/>
              </w:rPr>
              <w:t>万元</w:t>
            </w:r>
            <w:r>
              <w:rPr>
                <w:spacing w:val="7"/>
              </w:rPr>
              <w:t>以下的罚款，对其直接负</w:t>
            </w:r>
            <w:r>
              <w:rPr>
                <w:spacing w:val="10"/>
              </w:rPr>
              <w:t>责的主管人员和其他直接</w:t>
            </w:r>
            <w:r>
              <w:rPr>
                <w:spacing w:val="5"/>
              </w:rPr>
              <w:t>责任人员处</w:t>
            </w:r>
            <w:r>
              <w:rPr>
                <w:rFonts w:ascii="宋体" w:hAnsi="宋体" w:eastAsia="宋体" w:cs="宋体"/>
                <w:spacing w:val="5"/>
              </w:rPr>
              <w:t>1</w:t>
            </w:r>
            <w:r>
              <w:rPr>
                <w:spacing w:val="5"/>
              </w:rPr>
              <w:t>万元以下的</w:t>
            </w:r>
            <w:r>
              <w:rPr>
                <w:spacing w:val="-1"/>
              </w:rPr>
              <w:t>罚款</w:t>
            </w:r>
          </w:p>
        </w:tc>
        <w:tc>
          <w:tcPr>
            <w:tcW w:w="811" w:type="dxa"/>
            <w:vMerge w:val="restart"/>
            <w:tcBorders>
              <w:bottom w:val="nil"/>
            </w:tcBorders>
            <w:vAlign w:val="top"/>
          </w:tcPr>
          <w:p w14:paraId="0357FC76">
            <w:pPr>
              <w:spacing w:line="262" w:lineRule="auto"/>
              <w:rPr>
                <w:rFonts w:ascii="Arial"/>
                <w:sz w:val="21"/>
              </w:rPr>
            </w:pPr>
          </w:p>
          <w:p w14:paraId="34354928">
            <w:pPr>
              <w:spacing w:line="262" w:lineRule="auto"/>
              <w:rPr>
                <w:rFonts w:ascii="Arial"/>
                <w:sz w:val="21"/>
              </w:rPr>
            </w:pPr>
          </w:p>
          <w:p w14:paraId="5F66DD57">
            <w:pPr>
              <w:spacing w:line="262" w:lineRule="auto"/>
              <w:rPr>
                <w:rFonts w:ascii="Arial"/>
                <w:sz w:val="21"/>
              </w:rPr>
            </w:pPr>
          </w:p>
          <w:p w14:paraId="250F10B0">
            <w:pPr>
              <w:spacing w:line="262" w:lineRule="auto"/>
              <w:rPr>
                <w:rFonts w:ascii="Arial"/>
                <w:sz w:val="21"/>
              </w:rPr>
            </w:pPr>
          </w:p>
          <w:p w14:paraId="71B8658E">
            <w:pPr>
              <w:spacing w:line="262" w:lineRule="auto"/>
              <w:rPr>
                <w:rFonts w:ascii="Arial"/>
                <w:sz w:val="21"/>
              </w:rPr>
            </w:pPr>
          </w:p>
          <w:p w14:paraId="30881EF9">
            <w:pPr>
              <w:spacing w:line="262" w:lineRule="auto"/>
              <w:rPr>
                <w:rFonts w:ascii="Arial"/>
                <w:sz w:val="21"/>
              </w:rPr>
            </w:pPr>
          </w:p>
          <w:p w14:paraId="54DD6018">
            <w:pPr>
              <w:spacing w:line="262" w:lineRule="auto"/>
              <w:rPr>
                <w:rFonts w:ascii="Arial"/>
                <w:sz w:val="21"/>
              </w:rPr>
            </w:pPr>
          </w:p>
          <w:p w14:paraId="120BAE71">
            <w:pPr>
              <w:spacing w:line="263" w:lineRule="auto"/>
              <w:rPr>
                <w:rFonts w:ascii="Arial"/>
                <w:sz w:val="21"/>
              </w:rPr>
            </w:pPr>
          </w:p>
          <w:p w14:paraId="6A9797BA">
            <w:pPr>
              <w:spacing w:before="75" w:line="188" w:lineRule="auto"/>
              <w:ind w:left="233"/>
              <w:rPr>
                <w:rFonts w:ascii="宋体" w:hAnsi="宋体" w:eastAsia="宋体" w:cs="宋体"/>
                <w:sz w:val="23"/>
                <w:szCs w:val="23"/>
              </w:rPr>
            </w:pPr>
            <w:r>
              <w:rPr>
                <w:rFonts w:ascii="宋体" w:hAnsi="宋体" w:eastAsia="宋体" w:cs="宋体"/>
                <w:spacing w:val="-1"/>
                <w:sz w:val="23"/>
                <w:szCs w:val="23"/>
              </w:rPr>
              <w:t>242</w:t>
            </w:r>
          </w:p>
        </w:tc>
      </w:tr>
      <w:tr w14:paraId="4C86A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continue"/>
            <w:tcBorders>
              <w:top w:val="nil"/>
              <w:bottom w:val="nil"/>
            </w:tcBorders>
            <w:vAlign w:val="top"/>
          </w:tcPr>
          <w:p w14:paraId="47F03E40">
            <w:pPr>
              <w:rPr>
                <w:rFonts w:ascii="Arial"/>
                <w:sz w:val="21"/>
              </w:rPr>
            </w:pPr>
          </w:p>
        </w:tc>
        <w:tc>
          <w:tcPr>
            <w:tcW w:w="1440" w:type="dxa"/>
            <w:vMerge w:val="continue"/>
            <w:tcBorders>
              <w:top w:val="nil"/>
              <w:bottom w:val="nil"/>
            </w:tcBorders>
            <w:vAlign w:val="top"/>
          </w:tcPr>
          <w:p w14:paraId="3F517139">
            <w:pPr>
              <w:rPr>
                <w:rFonts w:ascii="Arial"/>
                <w:sz w:val="21"/>
              </w:rPr>
            </w:pPr>
          </w:p>
        </w:tc>
        <w:tc>
          <w:tcPr>
            <w:tcW w:w="3202" w:type="dxa"/>
            <w:vMerge w:val="continue"/>
            <w:tcBorders>
              <w:top w:val="nil"/>
              <w:bottom w:val="nil"/>
            </w:tcBorders>
            <w:vAlign w:val="top"/>
          </w:tcPr>
          <w:p w14:paraId="4AD2FB45">
            <w:pPr>
              <w:rPr>
                <w:rFonts w:ascii="Arial"/>
                <w:sz w:val="21"/>
              </w:rPr>
            </w:pPr>
          </w:p>
        </w:tc>
        <w:tc>
          <w:tcPr>
            <w:tcW w:w="2859" w:type="dxa"/>
            <w:vMerge w:val="continue"/>
            <w:tcBorders>
              <w:top w:val="nil"/>
              <w:bottom w:val="nil"/>
            </w:tcBorders>
            <w:vAlign w:val="top"/>
          </w:tcPr>
          <w:p w14:paraId="5C303EC5">
            <w:pPr>
              <w:rPr>
                <w:rFonts w:ascii="Arial"/>
                <w:sz w:val="21"/>
              </w:rPr>
            </w:pPr>
          </w:p>
        </w:tc>
        <w:tc>
          <w:tcPr>
            <w:tcW w:w="803" w:type="dxa"/>
            <w:vAlign w:val="top"/>
          </w:tcPr>
          <w:p w14:paraId="6EBBF0E9">
            <w:pPr>
              <w:spacing w:line="299" w:lineRule="auto"/>
              <w:rPr>
                <w:rFonts w:ascii="Arial"/>
                <w:sz w:val="21"/>
              </w:rPr>
            </w:pPr>
          </w:p>
          <w:p w14:paraId="77DB0E4F">
            <w:pPr>
              <w:spacing w:line="300" w:lineRule="auto"/>
              <w:rPr>
                <w:rFonts w:ascii="Arial"/>
                <w:sz w:val="21"/>
              </w:rPr>
            </w:pPr>
          </w:p>
          <w:p w14:paraId="14AE9807">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DBFC6B4">
            <w:pPr>
              <w:spacing w:line="380" w:lineRule="auto"/>
              <w:rPr>
                <w:rFonts w:ascii="Arial"/>
                <w:sz w:val="21"/>
              </w:rPr>
            </w:pPr>
          </w:p>
          <w:p w14:paraId="497E8AC3">
            <w:pPr>
              <w:pStyle w:val="6"/>
              <w:spacing w:before="99" w:line="196" w:lineRule="auto"/>
              <w:ind w:left="123" w:right="109" w:hanging="5"/>
            </w:pPr>
            <w:r>
              <w:rPr>
                <w:spacing w:val="26"/>
              </w:rPr>
              <w:t>未对有限空间进行</w:t>
            </w:r>
            <w:r>
              <w:rPr>
                <w:spacing w:val="2"/>
              </w:rPr>
              <w:t>辨识的</w:t>
            </w:r>
          </w:p>
        </w:tc>
        <w:tc>
          <w:tcPr>
            <w:tcW w:w="2894" w:type="dxa"/>
            <w:vAlign w:val="top"/>
          </w:tcPr>
          <w:p w14:paraId="49156BB0">
            <w:pPr>
              <w:pStyle w:val="6"/>
              <w:spacing w:before="30" w:line="178" w:lineRule="auto"/>
              <w:ind w:left="122" w:right="103" w:firstLine="5"/>
            </w:pPr>
            <w:r>
              <w:rPr>
                <w:spacing w:val="4"/>
              </w:rPr>
              <w:t>责令限期改正，处</w:t>
            </w:r>
            <w:r>
              <w:rPr>
                <w:rFonts w:ascii="宋体" w:hAnsi="宋体" w:eastAsia="宋体" w:cs="宋体"/>
                <w:spacing w:val="4"/>
              </w:rPr>
              <w:t>2</w:t>
            </w:r>
            <w:r>
              <w:rPr>
                <w:spacing w:val="4"/>
              </w:rPr>
              <w:t>万元</w:t>
            </w:r>
            <w:r>
              <w:rPr>
                <w:spacing w:val="6"/>
              </w:rPr>
              <w:t>以上</w:t>
            </w:r>
            <w:r>
              <w:rPr>
                <w:rFonts w:ascii="宋体" w:hAnsi="宋体" w:eastAsia="宋体" w:cs="宋体"/>
                <w:spacing w:val="6"/>
              </w:rPr>
              <w:t>4</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万元以下的罚款</w:t>
            </w:r>
          </w:p>
        </w:tc>
        <w:tc>
          <w:tcPr>
            <w:tcW w:w="811" w:type="dxa"/>
            <w:vMerge w:val="continue"/>
            <w:tcBorders>
              <w:top w:val="nil"/>
              <w:bottom w:val="nil"/>
            </w:tcBorders>
            <w:vAlign w:val="top"/>
          </w:tcPr>
          <w:p w14:paraId="6B5EC3B4">
            <w:pPr>
              <w:rPr>
                <w:rFonts w:ascii="Arial"/>
                <w:sz w:val="21"/>
              </w:rPr>
            </w:pPr>
          </w:p>
        </w:tc>
      </w:tr>
      <w:tr w14:paraId="33FD0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8" w:hRule="atLeast"/>
        </w:trPr>
        <w:tc>
          <w:tcPr>
            <w:tcW w:w="818" w:type="dxa"/>
            <w:vMerge w:val="continue"/>
            <w:tcBorders>
              <w:top w:val="nil"/>
            </w:tcBorders>
            <w:vAlign w:val="top"/>
          </w:tcPr>
          <w:p w14:paraId="6D2257A8">
            <w:pPr>
              <w:rPr>
                <w:rFonts w:ascii="Arial"/>
                <w:sz w:val="21"/>
              </w:rPr>
            </w:pPr>
          </w:p>
        </w:tc>
        <w:tc>
          <w:tcPr>
            <w:tcW w:w="1440" w:type="dxa"/>
            <w:vMerge w:val="continue"/>
            <w:tcBorders>
              <w:top w:val="nil"/>
            </w:tcBorders>
            <w:vAlign w:val="top"/>
          </w:tcPr>
          <w:p w14:paraId="1813E139">
            <w:pPr>
              <w:rPr>
                <w:rFonts w:ascii="Arial"/>
                <w:sz w:val="21"/>
              </w:rPr>
            </w:pPr>
          </w:p>
        </w:tc>
        <w:tc>
          <w:tcPr>
            <w:tcW w:w="3202" w:type="dxa"/>
            <w:vMerge w:val="continue"/>
            <w:tcBorders>
              <w:top w:val="nil"/>
            </w:tcBorders>
            <w:vAlign w:val="top"/>
          </w:tcPr>
          <w:p w14:paraId="6A8FCAB8">
            <w:pPr>
              <w:rPr>
                <w:rFonts w:ascii="Arial"/>
                <w:sz w:val="21"/>
              </w:rPr>
            </w:pPr>
          </w:p>
        </w:tc>
        <w:tc>
          <w:tcPr>
            <w:tcW w:w="2859" w:type="dxa"/>
            <w:vMerge w:val="continue"/>
            <w:tcBorders>
              <w:top w:val="nil"/>
            </w:tcBorders>
            <w:vAlign w:val="top"/>
          </w:tcPr>
          <w:p w14:paraId="0AE3E5FC">
            <w:pPr>
              <w:rPr>
                <w:rFonts w:ascii="Arial"/>
                <w:sz w:val="21"/>
              </w:rPr>
            </w:pPr>
          </w:p>
        </w:tc>
        <w:tc>
          <w:tcPr>
            <w:tcW w:w="803" w:type="dxa"/>
            <w:vAlign w:val="top"/>
          </w:tcPr>
          <w:p w14:paraId="71C19BAC">
            <w:pPr>
              <w:spacing w:line="300" w:lineRule="auto"/>
              <w:rPr>
                <w:rFonts w:ascii="Arial"/>
                <w:sz w:val="21"/>
              </w:rPr>
            </w:pPr>
          </w:p>
          <w:p w14:paraId="67915739">
            <w:pPr>
              <w:spacing w:line="301" w:lineRule="auto"/>
              <w:rPr>
                <w:rFonts w:ascii="Arial"/>
                <w:sz w:val="21"/>
              </w:rPr>
            </w:pPr>
          </w:p>
          <w:p w14:paraId="4BF15479">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2337DA4">
            <w:pPr>
              <w:pStyle w:val="6"/>
              <w:spacing w:before="334" w:line="191" w:lineRule="auto"/>
              <w:ind w:left="123" w:right="109" w:hanging="5"/>
              <w:jc w:val="both"/>
            </w:pPr>
            <w:r>
              <w:rPr>
                <w:spacing w:val="26"/>
              </w:rPr>
              <w:t>未对有限空间进行</w:t>
            </w:r>
            <w:r>
              <w:rPr>
                <w:spacing w:val="-3"/>
              </w:rPr>
              <w:t>辨识，且未建立有限</w:t>
            </w:r>
            <w:r>
              <w:rPr>
                <w:spacing w:val="6"/>
              </w:rPr>
              <w:t>空间管理台账的</w:t>
            </w:r>
          </w:p>
        </w:tc>
        <w:tc>
          <w:tcPr>
            <w:tcW w:w="2894" w:type="dxa"/>
            <w:vAlign w:val="top"/>
          </w:tcPr>
          <w:p w14:paraId="1994B4E0">
            <w:pPr>
              <w:pStyle w:val="6"/>
              <w:spacing w:before="34" w:line="178" w:lineRule="auto"/>
              <w:ind w:left="122" w:right="103" w:firstLine="5"/>
            </w:pPr>
            <w:r>
              <w:rPr>
                <w:spacing w:val="4"/>
              </w:rPr>
              <w:t>责令限期改正，处</w:t>
            </w:r>
            <w:r>
              <w:rPr>
                <w:rFonts w:ascii="宋体" w:hAnsi="宋体" w:eastAsia="宋体" w:cs="宋体"/>
                <w:spacing w:val="4"/>
              </w:rPr>
              <w:t>4</w:t>
            </w:r>
            <w:r>
              <w:rPr>
                <w:spacing w:val="4"/>
              </w:rPr>
              <w:t>万元</w:t>
            </w:r>
            <w:r>
              <w:rPr>
                <w:spacing w:val="6"/>
              </w:rPr>
              <w:t>以上</w:t>
            </w:r>
            <w:r>
              <w:rPr>
                <w:rFonts w:ascii="宋体" w:hAnsi="宋体" w:eastAsia="宋体" w:cs="宋体"/>
                <w:spacing w:val="6"/>
              </w:rPr>
              <w:t>5</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万元以下的罚款</w:t>
            </w:r>
          </w:p>
        </w:tc>
        <w:tc>
          <w:tcPr>
            <w:tcW w:w="811" w:type="dxa"/>
            <w:vMerge w:val="continue"/>
            <w:tcBorders>
              <w:top w:val="nil"/>
            </w:tcBorders>
            <w:vAlign w:val="top"/>
          </w:tcPr>
          <w:p w14:paraId="7149A87F">
            <w:pPr>
              <w:rPr>
                <w:rFonts w:ascii="Arial"/>
                <w:sz w:val="21"/>
              </w:rPr>
            </w:pPr>
          </w:p>
        </w:tc>
      </w:tr>
    </w:tbl>
    <w:p w14:paraId="6C57AF9A">
      <w:pPr>
        <w:pStyle w:val="2"/>
      </w:pPr>
    </w:p>
    <w:p w14:paraId="6AA23C4B">
      <w:pPr>
        <w:sectPr>
          <w:footerReference r:id="rId216" w:type="default"/>
          <w:pgSz w:w="16839" w:h="11906"/>
          <w:pgMar w:top="1012" w:right="821" w:bottom="667" w:left="901" w:header="0" w:footer="388" w:gutter="0"/>
          <w:cols w:space="720" w:num="1"/>
        </w:sectPr>
      </w:pPr>
    </w:p>
    <w:p w14:paraId="6BE2DAA6">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56309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B7384A6">
            <w:pPr>
              <w:spacing w:before="222" w:line="241" w:lineRule="auto"/>
              <w:ind w:left="131"/>
              <w:outlineLvl w:val="0"/>
              <w:rPr>
                <w:rFonts w:ascii="黑体" w:hAnsi="黑体" w:eastAsia="黑体" w:cs="黑体"/>
                <w:sz w:val="28"/>
                <w:szCs w:val="28"/>
              </w:rPr>
            </w:pPr>
            <w:bookmarkStart w:id="711" w:name="bookmark435"/>
            <w:bookmarkEnd w:id="711"/>
            <w:bookmarkStart w:id="712" w:name="bookmark606"/>
            <w:bookmarkEnd w:id="712"/>
            <w:r>
              <w:rPr>
                <w:rFonts w:ascii="黑体" w:hAnsi="黑体" w:eastAsia="黑体" w:cs="黑体"/>
                <w:spacing w:val="-2"/>
                <w:sz w:val="28"/>
                <w:szCs w:val="28"/>
              </w:rPr>
              <w:t>序号</w:t>
            </w:r>
          </w:p>
        </w:tc>
        <w:tc>
          <w:tcPr>
            <w:tcW w:w="1440" w:type="dxa"/>
            <w:vAlign w:val="top"/>
          </w:tcPr>
          <w:p w14:paraId="1B79CA0F">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508292E">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4332A34B">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1CDDBCE1">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2EBC67D">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C52EC81">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49359B3">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18325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7" w:hRule="atLeast"/>
        </w:trPr>
        <w:tc>
          <w:tcPr>
            <w:tcW w:w="818" w:type="dxa"/>
            <w:vMerge w:val="restart"/>
            <w:tcBorders>
              <w:bottom w:val="nil"/>
            </w:tcBorders>
            <w:vAlign w:val="top"/>
          </w:tcPr>
          <w:p w14:paraId="4A905152">
            <w:pPr>
              <w:spacing w:line="244" w:lineRule="auto"/>
              <w:rPr>
                <w:rFonts w:ascii="Arial"/>
                <w:sz w:val="21"/>
              </w:rPr>
            </w:pPr>
          </w:p>
          <w:p w14:paraId="03EC5409">
            <w:pPr>
              <w:spacing w:line="245" w:lineRule="auto"/>
              <w:rPr>
                <w:rFonts w:ascii="Arial"/>
                <w:sz w:val="21"/>
              </w:rPr>
            </w:pPr>
          </w:p>
          <w:p w14:paraId="25BCF9A9">
            <w:pPr>
              <w:spacing w:line="245" w:lineRule="auto"/>
              <w:rPr>
                <w:rFonts w:ascii="Arial"/>
                <w:sz w:val="21"/>
              </w:rPr>
            </w:pPr>
          </w:p>
          <w:p w14:paraId="7A91E305">
            <w:pPr>
              <w:spacing w:line="245" w:lineRule="auto"/>
              <w:rPr>
                <w:rFonts w:ascii="Arial"/>
                <w:sz w:val="21"/>
              </w:rPr>
            </w:pPr>
          </w:p>
          <w:p w14:paraId="779F5DBA">
            <w:pPr>
              <w:spacing w:line="245" w:lineRule="auto"/>
              <w:rPr>
                <w:rFonts w:ascii="Arial"/>
                <w:sz w:val="21"/>
              </w:rPr>
            </w:pPr>
          </w:p>
          <w:p w14:paraId="2F268685">
            <w:pPr>
              <w:spacing w:line="245" w:lineRule="auto"/>
              <w:rPr>
                <w:rFonts w:ascii="Arial"/>
                <w:sz w:val="21"/>
              </w:rPr>
            </w:pPr>
          </w:p>
          <w:p w14:paraId="234C3E27">
            <w:pPr>
              <w:spacing w:line="245" w:lineRule="auto"/>
              <w:rPr>
                <w:rFonts w:ascii="Arial"/>
                <w:sz w:val="21"/>
              </w:rPr>
            </w:pPr>
          </w:p>
          <w:p w14:paraId="79CAFB89">
            <w:pPr>
              <w:spacing w:line="245" w:lineRule="auto"/>
              <w:rPr>
                <w:rFonts w:ascii="Arial"/>
                <w:sz w:val="21"/>
              </w:rPr>
            </w:pPr>
          </w:p>
          <w:p w14:paraId="55F82F49">
            <w:pPr>
              <w:spacing w:line="245" w:lineRule="auto"/>
              <w:rPr>
                <w:rFonts w:ascii="Arial"/>
                <w:sz w:val="21"/>
              </w:rPr>
            </w:pPr>
          </w:p>
          <w:p w14:paraId="0C4EC0F1">
            <w:pPr>
              <w:spacing w:line="245" w:lineRule="auto"/>
              <w:rPr>
                <w:rFonts w:ascii="Arial"/>
                <w:sz w:val="21"/>
              </w:rPr>
            </w:pPr>
          </w:p>
          <w:p w14:paraId="30BAB61E">
            <w:pPr>
              <w:spacing w:line="245" w:lineRule="auto"/>
              <w:rPr>
                <w:rFonts w:ascii="Arial"/>
                <w:sz w:val="21"/>
              </w:rPr>
            </w:pPr>
          </w:p>
          <w:p w14:paraId="59DB54E1">
            <w:pPr>
              <w:spacing w:line="245" w:lineRule="auto"/>
              <w:rPr>
                <w:rFonts w:ascii="Arial"/>
                <w:sz w:val="21"/>
              </w:rPr>
            </w:pPr>
          </w:p>
          <w:p w14:paraId="4B48DA5B">
            <w:pPr>
              <w:spacing w:line="245" w:lineRule="auto"/>
              <w:rPr>
                <w:rFonts w:ascii="Arial"/>
                <w:sz w:val="21"/>
              </w:rPr>
            </w:pPr>
          </w:p>
          <w:p w14:paraId="01B33D83">
            <w:pPr>
              <w:spacing w:line="245" w:lineRule="auto"/>
              <w:rPr>
                <w:rFonts w:ascii="Arial"/>
                <w:sz w:val="21"/>
              </w:rPr>
            </w:pPr>
          </w:p>
          <w:p w14:paraId="3488BB6E">
            <w:pPr>
              <w:spacing w:before="75" w:line="186" w:lineRule="auto"/>
              <w:ind w:left="146"/>
              <w:rPr>
                <w:rFonts w:ascii="仿宋" w:hAnsi="仿宋" w:eastAsia="仿宋" w:cs="仿宋"/>
                <w:sz w:val="23"/>
                <w:szCs w:val="23"/>
              </w:rPr>
            </w:pPr>
            <w:r>
              <w:rPr>
                <w:rFonts w:ascii="仿宋" w:hAnsi="仿宋" w:eastAsia="仿宋" w:cs="仿宋"/>
                <w:sz w:val="23"/>
                <w:szCs w:val="23"/>
              </w:rPr>
              <w:t>214</w:t>
            </w:r>
          </w:p>
        </w:tc>
        <w:tc>
          <w:tcPr>
            <w:tcW w:w="1440" w:type="dxa"/>
            <w:vMerge w:val="restart"/>
            <w:tcBorders>
              <w:bottom w:val="nil"/>
            </w:tcBorders>
            <w:vAlign w:val="top"/>
          </w:tcPr>
          <w:p w14:paraId="208AC975">
            <w:pPr>
              <w:rPr>
                <w:rFonts w:ascii="Arial"/>
                <w:sz w:val="21"/>
              </w:rPr>
            </w:pPr>
          </w:p>
          <w:p w14:paraId="4CFCE769">
            <w:pPr>
              <w:rPr>
                <w:rFonts w:ascii="Arial"/>
                <w:sz w:val="21"/>
              </w:rPr>
            </w:pPr>
          </w:p>
          <w:p w14:paraId="30DB903F">
            <w:pPr>
              <w:rPr>
                <w:rFonts w:ascii="Arial"/>
                <w:sz w:val="21"/>
              </w:rPr>
            </w:pPr>
          </w:p>
          <w:p w14:paraId="732F9ED0">
            <w:pPr>
              <w:rPr>
                <w:rFonts w:ascii="Arial"/>
                <w:sz w:val="21"/>
              </w:rPr>
            </w:pPr>
          </w:p>
          <w:p w14:paraId="1E05B1B4">
            <w:pPr>
              <w:rPr>
                <w:rFonts w:ascii="Arial"/>
                <w:sz w:val="21"/>
              </w:rPr>
            </w:pPr>
          </w:p>
          <w:p w14:paraId="054A0816">
            <w:pPr>
              <w:rPr>
                <w:rFonts w:ascii="Arial"/>
                <w:sz w:val="21"/>
              </w:rPr>
            </w:pPr>
          </w:p>
          <w:p w14:paraId="12B92BB5">
            <w:pPr>
              <w:spacing w:line="241" w:lineRule="auto"/>
              <w:rPr>
                <w:rFonts w:ascii="Arial"/>
                <w:sz w:val="21"/>
              </w:rPr>
            </w:pPr>
          </w:p>
          <w:p w14:paraId="46486905">
            <w:pPr>
              <w:spacing w:line="241" w:lineRule="auto"/>
              <w:rPr>
                <w:rFonts w:ascii="Arial"/>
                <w:sz w:val="21"/>
              </w:rPr>
            </w:pPr>
          </w:p>
          <w:p w14:paraId="38E46B8B">
            <w:pPr>
              <w:spacing w:line="241" w:lineRule="auto"/>
              <w:rPr>
                <w:rFonts w:ascii="Arial"/>
                <w:sz w:val="21"/>
              </w:rPr>
            </w:pPr>
          </w:p>
          <w:p w14:paraId="57A94AFB">
            <w:pPr>
              <w:pStyle w:val="6"/>
              <w:spacing w:before="98" w:line="186" w:lineRule="auto"/>
              <w:ind w:left="105" w:right="108" w:firstLine="14"/>
              <w:jc w:val="both"/>
            </w:pPr>
            <w:bookmarkStart w:id="713" w:name="bookmark437"/>
            <w:bookmarkEnd w:id="713"/>
            <w:r>
              <w:rPr>
                <w:spacing w:val="10"/>
              </w:rPr>
              <w:t>工贸企业未</w:t>
            </w:r>
            <w:r>
              <w:rPr>
                <w:spacing w:val="13"/>
              </w:rPr>
              <w:t>落实有限空</w:t>
            </w:r>
            <w:r>
              <w:rPr>
                <w:spacing w:val="-9"/>
              </w:rPr>
              <w:t>间作业审</w:t>
            </w:r>
            <w:r>
              <w:rPr>
                <w:spacing w:val="5"/>
              </w:rPr>
              <w:t>批，或者作</w:t>
            </w:r>
            <w:r>
              <w:rPr>
                <w:spacing w:val="-3"/>
              </w:rPr>
              <w:t>业未执行</w:t>
            </w:r>
            <w:r>
              <w:rPr>
                <w:spacing w:val="8"/>
              </w:rPr>
              <w:t>“先通风、</w:t>
            </w:r>
            <w:r>
              <w:rPr>
                <w:spacing w:val="13"/>
              </w:rPr>
              <w:t>再检测、后</w:t>
            </w:r>
            <w:r>
              <w:rPr>
                <w:spacing w:val="14"/>
              </w:rPr>
              <w:t>作业”要求</w:t>
            </w:r>
            <w:r>
              <w:rPr>
                <w:spacing w:val="5"/>
              </w:rPr>
              <w:t>的</w:t>
            </w:r>
          </w:p>
        </w:tc>
        <w:tc>
          <w:tcPr>
            <w:tcW w:w="3202" w:type="dxa"/>
            <w:vMerge w:val="restart"/>
            <w:tcBorders>
              <w:bottom w:val="nil"/>
            </w:tcBorders>
            <w:vAlign w:val="top"/>
          </w:tcPr>
          <w:p w14:paraId="1D7EBBD9">
            <w:pPr>
              <w:pStyle w:val="6"/>
              <w:spacing w:before="31" w:line="182" w:lineRule="auto"/>
              <w:ind w:left="118" w:right="111" w:hanging="20"/>
              <w:jc w:val="both"/>
            </w:pPr>
            <w:r>
              <w:rPr>
                <w:spacing w:val="18"/>
              </w:rPr>
              <w:t>【部门规章】《工贸企业有</w:t>
            </w:r>
            <w:r>
              <w:rPr>
                <w:spacing w:val="17"/>
              </w:rPr>
              <w:t>限空间作业安全规定》第七</w:t>
            </w:r>
            <w:r>
              <w:rPr>
                <w:spacing w:val="13"/>
              </w:rPr>
              <w:t>条：工贸企业应当根据有限</w:t>
            </w:r>
            <w:r>
              <w:rPr>
                <w:spacing w:val="10"/>
              </w:rPr>
              <w:t>空间作业安全风险大小，明</w:t>
            </w:r>
          </w:p>
          <w:p w14:paraId="4707CD49">
            <w:pPr>
              <w:pStyle w:val="6"/>
              <w:spacing w:line="182" w:lineRule="auto"/>
              <w:ind w:left="121"/>
              <w:outlineLvl w:val="0"/>
            </w:pPr>
            <w:r>
              <w:rPr>
                <w:spacing w:val="1"/>
              </w:rPr>
              <w:t>确审批要求。</w:t>
            </w:r>
          </w:p>
          <w:p w14:paraId="15BE341C">
            <w:pPr>
              <w:pStyle w:val="6"/>
              <w:spacing w:before="5" w:line="182" w:lineRule="auto"/>
              <w:ind w:left="118" w:right="21" w:firstLine="2"/>
            </w:pPr>
            <w:r>
              <w:rPr>
                <w:spacing w:val="-1"/>
              </w:rPr>
              <w:t>对于存在硫化氢、一氧化碳、</w:t>
            </w:r>
            <w:r>
              <w:rPr>
                <w:spacing w:val="17"/>
              </w:rPr>
              <w:t>二氧化碳等中毒和窒息等风</w:t>
            </w:r>
            <w:r>
              <w:rPr>
                <w:spacing w:val="13"/>
              </w:rPr>
              <w:t>险的有限空间作业，应当由</w:t>
            </w:r>
            <w:r>
              <w:rPr>
                <w:spacing w:val="17"/>
              </w:rPr>
              <w:t>工贸企业主要负责人或者其</w:t>
            </w:r>
            <w:r>
              <w:rPr>
                <w:spacing w:val="13"/>
              </w:rPr>
              <w:t>书面委托的人员进行审批，委托进行审批的，相关责任</w:t>
            </w:r>
            <w:r>
              <w:rPr>
                <w:spacing w:val="17"/>
              </w:rPr>
              <w:t>仍由工贸企业主要负责人承</w:t>
            </w:r>
            <w:r>
              <w:rPr>
                <w:spacing w:val="-7"/>
              </w:rPr>
              <w:t>担。</w:t>
            </w:r>
          </w:p>
          <w:p w14:paraId="4476EC0A">
            <w:pPr>
              <w:pStyle w:val="6"/>
              <w:spacing w:before="2" w:line="182" w:lineRule="auto"/>
              <w:ind w:left="120" w:right="111" w:hanging="2"/>
              <w:jc w:val="both"/>
            </w:pPr>
            <w:r>
              <w:rPr>
                <w:spacing w:val="17"/>
              </w:rPr>
              <w:t>未经工贸企业确定的作业审</w:t>
            </w:r>
            <w:r>
              <w:rPr>
                <w:spacing w:val="12"/>
              </w:rPr>
              <w:t>批人批准，不得实施有限空</w:t>
            </w:r>
            <w:r>
              <w:rPr>
                <w:spacing w:val="-3"/>
              </w:rPr>
              <w:t>间作业。</w:t>
            </w:r>
          </w:p>
          <w:p w14:paraId="1E9086EF">
            <w:pPr>
              <w:pStyle w:val="6"/>
              <w:spacing w:before="8" w:line="179" w:lineRule="auto"/>
              <w:ind w:left="116" w:right="21" w:firstLine="11"/>
              <w:jc w:val="both"/>
            </w:pPr>
            <w:r>
              <w:rPr>
                <w:spacing w:val="12"/>
              </w:rPr>
              <w:t>第十四条第一款：有限空间</w:t>
            </w:r>
            <w:r>
              <w:rPr>
                <w:spacing w:val="5"/>
              </w:rPr>
              <w:t>作业应当严格遵守“先通风、</w:t>
            </w:r>
            <w:r>
              <w:rPr>
                <w:spacing w:val="17"/>
              </w:rPr>
              <w:t>再检测、后作业”要求。存</w:t>
            </w:r>
            <w:r>
              <w:rPr>
                <w:spacing w:val="13"/>
              </w:rPr>
              <w:t>在爆炸风险的，应当采取消除或者控制措施，相关电气</w:t>
            </w:r>
            <w:r>
              <w:rPr>
                <w:spacing w:val="17"/>
              </w:rPr>
              <w:t>设施设备、照明灯具、应急救援装备等应当符合防爆安</w:t>
            </w:r>
            <w:r>
              <w:rPr>
                <w:spacing w:val="-2"/>
              </w:rPr>
              <w:t>全要求。</w:t>
            </w:r>
          </w:p>
        </w:tc>
        <w:tc>
          <w:tcPr>
            <w:tcW w:w="2859" w:type="dxa"/>
            <w:vMerge w:val="restart"/>
            <w:tcBorders>
              <w:bottom w:val="nil"/>
            </w:tcBorders>
            <w:vAlign w:val="top"/>
          </w:tcPr>
          <w:p w14:paraId="010D0E87">
            <w:pPr>
              <w:pStyle w:val="6"/>
              <w:spacing w:before="37" w:line="184" w:lineRule="auto"/>
              <w:ind w:left="97" w:right="97"/>
            </w:pPr>
            <w:r>
              <w:rPr>
                <w:spacing w:val="10"/>
              </w:rPr>
              <w:t>【部门规章】《工贸企业</w:t>
            </w:r>
            <w:r>
              <w:rPr>
                <w:spacing w:val="11"/>
              </w:rPr>
              <w:t>有限空间作业安全规定》</w:t>
            </w:r>
            <w:r>
              <w:rPr>
                <w:spacing w:val="10"/>
              </w:rPr>
              <w:t>第二十一条第三项：违反</w:t>
            </w:r>
            <w:r>
              <w:rPr>
                <w:spacing w:val="1"/>
              </w:rPr>
              <w:t>本规定，有下列情形之一</w:t>
            </w:r>
            <w:r>
              <w:rPr>
                <w:spacing w:val="10"/>
              </w:rPr>
              <w:t>的，责令限期改正，对工</w:t>
            </w:r>
            <w:r>
              <w:rPr>
                <w:spacing w:val="6"/>
              </w:rPr>
              <w:t>贸企业处</w:t>
            </w:r>
            <w:r>
              <w:rPr>
                <w:rFonts w:ascii="宋体" w:hAnsi="宋体" w:eastAsia="宋体" w:cs="宋体"/>
                <w:spacing w:val="6"/>
              </w:rPr>
              <w:t>5</w:t>
            </w:r>
            <w:r>
              <w:rPr>
                <w:spacing w:val="6"/>
              </w:rPr>
              <w:t>万元以下的罚</w:t>
            </w:r>
            <w:r>
              <w:rPr>
                <w:spacing w:val="10"/>
              </w:rPr>
              <w:t>款，对其直接负责的主管人员和其他直接责任人员</w:t>
            </w:r>
            <w:r>
              <w:rPr>
                <w:spacing w:val="16"/>
              </w:rPr>
              <w:t>处</w:t>
            </w:r>
            <w:r>
              <w:rPr>
                <w:rFonts w:ascii="宋体" w:hAnsi="宋体" w:eastAsia="宋体" w:cs="宋体"/>
                <w:spacing w:val="16"/>
              </w:rPr>
              <w:t>1</w:t>
            </w:r>
            <w:r>
              <w:rPr>
                <w:spacing w:val="16"/>
              </w:rPr>
              <w:t>万元以下的罚款：</w:t>
            </w:r>
            <w:r>
              <w:rPr>
                <w:spacing w:val="10"/>
              </w:rPr>
              <w:t>（三）未落实有限空间作</w:t>
            </w:r>
            <w:r>
              <w:rPr>
                <w:spacing w:val="3"/>
              </w:rPr>
              <w:t>业审批，或者作业未执行</w:t>
            </w:r>
            <w:r>
              <w:rPr>
                <w:spacing w:val="10"/>
              </w:rPr>
              <w:t>“先通风、再检测、后作</w:t>
            </w:r>
            <w:r>
              <w:rPr>
                <w:spacing w:val="3"/>
              </w:rPr>
              <w:t>业”要求的；</w:t>
            </w:r>
          </w:p>
        </w:tc>
        <w:tc>
          <w:tcPr>
            <w:tcW w:w="803" w:type="dxa"/>
            <w:vAlign w:val="top"/>
          </w:tcPr>
          <w:p w14:paraId="4024E474">
            <w:pPr>
              <w:spacing w:line="252" w:lineRule="auto"/>
              <w:rPr>
                <w:rFonts w:ascii="Arial"/>
                <w:sz w:val="21"/>
              </w:rPr>
            </w:pPr>
          </w:p>
          <w:p w14:paraId="5FC3905F">
            <w:pPr>
              <w:spacing w:line="252" w:lineRule="auto"/>
              <w:rPr>
                <w:rFonts w:ascii="Arial"/>
                <w:sz w:val="21"/>
              </w:rPr>
            </w:pPr>
          </w:p>
          <w:p w14:paraId="7377BEED">
            <w:pPr>
              <w:spacing w:line="253" w:lineRule="auto"/>
              <w:rPr>
                <w:rFonts w:ascii="Arial"/>
                <w:sz w:val="21"/>
              </w:rPr>
            </w:pPr>
          </w:p>
          <w:p w14:paraId="55BECBC6">
            <w:pPr>
              <w:spacing w:line="253" w:lineRule="auto"/>
              <w:rPr>
                <w:rFonts w:ascii="Arial"/>
                <w:sz w:val="21"/>
              </w:rPr>
            </w:pPr>
          </w:p>
          <w:p w14:paraId="141BC3FF">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6B841DE7">
            <w:pPr>
              <w:spacing w:line="324" w:lineRule="auto"/>
              <w:rPr>
                <w:rFonts w:ascii="Arial"/>
                <w:sz w:val="21"/>
              </w:rPr>
            </w:pPr>
          </w:p>
          <w:p w14:paraId="51D5FC34">
            <w:pPr>
              <w:spacing w:line="325" w:lineRule="auto"/>
              <w:rPr>
                <w:rFonts w:ascii="Arial"/>
                <w:sz w:val="21"/>
              </w:rPr>
            </w:pPr>
          </w:p>
          <w:p w14:paraId="28AFAEDD">
            <w:pPr>
              <w:pStyle w:val="6"/>
              <w:spacing w:before="98" w:line="191" w:lineRule="auto"/>
              <w:ind w:left="118"/>
              <w:jc w:val="both"/>
            </w:pPr>
            <w:r>
              <w:rPr>
                <w:spacing w:val="12"/>
              </w:rPr>
              <w:t>作业未执行“先通</w:t>
            </w:r>
            <w:r>
              <w:rPr>
                <w:spacing w:val="-11"/>
                <w:w w:val="98"/>
              </w:rPr>
              <w:t>风、再检测、后作业”</w:t>
            </w:r>
            <w:r>
              <w:rPr>
                <w:spacing w:val="-6"/>
              </w:rPr>
              <w:t>要求的</w:t>
            </w:r>
          </w:p>
        </w:tc>
        <w:tc>
          <w:tcPr>
            <w:tcW w:w="2894" w:type="dxa"/>
            <w:vAlign w:val="top"/>
          </w:tcPr>
          <w:p w14:paraId="4EC307CB">
            <w:pPr>
              <w:spacing w:line="348" w:lineRule="auto"/>
              <w:rPr>
                <w:rFonts w:ascii="Arial"/>
                <w:sz w:val="21"/>
              </w:rPr>
            </w:pPr>
          </w:p>
          <w:p w14:paraId="587B86A7">
            <w:pPr>
              <w:pStyle w:val="6"/>
              <w:spacing w:before="98" w:line="188" w:lineRule="auto"/>
              <w:ind w:left="127" w:right="103"/>
              <w:jc w:val="both"/>
            </w:pPr>
            <w:r>
              <w:rPr>
                <w:spacing w:val="4"/>
              </w:rPr>
              <w:t>责令限期改正，处</w:t>
            </w:r>
            <w:r>
              <w:rPr>
                <w:rFonts w:ascii="宋体" w:hAnsi="宋体" w:eastAsia="宋体" w:cs="宋体"/>
                <w:spacing w:val="4"/>
              </w:rPr>
              <w:t>2</w:t>
            </w:r>
            <w:r>
              <w:rPr>
                <w:spacing w:val="4"/>
              </w:rPr>
              <w:t>万元</w:t>
            </w:r>
            <w:r>
              <w:rPr>
                <w:spacing w:val="7"/>
              </w:rPr>
              <w:t>以下的罚款，对其直接负</w:t>
            </w:r>
            <w:r>
              <w:rPr>
                <w:spacing w:val="10"/>
              </w:rPr>
              <w:t>责的主管人员和其他直接</w:t>
            </w:r>
            <w:r>
              <w:rPr>
                <w:spacing w:val="5"/>
              </w:rPr>
              <w:t>责任人员处</w:t>
            </w:r>
            <w:r>
              <w:rPr>
                <w:rFonts w:ascii="宋体" w:hAnsi="宋体" w:eastAsia="宋体" w:cs="宋体"/>
                <w:spacing w:val="5"/>
              </w:rPr>
              <w:t>1</w:t>
            </w:r>
            <w:r>
              <w:rPr>
                <w:spacing w:val="5"/>
              </w:rPr>
              <w:t>万元以下的</w:t>
            </w:r>
            <w:r>
              <w:rPr>
                <w:spacing w:val="-1"/>
              </w:rPr>
              <w:t>罚款</w:t>
            </w:r>
          </w:p>
        </w:tc>
        <w:tc>
          <w:tcPr>
            <w:tcW w:w="811" w:type="dxa"/>
            <w:vMerge w:val="restart"/>
            <w:tcBorders>
              <w:bottom w:val="nil"/>
            </w:tcBorders>
            <w:vAlign w:val="top"/>
          </w:tcPr>
          <w:p w14:paraId="351894E6">
            <w:pPr>
              <w:rPr>
                <w:rFonts w:ascii="Arial"/>
                <w:sz w:val="21"/>
              </w:rPr>
            </w:pPr>
          </w:p>
        </w:tc>
      </w:tr>
      <w:tr w14:paraId="632E7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1" w:hRule="atLeast"/>
        </w:trPr>
        <w:tc>
          <w:tcPr>
            <w:tcW w:w="818" w:type="dxa"/>
            <w:vMerge w:val="continue"/>
            <w:tcBorders>
              <w:top w:val="nil"/>
              <w:bottom w:val="nil"/>
            </w:tcBorders>
            <w:vAlign w:val="top"/>
          </w:tcPr>
          <w:p w14:paraId="02A5F628">
            <w:pPr>
              <w:rPr>
                <w:rFonts w:ascii="Arial"/>
                <w:sz w:val="21"/>
              </w:rPr>
            </w:pPr>
          </w:p>
        </w:tc>
        <w:tc>
          <w:tcPr>
            <w:tcW w:w="1440" w:type="dxa"/>
            <w:vMerge w:val="continue"/>
            <w:tcBorders>
              <w:top w:val="nil"/>
              <w:bottom w:val="nil"/>
            </w:tcBorders>
            <w:vAlign w:val="top"/>
          </w:tcPr>
          <w:p w14:paraId="3EA12BA0">
            <w:pPr>
              <w:rPr>
                <w:rFonts w:ascii="Arial"/>
                <w:sz w:val="21"/>
              </w:rPr>
            </w:pPr>
          </w:p>
        </w:tc>
        <w:tc>
          <w:tcPr>
            <w:tcW w:w="3202" w:type="dxa"/>
            <w:vMerge w:val="continue"/>
            <w:tcBorders>
              <w:top w:val="nil"/>
              <w:bottom w:val="nil"/>
            </w:tcBorders>
            <w:vAlign w:val="top"/>
          </w:tcPr>
          <w:p w14:paraId="1689905F">
            <w:pPr>
              <w:rPr>
                <w:rFonts w:ascii="Arial"/>
                <w:sz w:val="21"/>
              </w:rPr>
            </w:pPr>
          </w:p>
        </w:tc>
        <w:tc>
          <w:tcPr>
            <w:tcW w:w="2859" w:type="dxa"/>
            <w:vMerge w:val="continue"/>
            <w:tcBorders>
              <w:top w:val="nil"/>
              <w:bottom w:val="nil"/>
            </w:tcBorders>
            <w:vAlign w:val="top"/>
          </w:tcPr>
          <w:p w14:paraId="3825EAF8">
            <w:pPr>
              <w:rPr>
                <w:rFonts w:ascii="Arial"/>
                <w:sz w:val="21"/>
              </w:rPr>
            </w:pPr>
          </w:p>
        </w:tc>
        <w:tc>
          <w:tcPr>
            <w:tcW w:w="803" w:type="dxa"/>
            <w:vAlign w:val="top"/>
          </w:tcPr>
          <w:p w14:paraId="6583C44C">
            <w:pPr>
              <w:spacing w:line="267" w:lineRule="auto"/>
              <w:rPr>
                <w:rFonts w:ascii="Arial"/>
                <w:sz w:val="21"/>
              </w:rPr>
            </w:pPr>
          </w:p>
          <w:p w14:paraId="378170E1">
            <w:pPr>
              <w:spacing w:line="267" w:lineRule="auto"/>
              <w:rPr>
                <w:rFonts w:ascii="Arial"/>
                <w:sz w:val="21"/>
              </w:rPr>
            </w:pPr>
          </w:p>
          <w:p w14:paraId="3EC9B7E8">
            <w:pPr>
              <w:spacing w:line="267" w:lineRule="auto"/>
              <w:rPr>
                <w:rFonts w:ascii="Arial"/>
                <w:sz w:val="21"/>
              </w:rPr>
            </w:pPr>
          </w:p>
          <w:p w14:paraId="799C4E27">
            <w:pPr>
              <w:spacing w:line="268" w:lineRule="auto"/>
              <w:rPr>
                <w:rFonts w:ascii="Arial"/>
                <w:sz w:val="21"/>
              </w:rPr>
            </w:pPr>
          </w:p>
          <w:p w14:paraId="2AAB6290">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7EA1A1C">
            <w:pPr>
              <w:spacing w:line="283" w:lineRule="auto"/>
              <w:rPr>
                <w:rFonts w:ascii="Arial"/>
                <w:sz w:val="21"/>
              </w:rPr>
            </w:pPr>
          </w:p>
          <w:p w14:paraId="41FAC17B">
            <w:pPr>
              <w:spacing w:line="283" w:lineRule="auto"/>
              <w:rPr>
                <w:rFonts w:ascii="Arial"/>
                <w:sz w:val="21"/>
              </w:rPr>
            </w:pPr>
          </w:p>
          <w:p w14:paraId="52A01360">
            <w:pPr>
              <w:spacing w:line="284" w:lineRule="auto"/>
              <w:rPr>
                <w:rFonts w:ascii="Arial"/>
                <w:sz w:val="21"/>
              </w:rPr>
            </w:pPr>
          </w:p>
          <w:p w14:paraId="66788DA9">
            <w:pPr>
              <w:pStyle w:val="6"/>
              <w:spacing w:before="99" w:line="196" w:lineRule="auto"/>
              <w:ind w:left="127" w:right="109" w:hanging="9"/>
            </w:pPr>
            <w:r>
              <w:rPr>
                <w:spacing w:val="26"/>
              </w:rPr>
              <w:t>未落实有限空间作</w:t>
            </w:r>
            <w:r>
              <w:rPr>
                <w:spacing w:val="3"/>
              </w:rPr>
              <w:t>业审批的</w:t>
            </w:r>
          </w:p>
        </w:tc>
        <w:tc>
          <w:tcPr>
            <w:tcW w:w="2894" w:type="dxa"/>
            <w:vAlign w:val="top"/>
          </w:tcPr>
          <w:p w14:paraId="153D11C8">
            <w:pPr>
              <w:spacing w:line="399" w:lineRule="auto"/>
              <w:rPr>
                <w:rFonts w:ascii="Arial"/>
                <w:sz w:val="21"/>
              </w:rPr>
            </w:pPr>
          </w:p>
          <w:p w14:paraId="4BF8D076">
            <w:pPr>
              <w:pStyle w:val="6"/>
              <w:spacing w:before="99" w:line="188" w:lineRule="auto"/>
              <w:ind w:left="122" w:right="103" w:firstLine="5"/>
            </w:pPr>
            <w:r>
              <w:rPr>
                <w:spacing w:val="4"/>
              </w:rPr>
              <w:t>责令限期改正，处</w:t>
            </w:r>
            <w:r>
              <w:rPr>
                <w:rFonts w:ascii="宋体" w:hAnsi="宋体" w:eastAsia="宋体" w:cs="宋体"/>
                <w:spacing w:val="4"/>
              </w:rPr>
              <w:t>2</w:t>
            </w:r>
            <w:r>
              <w:rPr>
                <w:spacing w:val="4"/>
              </w:rPr>
              <w:t>万元</w:t>
            </w:r>
            <w:r>
              <w:rPr>
                <w:spacing w:val="6"/>
              </w:rPr>
              <w:t>以上</w:t>
            </w:r>
            <w:r>
              <w:rPr>
                <w:rFonts w:ascii="宋体" w:hAnsi="宋体" w:eastAsia="宋体" w:cs="宋体"/>
                <w:spacing w:val="6"/>
              </w:rPr>
              <w:t>4</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万元以下的罚款</w:t>
            </w:r>
          </w:p>
        </w:tc>
        <w:tc>
          <w:tcPr>
            <w:tcW w:w="811" w:type="dxa"/>
            <w:vMerge w:val="continue"/>
            <w:tcBorders>
              <w:top w:val="nil"/>
              <w:bottom w:val="nil"/>
            </w:tcBorders>
            <w:vAlign w:val="top"/>
          </w:tcPr>
          <w:p w14:paraId="1B2CD34C">
            <w:pPr>
              <w:rPr>
                <w:rFonts w:ascii="Arial"/>
                <w:sz w:val="21"/>
              </w:rPr>
            </w:pPr>
          </w:p>
        </w:tc>
      </w:tr>
      <w:tr w14:paraId="6510B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3" w:hRule="atLeast"/>
        </w:trPr>
        <w:tc>
          <w:tcPr>
            <w:tcW w:w="818" w:type="dxa"/>
            <w:vMerge w:val="continue"/>
            <w:tcBorders>
              <w:top w:val="nil"/>
            </w:tcBorders>
            <w:vAlign w:val="top"/>
          </w:tcPr>
          <w:p w14:paraId="7136C555">
            <w:pPr>
              <w:rPr>
                <w:rFonts w:ascii="Arial"/>
                <w:sz w:val="21"/>
              </w:rPr>
            </w:pPr>
          </w:p>
        </w:tc>
        <w:tc>
          <w:tcPr>
            <w:tcW w:w="1440" w:type="dxa"/>
            <w:vMerge w:val="continue"/>
            <w:tcBorders>
              <w:top w:val="nil"/>
            </w:tcBorders>
            <w:vAlign w:val="top"/>
          </w:tcPr>
          <w:p w14:paraId="169BA326">
            <w:pPr>
              <w:rPr>
                <w:rFonts w:ascii="Arial"/>
                <w:sz w:val="21"/>
              </w:rPr>
            </w:pPr>
          </w:p>
        </w:tc>
        <w:tc>
          <w:tcPr>
            <w:tcW w:w="3202" w:type="dxa"/>
            <w:vMerge w:val="continue"/>
            <w:tcBorders>
              <w:top w:val="nil"/>
            </w:tcBorders>
            <w:vAlign w:val="top"/>
          </w:tcPr>
          <w:p w14:paraId="1DE2EF15">
            <w:pPr>
              <w:rPr>
                <w:rFonts w:ascii="Arial"/>
                <w:sz w:val="21"/>
              </w:rPr>
            </w:pPr>
          </w:p>
        </w:tc>
        <w:tc>
          <w:tcPr>
            <w:tcW w:w="2859" w:type="dxa"/>
            <w:vMerge w:val="continue"/>
            <w:tcBorders>
              <w:top w:val="nil"/>
            </w:tcBorders>
            <w:vAlign w:val="top"/>
          </w:tcPr>
          <w:p w14:paraId="69C100BC">
            <w:pPr>
              <w:rPr>
                <w:rFonts w:ascii="Arial"/>
                <w:sz w:val="21"/>
              </w:rPr>
            </w:pPr>
          </w:p>
        </w:tc>
        <w:tc>
          <w:tcPr>
            <w:tcW w:w="803" w:type="dxa"/>
            <w:vAlign w:val="top"/>
          </w:tcPr>
          <w:p w14:paraId="3100D2DB">
            <w:pPr>
              <w:spacing w:line="259" w:lineRule="auto"/>
              <w:rPr>
                <w:rFonts w:ascii="Arial"/>
                <w:sz w:val="21"/>
              </w:rPr>
            </w:pPr>
          </w:p>
          <w:p w14:paraId="3795E8B0">
            <w:pPr>
              <w:spacing w:line="259" w:lineRule="auto"/>
              <w:rPr>
                <w:rFonts w:ascii="Arial"/>
                <w:sz w:val="21"/>
              </w:rPr>
            </w:pPr>
          </w:p>
          <w:p w14:paraId="6E20945B">
            <w:pPr>
              <w:spacing w:line="260" w:lineRule="auto"/>
              <w:rPr>
                <w:rFonts w:ascii="Arial"/>
                <w:sz w:val="21"/>
              </w:rPr>
            </w:pPr>
          </w:p>
          <w:p w14:paraId="5449DAEE">
            <w:pPr>
              <w:spacing w:line="260" w:lineRule="auto"/>
              <w:rPr>
                <w:rFonts w:ascii="Arial"/>
                <w:sz w:val="21"/>
              </w:rPr>
            </w:pPr>
          </w:p>
          <w:p w14:paraId="722C1A93">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2779DAB">
            <w:pPr>
              <w:spacing w:line="261" w:lineRule="auto"/>
              <w:rPr>
                <w:rFonts w:ascii="Arial"/>
                <w:sz w:val="21"/>
              </w:rPr>
            </w:pPr>
          </w:p>
          <w:p w14:paraId="54E7782A">
            <w:pPr>
              <w:spacing w:line="262" w:lineRule="auto"/>
              <w:rPr>
                <w:rFonts w:ascii="Arial"/>
                <w:sz w:val="21"/>
              </w:rPr>
            </w:pPr>
          </w:p>
          <w:p w14:paraId="53C8AF93">
            <w:pPr>
              <w:pStyle w:val="6"/>
              <w:spacing w:before="99" w:line="189" w:lineRule="auto"/>
              <w:ind w:left="118" w:right="17"/>
              <w:jc w:val="both"/>
            </w:pPr>
            <w:r>
              <w:rPr>
                <w:spacing w:val="26"/>
              </w:rPr>
              <w:t>未落实有限空间作</w:t>
            </w:r>
            <w:r>
              <w:rPr>
                <w:spacing w:val="-3"/>
              </w:rPr>
              <w:t>业审批，且作业未执</w:t>
            </w:r>
            <w:r>
              <w:rPr>
                <w:spacing w:val="-10"/>
                <w:w w:val="97"/>
              </w:rPr>
              <w:t>行“先通风、再检测、</w:t>
            </w:r>
            <w:r>
              <w:rPr>
                <w:spacing w:val="7"/>
              </w:rPr>
              <w:t>后作业”要求的</w:t>
            </w:r>
          </w:p>
        </w:tc>
        <w:tc>
          <w:tcPr>
            <w:tcW w:w="2894" w:type="dxa"/>
            <w:vAlign w:val="top"/>
          </w:tcPr>
          <w:p w14:paraId="02A8A01D">
            <w:pPr>
              <w:spacing w:line="372" w:lineRule="auto"/>
              <w:rPr>
                <w:rFonts w:ascii="Arial"/>
                <w:sz w:val="21"/>
              </w:rPr>
            </w:pPr>
          </w:p>
          <w:p w14:paraId="1E4FDC89">
            <w:pPr>
              <w:pStyle w:val="6"/>
              <w:spacing w:before="99" w:line="188" w:lineRule="auto"/>
              <w:ind w:left="122" w:right="103" w:firstLine="5"/>
            </w:pPr>
            <w:r>
              <w:rPr>
                <w:spacing w:val="4"/>
              </w:rPr>
              <w:t>责令限期改正，处</w:t>
            </w:r>
            <w:r>
              <w:rPr>
                <w:rFonts w:ascii="宋体" w:hAnsi="宋体" w:eastAsia="宋体" w:cs="宋体"/>
                <w:spacing w:val="4"/>
              </w:rPr>
              <w:t>4</w:t>
            </w:r>
            <w:r>
              <w:rPr>
                <w:spacing w:val="4"/>
              </w:rPr>
              <w:t>万元</w:t>
            </w:r>
            <w:r>
              <w:rPr>
                <w:spacing w:val="6"/>
              </w:rPr>
              <w:t>以上</w:t>
            </w:r>
            <w:r>
              <w:rPr>
                <w:rFonts w:ascii="宋体" w:hAnsi="宋体" w:eastAsia="宋体" w:cs="宋体"/>
                <w:spacing w:val="6"/>
              </w:rPr>
              <w:t>5</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万元以下的罚款</w:t>
            </w:r>
          </w:p>
        </w:tc>
        <w:tc>
          <w:tcPr>
            <w:tcW w:w="811" w:type="dxa"/>
            <w:vMerge w:val="continue"/>
            <w:tcBorders>
              <w:top w:val="nil"/>
            </w:tcBorders>
            <w:vAlign w:val="top"/>
          </w:tcPr>
          <w:p w14:paraId="06D85924">
            <w:pPr>
              <w:rPr>
                <w:rFonts w:ascii="Arial"/>
                <w:sz w:val="21"/>
              </w:rPr>
            </w:pPr>
          </w:p>
        </w:tc>
      </w:tr>
      <w:tr w14:paraId="2F179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4" w:hRule="atLeast"/>
        </w:trPr>
        <w:tc>
          <w:tcPr>
            <w:tcW w:w="818" w:type="dxa"/>
            <w:vAlign w:val="top"/>
          </w:tcPr>
          <w:p w14:paraId="1452185B">
            <w:pPr>
              <w:spacing w:line="349" w:lineRule="auto"/>
              <w:rPr>
                <w:rFonts w:ascii="Arial"/>
                <w:sz w:val="21"/>
              </w:rPr>
            </w:pPr>
          </w:p>
          <w:p w14:paraId="502F5188">
            <w:pPr>
              <w:spacing w:line="350" w:lineRule="auto"/>
              <w:rPr>
                <w:rFonts w:ascii="Arial"/>
                <w:sz w:val="21"/>
              </w:rPr>
            </w:pPr>
          </w:p>
          <w:p w14:paraId="2A71DE69">
            <w:pPr>
              <w:spacing w:before="75" w:line="186" w:lineRule="auto"/>
              <w:ind w:left="146"/>
              <w:rPr>
                <w:rFonts w:ascii="仿宋" w:hAnsi="仿宋" w:eastAsia="仿宋" w:cs="仿宋"/>
                <w:sz w:val="23"/>
                <w:szCs w:val="23"/>
              </w:rPr>
            </w:pPr>
            <w:r>
              <w:rPr>
                <w:rFonts w:ascii="仿宋" w:hAnsi="仿宋" w:eastAsia="仿宋" w:cs="仿宋"/>
                <w:sz w:val="23"/>
                <w:szCs w:val="23"/>
              </w:rPr>
              <w:t>215</w:t>
            </w:r>
          </w:p>
        </w:tc>
        <w:tc>
          <w:tcPr>
            <w:tcW w:w="1440" w:type="dxa"/>
            <w:vAlign w:val="top"/>
          </w:tcPr>
          <w:p w14:paraId="26C6B8BA">
            <w:pPr>
              <w:pStyle w:val="6"/>
              <w:spacing w:before="127" w:line="188" w:lineRule="auto"/>
              <w:ind w:left="112" w:right="108" w:firstLine="8"/>
              <w:jc w:val="both"/>
            </w:pPr>
            <w:r>
              <w:rPr>
                <w:spacing w:val="11"/>
              </w:rPr>
              <w:t>工贸企业有</w:t>
            </w:r>
            <w:r>
              <w:rPr>
                <w:spacing w:val="12"/>
              </w:rPr>
              <w:t>限空间作业时未按要求进行通风和</w:t>
            </w:r>
            <w:r>
              <w:rPr>
                <w:spacing w:val="7"/>
              </w:rPr>
              <w:t>气体检测的</w:t>
            </w:r>
          </w:p>
        </w:tc>
        <w:tc>
          <w:tcPr>
            <w:tcW w:w="3202" w:type="dxa"/>
            <w:vAlign w:val="top"/>
          </w:tcPr>
          <w:p w14:paraId="12CD83CB">
            <w:pPr>
              <w:pStyle w:val="6"/>
              <w:spacing w:before="30" w:line="188" w:lineRule="auto"/>
              <w:ind w:left="123" w:right="111" w:hanging="25"/>
            </w:pPr>
            <w:r>
              <w:rPr>
                <w:spacing w:val="18"/>
              </w:rPr>
              <w:t>【部门规章】《工贸企业有</w:t>
            </w:r>
            <w:r>
              <w:rPr>
                <w:spacing w:val="16"/>
              </w:rPr>
              <w:t>限空间作业安全规定》第十</w:t>
            </w:r>
            <w:r>
              <w:rPr>
                <w:spacing w:val="9"/>
              </w:rPr>
              <w:t>五条第三款：作业过程中，</w:t>
            </w:r>
            <w:r>
              <w:rPr>
                <w:spacing w:val="16"/>
              </w:rPr>
              <w:t>工贸企业应当安排专人对作业区域持续进行通风和气体</w:t>
            </w:r>
          </w:p>
        </w:tc>
        <w:tc>
          <w:tcPr>
            <w:tcW w:w="2859" w:type="dxa"/>
            <w:vAlign w:val="top"/>
          </w:tcPr>
          <w:p w14:paraId="030B61B3">
            <w:pPr>
              <w:pStyle w:val="6"/>
              <w:spacing w:before="30" w:line="188" w:lineRule="auto"/>
              <w:ind w:left="116" w:right="97" w:hanging="19"/>
              <w:jc w:val="both"/>
            </w:pPr>
            <w:r>
              <w:rPr>
                <w:spacing w:val="10"/>
              </w:rPr>
              <w:t>【部门规章】《工贸企业</w:t>
            </w:r>
            <w:r>
              <w:rPr>
                <w:spacing w:val="9"/>
              </w:rPr>
              <w:t>有限空间作业安全规定》</w:t>
            </w:r>
            <w:r>
              <w:rPr>
                <w:spacing w:val="8"/>
              </w:rPr>
              <w:t>第二十一条第四项：违反</w:t>
            </w:r>
            <w:r>
              <w:rPr>
                <w:spacing w:val="1"/>
              </w:rPr>
              <w:t>本规定，有下列情形之一</w:t>
            </w:r>
            <w:r>
              <w:rPr>
                <w:spacing w:val="8"/>
              </w:rPr>
              <w:t>的，责令限期改正，对工</w:t>
            </w:r>
          </w:p>
        </w:tc>
        <w:tc>
          <w:tcPr>
            <w:tcW w:w="803" w:type="dxa"/>
            <w:vAlign w:val="top"/>
          </w:tcPr>
          <w:p w14:paraId="3BDA9A2B">
            <w:pPr>
              <w:spacing w:line="347" w:lineRule="auto"/>
              <w:rPr>
                <w:rFonts w:ascii="Arial"/>
                <w:sz w:val="21"/>
              </w:rPr>
            </w:pPr>
          </w:p>
          <w:p w14:paraId="7C01D4FD">
            <w:pPr>
              <w:spacing w:line="347" w:lineRule="auto"/>
              <w:rPr>
                <w:rFonts w:ascii="Arial"/>
                <w:sz w:val="21"/>
              </w:rPr>
            </w:pPr>
          </w:p>
          <w:p w14:paraId="585F5F49">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617326A">
            <w:pPr>
              <w:spacing w:line="478" w:lineRule="auto"/>
              <w:rPr>
                <w:rFonts w:ascii="Arial"/>
                <w:sz w:val="21"/>
              </w:rPr>
            </w:pPr>
          </w:p>
          <w:p w14:paraId="39E63FFF">
            <w:pPr>
              <w:pStyle w:val="6"/>
              <w:spacing w:before="98" w:line="196" w:lineRule="auto"/>
              <w:ind w:left="119" w:right="109" w:hanging="1"/>
            </w:pPr>
            <w:r>
              <w:rPr>
                <w:spacing w:val="26"/>
              </w:rPr>
              <w:t>未按要求进行通风</w:t>
            </w:r>
            <w:r>
              <w:rPr>
                <w:spacing w:val="1"/>
              </w:rPr>
              <w:t>和气体检测</w:t>
            </w:r>
            <w:r>
              <w:rPr>
                <w:rFonts w:ascii="宋体" w:hAnsi="宋体" w:eastAsia="宋体" w:cs="宋体"/>
                <w:spacing w:val="1"/>
              </w:rPr>
              <w:t>1</w:t>
            </w:r>
            <w:r>
              <w:rPr>
                <w:spacing w:val="1"/>
              </w:rPr>
              <w:t>次的</w:t>
            </w:r>
          </w:p>
        </w:tc>
        <w:tc>
          <w:tcPr>
            <w:tcW w:w="2894" w:type="dxa"/>
            <w:vAlign w:val="top"/>
          </w:tcPr>
          <w:p w14:paraId="104DCADE">
            <w:pPr>
              <w:pStyle w:val="6"/>
              <w:spacing w:before="128" w:line="188" w:lineRule="auto"/>
              <w:ind w:left="127" w:right="103"/>
              <w:jc w:val="both"/>
            </w:pPr>
            <w:r>
              <w:rPr>
                <w:spacing w:val="4"/>
              </w:rPr>
              <w:t>责令限期改正，处</w:t>
            </w:r>
            <w:r>
              <w:rPr>
                <w:rFonts w:ascii="宋体" w:hAnsi="宋体" w:eastAsia="宋体" w:cs="宋体"/>
                <w:spacing w:val="4"/>
              </w:rPr>
              <w:t>2</w:t>
            </w:r>
            <w:r>
              <w:rPr>
                <w:spacing w:val="4"/>
              </w:rPr>
              <w:t>万元</w:t>
            </w:r>
            <w:r>
              <w:rPr>
                <w:spacing w:val="7"/>
              </w:rPr>
              <w:t>以下的罚款，对其直接负</w:t>
            </w:r>
            <w:r>
              <w:rPr>
                <w:spacing w:val="10"/>
              </w:rPr>
              <w:t>责的主管人员和其他直接</w:t>
            </w:r>
            <w:r>
              <w:rPr>
                <w:spacing w:val="5"/>
              </w:rPr>
              <w:t>责任人员处</w:t>
            </w:r>
            <w:r>
              <w:rPr>
                <w:rFonts w:ascii="宋体" w:hAnsi="宋体" w:eastAsia="宋体" w:cs="宋体"/>
                <w:spacing w:val="5"/>
              </w:rPr>
              <w:t>1</w:t>
            </w:r>
            <w:r>
              <w:rPr>
                <w:spacing w:val="5"/>
              </w:rPr>
              <w:t>万元以下的</w:t>
            </w:r>
            <w:r>
              <w:rPr>
                <w:spacing w:val="-1"/>
              </w:rPr>
              <w:t>罚款</w:t>
            </w:r>
          </w:p>
        </w:tc>
        <w:tc>
          <w:tcPr>
            <w:tcW w:w="811" w:type="dxa"/>
            <w:vAlign w:val="top"/>
          </w:tcPr>
          <w:p w14:paraId="4353E336">
            <w:pPr>
              <w:rPr>
                <w:rFonts w:ascii="Arial"/>
                <w:sz w:val="21"/>
              </w:rPr>
            </w:pPr>
          </w:p>
        </w:tc>
      </w:tr>
    </w:tbl>
    <w:p w14:paraId="7A120CDF">
      <w:pPr>
        <w:pStyle w:val="2"/>
      </w:pPr>
    </w:p>
    <w:p w14:paraId="03EC3FCA">
      <w:pPr>
        <w:sectPr>
          <w:footerReference r:id="rId217" w:type="default"/>
          <w:pgSz w:w="16839" w:h="11906"/>
          <w:pgMar w:top="1012" w:right="821" w:bottom="667" w:left="901" w:header="0" w:footer="388" w:gutter="0"/>
          <w:cols w:space="720" w:num="1"/>
        </w:sectPr>
      </w:pPr>
    </w:p>
    <w:p w14:paraId="30B1CEC1">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0ECF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39C2BB76">
            <w:pPr>
              <w:spacing w:before="222" w:line="241" w:lineRule="auto"/>
              <w:ind w:left="131"/>
              <w:outlineLvl w:val="0"/>
              <w:rPr>
                <w:rFonts w:ascii="黑体" w:hAnsi="黑体" w:eastAsia="黑体" w:cs="黑体"/>
                <w:sz w:val="28"/>
                <w:szCs w:val="28"/>
              </w:rPr>
            </w:pPr>
            <w:bookmarkStart w:id="714" w:name="bookmark439"/>
            <w:bookmarkEnd w:id="714"/>
            <w:bookmarkStart w:id="715" w:name="bookmark607"/>
            <w:bookmarkEnd w:id="715"/>
            <w:r>
              <w:rPr>
                <w:rFonts w:ascii="黑体" w:hAnsi="黑体" w:eastAsia="黑体" w:cs="黑体"/>
                <w:spacing w:val="-2"/>
                <w:sz w:val="28"/>
                <w:szCs w:val="28"/>
              </w:rPr>
              <w:t>序号</w:t>
            </w:r>
          </w:p>
        </w:tc>
        <w:tc>
          <w:tcPr>
            <w:tcW w:w="1440" w:type="dxa"/>
            <w:vAlign w:val="top"/>
          </w:tcPr>
          <w:p w14:paraId="647DB801">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5ACFD74">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8453A59">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4C6C525">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A4B6EB7">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D354304">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EBB4DF3">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9E3D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6" w:hRule="atLeast"/>
        </w:trPr>
        <w:tc>
          <w:tcPr>
            <w:tcW w:w="818" w:type="dxa"/>
            <w:vMerge w:val="restart"/>
            <w:tcBorders>
              <w:bottom w:val="nil"/>
            </w:tcBorders>
            <w:vAlign w:val="top"/>
          </w:tcPr>
          <w:p w14:paraId="4197CCEA">
            <w:pPr>
              <w:rPr>
                <w:rFonts w:ascii="Arial"/>
                <w:sz w:val="21"/>
              </w:rPr>
            </w:pPr>
          </w:p>
        </w:tc>
        <w:tc>
          <w:tcPr>
            <w:tcW w:w="1440" w:type="dxa"/>
            <w:vMerge w:val="restart"/>
            <w:tcBorders>
              <w:bottom w:val="nil"/>
            </w:tcBorders>
            <w:vAlign w:val="top"/>
          </w:tcPr>
          <w:p w14:paraId="4E4BB301">
            <w:pPr>
              <w:rPr>
                <w:rFonts w:ascii="Arial"/>
                <w:sz w:val="21"/>
              </w:rPr>
            </w:pPr>
          </w:p>
        </w:tc>
        <w:tc>
          <w:tcPr>
            <w:tcW w:w="3202" w:type="dxa"/>
            <w:vMerge w:val="restart"/>
            <w:tcBorders>
              <w:bottom w:val="nil"/>
            </w:tcBorders>
            <w:vAlign w:val="top"/>
          </w:tcPr>
          <w:p w14:paraId="754A6A15">
            <w:pPr>
              <w:pStyle w:val="6"/>
              <w:spacing w:before="28" w:line="189" w:lineRule="auto"/>
              <w:ind w:left="117" w:right="111" w:firstLine="10"/>
              <w:jc w:val="both"/>
            </w:pPr>
            <w:r>
              <w:rPr>
                <w:spacing w:val="12"/>
              </w:rPr>
              <w:t>浓度检测。作业中断的，作</w:t>
            </w:r>
            <w:r>
              <w:rPr>
                <w:spacing w:val="17"/>
              </w:rPr>
              <w:t>业人员再次进入有限空间作</w:t>
            </w:r>
            <w:r>
              <w:rPr>
                <w:spacing w:val="13"/>
              </w:rPr>
              <w:t>业前，应当重新通风、气体</w:t>
            </w:r>
            <w:r>
              <w:rPr>
                <w:spacing w:val="4"/>
              </w:rPr>
              <w:t>检测合格后方可进入。</w:t>
            </w:r>
          </w:p>
        </w:tc>
        <w:tc>
          <w:tcPr>
            <w:tcW w:w="2859" w:type="dxa"/>
            <w:vMerge w:val="restart"/>
            <w:tcBorders>
              <w:bottom w:val="nil"/>
            </w:tcBorders>
            <w:vAlign w:val="top"/>
          </w:tcPr>
          <w:p w14:paraId="64D235FE">
            <w:pPr>
              <w:pStyle w:val="6"/>
              <w:spacing w:before="26" w:line="187" w:lineRule="auto"/>
              <w:ind w:left="98" w:right="108" w:firstLine="34"/>
            </w:pPr>
            <w:r>
              <w:rPr>
                <w:spacing w:val="3"/>
              </w:rPr>
              <w:t>贸企业处</w:t>
            </w:r>
            <w:r>
              <w:rPr>
                <w:rFonts w:ascii="宋体" w:hAnsi="宋体" w:eastAsia="宋体" w:cs="宋体"/>
                <w:spacing w:val="3"/>
              </w:rPr>
              <w:t>5</w:t>
            </w:r>
            <w:r>
              <w:rPr>
                <w:spacing w:val="3"/>
              </w:rPr>
              <w:t>万元以下的罚</w:t>
            </w:r>
            <w:r>
              <w:rPr>
                <w:spacing w:val="10"/>
              </w:rPr>
              <w:t>款，对其直接负责的主管人员和其他直接责任人员</w:t>
            </w:r>
            <w:r>
              <w:rPr>
                <w:spacing w:val="16"/>
              </w:rPr>
              <w:t>处</w:t>
            </w:r>
            <w:r>
              <w:rPr>
                <w:rFonts w:ascii="宋体" w:hAnsi="宋体" w:eastAsia="宋体" w:cs="宋体"/>
                <w:spacing w:val="16"/>
              </w:rPr>
              <w:t>1</w:t>
            </w:r>
            <w:r>
              <w:rPr>
                <w:spacing w:val="16"/>
              </w:rPr>
              <w:t>万元以下的罚款：</w:t>
            </w:r>
            <w:r>
              <w:rPr>
                <w:spacing w:val="10"/>
              </w:rPr>
              <w:t>（四）未按要求进行通风</w:t>
            </w:r>
            <w:r>
              <w:rPr>
                <w:spacing w:val="5"/>
              </w:rPr>
              <w:t>和气体检测的。</w:t>
            </w:r>
          </w:p>
        </w:tc>
        <w:tc>
          <w:tcPr>
            <w:tcW w:w="803" w:type="dxa"/>
            <w:vAlign w:val="top"/>
          </w:tcPr>
          <w:p w14:paraId="3B982CDF">
            <w:pPr>
              <w:spacing w:line="328" w:lineRule="auto"/>
              <w:rPr>
                <w:rFonts w:ascii="Arial"/>
                <w:sz w:val="21"/>
              </w:rPr>
            </w:pPr>
          </w:p>
          <w:p w14:paraId="07E49335">
            <w:pPr>
              <w:spacing w:line="328" w:lineRule="auto"/>
              <w:rPr>
                <w:rFonts w:ascii="Arial"/>
                <w:sz w:val="21"/>
              </w:rPr>
            </w:pPr>
          </w:p>
          <w:p w14:paraId="346D5D8C">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CFEC82A">
            <w:pPr>
              <w:spacing w:line="436" w:lineRule="auto"/>
              <w:rPr>
                <w:rFonts w:ascii="Arial"/>
                <w:sz w:val="21"/>
              </w:rPr>
            </w:pPr>
          </w:p>
          <w:p w14:paraId="37EC067E">
            <w:pPr>
              <w:pStyle w:val="6"/>
              <w:spacing w:before="99" w:line="196" w:lineRule="auto"/>
              <w:ind w:left="119" w:right="109" w:hanging="1"/>
            </w:pPr>
            <w:r>
              <w:rPr>
                <w:spacing w:val="26"/>
              </w:rPr>
              <w:t>未按要求进行通风</w:t>
            </w:r>
            <w:r>
              <w:rPr>
                <w:spacing w:val="3"/>
              </w:rPr>
              <w:t>和气体检测</w:t>
            </w:r>
            <w:r>
              <w:rPr>
                <w:rFonts w:ascii="宋体" w:hAnsi="宋体" w:eastAsia="宋体" w:cs="宋体"/>
                <w:spacing w:val="3"/>
              </w:rPr>
              <w:t>2</w:t>
            </w:r>
            <w:r>
              <w:rPr>
                <w:spacing w:val="3"/>
              </w:rPr>
              <w:t>次的</w:t>
            </w:r>
          </w:p>
        </w:tc>
        <w:tc>
          <w:tcPr>
            <w:tcW w:w="2894" w:type="dxa"/>
            <w:vAlign w:val="top"/>
          </w:tcPr>
          <w:p w14:paraId="656FBA9C">
            <w:pPr>
              <w:pStyle w:val="6"/>
              <w:spacing w:before="86" w:line="186" w:lineRule="auto"/>
              <w:ind w:left="122" w:right="103" w:firstLine="5"/>
            </w:pPr>
            <w:r>
              <w:rPr>
                <w:spacing w:val="4"/>
              </w:rPr>
              <w:t>责令限期改正，处</w:t>
            </w:r>
            <w:r>
              <w:rPr>
                <w:rFonts w:ascii="宋体" w:hAnsi="宋体" w:eastAsia="宋体" w:cs="宋体"/>
                <w:spacing w:val="4"/>
              </w:rPr>
              <w:t>2</w:t>
            </w:r>
            <w:r>
              <w:rPr>
                <w:spacing w:val="4"/>
              </w:rPr>
              <w:t>万元</w:t>
            </w:r>
            <w:r>
              <w:rPr>
                <w:spacing w:val="6"/>
              </w:rPr>
              <w:t>以上</w:t>
            </w:r>
            <w:r>
              <w:rPr>
                <w:rFonts w:ascii="宋体" w:hAnsi="宋体" w:eastAsia="宋体" w:cs="宋体"/>
                <w:spacing w:val="6"/>
              </w:rPr>
              <w:t>4</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万元以下的罚款</w:t>
            </w:r>
          </w:p>
        </w:tc>
        <w:tc>
          <w:tcPr>
            <w:tcW w:w="811" w:type="dxa"/>
            <w:vMerge w:val="restart"/>
            <w:tcBorders>
              <w:bottom w:val="nil"/>
            </w:tcBorders>
            <w:vAlign w:val="top"/>
          </w:tcPr>
          <w:p w14:paraId="45E40C8E">
            <w:pPr>
              <w:rPr>
                <w:rFonts w:ascii="Arial"/>
                <w:sz w:val="21"/>
              </w:rPr>
            </w:pPr>
          </w:p>
        </w:tc>
      </w:tr>
      <w:tr w14:paraId="63F0B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4" w:hRule="atLeast"/>
        </w:trPr>
        <w:tc>
          <w:tcPr>
            <w:tcW w:w="818" w:type="dxa"/>
            <w:vMerge w:val="continue"/>
            <w:tcBorders>
              <w:top w:val="nil"/>
            </w:tcBorders>
            <w:vAlign w:val="top"/>
          </w:tcPr>
          <w:p w14:paraId="673302F8">
            <w:pPr>
              <w:rPr>
                <w:rFonts w:ascii="Arial"/>
                <w:sz w:val="21"/>
              </w:rPr>
            </w:pPr>
          </w:p>
        </w:tc>
        <w:tc>
          <w:tcPr>
            <w:tcW w:w="1440" w:type="dxa"/>
            <w:vMerge w:val="continue"/>
            <w:tcBorders>
              <w:top w:val="nil"/>
            </w:tcBorders>
            <w:vAlign w:val="top"/>
          </w:tcPr>
          <w:p w14:paraId="723A4FAC">
            <w:pPr>
              <w:rPr>
                <w:rFonts w:ascii="Arial"/>
                <w:sz w:val="21"/>
              </w:rPr>
            </w:pPr>
          </w:p>
        </w:tc>
        <w:tc>
          <w:tcPr>
            <w:tcW w:w="3202" w:type="dxa"/>
            <w:vMerge w:val="continue"/>
            <w:tcBorders>
              <w:top w:val="nil"/>
            </w:tcBorders>
            <w:vAlign w:val="top"/>
          </w:tcPr>
          <w:p w14:paraId="49B70F63">
            <w:pPr>
              <w:rPr>
                <w:rFonts w:ascii="Arial"/>
                <w:sz w:val="21"/>
              </w:rPr>
            </w:pPr>
          </w:p>
        </w:tc>
        <w:tc>
          <w:tcPr>
            <w:tcW w:w="2859" w:type="dxa"/>
            <w:vMerge w:val="continue"/>
            <w:tcBorders>
              <w:top w:val="nil"/>
            </w:tcBorders>
            <w:vAlign w:val="top"/>
          </w:tcPr>
          <w:p w14:paraId="4C224D73">
            <w:pPr>
              <w:rPr>
                <w:rFonts w:ascii="Arial"/>
                <w:sz w:val="21"/>
              </w:rPr>
            </w:pPr>
          </w:p>
        </w:tc>
        <w:tc>
          <w:tcPr>
            <w:tcW w:w="803" w:type="dxa"/>
            <w:vAlign w:val="top"/>
          </w:tcPr>
          <w:p w14:paraId="1F145751">
            <w:pPr>
              <w:spacing w:line="328" w:lineRule="auto"/>
              <w:rPr>
                <w:rFonts w:ascii="Arial"/>
                <w:sz w:val="21"/>
              </w:rPr>
            </w:pPr>
          </w:p>
          <w:p w14:paraId="3E9C0B93">
            <w:pPr>
              <w:spacing w:line="328" w:lineRule="auto"/>
              <w:rPr>
                <w:rFonts w:ascii="Arial"/>
                <w:sz w:val="21"/>
              </w:rPr>
            </w:pPr>
          </w:p>
          <w:p w14:paraId="3DB4C34B">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96B3C2E">
            <w:pPr>
              <w:spacing w:line="289" w:lineRule="auto"/>
              <w:rPr>
                <w:rFonts w:ascii="Arial"/>
                <w:sz w:val="21"/>
              </w:rPr>
            </w:pPr>
          </w:p>
          <w:p w14:paraId="38842F4D">
            <w:pPr>
              <w:pStyle w:val="6"/>
              <w:spacing w:before="99" w:line="192" w:lineRule="auto"/>
              <w:ind w:left="119" w:right="105" w:hanging="1"/>
              <w:jc w:val="both"/>
            </w:pPr>
            <w:r>
              <w:rPr>
                <w:spacing w:val="26"/>
              </w:rPr>
              <w:t>未按要求进行通风</w:t>
            </w:r>
            <w:r>
              <w:rPr>
                <w:spacing w:val="15"/>
              </w:rPr>
              <w:t>和气体检测</w:t>
            </w:r>
            <w:r>
              <w:rPr>
                <w:rFonts w:ascii="宋体" w:hAnsi="宋体" w:eastAsia="宋体" w:cs="宋体"/>
                <w:spacing w:val="15"/>
              </w:rPr>
              <w:t>3</w:t>
            </w:r>
            <w:r>
              <w:rPr>
                <w:spacing w:val="15"/>
              </w:rPr>
              <w:t>次以</w:t>
            </w:r>
            <w:r>
              <w:rPr>
                <w:spacing w:val="1"/>
              </w:rPr>
              <w:t>上的</w:t>
            </w:r>
          </w:p>
        </w:tc>
        <w:tc>
          <w:tcPr>
            <w:tcW w:w="2894" w:type="dxa"/>
            <w:vAlign w:val="top"/>
          </w:tcPr>
          <w:p w14:paraId="1DDA3883">
            <w:pPr>
              <w:pStyle w:val="6"/>
              <w:spacing w:before="93" w:line="185" w:lineRule="auto"/>
              <w:ind w:left="122" w:right="103" w:firstLine="5"/>
            </w:pPr>
            <w:r>
              <w:rPr>
                <w:spacing w:val="4"/>
              </w:rPr>
              <w:t>责令限期改正，处</w:t>
            </w:r>
            <w:r>
              <w:rPr>
                <w:rFonts w:ascii="宋体" w:hAnsi="宋体" w:eastAsia="宋体" w:cs="宋体"/>
                <w:spacing w:val="4"/>
              </w:rPr>
              <w:t>4</w:t>
            </w:r>
            <w:r>
              <w:rPr>
                <w:spacing w:val="4"/>
              </w:rPr>
              <w:t>万元</w:t>
            </w:r>
            <w:r>
              <w:rPr>
                <w:spacing w:val="6"/>
              </w:rPr>
              <w:t>以上</w:t>
            </w:r>
            <w:r>
              <w:rPr>
                <w:rFonts w:ascii="宋体" w:hAnsi="宋体" w:eastAsia="宋体" w:cs="宋体"/>
                <w:spacing w:val="6"/>
              </w:rPr>
              <w:t>5</w:t>
            </w:r>
            <w:r>
              <w:rPr>
                <w:spacing w:val="6"/>
              </w:rPr>
              <w:t>万元以下的罚款，</w:t>
            </w:r>
            <w:r>
              <w:rPr>
                <w:spacing w:val="11"/>
              </w:rPr>
              <w:t>对其直接负责的主管人员</w:t>
            </w:r>
            <w:r>
              <w:rPr>
                <w:spacing w:val="13"/>
              </w:rPr>
              <w:t>和其他直接责任人员处</w:t>
            </w:r>
            <w:r>
              <w:rPr>
                <w:rFonts w:ascii="宋体" w:hAnsi="宋体" w:eastAsia="宋体" w:cs="宋体"/>
                <w:spacing w:val="13"/>
              </w:rPr>
              <w:t>1</w:t>
            </w:r>
            <w:r>
              <w:rPr>
                <w:spacing w:val="7"/>
              </w:rPr>
              <w:t>万元以下的罚款</w:t>
            </w:r>
          </w:p>
        </w:tc>
        <w:tc>
          <w:tcPr>
            <w:tcW w:w="811" w:type="dxa"/>
            <w:vMerge w:val="continue"/>
            <w:tcBorders>
              <w:top w:val="nil"/>
            </w:tcBorders>
            <w:vAlign w:val="top"/>
          </w:tcPr>
          <w:p w14:paraId="374DE438">
            <w:pPr>
              <w:rPr>
                <w:rFonts w:ascii="Arial"/>
                <w:sz w:val="21"/>
              </w:rPr>
            </w:pPr>
          </w:p>
        </w:tc>
      </w:tr>
      <w:tr w14:paraId="15077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9" w:hRule="atLeast"/>
        </w:trPr>
        <w:tc>
          <w:tcPr>
            <w:tcW w:w="818" w:type="dxa"/>
            <w:vMerge w:val="restart"/>
            <w:tcBorders>
              <w:bottom w:val="nil"/>
            </w:tcBorders>
            <w:vAlign w:val="top"/>
          </w:tcPr>
          <w:p w14:paraId="722D3712">
            <w:pPr>
              <w:spacing w:line="260" w:lineRule="auto"/>
              <w:rPr>
                <w:rFonts w:ascii="Arial"/>
                <w:sz w:val="21"/>
              </w:rPr>
            </w:pPr>
          </w:p>
          <w:p w14:paraId="7C9C7A5C">
            <w:pPr>
              <w:spacing w:line="260" w:lineRule="auto"/>
              <w:rPr>
                <w:rFonts w:ascii="Arial"/>
                <w:sz w:val="21"/>
              </w:rPr>
            </w:pPr>
          </w:p>
          <w:p w14:paraId="1C050C04">
            <w:pPr>
              <w:spacing w:line="261" w:lineRule="auto"/>
              <w:rPr>
                <w:rFonts w:ascii="Arial"/>
                <w:sz w:val="21"/>
              </w:rPr>
            </w:pPr>
          </w:p>
          <w:p w14:paraId="5F0AB4E2">
            <w:pPr>
              <w:spacing w:line="261" w:lineRule="auto"/>
              <w:rPr>
                <w:rFonts w:ascii="Arial"/>
                <w:sz w:val="21"/>
              </w:rPr>
            </w:pPr>
          </w:p>
          <w:p w14:paraId="1E9F4F28">
            <w:pPr>
              <w:spacing w:line="261" w:lineRule="auto"/>
              <w:rPr>
                <w:rFonts w:ascii="Arial"/>
                <w:sz w:val="21"/>
              </w:rPr>
            </w:pPr>
          </w:p>
          <w:p w14:paraId="2C22EC5B">
            <w:pPr>
              <w:spacing w:line="261" w:lineRule="auto"/>
              <w:rPr>
                <w:rFonts w:ascii="Arial"/>
                <w:sz w:val="21"/>
              </w:rPr>
            </w:pPr>
          </w:p>
          <w:p w14:paraId="7C039C3E">
            <w:pPr>
              <w:spacing w:line="261" w:lineRule="auto"/>
              <w:rPr>
                <w:rFonts w:ascii="Arial"/>
                <w:sz w:val="21"/>
              </w:rPr>
            </w:pPr>
          </w:p>
          <w:p w14:paraId="49FC4A14">
            <w:pPr>
              <w:spacing w:line="261" w:lineRule="auto"/>
              <w:rPr>
                <w:rFonts w:ascii="Arial"/>
                <w:sz w:val="21"/>
              </w:rPr>
            </w:pPr>
          </w:p>
          <w:p w14:paraId="3C3FB4EA">
            <w:pPr>
              <w:spacing w:line="261" w:lineRule="auto"/>
              <w:rPr>
                <w:rFonts w:ascii="Arial"/>
                <w:sz w:val="21"/>
              </w:rPr>
            </w:pPr>
          </w:p>
          <w:p w14:paraId="6A9D5BE4">
            <w:pPr>
              <w:spacing w:line="261" w:lineRule="auto"/>
              <w:rPr>
                <w:rFonts w:ascii="Arial"/>
                <w:sz w:val="21"/>
              </w:rPr>
            </w:pPr>
          </w:p>
          <w:p w14:paraId="7E82C61C">
            <w:pPr>
              <w:spacing w:before="74" w:line="186" w:lineRule="auto"/>
              <w:ind w:left="146"/>
              <w:rPr>
                <w:rFonts w:ascii="仿宋" w:hAnsi="仿宋" w:eastAsia="仿宋" w:cs="仿宋"/>
                <w:sz w:val="23"/>
                <w:szCs w:val="23"/>
              </w:rPr>
            </w:pPr>
            <w:r>
              <w:rPr>
                <w:rFonts w:ascii="仿宋" w:hAnsi="仿宋" w:eastAsia="仿宋" w:cs="仿宋"/>
                <w:sz w:val="23"/>
                <w:szCs w:val="23"/>
              </w:rPr>
              <w:t>216</w:t>
            </w:r>
          </w:p>
        </w:tc>
        <w:tc>
          <w:tcPr>
            <w:tcW w:w="1440" w:type="dxa"/>
            <w:vMerge w:val="restart"/>
            <w:tcBorders>
              <w:bottom w:val="nil"/>
            </w:tcBorders>
            <w:vAlign w:val="top"/>
          </w:tcPr>
          <w:p w14:paraId="221698EA">
            <w:pPr>
              <w:pStyle w:val="6"/>
              <w:spacing w:before="251" w:line="184" w:lineRule="auto"/>
              <w:ind w:left="114" w:right="111" w:firstLine="10"/>
            </w:pPr>
            <w:r>
              <w:rPr>
                <w:spacing w:val="9"/>
              </w:rPr>
              <w:t>石油天然气</w:t>
            </w:r>
            <w:r>
              <w:rPr>
                <w:spacing w:val="11"/>
              </w:rPr>
              <w:t>企业在安全生产许可证有效期内出现采矿许可证有效期届满和采矿许</w:t>
            </w:r>
            <w:r>
              <w:rPr>
                <w:spacing w:val="-7"/>
              </w:rPr>
              <w:t>可证被暂</w:t>
            </w:r>
            <w:r>
              <w:rPr>
                <w:spacing w:val="6"/>
              </w:rPr>
              <w:t>扣、撤销、</w:t>
            </w:r>
            <w:r>
              <w:rPr>
                <w:spacing w:val="11"/>
              </w:rPr>
              <w:t>吊销、注销</w:t>
            </w:r>
            <w:r>
              <w:rPr>
                <w:spacing w:val="4"/>
              </w:rPr>
              <w:t>的情况，未</w:t>
            </w:r>
            <w:r>
              <w:rPr>
                <w:spacing w:val="11"/>
              </w:rPr>
              <w:t>按规定向安全生产许可证颁发管理机关报告并交回安全生</w:t>
            </w:r>
            <w:r>
              <w:rPr>
                <w:spacing w:val="7"/>
              </w:rPr>
              <w:t>产许可证的</w:t>
            </w:r>
          </w:p>
        </w:tc>
        <w:tc>
          <w:tcPr>
            <w:tcW w:w="3202" w:type="dxa"/>
            <w:vMerge w:val="restart"/>
            <w:tcBorders>
              <w:bottom w:val="nil"/>
            </w:tcBorders>
            <w:vAlign w:val="top"/>
          </w:tcPr>
          <w:p w14:paraId="0C1FDB4A">
            <w:pPr>
              <w:pStyle w:val="6"/>
              <w:spacing w:before="39" w:line="182" w:lineRule="auto"/>
              <w:ind w:left="119" w:right="111" w:hanging="21"/>
            </w:pPr>
            <w:r>
              <w:rPr>
                <w:spacing w:val="18"/>
              </w:rPr>
              <w:t>【部门规章】《非煤矿矿山</w:t>
            </w:r>
            <w:r>
              <w:rPr>
                <w:spacing w:val="17"/>
              </w:rPr>
              <w:t>企业安全生产许可证实施办</w:t>
            </w:r>
            <w:r>
              <w:rPr>
                <w:spacing w:val="12"/>
              </w:rPr>
              <w:t>法》第二十八条：非煤矿矿</w:t>
            </w:r>
            <w:r>
              <w:rPr>
                <w:spacing w:val="17"/>
              </w:rPr>
              <w:t>山企业发现在安全生产许可证有效期内采矿许可证到期</w:t>
            </w:r>
            <w:r>
              <w:rPr>
                <w:spacing w:val="13"/>
              </w:rPr>
              <w:t>失效的，应当在采矿许可证</w:t>
            </w:r>
            <w:r>
              <w:rPr>
                <w:spacing w:val="1"/>
              </w:rPr>
              <w:t>到期前</w:t>
            </w:r>
            <w:r>
              <w:rPr>
                <w:rFonts w:ascii="宋体" w:hAnsi="宋体" w:eastAsia="宋体" w:cs="宋体"/>
                <w:spacing w:val="1"/>
              </w:rPr>
              <w:t>15</w:t>
            </w:r>
            <w:r>
              <w:rPr>
                <w:spacing w:val="1"/>
              </w:rPr>
              <w:t>日内向原安全生产</w:t>
            </w:r>
            <w:r>
              <w:rPr>
                <w:spacing w:val="13"/>
              </w:rPr>
              <w:t>许可证颁发管理机关报告，</w:t>
            </w:r>
            <w:r>
              <w:rPr>
                <w:spacing w:val="17"/>
              </w:rPr>
              <w:t>并交回安全生产许可证正本</w:t>
            </w:r>
            <w:r>
              <w:rPr>
                <w:spacing w:val="-2"/>
              </w:rPr>
              <w:t>和副本。</w:t>
            </w:r>
          </w:p>
          <w:p w14:paraId="7D4A8FA8">
            <w:pPr>
              <w:pStyle w:val="6"/>
              <w:spacing w:before="2" w:line="186" w:lineRule="auto"/>
              <w:ind w:left="118" w:right="110"/>
            </w:pPr>
            <w:r>
              <w:rPr>
                <w:spacing w:val="14"/>
              </w:rPr>
              <w:t>采矿许可证被暂扣、撤销、</w:t>
            </w:r>
            <w:r>
              <w:rPr>
                <w:spacing w:val="13"/>
              </w:rPr>
              <w:t>吊销和注销的，非煤矿矿山</w:t>
            </w:r>
            <w:r>
              <w:rPr>
                <w:spacing w:val="17"/>
              </w:rPr>
              <w:t>企业应当在暂扣、撤销、吊</w:t>
            </w:r>
            <w:r>
              <w:rPr>
                <w:spacing w:val="8"/>
              </w:rPr>
              <w:t>销和注销后</w:t>
            </w:r>
            <w:r>
              <w:rPr>
                <w:rFonts w:ascii="宋体" w:hAnsi="宋体" w:eastAsia="宋体" w:cs="宋体"/>
                <w:spacing w:val="8"/>
              </w:rPr>
              <w:t>5</w:t>
            </w:r>
            <w:r>
              <w:rPr>
                <w:spacing w:val="8"/>
              </w:rPr>
              <w:t>日内向原安全</w:t>
            </w:r>
            <w:r>
              <w:rPr>
                <w:spacing w:val="17"/>
              </w:rPr>
              <w:t>生产许可证颁发管理机关报</w:t>
            </w:r>
            <w:r>
              <w:rPr>
                <w:spacing w:val="13"/>
              </w:rPr>
              <w:t>告，并交回安全生产许可证</w:t>
            </w:r>
            <w:r>
              <w:rPr>
                <w:spacing w:val="1"/>
              </w:rPr>
              <w:t>正本和副本。</w:t>
            </w:r>
          </w:p>
        </w:tc>
        <w:tc>
          <w:tcPr>
            <w:tcW w:w="2859" w:type="dxa"/>
            <w:vMerge w:val="restart"/>
            <w:tcBorders>
              <w:bottom w:val="nil"/>
            </w:tcBorders>
            <w:vAlign w:val="top"/>
          </w:tcPr>
          <w:p w14:paraId="6817C6A1">
            <w:pPr>
              <w:pStyle w:val="6"/>
              <w:spacing w:before="42" w:line="184" w:lineRule="auto"/>
              <w:ind w:left="114" w:right="105" w:hanging="17"/>
              <w:jc w:val="both"/>
            </w:pPr>
            <w:r>
              <w:rPr>
                <w:spacing w:val="10"/>
              </w:rPr>
              <w:t>【部门规章】《非煤矿矿</w:t>
            </w:r>
            <w:r>
              <w:rPr>
                <w:spacing w:val="8"/>
              </w:rPr>
              <w:t>山企业安全生产许可证实</w:t>
            </w:r>
            <w:r>
              <w:rPr>
                <w:spacing w:val="-9"/>
              </w:rPr>
              <w:t>施办法》第四十三条：非</w:t>
            </w:r>
            <w:r>
              <w:rPr>
                <w:spacing w:val="8"/>
              </w:rPr>
              <w:t>煤矿矿山企业在安全生产许可证有效期内出现采矿许可证有效期届满和采矿许可证被暂扣、撤销、吊销、注销的情况，未依照本实施办法第二十八条的规定向安全生产许可证颁发管理机关报告并交回安</w:t>
            </w:r>
            <w:r>
              <w:rPr>
                <w:spacing w:val="3"/>
              </w:rPr>
              <w:t>全生产许可证的，处</w:t>
            </w:r>
            <w:r>
              <w:rPr>
                <w:rFonts w:ascii="宋体" w:hAnsi="宋体" w:eastAsia="宋体" w:cs="宋体"/>
                <w:spacing w:val="3"/>
              </w:rPr>
              <w:t>1</w:t>
            </w:r>
            <w:r>
              <w:rPr>
                <w:spacing w:val="3"/>
              </w:rPr>
              <w:t>万</w:t>
            </w:r>
            <w:r>
              <w:rPr>
                <w:spacing w:val="2"/>
              </w:rPr>
              <w:t>元以上</w:t>
            </w:r>
            <w:r>
              <w:rPr>
                <w:rFonts w:ascii="宋体" w:hAnsi="宋体" w:eastAsia="宋体" w:cs="宋体"/>
                <w:spacing w:val="2"/>
              </w:rPr>
              <w:t>3</w:t>
            </w:r>
            <w:r>
              <w:rPr>
                <w:spacing w:val="2"/>
              </w:rPr>
              <w:t>万元以下罚款。</w:t>
            </w:r>
          </w:p>
        </w:tc>
        <w:tc>
          <w:tcPr>
            <w:tcW w:w="803" w:type="dxa"/>
            <w:vAlign w:val="top"/>
          </w:tcPr>
          <w:p w14:paraId="6E0E9D97">
            <w:pPr>
              <w:spacing w:line="351" w:lineRule="auto"/>
              <w:rPr>
                <w:rFonts w:ascii="Arial"/>
                <w:sz w:val="21"/>
              </w:rPr>
            </w:pPr>
          </w:p>
          <w:p w14:paraId="6AF0C19B">
            <w:pPr>
              <w:spacing w:line="351" w:lineRule="auto"/>
              <w:rPr>
                <w:rFonts w:ascii="Arial"/>
                <w:sz w:val="21"/>
              </w:rPr>
            </w:pPr>
          </w:p>
          <w:p w14:paraId="4ABAC8B1">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BF6EAA1">
            <w:pPr>
              <w:pStyle w:val="6"/>
              <w:spacing w:before="136" w:line="188" w:lineRule="auto"/>
              <w:ind w:left="122" w:right="105" w:hanging="5"/>
              <w:jc w:val="both"/>
            </w:pPr>
            <w:r>
              <w:rPr>
                <w:spacing w:val="-2"/>
              </w:rPr>
              <w:t>超过规定期限</w:t>
            </w:r>
            <w:r>
              <w:rPr>
                <w:rFonts w:ascii="宋体" w:hAnsi="宋体" w:eastAsia="宋体" w:cs="宋体"/>
                <w:spacing w:val="-2"/>
              </w:rPr>
              <w:t>10</w:t>
            </w:r>
            <w:r>
              <w:rPr>
                <w:spacing w:val="-2"/>
              </w:rPr>
              <w:t>日</w:t>
            </w:r>
            <w:r>
              <w:rPr>
                <w:spacing w:val="25"/>
              </w:rPr>
              <w:t>以内未向安全生产许可证颁发管理机关报告并交回安全</w:t>
            </w:r>
            <w:r>
              <w:rPr>
                <w:spacing w:val="6"/>
              </w:rPr>
              <w:t>生产许可证的</w:t>
            </w:r>
          </w:p>
        </w:tc>
        <w:tc>
          <w:tcPr>
            <w:tcW w:w="2894" w:type="dxa"/>
            <w:vAlign w:val="top"/>
          </w:tcPr>
          <w:p w14:paraId="09F60B0A">
            <w:pPr>
              <w:spacing w:line="243" w:lineRule="auto"/>
              <w:rPr>
                <w:rFonts w:ascii="Arial"/>
                <w:sz w:val="21"/>
              </w:rPr>
            </w:pPr>
          </w:p>
          <w:p w14:paraId="136094FB">
            <w:pPr>
              <w:spacing w:line="243" w:lineRule="auto"/>
              <w:rPr>
                <w:rFonts w:ascii="Arial"/>
                <w:sz w:val="21"/>
              </w:rPr>
            </w:pPr>
          </w:p>
          <w:p w14:paraId="2E3CA6AE">
            <w:pPr>
              <w:pStyle w:val="6"/>
              <w:spacing w:before="99" w:line="196" w:lineRule="auto"/>
              <w:ind w:left="124" w:right="103" w:hanging="5"/>
            </w:pPr>
            <w:r>
              <w:rPr>
                <w:spacing w:val="-1"/>
              </w:rPr>
              <w:t>处</w:t>
            </w:r>
            <w:r>
              <w:rPr>
                <w:rFonts w:ascii="宋体" w:hAnsi="宋体" w:eastAsia="宋体" w:cs="宋体"/>
                <w:spacing w:val="-1"/>
              </w:rPr>
              <w:t>1</w:t>
            </w:r>
            <w:r>
              <w:rPr>
                <w:spacing w:val="-1"/>
              </w:rPr>
              <w:t>万元以上</w:t>
            </w:r>
            <w:r>
              <w:rPr>
                <w:rFonts w:ascii="宋体" w:hAnsi="宋体" w:eastAsia="宋体" w:cs="宋体"/>
                <w:spacing w:val="-1"/>
              </w:rPr>
              <w:t>1.5</w:t>
            </w:r>
            <w:r>
              <w:rPr>
                <w:spacing w:val="-1"/>
              </w:rPr>
              <w:t>万元以</w:t>
            </w:r>
            <w:r>
              <w:rPr>
                <w:spacing w:val="3"/>
              </w:rPr>
              <w:t>下罚款</w:t>
            </w:r>
          </w:p>
        </w:tc>
        <w:tc>
          <w:tcPr>
            <w:tcW w:w="811" w:type="dxa"/>
            <w:vMerge w:val="restart"/>
            <w:tcBorders>
              <w:bottom w:val="nil"/>
            </w:tcBorders>
            <w:vAlign w:val="top"/>
          </w:tcPr>
          <w:p w14:paraId="3E3C9440">
            <w:pPr>
              <w:rPr>
                <w:rFonts w:ascii="Arial"/>
                <w:sz w:val="21"/>
              </w:rPr>
            </w:pPr>
          </w:p>
        </w:tc>
      </w:tr>
      <w:tr w14:paraId="53DC6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bottom w:val="nil"/>
            </w:tcBorders>
            <w:vAlign w:val="top"/>
          </w:tcPr>
          <w:p w14:paraId="11C1509C">
            <w:pPr>
              <w:rPr>
                <w:rFonts w:ascii="Arial"/>
                <w:sz w:val="21"/>
              </w:rPr>
            </w:pPr>
          </w:p>
        </w:tc>
        <w:tc>
          <w:tcPr>
            <w:tcW w:w="1440" w:type="dxa"/>
            <w:vMerge w:val="continue"/>
            <w:tcBorders>
              <w:top w:val="nil"/>
              <w:bottom w:val="nil"/>
            </w:tcBorders>
            <w:vAlign w:val="top"/>
          </w:tcPr>
          <w:p w14:paraId="69D5D477">
            <w:pPr>
              <w:rPr>
                <w:rFonts w:ascii="Arial"/>
                <w:sz w:val="21"/>
              </w:rPr>
            </w:pPr>
          </w:p>
        </w:tc>
        <w:tc>
          <w:tcPr>
            <w:tcW w:w="3202" w:type="dxa"/>
            <w:vMerge w:val="continue"/>
            <w:tcBorders>
              <w:top w:val="nil"/>
              <w:bottom w:val="nil"/>
            </w:tcBorders>
            <w:vAlign w:val="top"/>
          </w:tcPr>
          <w:p w14:paraId="0D4694BB">
            <w:pPr>
              <w:rPr>
                <w:rFonts w:ascii="Arial"/>
                <w:sz w:val="21"/>
              </w:rPr>
            </w:pPr>
          </w:p>
        </w:tc>
        <w:tc>
          <w:tcPr>
            <w:tcW w:w="2859" w:type="dxa"/>
            <w:vMerge w:val="continue"/>
            <w:tcBorders>
              <w:top w:val="nil"/>
              <w:bottom w:val="nil"/>
            </w:tcBorders>
            <w:vAlign w:val="top"/>
          </w:tcPr>
          <w:p w14:paraId="2E3E62BC">
            <w:pPr>
              <w:rPr>
                <w:rFonts w:ascii="Arial"/>
                <w:sz w:val="21"/>
              </w:rPr>
            </w:pPr>
          </w:p>
        </w:tc>
        <w:tc>
          <w:tcPr>
            <w:tcW w:w="803" w:type="dxa"/>
            <w:vAlign w:val="top"/>
          </w:tcPr>
          <w:p w14:paraId="1AB269E0">
            <w:pPr>
              <w:spacing w:line="249" w:lineRule="auto"/>
              <w:rPr>
                <w:rFonts w:ascii="Arial"/>
                <w:sz w:val="21"/>
              </w:rPr>
            </w:pPr>
          </w:p>
          <w:p w14:paraId="7BA7545B">
            <w:pPr>
              <w:spacing w:line="249" w:lineRule="auto"/>
              <w:rPr>
                <w:rFonts w:ascii="Arial"/>
                <w:sz w:val="21"/>
              </w:rPr>
            </w:pPr>
          </w:p>
          <w:p w14:paraId="6EBF32F2">
            <w:pPr>
              <w:spacing w:line="249" w:lineRule="auto"/>
              <w:rPr>
                <w:rFonts w:ascii="Arial"/>
                <w:sz w:val="21"/>
              </w:rPr>
            </w:pPr>
          </w:p>
          <w:p w14:paraId="29055E70">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32A76F7">
            <w:pPr>
              <w:pStyle w:val="6"/>
              <w:spacing w:before="28" w:line="179" w:lineRule="auto"/>
              <w:ind w:left="118" w:right="105" w:hanging="1"/>
              <w:jc w:val="both"/>
            </w:pPr>
            <w:r>
              <w:rPr>
                <w:spacing w:val="-2"/>
              </w:rPr>
              <w:t>超过规定期限</w:t>
            </w:r>
            <w:r>
              <w:rPr>
                <w:rFonts w:ascii="宋体" w:hAnsi="宋体" w:eastAsia="宋体" w:cs="宋体"/>
                <w:spacing w:val="-2"/>
              </w:rPr>
              <w:t>10</w:t>
            </w:r>
            <w:r>
              <w:rPr>
                <w:spacing w:val="-2"/>
              </w:rPr>
              <w:t>日</w:t>
            </w:r>
            <w:r>
              <w:t>以上</w:t>
            </w:r>
            <w:r>
              <w:rPr>
                <w:rFonts w:ascii="宋体" w:hAnsi="宋体" w:eastAsia="宋体" w:cs="宋体"/>
              </w:rPr>
              <w:t>20</w:t>
            </w:r>
            <w:r>
              <w:t>日以内未向</w:t>
            </w:r>
            <w:r>
              <w:rPr>
                <w:spacing w:val="26"/>
              </w:rPr>
              <w:t>安全生产许可证颁发管理机关报告并交回安全生产许可</w:t>
            </w:r>
            <w:r>
              <w:rPr>
                <w:spacing w:val="1"/>
              </w:rPr>
              <w:t>证的</w:t>
            </w:r>
          </w:p>
        </w:tc>
        <w:tc>
          <w:tcPr>
            <w:tcW w:w="2894" w:type="dxa"/>
            <w:vAlign w:val="top"/>
          </w:tcPr>
          <w:p w14:paraId="7FD66D10">
            <w:pPr>
              <w:spacing w:line="264" w:lineRule="auto"/>
              <w:rPr>
                <w:rFonts w:ascii="Arial"/>
                <w:sz w:val="21"/>
              </w:rPr>
            </w:pPr>
          </w:p>
          <w:p w14:paraId="5D4356C2">
            <w:pPr>
              <w:spacing w:line="264" w:lineRule="auto"/>
              <w:rPr>
                <w:rFonts w:ascii="Arial"/>
                <w:sz w:val="21"/>
              </w:rPr>
            </w:pPr>
          </w:p>
          <w:p w14:paraId="5C686AB0">
            <w:pPr>
              <w:pStyle w:val="6"/>
              <w:spacing w:before="99" w:line="196" w:lineRule="auto"/>
              <w:ind w:left="124" w:right="103" w:hanging="5"/>
            </w:pPr>
            <w:r>
              <w:rPr>
                <w:spacing w:val="2"/>
              </w:rPr>
              <w:t>处</w:t>
            </w:r>
            <w:r>
              <w:rPr>
                <w:rFonts w:ascii="宋体" w:hAnsi="宋体" w:eastAsia="宋体" w:cs="宋体"/>
                <w:spacing w:val="2"/>
              </w:rPr>
              <w:t>1.5</w:t>
            </w:r>
            <w:r>
              <w:rPr>
                <w:spacing w:val="2"/>
              </w:rPr>
              <w:t>万元以上</w:t>
            </w:r>
            <w:r>
              <w:rPr>
                <w:rFonts w:ascii="宋体" w:hAnsi="宋体" w:eastAsia="宋体" w:cs="宋体"/>
                <w:spacing w:val="2"/>
              </w:rPr>
              <w:t>2</w:t>
            </w:r>
            <w:r>
              <w:rPr>
                <w:spacing w:val="2"/>
              </w:rPr>
              <w:t>万元以</w:t>
            </w:r>
            <w:r>
              <w:rPr>
                <w:spacing w:val="3"/>
              </w:rPr>
              <w:t>下罚款</w:t>
            </w:r>
          </w:p>
        </w:tc>
        <w:tc>
          <w:tcPr>
            <w:tcW w:w="811" w:type="dxa"/>
            <w:vMerge w:val="continue"/>
            <w:tcBorders>
              <w:top w:val="nil"/>
              <w:bottom w:val="nil"/>
            </w:tcBorders>
            <w:vAlign w:val="top"/>
          </w:tcPr>
          <w:p w14:paraId="44B05752">
            <w:pPr>
              <w:rPr>
                <w:rFonts w:ascii="Arial"/>
                <w:sz w:val="21"/>
              </w:rPr>
            </w:pPr>
          </w:p>
        </w:tc>
      </w:tr>
      <w:tr w14:paraId="0434D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2" w:hRule="atLeast"/>
        </w:trPr>
        <w:tc>
          <w:tcPr>
            <w:tcW w:w="818" w:type="dxa"/>
            <w:vMerge w:val="continue"/>
            <w:tcBorders>
              <w:top w:val="nil"/>
            </w:tcBorders>
            <w:vAlign w:val="top"/>
          </w:tcPr>
          <w:p w14:paraId="1B498246">
            <w:pPr>
              <w:rPr>
                <w:rFonts w:ascii="Arial"/>
                <w:sz w:val="21"/>
              </w:rPr>
            </w:pPr>
          </w:p>
        </w:tc>
        <w:tc>
          <w:tcPr>
            <w:tcW w:w="1440" w:type="dxa"/>
            <w:vMerge w:val="continue"/>
            <w:tcBorders>
              <w:top w:val="nil"/>
            </w:tcBorders>
            <w:vAlign w:val="top"/>
          </w:tcPr>
          <w:p w14:paraId="6F8924B8">
            <w:pPr>
              <w:rPr>
                <w:rFonts w:ascii="Arial"/>
                <w:sz w:val="21"/>
              </w:rPr>
            </w:pPr>
          </w:p>
        </w:tc>
        <w:tc>
          <w:tcPr>
            <w:tcW w:w="3202" w:type="dxa"/>
            <w:vMerge w:val="continue"/>
            <w:tcBorders>
              <w:top w:val="nil"/>
            </w:tcBorders>
            <w:vAlign w:val="top"/>
          </w:tcPr>
          <w:p w14:paraId="4FBD1EC7">
            <w:pPr>
              <w:rPr>
                <w:rFonts w:ascii="Arial"/>
                <w:sz w:val="21"/>
              </w:rPr>
            </w:pPr>
          </w:p>
        </w:tc>
        <w:tc>
          <w:tcPr>
            <w:tcW w:w="2859" w:type="dxa"/>
            <w:vMerge w:val="continue"/>
            <w:tcBorders>
              <w:top w:val="nil"/>
            </w:tcBorders>
            <w:vAlign w:val="top"/>
          </w:tcPr>
          <w:p w14:paraId="3F33CAEE">
            <w:pPr>
              <w:rPr>
                <w:rFonts w:ascii="Arial"/>
                <w:sz w:val="21"/>
              </w:rPr>
            </w:pPr>
          </w:p>
        </w:tc>
        <w:tc>
          <w:tcPr>
            <w:tcW w:w="803" w:type="dxa"/>
            <w:vAlign w:val="top"/>
          </w:tcPr>
          <w:p w14:paraId="1F4BF52A">
            <w:pPr>
              <w:spacing w:line="283" w:lineRule="auto"/>
              <w:rPr>
                <w:rFonts w:ascii="Arial"/>
                <w:sz w:val="21"/>
              </w:rPr>
            </w:pPr>
          </w:p>
          <w:p w14:paraId="22000F1A">
            <w:pPr>
              <w:spacing w:line="283" w:lineRule="auto"/>
              <w:rPr>
                <w:rFonts w:ascii="Arial"/>
                <w:sz w:val="21"/>
              </w:rPr>
            </w:pPr>
          </w:p>
          <w:p w14:paraId="0459522D">
            <w:pPr>
              <w:spacing w:line="283" w:lineRule="auto"/>
              <w:rPr>
                <w:rFonts w:ascii="Arial"/>
                <w:sz w:val="21"/>
              </w:rPr>
            </w:pPr>
          </w:p>
          <w:p w14:paraId="58D69973">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EF9E8E0">
            <w:pPr>
              <w:pStyle w:val="6"/>
              <w:spacing w:before="282" w:line="188" w:lineRule="auto"/>
              <w:ind w:left="122" w:right="105" w:hanging="5"/>
              <w:jc w:val="both"/>
            </w:pPr>
            <w:r>
              <w:rPr>
                <w:spacing w:val="1"/>
              </w:rPr>
              <w:t>超过规定期限</w:t>
            </w:r>
            <w:r>
              <w:rPr>
                <w:rFonts w:ascii="宋体" w:hAnsi="宋体" w:eastAsia="宋体" w:cs="宋体"/>
                <w:spacing w:val="1"/>
              </w:rPr>
              <w:t>20</w:t>
            </w:r>
            <w:r>
              <w:rPr>
                <w:spacing w:val="1"/>
              </w:rPr>
              <w:t>日</w:t>
            </w:r>
            <w:r>
              <w:rPr>
                <w:spacing w:val="25"/>
              </w:rPr>
              <w:t>以上未向安全生产许可证颁发管理机关报告并交回安全</w:t>
            </w:r>
            <w:r>
              <w:rPr>
                <w:spacing w:val="6"/>
              </w:rPr>
              <w:t>生产许可证的</w:t>
            </w:r>
          </w:p>
        </w:tc>
        <w:tc>
          <w:tcPr>
            <w:tcW w:w="2894" w:type="dxa"/>
            <w:vAlign w:val="top"/>
          </w:tcPr>
          <w:p w14:paraId="68742E84">
            <w:pPr>
              <w:spacing w:line="316" w:lineRule="auto"/>
              <w:rPr>
                <w:rFonts w:ascii="Arial"/>
                <w:sz w:val="21"/>
              </w:rPr>
            </w:pPr>
          </w:p>
          <w:p w14:paraId="4EE12264">
            <w:pPr>
              <w:spacing w:line="316" w:lineRule="auto"/>
              <w:rPr>
                <w:rFonts w:ascii="Arial"/>
                <w:sz w:val="21"/>
              </w:rPr>
            </w:pPr>
          </w:p>
          <w:p w14:paraId="234A2657">
            <w:pPr>
              <w:pStyle w:val="6"/>
              <w:spacing w:before="98" w:line="196" w:lineRule="auto"/>
              <w:ind w:left="128" w:right="106" w:hanging="9"/>
            </w:pPr>
            <w:r>
              <w:rPr>
                <w:spacing w:val="3"/>
              </w:rPr>
              <w:t>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万元以下</w:t>
            </w:r>
            <w:r>
              <w:rPr>
                <w:spacing w:val="-1"/>
              </w:rPr>
              <w:t>罚款</w:t>
            </w:r>
          </w:p>
        </w:tc>
        <w:tc>
          <w:tcPr>
            <w:tcW w:w="811" w:type="dxa"/>
            <w:vMerge w:val="continue"/>
            <w:tcBorders>
              <w:top w:val="nil"/>
            </w:tcBorders>
            <w:vAlign w:val="top"/>
          </w:tcPr>
          <w:p w14:paraId="39B99EBF">
            <w:pPr>
              <w:rPr>
                <w:rFonts w:ascii="Arial"/>
                <w:sz w:val="21"/>
              </w:rPr>
            </w:pPr>
          </w:p>
        </w:tc>
      </w:tr>
    </w:tbl>
    <w:p w14:paraId="21B7165F">
      <w:pPr>
        <w:pStyle w:val="2"/>
      </w:pPr>
    </w:p>
    <w:p w14:paraId="05C24A49">
      <w:pPr>
        <w:sectPr>
          <w:footerReference r:id="rId218" w:type="default"/>
          <w:pgSz w:w="16839" w:h="11906"/>
          <w:pgMar w:top="1012" w:right="821" w:bottom="667" w:left="901" w:header="0" w:footer="388" w:gutter="0"/>
          <w:cols w:space="720" w:num="1"/>
        </w:sectPr>
      </w:pPr>
    </w:p>
    <w:p w14:paraId="33D8B9F5">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E7DD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484D0EA">
            <w:pPr>
              <w:spacing w:before="222" w:line="241" w:lineRule="auto"/>
              <w:ind w:left="131"/>
              <w:rPr>
                <w:rFonts w:ascii="黑体" w:hAnsi="黑体" w:eastAsia="黑体" w:cs="黑体"/>
                <w:sz w:val="28"/>
                <w:szCs w:val="28"/>
              </w:rPr>
            </w:pPr>
            <w:bookmarkStart w:id="716" w:name="bookmark441"/>
            <w:bookmarkEnd w:id="716"/>
            <w:r>
              <w:rPr>
                <w:rFonts w:ascii="黑体" w:hAnsi="黑体" w:eastAsia="黑体" w:cs="黑体"/>
                <w:spacing w:val="-2"/>
                <w:sz w:val="28"/>
                <w:szCs w:val="28"/>
              </w:rPr>
              <w:t>序号</w:t>
            </w:r>
          </w:p>
        </w:tc>
        <w:tc>
          <w:tcPr>
            <w:tcW w:w="1440" w:type="dxa"/>
            <w:vAlign w:val="top"/>
          </w:tcPr>
          <w:p w14:paraId="1E1B28E9">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AEF2421">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D368CBC">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0207F632">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75746A5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341FCCBE">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7559019">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F76D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5" w:hRule="atLeast"/>
        </w:trPr>
        <w:tc>
          <w:tcPr>
            <w:tcW w:w="818" w:type="dxa"/>
            <w:vMerge w:val="restart"/>
            <w:tcBorders>
              <w:bottom w:val="nil"/>
            </w:tcBorders>
            <w:vAlign w:val="top"/>
          </w:tcPr>
          <w:p w14:paraId="42B4A7EA">
            <w:pPr>
              <w:spacing w:line="243" w:lineRule="auto"/>
              <w:rPr>
                <w:rFonts w:ascii="Arial"/>
                <w:sz w:val="21"/>
              </w:rPr>
            </w:pPr>
          </w:p>
          <w:p w14:paraId="33AD391C">
            <w:pPr>
              <w:spacing w:line="243" w:lineRule="auto"/>
              <w:rPr>
                <w:rFonts w:ascii="Arial"/>
                <w:sz w:val="21"/>
              </w:rPr>
            </w:pPr>
          </w:p>
          <w:p w14:paraId="717730A6">
            <w:pPr>
              <w:spacing w:line="243" w:lineRule="auto"/>
              <w:rPr>
                <w:rFonts w:ascii="Arial"/>
                <w:sz w:val="21"/>
              </w:rPr>
            </w:pPr>
          </w:p>
          <w:p w14:paraId="0A71EBAC">
            <w:pPr>
              <w:spacing w:line="243" w:lineRule="auto"/>
              <w:rPr>
                <w:rFonts w:ascii="Arial"/>
                <w:sz w:val="21"/>
              </w:rPr>
            </w:pPr>
          </w:p>
          <w:p w14:paraId="2FDF8A91">
            <w:pPr>
              <w:spacing w:line="244" w:lineRule="auto"/>
              <w:rPr>
                <w:rFonts w:ascii="Arial"/>
                <w:sz w:val="21"/>
              </w:rPr>
            </w:pPr>
          </w:p>
          <w:p w14:paraId="42CF1A5F">
            <w:pPr>
              <w:spacing w:line="244" w:lineRule="auto"/>
              <w:rPr>
                <w:rFonts w:ascii="Arial"/>
                <w:sz w:val="21"/>
              </w:rPr>
            </w:pPr>
          </w:p>
          <w:p w14:paraId="4536EAC3">
            <w:pPr>
              <w:spacing w:line="244" w:lineRule="auto"/>
              <w:rPr>
                <w:rFonts w:ascii="Arial"/>
                <w:sz w:val="21"/>
              </w:rPr>
            </w:pPr>
          </w:p>
          <w:p w14:paraId="6CFE3CDB">
            <w:pPr>
              <w:spacing w:line="244" w:lineRule="auto"/>
              <w:rPr>
                <w:rFonts w:ascii="Arial"/>
                <w:sz w:val="21"/>
              </w:rPr>
            </w:pPr>
          </w:p>
          <w:p w14:paraId="19099FAA">
            <w:pPr>
              <w:spacing w:line="244" w:lineRule="auto"/>
              <w:rPr>
                <w:rFonts w:ascii="Arial"/>
                <w:sz w:val="21"/>
              </w:rPr>
            </w:pPr>
          </w:p>
          <w:p w14:paraId="42244170">
            <w:pPr>
              <w:spacing w:line="244" w:lineRule="auto"/>
              <w:rPr>
                <w:rFonts w:ascii="Arial"/>
                <w:sz w:val="21"/>
              </w:rPr>
            </w:pPr>
          </w:p>
          <w:p w14:paraId="2E7AA0CA">
            <w:pPr>
              <w:spacing w:line="244" w:lineRule="auto"/>
              <w:rPr>
                <w:rFonts w:ascii="Arial"/>
                <w:sz w:val="21"/>
              </w:rPr>
            </w:pPr>
          </w:p>
          <w:p w14:paraId="20FE6D83">
            <w:pPr>
              <w:spacing w:line="244" w:lineRule="auto"/>
              <w:rPr>
                <w:rFonts w:ascii="Arial"/>
                <w:sz w:val="21"/>
              </w:rPr>
            </w:pPr>
          </w:p>
          <w:p w14:paraId="7A93A250">
            <w:pPr>
              <w:spacing w:line="244" w:lineRule="auto"/>
              <w:rPr>
                <w:rFonts w:ascii="Arial"/>
                <w:sz w:val="21"/>
              </w:rPr>
            </w:pPr>
          </w:p>
          <w:p w14:paraId="57EEDEE5">
            <w:pPr>
              <w:spacing w:line="244" w:lineRule="auto"/>
              <w:rPr>
                <w:rFonts w:ascii="Arial"/>
                <w:sz w:val="21"/>
              </w:rPr>
            </w:pPr>
          </w:p>
          <w:p w14:paraId="4F2C192B">
            <w:pPr>
              <w:spacing w:before="75" w:line="186" w:lineRule="auto"/>
              <w:ind w:left="146"/>
              <w:rPr>
                <w:rFonts w:ascii="仿宋" w:hAnsi="仿宋" w:eastAsia="仿宋" w:cs="仿宋"/>
                <w:sz w:val="23"/>
                <w:szCs w:val="23"/>
              </w:rPr>
            </w:pPr>
            <w:r>
              <w:rPr>
                <w:rFonts w:ascii="仿宋" w:hAnsi="仿宋" w:eastAsia="仿宋" w:cs="仿宋"/>
                <w:sz w:val="23"/>
                <w:szCs w:val="23"/>
              </w:rPr>
              <w:t>217</w:t>
            </w:r>
          </w:p>
        </w:tc>
        <w:tc>
          <w:tcPr>
            <w:tcW w:w="1440" w:type="dxa"/>
            <w:vMerge w:val="restart"/>
            <w:tcBorders>
              <w:bottom w:val="nil"/>
            </w:tcBorders>
            <w:vAlign w:val="top"/>
          </w:tcPr>
          <w:p w14:paraId="43CD2A74">
            <w:pPr>
              <w:spacing w:line="244" w:lineRule="auto"/>
              <w:rPr>
                <w:rFonts w:ascii="Arial"/>
                <w:sz w:val="21"/>
              </w:rPr>
            </w:pPr>
          </w:p>
          <w:p w14:paraId="2E516787">
            <w:pPr>
              <w:spacing w:line="244" w:lineRule="auto"/>
              <w:rPr>
                <w:rFonts w:ascii="Arial"/>
                <w:sz w:val="21"/>
              </w:rPr>
            </w:pPr>
          </w:p>
          <w:p w14:paraId="5C85AF4B">
            <w:pPr>
              <w:spacing w:line="245" w:lineRule="auto"/>
              <w:rPr>
                <w:rFonts w:ascii="Arial"/>
                <w:sz w:val="21"/>
              </w:rPr>
            </w:pPr>
          </w:p>
          <w:p w14:paraId="24205FC0">
            <w:pPr>
              <w:spacing w:line="245" w:lineRule="auto"/>
              <w:rPr>
                <w:rFonts w:ascii="Arial"/>
                <w:sz w:val="21"/>
              </w:rPr>
            </w:pPr>
          </w:p>
          <w:p w14:paraId="19C77ADB">
            <w:pPr>
              <w:spacing w:line="245" w:lineRule="auto"/>
              <w:rPr>
                <w:rFonts w:ascii="Arial"/>
                <w:sz w:val="21"/>
              </w:rPr>
            </w:pPr>
          </w:p>
          <w:p w14:paraId="7F02BBC5">
            <w:pPr>
              <w:spacing w:line="245" w:lineRule="auto"/>
              <w:rPr>
                <w:rFonts w:ascii="Arial"/>
                <w:sz w:val="21"/>
              </w:rPr>
            </w:pPr>
          </w:p>
          <w:p w14:paraId="2C3E4599">
            <w:pPr>
              <w:spacing w:line="245" w:lineRule="auto"/>
              <w:rPr>
                <w:rFonts w:ascii="Arial"/>
                <w:sz w:val="21"/>
              </w:rPr>
            </w:pPr>
          </w:p>
          <w:p w14:paraId="09FD36AD">
            <w:pPr>
              <w:spacing w:line="245" w:lineRule="auto"/>
              <w:rPr>
                <w:rFonts w:ascii="Arial"/>
                <w:sz w:val="21"/>
              </w:rPr>
            </w:pPr>
          </w:p>
          <w:p w14:paraId="2320FD04">
            <w:pPr>
              <w:spacing w:line="245" w:lineRule="auto"/>
              <w:rPr>
                <w:rFonts w:ascii="Arial"/>
                <w:sz w:val="21"/>
              </w:rPr>
            </w:pPr>
          </w:p>
          <w:p w14:paraId="66C0BB27">
            <w:pPr>
              <w:spacing w:line="245" w:lineRule="auto"/>
              <w:rPr>
                <w:rFonts w:ascii="Arial"/>
                <w:sz w:val="21"/>
              </w:rPr>
            </w:pPr>
          </w:p>
          <w:p w14:paraId="0599294F">
            <w:pPr>
              <w:pStyle w:val="6"/>
              <w:spacing w:before="99" w:line="186" w:lineRule="auto"/>
              <w:ind w:left="115" w:right="111" w:firstLine="9"/>
              <w:jc w:val="both"/>
            </w:pPr>
            <w:r>
              <w:rPr>
                <w:spacing w:val="9"/>
              </w:rPr>
              <w:t>石油天然气</w:t>
            </w:r>
            <w:r>
              <w:rPr>
                <w:spacing w:val="11"/>
              </w:rPr>
              <w:t>开采发包单位未按规定对承包单位实施安全生产监督检查</w:t>
            </w:r>
            <w:r>
              <w:rPr>
                <w:spacing w:val="6"/>
              </w:rPr>
              <w:t>或者考核的</w:t>
            </w:r>
          </w:p>
        </w:tc>
        <w:tc>
          <w:tcPr>
            <w:tcW w:w="3202" w:type="dxa"/>
            <w:vMerge w:val="restart"/>
            <w:tcBorders>
              <w:bottom w:val="nil"/>
            </w:tcBorders>
            <w:vAlign w:val="top"/>
          </w:tcPr>
          <w:p w14:paraId="0EB8FD38">
            <w:pPr>
              <w:pStyle w:val="6"/>
              <w:spacing w:before="31" w:line="182" w:lineRule="auto"/>
              <w:ind w:left="114" w:right="97" w:hanging="16"/>
              <w:jc w:val="both"/>
            </w:pPr>
            <w:r>
              <w:rPr>
                <w:spacing w:val="18"/>
              </w:rPr>
              <w:t>【部门规章】《非煤矿山外包工程安全管理暂行办法》</w:t>
            </w:r>
            <w:r>
              <w:rPr>
                <w:spacing w:val="13"/>
              </w:rPr>
              <w:t>第十条：石油天然气总发包</w:t>
            </w:r>
            <w:r>
              <w:rPr>
                <w:spacing w:val="17"/>
              </w:rPr>
              <w:t>单位、分项发包单位以及金</w:t>
            </w:r>
          </w:p>
          <w:p w14:paraId="2DC4CDCB">
            <w:pPr>
              <w:pStyle w:val="6"/>
              <w:spacing w:line="182" w:lineRule="auto"/>
              <w:ind w:left="120"/>
              <w:outlineLvl w:val="0"/>
            </w:pPr>
            <w:r>
              <w:rPr>
                <w:spacing w:val="15"/>
              </w:rPr>
              <w:t>属非金属矿山总发包单位，</w:t>
            </w:r>
          </w:p>
          <w:p w14:paraId="6CC1FB6D">
            <w:pPr>
              <w:pStyle w:val="6"/>
              <w:spacing w:before="6" w:line="182" w:lineRule="auto"/>
              <w:ind w:left="118" w:right="111" w:firstLine="5"/>
            </w:pPr>
            <w:r>
              <w:rPr>
                <w:spacing w:val="16"/>
              </w:rPr>
              <w:t>应当每半年对其承包单位的</w:t>
            </w:r>
            <w:r>
              <w:rPr>
                <w:spacing w:val="17"/>
              </w:rPr>
              <w:t>施工资质、安全生产管理机</w:t>
            </w:r>
            <w:bookmarkStart w:id="717" w:name="bookmark443"/>
            <w:bookmarkEnd w:id="717"/>
            <w:bookmarkStart w:id="718" w:name="bookmark608"/>
            <w:bookmarkEnd w:id="718"/>
            <w:r>
              <w:rPr>
                <w:spacing w:val="14"/>
              </w:rPr>
              <w:t>构、规章制度和操作规程、</w:t>
            </w:r>
            <w:r>
              <w:rPr>
                <w:spacing w:val="17"/>
              </w:rPr>
              <w:t>施工现场安全管理和履行本办法第二十七条规定的信息报告义务等情况进行一次检</w:t>
            </w:r>
            <w:r>
              <w:rPr>
                <w:spacing w:val="13"/>
              </w:rPr>
              <w:t>查；发现承包单位存在安全生产问题的，应当督促其立</w:t>
            </w:r>
            <w:r>
              <w:rPr>
                <w:spacing w:val="-2"/>
              </w:rPr>
              <w:t>即整改。</w:t>
            </w:r>
          </w:p>
          <w:p w14:paraId="6FBC54F1">
            <w:pPr>
              <w:pStyle w:val="6"/>
              <w:spacing w:line="189" w:lineRule="auto"/>
              <w:ind w:left="116" w:right="111" w:firstLine="11"/>
              <w:jc w:val="both"/>
            </w:pPr>
            <w:r>
              <w:rPr>
                <w:spacing w:val="12"/>
              </w:rPr>
              <w:t>第十四条：发包单位应当建</w:t>
            </w:r>
            <w:r>
              <w:rPr>
                <w:spacing w:val="17"/>
              </w:rPr>
              <w:t>立健全外包工程安全生产考</w:t>
            </w:r>
            <w:r>
              <w:rPr>
                <w:spacing w:val="13"/>
              </w:rPr>
              <w:t>核机制，对承包单位每年至</w:t>
            </w:r>
            <w:r>
              <w:rPr>
                <w:spacing w:val="5"/>
              </w:rPr>
              <w:t>少进行一次安全生产考核。</w:t>
            </w:r>
          </w:p>
        </w:tc>
        <w:tc>
          <w:tcPr>
            <w:tcW w:w="2859" w:type="dxa"/>
            <w:vMerge w:val="restart"/>
            <w:tcBorders>
              <w:bottom w:val="nil"/>
            </w:tcBorders>
            <w:vAlign w:val="top"/>
          </w:tcPr>
          <w:p w14:paraId="1C426CDA">
            <w:pPr>
              <w:pStyle w:val="6"/>
              <w:spacing w:before="24" w:line="185" w:lineRule="auto"/>
              <w:ind w:left="97" w:right="19"/>
            </w:pPr>
            <w:r>
              <w:rPr>
                <w:spacing w:val="10"/>
              </w:rPr>
              <w:t>【部门规章】《非煤矿山外包工程安全管理暂行办</w:t>
            </w:r>
            <w:r>
              <w:rPr>
                <w:spacing w:val="9"/>
              </w:rPr>
              <w:t>法》第三十四条第一项：</w:t>
            </w:r>
            <w:r>
              <w:rPr>
                <w:spacing w:val="10"/>
              </w:rPr>
              <w:t>有关发包单位有下列行为</w:t>
            </w:r>
            <w:r>
              <w:rPr>
                <w:spacing w:val="5"/>
              </w:rPr>
              <w:t>之一的，责令限期改正，</w:t>
            </w:r>
            <w:r>
              <w:rPr>
                <w:spacing w:val="3"/>
              </w:rPr>
              <w:t>给予警告，并处</w:t>
            </w:r>
            <w:r>
              <w:rPr>
                <w:rFonts w:ascii="宋体" w:hAnsi="宋体" w:eastAsia="宋体" w:cs="宋体"/>
                <w:spacing w:val="3"/>
              </w:rPr>
              <w:t>1</w:t>
            </w:r>
            <w:r>
              <w:rPr>
                <w:spacing w:val="3"/>
              </w:rPr>
              <w:t>万元以</w:t>
            </w:r>
            <w:r>
              <w:rPr>
                <w:spacing w:val="17"/>
              </w:rPr>
              <w:t>上</w:t>
            </w:r>
            <w:r>
              <w:rPr>
                <w:rFonts w:ascii="宋体" w:hAnsi="宋体" w:eastAsia="宋体" w:cs="宋体"/>
                <w:spacing w:val="17"/>
              </w:rPr>
              <w:t>3</w:t>
            </w:r>
            <w:r>
              <w:rPr>
                <w:spacing w:val="17"/>
              </w:rPr>
              <w:t>万元以下的罚款：</w:t>
            </w:r>
            <w:r>
              <w:rPr>
                <w:spacing w:val="-11"/>
              </w:rPr>
              <w:t>（一）违反本办法第十条、</w:t>
            </w:r>
            <w:r>
              <w:rPr>
                <w:spacing w:val="10"/>
              </w:rPr>
              <w:t>第十四条的规定，未对承包单位实施安全生产监督</w:t>
            </w:r>
            <w:r>
              <w:rPr>
                <w:spacing w:val="4"/>
              </w:rPr>
              <w:t>检查或者考核的；</w:t>
            </w:r>
          </w:p>
        </w:tc>
        <w:tc>
          <w:tcPr>
            <w:tcW w:w="803" w:type="dxa"/>
            <w:vAlign w:val="top"/>
          </w:tcPr>
          <w:p w14:paraId="67321A7F">
            <w:pPr>
              <w:spacing w:line="246" w:lineRule="auto"/>
              <w:rPr>
                <w:rFonts w:ascii="Arial"/>
                <w:sz w:val="21"/>
              </w:rPr>
            </w:pPr>
          </w:p>
          <w:p w14:paraId="514DDFAE">
            <w:pPr>
              <w:spacing w:line="246" w:lineRule="auto"/>
              <w:rPr>
                <w:rFonts w:ascii="Arial"/>
                <w:sz w:val="21"/>
              </w:rPr>
            </w:pPr>
          </w:p>
          <w:p w14:paraId="1CC0CCE8">
            <w:pPr>
              <w:spacing w:line="246" w:lineRule="auto"/>
              <w:rPr>
                <w:rFonts w:ascii="Arial"/>
                <w:sz w:val="21"/>
              </w:rPr>
            </w:pPr>
          </w:p>
          <w:p w14:paraId="7B789B37">
            <w:pPr>
              <w:spacing w:line="246" w:lineRule="auto"/>
              <w:rPr>
                <w:rFonts w:ascii="Arial"/>
                <w:sz w:val="21"/>
              </w:rPr>
            </w:pPr>
          </w:p>
          <w:p w14:paraId="1E5D1128">
            <w:pPr>
              <w:spacing w:line="246" w:lineRule="auto"/>
              <w:rPr>
                <w:rFonts w:ascii="Arial"/>
                <w:sz w:val="21"/>
              </w:rPr>
            </w:pPr>
          </w:p>
          <w:p w14:paraId="4A66079B">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FD7E791">
            <w:pPr>
              <w:pStyle w:val="6"/>
              <w:spacing w:before="69" w:line="182" w:lineRule="auto"/>
              <w:ind w:left="116"/>
            </w:pPr>
            <w:r>
              <w:rPr>
                <w:spacing w:val="26"/>
              </w:rPr>
              <w:t>按规定时限对承包</w:t>
            </w:r>
          </w:p>
          <w:p w14:paraId="56A565F4">
            <w:pPr>
              <w:pStyle w:val="6"/>
              <w:spacing w:line="182" w:lineRule="auto"/>
              <w:ind w:left="123"/>
              <w:outlineLvl w:val="0"/>
            </w:pPr>
            <w:r>
              <w:rPr>
                <w:spacing w:val="25"/>
              </w:rPr>
              <w:t>单位实施安全生产</w:t>
            </w:r>
          </w:p>
          <w:p w14:paraId="15C301AF">
            <w:pPr>
              <w:pStyle w:val="6"/>
              <w:spacing w:before="11" w:line="182" w:lineRule="auto"/>
              <w:ind w:left="114" w:right="109" w:firstLine="6"/>
              <w:jc w:val="both"/>
            </w:pPr>
            <w:r>
              <w:rPr>
                <w:spacing w:val="-3"/>
              </w:rPr>
              <w:t>监督检查，但检查内</w:t>
            </w:r>
            <w:r>
              <w:rPr>
                <w:spacing w:val="-2"/>
              </w:rPr>
              <w:t>容不符合要求的，或</w:t>
            </w:r>
            <w:r>
              <w:rPr>
                <w:spacing w:val="26"/>
              </w:rPr>
              <w:t>建立外包工程安全</w:t>
            </w:r>
            <w:r>
              <w:rPr>
                <w:spacing w:val="-2"/>
              </w:rPr>
              <w:t>生产考核机制，但未</w:t>
            </w:r>
            <w:r>
              <w:rPr>
                <w:spacing w:val="26"/>
              </w:rPr>
              <w:t>按规定对承包单位进行安全生产考核</w:t>
            </w:r>
            <w:r>
              <w:t>的</w:t>
            </w:r>
          </w:p>
        </w:tc>
        <w:tc>
          <w:tcPr>
            <w:tcW w:w="2894" w:type="dxa"/>
            <w:vAlign w:val="top"/>
          </w:tcPr>
          <w:p w14:paraId="67D2553A">
            <w:pPr>
              <w:spacing w:line="288" w:lineRule="auto"/>
              <w:rPr>
                <w:rFonts w:ascii="Arial"/>
                <w:sz w:val="21"/>
              </w:rPr>
            </w:pPr>
          </w:p>
          <w:p w14:paraId="1D6C592A">
            <w:pPr>
              <w:spacing w:line="289" w:lineRule="auto"/>
              <w:rPr>
                <w:rFonts w:ascii="Arial"/>
                <w:sz w:val="21"/>
              </w:rPr>
            </w:pPr>
          </w:p>
          <w:p w14:paraId="67796F40">
            <w:pPr>
              <w:spacing w:line="289" w:lineRule="auto"/>
              <w:rPr>
                <w:rFonts w:ascii="Arial"/>
                <w:sz w:val="21"/>
              </w:rPr>
            </w:pPr>
          </w:p>
          <w:p w14:paraId="6987C91F">
            <w:pPr>
              <w:pStyle w:val="6"/>
              <w:spacing w:before="98" w:line="191" w:lineRule="auto"/>
              <w:ind w:left="126" w:right="37"/>
              <w:jc w:val="both"/>
            </w:pPr>
            <w:r>
              <w:rPr>
                <w:spacing w:val="-4"/>
              </w:rPr>
              <w:t>责令限期改正，给予警告，</w:t>
            </w:r>
            <w:r>
              <w:rPr>
                <w:spacing w:val="-1"/>
              </w:rPr>
              <w:t>并处</w:t>
            </w:r>
            <w:r>
              <w:rPr>
                <w:rFonts w:ascii="宋体" w:hAnsi="宋体" w:eastAsia="宋体" w:cs="宋体"/>
                <w:spacing w:val="-1"/>
              </w:rPr>
              <w:t>1</w:t>
            </w:r>
            <w:r>
              <w:rPr>
                <w:spacing w:val="-1"/>
              </w:rPr>
              <w:t>万元以上</w:t>
            </w:r>
            <w:r>
              <w:rPr>
                <w:rFonts w:ascii="宋体" w:hAnsi="宋体" w:eastAsia="宋体" w:cs="宋体"/>
                <w:spacing w:val="-1"/>
              </w:rPr>
              <w:t>1.5</w:t>
            </w:r>
            <w:r>
              <w:rPr>
                <w:spacing w:val="-1"/>
              </w:rPr>
              <w:t>万元</w:t>
            </w:r>
            <w:r>
              <w:rPr>
                <w:spacing w:val="5"/>
              </w:rPr>
              <w:t>以下的罚款</w:t>
            </w:r>
          </w:p>
        </w:tc>
        <w:tc>
          <w:tcPr>
            <w:tcW w:w="811" w:type="dxa"/>
            <w:vMerge w:val="restart"/>
            <w:tcBorders>
              <w:bottom w:val="nil"/>
            </w:tcBorders>
            <w:vAlign w:val="top"/>
          </w:tcPr>
          <w:p w14:paraId="03108B53">
            <w:pPr>
              <w:spacing w:line="243" w:lineRule="auto"/>
              <w:rPr>
                <w:rFonts w:ascii="Arial"/>
                <w:sz w:val="21"/>
              </w:rPr>
            </w:pPr>
          </w:p>
          <w:p w14:paraId="389EB022">
            <w:pPr>
              <w:spacing w:line="243" w:lineRule="auto"/>
              <w:rPr>
                <w:rFonts w:ascii="Arial"/>
                <w:sz w:val="21"/>
              </w:rPr>
            </w:pPr>
          </w:p>
          <w:p w14:paraId="633CF749">
            <w:pPr>
              <w:spacing w:line="243" w:lineRule="auto"/>
              <w:rPr>
                <w:rFonts w:ascii="Arial"/>
                <w:sz w:val="21"/>
              </w:rPr>
            </w:pPr>
          </w:p>
          <w:p w14:paraId="54EDB00C">
            <w:pPr>
              <w:spacing w:line="243" w:lineRule="auto"/>
              <w:rPr>
                <w:rFonts w:ascii="Arial"/>
                <w:sz w:val="21"/>
              </w:rPr>
            </w:pPr>
          </w:p>
          <w:p w14:paraId="774DDBC2">
            <w:pPr>
              <w:spacing w:line="243" w:lineRule="auto"/>
              <w:rPr>
                <w:rFonts w:ascii="Arial"/>
                <w:sz w:val="21"/>
              </w:rPr>
            </w:pPr>
          </w:p>
          <w:p w14:paraId="13BC38BB">
            <w:pPr>
              <w:spacing w:line="243" w:lineRule="auto"/>
              <w:rPr>
                <w:rFonts w:ascii="Arial"/>
                <w:sz w:val="21"/>
              </w:rPr>
            </w:pPr>
          </w:p>
          <w:p w14:paraId="2DB32AF7">
            <w:pPr>
              <w:spacing w:line="244" w:lineRule="auto"/>
              <w:rPr>
                <w:rFonts w:ascii="Arial"/>
                <w:sz w:val="21"/>
              </w:rPr>
            </w:pPr>
          </w:p>
          <w:p w14:paraId="46E6800A">
            <w:pPr>
              <w:spacing w:line="244" w:lineRule="auto"/>
              <w:rPr>
                <w:rFonts w:ascii="Arial"/>
                <w:sz w:val="21"/>
              </w:rPr>
            </w:pPr>
          </w:p>
          <w:p w14:paraId="53D86081">
            <w:pPr>
              <w:spacing w:line="244" w:lineRule="auto"/>
              <w:rPr>
                <w:rFonts w:ascii="Arial"/>
                <w:sz w:val="21"/>
              </w:rPr>
            </w:pPr>
          </w:p>
          <w:p w14:paraId="53B99CD2">
            <w:pPr>
              <w:spacing w:line="244" w:lineRule="auto"/>
              <w:rPr>
                <w:rFonts w:ascii="Arial"/>
                <w:sz w:val="21"/>
              </w:rPr>
            </w:pPr>
          </w:p>
          <w:p w14:paraId="0C182EC8">
            <w:pPr>
              <w:spacing w:line="244" w:lineRule="auto"/>
              <w:rPr>
                <w:rFonts w:ascii="Arial"/>
                <w:sz w:val="21"/>
              </w:rPr>
            </w:pPr>
          </w:p>
          <w:p w14:paraId="74C3D889">
            <w:pPr>
              <w:spacing w:line="244" w:lineRule="auto"/>
              <w:rPr>
                <w:rFonts w:ascii="Arial"/>
                <w:sz w:val="21"/>
              </w:rPr>
            </w:pPr>
          </w:p>
          <w:p w14:paraId="34BF6F72">
            <w:pPr>
              <w:spacing w:line="244" w:lineRule="auto"/>
              <w:rPr>
                <w:rFonts w:ascii="Arial"/>
                <w:sz w:val="21"/>
              </w:rPr>
            </w:pPr>
          </w:p>
          <w:p w14:paraId="0CF46DFF">
            <w:pPr>
              <w:spacing w:line="244" w:lineRule="auto"/>
              <w:rPr>
                <w:rFonts w:ascii="Arial"/>
                <w:sz w:val="21"/>
              </w:rPr>
            </w:pPr>
          </w:p>
          <w:p w14:paraId="11740A58">
            <w:pPr>
              <w:spacing w:before="75" w:line="188" w:lineRule="auto"/>
              <w:ind w:left="235"/>
              <w:rPr>
                <w:rFonts w:ascii="宋体" w:hAnsi="宋体" w:eastAsia="宋体" w:cs="宋体"/>
                <w:sz w:val="23"/>
                <w:szCs w:val="23"/>
              </w:rPr>
            </w:pPr>
            <w:r>
              <w:rPr>
                <w:rFonts w:ascii="宋体" w:hAnsi="宋体" w:eastAsia="宋体" w:cs="宋体"/>
                <w:spacing w:val="-1"/>
                <w:sz w:val="23"/>
                <w:szCs w:val="23"/>
              </w:rPr>
              <w:t>347</w:t>
            </w:r>
          </w:p>
        </w:tc>
      </w:tr>
      <w:tr w14:paraId="2FCA3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6" w:hRule="atLeast"/>
        </w:trPr>
        <w:tc>
          <w:tcPr>
            <w:tcW w:w="818" w:type="dxa"/>
            <w:vMerge w:val="continue"/>
            <w:tcBorders>
              <w:top w:val="nil"/>
              <w:bottom w:val="nil"/>
            </w:tcBorders>
            <w:vAlign w:val="top"/>
          </w:tcPr>
          <w:p w14:paraId="703C3D7D">
            <w:pPr>
              <w:rPr>
                <w:rFonts w:ascii="Arial"/>
                <w:sz w:val="21"/>
              </w:rPr>
            </w:pPr>
          </w:p>
        </w:tc>
        <w:tc>
          <w:tcPr>
            <w:tcW w:w="1440" w:type="dxa"/>
            <w:vMerge w:val="continue"/>
            <w:tcBorders>
              <w:top w:val="nil"/>
              <w:bottom w:val="nil"/>
            </w:tcBorders>
            <w:vAlign w:val="top"/>
          </w:tcPr>
          <w:p w14:paraId="6F601613">
            <w:pPr>
              <w:rPr>
                <w:rFonts w:ascii="Arial"/>
                <w:sz w:val="21"/>
              </w:rPr>
            </w:pPr>
          </w:p>
        </w:tc>
        <w:tc>
          <w:tcPr>
            <w:tcW w:w="3202" w:type="dxa"/>
            <w:vMerge w:val="continue"/>
            <w:tcBorders>
              <w:top w:val="nil"/>
              <w:bottom w:val="nil"/>
            </w:tcBorders>
            <w:vAlign w:val="top"/>
          </w:tcPr>
          <w:p w14:paraId="5DD7911A">
            <w:pPr>
              <w:rPr>
                <w:rFonts w:ascii="Arial"/>
                <w:sz w:val="21"/>
              </w:rPr>
            </w:pPr>
          </w:p>
        </w:tc>
        <w:tc>
          <w:tcPr>
            <w:tcW w:w="2859" w:type="dxa"/>
            <w:vMerge w:val="continue"/>
            <w:tcBorders>
              <w:top w:val="nil"/>
              <w:bottom w:val="nil"/>
            </w:tcBorders>
            <w:vAlign w:val="top"/>
          </w:tcPr>
          <w:p w14:paraId="19D9441D">
            <w:pPr>
              <w:rPr>
                <w:rFonts w:ascii="Arial"/>
                <w:sz w:val="21"/>
              </w:rPr>
            </w:pPr>
          </w:p>
        </w:tc>
        <w:tc>
          <w:tcPr>
            <w:tcW w:w="803" w:type="dxa"/>
            <w:vAlign w:val="top"/>
          </w:tcPr>
          <w:p w14:paraId="08DF98B1">
            <w:pPr>
              <w:spacing w:line="244" w:lineRule="auto"/>
              <w:rPr>
                <w:rFonts w:ascii="Arial"/>
                <w:sz w:val="21"/>
              </w:rPr>
            </w:pPr>
          </w:p>
          <w:p w14:paraId="632D761B">
            <w:pPr>
              <w:spacing w:line="244" w:lineRule="auto"/>
              <w:rPr>
                <w:rFonts w:ascii="Arial"/>
                <w:sz w:val="21"/>
              </w:rPr>
            </w:pPr>
          </w:p>
          <w:p w14:paraId="186B05F1">
            <w:pPr>
              <w:spacing w:line="244" w:lineRule="auto"/>
              <w:rPr>
                <w:rFonts w:ascii="Arial"/>
                <w:sz w:val="21"/>
              </w:rPr>
            </w:pPr>
          </w:p>
          <w:p w14:paraId="680B1B77">
            <w:pPr>
              <w:spacing w:line="245" w:lineRule="auto"/>
              <w:rPr>
                <w:rFonts w:ascii="Arial"/>
                <w:sz w:val="21"/>
              </w:rPr>
            </w:pPr>
          </w:p>
          <w:p w14:paraId="66D30000">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3D8AC530">
            <w:pPr>
              <w:pStyle w:val="6"/>
              <w:spacing w:before="113" w:line="186" w:lineRule="auto"/>
              <w:ind w:left="114" w:right="109" w:firstLine="3"/>
              <w:jc w:val="both"/>
            </w:pPr>
            <w:r>
              <w:rPr>
                <w:spacing w:val="26"/>
              </w:rPr>
              <w:t>未按规定时限对承包单位实施安全生</w:t>
            </w:r>
            <w:r>
              <w:rPr>
                <w:spacing w:val="-2"/>
              </w:rPr>
              <w:t>产监督检查的，或未</w:t>
            </w:r>
            <w:r>
              <w:rPr>
                <w:spacing w:val="26"/>
              </w:rPr>
              <w:t>建立外包工程安全</w:t>
            </w:r>
            <w:r>
              <w:rPr>
                <w:spacing w:val="-2"/>
              </w:rPr>
              <w:t>生产考核机制，但按</w:t>
            </w:r>
            <w:r>
              <w:rPr>
                <w:spacing w:val="26"/>
              </w:rPr>
              <w:t>规定对承包单位进</w:t>
            </w:r>
            <w:r>
              <w:rPr>
                <w:spacing w:val="8"/>
              </w:rPr>
              <w:t>行安全生产考核的</w:t>
            </w:r>
          </w:p>
        </w:tc>
        <w:tc>
          <w:tcPr>
            <w:tcW w:w="2894" w:type="dxa"/>
            <w:vAlign w:val="top"/>
          </w:tcPr>
          <w:p w14:paraId="6C56E93C">
            <w:pPr>
              <w:spacing w:line="304" w:lineRule="auto"/>
              <w:rPr>
                <w:rFonts w:ascii="Arial"/>
                <w:sz w:val="21"/>
              </w:rPr>
            </w:pPr>
          </w:p>
          <w:p w14:paraId="5574E664">
            <w:pPr>
              <w:spacing w:line="305" w:lineRule="auto"/>
              <w:rPr>
                <w:rFonts w:ascii="Arial"/>
                <w:sz w:val="21"/>
              </w:rPr>
            </w:pPr>
          </w:p>
          <w:p w14:paraId="4CD52708">
            <w:pPr>
              <w:pStyle w:val="6"/>
              <w:spacing w:before="99" w:line="191" w:lineRule="auto"/>
              <w:ind w:left="126" w:right="37"/>
              <w:jc w:val="both"/>
            </w:pPr>
            <w:r>
              <w:rPr>
                <w:spacing w:val="-4"/>
              </w:rPr>
              <w:t>责令限期改正，给予警告，</w:t>
            </w:r>
            <w:r>
              <w:rPr>
                <w:spacing w:val="1"/>
              </w:rPr>
              <w:t>并处</w:t>
            </w:r>
            <w:r>
              <w:rPr>
                <w:rFonts w:ascii="宋体" w:hAnsi="宋体" w:eastAsia="宋体" w:cs="宋体"/>
                <w:spacing w:val="1"/>
              </w:rPr>
              <w:t>1.5</w:t>
            </w:r>
            <w:r>
              <w:rPr>
                <w:spacing w:val="1"/>
              </w:rPr>
              <w:t>万元以上</w:t>
            </w:r>
            <w:r>
              <w:rPr>
                <w:rFonts w:ascii="宋体" w:hAnsi="宋体" w:eastAsia="宋体" w:cs="宋体"/>
                <w:spacing w:val="1"/>
              </w:rPr>
              <w:t>2</w:t>
            </w:r>
            <w:r>
              <w:rPr>
                <w:spacing w:val="1"/>
              </w:rPr>
              <w:t>万元</w:t>
            </w:r>
            <w:r>
              <w:rPr>
                <w:spacing w:val="5"/>
              </w:rPr>
              <w:t>以下的罚款</w:t>
            </w:r>
          </w:p>
        </w:tc>
        <w:tc>
          <w:tcPr>
            <w:tcW w:w="811" w:type="dxa"/>
            <w:vMerge w:val="continue"/>
            <w:tcBorders>
              <w:top w:val="nil"/>
              <w:bottom w:val="nil"/>
            </w:tcBorders>
            <w:vAlign w:val="top"/>
          </w:tcPr>
          <w:p w14:paraId="31DEAB20">
            <w:pPr>
              <w:rPr>
                <w:rFonts w:ascii="Arial"/>
                <w:sz w:val="21"/>
              </w:rPr>
            </w:pPr>
          </w:p>
        </w:tc>
      </w:tr>
      <w:tr w14:paraId="5B76D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continue"/>
            <w:tcBorders>
              <w:top w:val="nil"/>
            </w:tcBorders>
            <w:vAlign w:val="top"/>
          </w:tcPr>
          <w:p w14:paraId="10213F68">
            <w:pPr>
              <w:rPr>
                <w:rFonts w:ascii="Arial"/>
                <w:sz w:val="21"/>
              </w:rPr>
            </w:pPr>
          </w:p>
        </w:tc>
        <w:tc>
          <w:tcPr>
            <w:tcW w:w="1440" w:type="dxa"/>
            <w:vMerge w:val="continue"/>
            <w:tcBorders>
              <w:top w:val="nil"/>
            </w:tcBorders>
            <w:vAlign w:val="top"/>
          </w:tcPr>
          <w:p w14:paraId="245E5EB0">
            <w:pPr>
              <w:rPr>
                <w:rFonts w:ascii="Arial"/>
                <w:sz w:val="21"/>
              </w:rPr>
            </w:pPr>
          </w:p>
        </w:tc>
        <w:tc>
          <w:tcPr>
            <w:tcW w:w="3202" w:type="dxa"/>
            <w:vMerge w:val="continue"/>
            <w:tcBorders>
              <w:top w:val="nil"/>
            </w:tcBorders>
            <w:vAlign w:val="top"/>
          </w:tcPr>
          <w:p w14:paraId="6FBD8625">
            <w:pPr>
              <w:rPr>
                <w:rFonts w:ascii="Arial"/>
                <w:sz w:val="21"/>
              </w:rPr>
            </w:pPr>
          </w:p>
        </w:tc>
        <w:tc>
          <w:tcPr>
            <w:tcW w:w="2859" w:type="dxa"/>
            <w:vMerge w:val="continue"/>
            <w:tcBorders>
              <w:top w:val="nil"/>
            </w:tcBorders>
            <w:vAlign w:val="top"/>
          </w:tcPr>
          <w:p w14:paraId="0F46B94F">
            <w:pPr>
              <w:rPr>
                <w:rFonts w:ascii="Arial"/>
                <w:sz w:val="21"/>
              </w:rPr>
            </w:pPr>
          </w:p>
        </w:tc>
        <w:tc>
          <w:tcPr>
            <w:tcW w:w="803" w:type="dxa"/>
            <w:vAlign w:val="top"/>
          </w:tcPr>
          <w:p w14:paraId="5FE6F6B1">
            <w:pPr>
              <w:spacing w:line="298" w:lineRule="auto"/>
              <w:rPr>
                <w:rFonts w:ascii="Arial"/>
                <w:sz w:val="21"/>
              </w:rPr>
            </w:pPr>
          </w:p>
          <w:p w14:paraId="47EE3576">
            <w:pPr>
              <w:spacing w:line="299" w:lineRule="auto"/>
              <w:rPr>
                <w:rFonts w:ascii="Arial"/>
                <w:sz w:val="21"/>
              </w:rPr>
            </w:pPr>
          </w:p>
          <w:p w14:paraId="2BD88141">
            <w:pPr>
              <w:spacing w:line="299" w:lineRule="auto"/>
              <w:rPr>
                <w:rFonts w:ascii="Arial"/>
                <w:sz w:val="21"/>
              </w:rPr>
            </w:pPr>
          </w:p>
          <w:p w14:paraId="191C183C">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FDED20D">
            <w:pPr>
              <w:pStyle w:val="6"/>
              <w:spacing w:before="33" w:line="179" w:lineRule="auto"/>
              <w:ind w:left="118" w:right="109"/>
              <w:jc w:val="both"/>
            </w:pPr>
            <w:r>
              <w:rPr>
                <w:spacing w:val="26"/>
              </w:rPr>
              <w:t>未对承包单位实施安全生产监督检查</w:t>
            </w:r>
            <w:r>
              <w:rPr>
                <w:spacing w:val="-3"/>
              </w:rPr>
              <w:t>的，或未建立外包工</w:t>
            </w:r>
            <w:r>
              <w:rPr>
                <w:spacing w:val="26"/>
              </w:rPr>
              <w:t>程安全生产考核机</w:t>
            </w:r>
            <w:r>
              <w:rPr>
                <w:spacing w:val="-3"/>
              </w:rPr>
              <w:t>制，未按规定对承包</w:t>
            </w:r>
            <w:r>
              <w:rPr>
                <w:spacing w:val="26"/>
              </w:rPr>
              <w:t>单位进行安全生产</w:t>
            </w:r>
            <w:r>
              <w:rPr>
                <w:spacing w:val="4"/>
              </w:rPr>
              <w:t>考核的</w:t>
            </w:r>
          </w:p>
        </w:tc>
        <w:tc>
          <w:tcPr>
            <w:tcW w:w="2894" w:type="dxa"/>
            <w:vAlign w:val="top"/>
          </w:tcPr>
          <w:p w14:paraId="0C287091">
            <w:pPr>
              <w:spacing w:line="265" w:lineRule="auto"/>
              <w:rPr>
                <w:rFonts w:ascii="Arial"/>
                <w:sz w:val="21"/>
              </w:rPr>
            </w:pPr>
          </w:p>
          <w:p w14:paraId="4711052E">
            <w:pPr>
              <w:spacing w:line="266" w:lineRule="auto"/>
              <w:rPr>
                <w:rFonts w:ascii="Arial"/>
                <w:sz w:val="21"/>
              </w:rPr>
            </w:pPr>
          </w:p>
          <w:p w14:paraId="5A583C4C">
            <w:pPr>
              <w:pStyle w:val="6"/>
              <w:spacing w:before="98" w:line="191" w:lineRule="auto"/>
              <w:ind w:left="124" w:right="37" w:firstLine="2"/>
              <w:jc w:val="both"/>
            </w:pPr>
            <w:r>
              <w:rPr>
                <w:spacing w:val="-4"/>
              </w:rPr>
              <w:t>责令限期改正，给予警告，</w:t>
            </w:r>
            <w:r>
              <w:rPr>
                <w:spacing w:val="3"/>
              </w:rPr>
              <w:t>并处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万元以</w:t>
            </w:r>
            <w:r>
              <w:rPr>
                <w:spacing w:val="4"/>
              </w:rPr>
              <w:t>下的罚款</w:t>
            </w:r>
          </w:p>
        </w:tc>
        <w:tc>
          <w:tcPr>
            <w:tcW w:w="811" w:type="dxa"/>
            <w:vMerge w:val="continue"/>
            <w:tcBorders>
              <w:top w:val="nil"/>
            </w:tcBorders>
            <w:vAlign w:val="top"/>
          </w:tcPr>
          <w:p w14:paraId="0317CE05">
            <w:pPr>
              <w:rPr>
                <w:rFonts w:ascii="Arial"/>
                <w:sz w:val="21"/>
              </w:rPr>
            </w:pPr>
          </w:p>
        </w:tc>
      </w:tr>
      <w:tr w14:paraId="5A484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818" w:type="dxa"/>
            <w:vAlign w:val="top"/>
          </w:tcPr>
          <w:p w14:paraId="013377E8">
            <w:pPr>
              <w:spacing w:line="249" w:lineRule="auto"/>
              <w:rPr>
                <w:rFonts w:ascii="Arial"/>
                <w:sz w:val="21"/>
              </w:rPr>
            </w:pPr>
          </w:p>
          <w:p w14:paraId="2A3E9F4E">
            <w:pPr>
              <w:spacing w:line="250" w:lineRule="auto"/>
              <w:rPr>
                <w:rFonts w:ascii="Arial"/>
                <w:sz w:val="21"/>
              </w:rPr>
            </w:pPr>
          </w:p>
          <w:p w14:paraId="034F0203">
            <w:pPr>
              <w:spacing w:line="250" w:lineRule="auto"/>
              <w:rPr>
                <w:rFonts w:ascii="Arial"/>
                <w:sz w:val="21"/>
              </w:rPr>
            </w:pPr>
          </w:p>
          <w:p w14:paraId="347EA0CC">
            <w:pPr>
              <w:spacing w:before="75" w:line="186" w:lineRule="auto"/>
              <w:ind w:left="146"/>
              <w:rPr>
                <w:rFonts w:ascii="仿宋" w:hAnsi="仿宋" w:eastAsia="仿宋" w:cs="仿宋"/>
                <w:sz w:val="23"/>
                <w:szCs w:val="23"/>
              </w:rPr>
            </w:pPr>
            <w:r>
              <w:rPr>
                <w:rFonts w:ascii="仿宋" w:hAnsi="仿宋" w:eastAsia="仿宋" w:cs="仿宋"/>
                <w:sz w:val="23"/>
                <w:szCs w:val="23"/>
              </w:rPr>
              <w:t>218</w:t>
            </w:r>
          </w:p>
        </w:tc>
        <w:tc>
          <w:tcPr>
            <w:tcW w:w="1440" w:type="dxa"/>
            <w:vAlign w:val="top"/>
          </w:tcPr>
          <w:p w14:paraId="2253C68F">
            <w:pPr>
              <w:pStyle w:val="6"/>
              <w:spacing w:before="31" w:line="179" w:lineRule="auto"/>
              <w:ind w:left="112" w:right="108" w:firstLine="12"/>
              <w:jc w:val="both"/>
            </w:pPr>
            <w:r>
              <w:rPr>
                <w:spacing w:val="9"/>
              </w:rPr>
              <w:t>石油天然气</w:t>
            </w:r>
            <w:r>
              <w:rPr>
                <w:spacing w:val="12"/>
              </w:rPr>
              <w:t>开采发包单位未向承包单位进行外包工程技术</w:t>
            </w:r>
            <w:r>
              <w:rPr>
                <w:spacing w:val="5"/>
              </w:rPr>
              <w:t>交底，或者</w:t>
            </w:r>
          </w:p>
        </w:tc>
        <w:tc>
          <w:tcPr>
            <w:tcW w:w="3202" w:type="dxa"/>
            <w:vAlign w:val="top"/>
          </w:tcPr>
          <w:p w14:paraId="5A293732">
            <w:pPr>
              <w:pStyle w:val="6"/>
              <w:spacing w:before="31" w:line="179" w:lineRule="auto"/>
              <w:ind w:left="114" w:right="97" w:hanging="16"/>
              <w:jc w:val="both"/>
            </w:pPr>
            <w:r>
              <w:rPr>
                <w:spacing w:val="18"/>
              </w:rPr>
              <w:t>【部门规章】《非煤矿山外包工程安全管理暂行办法》</w:t>
            </w:r>
            <w:r>
              <w:rPr>
                <w:spacing w:val="13"/>
              </w:rPr>
              <w:t>第十三条：发包单位应当向</w:t>
            </w:r>
            <w:r>
              <w:rPr>
                <w:spacing w:val="17"/>
              </w:rPr>
              <w:t>承包单位进行外包工程的技</w:t>
            </w:r>
            <w:r>
              <w:rPr>
                <w:spacing w:val="14"/>
              </w:rPr>
              <w:t>术交底，按照合同约定向承</w:t>
            </w:r>
            <w:r>
              <w:rPr>
                <w:spacing w:val="17"/>
              </w:rPr>
              <w:t>包单位提供与外包工程安全</w:t>
            </w:r>
          </w:p>
        </w:tc>
        <w:tc>
          <w:tcPr>
            <w:tcW w:w="2859" w:type="dxa"/>
            <w:vAlign w:val="top"/>
          </w:tcPr>
          <w:p w14:paraId="6A13A285">
            <w:pPr>
              <w:pStyle w:val="6"/>
              <w:spacing w:before="31" w:line="179" w:lineRule="auto"/>
              <w:ind w:left="121" w:right="109" w:hanging="24"/>
            </w:pPr>
            <w:r>
              <w:rPr>
                <w:spacing w:val="10"/>
              </w:rPr>
              <w:t>【部门规章】《非煤矿山</w:t>
            </w:r>
            <w:r>
              <w:rPr>
                <w:spacing w:val="8"/>
              </w:rPr>
              <w:t>外包工程安全管理暂行办</w:t>
            </w:r>
            <w:r>
              <w:rPr>
                <w:spacing w:val="7"/>
              </w:rPr>
              <w:t>法》第三十四条第三项：</w:t>
            </w:r>
            <w:r>
              <w:rPr>
                <w:spacing w:val="8"/>
              </w:rPr>
              <w:t>有关发包单位有下列行为</w:t>
            </w:r>
            <w:r>
              <w:rPr>
                <w:spacing w:val="3"/>
              </w:rPr>
              <w:t>之一的，责令限期改正，</w:t>
            </w:r>
            <w:r>
              <w:t>给予警告，并处</w:t>
            </w:r>
            <w:r>
              <w:rPr>
                <w:rFonts w:ascii="宋体" w:hAnsi="宋体" w:eastAsia="宋体" w:cs="宋体"/>
              </w:rPr>
              <w:t>1</w:t>
            </w:r>
            <w:r>
              <w:t>万元以</w:t>
            </w:r>
          </w:p>
        </w:tc>
        <w:tc>
          <w:tcPr>
            <w:tcW w:w="803" w:type="dxa"/>
            <w:vAlign w:val="top"/>
          </w:tcPr>
          <w:p w14:paraId="2113C20A">
            <w:pPr>
              <w:spacing w:line="248" w:lineRule="auto"/>
              <w:rPr>
                <w:rFonts w:ascii="Arial"/>
                <w:sz w:val="21"/>
              </w:rPr>
            </w:pPr>
          </w:p>
          <w:p w14:paraId="5D6D2EA7">
            <w:pPr>
              <w:spacing w:line="248" w:lineRule="auto"/>
              <w:rPr>
                <w:rFonts w:ascii="Arial"/>
                <w:sz w:val="21"/>
              </w:rPr>
            </w:pPr>
          </w:p>
          <w:p w14:paraId="7E3E80F7">
            <w:pPr>
              <w:spacing w:line="248" w:lineRule="auto"/>
              <w:rPr>
                <w:rFonts w:ascii="Arial"/>
                <w:sz w:val="21"/>
              </w:rPr>
            </w:pPr>
          </w:p>
          <w:p w14:paraId="4D92303A">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53CAEE2">
            <w:pPr>
              <w:pStyle w:val="6"/>
              <w:spacing w:before="31" w:line="179" w:lineRule="auto"/>
              <w:ind w:left="114" w:right="46" w:firstLine="36"/>
              <w:jc w:val="both"/>
            </w:pPr>
            <w:r>
              <w:rPr>
                <w:spacing w:val="22"/>
              </w:rPr>
              <w:t>向承包单位进行外</w:t>
            </w:r>
            <w:r>
              <w:rPr>
                <w:spacing w:val="3"/>
              </w:rPr>
              <w:t>包工程的技术交底，</w:t>
            </w:r>
            <w:r>
              <w:rPr>
                <w:spacing w:val="26"/>
              </w:rPr>
              <w:t>提供与外包工程安</w:t>
            </w:r>
            <w:r>
              <w:rPr>
                <w:spacing w:val="5"/>
              </w:rPr>
              <w:t>全生产相关的勘察、</w:t>
            </w:r>
            <w:r>
              <w:rPr>
                <w:spacing w:val="-2"/>
              </w:rPr>
              <w:t>设计、风险评价、检</w:t>
            </w:r>
            <w:r>
              <w:rPr>
                <w:spacing w:val="26"/>
              </w:rPr>
              <w:t>测检验和应急救援</w:t>
            </w:r>
          </w:p>
        </w:tc>
        <w:tc>
          <w:tcPr>
            <w:tcW w:w="2894" w:type="dxa"/>
            <w:vAlign w:val="top"/>
          </w:tcPr>
          <w:p w14:paraId="583073CA">
            <w:pPr>
              <w:spacing w:line="383" w:lineRule="auto"/>
              <w:rPr>
                <w:rFonts w:ascii="Arial"/>
                <w:sz w:val="21"/>
              </w:rPr>
            </w:pPr>
          </w:p>
          <w:p w14:paraId="088E5D80">
            <w:pPr>
              <w:pStyle w:val="6"/>
              <w:spacing w:before="98" w:line="191" w:lineRule="auto"/>
              <w:ind w:left="126" w:right="37"/>
              <w:jc w:val="both"/>
            </w:pPr>
            <w:r>
              <w:rPr>
                <w:spacing w:val="-4"/>
              </w:rPr>
              <w:t>责令限期改正，给予警告，</w:t>
            </w:r>
            <w:r>
              <w:rPr>
                <w:spacing w:val="-1"/>
              </w:rPr>
              <w:t>并处</w:t>
            </w:r>
            <w:r>
              <w:rPr>
                <w:rFonts w:ascii="宋体" w:hAnsi="宋体" w:eastAsia="宋体" w:cs="宋体"/>
                <w:spacing w:val="-1"/>
              </w:rPr>
              <w:t>1</w:t>
            </w:r>
            <w:r>
              <w:rPr>
                <w:spacing w:val="-1"/>
              </w:rPr>
              <w:t>万元以上</w:t>
            </w:r>
            <w:r>
              <w:rPr>
                <w:rFonts w:ascii="宋体" w:hAnsi="宋体" w:eastAsia="宋体" w:cs="宋体"/>
                <w:spacing w:val="-1"/>
              </w:rPr>
              <w:t>1.5</w:t>
            </w:r>
            <w:r>
              <w:rPr>
                <w:spacing w:val="-1"/>
              </w:rPr>
              <w:t>万元</w:t>
            </w:r>
            <w:r>
              <w:rPr>
                <w:spacing w:val="5"/>
              </w:rPr>
              <w:t>以下的罚款</w:t>
            </w:r>
          </w:p>
        </w:tc>
        <w:tc>
          <w:tcPr>
            <w:tcW w:w="811" w:type="dxa"/>
            <w:vAlign w:val="top"/>
          </w:tcPr>
          <w:p w14:paraId="6C6D14CB">
            <w:pPr>
              <w:spacing w:line="249" w:lineRule="auto"/>
              <w:rPr>
                <w:rFonts w:ascii="Arial"/>
                <w:sz w:val="21"/>
              </w:rPr>
            </w:pPr>
          </w:p>
          <w:p w14:paraId="28DA65C0">
            <w:pPr>
              <w:spacing w:line="249" w:lineRule="auto"/>
              <w:rPr>
                <w:rFonts w:ascii="Arial"/>
                <w:sz w:val="21"/>
              </w:rPr>
            </w:pPr>
          </w:p>
          <w:p w14:paraId="1A61F710">
            <w:pPr>
              <w:spacing w:line="249" w:lineRule="auto"/>
              <w:rPr>
                <w:rFonts w:ascii="Arial"/>
                <w:sz w:val="21"/>
              </w:rPr>
            </w:pPr>
          </w:p>
          <w:p w14:paraId="36CC32B4">
            <w:pPr>
              <w:spacing w:before="74" w:line="188" w:lineRule="auto"/>
              <w:ind w:left="235"/>
              <w:rPr>
                <w:rFonts w:ascii="宋体" w:hAnsi="宋体" w:eastAsia="宋体" w:cs="宋体"/>
                <w:sz w:val="23"/>
                <w:szCs w:val="23"/>
              </w:rPr>
            </w:pPr>
            <w:r>
              <w:rPr>
                <w:rFonts w:ascii="宋体" w:hAnsi="宋体" w:eastAsia="宋体" w:cs="宋体"/>
                <w:spacing w:val="-1"/>
                <w:sz w:val="23"/>
                <w:szCs w:val="23"/>
              </w:rPr>
              <w:t>350</w:t>
            </w:r>
          </w:p>
        </w:tc>
      </w:tr>
    </w:tbl>
    <w:p w14:paraId="52A2A3C9">
      <w:pPr>
        <w:pStyle w:val="2"/>
      </w:pPr>
    </w:p>
    <w:p w14:paraId="74CC1315">
      <w:pPr>
        <w:sectPr>
          <w:footerReference r:id="rId219" w:type="default"/>
          <w:pgSz w:w="16839" w:h="11906"/>
          <w:pgMar w:top="1012" w:right="821" w:bottom="667" w:left="901" w:header="0" w:footer="388" w:gutter="0"/>
          <w:cols w:space="720" w:num="1"/>
        </w:sectPr>
      </w:pPr>
    </w:p>
    <w:p w14:paraId="64E6D9FB">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7ED8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ABD7F8A">
            <w:pPr>
              <w:spacing w:before="222" w:line="241" w:lineRule="auto"/>
              <w:ind w:left="131"/>
              <w:rPr>
                <w:rFonts w:ascii="黑体" w:hAnsi="黑体" w:eastAsia="黑体" w:cs="黑体"/>
                <w:sz w:val="28"/>
                <w:szCs w:val="28"/>
              </w:rPr>
            </w:pPr>
            <w:bookmarkStart w:id="719" w:name="bookmark609"/>
            <w:bookmarkEnd w:id="719"/>
            <w:r>
              <w:rPr>
                <w:rFonts w:ascii="黑体" w:hAnsi="黑体" w:eastAsia="黑体" w:cs="黑体"/>
                <w:spacing w:val="-2"/>
                <w:sz w:val="28"/>
                <w:szCs w:val="28"/>
              </w:rPr>
              <w:t>序号</w:t>
            </w:r>
          </w:p>
        </w:tc>
        <w:tc>
          <w:tcPr>
            <w:tcW w:w="1440" w:type="dxa"/>
            <w:vAlign w:val="top"/>
          </w:tcPr>
          <w:p w14:paraId="0E9E2876">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3D21A10">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67262E0">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19925430">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982B6A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001E450">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439E844">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178FC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818" w:type="dxa"/>
            <w:vMerge w:val="restart"/>
            <w:tcBorders>
              <w:bottom w:val="nil"/>
            </w:tcBorders>
            <w:vAlign w:val="top"/>
          </w:tcPr>
          <w:p w14:paraId="7E2EE0A8">
            <w:pPr>
              <w:rPr>
                <w:rFonts w:ascii="Arial"/>
                <w:sz w:val="21"/>
              </w:rPr>
            </w:pPr>
          </w:p>
        </w:tc>
        <w:tc>
          <w:tcPr>
            <w:tcW w:w="1440" w:type="dxa"/>
            <w:vMerge w:val="restart"/>
            <w:tcBorders>
              <w:bottom w:val="nil"/>
            </w:tcBorders>
            <w:vAlign w:val="top"/>
          </w:tcPr>
          <w:p w14:paraId="5CEFA2FF">
            <w:pPr>
              <w:pStyle w:val="6"/>
              <w:spacing w:before="29" w:line="182" w:lineRule="auto"/>
              <w:ind w:left="127" w:right="111" w:hanging="11"/>
            </w:pPr>
            <w:r>
              <w:rPr>
                <w:spacing w:val="11"/>
              </w:rPr>
              <w:t>未按照合同</w:t>
            </w:r>
            <w:r>
              <w:rPr>
                <w:spacing w:val="9"/>
              </w:rPr>
              <w:t>约定向承包</w:t>
            </w:r>
          </w:p>
          <w:p w14:paraId="03B207D9">
            <w:pPr>
              <w:pStyle w:val="6"/>
              <w:spacing w:line="182" w:lineRule="auto"/>
              <w:ind w:left="120"/>
              <w:outlineLvl w:val="0"/>
            </w:pPr>
            <w:bookmarkStart w:id="720" w:name="bookmark445"/>
            <w:bookmarkEnd w:id="720"/>
            <w:r>
              <w:rPr>
                <w:spacing w:val="10"/>
              </w:rPr>
              <w:t>单位提供有</w:t>
            </w:r>
          </w:p>
          <w:p w14:paraId="3F241F77">
            <w:pPr>
              <w:pStyle w:val="6"/>
              <w:spacing w:before="1" w:line="208" w:lineRule="auto"/>
              <w:ind w:left="122"/>
              <w:outlineLvl w:val="0"/>
            </w:pPr>
            <w:r>
              <w:rPr>
                <w:spacing w:val="4"/>
              </w:rPr>
              <w:t>关资料的</w:t>
            </w:r>
          </w:p>
        </w:tc>
        <w:tc>
          <w:tcPr>
            <w:tcW w:w="3202" w:type="dxa"/>
            <w:vMerge w:val="restart"/>
            <w:tcBorders>
              <w:bottom w:val="nil"/>
            </w:tcBorders>
            <w:vAlign w:val="top"/>
          </w:tcPr>
          <w:p w14:paraId="3FE9BFF8">
            <w:pPr>
              <w:pStyle w:val="6"/>
              <w:spacing w:before="27" w:line="189" w:lineRule="auto"/>
              <w:ind w:left="116" w:right="111" w:firstLine="14"/>
              <w:jc w:val="both"/>
            </w:pPr>
            <w:r>
              <w:rPr>
                <w:spacing w:val="16"/>
              </w:rPr>
              <w:t>生产相关的勘察、设计、风</w:t>
            </w:r>
            <w:r>
              <w:rPr>
                <w:spacing w:val="17"/>
              </w:rPr>
              <w:t>险评价、检测检验和应急救</w:t>
            </w:r>
            <w:r>
              <w:rPr>
                <w:spacing w:val="13"/>
              </w:rPr>
              <w:t>援等资料，并保证资料的真</w:t>
            </w:r>
            <w:r>
              <w:rPr>
                <w:spacing w:val="5"/>
              </w:rPr>
              <w:t>实性、完整性和有效性。</w:t>
            </w:r>
          </w:p>
        </w:tc>
        <w:tc>
          <w:tcPr>
            <w:tcW w:w="2859" w:type="dxa"/>
            <w:vMerge w:val="restart"/>
            <w:tcBorders>
              <w:bottom w:val="nil"/>
            </w:tcBorders>
            <w:vAlign w:val="top"/>
          </w:tcPr>
          <w:p w14:paraId="6A45B245">
            <w:pPr>
              <w:pStyle w:val="6"/>
              <w:spacing w:before="26" w:line="187" w:lineRule="auto"/>
              <w:ind w:left="98" w:right="110" w:firstLine="24"/>
            </w:pPr>
            <w:r>
              <w:rPr>
                <w:spacing w:val="15"/>
              </w:rPr>
              <w:t>上</w:t>
            </w:r>
            <w:r>
              <w:rPr>
                <w:rFonts w:ascii="宋体" w:hAnsi="宋体" w:eastAsia="宋体" w:cs="宋体"/>
                <w:spacing w:val="15"/>
              </w:rPr>
              <w:t>3</w:t>
            </w:r>
            <w:r>
              <w:rPr>
                <w:spacing w:val="15"/>
              </w:rPr>
              <w:t>万元以下的罚款：</w:t>
            </w:r>
            <w:r>
              <w:rPr>
                <w:spacing w:val="10"/>
              </w:rPr>
              <w:t>（三）违反本办法第十三条的规定，未向承包单位</w:t>
            </w:r>
            <w:r>
              <w:rPr>
                <w:spacing w:val="9"/>
              </w:rPr>
              <w:t>进行外包工程技术交底，</w:t>
            </w:r>
            <w:r>
              <w:rPr>
                <w:spacing w:val="10"/>
              </w:rPr>
              <w:t>或者未按照合同约定向承</w:t>
            </w:r>
            <w:r>
              <w:rPr>
                <w:spacing w:val="6"/>
              </w:rPr>
              <w:t>包单位提供有关资料的。</w:t>
            </w:r>
          </w:p>
        </w:tc>
        <w:tc>
          <w:tcPr>
            <w:tcW w:w="803" w:type="dxa"/>
            <w:vAlign w:val="top"/>
          </w:tcPr>
          <w:p w14:paraId="40691320">
            <w:pPr>
              <w:rPr>
                <w:rFonts w:ascii="Arial"/>
                <w:sz w:val="21"/>
              </w:rPr>
            </w:pPr>
          </w:p>
        </w:tc>
        <w:tc>
          <w:tcPr>
            <w:tcW w:w="2283" w:type="dxa"/>
            <w:vAlign w:val="top"/>
          </w:tcPr>
          <w:p w14:paraId="13BCABDD">
            <w:pPr>
              <w:pStyle w:val="6"/>
              <w:spacing w:before="25" w:line="176" w:lineRule="auto"/>
              <w:ind w:left="116" w:right="109" w:firstLine="10"/>
              <w:jc w:val="both"/>
            </w:pPr>
            <w:r>
              <w:rPr>
                <w:spacing w:val="-4"/>
              </w:rPr>
              <w:t>等资料，但资料不具</w:t>
            </w:r>
            <w:r>
              <w:rPr>
                <w:spacing w:val="-2"/>
              </w:rPr>
              <w:t>备真实性、完整性和</w:t>
            </w:r>
            <w:r>
              <w:rPr>
                <w:spacing w:val="6"/>
              </w:rPr>
              <w:t>有效性的</w:t>
            </w:r>
          </w:p>
        </w:tc>
        <w:tc>
          <w:tcPr>
            <w:tcW w:w="2894" w:type="dxa"/>
            <w:vAlign w:val="top"/>
          </w:tcPr>
          <w:p w14:paraId="7A9EF143">
            <w:pPr>
              <w:rPr>
                <w:rFonts w:ascii="Arial"/>
                <w:sz w:val="21"/>
              </w:rPr>
            </w:pPr>
          </w:p>
        </w:tc>
        <w:tc>
          <w:tcPr>
            <w:tcW w:w="811" w:type="dxa"/>
            <w:vMerge w:val="restart"/>
            <w:tcBorders>
              <w:bottom w:val="nil"/>
            </w:tcBorders>
            <w:vAlign w:val="top"/>
          </w:tcPr>
          <w:p w14:paraId="146ADCF9">
            <w:pPr>
              <w:rPr>
                <w:rFonts w:ascii="Arial"/>
                <w:sz w:val="21"/>
              </w:rPr>
            </w:pPr>
          </w:p>
        </w:tc>
      </w:tr>
      <w:tr w14:paraId="35AF3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continue"/>
            <w:tcBorders>
              <w:top w:val="nil"/>
              <w:bottom w:val="nil"/>
            </w:tcBorders>
            <w:vAlign w:val="top"/>
          </w:tcPr>
          <w:p w14:paraId="26E9ED17">
            <w:pPr>
              <w:rPr>
                <w:rFonts w:ascii="Arial"/>
                <w:sz w:val="21"/>
              </w:rPr>
            </w:pPr>
          </w:p>
        </w:tc>
        <w:tc>
          <w:tcPr>
            <w:tcW w:w="1440" w:type="dxa"/>
            <w:vMerge w:val="continue"/>
            <w:tcBorders>
              <w:top w:val="nil"/>
              <w:bottom w:val="nil"/>
            </w:tcBorders>
            <w:vAlign w:val="top"/>
          </w:tcPr>
          <w:p w14:paraId="55AEE427">
            <w:pPr>
              <w:rPr>
                <w:rFonts w:ascii="Arial"/>
                <w:sz w:val="21"/>
              </w:rPr>
            </w:pPr>
          </w:p>
        </w:tc>
        <w:tc>
          <w:tcPr>
            <w:tcW w:w="3202" w:type="dxa"/>
            <w:vMerge w:val="continue"/>
            <w:tcBorders>
              <w:top w:val="nil"/>
              <w:bottom w:val="nil"/>
            </w:tcBorders>
            <w:vAlign w:val="top"/>
          </w:tcPr>
          <w:p w14:paraId="3F8A9504">
            <w:pPr>
              <w:rPr>
                <w:rFonts w:ascii="Arial"/>
                <w:sz w:val="21"/>
              </w:rPr>
            </w:pPr>
          </w:p>
        </w:tc>
        <w:tc>
          <w:tcPr>
            <w:tcW w:w="2859" w:type="dxa"/>
            <w:vMerge w:val="continue"/>
            <w:tcBorders>
              <w:top w:val="nil"/>
              <w:bottom w:val="nil"/>
            </w:tcBorders>
            <w:vAlign w:val="top"/>
          </w:tcPr>
          <w:p w14:paraId="6CEFCAD6">
            <w:pPr>
              <w:rPr>
                <w:rFonts w:ascii="Arial"/>
                <w:sz w:val="21"/>
              </w:rPr>
            </w:pPr>
          </w:p>
        </w:tc>
        <w:tc>
          <w:tcPr>
            <w:tcW w:w="803" w:type="dxa"/>
            <w:vAlign w:val="top"/>
          </w:tcPr>
          <w:p w14:paraId="092A6CC7">
            <w:pPr>
              <w:spacing w:line="298" w:lineRule="auto"/>
              <w:rPr>
                <w:rFonts w:ascii="Arial"/>
                <w:sz w:val="21"/>
              </w:rPr>
            </w:pPr>
          </w:p>
          <w:p w14:paraId="4BC5566A">
            <w:pPr>
              <w:spacing w:line="298" w:lineRule="auto"/>
              <w:rPr>
                <w:rFonts w:ascii="Arial"/>
                <w:sz w:val="21"/>
              </w:rPr>
            </w:pPr>
          </w:p>
          <w:p w14:paraId="072D2750">
            <w:pPr>
              <w:spacing w:line="299" w:lineRule="auto"/>
              <w:rPr>
                <w:rFonts w:ascii="Arial"/>
                <w:sz w:val="21"/>
              </w:rPr>
            </w:pPr>
          </w:p>
          <w:p w14:paraId="72C871AF">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6DEE7A6">
            <w:pPr>
              <w:pStyle w:val="6"/>
              <w:spacing w:before="33" w:line="179" w:lineRule="auto"/>
              <w:ind w:left="114" w:right="65" w:firstLine="36"/>
              <w:jc w:val="both"/>
            </w:pPr>
            <w:r>
              <w:rPr>
                <w:spacing w:val="22"/>
              </w:rPr>
              <w:t>向承包单位进行外</w:t>
            </w:r>
            <w:r>
              <w:rPr>
                <w:spacing w:val="3"/>
              </w:rPr>
              <w:t>包工程的技术交底，</w:t>
            </w:r>
            <w:r>
              <w:rPr>
                <w:spacing w:val="26"/>
              </w:rPr>
              <w:t>但未提供与外包工程安全生产相关的</w:t>
            </w:r>
            <w:r>
              <w:rPr>
                <w:spacing w:val="-2"/>
              </w:rPr>
              <w:t>勘察、设计、风险评价、检测检验和应急</w:t>
            </w:r>
            <w:r>
              <w:rPr>
                <w:spacing w:val="7"/>
              </w:rPr>
              <w:t>救援等资料的</w:t>
            </w:r>
          </w:p>
        </w:tc>
        <w:tc>
          <w:tcPr>
            <w:tcW w:w="2894" w:type="dxa"/>
            <w:vAlign w:val="top"/>
          </w:tcPr>
          <w:p w14:paraId="605909F3">
            <w:pPr>
              <w:spacing w:line="265" w:lineRule="auto"/>
              <w:rPr>
                <w:rFonts w:ascii="Arial"/>
                <w:sz w:val="21"/>
              </w:rPr>
            </w:pPr>
          </w:p>
          <w:p w14:paraId="403E7A97">
            <w:pPr>
              <w:spacing w:line="265" w:lineRule="auto"/>
              <w:rPr>
                <w:rFonts w:ascii="Arial"/>
                <w:sz w:val="21"/>
              </w:rPr>
            </w:pPr>
          </w:p>
          <w:p w14:paraId="729BB284">
            <w:pPr>
              <w:pStyle w:val="6"/>
              <w:spacing w:before="99" w:line="191" w:lineRule="auto"/>
              <w:ind w:left="126" w:right="37"/>
              <w:jc w:val="both"/>
            </w:pPr>
            <w:r>
              <w:rPr>
                <w:spacing w:val="-4"/>
              </w:rPr>
              <w:t>责令限期改正，给予警告，</w:t>
            </w:r>
            <w:r>
              <w:rPr>
                <w:spacing w:val="1"/>
              </w:rPr>
              <w:t>并处</w:t>
            </w:r>
            <w:r>
              <w:rPr>
                <w:rFonts w:ascii="宋体" w:hAnsi="宋体" w:eastAsia="宋体" w:cs="宋体"/>
                <w:spacing w:val="1"/>
              </w:rPr>
              <w:t>1.5</w:t>
            </w:r>
            <w:r>
              <w:rPr>
                <w:spacing w:val="1"/>
              </w:rPr>
              <w:t>万元以上</w:t>
            </w:r>
            <w:r>
              <w:rPr>
                <w:rFonts w:ascii="宋体" w:hAnsi="宋体" w:eastAsia="宋体" w:cs="宋体"/>
                <w:spacing w:val="1"/>
              </w:rPr>
              <w:t>2</w:t>
            </w:r>
            <w:r>
              <w:rPr>
                <w:spacing w:val="1"/>
              </w:rPr>
              <w:t>万元</w:t>
            </w:r>
            <w:r>
              <w:rPr>
                <w:spacing w:val="5"/>
              </w:rPr>
              <w:t>以下的罚款</w:t>
            </w:r>
          </w:p>
        </w:tc>
        <w:tc>
          <w:tcPr>
            <w:tcW w:w="811" w:type="dxa"/>
            <w:vMerge w:val="continue"/>
            <w:tcBorders>
              <w:top w:val="nil"/>
              <w:bottom w:val="nil"/>
            </w:tcBorders>
            <w:vAlign w:val="top"/>
          </w:tcPr>
          <w:p w14:paraId="79147C3E">
            <w:pPr>
              <w:rPr>
                <w:rFonts w:ascii="Arial"/>
                <w:sz w:val="21"/>
              </w:rPr>
            </w:pPr>
          </w:p>
        </w:tc>
      </w:tr>
      <w:tr w14:paraId="19A3D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continue"/>
            <w:tcBorders>
              <w:top w:val="nil"/>
            </w:tcBorders>
            <w:vAlign w:val="top"/>
          </w:tcPr>
          <w:p w14:paraId="7F97F849">
            <w:pPr>
              <w:rPr>
                <w:rFonts w:ascii="Arial"/>
                <w:sz w:val="21"/>
              </w:rPr>
            </w:pPr>
          </w:p>
        </w:tc>
        <w:tc>
          <w:tcPr>
            <w:tcW w:w="1440" w:type="dxa"/>
            <w:vMerge w:val="continue"/>
            <w:tcBorders>
              <w:top w:val="nil"/>
            </w:tcBorders>
            <w:vAlign w:val="top"/>
          </w:tcPr>
          <w:p w14:paraId="44451FCA">
            <w:pPr>
              <w:rPr>
                <w:rFonts w:ascii="Arial"/>
                <w:sz w:val="21"/>
              </w:rPr>
            </w:pPr>
          </w:p>
        </w:tc>
        <w:tc>
          <w:tcPr>
            <w:tcW w:w="3202" w:type="dxa"/>
            <w:vMerge w:val="continue"/>
            <w:tcBorders>
              <w:top w:val="nil"/>
            </w:tcBorders>
            <w:vAlign w:val="top"/>
          </w:tcPr>
          <w:p w14:paraId="41CCBCBE">
            <w:pPr>
              <w:rPr>
                <w:rFonts w:ascii="Arial"/>
                <w:sz w:val="21"/>
              </w:rPr>
            </w:pPr>
          </w:p>
        </w:tc>
        <w:tc>
          <w:tcPr>
            <w:tcW w:w="2859" w:type="dxa"/>
            <w:vMerge w:val="continue"/>
            <w:tcBorders>
              <w:top w:val="nil"/>
            </w:tcBorders>
            <w:vAlign w:val="top"/>
          </w:tcPr>
          <w:p w14:paraId="69C32E4B">
            <w:pPr>
              <w:rPr>
                <w:rFonts w:ascii="Arial"/>
                <w:sz w:val="21"/>
              </w:rPr>
            </w:pPr>
          </w:p>
        </w:tc>
        <w:tc>
          <w:tcPr>
            <w:tcW w:w="803" w:type="dxa"/>
            <w:vAlign w:val="top"/>
          </w:tcPr>
          <w:p w14:paraId="1B20766A">
            <w:pPr>
              <w:spacing w:line="298" w:lineRule="auto"/>
              <w:rPr>
                <w:rFonts w:ascii="Arial"/>
                <w:sz w:val="21"/>
              </w:rPr>
            </w:pPr>
          </w:p>
          <w:p w14:paraId="15E27F2B">
            <w:pPr>
              <w:spacing w:line="298" w:lineRule="auto"/>
              <w:rPr>
                <w:rFonts w:ascii="Arial"/>
                <w:sz w:val="21"/>
              </w:rPr>
            </w:pPr>
          </w:p>
          <w:p w14:paraId="0697A152">
            <w:pPr>
              <w:spacing w:line="299" w:lineRule="auto"/>
              <w:rPr>
                <w:rFonts w:ascii="Arial"/>
                <w:sz w:val="21"/>
              </w:rPr>
            </w:pPr>
          </w:p>
          <w:p w14:paraId="1E99E1AF">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7007930">
            <w:pPr>
              <w:pStyle w:val="6"/>
              <w:spacing w:before="33" w:line="179" w:lineRule="auto"/>
              <w:ind w:left="116" w:right="109" w:firstLine="1"/>
              <w:jc w:val="both"/>
            </w:pPr>
            <w:bookmarkStart w:id="721" w:name="bookmark447"/>
            <w:bookmarkEnd w:id="721"/>
            <w:r>
              <w:rPr>
                <w:spacing w:val="26"/>
              </w:rPr>
              <w:t>未向承包单位进行外包工程的技术交</w:t>
            </w:r>
            <w:r>
              <w:rPr>
                <w:spacing w:val="-2"/>
              </w:rPr>
              <w:t>底，未提供与外包工</w:t>
            </w:r>
            <w:r>
              <w:rPr>
                <w:spacing w:val="26"/>
              </w:rPr>
              <w:t>程安全生产相关的</w:t>
            </w:r>
            <w:r>
              <w:rPr>
                <w:spacing w:val="-2"/>
              </w:rPr>
              <w:t>勘察、设计、风险评价、检测检验和应急</w:t>
            </w:r>
            <w:r>
              <w:rPr>
                <w:spacing w:val="7"/>
              </w:rPr>
              <w:t>救援等资料的</w:t>
            </w:r>
          </w:p>
        </w:tc>
        <w:tc>
          <w:tcPr>
            <w:tcW w:w="2894" w:type="dxa"/>
            <w:vAlign w:val="top"/>
          </w:tcPr>
          <w:p w14:paraId="211ABD41">
            <w:pPr>
              <w:spacing w:line="265" w:lineRule="auto"/>
              <w:rPr>
                <w:rFonts w:ascii="Arial"/>
                <w:sz w:val="21"/>
              </w:rPr>
            </w:pPr>
          </w:p>
          <w:p w14:paraId="54BB202E">
            <w:pPr>
              <w:spacing w:line="266" w:lineRule="auto"/>
              <w:rPr>
                <w:rFonts w:ascii="Arial"/>
                <w:sz w:val="21"/>
              </w:rPr>
            </w:pPr>
          </w:p>
          <w:p w14:paraId="674FA529">
            <w:pPr>
              <w:pStyle w:val="6"/>
              <w:spacing w:before="99" w:line="191" w:lineRule="auto"/>
              <w:ind w:left="124" w:right="37" w:firstLine="2"/>
              <w:jc w:val="both"/>
            </w:pPr>
            <w:r>
              <w:rPr>
                <w:spacing w:val="-4"/>
              </w:rPr>
              <w:t>责令限期改正，给予警告，</w:t>
            </w:r>
            <w:r>
              <w:rPr>
                <w:spacing w:val="3"/>
              </w:rPr>
              <w:t>并处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万元以</w:t>
            </w:r>
            <w:r>
              <w:rPr>
                <w:spacing w:val="4"/>
              </w:rPr>
              <w:t>下的罚款</w:t>
            </w:r>
          </w:p>
        </w:tc>
        <w:tc>
          <w:tcPr>
            <w:tcW w:w="811" w:type="dxa"/>
            <w:vMerge w:val="continue"/>
            <w:tcBorders>
              <w:top w:val="nil"/>
            </w:tcBorders>
            <w:vAlign w:val="top"/>
          </w:tcPr>
          <w:p w14:paraId="4D035B62">
            <w:pPr>
              <w:rPr>
                <w:rFonts w:ascii="Arial"/>
                <w:sz w:val="21"/>
              </w:rPr>
            </w:pPr>
          </w:p>
        </w:tc>
      </w:tr>
      <w:tr w14:paraId="52E07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818" w:type="dxa"/>
            <w:vMerge w:val="restart"/>
            <w:tcBorders>
              <w:bottom w:val="nil"/>
            </w:tcBorders>
            <w:vAlign w:val="top"/>
          </w:tcPr>
          <w:p w14:paraId="17BA9317">
            <w:pPr>
              <w:spacing w:line="264" w:lineRule="auto"/>
              <w:rPr>
                <w:rFonts w:ascii="Arial"/>
                <w:sz w:val="21"/>
              </w:rPr>
            </w:pPr>
          </w:p>
          <w:p w14:paraId="5D03B0F2">
            <w:pPr>
              <w:spacing w:line="264" w:lineRule="auto"/>
              <w:rPr>
                <w:rFonts w:ascii="Arial"/>
                <w:sz w:val="21"/>
              </w:rPr>
            </w:pPr>
          </w:p>
          <w:p w14:paraId="1ADFE569">
            <w:pPr>
              <w:spacing w:line="264" w:lineRule="auto"/>
              <w:rPr>
                <w:rFonts w:ascii="Arial"/>
                <w:sz w:val="21"/>
              </w:rPr>
            </w:pPr>
          </w:p>
          <w:p w14:paraId="10F2C299">
            <w:pPr>
              <w:spacing w:line="265" w:lineRule="auto"/>
              <w:rPr>
                <w:rFonts w:ascii="Arial"/>
                <w:sz w:val="21"/>
              </w:rPr>
            </w:pPr>
          </w:p>
          <w:p w14:paraId="698BF8A3">
            <w:pPr>
              <w:spacing w:line="265" w:lineRule="auto"/>
              <w:rPr>
                <w:rFonts w:ascii="Arial"/>
                <w:sz w:val="21"/>
              </w:rPr>
            </w:pPr>
          </w:p>
          <w:p w14:paraId="117D667E">
            <w:pPr>
              <w:spacing w:before="75" w:line="186" w:lineRule="auto"/>
              <w:ind w:left="146"/>
              <w:rPr>
                <w:rFonts w:ascii="仿宋" w:hAnsi="仿宋" w:eastAsia="仿宋" w:cs="仿宋"/>
                <w:sz w:val="23"/>
                <w:szCs w:val="23"/>
              </w:rPr>
            </w:pPr>
            <w:r>
              <w:rPr>
                <w:rFonts w:ascii="仿宋" w:hAnsi="仿宋" w:eastAsia="仿宋" w:cs="仿宋"/>
                <w:sz w:val="23"/>
                <w:szCs w:val="23"/>
              </w:rPr>
              <w:t>219</w:t>
            </w:r>
          </w:p>
        </w:tc>
        <w:tc>
          <w:tcPr>
            <w:tcW w:w="1440" w:type="dxa"/>
            <w:vMerge w:val="restart"/>
            <w:tcBorders>
              <w:bottom w:val="nil"/>
            </w:tcBorders>
            <w:vAlign w:val="top"/>
          </w:tcPr>
          <w:p w14:paraId="4E0D7C13">
            <w:pPr>
              <w:spacing w:line="251" w:lineRule="auto"/>
              <w:rPr>
                <w:rFonts w:ascii="Arial"/>
                <w:sz w:val="21"/>
              </w:rPr>
            </w:pPr>
          </w:p>
          <w:p w14:paraId="3209F069">
            <w:pPr>
              <w:spacing w:line="252" w:lineRule="auto"/>
              <w:rPr>
                <w:rFonts w:ascii="Arial"/>
                <w:sz w:val="21"/>
              </w:rPr>
            </w:pPr>
          </w:p>
          <w:p w14:paraId="61164032">
            <w:pPr>
              <w:pStyle w:val="6"/>
              <w:spacing w:before="99" w:line="187" w:lineRule="auto"/>
              <w:ind w:left="115" w:right="111" w:firstLine="9"/>
              <w:jc w:val="both"/>
            </w:pPr>
            <w:r>
              <w:rPr>
                <w:spacing w:val="9"/>
              </w:rPr>
              <w:t>石油天然气</w:t>
            </w:r>
            <w:r>
              <w:rPr>
                <w:spacing w:val="11"/>
              </w:rPr>
              <w:t>开采承包单位将发包单位投入的安全资金挪作</w:t>
            </w:r>
            <w:r>
              <w:rPr>
                <w:spacing w:val="5"/>
              </w:rPr>
              <w:t>他用的</w:t>
            </w:r>
          </w:p>
        </w:tc>
        <w:tc>
          <w:tcPr>
            <w:tcW w:w="3202" w:type="dxa"/>
            <w:vMerge w:val="restart"/>
            <w:tcBorders>
              <w:bottom w:val="nil"/>
            </w:tcBorders>
            <w:vAlign w:val="top"/>
          </w:tcPr>
          <w:p w14:paraId="5D286C7B">
            <w:pPr>
              <w:pStyle w:val="6"/>
              <w:spacing w:before="27" w:line="186" w:lineRule="auto"/>
              <w:ind w:left="114" w:right="97" w:hanging="16"/>
              <w:jc w:val="both"/>
            </w:pPr>
            <w:r>
              <w:rPr>
                <w:spacing w:val="18"/>
              </w:rPr>
              <w:t>【部门规章】《非煤矿山外包工程安全管理暂行办法》</w:t>
            </w:r>
            <w:r>
              <w:rPr>
                <w:spacing w:val="13"/>
              </w:rPr>
              <w:t>第二十二条：承包单位应当</w:t>
            </w:r>
            <w:r>
              <w:rPr>
                <w:spacing w:val="17"/>
              </w:rPr>
              <w:t>依照法律、法规、规章的规定以及承包合同和安全生产</w:t>
            </w:r>
            <w:r>
              <w:rPr>
                <w:spacing w:val="14"/>
              </w:rPr>
              <w:t>管理协议的约定，及时将发</w:t>
            </w:r>
            <w:r>
              <w:rPr>
                <w:spacing w:val="17"/>
              </w:rPr>
              <w:t>包单位投入的安全资金落实</w:t>
            </w:r>
            <w:r>
              <w:rPr>
                <w:spacing w:val="5"/>
              </w:rPr>
              <w:t>到位，不得挪作他用。</w:t>
            </w:r>
          </w:p>
        </w:tc>
        <w:tc>
          <w:tcPr>
            <w:tcW w:w="2859" w:type="dxa"/>
            <w:vMerge w:val="restart"/>
            <w:tcBorders>
              <w:bottom w:val="nil"/>
            </w:tcBorders>
            <w:vAlign w:val="top"/>
          </w:tcPr>
          <w:p w14:paraId="3A26EDFF">
            <w:pPr>
              <w:pStyle w:val="6"/>
              <w:spacing w:before="37" w:line="185" w:lineRule="auto"/>
              <w:ind w:left="116" w:right="110" w:hanging="19"/>
            </w:pPr>
            <w:r>
              <w:rPr>
                <w:spacing w:val="10"/>
              </w:rPr>
              <w:t>【部门规章】《非煤矿山</w:t>
            </w:r>
            <w:r>
              <w:rPr>
                <w:spacing w:val="8"/>
              </w:rPr>
              <w:t>外包工程安全管理暂行办</w:t>
            </w:r>
            <w:r>
              <w:rPr>
                <w:spacing w:val="7"/>
              </w:rPr>
              <w:t>法》第三十七条第一款：</w:t>
            </w:r>
            <w:r>
              <w:rPr>
                <w:spacing w:val="8"/>
              </w:rPr>
              <w:t>承包单位违反本办法第二十二条的规定，将发包单位投入的安全资金挪作他</w:t>
            </w:r>
            <w:r>
              <w:rPr>
                <w:spacing w:val="2"/>
              </w:rPr>
              <w:t>用的，责令限期改正，给</w:t>
            </w:r>
            <w:r>
              <w:rPr>
                <w:spacing w:val="3"/>
              </w:rPr>
              <w:t>予警告，并处</w:t>
            </w:r>
            <w:r>
              <w:rPr>
                <w:rFonts w:ascii="宋体" w:hAnsi="宋体" w:eastAsia="宋体" w:cs="宋体"/>
                <w:spacing w:val="3"/>
              </w:rPr>
              <w:t>1</w:t>
            </w:r>
            <w:r>
              <w:rPr>
                <w:spacing w:val="3"/>
              </w:rPr>
              <w:t>万元以上</w:t>
            </w:r>
            <w:r>
              <w:rPr>
                <w:rFonts w:ascii="宋体" w:hAnsi="宋体" w:eastAsia="宋体" w:cs="宋体"/>
              </w:rPr>
              <w:t>3</w:t>
            </w:r>
            <w:r>
              <w:t>万元以下罚款。</w:t>
            </w:r>
          </w:p>
        </w:tc>
        <w:tc>
          <w:tcPr>
            <w:tcW w:w="803" w:type="dxa"/>
            <w:vAlign w:val="top"/>
          </w:tcPr>
          <w:p w14:paraId="1799F882">
            <w:pPr>
              <w:spacing w:line="413" w:lineRule="auto"/>
              <w:rPr>
                <w:rFonts w:ascii="Arial"/>
                <w:sz w:val="21"/>
              </w:rPr>
            </w:pPr>
          </w:p>
          <w:p w14:paraId="7A561622">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EF38093">
            <w:pPr>
              <w:pStyle w:val="6"/>
              <w:spacing w:before="148" w:line="191" w:lineRule="auto"/>
              <w:ind w:left="130" w:right="109" w:hanging="14"/>
              <w:jc w:val="both"/>
            </w:pPr>
            <w:r>
              <w:rPr>
                <w:spacing w:val="26"/>
              </w:rPr>
              <w:t>挪用发包单位投入</w:t>
            </w:r>
            <w:r>
              <w:rPr>
                <w:spacing w:val="-9"/>
                <w:w w:val="95"/>
              </w:rPr>
              <w:t>的安全资金占比</w:t>
            </w:r>
            <w:r>
              <w:rPr>
                <w:rFonts w:ascii="宋体" w:hAnsi="宋体" w:eastAsia="宋体" w:cs="宋体"/>
                <w:spacing w:val="3"/>
              </w:rPr>
              <w:t>10%</w:t>
            </w:r>
            <w:r>
              <w:rPr>
                <w:spacing w:val="3"/>
              </w:rPr>
              <w:t>以下的</w:t>
            </w:r>
          </w:p>
        </w:tc>
        <w:tc>
          <w:tcPr>
            <w:tcW w:w="2894" w:type="dxa"/>
            <w:vAlign w:val="top"/>
          </w:tcPr>
          <w:p w14:paraId="4D529112">
            <w:pPr>
              <w:pStyle w:val="6"/>
              <w:spacing w:before="148" w:line="191" w:lineRule="auto"/>
              <w:ind w:left="126" w:right="37"/>
              <w:jc w:val="both"/>
            </w:pPr>
            <w:r>
              <w:rPr>
                <w:spacing w:val="-4"/>
              </w:rPr>
              <w:t>责令限期改正，给予警告，</w:t>
            </w:r>
            <w:r>
              <w:rPr>
                <w:spacing w:val="-1"/>
              </w:rPr>
              <w:t>并处</w:t>
            </w:r>
            <w:r>
              <w:rPr>
                <w:rFonts w:ascii="宋体" w:hAnsi="宋体" w:eastAsia="宋体" w:cs="宋体"/>
                <w:spacing w:val="-1"/>
              </w:rPr>
              <w:t>1</w:t>
            </w:r>
            <w:r>
              <w:rPr>
                <w:spacing w:val="-1"/>
              </w:rPr>
              <w:t>万元以上</w:t>
            </w:r>
            <w:r>
              <w:rPr>
                <w:rFonts w:ascii="宋体" w:hAnsi="宋体" w:eastAsia="宋体" w:cs="宋体"/>
                <w:spacing w:val="-1"/>
              </w:rPr>
              <w:t>1.5</w:t>
            </w:r>
            <w:r>
              <w:rPr>
                <w:spacing w:val="-1"/>
              </w:rPr>
              <w:t>万元</w:t>
            </w:r>
            <w:r>
              <w:rPr>
                <w:spacing w:val="5"/>
              </w:rPr>
              <w:t>以下的罚款</w:t>
            </w:r>
          </w:p>
        </w:tc>
        <w:tc>
          <w:tcPr>
            <w:tcW w:w="811" w:type="dxa"/>
            <w:vMerge w:val="restart"/>
            <w:tcBorders>
              <w:bottom w:val="nil"/>
            </w:tcBorders>
            <w:vAlign w:val="top"/>
          </w:tcPr>
          <w:p w14:paraId="65EC9C62">
            <w:pPr>
              <w:spacing w:line="264" w:lineRule="auto"/>
              <w:rPr>
                <w:rFonts w:ascii="Arial"/>
                <w:sz w:val="21"/>
              </w:rPr>
            </w:pPr>
          </w:p>
          <w:p w14:paraId="4F57220E">
            <w:pPr>
              <w:spacing w:line="264" w:lineRule="auto"/>
              <w:rPr>
                <w:rFonts w:ascii="Arial"/>
                <w:sz w:val="21"/>
              </w:rPr>
            </w:pPr>
          </w:p>
          <w:p w14:paraId="1D7DF0AE">
            <w:pPr>
              <w:spacing w:line="264" w:lineRule="auto"/>
              <w:rPr>
                <w:rFonts w:ascii="Arial"/>
                <w:sz w:val="21"/>
              </w:rPr>
            </w:pPr>
          </w:p>
          <w:p w14:paraId="51F39C70">
            <w:pPr>
              <w:spacing w:line="264" w:lineRule="auto"/>
              <w:rPr>
                <w:rFonts w:ascii="Arial"/>
                <w:sz w:val="21"/>
              </w:rPr>
            </w:pPr>
          </w:p>
          <w:p w14:paraId="655C805D">
            <w:pPr>
              <w:spacing w:line="264" w:lineRule="auto"/>
              <w:rPr>
                <w:rFonts w:ascii="Arial"/>
                <w:sz w:val="21"/>
              </w:rPr>
            </w:pPr>
          </w:p>
          <w:p w14:paraId="52F9A072">
            <w:pPr>
              <w:spacing w:before="74" w:line="188" w:lineRule="auto"/>
              <w:ind w:left="235"/>
              <w:rPr>
                <w:rFonts w:ascii="宋体" w:hAnsi="宋体" w:eastAsia="宋体" w:cs="宋体"/>
                <w:sz w:val="23"/>
                <w:szCs w:val="23"/>
              </w:rPr>
            </w:pPr>
            <w:r>
              <w:rPr>
                <w:rFonts w:ascii="宋体" w:hAnsi="宋体" w:eastAsia="宋体" w:cs="宋体"/>
                <w:spacing w:val="-1"/>
                <w:sz w:val="23"/>
                <w:szCs w:val="23"/>
              </w:rPr>
              <w:t>353</w:t>
            </w:r>
          </w:p>
        </w:tc>
      </w:tr>
      <w:tr w14:paraId="6D7FE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818" w:type="dxa"/>
            <w:vMerge w:val="continue"/>
            <w:tcBorders>
              <w:top w:val="nil"/>
              <w:bottom w:val="nil"/>
            </w:tcBorders>
            <w:vAlign w:val="top"/>
          </w:tcPr>
          <w:p w14:paraId="10495AA7">
            <w:pPr>
              <w:rPr>
                <w:rFonts w:ascii="Arial"/>
                <w:sz w:val="21"/>
              </w:rPr>
            </w:pPr>
          </w:p>
        </w:tc>
        <w:tc>
          <w:tcPr>
            <w:tcW w:w="1440" w:type="dxa"/>
            <w:vMerge w:val="continue"/>
            <w:tcBorders>
              <w:top w:val="nil"/>
              <w:bottom w:val="nil"/>
            </w:tcBorders>
            <w:vAlign w:val="top"/>
          </w:tcPr>
          <w:p w14:paraId="7644ADED">
            <w:pPr>
              <w:rPr>
                <w:rFonts w:ascii="Arial"/>
                <w:sz w:val="21"/>
              </w:rPr>
            </w:pPr>
          </w:p>
        </w:tc>
        <w:tc>
          <w:tcPr>
            <w:tcW w:w="3202" w:type="dxa"/>
            <w:vMerge w:val="continue"/>
            <w:tcBorders>
              <w:top w:val="nil"/>
              <w:bottom w:val="nil"/>
            </w:tcBorders>
            <w:vAlign w:val="top"/>
          </w:tcPr>
          <w:p w14:paraId="13C2E48B">
            <w:pPr>
              <w:rPr>
                <w:rFonts w:ascii="Arial"/>
                <w:sz w:val="21"/>
              </w:rPr>
            </w:pPr>
          </w:p>
        </w:tc>
        <w:tc>
          <w:tcPr>
            <w:tcW w:w="2859" w:type="dxa"/>
            <w:vMerge w:val="continue"/>
            <w:tcBorders>
              <w:top w:val="nil"/>
              <w:bottom w:val="nil"/>
            </w:tcBorders>
            <w:vAlign w:val="top"/>
          </w:tcPr>
          <w:p w14:paraId="2D3F28B9">
            <w:pPr>
              <w:rPr>
                <w:rFonts w:ascii="Arial"/>
                <w:sz w:val="21"/>
              </w:rPr>
            </w:pPr>
          </w:p>
        </w:tc>
        <w:tc>
          <w:tcPr>
            <w:tcW w:w="803" w:type="dxa"/>
            <w:vAlign w:val="top"/>
          </w:tcPr>
          <w:p w14:paraId="35311833">
            <w:pPr>
              <w:spacing w:line="303" w:lineRule="auto"/>
              <w:rPr>
                <w:rFonts w:ascii="Arial"/>
                <w:sz w:val="21"/>
              </w:rPr>
            </w:pPr>
          </w:p>
          <w:p w14:paraId="72BAC2B8">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CE308EC">
            <w:pPr>
              <w:pStyle w:val="6"/>
              <w:spacing w:before="30" w:line="175" w:lineRule="auto"/>
              <w:ind w:left="130" w:right="109" w:hanging="14"/>
              <w:jc w:val="both"/>
            </w:pPr>
            <w:r>
              <w:rPr>
                <w:spacing w:val="26"/>
              </w:rPr>
              <w:t>挪用发包单位投入</w:t>
            </w:r>
            <w:r>
              <w:rPr>
                <w:spacing w:val="-9"/>
                <w:w w:val="95"/>
              </w:rPr>
              <w:t>的安全资金占比</w:t>
            </w:r>
            <w:r>
              <w:rPr>
                <w:rFonts w:ascii="宋体" w:hAnsi="宋体" w:eastAsia="宋体" w:cs="宋体"/>
                <w:spacing w:val="3"/>
              </w:rPr>
              <w:t>10%</w:t>
            </w:r>
            <w:r>
              <w:rPr>
                <w:spacing w:val="3"/>
              </w:rPr>
              <w:t>以上</w:t>
            </w:r>
            <w:r>
              <w:rPr>
                <w:rFonts w:ascii="宋体" w:hAnsi="宋体" w:eastAsia="宋体" w:cs="宋体"/>
                <w:spacing w:val="3"/>
              </w:rPr>
              <w:t>20%</w:t>
            </w:r>
            <w:r>
              <w:rPr>
                <w:spacing w:val="3"/>
              </w:rPr>
              <w:t>以下的</w:t>
            </w:r>
          </w:p>
        </w:tc>
        <w:tc>
          <w:tcPr>
            <w:tcW w:w="2894" w:type="dxa"/>
            <w:vAlign w:val="top"/>
          </w:tcPr>
          <w:p w14:paraId="438C04B1">
            <w:pPr>
              <w:pStyle w:val="6"/>
              <w:spacing w:before="30" w:line="175" w:lineRule="auto"/>
              <w:ind w:left="126" w:right="37"/>
              <w:jc w:val="both"/>
            </w:pPr>
            <w:r>
              <w:rPr>
                <w:spacing w:val="-4"/>
              </w:rPr>
              <w:t>责令限期改正，给予警告，</w:t>
            </w:r>
            <w:r>
              <w:rPr>
                <w:spacing w:val="1"/>
              </w:rPr>
              <w:t>并处</w:t>
            </w:r>
            <w:r>
              <w:rPr>
                <w:rFonts w:ascii="宋体" w:hAnsi="宋体" w:eastAsia="宋体" w:cs="宋体"/>
                <w:spacing w:val="1"/>
              </w:rPr>
              <w:t>1.5</w:t>
            </w:r>
            <w:r>
              <w:rPr>
                <w:spacing w:val="1"/>
              </w:rPr>
              <w:t>万元以上</w:t>
            </w:r>
            <w:r>
              <w:rPr>
                <w:rFonts w:ascii="宋体" w:hAnsi="宋体" w:eastAsia="宋体" w:cs="宋体"/>
                <w:spacing w:val="1"/>
              </w:rPr>
              <w:t>2</w:t>
            </w:r>
            <w:r>
              <w:rPr>
                <w:spacing w:val="1"/>
              </w:rPr>
              <w:t>万元</w:t>
            </w:r>
            <w:r>
              <w:rPr>
                <w:spacing w:val="5"/>
              </w:rPr>
              <w:t>以下的罚款</w:t>
            </w:r>
          </w:p>
        </w:tc>
        <w:tc>
          <w:tcPr>
            <w:tcW w:w="811" w:type="dxa"/>
            <w:vMerge w:val="continue"/>
            <w:tcBorders>
              <w:top w:val="nil"/>
              <w:bottom w:val="nil"/>
            </w:tcBorders>
            <w:vAlign w:val="top"/>
          </w:tcPr>
          <w:p w14:paraId="37C5BD47">
            <w:pPr>
              <w:rPr>
                <w:rFonts w:ascii="Arial"/>
                <w:sz w:val="21"/>
              </w:rPr>
            </w:pPr>
          </w:p>
        </w:tc>
      </w:tr>
      <w:tr w14:paraId="3F5C1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818" w:type="dxa"/>
            <w:vMerge w:val="continue"/>
            <w:tcBorders>
              <w:top w:val="nil"/>
            </w:tcBorders>
            <w:vAlign w:val="top"/>
          </w:tcPr>
          <w:p w14:paraId="41E9244D">
            <w:pPr>
              <w:rPr>
                <w:rFonts w:ascii="Arial"/>
                <w:sz w:val="21"/>
              </w:rPr>
            </w:pPr>
          </w:p>
        </w:tc>
        <w:tc>
          <w:tcPr>
            <w:tcW w:w="1440" w:type="dxa"/>
            <w:vMerge w:val="continue"/>
            <w:tcBorders>
              <w:top w:val="nil"/>
            </w:tcBorders>
            <w:vAlign w:val="top"/>
          </w:tcPr>
          <w:p w14:paraId="74EB07D7">
            <w:pPr>
              <w:rPr>
                <w:rFonts w:ascii="Arial"/>
                <w:sz w:val="21"/>
              </w:rPr>
            </w:pPr>
          </w:p>
        </w:tc>
        <w:tc>
          <w:tcPr>
            <w:tcW w:w="3202" w:type="dxa"/>
            <w:vMerge w:val="continue"/>
            <w:tcBorders>
              <w:top w:val="nil"/>
            </w:tcBorders>
            <w:vAlign w:val="top"/>
          </w:tcPr>
          <w:p w14:paraId="04669657">
            <w:pPr>
              <w:rPr>
                <w:rFonts w:ascii="Arial"/>
                <w:sz w:val="21"/>
              </w:rPr>
            </w:pPr>
          </w:p>
        </w:tc>
        <w:tc>
          <w:tcPr>
            <w:tcW w:w="2859" w:type="dxa"/>
            <w:vMerge w:val="continue"/>
            <w:tcBorders>
              <w:top w:val="nil"/>
            </w:tcBorders>
            <w:vAlign w:val="top"/>
          </w:tcPr>
          <w:p w14:paraId="06F58C14">
            <w:pPr>
              <w:rPr>
                <w:rFonts w:ascii="Arial"/>
                <w:sz w:val="21"/>
              </w:rPr>
            </w:pPr>
          </w:p>
        </w:tc>
        <w:tc>
          <w:tcPr>
            <w:tcW w:w="803" w:type="dxa"/>
            <w:vAlign w:val="top"/>
          </w:tcPr>
          <w:p w14:paraId="34C36A90">
            <w:pPr>
              <w:spacing w:line="302" w:lineRule="auto"/>
              <w:rPr>
                <w:rFonts w:ascii="Arial"/>
                <w:sz w:val="21"/>
              </w:rPr>
            </w:pPr>
          </w:p>
          <w:p w14:paraId="71156631">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47C6C13">
            <w:pPr>
              <w:pStyle w:val="6"/>
              <w:spacing w:before="31" w:line="175" w:lineRule="auto"/>
              <w:ind w:left="116" w:right="109"/>
              <w:jc w:val="both"/>
            </w:pPr>
            <w:r>
              <w:rPr>
                <w:spacing w:val="26"/>
              </w:rPr>
              <w:t>挪用发包单位投入</w:t>
            </w:r>
            <w:r>
              <w:rPr>
                <w:spacing w:val="-12"/>
              </w:rPr>
              <w:t>的安全资金占比</w:t>
            </w:r>
            <w:r>
              <w:rPr>
                <w:rFonts w:ascii="宋体" w:hAnsi="宋体" w:eastAsia="宋体" w:cs="宋体"/>
                <w:spacing w:val="5"/>
              </w:rPr>
              <w:t>20%</w:t>
            </w:r>
            <w:r>
              <w:rPr>
                <w:spacing w:val="5"/>
              </w:rPr>
              <w:t>以上的</w:t>
            </w:r>
          </w:p>
        </w:tc>
        <w:tc>
          <w:tcPr>
            <w:tcW w:w="2894" w:type="dxa"/>
            <w:vAlign w:val="top"/>
          </w:tcPr>
          <w:p w14:paraId="68B0091C">
            <w:pPr>
              <w:pStyle w:val="6"/>
              <w:spacing w:before="31" w:line="175" w:lineRule="auto"/>
              <w:ind w:left="124" w:right="37" w:firstLine="2"/>
              <w:jc w:val="both"/>
            </w:pPr>
            <w:r>
              <w:rPr>
                <w:spacing w:val="-4"/>
              </w:rPr>
              <w:t>责令限期改正，给予警告，</w:t>
            </w:r>
            <w:r>
              <w:rPr>
                <w:spacing w:val="3"/>
              </w:rPr>
              <w:t>并处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万元以</w:t>
            </w:r>
            <w:r>
              <w:rPr>
                <w:spacing w:val="4"/>
              </w:rPr>
              <w:t>下的罚款</w:t>
            </w:r>
          </w:p>
        </w:tc>
        <w:tc>
          <w:tcPr>
            <w:tcW w:w="811" w:type="dxa"/>
            <w:vMerge w:val="continue"/>
            <w:tcBorders>
              <w:top w:val="nil"/>
            </w:tcBorders>
            <w:vAlign w:val="top"/>
          </w:tcPr>
          <w:p w14:paraId="165925C9">
            <w:pPr>
              <w:rPr>
                <w:rFonts w:ascii="Arial"/>
                <w:sz w:val="21"/>
              </w:rPr>
            </w:pPr>
          </w:p>
        </w:tc>
      </w:tr>
      <w:tr w14:paraId="6E3AC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818" w:type="dxa"/>
            <w:vAlign w:val="top"/>
          </w:tcPr>
          <w:p w14:paraId="37A527FE">
            <w:pPr>
              <w:spacing w:line="305" w:lineRule="auto"/>
              <w:rPr>
                <w:rFonts w:ascii="Arial"/>
                <w:sz w:val="21"/>
              </w:rPr>
            </w:pPr>
          </w:p>
          <w:p w14:paraId="462CB860">
            <w:pPr>
              <w:spacing w:before="75" w:line="185" w:lineRule="auto"/>
              <w:ind w:left="146"/>
              <w:rPr>
                <w:rFonts w:ascii="仿宋" w:hAnsi="仿宋" w:eastAsia="仿宋" w:cs="仿宋"/>
                <w:sz w:val="23"/>
                <w:szCs w:val="23"/>
              </w:rPr>
            </w:pPr>
            <w:r>
              <w:rPr>
                <w:rFonts w:ascii="仿宋" w:hAnsi="仿宋" w:eastAsia="仿宋" w:cs="仿宋"/>
                <w:sz w:val="23"/>
                <w:szCs w:val="23"/>
              </w:rPr>
              <w:t>220</w:t>
            </w:r>
          </w:p>
        </w:tc>
        <w:tc>
          <w:tcPr>
            <w:tcW w:w="1440" w:type="dxa"/>
            <w:vAlign w:val="top"/>
          </w:tcPr>
          <w:p w14:paraId="7AAAAA9F">
            <w:pPr>
              <w:pStyle w:val="6"/>
              <w:spacing w:before="34" w:line="175" w:lineRule="auto"/>
              <w:ind w:left="115" w:right="111" w:firstLine="9"/>
              <w:jc w:val="both"/>
            </w:pPr>
            <w:r>
              <w:rPr>
                <w:spacing w:val="9"/>
              </w:rPr>
              <w:t>石油天然气</w:t>
            </w:r>
            <w:r>
              <w:rPr>
                <w:spacing w:val="11"/>
              </w:rPr>
              <w:t>开采承包单位未按规定</w:t>
            </w:r>
          </w:p>
        </w:tc>
        <w:tc>
          <w:tcPr>
            <w:tcW w:w="3202" w:type="dxa"/>
            <w:vAlign w:val="top"/>
          </w:tcPr>
          <w:p w14:paraId="09601D20">
            <w:pPr>
              <w:pStyle w:val="6"/>
              <w:spacing w:before="34" w:line="175" w:lineRule="auto"/>
              <w:ind w:left="114" w:right="42" w:hanging="16"/>
              <w:jc w:val="both"/>
            </w:pPr>
            <w:r>
              <w:rPr>
                <w:spacing w:val="18"/>
              </w:rPr>
              <w:t>【部门规章】《非煤矿山外包工程安全管理暂行办法》</w:t>
            </w:r>
            <w:r>
              <w:rPr>
                <w:spacing w:val="3"/>
              </w:rPr>
              <w:t>第二十三条第一款、第二款：</w:t>
            </w:r>
          </w:p>
        </w:tc>
        <w:tc>
          <w:tcPr>
            <w:tcW w:w="2859" w:type="dxa"/>
            <w:vAlign w:val="top"/>
          </w:tcPr>
          <w:p w14:paraId="0B725E96">
            <w:pPr>
              <w:pStyle w:val="6"/>
              <w:spacing w:before="34" w:line="175" w:lineRule="auto"/>
              <w:ind w:left="128" w:right="110" w:hanging="31"/>
              <w:jc w:val="both"/>
            </w:pPr>
            <w:r>
              <w:rPr>
                <w:spacing w:val="10"/>
              </w:rPr>
              <w:t>【部门规章】《非煤矿山</w:t>
            </w:r>
            <w:r>
              <w:rPr>
                <w:spacing w:val="7"/>
              </w:rPr>
              <w:t>外包工程安全管理暂行办</w:t>
            </w:r>
            <w:r>
              <w:rPr>
                <w:spacing w:val="6"/>
              </w:rPr>
              <w:t>法》第三十七条第二款：</w:t>
            </w:r>
          </w:p>
        </w:tc>
        <w:tc>
          <w:tcPr>
            <w:tcW w:w="803" w:type="dxa"/>
            <w:vAlign w:val="top"/>
          </w:tcPr>
          <w:p w14:paraId="0C1C65C8">
            <w:pPr>
              <w:spacing w:line="299" w:lineRule="auto"/>
              <w:rPr>
                <w:rFonts w:ascii="Arial"/>
                <w:sz w:val="21"/>
              </w:rPr>
            </w:pPr>
          </w:p>
          <w:p w14:paraId="79DE541D">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DD47D61">
            <w:pPr>
              <w:pStyle w:val="6"/>
              <w:spacing w:before="34" w:line="175" w:lineRule="auto"/>
              <w:ind w:left="117" w:right="109" w:firstLine="2"/>
              <w:jc w:val="both"/>
            </w:pPr>
            <w:r>
              <w:rPr>
                <w:spacing w:val="26"/>
              </w:rPr>
              <w:t>承包单位按规定制</w:t>
            </w:r>
            <w:r>
              <w:rPr>
                <w:spacing w:val="-3"/>
              </w:rPr>
              <w:t>定施工方案，加强现场作业安全管理，及</w:t>
            </w:r>
          </w:p>
        </w:tc>
        <w:tc>
          <w:tcPr>
            <w:tcW w:w="2894" w:type="dxa"/>
            <w:vAlign w:val="top"/>
          </w:tcPr>
          <w:p w14:paraId="1D3DF00B">
            <w:pPr>
              <w:pStyle w:val="6"/>
              <w:spacing w:before="34" w:line="175" w:lineRule="auto"/>
              <w:ind w:left="127" w:right="37"/>
              <w:jc w:val="both"/>
              <w:rPr>
                <w:rFonts w:ascii="宋体" w:hAnsi="宋体" w:eastAsia="宋体" w:cs="宋体"/>
              </w:rPr>
            </w:pPr>
            <w:r>
              <w:rPr>
                <w:spacing w:val="10"/>
              </w:rPr>
              <w:t>责令立即消除或者限期消</w:t>
            </w:r>
            <w:r>
              <w:rPr>
                <w:spacing w:val="-4"/>
              </w:rPr>
              <w:t>除，承包单位拒不执行的，</w:t>
            </w:r>
            <w:r>
              <w:rPr>
                <w:spacing w:val="-2"/>
              </w:rPr>
              <w:t>责令停产停业整顿，处</w:t>
            </w:r>
            <w:r>
              <w:rPr>
                <w:rFonts w:ascii="宋体" w:hAnsi="宋体" w:eastAsia="宋体" w:cs="宋体"/>
                <w:spacing w:val="-2"/>
              </w:rPr>
              <w:t>10</w:t>
            </w:r>
          </w:p>
        </w:tc>
        <w:tc>
          <w:tcPr>
            <w:tcW w:w="811" w:type="dxa"/>
            <w:vAlign w:val="top"/>
          </w:tcPr>
          <w:p w14:paraId="4189E9C5">
            <w:pPr>
              <w:rPr>
                <w:rFonts w:ascii="Arial"/>
                <w:sz w:val="21"/>
              </w:rPr>
            </w:pPr>
          </w:p>
        </w:tc>
      </w:tr>
    </w:tbl>
    <w:p w14:paraId="27EB7F4B">
      <w:pPr>
        <w:pStyle w:val="2"/>
      </w:pPr>
    </w:p>
    <w:p w14:paraId="73A11859">
      <w:pPr>
        <w:sectPr>
          <w:footerReference r:id="rId220" w:type="default"/>
          <w:pgSz w:w="16839" w:h="11906"/>
          <w:pgMar w:top="1012" w:right="821" w:bottom="667" w:left="901" w:header="0" w:footer="388" w:gutter="0"/>
          <w:cols w:space="720" w:num="1"/>
        </w:sectPr>
      </w:pPr>
    </w:p>
    <w:p w14:paraId="620F0EE0">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BAB6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F6D2612">
            <w:pPr>
              <w:spacing w:before="222" w:line="241" w:lineRule="auto"/>
              <w:ind w:left="131"/>
              <w:rPr>
                <w:rFonts w:ascii="黑体" w:hAnsi="黑体" w:eastAsia="黑体" w:cs="黑体"/>
                <w:sz w:val="28"/>
                <w:szCs w:val="28"/>
              </w:rPr>
            </w:pPr>
            <w:bookmarkStart w:id="722" w:name="bookmark610"/>
            <w:bookmarkEnd w:id="722"/>
            <w:r>
              <w:rPr>
                <w:rFonts w:ascii="黑体" w:hAnsi="黑体" w:eastAsia="黑体" w:cs="黑体"/>
                <w:spacing w:val="-2"/>
                <w:sz w:val="28"/>
                <w:szCs w:val="28"/>
              </w:rPr>
              <w:t>序号</w:t>
            </w:r>
          </w:p>
        </w:tc>
        <w:tc>
          <w:tcPr>
            <w:tcW w:w="1440" w:type="dxa"/>
            <w:vAlign w:val="top"/>
          </w:tcPr>
          <w:p w14:paraId="6DD52E50">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497C5EE">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EFF732E">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416B83A">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3A6234AF">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54C1475F">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70CC9ACA">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725CB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818" w:type="dxa"/>
            <w:vMerge w:val="restart"/>
            <w:tcBorders>
              <w:bottom w:val="nil"/>
            </w:tcBorders>
            <w:vAlign w:val="top"/>
          </w:tcPr>
          <w:p w14:paraId="0183CAFD">
            <w:pPr>
              <w:rPr>
                <w:rFonts w:ascii="Arial"/>
                <w:sz w:val="21"/>
              </w:rPr>
            </w:pPr>
          </w:p>
        </w:tc>
        <w:tc>
          <w:tcPr>
            <w:tcW w:w="1440" w:type="dxa"/>
            <w:vMerge w:val="restart"/>
            <w:tcBorders>
              <w:bottom w:val="nil"/>
            </w:tcBorders>
            <w:vAlign w:val="top"/>
          </w:tcPr>
          <w:p w14:paraId="096D9BBE">
            <w:pPr>
              <w:pStyle w:val="6"/>
              <w:spacing w:before="29" w:line="195" w:lineRule="auto"/>
              <w:ind w:left="123" w:right="111" w:hanging="6"/>
            </w:pPr>
            <w:r>
              <w:rPr>
                <w:spacing w:val="11"/>
              </w:rPr>
              <w:t>排查治理事</w:t>
            </w:r>
            <w:r>
              <w:rPr>
                <w:spacing w:val="4"/>
              </w:rPr>
              <w:t>故隐患的</w:t>
            </w:r>
          </w:p>
        </w:tc>
        <w:tc>
          <w:tcPr>
            <w:tcW w:w="3202" w:type="dxa"/>
            <w:vMerge w:val="restart"/>
            <w:tcBorders>
              <w:bottom w:val="nil"/>
            </w:tcBorders>
            <w:vAlign w:val="top"/>
          </w:tcPr>
          <w:p w14:paraId="76409317">
            <w:pPr>
              <w:pStyle w:val="6"/>
              <w:spacing w:before="30" w:line="182" w:lineRule="auto"/>
              <w:ind w:left="122" w:right="111" w:hanging="2"/>
              <w:jc w:val="both"/>
            </w:pPr>
            <w:r>
              <w:rPr>
                <w:spacing w:val="17"/>
              </w:rPr>
              <w:t>承包单位应当依照有关规定</w:t>
            </w:r>
            <w:r>
              <w:rPr>
                <w:spacing w:val="13"/>
              </w:rPr>
              <w:t>制定施工方案，加强现场作业安全管理，及时发现并消</w:t>
            </w:r>
          </w:p>
          <w:p w14:paraId="7FA5878F">
            <w:pPr>
              <w:pStyle w:val="6"/>
              <w:spacing w:line="182" w:lineRule="auto"/>
              <w:ind w:left="136"/>
              <w:outlineLvl w:val="0"/>
            </w:pPr>
            <w:r>
              <w:rPr>
                <w:spacing w:val="10"/>
              </w:rPr>
              <w:t>除事故隐患，落实各项规章</w:t>
            </w:r>
          </w:p>
          <w:p w14:paraId="188E4B05">
            <w:pPr>
              <w:pStyle w:val="6"/>
              <w:spacing w:line="182" w:lineRule="auto"/>
              <w:ind w:left="123"/>
            </w:pPr>
            <w:r>
              <w:rPr>
                <w:spacing w:val="4"/>
              </w:rPr>
              <w:t>制度和安全操作规程。</w:t>
            </w:r>
          </w:p>
          <w:p w14:paraId="4A89B936">
            <w:pPr>
              <w:pStyle w:val="6"/>
              <w:spacing w:before="5" w:line="187" w:lineRule="auto"/>
              <w:ind w:left="117" w:right="26" w:firstLine="2"/>
            </w:pPr>
            <w:r>
              <w:rPr>
                <w:spacing w:val="17"/>
              </w:rPr>
              <w:t>承包单位发现事故隐患后应</w:t>
            </w:r>
            <w:bookmarkStart w:id="723" w:name="bookmark449"/>
            <w:bookmarkEnd w:id="723"/>
            <w:r>
              <w:rPr>
                <w:spacing w:val="13"/>
              </w:rPr>
              <w:t>当立即治理；不能立即治理</w:t>
            </w:r>
            <w:r>
              <w:rPr>
                <w:spacing w:val="39"/>
              </w:rPr>
              <w:t>的应当采取必要的防范措</w:t>
            </w:r>
            <w:r>
              <w:rPr>
                <w:spacing w:val="13"/>
              </w:rPr>
              <w:t>施，并及时书面报告发包单</w:t>
            </w:r>
            <w:r>
              <w:t>位协商解决，消除事故隐患。</w:t>
            </w:r>
          </w:p>
        </w:tc>
        <w:tc>
          <w:tcPr>
            <w:tcW w:w="2859" w:type="dxa"/>
            <w:vMerge w:val="restart"/>
            <w:tcBorders>
              <w:bottom w:val="nil"/>
            </w:tcBorders>
            <w:vAlign w:val="top"/>
          </w:tcPr>
          <w:p w14:paraId="756FC368">
            <w:pPr>
              <w:pStyle w:val="6"/>
              <w:spacing w:before="26" w:line="185" w:lineRule="auto"/>
              <w:ind w:left="115" w:right="105" w:firstLine="4"/>
              <w:jc w:val="both"/>
            </w:pPr>
            <w:r>
              <w:rPr>
                <w:spacing w:val="8"/>
              </w:rPr>
              <w:t>承包单位未按照本办法第二十三条的规定排查治理事故隐患的，责令立即消除或者限期消除；承包单位拒不执行的，责令停产</w:t>
            </w:r>
            <w:r>
              <w:rPr>
                <w:spacing w:val="-7"/>
              </w:rPr>
              <w:t>停业整顿，并处</w:t>
            </w:r>
            <w:r>
              <w:rPr>
                <w:rFonts w:ascii="宋体" w:hAnsi="宋体" w:eastAsia="宋体" w:cs="宋体"/>
                <w:spacing w:val="-7"/>
              </w:rPr>
              <w:t>10</w:t>
            </w:r>
            <w:r>
              <w:rPr>
                <w:spacing w:val="-7"/>
              </w:rPr>
              <w:t>万元以</w:t>
            </w:r>
            <w:r>
              <w:rPr>
                <w:spacing w:val="-5"/>
              </w:rPr>
              <w:t>上</w:t>
            </w:r>
            <w:r>
              <w:rPr>
                <w:rFonts w:ascii="宋体" w:hAnsi="宋体" w:eastAsia="宋体" w:cs="宋体"/>
                <w:spacing w:val="-5"/>
              </w:rPr>
              <w:t>50</w:t>
            </w:r>
            <w:r>
              <w:rPr>
                <w:spacing w:val="-5"/>
              </w:rPr>
              <w:t>万元以下的罚款，对</w:t>
            </w:r>
            <w:r>
              <w:rPr>
                <w:spacing w:val="8"/>
              </w:rPr>
              <w:t>其直接负责的主管人员和</w:t>
            </w:r>
            <w:r>
              <w:rPr>
                <w:spacing w:val="5"/>
              </w:rPr>
              <w:t>其他直接责任人员处</w:t>
            </w:r>
            <w:r>
              <w:rPr>
                <w:rFonts w:ascii="宋体" w:hAnsi="宋体" w:eastAsia="宋体" w:cs="宋体"/>
                <w:spacing w:val="5"/>
              </w:rPr>
              <w:t>2</w:t>
            </w:r>
            <w:r>
              <w:rPr>
                <w:spacing w:val="5"/>
              </w:rPr>
              <w:t>万</w:t>
            </w:r>
            <w:r>
              <w:rPr>
                <w:spacing w:val="20"/>
              </w:rPr>
              <w:t>元以上</w:t>
            </w:r>
            <w:r>
              <w:rPr>
                <w:rFonts w:ascii="宋体" w:hAnsi="宋体" w:eastAsia="宋体" w:cs="宋体"/>
                <w:spacing w:val="20"/>
              </w:rPr>
              <w:t>5</w:t>
            </w:r>
            <w:r>
              <w:rPr>
                <w:spacing w:val="20"/>
              </w:rPr>
              <w:t>万元以下的罚</w:t>
            </w:r>
            <w:r>
              <w:rPr>
                <w:spacing w:val="-7"/>
              </w:rPr>
              <w:t>款。</w:t>
            </w:r>
          </w:p>
        </w:tc>
        <w:tc>
          <w:tcPr>
            <w:tcW w:w="803" w:type="dxa"/>
            <w:vAlign w:val="top"/>
          </w:tcPr>
          <w:p w14:paraId="470DADF4">
            <w:pPr>
              <w:rPr>
                <w:rFonts w:ascii="Arial"/>
                <w:sz w:val="21"/>
              </w:rPr>
            </w:pPr>
          </w:p>
        </w:tc>
        <w:tc>
          <w:tcPr>
            <w:tcW w:w="2283" w:type="dxa"/>
            <w:vAlign w:val="top"/>
          </w:tcPr>
          <w:p w14:paraId="4E3F2FD3">
            <w:pPr>
              <w:pStyle w:val="6"/>
              <w:spacing w:before="28" w:line="191" w:lineRule="auto"/>
              <w:ind w:left="116" w:right="109" w:firstLine="24"/>
              <w:jc w:val="both"/>
            </w:pPr>
            <w:r>
              <w:rPr>
                <w:spacing w:val="23"/>
              </w:rPr>
              <w:t>时发现并消除事故</w:t>
            </w:r>
            <w:r>
              <w:rPr>
                <w:spacing w:val="-2"/>
              </w:rPr>
              <w:t>隐患，但未按规定治</w:t>
            </w:r>
            <w:r>
              <w:rPr>
                <w:spacing w:val="7"/>
              </w:rPr>
              <w:t>理一般事故隐患的</w:t>
            </w:r>
          </w:p>
        </w:tc>
        <w:tc>
          <w:tcPr>
            <w:tcW w:w="2894" w:type="dxa"/>
            <w:vAlign w:val="top"/>
          </w:tcPr>
          <w:p w14:paraId="7C0367C1">
            <w:pPr>
              <w:pStyle w:val="6"/>
              <w:spacing w:before="30" w:line="178" w:lineRule="auto"/>
              <w:ind w:left="124" w:right="106" w:firstLine="5"/>
              <w:jc w:val="both"/>
            </w:pPr>
            <w:r>
              <w:rPr>
                <w:spacing w:val="11"/>
              </w:rPr>
              <w:t>万元以上</w:t>
            </w:r>
            <w:r>
              <w:rPr>
                <w:rFonts w:ascii="宋体" w:hAnsi="宋体" w:eastAsia="宋体" w:cs="宋体"/>
                <w:spacing w:val="11"/>
              </w:rPr>
              <w:t>30</w:t>
            </w:r>
            <w:r>
              <w:rPr>
                <w:spacing w:val="11"/>
              </w:rPr>
              <w:t>万元以下的</w:t>
            </w:r>
            <w:r>
              <w:rPr>
                <w:spacing w:val="8"/>
              </w:rPr>
              <w:t>罚款，对其直接负责的主</w:t>
            </w:r>
            <w:r>
              <w:rPr>
                <w:spacing w:val="11"/>
              </w:rPr>
              <w:t>管人员和其他直接责任人</w:t>
            </w:r>
            <w:r>
              <w:rPr>
                <w:spacing w:val="3"/>
              </w:rPr>
              <w:t>员处</w:t>
            </w:r>
            <w:r>
              <w:rPr>
                <w:rFonts w:ascii="宋体" w:hAnsi="宋体" w:eastAsia="宋体" w:cs="宋体"/>
                <w:spacing w:val="3"/>
              </w:rPr>
              <w:t>2</w:t>
            </w:r>
            <w:r>
              <w:rPr>
                <w:spacing w:val="3"/>
              </w:rPr>
              <w:t>万元以上</w:t>
            </w:r>
            <w:r>
              <w:rPr>
                <w:rFonts w:ascii="宋体" w:hAnsi="宋体" w:eastAsia="宋体" w:cs="宋体"/>
                <w:spacing w:val="3"/>
              </w:rPr>
              <w:t>3</w:t>
            </w:r>
            <w:r>
              <w:rPr>
                <w:spacing w:val="3"/>
              </w:rPr>
              <w:t>万元以</w:t>
            </w:r>
            <w:r>
              <w:rPr>
                <w:spacing w:val="4"/>
              </w:rPr>
              <w:t>下的罚款</w:t>
            </w:r>
          </w:p>
        </w:tc>
        <w:tc>
          <w:tcPr>
            <w:tcW w:w="811" w:type="dxa"/>
            <w:vMerge w:val="restart"/>
            <w:tcBorders>
              <w:bottom w:val="nil"/>
            </w:tcBorders>
            <w:vAlign w:val="top"/>
          </w:tcPr>
          <w:p w14:paraId="548DC442">
            <w:pPr>
              <w:rPr>
                <w:rFonts w:ascii="Arial"/>
                <w:sz w:val="21"/>
              </w:rPr>
            </w:pPr>
          </w:p>
        </w:tc>
      </w:tr>
      <w:tr w14:paraId="3D5AE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Merge w:val="continue"/>
            <w:tcBorders>
              <w:top w:val="nil"/>
              <w:bottom w:val="nil"/>
            </w:tcBorders>
            <w:vAlign w:val="top"/>
          </w:tcPr>
          <w:p w14:paraId="72D597F9">
            <w:pPr>
              <w:rPr>
                <w:rFonts w:ascii="Arial"/>
                <w:sz w:val="21"/>
              </w:rPr>
            </w:pPr>
          </w:p>
        </w:tc>
        <w:tc>
          <w:tcPr>
            <w:tcW w:w="1440" w:type="dxa"/>
            <w:vMerge w:val="continue"/>
            <w:tcBorders>
              <w:top w:val="nil"/>
              <w:bottom w:val="nil"/>
            </w:tcBorders>
            <w:vAlign w:val="top"/>
          </w:tcPr>
          <w:p w14:paraId="42C7AF6F">
            <w:pPr>
              <w:rPr>
                <w:rFonts w:ascii="Arial"/>
                <w:sz w:val="21"/>
              </w:rPr>
            </w:pPr>
          </w:p>
        </w:tc>
        <w:tc>
          <w:tcPr>
            <w:tcW w:w="3202" w:type="dxa"/>
            <w:vMerge w:val="continue"/>
            <w:tcBorders>
              <w:top w:val="nil"/>
              <w:bottom w:val="nil"/>
            </w:tcBorders>
            <w:vAlign w:val="top"/>
          </w:tcPr>
          <w:p w14:paraId="4804CCE0">
            <w:pPr>
              <w:rPr>
                <w:rFonts w:ascii="Arial"/>
                <w:sz w:val="21"/>
              </w:rPr>
            </w:pPr>
          </w:p>
        </w:tc>
        <w:tc>
          <w:tcPr>
            <w:tcW w:w="2859" w:type="dxa"/>
            <w:vMerge w:val="continue"/>
            <w:tcBorders>
              <w:top w:val="nil"/>
              <w:bottom w:val="nil"/>
            </w:tcBorders>
            <w:vAlign w:val="top"/>
          </w:tcPr>
          <w:p w14:paraId="4AC247CD">
            <w:pPr>
              <w:rPr>
                <w:rFonts w:ascii="Arial"/>
                <w:sz w:val="21"/>
              </w:rPr>
            </w:pPr>
          </w:p>
        </w:tc>
        <w:tc>
          <w:tcPr>
            <w:tcW w:w="803" w:type="dxa"/>
            <w:vAlign w:val="top"/>
          </w:tcPr>
          <w:p w14:paraId="1A3F357E">
            <w:pPr>
              <w:spacing w:line="260" w:lineRule="auto"/>
              <w:rPr>
                <w:rFonts w:ascii="Arial"/>
                <w:sz w:val="21"/>
              </w:rPr>
            </w:pPr>
          </w:p>
          <w:p w14:paraId="19938BB5">
            <w:pPr>
              <w:spacing w:line="261" w:lineRule="auto"/>
              <w:rPr>
                <w:rFonts w:ascii="Arial"/>
                <w:sz w:val="21"/>
              </w:rPr>
            </w:pPr>
          </w:p>
          <w:p w14:paraId="0BE8995C">
            <w:pPr>
              <w:spacing w:line="261" w:lineRule="auto"/>
              <w:rPr>
                <w:rFonts w:ascii="Arial"/>
                <w:sz w:val="21"/>
              </w:rPr>
            </w:pPr>
          </w:p>
          <w:p w14:paraId="0EE9DC30">
            <w:pPr>
              <w:spacing w:line="261" w:lineRule="auto"/>
              <w:rPr>
                <w:rFonts w:ascii="Arial"/>
                <w:sz w:val="21"/>
              </w:rPr>
            </w:pPr>
          </w:p>
          <w:p w14:paraId="25130CF9">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A25AE2B">
            <w:pPr>
              <w:pStyle w:val="6"/>
              <w:spacing w:before="328" w:line="187" w:lineRule="auto"/>
              <w:ind w:left="116" w:right="109" w:firstLine="3"/>
              <w:jc w:val="both"/>
            </w:pPr>
            <w:r>
              <w:rPr>
                <w:spacing w:val="26"/>
              </w:rPr>
              <w:t>承包单位按规定制</w:t>
            </w:r>
            <w:r>
              <w:rPr>
                <w:spacing w:val="-2"/>
              </w:rPr>
              <w:t>定施工方案，加强现场作业安全管理，及</w:t>
            </w:r>
            <w:r>
              <w:rPr>
                <w:spacing w:val="26"/>
              </w:rPr>
              <w:t>时发现并消除事故</w:t>
            </w:r>
            <w:r>
              <w:rPr>
                <w:spacing w:val="-2"/>
              </w:rPr>
              <w:t>隐患，但未按规定治</w:t>
            </w:r>
            <w:r>
              <w:rPr>
                <w:spacing w:val="7"/>
              </w:rPr>
              <w:t>理重大事故隐患的</w:t>
            </w:r>
          </w:p>
        </w:tc>
        <w:tc>
          <w:tcPr>
            <w:tcW w:w="2894" w:type="dxa"/>
            <w:vAlign w:val="top"/>
          </w:tcPr>
          <w:p w14:paraId="1E1738A4">
            <w:pPr>
              <w:pStyle w:val="6"/>
              <w:spacing w:before="26" w:line="180" w:lineRule="auto"/>
              <w:ind w:left="124" w:right="37" w:firstLine="2"/>
              <w:jc w:val="both"/>
            </w:pPr>
            <w:r>
              <w:rPr>
                <w:spacing w:val="10"/>
              </w:rPr>
              <w:t>责令立即消除或者限期消</w:t>
            </w:r>
            <w:r>
              <w:rPr>
                <w:spacing w:val="-3"/>
              </w:rPr>
              <w:t>除，承包单位拒不执行的，</w:t>
            </w:r>
            <w:r>
              <w:rPr>
                <w:spacing w:val="-1"/>
              </w:rPr>
              <w:t>责令停产停业整顿，处</w:t>
            </w:r>
            <w:r>
              <w:rPr>
                <w:rFonts w:ascii="宋体" w:hAnsi="宋体" w:eastAsia="宋体" w:cs="宋体"/>
                <w:spacing w:val="-1"/>
              </w:rPr>
              <w:t>30</w:t>
            </w:r>
            <w:r>
              <w:rPr>
                <w:spacing w:val="13"/>
              </w:rPr>
              <w:t>万元以上</w:t>
            </w:r>
            <w:r>
              <w:rPr>
                <w:rFonts w:ascii="宋体" w:hAnsi="宋体" w:eastAsia="宋体" w:cs="宋体"/>
                <w:spacing w:val="13"/>
              </w:rPr>
              <w:t>40</w:t>
            </w:r>
            <w:r>
              <w:rPr>
                <w:spacing w:val="13"/>
              </w:rPr>
              <w:t>万元以下的</w:t>
            </w:r>
            <w:r>
              <w:rPr>
                <w:spacing w:val="8"/>
              </w:rPr>
              <w:t>罚款，对其直接负责的主</w:t>
            </w:r>
            <w:r>
              <w:rPr>
                <w:spacing w:val="11"/>
              </w:rPr>
              <w:t>管人员和其他直接责任人</w:t>
            </w:r>
            <w:r>
              <w:rPr>
                <w:spacing w:val="3"/>
              </w:rPr>
              <w:t>员处</w:t>
            </w:r>
            <w:r>
              <w:rPr>
                <w:rFonts w:ascii="宋体" w:hAnsi="宋体" w:eastAsia="宋体" w:cs="宋体"/>
                <w:spacing w:val="3"/>
              </w:rPr>
              <w:t>3</w:t>
            </w:r>
            <w:r>
              <w:rPr>
                <w:spacing w:val="3"/>
              </w:rPr>
              <w:t>万元以上</w:t>
            </w:r>
            <w:r>
              <w:rPr>
                <w:rFonts w:ascii="宋体" w:hAnsi="宋体" w:eastAsia="宋体" w:cs="宋体"/>
                <w:spacing w:val="3"/>
              </w:rPr>
              <w:t>4</w:t>
            </w:r>
            <w:r>
              <w:rPr>
                <w:spacing w:val="3"/>
              </w:rPr>
              <w:t>万元以</w:t>
            </w:r>
            <w:r>
              <w:rPr>
                <w:spacing w:val="4"/>
              </w:rPr>
              <w:t>下的罚款</w:t>
            </w:r>
          </w:p>
        </w:tc>
        <w:tc>
          <w:tcPr>
            <w:tcW w:w="811" w:type="dxa"/>
            <w:vMerge w:val="continue"/>
            <w:tcBorders>
              <w:top w:val="nil"/>
              <w:bottom w:val="nil"/>
            </w:tcBorders>
            <w:vAlign w:val="top"/>
          </w:tcPr>
          <w:p w14:paraId="5D8AA9DC">
            <w:pPr>
              <w:rPr>
                <w:rFonts w:ascii="Arial"/>
                <w:sz w:val="21"/>
              </w:rPr>
            </w:pPr>
          </w:p>
        </w:tc>
      </w:tr>
      <w:tr w14:paraId="171EF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18" w:type="dxa"/>
            <w:vMerge w:val="continue"/>
            <w:tcBorders>
              <w:top w:val="nil"/>
            </w:tcBorders>
            <w:vAlign w:val="top"/>
          </w:tcPr>
          <w:p w14:paraId="715EE71F">
            <w:pPr>
              <w:rPr>
                <w:rFonts w:ascii="Arial"/>
                <w:sz w:val="21"/>
              </w:rPr>
            </w:pPr>
          </w:p>
        </w:tc>
        <w:tc>
          <w:tcPr>
            <w:tcW w:w="1440" w:type="dxa"/>
            <w:vMerge w:val="continue"/>
            <w:tcBorders>
              <w:top w:val="nil"/>
            </w:tcBorders>
            <w:vAlign w:val="top"/>
          </w:tcPr>
          <w:p w14:paraId="4BCBA737">
            <w:pPr>
              <w:rPr>
                <w:rFonts w:ascii="Arial"/>
                <w:sz w:val="21"/>
              </w:rPr>
            </w:pPr>
          </w:p>
        </w:tc>
        <w:tc>
          <w:tcPr>
            <w:tcW w:w="3202" w:type="dxa"/>
            <w:vMerge w:val="continue"/>
            <w:tcBorders>
              <w:top w:val="nil"/>
            </w:tcBorders>
            <w:vAlign w:val="top"/>
          </w:tcPr>
          <w:p w14:paraId="4846EACA">
            <w:pPr>
              <w:rPr>
                <w:rFonts w:ascii="Arial"/>
                <w:sz w:val="21"/>
              </w:rPr>
            </w:pPr>
          </w:p>
        </w:tc>
        <w:tc>
          <w:tcPr>
            <w:tcW w:w="2859" w:type="dxa"/>
            <w:vMerge w:val="continue"/>
            <w:tcBorders>
              <w:top w:val="nil"/>
            </w:tcBorders>
            <w:vAlign w:val="top"/>
          </w:tcPr>
          <w:p w14:paraId="5AEBBCC1">
            <w:pPr>
              <w:rPr>
                <w:rFonts w:ascii="Arial"/>
                <w:sz w:val="21"/>
              </w:rPr>
            </w:pPr>
          </w:p>
        </w:tc>
        <w:tc>
          <w:tcPr>
            <w:tcW w:w="803" w:type="dxa"/>
            <w:vAlign w:val="top"/>
          </w:tcPr>
          <w:p w14:paraId="008A27E5">
            <w:pPr>
              <w:spacing w:line="261" w:lineRule="auto"/>
              <w:rPr>
                <w:rFonts w:ascii="Arial"/>
                <w:sz w:val="21"/>
              </w:rPr>
            </w:pPr>
          </w:p>
          <w:p w14:paraId="23FCC3AB">
            <w:pPr>
              <w:spacing w:line="261" w:lineRule="auto"/>
              <w:rPr>
                <w:rFonts w:ascii="Arial"/>
                <w:sz w:val="21"/>
              </w:rPr>
            </w:pPr>
          </w:p>
          <w:p w14:paraId="124E6836">
            <w:pPr>
              <w:spacing w:line="261" w:lineRule="auto"/>
              <w:rPr>
                <w:rFonts w:ascii="Arial"/>
                <w:sz w:val="21"/>
              </w:rPr>
            </w:pPr>
          </w:p>
          <w:p w14:paraId="45C085E5">
            <w:pPr>
              <w:spacing w:line="262" w:lineRule="auto"/>
              <w:rPr>
                <w:rFonts w:ascii="Arial"/>
                <w:sz w:val="21"/>
              </w:rPr>
            </w:pPr>
          </w:p>
          <w:p w14:paraId="7E5E3ADE">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EB11572">
            <w:pPr>
              <w:spacing w:line="376" w:lineRule="auto"/>
              <w:rPr>
                <w:rFonts w:ascii="Arial"/>
                <w:sz w:val="21"/>
              </w:rPr>
            </w:pPr>
          </w:p>
          <w:p w14:paraId="30A1D6AF">
            <w:pPr>
              <w:pStyle w:val="6"/>
              <w:spacing w:before="98" w:line="188" w:lineRule="auto"/>
              <w:ind w:left="116" w:right="109" w:firstLine="3"/>
              <w:jc w:val="both"/>
            </w:pPr>
            <w:r>
              <w:rPr>
                <w:spacing w:val="26"/>
              </w:rPr>
              <w:t>承包单位未按规定</w:t>
            </w:r>
            <w:r>
              <w:rPr>
                <w:spacing w:val="-2"/>
              </w:rPr>
              <w:t>制定施工方案，未加</w:t>
            </w:r>
            <w:r>
              <w:rPr>
                <w:spacing w:val="26"/>
              </w:rPr>
              <w:t>强现场作业安全管</w:t>
            </w:r>
            <w:r>
              <w:rPr>
                <w:spacing w:val="-2"/>
              </w:rPr>
              <w:t>理，未及时发现并消</w:t>
            </w:r>
            <w:r>
              <w:rPr>
                <w:spacing w:val="7"/>
              </w:rPr>
              <w:t>除事故隐患的</w:t>
            </w:r>
          </w:p>
        </w:tc>
        <w:tc>
          <w:tcPr>
            <w:tcW w:w="2894" w:type="dxa"/>
            <w:vAlign w:val="top"/>
          </w:tcPr>
          <w:p w14:paraId="471842F8">
            <w:pPr>
              <w:pStyle w:val="6"/>
              <w:spacing w:before="26" w:line="180" w:lineRule="auto"/>
              <w:ind w:left="124" w:right="37" w:firstLine="2"/>
              <w:jc w:val="both"/>
            </w:pPr>
            <w:r>
              <w:rPr>
                <w:spacing w:val="10"/>
              </w:rPr>
              <w:t>责令立即消除或者限期消</w:t>
            </w:r>
            <w:r>
              <w:rPr>
                <w:spacing w:val="-3"/>
              </w:rPr>
              <w:t>除，承包单位拒不执行的，</w:t>
            </w:r>
            <w:r>
              <w:rPr>
                <w:spacing w:val="-1"/>
              </w:rPr>
              <w:t>责令停产停业整顿，处</w:t>
            </w:r>
            <w:r>
              <w:rPr>
                <w:rFonts w:ascii="宋体" w:hAnsi="宋体" w:eastAsia="宋体" w:cs="宋体"/>
                <w:spacing w:val="-1"/>
              </w:rPr>
              <w:t>40</w:t>
            </w:r>
            <w:r>
              <w:rPr>
                <w:spacing w:val="12"/>
              </w:rPr>
              <w:t>万元以上</w:t>
            </w:r>
            <w:r>
              <w:rPr>
                <w:rFonts w:ascii="宋体" w:hAnsi="宋体" w:eastAsia="宋体" w:cs="宋体"/>
                <w:spacing w:val="12"/>
              </w:rPr>
              <w:t>50</w:t>
            </w:r>
            <w:r>
              <w:rPr>
                <w:spacing w:val="12"/>
              </w:rPr>
              <w:t>万元以下的</w:t>
            </w:r>
            <w:r>
              <w:rPr>
                <w:spacing w:val="8"/>
              </w:rPr>
              <w:t>罚款，对其直接负责的主</w:t>
            </w:r>
            <w:r>
              <w:rPr>
                <w:spacing w:val="11"/>
              </w:rPr>
              <w:t>管人员和其他直接责任人</w:t>
            </w:r>
            <w:r>
              <w:rPr>
                <w:spacing w:val="3"/>
              </w:rPr>
              <w:t>员处</w:t>
            </w:r>
            <w:r>
              <w:rPr>
                <w:rFonts w:ascii="宋体" w:hAnsi="宋体" w:eastAsia="宋体" w:cs="宋体"/>
                <w:spacing w:val="3"/>
              </w:rPr>
              <w:t>4</w:t>
            </w:r>
            <w:r>
              <w:rPr>
                <w:spacing w:val="3"/>
              </w:rPr>
              <w:t>万元以上</w:t>
            </w:r>
            <w:r>
              <w:rPr>
                <w:rFonts w:ascii="宋体" w:hAnsi="宋体" w:eastAsia="宋体" w:cs="宋体"/>
                <w:spacing w:val="3"/>
              </w:rPr>
              <w:t>5</w:t>
            </w:r>
            <w:r>
              <w:rPr>
                <w:spacing w:val="3"/>
              </w:rPr>
              <w:t>万元以</w:t>
            </w:r>
            <w:r>
              <w:rPr>
                <w:spacing w:val="4"/>
              </w:rPr>
              <w:t>下的罚款</w:t>
            </w:r>
          </w:p>
        </w:tc>
        <w:tc>
          <w:tcPr>
            <w:tcW w:w="811" w:type="dxa"/>
            <w:vMerge w:val="continue"/>
            <w:tcBorders>
              <w:top w:val="nil"/>
            </w:tcBorders>
            <w:vAlign w:val="top"/>
          </w:tcPr>
          <w:p w14:paraId="7482AB62">
            <w:pPr>
              <w:rPr>
                <w:rFonts w:ascii="Arial"/>
                <w:sz w:val="21"/>
              </w:rPr>
            </w:pPr>
          </w:p>
        </w:tc>
      </w:tr>
      <w:tr w14:paraId="46184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818" w:type="dxa"/>
            <w:vMerge w:val="restart"/>
            <w:tcBorders>
              <w:bottom w:val="nil"/>
            </w:tcBorders>
            <w:vAlign w:val="top"/>
          </w:tcPr>
          <w:p w14:paraId="4FD574B7">
            <w:pPr>
              <w:spacing w:line="241" w:lineRule="auto"/>
              <w:rPr>
                <w:rFonts w:ascii="Arial"/>
                <w:sz w:val="21"/>
              </w:rPr>
            </w:pPr>
          </w:p>
          <w:p w14:paraId="550AB91D">
            <w:pPr>
              <w:spacing w:line="241" w:lineRule="auto"/>
              <w:rPr>
                <w:rFonts w:ascii="Arial"/>
                <w:sz w:val="21"/>
              </w:rPr>
            </w:pPr>
          </w:p>
          <w:p w14:paraId="0A437CFC">
            <w:pPr>
              <w:spacing w:line="242" w:lineRule="auto"/>
              <w:rPr>
                <w:rFonts w:ascii="Arial"/>
                <w:sz w:val="21"/>
              </w:rPr>
            </w:pPr>
          </w:p>
          <w:p w14:paraId="07CABB86">
            <w:pPr>
              <w:spacing w:line="242" w:lineRule="auto"/>
              <w:rPr>
                <w:rFonts w:ascii="Arial"/>
                <w:sz w:val="21"/>
              </w:rPr>
            </w:pPr>
          </w:p>
          <w:p w14:paraId="24E52B98">
            <w:pPr>
              <w:spacing w:line="242" w:lineRule="auto"/>
              <w:rPr>
                <w:rFonts w:ascii="Arial"/>
                <w:sz w:val="21"/>
              </w:rPr>
            </w:pPr>
          </w:p>
          <w:p w14:paraId="07B42A72">
            <w:pPr>
              <w:spacing w:before="75" w:line="186" w:lineRule="auto"/>
              <w:ind w:left="146"/>
              <w:rPr>
                <w:rFonts w:ascii="仿宋" w:hAnsi="仿宋" w:eastAsia="仿宋" w:cs="仿宋"/>
                <w:sz w:val="23"/>
                <w:szCs w:val="23"/>
              </w:rPr>
            </w:pPr>
            <w:r>
              <w:rPr>
                <w:rFonts w:ascii="仿宋" w:hAnsi="仿宋" w:eastAsia="仿宋" w:cs="仿宋"/>
                <w:sz w:val="23"/>
                <w:szCs w:val="23"/>
              </w:rPr>
              <w:t>221</w:t>
            </w:r>
          </w:p>
        </w:tc>
        <w:tc>
          <w:tcPr>
            <w:tcW w:w="1440" w:type="dxa"/>
            <w:vMerge w:val="restart"/>
            <w:tcBorders>
              <w:bottom w:val="nil"/>
            </w:tcBorders>
            <w:vAlign w:val="top"/>
          </w:tcPr>
          <w:p w14:paraId="1903E035">
            <w:pPr>
              <w:spacing w:line="393" w:lineRule="auto"/>
              <w:rPr>
                <w:rFonts w:ascii="Arial"/>
                <w:sz w:val="21"/>
              </w:rPr>
            </w:pPr>
          </w:p>
          <w:p w14:paraId="0B171E50">
            <w:pPr>
              <w:pStyle w:val="6"/>
              <w:spacing w:before="99" w:line="187" w:lineRule="auto"/>
              <w:ind w:left="114" w:right="111" w:firstLine="3"/>
            </w:pPr>
            <w:r>
              <w:rPr>
                <w:spacing w:val="11"/>
              </w:rPr>
              <w:t>承担安全评</w:t>
            </w:r>
            <w:r>
              <w:rPr>
                <w:spacing w:val="6"/>
              </w:rPr>
              <w:t>价、认证、</w:t>
            </w:r>
            <w:r>
              <w:rPr>
                <w:spacing w:val="11"/>
              </w:rPr>
              <w:t>检测、检验职责的机构出具失实报</w:t>
            </w:r>
            <w:r>
              <w:rPr>
                <w:spacing w:val="3"/>
              </w:rPr>
              <w:t>告的</w:t>
            </w:r>
          </w:p>
        </w:tc>
        <w:tc>
          <w:tcPr>
            <w:tcW w:w="3202" w:type="dxa"/>
            <w:vMerge w:val="restart"/>
            <w:tcBorders>
              <w:bottom w:val="nil"/>
            </w:tcBorders>
            <w:vAlign w:val="top"/>
          </w:tcPr>
          <w:p w14:paraId="6EC480E6">
            <w:pPr>
              <w:pStyle w:val="6"/>
              <w:spacing w:before="26" w:line="182" w:lineRule="auto"/>
              <w:ind w:left="118" w:right="21" w:firstLine="12"/>
              <w:jc w:val="both"/>
            </w:pPr>
            <w:r>
              <w:rPr>
                <w:rFonts w:ascii="宋体" w:hAnsi="宋体" w:eastAsia="宋体" w:cs="宋体"/>
                <w:spacing w:val="14"/>
              </w:rPr>
              <w:t>1.</w:t>
            </w:r>
            <w:r>
              <w:rPr>
                <w:spacing w:val="14"/>
              </w:rPr>
              <w:t>【法律】《中华人民共和</w:t>
            </w:r>
            <w:r>
              <w:rPr>
                <w:spacing w:val="17"/>
              </w:rPr>
              <w:t>国安全生产法》第七十二条</w:t>
            </w:r>
            <w:r>
              <w:rPr>
                <w:spacing w:val="13"/>
              </w:rPr>
              <w:t>第一款：承担安全评价、认</w:t>
            </w:r>
            <w:r>
              <w:rPr>
                <w:spacing w:val="17"/>
              </w:rPr>
              <w:t>证、检测、检验职责的机构应当具备国家规定的资质条</w:t>
            </w:r>
            <w:r>
              <w:rPr>
                <w:spacing w:val="5"/>
              </w:rPr>
              <w:t>件，并对其作出的安全评价、</w:t>
            </w:r>
            <w:r>
              <w:rPr>
                <w:spacing w:val="17"/>
              </w:rPr>
              <w:t>认证、检测、检验结果的合法性、真实性负责。资质条件由国务院应急管理部门会</w:t>
            </w:r>
          </w:p>
        </w:tc>
        <w:tc>
          <w:tcPr>
            <w:tcW w:w="2859" w:type="dxa"/>
            <w:vMerge w:val="restart"/>
            <w:tcBorders>
              <w:bottom w:val="nil"/>
            </w:tcBorders>
            <w:vAlign w:val="top"/>
          </w:tcPr>
          <w:p w14:paraId="051B7551">
            <w:pPr>
              <w:pStyle w:val="6"/>
              <w:spacing w:before="26" w:line="182" w:lineRule="auto"/>
              <w:ind w:left="116" w:right="38" w:firstLine="14"/>
              <w:jc w:val="both"/>
            </w:pPr>
            <w:r>
              <w:rPr>
                <w:rFonts w:ascii="宋体" w:hAnsi="宋体" w:eastAsia="宋体" w:cs="宋体"/>
                <w:spacing w:val="6"/>
              </w:rPr>
              <w:t>1.</w:t>
            </w:r>
            <w:r>
              <w:rPr>
                <w:spacing w:val="6"/>
              </w:rPr>
              <w:t>【法律】《中华人民共</w:t>
            </w:r>
            <w:r>
              <w:rPr>
                <w:spacing w:val="8"/>
              </w:rPr>
              <w:t>和国安全生产法》第九十二条第一款：承担安全评价、认证、检测、检验职</w:t>
            </w:r>
            <w:r>
              <w:rPr>
                <w:spacing w:val="32"/>
              </w:rPr>
              <w:t>责的机构出具失实报告</w:t>
            </w:r>
            <w:r>
              <w:rPr>
                <w:spacing w:val="8"/>
              </w:rPr>
              <w:t>的，责令停业整顿，并处三万元以上十万元以下的</w:t>
            </w:r>
            <w:r>
              <w:rPr>
                <w:spacing w:val="-6"/>
              </w:rPr>
              <w:t>罚款；给他人造成损害的，</w:t>
            </w:r>
            <w:r>
              <w:rPr>
                <w:spacing w:val="4"/>
              </w:rPr>
              <w:t>依法承担赔偿责任。</w:t>
            </w:r>
          </w:p>
        </w:tc>
        <w:tc>
          <w:tcPr>
            <w:tcW w:w="803" w:type="dxa"/>
            <w:vAlign w:val="top"/>
          </w:tcPr>
          <w:p w14:paraId="6E99D9BA">
            <w:pPr>
              <w:spacing w:line="277" w:lineRule="auto"/>
              <w:rPr>
                <w:rFonts w:ascii="Arial"/>
                <w:sz w:val="21"/>
              </w:rPr>
            </w:pPr>
          </w:p>
          <w:p w14:paraId="779AF6E9">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7338E3DF">
            <w:pPr>
              <w:pStyle w:val="6"/>
              <w:spacing w:before="313" w:line="208" w:lineRule="auto"/>
              <w:ind w:left="121"/>
            </w:pPr>
            <w:r>
              <w:t>报告失实</w:t>
            </w:r>
            <w:r>
              <w:rPr>
                <w:rFonts w:ascii="宋体" w:hAnsi="宋体" w:eastAsia="宋体" w:cs="宋体"/>
              </w:rPr>
              <w:t>1</w:t>
            </w:r>
            <w:r>
              <w:t>处的</w:t>
            </w:r>
          </w:p>
        </w:tc>
        <w:tc>
          <w:tcPr>
            <w:tcW w:w="2894" w:type="dxa"/>
            <w:vAlign w:val="top"/>
          </w:tcPr>
          <w:p w14:paraId="61E92089">
            <w:pPr>
              <w:pStyle w:val="6"/>
              <w:spacing w:before="160" w:line="196" w:lineRule="auto"/>
              <w:ind w:left="124" w:right="104" w:firstLine="2"/>
            </w:pPr>
            <w:r>
              <w:rPr>
                <w:spacing w:val="4"/>
              </w:rPr>
              <w:t>责令停业整顿，并处</w:t>
            </w:r>
            <w:r>
              <w:rPr>
                <w:rFonts w:ascii="宋体" w:hAnsi="宋体" w:eastAsia="宋体" w:cs="宋体"/>
                <w:spacing w:val="4"/>
              </w:rPr>
              <w:t>3</w:t>
            </w:r>
            <w:r>
              <w:rPr>
                <w:spacing w:val="4"/>
              </w:rPr>
              <w:t>万元以上</w:t>
            </w:r>
            <w:r>
              <w:rPr>
                <w:rFonts w:ascii="宋体" w:hAnsi="宋体" w:eastAsia="宋体" w:cs="宋体"/>
                <w:spacing w:val="4"/>
              </w:rPr>
              <w:t>5</w:t>
            </w:r>
            <w:r>
              <w:rPr>
                <w:spacing w:val="4"/>
              </w:rPr>
              <w:t>万元以下的罚款</w:t>
            </w:r>
          </w:p>
        </w:tc>
        <w:tc>
          <w:tcPr>
            <w:tcW w:w="811" w:type="dxa"/>
            <w:vMerge w:val="restart"/>
            <w:tcBorders>
              <w:bottom w:val="nil"/>
            </w:tcBorders>
            <w:vAlign w:val="top"/>
          </w:tcPr>
          <w:p w14:paraId="7417676A">
            <w:pPr>
              <w:spacing w:line="241" w:lineRule="auto"/>
              <w:rPr>
                <w:rFonts w:ascii="Arial"/>
                <w:sz w:val="21"/>
              </w:rPr>
            </w:pPr>
          </w:p>
          <w:p w14:paraId="69F9CB7C">
            <w:pPr>
              <w:spacing w:line="241" w:lineRule="auto"/>
              <w:rPr>
                <w:rFonts w:ascii="Arial"/>
                <w:sz w:val="21"/>
              </w:rPr>
            </w:pPr>
          </w:p>
          <w:p w14:paraId="330B81E2">
            <w:pPr>
              <w:spacing w:line="241" w:lineRule="auto"/>
              <w:rPr>
                <w:rFonts w:ascii="Arial"/>
                <w:sz w:val="21"/>
              </w:rPr>
            </w:pPr>
          </w:p>
          <w:p w14:paraId="55C95D9F">
            <w:pPr>
              <w:spacing w:line="241" w:lineRule="auto"/>
              <w:rPr>
                <w:rFonts w:ascii="Arial"/>
                <w:sz w:val="21"/>
              </w:rPr>
            </w:pPr>
          </w:p>
          <w:p w14:paraId="5B65B4A4">
            <w:pPr>
              <w:spacing w:line="241" w:lineRule="auto"/>
              <w:rPr>
                <w:rFonts w:ascii="Arial"/>
                <w:sz w:val="21"/>
              </w:rPr>
            </w:pPr>
          </w:p>
          <w:p w14:paraId="1CFFE1E5">
            <w:pPr>
              <w:spacing w:before="75" w:line="188" w:lineRule="auto"/>
              <w:ind w:left="233"/>
              <w:rPr>
                <w:rFonts w:ascii="宋体" w:hAnsi="宋体" w:eastAsia="宋体" w:cs="宋体"/>
                <w:sz w:val="23"/>
                <w:szCs w:val="23"/>
              </w:rPr>
            </w:pPr>
            <w:r>
              <w:rPr>
                <w:rFonts w:ascii="宋体" w:hAnsi="宋体" w:eastAsia="宋体" w:cs="宋体"/>
                <w:spacing w:val="-1"/>
                <w:sz w:val="23"/>
                <w:szCs w:val="23"/>
              </w:rPr>
              <w:t>237</w:t>
            </w:r>
          </w:p>
        </w:tc>
      </w:tr>
      <w:tr w14:paraId="3C2EF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818" w:type="dxa"/>
            <w:vMerge w:val="continue"/>
            <w:tcBorders>
              <w:top w:val="nil"/>
              <w:bottom w:val="nil"/>
            </w:tcBorders>
            <w:vAlign w:val="top"/>
          </w:tcPr>
          <w:p w14:paraId="3D0FF5AE">
            <w:pPr>
              <w:rPr>
                <w:rFonts w:ascii="Arial"/>
                <w:sz w:val="21"/>
              </w:rPr>
            </w:pPr>
          </w:p>
        </w:tc>
        <w:tc>
          <w:tcPr>
            <w:tcW w:w="1440" w:type="dxa"/>
            <w:vMerge w:val="continue"/>
            <w:tcBorders>
              <w:top w:val="nil"/>
              <w:bottom w:val="nil"/>
            </w:tcBorders>
            <w:vAlign w:val="top"/>
          </w:tcPr>
          <w:p w14:paraId="05BB5E99">
            <w:pPr>
              <w:rPr>
                <w:rFonts w:ascii="Arial"/>
                <w:sz w:val="21"/>
              </w:rPr>
            </w:pPr>
          </w:p>
        </w:tc>
        <w:tc>
          <w:tcPr>
            <w:tcW w:w="3202" w:type="dxa"/>
            <w:vMerge w:val="continue"/>
            <w:tcBorders>
              <w:top w:val="nil"/>
              <w:bottom w:val="nil"/>
            </w:tcBorders>
            <w:vAlign w:val="top"/>
          </w:tcPr>
          <w:p w14:paraId="082CDF1A">
            <w:pPr>
              <w:rPr>
                <w:rFonts w:ascii="Arial"/>
                <w:sz w:val="21"/>
              </w:rPr>
            </w:pPr>
          </w:p>
        </w:tc>
        <w:tc>
          <w:tcPr>
            <w:tcW w:w="2859" w:type="dxa"/>
            <w:vMerge w:val="continue"/>
            <w:tcBorders>
              <w:top w:val="nil"/>
              <w:bottom w:val="nil"/>
            </w:tcBorders>
            <w:vAlign w:val="top"/>
          </w:tcPr>
          <w:p w14:paraId="2BD0587A">
            <w:pPr>
              <w:rPr>
                <w:rFonts w:ascii="Arial"/>
                <w:sz w:val="21"/>
              </w:rPr>
            </w:pPr>
          </w:p>
        </w:tc>
        <w:tc>
          <w:tcPr>
            <w:tcW w:w="803" w:type="dxa"/>
            <w:vAlign w:val="top"/>
          </w:tcPr>
          <w:p w14:paraId="26CAE39E">
            <w:pPr>
              <w:spacing w:line="323" w:lineRule="auto"/>
              <w:rPr>
                <w:rFonts w:ascii="Arial"/>
                <w:sz w:val="21"/>
              </w:rPr>
            </w:pPr>
          </w:p>
          <w:p w14:paraId="7D6400E5">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B3A0718">
            <w:pPr>
              <w:spacing w:line="255" w:lineRule="auto"/>
              <w:rPr>
                <w:rFonts w:ascii="Arial"/>
                <w:sz w:val="21"/>
              </w:rPr>
            </w:pPr>
          </w:p>
          <w:p w14:paraId="7ECBB0E1">
            <w:pPr>
              <w:pStyle w:val="6"/>
              <w:spacing w:before="98" w:line="208" w:lineRule="auto"/>
              <w:ind w:left="121"/>
            </w:pPr>
            <w:r>
              <w:rPr>
                <w:spacing w:val="3"/>
              </w:rPr>
              <w:t>报告失实</w:t>
            </w:r>
            <w:r>
              <w:rPr>
                <w:rFonts w:ascii="宋体" w:hAnsi="宋体" w:eastAsia="宋体" w:cs="宋体"/>
                <w:spacing w:val="3"/>
              </w:rPr>
              <w:t>2</w:t>
            </w:r>
            <w:r>
              <w:rPr>
                <w:spacing w:val="3"/>
              </w:rPr>
              <w:t>处的</w:t>
            </w:r>
          </w:p>
        </w:tc>
        <w:tc>
          <w:tcPr>
            <w:tcW w:w="2894" w:type="dxa"/>
            <w:vAlign w:val="top"/>
          </w:tcPr>
          <w:p w14:paraId="42290A56">
            <w:pPr>
              <w:pStyle w:val="6"/>
              <w:spacing w:before="202" w:line="196" w:lineRule="auto"/>
              <w:ind w:left="124" w:right="104" w:firstLine="2"/>
            </w:pPr>
            <w:r>
              <w:rPr>
                <w:spacing w:val="4"/>
              </w:rPr>
              <w:t>责令停业整顿，并处</w:t>
            </w:r>
            <w:r>
              <w:rPr>
                <w:rFonts w:ascii="宋体" w:hAnsi="宋体" w:eastAsia="宋体" w:cs="宋体"/>
                <w:spacing w:val="4"/>
              </w:rPr>
              <w:t>5</w:t>
            </w:r>
            <w:r>
              <w:rPr>
                <w:spacing w:val="4"/>
              </w:rPr>
              <w:t>万元以上</w:t>
            </w:r>
            <w:r>
              <w:rPr>
                <w:rFonts w:ascii="宋体" w:hAnsi="宋体" w:eastAsia="宋体" w:cs="宋体"/>
                <w:spacing w:val="4"/>
              </w:rPr>
              <w:t>8</w:t>
            </w:r>
            <w:r>
              <w:rPr>
                <w:spacing w:val="4"/>
              </w:rPr>
              <w:t>万元以下的罚款</w:t>
            </w:r>
          </w:p>
        </w:tc>
        <w:tc>
          <w:tcPr>
            <w:tcW w:w="811" w:type="dxa"/>
            <w:vMerge w:val="continue"/>
            <w:tcBorders>
              <w:top w:val="nil"/>
              <w:bottom w:val="nil"/>
            </w:tcBorders>
            <w:vAlign w:val="top"/>
          </w:tcPr>
          <w:p w14:paraId="4ED564EB">
            <w:pPr>
              <w:rPr>
                <w:rFonts w:ascii="Arial"/>
                <w:sz w:val="21"/>
              </w:rPr>
            </w:pPr>
          </w:p>
        </w:tc>
      </w:tr>
      <w:tr w14:paraId="7A517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818" w:type="dxa"/>
            <w:vMerge w:val="continue"/>
            <w:tcBorders>
              <w:top w:val="nil"/>
            </w:tcBorders>
            <w:vAlign w:val="top"/>
          </w:tcPr>
          <w:p w14:paraId="22DAFF0A">
            <w:pPr>
              <w:rPr>
                <w:rFonts w:ascii="Arial"/>
                <w:sz w:val="21"/>
              </w:rPr>
            </w:pPr>
          </w:p>
        </w:tc>
        <w:tc>
          <w:tcPr>
            <w:tcW w:w="1440" w:type="dxa"/>
            <w:vMerge w:val="continue"/>
            <w:tcBorders>
              <w:top w:val="nil"/>
            </w:tcBorders>
            <w:vAlign w:val="top"/>
          </w:tcPr>
          <w:p w14:paraId="509A0242">
            <w:pPr>
              <w:rPr>
                <w:rFonts w:ascii="Arial"/>
                <w:sz w:val="21"/>
              </w:rPr>
            </w:pPr>
          </w:p>
        </w:tc>
        <w:tc>
          <w:tcPr>
            <w:tcW w:w="3202" w:type="dxa"/>
            <w:vMerge w:val="continue"/>
            <w:tcBorders>
              <w:top w:val="nil"/>
            </w:tcBorders>
            <w:vAlign w:val="top"/>
          </w:tcPr>
          <w:p w14:paraId="2261E92D">
            <w:pPr>
              <w:rPr>
                <w:rFonts w:ascii="Arial"/>
                <w:sz w:val="21"/>
              </w:rPr>
            </w:pPr>
          </w:p>
        </w:tc>
        <w:tc>
          <w:tcPr>
            <w:tcW w:w="2859" w:type="dxa"/>
            <w:vMerge w:val="continue"/>
            <w:tcBorders>
              <w:top w:val="nil"/>
            </w:tcBorders>
            <w:vAlign w:val="top"/>
          </w:tcPr>
          <w:p w14:paraId="0D98F779">
            <w:pPr>
              <w:rPr>
                <w:rFonts w:ascii="Arial"/>
                <w:sz w:val="21"/>
              </w:rPr>
            </w:pPr>
          </w:p>
        </w:tc>
        <w:tc>
          <w:tcPr>
            <w:tcW w:w="803" w:type="dxa"/>
            <w:vAlign w:val="top"/>
          </w:tcPr>
          <w:p w14:paraId="53579B2C">
            <w:pPr>
              <w:spacing w:line="301" w:lineRule="auto"/>
              <w:rPr>
                <w:rFonts w:ascii="Arial"/>
                <w:sz w:val="21"/>
              </w:rPr>
            </w:pPr>
          </w:p>
          <w:p w14:paraId="58E0A3E2">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AC67AE3">
            <w:pPr>
              <w:pStyle w:val="6"/>
              <w:spacing w:before="183" w:line="197" w:lineRule="auto"/>
              <w:ind w:left="139" w:right="106" w:hanging="18"/>
            </w:pPr>
            <w:r>
              <w:rPr>
                <w:spacing w:val="16"/>
              </w:rPr>
              <w:t>报告失实</w:t>
            </w:r>
            <w:r>
              <w:rPr>
                <w:rFonts w:ascii="宋体" w:hAnsi="宋体" w:eastAsia="宋体" w:cs="宋体"/>
                <w:spacing w:val="16"/>
              </w:rPr>
              <w:t>3</w:t>
            </w:r>
            <w:r>
              <w:rPr>
                <w:spacing w:val="16"/>
              </w:rPr>
              <w:t>处以上</w:t>
            </w:r>
            <w:r>
              <w:t>的</w:t>
            </w:r>
          </w:p>
        </w:tc>
        <w:tc>
          <w:tcPr>
            <w:tcW w:w="2894" w:type="dxa"/>
            <w:vAlign w:val="top"/>
          </w:tcPr>
          <w:p w14:paraId="5589686F">
            <w:pPr>
              <w:pStyle w:val="6"/>
              <w:spacing w:before="34" w:line="175" w:lineRule="auto"/>
              <w:ind w:left="122" w:right="104" w:firstLine="4"/>
              <w:jc w:val="both"/>
            </w:pPr>
            <w:r>
              <w:rPr>
                <w:spacing w:val="4"/>
              </w:rPr>
              <w:t>责令停业整顿，并处</w:t>
            </w:r>
            <w:r>
              <w:rPr>
                <w:rFonts w:ascii="宋体" w:hAnsi="宋体" w:eastAsia="宋体" w:cs="宋体"/>
                <w:spacing w:val="4"/>
              </w:rPr>
              <w:t>8</w:t>
            </w:r>
            <w:r>
              <w:rPr>
                <w:spacing w:val="4"/>
              </w:rPr>
              <w:t>万</w:t>
            </w:r>
            <w:r>
              <w:rPr>
                <w:spacing w:val="11"/>
              </w:rPr>
              <w:t>元以上</w:t>
            </w:r>
            <w:r>
              <w:rPr>
                <w:rFonts w:ascii="宋体" w:hAnsi="宋体" w:eastAsia="宋体" w:cs="宋体"/>
                <w:spacing w:val="11"/>
              </w:rPr>
              <w:t>10</w:t>
            </w:r>
            <w:r>
              <w:rPr>
                <w:spacing w:val="11"/>
              </w:rPr>
              <w:t>万元以下的罚</w:t>
            </w:r>
            <w:r>
              <w:t>款</w:t>
            </w:r>
          </w:p>
        </w:tc>
        <w:tc>
          <w:tcPr>
            <w:tcW w:w="811" w:type="dxa"/>
            <w:vMerge w:val="continue"/>
            <w:tcBorders>
              <w:top w:val="nil"/>
            </w:tcBorders>
            <w:vAlign w:val="top"/>
          </w:tcPr>
          <w:p w14:paraId="78AA9491">
            <w:pPr>
              <w:rPr>
                <w:rFonts w:ascii="Arial"/>
                <w:sz w:val="21"/>
              </w:rPr>
            </w:pPr>
          </w:p>
        </w:tc>
      </w:tr>
    </w:tbl>
    <w:p w14:paraId="38DE4A75">
      <w:pPr>
        <w:pStyle w:val="2"/>
      </w:pPr>
    </w:p>
    <w:p w14:paraId="178C719E">
      <w:pPr>
        <w:sectPr>
          <w:footerReference r:id="rId221" w:type="default"/>
          <w:pgSz w:w="16839" w:h="11906"/>
          <w:pgMar w:top="1012" w:right="821" w:bottom="666" w:left="901" w:header="0" w:footer="388" w:gutter="0"/>
          <w:cols w:space="720" w:num="1"/>
        </w:sectPr>
      </w:pPr>
    </w:p>
    <w:p w14:paraId="65EFBCD8">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797E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5713267E">
            <w:pPr>
              <w:spacing w:before="222" w:line="241" w:lineRule="auto"/>
              <w:ind w:left="131"/>
              <w:rPr>
                <w:rFonts w:ascii="黑体" w:hAnsi="黑体" w:eastAsia="黑体" w:cs="黑体"/>
                <w:sz w:val="28"/>
                <w:szCs w:val="28"/>
              </w:rPr>
            </w:pPr>
            <w:bookmarkStart w:id="724" w:name="bookmark611"/>
            <w:bookmarkEnd w:id="724"/>
            <w:r>
              <w:rPr>
                <w:rFonts w:ascii="黑体" w:hAnsi="黑体" w:eastAsia="黑体" w:cs="黑体"/>
                <w:spacing w:val="-2"/>
                <w:sz w:val="28"/>
                <w:szCs w:val="28"/>
              </w:rPr>
              <w:t>序号</w:t>
            </w:r>
          </w:p>
        </w:tc>
        <w:tc>
          <w:tcPr>
            <w:tcW w:w="1440" w:type="dxa"/>
            <w:vAlign w:val="top"/>
          </w:tcPr>
          <w:p w14:paraId="6AC24EB5">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A369ECD">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E2DB50F">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DC1DF94">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DB6E813">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1FE00168">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111BA4B">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9B29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2" w:hRule="atLeast"/>
        </w:trPr>
        <w:tc>
          <w:tcPr>
            <w:tcW w:w="818" w:type="dxa"/>
            <w:vAlign w:val="top"/>
          </w:tcPr>
          <w:p w14:paraId="2C84AF5A">
            <w:pPr>
              <w:rPr>
                <w:rFonts w:ascii="Arial"/>
                <w:sz w:val="21"/>
              </w:rPr>
            </w:pPr>
          </w:p>
        </w:tc>
        <w:tc>
          <w:tcPr>
            <w:tcW w:w="1440" w:type="dxa"/>
            <w:vAlign w:val="top"/>
          </w:tcPr>
          <w:p w14:paraId="227A6AE8">
            <w:pPr>
              <w:rPr>
                <w:rFonts w:ascii="Arial"/>
                <w:sz w:val="21"/>
              </w:rPr>
            </w:pPr>
          </w:p>
        </w:tc>
        <w:tc>
          <w:tcPr>
            <w:tcW w:w="3202" w:type="dxa"/>
            <w:vAlign w:val="top"/>
          </w:tcPr>
          <w:p w14:paraId="340348E3">
            <w:pPr>
              <w:pStyle w:val="6"/>
              <w:spacing w:before="28" w:line="182" w:lineRule="auto"/>
              <w:ind w:left="147"/>
            </w:pPr>
            <w:r>
              <w:rPr>
                <w:spacing w:val="2"/>
              </w:rPr>
              <w:t>同国务院有关部门制定。</w:t>
            </w:r>
          </w:p>
          <w:p w14:paraId="35460A8D">
            <w:pPr>
              <w:pStyle w:val="6"/>
              <w:spacing w:line="182" w:lineRule="auto"/>
              <w:ind w:left="116"/>
            </w:pPr>
            <w:bookmarkStart w:id="725" w:name="bookmark451"/>
            <w:bookmarkEnd w:id="725"/>
            <w:r>
              <w:rPr>
                <w:rFonts w:ascii="宋体" w:hAnsi="宋体" w:eastAsia="宋体" w:cs="宋体"/>
                <w:spacing w:val="14"/>
              </w:rPr>
              <w:t>2.</w:t>
            </w:r>
            <w:r>
              <w:rPr>
                <w:spacing w:val="14"/>
              </w:rPr>
              <w:t>【部门规章】《工贸企业</w:t>
            </w:r>
          </w:p>
          <w:p w14:paraId="605957D6">
            <w:pPr>
              <w:pStyle w:val="6"/>
              <w:spacing w:line="182" w:lineRule="auto"/>
              <w:ind w:left="118"/>
              <w:outlineLvl w:val="0"/>
            </w:pPr>
            <w:r>
              <w:rPr>
                <w:spacing w:val="17"/>
              </w:rPr>
              <w:t>粉尘防爆安全规定》第二十</w:t>
            </w:r>
          </w:p>
          <w:p w14:paraId="21A479F5">
            <w:pPr>
              <w:pStyle w:val="6"/>
              <w:spacing w:before="8" w:line="180" w:lineRule="auto"/>
              <w:ind w:left="116" w:right="21" w:firstLine="14"/>
              <w:jc w:val="both"/>
            </w:pPr>
            <w:r>
              <w:rPr>
                <w:spacing w:val="12"/>
              </w:rPr>
              <w:t>一条：安全生产技术服务机</w:t>
            </w:r>
            <w:r>
              <w:rPr>
                <w:spacing w:val="17"/>
              </w:rPr>
              <w:t>构为粉尘涉爆企业提供粉尘</w:t>
            </w:r>
            <w:r>
              <w:rPr>
                <w:spacing w:val="5"/>
              </w:rPr>
              <w:t>防爆相关的安全评价、检测、</w:t>
            </w:r>
            <w:r>
              <w:rPr>
                <w:spacing w:val="17"/>
              </w:rPr>
              <w:t>检验、风险评估、隐患排查</w:t>
            </w:r>
            <w:r>
              <w:rPr>
                <w:spacing w:val="13"/>
              </w:rPr>
              <w:t>等安全生产技术服务，应当</w:t>
            </w:r>
            <w:r>
              <w:rPr>
                <w:spacing w:val="-3"/>
              </w:rPr>
              <w:t>按照法律、法规、规章和《粉</w:t>
            </w:r>
            <w:r>
              <w:rPr>
                <w:spacing w:val="17"/>
              </w:rPr>
              <w:t>尘防爆安全规程》等有关国家标准或者行业标准开展工</w:t>
            </w:r>
            <w:r>
              <w:rPr>
                <w:spacing w:val="14"/>
              </w:rPr>
              <w:t>作，保证其出具的报告和作</w:t>
            </w:r>
            <w:r>
              <w:rPr>
                <w:spacing w:val="5"/>
              </w:rPr>
              <w:t>出的结果真实、准确、完整，</w:t>
            </w:r>
            <w:r>
              <w:rPr>
                <w:spacing w:val="3"/>
              </w:rPr>
              <w:t>不得弄虚作假。</w:t>
            </w:r>
          </w:p>
        </w:tc>
        <w:tc>
          <w:tcPr>
            <w:tcW w:w="2859" w:type="dxa"/>
            <w:vAlign w:val="top"/>
          </w:tcPr>
          <w:p w14:paraId="5B10635B">
            <w:pPr>
              <w:pStyle w:val="6"/>
              <w:spacing w:before="24" w:line="185" w:lineRule="auto"/>
              <w:ind w:left="118" w:right="23" w:hanging="2"/>
              <w:jc w:val="both"/>
            </w:pPr>
            <w:r>
              <w:rPr>
                <w:rFonts w:ascii="宋体" w:hAnsi="宋体" w:eastAsia="宋体" w:cs="宋体"/>
                <w:spacing w:val="7"/>
              </w:rPr>
              <w:t>2.</w:t>
            </w:r>
            <w:r>
              <w:rPr>
                <w:spacing w:val="7"/>
              </w:rPr>
              <w:t>【部门规章】《工贸企</w:t>
            </w:r>
            <w:r>
              <w:rPr>
                <w:spacing w:val="8"/>
              </w:rPr>
              <w:t>业粉尘防爆安全规定》第三十一条第一款：安全生产技术服务机构接受委托开展技术服务工作，出具失实报告的，依照《中华</w:t>
            </w:r>
            <w:r>
              <w:rPr>
                <w:spacing w:val="9"/>
              </w:rPr>
              <w:t>人民共和国安全生产法》</w:t>
            </w:r>
            <w:r>
              <w:rPr>
                <w:spacing w:val="-6"/>
              </w:rPr>
              <w:t>有关规定，责令停业整顿，</w:t>
            </w:r>
            <w:r>
              <w:rPr>
                <w:spacing w:val="13"/>
              </w:rPr>
              <w:t>并处</w:t>
            </w:r>
            <w:r>
              <w:rPr>
                <w:rFonts w:ascii="宋体" w:hAnsi="宋体" w:eastAsia="宋体" w:cs="宋体"/>
                <w:spacing w:val="13"/>
              </w:rPr>
              <w:t>3</w:t>
            </w:r>
            <w:r>
              <w:rPr>
                <w:spacing w:val="13"/>
              </w:rPr>
              <w:t>万元以上</w:t>
            </w:r>
            <w:r>
              <w:rPr>
                <w:rFonts w:ascii="宋体" w:hAnsi="宋体" w:eastAsia="宋体" w:cs="宋体"/>
                <w:spacing w:val="13"/>
              </w:rPr>
              <w:t>10</w:t>
            </w:r>
            <w:r>
              <w:rPr>
                <w:spacing w:val="13"/>
              </w:rPr>
              <w:t>万元以</w:t>
            </w:r>
            <w:r>
              <w:rPr>
                <w:spacing w:val="8"/>
              </w:rPr>
              <w:t>下的罚款；给他人造成损</w:t>
            </w:r>
            <w:r>
              <w:rPr>
                <w:spacing w:val="-5"/>
              </w:rPr>
              <w:t>害的，依法承担赔偿责任。</w:t>
            </w:r>
          </w:p>
        </w:tc>
        <w:tc>
          <w:tcPr>
            <w:tcW w:w="803" w:type="dxa"/>
            <w:vAlign w:val="top"/>
          </w:tcPr>
          <w:p w14:paraId="4E471019">
            <w:pPr>
              <w:rPr>
                <w:rFonts w:ascii="Arial"/>
                <w:sz w:val="21"/>
              </w:rPr>
            </w:pPr>
          </w:p>
        </w:tc>
        <w:tc>
          <w:tcPr>
            <w:tcW w:w="2283" w:type="dxa"/>
            <w:vAlign w:val="top"/>
          </w:tcPr>
          <w:p w14:paraId="7FAD4FE8">
            <w:pPr>
              <w:rPr>
                <w:rFonts w:ascii="Arial"/>
                <w:sz w:val="21"/>
              </w:rPr>
            </w:pPr>
          </w:p>
        </w:tc>
        <w:tc>
          <w:tcPr>
            <w:tcW w:w="2894" w:type="dxa"/>
            <w:vAlign w:val="top"/>
          </w:tcPr>
          <w:p w14:paraId="64BFA082">
            <w:pPr>
              <w:rPr>
                <w:rFonts w:ascii="Arial"/>
                <w:sz w:val="21"/>
              </w:rPr>
            </w:pPr>
          </w:p>
        </w:tc>
        <w:tc>
          <w:tcPr>
            <w:tcW w:w="811" w:type="dxa"/>
            <w:vAlign w:val="top"/>
          </w:tcPr>
          <w:p w14:paraId="6700F074">
            <w:pPr>
              <w:rPr>
                <w:rFonts w:ascii="Arial"/>
                <w:sz w:val="21"/>
              </w:rPr>
            </w:pPr>
          </w:p>
        </w:tc>
      </w:tr>
      <w:tr w14:paraId="31CA8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3" w:hRule="atLeast"/>
        </w:trPr>
        <w:tc>
          <w:tcPr>
            <w:tcW w:w="818" w:type="dxa"/>
            <w:vMerge w:val="restart"/>
            <w:tcBorders>
              <w:bottom w:val="nil"/>
            </w:tcBorders>
            <w:vAlign w:val="top"/>
          </w:tcPr>
          <w:p w14:paraId="504A8C42">
            <w:pPr>
              <w:spacing w:line="261" w:lineRule="auto"/>
              <w:rPr>
                <w:rFonts w:ascii="Arial"/>
                <w:sz w:val="21"/>
              </w:rPr>
            </w:pPr>
          </w:p>
          <w:p w14:paraId="07540B42">
            <w:pPr>
              <w:spacing w:line="261" w:lineRule="auto"/>
              <w:rPr>
                <w:rFonts w:ascii="Arial"/>
                <w:sz w:val="21"/>
              </w:rPr>
            </w:pPr>
          </w:p>
          <w:p w14:paraId="556468AC">
            <w:pPr>
              <w:spacing w:line="261" w:lineRule="auto"/>
              <w:rPr>
                <w:rFonts w:ascii="Arial"/>
                <w:sz w:val="21"/>
              </w:rPr>
            </w:pPr>
          </w:p>
          <w:p w14:paraId="7C794BE7">
            <w:pPr>
              <w:spacing w:line="261" w:lineRule="auto"/>
              <w:rPr>
                <w:rFonts w:ascii="Arial"/>
                <w:sz w:val="21"/>
              </w:rPr>
            </w:pPr>
          </w:p>
          <w:p w14:paraId="2F4E2C5E">
            <w:pPr>
              <w:spacing w:line="261" w:lineRule="auto"/>
              <w:rPr>
                <w:rFonts w:ascii="Arial"/>
                <w:sz w:val="21"/>
              </w:rPr>
            </w:pPr>
          </w:p>
          <w:p w14:paraId="302589D4">
            <w:pPr>
              <w:spacing w:line="262" w:lineRule="auto"/>
              <w:rPr>
                <w:rFonts w:ascii="Arial"/>
                <w:sz w:val="21"/>
              </w:rPr>
            </w:pPr>
          </w:p>
          <w:p w14:paraId="44F8B34C">
            <w:pPr>
              <w:spacing w:line="262" w:lineRule="auto"/>
              <w:rPr>
                <w:rFonts w:ascii="Arial"/>
                <w:sz w:val="21"/>
              </w:rPr>
            </w:pPr>
          </w:p>
          <w:p w14:paraId="4714210D">
            <w:pPr>
              <w:spacing w:line="262" w:lineRule="auto"/>
              <w:rPr>
                <w:rFonts w:ascii="Arial"/>
                <w:sz w:val="21"/>
              </w:rPr>
            </w:pPr>
          </w:p>
          <w:p w14:paraId="7F936066">
            <w:pPr>
              <w:spacing w:before="75" w:line="186" w:lineRule="auto"/>
              <w:ind w:left="146"/>
              <w:rPr>
                <w:rFonts w:ascii="仿宋" w:hAnsi="仿宋" w:eastAsia="仿宋" w:cs="仿宋"/>
                <w:sz w:val="23"/>
                <w:szCs w:val="23"/>
              </w:rPr>
            </w:pPr>
            <w:r>
              <w:rPr>
                <w:rFonts w:ascii="仿宋" w:hAnsi="仿宋" w:eastAsia="仿宋" w:cs="仿宋"/>
                <w:sz w:val="23"/>
                <w:szCs w:val="23"/>
              </w:rPr>
              <w:t>222</w:t>
            </w:r>
          </w:p>
        </w:tc>
        <w:tc>
          <w:tcPr>
            <w:tcW w:w="1440" w:type="dxa"/>
            <w:vMerge w:val="restart"/>
            <w:tcBorders>
              <w:bottom w:val="nil"/>
            </w:tcBorders>
            <w:vAlign w:val="top"/>
          </w:tcPr>
          <w:p w14:paraId="49EFDFFA">
            <w:pPr>
              <w:spacing w:line="281" w:lineRule="auto"/>
              <w:rPr>
                <w:rFonts w:ascii="Arial"/>
                <w:sz w:val="21"/>
              </w:rPr>
            </w:pPr>
          </w:p>
          <w:p w14:paraId="67438AD3">
            <w:pPr>
              <w:spacing w:line="282" w:lineRule="auto"/>
              <w:rPr>
                <w:rFonts w:ascii="Arial"/>
                <w:sz w:val="21"/>
              </w:rPr>
            </w:pPr>
          </w:p>
          <w:p w14:paraId="19DCBA96">
            <w:pPr>
              <w:spacing w:line="282" w:lineRule="auto"/>
              <w:rPr>
                <w:rFonts w:ascii="Arial"/>
                <w:sz w:val="21"/>
              </w:rPr>
            </w:pPr>
          </w:p>
          <w:p w14:paraId="564AB1A7">
            <w:pPr>
              <w:spacing w:line="282" w:lineRule="auto"/>
              <w:rPr>
                <w:rFonts w:ascii="Arial"/>
                <w:sz w:val="21"/>
              </w:rPr>
            </w:pPr>
          </w:p>
          <w:p w14:paraId="4A283D41">
            <w:pPr>
              <w:pStyle w:val="6"/>
              <w:spacing w:before="99" w:line="186" w:lineRule="auto"/>
              <w:ind w:left="112" w:right="111" w:firstLine="5"/>
            </w:pPr>
            <w:r>
              <w:rPr>
                <w:spacing w:val="11"/>
              </w:rPr>
              <w:t>承担安全评</w:t>
            </w:r>
            <w:r>
              <w:rPr>
                <w:spacing w:val="6"/>
              </w:rPr>
              <w:t>价、认证、</w:t>
            </w:r>
            <w:r>
              <w:rPr>
                <w:spacing w:val="12"/>
              </w:rPr>
              <w:t>检测、检验职责的机构</w:t>
            </w:r>
            <w:r>
              <w:rPr>
                <w:spacing w:val="6"/>
              </w:rPr>
              <w:t>租借资质、</w:t>
            </w:r>
            <w:r>
              <w:rPr>
                <w:spacing w:val="12"/>
              </w:rPr>
              <w:t>挂靠、出具</w:t>
            </w:r>
            <w:r>
              <w:rPr>
                <w:spacing w:val="7"/>
              </w:rPr>
              <w:t>虚假报告的</w:t>
            </w:r>
          </w:p>
        </w:tc>
        <w:tc>
          <w:tcPr>
            <w:tcW w:w="3202" w:type="dxa"/>
            <w:vMerge w:val="restart"/>
            <w:tcBorders>
              <w:bottom w:val="nil"/>
            </w:tcBorders>
            <w:vAlign w:val="top"/>
          </w:tcPr>
          <w:p w14:paraId="61A6265D">
            <w:pPr>
              <w:pStyle w:val="6"/>
              <w:spacing w:before="40" w:line="182" w:lineRule="auto"/>
              <w:ind w:left="117" w:right="19" w:hanging="19"/>
            </w:pPr>
            <w:r>
              <w:rPr>
                <w:spacing w:val="18"/>
              </w:rPr>
              <w:t>【法律】《中华人民共和国</w:t>
            </w:r>
            <w:r>
              <w:rPr>
                <w:spacing w:val="13"/>
              </w:rPr>
              <w:t>安全生产法》第七十二条：</w:t>
            </w:r>
            <w:r>
              <w:rPr>
                <w:spacing w:val="5"/>
              </w:rPr>
              <w:t>承担安全评价、认证、检测、</w:t>
            </w:r>
            <w:r>
              <w:rPr>
                <w:spacing w:val="17"/>
              </w:rPr>
              <w:t>检验职责的机构应当具备国</w:t>
            </w:r>
            <w:r>
              <w:rPr>
                <w:spacing w:val="13"/>
              </w:rPr>
              <w:t>家规定的资质条件，并对其</w:t>
            </w:r>
            <w:r>
              <w:rPr>
                <w:spacing w:val="17"/>
              </w:rPr>
              <w:t>作出的安全评价、认证、检测、检验结果的合法性、真实性负责。资质条件由国务院应急管理部门会同国务院</w:t>
            </w:r>
            <w:r>
              <w:rPr>
                <w:spacing w:val="2"/>
              </w:rPr>
              <w:t>有关部门制定。</w:t>
            </w:r>
          </w:p>
          <w:p w14:paraId="58BA16FC">
            <w:pPr>
              <w:pStyle w:val="6"/>
              <w:spacing w:before="6" w:line="188" w:lineRule="auto"/>
              <w:ind w:left="115" w:right="19" w:firstLine="4"/>
              <w:jc w:val="both"/>
            </w:pPr>
            <w:r>
              <w:rPr>
                <w:spacing w:val="5"/>
              </w:rPr>
              <w:t>承担安全评价、认证、检测、</w:t>
            </w:r>
            <w:r>
              <w:rPr>
                <w:spacing w:val="17"/>
              </w:rPr>
              <w:t>检验职责的机构应当建立并实施服务公开和报告公开制</w:t>
            </w:r>
            <w:r>
              <w:rPr>
                <w:spacing w:val="11"/>
              </w:rPr>
              <w:t>度，不得租借资质、挂靠、</w:t>
            </w:r>
          </w:p>
        </w:tc>
        <w:tc>
          <w:tcPr>
            <w:tcW w:w="2859" w:type="dxa"/>
            <w:vMerge w:val="restart"/>
            <w:tcBorders>
              <w:bottom w:val="nil"/>
            </w:tcBorders>
            <w:vAlign w:val="top"/>
          </w:tcPr>
          <w:p w14:paraId="59122028">
            <w:pPr>
              <w:pStyle w:val="6"/>
              <w:spacing w:before="39" w:line="184" w:lineRule="auto"/>
              <w:ind w:left="116" w:right="19" w:firstLine="14"/>
              <w:jc w:val="both"/>
            </w:pPr>
            <w:r>
              <w:rPr>
                <w:rFonts w:ascii="宋体" w:hAnsi="宋体" w:eastAsia="宋体" w:cs="宋体"/>
                <w:spacing w:val="6"/>
              </w:rPr>
              <w:t>1.</w:t>
            </w:r>
            <w:r>
              <w:rPr>
                <w:spacing w:val="6"/>
              </w:rPr>
              <w:t>【法律】《中华人民共</w:t>
            </w:r>
            <w:r>
              <w:rPr>
                <w:spacing w:val="8"/>
              </w:rPr>
              <w:t>和国安全生产法》第九十二条第二款：承担安全评价、认证、检测、检验职</w:t>
            </w:r>
            <w:r>
              <w:rPr>
                <w:spacing w:val="-4"/>
              </w:rPr>
              <w:t>责的机构租借资质、挂靠、</w:t>
            </w:r>
            <w:r>
              <w:rPr>
                <w:spacing w:val="8"/>
              </w:rPr>
              <w:t>出具虚假报告的，没收违</w:t>
            </w:r>
            <w:r>
              <w:rPr>
                <w:spacing w:val="5"/>
              </w:rPr>
              <w:t>法所得；违法所得在十万</w:t>
            </w:r>
            <w:r>
              <w:rPr>
                <w:spacing w:val="8"/>
              </w:rPr>
              <w:t>元以上的，并处违法所得</w:t>
            </w:r>
            <w:r>
              <w:rPr>
                <w:spacing w:val="32"/>
              </w:rPr>
              <w:t>二倍以上五倍以下的罚</w:t>
            </w:r>
            <w:r>
              <w:rPr>
                <w:spacing w:val="8"/>
              </w:rPr>
              <w:t>款，没有违法所得或者违</w:t>
            </w:r>
            <w:r>
              <w:rPr>
                <w:spacing w:val="2"/>
              </w:rPr>
              <w:t>法所得不足十万元的，单</w:t>
            </w:r>
            <w:r>
              <w:rPr>
                <w:spacing w:val="8"/>
              </w:rPr>
              <w:t>处或者并处十万元以上二十万元以下的罚款；对其直接负责的主管人员和其</w:t>
            </w:r>
          </w:p>
        </w:tc>
        <w:tc>
          <w:tcPr>
            <w:tcW w:w="803" w:type="dxa"/>
            <w:vAlign w:val="top"/>
          </w:tcPr>
          <w:p w14:paraId="1DDABA8E">
            <w:pPr>
              <w:spacing w:line="299" w:lineRule="auto"/>
              <w:rPr>
                <w:rFonts w:ascii="Arial"/>
                <w:sz w:val="21"/>
              </w:rPr>
            </w:pPr>
          </w:p>
          <w:p w14:paraId="648DE9C6">
            <w:pPr>
              <w:spacing w:line="299" w:lineRule="auto"/>
              <w:rPr>
                <w:rFonts w:ascii="Arial"/>
                <w:sz w:val="21"/>
              </w:rPr>
            </w:pPr>
          </w:p>
          <w:p w14:paraId="0E726CFD">
            <w:pPr>
              <w:spacing w:line="300" w:lineRule="auto"/>
              <w:rPr>
                <w:rFonts w:ascii="Arial"/>
                <w:sz w:val="21"/>
              </w:rPr>
            </w:pPr>
          </w:p>
          <w:p w14:paraId="4E9A9BB9">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01562F27">
            <w:pPr>
              <w:spacing w:line="277" w:lineRule="auto"/>
              <w:rPr>
                <w:rFonts w:ascii="Arial"/>
                <w:sz w:val="21"/>
              </w:rPr>
            </w:pPr>
          </w:p>
          <w:p w14:paraId="30186ADE">
            <w:pPr>
              <w:spacing w:line="277" w:lineRule="auto"/>
              <w:rPr>
                <w:rFonts w:ascii="Arial"/>
                <w:sz w:val="21"/>
              </w:rPr>
            </w:pPr>
          </w:p>
          <w:p w14:paraId="66CFB936">
            <w:pPr>
              <w:spacing w:line="277" w:lineRule="auto"/>
              <w:rPr>
                <w:rFonts w:ascii="Arial"/>
                <w:sz w:val="21"/>
              </w:rPr>
            </w:pPr>
          </w:p>
          <w:p w14:paraId="4DF309FC">
            <w:pPr>
              <w:pStyle w:val="6"/>
              <w:spacing w:before="98" w:line="209" w:lineRule="auto"/>
              <w:ind w:left="127"/>
            </w:pPr>
            <w:r>
              <w:rPr>
                <w:spacing w:val="6"/>
              </w:rPr>
              <w:t>没有违法所得的</w:t>
            </w:r>
          </w:p>
        </w:tc>
        <w:tc>
          <w:tcPr>
            <w:tcW w:w="2894" w:type="dxa"/>
            <w:vAlign w:val="top"/>
          </w:tcPr>
          <w:p w14:paraId="23B215F4">
            <w:pPr>
              <w:pStyle w:val="6"/>
              <w:spacing w:before="333" w:line="188" w:lineRule="auto"/>
              <w:ind w:left="120" w:right="103" w:hanging="1"/>
              <w:jc w:val="both"/>
            </w:pPr>
            <w:r>
              <w:rPr>
                <w:spacing w:val="-1"/>
              </w:rPr>
              <w:t>处</w:t>
            </w:r>
            <w:r>
              <w:rPr>
                <w:rFonts w:ascii="宋体" w:hAnsi="宋体" w:eastAsia="宋体" w:cs="宋体"/>
                <w:spacing w:val="-1"/>
              </w:rPr>
              <w:t>10</w:t>
            </w:r>
            <w:r>
              <w:rPr>
                <w:spacing w:val="-1"/>
              </w:rPr>
              <w:t>万元以上</w:t>
            </w:r>
            <w:r>
              <w:rPr>
                <w:rFonts w:ascii="宋体" w:hAnsi="宋体" w:eastAsia="宋体" w:cs="宋体"/>
                <w:spacing w:val="-1"/>
              </w:rPr>
              <w:t>15</w:t>
            </w:r>
            <w:r>
              <w:rPr>
                <w:spacing w:val="-1"/>
              </w:rPr>
              <w:t>万元以</w:t>
            </w:r>
            <w:r>
              <w:rPr>
                <w:spacing w:val="8"/>
              </w:rPr>
              <w:t>下的罚款；对其直接负责</w:t>
            </w:r>
            <w:r>
              <w:rPr>
                <w:spacing w:val="11"/>
              </w:rPr>
              <w:t>的主管人员和其他直接责</w:t>
            </w:r>
            <w:r>
              <w:rPr>
                <w:spacing w:val="3"/>
              </w:rPr>
              <w:t>任人员处</w:t>
            </w:r>
            <w:r>
              <w:rPr>
                <w:rFonts w:ascii="宋体" w:hAnsi="宋体" w:eastAsia="宋体" w:cs="宋体"/>
                <w:spacing w:val="3"/>
              </w:rPr>
              <w:t>5</w:t>
            </w:r>
            <w:r>
              <w:rPr>
                <w:spacing w:val="3"/>
              </w:rPr>
              <w:t>万元以上</w:t>
            </w:r>
            <w:r>
              <w:rPr>
                <w:rFonts w:ascii="宋体" w:hAnsi="宋体" w:eastAsia="宋体" w:cs="宋体"/>
                <w:spacing w:val="3"/>
              </w:rPr>
              <w:t>7</w:t>
            </w:r>
            <w:r>
              <w:rPr>
                <w:spacing w:val="3"/>
              </w:rPr>
              <w:t>万</w:t>
            </w:r>
            <w:r>
              <w:rPr>
                <w:spacing w:val="6"/>
              </w:rPr>
              <w:t>元以下的罚款</w:t>
            </w:r>
          </w:p>
        </w:tc>
        <w:tc>
          <w:tcPr>
            <w:tcW w:w="811" w:type="dxa"/>
            <w:vMerge w:val="restart"/>
            <w:tcBorders>
              <w:bottom w:val="nil"/>
            </w:tcBorders>
            <w:vAlign w:val="top"/>
          </w:tcPr>
          <w:p w14:paraId="04CB648F">
            <w:pPr>
              <w:spacing w:line="261" w:lineRule="auto"/>
              <w:rPr>
                <w:rFonts w:ascii="Arial"/>
                <w:sz w:val="21"/>
              </w:rPr>
            </w:pPr>
          </w:p>
          <w:p w14:paraId="3E8D4984">
            <w:pPr>
              <w:spacing w:line="261" w:lineRule="auto"/>
              <w:rPr>
                <w:rFonts w:ascii="Arial"/>
                <w:sz w:val="21"/>
              </w:rPr>
            </w:pPr>
          </w:p>
          <w:p w14:paraId="1741CABC">
            <w:pPr>
              <w:spacing w:line="261" w:lineRule="auto"/>
              <w:rPr>
                <w:rFonts w:ascii="Arial"/>
                <w:sz w:val="21"/>
              </w:rPr>
            </w:pPr>
          </w:p>
          <w:p w14:paraId="6D3B73BF">
            <w:pPr>
              <w:spacing w:line="261" w:lineRule="auto"/>
              <w:rPr>
                <w:rFonts w:ascii="Arial"/>
                <w:sz w:val="21"/>
              </w:rPr>
            </w:pPr>
          </w:p>
          <w:p w14:paraId="0DEC91B0">
            <w:pPr>
              <w:spacing w:line="261" w:lineRule="auto"/>
              <w:rPr>
                <w:rFonts w:ascii="Arial"/>
                <w:sz w:val="21"/>
              </w:rPr>
            </w:pPr>
          </w:p>
          <w:p w14:paraId="7CDC060F">
            <w:pPr>
              <w:spacing w:line="261" w:lineRule="auto"/>
              <w:rPr>
                <w:rFonts w:ascii="Arial"/>
                <w:sz w:val="21"/>
              </w:rPr>
            </w:pPr>
          </w:p>
          <w:p w14:paraId="4C29623E">
            <w:pPr>
              <w:spacing w:line="261" w:lineRule="auto"/>
              <w:rPr>
                <w:rFonts w:ascii="Arial"/>
                <w:sz w:val="21"/>
              </w:rPr>
            </w:pPr>
          </w:p>
          <w:p w14:paraId="797DB88B">
            <w:pPr>
              <w:spacing w:line="262" w:lineRule="auto"/>
              <w:rPr>
                <w:rFonts w:ascii="Arial"/>
                <w:sz w:val="21"/>
              </w:rPr>
            </w:pPr>
          </w:p>
          <w:p w14:paraId="7C9796E2">
            <w:pPr>
              <w:spacing w:before="74" w:line="188" w:lineRule="auto"/>
              <w:ind w:left="233"/>
              <w:rPr>
                <w:rFonts w:ascii="宋体" w:hAnsi="宋体" w:eastAsia="宋体" w:cs="宋体"/>
                <w:sz w:val="23"/>
                <w:szCs w:val="23"/>
              </w:rPr>
            </w:pPr>
            <w:r>
              <w:rPr>
                <w:rFonts w:ascii="宋体" w:hAnsi="宋体" w:eastAsia="宋体" w:cs="宋体"/>
                <w:spacing w:val="-1"/>
                <w:sz w:val="23"/>
                <w:szCs w:val="23"/>
              </w:rPr>
              <w:t>237</w:t>
            </w:r>
          </w:p>
        </w:tc>
      </w:tr>
      <w:tr w14:paraId="3F7F1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6" w:hRule="atLeast"/>
        </w:trPr>
        <w:tc>
          <w:tcPr>
            <w:tcW w:w="818" w:type="dxa"/>
            <w:vMerge w:val="continue"/>
            <w:tcBorders>
              <w:top w:val="nil"/>
            </w:tcBorders>
            <w:vAlign w:val="top"/>
          </w:tcPr>
          <w:p w14:paraId="1BA28A3D">
            <w:pPr>
              <w:rPr>
                <w:rFonts w:ascii="Arial"/>
                <w:sz w:val="21"/>
              </w:rPr>
            </w:pPr>
          </w:p>
        </w:tc>
        <w:tc>
          <w:tcPr>
            <w:tcW w:w="1440" w:type="dxa"/>
            <w:vMerge w:val="continue"/>
            <w:tcBorders>
              <w:top w:val="nil"/>
            </w:tcBorders>
            <w:vAlign w:val="top"/>
          </w:tcPr>
          <w:p w14:paraId="505A19DD">
            <w:pPr>
              <w:rPr>
                <w:rFonts w:ascii="Arial"/>
                <w:sz w:val="21"/>
              </w:rPr>
            </w:pPr>
          </w:p>
        </w:tc>
        <w:tc>
          <w:tcPr>
            <w:tcW w:w="3202" w:type="dxa"/>
            <w:vMerge w:val="continue"/>
            <w:tcBorders>
              <w:top w:val="nil"/>
            </w:tcBorders>
            <w:vAlign w:val="top"/>
          </w:tcPr>
          <w:p w14:paraId="023243B3">
            <w:pPr>
              <w:rPr>
                <w:rFonts w:ascii="Arial"/>
                <w:sz w:val="21"/>
              </w:rPr>
            </w:pPr>
          </w:p>
        </w:tc>
        <w:tc>
          <w:tcPr>
            <w:tcW w:w="2859" w:type="dxa"/>
            <w:vMerge w:val="continue"/>
            <w:tcBorders>
              <w:top w:val="nil"/>
            </w:tcBorders>
            <w:vAlign w:val="top"/>
          </w:tcPr>
          <w:p w14:paraId="28B11B3A">
            <w:pPr>
              <w:rPr>
                <w:rFonts w:ascii="Arial"/>
                <w:sz w:val="21"/>
              </w:rPr>
            </w:pPr>
          </w:p>
        </w:tc>
        <w:tc>
          <w:tcPr>
            <w:tcW w:w="803" w:type="dxa"/>
            <w:vAlign w:val="top"/>
          </w:tcPr>
          <w:p w14:paraId="0A3C1D1E">
            <w:pPr>
              <w:spacing w:line="259" w:lineRule="auto"/>
              <w:rPr>
                <w:rFonts w:ascii="Arial"/>
                <w:sz w:val="21"/>
              </w:rPr>
            </w:pPr>
          </w:p>
          <w:p w14:paraId="73831334">
            <w:pPr>
              <w:spacing w:line="259" w:lineRule="auto"/>
              <w:rPr>
                <w:rFonts w:ascii="Arial"/>
                <w:sz w:val="21"/>
              </w:rPr>
            </w:pPr>
          </w:p>
          <w:p w14:paraId="59974825">
            <w:pPr>
              <w:spacing w:line="259" w:lineRule="auto"/>
              <w:rPr>
                <w:rFonts w:ascii="Arial"/>
                <w:sz w:val="21"/>
              </w:rPr>
            </w:pPr>
          </w:p>
          <w:p w14:paraId="124723A3">
            <w:pPr>
              <w:spacing w:line="260" w:lineRule="auto"/>
              <w:rPr>
                <w:rFonts w:ascii="Arial"/>
                <w:sz w:val="21"/>
              </w:rPr>
            </w:pPr>
          </w:p>
          <w:p w14:paraId="47FC09D9">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172AEB9">
            <w:pPr>
              <w:spacing w:line="272" w:lineRule="auto"/>
              <w:rPr>
                <w:rFonts w:ascii="Arial"/>
                <w:sz w:val="21"/>
              </w:rPr>
            </w:pPr>
          </w:p>
          <w:p w14:paraId="78B25A89">
            <w:pPr>
              <w:spacing w:line="272" w:lineRule="auto"/>
              <w:rPr>
                <w:rFonts w:ascii="Arial"/>
                <w:sz w:val="21"/>
              </w:rPr>
            </w:pPr>
          </w:p>
          <w:p w14:paraId="3563E330">
            <w:pPr>
              <w:spacing w:line="272" w:lineRule="auto"/>
              <w:rPr>
                <w:rFonts w:ascii="Arial"/>
                <w:sz w:val="21"/>
              </w:rPr>
            </w:pPr>
          </w:p>
          <w:p w14:paraId="08D7501A">
            <w:pPr>
              <w:pStyle w:val="6"/>
              <w:spacing w:before="99" w:line="197" w:lineRule="auto"/>
              <w:ind w:left="122" w:right="106" w:hanging="5"/>
            </w:pPr>
            <w:r>
              <w:rPr>
                <w:spacing w:val="3"/>
              </w:rPr>
              <w:t>违法所得</w:t>
            </w:r>
            <w:r>
              <w:rPr>
                <w:rFonts w:ascii="宋体" w:hAnsi="宋体" w:eastAsia="宋体" w:cs="宋体"/>
                <w:spacing w:val="3"/>
              </w:rPr>
              <w:t>10</w:t>
            </w:r>
            <w:r>
              <w:rPr>
                <w:spacing w:val="3"/>
              </w:rPr>
              <w:t>万元以</w:t>
            </w:r>
            <w:r>
              <w:t>下的</w:t>
            </w:r>
          </w:p>
        </w:tc>
        <w:tc>
          <w:tcPr>
            <w:tcW w:w="2894" w:type="dxa"/>
            <w:vAlign w:val="top"/>
          </w:tcPr>
          <w:p w14:paraId="5A3668E9">
            <w:pPr>
              <w:pStyle w:val="6"/>
              <w:spacing w:before="321" w:line="187" w:lineRule="auto"/>
              <w:ind w:left="119" w:right="104" w:firstLine="10"/>
              <w:jc w:val="both"/>
            </w:pPr>
            <w:r>
              <w:rPr>
                <w:spacing w:val="-5"/>
              </w:rPr>
              <w:t>没收违法所得，并处</w:t>
            </w:r>
            <w:r>
              <w:rPr>
                <w:rFonts w:ascii="宋体" w:hAnsi="宋体" w:eastAsia="宋体" w:cs="宋体"/>
                <w:spacing w:val="-5"/>
              </w:rPr>
              <w:t>15</w:t>
            </w:r>
            <w:r>
              <w:rPr>
                <w:spacing w:val="-5"/>
              </w:rPr>
              <w:t>万</w:t>
            </w:r>
            <w:r>
              <w:rPr>
                <w:spacing w:val="13"/>
              </w:rPr>
              <w:t>元以上</w:t>
            </w:r>
            <w:r>
              <w:rPr>
                <w:rFonts w:ascii="宋体" w:hAnsi="宋体" w:eastAsia="宋体" w:cs="宋体"/>
                <w:spacing w:val="13"/>
              </w:rPr>
              <w:t>20</w:t>
            </w:r>
            <w:r>
              <w:rPr>
                <w:spacing w:val="13"/>
              </w:rPr>
              <w:t>万元以下的罚</w:t>
            </w:r>
            <w:r>
              <w:rPr>
                <w:spacing w:val="8"/>
              </w:rPr>
              <w:t>款；对其直接负责的主管</w:t>
            </w:r>
            <w:r>
              <w:rPr>
                <w:spacing w:val="11"/>
              </w:rPr>
              <w:t>人员和其他直接责任人员</w:t>
            </w:r>
            <w:r>
              <w:rPr>
                <w:spacing w:val="3"/>
              </w:rPr>
              <w:t>处</w:t>
            </w:r>
            <w:r>
              <w:rPr>
                <w:rFonts w:ascii="宋体" w:hAnsi="宋体" w:eastAsia="宋体" w:cs="宋体"/>
                <w:spacing w:val="3"/>
              </w:rPr>
              <w:t>7</w:t>
            </w:r>
            <w:r>
              <w:rPr>
                <w:spacing w:val="3"/>
              </w:rPr>
              <w:t>万元以上</w:t>
            </w:r>
            <w:r>
              <w:rPr>
                <w:rFonts w:ascii="宋体" w:hAnsi="宋体" w:eastAsia="宋体" w:cs="宋体"/>
                <w:spacing w:val="3"/>
              </w:rPr>
              <w:t>9</w:t>
            </w:r>
            <w:r>
              <w:rPr>
                <w:spacing w:val="3"/>
              </w:rPr>
              <w:t>万元以下</w:t>
            </w:r>
            <w:r>
              <w:rPr>
                <w:spacing w:val="5"/>
              </w:rPr>
              <w:t>的罚款</w:t>
            </w:r>
          </w:p>
        </w:tc>
        <w:tc>
          <w:tcPr>
            <w:tcW w:w="811" w:type="dxa"/>
            <w:vMerge w:val="continue"/>
            <w:tcBorders>
              <w:top w:val="nil"/>
            </w:tcBorders>
            <w:vAlign w:val="top"/>
          </w:tcPr>
          <w:p w14:paraId="2CFF744D">
            <w:pPr>
              <w:rPr>
                <w:rFonts w:ascii="Arial"/>
                <w:sz w:val="21"/>
              </w:rPr>
            </w:pPr>
          </w:p>
        </w:tc>
      </w:tr>
    </w:tbl>
    <w:p w14:paraId="025E541C">
      <w:pPr>
        <w:pStyle w:val="2"/>
      </w:pPr>
    </w:p>
    <w:p w14:paraId="52EF8531">
      <w:pPr>
        <w:sectPr>
          <w:footerReference r:id="rId222" w:type="default"/>
          <w:pgSz w:w="16839" w:h="11906"/>
          <w:pgMar w:top="1012" w:right="821" w:bottom="667" w:left="901" w:header="0" w:footer="388" w:gutter="0"/>
          <w:cols w:space="720" w:num="1"/>
        </w:sectPr>
      </w:pPr>
    </w:p>
    <w:p w14:paraId="7657AD1A">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5466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E488E61">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40CDE1F5">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CA758AE">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906F01E">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5534BE11">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F3E2930">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BB32ACC">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7FD7271C">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BD93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17" w:hRule="atLeast"/>
        </w:trPr>
        <w:tc>
          <w:tcPr>
            <w:tcW w:w="818" w:type="dxa"/>
            <w:vAlign w:val="top"/>
          </w:tcPr>
          <w:p w14:paraId="0EDD72EC">
            <w:pPr>
              <w:rPr>
                <w:rFonts w:ascii="Arial"/>
                <w:sz w:val="21"/>
              </w:rPr>
            </w:pPr>
          </w:p>
        </w:tc>
        <w:tc>
          <w:tcPr>
            <w:tcW w:w="1440" w:type="dxa"/>
            <w:vAlign w:val="top"/>
          </w:tcPr>
          <w:p w14:paraId="4F9168DB">
            <w:pPr>
              <w:rPr>
                <w:rFonts w:ascii="Arial"/>
                <w:sz w:val="21"/>
              </w:rPr>
            </w:pPr>
          </w:p>
        </w:tc>
        <w:tc>
          <w:tcPr>
            <w:tcW w:w="3202" w:type="dxa"/>
            <w:vAlign w:val="top"/>
          </w:tcPr>
          <w:p w14:paraId="4B460DC3">
            <w:pPr>
              <w:pStyle w:val="6"/>
              <w:spacing w:before="27" w:line="209" w:lineRule="auto"/>
              <w:ind w:left="148"/>
            </w:pPr>
            <w:r>
              <w:rPr>
                <w:spacing w:val="-2"/>
              </w:rPr>
              <w:t>出具虚假报告。</w:t>
            </w:r>
          </w:p>
        </w:tc>
        <w:tc>
          <w:tcPr>
            <w:tcW w:w="2859" w:type="dxa"/>
            <w:vAlign w:val="top"/>
          </w:tcPr>
          <w:p w14:paraId="43970DAD">
            <w:pPr>
              <w:pStyle w:val="6"/>
              <w:spacing w:before="33" w:line="182" w:lineRule="auto"/>
              <w:ind w:left="118" w:right="110"/>
            </w:pPr>
            <w:r>
              <w:rPr>
                <w:spacing w:val="8"/>
              </w:rPr>
              <w:t>他直接责任人员处五万元</w:t>
            </w:r>
            <w:r>
              <w:rPr>
                <w:spacing w:val="4"/>
              </w:rPr>
              <w:t>以上十万元以下的罚款；</w:t>
            </w:r>
            <w:r>
              <w:rPr>
                <w:spacing w:val="8"/>
              </w:rPr>
              <w:t>给他人造成损害的，与生产经营单位承担连带赔偿</w:t>
            </w:r>
            <w:r>
              <w:rPr>
                <w:spacing w:val="5"/>
              </w:rPr>
              <w:t>责任；构成犯罪的，依照</w:t>
            </w:r>
            <w:r>
              <w:rPr>
                <w:spacing w:val="8"/>
              </w:rPr>
              <w:t>刑法有关规定追究刑事责</w:t>
            </w:r>
            <w:r>
              <w:rPr>
                <w:spacing w:val="-8"/>
              </w:rPr>
              <w:t>任。</w:t>
            </w:r>
          </w:p>
          <w:p w14:paraId="6AECE9F8">
            <w:pPr>
              <w:pStyle w:val="6"/>
              <w:spacing w:before="23" w:line="183" w:lineRule="auto"/>
              <w:ind w:left="114" w:right="35" w:firstLine="1"/>
            </w:pPr>
            <w:r>
              <w:rPr>
                <w:rFonts w:ascii="宋体" w:hAnsi="宋体" w:eastAsia="宋体" w:cs="宋体"/>
                <w:spacing w:val="7"/>
              </w:rPr>
              <w:t>2.</w:t>
            </w:r>
            <w:r>
              <w:rPr>
                <w:spacing w:val="7"/>
              </w:rPr>
              <w:t>【部门规章】《工贸企</w:t>
            </w:r>
            <w:r>
              <w:rPr>
                <w:spacing w:val="8"/>
              </w:rPr>
              <w:t>业粉尘防爆安全规定》第三十一条第二款：安全生产技术服务机构接受委托开展技术服务工作，出具虚假报告的，依照《中华</w:t>
            </w:r>
            <w:r>
              <w:rPr>
                <w:spacing w:val="10"/>
              </w:rPr>
              <w:t>人民共和国安全生产法》</w:t>
            </w:r>
            <w:r>
              <w:rPr>
                <w:spacing w:val="-5"/>
              </w:rPr>
              <w:t>有关规定，没收违法所得；</w:t>
            </w:r>
            <w:r>
              <w:rPr>
                <w:spacing w:val="11"/>
              </w:rPr>
              <w:t>违法所得在</w:t>
            </w:r>
            <w:r>
              <w:rPr>
                <w:rFonts w:ascii="宋体" w:hAnsi="宋体" w:eastAsia="宋体" w:cs="宋体"/>
                <w:spacing w:val="11"/>
              </w:rPr>
              <w:t>10</w:t>
            </w:r>
            <w:r>
              <w:rPr>
                <w:spacing w:val="11"/>
              </w:rPr>
              <w:t>万元以上</w:t>
            </w:r>
            <w:r>
              <w:rPr>
                <w:spacing w:val="6"/>
              </w:rPr>
              <w:t>的，并处违法所得</w:t>
            </w:r>
            <w:r>
              <w:rPr>
                <w:rFonts w:ascii="宋体" w:hAnsi="宋体" w:eastAsia="宋体" w:cs="宋体"/>
                <w:spacing w:val="6"/>
              </w:rPr>
              <w:t>2</w:t>
            </w:r>
            <w:r>
              <w:rPr>
                <w:spacing w:val="6"/>
              </w:rPr>
              <w:t>倍以上</w:t>
            </w:r>
            <w:r>
              <w:rPr>
                <w:rFonts w:ascii="宋体" w:hAnsi="宋体" w:eastAsia="宋体" w:cs="宋体"/>
                <w:spacing w:val="6"/>
              </w:rPr>
              <w:t>5</w:t>
            </w:r>
            <w:r>
              <w:rPr>
                <w:spacing w:val="6"/>
              </w:rPr>
              <w:t>倍以下的罚款；没有</w:t>
            </w:r>
            <w:r>
              <w:rPr>
                <w:spacing w:val="8"/>
              </w:rPr>
              <w:t>违法所得或者违法所得不</w:t>
            </w:r>
            <w:r>
              <w:rPr>
                <w:spacing w:val="-7"/>
              </w:rPr>
              <w:t>足</w:t>
            </w:r>
            <w:r>
              <w:rPr>
                <w:rFonts w:ascii="宋体" w:hAnsi="宋体" w:eastAsia="宋体" w:cs="宋体"/>
                <w:spacing w:val="-7"/>
              </w:rPr>
              <w:t>10</w:t>
            </w:r>
            <w:r>
              <w:rPr>
                <w:spacing w:val="-7"/>
              </w:rPr>
              <w:t>万元的，单处或者并</w:t>
            </w:r>
            <w:r>
              <w:t>处</w:t>
            </w:r>
            <w:r>
              <w:rPr>
                <w:rFonts w:ascii="宋体" w:hAnsi="宋体" w:eastAsia="宋体" w:cs="宋体"/>
              </w:rPr>
              <w:t>10</w:t>
            </w:r>
            <w:r>
              <w:t>万元以上</w:t>
            </w:r>
            <w:r>
              <w:rPr>
                <w:rFonts w:ascii="宋体" w:hAnsi="宋体" w:eastAsia="宋体" w:cs="宋体"/>
              </w:rPr>
              <w:t>20</w:t>
            </w:r>
            <w:r>
              <w:t>万元以</w:t>
            </w:r>
            <w:r>
              <w:rPr>
                <w:spacing w:val="8"/>
              </w:rPr>
              <w:t>下的罚款；对其直接负责的主管人员和其他直接责</w:t>
            </w:r>
            <w:r>
              <w:rPr>
                <w:spacing w:val="10"/>
              </w:rPr>
              <w:t>任人员处</w:t>
            </w:r>
            <w:r>
              <w:rPr>
                <w:rFonts w:ascii="宋体" w:hAnsi="宋体" w:eastAsia="宋体" w:cs="宋体"/>
                <w:spacing w:val="10"/>
              </w:rPr>
              <w:t>5</w:t>
            </w:r>
            <w:r>
              <w:rPr>
                <w:spacing w:val="10"/>
              </w:rPr>
              <w:t>万元以上</w:t>
            </w:r>
            <w:r>
              <w:rPr>
                <w:rFonts w:ascii="宋体" w:hAnsi="宋体" w:eastAsia="宋体" w:cs="宋体"/>
                <w:spacing w:val="10"/>
              </w:rPr>
              <w:t>10</w:t>
            </w:r>
            <w:r>
              <w:rPr>
                <w:spacing w:val="8"/>
              </w:rPr>
              <w:t>万元以下的罚款；给他人造成损害的，与粉尘涉爆</w:t>
            </w:r>
            <w:r>
              <w:rPr>
                <w:spacing w:val="4"/>
              </w:rPr>
              <w:t>企业承担连带赔偿责任；</w:t>
            </w:r>
            <w:r>
              <w:rPr>
                <w:spacing w:val="8"/>
              </w:rPr>
              <w:t>构成犯罪的，依照刑法有</w:t>
            </w:r>
            <w:r>
              <w:rPr>
                <w:spacing w:val="5"/>
              </w:rPr>
              <w:t>关规定追究刑事责任。</w:t>
            </w:r>
          </w:p>
        </w:tc>
        <w:tc>
          <w:tcPr>
            <w:tcW w:w="803" w:type="dxa"/>
            <w:vAlign w:val="top"/>
          </w:tcPr>
          <w:p w14:paraId="585194EE">
            <w:pPr>
              <w:spacing w:line="251" w:lineRule="auto"/>
              <w:rPr>
                <w:rFonts w:ascii="Arial"/>
                <w:sz w:val="21"/>
              </w:rPr>
            </w:pPr>
          </w:p>
          <w:p w14:paraId="29B7BC2F">
            <w:pPr>
              <w:spacing w:line="251" w:lineRule="auto"/>
              <w:rPr>
                <w:rFonts w:ascii="Arial"/>
                <w:sz w:val="21"/>
              </w:rPr>
            </w:pPr>
          </w:p>
          <w:p w14:paraId="394E7F0D">
            <w:pPr>
              <w:spacing w:line="251" w:lineRule="auto"/>
              <w:rPr>
                <w:rFonts w:ascii="Arial"/>
                <w:sz w:val="21"/>
              </w:rPr>
            </w:pPr>
          </w:p>
          <w:p w14:paraId="0C806633">
            <w:pPr>
              <w:spacing w:line="251" w:lineRule="auto"/>
              <w:rPr>
                <w:rFonts w:ascii="Arial"/>
                <w:sz w:val="21"/>
              </w:rPr>
            </w:pPr>
          </w:p>
          <w:p w14:paraId="62EF84F7">
            <w:pPr>
              <w:spacing w:line="251" w:lineRule="auto"/>
              <w:rPr>
                <w:rFonts w:ascii="Arial"/>
                <w:sz w:val="21"/>
              </w:rPr>
            </w:pPr>
          </w:p>
          <w:p w14:paraId="653D8015">
            <w:pPr>
              <w:spacing w:line="251" w:lineRule="auto"/>
              <w:rPr>
                <w:rFonts w:ascii="Arial"/>
                <w:sz w:val="21"/>
              </w:rPr>
            </w:pPr>
          </w:p>
          <w:p w14:paraId="30F99402">
            <w:pPr>
              <w:spacing w:line="252" w:lineRule="auto"/>
              <w:rPr>
                <w:rFonts w:ascii="Arial"/>
                <w:sz w:val="21"/>
              </w:rPr>
            </w:pPr>
          </w:p>
          <w:p w14:paraId="62C2D9A7">
            <w:pPr>
              <w:spacing w:line="252" w:lineRule="auto"/>
              <w:rPr>
                <w:rFonts w:ascii="Arial"/>
                <w:sz w:val="21"/>
              </w:rPr>
            </w:pPr>
          </w:p>
          <w:p w14:paraId="516B66A1">
            <w:pPr>
              <w:spacing w:line="252" w:lineRule="auto"/>
              <w:rPr>
                <w:rFonts w:ascii="Arial"/>
                <w:sz w:val="21"/>
              </w:rPr>
            </w:pPr>
          </w:p>
          <w:p w14:paraId="6071C977">
            <w:pPr>
              <w:spacing w:line="252" w:lineRule="auto"/>
              <w:rPr>
                <w:rFonts w:ascii="Arial"/>
                <w:sz w:val="21"/>
              </w:rPr>
            </w:pPr>
          </w:p>
          <w:p w14:paraId="25E91A09">
            <w:pPr>
              <w:spacing w:line="252" w:lineRule="auto"/>
              <w:rPr>
                <w:rFonts w:ascii="Arial"/>
                <w:sz w:val="21"/>
              </w:rPr>
            </w:pPr>
          </w:p>
          <w:p w14:paraId="1065C5A0">
            <w:pPr>
              <w:spacing w:line="252" w:lineRule="auto"/>
              <w:rPr>
                <w:rFonts w:ascii="Arial"/>
                <w:sz w:val="21"/>
              </w:rPr>
            </w:pPr>
          </w:p>
          <w:p w14:paraId="02AE27A2">
            <w:pPr>
              <w:spacing w:line="252" w:lineRule="auto"/>
              <w:rPr>
                <w:rFonts w:ascii="Arial"/>
                <w:sz w:val="21"/>
              </w:rPr>
            </w:pPr>
          </w:p>
          <w:p w14:paraId="3FD8F417">
            <w:pPr>
              <w:spacing w:line="252" w:lineRule="auto"/>
              <w:rPr>
                <w:rFonts w:ascii="Arial"/>
                <w:sz w:val="21"/>
              </w:rPr>
            </w:pPr>
          </w:p>
          <w:p w14:paraId="0DD97DD9">
            <w:pPr>
              <w:spacing w:line="252" w:lineRule="auto"/>
              <w:rPr>
                <w:rFonts w:ascii="Arial"/>
                <w:sz w:val="21"/>
              </w:rPr>
            </w:pPr>
          </w:p>
          <w:p w14:paraId="0FBC5354">
            <w:pPr>
              <w:spacing w:line="252" w:lineRule="auto"/>
              <w:rPr>
                <w:rFonts w:ascii="Arial"/>
                <w:sz w:val="21"/>
              </w:rPr>
            </w:pPr>
          </w:p>
          <w:p w14:paraId="65D9F755">
            <w:pPr>
              <w:spacing w:line="252" w:lineRule="auto"/>
              <w:rPr>
                <w:rFonts w:ascii="Arial"/>
                <w:sz w:val="21"/>
              </w:rPr>
            </w:pPr>
          </w:p>
          <w:p w14:paraId="1B971241">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2B04BC4F">
            <w:pPr>
              <w:spacing w:line="253" w:lineRule="auto"/>
              <w:rPr>
                <w:rFonts w:ascii="Arial"/>
                <w:sz w:val="21"/>
              </w:rPr>
            </w:pPr>
          </w:p>
          <w:p w14:paraId="5DAF4EA5">
            <w:pPr>
              <w:spacing w:line="253" w:lineRule="auto"/>
              <w:rPr>
                <w:rFonts w:ascii="Arial"/>
                <w:sz w:val="21"/>
              </w:rPr>
            </w:pPr>
          </w:p>
          <w:p w14:paraId="5AB739D6">
            <w:pPr>
              <w:spacing w:line="253" w:lineRule="auto"/>
              <w:rPr>
                <w:rFonts w:ascii="Arial"/>
                <w:sz w:val="21"/>
              </w:rPr>
            </w:pPr>
          </w:p>
          <w:p w14:paraId="26E0A20D">
            <w:pPr>
              <w:spacing w:line="254" w:lineRule="auto"/>
              <w:rPr>
                <w:rFonts w:ascii="Arial"/>
                <w:sz w:val="21"/>
              </w:rPr>
            </w:pPr>
          </w:p>
          <w:p w14:paraId="10B7DB74">
            <w:pPr>
              <w:spacing w:line="254" w:lineRule="auto"/>
              <w:rPr>
                <w:rFonts w:ascii="Arial"/>
                <w:sz w:val="21"/>
              </w:rPr>
            </w:pPr>
          </w:p>
          <w:p w14:paraId="3B1C254A">
            <w:pPr>
              <w:spacing w:line="254" w:lineRule="auto"/>
              <w:rPr>
                <w:rFonts w:ascii="Arial"/>
                <w:sz w:val="21"/>
              </w:rPr>
            </w:pPr>
          </w:p>
          <w:p w14:paraId="245E4B86">
            <w:pPr>
              <w:spacing w:line="254" w:lineRule="auto"/>
              <w:rPr>
                <w:rFonts w:ascii="Arial"/>
                <w:sz w:val="21"/>
              </w:rPr>
            </w:pPr>
          </w:p>
          <w:p w14:paraId="009CA986">
            <w:pPr>
              <w:spacing w:line="254" w:lineRule="auto"/>
              <w:rPr>
                <w:rFonts w:ascii="Arial"/>
                <w:sz w:val="21"/>
              </w:rPr>
            </w:pPr>
          </w:p>
          <w:p w14:paraId="1A3A82AF">
            <w:pPr>
              <w:spacing w:line="254" w:lineRule="auto"/>
              <w:rPr>
                <w:rFonts w:ascii="Arial"/>
                <w:sz w:val="21"/>
              </w:rPr>
            </w:pPr>
          </w:p>
          <w:p w14:paraId="7B0D98AC">
            <w:pPr>
              <w:spacing w:line="254" w:lineRule="auto"/>
              <w:rPr>
                <w:rFonts w:ascii="Arial"/>
                <w:sz w:val="21"/>
              </w:rPr>
            </w:pPr>
          </w:p>
          <w:p w14:paraId="08C5AD66">
            <w:pPr>
              <w:spacing w:line="254" w:lineRule="auto"/>
              <w:rPr>
                <w:rFonts w:ascii="Arial"/>
                <w:sz w:val="21"/>
              </w:rPr>
            </w:pPr>
          </w:p>
          <w:p w14:paraId="6CB6D279">
            <w:pPr>
              <w:spacing w:line="254" w:lineRule="auto"/>
              <w:rPr>
                <w:rFonts w:ascii="Arial"/>
                <w:sz w:val="21"/>
              </w:rPr>
            </w:pPr>
          </w:p>
          <w:p w14:paraId="196E96C0">
            <w:pPr>
              <w:spacing w:line="254" w:lineRule="auto"/>
              <w:rPr>
                <w:rFonts w:ascii="Arial"/>
                <w:sz w:val="21"/>
              </w:rPr>
            </w:pPr>
          </w:p>
          <w:p w14:paraId="7C33442D">
            <w:pPr>
              <w:spacing w:line="254" w:lineRule="auto"/>
              <w:rPr>
                <w:rFonts w:ascii="Arial"/>
                <w:sz w:val="21"/>
              </w:rPr>
            </w:pPr>
          </w:p>
          <w:p w14:paraId="50A1E0DE">
            <w:pPr>
              <w:spacing w:line="254" w:lineRule="auto"/>
              <w:rPr>
                <w:rFonts w:ascii="Arial"/>
                <w:sz w:val="21"/>
              </w:rPr>
            </w:pPr>
          </w:p>
          <w:p w14:paraId="6FC3FC7E">
            <w:pPr>
              <w:spacing w:line="254" w:lineRule="auto"/>
              <w:rPr>
                <w:rFonts w:ascii="Arial"/>
                <w:sz w:val="21"/>
              </w:rPr>
            </w:pPr>
          </w:p>
          <w:p w14:paraId="6928095A">
            <w:pPr>
              <w:pStyle w:val="6"/>
              <w:spacing w:before="99" w:line="197" w:lineRule="auto"/>
              <w:ind w:left="122" w:right="106" w:hanging="5"/>
            </w:pPr>
            <w:r>
              <w:rPr>
                <w:spacing w:val="3"/>
              </w:rPr>
              <w:t>违法所得</w:t>
            </w:r>
            <w:r>
              <w:rPr>
                <w:rFonts w:ascii="宋体" w:hAnsi="宋体" w:eastAsia="宋体" w:cs="宋体"/>
                <w:spacing w:val="3"/>
              </w:rPr>
              <w:t>10</w:t>
            </w:r>
            <w:r>
              <w:rPr>
                <w:spacing w:val="3"/>
              </w:rPr>
              <w:t>万元以</w:t>
            </w:r>
            <w:r>
              <w:t>上的</w:t>
            </w:r>
          </w:p>
        </w:tc>
        <w:tc>
          <w:tcPr>
            <w:tcW w:w="2894" w:type="dxa"/>
            <w:vAlign w:val="top"/>
          </w:tcPr>
          <w:p w14:paraId="57EC2754">
            <w:pPr>
              <w:spacing w:line="247" w:lineRule="auto"/>
              <w:rPr>
                <w:rFonts w:ascii="Arial"/>
                <w:sz w:val="21"/>
              </w:rPr>
            </w:pPr>
          </w:p>
          <w:p w14:paraId="202A4299">
            <w:pPr>
              <w:spacing w:line="247" w:lineRule="auto"/>
              <w:rPr>
                <w:rFonts w:ascii="Arial"/>
                <w:sz w:val="21"/>
              </w:rPr>
            </w:pPr>
          </w:p>
          <w:p w14:paraId="6582B010">
            <w:pPr>
              <w:spacing w:line="247" w:lineRule="auto"/>
              <w:rPr>
                <w:rFonts w:ascii="Arial"/>
                <w:sz w:val="21"/>
              </w:rPr>
            </w:pPr>
          </w:p>
          <w:p w14:paraId="4327AA4A">
            <w:pPr>
              <w:spacing w:line="247" w:lineRule="auto"/>
              <w:rPr>
                <w:rFonts w:ascii="Arial"/>
                <w:sz w:val="21"/>
              </w:rPr>
            </w:pPr>
          </w:p>
          <w:p w14:paraId="4908DD39">
            <w:pPr>
              <w:spacing w:line="247" w:lineRule="auto"/>
              <w:rPr>
                <w:rFonts w:ascii="Arial"/>
                <w:sz w:val="21"/>
              </w:rPr>
            </w:pPr>
          </w:p>
          <w:p w14:paraId="28C9F289">
            <w:pPr>
              <w:spacing w:line="247" w:lineRule="auto"/>
              <w:rPr>
                <w:rFonts w:ascii="Arial"/>
                <w:sz w:val="21"/>
              </w:rPr>
            </w:pPr>
          </w:p>
          <w:p w14:paraId="26CABD30">
            <w:pPr>
              <w:spacing w:line="247" w:lineRule="auto"/>
              <w:rPr>
                <w:rFonts w:ascii="Arial"/>
                <w:sz w:val="21"/>
              </w:rPr>
            </w:pPr>
          </w:p>
          <w:p w14:paraId="3F70EC51">
            <w:pPr>
              <w:spacing w:line="247" w:lineRule="auto"/>
              <w:rPr>
                <w:rFonts w:ascii="Arial"/>
                <w:sz w:val="21"/>
              </w:rPr>
            </w:pPr>
          </w:p>
          <w:p w14:paraId="50389419">
            <w:pPr>
              <w:spacing w:line="248" w:lineRule="auto"/>
              <w:rPr>
                <w:rFonts w:ascii="Arial"/>
                <w:sz w:val="21"/>
              </w:rPr>
            </w:pPr>
          </w:p>
          <w:p w14:paraId="4280AF87">
            <w:pPr>
              <w:spacing w:line="248" w:lineRule="auto"/>
              <w:rPr>
                <w:rFonts w:ascii="Arial"/>
                <w:sz w:val="21"/>
              </w:rPr>
            </w:pPr>
          </w:p>
          <w:p w14:paraId="32D74E87">
            <w:pPr>
              <w:spacing w:line="248" w:lineRule="auto"/>
              <w:rPr>
                <w:rFonts w:ascii="Arial"/>
                <w:sz w:val="21"/>
              </w:rPr>
            </w:pPr>
          </w:p>
          <w:p w14:paraId="2671A130">
            <w:pPr>
              <w:spacing w:line="248" w:lineRule="auto"/>
              <w:rPr>
                <w:rFonts w:ascii="Arial"/>
                <w:sz w:val="21"/>
              </w:rPr>
            </w:pPr>
          </w:p>
          <w:p w14:paraId="0F6153AF">
            <w:pPr>
              <w:spacing w:line="248" w:lineRule="auto"/>
              <w:rPr>
                <w:rFonts w:ascii="Arial"/>
                <w:sz w:val="21"/>
              </w:rPr>
            </w:pPr>
          </w:p>
          <w:p w14:paraId="097A412F">
            <w:pPr>
              <w:spacing w:line="248" w:lineRule="auto"/>
              <w:rPr>
                <w:rFonts w:ascii="Arial"/>
                <w:sz w:val="21"/>
              </w:rPr>
            </w:pPr>
          </w:p>
          <w:p w14:paraId="575F034F">
            <w:pPr>
              <w:pStyle w:val="6"/>
              <w:spacing w:before="98" w:line="187" w:lineRule="auto"/>
              <w:ind w:left="122" w:right="103" w:firstLine="6"/>
              <w:jc w:val="both"/>
            </w:pPr>
            <w:r>
              <w:rPr>
                <w:spacing w:val="7"/>
              </w:rPr>
              <w:t>没收违法所得，并处违法</w:t>
            </w:r>
            <w:r>
              <w:rPr>
                <w:spacing w:val="5"/>
              </w:rPr>
              <w:t>所得</w:t>
            </w:r>
            <w:r>
              <w:rPr>
                <w:rFonts w:ascii="宋体" w:hAnsi="宋体" w:eastAsia="宋体" w:cs="宋体"/>
                <w:spacing w:val="5"/>
              </w:rPr>
              <w:t>2</w:t>
            </w:r>
            <w:r>
              <w:rPr>
                <w:spacing w:val="5"/>
              </w:rPr>
              <w:t>倍以上</w:t>
            </w:r>
            <w:r>
              <w:rPr>
                <w:rFonts w:ascii="宋体" w:hAnsi="宋体" w:eastAsia="宋体" w:cs="宋体"/>
                <w:spacing w:val="5"/>
              </w:rPr>
              <w:t>5</w:t>
            </w:r>
            <w:r>
              <w:rPr>
                <w:spacing w:val="5"/>
              </w:rPr>
              <w:t>倍以下的</w:t>
            </w:r>
            <w:r>
              <w:rPr>
                <w:spacing w:val="8"/>
              </w:rPr>
              <w:t>罚款；对其直接负责的主</w:t>
            </w:r>
            <w:r>
              <w:rPr>
                <w:spacing w:val="11"/>
              </w:rPr>
              <w:t>管人员和其他直接责任人</w:t>
            </w:r>
            <w:r>
              <w:rPr>
                <w:spacing w:val="9"/>
              </w:rPr>
              <w:t>员处</w:t>
            </w:r>
            <w:r>
              <w:rPr>
                <w:rFonts w:ascii="宋体" w:hAnsi="宋体" w:eastAsia="宋体" w:cs="宋体"/>
                <w:spacing w:val="9"/>
              </w:rPr>
              <w:t>9</w:t>
            </w:r>
            <w:r>
              <w:rPr>
                <w:spacing w:val="9"/>
              </w:rPr>
              <w:t>万元以上</w:t>
            </w:r>
            <w:r>
              <w:rPr>
                <w:rFonts w:ascii="宋体" w:hAnsi="宋体" w:eastAsia="宋体" w:cs="宋体"/>
                <w:spacing w:val="9"/>
              </w:rPr>
              <w:t>10</w:t>
            </w:r>
            <w:r>
              <w:rPr>
                <w:spacing w:val="9"/>
              </w:rPr>
              <w:t>万元以</w:t>
            </w:r>
            <w:r>
              <w:rPr>
                <w:spacing w:val="5"/>
              </w:rPr>
              <w:t>下的罚款</w:t>
            </w:r>
          </w:p>
        </w:tc>
        <w:tc>
          <w:tcPr>
            <w:tcW w:w="811" w:type="dxa"/>
            <w:vAlign w:val="top"/>
          </w:tcPr>
          <w:p w14:paraId="54DC9030">
            <w:pPr>
              <w:rPr>
                <w:rFonts w:ascii="Arial"/>
                <w:sz w:val="21"/>
              </w:rPr>
            </w:pPr>
          </w:p>
        </w:tc>
      </w:tr>
    </w:tbl>
    <w:p w14:paraId="682537DD">
      <w:pPr>
        <w:pStyle w:val="2"/>
      </w:pPr>
    </w:p>
    <w:p w14:paraId="3FEE246E">
      <w:pPr>
        <w:sectPr>
          <w:footerReference r:id="rId223" w:type="default"/>
          <w:pgSz w:w="16839" w:h="11906"/>
          <w:pgMar w:top="1012" w:right="821" w:bottom="666" w:left="901" w:header="0" w:footer="388" w:gutter="0"/>
          <w:cols w:space="720" w:num="1"/>
        </w:sectPr>
      </w:pPr>
    </w:p>
    <w:p w14:paraId="3DA8666E">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512B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BFC9DF4">
            <w:pPr>
              <w:spacing w:before="222" w:line="241" w:lineRule="auto"/>
              <w:ind w:left="131"/>
              <w:outlineLvl w:val="0"/>
              <w:rPr>
                <w:rFonts w:ascii="黑体" w:hAnsi="黑体" w:eastAsia="黑体" w:cs="黑体"/>
                <w:sz w:val="28"/>
                <w:szCs w:val="28"/>
              </w:rPr>
            </w:pPr>
            <w:bookmarkStart w:id="726" w:name="bookmark453"/>
            <w:bookmarkEnd w:id="726"/>
            <w:bookmarkStart w:id="727" w:name="bookmark612"/>
            <w:bookmarkEnd w:id="727"/>
            <w:r>
              <w:rPr>
                <w:rFonts w:ascii="黑体" w:hAnsi="黑体" w:eastAsia="黑体" w:cs="黑体"/>
                <w:spacing w:val="-2"/>
                <w:sz w:val="28"/>
                <w:szCs w:val="28"/>
              </w:rPr>
              <w:t>序号</w:t>
            </w:r>
          </w:p>
        </w:tc>
        <w:tc>
          <w:tcPr>
            <w:tcW w:w="1440" w:type="dxa"/>
            <w:vAlign w:val="top"/>
          </w:tcPr>
          <w:p w14:paraId="784A21EC">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0253E7F">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B5066BE">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122D3F4">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45A2308">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77FAA5D">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4DDE3032">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F279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818" w:type="dxa"/>
            <w:vMerge w:val="restart"/>
            <w:tcBorders>
              <w:bottom w:val="nil"/>
            </w:tcBorders>
            <w:vAlign w:val="top"/>
          </w:tcPr>
          <w:p w14:paraId="38F04D9F">
            <w:pPr>
              <w:rPr>
                <w:rFonts w:ascii="Arial"/>
                <w:sz w:val="21"/>
              </w:rPr>
            </w:pPr>
          </w:p>
          <w:p w14:paraId="58B6999C">
            <w:pPr>
              <w:rPr>
                <w:rFonts w:ascii="Arial"/>
                <w:sz w:val="21"/>
              </w:rPr>
            </w:pPr>
          </w:p>
          <w:p w14:paraId="1D2D9A37">
            <w:pPr>
              <w:rPr>
                <w:rFonts w:ascii="Arial"/>
                <w:sz w:val="21"/>
              </w:rPr>
            </w:pPr>
          </w:p>
          <w:p w14:paraId="2BD41DDA">
            <w:pPr>
              <w:rPr>
                <w:rFonts w:ascii="Arial"/>
                <w:sz w:val="21"/>
              </w:rPr>
            </w:pPr>
          </w:p>
          <w:p w14:paraId="35A3ECB5">
            <w:pPr>
              <w:spacing w:line="241" w:lineRule="auto"/>
              <w:rPr>
                <w:rFonts w:ascii="Arial"/>
                <w:sz w:val="21"/>
              </w:rPr>
            </w:pPr>
          </w:p>
          <w:p w14:paraId="133D9FFF">
            <w:pPr>
              <w:spacing w:line="241" w:lineRule="auto"/>
              <w:rPr>
                <w:rFonts w:ascii="Arial"/>
                <w:sz w:val="21"/>
              </w:rPr>
            </w:pPr>
          </w:p>
          <w:p w14:paraId="4AD77789">
            <w:pPr>
              <w:spacing w:line="241" w:lineRule="auto"/>
              <w:rPr>
                <w:rFonts w:ascii="Arial"/>
                <w:sz w:val="21"/>
              </w:rPr>
            </w:pPr>
          </w:p>
          <w:p w14:paraId="7FC9CE76">
            <w:pPr>
              <w:spacing w:line="241" w:lineRule="auto"/>
              <w:rPr>
                <w:rFonts w:ascii="Arial"/>
                <w:sz w:val="21"/>
              </w:rPr>
            </w:pPr>
          </w:p>
          <w:p w14:paraId="5D9183F6">
            <w:pPr>
              <w:spacing w:line="241" w:lineRule="auto"/>
              <w:rPr>
                <w:rFonts w:ascii="Arial"/>
                <w:sz w:val="21"/>
              </w:rPr>
            </w:pPr>
          </w:p>
          <w:p w14:paraId="53119E20">
            <w:pPr>
              <w:spacing w:line="241" w:lineRule="auto"/>
              <w:rPr>
                <w:rFonts w:ascii="Arial"/>
                <w:sz w:val="21"/>
              </w:rPr>
            </w:pPr>
          </w:p>
          <w:p w14:paraId="08883263">
            <w:pPr>
              <w:spacing w:line="241" w:lineRule="auto"/>
              <w:rPr>
                <w:rFonts w:ascii="Arial"/>
                <w:sz w:val="21"/>
              </w:rPr>
            </w:pPr>
          </w:p>
          <w:p w14:paraId="64D88BE0">
            <w:pPr>
              <w:spacing w:line="241" w:lineRule="auto"/>
              <w:rPr>
                <w:rFonts w:ascii="Arial"/>
                <w:sz w:val="21"/>
              </w:rPr>
            </w:pPr>
          </w:p>
          <w:p w14:paraId="0EF32D8D">
            <w:pPr>
              <w:spacing w:line="241" w:lineRule="auto"/>
              <w:rPr>
                <w:rFonts w:ascii="Arial"/>
                <w:sz w:val="21"/>
              </w:rPr>
            </w:pPr>
          </w:p>
          <w:p w14:paraId="5FB408C0">
            <w:pPr>
              <w:spacing w:line="241" w:lineRule="auto"/>
              <w:rPr>
                <w:rFonts w:ascii="Arial"/>
                <w:sz w:val="21"/>
              </w:rPr>
            </w:pPr>
          </w:p>
          <w:p w14:paraId="7C1F6AF0">
            <w:pPr>
              <w:spacing w:line="241" w:lineRule="auto"/>
              <w:rPr>
                <w:rFonts w:ascii="Arial"/>
                <w:sz w:val="21"/>
              </w:rPr>
            </w:pPr>
          </w:p>
          <w:p w14:paraId="3FC8508F">
            <w:pPr>
              <w:spacing w:line="241" w:lineRule="auto"/>
              <w:rPr>
                <w:rFonts w:ascii="Arial"/>
                <w:sz w:val="21"/>
              </w:rPr>
            </w:pPr>
          </w:p>
          <w:p w14:paraId="1C467475">
            <w:pPr>
              <w:spacing w:line="241" w:lineRule="auto"/>
              <w:rPr>
                <w:rFonts w:ascii="Arial"/>
                <w:sz w:val="21"/>
              </w:rPr>
            </w:pPr>
          </w:p>
          <w:p w14:paraId="5EEA8B10">
            <w:pPr>
              <w:spacing w:line="241" w:lineRule="auto"/>
              <w:rPr>
                <w:rFonts w:ascii="Arial"/>
                <w:sz w:val="21"/>
              </w:rPr>
            </w:pPr>
          </w:p>
          <w:p w14:paraId="78476689">
            <w:pPr>
              <w:spacing w:before="75" w:line="185" w:lineRule="auto"/>
              <w:ind w:left="146"/>
              <w:rPr>
                <w:rFonts w:ascii="仿宋" w:hAnsi="仿宋" w:eastAsia="仿宋" w:cs="仿宋"/>
                <w:sz w:val="23"/>
                <w:szCs w:val="23"/>
              </w:rPr>
            </w:pPr>
            <w:r>
              <w:rPr>
                <w:rFonts w:ascii="仿宋" w:hAnsi="仿宋" w:eastAsia="仿宋" w:cs="仿宋"/>
                <w:sz w:val="23"/>
                <w:szCs w:val="23"/>
              </w:rPr>
              <w:t>223</w:t>
            </w:r>
          </w:p>
        </w:tc>
        <w:tc>
          <w:tcPr>
            <w:tcW w:w="1440" w:type="dxa"/>
            <w:vMerge w:val="restart"/>
            <w:tcBorders>
              <w:bottom w:val="nil"/>
            </w:tcBorders>
            <w:vAlign w:val="top"/>
          </w:tcPr>
          <w:p w14:paraId="59C06B84">
            <w:pPr>
              <w:spacing w:line="247" w:lineRule="auto"/>
              <w:rPr>
                <w:rFonts w:ascii="Arial"/>
                <w:sz w:val="21"/>
              </w:rPr>
            </w:pPr>
          </w:p>
          <w:p w14:paraId="4A00224D">
            <w:pPr>
              <w:spacing w:line="247" w:lineRule="auto"/>
              <w:rPr>
                <w:rFonts w:ascii="Arial"/>
                <w:sz w:val="21"/>
              </w:rPr>
            </w:pPr>
          </w:p>
          <w:p w14:paraId="1755700E">
            <w:pPr>
              <w:spacing w:line="247" w:lineRule="auto"/>
              <w:rPr>
                <w:rFonts w:ascii="Arial"/>
                <w:sz w:val="21"/>
              </w:rPr>
            </w:pPr>
          </w:p>
          <w:p w14:paraId="70D77EC9">
            <w:pPr>
              <w:spacing w:line="247" w:lineRule="auto"/>
              <w:rPr>
                <w:rFonts w:ascii="Arial"/>
                <w:sz w:val="21"/>
              </w:rPr>
            </w:pPr>
          </w:p>
          <w:p w14:paraId="0F02C308">
            <w:pPr>
              <w:spacing w:line="247" w:lineRule="auto"/>
              <w:rPr>
                <w:rFonts w:ascii="Arial"/>
                <w:sz w:val="21"/>
              </w:rPr>
            </w:pPr>
          </w:p>
          <w:p w14:paraId="6B38FA14">
            <w:pPr>
              <w:spacing w:line="247" w:lineRule="auto"/>
              <w:rPr>
                <w:rFonts w:ascii="Arial"/>
                <w:sz w:val="21"/>
              </w:rPr>
            </w:pPr>
          </w:p>
          <w:p w14:paraId="31190CCC">
            <w:pPr>
              <w:spacing w:line="248" w:lineRule="auto"/>
              <w:rPr>
                <w:rFonts w:ascii="Arial"/>
                <w:sz w:val="21"/>
              </w:rPr>
            </w:pPr>
          </w:p>
          <w:p w14:paraId="22FCF4A7">
            <w:pPr>
              <w:spacing w:line="248" w:lineRule="auto"/>
              <w:rPr>
                <w:rFonts w:ascii="Arial"/>
                <w:sz w:val="21"/>
              </w:rPr>
            </w:pPr>
          </w:p>
          <w:p w14:paraId="338AA220">
            <w:pPr>
              <w:spacing w:line="248" w:lineRule="auto"/>
              <w:rPr>
                <w:rFonts w:ascii="Arial"/>
                <w:sz w:val="21"/>
              </w:rPr>
            </w:pPr>
          </w:p>
          <w:p w14:paraId="522C88EE">
            <w:pPr>
              <w:spacing w:line="248" w:lineRule="auto"/>
              <w:rPr>
                <w:rFonts w:ascii="Arial"/>
                <w:sz w:val="21"/>
              </w:rPr>
            </w:pPr>
          </w:p>
          <w:p w14:paraId="6F24A12D">
            <w:pPr>
              <w:spacing w:line="248" w:lineRule="auto"/>
              <w:rPr>
                <w:rFonts w:ascii="Arial"/>
                <w:sz w:val="21"/>
              </w:rPr>
            </w:pPr>
          </w:p>
          <w:p w14:paraId="03F141D4">
            <w:pPr>
              <w:spacing w:line="248" w:lineRule="auto"/>
              <w:rPr>
                <w:rFonts w:ascii="Arial"/>
                <w:sz w:val="21"/>
              </w:rPr>
            </w:pPr>
          </w:p>
          <w:p w14:paraId="78506ADB">
            <w:pPr>
              <w:spacing w:line="248" w:lineRule="auto"/>
              <w:rPr>
                <w:rFonts w:ascii="Arial"/>
                <w:sz w:val="21"/>
              </w:rPr>
            </w:pPr>
          </w:p>
          <w:p w14:paraId="08F95C8F">
            <w:pPr>
              <w:pStyle w:val="6"/>
              <w:spacing w:before="99" w:line="186" w:lineRule="auto"/>
              <w:ind w:left="114" w:right="111" w:firstLine="6"/>
            </w:pPr>
            <w:r>
              <w:rPr>
                <w:spacing w:val="10"/>
              </w:rPr>
              <w:t>安全评价检</w:t>
            </w:r>
            <w:r>
              <w:rPr>
                <w:spacing w:val="11"/>
              </w:rPr>
              <w:t>测检验机构名称等事项</w:t>
            </w:r>
            <w:r>
              <w:rPr>
                <w:spacing w:val="2"/>
              </w:rPr>
              <w:t>发生变化，</w:t>
            </w:r>
            <w:r>
              <w:rPr>
                <w:spacing w:val="11"/>
              </w:rPr>
              <w:t>未按规定向原资质认可机关提出变</w:t>
            </w:r>
            <w:r>
              <w:rPr>
                <w:spacing w:val="6"/>
              </w:rPr>
              <w:t>更申请的</w:t>
            </w:r>
          </w:p>
        </w:tc>
        <w:tc>
          <w:tcPr>
            <w:tcW w:w="3202" w:type="dxa"/>
            <w:vMerge w:val="restart"/>
            <w:tcBorders>
              <w:bottom w:val="nil"/>
            </w:tcBorders>
            <w:vAlign w:val="top"/>
          </w:tcPr>
          <w:p w14:paraId="75F47EA0">
            <w:pPr>
              <w:pStyle w:val="6"/>
              <w:spacing w:before="28" w:line="182" w:lineRule="auto"/>
              <w:ind w:left="98"/>
              <w:outlineLvl w:val="1"/>
            </w:pPr>
            <w:r>
              <w:rPr>
                <w:spacing w:val="17"/>
              </w:rPr>
              <w:t>【部门规章】《安全评价检</w:t>
            </w:r>
          </w:p>
          <w:p w14:paraId="42CF82BD">
            <w:pPr>
              <w:pStyle w:val="6"/>
              <w:spacing w:before="10" w:line="184" w:lineRule="auto"/>
              <w:ind w:left="117" w:right="21" w:firstLine="4"/>
            </w:pPr>
            <w:r>
              <w:rPr>
                <w:spacing w:val="16"/>
              </w:rPr>
              <w:t>测检验机构管理办法》第十</w:t>
            </w:r>
            <w:r>
              <w:rPr>
                <w:spacing w:val="13"/>
              </w:rPr>
              <w:t>二条第一款：安全评价检测</w:t>
            </w:r>
            <w:r>
              <w:rPr>
                <w:spacing w:val="5"/>
              </w:rPr>
              <w:t>检验机构的名称、注册地址、</w:t>
            </w:r>
            <w:r>
              <w:rPr>
                <w:spacing w:val="14"/>
              </w:rPr>
              <w:t>实验室条件、法定代表人、</w:t>
            </w:r>
            <w:r>
              <w:rPr>
                <w:spacing w:val="17"/>
              </w:rPr>
              <w:t>专职技术负责人、授权签字</w:t>
            </w:r>
            <w:r>
              <w:rPr>
                <w:spacing w:val="13"/>
              </w:rPr>
              <w:t>人发生变化的，应当自发生</w:t>
            </w:r>
            <w:r>
              <w:rPr>
                <w:spacing w:val="17"/>
              </w:rPr>
              <w:t>变化之日起三十日内向原资质认可机关提出书面变更申请。资质认可机关经审查后</w:t>
            </w:r>
            <w:r>
              <w:rPr>
                <w:spacing w:val="13"/>
              </w:rPr>
              <w:t>符合条件的，在本部门网站予以公告，并及时更新安全</w:t>
            </w:r>
            <w:r>
              <w:rPr>
                <w:spacing w:val="17"/>
              </w:rPr>
              <w:t>评价检测检验机构信息查询</w:t>
            </w:r>
            <w:r>
              <w:rPr>
                <w:spacing w:val="2"/>
              </w:rPr>
              <w:t>系统相关信息。</w:t>
            </w:r>
          </w:p>
        </w:tc>
        <w:tc>
          <w:tcPr>
            <w:tcW w:w="2859" w:type="dxa"/>
            <w:vMerge w:val="restart"/>
            <w:tcBorders>
              <w:bottom w:val="nil"/>
            </w:tcBorders>
            <w:vAlign w:val="top"/>
          </w:tcPr>
          <w:p w14:paraId="03C102C3">
            <w:pPr>
              <w:pStyle w:val="6"/>
              <w:spacing w:before="14" w:line="184" w:lineRule="auto"/>
              <w:ind w:left="115" w:right="38" w:hanging="18"/>
              <w:jc w:val="both"/>
            </w:pPr>
            <w:r>
              <w:rPr>
                <w:spacing w:val="10"/>
              </w:rPr>
              <w:t>【部门规章】《安全评价检测检验机构管理办法》</w:t>
            </w:r>
            <w:r>
              <w:rPr>
                <w:spacing w:val="8"/>
              </w:rPr>
              <w:t>第三十条第五项：安全评价检测检验机构有下列情形之一的，责令改正或者</w:t>
            </w:r>
            <w:r>
              <w:rPr>
                <w:spacing w:val="-6"/>
              </w:rPr>
              <w:t>责令限期改正，给予警告，</w:t>
            </w:r>
            <w:r>
              <w:rPr>
                <w:spacing w:val="8"/>
              </w:rPr>
              <w:t>可以并处一万元以下的罚款；逾期未改正的，处一万元以上三万元以下的罚款，对相关责任人处一千</w:t>
            </w:r>
            <w:r>
              <w:rPr>
                <w:spacing w:val="32"/>
              </w:rPr>
              <w:t>元以上五千元以下的罚</w:t>
            </w:r>
            <w:r>
              <w:rPr>
                <w:spacing w:val="8"/>
              </w:rPr>
              <w:t>款；情节严重的，处一万</w:t>
            </w:r>
            <w:r>
              <w:rPr>
                <w:spacing w:val="32"/>
              </w:rPr>
              <w:t>元以上三万元以下的罚</w:t>
            </w:r>
            <w:r>
              <w:rPr>
                <w:spacing w:val="8"/>
              </w:rPr>
              <w:t>款，对相关责任人处五千</w:t>
            </w:r>
            <w:r>
              <w:rPr>
                <w:spacing w:val="32"/>
              </w:rPr>
              <w:t>元以上一万元以下的罚</w:t>
            </w:r>
            <w:r>
              <w:rPr>
                <w:spacing w:val="9"/>
              </w:rPr>
              <w:t>款</w:t>
            </w:r>
            <w:r>
              <w:rPr>
                <w:spacing w:val="7"/>
              </w:rPr>
              <w:t>：（</w:t>
            </w:r>
            <w:r>
              <w:rPr>
                <w:spacing w:val="9"/>
              </w:rPr>
              <w:t>五）机构名称、注</w:t>
            </w:r>
            <w:r>
              <w:rPr>
                <w:spacing w:val="8"/>
              </w:rPr>
              <w:t>册地址、实验室条件、法定代表人、专职技术负责人、授权签字人发生变化之日起三十日内未向原资质认可机关提出变更申请</w:t>
            </w:r>
            <w:r>
              <w:rPr>
                <w:spacing w:val="-10"/>
              </w:rPr>
              <w:t>的；</w:t>
            </w:r>
          </w:p>
        </w:tc>
        <w:tc>
          <w:tcPr>
            <w:tcW w:w="803" w:type="dxa"/>
            <w:vAlign w:val="top"/>
          </w:tcPr>
          <w:p w14:paraId="7555B919">
            <w:pPr>
              <w:spacing w:line="247" w:lineRule="auto"/>
              <w:rPr>
                <w:rFonts w:ascii="Arial"/>
                <w:sz w:val="21"/>
              </w:rPr>
            </w:pPr>
          </w:p>
          <w:p w14:paraId="6CF9C8F5">
            <w:pPr>
              <w:spacing w:line="248" w:lineRule="auto"/>
              <w:rPr>
                <w:rFonts w:ascii="Arial"/>
                <w:sz w:val="21"/>
              </w:rPr>
            </w:pPr>
          </w:p>
          <w:p w14:paraId="1ADA7975">
            <w:pPr>
              <w:spacing w:line="248" w:lineRule="auto"/>
              <w:rPr>
                <w:rFonts w:ascii="Arial"/>
                <w:sz w:val="21"/>
              </w:rPr>
            </w:pPr>
          </w:p>
          <w:p w14:paraId="6EC2FAD6">
            <w:pPr>
              <w:spacing w:line="248" w:lineRule="auto"/>
              <w:rPr>
                <w:rFonts w:ascii="Arial"/>
                <w:sz w:val="21"/>
              </w:rPr>
            </w:pPr>
          </w:p>
          <w:p w14:paraId="4F04614C">
            <w:pPr>
              <w:spacing w:line="248" w:lineRule="auto"/>
              <w:rPr>
                <w:rFonts w:ascii="Arial"/>
                <w:sz w:val="21"/>
              </w:rPr>
            </w:pPr>
          </w:p>
          <w:p w14:paraId="4FC48E08">
            <w:pPr>
              <w:spacing w:line="248" w:lineRule="auto"/>
              <w:rPr>
                <w:rFonts w:ascii="Arial"/>
                <w:sz w:val="21"/>
              </w:rPr>
            </w:pPr>
          </w:p>
          <w:p w14:paraId="6FD17AF0">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0AD1314">
            <w:pPr>
              <w:spacing w:line="284" w:lineRule="auto"/>
              <w:rPr>
                <w:rFonts w:ascii="Arial"/>
                <w:sz w:val="21"/>
              </w:rPr>
            </w:pPr>
          </w:p>
          <w:p w14:paraId="2E9E4013">
            <w:pPr>
              <w:spacing w:line="284" w:lineRule="auto"/>
              <w:rPr>
                <w:rFonts w:ascii="Arial"/>
                <w:sz w:val="21"/>
              </w:rPr>
            </w:pPr>
          </w:p>
          <w:p w14:paraId="445BDEA8">
            <w:pPr>
              <w:spacing w:line="284" w:lineRule="auto"/>
              <w:rPr>
                <w:rFonts w:ascii="Arial"/>
                <w:sz w:val="21"/>
              </w:rPr>
            </w:pPr>
          </w:p>
          <w:p w14:paraId="5DD83871">
            <w:pPr>
              <w:spacing w:line="284" w:lineRule="auto"/>
              <w:rPr>
                <w:rFonts w:ascii="Arial"/>
                <w:sz w:val="21"/>
              </w:rPr>
            </w:pPr>
          </w:p>
          <w:p w14:paraId="7EE4BE65">
            <w:pPr>
              <w:spacing w:line="285" w:lineRule="auto"/>
              <w:rPr>
                <w:rFonts w:ascii="Arial"/>
                <w:sz w:val="21"/>
              </w:rPr>
            </w:pPr>
          </w:p>
          <w:p w14:paraId="3FCF8B0A">
            <w:pPr>
              <w:pStyle w:val="6"/>
              <w:spacing w:before="98" w:line="208" w:lineRule="auto"/>
              <w:ind w:left="115"/>
              <w:outlineLvl w:val="1"/>
            </w:pPr>
            <w:r>
              <w:rPr>
                <w:spacing w:val="-5"/>
              </w:rPr>
              <w:t>逾期</w:t>
            </w:r>
            <w:r>
              <w:rPr>
                <w:rFonts w:ascii="宋体" w:hAnsi="宋体" w:eastAsia="宋体" w:cs="宋体"/>
                <w:spacing w:val="-5"/>
              </w:rPr>
              <w:t>10</w:t>
            </w:r>
            <w:r>
              <w:rPr>
                <w:spacing w:val="-5"/>
              </w:rPr>
              <w:t>日以内的</w:t>
            </w:r>
          </w:p>
        </w:tc>
        <w:tc>
          <w:tcPr>
            <w:tcW w:w="2894" w:type="dxa"/>
            <w:vAlign w:val="top"/>
          </w:tcPr>
          <w:p w14:paraId="3D133BD8">
            <w:pPr>
              <w:pStyle w:val="6"/>
              <w:spacing w:before="19" w:line="181" w:lineRule="auto"/>
              <w:ind w:left="120" w:right="104" w:firstLine="7"/>
              <w:jc w:val="both"/>
            </w:pPr>
            <w:r>
              <w:rPr>
                <w:spacing w:val="10"/>
              </w:rPr>
              <w:t>责令改正或者责令限期改</w:t>
            </w:r>
            <w:r>
              <w:rPr>
                <w:spacing w:val="8"/>
              </w:rPr>
              <w:t>正，给予警告，可以并处</w:t>
            </w:r>
            <w:r>
              <w:rPr>
                <w:rFonts w:ascii="宋体" w:hAnsi="宋体" w:eastAsia="宋体" w:cs="宋体"/>
                <w:spacing w:val="9"/>
              </w:rPr>
              <w:t>1</w:t>
            </w:r>
            <w:r>
              <w:rPr>
                <w:spacing w:val="9"/>
              </w:rPr>
              <w:t>万元以下的罚款；逾期</w:t>
            </w:r>
            <w:r>
              <w:rPr>
                <w:spacing w:val="3"/>
              </w:rPr>
              <w:t>未改正的，处</w:t>
            </w:r>
            <w:r>
              <w:rPr>
                <w:rFonts w:ascii="宋体" w:hAnsi="宋体" w:eastAsia="宋体" w:cs="宋体"/>
                <w:spacing w:val="3"/>
              </w:rPr>
              <w:t>1</w:t>
            </w:r>
            <w:r>
              <w:rPr>
                <w:spacing w:val="3"/>
              </w:rPr>
              <w:t>万元以上</w:t>
            </w:r>
            <w:r>
              <w:rPr>
                <w:rFonts w:ascii="宋体" w:hAnsi="宋体" w:eastAsia="宋体" w:cs="宋体"/>
                <w:spacing w:val="6"/>
              </w:rPr>
              <w:t>1.5</w:t>
            </w:r>
            <w:r>
              <w:rPr>
                <w:spacing w:val="6"/>
              </w:rPr>
              <w:t>万元以下的罚款，对</w:t>
            </w:r>
            <w:r>
              <w:rPr>
                <w:spacing w:val="3"/>
              </w:rPr>
              <w:t>相关责任人处</w:t>
            </w:r>
            <w:r>
              <w:rPr>
                <w:rFonts w:ascii="宋体" w:hAnsi="宋体" w:eastAsia="宋体" w:cs="宋体"/>
                <w:spacing w:val="3"/>
              </w:rPr>
              <w:t>1</w:t>
            </w:r>
            <w:r>
              <w:rPr>
                <w:spacing w:val="3"/>
              </w:rPr>
              <w:t>千元以上</w:t>
            </w:r>
            <w:r>
              <w:rPr>
                <w:rFonts w:ascii="宋体" w:hAnsi="宋体" w:eastAsia="宋体" w:cs="宋体"/>
                <w:spacing w:val="9"/>
              </w:rPr>
              <w:t>5</w:t>
            </w:r>
            <w:r>
              <w:rPr>
                <w:spacing w:val="9"/>
              </w:rPr>
              <w:t>千元以下的罚款；情节</w:t>
            </w:r>
            <w:r>
              <w:rPr>
                <w:spacing w:val="-9"/>
              </w:rPr>
              <w:t>严重的，处</w:t>
            </w:r>
            <w:r>
              <w:rPr>
                <w:rFonts w:ascii="宋体" w:hAnsi="宋体" w:eastAsia="宋体" w:cs="宋体"/>
                <w:spacing w:val="-9"/>
              </w:rPr>
              <w:t>1</w:t>
            </w:r>
            <w:r>
              <w:rPr>
                <w:spacing w:val="-9"/>
              </w:rPr>
              <w:t>万元以上</w:t>
            </w:r>
            <w:r>
              <w:rPr>
                <w:rFonts w:ascii="宋体" w:hAnsi="宋体" w:eastAsia="宋体" w:cs="宋体"/>
                <w:spacing w:val="-9"/>
              </w:rPr>
              <w:t>1.5</w:t>
            </w:r>
            <w:r>
              <w:rPr>
                <w:spacing w:val="8"/>
              </w:rPr>
              <w:t>万元以下的罚款，对相关</w:t>
            </w:r>
            <w:r>
              <w:rPr>
                <w:spacing w:val="2"/>
              </w:rPr>
              <w:t>责任人处</w:t>
            </w:r>
            <w:r>
              <w:rPr>
                <w:rFonts w:ascii="宋体" w:hAnsi="宋体" w:eastAsia="宋体" w:cs="宋体"/>
                <w:spacing w:val="2"/>
              </w:rPr>
              <w:t>5</w:t>
            </w:r>
            <w:r>
              <w:rPr>
                <w:spacing w:val="2"/>
              </w:rPr>
              <w:t>千元以上</w:t>
            </w:r>
            <w:r>
              <w:rPr>
                <w:rFonts w:ascii="宋体" w:hAnsi="宋体" w:eastAsia="宋体" w:cs="宋体"/>
                <w:spacing w:val="2"/>
              </w:rPr>
              <w:t>1</w:t>
            </w:r>
            <w:r>
              <w:rPr>
                <w:spacing w:val="2"/>
              </w:rPr>
              <w:t>万</w:t>
            </w:r>
            <w:r>
              <w:rPr>
                <w:spacing w:val="7"/>
              </w:rPr>
              <w:t>元以下的罚款</w:t>
            </w:r>
          </w:p>
        </w:tc>
        <w:tc>
          <w:tcPr>
            <w:tcW w:w="811" w:type="dxa"/>
            <w:vMerge w:val="restart"/>
            <w:tcBorders>
              <w:bottom w:val="nil"/>
            </w:tcBorders>
            <w:vAlign w:val="top"/>
          </w:tcPr>
          <w:p w14:paraId="7084D41A">
            <w:pPr>
              <w:rPr>
                <w:rFonts w:ascii="Arial"/>
                <w:sz w:val="21"/>
              </w:rPr>
            </w:pPr>
          </w:p>
          <w:p w14:paraId="485A0635">
            <w:pPr>
              <w:rPr>
                <w:rFonts w:ascii="Arial"/>
                <w:sz w:val="21"/>
              </w:rPr>
            </w:pPr>
          </w:p>
          <w:p w14:paraId="1CFD9CD0">
            <w:pPr>
              <w:rPr>
                <w:rFonts w:ascii="Arial"/>
                <w:sz w:val="21"/>
              </w:rPr>
            </w:pPr>
          </w:p>
          <w:p w14:paraId="670A5392">
            <w:pPr>
              <w:rPr>
                <w:rFonts w:ascii="Arial"/>
                <w:sz w:val="21"/>
              </w:rPr>
            </w:pPr>
          </w:p>
          <w:p w14:paraId="74E1020E">
            <w:pPr>
              <w:rPr>
                <w:rFonts w:ascii="Arial"/>
                <w:sz w:val="21"/>
              </w:rPr>
            </w:pPr>
          </w:p>
          <w:p w14:paraId="30F1E9C3">
            <w:pPr>
              <w:rPr>
                <w:rFonts w:ascii="Arial"/>
                <w:sz w:val="21"/>
              </w:rPr>
            </w:pPr>
          </w:p>
          <w:p w14:paraId="4E30561F">
            <w:pPr>
              <w:rPr>
                <w:rFonts w:ascii="Arial"/>
                <w:sz w:val="21"/>
              </w:rPr>
            </w:pPr>
          </w:p>
          <w:p w14:paraId="2ED3299C">
            <w:pPr>
              <w:spacing w:line="241" w:lineRule="auto"/>
              <w:rPr>
                <w:rFonts w:ascii="Arial"/>
                <w:sz w:val="21"/>
              </w:rPr>
            </w:pPr>
          </w:p>
          <w:p w14:paraId="741B62C7">
            <w:pPr>
              <w:spacing w:line="241" w:lineRule="auto"/>
              <w:rPr>
                <w:rFonts w:ascii="Arial"/>
                <w:sz w:val="21"/>
              </w:rPr>
            </w:pPr>
          </w:p>
          <w:p w14:paraId="474226D4">
            <w:pPr>
              <w:spacing w:line="241" w:lineRule="auto"/>
              <w:rPr>
                <w:rFonts w:ascii="Arial"/>
                <w:sz w:val="21"/>
              </w:rPr>
            </w:pPr>
          </w:p>
          <w:p w14:paraId="7291E0FE">
            <w:pPr>
              <w:spacing w:line="241" w:lineRule="auto"/>
              <w:rPr>
                <w:rFonts w:ascii="Arial"/>
                <w:sz w:val="21"/>
              </w:rPr>
            </w:pPr>
          </w:p>
          <w:p w14:paraId="23F1F977">
            <w:pPr>
              <w:spacing w:line="241" w:lineRule="auto"/>
              <w:rPr>
                <w:rFonts w:ascii="Arial"/>
                <w:sz w:val="21"/>
              </w:rPr>
            </w:pPr>
          </w:p>
          <w:p w14:paraId="6D5B365F">
            <w:pPr>
              <w:spacing w:line="241" w:lineRule="auto"/>
              <w:rPr>
                <w:rFonts w:ascii="Arial"/>
                <w:sz w:val="21"/>
              </w:rPr>
            </w:pPr>
          </w:p>
          <w:p w14:paraId="572B532C">
            <w:pPr>
              <w:spacing w:line="241" w:lineRule="auto"/>
              <w:rPr>
                <w:rFonts w:ascii="Arial"/>
                <w:sz w:val="21"/>
              </w:rPr>
            </w:pPr>
          </w:p>
          <w:p w14:paraId="13979C76">
            <w:pPr>
              <w:spacing w:line="241" w:lineRule="auto"/>
              <w:rPr>
                <w:rFonts w:ascii="Arial"/>
                <w:sz w:val="21"/>
              </w:rPr>
            </w:pPr>
          </w:p>
          <w:p w14:paraId="5CAE6E27">
            <w:pPr>
              <w:spacing w:line="241" w:lineRule="auto"/>
              <w:rPr>
                <w:rFonts w:ascii="Arial"/>
                <w:sz w:val="21"/>
              </w:rPr>
            </w:pPr>
          </w:p>
          <w:p w14:paraId="5145BFA7">
            <w:pPr>
              <w:spacing w:line="241" w:lineRule="auto"/>
              <w:rPr>
                <w:rFonts w:ascii="Arial"/>
                <w:sz w:val="21"/>
              </w:rPr>
            </w:pPr>
          </w:p>
          <w:p w14:paraId="00F1577F">
            <w:pPr>
              <w:spacing w:line="241" w:lineRule="auto"/>
              <w:rPr>
                <w:rFonts w:ascii="Arial"/>
                <w:sz w:val="21"/>
              </w:rPr>
            </w:pPr>
          </w:p>
          <w:p w14:paraId="01EFC5F0">
            <w:pPr>
              <w:spacing w:before="74" w:line="188" w:lineRule="auto"/>
              <w:ind w:left="233"/>
              <w:rPr>
                <w:rFonts w:ascii="宋体" w:hAnsi="宋体" w:eastAsia="宋体" w:cs="宋体"/>
                <w:sz w:val="23"/>
                <w:szCs w:val="23"/>
              </w:rPr>
            </w:pPr>
            <w:r>
              <w:rPr>
                <w:rFonts w:ascii="宋体" w:hAnsi="宋体" w:eastAsia="宋体" w:cs="宋体"/>
                <w:spacing w:val="-1"/>
                <w:sz w:val="23"/>
                <w:szCs w:val="23"/>
              </w:rPr>
              <w:t>245</w:t>
            </w:r>
          </w:p>
        </w:tc>
      </w:tr>
      <w:tr w14:paraId="328F2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818" w:type="dxa"/>
            <w:vMerge w:val="continue"/>
            <w:tcBorders>
              <w:top w:val="nil"/>
              <w:bottom w:val="nil"/>
            </w:tcBorders>
            <w:vAlign w:val="top"/>
          </w:tcPr>
          <w:p w14:paraId="4C7CB002">
            <w:pPr>
              <w:rPr>
                <w:rFonts w:ascii="Arial"/>
                <w:sz w:val="21"/>
              </w:rPr>
            </w:pPr>
          </w:p>
        </w:tc>
        <w:tc>
          <w:tcPr>
            <w:tcW w:w="1440" w:type="dxa"/>
            <w:vMerge w:val="continue"/>
            <w:tcBorders>
              <w:top w:val="nil"/>
              <w:bottom w:val="nil"/>
            </w:tcBorders>
            <w:vAlign w:val="top"/>
          </w:tcPr>
          <w:p w14:paraId="03DDE96E">
            <w:pPr>
              <w:rPr>
                <w:rFonts w:ascii="Arial"/>
                <w:sz w:val="21"/>
              </w:rPr>
            </w:pPr>
          </w:p>
        </w:tc>
        <w:tc>
          <w:tcPr>
            <w:tcW w:w="3202" w:type="dxa"/>
            <w:vMerge w:val="continue"/>
            <w:tcBorders>
              <w:top w:val="nil"/>
              <w:bottom w:val="nil"/>
            </w:tcBorders>
            <w:vAlign w:val="top"/>
          </w:tcPr>
          <w:p w14:paraId="21154582">
            <w:pPr>
              <w:rPr>
                <w:rFonts w:ascii="Arial"/>
                <w:sz w:val="21"/>
              </w:rPr>
            </w:pPr>
          </w:p>
        </w:tc>
        <w:tc>
          <w:tcPr>
            <w:tcW w:w="2859" w:type="dxa"/>
            <w:vMerge w:val="continue"/>
            <w:tcBorders>
              <w:top w:val="nil"/>
              <w:bottom w:val="nil"/>
            </w:tcBorders>
            <w:vAlign w:val="top"/>
          </w:tcPr>
          <w:p w14:paraId="07C647A1">
            <w:pPr>
              <w:rPr>
                <w:rFonts w:ascii="Arial"/>
                <w:sz w:val="21"/>
              </w:rPr>
            </w:pPr>
          </w:p>
        </w:tc>
        <w:tc>
          <w:tcPr>
            <w:tcW w:w="803" w:type="dxa"/>
            <w:vAlign w:val="top"/>
          </w:tcPr>
          <w:p w14:paraId="638F71A5">
            <w:pPr>
              <w:spacing w:line="248" w:lineRule="auto"/>
              <w:rPr>
                <w:rFonts w:ascii="Arial"/>
                <w:sz w:val="21"/>
              </w:rPr>
            </w:pPr>
          </w:p>
          <w:p w14:paraId="4F2C2A98">
            <w:pPr>
              <w:spacing w:line="248" w:lineRule="auto"/>
              <w:rPr>
                <w:rFonts w:ascii="Arial"/>
                <w:sz w:val="21"/>
              </w:rPr>
            </w:pPr>
          </w:p>
          <w:p w14:paraId="60A1336B">
            <w:pPr>
              <w:spacing w:line="249" w:lineRule="auto"/>
              <w:rPr>
                <w:rFonts w:ascii="Arial"/>
                <w:sz w:val="21"/>
              </w:rPr>
            </w:pPr>
          </w:p>
          <w:p w14:paraId="366375C9">
            <w:pPr>
              <w:spacing w:line="249" w:lineRule="auto"/>
              <w:rPr>
                <w:rFonts w:ascii="Arial"/>
                <w:sz w:val="21"/>
              </w:rPr>
            </w:pPr>
          </w:p>
          <w:p w14:paraId="45DDD316">
            <w:pPr>
              <w:spacing w:line="249" w:lineRule="auto"/>
              <w:rPr>
                <w:rFonts w:ascii="Arial"/>
                <w:sz w:val="21"/>
              </w:rPr>
            </w:pPr>
          </w:p>
          <w:p w14:paraId="060EBFC7">
            <w:pPr>
              <w:spacing w:line="249" w:lineRule="auto"/>
              <w:rPr>
                <w:rFonts w:ascii="Arial"/>
                <w:sz w:val="21"/>
              </w:rPr>
            </w:pPr>
          </w:p>
          <w:p w14:paraId="361B22D0">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CE7FDA9">
            <w:pPr>
              <w:spacing w:line="254" w:lineRule="auto"/>
              <w:rPr>
                <w:rFonts w:ascii="Arial"/>
                <w:sz w:val="21"/>
              </w:rPr>
            </w:pPr>
          </w:p>
          <w:p w14:paraId="4FE6A90D">
            <w:pPr>
              <w:spacing w:line="254" w:lineRule="auto"/>
              <w:rPr>
                <w:rFonts w:ascii="Arial"/>
                <w:sz w:val="21"/>
              </w:rPr>
            </w:pPr>
          </w:p>
          <w:p w14:paraId="6F9B1369">
            <w:pPr>
              <w:spacing w:line="255" w:lineRule="auto"/>
              <w:rPr>
                <w:rFonts w:ascii="Arial"/>
                <w:sz w:val="21"/>
              </w:rPr>
            </w:pPr>
          </w:p>
          <w:p w14:paraId="7BA97AE0">
            <w:pPr>
              <w:spacing w:line="255" w:lineRule="auto"/>
              <w:rPr>
                <w:rFonts w:ascii="Arial"/>
                <w:sz w:val="21"/>
              </w:rPr>
            </w:pPr>
          </w:p>
          <w:p w14:paraId="51755FA2">
            <w:pPr>
              <w:spacing w:line="255" w:lineRule="auto"/>
              <w:rPr>
                <w:rFonts w:ascii="Arial"/>
                <w:sz w:val="21"/>
              </w:rPr>
            </w:pPr>
          </w:p>
          <w:p w14:paraId="60C5DA7E">
            <w:pPr>
              <w:pStyle w:val="6"/>
              <w:spacing w:before="98" w:line="196" w:lineRule="auto"/>
              <w:ind w:left="171" w:right="105" w:hanging="56"/>
            </w:pPr>
            <w:r>
              <w:rPr>
                <w:spacing w:val="5"/>
              </w:rPr>
              <w:t>逾期</w:t>
            </w:r>
            <w:r>
              <w:rPr>
                <w:rFonts w:ascii="宋体" w:hAnsi="宋体" w:eastAsia="宋体" w:cs="宋体"/>
                <w:spacing w:val="5"/>
              </w:rPr>
              <w:t>10</w:t>
            </w:r>
            <w:r>
              <w:rPr>
                <w:spacing w:val="5"/>
              </w:rPr>
              <w:t>日以上</w:t>
            </w:r>
            <w:r>
              <w:rPr>
                <w:rFonts w:ascii="宋体" w:hAnsi="宋体" w:eastAsia="宋体" w:cs="宋体"/>
                <w:spacing w:val="5"/>
              </w:rPr>
              <w:t>20</w:t>
            </w:r>
            <w:r>
              <w:rPr>
                <w:spacing w:val="-6"/>
              </w:rPr>
              <w:t>日以内的</w:t>
            </w:r>
          </w:p>
        </w:tc>
        <w:tc>
          <w:tcPr>
            <w:tcW w:w="2894" w:type="dxa"/>
            <w:vAlign w:val="top"/>
          </w:tcPr>
          <w:p w14:paraId="6675C958">
            <w:pPr>
              <w:pStyle w:val="6"/>
              <w:spacing w:before="37" w:line="180" w:lineRule="auto"/>
              <w:ind w:left="118" w:right="103" w:firstLine="9"/>
              <w:jc w:val="both"/>
            </w:pPr>
            <w:r>
              <w:rPr>
                <w:spacing w:val="10"/>
              </w:rPr>
              <w:t>责令改正或者责令限期改</w:t>
            </w:r>
            <w:r>
              <w:rPr>
                <w:spacing w:val="8"/>
              </w:rPr>
              <w:t>正，给予警告，可以并处</w:t>
            </w:r>
            <w:r>
              <w:rPr>
                <w:rFonts w:ascii="宋体" w:hAnsi="宋体" w:eastAsia="宋体" w:cs="宋体"/>
                <w:spacing w:val="10"/>
              </w:rPr>
              <w:t>1</w:t>
            </w:r>
            <w:r>
              <w:rPr>
                <w:spacing w:val="10"/>
              </w:rPr>
              <w:t>万元以下的罚款；逾期</w:t>
            </w:r>
            <w:r>
              <w:rPr>
                <w:spacing w:val="2"/>
              </w:rPr>
              <w:t>未改正的，处</w:t>
            </w:r>
            <w:r>
              <w:rPr>
                <w:rFonts w:ascii="宋体" w:hAnsi="宋体" w:eastAsia="宋体" w:cs="宋体"/>
                <w:spacing w:val="2"/>
              </w:rPr>
              <w:t>1.5</w:t>
            </w:r>
            <w:r>
              <w:rPr>
                <w:spacing w:val="2"/>
              </w:rPr>
              <w:t>万元以</w:t>
            </w:r>
            <w:r>
              <w:rPr>
                <w:spacing w:val="4"/>
              </w:rPr>
              <w:t>上</w:t>
            </w:r>
            <w:r>
              <w:rPr>
                <w:rFonts w:ascii="宋体" w:hAnsi="宋体" w:eastAsia="宋体" w:cs="宋体"/>
                <w:spacing w:val="4"/>
              </w:rPr>
              <w:t>2</w:t>
            </w:r>
            <w:r>
              <w:rPr>
                <w:spacing w:val="4"/>
              </w:rPr>
              <w:t>万元以下的罚款，对</w:t>
            </w:r>
            <w:r>
              <w:rPr>
                <w:spacing w:val="3"/>
              </w:rPr>
              <w:t>相关责任人处</w:t>
            </w:r>
            <w:r>
              <w:rPr>
                <w:rFonts w:ascii="宋体" w:hAnsi="宋体" w:eastAsia="宋体" w:cs="宋体"/>
                <w:spacing w:val="3"/>
              </w:rPr>
              <w:t>1</w:t>
            </w:r>
            <w:r>
              <w:rPr>
                <w:spacing w:val="3"/>
              </w:rPr>
              <w:t>千元以上</w:t>
            </w:r>
            <w:r>
              <w:rPr>
                <w:rFonts w:ascii="宋体" w:hAnsi="宋体" w:eastAsia="宋体" w:cs="宋体"/>
                <w:spacing w:val="9"/>
              </w:rPr>
              <w:t>5</w:t>
            </w:r>
            <w:r>
              <w:rPr>
                <w:spacing w:val="9"/>
              </w:rPr>
              <w:t>千元以下的罚款；情节</w:t>
            </w:r>
            <w:r>
              <w:rPr>
                <w:spacing w:val="2"/>
              </w:rPr>
              <w:t>严重的，处</w:t>
            </w:r>
            <w:r>
              <w:rPr>
                <w:rFonts w:ascii="宋体" w:hAnsi="宋体" w:eastAsia="宋体" w:cs="宋体"/>
                <w:spacing w:val="2"/>
              </w:rPr>
              <w:t>1.5</w:t>
            </w:r>
            <w:r>
              <w:rPr>
                <w:spacing w:val="2"/>
              </w:rPr>
              <w:t>万元以上</w:t>
            </w:r>
            <w:r>
              <w:rPr>
                <w:rFonts w:ascii="宋体" w:hAnsi="宋体" w:eastAsia="宋体" w:cs="宋体"/>
                <w:spacing w:val="9"/>
              </w:rPr>
              <w:t>2</w:t>
            </w:r>
            <w:r>
              <w:rPr>
                <w:spacing w:val="9"/>
              </w:rPr>
              <w:t>万元以下的罚款，对相</w:t>
            </w:r>
            <w:r>
              <w:rPr>
                <w:spacing w:val="8"/>
              </w:rPr>
              <w:t>关责任人处</w:t>
            </w:r>
            <w:r>
              <w:rPr>
                <w:rFonts w:ascii="宋体" w:hAnsi="宋体" w:eastAsia="宋体" w:cs="宋体"/>
                <w:spacing w:val="8"/>
              </w:rPr>
              <w:t>5</w:t>
            </w:r>
            <w:r>
              <w:rPr>
                <w:spacing w:val="8"/>
              </w:rPr>
              <w:t>千元以上</w:t>
            </w:r>
            <w:r>
              <w:rPr>
                <w:rFonts w:ascii="宋体" w:hAnsi="宋体" w:eastAsia="宋体" w:cs="宋体"/>
                <w:spacing w:val="8"/>
              </w:rPr>
              <w:t>1</w:t>
            </w:r>
            <w:r>
              <w:rPr>
                <w:spacing w:val="7"/>
              </w:rPr>
              <w:t>万元以下的罚款</w:t>
            </w:r>
          </w:p>
        </w:tc>
        <w:tc>
          <w:tcPr>
            <w:tcW w:w="811" w:type="dxa"/>
            <w:vMerge w:val="continue"/>
            <w:tcBorders>
              <w:top w:val="nil"/>
              <w:bottom w:val="nil"/>
            </w:tcBorders>
            <w:vAlign w:val="top"/>
          </w:tcPr>
          <w:p w14:paraId="1551C304">
            <w:pPr>
              <w:rPr>
                <w:rFonts w:ascii="Arial"/>
                <w:sz w:val="21"/>
              </w:rPr>
            </w:pPr>
          </w:p>
        </w:tc>
      </w:tr>
      <w:tr w14:paraId="6D6E7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7" w:hRule="atLeast"/>
        </w:trPr>
        <w:tc>
          <w:tcPr>
            <w:tcW w:w="818" w:type="dxa"/>
            <w:vMerge w:val="continue"/>
            <w:tcBorders>
              <w:top w:val="nil"/>
            </w:tcBorders>
            <w:vAlign w:val="top"/>
          </w:tcPr>
          <w:p w14:paraId="6B5E4438">
            <w:pPr>
              <w:rPr>
                <w:rFonts w:ascii="Arial"/>
                <w:sz w:val="21"/>
              </w:rPr>
            </w:pPr>
          </w:p>
        </w:tc>
        <w:tc>
          <w:tcPr>
            <w:tcW w:w="1440" w:type="dxa"/>
            <w:vMerge w:val="continue"/>
            <w:tcBorders>
              <w:top w:val="nil"/>
            </w:tcBorders>
            <w:vAlign w:val="top"/>
          </w:tcPr>
          <w:p w14:paraId="7313882D">
            <w:pPr>
              <w:rPr>
                <w:rFonts w:ascii="Arial"/>
                <w:sz w:val="21"/>
              </w:rPr>
            </w:pPr>
          </w:p>
        </w:tc>
        <w:tc>
          <w:tcPr>
            <w:tcW w:w="3202" w:type="dxa"/>
            <w:vMerge w:val="continue"/>
            <w:tcBorders>
              <w:top w:val="nil"/>
            </w:tcBorders>
            <w:vAlign w:val="top"/>
          </w:tcPr>
          <w:p w14:paraId="18A3A321">
            <w:pPr>
              <w:rPr>
                <w:rFonts w:ascii="Arial"/>
                <w:sz w:val="21"/>
              </w:rPr>
            </w:pPr>
          </w:p>
        </w:tc>
        <w:tc>
          <w:tcPr>
            <w:tcW w:w="2859" w:type="dxa"/>
            <w:vMerge w:val="continue"/>
            <w:tcBorders>
              <w:top w:val="nil"/>
            </w:tcBorders>
            <w:vAlign w:val="top"/>
          </w:tcPr>
          <w:p w14:paraId="6964C318">
            <w:pPr>
              <w:rPr>
                <w:rFonts w:ascii="Arial"/>
                <w:sz w:val="21"/>
              </w:rPr>
            </w:pPr>
          </w:p>
        </w:tc>
        <w:tc>
          <w:tcPr>
            <w:tcW w:w="803" w:type="dxa"/>
            <w:vAlign w:val="top"/>
          </w:tcPr>
          <w:p w14:paraId="4D938BFE">
            <w:pPr>
              <w:spacing w:line="261" w:lineRule="auto"/>
              <w:rPr>
                <w:rFonts w:ascii="Arial"/>
                <w:sz w:val="21"/>
              </w:rPr>
            </w:pPr>
          </w:p>
          <w:p w14:paraId="7DBBE84E">
            <w:pPr>
              <w:spacing w:line="262" w:lineRule="auto"/>
              <w:rPr>
                <w:rFonts w:ascii="Arial"/>
                <w:sz w:val="21"/>
              </w:rPr>
            </w:pPr>
          </w:p>
          <w:p w14:paraId="126913B5">
            <w:pPr>
              <w:spacing w:line="262" w:lineRule="auto"/>
              <w:rPr>
                <w:rFonts w:ascii="Arial"/>
                <w:sz w:val="21"/>
              </w:rPr>
            </w:pPr>
          </w:p>
          <w:p w14:paraId="2C60F40A">
            <w:pPr>
              <w:spacing w:line="262" w:lineRule="auto"/>
              <w:rPr>
                <w:rFonts w:ascii="Arial"/>
                <w:sz w:val="21"/>
              </w:rPr>
            </w:pPr>
          </w:p>
          <w:p w14:paraId="5D82E835">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F543135">
            <w:pPr>
              <w:spacing w:line="244" w:lineRule="auto"/>
              <w:rPr>
                <w:rFonts w:ascii="Arial"/>
                <w:sz w:val="21"/>
              </w:rPr>
            </w:pPr>
          </w:p>
          <w:p w14:paraId="59EF4F2B">
            <w:pPr>
              <w:spacing w:line="244" w:lineRule="auto"/>
              <w:rPr>
                <w:rFonts w:ascii="Arial"/>
                <w:sz w:val="21"/>
              </w:rPr>
            </w:pPr>
          </w:p>
          <w:p w14:paraId="67FBA5BA">
            <w:pPr>
              <w:spacing w:line="245" w:lineRule="auto"/>
              <w:rPr>
                <w:rFonts w:ascii="Arial"/>
                <w:sz w:val="21"/>
              </w:rPr>
            </w:pPr>
          </w:p>
          <w:p w14:paraId="39DEDD49">
            <w:pPr>
              <w:spacing w:line="245" w:lineRule="auto"/>
              <w:rPr>
                <w:rFonts w:ascii="Arial"/>
                <w:sz w:val="21"/>
              </w:rPr>
            </w:pPr>
          </w:p>
          <w:p w14:paraId="229832B1">
            <w:pPr>
              <w:pStyle w:val="6"/>
              <w:spacing w:before="98" w:line="208" w:lineRule="auto"/>
              <w:ind w:left="115"/>
            </w:pPr>
            <w:r>
              <w:rPr>
                <w:spacing w:val="-2"/>
              </w:rPr>
              <w:t>逾期</w:t>
            </w:r>
            <w:r>
              <w:rPr>
                <w:rFonts w:ascii="宋体" w:hAnsi="宋体" w:eastAsia="宋体" w:cs="宋体"/>
                <w:spacing w:val="-2"/>
              </w:rPr>
              <w:t>20</w:t>
            </w:r>
            <w:r>
              <w:rPr>
                <w:spacing w:val="-2"/>
              </w:rPr>
              <w:t>日以上的</w:t>
            </w:r>
          </w:p>
        </w:tc>
        <w:tc>
          <w:tcPr>
            <w:tcW w:w="2894" w:type="dxa"/>
            <w:vAlign w:val="top"/>
          </w:tcPr>
          <w:p w14:paraId="4E658C31">
            <w:pPr>
              <w:pStyle w:val="6"/>
              <w:spacing w:before="29" w:line="180" w:lineRule="auto"/>
              <w:ind w:left="120" w:right="104" w:firstLine="7"/>
              <w:jc w:val="both"/>
            </w:pPr>
            <w:r>
              <w:rPr>
                <w:spacing w:val="10"/>
              </w:rPr>
              <w:t>责令改正或者责令限期改</w:t>
            </w:r>
            <w:r>
              <w:rPr>
                <w:spacing w:val="8"/>
              </w:rPr>
              <w:t>正，给予警告，可以并处</w:t>
            </w:r>
            <w:r>
              <w:rPr>
                <w:rFonts w:ascii="宋体" w:hAnsi="宋体" w:eastAsia="宋体" w:cs="宋体"/>
                <w:spacing w:val="9"/>
              </w:rPr>
              <w:t>1</w:t>
            </w:r>
            <w:r>
              <w:rPr>
                <w:spacing w:val="9"/>
              </w:rPr>
              <w:t>万元以下的罚款；逾期</w:t>
            </w:r>
            <w:r>
              <w:rPr>
                <w:spacing w:val="4"/>
              </w:rPr>
              <w:t>未改正的，处</w:t>
            </w:r>
            <w:r>
              <w:rPr>
                <w:rFonts w:ascii="宋体" w:hAnsi="宋体" w:eastAsia="宋体" w:cs="宋体"/>
                <w:spacing w:val="4"/>
              </w:rPr>
              <w:t>2</w:t>
            </w:r>
            <w:r>
              <w:rPr>
                <w:spacing w:val="4"/>
              </w:rPr>
              <w:t>万元以上</w:t>
            </w:r>
            <w:r>
              <w:rPr>
                <w:rFonts w:ascii="宋体" w:hAnsi="宋体" w:eastAsia="宋体" w:cs="宋体"/>
                <w:spacing w:val="9"/>
              </w:rPr>
              <w:t>3</w:t>
            </w:r>
            <w:r>
              <w:rPr>
                <w:spacing w:val="9"/>
              </w:rPr>
              <w:t>万元以下的罚款，对相</w:t>
            </w:r>
            <w:r>
              <w:rPr>
                <w:spacing w:val="8"/>
              </w:rPr>
              <w:t>关责任人处</w:t>
            </w:r>
            <w:r>
              <w:rPr>
                <w:rFonts w:ascii="宋体" w:hAnsi="宋体" w:eastAsia="宋体" w:cs="宋体"/>
                <w:spacing w:val="8"/>
              </w:rPr>
              <w:t>1</w:t>
            </w:r>
            <w:r>
              <w:rPr>
                <w:spacing w:val="8"/>
              </w:rPr>
              <w:t>千元以上</w:t>
            </w:r>
            <w:r>
              <w:rPr>
                <w:rFonts w:ascii="宋体" w:hAnsi="宋体" w:eastAsia="宋体" w:cs="宋体"/>
                <w:spacing w:val="8"/>
              </w:rPr>
              <w:t>5</w:t>
            </w:r>
            <w:r>
              <w:rPr>
                <w:spacing w:val="8"/>
              </w:rPr>
              <w:t>千元以下的罚款；情节严</w:t>
            </w:r>
            <w:r>
              <w:rPr>
                <w:spacing w:val="1"/>
              </w:rPr>
              <w:t>重的，处</w:t>
            </w:r>
            <w:r>
              <w:rPr>
                <w:rFonts w:ascii="宋体" w:hAnsi="宋体" w:eastAsia="宋体" w:cs="宋体"/>
                <w:spacing w:val="1"/>
              </w:rPr>
              <w:t>2</w:t>
            </w:r>
            <w:r>
              <w:rPr>
                <w:spacing w:val="1"/>
              </w:rPr>
              <w:t>万元以上</w:t>
            </w:r>
            <w:r>
              <w:rPr>
                <w:rFonts w:ascii="宋体" w:hAnsi="宋体" w:eastAsia="宋体" w:cs="宋体"/>
                <w:spacing w:val="1"/>
              </w:rPr>
              <w:t>3</w:t>
            </w:r>
            <w:r>
              <w:rPr>
                <w:spacing w:val="1"/>
              </w:rPr>
              <w:t>万</w:t>
            </w:r>
          </w:p>
        </w:tc>
        <w:tc>
          <w:tcPr>
            <w:tcW w:w="811" w:type="dxa"/>
            <w:vMerge w:val="continue"/>
            <w:tcBorders>
              <w:top w:val="nil"/>
            </w:tcBorders>
            <w:vAlign w:val="top"/>
          </w:tcPr>
          <w:p w14:paraId="13A59DAD">
            <w:pPr>
              <w:rPr>
                <w:rFonts w:ascii="Arial"/>
                <w:sz w:val="21"/>
              </w:rPr>
            </w:pPr>
          </w:p>
        </w:tc>
      </w:tr>
    </w:tbl>
    <w:p w14:paraId="501D6FD6">
      <w:pPr>
        <w:pStyle w:val="2"/>
      </w:pPr>
    </w:p>
    <w:p w14:paraId="607426F2">
      <w:pPr>
        <w:sectPr>
          <w:footerReference r:id="rId224" w:type="default"/>
          <w:pgSz w:w="16839" w:h="11906"/>
          <w:pgMar w:top="1012" w:right="821" w:bottom="666" w:left="901" w:header="0" w:footer="388" w:gutter="0"/>
          <w:cols w:space="720" w:num="1"/>
        </w:sectPr>
      </w:pPr>
    </w:p>
    <w:p w14:paraId="6286BCFB">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0203C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70CD293">
            <w:pPr>
              <w:spacing w:before="222" w:line="241" w:lineRule="auto"/>
              <w:ind w:left="131"/>
              <w:outlineLvl w:val="0"/>
              <w:rPr>
                <w:rFonts w:ascii="黑体" w:hAnsi="黑体" w:eastAsia="黑体" w:cs="黑体"/>
                <w:sz w:val="28"/>
                <w:szCs w:val="28"/>
              </w:rPr>
            </w:pPr>
            <w:bookmarkStart w:id="728" w:name="bookmark455"/>
            <w:bookmarkEnd w:id="728"/>
            <w:r>
              <w:rPr>
                <w:rFonts w:ascii="黑体" w:hAnsi="黑体" w:eastAsia="黑体" w:cs="黑体"/>
                <w:spacing w:val="-2"/>
                <w:sz w:val="28"/>
                <w:szCs w:val="28"/>
              </w:rPr>
              <w:t>序号</w:t>
            </w:r>
          </w:p>
        </w:tc>
        <w:tc>
          <w:tcPr>
            <w:tcW w:w="1440" w:type="dxa"/>
            <w:vAlign w:val="top"/>
          </w:tcPr>
          <w:p w14:paraId="0D878DBA">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51D8A154">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1CD01530">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633406F">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C3BE5EA">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C515FA7">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19C635A">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31C7C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818" w:type="dxa"/>
            <w:vAlign w:val="top"/>
          </w:tcPr>
          <w:p w14:paraId="3DD1180F">
            <w:pPr>
              <w:rPr>
                <w:rFonts w:ascii="Arial"/>
                <w:sz w:val="21"/>
              </w:rPr>
            </w:pPr>
          </w:p>
        </w:tc>
        <w:tc>
          <w:tcPr>
            <w:tcW w:w="1440" w:type="dxa"/>
            <w:vAlign w:val="top"/>
          </w:tcPr>
          <w:p w14:paraId="37672B8C">
            <w:pPr>
              <w:rPr>
                <w:rFonts w:ascii="Arial"/>
                <w:sz w:val="21"/>
              </w:rPr>
            </w:pPr>
          </w:p>
        </w:tc>
        <w:tc>
          <w:tcPr>
            <w:tcW w:w="3202" w:type="dxa"/>
            <w:vAlign w:val="top"/>
          </w:tcPr>
          <w:p w14:paraId="082C4CF9">
            <w:pPr>
              <w:rPr>
                <w:rFonts w:ascii="Arial"/>
                <w:sz w:val="21"/>
              </w:rPr>
            </w:pPr>
          </w:p>
        </w:tc>
        <w:tc>
          <w:tcPr>
            <w:tcW w:w="2859" w:type="dxa"/>
            <w:vAlign w:val="top"/>
          </w:tcPr>
          <w:p w14:paraId="36B22262">
            <w:pPr>
              <w:rPr>
                <w:rFonts w:ascii="Arial"/>
                <w:sz w:val="21"/>
              </w:rPr>
            </w:pPr>
          </w:p>
        </w:tc>
        <w:tc>
          <w:tcPr>
            <w:tcW w:w="803" w:type="dxa"/>
            <w:vAlign w:val="top"/>
          </w:tcPr>
          <w:p w14:paraId="11524165">
            <w:pPr>
              <w:rPr>
                <w:rFonts w:ascii="Arial"/>
                <w:sz w:val="21"/>
              </w:rPr>
            </w:pPr>
          </w:p>
        </w:tc>
        <w:tc>
          <w:tcPr>
            <w:tcW w:w="2283" w:type="dxa"/>
            <w:vAlign w:val="top"/>
          </w:tcPr>
          <w:p w14:paraId="590098D4">
            <w:pPr>
              <w:rPr>
                <w:rFonts w:ascii="Arial"/>
                <w:sz w:val="21"/>
              </w:rPr>
            </w:pPr>
          </w:p>
        </w:tc>
        <w:tc>
          <w:tcPr>
            <w:tcW w:w="2894" w:type="dxa"/>
            <w:vAlign w:val="top"/>
          </w:tcPr>
          <w:p w14:paraId="719B1B1A">
            <w:pPr>
              <w:pStyle w:val="6"/>
              <w:spacing w:before="26" w:line="176" w:lineRule="auto"/>
              <w:ind w:left="121" w:right="103" w:firstLine="3"/>
              <w:jc w:val="both"/>
            </w:pPr>
            <w:r>
              <w:rPr>
                <w:spacing w:val="8"/>
              </w:rPr>
              <w:t>元以下的罚款，对相关责</w:t>
            </w:r>
            <w:r>
              <w:rPr>
                <w:spacing w:val="2"/>
              </w:rPr>
              <w:t>任人处</w:t>
            </w:r>
            <w:r>
              <w:rPr>
                <w:rFonts w:ascii="宋体" w:hAnsi="宋体" w:eastAsia="宋体" w:cs="宋体"/>
                <w:spacing w:val="2"/>
              </w:rPr>
              <w:t>5</w:t>
            </w:r>
            <w:r>
              <w:rPr>
                <w:spacing w:val="2"/>
              </w:rPr>
              <w:t>千元以上</w:t>
            </w:r>
            <w:r>
              <w:rPr>
                <w:rFonts w:ascii="宋体" w:hAnsi="宋体" w:eastAsia="宋体" w:cs="宋体"/>
                <w:spacing w:val="2"/>
              </w:rPr>
              <w:t>1</w:t>
            </w:r>
            <w:r>
              <w:rPr>
                <w:spacing w:val="2"/>
              </w:rPr>
              <w:t>万元</w:t>
            </w:r>
            <w:r>
              <w:rPr>
                <w:spacing w:val="6"/>
              </w:rPr>
              <w:t>以下的罚款</w:t>
            </w:r>
          </w:p>
        </w:tc>
        <w:tc>
          <w:tcPr>
            <w:tcW w:w="811" w:type="dxa"/>
            <w:vAlign w:val="top"/>
          </w:tcPr>
          <w:p w14:paraId="2D6B2764">
            <w:pPr>
              <w:rPr>
                <w:rFonts w:ascii="Arial"/>
                <w:sz w:val="21"/>
              </w:rPr>
            </w:pPr>
          </w:p>
        </w:tc>
      </w:tr>
      <w:tr w14:paraId="02227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818" w:type="dxa"/>
            <w:vMerge w:val="restart"/>
            <w:tcBorders>
              <w:bottom w:val="nil"/>
            </w:tcBorders>
            <w:vAlign w:val="top"/>
          </w:tcPr>
          <w:p w14:paraId="4B0EFC67">
            <w:pPr>
              <w:spacing w:line="242" w:lineRule="auto"/>
              <w:rPr>
                <w:rFonts w:ascii="Arial"/>
                <w:sz w:val="21"/>
              </w:rPr>
            </w:pPr>
          </w:p>
          <w:p w14:paraId="7D76A9D4">
            <w:pPr>
              <w:spacing w:line="243" w:lineRule="auto"/>
              <w:rPr>
                <w:rFonts w:ascii="Arial"/>
                <w:sz w:val="21"/>
              </w:rPr>
            </w:pPr>
          </w:p>
          <w:p w14:paraId="615388B8">
            <w:pPr>
              <w:spacing w:line="243" w:lineRule="auto"/>
              <w:rPr>
                <w:rFonts w:ascii="Arial"/>
                <w:sz w:val="21"/>
              </w:rPr>
            </w:pPr>
          </w:p>
          <w:p w14:paraId="18B2A73B">
            <w:pPr>
              <w:spacing w:line="243" w:lineRule="auto"/>
              <w:rPr>
                <w:rFonts w:ascii="Arial"/>
                <w:sz w:val="21"/>
              </w:rPr>
            </w:pPr>
          </w:p>
          <w:p w14:paraId="3D21CA04">
            <w:pPr>
              <w:spacing w:line="243" w:lineRule="auto"/>
              <w:rPr>
                <w:rFonts w:ascii="Arial"/>
                <w:sz w:val="21"/>
              </w:rPr>
            </w:pPr>
          </w:p>
          <w:p w14:paraId="12F9BC1D">
            <w:pPr>
              <w:spacing w:line="243" w:lineRule="auto"/>
              <w:rPr>
                <w:rFonts w:ascii="Arial"/>
                <w:sz w:val="21"/>
              </w:rPr>
            </w:pPr>
          </w:p>
          <w:p w14:paraId="205423A7">
            <w:pPr>
              <w:spacing w:line="243" w:lineRule="auto"/>
              <w:rPr>
                <w:rFonts w:ascii="Arial"/>
                <w:sz w:val="21"/>
              </w:rPr>
            </w:pPr>
          </w:p>
          <w:p w14:paraId="6C43EDBE">
            <w:pPr>
              <w:spacing w:line="243" w:lineRule="auto"/>
              <w:rPr>
                <w:rFonts w:ascii="Arial"/>
                <w:sz w:val="21"/>
              </w:rPr>
            </w:pPr>
          </w:p>
          <w:p w14:paraId="1A11ADF1">
            <w:pPr>
              <w:spacing w:line="243" w:lineRule="auto"/>
              <w:rPr>
                <w:rFonts w:ascii="Arial"/>
                <w:sz w:val="21"/>
              </w:rPr>
            </w:pPr>
          </w:p>
          <w:p w14:paraId="67F70B5C">
            <w:pPr>
              <w:spacing w:line="243" w:lineRule="auto"/>
              <w:rPr>
                <w:rFonts w:ascii="Arial"/>
                <w:sz w:val="21"/>
              </w:rPr>
            </w:pPr>
          </w:p>
          <w:p w14:paraId="3E582541">
            <w:pPr>
              <w:spacing w:line="243" w:lineRule="auto"/>
              <w:rPr>
                <w:rFonts w:ascii="Arial"/>
                <w:sz w:val="21"/>
              </w:rPr>
            </w:pPr>
          </w:p>
          <w:p w14:paraId="05CCD6EB">
            <w:pPr>
              <w:spacing w:line="243" w:lineRule="auto"/>
              <w:rPr>
                <w:rFonts w:ascii="Arial"/>
                <w:sz w:val="21"/>
              </w:rPr>
            </w:pPr>
          </w:p>
          <w:p w14:paraId="6D91320F">
            <w:pPr>
              <w:spacing w:line="243" w:lineRule="auto"/>
              <w:rPr>
                <w:rFonts w:ascii="Arial"/>
                <w:sz w:val="21"/>
              </w:rPr>
            </w:pPr>
          </w:p>
          <w:p w14:paraId="117D07EF">
            <w:pPr>
              <w:spacing w:line="243" w:lineRule="auto"/>
              <w:rPr>
                <w:rFonts w:ascii="Arial"/>
                <w:sz w:val="21"/>
              </w:rPr>
            </w:pPr>
          </w:p>
          <w:p w14:paraId="59369860">
            <w:pPr>
              <w:spacing w:line="243" w:lineRule="auto"/>
              <w:rPr>
                <w:rFonts w:ascii="Arial"/>
                <w:sz w:val="21"/>
              </w:rPr>
            </w:pPr>
          </w:p>
          <w:p w14:paraId="6F3DF508">
            <w:pPr>
              <w:spacing w:line="243" w:lineRule="auto"/>
              <w:rPr>
                <w:rFonts w:ascii="Arial"/>
                <w:sz w:val="21"/>
              </w:rPr>
            </w:pPr>
          </w:p>
          <w:p w14:paraId="10466FFF">
            <w:pPr>
              <w:spacing w:before="74" w:line="186" w:lineRule="auto"/>
              <w:ind w:left="146"/>
              <w:rPr>
                <w:rFonts w:ascii="仿宋" w:hAnsi="仿宋" w:eastAsia="仿宋" w:cs="仿宋"/>
                <w:sz w:val="23"/>
                <w:szCs w:val="23"/>
              </w:rPr>
            </w:pPr>
            <w:r>
              <w:rPr>
                <w:rFonts w:ascii="仿宋" w:hAnsi="仿宋" w:eastAsia="仿宋" w:cs="仿宋"/>
                <w:sz w:val="23"/>
                <w:szCs w:val="23"/>
              </w:rPr>
              <w:t>224</w:t>
            </w:r>
          </w:p>
        </w:tc>
        <w:tc>
          <w:tcPr>
            <w:tcW w:w="1440" w:type="dxa"/>
            <w:vMerge w:val="restart"/>
            <w:tcBorders>
              <w:bottom w:val="nil"/>
            </w:tcBorders>
            <w:vAlign w:val="top"/>
          </w:tcPr>
          <w:p w14:paraId="5C20E04B">
            <w:pPr>
              <w:spacing w:line="256" w:lineRule="auto"/>
              <w:rPr>
                <w:rFonts w:ascii="Arial"/>
                <w:sz w:val="21"/>
              </w:rPr>
            </w:pPr>
          </w:p>
          <w:p w14:paraId="27B1441F">
            <w:pPr>
              <w:spacing w:line="256" w:lineRule="auto"/>
              <w:rPr>
                <w:rFonts w:ascii="Arial"/>
                <w:sz w:val="21"/>
              </w:rPr>
            </w:pPr>
          </w:p>
          <w:p w14:paraId="7B7903AD">
            <w:pPr>
              <w:spacing w:line="256" w:lineRule="auto"/>
              <w:rPr>
                <w:rFonts w:ascii="Arial"/>
                <w:sz w:val="21"/>
              </w:rPr>
            </w:pPr>
          </w:p>
          <w:p w14:paraId="2593F534">
            <w:pPr>
              <w:spacing w:line="256" w:lineRule="auto"/>
              <w:rPr>
                <w:rFonts w:ascii="Arial"/>
                <w:sz w:val="21"/>
              </w:rPr>
            </w:pPr>
          </w:p>
          <w:p w14:paraId="6DB7E75F">
            <w:pPr>
              <w:spacing w:line="256" w:lineRule="auto"/>
              <w:rPr>
                <w:rFonts w:ascii="Arial"/>
                <w:sz w:val="21"/>
              </w:rPr>
            </w:pPr>
          </w:p>
          <w:p w14:paraId="2DBB73E3">
            <w:pPr>
              <w:spacing w:line="256" w:lineRule="auto"/>
              <w:rPr>
                <w:rFonts w:ascii="Arial"/>
                <w:sz w:val="21"/>
              </w:rPr>
            </w:pPr>
          </w:p>
          <w:p w14:paraId="23B6C400">
            <w:pPr>
              <w:spacing w:line="256" w:lineRule="auto"/>
              <w:rPr>
                <w:rFonts w:ascii="Arial"/>
                <w:sz w:val="21"/>
              </w:rPr>
            </w:pPr>
          </w:p>
          <w:p w14:paraId="4FB59751">
            <w:pPr>
              <w:spacing w:line="256" w:lineRule="auto"/>
              <w:rPr>
                <w:rFonts w:ascii="Arial"/>
                <w:sz w:val="21"/>
              </w:rPr>
            </w:pPr>
          </w:p>
          <w:p w14:paraId="0A33A418">
            <w:pPr>
              <w:spacing w:line="256" w:lineRule="auto"/>
              <w:rPr>
                <w:rFonts w:ascii="Arial"/>
                <w:sz w:val="21"/>
              </w:rPr>
            </w:pPr>
          </w:p>
          <w:p w14:paraId="40152CF4">
            <w:pPr>
              <w:spacing w:line="256" w:lineRule="auto"/>
              <w:rPr>
                <w:rFonts w:ascii="Arial"/>
                <w:sz w:val="21"/>
              </w:rPr>
            </w:pPr>
          </w:p>
          <w:p w14:paraId="79315C86">
            <w:pPr>
              <w:spacing w:line="257" w:lineRule="auto"/>
              <w:rPr>
                <w:rFonts w:ascii="Arial"/>
                <w:sz w:val="21"/>
              </w:rPr>
            </w:pPr>
          </w:p>
          <w:p w14:paraId="48FEA919">
            <w:pPr>
              <w:spacing w:line="257" w:lineRule="auto"/>
              <w:rPr>
                <w:rFonts w:ascii="Arial"/>
                <w:sz w:val="21"/>
              </w:rPr>
            </w:pPr>
          </w:p>
          <w:p w14:paraId="3E11E171">
            <w:pPr>
              <w:pStyle w:val="6"/>
              <w:spacing w:before="99" w:line="187" w:lineRule="auto"/>
              <w:ind w:left="115" w:right="111" w:firstLine="5"/>
              <w:jc w:val="both"/>
            </w:pPr>
            <w:r>
              <w:rPr>
                <w:spacing w:val="10"/>
              </w:rPr>
              <w:t>安全评价检</w:t>
            </w:r>
            <w:r>
              <w:rPr>
                <w:spacing w:val="11"/>
              </w:rPr>
              <w:t>测检验机构未依法与委托方签订技术服务合同</w:t>
            </w:r>
            <w:r>
              <w:t>的</w:t>
            </w:r>
          </w:p>
        </w:tc>
        <w:tc>
          <w:tcPr>
            <w:tcW w:w="3202" w:type="dxa"/>
            <w:vMerge w:val="restart"/>
            <w:tcBorders>
              <w:bottom w:val="nil"/>
            </w:tcBorders>
            <w:vAlign w:val="top"/>
          </w:tcPr>
          <w:p w14:paraId="2ADDC47F">
            <w:pPr>
              <w:pStyle w:val="6"/>
              <w:spacing w:before="32" w:line="182" w:lineRule="auto"/>
              <w:ind w:left="122" w:right="111" w:hanging="24"/>
              <w:outlineLvl w:val="1"/>
            </w:pPr>
            <w:r>
              <w:rPr>
                <w:spacing w:val="18"/>
              </w:rPr>
              <w:t>【部门规章】《安全评价检</w:t>
            </w:r>
            <w:r>
              <w:rPr>
                <w:spacing w:val="16"/>
              </w:rPr>
              <w:t>测检验机构管理办法》第十</w:t>
            </w:r>
            <w:r>
              <w:rPr>
                <w:spacing w:val="12"/>
              </w:rPr>
              <w:t>六条第一款：生产经营单位</w:t>
            </w:r>
            <w:r>
              <w:rPr>
                <w:spacing w:val="16"/>
              </w:rPr>
              <w:t>委托安全评价检测检验机构</w:t>
            </w:r>
          </w:p>
          <w:p w14:paraId="10567064">
            <w:pPr>
              <w:pStyle w:val="6"/>
              <w:spacing w:line="189" w:lineRule="auto"/>
              <w:ind w:left="120" w:right="111"/>
              <w:jc w:val="both"/>
            </w:pPr>
            <w:r>
              <w:rPr>
                <w:spacing w:val="13"/>
              </w:rPr>
              <w:t>开展技术服务时，应当签订</w:t>
            </w:r>
            <w:r>
              <w:rPr>
                <w:spacing w:val="10"/>
              </w:rPr>
              <w:t>委托技术服务合同，明确服</w:t>
            </w:r>
            <w:r>
              <w:rPr>
                <w:spacing w:val="17"/>
              </w:rPr>
              <w:t>务对象、范围、权利、义务</w:t>
            </w:r>
            <w:r>
              <w:rPr>
                <w:spacing w:val="-3"/>
              </w:rPr>
              <w:t>和责任。</w:t>
            </w:r>
          </w:p>
        </w:tc>
        <w:tc>
          <w:tcPr>
            <w:tcW w:w="2859" w:type="dxa"/>
            <w:vMerge w:val="restart"/>
            <w:tcBorders>
              <w:bottom w:val="nil"/>
            </w:tcBorders>
            <w:vAlign w:val="top"/>
          </w:tcPr>
          <w:p w14:paraId="4F317128">
            <w:pPr>
              <w:pStyle w:val="6"/>
              <w:spacing w:before="29" w:line="184" w:lineRule="auto"/>
              <w:ind w:left="115" w:right="38" w:hanging="18"/>
              <w:jc w:val="both"/>
            </w:pPr>
            <w:r>
              <w:rPr>
                <w:spacing w:val="10"/>
              </w:rPr>
              <w:t>【部门规章】《安全评价检测检验机构管理办法》</w:t>
            </w:r>
            <w:r>
              <w:rPr>
                <w:spacing w:val="8"/>
              </w:rPr>
              <w:t>第三十条第一项：安全评价检测检验机构有下列情形之一的，责令改正或者</w:t>
            </w:r>
            <w:r>
              <w:rPr>
                <w:spacing w:val="-6"/>
              </w:rPr>
              <w:t>责令限期改正，给予警告，</w:t>
            </w:r>
            <w:r>
              <w:rPr>
                <w:spacing w:val="8"/>
              </w:rPr>
              <w:t>可以并处一万元以下的罚</w:t>
            </w:r>
            <w:r>
              <w:rPr>
                <w:spacing w:val="6"/>
              </w:rPr>
              <w:t>款；逾期未改正的，处一</w:t>
            </w:r>
            <w:r>
              <w:rPr>
                <w:spacing w:val="8"/>
              </w:rPr>
              <w:t>万元以上三万元以下的罚款，对相关责任人处一千</w:t>
            </w:r>
            <w:r>
              <w:rPr>
                <w:spacing w:val="32"/>
              </w:rPr>
              <w:t>元以上五千元以下的罚</w:t>
            </w:r>
            <w:r>
              <w:rPr>
                <w:spacing w:val="8"/>
              </w:rPr>
              <w:t>款；情节严重的，处一万</w:t>
            </w:r>
            <w:r>
              <w:rPr>
                <w:spacing w:val="32"/>
              </w:rPr>
              <w:t>元以上三万元以下的罚</w:t>
            </w:r>
            <w:r>
              <w:rPr>
                <w:spacing w:val="8"/>
              </w:rPr>
              <w:t>款，对相关责任人处五千</w:t>
            </w:r>
            <w:r>
              <w:rPr>
                <w:spacing w:val="32"/>
              </w:rPr>
              <w:t>元以上一万元以下的罚</w:t>
            </w:r>
            <w:r>
              <w:rPr>
                <w:spacing w:val="-1"/>
              </w:rPr>
              <w:t>款</w:t>
            </w:r>
            <w:r>
              <w:rPr>
                <w:spacing w:val="-8"/>
              </w:rPr>
              <w:t>：（</w:t>
            </w:r>
            <w:r>
              <w:rPr>
                <w:spacing w:val="-1"/>
              </w:rPr>
              <w:t>一）未依法与委托</w:t>
            </w:r>
            <w:r>
              <w:rPr>
                <w:spacing w:val="4"/>
              </w:rPr>
              <w:t>方签订技术服务合同的；</w:t>
            </w:r>
          </w:p>
        </w:tc>
        <w:tc>
          <w:tcPr>
            <w:tcW w:w="803" w:type="dxa"/>
            <w:vAlign w:val="top"/>
          </w:tcPr>
          <w:p w14:paraId="72A71566">
            <w:pPr>
              <w:spacing w:line="247" w:lineRule="auto"/>
              <w:rPr>
                <w:rFonts w:ascii="Arial"/>
                <w:sz w:val="21"/>
              </w:rPr>
            </w:pPr>
          </w:p>
          <w:p w14:paraId="50844D4A">
            <w:pPr>
              <w:spacing w:line="248" w:lineRule="auto"/>
              <w:rPr>
                <w:rFonts w:ascii="Arial"/>
                <w:sz w:val="21"/>
              </w:rPr>
            </w:pPr>
          </w:p>
          <w:p w14:paraId="03B12509">
            <w:pPr>
              <w:spacing w:line="248" w:lineRule="auto"/>
              <w:rPr>
                <w:rFonts w:ascii="Arial"/>
                <w:sz w:val="21"/>
              </w:rPr>
            </w:pPr>
          </w:p>
          <w:p w14:paraId="540E60DF">
            <w:pPr>
              <w:spacing w:line="248" w:lineRule="auto"/>
              <w:rPr>
                <w:rFonts w:ascii="Arial"/>
                <w:sz w:val="21"/>
              </w:rPr>
            </w:pPr>
          </w:p>
          <w:p w14:paraId="5D71738C">
            <w:pPr>
              <w:spacing w:line="248" w:lineRule="auto"/>
              <w:rPr>
                <w:rFonts w:ascii="Arial"/>
                <w:sz w:val="21"/>
              </w:rPr>
            </w:pPr>
          </w:p>
          <w:p w14:paraId="761027EA">
            <w:pPr>
              <w:spacing w:line="248" w:lineRule="auto"/>
              <w:rPr>
                <w:rFonts w:ascii="Arial"/>
                <w:sz w:val="21"/>
              </w:rPr>
            </w:pPr>
          </w:p>
          <w:p w14:paraId="5E743503">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0F14873">
            <w:pPr>
              <w:spacing w:line="281" w:lineRule="auto"/>
              <w:rPr>
                <w:rFonts w:ascii="Arial"/>
                <w:sz w:val="21"/>
              </w:rPr>
            </w:pPr>
          </w:p>
          <w:p w14:paraId="7B9FB1AB">
            <w:pPr>
              <w:spacing w:line="281" w:lineRule="auto"/>
              <w:rPr>
                <w:rFonts w:ascii="Arial"/>
                <w:sz w:val="21"/>
              </w:rPr>
            </w:pPr>
          </w:p>
          <w:p w14:paraId="12B529BD">
            <w:pPr>
              <w:spacing w:line="281" w:lineRule="auto"/>
              <w:rPr>
                <w:rFonts w:ascii="Arial"/>
                <w:sz w:val="21"/>
              </w:rPr>
            </w:pPr>
          </w:p>
          <w:p w14:paraId="4C0AE8FF">
            <w:pPr>
              <w:spacing w:line="282" w:lineRule="auto"/>
              <w:rPr>
                <w:rFonts w:ascii="Arial"/>
                <w:sz w:val="21"/>
              </w:rPr>
            </w:pPr>
          </w:p>
          <w:p w14:paraId="46FB165B">
            <w:pPr>
              <w:pStyle w:val="6"/>
              <w:spacing w:before="98" w:line="182" w:lineRule="auto"/>
              <w:ind w:left="125"/>
              <w:outlineLvl w:val="1"/>
            </w:pPr>
            <w:r>
              <w:rPr>
                <w:spacing w:val="25"/>
              </w:rPr>
              <w:t>签订的技术服务合</w:t>
            </w:r>
          </w:p>
          <w:p w14:paraId="71767F54">
            <w:pPr>
              <w:pStyle w:val="6"/>
              <w:spacing w:before="2" w:line="195" w:lineRule="auto"/>
              <w:ind w:left="118" w:right="106" w:firstLine="28"/>
            </w:pPr>
            <w:r>
              <w:rPr>
                <w:spacing w:val="11"/>
              </w:rPr>
              <w:t>同内容有</w:t>
            </w:r>
            <w:r>
              <w:rPr>
                <w:rFonts w:ascii="宋体" w:hAnsi="宋体" w:eastAsia="宋体" w:cs="宋体"/>
                <w:spacing w:val="11"/>
              </w:rPr>
              <w:t>1</w:t>
            </w:r>
            <w:r>
              <w:rPr>
                <w:spacing w:val="11"/>
              </w:rPr>
              <w:t>项不符</w:t>
            </w:r>
            <w:r>
              <w:rPr>
                <w:spacing w:val="5"/>
              </w:rPr>
              <w:t>合规定的</w:t>
            </w:r>
          </w:p>
        </w:tc>
        <w:tc>
          <w:tcPr>
            <w:tcW w:w="2894" w:type="dxa"/>
            <w:vAlign w:val="top"/>
          </w:tcPr>
          <w:p w14:paraId="7A97ED95">
            <w:pPr>
              <w:pStyle w:val="6"/>
              <w:spacing w:before="37" w:line="180" w:lineRule="auto"/>
              <w:ind w:left="120" w:right="104" w:firstLine="7"/>
              <w:jc w:val="both"/>
            </w:pPr>
            <w:r>
              <w:rPr>
                <w:spacing w:val="10"/>
              </w:rPr>
              <w:t>责令改正或者责令限期改</w:t>
            </w:r>
            <w:r>
              <w:rPr>
                <w:spacing w:val="8"/>
              </w:rPr>
              <w:t>正，给予警告，可以并处</w:t>
            </w:r>
            <w:r>
              <w:rPr>
                <w:rFonts w:ascii="宋体" w:hAnsi="宋体" w:eastAsia="宋体" w:cs="宋体"/>
                <w:spacing w:val="9"/>
              </w:rPr>
              <w:t>1</w:t>
            </w:r>
            <w:r>
              <w:rPr>
                <w:spacing w:val="9"/>
              </w:rPr>
              <w:t>万元以下的罚款；逾期</w:t>
            </w:r>
            <w:r>
              <w:rPr>
                <w:spacing w:val="3"/>
              </w:rPr>
              <w:t>未改正的，处</w:t>
            </w:r>
            <w:r>
              <w:rPr>
                <w:rFonts w:ascii="宋体" w:hAnsi="宋体" w:eastAsia="宋体" w:cs="宋体"/>
                <w:spacing w:val="3"/>
              </w:rPr>
              <w:t>1</w:t>
            </w:r>
            <w:r>
              <w:rPr>
                <w:spacing w:val="3"/>
              </w:rPr>
              <w:t>万元以上</w:t>
            </w:r>
            <w:r>
              <w:rPr>
                <w:rFonts w:ascii="宋体" w:hAnsi="宋体" w:eastAsia="宋体" w:cs="宋体"/>
                <w:spacing w:val="6"/>
              </w:rPr>
              <w:t>1.5</w:t>
            </w:r>
            <w:r>
              <w:rPr>
                <w:spacing w:val="6"/>
              </w:rPr>
              <w:t>万元以下的罚款，对</w:t>
            </w:r>
            <w:r>
              <w:rPr>
                <w:spacing w:val="3"/>
              </w:rPr>
              <w:t>相关责任人处</w:t>
            </w:r>
            <w:r>
              <w:rPr>
                <w:rFonts w:ascii="宋体" w:hAnsi="宋体" w:eastAsia="宋体" w:cs="宋体"/>
                <w:spacing w:val="3"/>
              </w:rPr>
              <w:t>1</w:t>
            </w:r>
            <w:r>
              <w:rPr>
                <w:spacing w:val="3"/>
              </w:rPr>
              <w:t>千元以上</w:t>
            </w:r>
            <w:r>
              <w:rPr>
                <w:rFonts w:ascii="宋体" w:hAnsi="宋体" w:eastAsia="宋体" w:cs="宋体"/>
                <w:spacing w:val="9"/>
              </w:rPr>
              <w:t>5</w:t>
            </w:r>
            <w:r>
              <w:rPr>
                <w:spacing w:val="9"/>
              </w:rPr>
              <w:t>千元以下的罚款；情节</w:t>
            </w:r>
            <w:r>
              <w:rPr>
                <w:spacing w:val="-9"/>
              </w:rPr>
              <w:t>严重的，处</w:t>
            </w:r>
            <w:r>
              <w:rPr>
                <w:rFonts w:ascii="宋体" w:hAnsi="宋体" w:eastAsia="宋体" w:cs="宋体"/>
                <w:spacing w:val="-9"/>
              </w:rPr>
              <w:t>1</w:t>
            </w:r>
            <w:r>
              <w:rPr>
                <w:spacing w:val="-9"/>
              </w:rPr>
              <w:t>万元以上</w:t>
            </w:r>
            <w:r>
              <w:rPr>
                <w:rFonts w:ascii="宋体" w:hAnsi="宋体" w:eastAsia="宋体" w:cs="宋体"/>
                <w:spacing w:val="-9"/>
              </w:rPr>
              <w:t>1.5</w:t>
            </w:r>
            <w:r>
              <w:rPr>
                <w:spacing w:val="8"/>
              </w:rPr>
              <w:t>万元以下的罚款，对相关</w:t>
            </w:r>
            <w:r>
              <w:rPr>
                <w:spacing w:val="2"/>
              </w:rPr>
              <w:t>责任人处</w:t>
            </w:r>
            <w:r>
              <w:rPr>
                <w:rFonts w:ascii="宋体" w:hAnsi="宋体" w:eastAsia="宋体" w:cs="宋体"/>
                <w:spacing w:val="2"/>
              </w:rPr>
              <w:t>5</w:t>
            </w:r>
            <w:r>
              <w:rPr>
                <w:spacing w:val="2"/>
              </w:rPr>
              <w:t>千元以上</w:t>
            </w:r>
            <w:r>
              <w:rPr>
                <w:rFonts w:ascii="宋体" w:hAnsi="宋体" w:eastAsia="宋体" w:cs="宋体"/>
                <w:spacing w:val="2"/>
              </w:rPr>
              <w:t>1</w:t>
            </w:r>
            <w:r>
              <w:rPr>
                <w:spacing w:val="2"/>
              </w:rPr>
              <w:t>万</w:t>
            </w:r>
            <w:r>
              <w:rPr>
                <w:spacing w:val="7"/>
              </w:rPr>
              <w:t>元以下的罚款</w:t>
            </w:r>
          </w:p>
        </w:tc>
        <w:tc>
          <w:tcPr>
            <w:tcW w:w="811" w:type="dxa"/>
            <w:vMerge w:val="restart"/>
            <w:tcBorders>
              <w:bottom w:val="nil"/>
            </w:tcBorders>
            <w:vAlign w:val="top"/>
          </w:tcPr>
          <w:p w14:paraId="640E9354">
            <w:pPr>
              <w:spacing w:line="242" w:lineRule="auto"/>
              <w:rPr>
                <w:rFonts w:ascii="Arial"/>
                <w:sz w:val="21"/>
              </w:rPr>
            </w:pPr>
          </w:p>
          <w:p w14:paraId="11012B86">
            <w:pPr>
              <w:spacing w:line="242" w:lineRule="auto"/>
              <w:rPr>
                <w:rFonts w:ascii="Arial"/>
                <w:sz w:val="21"/>
              </w:rPr>
            </w:pPr>
          </w:p>
          <w:p w14:paraId="6E205AB9">
            <w:pPr>
              <w:spacing w:line="242" w:lineRule="auto"/>
              <w:rPr>
                <w:rFonts w:ascii="Arial"/>
                <w:sz w:val="21"/>
              </w:rPr>
            </w:pPr>
          </w:p>
          <w:p w14:paraId="32A0FA19">
            <w:pPr>
              <w:spacing w:line="242" w:lineRule="auto"/>
              <w:rPr>
                <w:rFonts w:ascii="Arial"/>
                <w:sz w:val="21"/>
              </w:rPr>
            </w:pPr>
          </w:p>
          <w:p w14:paraId="2AD409AF">
            <w:pPr>
              <w:spacing w:line="243" w:lineRule="auto"/>
              <w:rPr>
                <w:rFonts w:ascii="Arial"/>
                <w:sz w:val="21"/>
              </w:rPr>
            </w:pPr>
          </w:p>
          <w:p w14:paraId="2A067BAA">
            <w:pPr>
              <w:spacing w:line="243" w:lineRule="auto"/>
              <w:rPr>
                <w:rFonts w:ascii="Arial"/>
                <w:sz w:val="21"/>
              </w:rPr>
            </w:pPr>
          </w:p>
          <w:p w14:paraId="484ABB34">
            <w:pPr>
              <w:spacing w:line="243" w:lineRule="auto"/>
              <w:rPr>
                <w:rFonts w:ascii="Arial"/>
                <w:sz w:val="21"/>
              </w:rPr>
            </w:pPr>
          </w:p>
          <w:p w14:paraId="2479CCDF">
            <w:pPr>
              <w:spacing w:line="243" w:lineRule="auto"/>
              <w:rPr>
                <w:rFonts w:ascii="Arial"/>
                <w:sz w:val="21"/>
              </w:rPr>
            </w:pPr>
          </w:p>
          <w:p w14:paraId="69FB3435">
            <w:pPr>
              <w:spacing w:line="243" w:lineRule="auto"/>
              <w:rPr>
                <w:rFonts w:ascii="Arial"/>
                <w:sz w:val="21"/>
              </w:rPr>
            </w:pPr>
          </w:p>
          <w:p w14:paraId="1A5DBAB8">
            <w:pPr>
              <w:spacing w:line="243" w:lineRule="auto"/>
              <w:rPr>
                <w:rFonts w:ascii="Arial"/>
                <w:sz w:val="21"/>
              </w:rPr>
            </w:pPr>
          </w:p>
          <w:p w14:paraId="5C52534A">
            <w:pPr>
              <w:spacing w:line="243" w:lineRule="auto"/>
              <w:rPr>
                <w:rFonts w:ascii="Arial"/>
                <w:sz w:val="21"/>
              </w:rPr>
            </w:pPr>
          </w:p>
          <w:p w14:paraId="6B7D981A">
            <w:pPr>
              <w:spacing w:line="243" w:lineRule="auto"/>
              <w:rPr>
                <w:rFonts w:ascii="Arial"/>
                <w:sz w:val="21"/>
              </w:rPr>
            </w:pPr>
          </w:p>
          <w:p w14:paraId="0019943D">
            <w:pPr>
              <w:spacing w:line="243" w:lineRule="auto"/>
              <w:rPr>
                <w:rFonts w:ascii="Arial"/>
                <w:sz w:val="21"/>
              </w:rPr>
            </w:pPr>
          </w:p>
          <w:p w14:paraId="7E67EC0A">
            <w:pPr>
              <w:spacing w:line="243" w:lineRule="auto"/>
              <w:rPr>
                <w:rFonts w:ascii="Arial"/>
                <w:sz w:val="21"/>
              </w:rPr>
            </w:pPr>
          </w:p>
          <w:p w14:paraId="55316954">
            <w:pPr>
              <w:spacing w:line="243" w:lineRule="auto"/>
              <w:rPr>
                <w:rFonts w:ascii="Arial"/>
                <w:sz w:val="21"/>
              </w:rPr>
            </w:pPr>
          </w:p>
          <w:p w14:paraId="28331E7B">
            <w:pPr>
              <w:spacing w:line="243" w:lineRule="auto"/>
              <w:rPr>
                <w:rFonts w:ascii="Arial"/>
                <w:sz w:val="21"/>
              </w:rPr>
            </w:pPr>
          </w:p>
          <w:p w14:paraId="0873B05E">
            <w:pPr>
              <w:spacing w:before="75" w:line="188" w:lineRule="auto"/>
              <w:ind w:left="233"/>
              <w:rPr>
                <w:rFonts w:ascii="宋体" w:hAnsi="宋体" w:eastAsia="宋体" w:cs="宋体"/>
                <w:sz w:val="23"/>
                <w:szCs w:val="23"/>
              </w:rPr>
            </w:pPr>
            <w:r>
              <w:rPr>
                <w:rFonts w:ascii="宋体" w:hAnsi="宋体" w:eastAsia="宋体" w:cs="宋体"/>
                <w:spacing w:val="-1"/>
                <w:sz w:val="23"/>
                <w:szCs w:val="23"/>
              </w:rPr>
              <w:t>248</w:t>
            </w:r>
          </w:p>
        </w:tc>
      </w:tr>
      <w:tr w14:paraId="03E76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818" w:type="dxa"/>
            <w:vMerge w:val="continue"/>
            <w:tcBorders>
              <w:top w:val="nil"/>
              <w:bottom w:val="nil"/>
            </w:tcBorders>
            <w:vAlign w:val="top"/>
          </w:tcPr>
          <w:p w14:paraId="637A77B6">
            <w:pPr>
              <w:rPr>
                <w:rFonts w:ascii="Arial"/>
                <w:sz w:val="21"/>
              </w:rPr>
            </w:pPr>
          </w:p>
        </w:tc>
        <w:tc>
          <w:tcPr>
            <w:tcW w:w="1440" w:type="dxa"/>
            <w:vMerge w:val="continue"/>
            <w:tcBorders>
              <w:top w:val="nil"/>
              <w:bottom w:val="nil"/>
            </w:tcBorders>
            <w:vAlign w:val="top"/>
          </w:tcPr>
          <w:p w14:paraId="74686F7A">
            <w:pPr>
              <w:rPr>
                <w:rFonts w:ascii="Arial"/>
                <w:sz w:val="21"/>
              </w:rPr>
            </w:pPr>
          </w:p>
        </w:tc>
        <w:tc>
          <w:tcPr>
            <w:tcW w:w="3202" w:type="dxa"/>
            <w:vMerge w:val="continue"/>
            <w:tcBorders>
              <w:top w:val="nil"/>
              <w:bottom w:val="nil"/>
            </w:tcBorders>
            <w:vAlign w:val="top"/>
          </w:tcPr>
          <w:p w14:paraId="2EA0531A">
            <w:pPr>
              <w:rPr>
                <w:rFonts w:ascii="Arial"/>
                <w:sz w:val="21"/>
              </w:rPr>
            </w:pPr>
          </w:p>
        </w:tc>
        <w:tc>
          <w:tcPr>
            <w:tcW w:w="2859" w:type="dxa"/>
            <w:vMerge w:val="continue"/>
            <w:tcBorders>
              <w:top w:val="nil"/>
              <w:bottom w:val="nil"/>
            </w:tcBorders>
            <w:vAlign w:val="top"/>
          </w:tcPr>
          <w:p w14:paraId="6B586848">
            <w:pPr>
              <w:rPr>
                <w:rFonts w:ascii="Arial"/>
                <w:sz w:val="21"/>
              </w:rPr>
            </w:pPr>
          </w:p>
        </w:tc>
        <w:tc>
          <w:tcPr>
            <w:tcW w:w="803" w:type="dxa"/>
            <w:vAlign w:val="top"/>
          </w:tcPr>
          <w:p w14:paraId="14EDFF35">
            <w:pPr>
              <w:spacing w:line="248" w:lineRule="auto"/>
              <w:rPr>
                <w:rFonts w:ascii="Arial"/>
                <w:sz w:val="21"/>
              </w:rPr>
            </w:pPr>
          </w:p>
          <w:p w14:paraId="0F08C49B">
            <w:pPr>
              <w:spacing w:line="248" w:lineRule="auto"/>
              <w:rPr>
                <w:rFonts w:ascii="Arial"/>
                <w:sz w:val="21"/>
              </w:rPr>
            </w:pPr>
          </w:p>
          <w:p w14:paraId="21529114">
            <w:pPr>
              <w:spacing w:line="249" w:lineRule="auto"/>
              <w:rPr>
                <w:rFonts w:ascii="Arial"/>
                <w:sz w:val="21"/>
              </w:rPr>
            </w:pPr>
          </w:p>
          <w:p w14:paraId="3BFF6B8F">
            <w:pPr>
              <w:spacing w:line="249" w:lineRule="auto"/>
              <w:rPr>
                <w:rFonts w:ascii="Arial"/>
                <w:sz w:val="21"/>
              </w:rPr>
            </w:pPr>
          </w:p>
          <w:p w14:paraId="0C0D09ED">
            <w:pPr>
              <w:spacing w:line="249" w:lineRule="auto"/>
              <w:rPr>
                <w:rFonts w:ascii="Arial"/>
                <w:sz w:val="21"/>
              </w:rPr>
            </w:pPr>
          </w:p>
          <w:p w14:paraId="0758D25A">
            <w:pPr>
              <w:spacing w:line="249" w:lineRule="auto"/>
              <w:rPr>
                <w:rFonts w:ascii="Arial"/>
                <w:sz w:val="21"/>
              </w:rPr>
            </w:pPr>
          </w:p>
          <w:p w14:paraId="7DCA2624">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17B7504">
            <w:pPr>
              <w:spacing w:line="281" w:lineRule="auto"/>
              <w:rPr>
                <w:rFonts w:ascii="Arial"/>
                <w:sz w:val="21"/>
              </w:rPr>
            </w:pPr>
          </w:p>
          <w:p w14:paraId="5C46621E">
            <w:pPr>
              <w:spacing w:line="282" w:lineRule="auto"/>
              <w:rPr>
                <w:rFonts w:ascii="Arial"/>
                <w:sz w:val="21"/>
              </w:rPr>
            </w:pPr>
          </w:p>
          <w:p w14:paraId="35C40815">
            <w:pPr>
              <w:spacing w:line="282" w:lineRule="auto"/>
              <w:rPr>
                <w:rFonts w:ascii="Arial"/>
                <w:sz w:val="21"/>
              </w:rPr>
            </w:pPr>
          </w:p>
          <w:p w14:paraId="50F3C229">
            <w:pPr>
              <w:spacing w:line="282" w:lineRule="auto"/>
              <w:rPr>
                <w:rFonts w:ascii="Arial"/>
                <w:sz w:val="21"/>
              </w:rPr>
            </w:pPr>
          </w:p>
          <w:p w14:paraId="217C5D8C">
            <w:pPr>
              <w:pStyle w:val="6"/>
              <w:spacing w:before="98" w:line="191" w:lineRule="auto"/>
              <w:ind w:left="118" w:right="106" w:firstLine="6"/>
              <w:jc w:val="both"/>
            </w:pPr>
            <w:r>
              <w:rPr>
                <w:spacing w:val="25"/>
              </w:rPr>
              <w:t>签订的技术服务合</w:t>
            </w:r>
            <w:r>
              <w:rPr>
                <w:spacing w:val="17"/>
              </w:rPr>
              <w:t>同内容有</w:t>
            </w:r>
            <w:r>
              <w:rPr>
                <w:rFonts w:ascii="宋体" w:hAnsi="宋体" w:eastAsia="宋体" w:cs="宋体"/>
                <w:spacing w:val="17"/>
              </w:rPr>
              <w:t>2</w:t>
            </w:r>
            <w:r>
              <w:rPr>
                <w:spacing w:val="17"/>
              </w:rPr>
              <w:t>项不符</w:t>
            </w:r>
            <w:r>
              <w:rPr>
                <w:spacing w:val="5"/>
              </w:rPr>
              <w:t>合规定的</w:t>
            </w:r>
          </w:p>
        </w:tc>
        <w:tc>
          <w:tcPr>
            <w:tcW w:w="2894" w:type="dxa"/>
            <w:vAlign w:val="top"/>
          </w:tcPr>
          <w:p w14:paraId="720FA53F">
            <w:pPr>
              <w:pStyle w:val="6"/>
              <w:spacing w:before="37" w:line="180" w:lineRule="auto"/>
              <w:ind w:left="118" w:right="103" w:firstLine="9"/>
              <w:jc w:val="both"/>
            </w:pPr>
            <w:r>
              <w:rPr>
                <w:spacing w:val="10"/>
              </w:rPr>
              <w:t>责令改正或者责令限期改</w:t>
            </w:r>
            <w:r>
              <w:rPr>
                <w:spacing w:val="8"/>
              </w:rPr>
              <w:t>正，给予警告，可以并处</w:t>
            </w:r>
            <w:r>
              <w:rPr>
                <w:rFonts w:ascii="宋体" w:hAnsi="宋体" w:eastAsia="宋体" w:cs="宋体"/>
                <w:spacing w:val="10"/>
              </w:rPr>
              <w:t>1</w:t>
            </w:r>
            <w:r>
              <w:rPr>
                <w:spacing w:val="10"/>
              </w:rPr>
              <w:t>万元以下的罚款；逾期</w:t>
            </w:r>
            <w:r>
              <w:rPr>
                <w:spacing w:val="2"/>
              </w:rPr>
              <w:t>未改正的，处</w:t>
            </w:r>
            <w:r>
              <w:rPr>
                <w:rFonts w:ascii="宋体" w:hAnsi="宋体" w:eastAsia="宋体" w:cs="宋体"/>
                <w:spacing w:val="2"/>
              </w:rPr>
              <w:t>1.5</w:t>
            </w:r>
            <w:r>
              <w:rPr>
                <w:spacing w:val="2"/>
              </w:rPr>
              <w:t>万元以</w:t>
            </w:r>
            <w:r>
              <w:rPr>
                <w:spacing w:val="4"/>
              </w:rPr>
              <w:t>上</w:t>
            </w:r>
            <w:r>
              <w:rPr>
                <w:rFonts w:ascii="宋体" w:hAnsi="宋体" w:eastAsia="宋体" w:cs="宋体"/>
                <w:spacing w:val="4"/>
              </w:rPr>
              <w:t>2</w:t>
            </w:r>
            <w:r>
              <w:rPr>
                <w:spacing w:val="4"/>
              </w:rPr>
              <w:t>万元以下的罚款，对</w:t>
            </w:r>
            <w:r>
              <w:rPr>
                <w:spacing w:val="3"/>
              </w:rPr>
              <w:t>相关责任人处</w:t>
            </w:r>
            <w:r>
              <w:rPr>
                <w:rFonts w:ascii="宋体" w:hAnsi="宋体" w:eastAsia="宋体" w:cs="宋体"/>
                <w:spacing w:val="3"/>
              </w:rPr>
              <w:t>1</w:t>
            </w:r>
            <w:r>
              <w:rPr>
                <w:spacing w:val="3"/>
              </w:rPr>
              <w:t>千元以上</w:t>
            </w:r>
            <w:r>
              <w:rPr>
                <w:rFonts w:ascii="宋体" w:hAnsi="宋体" w:eastAsia="宋体" w:cs="宋体"/>
                <w:spacing w:val="9"/>
              </w:rPr>
              <w:t>5</w:t>
            </w:r>
            <w:r>
              <w:rPr>
                <w:spacing w:val="9"/>
              </w:rPr>
              <w:t>千元以下的罚款；情节</w:t>
            </w:r>
            <w:r>
              <w:rPr>
                <w:spacing w:val="2"/>
              </w:rPr>
              <w:t>严重的，处</w:t>
            </w:r>
            <w:r>
              <w:rPr>
                <w:rFonts w:ascii="宋体" w:hAnsi="宋体" w:eastAsia="宋体" w:cs="宋体"/>
                <w:spacing w:val="2"/>
              </w:rPr>
              <w:t>1.5</w:t>
            </w:r>
            <w:r>
              <w:rPr>
                <w:spacing w:val="2"/>
              </w:rPr>
              <w:t>万元以上</w:t>
            </w:r>
            <w:r>
              <w:rPr>
                <w:rFonts w:ascii="宋体" w:hAnsi="宋体" w:eastAsia="宋体" w:cs="宋体"/>
                <w:spacing w:val="9"/>
              </w:rPr>
              <w:t>2</w:t>
            </w:r>
            <w:r>
              <w:rPr>
                <w:spacing w:val="9"/>
              </w:rPr>
              <w:t>万元以下的罚款，对相</w:t>
            </w:r>
            <w:r>
              <w:rPr>
                <w:spacing w:val="8"/>
              </w:rPr>
              <w:t>关责任人处</w:t>
            </w:r>
            <w:r>
              <w:rPr>
                <w:rFonts w:ascii="宋体" w:hAnsi="宋体" w:eastAsia="宋体" w:cs="宋体"/>
                <w:spacing w:val="8"/>
              </w:rPr>
              <w:t>5</w:t>
            </w:r>
            <w:r>
              <w:rPr>
                <w:spacing w:val="8"/>
              </w:rPr>
              <w:t>千元以上</w:t>
            </w:r>
            <w:r>
              <w:rPr>
                <w:rFonts w:ascii="宋体" w:hAnsi="宋体" w:eastAsia="宋体" w:cs="宋体"/>
                <w:spacing w:val="8"/>
              </w:rPr>
              <w:t>1</w:t>
            </w:r>
            <w:r>
              <w:rPr>
                <w:spacing w:val="7"/>
              </w:rPr>
              <w:t>万元以下的罚款</w:t>
            </w:r>
          </w:p>
        </w:tc>
        <w:tc>
          <w:tcPr>
            <w:tcW w:w="811" w:type="dxa"/>
            <w:vMerge w:val="continue"/>
            <w:tcBorders>
              <w:top w:val="nil"/>
              <w:bottom w:val="nil"/>
            </w:tcBorders>
            <w:vAlign w:val="top"/>
          </w:tcPr>
          <w:p w14:paraId="22AF46EA">
            <w:pPr>
              <w:rPr>
                <w:rFonts w:ascii="Arial"/>
                <w:sz w:val="21"/>
              </w:rPr>
            </w:pPr>
          </w:p>
        </w:tc>
      </w:tr>
      <w:tr w14:paraId="5F4B6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818" w:type="dxa"/>
            <w:vMerge w:val="continue"/>
            <w:tcBorders>
              <w:top w:val="nil"/>
            </w:tcBorders>
            <w:vAlign w:val="top"/>
          </w:tcPr>
          <w:p w14:paraId="653725A9">
            <w:pPr>
              <w:rPr>
                <w:rFonts w:ascii="Arial"/>
                <w:sz w:val="21"/>
              </w:rPr>
            </w:pPr>
          </w:p>
        </w:tc>
        <w:tc>
          <w:tcPr>
            <w:tcW w:w="1440" w:type="dxa"/>
            <w:vMerge w:val="continue"/>
            <w:tcBorders>
              <w:top w:val="nil"/>
            </w:tcBorders>
            <w:vAlign w:val="top"/>
          </w:tcPr>
          <w:p w14:paraId="118196A2">
            <w:pPr>
              <w:rPr>
                <w:rFonts w:ascii="Arial"/>
                <w:sz w:val="21"/>
              </w:rPr>
            </w:pPr>
          </w:p>
        </w:tc>
        <w:tc>
          <w:tcPr>
            <w:tcW w:w="3202" w:type="dxa"/>
            <w:vMerge w:val="continue"/>
            <w:tcBorders>
              <w:top w:val="nil"/>
            </w:tcBorders>
            <w:vAlign w:val="top"/>
          </w:tcPr>
          <w:p w14:paraId="1187D6B0">
            <w:pPr>
              <w:rPr>
                <w:rFonts w:ascii="Arial"/>
                <w:sz w:val="21"/>
              </w:rPr>
            </w:pPr>
          </w:p>
        </w:tc>
        <w:tc>
          <w:tcPr>
            <w:tcW w:w="2859" w:type="dxa"/>
            <w:vMerge w:val="continue"/>
            <w:tcBorders>
              <w:top w:val="nil"/>
            </w:tcBorders>
            <w:vAlign w:val="top"/>
          </w:tcPr>
          <w:p w14:paraId="644196D7">
            <w:pPr>
              <w:rPr>
                <w:rFonts w:ascii="Arial"/>
                <w:sz w:val="21"/>
              </w:rPr>
            </w:pPr>
          </w:p>
        </w:tc>
        <w:tc>
          <w:tcPr>
            <w:tcW w:w="803" w:type="dxa"/>
            <w:vAlign w:val="top"/>
          </w:tcPr>
          <w:p w14:paraId="650C273D">
            <w:pPr>
              <w:spacing w:line="299" w:lineRule="auto"/>
              <w:rPr>
                <w:rFonts w:ascii="Arial"/>
                <w:sz w:val="21"/>
              </w:rPr>
            </w:pPr>
          </w:p>
          <w:p w14:paraId="2F2E99FB">
            <w:pPr>
              <w:spacing w:line="299" w:lineRule="auto"/>
              <w:rPr>
                <w:rFonts w:ascii="Arial"/>
                <w:sz w:val="21"/>
              </w:rPr>
            </w:pPr>
          </w:p>
          <w:p w14:paraId="25A13ABF">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A7C6101">
            <w:pPr>
              <w:pStyle w:val="6"/>
              <w:spacing w:before="33" w:line="178" w:lineRule="auto"/>
              <w:ind w:left="118" w:right="106" w:firstLine="6"/>
              <w:jc w:val="both"/>
            </w:pPr>
            <w:r>
              <w:rPr>
                <w:spacing w:val="25"/>
              </w:rPr>
              <w:t>签订的技术服务合</w:t>
            </w:r>
            <w:r>
              <w:rPr>
                <w:spacing w:val="16"/>
              </w:rPr>
              <w:t>同内容有</w:t>
            </w:r>
            <w:r>
              <w:rPr>
                <w:rFonts w:ascii="宋体" w:hAnsi="宋体" w:eastAsia="宋体" w:cs="宋体"/>
                <w:spacing w:val="16"/>
              </w:rPr>
              <w:t>3</w:t>
            </w:r>
            <w:r>
              <w:rPr>
                <w:spacing w:val="16"/>
              </w:rPr>
              <w:t>项以上</w:t>
            </w:r>
            <w:r>
              <w:rPr>
                <w:spacing w:val="-3"/>
              </w:rPr>
              <w:t>不符合规定的，或者</w:t>
            </w:r>
            <w:r>
              <w:rPr>
                <w:spacing w:val="26"/>
              </w:rPr>
              <w:t>未签订技术服务合</w:t>
            </w:r>
            <w:r>
              <w:rPr>
                <w:spacing w:val="2"/>
              </w:rPr>
              <w:t>同的</w:t>
            </w:r>
          </w:p>
        </w:tc>
        <w:tc>
          <w:tcPr>
            <w:tcW w:w="2894" w:type="dxa"/>
            <w:vAlign w:val="top"/>
          </w:tcPr>
          <w:p w14:paraId="2BB85ECE">
            <w:pPr>
              <w:pStyle w:val="6"/>
              <w:spacing w:before="33" w:line="178" w:lineRule="auto"/>
              <w:ind w:left="120" w:right="109" w:firstLine="7"/>
              <w:jc w:val="both"/>
            </w:pPr>
            <w:r>
              <w:rPr>
                <w:spacing w:val="10"/>
              </w:rPr>
              <w:t>责令改正或者责令限期改</w:t>
            </w:r>
            <w:r>
              <w:rPr>
                <w:spacing w:val="8"/>
              </w:rPr>
              <w:t>正，给予警告，可以并处</w:t>
            </w:r>
            <w:r>
              <w:rPr>
                <w:rFonts w:ascii="宋体" w:hAnsi="宋体" w:eastAsia="宋体" w:cs="宋体"/>
                <w:spacing w:val="9"/>
              </w:rPr>
              <w:t>1</w:t>
            </w:r>
            <w:r>
              <w:rPr>
                <w:spacing w:val="9"/>
              </w:rPr>
              <w:t>万元以下的罚款；逾期</w:t>
            </w:r>
            <w:r>
              <w:rPr>
                <w:spacing w:val="4"/>
              </w:rPr>
              <w:t>未改正的，处</w:t>
            </w:r>
            <w:r>
              <w:rPr>
                <w:rFonts w:ascii="宋体" w:hAnsi="宋体" w:eastAsia="宋体" w:cs="宋体"/>
                <w:spacing w:val="4"/>
              </w:rPr>
              <w:t>2</w:t>
            </w:r>
            <w:r>
              <w:rPr>
                <w:spacing w:val="4"/>
              </w:rPr>
              <w:t>万元以上</w:t>
            </w:r>
            <w:r>
              <w:rPr>
                <w:rFonts w:ascii="宋体" w:hAnsi="宋体" w:eastAsia="宋体" w:cs="宋体"/>
                <w:spacing w:val="9"/>
              </w:rPr>
              <w:t>3</w:t>
            </w:r>
            <w:r>
              <w:rPr>
                <w:spacing w:val="9"/>
              </w:rPr>
              <w:t>万元以下的罚款，对相</w:t>
            </w:r>
          </w:p>
        </w:tc>
        <w:tc>
          <w:tcPr>
            <w:tcW w:w="811" w:type="dxa"/>
            <w:vMerge w:val="continue"/>
            <w:tcBorders>
              <w:top w:val="nil"/>
            </w:tcBorders>
            <w:vAlign w:val="top"/>
          </w:tcPr>
          <w:p w14:paraId="194EBDE1">
            <w:pPr>
              <w:rPr>
                <w:rFonts w:ascii="Arial"/>
                <w:sz w:val="21"/>
              </w:rPr>
            </w:pPr>
          </w:p>
        </w:tc>
      </w:tr>
    </w:tbl>
    <w:p w14:paraId="395B27C9">
      <w:pPr>
        <w:pStyle w:val="2"/>
      </w:pPr>
    </w:p>
    <w:p w14:paraId="3A08BD5B">
      <w:pPr>
        <w:sectPr>
          <w:footerReference r:id="rId225" w:type="default"/>
          <w:pgSz w:w="16839" w:h="11906"/>
          <w:pgMar w:top="1012" w:right="821" w:bottom="666" w:left="901" w:header="0" w:footer="388" w:gutter="0"/>
          <w:cols w:space="720" w:num="1"/>
        </w:sectPr>
      </w:pPr>
    </w:p>
    <w:p w14:paraId="672CC9E8">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88FB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35046CE">
            <w:pPr>
              <w:spacing w:before="222" w:line="241" w:lineRule="auto"/>
              <w:ind w:left="131"/>
              <w:outlineLvl w:val="0"/>
              <w:rPr>
                <w:rFonts w:ascii="黑体" w:hAnsi="黑体" w:eastAsia="黑体" w:cs="黑体"/>
                <w:sz w:val="28"/>
                <w:szCs w:val="28"/>
              </w:rPr>
            </w:pPr>
            <w:bookmarkStart w:id="729" w:name="bookmark613"/>
            <w:bookmarkEnd w:id="729"/>
            <w:bookmarkStart w:id="730" w:name="bookmark457"/>
            <w:bookmarkEnd w:id="730"/>
            <w:r>
              <w:rPr>
                <w:rFonts w:ascii="黑体" w:hAnsi="黑体" w:eastAsia="黑体" w:cs="黑体"/>
                <w:spacing w:val="-2"/>
                <w:sz w:val="28"/>
                <w:szCs w:val="28"/>
              </w:rPr>
              <w:t>序号</w:t>
            </w:r>
          </w:p>
        </w:tc>
        <w:tc>
          <w:tcPr>
            <w:tcW w:w="1440" w:type="dxa"/>
            <w:vAlign w:val="top"/>
          </w:tcPr>
          <w:p w14:paraId="65EE3065">
            <w:pPr>
              <w:spacing w:before="221"/>
              <w:ind w:left="163"/>
              <w:outlineLvl w:val="1"/>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2D41AF3C">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0B4062ED">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15567FF">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FD868E6">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1B04C37C">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7BCBE98B">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59772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Align w:val="top"/>
          </w:tcPr>
          <w:p w14:paraId="1B1639F5">
            <w:pPr>
              <w:rPr>
                <w:rFonts w:ascii="Arial"/>
                <w:sz w:val="21"/>
              </w:rPr>
            </w:pPr>
          </w:p>
        </w:tc>
        <w:tc>
          <w:tcPr>
            <w:tcW w:w="1440" w:type="dxa"/>
            <w:vAlign w:val="top"/>
          </w:tcPr>
          <w:p w14:paraId="028AC72D">
            <w:pPr>
              <w:rPr>
                <w:rFonts w:ascii="Arial"/>
                <w:sz w:val="21"/>
              </w:rPr>
            </w:pPr>
          </w:p>
        </w:tc>
        <w:tc>
          <w:tcPr>
            <w:tcW w:w="3202" w:type="dxa"/>
            <w:vAlign w:val="top"/>
          </w:tcPr>
          <w:p w14:paraId="225005FC">
            <w:pPr>
              <w:rPr>
                <w:rFonts w:ascii="Arial"/>
                <w:sz w:val="21"/>
              </w:rPr>
            </w:pPr>
          </w:p>
        </w:tc>
        <w:tc>
          <w:tcPr>
            <w:tcW w:w="2859" w:type="dxa"/>
            <w:vAlign w:val="top"/>
          </w:tcPr>
          <w:p w14:paraId="0ECE4EAD">
            <w:pPr>
              <w:rPr>
                <w:rFonts w:ascii="Arial"/>
                <w:sz w:val="21"/>
              </w:rPr>
            </w:pPr>
          </w:p>
        </w:tc>
        <w:tc>
          <w:tcPr>
            <w:tcW w:w="803" w:type="dxa"/>
            <w:vAlign w:val="top"/>
          </w:tcPr>
          <w:p w14:paraId="7D4B2CC5">
            <w:pPr>
              <w:rPr>
                <w:rFonts w:ascii="Arial"/>
                <w:sz w:val="21"/>
              </w:rPr>
            </w:pPr>
          </w:p>
        </w:tc>
        <w:tc>
          <w:tcPr>
            <w:tcW w:w="2283" w:type="dxa"/>
            <w:vAlign w:val="top"/>
          </w:tcPr>
          <w:p w14:paraId="769EEC17">
            <w:pPr>
              <w:rPr>
                <w:rFonts w:ascii="Arial"/>
                <w:sz w:val="21"/>
              </w:rPr>
            </w:pPr>
          </w:p>
        </w:tc>
        <w:tc>
          <w:tcPr>
            <w:tcW w:w="2894" w:type="dxa"/>
            <w:vAlign w:val="top"/>
          </w:tcPr>
          <w:p w14:paraId="593B55DC">
            <w:pPr>
              <w:pStyle w:val="6"/>
              <w:spacing w:before="28" w:line="179" w:lineRule="auto"/>
              <w:ind w:left="121" w:right="103" w:firstLine="5"/>
              <w:jc w:val="both"/>
            </w:pPr>
            <w:r>
              <w:rPr>
                <w:spacing w:val="8"/>
              </w:rPr>
              <w:t>关责任人处</w:t>
            </w:r>
            <w:r>
              <w:rPr>
                <w:rFonts w:ascii="宋体" w:hAnsi="宋体" w:eastAsia="宋体" w:cs="宋体"/>
                <w:spacing w:val="8"/>
              </w:rPr>
              <w:t>1</w:t>
            </w:r>
            <w:r>
              <w:rPr>
                <w:spacing w:val="8"/>
              </w:rPr>
              <w:t>千元以上</w:t>
            </w:r>
            <w:r>
              <w:rPr>
                <w:rFonts w:ascii="宋体" w:hAnsi="宋体" w:eastAsia="宋体" w:cs="宋体"/>
                <w:spacing w:val="8"/>
              </w:rPr>
              <w:t>5</w:t>
            </w:r>
            <w:r>
              <w:rPr>
                <w:spacing w:val="8"/>
              </w:rPr>
              <w:t>千元以下的罚款；情节严</w:t>
            </w:r>
            <w:r>
              <w:rPr>
                <w:spacing w:val="1"/>
              </w:rPr>
              <w:t>重的，处</w:t>
            </w:r>
            <w:r>
              <w:rPr>
                <w:rFonts w:ascii="宋体" w:hAnsi="宋体" w:eastAsia="宋体" w:cs="宋体"/>
                <w:spacing w:val="1"/>
              </w:rPr>
              <w:t>2</w:t>
            </w:r>
            <w:r>
              <w:rPr>
                <w:spacing w:val="1"/>
              </w:rPr>
              <w:t>万元以上</w:t>
            </w:r>
            <w:r>
              <w:rPr>
                <w:rFonts w:ascii="宋体" w:hAnsi="宋体" w:eastAsia="宋体" w:cs="宋体"/>
                <w:spacing w:val="1"/>
              </w:rPr>
              <w:t>3</w:t>
            </w:r>
            <w:r>
              <w:rPr>
                <w:spacing w:val="1"/>
              </w:rPr>
              <w:t>万</w:t>
            </w:r>
            <w:r>
              <w:rPr>
                <w:spacing w:val="8"/>
              </w:rPr>
              <w:t>元以下的罚款，对相关责</w:t>
            </w:r>
            <w:r>
              <w:rPr>
                <w:spacing w:val="2"/>
              </w:rPr>
              <w:t>任人处</w:t>
            </w:r>
            <w:r>
              <w:rPr>
                <w:rFonts w:ascii="宋体" w:hAnsi="宋体" w:eastAsia="宋体" w:cs="宋体"/>
                <w:spacing w:val="2"/>
              </w:rPr>
              <w:t>5</w:t>
            </w:r>
            <w:r>
              <w:rPr>
                <w:spacing w:val="2"/>
              </w:rPr>
              <w:t>千元以上</w:t>
            </w:r>
            <w:r>
              <w:rPr>
                <w:rFonts w:ascii="宋体" w:hAnsi="宋体" w:eastAsia="宋体" w:cs="宋体"/>
                <w:spacing w:val="2"/>
              </w:rPr>
              <w:t>1</w:t>
            </w:r>
            <w:r>
              <w:rPr>
                <w:spacing w:val="2"/>
              </w:rPr>
              <w:t>万元</w:t>
            </w:r>
            <w:r>
              <w:rPr>
                <w:spacing w:val="6"/>
              </w:rPr>
              <w:t>以下的罚款</w:t>
            </w:r>
          </w:p>
        </w:tc>
        <w:tc>
          <w:tcPr>
            <w:tcW w:w="811" w:type="dxa"/>
            <w:vAlign w:val="top"/>
          </w:tcPr>
          <w:p w14:paraId="7A53AF17">
            <w:pPr>
              <w:rPr>
                <w:rFonts w:ascii="Arial"/>
                <w:sz w:val="21"/>
              </w:rPr>
            </w:pPr>
          </w:p>
        </w:tc>
      </w:tr>
      <w:tr w14:paraId="591DB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5" w:hRule="atLeast"/>
        </w:trPr>
        <w:tc>
          <w:tcPr>
            <w:tcW w:w="818" w:type="dxa"/>
            <w:vMerge w:val="restart"/>
            <w:tcBorders>
              <w:bottom w:val="nil"/>
            </w:tcBorders>
            <w:vAlign w:val="top"/>
          </w:tcPr>
          <w:p w14:paraId="5040F541">
            <w:pPr>
              <w:spacing w:line="242" w:lineRule="auto"/>
              <w:rPr>
                <w:rFonts w:ascii="Arial"/>
                <w:sz w:val="21"/>
              </w:rPr>
            </w:pPr>
          </w:p>
          <w:p w14:paraId="272B4C39">
            <w:pPr>
              <w:spacing w:line="242" w:lineRule="auto"/>
              <w:rPr>
                <w:rFonts w:ascii="Arial"/>
                <w:sz w:val="21"/>
              </w:rPr>
            </w:pPr>
          </w:p>
          <w:p w14:paraId="429F7835">
            <w:pPr>
              <w:spacing w:line="242" w:lineRule="auto"/>
              <w:rPr>
                <w:rFonts w:ascii="Arial"/>
                <w:sz w:val="21"/>
              </w:rPr>
            </w:pPr>
          </w:p>
          <w:p w14:paraId="2AD0382E">
            <w:pPr>
              <w:spacing w:line="242" w:lineRule="auto"/>
              <w:rPr>
                <w:rFonts w:ascii="Arial"/>
                <w:sz w:val="21"/>
              </w:rPr>
            </w:pPr>
          </w:p>
          <w:p w14:paraId="161DFA16">
            <w:pPr>
              <w:spacing w:line="242" w:lineRule="auto"/>
              <w:rPr>
                <w:rFonts w:ascii="Arial"/>
                <w:sz w:val="21"/>
              </w:rPr>
            </w:pPr>
          </w:p>
          <w:p w14:paraId="40AFE4F4">
            <w:pPr>
              <w:spacing w:line="243" w:lineRule="auto"/>
              <w:rPr>
                <w:rFonts w:ascii="Arial"/>
                <w:sz w:val="21"/>
              </w:rPr>
            </w:pPr>
          </w:p>
          <w:p w14:paraId="16512BBD">
            <w:pPr>
              <w:spacing w:line="243" w:lineRule="auto"/>
              <w:rPr>
                <w:rFonts w:ascii="Arial"/>
                <w:sz w:val="21"/>
              </w:rPr>
            </w:pPr>
          </w:p>
          <w:p w14:paraId="4471719A">
            <w:pPr>
              <w:spacing w:line="243" w:lineRule="auto"/>
              <w:rPr>
                <w:rFonts w:ascii="Arial"/>
                <w:sz w:val="21"/>
              </w:rPr>
            </w:pPr>
          </w:p>
          <w:p w14:paraId="766422CC">
            <w:pPr>
              <w:spacing w:line="243" w:lineRule="auto"/>
              <w:rPr>
                <w:rFonts w:ascii="Arial"/>
                <w:sz w:val="21"/>
              </w:rPr>
            </w:pPr>
          </w:p>
          <w:p w14:paraId="13365B79">
            <w:pPr>
              <w:spacing w:line="243" w:lineRule="auto"/>
              <w:rPr>
                <w:rFonts w:ascii="Arial"/>
                <w:sz w:val="21"/>
              </w:rPr>
            </w:pPr>
          </w:p>
          <w:p w14:paraId="7EEF2DB3">
            <w:pPr>
              <w:spacing w:line="243" w:lineRule="auto"/>
              <w:rPr>
                <w:rFonts w:ascii="Arial"/>
                <w:sz w:val="21"/>
              </w:rPr>
            </w:pPr>
          </w:p>
          <w:p w14:paraId="16935CC9">
            <w:pPr>
              <w:spacing w:line="243" w:lineRule="auto"/>
              <w:rPr>
                <w:rFonts w:ascii="Arial"/>
                <w:sz w:val="21"/>
              </w:rPr>
            </w:pPr>
          </w:p>
          <w:p w14:paraId="4FF5E076">
            <w:pPr>
              <w:spacing w:line="243" w:lineRule="auto"/>
              <w:rPr>
                <w:rFonts w:ascii="Arial"/>
                <w:sz w:val="21"/>
              </w:rPr>
            </w:pPr>
          </w:p>
          <w:p w14:paraId="20C434E3">
            <w:pPr>
              <w:spacing w:line="243" w:lineRule="auto"/>
              <w:rPr>
                <w:rFonts w:ascii="Arial"/>
                <w:sz w:val="21"/>
              </w:rPr>
            </w:pPr>
          </w:p>
          <w:p w14:paraId="57D65A11">
            <w:pPr>
              <w:spacing w:before="75" w:line="185" w:lineRule="auto"/>
              <w:ind w:left="146"/>
              <w:rPr>
                <w:rFonts w:ascii="仿宋" w:hAnsi="仿宋" w:eastAsia="仿宋" w:cs="仿宋"/>
                <w:sz w:val="23"/>
                <w:szCs w:val="23"/>
              </w:rPr>
            </w:pPr>
            <w:r>
              <w:rPr>
                <w:rFonts w:ascii="仿宋" w:hAnsi="仿宋" w:eastAsia="仿宋" w:cs="仿宋"/>
                <w:sz w:val="23"/>
                <w:szCs w:val="23"/>
              </w:rPr>
              <w:t>225</w:t>
            </w:r>
          </w:p>
        </w:tc>
        <w:tc>
          <w:tcPr>
            <w:tcW w:w="1440" w:type="dxa"/>
            <w:vMerge w:val="restart"/>
            <w:tcBorders>
              <w:bottom w:val="nil"/>
            </w:tcBorders>
            <w:vAlign w:val="top"/>
          </w:tcPr>
          <w:p w14:paraId="48305B81">
            <w:pPr>
              <w:spacing w:line="266" w:lineRule="auto"/>
              <w:rPr>
                <w:rFonts w:ascii="Arial"/>
                <w:sz w:val="21"/>
              </w:rPr>
            </w:pPr>
          </w:p>
          <w:p w14:paraId="22EA409B">
            <w:pPr>
              <w:spacing w:line="266" w:lineRule="auto"/>
              <w:rPr>
                <w:rFonts w:ascii="Arial"/>
                <w:sz w:val="21"/>
              </w:rPr>
            </w:pPr>
          </w:p>
          <w:p w14:paraId="39B80AEB">
            <w:pPr>
              <w:spacing w:line="266" w:lineRule="auto"/>
              <w:rPr>
                <w:rFonts w:ascii="Arial"/>
                <w:sz w:val="21"/>
              </w:rPr>
            </w:pPr>
          </w:p>
          <w:p w14:paraId="2C7A2884">
            <w:pPr>
              <w:spacing w:line="266" w:lineRule="auto"/>
              <w:rPr>
                <w:rFonts w:ascii="Arial"/>
                <w:sz w:val="21"/>
              </w:rPr>
            </w:pPr>
          </w:p>
          <w:p w14:paraId="7A032360">
            <w:pPr>
              <w:spacing w:line="266" w:lineRule="auto"/>
              <w:rPr>
                <w:rFonts w:ascii="Arial"/>
                <w:sz w:val="21"/>
              </w:rPr>
            </w:pPr>
          </w:p>
          <w:p w14:paraId="26BA5209">
            <w:pPr>
              <w:spacing w:line="266" w:lineRule="auto"/>
              <w:rPr>
                <w:rFonts w:ascii="Arial"/>
                <w:sz w:val="21"/>
              </w:rPr>
            </w:pPr>
          </w:p>
          <w:p w14:paraId="414D6D3F">
            <w:pPr>
              <w:spacing w:line="267" w:lineRule="auto"/>
              <w:rPr>
                <w:rFonts w:ascii="Arial"/>
                <w:sz w:val="21"/>
              </w:rPr>
            </w:pPr>
          </w:p>
          <w:p w14:paraId="06210BDB">
            <w:pPr>
              <w:spacing w:line="267" w:lineRule="auto"/>
              <w:rPr>
                <w:rFonts w:ascii="Arial"/>
                <w:sz w:val="21"/>
              </w:rPr>
            </w:pPr>
          </w:p>
          <w:p w14:paraId="66881CA8">
            <w:pPr>
              <w:pStyle w:val="6"/>
              <w:spacing w:before="98" w:line="186" w:lineRule="auto"/>
              <w:ind w:left="115" w:right="111" w:firstLine="5"/>
              <w:jc w:val="both"/>
            </w:pPr>
            <w:r>
              <w:rPr>
                <w:spacing w:val="10"/>
              </w:rPr>
              <w:t>安全评价检</w:t>
            </w:r>
            <w:r>
              <w:rPr>
                <w:spacing w:val="11"/>
              </w:rPr>
              <w:t>测检验机构违反法规标准规定更改或者简化安全评价、检测检验程序和相关内容</w:t>
            </w:r>
            <w:r>
              <w:t>的</w:t>
            </w:r>
          </w:p>
        </w:tc>
        <w:tc>
          <w:tcPr>
            <w:tcW w:w="3202" w:type="dxa"/>
            <w:vMerge w:val="restart"/>
            <w:tcBorders>
              <w:bottom w:val="nil"/>
            </w:tcBorders>
            <w:vAlign w:val="top"/>
          </w:tcPr>
          <w:p w14:paraId="034AE8A1">
            <w:pPr>
              <w:pStyle w:val="6"/>
              <w:spacing w:before="31" w:line="182" w:lineRule="auto"/>
              <w:ind w:left="98"/>
              <w:outlineLvl w:val="1"/>
            </w:pPr>
            <w:r>
              <w:rPr>
                <w:spacing w:val="17"/>
              </w:rPr>
              <w:t>【部门规章】《安全评价检</w:t>
            </w:r>
          </w:p>
          <w:p w14:paraId="3BA9EE7D">
            <w:pPr>
              <w:pStyle w:val="6"/>
              <w:spacing w:before="1" w:line="186" w:lineRule="auto"/>
              <w:ind w:left="117" w:firstLine="4"/>
              <w:jc w:val="both"/>
            </w:pPr>
            <w:r>
              <w:rPr>
                <w:spacing w:val="15"/>
              </w:rPr>
              <w:t>测检验机构管理办法》第二</w:t>
            </w:r>
            <w:r>
              <w:rPr>
                <w:spacing w:val="12"/>
              </w:rPr>
              <w:t>十二条第一款第六项：安全</w:t>
            </w:r>
            <w:r>
              <w:rPr>
                <w:spacing w:val="16"/>
              </w:rPr>
              <w:t>评价检测检验机构及其从业</w:t>
            </w:r>
            <w:r>
              <w:rPr>
                <w:spacing w:val="7"/>
              </w:rPr>
              <w:t>人员不得有下列行为</w:t>
            </w:r>
            <w:r>
              <w:rPr>
                <w:spacing w:val="5"/>
              </w:rPr>
              <w:t>：（</w:t>
            </w:r>
            <w:r>
              <w:rPr>
                <w:spacing w:val="7"/>
              </w:rPr>
              <w:t>六）</w:t>
            </w:r>
            <w:r>
              <w:rPr>
                <w:spacing w:val="12"/>
              </w:rPr>
              <w:t>违反有关法规标准规定，更</w:t>
            </w:r>
            <w:r>
              <w:rPr>
                <w:spacing w:val="16"/>
              </w:rPr>
              <w:t>改或者简化安全评价、检测</w:t>
            </w:r>
            <w:r>
              <w:rPr>
                <w:spacing w:val="3"/>
              </w:rPr>
              <w:t>检验程序和相关内容的；</w:t>
            </w:r>
          </w:p>
        </w:tc>
        <w:tc>
          <w:tcPr>
            <w:tcW w:w="2859" w:type="dxa"/>
            <w:vMerge w:val="restart"/>
            <w:tcBorders>
              <w:bottom w:val="nil"/>
            </w:tcBorders>
            <w:vAlign w:val="top"/>
          </w:tcPr>
          <w:p w14:paraId="6D042718">
            <w:pPr>
              <w:pStyle w:val="6"/>
              <w:spacing w:before="25" w:line="184" w:lineRule="auto"/>
              <w:ind w:left="115" w:right="38" w:hanging="18"/>
              <w:jc w:val="both"/>
            </w:pPr>
            <w:r>
              <w:rPr>
                <w:spacing w:val="10"/>
              </w:rPr>
              <w:t>【部门规章】《安全评价检测检验机构管理办法》</w:t>
            </w:r>
            <w:r>
              <w:rPr>
                <w:spacing w:val="8"/>
              </w:rPr>
              <w:t>第三十条第二项：安全评价检测检验机构有下列情形之一的，责令改正或者</w:t>
            </w:r>
            <w:r>
              <w:rPr>
                <w:spacing w:val="-6"/>
              </w:rPr>
              <w:t>责令限期改正，给予警告，</w:t>
            </w:r>
            <w:r>
              <w:rPr>
                <w:spacing w:val="8"/>
              </w:rPr>
              <w:t>可以并处一万元以下的罚</w:t>
            </w:r>
            <w:r>
              <w:rPr>
                <w:spacing w:val="6"/>
              </w:rPr>
              <w:t>款；逾期未改正的，处一</w:t>
            </w:r>
            <w:r>
              <w:rPr>
                <w:spacing w:val="8"/>
              </w:rPr>
              <w:t>万元以上三万元以下的罚款，对相关责任人处一千</w:t>
            </w:r>
            <w:r>
              <w:rPr>
                <w:spacing w:val="32"/>
              </w:rPr>
              <w:t>元以上五千元以下的罚</w:t>
            </w:r>
            <w:r>
              <w:rPr>
                <w:spacing w:val="8"/>
              </w:rPr>
              <w:t>款；情节严重的，处一万</w:t>
            </w:r>
            <w:r>
              <w:rPr>
                <w:spacing w:val="32"/>
              </w:rPr>
              <w:t>元以上三万元以下的罚</w:t>
            </w:r>
            <w:r>
              <w:rPr>
                <w:spacing w:val="8"/>
              </w:rPr>
              <w:t>款，对相关责任人处五千</w:t>
            </w:r>
            <w:r>
              <w:rPr>
                <w:spacing w:val="32"/>
              </w:rPr>
              <w:t>元以上一万元以下的罚</w:t>
            </w:r>
            <w:r>
              <w:rPr>
                <w:spacing w:val="8"/>
              </w:rPr>
              <w:t>款</w:t>
            </w:r>
            <w:r>
              <w:rPr>
                <w:spacing w:val="10"/>
              </w:rPr>
              <w:t>：（</w:t>
            </w:r>
            <w:r>
              <w:rPr>
                <w:spacing w:val="8"/>
              </w:rPr>
              <w:t>二）违反法规标准规定更改或者简化安全评价、检测检验程序和相关</w:t>
            </w:r>
            <w:r>
              <w:rPr>
                <w:spacing w:val="-4"/>
              </w:rPr>
              <w:t>内容的；</w:t>
            </w:r>
          </w:p>
        </w:tc>
        <w:tc>
          <w:tcPr>
            <w:tcW w:w="803" w:type="dxa"/>
            <w:vAlign w:val="top"/>
          </w:tcPr>
          <w:p w14:paraId="56ECF332">
            <w:pPr>
              <w:spacing w:line="268" w:lineRule="auto"/>
              <w:rPr>
                <w:rFonts w:ascii="Arial"/>
                <w:sz w:val="21"/>
              </w:rPr>
            </w:pPr>
          </w:p>
          <w:p w14:paraId="747ED2AA">
            <w:pPr>
              <w:spacing w:line="268" w:lineRule="auto"/>
              <w:rPr>
                <w:rFonts w:ascii="Arial"/>
                <w:sz w:val="21"/>
              </w:rPr>
            </w:pPr>
          </w:p>
          <w:p w14:paraId="18FC6B29">
            <w:pPr>
              <w:spacing w:line="269" w:lineRule="auto"/>
              <w:rPr>
                <w:rFonts w:ascii="Arial"/>
                <w:sz w:val="21"/>
              </w:rPr>
            </w:pPr>
          </w:p>
          <w:p w14:paraId="558A70A6">
            <w:pPr>
              <w:spacing w:line="269" w:lineRule="auto"/>
              <w:rPr>
                <w:rFonts w:ascii="Arial"/>
                <w:sz w:val="21"/>
              </w:rPr>
            </w:pPr>
          </w:p>
          <w:p w14:paraId="22FA951C">
            <w:pPr>
              <w:spacing w:line="269" w:lineRule="auto"/>
              <w:rPr>
                <w:rFonts w:ascii="Arial"/>
                <w:sz w:val="21"/>
              </w:rPr>
            </w:pPr>
          </w:p>
          <w:p w14:paraId="34131690">
            <w:pPr>
              <w:spacing w:line="269" w:lineRule="auto"/>
              <w:rPr>
                <w:rFonts w:ascii="Arial"/>
                <w:sz w:val="21"/>
              </w:rPr>
            </w:pPr>
          </w:p>
          <w:p w14:paraId="1925ABBB">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E8C3B6C">
            <w:pPr>
              <w:spacing w:line="316" w:lineRule="auto"/>
              <w:rPr>
                <w:rFonts w:ascii="Arial"/>
                <w:sz w:val="21"/>
              </w:rPr>
            </w:pPr>
          </w:p>
          <w:p w14:paraId="03BBB24E">
            <w:pPr>
              <w:spacing w:line="316" w:lineRule="auto"/>
              <w:rPr>
                <w:rFonts w:ascii="Arial"/>
                <w:sz w:val="21"/>
              </w:rPr>
            </w:pPr>
          </w:p>
          <w:p w14:paraId="01946B46">
            <w:pPr>
              <w:spacing w:line="316" w:lineRule="auto"/>
              <w:rPr>
                <w:rFonts w:ascii="Arial"/>
                <w:sz w:val="21"/>
              </w:rPr>
            </w:pPr>
          </w:p>
          <w:p w14:paraId="296C9091">
            <w:pPr>
              <w:pStyle w:val="6"/>
              <w:spacing w:before="98" w:line="188" w:lineRule="auto"/>
              <w:ind w:left="117" w:right="105"/>
              <w:jc w:val="both"/>
            </w:pPr>
            <w:r>
              <w:rPr>
                <w:spacing w:val="26"/>
              </w:rPr>
              <w:t>违反法规标准规定更改或者简化安全</w:t>
            </w:r>
            <w:r>
              <w:rPr>
                <w:spacing w:val="-3"/>
              </w:rPr>
              <w:t>评价、检测检验程序</w:t>
            </w:r>
            <w:r>
              <w:rPr>
                <w:spacing w:val="15"/>
              </w:rPr>
              <w:t>和相关内容，有</w:t>
            </w:r>
            <w:r>
              <w:rPr>
                <w:rFonts w:ascii="宋体" w:hAnsi="宋体" w:eastAsia="宋体" w:cs="宋体"/>
                <w:spacing w:val="15"/>
              </w:rPr>
              <w:t>1</w:t>
            </w:r>
            <w:r>
              <w:rPr>
                <w:spacing w:val="2"/>
              </w:rPr>
              <w:t>处的</w:t>
            </w:r>
          </w:p>
        </w:tc>
        <w:tc>
          <w:tcPr>
            <w:tcW w:w="2894" w:type="dxa"/>
            <w:vAlign w:val="top"/>
          </w:tcPr>
          <w:p w14:paraId="2943E713">
            <w:pPr>
              <w:pStyle w:val="6"/>
              <w:spacing w:before="153" w:line="185" w:lineRule="auto"/>
              <w:ind w:left="120" w:right="104" w:firstLine="7"/>
              <w:jc w:val="both"/>
            </w:pPr>
            <w:r>
              <w:rPr>
                <w:spacing w:val="10"/>
              </w:rPr>
              <w:t>责令改正或者责令限期改</w:t>
            </w:r>
            <w:r>
              <w:rPr>
                <w:spacing w:val="8"/>
              </w:rPr>
              <w:t>正，给予警告，可以并处</w:t>
            </w:r>
            <w:r>
              <w:rPr>
                <w:rFonts w:ascii="宋体" w:hAnsi="宋体" w:eastAsia="宋体" w:cs="宋体"/>
                <w:spacing w:val="9"/>
              </w:rPr>
              <w:t>1</w:t>
            </w:r>
            <w:r>
              <w:rPr>
                <w:spacing w:val="9"/>
              </w:rPr>
              <w:t>万元以下的罚款；逾期</w:t>
            </w:r>
            <w:r>
              <w:rPr>
                <w:spacing w:val="3"/>
              </w:rPr>
              <w:t>未改正的，处</w:t>
            </w:r>
            <w:r>
              <w:rPr>
                <w:rFonts w:ascii="宋体" w:hAnsi="宋体" w:eastAsia="宋体" w:cs="宋体"/>
                <w:spacing w:val="3"/>
              </w:rPr>
              <w:t>1</w:t>
            </w:r>
            <w:r>
              <w:rPr>
                <w:spacing w:val="3"/>
              </w:rPr>
              <w:t>万元以上</w:t>
            </w:r>
            <w:r>
              <w:rPr>
                <w:rFonts w:ascii="宋体" w:hAnsi="宋体" w:eastAsia="宋体" w:cs="宋体"/>
                <w:spacing w:val="6"/>
              </w:rPr>
              <w:t>1.5</w:t>
            </w:r>
            <w:r>
              <w:rPr>
                <w:spacing w:val="6"/>
              </w:rPr>
              <w:t>万元以下的罚款，对</w:t>
            </w:r>
            <w:r>
              <w:rPr>
                <w:spacing w:val="3"/>
              </w:rPr>
              <w:t>相关责任人处</w:t>
            </w:r>
            <w:r>
              <w:rPr>
                <w:rFonts w:ascii="宋体" w:hAnsi="宋体" w:eastAsia="宋体" w:cs="宋体"/>
                <w:spacing w:val="3"/>
              </w:rPr>
              <w:t>1</w:t>
            </w:r>
            <w:r>
              <w:rPr>
                <w:spacing w:val="3"/>
              </w:rPr>
              <w:t>千元以上</w:t>
            </w:r>
            <w:r>
              <w:rPr>
                <w:rFonts w:ascii="宋体" w:hAnsi="宋体" w:eastAsia="宋体" w:cs="宋体"/>
                <w:spacing w:val="9"/>
              </w:rPr>
              <w:t>5</w:t>
            </w:r>
            <w:r>
              <w:rPr>
                <w:spacing w:val="9"/>
              </w:rPr>
              <w:t>千元以下的罚款；情节</w:t>
            </w:r>
            <w:r>
              <w:rPr>
                <w:spacing w:val="-9"/>
              </w:rPr>
              <w:t>严重的，处</w:t>
            </w:r>
            <w:r>
              <w:rPr>
                <w:rFonts w:ascii="宋体" w:hAnsi="宋体" w:eastAsia="宋体" w:cs="宋体"/>
                <w:spacing w:val="-9"/>
              </w:rPr>
              <w:t>1</w:t>
            </w:r>
            <w:r>
              <w:rPr>
                <w:spacing w:val="-9"/>
              </w:rPr>
              <w:t>万元以上</w:t>
            </w:r>
            <w:r>
              <w:rPr>
                <w:rFonts w:ascii="宋体" w:hAnsi="宋体" w:eastAsia="宋体" w:cs="宋体"/>
                <w:spacing w:val="-9"/>
              </w:rPr>
              <w:t>1.5</w:t>
            </w:r>
            <w:r>
              <w:rPr>
                <w:spacing w:val="8"/>
              </w:rPr>
              <w:t>万元以下的罚款，对相关</w:t>
            </w:r>
            <w:r>
              <w:rPr>
                <w:spacing w:val="2"/>
              </w:rPr>
              <w:t>责任人处</w:t>
            </w:r>
            <w:r>
              <w:rPr>
                <w:rFonts w:ascii="宋体" w:hAnsi="宋体" w:eastAsia="宋体" w:cs="宋体"/>
                <w:spacing w:val="2"/>
              </w:rPr>
              <w:t>5</w:t>
            </w:r>
            <w:r>
              <w:rPr>
                <w:spacing w:val="2"/>
              </w:rPr>
              <w:t>千元以上</w:t>
            </w:r>
            <w:r>
              <w:rPr>
                <w:rFonts w:ascii="宋体" w:hAnsi="宋体" w:eastAsia="宋体" w:cs="宋体"/>
                <w:spacing w:val="2"/>
              </w:rPr>
              <w:t>1</w:t>
            </w:r>
            <w:r>
              <w:rPr>
                <w:spacing w:val="2"/>
              </w:rPr>
              <w:t>万</w:t>
            </w:r>
            <w:r>
              <w:rPr>
                <w:spacing w:val="7"/>
              </w:rPr>
              <w:t>元以下的罚款</w:t>
            </w:r>
          </w:p>
        </w:tc>
        <w:tc>
          <w:tcPr>
            <w:tcW w:w="811" w:type="dxa"/>
            <w:vMerge w:val="restart"/>
            <w:tcBorders>
              <w:bottom w:val="nil"/>
            </w:tcBorders>
            <w:vAlign w:val="top"/>
          </w:tcPr>
          <w:p w14:paraId="21D15BBA">
            <w:pPr>
              <w:spacing w:line="242" w:lineRule="auto"/>
              <w:rPr>
                <w:rFonts w:ascii="Arial"/>
                <w:sz w:val="21"/>
              </w:rPr>
            </w:pPr>
          </w:p>
          <w:p w14:paraId="73117A92">
            <w:pPr>
              <w:spacing w:line="242" w:lineRule="auto"/>
              <w:rPr>
                <w:rFonts w:ascii="Arial"/>
                <w:sz w:val="21"/>
              </w:rPr>
            </w:pPr>
          </w:p>
          <w:p w14:paraId="47205F63">
            <w:pPr>
              <w:spacing w:line="242" w:lineRule="auto"/>
              <w:rPr>
                <w:rFonts w:ascii="Arial"/>
                <w:sz w:val="21"/>
              </w:rPr>
            </w:pPr>
          </w:p>
          <w:p w14:paraId="74E01515">
            <w:pPr>
              <w:spacing w:line="242" w:lineRule="auto"/>
              <w:rPr>
                <w:rFonts w:ascii="Arial"/>
                <w:sz w:val="21"/>
              </w:rPr>
            </w:pPr>
          </w:p>
          <w:p w14:paraId="45718BD2">
            <w:pPr>
              <w:spacing w:line="242" w:lineRule="auto"/>
              <w:rPr>
                <w:rFonts w:ascii="Arial"/>
                <w:sz w:val="21"/>
              </w:rPr>
            </w:pPr>
          </w:p>
          <w:p w14:paraId="595ABBA2">
            <w:pPr>
              <w:spacing w:line="242" w:lineRule="auto"/>
              <w:rPr>
                <w:rFonts w:ascii="Arial"/>
                <w:sz w:val="21"/>
              </w:rPr>
            </w:pPr>
          </w:p>
          <w:p w14:paraId="2B524F10">
            <w:pPr>
              <w:spacing w:line="242" w:lineRule="auto"/>
              <w:rPr>
                <w:rFonts w:ascii="Arial"/>
                <w:sz w:val="21"/>
              </w:rPr>
            </w:pPr>
          </w:p>
          <w:p w14:paraId="6B81276C">
            <w:pPr>
              <w:spacing w:line="242" w:lineRule="auto"/>
              <w:rPr>
                <w:rFonts w:ascii="Arial"/>
                <w:sz w:val="21"/>
              </w:rPr>
            </w:pPr>
          </w:p>
          <w:p w14:paraId="7692EE0A">
            <w:pPr>
              <w:spacing w:line="243" w:lineRule="auto"/>
              <w:rPr>
                <w:rFonts w:ascii="Arial"/>
                <w:sz w:val="21"/>
              </w:rPr>
            </w:pPr>
          </w:p>
          <w:p w14:paraId="2CCB0C38">
            <w:pPr>
              <w:spacing w:line="243" w:lineRule="auto"/>
              <w:rPr>
                <w:rFonts w:ascii="Arial"/>
                <w:sz w:val="21"/>
              </w:rPr>
            </w:pPr>
          </w:p>
          <w:p w14:paraId="302CE7D3">
            <w:pPr>
              <w:spacing w:line="243" w:lineRule="auto"/>
              <w:rPr>
                <w:rFonts w:ascii="Arial"/>
                <w:sz w:val="21"/>
              </w:rPr>
            </w:pPr>
          </w:p>
          <w:p w14:paraId="1466EF68">
            <w:pPr>
              <w:spacing w:line="243" w:lineRule="auto"/>
              <w:rPr>
                <w:rFonts w:ascii="Arial"/>
                <w:sz w:val="21"/>
              </w:rPr>
            </w:pPr>
          </w:p>
          <w:p w14:paraId="3CA9BB55">
            <w:pPr>
              <w:spacing w:line="243" w:lineRule="auto"/>
              <w:rPr>
                <w:rFonts w:ascii="Arial"/>
                <w:sz w:val="21"/>
              </w:rPr>
            </w:pPr>
          </w:p>
          <w:p w14:paraId="3984866D">
            <w:pPr>
              <w:spacing w:line="243" w:lineRule="auto"/>
              <w:rPr>
                <w:rFonts w:ascii="Arial"/>
                <w:sz w:val="21"/>
              </w:rPr>
            </w:pPr>
          </w:p>
          <w:p w14:paraId="2A9A67EE">
            <w:pPr>
              <w:spacing w:before="74" w:line="188" w:lineRule="auto"/>
              <w:ind w:left="233"/>
              <w:rPr>
                <w:rFonts w:ascii="宋体" w:hAnsi="宋体" w:eastAsia="宋体" w:cs="宋体"/>
                <w:sz w:val="23"/>
                <w:szCs w:val="23"/>
              </w:rPr>
            </w:pPr>
            <w:r>
              <w:rPr>
                <w:rFonts w:ascii="宋体" w:hAnsi="宋体" w:eastAsia="宋体" w:cs="宋体"/>
                <w:spacing w:val="-1"/>
                <w:sz w:val="23"/>
                <w:szCs w:val="23"/>
              </w:rPr>
              <w:t>248</w:t>
            </w:r>
          </w:p>
        </w:tc>
      </w:tr>
      <w:tr w14:paraId="04FE5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7" w:hRule="atLeast"/>
        </w:trPr>
        <w:tc>
          <w:tcPr>
            <w:tcW w:w="818" w:type="dxa"/>
            <w:vMerge w:val="continue"/>
            <w:tcBorders>
              <w:top w:val="nil"/>
            </w:tcBorders>
            <w:vAlign w:val="top"/>
          </w:tcPr>
          <w:p w14:paraId="16236E10">
            <w:pPr>
              <w:rPr>
                <w:rFonts w:ascii="Arial"/>
                <w:sz w:val="21"/>
              </w:rPr>
            </w:pPr>
          </w:p>
        </w:tc>
        <w:tc>
          <w:tcPr>
            <w:tcW w:w="1440" w:type="dxa"/>
            <w:vMerge w:val="continue"/>
            <w:tcBorders>
              <w:top w:val="nil"/>
            </w:tcBorders>
            <w:vAlign w:val="top"/>
          </w:tcPr>
          <w:p w14:paraId="10D81083">
            <w:pPr>
              <w:rPr>
                <w:rFonts w:ascii="Arial"/>
                <w:sz w:val="21"/>
              </w:rPr>
            </w:pPr>
          </w:p>
        </w:tc>
        <w:tc>
          <w:tcPr>
            <w:tcW w:w="3202" w:type="dxa"/>
            <w:vMerge w:val="continue"/>
            <w:tcBorders>
              <w:top w:val="nil"/>
            </w:tcBorders>
            <w:vAlign w:val="top"/>
          </w:tcPr>
          <w:p w14:paraId="33C70358">
            <w:pPr>
              <w:rPr>
                <w:rFonts w:ascii="Arial"/>
                <w:sz w:val="21"/>
              </w:rPr>
            </w:pPr>
          </w:p>
        </w:tc>
        <w:tc>
          <w:tcPr>
            <w:tcW w:w="2859" w:type="dxa"/>
            <w:vMerge w:val="continue"/>
            <w:tcBorders>
              <w:top w:val="nil"/>
            </w:tcBorders>
            <w:vAlign w:val="top"/>
          </w:tcPr>
          <w:p w14:paraId="416DA9CE">
            <w:pPr>
              <w:rPr>
                <w:rFonts w:ascii="Arial"/>
                <w:sz w:val="21"/>
              </w:rPr>
            </w:pPr>
          </w:p>
        </w:tc>
        <w:tc>
          <w:tcPr>
            <w:tcW w:w="803" w:type="dxa"/>
            <w:vAlign w:val="top"/>
          </w:tcPr>
          <w:p w14:paraId="77D05303">
            <w:pPr>
              <w:spacing w:line="271" w:lineRule="auto"/>
              <w:rPr>
                <w:rFonts w:ascii="Arial"/>
                <w:sz w:val="21"/>
              </w:rPr>
            </w:pPr>
          </w:p>
          <w:p w14:paraId="285E7018">
            <w:pPr>
              <w:spacing w:line="271" w:lineRule="auto"/>
              <w:rPr>
                <w:rFonts w:ascii="Arial"/>
                <w:sz w:val="21"/>
              </w:rPr>
            </w:pPr>
          </w:p>
          <w:p w14:paraId="1C23E9EA">
            <w:pPr>
              <w:spacing w:line="271" w:lineRule="auto"/>
              <w:rPr>
                <w:rFonts w:ascii="Arial"/>
                <w:sz w:val="21"/>
              </w:rPr>
            </w:pPr>
          </w:p>
          <w:p w14:paraId="64E3587C">
            <w:pPr>
              <w:spacing w:line="271" w:lineRule="auto"/>
              <w:rPr>
                <w:rFonts w:ascii="Arial"/>
                <w:sz w:val="21"/>
              </w:rPr>
            </w:pPr>
          </w:p>
          <w:p w14:paraId="0C8211C1">
            <w:pPr>
              <w:spacing w:line="271" w:lineRule="auto"/>
              <w:rPr>
                <w:rFonts w:ascii="Arial"/>
                <w:sz w:val="21"/>
              </w:rPr>
            </w:pPr>
          </w:p>
          <w:p w14:paraId="73988006">
            <w:pPr>
              <w:spacing w:line="272" w:lineRule="auto"/>
              <w:rPr>
                <w:rFonts w:ascii="Arial"/>
                <w:sz w:val="21"/>
              </w:rPr>
            </w:pPr>
          </w:p>
          <w:p w14:paraId="6E393A1C">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140EE58A">
            <w:pPr>
              <w:spacing w:line="319" w:lineRule="auto"/>
              <w:rPr>
                <w:rFonts w:ascii="Arial"/>
                <w:sz w:val="21"/>
              </w:rPr>
            </w:pPr>
          </w:p>
          <w:p w14:paraId="641B82F9">
            <w:pPr>
              <w:spacing w:line="320" w:lineRule="auto"/>
              <w:rPr>
                <w:rFonts w:ascii="Arial"/>
                <w:sz w:val="21"/>
              </w:rPr>
            </w:pPr>
          </w:p>
          <w:p w14:paraId="623006FB">
            <w:pPr>
              <w:spacing w:line="320" w:lineRule="auto"/>
              <w:rPr>
                <w:rFonts w:ascii="Arial"/>
                <w:sz w:val="21"/>
              </w:rPr>
            </w:pPr>
          </w:p>
          <w:p w14:paraId="6262EE36">
            <w:pPr>
              <w:pStyle w:val="6"/>
              <w:spacing w:before="98" w:line="188" w:lineRule="auto"/>
              <w:ind w:left="117" w:right="105"/>
              <w:jc w:val="both"/>
            </w:pPr>
            <w:r>
              <w:rPr>
                <w:spacing w:val="26"/>
              </w:rPr>
              <w:t>违反法规标准规定更改或者简化安全</w:t>
            </w:r>
            <w:r>
              <w:rPr>
                <w:spacing w:val="-3"/>
              </w:rPr>
              <w:t>评价、检测检验程序</w:t>
            </w:r>
            <w:r>
              <w:rPr>
                <w:spacing w:val="17"/>
              </w:rPr>
              <w:t>和相关内容，有</w:t>
            </w:r>
            <w:r>
              <w:rPr>
                <w:rFonts w:ascii="宋体" w:hAnsi="宋体" w:eastAsia="宋体" w:cs="宋体"/>
                <w:spacing w:val="17"/>
              </w:rPr>
              <w:t>2</w:t>
            </w:r>
            <w:r>
              <w:rPr>
                <w:spacing w:val="2"/>
              </w:rPr>
              <w:t>处的</w:t>
            </w:r>
          </w:p>
        </w:tc>
        <w:tc>
          <w:tcPr>
            <w:tcW w:w="2894" w:type="dxa"/>
            <w:vAlign w:val="top"/>
          </w:tcPr>
          <w:p w14:paraId="0BAECAA4">
            <w:pPr>
              <w:pStyle w:val="6"/>
              <w:spacing w:before="164" w:line="185" w:lineRule="auto"/>
              <w:ind w:left="118" w:right="103" w:firstLine="9"/>
              <w:jc w:val="both"/>
            </w:pPr>
            <w:r>
              <w:rPr>
                <w:spacing w:val="10"/>
              </w:rPr>
              <w:t>责令改正或者责令限期改</w:t>
            </w:r>
            <w:r>
              <w:rPr>
                <w:spacing w:val="8"/>
              </w:rPr>
              <w:t>正，给予警告，可以并处</w:t>
            </w:r>
            <w:r>
              <w:rPr>
                <w:rFonts w:ascii="宋体" w:hAnsi="宋体" w:eastAsia="宋体" w:cs="宋体"/>
                <w:spacing w:val="10"/>
              </w:rPr>
              <w:t>1</w:t>
            </w:r>
            <w:r>
              <w:rPr>
                <w:spacing w:val="10"/>
              </w:rPr>
              <w:t>万元以下的罚款；逾期</w:t>
            </w:r>
            <w:r>
              <w:rPr>
                <w:spacing w:val="2"/>
              </w:rPr>
              <w:t>未改正的，处</w:t>
            </w:r>
            <w:r>
              <w:rPr>
                <w:rFonts w:ascii="宋体" w:hAnsi="宋体" w:eastAsia="宋体" w:cs="宋体"/>
                <w:spacing w:val="2"/>
              </w:rPr>
              <w:t>1.5</w:t>
            </w:r>
            <w:r>
              <w:rPr>
                <w:spacing w:val="2"/>
              </w:rPr>
              <w:t>万元以</w:t>
            </w:r>
            <w:r>
              <w:rPr>
                <w:spacing w:val="4"/>
              </w:rPr>
              <w:t>上</w:t>
            </w:r>
            <w:r>
              <w:rPr>
                <w:rFonts w:ascii="宋体" w:hAnsi="宋体" w:eastAsia="宋体" w:cs="宋体"/>
                <w:spacing w:val="4"/>
              </w:rPr>
              <w:t>2</w:t>
            </w:r>
            <w:r>
              <w:rPr>
                <w:spacing w:val="4"/>
              </w:rPr>
              <w:t>万元以下的罚款，对</w:t>
            </w:r>
            <w:r>
              <w:rPr>
                <w:spacing w:val="3"/>
              </w:rPr>
              <w:t>相关责任人处</w:t>
            </w:r>
            <w:r>
              <w:rPr>
                <w:rFonts w:ascii="宋体" w:hAnsi="宋体" w:eastAsia="宋体" w:cs="宋体"/>
                <w:spacing w:val="3"/>
              </w:rPr>
              <w:t>1</w:t>
            </w:r>
            <w:r>
              <w:rPr>
                <w:spacing w:val="3"/>
              </w:rPr>
              <w:t>千元以上</w:t>
            </w:r>
            <w:r>
              <w:rPr>
                <w:rFonts w:ascii="宋体" w:hAnsi="宋体" w:eastAsia="宋体" w:cs="宋体"/>
                <w:spacing w:val="9"/>
              </w:rPr>
              <w:t>5</w:t>
            </w:r>
            <w:r>
              <w:rPr>
                <w:spacing w:val="9"/>
              </w:rPr>
              <w:t>千元以下的罚款；情节</w:t>
            </w:r>
            <w:r>
              <w:rPr>
                <w:spacing w:val="2"/>
              </w:rPr>
              <w:t>严重的，处</w:t>
            </w:r>
            <w:r>
              <w:rPr>
                <w:rFonts w:ascii="宋体" w:hAnsi="宋体" w:eastAsia="宋体" w:cs="宋体"/>
                <w:spacing w:val="2"/>
              </w:rPr>
              <w:t>1.5</w:t>
            </w:r>
            <w:r>
              <w:rPr>
                <w:spacing w:val="2"/>
              </w:rPr>
              <w:t>万元以上</w:t>
            </w:r>
            <w:r>
              <w:rPr>
                <w:rFonts w:ascii="宋体" w:hAnsi="宋体" w:eastAsia="宋体" w:cs="宋体"/>
                <w:spacing w:val="9"/>
              </w:rPr>
              <w:t>2</w:t>
            </w:r>
            <w:r>
              <w:rPr>
                <w:spacing w:val="9"/>
              </w:rPr>
              <w:t>万元以下的罚款，对相</w:t>
            </w:r>
            <w:r>
              <w:rPr>
                <w:spacing w:val="8"/>
              </w:rPr>
              <w:t>关责任人处</w:t>
            </w:r>
            <w:r>
              <w:rPr>
                <w:rFonts w:ascii="宋体" w:hAnsi="宋体" w:eastAsia="宋体" w:cs="宋体"/>
                <w:spacing w:val="8"/>
              </w:rPr>
              <w:t>5</w:t>
            </w:r>
            <w:r>
              <w:rPr>
                <w:spacing w:val="8"/>
              </w:rPr>
              <w:t>千元以上</w:t>
            </w:r>
            <w:r>
              <w:rPr>
                <w:rFonts w:ascii="宋体" w:hAnsi="宋体" w:eastAsia="宋体" w:cs="宋体"/>
                <w:spacing w:val="8"/>
              </w:rPr>
              <w:t>1</w:t>
            </w:r>
            <w:r>
              <w:rPr>
                <w:spacing w:val="7"/>
              </w:rPr>
              <w:t>万元以下的罚款</w:t>
            </w:r>
          </w:p>
        </w:tc>
        <w:tc>
          <w:tcPr>
            <w:tcW w:w="811" w:type="dxa"/>
            <w:vMerge w:val="continue"/>
            <w:tcBorders>
              <w:top w:val="nil"/>
            </w:tcBorders>
            <w:vAlign w:val="top"/>
          </w:tcPr>
          <w:p w14:paraId="3EC88F36">
            <w:pPr>
              <w:rPr>
                <w:rFonts w:ascii="Arial"/>
                <w:sz w:val="21"/>
              </w:rPr>
            </w:pPr>
          </w:p>
        </w:tc>
      </w:tr>
    </w:tbl>
    <w:p w14:paraId="378BC847">
      <w:pPr>
        <w:pStyle w:val="2"/>
      </w:pPr>
    </w:p>
    <w:p w14:paraId="157F570A">
      <w:pPr>
        <w:sectPr>
          <w:footerReference r:id="rId226" w:type="default"/>
          <w:pgSz w:w="16839" w:h="11906"/>
          <w:pgMar w:top="1012" w:right="821" w:bottom="666" w:left="901" w:header="0" w:footer="388" w:gutter="0"/>
          <w:cols w:space="720" w:num="1"/>
        </w:sectPr>
      </w:pPr>
    </w:p>
    <w:p w14:paraId="4703394B">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3F7F5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6DA95D5">
            <w:pPr>
              <w:spacing w:before="222" w:line="241" w:lineRule="auto"/>
              <w:ind w:left="131"/>
              <w:outlineLvl w:val="0"/>
              <w:rPr>
                <w:rFonts w:ascii="黑体" w:hAnsi="黑体" w:eastAsia="黑体" w:cs="黑体"/>
                <w:sz w:val="28"/>
                <w:szCs w:val="28"/>
              </w:rPr>
            </w:pPr>
            <w:bookmarkStart w:id="731" w:name="bookmark614"/>
            <w:bookmarkEnd w:id="731"/>
            <w:bookmarkStart w:id="732" w:name="bookmark459"/>
            <w:bookmarkEnd w:id="732"/>
            <w:r>
              <w:rPr>
                <w:rFonts w:ascii="黑体" w:hAnsi="黑体" w:eastAsia="黑体" w:cs="黑体"/>
                <w:spacing w:val="-2"/>
                <w:sz w:val="28"/>
                <w:szCs w:val="28"/>
              </w:rPr>
              <w:t>序号</w:t>
            </w:r>
          </w:p>
        </w:tc>
        <w:tc>
          <w:tcPr>
            <w:tcW w:w="1440" w:type="dxa"/>
            <w:vAlign w:val="top"/>
          </w:tcPr>
          <w:p w14:paraId="617D1359">
            <w:pPr>
              <w:spacing w:before="221"/>
              <w:ind w:left="163"/>
              <w:outlineLvl w:val="1"/>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82D7547">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356B74C1">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029E4A72">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7E1454D">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5F73B6F">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87DCD95">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01B0F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818" w:type="dxa"/>
            <w:vAlign w:val="top"/>
          </w:tcPr>
          <w:p w14:paraId="58B94560">
            <w:pPr>
              <w:rPr>
                <w:rFonts w:ascii="Arial"/>
                <w:sz w:val="21"/>
              </w:rPr>
            </w:pPr>
          </w:p>
        </w:tc>
        <w:tc>
          <w:tcPr>
            <w:tcW w:w="1440" w:type="dxa"/>
            <w:vAlign w:val="top"/>
          </w:tcPr>
          <w:p w14:paraId="2FB84861">
            <w:pPr>
              <w:rPr>
                <w:rFonts w:ascii="Arial"/>
                <w:sz w:val="21"/>
              </w:rPr>
            </w:pPr>
          </w:p>
        </w:tc>
        <w:tc>
          <w:tcPr>
            <w:tcW w:w="3202" w:type="dxa"/>
            <w:vAlign w:val="top"/>
          </w:tcPr>
          <w:p w14:paraId="433B4892">
            <w:pPr>
              <w:rPr>
                <w:rFonts w:ascii="Arial"/>
                <w:sz w:val="21"/>
              </w:rPr>
            </w:pPr>
          </w:p>
        </w:tc>
        <w:tc>
          <w:tcPr>
            <w:tcW w:w="2859" w:type="dxa"/>
            <w:vAlign w:val="top"/>
          </w:tcPr>
          <w:p w14:paraId="117216AF">
            <w:pPr>
              <w:rPr>
                <w:rFonts w:ascii="Arial"/>
                <w:sz w:val="21"/>
              </w:rPr>
            </w:pPr>
          </w:p>
        </w:tc>
        <w:tc>
          <w:tcPr>
            <w:tcW w:w="803" w:type="dxa"/>
            <w:vAlign w:val="top"/>
          </w:tcPr>
          <w:p w14:paraId="2B715903">
            <w:pPr>
              <w:spacing w:line="248" w:lineRule="auto"/>
              <w:rPr>
                <w:rFonts w:ascii="Arial"/>
                <w:sz w:val="21"/>
              </w:rPr>
            </w:pPr>
          </w:p>
          <w:p w14:paraId="709E54BD">
            <w:pPr>
              <w:spacing w:line="248" w:lineRule="auto"/>
              <w:rPr>
                <w:rFonts w:ascii="Arial"/>
                <w:sz w:val="21"/>
              </w:rPr>
            </w:pPr>
          </w:p>
          <w:p w14:paraId="5B85BFD2">
            <w:pPr>
              <w:spacing w:line="248" w:lineRule="auto"/>
              <w:rPr>
                <w:rFonts w:ascii="Arial"/>
                <w:sz w:val="21"/>
              </w:rPr>
            </w:pPr>
          </w:p>
          <w:p w14:paraId="7E5C548F">
            <w:pPr>
              <w:spacing w:line="248" w:lineRule="auto"/>
              <w:rPr>
                <w:rFonts w:ascii="Arial"/>
                <w:sz w:val="21"/>
              </w:rPr>
            </w:pPr>
          </w:p>
          <w:p w14:paraId="2BDE7555">
            <w:pPr>
              <w:spacing w:line="249" w:lineRule="auto"/>
              <w:rPr>
                <w:rFonts w:ascii="Arial"/>
                <w:sz w:val="21"/>
              </w:rPr>
            </w:pPr>
          </w:p>
          <w:p w14:paraId="7F2C0668">
            <w:pPr>
              <w:spacing w:line="249" w:lineRule="auto"/>
              <w:rPr>
                <w:rFonts w:ascii="Arial"/>
                <w:sz w:val="21"/>
              </w:rPr>
            </w:pPr>
          </w:p>
          <w:p w14:paraId="52EE9CBF">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1543F281">
            <w:pPr>
              <w:spacing w:line="275" w:lineRule="auto"/>
              <w:rPr>
                <w:rFonts w:ascii="Arial"/>
                <w:sz w:val="21"/>
              </w:rPr>
            </w:pPr>
          </w:p>
          <w:p w14:paraId="69049C35">
            <w:pPr>
              <w:spacing w:line="275" w:lineRule="auto"/>
              <w:rPr>
                <w:rFonts w:ascii="Arial"/>
                <w:sz w:val="21"/>
              </w:rPr>
            </w:pPr>
          </w:p>
          <w:p w14:paraId="7B64A636">
            <w:pPr>
              <w:spacing w:line="275" w:lineRule="auto"/>
              <w:rPr>
                <w:rFonts w:ascii="Arial"/>
                <w:sz w:val="21"/>
              </w:rPr>
            </w:pPr>
          </w:p>
          <w:p w14:paraId="115AC041">
            <w:pPr>
              <w:pStyle w:val="6"/>
              <w:spacing w:before="98" w:line="182" w:lineRule="auto"/>
              <w:ind w:left="117"/>
            </w:pPr>
            <w:r>
              <w:rPr>
                <w:spacing w:val="26"/>
              </w:rPr>
              <w:t>违反法规标准规定</w:t>
            </w:r>
          </w:p>
          <w:p w14:paraId="77AB0876">
            <w:pPr>
              <w:pStyle w:val="6"/>
              <w:spacing w:line="182" w:lineRule="auto"/>
              <w:ind w:left="123"/>
              <w:outlineLvl w:val="1"/>
            </w:pPr>
            <w:r>
              <w:rPr>
                <w:spacing w:val="25"/>
              </w:rPr>
              <w:t>更改或者简化安全</w:t>
            </w:r>
          </w:p>
          <w:p w14:paraId="55BFAC88">
            <w:pPr>
              <w:pStyle w:val="6"/>
              <w:spacing w:line="191" w:lineRule="auto"/>
              <w:ind w:left="117" w:right="105"/>
              <w:jc w:val="both"/>
            </w:pPr>
            <w:r>
              <w:rPr>
                <w:spacing w:val="-3"/>
              </w:rPr>
              <w:t>评价、检测检验程序</w:t>
            </w:r>
            <w:r>
              <w:rPr>
                <w:spacing w:val="17"/>
              </w:rPr>
              <w:t>和相关内容，有</w:t>
            </w:r>
            <w:r>
              <w:rPr>
                <w:rFonts w:ascii="宋体" w:hAnsi="宋体" w:eastAsia="宋体" w:cs="宋体"/>
                <w:spacing w:val="17"/>
              </w:rPr>
              <w:t>3</w:t>
            </w:r>
            <w:r>
              <w:rPr>
                <w:spacing w:val="6"/>
              </w:rPr>
              <w:t>处以上的</w:t>
            </w:r>
          </w:p>
        </w:tc>
        <w:tc>
          <w:tcPr>
            <w:tcW w:w="2894" w:type="dxa"/>
            <w:vAlign w:val="top"/>
          </w:tcPr>
          <w:p w14:paraId="1320860E">
            <w:pPr>
              <w:pStyle w:val="6"/>
              <w:spacing w:before="19" w:line="181" w:lineRule="auto"/>
              <w:ind w:left="120" w:right="103" w:firstLine="7"/>
              <w:jc w:val="both"/>
            </w:pPr>
            <w:r>
              <w:rPr>
                <w:spacing w:val="10"/>
              </w:rPr>
              <w:t>责令改正或者责令限期改</w:t>
            </w:r>
            <w:r>
              <w:rPr>
                <w:spacing w:val="8"/>
              </w:rPr>
              <w:t>正，给予警告，可以并处</w:t>
            </w:r>
            <w:r>
              <w:rPr>
                <w:rFonts w:ascii="宋体" w:hAnsi="宋体" w:eastAsia="宋体" w:cs="宋体"/>
                <w:spacing w:val="9"/>
              </w:rPr>
              <w:t>1</w:t>
            </w:r>
            <w:r>
              <w:rPr>
                <w:spacing w:val="9"/>
              </w:rPr>
              <w:t>万元以下的罚款；逾期</w:t>
            </w:r>
            <w:r>
              <w:rPr>
                <w:spacing w:val="4"/>
              </w:rPr>
              <w:t>未改正的，处</w:t>
            </w:r>
            <w:r>
              <w:rPr>
                <w:rFonts w:ascii="宋体" w:hAnsi="宋体" w:eastAsia="宋体" w:cs="宋体"/>
                <w:spacing w:val="4"/>
              </w:rPr>
              <w:t>2</w:t>
            </w:r>
            <w:r>
              <w:rPr>
                <w:spacing w:val="4"/>
              </w:rPr>
              <w:t>万元以上</w:t>
            </w:r>
            <w:r>
              <w:rPr>
                <w:rFonts w:ascii="宋体" w:hAnsi="宋体" w:eastAsia="宋体" w:cs="宋体"/>
                <w:spacing w:val="9"/>
              </w:rPr>
              <w:t>3</w:t>
            </w:r>
            <w:r>
              <w:rPr>
                <w:spacing w:val="9"/>
              </w:rPr>
              <w:t>万元以下的罚款，对相</w:t>
            </w:r>
            <w:r>
              <w:rPr>
                <w:spacing w:val="8"/>
              </w:rPr>
              <w:t>关责任人处</w:t>
            </w:r>
            <w:r>
              <w:rPr>
                <w:rFonts w:ascii="宋体" w:hAnsi="宋体" w:eastAsia="宋体" w:cs="宋体"/>
                <w:spacing w:val="8"/>
              </w:rPr>
              <w:t>1</w:t>
            </w:r>
            <w:r>
              <w:rPr>
                <w:spacing w:val="8"/>
              </w:rPr>
              <w:t>千元以上</w:t>
            </w:r>
            <w:r>
              <w:rPr>
                <w:rFonts w:ascii="宋体" w:hAnsi="宋体" w:eastAsia="宋体" w:cs="宋体"/>
                <w:spacing w:val="8"/>
              </w:rPr>
              <w:t>5</w:t>
            </w:r>
            <w:r>
              <w:rPr>
                <w:spacing w:val="8"/>
              </w:rPr>
              <w:t>千元以下的罚款；情节严</w:t>
            </w:r>
            <w:r>
              <w:rPr>
                <w:spacing w:val="1"/>
              </w:rPr>
              <w:t>重的，处</w:t>
            </w:r>
            <w:r>
              <w:rPr>
                <w:rFonts w:ascii="宋体" w:hAnsi="宋体" w:eastAsia="宋体" w:cs="宋体"/>
                <w:spacing w:val="1"/>
              </w:rPr>
              <w:t>2</w:t>
            </w:r>
            <w:r>
              <w:rPr>
                <w:spacing w:val="1"/>
              </w:rPr>
              <w:t>万元以上</w:t>
            </w:r>
            <w:r>
              <w:rPr>
                <w:rFonts w:ascii="宋体" w:hAnsi="宋体" w:eastAsia="宋体" w:cs="宋体"/>
                <w:spacing w:val="1"/>
              </w:rPr>
              <w:t>3</w:t>
            </w:r>
            <w:r>
              <w:rPr>
                <w:spacing w:val="1"/>
              </w:rPr>
              <w:t>万</w:t>
            </w:r>
            <w:r>
              <w:rPr>
                <w:spacing w:val="8"/>
              </w:rPr>
              <w:t>元以下的罚款，对相关责</w:t>
            </w:r>
            <w:r>
              <w:rPr>
                <w:spacing w:val="2"/>
              </w:rPr>
              <w:t>任人处</w:t>
            </w:r>
            <w:r>
              <w:rPr>
                <w:rFonts w:ascii="宋体" w:hAnsi="宋体" w:eastAsia="宋体" w:cs="宋体"/>
                <w:spacing w:val="2"/>
              </w:rPr>
              <w:t>5</w:t>
            </w:r>
            <w:r>
              <w:rPr>
                <w:spacing w:val="2"/>
              </w:rPr>
              <w:t>千元以上</w:t>
            </w:r>
            <w:r>
              <w:rPr>
                <w:rFonts w:ascii="宋体" w:hAnsi="宋体" w:eastAsia="宋体" w:cs="宋体"/>
                <w:spacing w:val="2"/>
              </w:rPr>
              <w:t>1</w:t>
            </w:r>
            <w:r>
              <w:rPr>
                <w:spacing w:val="2"/>
              </w:rPr>
              <w:t>万元</w:t>
            </w:r>
            <w:r>
              <w:rPr>
                <w:spacing w:val="6"/>
              </w:rPr>
              <w:t>以下的罚款</w:t>
            </w:r>
          </w:p>
        </w:tc>
        <w:tc>
          <w:tcPr>
            <w:tcW w:w="811" w:type="dxa"/>
            <w:vAlign w:val="top"/>
          </w:tcPr>
          <w:p w14:paraId="4BBDF2D1">
            <w:pPr>
              <w:rPr>
                <w:rFonts w:ascii="Arial"/>
                <w:sz w:val="21"/>
              </w:rPr>
            </w:pPr>
          </w:p>
        </w:tc>
      </w:tr>
      <w:tr w14:paraId="371D8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4" w:hRule="atLeast"/>
        </w:trPr>
        <w:tc>
          <w:tcPr>
            <w:tcW w:w="818" w:type="dxa"/>
            <w:vMerge w:val="restart"/>
            <w:tcBorders>
              <w:bottom w:val="nil"/>
            </w:tcBorders>
            <w:vAlign w:val="top"/>
          </w:tcPr>
          <w:p w14:paraId="433C5C93">
            <w:pPr>
              <w:spacing w:line="256" w:lineRule="auto"/>
              <w:rPr>
                <w:rFonts w:ascii="Arial"/>
                <w:sz w:val="21"/>
              </w:rPr>
            </w:pPr>
          </w:p>
          <w:p w14:paraId="04649B3F">
            <w:pPr>
              <w:spacing w:line="256" w:lineRule="auto"/>
              <w:rPr>
                <w:rFonts w:ascii="Arial"/>
                <w:sz w:val="21"/>
              </w:rPr>
            </w:pPr>
          </w:p>
          <w:p w14:paraId="5BA1B2DF">
            <w:pPr>
              <w:spacing w:line="256" w:lineRule="auto"/>
              <w:rPr>
                <w:rFonts w:ascii="Arial"/>
                <w:sz w:val="21"/>
              </w:rPr>
            </w:pPr>
          </w:p>
          <w:p w14:paraId="6545ACE6">
            <w:pPr>
              <w:spacing w:line="256" w:lineRule="auto"/>
              <w:rPr>
                <w:rFonts w:ascii="Arial"/>
                <w:sz w:val="21"/>
              </w:rPr>
            </w:pPr>
          </w:p>
          <w:p w14:paraId="46AC66AD">
            <w:pPr>
              <w:spacing w:line="256" w:lineRule="auto"/>
              <w:rPr>
                <w:rFonts w:ascii="Arial"/>
                <w:sz w:val="21"/>
              </w:rPr>
            </w:pPr>
          </w:p>
          <w:p w14:paraId="714B077E">
            <w:pPr>
              <w:spacing w:line="256" w:lineRule="auto"/>
              <w:rPr>
                <w:rFonts w:ascii="Arial"/>
                <w:sz w:val="21"/>
              </w:rPr>
            </w:pPr>
          </w:p>
          <w:p w14:paraId="549479D9">
            <w:pPr>
              <w:spacing w:line="256" w:lineRule="auto"/>
              <w:rPr>
                <w:rFonts w:ascii="Arial"/>
                <w:sz w:val="21"/>
              </w:rPr>
            </w:pPr>
          </w:p>
          <w:p w14:paraId="0FF39B16">
            <w:pPr>
              <w:spacing w:line="256" w:lineRule="auto"/>
              <w:rPr>
                <w:rFonts w:ascii="Arial"/>
                <w:sz w:val="21"/>
              </w:rPr>
            </w:pPr>
          </w:p>
          <w:p w14:paraId="4A9F4221">
            <w:pPr>
              <w:spacing w:line="256" w:lineRule="auto"/>
              <w:rPr>
                <w:rFonts w:ascii="Arial"/>
                <w:sz w:val="21"/>
              </w:rPr>
            </w:pPr>
          </w:p>
          <w:p w14:paraId="69278650">
            <w:pPr>
              <w:spacing w:line="256" w:lineRule="auto"/>
              <w:rPr>
                <w:rFonts w:ascii="Arial"/>
                <w:sz w:val="21"/>
              </w:rPr>
            </w:pPr>
          </w:p>
          <w:p w14:paraId="5C606701">
            <w:pPr>
              <w:spacing w:line="256" w:lineRule="auto"/>
              <w:rPr>
                <w:rFonts w:ascii="Arial"/>
                <w:sz w:val="21"/>
              </w:rPr>
            </w:pPr>
          </w:p>
          <w:p w14:paraId="7B1EE0E3">
            <w:pPr>
              <w:spacing w:before="75" w:line="185" w:lineRule="auto"/>
              <w:ind w:left="146"/>
              <w:rPr>
                <w:rFonts w:ascii="仿宋" w:hAnsi="仿宋" w:eastAsia="仿宋" w:cs="仿宋"/>
                <w:sz w:val="23"/>
                <w:szCs w:val="23"/>
              </w:rPr>
            </w:pPr>
            <w:r>
              <w:rPr>
                <w:rFonts w:ascii="仿宋" w:hAnsi="仿宋" w:eastAsia="仿宋" w:cs="仿宋"/>
                <w:sz w:val="23"/>
                <w:szCs w:val="23"/>
              </w:rPr>
              <w:t>226</w:t>
            </w:r>
          </w:p>
        </w:tc>
        <w:tc>
          <w:tcPr>
            <w:tcW w:w="1440" w:type="dxa"/>
            <w:vMerge w:val="restart"/>
            <w:tcBorders>
              <w:bottom w:val="nil"/>
            </w:tcBorders>
            <w:vAlign w:val="top"/>
          </w:tcPr>
          <w:p w14:paraId="0B508916">
            <w:pPr>
              <w:spacing w:line="259" w:lineRule="auto"/>
              <w:rPr>
                <w:rFonts w:ascii="Arial"/>
                <w:sz w:val="21"/>
              </w:rPr>
            </w:pPr>
          </w:p>
          <w:p w14:paraId="762AF75B">
            <w:pPr>
              <w:spacing w:line="259" w:lineRule="auto"/>
              <w:rPr>
                <w:rFonts w:ascii="Arial"/>
                <w:sz w:val="21"/>
              </w:rPr>
            </w:pPr>
          </w:p>
          <w:p w14:paraId="634BA73C">
            <w:pPr>
              <w:spacing w:line="260" w:lineRule="auto"/>
              <w:rPr>
                <w:rFonts w:ascii="Arial"/>
                <w:sz w:val="21"/>
              </w:rPr>
            </w:pPr>
          </w:p>
          <w:p w14:paraId="34ABB78D">
            <w:pPr>
              <w:spacing w:line="260" w:lineRule="auto"/>
              <w:rPr>
                <w:rFonts w:ascii="Arial"/>
                <w:sz w:val="21"/>
              </w:rPr>
            </w:pPr>
          </w:p>
          <w:p w14:paraId="1CB34F69">
            <w:pPr>
              <w:spacing w:line="260" w:lineRule="auto"/>
              <w:rPr>
                <w:rFonts w:ascii="Arial"/>
                <w:sz w:val="21"/>
              </w:rPr>
            </w:pPr>
          </w:p>
          <w:p w14:paraId="6A301A21">
            <w:pPr>
              <w:spacing w:line="260" w:lineRule="auto"/>
              <w:rPr>
                <w:rFonts w:ascii="Arial"/>
                <w:sz w:val="21"/>
              </w:rPr>
            </w:pPr>
          </w:p>
          <w:p w14:paraId="6AF65263">
            <w:pPr>
              <w:pStyle w:val="6"/>
              <w:spacing w:before="99" w:line="185" w:lineRule="auto"/>
              <w:ind w:left="115" w:right="111" w:firstLine="5"/>
              <w:jc w:val="both"/>
            </w:pPr>
            <w:r>
              <w:rPr>
                <w:spacing w:val="10"/>
              </w:rPr>
              <w:t>安全评价检</w:t>
            </w:r>
            <w:r>
              <w:rPr>
                <w:spacing w:val="11"/>
              </w:rPr>
              <w:t>测检验机构未在开展现场技术服务前七个工作</w:t>
            </w:r>
            <w:r>
              <w:rPr>
                <w:spacing w:val="2"/>
              </w:rPr>
              <w:t>日内，书面</w:t>
            </w:r>
            <w:r>
              <w:rPr>
                <w:spacing w:val="11"/>
              </w:rPr>
              <w:t>告知项目实施地资质认</w:t>
            </w:r>
            <w:r>
              <w:rPr>
                <w:spacing w:val="6"/>
              </w:rPr>
              <w:t>可机关的</w:t>
            </w:r>
          </w:p>
        </w:tc>
        <w:tc>
          <w:tcPr>
            <w:tcW w:w="3202" w:type="dxa"/>
            <w:vMerge w:val="restart"/>
            <w:tcBorders>
              <w:bottom w:val="nil"/>
            </w:tcBorders>
            <w:vAlign w:val="top"/>
          </w:tcPr>
          <w:p w14:paraId="2EC80039">
            <w:pPr>
              <w:pStyle w:val="6"/>
              <w:spacing w:before="28" w:line="186" w:lineRule="auto"/>
              <w:ind w:left="98" w:right="111"/>
              <w:jc w:val="both"/>
            </w:pPr>
            <w:r>
              <w:rPr>
                <w:spacing w:val="18"/>
              </w:rPr>
              <w:t>【部门规章】《安全评价检测检验机构管理办法》第十</w:t>
            </w:r>
            <w:r>
              <w:rPr>
                <w:spacing w:val="14"/>
              </w:rPr>
              <w:t>九条：安全评价检测检验机</w:t>
            </w:r>
            <w:r>
              <w:rPr>
                <w:spacing w:val="18"/>
              </w:rPr>
              <w:t>构应当在开展现场技术服务</w:t>
            </w:r>
            <w:r>
              <w:rPr>
                <w:spacing w:val="14"/>
              </w:rPr>
              <w:t>前七个工作日内，书面告知</w:t>
            </w:r>
            <w:r>
              <w:rPr>
                <w:spacing w:val="1"/>
              </w:rPr>
              <w:t>（附件</w:t>
            </w:r>
            <w:r>
              <w:rPr>
                <w:rFonts w:ascii="宋体" w:hAnsi="宋体" w:eastAsia="宋体" w:cs="宋体"/>
                <w:spacing w:val="1"/>
              </w:rPr>
              <w:t>4</w:t>
            </w:r>
            <w:r>
              <w:rPr>
                <w:spacing w:val="1"/>
              </w:rPr>
              <w:t>）项目实施地资质认</w:t>
            </w:r>
            <w:r>
              <w:rPr>
                <w:spacing w:val="15"/>
              </w:rPr>
              <w:t>可机关，接受资质认可机关</w:t>
            </w:r>
            <w:r>
              <w:rPr>
                <w:spacing w:val="7"/>
              </w:rPr>
              <w:t>及其下级部门的监督抽查。</w:t>
            </w:r>
          </w:p>
        </w:tc>
        <w:tc>
          <w:tcPr>
            <w:tcW w:w="2859" w:type="dxa"/>
            <w:vMerge w:val="restart"/>
            <w:tcBorders>
              <w:bottom w:val="nil"/>
            </w:tcBorders>
            <w:vAlign w:val="top"/>
          </w:tcPr>
          <w:p w14:paraId="4DC4AAAD">
            <w:pPr>
              <w:pStyle w:val="6"/>
              <w:spacing w:before="26" w:line="184" w:lineRule="auto"/>
              <w:ind w:left="115" w:right="38" w:hanging="18"/>
              <w:jc w:val="both"/>
            </w:pPr>
            <w:r>
              <w:rPr>
                <w:spacing w:val="10"/>
              </w:rPr>
              <w:t>【部门规章】《安全评价检测检验机构管理办法》</w:t>
            </w:r>
            <w:r>
              <w:rPr>
                <w:spacing w:val="8"/>
              </w:rPr>
              <w:t>第三十条第四项：安全评价检测检验机构有下列情形之一的，责令改正或者</w:t>
            </w:r>
            <w:r>
              <w:rPr>
                <w:spacing w:val="-6"/>
              </w:rPr>
              <w:t>责令限期改正，给予警告，</w:t>
            </w:r>
            <w:r>
              <w:rPr>
                <w:spacing w:val="8"/>
              </w:rPr>
              <w:t>可以并处一万元以下的罚</w:t>
            </w:r>
            <w:r>
              <w:rPr>
                <w:spacing w:val="6"/>
              </w:rPr>
              <w:t>款；逾期未改正的，处一</w:t>
            </w:r>
            <w:r>
              <w:rPr>
                <w:spacing w:val="8"/>
              </w:rPr>
              <w:t>万元以上三万元以下的罚款，对相关责任人处一千</w:t>
            </w:r>
            <w:r>
              <w:rPr>
                <w:spacing w:val="32"/>
              </w:rPr>
              <w:t>元以上五千元以下的罚</w:t>
            </w:r>
            <w:r>
              <w:rPr>
                <w:spacing w:val="8"/>
              </w:rPr>
              <w:t>款；情节严重的，处一万</w:t>
            </w:r>
            <w:r>
              <w:rPr>
                <w:spacing w:val="32"/>
              </w:rPr>
              <w:t>元以上三万元以下的罚</w:t>
            </w:r>
            <w:r>
              <w:rPr>
                <w:spacing w:val="8"/>
              </w:rPr>
              <w:t>款，对相关责任人处五千</w:t>
            </w:r>
            <w:r>
              <w:rPr>
                <w:spacing w:val="32"/>
              </w:rPr>
              <w:t>元以上一万元以下的罚</w:t>
            </w:r>
            <w:r>
              <w:rPr>
                <w:spacing w:val="8"/>
              </w:rPr>
              <w:t>款</w:t>
            </w:r>
            <w:r>
              <w:rPr>
                <w:spacing w:val="10"/>
              </w:rPr>
              <w:t>：（</w:t>
            </w:r>
            <w:r>
              <w:rPr>
                <w:spacing w:val="8"/>
              </w:rPr>
              <w:t>四）未在开展现场</w:t>
            </w:r>
            <w:r>
              <w:rPr>
                <w:spacing w:val="32"/>
              </w:rPr>
              <w:t>技术服务前七个工作日</w:t>
            </w:r>
            <w:r>
              <w:rPr>
                <w:spacing w:val="8"/>
              </w:rPr>
              <w:t>内，书面告知项目实施地</w:t>
            </w:r>
            <w:r>
              <w:rPr>
                <w:spacing w:val="2"/>
              </w:rPr>
              <w:t>资质认可机关的；</w:t>
            </w:r>
          </w:p>
        </w:tc>
        <w:tc>
          <w:tcPr>
            <w:tcW w:w="803" w:type="dxa"/>
            <w:vAlign w:val="top"/>
          </w:tcPr>
          <w:p w14:paraId="12A0891B">
            <w:pPr>
              <w:spacing w:line="251" w:lineRule="auto"/>
              <w:rPr>
                <w:rFonts w:ascii="Arial"/>
                <w:sz w:val="21"/>
              </w:rPr>
            </w:pPr>
          </w:p>
          <w:p w14:paraId="6555A48D">
            <w:pPr>
              <w:spacing w:line="252" w:lineRule="auto"/>
              <w:rPr>
                <w:rFonts w:ascii="Arial"/>
                <w:sz w:val="21"/>
              </w:rPr>
            </w:pPr>
          </w:p>
          <w:p w14:paraId="0DF3C8F8">
            <w:pPr>
              <w:spacing w:line="252" w:lineRule="auto"/>
              <w:rPr>
                <w:rFonts w:ascii="Arial"/>
                <w:sz w:val="21"/>
              </w:rPr>
            </w:pPr>
          </w:p>
          <w:p w14:paraId="4D2EF7ED">
            <w:pPr>
              <w:spacing w:line="252" w:lineRule="auto"/>
              <w:rPr>
                <w:rFonts w:ascii="Arial"/>
                <w:sz w:val="21"/>
              </w:rPr>
            </w:pPr>
          </w:p>
          <w:p w14:paraId="5B4903B3">
            <w:pPr>
              <w:spacing w:line="252" w:lineRule="auto"/>
              <w:rPr>
                <w:rFonts w:ascii="Arial"/>
                <w:sz w:val="21"/>
              </w:rPr>
            </w:pPr>
          </w:p>
          <w:p w14:paraId="39474109">
            <w:pPr>
              <w:spacing w:line="252" w:lineRule="auto"/>
              <w:rPr>
                <w:rFonts w:ascii="Arial"/>
                <w:sz w:val="21"/>
              </w:rPr>
            </w:pPr>
          </w:p>
          <w:p w14:paraId="561134E5">
            <w:pPr>
              <w:spacing w:line="252" w:lineRule="auto"/>
              <w:rPr>
                <w:rFonts w:ascii="Arial"/>
                <w:sz w:val="21"/>
              </w:rPr>
            </w:pPr>
          </w:p>
          <w:p w14:paraId="3E560883">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E966D28">
            <w:pPr>
              <w:spacing w:line="274" w:lineRule="auto"/>
              <w:rPr>
                <w:rFonts w:ascii="Arial"/>
                <w:sz w:val="21"/>
              </w:rPr>
            </w:pPr>
          </w:p>
          <w:p w14:paraId="43D90B37">
            <w:pPr>
              <w:spacing w:line="274" w:lineRule="auto"/>
              <w:rPr>
                <w:rFonts w:ascii="Arial"/>
                <w:sz w:val="21"/>
              </w:rPr>
            </w:pPr>
          </w:p>
          <w:p w14:paraId="2313C87C">
            <w:pPr>
              <w:spacing w:line="275" w:lineRule="auto"/>
              <w:rPr>
                <w:rFonts w:ascii="Arial"/>
                <w:sz w:val="21"/>
              </w:rPr>
            </w:pPr>
          </w:p>
          <w:p w14:paraId="0D950A31">
            <w:pPr>
              <w:spacing w:line="275" w:lineRule="auto"/>
              <w:rPr>
                <w:rFonts w:ascii="Arial"/>
                <w:sz w:val="21"/>
              </w:rPr>
            </w:pPr>
          </w:p>
          <w:p w14:paraId="1C6DB099">
            <w:pPr>
              <w:pStyle w:val="6"/>
              <w:spacing w:before="98" w:line="188" w:lineRule="auto"/>
              <w:ind w:left="117" w:right="65"/>
              <w:jc w:val="both"/>
            </w:pPr>
            <w:r>
              <w:rPr>
                <w:spacing w:val="26"/>
              </w:rPr>
              <w:t>在开展现场技术服</w:t>
            </w:r>
            <w:r>
              <w:rPr>
                <w:spacing w:val="2"/>
              </w:rPr>
              <w:t>务前七个工作日内，</w:t>
            </w:r>
            <w:r>
              <w:rPr>
                <w:spacing w:val="26"/>
              </w:rPr>
              <w:t>未书面告知项目实施地资质认可机关</w:t>
            </w:r>
            <w:r>
              <w:rPr>
                <w:rFonts w:ascii="宋体" w:hAnsi="宋体" w:eastAsia="宋体" w:cs="宋体"/>
                <w:spacing w:val="-4"/>
              </w:rPr>
              <w:t>1</w:t>
            </w:r>
            <w:r>
              <w:rPr>
                <w:spacing w:val="-4"/>
              </w:rPr>
              <w:t>次的</w:t>
            </w:r>
          </w:p>
        </w:tc>
        <w:tc>
          <w:tcPr>
            <w:tcW w:w="2894" w:type="dxa"/>
            <w:vAlign w:val="top"/>
          </w:tcPr>
          <w:p w14:paraId="721979BB">
            <w:pPr>
              <w:pStyle w:val="6"/>
              <w:spacing w:before="302" w:line="185" w:lineRule="auto"/>
              <w:ind w:left="120" w:right="104" w:firstLine="7"/>
              <w:jc w:val="both"/>
            </w:pPr>
            <w:r>
              <w:rPr>
                <w:spacing w:val="10"/>
              </w:rPr>
              <w:t>责令改正或者责令限期改</w:t>
            </w:r>
            <w:r>
              <w:rPr>
                <w:spacing w:val="8"/>
              </w:rPr>
              <w:t>正，给予警告，可以并处</w:t>
            </w:r>
            <w:r>
              <w:rPr>
                <w:rFonts w:ascii="宋体" w:hAnsi="宋体" w:eastAsia="宋体" w:cs="宋体"/>
                <w:spacing w:val="9"/>
              </w:rPr>
              <w:t>1</w:t>
            </w:r>
            <w:r>
              <w:rPr>
                <w:spacing w:val="9"/>
              </w:rPr>
              <w:t>万元以下的罚款；逾期</w:t>
            </w:r>
            <w:r>
              <w:rPr>
                <w:spacing w:val="3"/>
              </w:rPr>
              <w:t>未改正的，处</w:t>
            </w:r>
            <w:r>
              <w:rPr>
                <w:rFonts w:ascii="宋体" w:hAnsi="宋体" w:eastAsia="宋体" w:cs="宋体"/>
                <w:spacing w:val="3"/>
              </w:rPr>
              <w:t>1</w:t>
            </w:r>
            <w:r>
              <w:rPr>
                <w:spacing w:val="3"/>
              </w:rPr>
              <w:t>万元以上</w:t>
            </w:r>
            <w:r>
              <w:rPr>
                <w:rFonts w:ascii="宋体" w:hAnsi="宋体" w:eastAsia="宋体" w:cs="宋体"/>
                <w:spacing w:val="6"/>
              </w:rPr>
              <w:t>1.5</w:t>
            </w:r>
            <w:r>
              <w:rPr>
                <w:spacing w:val="6"/>
              </w:rPr>
              <w:t>万元以下的罚款，对</w:t>
            </w:r>
            <w:r>
              <w:rPr>
                <w:spacing w:val="3"/>
              </w:rPr>
              <w:t>相关责任人处</w:t>
            </w:r>
            <w:r>
              <w:rPr>
                <w:rFonts w:ascii="宋体" w:hAnsi="宋体" w:eastAsia="宋体" w:cs="宋体"/>
                <w:spacing w:val="3"/>
              </w:rPr>
              <w:t>1</w:t>
            </w:r>
            <w:r>
              <w:rPr>
                <w:spacing w:val="3"/>
              </w:rPr>
              <w:t>千元以上</w:t>
            </w:r>
            <w:r>
              <w:rPr>
                <w:rFonts w:ascii="宋体" w:hAnsi="宋体" w:eastAsia="宋体" w:cs="宋体"/>
                <w:spacing w:val="9"/>
              </w:rPr>
              <w:t>5</w:t>
            </w:r>
            <w:r>
              <w:rPr>
                <w:spacing w:val="9"/>
              </w:rPr>
              <w:t>千元以下的罚款；情节</w:t>
            </w:r>
            <w:r>
              <w:rPr>
                <w:spacing w:val="-9"/>
              </w:rPr>
              <w:t>严重的，处</w:t>
            </w:r>
            <w:r>
              <w:rPr>
                <w:rFonts w:ascii="宋体" w:hAnsi="宋体" w:eastAsia="宋体" w:cs="宋体"/>
                <w:spacing w:val="-9"/>
              </w:rPr>
              <w:t>1</w:t>
            </w:r>
            <w:r>
              <w:rPr>
                <w:spacing w:val="-9"/>
              </w:rPr>
              <w:t>万元以上</w:t>
            </w:r>
            <w:r>
              <w:rPr>
                <w:rFonts w:ascii="宋体" w:hAnsi="宋体" w:eastAsia="宋体" w:cs="宋体"/>
                <w:spacing w:val="-9"/>
              </w:rPr>
              <w:t>1.5</w:t>
            </w:r>
            <w:r>
              <w:rPr>
                <w:spacing w:val="8"/>
              </w:rPr>
              <w:t>万元以下的罚款，对相关</w:t>
            </w:r>
            <w:r>
              <w:rPr>
                <w:spacing w:val="2"/>
              </w:rPr>
              <w:t>责任人处</w:t>
            </w:r>
            <w:r>
              <w:rPr>
                <w:rFonts w:ascii="宋体" w:hAnsi="宋体" w:eastAsia="宋体" w:cs="宋体"/>
                <w:spacing w:val="2"/>
              </w:rPr>
              <w:t>5</w:t>
            </w:r>
            <w:r>
              <w:rPr>
                <w:spacing w:val="2"/>
              </w:rPr>
              <w:t>千元以上</w:t>
            </w:r>
            <w:r>
              <w:rPr>
                <w:rFonts w:ascii="宋体" w:hAnsi="宋体" w:eastAsia="宋体" w:cs="宋体"/>
                <w:spacing w:val="2"/>
              </w:rPr>
              <w:t>1</w:t>
            </w:r>
            <w:r>
              <w:rPr>
                <w:spacing w:val="2"/>
              </w:rPr>
              <w:t>万</w:t>
            </w:r>
            <w:r>
              <w:rPr>
                <w:spacing w:val="7"/>
              </w:rPr>
              <w:t>元以下的罚款</w:t>
            </w:r>
          </w:p>
        </w:tc>
        <w:tc>
          <w:tcPr>
            <w:tcW w:w="811" w:type="dxa"/>
            <w:vMerge w:val="restart"/>
            <w:tcBorders>
              <w:bottom w:val="nil"/>
            </w:tcBorders>
            <w:vAlign w:val="top"/>
          </w:tcPr>
          <w:p w14:paraId="363C317B">
            <w:pPr>
              <w:spacing w:line="255" w:lineRule="auto"/>
              <w:rPr>
                <w:rFonts w:ascii="Arial"/>
                <w:sz w:val="21"/>
              </w:rPr>
            </w:pPr>
          </w:p>
          <w:p w14:paraId="71303D39">
            <w:pPr>
              <w:spacing w:line="255" w:lineRule="auto"/>
              <w:rPr>
                <w:rFonts w:ascii="Arial"/>
                <w:sz w:val="21"/>
              </w:rPr>
            </w:pPr>
          </w:p>
          <w:p w14:paraId="1C4EF86B">
            <w:pPr>
              <w:spacing w:line="255" w:lineRule="auto"/>
              <w:rPr>
                <w:rFonts w:ascii="Arial"/>
                <w:sz w:val="21"/>
              </w:rPr>
            </w:pPr>
          </w:p>
          <w:p w14:paraId="4151DD99">
            <w:pPr>
              <w:spacing w:line="256" w:lineRule="auto"/>
              <w:rPr>
                <w:rFonts w:ascii="Arial"/>
                <w:sz w:val="21"/>
              </w:rPr>
            </w:pPr>
          </w:p>
          <w:p w14:paraId="41D30306">
            <w:pPr>
              <w:spacing w:line="256" w:lineRule="auto"/>
              <w:rPr>
                <w:rFonts w:ascii="Arial"/>
                <w:sz w:val="21"/>
              </w:rPr>
            </w:pPr>
          </w:p>
          <w:p w14:paraId="79309C90">
            <w:pPr>
              <w:spacing w:line="256" w:lineRule="auto"/>
              <w:rPr>
                <w:rFonts w:ascii="Arial"/>
                <w:sz w:val="21"/>
              </w:rPr>
            </w:pPr>
          </w:p>
          <w:p w14:paraId="08EB9DC0">
            <w:pPr>
              <w:spacing w:line="256" w:lineRule="auto"/>
              <w:rPr>
                <w:rFonts w:ascii="Arial"/>
                <w:sz w:val="21"/>
              </w:rPr>
            </w:pPr>
          </w:p>
          <w:p w14:paraId="4C03F239">
            <w:pPr>
              <w:spacing w:line="256" w:lineRule="auto"/>
              <w:rPr>
                <w:rFonts w:ascii="Arial"/>
                <w:sz w:val="21"/>
              </w:rPr>
            </w:pPr>
          </w:p>
          <w:p w14:paraId="45FCF013">
            <w:pPr>
              <w:spacing w:line="256" w:lineRule="auto"/>
              <w:rPr>
                <w:rFonts w:ascii="Arial"/>
                <w:sz w:val="21"/>
              </w:rPr>
            </w:pPr>
          </w:p>
          <w:p w14:paraId="579541CE">
            <w:pPr>
              <w:spacing w:line="256" w:lineRule="auto"/>
              <w:rPr>
                <w:rFonts w:ascii="Arial"/>
                <w:sz w:val="21"/>
              </w:rPr>
            </w:pPr>
          </w:p>
          <w:p w14:paraId="116DB7CD">
            <w:pPr>
              <w:spacing w:line="256" w:lineRule="auto"/>
              <w:rPr>
                <w:rFonts w:ascii="Arial"/>
                <w:sz w:val="21"/>
              </w:rPr>
            </w:pPr>
          </w:p>
          <w:p w14:paraId="50B30CD4">
            <w:pPr>
              <w:spacing w:before="74" w:line="188" w:lineRule="auto"/>
              <w:ind w:left="233"/>
              <w:rPr>
                <w:rFonts w:ascii="宋体" w:hAnsi="宋体" w:eastAsia="宋体" w:cs="宋体"/>
                <w:sz w:val="23"/>
                <w:szCs w:val="23"/>
              </w:rPr>
            </w:pPr>
            <w:r>
              <w:rPr>
                <w:rFonts w:ascii="宋体" w:hAnsi="宋体" w:eastAsia="宋体" w:cs="宋体"/>
                <w:spacing w:val="-1"/>
                <w:sz w:val="23"/>
                <w:szCs w:val="23"/>
              </w:rPr>
              <w:t>248</w:t>
            </w:r>
          </w:p>
        </w:tc>
      </w:tr>
      <w:tr w14:paraId="74CCC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7" w:hRule="atLeast"/>
        </w:trPr>
        <w:tc>
          <w:tcPr>
            <w:tcW w:w="818" w:type="dxa"/>
            <w:vMerge w:val="continue"/>
            <w:tcBorders>
              <w:top w:val="nil"/>
            </w:tcBorders>
            <w:vAlign w:val="top"/>
          </w:tcPr>
          <w:p w14:paraId="50FF9DD9">
            <w:pPr>
              <w:rPr>
                <w:rFonts w:ascii="Arial"/>
                <w:sz w:val="21"/>
              </w:rPr>
            </w:pPr>
          </w:p>
        </w:tc>
        <w:tc>
          <w:tcPr>
            <w:tcW w:w="1440" w:type="dxa"/>
            <w:vMerge w:val="continue"/>
            <w:tcBorders>
              <w:top w:val="nil"/>
            </w:tcBorders>
            <w:vAlign w:val="top"/>
          </w:tcPr>
          <w:p w14:paraId="1A09AF45">
            <w:pPr>
              <w:rPr>
                <w:rFonts w:ascii="Arial"/>
                <w:sz w:val="21"/>
              </w:rPr>
            </w:pPr>
          </w:p>
        </w:tc>
        <w:tc>
          <w:tcPr>
            <w:tcW w:w="3202" w:type="dxa"/>
            <w:vMerge w:val="continue"/>
            <w:tcBorders>
              <w:top w:val="nil"/>
            </w:tcBorders>
            <w:vAlign w:val="top"/>
          </w:tcPr>
          <w:p w14:paraId="4EE64B4D">
            <w:pPr>
              <w:rPr>
                <w:rFonts w:ascii="Arial"/>
                <w:sz w:val="21"/>
              </w:rPr>
            </w:pPr>
          </w:p>
        </w:tc>
        <w:tc>
          <w:tcPr>
            <w:tcW w:w="2859" w:type="dxa"/>
            <w:vMerge w:val="continue"/>
            <w:tcBorders>
              <w:top w:val="nil"/>
            </w:tcBorders>
            <w:vAlign w:val="top"/>
          </w:tcPr>
          <w:p w14:paraId="70DB080F">
            <w:pPr>
              <w:rPr>
                <w:rFonts w:ascii="Arial"/>
                <w:sz w:val="21"/>
              </w:rPr>
            </w:pPr>
          </w:p>
        </w:tc>
        <w:tc>
          <w:tcPr>
            <w:tcW w:w="803" w:type="dxa"/>
            <w:vAlign w:val="top"/>
          </w:tcPr>
          <w:p w14:paraId="77EF5981">
            <w:pPr>
              <w:spacing w:line="299" w:lineRule="auto"/>
              <w:rPr>
                <w:rFonts w:ascii="Arial"/>
                <w:sz w:val="21"/>
              </w:rPr>
            </w:pPr>
          </w:p>
          <w:p w14:paraId="012EF886">
            <w:pPr>
              <w:spacing w:line="300" w:lineRule="auto"/>
              <w:rPr>
                <w:rFonts w:ascii="Arial"/>
                <w:sz w:val="21"/>
              </w:rPr>
            </w:pPr>
          </w:p>
          <w:p w14:paraId="2E5FE144">
            <w:pPr>
              <w:spacing w:line="300" w:lineRule="auto"/>
              <w:rPr>
                <w:rFonts w:ascii="Arial"/>
                <w:sz w:val="21"/>
              </w:rPr>
            </w:pPr>
          </w:p>
          <w:p w14:paraId="029809B2">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229A9973">
            <w:pPr>
              <w:pStyle w:val="6"/>
              <w:spacing w:before="330" w:line="188" w:lineRule="auto"/>
              <w:ind w:left="116" w:right="65"/>
              <w:jc w:val="both"/>
            </w:pPr>
            <w:r>
              <w:rPr>
                <w:spacing w:val="26"/>
              </w:rPr>
              <w:t>在开展现场技术服</w:t>
            </w:r>
            <w:r>
              <w:rPr>
                <w:spacing w:val="2"/>
              </w:rPr>
              <w:t>务前七个工作日内，</w:t>
            </w:r>
            <w:r>
              <w:rPr>
                <w:spacing w:val="26"/>
              </w:rPr>
              <w:t>未书面告知项目实施地资质认可机关</w:t>
            </w:r>
            <w:r>
              <w:rPr>
                <w:rFonts w:ascii="宋体" w:hAnsi="宋体" w:eastAsia="宋体" w:cs="宋体"/>
                <w:spacing w:val="-3"/>
              </w:rPr>
              <w:t>2</w:t>
            </w:r>
            <w:r>
              <w:rPr>
                <w:spacing w:val="-3"/>
              </w:rPr>
              <w:t>次的</w:t>
            </w:r>
          </w:p>
        </w:tc>
        <w:tc>
          <w:tcPr>
            <w:tcW w:w="2894" w:type="dxa"/>
            <w:vAlign w:val="top"/>
          </w:tcPr>
          <w:p w14:paraId="7B4738AA">
            <w:pPr>
              <w:pStyle w:val="6"/>
              <w:spacing w:before="36" w:line="179" w:lineRule="auto"/>
              <w:ind w:left="120" w:right="103" w:firstLine="7"/>
              <w:jc w:val="both"/>
            </w:pPr>
            <w:r>
              <w:rPr>
                <w:spacing w:val="10"/>
              </w:rPr>
              <w:t>责令改正或者责令限期改</w:t>
            </w:r>
            <w:r>
              <w:rPr>
                <w:spacing w:val="8"/>
              </w:rPr>
              <w:t>正，给予警告，可以并处</w:t>
            </w:r>
            <w:r>
              <w:rPr>
                <w:rFonts w:ascii="宋体" w:hAnsi="宋体" w:eastAsia="宋体" w:cs="宋体"/>
                <w:spacing w:val="9"/>
              </w:rPr>
              <w:t>1</w:t>
            </w:r>
            <w:r>
              <w:rPr>
                <w:spacing w:val="9"/>
              </w:rPr>
              <w:t>万元以下的罚款；逾期</w:t>
            </w:r>
            <w:r>
              <w:rPr>
                <w:spacing w:val="2"/>
              </w:rPr>
              <w:t>未改正的，处</w:t>
            </w:r>
            <w:r>
              <w:rPr>
                <w:rFonts w:ascii="宋体" w:hAnsi="宋体" w:eastAsia="宋体" w:cs="宋体"/>
                <w:spacing w:val="2"/>
              </w:rPr>
              <w:t>1.5</w:t>
            </w:r>
            <w:r>
              <w:rPr>
                <w:spacing w:val="2"/>
              </w:rPr>
              <w:t>万元以</w:t>
            </w:r>
            <w:r>
              <w:rPr>
                <w:spacing w:val="4"/>
              </w:rPr>
              <w:t>上</w:t>
            </w:r>
            <w:r>
              <w:rPr>
                <w:rFonts w:ascii="宋体" w:hAnsi="宋体" w:eastAsia="宋体" w:cs="宋体"/>
                <w:spacing w:val="4"/>
              </w:rPr>
              <w:t>2</w:t>
            </w:r>
            <w:r>
              <w:rPr>
                <w:spacing w:val="4"/>
              </w:rPr>
              <w:t>万元以下的罚款，对</w:t>
            </w:r>
            <w:r>
              <w:rPr>
                <w:spacing w:val="3"/>
              </w:rPr>
              <w:t>相关责任人处</w:t>
            </w:r>
            <w:r>
              <w:rPr>
                <w:rFonts w:ascii="宋体" w:hAnsi="宋体" w:eastAsia="宋体" w:cs="宋体"/>
                <w:spacing w:val="3"/>
              </w:rPr>
              <w:t>1</w:t>
            </w:r>
            <w:r>
              <w:rPr>
                <w:spacing w:val="3"/>
              </w:rPr>
              <w:t>千元以上</w:t>
            </w:r>
            <w:r>
              <w:rPr>
                <w:rFonts w:ascii="宋体" w:hAnsi="宋体" w:eastAsia="宋体" w:cs="宋体"/>
                <w:spacing w:val="9"/>
              </w:rPr>
              <w:t>5</w:t>
            </w:r>
            <w:r>
              <w:rPr>
                <w:spacing w:val="9"/>
              </w:rPr>
              <w:t>千元以下的罚款；情节</w:t>
            </w:r>
          </w:p>
        </w:tc>
        <w:tc>
          <w:tcPr>
            <w:tcW w:w="811" w:type="dxa"/>
            <w:vMerge w:val="continue"/>
            <w:tcBorders>
              <w:top w:val="nil"/>
            </w:tcBorders>
            <w:vAlign w:val="top"/>
          </w:tcPr>
          <w:p w14:paraId="0483F0A4">
            <w:pPr>
              <w:rPr>
                <w:rFonts w:ascii="Arial"/>
                <w:sz w:val="21"/>
              </w:rPr>
            </w:pPr>
          </w:p>
        </w:tc>
      </w:tr>
    </w:tbl>
    <w:p w14:paraId="7F74CD40">
      <w:pPr>
        <w:spacing w:before="87" w:line="169" w:lineRule="auto"/>
        <w:ind w:left="231"/>
        <w:rPr>
          <w:rFonts w:ascii="宋体" w:hAnsi="宋体" w:eastAsia="宋体" w:cs="宋体"/>
          <w:sz w:val="28"/>
          <w:szCs w:val="28"/>
        </w:rPr>
      </w:pPr>
      <w:r>
        <w:rPr>
          <w:rFonts w:ascii="宋体" w:hAnsi="宋体" w:eastAsia="宋体" w:cs="宋体"/>
          <w:spacing w:val="-2"/>
          <w:sz w:val="28"/>
          <w:szCs w:val="28"/>
        </w:rPr>
        <w:t>—226—</w:t>
      </w:r>
    </w:p>
    <w:p w14:paraId="5CC11128">
      <w:pPr>
        <w:spacing w:line="169" w:lineRule="auto"/>
        <w:rPr>
          <w:rFonts w:ascii="宋体" w:hAnsi="宋体" w:eastAsia="宋体" w:cs="宋体"/>
          <w:sz w:val="28"/>
          <w:szCs w:val="28"/>
        </w:rPr>
        <w:sectPr>
          <w:footerReference r:id="rId227" w:type="default"/>
          <w:pgSz w:w="16839" w:h="11906"/>
          <w:pgMar w:top="1012" w:right="821" w:bottom="400" w:left="901" w:header="0" w:footer="0" w:gutter="0"/>
          <w:cols w:space="720" w:num="1"/>
        </w:sectPr>
      </w:pPr>
    </w:p>
    <w:p w14:paraId="414E3B1C">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2AE73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D459746">
            <w:pPr>
              <w:spacing w:before="222" w:line="241" w:lineRule="auto"/>
              <w:ind w:left="131"/>
              <w:outlineLvl w:val="0"/>
              <w:rPr>
                <w:rFonts w:ascii="黑体" w:hAnsi="黑体" w:eastAsia="黑体" w:cs="黑体"/>
                <w:sz w:val="28"/>
                <w:szCs w:val="28"/>
              </w:rPr>
            </w:pPr>
            <w:bookmarkStart w:id="733" w:name="bookmark461"/>
            <w:bookmarkEnd w:id="733"/>
            <w:bookmarkStart w:id="734" w:name="bookmark615"/>
            <w:bookmarkEnd w:id="734"/>
            <w:r>
              <w:rPr>
                <w:rFonts w:ascii="黑体" w:hAnsi="黑体" w:eastAsia="黑体" w:cs="黑体"/>
                <w:spacing w:val="-2"/>
                <w:sz w:val="28"/>
                <w:szCs w:val="28"/>
              </w:rPr>
              <w:t>序号</w:t>
            </w:r>
          </w:p>
        </w:tc>
        <w:tc>
          <w:tcPr>
            <w:tcW w:w="1440" w:type="dxa"/>
            <w:vAlign w:val="top"/>
          </w:tcPr>
          <w:p w14:paraId="61EDF876">
            <w:pPr>
              <w:spacing w:before="221"/>
              <w:ind w:left="163"/>
              <w:outlineLvl w:val="1"/>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B0391EB">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2D3BC199">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49C34360">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A26685A">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89931A4">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16A13C45">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62BB4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18" w:type="dxa"/>
            <w:vMerge w:val="restart"/>
            <w:tcBorders>
              <w:bottom w:val="nil"/>
            </w:tcBorders>
            <w:vAlign w:val="top"/>
          </w:tcPr>
          <w:p w14:paraId="5DB5F59F">
            <w:pPr>
              <w:rPr>
                <w:rFonts w:ascii="Arial"/>
                <w:sz w:val="21"/>
              </w:rPr>
            </w:pPr>
          </w:p>
        </w:tc>
        <w:tc>
          <w:tcPr>
            <w:tcW w:w="1440" w:type="dxa"/>
            <w:vMerge w:val="restart"/>
            <w:tcBorders>
              <w:bottom w:val="nil"/>
            </w:tcBorders>
            <w:vAlign w:val="top"/>
          </w:tcPr>
          <w:p w14:paraId="4CAB1FEF">
            <w:pPr>
              <w:rPr>
                <w:rFonts w:ascii="Arial"/>
                <w:sz w:val="21"/>
              </w:rPr>
            </w:pPr>
          </w:p>
        </w:tc>
        <w:tc>
          <w:tcPr>
            <w:tcW w:w="3202" w:type="dxa"/>
            <w:vMerge w:val="restart"/>
            <w:tcBorders>
              <w:bottom w:val="nil"/>
            </w:tcBorders>
            <w:vAlign w:val="top"/>
          </w:tcPr>
          <w:p w14:paraId="66D65DAD">
            <w:pPr>
              <w:rPr>
                <w:rFonts w:ascii="Arial"/>
                <w:sz w:val="21"/>
              </w:rPr>
            </w:pPr>
          </w:p>
        </w:tc>
        <w:tc>
          <w:tcPr>
            <w:tcW w:w="2859" w:type="dxa"/>
            <w:vMerge w:val="restart"/>
            <w:tcBorders>
              <w:bottom w:val="nil"/>
            </w:tcBorders>
            <w:vAlign w:val="top"/>
          </w:tcPr>
          <w:p w14:paraId="4DFF7196">
            <w:pPr>
              <w:rPr>
                <w:rFonts w:ascii="Arial"/>
                <w:sz w:val="21"/>
              </w:rPr>
            </w:pPr>
          </w:p>
        </w:tc>
        <w:tc>
          <w:tcPr>
            <w:tcW w:w="803" w:type="dxa"/>
            <w:vAlign w:val="top"/>
          </w:tcPr>
          <w:p w14:paraId="29759146">
            <w:pPr>
              <w:rPr>
                <w:rFonts w:ascii="Arial"/>
                <w:sz w:val="21"/>
              </w:rPr>
            </w:pPr>
          </w:p>
        </w:tc>
        <w:tc>
          <w:tcPr>
            <w:tcW w:w="2283" w:type="dxa"/>
            <w:vAlign w:val="top"/>
          </w:tcPr>
          <w:p w14:paraId="6F158E33">
            <w:pPr>
              <w:rPr>
                <w:rFonts w:ascii="Arial"/>
                <w:sz w:val="21"/>
              </w:rPr>
            </w:pPr>
          </w:p>
        </w:tc>
        <w:tc>
          <w:tcPr>
            <w:tcW w:w="2894" w:type="dxa"/>
            <w:vAlign w:val="top"/>
          </w:tcPr>
          <w:p w14:paraId="5B589BDA">
            <w:pPr>
              <w:pStyle w:val="6"/>
              <w:spacing w:before="29" w:line="177" w:lineRule="auto"/>
              <w:ind w:left="118" w:right="104" w:firstLine="2"/>
              <w:jc w:val="both"/>
            </w:pPr>
            <w:r>
              <w:rPr>
                <w:spacing w:val="2"/>
              </w:rPr>
              <w:t>严重的，处</w:t>
            </w:r>
            <w:r>
              <w:rPr>
                <w:rFonts w:ascii="宋体" w:hAnsi="宋体" w:eastAsia="宋体" w:cs="宋体"/>
                <w:spacing w:val="2"/>
              </w:rPr>
              <w:t>1.5</w:t>
            </w:r>
            <w:r>
              <w:rPr>
                <w:spacing w:val="2"/>
              </w:rPr>
              <w:t>万元以上</w:t>
            </w:r>
            <w:r>
              <w:rPr>
                <w:rFonts w:ascii="宋体" w:hAnsi="宋体" w:eastAsia="宋体" w:cs="宋体"/>
                <w:spacing w:val="9"/>
              </w:rPr>
              <w:t>2</w:t>
            </w:r>
            <w:r>
              <w:rPr>
                <w:spacing w:val="9"/>
              </w:rPr>
              <w:t>万元以下的罚款，对相</w:t>
            </w:r>
            <w:r>
              <w:rPr>
                <w:spacing w:val="8"/>
              </w:rPr>
              <w:t>关责任人处</w:t>
            </w:r>
            <w:r>
              <w:rPr>
                <w:rFonts w:ascii="宋体" w:hAnsi="宋体" w:eastAsia="宋体" w:cs="宋体"/>
                <w:spacing w:val="8"/>
              </w:rPr>
              <w:t>5</w:t>
            </w:r>
            <w:r>
              <w:rPr>
                <w:spacing w:val="8"/>
              </w:rPr>
              <w:t>千元以上</w:t>
            </w:r>
            <w:r>
              <w:rPr>
                <w:rFonts w:ascii="宋体" w:hAnsi="宋体" w:eastAsia="宋体" w:cs="宋体"/>
                <w:spacing w:val="8"/>
              </w:rPr>
              <w:t>1</w:t>
            </w:r>
            <w:r>
              <w:rPr>
                <w:spacing w:val="7"/>
              </w:rPr>
              <w:t>万元以下的罚款</w:t>
            </w:r>
          </w:p>
        </w:tc>
        <w:tc>
          <w:tcPr>
            <w:tcW w:w="811" w:type="dxa"/>
            <w:vMerge w:val="restart"/>
            <w:tcBorders>
              <w:bottom w:val="nil"/>
            </w:tcBorders>
            <w:vAlign w:val="top"/>
          </w:tcPr>
          <w:p w14:paraId="7814EB81">
            <w:pPr>
              <w:rPr>
                <w:rFonts w:ascii="Arial"/>
                <w:sz w:val="21"/>
              </w:rPr>
            </w:pPr>
          </w:p>
        </w:tc>
      </w:tr>
      <w:tr w14:paraId="57F51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818" w:type="dxa"/>
            <w:vMerge w:val="continue"/>
            <w:tcBorders>
              <w:top w:val="nil"/>
            </w:tcBorders>
            <w:vAlign w:val="top"/>
          </w:tcPr>
          <w:p w14:paraId="74F67AC3">
            <w:pPr>
              <w:rPr>
                <w:rFonts w:ascii="Arial"/>
                <w:sz w:val="21"/>
              </w:rPr>
            </w:pPr>
          </w:p>
        </w:tc>
        <w:tc>
          <w:tcPr>
            <w:tcW w:w="1440" w:type="dxa"/>
            <w:vMerge w:val="continue"/>
            <w:tcBorders>
              <w:top w:val="nil"/>
            </w:tcBorders>
            <w:vAlign w:val="top"/>
          </w:tcPr>
          <w:p w14:paraId="526725D5">
            <w:pPr>
              <w:rPr>
                <w:rFonts w:ascii="Arial"/>
                <w:sz w:val="21"/>
              </w:rPr>
            </w:pPr>
          </w:p>
        </w:tc>
        <w:tc>
          <w:tcPr>
            <w:tcW w:w="3202" w:type="dxa"/>
            <w:vMerge w:val="continue"/>
            <w:tcBorders>
              <w:top w:val="nil"/>
            </w:tcBorders>
            <w:vAlign w:val="top"/>
          </w:tcPr>
          <w:p w14:paraId="356120A5">
            <w:pPr>
              <w:rPr>
                <w:rFonts w:ascii="Arial"/>
                <w:sz w:val="21"/>
              </w:rPr>
            </w:pPr>
          </w:p>
        </w:tc>
        <w:tc>
          <w:tcPr>
            <w:tcW w:w="2859" w:type="dxa"/>
            <w:vMerge w:val="continue"/>
            <w:tcBorders>
              <w:top w:val="nil"/>
            </w:tcBorders>
            <w:vAlign w:val="top"/>
          </w:tcPr>
          <w:p w14:paraId="0AD7B1BB">
            <w:pPr>
              <w:rPr>
                <w:rFonts w:ascii="Arial"/>
                <w:sz w:val="21"/>
              </w:rPr>
            </w:pPr>
          </w:p>
        </w:tc>
        <w:tc>
          <w:tcPr>
            <w:tcW w:w="803" w:type="dxa"/>
            <w:vAlign w:val="top"/>
          </w:tcPr>
          <w:p w14:paraId="0D1B3FDE">
            <w:pPr>
              <w:spacing w:line="248" w:lineRule="auto"/>
              <w:rPr>
                <w:rFonts w:ascii="Arial"/>
                <w:sz w:val="21"/>
              </w:rPr>
            </w:pPr>
          </w:p>
          <w:p w14:paraId="4FD3DC18">
            <w:pPr>
              <w:spacing w:line="248" w:lineRule="auto"/>
              <w:rPr>
                <w:rFonts w:ascii="Arial"/>
                <w:sz w:val="21"/>
              </w:rPr>
            </w:pPr>
          </w:p>
          <w:p w14:paraId="5C7377E8">
            <w:pPr>
              <w:spacing w:line="248" w:lineRule="auto"/>
              <w:rPr>
                <w:rFonts w:ascii="Arial"/>
                <w:sz w:val="21"/>
              </w:rPr>
            </w:pPr>
          </w:p>
          <w:p w14:paraId="7473957B">
            <w:pPr>
              <w:spacing w:line="248" w:lineRule="auto"/>
              <w:rPr>
                <w:rFonts w:ascii="Arial"/>
                <w:sz w:val="21"/>
              </w:rPr>
            </w:pPr>
          </w:p>
          <w:p w14:paraId="6427D7D3">
            <w:pPr>
              <w:spacing w:line="249" w:lineRule="auto"/>
              <w:rPr>
                <w:rFonts w:ascii="Arial"/>
                <w:sz w:val="21"/>
              </w:rPr>
            </w:pPr>
          </w:p>
          <w:p w14:paraId="57744554">
            <w:pPr>
              <w:spacing w:line="249" w:lineRule="auto"/>
              <w:rPr>
                <w:rFonts w:ascii="Arial"/>
                <w:sz w:val="21"/>
              </w:rPr>
            </w:pPr>
          </w:p>
          <w:p w14:paraId="6AE2A9E4">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5A52835">
            <w:pPr>
              <w:spacing w:line="275" w:lineRule="auto"/>
              <w:rPr>
                <w:rFonts w:ascii="Arial"/>
                <w:sz w:val="21"/>
              </w:rPr>
            </w:pPr>
          </w:p>
          <w:p w14:paraId="0240D9B1">
            <w:pPr>
              <w:spacing w:line="275" w:lineRule="auto"/>
              <w:rPr>
                <w:rFonts w:ascii="Arial"/>
                <w:sz w:val="21"/>
              </w:rPr>
            </w:pPr>
          </w:p>
          <w:p w14:paraId="6B80A064">
            <w:pPr>
              <w:spacing w:line="275" w:lineRule="auto"/>
              <w:rPr>
                <w:rFonts w:ascii="Arial"/>
                <w:sz w:val="21"/>
              </w:rPr>
            </w:pPr>
          </w:p>
          <w:p w14:paraId="4C1FC53E">
            <w:pPr>
              <w:pStyle w:val="6"/>
              <w:spacing w:before="98" w:line="188" w:lineRule="auto"/>
              <w:ind w:left="117" w:right="65"/>
              <w:jc w:val="both"/>
            </w:pPr>
            <w:r>
              <w:rPr>
                <w:spacing w:val="26"/>
              </w:rPr>
              <w:t>在开展现场技术服</w:t>
            </w:r>
            <w:r>
              <w:rPr>
                <w:spacing w:val="2"/>
              </w:rPr>
              <w:t>务前七个工作日内，</w:t>
            </w:r>
            <w:r>
              <w:rPr>
                <w:spacing w:val="26"/>
              </w:rPr>
              <w:t>未书面告知项目实施地资质认可机关</w:t>
            </w:r>
            <w:r>
              <w:rPr>
                <w:rFonts w:ascii="宋体" w:hAnsi="宋体" w:eastAsia="宋体" w:cs="宋体"/>
                <w:spacing w:val="1"/>
              </w:rPr>
              <w:t>3</w:t>
            </w:r>
            <w:r>
              <w:rPr>
                <w:spacing w:val="1"/>
              </w:rPr>
              <w:t>次以上的</w:t>
            </w:r>
          </w:p>
        </w:tc>
        <w:tc>
          <w:tcPr>
            <w:tcW w:w="2894" w:type="dxa"/>
            <w:vAlign w:val="top"/>
          </w:tcPr>
          <w:p w14:paraId="4A42B53D">
            <w:pPr>
              <w:pStyle w:val="6"/>
              <w:spacing w:before="31" w:line="182" w:lineRule="auto"/>
              <w:ind w:left="127"/>
            </w:pPr>
            <w:r>
              <w:rPr>
                <w:spacing w:val="10"/>
              </w:rPr>
              <w:t>责令改正或者责令限期改</w:t>
            </w:r>
          </w:p>
          <w:p w14:paraId="679CA5DE">
            <w:pPr>
              <w:pStyle w:val="6"/>
              <w:spacing w:line="182" w:lineRule="auto"/>
              <w:ind w:left="127"/>
              <w:outlineLvl w:val="1"/>
            </w:pPr>
            <w:r>
              <w:rPr>
                <w:spacing w:val="7"/>
              </w:rPr>
              <w:t>正，给予警告，可以并处</w:t>
            </w:r>
          </w:p>
          <w:p w14:paraId="3B14E8AC">
            <w:pPr>
              <w:pStyle w:val="6"/>
              <w:spacing w:before="1" w:line="182" w:lineRule="auto"/>
              <w:ind w:left="120" w:right="109" w:firstLine="12"/>
            </w:pPr>
            <w:r>
              <w:rPr>
                <w:rFonts w:ascii="宋体" w:hAnsi="宋体" w:eastAsia="宋体" w:cs="宋体"/>
                <w:spacing w:val="8"/>
              </w:rPr>
              <w:t>1</w:t>
            </w:r>
            <w:r>
              <w:rPr>
                <w:spacing w:val="8"/>
              </w:rPr>
              <w:t>万元以下的罚款；逾期</w:t>
            </w:r>
            <w:r>
              <w:rPr>
                <w:spacing w:val="4"/>
              </w:rPr>
              <w:t>未改正的，处</w:t>
            </w:r>
            <w:r>
              <w:rPr>
                <w:rFonts w:ascii="宋体" w:hAnsi="宋体" w:eastAsia="宋体" w:cs="宋体"/>
                <w:spacing w:val="4"/>
              </w:rPr>
              <w:t>2</w:t>
            </w:r>
            <w:r>
              <w:rPr>
                <w:spacing w:val="4"/>
              </w:rPr>
              <w:t>万元以上</w:t>
            </w:r>
          </w:p>
          <w:p w14:paraId="4C883432">
            <w:pPr>
              <w:pStyle w:val="6"/>
              <w:spacing w:before="1" w:line="179" w:lineRule="auto"/>
              <w:ind w:left="120" w:right="103"/>
            </w:pPr>
            <w:r>
              <w:rPr>
                <w:rFonts w:ascii="宋体" w:hAnsi="宋体" w:eastAsia="宋体" w:cs="宋体"/>
                <w:spacing w:val="9"/>
              </w:rPr>
              <w:t>3</w:t>
            </w:r>
            <w:r>
              <w:rPr>
                <w:spacing w:val="9"/>
              </w:rPr>
              <w:t>万元以下的罚款，对相</w:t>
            </w:r>
            <w:r>
              <w:rPr>
                <w:spacing w:val="8"/>
              </w:rPr>
              <w:t>关责任人处</w:t>
            </w:r>
            <w:r>
              <w:rPr>
                <w:rFonts w:ascii="宋体" w:hAnsi="宋体" w:eastAsia="宋体" w:cs="宋体"/>
                <w:spacing w:val="8"/>
              </w:rPr>
              <w:t>1</w:t>
            </w:r>
            <w:r>
              <w:rPr>
                <w:spacing w:val="8"/>
              </w:rPr>
              <w:t>千元以上</w:t>
            </w:r>
            <w:r>
              <w:rPr>
                <w:rFonts w:ascii="宋体" w:hAnsi="宋体" w:eastAsia="宋体" w:cs="宋体"/>
                <w:spacing w:val="8"/>
              </w:rPr>
              <w:t>5</w:t>
            </w:r>
            <w:r>
              <w:rPr>
                <w:spacing w:val="8"/>
              </w:rPr>
              <w:t>千元以下的罚款；情节严</w:t>
            </w:r>
            <w:r>
              <w:rPr>
                <w:spacing w:val="1"/>
              </w:rPr>
              <w:t>重的，处</w:t>
            </w:r>
            <w:r>
              <w:rPr>
                <w:rFonts w:ascii="宋体" w:hAnsi="宋体" w:eastAsia="宋体" w:cs="宋体"/>
                <w:spacing w:val="1"/>
              </w:rPr>
              <w:t>2</w:t>
            </w:r>
            <w:r>
              <w:rPr>
                <w:spacing w:val="1"/>
              </w:rPr>
              <w:t>万元以上</w:t>
            </w:r>
            <w:r>
              <w:rPr>
                <w:rFonts w:ascii="宋体" w:hAnsi="宋体" w:eastAsia="宋体" w:cs="宋体"/>
                <w:spacing w:val="1"/>
              </w:rPr>
              <w:t>3</w:t>
            </w:r>
            <w:r>
              <w:rPr>
                <w:spacing w:val="1"/>
              </w:rPr>
              <w:t>万</w:t>
            </w:r>
            <w:r>
              <w:rPr>
                <w:spacing w:val="8"/>
              </w:rPr>
              <w:t>元以下的罚款，对相关责</w:t>
            </w:r>
            <w:r>
              <w:rPr>
                <w:spacing w:val="2"/>
              </w:rPr>
              <w:t>任人处</w:t>
            </w:r>
            <w:r>
              <w:rPr>
                <w:rFonts w:ascii="宋体" w:hAnsi="宋体" w:eastAsia="宋体" w:cs="宋体"/>
                <w:spacing w:val="2"/>
              </w:rPr>
              <w:t>5</w:t>
            </w:r>
            <w:r>
              <w:rPr>
                <w:spacing w:val="2"/>
              </w:rPr>
              <w:t>千元以上</w:t>
            </w:r>
            <w:r>
              <w:rPr>
                <w:rFonts w:ascii="宋体" w:hAnsi="宋体" w:eastAsia="宋体" w:cs="宋体"/>
                <w:spacing w:val="2"/>
              </w:rPr>
              <w:t>1</w:t>
            </w:r>
            <w:r>
              <w:rPr>
                <w:spacing w:val="2"/>
              </w:rPr>
              <w:t>万元</w:t>
            </w:r>
            <w:r>
              <w:rPr>
                <w:spacing w:val="6"/>
              </w:rPr>
              <w:t>以下的罚款</w:t>
            </w:r>
          </w:p>
        </w:tc>
        <w:tc>
          <w:tcPr>
            <w:tcW w:w="811" w:type="dxa"/>
            <w:vMerge w:val="continue"/>
            <w:tcBorders>
              <w:top w:val="nil"/>
            </w:tcBorders>
            <w:vAlign w:val="top"/>
          </w:tcPr>
          <w:p w14:paraId="41A4F947">
            <w:pPr>
              <w:rPr>
                <w:rFonts w:ascii="Arial"/>
                <w:sz w:val="21"/>
              </w:rPr>
            </w:pPr>
          </w:p>
        </w:tc>
      </w:tr>
      <w:tr w14:paraId="4D0E5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818" w:type="dxa"/>
            <w:vMerge w:val="restart"/>
            <w:tcBorders>
              <w:bottom w:val="nil"/>
            </w:tcBorders>
            <w:vAlign w:val="top"/>
          </w:tcPr>
          <w:p w14:paraId="27029DD4">
            <w:pPr>
              <w:spacing w:line="262" w:lineRule="auto"/>
              <w:rPr>
                <w:rFonts w:ascii="Arial"/>
                <w:sz w:val="21"/>
              </w:rPr>
            </w:pPr>
          </w:p>
          <w:p w14:paraId="68741B7A">
            <w:pPr>
              <w:spacing w:line="262" w:lineRule="auto"/>
              <w:rPr>
                <w:rFonts w:ascii="Arial"/>
                <w:sz w:val="21"/>
              </w:rPr>
            </w:pPr>
          </w:p>
          <w:p w14:paraId="062E7BEC">
            <w:pPr>
              <w:spacing w:line="262" w:lineRule="auto"/>
              <w:rPr>
                <w:rFonts w:ascii="Arial"/>
                <w:sz w:val="21"/>
              </w:rPr>
            </w:pPr>
          </w:p>
          <w:p w14:paraId="399BCACF">
            <w:pPr>
              <w:spacing w:line="262" w:lineRule="auto"/>
              <w:rPr>
                <w:rFonts w:ascii="Arial"/>
                <w:sz w:val="21"/>
              </w:rPr>
            </w:pPr>
          </w:p>
          <w:p w14:paraId="071850B1">
            <w:pPr>
              <w:spacing w:line="262" w:lineRule="auto"/>
              <w:rPr>
                <w:rFonts w:ascii="Arial"/>
                <w:sz w:val="21"/>
              </w:rPr>
            </w:pPr>
          </w:p>
          <w:p w14:paraId="005C9286">
            <w:pPr>
              <w:spacing w:line="262" w:lineRule="auto"/>
              <w:rPr>
                <w:rFonts w:ascii="Arial"/>
                <w:sz w:val="21"/>
              </w:rPr>
            </w:pPr>
          </w:p>
          <w:p w14:paraId="45D768CD">
            <w:pPr>
              <w:spacing w:line="262" w:lineRule="auto"/>
              <w:rPr>
                <w:rFonts w:ascii="Arial"/>
                <w:sz w:val="21"/>
              </w:rPr>
            </w:pPr>
          </w:p>
          <w:p w14:paraId="3007BFDC">
            <w:pPr>
              <w:spacing w:line="263" w:lineRule="auto"/>
              <w:rPr>
                <w:rFonts w:ascii="Arial"/>
                <w:sz w:val="21"/>
              </w:rPr>
            </w:pPr>
          </w:p>
          <w:p w14:paraId="45D051D0">
            <w:pPr>
              <w:spacing w:before="74" w:line="185" w:lineRule="auto"/>
              <w:ind w:left="146"/>
              <w:rPr>
                <w:rFonts w:ascii="仿宋" w:hAnsi="仿宋" w:eastAsia="仿宋" w:cs="仿宋"/>
                <w:sz w:val="23"/>
                <w:szCs w:val="23"/>
              </w:rPr>
            </w:pPr>
            <w:r>
              <w:rPr>
                <w:rFonts w:ascii="仿宋" w:hAnsi="仿宋" w:eastAsia="仿宋" w:cs="仿宋"/>
                <w:sz w:val="23"/>
                <w:szCs w:val="23"/>
              </w:rPr>
              <w:t>227</w:t>
            </w:r>
          </w:p>
        </w:tc>
        <w:tc>
          <w:tcPr>
            <w:tcW w:w="1440" w:type="dxa"/>
            <w:vMerge w:val="restart"/>
            <w:tcBorders>
              <w:bottom w:val="nil"/>
            </w:tcBorders>
            <w:vAlign w:val="top"/>
          </w:tcPr>
          <w:p w14:paraId="0AF3511A">
            <w:pPr>
              <w:spacing w:line="244" w:lineRule="auto"/>
              <w:rPr>
                <w:rFonts w:ascii="Arial"/>
                <w:sz w:val="21"/>
              </w:rPr>
            </w:pPr>
          </w:p>
          <w:p w14:paraId="4151312B">
            <w:pPr>
              <w:spacing w:line="244" w:lineRule="auto"/>
              <w:rPr>
                <w:rFonts w:ascii="Arial"/>
                <w:sz w:val="21"/>
              </w:rPr>
            </w:pPr>
          </w:p>
          <w:p w14:paraId="5061AC26">
            <w:pPr>
              <w:spacing w:line="245" w:lineRule="auto"/>
              <w:rPr>
                <w:rFonts w:ascii="Arial"/>
                <w:sz w:val="21"/>
              </w:rPr>
            </w:pPr>
          </w:p>
          <w:p w14:paraId="6F26B7D8">
            <w:pPr>
              <w:spacing w:line="245" w:lineRule="auto"/>
              <w:rPr>
                <w:rFonts w:ascii="Arial"/>
                <w:sz w:val="21"/>
              </w:rPr>
            </w:pPr>
          </w:p>
          <w:p w14:paraId="088B3C1F">
            <w:pPr>
              <w:pStyle w:val="6"/>
              <w:spacing w:before="98" w:line="186" w:lineRule="auto"/>
              <w:ind w:left="114" w:right="111" w:firstLine="6"/>
              <w:jc w:val="both"/>
            </w:pPr>
            <w:r>
              <w:rPr>
                <w:spacing w:val="10"/>
              </w:rPr>
              <w:t>安全评价检</w:t>
            </w:r>
            <w:r>
              <w:rPr>
                <w:spacing w:val="11"/>
              </w:rPr>
              <w:t>测检验机构未按照有关法规标准的强制性规定从事安全评价、检测检</w:t>
            </w:r>
            <w:r>
              <w:rPr>
                <w:spacing w:val="6"/>
              </w:rPr>
              <w:t>验活动的</w:t>
            </w:r>
          </w:p>
        </w:tc>
        <w:tc>
          <w:tcPr>
            <w:tcW w:w="3202" w:type="dxa"/>
            <w:vMerge w:val="restart"/>
            <w:tcBorders>
              <w:bottom w:val="nil"/>
            </w:tcBorders>
            <w:vAlign w:val="top"/>
          </w:tcPr>
          <w:p w14:paraId="21600271">
            <w:pPr>
              <w:pStyle w:val="6"/>
              <w:spacing w:before="34" w:line="186" w:lineRule="auto"/>
              <w:ind w:left="117" w:hanging="19"/>
              <w:jc w:val="both"/>
            </w:pPr>
            <w:r>
              <w:rPr>
                <w:spacing w:val="17"/>
              </w:rPr>
              <w:t>【部门规章】《安全评价检</w:t>
            </w:r>
            <w:r>
              <w:rPr>
                <w:spacing w:val="16"/>
              </w:rPr>
              <w:t>测检验机构管理办法》第二</w:t>
            </w:r>
            <w:r>
              <w:rPr>
                <w:spacing w:val="12"/>
              </w:rPr>
              <w:t>十二条第一款第一项：安全</w:t>
            </w:r>
            <w:r>
              <w:rPr>
                <w:spacing w:val="16"/>
              </w:rPr>
              <w:t>评价检测检验机构及其从业</w:t>
            </w:r>
            <w:r>
              <w:rPr>
                <w:spacing w:val="-5"/>
              </w:rPr>
              <w:t>人员不得有下列行为</w:t>
            </w:r>
            <w:r>
              <w:rPr>
                <w:spacing w:val="3"/>
              </w:rPr>
              <w:t>：（</w:t>
            </w:r>
            <w:r>
              <w:rPr>
                <w:spacing w:val="-5"/>
              </w:rPr>
              <w:t>一）</w:t>
            </w:r>
            <w:r>
              <w:rPr>
                <w:spacing w:val="16"/>
              </w:rPr>
              <w:t>违反法规标准的规定开展安</w:t>
            </w:r>
            <w:r>
              <w:rPr>
                <w:spacing w:val="2"/>
              </w:rPr>
              <w:t>全评价、检测检验的；</w:t>
            </w:r>
          </w:p>
        </w:tc>
        <w:tc>
          <w:tcPr>
            <w:tcW w:w="2859" w:type="dxa"/>
            <w:vMerge w:val="restart"/>
            <w:tcBorders>
              <w:bottom w:val="nil"/>
            </w:tcBorders>
            <w:vAlign w:val="top"/>
          </w:tcPr>
          <w:p w14:paraId="255B7B62">
            <w:pPr>
              <w:pStyle w:val="6"/>
              <w:spacing w:before="41" w:line="181" w:lineRule="auto"/>
              <w:ind w:left="115" w:right="38" w:hanging="18"/>
              <w:jc w:val="both"/>
            </w:pPr>
            <w:r>
              <w:rPr>
                <w:spacing w:val="10"/>
              </w:rPr>
              <w:t>【部门规章】《安全评价检测检验机构管理办法》</w:t>
            </w:r>
            <w:r>
              <w:rPr>
                <w:spacing w:val="8"/>
              </w:rPr>
              <w:t>第三十条第六项：安全评价检测检验机构有下列情形之一的，责令改正或者</w:t>
            </w:r>
            <w:r>
              <w:rPr>
                <w:spacing w:val="-6"/>
              </w:rPr>
              <w:t>责令限期改正，给予警告，</w:t>
            </w:r>
            <w:r>
              <w:rPr>
                <w:spacing w:val="8"/>
              </w:rPr>
              <w:t>可以并处一万元以下的罚</w:t>
            </w:r>
            <w:r>
              <w:rPr>
                <w:spacing w:val="6"/>
              </w:rPr>
              <w:t>款；逾期未改正的，处一</w:t>
            </w:r>
            <w:r>
              <w:rPr>
                <w:spacing w:val="8"/>
              </w:rPr>
              <w:t>万元以上三万元以下的罚款，对相关责任人处一千</w:t>
            </w:r>
            <w:r>
              <w:rPr>
                <w:spacing w:val="32"/>
              </w:rPr>
              <w:t>元以上五千元以下的罚</w:t>
            </w:r>
            <w:r>
              <w:rPr>
                <w:spacing w:val="8"/>
              </w:rPr>
              <w:t>款；情节严重的，处一万</w:t>
            </w:r>
            <w:r>
              <w:rPr>
                <w:spacing w:val="32"/>
              </w:rPr>
              <w:t>元以上三万元以下的罚</w:t>
            </w:r>
            <w:r>
              <w:rPr>
                <w:spacing w:val="8"/>
              </w:rPr>
              <w:t>款，对相关责任人处五千</w:t>
            </w:r>
            <w:r>
              <w:rPr>
                <w:spacing w:val="32"/>
              </w:rPr>
              <w:t>元以上一万元以下的罚</w:t>
            </w:r>
          </w:p>
        </w:tc>
        <w:tc>
          <w:tcPr>
            <w:tcW w:w="803" w:type="dxa"/>
            <w:vAlign w:val="top"/>
          </w:tcPr>
          <w:p w14:paraId="5A9A1DA9">
            <w:pPr>
              <w:spacing w:line="248" w:lineRule="auto"/>
              <w:rPr>
                <w:rFonts w:ascii="Arial"/>
                <w:sz w:val="21"/>
              </w:rPr>
            </w:pPr>
          </w:p>
          <w:p w14:paraId="30D88F1D">
            <w:pPr>
              <w:spacing w:line="248" w:lineRule="auto"/>
              <w:rPr>
                <w:rFonts w:ascii="Arial"/>
                <w:sz w:val="21"/>
              </w:rPr>
            </w:pPr>
          </w:p>
          <w:p w14:paraId="0D4CD1A9">
            <w:pPr>
              <w:spacing w:line="248" w:lineRule="auto"/>
              <w:rPr>
                <w:rFonts w:ascii="Arial"/>
                <w:sz w:val="21"/>
              </w:rPr>
            </w:pPr>
          </w:p>
          <w:p w14:paraId="7BF5EF18">
            <w:pPr>
              <w:spacing w:line="248" w:lineRule="auto"/>
              <w:rPr>
                <w:rFonts w:ascii="Arial"/>
                <w:sz w:val="21"/>
              </w:rPr>
            </w:pPr>
          </w:p>
          <w:p w14:paraId="7E5676E8">
            <w:pPr>
              <w:spacing w:line="248" w:lineRule="auto"/>
              <w:rPr>
                <w:rFonts w:ascii="Arial"/>
                <w:sz w:val="21"/>
              </w:rPr>
            </w:pPr>
          </w:p>
          <w:p w14:paraId="1A46F3C3">
            <w:pPr>
              <w:spacing w:line="249" w:lineRule="auto"/>
              <w:rPr>
                <w:rFonts w:ascii="Arial"/>
                <w:sz w:val="21"/>
              </w:rPr>
            </w:pPr>
          </w:p>
          <w:p w14:paraId="4F480098">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4E741C6B">
            <w:pPr>
              <w:spacing w:line="275" w:lineRule="auto"/>
              <w:rPr>
                <w:rFonts w:ascii="Arial"/>
                <w:sz w:val="21"/>
              </w:rPr>
            </w:pPr>
          </w:p>
          <w:p w14:paraId="5A0967D2">
            <w:pPr>
              <w:spacing w:line="275" w:lineRule="auto"/>
              <w:rPr>
                <w:rFonts w:ascii="Arial"/>
                <w:sz w:val="21"/>
              </w:rPr>
            </w:pPr>
          </w:p>
          <w:p w14:paraId="69A8DB29">
            <w:pPr>
              <w:spacing w:line="276" w:lineRule="auto"/>
              <w:rPr>
                <w:rFonts w:ascii="Arial"/>
                <w:sz w:val="21"/>
              </w:rPr>
            </w:pPr>
          </w:p>
          <w:p w14:paraId="6F974699">
            <w:pPr>
              <w:pStyle w:val="6"/>
              <w:spacing w:before="99" w:line="188" w:lineRule="auto"/>
              <w:ind w:left="118" w:right="105"/>
              <w:jc w:val="both"/>
            </w:pPr>
            <w:r>
              <w:rPr>
                <w:spacing w:val="26"/>
              </w:rPr>
              <w:t>未按照有关法规标准的强制性规定从</w:t>
            </w:r>
            <w:r>
              <w:rPr>
                <w:spacing w:val="-3"/>
              </w:rPr>
              <w:t>事安全评价、检测检</w:t>
            </w:r>
            <w:r>
              <w:rPr>
                <w:spacing w:val="-8"/>
              </w:rPr>
              <w:t>验活动，涉及</w:t>
            </w:r>
            <w:r>
              <w:rPr>
                <w:rFonts w:ascii="宋体" w:hAnsi="宋体" w:eastAsia="宋体" w:cs="宋体"/>
                <w:spacing w:val="-8"/>
              </w:rPr>
              <w:t>1</w:t>
            </w:r>
            <w:r>
              <w:rPr>
                <w:spacing w:val="-8"/>
              </w:rPr>
              <w:t>项强</w:t>
            </w:r>
            <w:r>
              <w:rPr>
                <w:spacing w:val="6"/>
              </w:rPr>
              <w:t>制性规定的</w:t>
            </w:r>
          </w:p>
        </w:tc>
        <w:tc>
          <w:tcPr>
            <w:tcW w:w="2894" w:type="dxa"/>
            <w:vAlign w:val="top"/>
          </w:tcPr>
          <w:p w14:paraId="75D59421">
            <w:pPr>
              <w:pStyle w:val="6"/>
              <w:spacing w:before="37" w:line="180" w:lineRule="auto"/>
              <w:ind w:left="120" w:right="104" w:firstLine="7"/>
              <w:jc w:val="both"/>
            </w:pPr>
            <w:r>
              <w:rPr>
                <w:spacing w:val="10"/>
              </w:rPr>
              <w:t>责令改正或者责令限期改</w:t>
            </w:r>
            <w:r>
              <w:rPr>
                <w:spacing w:val="8"/>
              </w:rPr>
              <w:t>正，给予警告，可以并处</w:t>
            </w:r>
            <w:r>
              <w:rPr>
                <w:rFonts w:ascii="宋体" w:hAnsi="宋体" w:eastAsia="宋体" w:cs="宋体"/>
                <w:spacing w:val="9"/>
              </w:rPr>
              <w:t>1</w:t>
            </w:r>
            <w:r>
              <w:rPr>
                <w:spacing w:val="9"/>
              </w:rPr>
              <w:t>万元以下的罚款；逾期</w:t>
            </w:r>
            <w:r>
              <w:rPr>
                <w:spacing w:val="3"/>
              </w:rPr>
              <w:t>未改正的，处</w:t>
            </w:r>
            <w:r>
              <w:rPr>
                <w:rFonts w:ascii="宋体" w:hAnsi="宋体" w:eastAsia="宋体" w:cs="宋体"/>
                <w:spacing w:val="3"/>
              </w:rPr>
              <w:t>1</w:t>
            </w:r>
            <w:r>
              <w:rPr>
                <w:spacing w:val="3"/>
              </w:rPr>
              <w:t>万元以上</w:t>
            </w:r>
            <w:r>
              <w:rPr>
                <w:rFonts w:ascii="宋体" w:hAnsi="宋体" w:eastAsia="宋体" w:cs="宋体"/>
                <w:spacing w:val="6"/>
              </w:rPr>
              <w:t>1.5</w:t>
            </w:r>
            <w:r>
              <w:rPr>
                <w:spacing w:val="6"/>
              </w:rPr>
              <w:t>万元以下的罚款，对</w:t>
            </w:r>
            <w:r>
              <w:rPr>
                <w:spacing w:val="3"/>
              </w:rPr>
              <w:t>相关责任人处</w:t>
            </w:r>
            <w:r>
              <w:rPr>
                <w:rFonts w:ascii="宋体" w:hAnsi="宋体" w:eastAsia="宋体" w:cs="宋体"/>
                <w:spacing w:val="3"/>
              </w:rPr>
              <w:t>1</w:t>
            </w:r>
            <w:r>
              <w:rPr>
                <w:spacing w:val="3"/>
              </w:rPr>
              <w:t>千元以上</w:t>
            </w:r>
            <w:r>
              <w:rPr>
                <w:rFonts w:ascii="宋体" w:hAnsi="宋体" w:eastAsia="宋体" w:cs="宋体"/>
                <w:spacing w:val="9"/>
              </w:rPr>
              <w:t>5</w:t>
            </w:r>
            <w:r>
              <w:rPr>
                <w:spacing w:val="9"/>
              </w:rPr>
              <w:t>千元以下的罚款；情节</w:t>
            </w:r>
            <w:r>
              <w:rPr>
                <w:spacing w:val="-9"/>
              </w:rPr>
              <w:t>严重的，处</w:t>
            </w:r>
            <w:r>
              <w:rPr>
                <w:rFonts w:ascii="宋体" w:hAnsi="宋体" w:eastAsia="宋体" w:cs="宋体"/>
                <w:spacing w:val="-9"/>
              </w:rPr>
              <w:t>1</w:t>
            </w:r>
            <w:r>
              <w:rPr>
                <w:spacing w:val="-9"/>
              </w:rPr>
              <w:t>万元以上</w:t>
            </w:r>
            <w:r>
              <w:rPr>
                <w:rFonts w:ascii="宋体" w:hAnsi="宋体" w:eastAsia="宋体" w:cs="宋体"/>
                <w:spacing w:val="-9"/>
              </w:rPr>
              <w:t>1.5</w:t>
            </w:r>
            <w:r>
              <w:rPr>
                <w:spacing w:val="8"/>
              </w:rPr>
              <w:t>万元以下的罚款，对相关</w:t>
            </w:r>
            <w:r>
              <w:rPr>
                <w:spacing w:val="2"/>
              </w:rPr>
              <w:t>责任人处</w:t>
            </w:r>
            <w:r>
              <w:rPr>
                <w:rFonts w:ascii="宋体" w:hAnsi="宋体" w:eastAsia="宋体" w:cs="宋体"/>
                <w:spacing w:val="2"/>
              </w:rPr>
              <w:t>5</w:t>
            </w:r>
            <w:r>
              <w:rPr>
                <w:spacing w:val="2"/>
              </w:rPr>
              <w:t>千元以上</w:t>
            </w:r>
            <w:r>
              <w:rPr>
                <w:rFonts w:ascii="宋体" w:hAnsi="宋体" w:eastAsia="宋体" w:cs="宋体"/>
                <w:spacing w:val="2"/>
              </w:rPr>
              <w:t>1</w:t>
            </w:r>
            <w:r>
              <w:rPr>
                <w:spacing w:val="2"/>
              </w:rPr>
              <w:t>万</w:t>
            </w:r>
            <w:r>
              <w:rPr>
                <w:spacing w:val="7"/>
              </w:rPr>
              <w:t>元以下的罚款</w:t>
            </w:r>
          </w:p>
        </w:tc>
        <w:tc>
          <w:tcPr>
            <w:tcW w:w="811" w:type="dxa"/>
            <w:vMerge w:val="restart"/>
            <w:tcBorders>
              <w:bottom w:val="nil"/>
            </w:tcBorders>
            <w:vAlign w:val="top"/>
          </w:tcPr>
          <w:p w14:paraId="183D5AFD">
            <w:pPr>
              <w:spacing w:line="261" w:lineRule="auto"/>
              <w:rPr>
                <w:rFonts w:ascii="Arial"/>
                <w:sz w:val="21"/>
              </w:rPr>
            </w:pPr>
          </w:p>
          <w:p w14:paraId="0C1D7272">
            <w:pPr>
              <w:spacing w:line="261" w:lineRule="auto"/>
              <w:rPr>
                <w:rFonts w:ascii="Arial"/>
                <w:sz w:val="21"/>
              </w:rPr>
            </w:pPr>
          </w:p>
          <w:p w14:paraId="6B14A9DE">
            <w:pPr>
              <w:spacing w:line="261" w:lineRule="auto"/>
              <w:rPr>
                <w:rFonts w:ascii="Arial"/>
                <w:sz w:val="21"/>
              </w:rPr>
            </w:pPr>
          </w:p>
          <w:p w14:paraId="3092AE55">
            <w:pPr>
              <w:spacing w:line="262" w:lineRule="auto"/>
              <w:rPr>
                <w:rFonts w:ascii="Arial"/>
                <w:sz w:val="21"/>
              </w:rPr>
            </w:pPr>
          </w:p>
          <w:p w14:paraId="6874D88D">
            <w:pPr>
              <w:spacing w:line="262" w:lineRule="auto"/>
              <w:rPr>
                <w:rFonts w:ascii="Arial"/>
                <w:sz w:val="21"/>
              </w:rPr>
            </w:pPr>
          </w:p>
          <w:p w14:paraId="527A9594">
            <w:pPr>
              <w:spacing w:line="262" w:lineRule="auto"/>
              <w:rPr>
                <w:rFonts w:ascii="Arial"/>
                <w:sz w:val="21"/>
              </w:rPr>
            </w:pPr>
          </w:p>
          <w:p w14:paraId="78CC9E05">
            <w:pPr>
              <w:spacing w:line="262" w:lineRule="auto"/>
              <w:rPr>
                <w:rFonts w:ascii="Arial"/>
                <w:sz w:val="21"/>
              </w:rPr>
            </w:pPr>
          </w:p>
          <w:p w14:paraId="49600801">
            <w:pPr>
              <w:spacing w:line="262" w:lineRule="auto"/>
              <w:rPr>
                <w:rFonts w:ascii="Arial"/>
                <w:sz w:val="21"/>
              </w:rPr>
            </w:pPr>
          </w:p>
          <w:p w14:paraId="7881643A">
            <w:pPr>
              <w:spacing w:before="75" w:line="188" w:lineRule="auto"/>
              <w:ind w:left="233"/>
              <w:rPr>
                <w:rFonts w:ascii="宋体" w:hAnsi="宋体" w:eastAsia="宋体" w:cs="宋体"/>
                <w:sz w:val="23"/>
                <w:szCs w:val="23"/>
              </w:rPr>
            </w:pPr>
            <w:r>
              <w:rPr>
                <w:rFonts w:ascii="宋体" w:hAnsi="宋体" w:eastAsia="宋体" w:cs="宋体"/>
                <w:spacing w:val="-1"/>
                <w:sz w:val="23"/>
                <w:szCs w:val="23"/>
              </w:rPr>
              <w:t>248</w:t>
            </w:r>
          </w:p>
        </w:tc>
      </w:tr>
      <w:tr w14:paraId="70CC2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818" w:type="dxa"/>
            <w:vMerge w:val="continue"/>
            <w:tcBorders>
              <w:top w:val="nil"/>
            </w:tcBorders>
            <w:vAlign w:val="top"/>
          </w:tcPr>
          <w:p w14:paraId="667D0C8E">
            <w:pPr>
              <w:rPr>
                <w:rFonts w:ascii="Arial"/>
                <w:sz w:val="21"/>
              </w:rPr>
            </w:pPr>
          </w:p>
        </w:tc>
        <w:tc>
          <w:tcPr>
            <w:tcW w:w="1440" w:type="dxa"/>
            <w:vMerge w:val="continue"/>
            <w:tcBorders>
              <w:top w:val="nil"/>
            </w:tcBorders>
            <w:vAlign w:val="top"/>
          </w:tcPr>
          <w:p w14:paraId="3A3E15FD">
            <w:pPr>
              <w:rPr>
                <w:rFonts w:ascii="Arial"/>
                <w:sz w:val="21"/>
              </w:rPr>
            </w:pPr>
          </w:p>
        </w:tc>
        <w:tc>
          <w:tcPr>
            <w:tcW w:w="3202" w:type="dxa"/>
            <w:vMerge w:val="continue"/>
            <w:tcBorders>
              <w:top w:val="nil"/>
            </w:tcBorders>
            <w:vAlign w:val="top"/>
          </w:tcPr>
          <w:p w14:paraId="1E78F7AD">
            <w:pPr>
              <w:rPr>
                <w:rFonts w:ascii="Arial"/>
                <w:sz w:val="21"/>
              </w:rPr>
            </w:pPr>
          </w:p>
        </w:tc>
        <w:tc>
          <w:tcPr>
            <w:tcW w:w="2859" w:type="dxa"/>
            <w:vMerge w:val="continue"/>
            <w:tcBorders>
              <w:top w:val="nil"/>
            </w:tcBorders>
            <w:vAlign w:val="top"/>
          </w:tcPr>
          <w:p w14:paraId="288174D2">
            <w:pPr>
              <w:rPr>
                <w:rFonts w:ascii="Arial"/>
                <w:sz w:val="21"/>
              </w:rPr>
            </w:pPr>
          </w:p>
        </w:tc>
        <w:tc>
          <w:tcPr>
            <w:tcW w:w="803" w:type="dxa"/>
            <w:vAlign w:val="top"/>
          </w:tcPr>
          <w:p w14:paraId="0D69B13E">
            <w:pPr>
              <w:spacing w:line="452" w:lineRule="auto"/>
              <w:rPr>
                <w:rFonts w:ascii="Arial"/>
                <w:sz w:val="21"/>
              </w:rPr>
            </w:pPr>
          </w:p>
          <w:p w14:paraId="3C3597F8">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12FD614">
            <w:pPr>
              <w:pStyle w:val="6"/>
              <w:spacing w:before="33" w:line="177" w:lineRule="auto"/>
              <w:ind w:left="118" w:right="105"/>
              <w:jc w:val="both"/>
            </w:pPr>
            <w:r>
              <w:rPr>
                <w:spacing w:val="26"/>
              </w:rPr>
              <w:t>未按照有关法规标准的强制性规定从</w:t>
            </w:r>
            <w:r>
              <w:rPr>
                <w:spacing w:val="-3"/>
              </w:rPr>
              <w:t>事安全评价、检测检</w:t>
            </w:r>
            <w:r>
              <w:rPr>
                <w:spacing w:val="-5"/>
              </w:rPr>
              <w:t>验活动，涉及</w:t>
            </w:r>
            <w:r>
              <w:rPr>
                <w:rFonts w:ascii="宋体" w:hAnsi="宋体" w:eastAsia="宋体" w:cs="宋体"/>
                <w:spacing w:val="-5"/>
              </w:rPr>
              <w:t>2</w:t>
            </w:r>
            <w:r>
              <w:rPr>
                <w:spacing w:val="-5"/>
              </w:rPr>
              <w:t>项强</w:t>
            </w:r>
          </w:p>
        </w:tc>
        <w:tc>
          <w:tcPr>
            <w:tcW w:w="2894" w:type="dxa"/>
            <w:vAlign w:val="top"/>
          </w:tcPr>
          <w:p w14:paraId="26BA12A0">
            <w:pPr>
              <w:pStyle w:val="6"/>
              <w:spacing w:before="33" w:line="177" w:lineRule="auto"/>
              <w:ind w:left="120" w:right="103" w:firstLine="7"/>
              <w:jc w:val="both"/>
            </w:pPr>
            <w:r>
              <w:rPr>
                <w:spacing w:val="10"/>
              </w:rPr>
              <w:t>责令改正或者责令限期改</w:t>
            </w:r>
            <w:r>
              <w:rPr>
                <w:spacing w:val="8"/>
              </w:rPr>
              <w:t>正，给予警告，可以并处</w:t>
            </w:r>
            <w:r>
              <w:rPr>
                <w:rFonts w:ascii="宋体" w:hAnsi="宋体" w:eastAsia="宋体" w:cs="宋体"/>
                <w:spacing w:val="9"/>
              </w:rPr>
              <w:t>1</w:t>
            </w:r>
            <w:r>
              <w:rPr>
                <w:spacing w:val="9"/>
              </w:rPr>
              <w:t>万元以下的罚款；逾期</w:t>
            </w:r>
            <w:r>
              <w:rPr>
                <w:spacing w:val="2"/>
              </w:rPr>
              <w:t>未改正的，处</w:t>
            </w:r>
            <w:r>
              <w:rPr>
                <w:rFonts w:ascii="宋体" w:hAnsi="宋体" w:eastAsia="宋体" w:cs="宋体"/>
                <w:spacing w:val="2"/>
              </w:rPr>
              <w:t>1.5</w:t>
            </w:r>
            <w:r>
              <w:rPr>
                <w:spacing w:val="2"/>
              </w:rPr>
              <w:t>万元以</w:t>
            </w:r>
          </w:p>
        </w:tc>
        <w:tc>
          <w:tcPr>
            <w:tcW w:w="811" w:type="dxa"/>
            <w:vMerge w:val="continue"/>
            <w:tcBorders>
              <w:top w:val="nil"/>
            </w:tcBorders>
            <w:vAlign w:val="top"/>
          </w:tcPr>
          <w:p w14:paraId="2CEC03E0">
            <w:pPr>
              <w:rPr>
                <w:rFonts w:ascii="Arial"/>
                <w:sz w:val="21"/>
              </w:rPr>
            </w:pPr>
          </w:p>
        </w:tc>
      </w:tr>
    </w:tbl>
    <w:p w14:paraId="0EB4B49B">
      <w:pPr>
        <w:pStyle w:val="2"/>
      </w:pPr>
    </w:p>
    <w:p w14:paraId="27751444">
      <w:pPr>
        <w:sectPr>
          <w:footerReference r:id="rId228" w:type="default"/>
          <w:pgSz w:w="16839" w:h="11906"/>
          <w:pgMar w:top="1012" w:right="821" w:bottom="666" w:left="901" w:header="0" w:footer="388" w:gutter="0"/>
          <w:cols w:space="720" w:num="1"/>
        </w:sectPr>
      </w:pPr>
    </w:p>
    <w:p w14:paraId="07F960C0">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B829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7E3A511">
            <w:pPr>
              <w:spacing w:before="222" w:line="241" w:lineRule="auto"/>
              <w:ind w:left="131"/>
              <w:outlineLvl w:val="0"/>
              <w:rPr>
                <w:rFonts w:ascii="黑体" w:hAnsi="黑体" w:eastAsia="黑体" w:cs="黑体"/>
                <w:sz w:val="28"/>
                <w:szCs w:val="28"/>
              </w:rPr>
            </w:pPr>
            <w:bookmarkStart w:id="735" w:name="bookmark463"/>
            <w:bookmarkEnd w:id="735"/>
            <w:r>
              <w:rPr>
                <w:rFonts w:ascii="黑体" w:hAnsi="黑体" w:eastAsia="黑体" w:cs="黑体"/>
                <w:spacing w:val="-2"/>
                <w:sz w:val="28"/>
                <w:szCs w:val="28"/>
              </w:rPr>
              <w:t>序号</w:t>
            </w:r>
          </w:p>
        </w:tc>
        <w:tc>
          <w:tcPr>
            <w:tcW w:w="1440" w:type="dxa"/>
            <w:vAlign w:val="top"/>
          </w:tcPr>
          <w:p w14:paraId="1530C787">
            <w:pPr>
              <w:spacing w:before="221"/>
              <w:ind w:left="163"/>
              <w:outlineLvl w:val="1"/>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E8E14E6">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1E54647">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603E287C">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291CDE0A">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0FC5928A">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616D6838">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6109D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18" w:type="dxa"/>
            <w:vMerge w:val="restart"/>
            <w:tcBorders>
              <w:bottom w:val="nil"/>
            </w:tcBorders>
            <w:vAlign w:val="top"/>
          </w:tcPr>
          <w:p w14:paraId="0E707D20">
            <w:pPr>
              <w:rPr>
                <w:rFonts w:ascii="Arial"/>
                <w:sz w:val="21"/>
              </w:rPr>
            </w:pPr>
          </w:p>
        </w:tc>
        <w:tc>
          <w:tcPr>
            <w:tcW w:w="1440" w:type="dxa"/>
            <w:vMerge w:val="restart"/>
            <w:tcBorders>
              <w:bottom w:val="nil"/>
            </w:tcBorders>
            <w:vAlign w:val="top"/>
          </w:tcPr>
          <w:p w14:paraId="0B48BBE9">
            <w:pPr>
              <w:rPr>
                <w:rFonts w:ascii="Arial"/>
                <w:sz w:val="21"/>
              </w:rPr>
            </w:pPr>
          </w:p>
        </w:tc>
        <w:tc>
          <w:tcPr>
            <w:tcW w:w="3202" w:type="dxa"/>
            <w:vMerge w:val="restart"/>
            <w:tcBorders>
              <w:bottom w:val="nil"/>
            </w:tcBorders>
            <w:vAlign w:val="top"/>
          </w:tcPr>
          <w:p w14:paraId="094A818A">
            <w:pPr>
              <w:rPr>
                <w:rFonts w:ascii="Arial"/>
                <w:sz w:val="21"/>
              </w:rPr>
            </w:pPr>
          </w:p>
        </w:tc>
        <w:tc>
          <w:tcPr>
            <w:tcW w:w="2859" w:type="dxa"/>
            <w:vMerge w:val="restart"/>
            <w:tcBorders>
              <w:bottom w:val="nil"/>
            </w:tcBorders>
            <w:vAlign w:val="top"/>
          </w:tcPr>
          <w:p w14:paraId="2D981CE2">
            <w:pPr>
              <w:pStyle w:val="6"/>
              <w:spacing w:before="28" w:line="182" w:lineRule="auto"/>
              <w:ind w:left="120"/>
            </w:pPr>
            <w:r>
              <w:rPr>
                <w:spacing w:val="8"/>
              </w:rPr>
              <w:t>款：（六）未按照有关法</w:t>
            </w:r>
          </w:p>
          <w:p w14:paraId="46BD2317">
            <w:pPr>
              <w:pStyle w:val="6"/>
              <w:spacing w:line="182" w:lineRule="auto"/>
              <w:ind w:left="121"/>
              <w:outlineLvl w:val="1"/>
            </w:pPr>
            <w:r>
              <w:rPr>
                <w:spacing w:val="8"/>
              </w:rPr>
              <w:t>规标准的强制性规定从事</w:t>
            </w:r>
          </w:p>
          <w:p w14:paraId="38EA7D5A">
            <w:pPr>
              <w:pStyle w:val="6"/>
              <w:spacing w:line="182" w:lineRule="auto"/>
              <w:ind w:left="122"/>
              <w:outlineLvl w:val="1"/>
            </w:pPr>
            <w:r>
              <w:rPr>
                <w:spacing w:val="8"/>
              </w:rPr>
              <w:t>安全评价、检测检验活动</w:t>
            </w:r>
          </w:p>
          <w:p w14:paraId="766A9855">
            <w:pPr>
              <w:pStyle w:val="6"/>
              <w:spacing w:before="1" w:line="208" w:lineRule="auto"/>
              <w:ind w:left="139"/>
              <w:outlineLvl w:val="1"/>
            </w:pPr>
            <w:r>
              <w:rPr>
                <w:spacing w:val="-16"/>
              </w:rPr>
              <w:t>的；</w:t>
            </w:r>
          </w:p>
        </w:tc>
        <w:tc>
          <w:tcPr>
            <w:tcW w:w="803" w:type="dxa"/>
            <w:vAlign w:val="top"/>
          </w:tcPr>
          <w:p w14:paraId="7E9A3395">
            <w:pPr>
              <w:rPr>
                <w:rFonts w:ascii="Arial"/>
                <w:sz w:val="21"/>
              </w:rPr>
            </w:pPr>
          </w:p>
        </w:tc>
        <w:tc>
          <w:tcPr>
            <w:tcW w:w="2283" w:type="dxa"/>
            <w:vAlign w:val="top"/>
          </w:tcPr>
          <w:p w14:paraId="16272ED5">
            <w:pPr>
              <w:pStyle w:val="6"/>
              <w:spacing w:before="27" w:line="209" w:lineRule="auto"/>
              <w:ind w:left="123"/>
            </w:pPr>
            <w:r>
              <w:rPr>
                <w:spacing w:val="5"/>
              </w:rPr>
              <w:t>制性规定的</w:t>
            </w:r>
          </w:p>
        </w:tc>
        <w:tc>
          <w:tcPr>
            <w:tcW w:w="2894" w:type="dxa"/>
            <w:vAlign w:val="top"/>
          </w:tcPr>
          <w:p w14:paraId="213BE2B6">
            <w:pPr>
              <w:pStyle w:val="6"/>
              <w:spacing w:before="33" w:line="179" w:lineRule="auto"/>
              <w:ind w:left="118" w:right="104" w:firstLine="6"/>
              <w:jc w:val="both"/>
            </w:pPr>
            <w:r>
              <w:rPr>
                <w:spacing w:val="4"/>
              </w:rPr>
              <w:t>上</w:t>
            </w:r>
            <w:r>
              <w:rPr>
                <w:rFonts w:ascii="宋体" w:hAnsi="宋体" w:eastAsia="宋体" w:cs="宋体"/>
                <w:spacing w:val="4"/>
              </w:rPr>
              <w:t>2</w:t>
            </w:r>
            <w:r>
              <w:rPr>
                <w:spacing w:val="4"/>
              </w:rPr>
              <w:t>万元以下的罚款，对</w:t>
            </w:r>
            <w:r>
              <w:rPr>
                <w:spacing w:val="3"/>
              </w:rPr>
              <w:t>相关责任人处</w:t>
            </w:r>
            <w:r>
              <w:rPr>
                <w:rFonts w:ascii="宋体" w:hAnsi="宋体" w:eastAsia="宋体" w:cs="宋体"/>
                <w:spacing w:val="3"/>
              </w:rPr>
              <w:t>1</w:t>
            </w:r>
            <w:r>
              <w:rPr>
                <w:spacing w:val="3"/>
              </w:rPr>
              <w:t>千元以上</w:t>
            </w:r>
            <w:r>
              <w:rPr>
                <w:rFonts w:ascii="宋体" w:hAnsi="宋体" w:eastAsia="宋体" w:cs="宋体"/>
                <w:spacing w:val="9"/>
              </w:rPr>
              <w:t>5</w:t>
            </w:r>
            <w:r>
              <w:rPr>
                <w:spacing w:val="9"/>
              </w:rPr>
              <w:t>千元以下的罚款；情节</w:t>
            </w:r>
            <w:r>
              <w:rPr>
                <w:spacing w:val="2"/>
              </w:rPr>
              <w:t>严重的，处</w:t>
            </w:r>
            <w:r>
              <w:rPr>
                <w:rFonts w:ascii="宋体" w:hAnsi="宋体" w:eastAsia="宋体" w:cs="宋体"/>
                <w:spacing w:val="2"/>
              </w:rPr>
              <w:t>1.5</w:t>
            </w:r>
            <w:r>
              <w:rPr>
                <w:spacing w:val="2"/>
              </w:rPr>
              <w:t>万元以上</w:t>
            </w:r>
            <w:r>
              <w:rPr>
                <w:rFonts w:ascii="宋体" w:hAnsi="宋体" w:eastAsia="宋体" w:cs="宋体"/>
                <w:spacing w:val="9"/>
              </w:rPr>
              <w:t>2</w:t>
            </w:r>
            <w:r>
              <w:rPr>
                <w:spacing w:val="9"/>
              </w:rPr>
              <w:t>万元以下的罚款，对相</w:t>
            </w:r>
            <w:r>
              <w:rPr>
                <w:spacing w:val="8"/>
              </w:rPr>
              <w:t>关责任人处</w:t>
            </w:r>
            <w:r>
              <w:rPr>
                <w:rFonts w:ascii="宋体" w:hAnsi="宋体" w:eastAsia="宋体" w:cs="宋体"/>
                <w:spacing w:val="8"/>
              </w:rPr>
              <w:t>5</w:t>
            </w:r>
            <w:r>
              <w:rPr>
                <w:spacing w:val="8"/>
              </w:rPr>
              <w:t>千元以上</w:t>
            </w:r>
            <w:r>
              <w:rPr>
                <w:rFonts w:ascii="宋体" w:hAnsi="宋体" w:eastAsia="宋体" w:cs="宋体"/>
                <w:spacing w:val="8"/>
              </w:rPr>
              <w:t>1</w:t>
            </w:r>
            <w:r>
              <w:rPr>
                <w:spacing w:val="7"/>
              </w:rPr>
              <w:t>万元以下的罚款</w:t>
            </w:r>
          </w:p>
        </w:tc>
        <w:tc>
          <w:tcPr>
            <w:tcW w:w="811" w:type="dxa"/>
            <w:vMerge w:val="restart"/>
            <w:tcBorders>
              <w:bottom w:val="nil"/>
            </w:tcBorders>
            <w:vAlign w:val="top"/>
          </w:tcPr>
          <w:p w14:paraId="30140606">
            <w:pPr>
              <w:rPr>
                <w:rFonts w:ascii="Arial"/>
                <w:sz w:val="21"/>
              </w:rPr>
            </w:pPr>
          </w:p>
        </w:tc>
      </w:tr>
      <w:tr w14:paraId="43B3D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818" w:type="dxa"/>
            <w:vMerge w:val="continue"/>
            <w:tcBorders>
              <w:top w:val="nil"/>
            </w:tcBorders>
            <w:vAlign w:val="top"/>
          </w:tcPr>
          <w:p w14:paraId="57A24A41">
            <w:pPr>
              <w:rPr>
                <w:rFonts w:ascii="Arial"/>
                <w:sz w:val="21"/>
              </w:rPr>
            </w:pPr>
          </w:p>
        </w:tc>
        <w:tc>
          <w:tcPr>
            <w:tcW w:w="1440" w:type="dxa"/>
            <w:vMerge w:val="continue"/>
            <w:tcBorders>
              <w:top w:val="nil"/>
            </w:tcBorders>
            <w:vAlign w:val="top"/>
          </w:tcPr>
          <w:p w14:paraId="35BC48DB">
            <w:pPr>
              <w:rPr>
                <w:rFonts w:ascii="Arial"/>
                <w:sz w:val="21"/>
              </w:rPr>
            </w:pPr>
          </w:p>
        </w:tc>
        <w:tc>
          <w:tcPr>
            <w:tcW w:w="3202" w:type="dxa"/>
            <w:vMerge w:val="continue"/>
            <w:tcBorders>
              <w:top w:val="nil"/>
            </w:tcBorders>
            <w:vAlign w:val="top"/>
          </w:tcPr>
          <w:p w14:paraId="1C5C52B8">
            <w:pPr>
              <w:rPr>
                <w:rFonts w:ascii="Arial"/>
                <w:sz w:val="21"/>
              </w:rPr>
            </w:pPr>
          </w:p>
        </w:tc>
        <w:tc>
          <w:tcPr>
            <w:tcW w:w="2859" w:type="dxa"/>
            <w:vMerge w:val="continue"/>
            <w:tcBorders>
              <w:top w:val="nil"/>
            </w:tcBorders>
            <w:vAlign w:val="top"/>
          </w:tcPr>
          <w:p w14:paraId="191D7B89">
            <w:pPr>
              <w:rPr>
                <w:rFonts w:ascii="Arial"/>
                <w:sz w:val="21"/>
              </w:rPr>
            </w:pPr>
          </w:p>
        </w:tc>
        <w:tc>
          <w:tcPr>
            <w:tcW w:w="803" w:type="dxa"/>
            <w:vAlign w:val="top"/>
          </w:tcPr>
          <w:p w14:paraId="6EDFF2C9">
            <w:pPr>
              <w:spacing w:line="248" w:lineRule="auto"/>
              <w:rPr>
                <w:rFonts w:ascii="Arial"/>
                <w:sz w:val="21"/>
              </w:rPr>
            </w:pPr>
          </w:p>
          <w:p w14:paraId="181F8A86">
            <w:pPr>
              <w:spacing w:line="248" w:lineRule="auto"/>
              <w:rPr>
                <w:rFonts w:ascii="Arial"/>
                <w:sz w:val="21"/>
              </w:rPr>
            </w:pPr>
          </w:p>
          <w:p w14:paraId="137C6631">
            <w:pPr>
              <w:spacing w:line="248" w:lineRule="auto"/>
              <w:rPr>
                <w:rFonts w:ascii="Arial"/>
                <w:sz w:val="21"/>
              </w:rPr>
            </w:pPr>
          </w:p>
          <w:p w14:paraId="5772CBF4">
            <w:pPr>
              <w:spacing w:line="248" w:lineRule="auto"/>
              <w:rPr>
                <w:rFonts w:ascii="Arial"/>
                <w:sz w:val="21"/>
              </w:rPr>
            </w:pPr>
          </w:p>
          <w:p w14:paraId="759381A9">
            <w:pPr>
              <w:spacing w:line="249" w:lineRule="auto"/>
              <w:rPr>
                <w:rFonts w:ascii="Arial"/>
                <w:sz w:val="21"/>
              </w:rPr>
            </w:pPr>
          </w:p>
          <w:p w14:paraId="71667362">
            <w:pPr>
              <w:spacing w:line="249" w:lineRule="auto"/>
              <w:rPr>
                <w:rFonts w:ascii="Arial"/>
                <w:sz w:val="21"/>
              </w:rPr>
            </w:pPr>
          </w:p>
          <w:p w14:paraId="3F761A3D">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30D0098">
            <w:pPr>
              <w:spacing w:line="274" w:lineRule="auto"/>
              <w:rPr>
                <w:rFonts w:ascii="Arial"/>
                <w:sz w:val="21"/>
              </w:rPr>
            </w:pPr>
          </w:p>
          <w:p w14:paraId="6E538F08">
            <w:pPr>
              <w:spacing w:line="275" w:lineRule="auto"/>
              <w:rPr>
                <w:rFonts w:ascii="Arial"/>
                <w:sz w:val="21"/>
              </w:rPr>
            </w:pPr>
          </w:p>
          <w:p w14:paraId="3B87745A">
            <w:pPr>
              <w:spacing w:line="275" w:lineRule="auto"/>
              <w:rPr>
                <w:rFonts w:ascii="Arial"/>
                <w:sz w:val="21"/>
              </w:rPr>
            </w:pPr>
          </w:p>
          <w:p w14:paraId="535127D8">
            <w:pPr>
              <w:pStyle w:val="6"/>
              <w:spacing w:before="99" w:line="188" w:lineRule="auto"/>
              <w:ind w:left="118" w:right="105"/>
              <w:jc w:val="both"/>
            </w:pPr>
            <w:r>
              <w:rPr>
                <w:spacing w:val="26"/>
              </w:rPr>
              <w:t>未按照有关法规标准的强制性规定从</w:t>
            </w:r>
            <w:r>
              <w:rPr>
                <w:spacing w:val="-3"/>
              </w:rPr>
              <w:t>事安全评价、检测检</w:t>
            </w:r>
            <w:r>
              <w:rPr>
                <w:spacing w:val="-5"/>
              </w:rPr>
              <w:t>验活动，涉及</w:t>
            </w:r>
            <w:r>
              <w:rPr>
                <w:rFonts w:ascii="宋体" w:hAnsi="宋体" w:eastAsia="宋体" w:cs="宋体"/>
                <w:spacing w:val="-5"/>
              </w:rPr>
              <w:t>3</w:t>
            </w:r>
            <w:r>
              <w:rPr>
                <w:spacing w:val="-5"/>
              </w:rPr>
              <w:t>项以</w:t>
            </w:r>
            <w:r>
              <w:rPr>
                <w:spacing w:val="7"/>
              </w:rPr>
              <w:t>上强制性规定的</w:t>
            </w:r>
          </w:p>
        </w:tc>
        <w:tc>
          <w:tcPr>
            <w:tcW w:w="2894" w:type="dxa"/>
            <w:vAlign w:val="top"/>
          </w:tcPr>
          <w:p w14:paraId="1F1873BE">
            <w:pPr>
              <w:pStyle w:val="6"/>
              <w:spacing w:before="37" w:line="180" w:lineRule="auto"/>
              <w:ind w:left="120" w:right="103" w:firstLine="7"/>
              <w:jc w:val="both"/>
            </w:pPr>
            <w:r>
              <w:rPr>
                <w:spacing w:val="10"/>
              </w:rPr>
              <w:t>责令改正或者责令限期改</w:t>
            </w:r>
            <w:r>
              <w:rPr>
                <w:spacing w:val="8"/>
              </w:rPr>
              <w:t>正，给予警告，可以并处</w:t>
            </w:r>
            <w:r>
              <w:rPr>
                <w:rFonts w:ascii="宋体" w:hAnsi="宋体" w:eastAsia="宋体" w:cs="宋体"/>
                <w:spacing w:val="9"/>
              </w:rPr>
              <w:t>1</w:t>
            </w:r>
            <w:r>
              <w:rPr>
                <w:spacing w:val="9"/>
              </w:rPr>
              <w:t>万元以下的罚款；逾期</w:t>
            </w:r>
            <w:r>
              <w:rPr>
                <w:spacing w:val="4"/>
              </w:rPr>
              <w:t>未改正的，处</w:t>
            </w:r>
            <w:r>
              <w:rPr>
                <w:rFonts w:ascii="宋体" w:hAnsi="宋体" w:eastAsia="宋体" w:cs="宋体"/>
                <w:spacing w:val="4"/>
              </w:rPr>
              <w:t>2</w:t>
            </w:r>
            <w:r>
              <w:rPr>
                <w:spacing w:val="4"/>
              </w:rPr>
              <w:t>万元以上</w:t>
            </w:r>
            <w:r>
              <w:rPr>
                <w:rFonts w:ascii="宋体" w:hAnsi="宋体" w:eastAsia="宋体" w:cs="宋体"/>
                <w:spacing w:val="9"/>
              </w:rPr>
              <w:t>3</w:t>
            </w:r>
            <w:r>
              <w:rPr>
                <w:spacing w:val="9"/>
              </w:rPr>
              <w:t>万元以下的罚款，对相</w:t>
            </w:r>
            <w:r>
              <w:rPr>
                <w:spacing w:val="8"/>
              </w:rPr>
              <w:t>关责任人处</w:t>
            </w:r>
            <w:r>
              <w:rPr>
                <w:rFonts w:ascii="宋体" w:hAnsi="宋体" w:eastAsia="宋体" w:cs="宋体"/>
                <w:spacing w:val="8"/>
              </w:rPr>
              <w:t>1</w:t>
            </w:r>
            <w:r>
              <w:rPr>
                <w:spacing w:val="8"/>
              </w:rPr>
              <w:t>千元以上</w:t>
            </w:r>
            <w:r>
              <w:rPr>
                <w:rFonts w:ascii="宋体" w:hAnsi="宋体" w:eastAsia="宋体" w:cs="宋体"/>
                <w:spacing w:val="8"/>
              </w:rPr>
              <w:t>5</w:t>
            </w:r>
            <w:r>
              <w:rPr>
                <w:spacing w:val="8"/>
              </w:rPr>
              <w:t>千元以下的罚款；情节严</w:t>
            </w:r>
            <w:r>
              <w:rPr>
                <w:spacing w:val="1"/>
              </w:rPr>
              <w:t>重的，处</w:t>
            </w:r>
            <w:r>
              <w:rPr>
                <w:rFonts w:ascii="宋体" w:hAnsi="宋体" w:eastAsia="宋体" w:cs="宋体"/>
                <w:spacing w:val="1"/>
              </w:rPr>
              <w:t>2</w:t>
            </w:r>
            <w:r>
              <w:rPr>
                <w:spacing w:val="1"/>
              </w:rPr>
              <w:t>万元以上</w:t>
            </w:r>
            <w:r>
              <w:rPr>
                <w:rFonts w:ascii="宋体" w:hAnsi="宋体" w:eastAsia="宋体" w:cs="宋体"/>
                <w:spacing w:val="1"/>
              </w:rPr>
              <w:t>3</w:t>
            </w:r>
            <w:r>
              <w:rPr>
                <w:spacing w:val="1"/>
              </w:rPr>
              <w:t>万</w:t>
            </w:r>
            <w:r>
              <w:rPr>
                <w:spacing w:val="8"/>
              </w:rPr>
              <w:t>元以下的罚款，对相关责</w:t>
            </w:r>
            <w:r>
              <w:rPr>
                <w:spacing w:val="2"/>
              </w:rPr>
              <w:t>任人处</w:t>
            </w:r>
            <w:r>
              <w:rPr>
                <w:rFonts w:ascii="宋体" w:hAnsi="宋体" w:eastAsia="宋体" w:cs="宋体"/>
                <w:spacing w:val="2"/>
              </w:rPr>
              <w:t>5</w:t>
            </w:r>
            <w:r>
              <w:rPr>
                <w:spacing w:val="2"/>
              </w:rPr>
              <w:t>千元以上</w:t>
            </w:r>
            <w:r>
              <w:rPr>
                <w:rFonts w:ascii="宋体" w:hAnsi="宋体" w:eastAsia="宋体" w:cs="宋体"/>
                <w:spacing w:val="2"/>
              </w:rPr>
              <w:t>1</w:t>
            </w:r>
            <w:r>
              <w:rPr>
                <w:spacing w:val="2"/>
              </w:rPr>
              <w:t>万元</w:t>
            </w:r>
            <w:r>
              <w:rPr>
                <w:spacing w:val="6"/>
              </w:rPr>
              <w:t>以下的罚款</w:t>
            </w:r>
          </w:p>
        </w:tc>
        <w:tc>
          <w:tcPr>
            <w:tcW w:w="811" w:type="dxa"/>
            <w:vMerge w:val="continue"/>
            <w:tcBorders>
              <w:top w:val="nil"/>
            </w:tcBorders>
            <w:vAlign w:val="top"/>
          </w:tcPr>
          <w:p w14:paraId="674EC058">
            <w:pPr>
              <w:rPr>
                <w:rFonts w:ascii="Arial"/>
                <w:sz w:val="21"/>
              </w:rPr>
            </w:pPr>
          </w:p>
        </w:tc>
      </w:tr>
      <w:tr w14:paraId="11742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6" w:hRule="atLeast"/>
        </w:trPr>
        <w:tc>
          <w:tcPr>
            <w:tcW w:w="818" w:type="dxa"/>
            <w:vAlign w:val="top"/>
          </w:tcPr>
          <w:p w14:paraId="73F9976E">
            <w:pPr>
              <w:spacing w:line="249" w:lineRule="auto"/>
              <w:rPr>
                <w:rFonts w:ascii="Arial"/>
                <w:sz w:val="21"/>
              </w:rPr>
            </w:pPr>
          </w:p>
          <w:p w14:paraId="5FA7914E">
            <w:pPr>
              <w:spacing w:line="249" w:lineRule="auto"/>
              <w:rPr>
                <w:rFonts w:ascii="Arial"/>
                <w:sz w:val="21"/>
              </w:rPr>
            </w:pPr>
          </w:p>
          <w:p w14:paraId="49A48B0E">
            <w:pPr>
              <w:spacing w:line="249" w:lineRule="auto"/>
              <w:rPr>
                <w:rFonts w:ascii="Arial"/>
                <w:sz w:val="21"/>
              </w:rPr>
            </w:pPr>
          </w:p>
          <w:p w14:paraId="2591EFFE">
            <w:pPr>
              <w:spacing w:line="249" w:lineRule="auto"/>
              <w:rPr>
                <w:rFonts w:ascii="Arial"/>
                <w:sz w:val="21"/>
              </w:rPr>
            </w:pPr>
          </w:p>
          <w:p w14:paraId="1F8EC1F4">
            <w:pPr>
              <w:spacing w:line="250" w:lineRule="auto"/>
              <w:rPr>
                <w:rFonts w:ascii="Arial"/>
                <w:sz w:val="21"/>
              </w:rPr>
            </w:pPr>
          </w:p>
          <w:p w14:paraId="485FE8A1">
            <w:pPr>
              <w:spacing w:line="250" w:lineRule="auto"/>
              <w:rPr>
                <w:rFonts w:ascii="Arial"/>
                <w:sz w:val="21"/>
              </w:rPr>
            </w:pPr>
          </w:p>
          <w:p w14:paraId="1BECEA47">
            <w:pPr>
              <w:spacing w:before="74" w:line="185" w:lineRule="auto"/>
              <w:ind w:left="146"/>
              <w:rPr>
                <w:rFonts w:ascii="仿宋" w:hAnsi="仿宋" w:eastAsia="仿宋" w:cs="仿宋"/>
                <w:sz w:val="23"/>
                <w:szCs w:val="23"/>
              </w:rPr>
            </w:pPr>
            <w:r>
              <w:rPr>
                <w:rFonts w:ascii="仿宋" w:hAnsi="仿宋" w:eastAsia="仿宋" w:cs="仿宋"/>
                <w:sz w:val="23"/>
                <w:szCs w:val="23"/>
              </w:rPr>
              <w:t>228</w:t>
            </w:r>
          </w:p>
        </w:tc>
        <w:tc>
          <w:tcPr>
            <w:tcW w:w="1440" w:type="dxa"/>
            <w:vAlign w:val="top"/>
          </w:tcPr>
          <w:p w14:paraId="5500A22F">
            <w:pPr>
              <w:spacing w:line="267" w:lineRule="auto"/>
              <w:rPr>
                <w:rFonts w:ascii="Arial"/>
                <w:sz w:val="21"/>
              </w:rPr>
            </w:pPr>
          </w:p>
          <w:p w14:paraId="60158E14">
            <w:pPr>
              <w:spacing w:line="267" w:lineRule="auto"/>
              <w:rPr>
                <w:rFonts w:ascii="Arial"/>
                <w:sz w:val="21"/>
              </w:rPr>
            </w:pPr>
          </w:p>
          <w:p w14:paraId="240F93A6">
            <w:pPr>
              <w:pStyle w:val="6"/>
              <w:spacing w:before="98" w:line="186" w:lineRule="auto"/>
              <w:ind w:left="116" w:right="111" w:firstLine="4"/>
              <w:jc w:val="both"/>
            </w:pPr>
            <w:r>
              <w:rPr>
                <w:spacing w:val="10"/>
              </w:rPr>
              <w:t>安全评价项</w:t>
            </w:r>
            <w:r>
              <w:rPr>
                <w:spacing w:val="11"/>
              </w:rPr>
              <w:t>目组组长及负责勘验人员不到现场实际地点开展勘验等有</w:t>
            </w:r>
            <w:r>
              <w:rPr>
                <w:spacing w:val="5"/>
              </w:rPr>
              <w:t>关工作的</w:t>
            </w:r>
          </w:p>
        </w:tc>
        <w:tc>
          <w:tcPr>
            <w:tcW w:w="3202" w:type="dxa"/>
            <w:vAlign w:val="top"/>
          </w:tcPr>
          <w:p w14:paraId="5E0AB74B">
            <w:pPr>
              <w:pStyle w:val="6"/>
              <w:spacing w:before="28" w:line="186" w:lineRule="auto"/>
              <w:ind w:left="117" w:hanging="19"/>
              <w:jc w:val="both"/>
            </w:pPr>
            <w:r>
              <w:rPr>
                <w:spacing w:val="17"/>
              </w:rPr>
              <w:t>【部门规章】《安全评价检</w:t>
            </w:r>
            <w:r>
              <w:rPr>
                <w:spacing w:val="16"/>
              </w:rPr>
              <w:t>测检验机构管理办法》第二</w:t>
            </w:r>
            <w:r>
              <w:rPr>
                <w:spacing w:val="12"/>
              </w:rPr>
              <w:t>十二条第一款第八项：安全</w:t>
            </w:r>
            <w:r>
              <w:rPr>
                <w:spacing w:val="16"/>
              </w:rPr>
              <w:t>评价检测检验机构及其从业</w:t>
            </w:r>
            <w:r>
              <w:rPr>
                <w:spacing w:val="7"/>
              </w:rPr>
              <w:t>人员不得有下列行为</w:t>
            </w:r>
            <w:r>
              <w:rPr>
                <w:spacing w:val="5"/>
              </w:rPr>
              <w:t>：（</w:t>
            </w:r>
            <w:r>
              <w:rPr>
                <w:spacing w:val="7"/>
              </w:rPr>
              <w:t>八）</w:t>
            </w:r>
            <w:r>
              <w:rPr>
                <w:spacing w:val="16"/>
              </w:rPr>
              <w:t>安全评价项目组组长及负责勘验人员不到现场实际地点</w:t>
            </w:r>
            <w:r>
              <w:rPr>
                <w:spacing w:val="3"/>
              </w:rPr>
              <w:t>开展勘验等有关工作的；</w:t>
            </w:r>
          </w:p>
        </w:tc>
        <w:tc>
          <w:tcPr>
            <w:tcW w:w="2859" w:type="dxa"/>
            <w:vAlign w:val="top"/>
          </w:tcPr>
          <w:p w14:paraId="3D200142">
            <w:pPr>
              <w:pStyle w:val="6"/>
              <w:spacing w:before="40" w:line="180" w:lineRule="auto"/>
              <w:ind w:left="115" w:right="38" w:hanging="18"/>
              <w:jc w:val="both"/>
            </w:pPr>
            <w:r>
              <w:rPr>
                <w:spacing w:val="10"/>
              </w:rPr>
              <w:t>【部门规章】《安全评价检测检验机构管理办法》</w:t>
            </w:r>
            <w:r>
              <w:rPr>
                <w:spacing w:val="8"/>
              </w:rPr>
              <w:t>第三十条第八项：安全评价检测检验机构有下列情形之一的，责令改正或者</w:t>
            </w:r>
            <w:r>
              <w:rPr>
                <w:spacing w:val="-6"/>
              </w:rPr>
              <w:t>责令限期改正，给予警告，</w:t>
            </w:r>
            <w:r>
              <w:rPr>
                <w:spacing w:val="8"/>
              </w:rPr>
              <w:t>可以并处一万元以下的罚</w:t>
            </w:r>
            <w:r>
              <w:rPr>
                <w:spacing w:val="6"/>
              </w:rPr>
              <w:t>款；逾期未改正的，处一</w:t>
            </w:r>
            <w:r>
              <w:rPr>
                <w:spacing w:val="8"/>
              </w:rPr>
              <w:t>万元以上三万元以下的罚款，对相关责任人处一千</w:t>
            </w:r>
            <w:r>
              <w:rPr>
                <w:spacing w:val="32"/>
              </w:rPr>
              <w:t>元以上五千元以下的罚</w:t>
            </w:r>
          </w:p>
        </w:tc>
        <w:tc>
          <w:tcPr>
            <w:tcW w:w="803" w:type="dxa"/>
            <w:vAlign w:val="top"/>
          </w:tcPr>
          <w:p w14:paraId="3BC66F43">
            <w:pPr>
              <w:spacing w:line="248" w:lineRule="auto"/>
              <w:rPr>
                <w:rFonts w:ascii="Arial"/>
                <w:sz w:val="21"/>
              </w:rPr>
            </w:pPr>
          </w:p>
          <w:p w14:paraId="3C28FD9C">
            <w:pPr>
              <w:spacing w:line="248" w:lineRule="auto"/>
              <w:rPr>
                <w:rFonts w:ascii="Arial"/>
                <w:sz w:val="21"/>
              </w:rPr>
            </w:pPr>
          </w:p>
          <w:p w14:paraId="3965E397">
            <w:pPr>
              <w:spacing w:line="248" w:lineRule="auto"/>
              <w:rPr>
                <w:rFonts w:ascii="Arial"/>
                <w:sz w:val="21"/>
              </w:rPr>
            </w:pPr>
          </w:p>
          <w:p w14:paraId="2D2DB82A">
            <w:pPr>
              <w:spacing w:line="248" w:lineRule="auto"/>
              <w:rPr>
                <w:rFonts w:ascii="Arial"/>
                <w:sz w:val="21"/>
              </w:rPr>
            </w:pPr>
          </w:p>
          <w:p w14:paraId="1AEDDA27">
            <w:pPr>
              <w:spacing w:line="248" w:lineRule="auto"/>
              <w:rPr>
                <w:rFonts w:ascii="Arial"/>
                <w:sz w:val="21"/>
              </w:rPr>
            </w:pPr>
          </w:p>
          <w:p w14:paraId="2DE8EBCD">
            <w:pPr>
              <w:spacing w:line="249" w:lineRule="auto"/>
              <w:rPr>
                <w:rFonts w:ascii="Arial"/>
                <w:sz w:val="21"/>
              </w:rPr>
            </w:pPr>
          </w:p>
          <w:p w14:paraId="072E32B6">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31A4828">
            <w:pPr>
              <w:spacing w:line="282" w:lineRule="auto"/>
              <w:rPr>
                <w:rFonts w:ascii="Arial"/>
                <w:sz w:val="21"/>
              </w:rPr>
            </w:pPr>
          </w:p>
          <w:p w14:paraId="33B5A867">
            <w:pPr>
              <w:spacing w:line="282" w:lineRule="auto"/>
              <w:rPr>
                <w:rFonts w:ascii="Arial"/>
                <w:sz w:val="21"/>
              </w:rPr>
            </w:pPr>
          </w:p>
          <w:p w14:paraId="7B221B0B">
            <w:pPr>
              <w:spacing w:line="282" w:lineRule="auto"/>
              <w:rPr>
                <w:rFonts w:ascii="Arial"/>
                <w:sz w:val="21"/>
              </w:rPr>
            </w:pPr>
          </w:p>
          <w:p w14:paraId="664EFDA2">
            <w:pPr>
              <w:spacing w:line="282" w:lineRule="auto"/>
              <w:rPr>
                <w:rFonts w:ascii="Arial"/>
                <w:sz w:val="21"/>
              </w:rPr>
            </w:pPr>
          </w:p>
          <w:p w14:paraId="457D6B22">
            <w:pPr>
              <w:pStyle w:val="6"/>
              <w:spacing w:before="99" w:line="191" w:lineRule="auto"/>
              <w:ind w:left="117" w:right="109" w:firstLine="14"/>
              <w:jc w:val="both"/>
            </w:pPr>
            <w:r>
              <w:rPr>
                <w:spacing w:val="24"/>
              </w:rPr>
              <w:t>负责勘验人员未到</w:t>
            </w:r>
            <w:r>
              <w:rPr>
                <w:spacing w:val="26"/>
              </w:rPr>
              <w:t>现场实际地点开展</w:t>
            </w:r>
            <w:r>
              <w:rPr>
                <w:spacing w:val="7"/>
              </w:rPr>
              <w:t>勘验等有关工作的</w:t>
            </w:r>
          </w:p>
        </w:tc>
        <w:tc>
          <w:tcPr>
            <w:tcW w:w="2894" w:type="dxa"/>
            <w:vAlign w:val="top"/>
          </w:tcPr>
          <w:p w14:paraId="2C82A11E">
            <w:pPr>
              <w:pStyle w:val="6"/>
              <w:spacing w:before="40" w:line="180" w:lineRule="auto"/>
              <w:ind w:left="120" w:right="104" w:firstLine="7"/>
              <w:jc w:val="both"/>
            </w:pPr>
            <w:r>
              <w:rPr>
                <w:spacing w:val="10"/>
              </w:rPr>
              <w:t>责令改正或者责令限期改</w:t>
            </w:r>
            <w:r>
              <w:rPr>
                <w:spacing w:val="8"/>
              </w:rPr>
              <w:t>正，给予警告，可以并处</w:t>
            </w:r>
            <w:r>
              <w:rPr>
                <w:rFonts w:ascii="宋体" w:hAnsi="宋体" w:eastAsia="宋体" w:cs="宋体"/>
                <w:spacing w:val="9"/>
              </w:rPr>
              <w:t>1</w:t>
            </w:r>
            <w:r>
              <w:rPr>
                <w:spacing w:val="9"/>
              </w:rPr>
              <w:t>万元以下的罚款；逾期</w:t>
            </w:r>
            <w:r>
              <w:rPr>
                <w:spacing w:val="3"/>
              </w:rPr>
              <w:t>未改正的，处</w:t>
            </w:r>
            <w:r>
              <w:rPr>
                <w:rFonts w:ascii="宋体" w:hAnsi="宋体" w:eastAsia="宋体" w:cs="宋体"/>
                <w:spacing w:val="3"/>
              </w:rPr>
              <w:t>1</w:t>
            </w:r>
            <w:r>
              <w:rPr>
                <w:spacing w:val="3"/>
              </w:rPr>
              <w:t>万元以上</w:t>
            </w:r>
            <w:r>
              <w:rPr>
                <w:rFonts w:ascii="宋体" w:hAnsi="宋体" w:eastAsia="宋体" w:cs="宋体"/>
                <w:spacing w:val="6"/>
              </w:rPr>
              <w:t>1.5</w:t>
            </w:r>
            <w:r>
              <w:rPr>
                <w:spacing w:val="6"/>
              </w:rPr>
              <w:t>万元以下的罚款，对</w:t>
            </w:r>
            <w:r>
              <w:rPr>
                <w:spacing w:val="3"/>
              </w:rPr>
              <w:t>相关责任人处</w:t>
            </w:r>
            <w:r>
              <w:rPr>
                <w:rFonts w:ascii="宋体" w:hAnsi="宋体" w:eastAsia="宋体" w:cs="宋体"/>
                <w:spacing w:val="3"/>
              </w:rPr>
              <w:t>1</w:t>
            </w:r>
            <w:r>
              <w:rPr>
                <w:spacing w:val="3"/>
              </w:rPr>
              <w:t>千元以上</w:t>
            </w:r>
            <w:r>
              <w:rPr>
                <w:rFonts w:ascii="宋体" w:hAnsi="宋体" w:eastAsia="宋体" w:cs="宋体"/>
                <w:spacing w:val="9"/>
              </w:rPr>
              <w:t>5</w:t>
            </w:r>
            <w:r>
              <w:rPr>
                <w:spacing w:val="9"/>
              </w:rPr>
              <w:t>千元以下的罚款；情节</w:t>
            </w:r>
            <w:r>
              <w:rPr>
                <w:spacing w:val="-9"/>
              </w:rPr>
              <w:t>严重的，处</w:t>
            </w:r>
            <w:r>
              <w:rPr>
                <w:rFonts w:ascii="宋体" w:hAnsi="宋体" w:eastAsia="宋体" w:cs="宋体"/>
                <w:spacing w:val="-9"/>
              </w:rPr>
              <w:t>1</w:t>
            </w:r>
            <w:r>
              <w:rPr>
                <w:spacing w:val="-9"/>
              </w:rPr>
              <w:t>万元以上</w:t>
            </w:r>
            <w:r>
              <w:rPr>
                <w:rFonts w:ascii="宋体" w:hAnsi="宋体" w:eastAsia="宋体" w:cs="宋体"/>
                <w:spacing w:val="-9"/>
              </w:rPr>
              <w:t>1.5</w:t>
            </w:r>
            <w:r>
              <w:rPr>
                <w:spacing w:val="8"/>
              </w:rPr>
              <w:t>万元以下的罚款，对相关</w:t>
            </w:r>
            <w:r>
              <w:rPr>
                <w:spacing w:val="2"/>
              </w:rPr>
              <w:t>责任人处</w:t>
            </w:r>
            <w:r>
              <w:rPr>
                <w:rFonts w:ascii="宋体" w:hAnsi="宋体" w:eastAsia="宋体" w:cs="宋体"/>
                <w:spacing w:val="2"/>
              </w:rPr>
              <w:t>5</w:t>
            </w:r>
            <w:r>
              <w:rPr>
                <w:spacing w:val="2"/>
              </w:rPr>
              <w:t>千元以上</w:t>
            </w:r>
            <w:r>
              <w:rPr>
                <w:rFonts w:ascii="宋体" w:hAnsi="宋体" w:eastAsia="宋体" w:cs="宋体"/>
                <w:spacing w:val="2"/>
              </w:rPr>
              <w:t>1</w:t>
            </w:r>
            <w:r>
              <w:rPr>
                <w:spacing w:val="2"/>
              </w:rPr>
              <w:t>万</w:t>
            </w:r>
            <w:r>
              <w:rPr>
                <w:spacing w:val="7"/>
              </w:rPr>
              <w:t>元以下的罚款</w:t>
            </w:r>
          </w:p>
        </w:tc>
        <w:tc>
          <w:tcPr>
            <w:tcW w:w="811" w:type="dxa"/>
            <w:vAlign w:val="top"/>
          </w:tcPr>
          <w:p w14:paraId="36D20197">
            <w:pPr>
              <w:spacing w:line="248" w:lineRule="auto"/>
              <w:rPr>
                <w:rFonts w:ascii="Arial"/>
                <w:sz w:val="21"/>
              </w:rPr>
            </w:pPr>
          </w:p>
          <w:p w14:paraId="12F0A8FB">
            <w:pPr>
              <w:spacing w:line="248" w:lineRule="auto"/>
              <w:rPr>
                <w:rFonts w:ascii="Arial"/>
                <w:sz w:val="21"/>
              </w:rPr>
            </w:pPr>
          </w:p>
          <w:p w14:paraId="681EC91C">
            <w:pPr>
              <w:spacing w:line="249" w:lineRule="auto"/>
              <w:rPr>
                <w:rFonts w:ascii="Arial"/>
                <w:sz w:val="21"/>
              </w:rPr>
            </w:pPr>
          </w:p>
          <w:p w14:paraId="13EF9B06">
            <w:pPr>
              <w:spacing w:line="249" w:lineRule="auto"/>
              <w:rPr>
                <w:rFonts w:ascii="Arial"/>
                <w:sz w:val="21"/>
              </w:rPr>
            </w:pPr>
          </w:p>
          <w:p w14:paraId="6A920697">
            <w:pPr>
              <w:spacing w:line="249" w:lineRule="auto"/>
              <w:rPr>
                <w:rFonts w:ascii="Arial"/>
                <w:sz w:val="21"/>
              </w:rPr>
            </w:pPr>
          </w:p>
          <w:p w14:paraId="25224A87">
            <w:pPr>
              <w:spacing w:line="249" w:lineRule="auto"/>
              <w:rPr>
                <w:rFonts w:ascii="Arial"/>
                <w:sz w:val="21"/>
              </w:rPr>
            </w:pPr>
          </w:p>
          <w:p w14:paraId="24A90E56">
            <w:pPr>
              <w:spacing w:before="75" w:line="188" w:lineRule="auto"/>
              <w:ind w:left="233"/>
              <w:rPr>
                <w:rFonts w:ascii="宋体" w:hAnsi="宋体" w:eastAsia="宋体" w:cs="宋体"/>
                <w:sz w:val="23"/>
                <w:szCs w:val="23"/>
              </w:rPr>
            </w:pPr>
            <w:r>
              <w:rPr>
                <w:rFonts w:ascii="宋体" w:hAnsi="宋体" w:eastAsia="宋体" w:cs="宋体"/>
                <w:spacing w:val="-1"/>
                <w:sz w:val="23"/>
                <w:szCs w:val="23"/>
              </w:rPr>
              <w:t>248</w:t>
            </w:r>
          </w:p>
        </w:tc>
      </w:tr>
    </w:tbl>
    <w:p w14:paraId="1D81A099">
      <w:pPr>
        <w:pStyle w:val="2"/>
      </w:pPr>
    </w:p>
    <w:p w14:paraId="740DF136">
      <w:pPr>
        <w:sectPr>
          <w:footerReference r:id="rId229" w:type="default"/>
          <w:pgSz w:w="16839" w:h="11906"/>
          <w:pgMar w:top="1012" w:right="821" w:bottom="666" w:left="901" w:header="0" w:footer="388" w:gutter="0"/>
          <w:cols w:space="720" w:num="1"/>
        </w:sectPr>
      </w:pPr>
    </w:p>
    <w:p w14:paraId="6C9761A5">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04E8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13B5B221">
            <w:pPr>
              <w:spacing w:before="222" w:line="241" w:lineRule="auto"/>
              <w:ind w:left="131"/>
              <w:rPr>
                <w:rFonts w:ascii="黑体" w:hAnsi="黑体" w:eastAsia="黑体" w:cs="黑体"/>
                <w:sz w:val="28"/>
                <w:szCs w:val="28"/>
              </w:rPr>
            </w:pPr>
            <w:bookmarkStart w:id="736" w:name="bookmark616"/>
            <w:bookmarkEnd w:id="736"/>
            <w:r>
              <w:rPr>
                <w:rFonts w:ascii="黑体" w:hAnsi="黑体" w:eastAsia="黑体" w:cs="黑体"/>
                <w:spacing w:val="-2"/>
                <w:sz w:val="28"/>
                <w:szCs w:val="28"/>
              </w:rPr>
              <w:t>序号</w:t>
            </w:r>
          </w:p>
        </w:tc>
        <w:tc>
          <w:tcPr>
            <w:tcW w:w="1440" w:type="dxa"/>
            <w:vAlign w:val="top"/>
          </w:tcPr>
          <w:p w14:paraId="17BE984C">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109875A">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BDFFB03">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0E1C0ABA">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6407EBC9">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72F02F2">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0EA3225E">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1907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818" w:type="dxa"/>
            <w:vMerge w:val="restart"/>
            <w:tcBorders>
              <w:bottom w:val="nil"/>
            </w:tcBorders>
            <w:vAlign w:val="top"/>
          </w:tcPr>
          <w:p w14:paraId="16E1A109">
            <w:pPr>
              <w:rPr>
                <w:rFonts w:ascii="Arial"/>
                <w:sz w:val="21"/>
              </w:rPr>
            </w:pPr>
          </w:p>
        </w:tc>
        <w:tc>
          <w:tcPr>
            <w:tcW w:w="1440" w:type="dxa"/>
            <w:vMerge w:val="restart"/>
            <w:tcBorders>
              <w:bottom w:val="nil"/>
            </w:tcBorders>
            <w:vAlign w:val="top"/>
          </w:tcPr>
          <w:p w14:paraId="2D0BDE78">
            <w:pPr>
              <w:rPr>
                <w:rFonts w:ascii="Arial"/>
                <w:sz w:val="21"/>
              </w:rPr>
            </w:pPr>
          </w:p>
        </w:tc>
        <w:tc>
          <w:tcPr>
            <w:tcW w:w="3202" w:type="dxa"/>
            <w:vMerge w:val="restart"/>
            <w:tcBorders>
              <w:bottom w:val="nil"/>
            </w:tcBorders>
            <w:vAlign w:val="top"/>
          </w:tcPr>
          <w:p w14:paraId="47A4AF35">
            <w:pPr>
              <w:rPr>
                <w:rFonts w:ascii="Arial"/>
                <w:sz w:val="21"/>
              </w:rPr>
            </w:pPr>
          </w:p>
        </w:tc>
        <w:tc>
          <w:tcPr>
            <w:tcW w:w="2859" w:type="dxa"/>
            <w:vMerge w:val="restart"/>
            <w:tcBorders>
              <w:bottom w:val="nil"/>
            </w:tcBorders>
            <w:vAlign w:val="top"/>
          </w:tcPr>
          <w:p w14:paraId="7AA94484">
            <w:pPr>
              <w:pStyle w:val="6"/>
              <w:spacing w:before="30" w:line="182" w:lineRule="auto"/>
              <w:ind w:left="120" w:right="110"/>
              <w:jc w:val="both"/>
            </w:pPr>
            <w:r>
              <w:rPr>
                <w:spacing w:val="8"/>
              </w:rPr>
              <w:t>款；情节严重的，处一万</w:t>
            </w:r>
            <w:r>
              <w:rPr>
                <w:spacing w:val="32"/>
              </w:rPr>
              <w:t>元以上三万元以下的罚</w:t>
            </w:r>
            <w:r>
              <w:rPr>
                <w:spacing w:val="8"/>
              </w:rPr>
              <w:t>款，对相关责任人处五千</w:t>
            </w:r>
          </w:p>
          <w:p w14:paraId="4C496313">
            <w:pPr>
              <w:pStyle w:val="6"/>
              <w:spacing w:line="182" w:lineRule="auto"/>
              <w:ind w:left="122"/>
              <w:outlineLvl w:val="0"/>
            </w:pPr>
            <w:r>
              <w:rPr>
                <w:spacing w:val="32"/>
              </w:rPr>
              <w:t>元以上一万元以下的罚</w:t>
            </w:r>
          </w:p>
          <w:p w14:paraId="5B88FF77">
            <w:pPr>
              <w:pStyle w:val="6"/>
              <w:spacing w:before="1" w:line="182" w:lineRule="auto"/>
              <w:ind w:left="122" w:right="110" w:hanging="2"/>
            </w:pPr>
            <w:r>
              <w:rPr>
                <w:spacing w:val="9"/>
              </w:rPr>
              <w:t>款</w:t>
            </w:r>
            <w:r>
              <w:rPr>
                <w:spacing w:val="5"/>
              </w:rPr>
              <w:t>：（</w:t>
            </w:r>
            <w:r>
              <w:rPr>
                <w:spacing w:val="9"/>
              </w:rPr>
              <w:t>八）安全评价项目</w:t>
            </w:r>
            <w:bookmarkStart w:id="737" w:name="bookmark465"/>
            <w:bookmarkEnd w:id="737"/>
            <w:bookmarkStart w:id="738" w:name="bookmark617"/>
            <w:bookmarkEnd w:id="738"/>
            <w:r>
              <w:rPr>
                <w:spacing w:val="8"/>
              </w:rPr>
              <w:t>组组长及负责勘验人员不</w:t>
            </w:r>
          </w:p>
          <w:p w14:paraId="049EC07C">
            <w:pPr>
              <w:pStyle w:val="6"/>
              <w:spacing w:line="182" w:lineRule="auto"/>
              <w:ind w:left="124"/>
              <w:outlineLvl w:val="1"/>
            </w:pPr>
            <w:r>
              <w:rPr>
                <w:spacing w:val="8"/>
              </w:rPr>
              <w:t>到现场实际地点开展勘验</w:t>
            </w:r>
          </w:p>
          <w:p w14:paraId="70FBF25D">
            <w:pPr>
              <w:pStyle w:val="6"/>
              <w:spacing w:before="1" w:line="208" w:lineRule="auto"/>
              <w:ind w:left="126"/>
            </w:pPr>
            <w:r>
              <w:rPr>
                <w:spacing w:val="-1"/>
              </w:rPr>
              <w:t>等有关工作的；</w:t>
            </w:r>
          </w:p>
        </w:tc>
        <w:tc>
          <w:tcPr>
            <w:tcW w:w="803" w:type="dxa"/>
            <w:vAlign w:val="top"/>
          </w:tcPr>
          <w:p w14:paraId="0B204C14">
            <w:pPr>
              <w:spacing w:line="248" w:lineRule="auto"/>
              <w:rPr>
                <w:rFonts w:ascii="Arial"/>
                <w:sz w:val="21"/>
              </w:rPr>
            </w:pPr>
          </w:p>
          <w:p w14:paraId="48CA0035">
            <w:pPr>
              <w:spacing w:line="248" w:lineRule="auto"/>
              <w:rPr>
                <w:rFonts w:ascii="Arial"/>
                <w:sz w:val="21"/>
              </w:rPr>
            </w:pPr>
          </w:p>
          <w:p w14:paraId="5A14D19D">
            <w:pPr>
              <w:spacing w:line="248" w:lineRule="auto"/>
              <w:rPr>
                <w:rFonts w:ascii="Arial"/>
                <w:sz w:val="21"/>
              </w:rPr>
            </w:pPr>
          </w:p>
          <w:p w14:paraId="1EEE7DA3">
            <w:pPr>
              <w:spacing w:line="249" w:lineRule="auto"/>
              <w:rPr>
                <w:rFonts w:ascii="Arial"/>
                <w:sz w:val="21"/>
              </w:rPr>
            </w:pPr>
          </w:p>
          <w:p w14:paraId="151E5DAB">
            <w:pPr>
              <w:spacing w:line="249" w:lineRule="auto"/>
              <w:rPr>
                <w:rFonts w:ascii="Arial"/>
                <w:sz w:val="21"/>
              </w:rPr>
            </w:pPr>
          </w:p>
          <w:p w14:paraId="10ED4C9C">
            <w:pPr>
              <w:spacing w:line="249" w:lineRule="auto"/>
              <w:rPr>
                <w:rFonts w:ascii="Arial"/>
                <w:sz w:val="21"/>
              </w:rPr>
            </w:pPr>
          </w:p>
          <w:p w14:paraId="2E236665">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4687268C">
            <w:pPr>
              <w:spacing w:line="244" w:lineRule="auto"/>
              <w:rPr>
                <w:rFonts w:ascii="Arial"/>
                <w:sz w:val="21"/>
              </w:rPr>
            </w:pPr>
          </w:p>
          <w:p w14:paraId="44391E3C">
            <w:pPr>
              <w:spacing w:line="244" w:lineRule="auto"/>
              <w:rPr>
                <w:rFonts w:ascii="Arial"/>
                <w:sz w:val="21"/>
              </w:rPr>
            </w:pPr>
          </w:p>
          <w:p w14:paraId="36EC16FF">
            <w:pPr>
              <w:spacing w:line="244" w:lineRule="auto"/>
              <w:rPr>
                <w:rFonts w:ascii="Arial"/>
                <w:sz w:val="21"/>
              </w:rPr>
            </w:pPr>
          </w:p>
          <w:p w14:paraId="3AE74068">
            <w:pPr>
              <w:spacing w:line="244" w:lineRule="auto"/>
              <w:rPr>
                <w:rFonts w:ascii="Arial"/>
                <w:sz w:val="21"/>
              </w:rPr>
            </w:pPr>
          </w:p>
          <w:p w14:paraId="4D5C641C">
            <w:pPr>
              <w:pStyle w:val="6"/>
              <w:spacing w:before="99" w:line="189" w:lineRule="auto"/>
              <w:ind w:left="120" w:right="109" w:firstLine="2"/>
              <w:jc w:val="both"/>
            </w:pPr>
            <w:r>
              <w:rPr>
                <w:spacing w:val="25"/>
              </w:rPr>
              <w:t>安全评价项目组组</w:t>
            </w:r>
            <w:r>
              <w:rPr>
                <w:spacing w:val="26"/>
              </w:rPr>
              <w:t>长未到现场实际地点开展勘验等有关</w:t>
            </w:r>
            <w:r>
              <w:rPr>
                <w:spacing w:val="4"/>
              </w:rPr>
              <w:t>工作的</w:t>
            </w:r>
          </w:p>
        </w:tc>
        <w:tc>
          <w:tcPr>
            <w:tcW w:w="2894" w:type="dxa"/>
            <w:vAlign w:val="top"/>
          </w:tcPr>
          <w:p w14:paraId="60EC5C58">
            <w:pPr>
              <w:pStyle w:val="6"/>
              <w:spacing w:before="19" w:line="181" w:lineRule="auto"/>
              <w:ind w:left="118" w:right="103" w:firstLine="9"/>
              <w:jc w:val="both"/>
            </w:pPr>
            <w:r>
              <w:rPr>
                <w:spacing w:val="10"/>
              </w:rPr>
              <w:t>责令改正或者责令限期改</w:t>
            </w:r>
            <w:r>
              <w:rPr>
                <w:spacing w:val="8"/>
              </w:rPr>
              <w:t>正，给予警告，可以并处</w:t>
            </w:r>
            <w:r>
              <w:rPr>
                <w:rFonts w:ascii="宋体" w:hAnsi="宋体" w:eastAsia="宋体" w:cs="宋体"/>
                <w:spacing w:val="10"/>
              </w:rPr>
              <w:t>1</w:t>
            </w:r>
            <w:r>
              <w:rPr>
                <w:spacing w:val="10"/>
              </w:rPr>
              <w:t>万元以下的罚款；逾期</w:t>
            </w:r>
            <w:r>
              <w:rPr>
                <w:spacing w:val="2"/>
              </w:rPr>
              <w:t>未改正的，处</w:t>
            </w:r>
            <w:r>
              <w:rPr>
                <w:rFonts w:ascii="宋体" w:hAnsi="宋体" w:eastAsia="宋体" w:cs="宋体"/>
                <w:spacing w:val="2"/>
              </w:rPr>
              <w:t>1.5</w:t>
            </w:r>
            <w:r>
              <w:rPr>
                <w:spacing w:val="2"/>
              </w:rPr>
              <w:t>万元以</w:t>
            </w:r>
            <w:r>
              <w:rPr>
                <w:spacing w:val="4"/>
              </w:rPr>
              <w:t>上</w:t>
            </w:r>
            <w:r>
              <w:rPr>
                <w:rFonts w:ascii="宋体" w:hAnsi="宋体" w:eastAsia="宋体" w:cs="宋体"/>
                <w:spacing w:val="4"/>
              </w:rPr>
              <w:t>2</w:t>
            </w:r>
            <w:r>
              <w:rPr>
                <w:spacing w:val="4"/>
              </w:rPr>
              <w:t>万元以下的罚款，对</w:t>
            </w:r>
            <w:r>
              <w:rPr>
                <w:spacing w:val="3"/>
              </w:rPr>
              <w:t>相关责任人处</w:t>
            </w:r>
            <w:r>
              <w:rPr>
                <w:rFonts w:ascii="宋体" w:hAnsi="宋体" w:eastAsia="宋体" w:cs="宋体"/>
                <w:spacing w:val="3"/>
              </w:rPr>
              <w:t>1</w:t>
            </w:r>
            <w:r>
              <w:rPr>
                <w:spacing w:val="3"/>
              </w:rPr>
              <w:t>千元以上</w:t>
            </w:r>
            <w:r>
              <w:rPr>
                <w:rFonts w:ascii="宋体" w:hAnsi="宋体" w:eastAsia="宋体" w:cs="宋体"/>
                <w:spacing w:val="9"/>
              </w:rPr>
              <w:t>5</w:t>
            </w:r>
            <w:r>
              <w:rPr>
                <w:spacing w:val="9"/>
              </w:rPr>
              <w:t>千元以下的罚款；情节</w:t>
            </w:r>
            <w:r>
              <w:rPr>
                <w:spacing w:val="2"/>
              </w:rPr>
              <w:t>严重的，处</w:t>
            </w:r>
            <w:r>
              <w:rPr>
                <w:rFonts w:ascii="宋体" w:hAnsi="宋体" w:eastAsia="宋体" w:cs="宋体"/>
                <w:spacing w:val="2"/>
              </w:rPr>
              <w:t>1.5</w:t>
            </w:r>
            <w:r>
              <w:rPr>
                <w:spacing w:val="2"/>
              </w:rPr>
              <w:t>万元以上</w:t>
            </w:r>
            <w:r>
              <w:rPr>
                <w:rFonts w:ascii="宋体" w:hAnsi="宋体" w:eastAsia="宋体" w:cs="宋体"/>
                <w:spacing w:val="9"/>
              </w:rPr>
              <w:t>2</w:t>
            </w:r>
            <w:r>
              <w:rPr>
                <w:spacing w:val="9"/>
              </w:rPr>
              <w:t>万元以下的罚款，对相</w:t>
            </w:r>
            <w:r>
              <w:rPr>
                <w:spacing w:val="8"/>
              </w:rPr>
              <w:t>关责任人处</w:t>
            </w:r>
            <w:r>
              <w:rPr>
                <w:rFonts w:ascii="宋体" w:hAnsi="宋体" w:eastAsia="宋体" w:cs="宋体"/>
                <w:spacing w:val="8"/>
              </w:rPr>
              <w:t>5</w:t>
            </w:r>
            <w:r>
              <w:rPr>
                <w:spacing w:val="8"/>
              </w:rPr>
              <w:t>千元以上</w:t>
            </w:r>
            <w:r>
              <w:rPr>
                <w:rFonts w:ascii="宋体" w:hAnsi="宋体" w:eastAsia="宋体" w:cs="宋体"/>
                <w:spacing w:val="8"/>
              </w:rPr>
              <w:t>1</w:t>
            </w:r>
            <w:r>
              <w:rPr>
                <w:spacing w:val="7"/>
              </w:rPr>
              <w:t>万元以下的罚款</w:t>
            </w:r>
          </w:p>
        </w:tc>
        <w:tc>
          <w:tcPr>
            <w:tcW w:w="811" w:type="dxa"/>
            <w:vMerge w:val="restart"/>
            <w:tcBorders>
              <w:bottom w:val="nil"/>
            </w:tcBorders>
            <w:vAlign w:val="top"/>
          </w:tcPr>
          <w:p w14:paraId="34B12982">
            <w:pPr>
              <w:rPr>
                <w:rFonts w:ascii="Arial"/>
                <w:sz w:val="21"/>
              </w:rPr>
            </w:pPr>
          </w:p>
        </w:tc>
      </w:tr>
      <w:tr w14:paraId="407B2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818" w:type="dxa"/>
            <w:vMerge w:val="continue"/>
            <w:tcBorders>
              <w:top w:val="nil"/>
            </w:tcBorders>
            <w:vAlign w:val="top"/>
          </w:tcPr>
          <w:p w14:paraId="56DAC860">
            <w:pPr>
              <w:rPr>
                <w:rFonts w:ascii="Arial"/>
                <w:sz w:val="21"/>
              </w:rPr>
            </w:pPr>
          </w:p>
        </w:tc>
        <w:tc>
          <w:tcPr>
            <w:tcW w:w="1440" w:type="dxa"/>
            <w:vMerge w:val="continue"/>
            <w:tcBorders>
              <w:top w:val="nil"/>
            </w:tcBorders>
            <w:vAlign w:val="top"/>
          </w:tcPr>
          <w:p w14:paraId="4D1ADE6F">
            <w:pPr>
              <w:rPr>
                <w:rFonts w:ascii="Arial"/>
                <w:sz w:val="21"/>
              </w:rPr>
            </w:pPr>
          </w:p>
        </w:tc>
        <w:tc>
          <w:tcPr>
            <w:tcW w:w="3202" w:type="dxa"/>
            <w:vMerge w:val="continue"/>
            <w:tcBorders>
              <w:top w:val="nil"/>
            </w:tcBorders>
            <w:vAlign w:val="top"/>
          </w:tcPr>
          <w:p w14:paraId="38C14BCC">
            <w:pPr>
              <w:rPr>
                <w:rFonts w:ascii="Arial"/>
                <w:sz w:val="21"/>
              </w:rPr>
            </w:pPr>
          </w:p>
        </w:tc>
        <w:tc>
          <w:tcPr>
            <w:tcW w:w="2859" w:type="dxa"/>
            <w:vMerge w:val="continue"/>
            <w:tcBorders>
              <w:top w:val="nil"/>
            </w:tcBorders>
            <w:vAlign w:val="top"/>
          </w:tcPr>
          <w:p w14:paraId="2CEA37F5">
            <w:pPr>
              <w:rPr>
                <w:rFonts w:ascii="Arial"/>
                <w:sz w:val="21"/>
              </w:rPr>
            </w:pPr>
          </w:p>
        </w:tc>
        <w:tc>
          <w:tcPr>
            <w:tcW w:w="803" w:type="dxa"/>
            <w:vAlign w:val="top"/>
          </w:tcPr>
          <w:p w14:paraId="3DAD73AD">
            <w:pPr>
              <w:spacing w:line="248" w:lineRule="auto"/>
              <w:rPr>
                <w:rFonts w:ascii="Arial"/>
                <w:sz w:val="21"/>
              </w:rPr>
            </w:pPr>
          </w:p>
          <w:p w14:paraId="79DCAC44">
            <w:pPr>
              <w:spacing w:line="248" w:lineRule="auto"/>
              <w:rPr>
                <w:rFonts w:ascii="Arial"/>
                <w:sz w:val="21"/>
              </w:rPr>
            </w:pPr>
          </w:p>
          <w:p w14:paraId="0B139B5D">
            <w:pPr>
              <w:spacing w:line="248" w:lineRule="auto"/>
              <w:rPr>
                <w:rFonts w:ascii="Arial"/>
                <w:sz w:val="21"/>
              </w:rPr>
            </w:pPr>
          </w:p>
          <w:p w14:paraId="5FE11877">
            <w:pPr>
              <w:spacing w:line="249" w:lineRule="auto"/>
              <w:rPr>
                <w:rFonts w:ascii="Arial"/>
                <w:sz w:val="21"/>
              </w:rPr>
            </w:pPr>
          </w:p>
          <w:p w14:paraId="032D14D8">
            <w:pPr>
              <w:spacing w:line="249" w:lineRule="auto"/>
              <w:rPr>
                <w:rFonts w:ascii="Arial"/>
                <w:sz w:val="21"/>
              </w:rPr>
            </w:pPr>
          </w:p>
          <w:p w14:paraId="697B3FF8">
            <w:pPr>
              <w:spacing w:line="249" w:lineRule="auto"/>
              <w:rPr>
                <w:rFonts w:ascii="Arial"/>
                <w:sz w:val="21"/>
              </w:rPr>
            </w:pPr>
          </w:p>
          <w:p w14:paraId="447252B9">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3B2D94C7">
            <w:pPr>
              <w:spacing w:line="275" w:lineRule="auto"/>
              <w:rPr>
                <w:rFonts w:ascii="Arial"/>
                <w:sz w:val="21"/>
              </w:rPr>
            </w:pPr>
          </w:p>
          <w:p w14:paraId="522596AA">
            <w:pPr>
              <w:spacing w:line="276" w:lineRule="auto"/>
              <w:rPr>
                <w:rFonts w:ascii="Arial"/>
                <w:sz w:val="21"/>
              </w:rPr>
            </w:pPr>
          </w:p>
          <w:p w14:paraId="4E50FBBA">
            <w:pPr>
              <w:spacing w:line="276" w:lineRule="auto"/>
              <w:rPr>
                <w:rFonts w:ascii="Arial"/>
                <w:sz w:val="21"/>
              </w:rPr>
            </w:pPr>
          </w:p>
          <w:p w14:paraId="4B70BBC7">
            <w:pPr>
              <w:pStyle w:val="6"/>
              <w:spacing w:before="99" w:line="188" w:lineRule="auto"/>
              <w:ind w:left="120" w:right="109" w:firstLine="2"/>
              <w:jc w:val="both"/>
            </w:pPr>
            <w:r>
              <w:rPr>
                <w:spacing w:val="25"/>
              </w:rPr>
              <w:t>安全评价项目组组</w:t>
            </w:r>
            <w:r>
              <w:rPr>
                <w:spacing w:val="26"/>
              </w:rPr>
              <w:t>长及负责勘验人员均未到现场实际地点开展勘验等有关</w:t>
            </w:r>
            <w:r>
              <w:rPr>
                <w:spacing w:val="4"/>
              </w:rPr>
              <w:t>工作的</w:t>
            </w:r>
          </w:p>
        </w:tc>
        <w:tc>
          <w:tcPr>
            <w:tcW w:w="2894" w:type="dxa"/>
            <w:vAlign w:val="top"/>
          </w:tcPr>
          <w:p w14:paraId="77E43A11">
            <w:pPr>
              <w:pStyle w:val="6"/>
              <w:spacing w:before="37" w:line="180" w:lineRule="auto"/>
              <w:ind w:left="120" w:right="103" w:firstLine="7"/>
              <w:jc w:val="both"/>
            </w:pPr>
            <w:r>
              <w:rPr>
                <w:spacing w:val="10"/>
              </w:rPr>
              <w:t>责令改正或者责令限期改</w:t>
            </w:r>
            <w:r>
              <w:rPr>
                <w:spacing w:val="8"/>
              </w:rPr>
              <w:t>正，给予警告，可以并处</w:t>
            </w:r>
            <w:r>
              <w:rPr>
                <w:rFonts w:ascii="宋体" w:hAnsi="宋体" w:eastAsia="宋体" w:cs="宋体"/>
                <w:spacing w:val="9"/>
              </w:rPr>
              <w:t>1</w:t>
            </w:r>
            <w:r>
              <w:rPr>
                <w:spacing w:val="9"/>
              </w:rPr>
              <w:t>万元以下的罚款；逾期</w:t>
            </w:r>
            <w:r>
              <w:rPr>
                <w:spacing w:val="4"/>
              </w:rPr>
              <w:t>未改正的，处</w:t>
            </w:r>
            <w:r>
              <w:rPr>
                <w:rFonts w:ascii="宋体" w:hAnsi="宋体" w:eastAsia="宋体" w:cs="宋体"/>
                <w:spacing w:val="4"/>
              </w:rPr>
              <w:t>2</w:t>
            </w:r>
            <w:r>
              <w:rPr>
                <w:spacing w:val="4"/>
              </w:rPr>
              <w:t>万元以上</w:t>
            </w:r>
            <w:r>
              <w:rPr>
                <w:rFonts w:ascii="宋体" w:hAnsi="宋体" w:eastAsia="宋体" w:cs="宋体"/>
                <w:spacing w:val="9"/>
              </w:rPr>
              <w:t>3</w:t>
            </w:r>
            <w:r>
              <w:rPr>
                <w:spacing w:val="9"/>
              </w:rPr>
              <w:t>万元以下的罚款，对相</w:t>
            </w:r>
            <w:r>
              <w:rPr>
                <w:spacing w:val="8"/>
              </w:rPr>
              <w:t>关责任人处</w:t>
            </w:r>
            <w:r>
              <w:rPr>
                <w:rFonts w:ascii="宋体" w:hAnsi="宋体" w:eastAsia="宋体" w:cs="宋体"/>
                <w:spacing w:val="8"/>
              </w:rPr>
              <w:t>1</w:t>
            </w:r>
            <w:r>
              <w:rPr>
                <w:spacing w:val="8"/>
              </w:rPr>
              <w:t>千元以上</w:t>
            </w:r>
            <w:r>
              <w:rPr>
                <w:rFonts w:ascii="宋体" w:hAnsi="宋体" w:eastAsia="宋体" w:cs="宋体"/>
                <w:spacing w:val="8"/>
              </w:rPr>
              <w:t>5</w:t>
            </w:r>
            <w:r>
              <w:rPr>
                <w:spacing w:val="8"/>
              </w:rPr>
              <w:t>千元以下的罚款；情节严</w:t>
            </w:r>
            <w:r>
              <w:rPr>
                <w:spacing w:val="1"/>
              </w:rPr>
              <w:t>重的，处</w:t>
            </w:r>
            <w:r>
              <w:rPr>
                <w:rFonts w:ascii="宋体" w:hAnsi="宋体" w:eastAsia="宋体" w:cs="宋体"/>
                <w:spacing w:val="1"/>
              </w:rPr>
              <w:t>2</w:t>
            </w:r>
            <w:r>
              <w:rPr>
                <w:spacing w:val="1"/>
              </w:rPr>
              <w:t>万元以上</w:t>
            </w:r>
            <w:r>
              <w:rPr>
                <w:rFonts w:ascii="宋体" w:hAnsi="宋体" w:eastAsia="宋体" w:cs="宋体"/>
                <w:spacing w:val="1"/>
              </w:rPr>
              <w:t>3</w:t>
            </w:r>
            <w:r>
              <w:rPr>
                <w:spacing w:val="1"/>
              </w:rPr>
              <w:t>万</w:t>
            </w:r>
            <w:r>
              <w:rPr>
                <w:spacing w:val="8"/>
              </w:rPr>
              <w:t>元以下的罚款，对相关责</w:t>
            </w:r>
            <w:r>
              <w:rPr>
                <w:spacing w:val="2"/>
              </w:rPr>
              <w:t>任人处</w:t>
            </w:r>
            <w:r>
              <w:rPr>
                <w:rFonts w:ascii="宋体" w:hAnsi="宋体" w:eastAsia="宋体" w:cs="宋体"/>
                <w:spacing w:val="2"/>
              </w:rPr>
              <w:t>5</w:t>
            </w:r>
            <w:r>
              <w:rPr>
                <w:spacing w:val="2"/>
              </w:rPr>
              <w:t>千元以上</w:t>
            </w:r>
            <w:r>
              <w:rPr>
                <w:rFonts w:ascii="宋体" w:hAnsi="宋体" w:eastAsia="宋体" w:cs="宋体"/>
                <w:spacing w:val="2"/>
              </w:rPr>
              <w:t>1</w:t>
            </w:r>
            <w:r>
              <w:rPr>
                <w:spacing w:val="2"/>
              </w:rPr>
              <w:t>万元</w:t>
            </w:r>
            <w:r>
              <w:rPr>
                <w:spacing w:val="6"/>
              </w:rPr>
              <w:t>以下的罚款</w:t>
            </w:r>
          </w:p>
        </w:tc>
        <w:tc>
          <w:tcPr>
            <w:tcW w:w="811" w:type="dxa"/>
            <w:vMerge w:val="continue"/>
            <w:tcBorders>
              <w:top w:val="nil"/>
            </w:tcBorders>
            <w:vAlign w:val="top"/>
          </w:tcPr>
          <w:p w14:paraId="5481C634">
            <w:pPr>
              <w:rPr>
                <w:rFonts w:ascii="Arial"/>
                <w:sz w:val="21"/>
              </w:rPr>
            </w:pPr>
          </w:p>
        </w:tc>
      </w:tr>
      <w:tr w14:paraId="22834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7" w:hRule="atLeast"/>
        </w:trPr>
        <w:tc>
          <w:tcPr>
            <w:tcW w:w="818" w:type="dxa"/>
            <w:vAlign w:val="top"/>
          </w:tcPr>
          <w:p w14:paraId="0E12E0F8">
            <w:pPr>
              <w:spacing w:line="262" w:lineRule="auto"/>
              <w:rPr>
                <w:rFonts w:ascii="Arial"/>
                <w:sz w:val="21"/>
              </w:rPr>
            </w:pPr>
          </w:p>
          <w:p w14:paraId="01477DDA">
            <w:pPr>
              <w:spacing w:line="262" w:lineRule="auto"/>
              <w:rPr>
                <w:rFonts w:ascii="Arial"/>
                <w:sz w:val="21"/>
              </w:rPr>
            </w:pPr>
          </w:p>
          <w:p w14:paraId="4F1E6C39">
            <w:pPr>
              <w:spacing w:line="263" w:lineRule="auto"/>
              <w:rPr>
                <w:rFonts w:ascii="Arial"/>
                <w:sz w:val="21"/>
              </w:rPr>
            </w:pPr>
          </w:p>
          <w:p w14:paraId="5DC4956A">
            <w:pPr>
              <w:spacing w:line="263" w:lineRule="auto"/>
              <w:rPr>
                <w:rFonts w:ascii="Arial"/>
                <w:sz w:val="21"/>
              </w:rPr>
            </w:pPr>
          </w:p>
          <w:p w14:paraId="54492255">
            <w:pPr>
              <w:spacing w:before="75" w:line="185" w:lineRule="auto"/>
              <w:ind w:left="146"/>
              <w:rPr>
                <w:rFonts w:ascii="仿宋" w:hAnsi="仿宋" w:eastAsia="仿宋" w:cs="仿宋"/>
                <w:sz w:val="23"/>
                <w:szCs w:val="23"/>
              </w:rPr>
            </w:pPr>
            <w:r>
              <w:rPr>
                <w:rFonts w:ascii="仿宋" w:hAnsi="仿宋" w:eastAsia="仿宋" w:cs="仿宋"/>
                <w:sz w:val="23"/>
                <w:szCs w:val="23"/>
              </w:rPr>
              <w:t>229</w:t>
            </w:r>
          </w:p>
        </w:tc>
        <w:tc>
          <w:tcPr>
            <w:tcW w:w="1440" w:type="dxa"/>
            <w:vAlign w:val="top"/>
          </w:tcPr>
          <w:p w14:paraId="6479EC84">
            <w:pPr>
              <w:pStyle w:val="6"/>
              <w:spacing w:before="29" w:line="180" w:lineRule="auto"/>
              <w:ind w:left="113" w:right="111" w:firstLine="7"/>
              <w:jc w:val="both"/>
            </w:pPr>
            <w:r>
              <w:rPr>
                <w:spacing w:val="10"/>
              </w:rPr>
              <w:t>安全生产检</w:t>
            </w:r>
            <w:r>
              <w:rPr>
                <w:spacing w:val="12"/>
              </w:rPr>
              <w:t>测检验机构出具的安全生产检测检验报告存在法规标准引用错误、关</w:t>
            </w:r>
            <w:r>
              <w:rPr>
                <w:spacing w:val="-18"/>
              </w:rPr>
              <w:t>键项目漏</w:t>
            </w:r>
          </w:p>
        </w:tc>
        <w:tc>
          <w:tcPr>
            <w:tcW w:w="3202" w:type="dxa"/>
            <w:vAlign w:val="top"/>
          </w:tcPr>
          <w:p w14:paraId="50BEDF36">
            <w:pPr>
              <w:pStyle w:val="6"/>
              <w:spacing w:before="35" w:line="186" w:lineRule="auto"/>
              <w:ind w:left="117" w:hanging="19"/>
              <w:jc w:val="both"/>
            </w:pPr>
            <w:r>
              <w:rPr>
                <w:spacing w:val="17"/>
              </w:rPr>
              <w:t>【部门规章】《安全评价检</w:t>
            </w:r>
            <w:r>
              <w:rPr>
                <w:spacing w:val="16"/>
              </w:rPr>
              <w:t>测检验机构管理办法》第二</w:t>
            </w:r>
            <w:r>
              <w:rPr>
                <w:spacing w:val="12"/>
              </w:rPr>
              <w:t>十二条第一款第五项：安全</w:t>
            </w:r>
            <w:r>
              <w:rPr>
                <w:spacing w:val="16"/>
              </w:rPr>
              <w:t>评价检测检验机构及其从业</w:t>
            </w:r>
            <w:r>
              <w:rPr>
                <w:spacing w:val="7"/>
              </w:rPr>
              <w:t>人员不得有下列行为</w:t>
            </w:r>
            <w:r>
              <w:rPr>
                <w:spacing w:val="5"/>
              </w:rPr>
              <w:t>：（</w:t>
            </w:r>
            <w:r>
              <w:rPr>
                <w:spacing w:val="7"/>
              </w:rPr>
              <w:t>五）</w:t>
            </w:r>
            <w:r>
              <w:rPr>
                <w:spacing w:val="16"/>
              </w:rPr>
              <w:t>出具虚假或者重大疏漏的安</w:t>
            </w:r>
            <w:r>
              <w:rPr>
                <w:spacing w:val="3"/>
              </w:rPr>
              <w:t>全评价、检测检验报告的；</w:t>
            </w:r>
          </w:p>
        </w:tc>
        <w:tc>
          <w:tcPr>
            <w:tcW w:w="2859" w:type="dxa"/>
            <w:vAlign w:val="top"/>
          </w:tcPr>
          <w:p w14:paraId="7C544C4C">
            <w:pPr>
              <w:pStyle w:val="6"/>
              <w:spacing w:before="29" w:line="180" w:lineRule="auto"/>
              <w:ind w:left="116" w:right="97" w:hanging="19"/>
              <w:jc w:val="both"/>
            </w:pPr>
            <w:r>
              <w:rPr>
                <w:spacing w:val="10"/>
              </w:rPr>
              <w:t>【部门规章】《安全评价</w:t>
            </w:r>
            <w:r>
              <w:rPr>
                <w:spacing w:val="9"/>
              </w:rPr>
              <w:t>检测检验机构管理办法》</w:t>
            </w:r>
            <w:r>
              <w:rPr>
                <w:spacing w:val="8"/>
              </w:rPr>
              <w:t>第三十条第十一项：安全评价检测检验机构有下列情形之一的，责令改正或者责令限期改正，给予警告，可以并处一万元以下</w:t>
            </w:r>
            <w:r>
              <w:rPr>
                <w:spacing w:val="4"/>
              </w:rPr>
              <w:t>的罚款；逾期未改正的，</w:t>
            </w:r>
          </w:p>
        </w:tc>
        <w:tc>
          <w:tcPr>
            <w:tcW w:w="803" w:type="dxa"/>
            <w:vAlign w:val="top"/>
          </w:tcPr>
          <w:p w14:paraId="3CBA1265">
            <w:pPr>
              <w:spacing w:line="261" w:lineRule="auto"/>
              <w:rPr>
                <w:rFonts w:ascii="Arial"/>
                <w:sz w:val="21"/>
              </w:rPr>
            </w:pPr>
          </w:p>
          <w:p w14:paraId="4371FDE2">
            <w:pPr>
              <w:spacing w:line="261" w:lineRule="auto"/>
              <w:rPr>
                <w:rFonts w:ascii="Arial"/>
                <w:sz w:val="21"/>
              </w:rPr>
            </w:pPr>
          </w:p>
          <w:p w14:paraId="5BF70285">
            <w:pPr>
              <w:spacing w:line="261" w:lineRule="auto"/>
              <w:rPr>
                <w:rFonts w:ascii="Arial"/>
                <w:sz w:val="21"/>
              </w:rPr>
            </w:pPr>
          </w:p>
          <w:p w14:paraId="3BDC9ADD">
            <w:pPr>
              <w:spacing w:line="261" w:lineRule="auto"/>
              <w:rPr>
                <w:rFonts w:ascii="Arial"/>
                <w:sz w:val="21"/>
              </w:rPr>
            </w:pPr>
          </w:p>
          <w:p w14:paraId="368FB4F2">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E3FF5EA">
            <w:pPr>
              <w:pStyle w:val="6"/>
              <w:spacing w:before="331" w:line="187" w:lineRule="auto"/>
              <w:ind w:left="117" w:right="105" w:firstLine="5"/>
              <w:jc w:val="both"/>
            </w:pPr>
            <w:r>
              <w:rPr>
                <w:spacing w:val="25"/>
              </w:rPr>
              <w:t>安全生产检测检验</w:t>
            </w:r>
            <w:r>
              <w:rPr>
                <w:spacing w:val="26"/>
              </w:rPr>
              <w:t>报告存在法规标准</w:t>
            </w:r>
            <w:r>
              <w:rPr>
                <w:spacing w:val="-3"/>
              </w:rPr>
              <w:t>引用错误、关键项目漏检、结论不明确等</w:t>
            </w:r>
            <w:r>
              <w:rPr>
                <w:spacing w:val="15"/>
              </w:rPr>
              <w:t>重大疏漏，存在</w:t>
            </w:r>
            <w:r>
              <w:rPr>
                <w:rFonts w:ascii="宋体" w:hAnsi="宋体" w:eastAsia="宋体" w:cs="宋体"/>
                <w:spacing w:val="15"/>
              </w:rPr>
              <w:t>1</w:t>
            </w:r>
            <w:r>
              <w:rPr>
                <w:spacing w:val="2"/>
              </w:rPr>
              <w:t>处的</w:t>
            </w:r>
          </w:p>
        </w:tc>
        <w:tc>
          <w:tcPr>
            <w:tcW w:w="2894" w:type="dxa"/>
            <w:vAlign w:val="top"/>
          </w:tcPr>
          <w:p w14:paraId="44C6FC39">
            <w:pPr>
              <w:pStyle w:val="6"/>
              <w:spacing w:before="29" w:line="180" w:lineRule="auto"/>
              <w:ind w:left="120" w:right="104" w:firstLine="7"/>
              <w:jc w:val="both"/>
              <w:rPr>
                <w:rFonts w:ascii="宋体" w:hAnsi="宋体" w:eastAsia="宋体" w:cs="宋体"/>
              </w:rPr>
            </w:pPr>
            <w:r>
              <w:rPr>
                <w:spacing w:val="10"/>
              </w:rPr>
              <w:t>责令改正或者责令限期改</w:t>
            </w:r>
            <w:r>
              <w:rPr>
                <w:spacing w:val="8"/>
              </w:rPr>
              <w:t>正，给予警告，可以并处</w:t>
            </w:r>
            <w:r>
              <w:rPr>
                <w:rFonts w:ascii="宋体" w:hAnsi="宋体" w:eastAsia="宋体" w:cs="宋体"/>
                <w:spacing w:val="9"/>
              </w:rPr>
              <w:t>1</w:t>
            </w:r>
            <w:r>
              <w:rPr>
                <w:spacing w:val="9"/>
              </w:rPr>
              <w:t>万元以下的罚款；逾期</w:t>
            </w:r>
            <w:r>
              <w:rPr>
                <w:spacing w:val="3"/>
              </w:rPr>
              <w:t>未改正的，处</w:t>
            </w:r>
            <w:r>
              <w:rPr>
                <w:rFonts w:ascii="宋体" w:hAnsi="宋体" w:eastAsia="宋体" w:cs="宋体"/>
                <w:spacing w:val="3"/>
              </w:rPr>
              <w:t>1</w:t>
            </w:r>
            <w:r>
              <w:rPr>
                <w:spacing w:val="3"/>
              </w:rPr>
              <w:t>万元以上</w:t>
            </w:r>
            <w:r>
              <w:rPr>
                <w:rFonts w:ascii="宋体" w:hAnsi="宋体" w:eastAsia="宋体" w:cs="宋体"/>
                <w:spacing w:val="6"/>
              </w:rPr>
              <w:t>1.5</w:t>
            </w:r>
            <w:r>
              <w:rPr>
                <w:spacing w:val="6"/>
              </w:rPr>
              <w:t>万元以下的罚款，对</w:t>
            </w:r>
            <w:r>
              <w:rPr>
                <w:spacing w:val="3"/>
              </w:rPr>
              <w:t>相关责任人处</w:t>
            </w:r>
            <w:r>
              <w:rPr>
                <w:rFonts w:ascii="宋体" w:hAnsi="宋体" w:eastAsia="宋体" w:cs="宋体"/>
                <w:spacing w:val="3"/>
              </w:rPr>
              <w:t>1</w:t>
            </w:r>
            <w:r>
              <w:rPr>
                <w:spacing w:val="3"/>
              </w:rPr>
              <w:t>千元以上</w:t>
            </w:r>
            <w:r>
              <w:rPr>
                <w:rFonts w:ascii="宋体" w:hAnsi="宋体" w:eastAsia="宋体" w:cs="宋体"/>
                <w:spacing w:val="9"/>
              </w:rPr>
              <w:t>5</w:t>
            </w:r>
            <w:r>
              <w:rPr>
                <w:spacing w:val="9"/>
              </w:rPr>
              <w:t>千元以下的罚款；情节</w:t>
            </w:r>
            <w:r>
              <w:rPr>
                <w:spacing w:val="-9"/>
              </w:rPr>
              <w:t>严重的，处</w:t>
            </w:r>
            <w:r>
              <w:rPr>
                <w:rFonts w:ascii="宋体" w:hAnsi="宋体" w:eastAsia="宋体" w:cs="宋体"/>
                <w:spacing w:val="-9"/>
              </w:rPr>
              <w:t>1</w:t>
            </w:r>
            <w:r>
              <w:rPr>
                <w:spacing w:val="-9"/>
              </w:rPr>
              <w:t>万元以上</w:t>
            </w:r>
            <w:r>
              <w:rPr>
                <w:rFonts w:ascii="宋体" w:hAnsi="宋体" w:eastAsia="宋体" w:cs="宋体"/>
                <w:spacing w:val="-9"/>
              </w:rPr>
              <w:t>1.5</w:t>
            </w:r>
          </w:p>
        </w:tc>
        <w:tc>
          <w:tcPr>
            <w:tcW w:w="811" w:type="dxa"/>
            <w:vAlign w:val="top"/>
          </w:tcPr>
          <w:p w14:paraId="1DC706D7">
            <w:pPr>
              <w:spacing w:line="261" w:lineRule="auto"/>
              <w:rPr>
                <w:rFonts w:ascii="Arial"/>
                <w:sz w:val="21"/>
              </w:rPr>
            </w:pPr>
          </w:p>
          <w:p w14:paraId="33D23B60">
            <w:pPr>
              <w:spacing w:line="262" w:lineRule="auto"/>
              <w:rPr>
                <w:rFonts w:ascii="Arial"/>
                <w:sz w:val="21"/>
              </w:rPr>
            </w:pPr>
          </w:p>
          <w:p w14:paraId="62CEC65B">
            <w:pPr>
              <w:spacing w:line="262" w:lineRule="auto"/>
              <w:rPr>
                <w:rFonts w:ascii="Arial"/>
                <w:sz w:val="21"/>
              </w:rPr>
            </w:pPr>
          </w:p>
          <w:p w14:paraId="73B4F049">
            <w:pPr>
              <w:spacing w:line="262" w:lineRule="auto"/>
              <w:rPr>
                <w:rFonts w:ascii="Arial"/>
                <w:sz w:val="21"/>
              </w:rPr>
            </w:pPr>
          </w:p>
          <w:p w14:paraId="2C76B1E5">
            <w:pPr>
              <w:spacing w:before="75" w:line="188" w:lineRule="auto"/>
              <w:ind w:left="233"/>
              <w:rPr>
                <w:rFonts w:ascii="宋体" w:hAnsi="宋体" w:eastAsia="宋体" w:cs="宋体"/>
                <w:sz w:val="23"/>
                <w:szCs w:val="23"/>
              </w:rPr>
            </w:pPr>
            <w:r>
              <w:rPr>
                <w:rFonts w:ascii="宋体" w:hAnsi="宋体" w:eastAsia="宋体" w:cs="宋体"/>
                <w:spacing w:val="-1"/>
                <w:sz w:val="23"/>
                <w:szCs w:val="23"/>
              </w:rPr>
              <w:t>250</w:t>
            </w:r>
          </w:p>
        </w:tc>
      </w:tr>
    </w:tbl>
    <w:p w14:paraId="32113F82">
      <w:pPr>
        <w:pStyle w:val="2"/>
      </w:pPr>
    </w:p>
    <w:p w14:paraId="78A7E575">
      <w:pPr>
        <w:sectPr>
          <w:footerReference r:id="rId230" w:type="default"/>
          <w:pgSz w:w="16839" w:h="11906"/>
          <w:pgMar w:top="1012" w:right="821" w:bottom="666" w:left="901" w:header="0" w:footer="388" w:gutter="0"/>
          <w:cols w:space="720" w:num="1"/>
        </w:sectPr>
      </w:pPr>
    </w:p>
    <w:p w14:paraId="770B09A0">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69E87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E94DDDC">
            <w:pPr>
              <w:spacing w:before="222" w:line="241" w:lineRule="auto"/>
              <w:ind w:left="131"/>
              <w:rPr>
                <w:rFonts w:ascii="黑体" w:hAnsi="黑体" w:eastAsia="黑体" w:cs="黑体"/>
                <w:sz w:val="28"/>
                <w:szCs w:val="28"/>
              </w:rPr>
            </w:pPr>
            <w:bookmarkStart w:id="739" w:name="bookmark618"/>
            <w:bookmarkEnd w:id="739"/>
            <w:r>
              <w:rPr>
                <w:rFonts w:ascii="黑体" w:hAnsi="黑体" w:eastAsia="黑体" w:cs="黑体"/>
                <w:spacing w:val="-2"/>
                <w:sz w:val="28"/>
                <w:szCs w:val="28"/>
              </w:rPr>
              <w:t>序号</w:t>
            </w:r>
          </w:p>
        </w:tc>
        <w:tc>
          <w:tcPr>
            <w:tcW w:w="1440" w:type="dxa"/>
            <w:vAlign w:val="top"/>
          </w:tcPr>
          <w:p w14:paraId="1F4ADA98">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03D84D5F">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16EF790">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46645E76">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419F95C7">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1A2A37F">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2C2B11C">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4AAA0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818" w:type="dxa"/>
            <w:vMerge w:val="restart"/>
            <w:tcBorders>
              <w:bottom w:val="nil"/>
            </w:tcBorders>
            <w:vAlign w:val="top"/>
          </w:tcPr>
          <w:p w14:paraId="325C075E">
            <w:pPr>
              <w:rPr>
                <w:rFonts w:ascii="Arial"/>
                <w:sz w:val="21"/>
              </w:rPr>
            </w:pPr>
          </w:p>
        </w:tc>
        <w:tc>
          <w:tcPr>
            <w:tcW w:w="1440" w:type="dxa"/>
            <w:vMerge w:val="restart"/>
            <w:tcBorders>
              <w:bottom w:val="nil"/>
            </w:tcBorders>
            <w:vAlign w:val="top"/>
          </w:tcPr>
          <w:p w14:paraId="107A9B22">
            <w:pPr>
              <w:pStyle w:val="6"/>
              <w:spacing w:before="31" w:line="182" w:lineRule="auto"/>
              <w:ind w:left="115" w:right="111"/>
              <w:jc w:val="both"/>
            </w:pPr>
            <w:r>
              <w:rPr>
                <w:spacing w:val="11"/>
              </w:rPr>
              <w:t>检、结论不明确等重大</w:t>
            </w:r>
            <w:r>
              <w:rPr>
                <w:spacing w:val="4"/>
              </w:rPr>
              <w:t>疏漏，但尚</w:t>
            </w:r>
            <w:r>
              <w:rPr>
                <w:spacing w:val="11"/>
              </w:rPr>
              <w:t>未造成重大</w:t>
            </w:r>
          </w:p>
          <w:p w14:paraId="6EAEE8DC">
            <w:pPr>
              <w:pStyle w:val="6"/>
              <w:spacing w:before="1" w:line="208" w:lineRule="auto"/>
              <w:ind w:left="116"/>
              <w:outlineLvl w:val="0"/>
            </w:pPr>
            <w:r>
              <w:rPr>
                <w:spacing w:val="4"/>
              </w:rPr>
              <w:t>损失的</w:t>
            </w:r>
          </w:p>
        </w:tc>
        <w:tc>
          <w:tcPr>
            <w:tcW w:w="3202" w:type="dxa"/>
            <w:vMerge w:val="restart"/>
            <w:tcBorders>
              <w:bottom w:val="nil"/>
            </w:tcBorders>
            <w:vAlign w:val="top"/>
          </w:tcPr>
          <w:p w14:paraId="19AED911">
            <w:pPr>
              <w:rPr>
                <w:rFonts w:ascii="Arial"/>
                <w:sz w:val="21"/>
              </w:rPr>
            </w:pPr>
          </w:p>
        </w:tc>
        <w:tc>
          <w:tcPr>
            <w:tcW w:w="2859" w:type="dxa"/>
            <w:vMerge w:val="restart"/>
            <w:tcBorders>
              <w:bottom w:val="nil"/>
            </w:tcBorders>
            <w:vAlign w:val="top"/>
          </w:tcPr>
          <w:p w14:paraId="724023E1">
            <w:pPr>
              <w:pStyle w:val="6"/>
              <w:spacing w:before="21" w:line="185" w:lineRule="auto"/>
              <w:ind w:left="117" w:right="19"/>
            </w:pPr>
            <w:r>
              <w:rPr>
                <w:spacing w:val="8"/>
              </w:rPr>
              <w:t>处一万元以上三万元以下</w:t>
            </w:r>
            <w:r>
              <w:rPr>
                <w:spacing w:val="4"/>
              </w:rPr>
              <w:t>的罚款，对相关责任人处</w:t>
            </w:r>
            <w:r>
              <w:rPr>
                <w:spacing w:val="8"/>
              </w:rPr>
              <w:t>一千元以上五千元以下的</w:t>
            </w:r>
            <w:r>
              <w:rPr>
                <w:spacing w:val="5"/>
              </w:rPr>
              <w:t>罚款；情节严重的，处一</w:t>
            </w:r>
            <w:r>
              <w:rPr>
                <w:spacing w:val="8"/>
              </w:rPr>
              <w:t>万元以上三万元以下的罚款，对相关责任人处五千</w:t>
            </w:r>
            <w:r>
              <w:rPr>
                <w:spacing w:val="32"/>
              </w:rPr>
              <w:t>元以上一万元以下的罚</w:t>
            </w:r>
            <w:r>
              <w:rPr>
                <w:spacing w:val="5"/>
              </w:rPr>
              <w:t>款</w:t>
            </w:r>
            <w:r>
              <w:rPr>
                <w:spacing w:val="7"/>
              </w:rPr>
              <w:t>：（</w:t>
            </w:r>
            <w:r>
              <w:rPr>
                <w:spacing w:val="5"/>
              </w:rPr>
              <w:t>十一）安全生产检</w:t>
            </w:r>
            <w:bookmarkStart w:id="740" w:name="bookmark467"/>
            <w:bookmarkEnd w:id="740"/>
            <w:r>
              <w:rPr>
                <w:spacing w:val="8"/>
              </w:rPr>
              <w:t>测检验报告存在法规标准</w:t>
            </w:r>
            <w:r>
              <w:rPr>
                <w:spacing w:val="-4"/>
              </w:rPr>
              <w:t>引用错误、关键项目漏检、</w:t>
            </w:r>
            <w:r>
              <w:rPr>
                <w:spacing w:val="7"/>
              </w:rPr>
              <w:t>结论不明确等重大疏漏，</w:t>
            </w:r>
            <w:r>
              <w:rPr>
                <w:spacing w:val="5"/>
              </w:rPr>
              <w:t>但尚未造成重大损失的。</w:t>
            </w:r>
          </w:p>
        </w:tc>
        <w:tc>
          <w:tcPr>
            <w:tcW w:w="803" w:type="dxa"/>
            <w:vAlign w:val="top"/>
          </w:tcPr>
          <w:p w14:paraId="46E78CD1">
            <w:pPr>
              <w:rPr>
                <w:rFonts w:ascii="Arial"/>
                <w:sz w:val="21"/>
              </w:rPr>
            </w:pPr>
          </w:p>
        </w:tc>
        <w:tc>
          <w:tcPr>
            <w:tcW w:w="2283" w:type="dxa"/>
            <w:vAlign w:val="top"/>
          </w:tcPr>
          <w:p w14:paraId="11D059B3">
            <w:pPr>
              <w:rPr>
                <w:rFonts w:ascii="Arial"/>
                <w:sz w:val="21"/>
              </w:rPr>
            </w:pPr>
          </w:p>
        </w:tc>
        <w:tc>
          <w:tcPr>
            <w:tcW w:w="2894" w:type="dxa"/>
            <w:vAlign w:val="top"/>
          </w:tcPr>
          <w:p w14:paraId="56DA829A">
            <w:pPr>
              <w:pStyle w:val="6"/>
              <w:spacing w:before="26" w:line="176" w:lineRule="auto"/>
              <w:ind w:left="124" w:right="104" w:firstLine="5"/>
              <w:jc w:val="both"/>
            </w:pPr>
            <w:r>
              <w:rPr>
                <w:spacing w:val="7"/>
              </w:rPr>
              <w:t>万元以下的罚款，对相关</w:t>
            </w:r>
            <w:r>
              <w:rPr>
                <w:spacing w:val="1"/>
              </w:rPr>
              <w:t>责任人处</w:t>
            </w:r>
            <w:r>
              <w:rPr>
                <w:rFonts w:ascii="宋体" w:hAnsi="宋体" w:eastAsia="宋体" w:cs="宋体"/>
                <w:spacing w:val="1"/>
              </w:rPr>
              <w:t>5</w:t>
            </w:r>
            <w:r>
              <w:rPr>
                <w:spacing w:val="1"/>
              </w:rPr>
              <w:t>千元以上</w:t>
            </w:r>
            <w:r>
              <w:rPr>
                <w:rFonts w:ascii="宋体" w:hAnsi="宋体" w:eastAsia="宋体" w:cs="宋体"/>
                <w:spacing w:val="1"/>
              </w:rPr>
              <w:t>1</w:t>
            </w:r>
            <w:r>
              <w:rPr>
                <w:spacing w:val="1"/>
              </w:rPr>
              <w:t>万</w:t>
            </w:r>
            <w:r>
              <w:rPr>
                <w:spacing w:val="6"/>
              </w:rPr>
              <w:t>元以下的罚款</w:t>
            </w:r>
          </w:p>
        </w:tc>
        <w:tc>
          <w:tcPr>
            <w:tcW w:w="811" w:type="dxa"/>
            <w:vMerge w:val="restart"/>
            <w:tcBorders>
              <w:bottom w:val="nil"/>
            </w:tcBorders>
            <w:vAlign w:val="top"/>
          </w:tcPr>
          <w:p w14:paraId="4961BD3B">
            <w:pPr>
              <w:rPr>
                <w:rFonts w:ascii="Arial"/>
                <w:sz w:val="21"/>
              </w:rPr>
            </w:pPr>
          </w:p>
        </w:tc>
      </w:tr>
      <w:tr w14:paraId="086D1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818" w:type="dxa"/>
            <w:vMerge w:val="continue"/>
            <w:tcBorders>
              <w:top w:val="nil"/>
              <w:bottom w:val="nil"/>
            </w:tcBorders>
            <w:vAlign w:val="top"/>
          </w:tcPr>
          <w:p w14:paraId="76198EA0">
            <w:pPr>
              <w:rPr>
                <w:rFonts w:ascii="Arial"/>
                <w:sz w:val="21"/>
              </w:rPr>
            </w:pPr>
          </w:p>
        </w:tc>
        <w:tc>
          <w:tcPr>
            <w:tcW w:w="1440" w:type="dxa"/>
            <w:vMerge w:val="continue"/>
            <w:tcBorders>
              <w:top w:val="nil"/>
              <w:bottom w:val="nil"/>
            </w:tcBorders>
            <w:vAlign w:val="top"/>
          </w:tcPr>
          <w:p w14:paraId="6BCEE2B2">
            <w:pPr>
              <w:rPr>
                <w:rFonts w:ascii="Arial"/>
                <w:sz w:val="21"/>
              </w:rPr>
            </w:pPr>
          </w:p>
        </w:tc>
        <w:tc>
          <w:tcPr>
            <w:tcW w:w="3202" w:type="dxa"/>
            <w:vMerge w:val="continue"/>
            <w:tcBorders>
              <w:top w:val="nil"/>
              <w:bottom w:val="nil"/>
            </w:tcBorders>
            <w:vAlign w:val="top"/>
          </w:tcPr>
          <w:p w14:paraId="271B63CD">
            <w:pPr>
              <w:rPr>
                <w:rFonts w:ascii="Arial"/>
                <w:sz w:val="21"/>
              </w:rPr>
            </w:pPr>
          </w:p>
        </w:tc>
        <w:tc>
          <w:tcPr>
            <w:tcW w:w="2859" w:type="dxa"/>
            <w:vMerge w:val="continue"/>
            <w:tcBorders>
              <w:top w:val="nil"/>
              <w:bottom w:val="nil"/>
            </w:tcBorders>
            <w:vAlign w:val="top"/>
          </w:tcPr>
          <w:p w14:paraId="68DDF2C2">
            <w:pPr>
              <w:rPr>
                <w:rFonts w:ascii="Arial"/>
                <w:sz w:val="21"/>
              </w:rPr>
            </w:pPr>
          </w:p>
        </w:tc>
        <w:tc>
          <w:tcPr>
            <w:tcW w:w="803" w:type="dxa"/>
            <w:vAlign w:val="top"/>
          </w:tcPr>
          <w:p w14:paraId="6B0FAF93">
            <w:pPr>
              <w:spacing w:line="248" w:lineRule="auto"/>
              <w:rPr>
                <w:rFonts w:ascii="Arial"/>
                <w:sz w:val="21"/>
              </w:rPr>
            </w:pPr>
          </w:p>
          <w:p w14:paraId="4BFB157C">
            <w:pPr>
              <w:spacing w:line="248" w:lineRule="auto"/>
              <w:rPr>
                <w:rFonts w:ascii="Arial"/>
                <w:sz w:val="21"/>
              </w:rPr>
            </w:pPr>
          </w:p>
          <w:p w14:paraId="46303756">
            <w:pPr>
              <w:spacing w:line="248" w:lineRule="auto"/>
              <w:rPr>
                <w:rFonts w:ascii="Arial"/>
                <w:sz w:val="21"/>
              </w:rPr>
            </w:pPr>
          </w:p>
          <w:p w14:paraId="040E2815">
            <w:pPr>
              <w:spacing w:line="248" w:lineRule="auto"/>
              <w:rPr>
                <w:rFonts w:ascii="Arial"/>
                <w:sz w:val="21"/>
              </w:rPr>
            </w:pPr>
          </w:p>
          <w:p w14:paraId="78777C38">
            <w:pPr>
              <w:spacing w:line="249" w:lineRule="auto"/>
              <w:rPr>
                <w:rFonts w:ascii="Arial"/>
                <w:sz w:val="21"/>
              </w:rPr>
            </w:pPr>
          </w:p>
          <w:p w14:paraId="0E53376D">
            <w:pPr>
              <w:spacing w:line="249" w:lineRule="auto"/>
              <w:rPr>
                <w:rFonts w:ascii="Arial"/>
                <w:sz w:val="21"/>
              </w:rPr>
            </w:pPr>
          </w:p>
          <w:p w14:paraId="3992C103">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50F5A0D">
            <w:pPr>
              <w:spacing w:line="336" w:lineRule="auto"/>
              <w:rPr>
                <w:rFonts w:ascii="Arial"/>
                <w:sz w:val="21"/>
              </w:rPr>
            </w:pPr>
          </w:p>
          <w:p w14:paraId="5140B1DB">
            <w:pPr>
              <w:spacing w:line="337" w:lineRule="auto"/>
              <w:rPr>
                <w:rFonts w:ascii="Arial"/>
                <w:sz w:val="21"/>
              </w:rPr>
            </w:pPr>
          </w:p>
          <w:p w14:paraId="375A362F">
            <w:pPr>
              <w:pStyle w:val="6"/>
              <w:spacing w:before="99" w:line="187" w:lineRule="auto"/>
              <w:ind w:left="117" w:right="105" w:firstLine="5"/>
              <w:jc w:val="both"/>
            </w:pPr>
            <w:r>
              <w:rPr>
                <w:spacing w:val="25"/>
              </w:rPr>
              <w:t>安全生产检测检验</w:t>
            </w:r>
            <w:r>
              <w:rPr>
                <w:spacing w:val="26"/>
              </w:rPr>
              <w:t>报告存在法规标准</w:t>
            </w:r>
            <w:r>
              <w:rPr>
                <w:spacing w:val="-3"/>
              </w:rPr>
              <w:t>引用错误、关键项目漏检、结论不明确等</w:t>
            </w:r>
            <w:r>
              <w:rPr>
                <w:spacing w:val="17"/>
              </w:rPr>
              <w:t>重大疏漏，存在</w:t>
            </w:r>
            <w:r>
              <w:rPr>
                <w:rFonts w:ascii="宋体" w:hAnsi="宋体" w:eastAsia="宋体" w:cs="宋体"/>
                <w:spacing w:val="17"/>
              </w:rPr>
              <w:t>2</w:t>
            </w:r>
            <w:r>
              <w:rPr>
                <w:spacing w:val="2"/>
              </w:rPr>
              <w:t>处的</w:t>
            </w:r>
          </w:p>
        </w:tc>
        <w:tc>
          <w:tcPr>
            <w:tcW w:w="2894" w:type="dxa"/>
            <w:vAlign w:val="top"/>
          </w:tcPr>
          <w:p w14:paraId="054B5483">
            <w:pPr>
              <w:pStyle w:val="6"/>
              <w:spacing w:before="37" w:line="180" w:lineRule="auto"/>
              <w:ind w:left="118" w:right="103" w:firstLine="9"/>
              <w:jc w:val="both"/>
            </w:pPr>
            <w:r>
              <w:rPr>
                <w:spacing w:val="10"/>
              </w:rPr>
              <w:t>责令改正或者责令限期改</w:t>
            </w:r>
            <w:r>
              <w:rPr>
                <w:spacing w:val="8"/>
              </w:rPr>
              <w:t>正，给予警告，可以并处</w:t>
            </w:r>
            <w:r>
              <w:rPr>
                <w:rFonts w:ascii="宋体" w:hAnsi="宋体" w:eastAsia="宋体" w:cs="宋体"/>
                <w:spacing w:val="10"/>
              </w:rPr>
              <w:t>1</w:t>
            </w:r>
            <w:r>
              <w:rPr>
                <w:spacing w:val="10"/>
              </w:rPr>
              <w:t>万元以下的罚款；逾期</w:t>
            </w:r>
            <w:r>
              <w:rPr>
                <w:spacing w:val="2"/>
              </w:rPr>
              <w:t>未改正的，处</w:t>
            </w:r>
            <w:r>
              <w:rPr>
                <w:rFonts w:ascii="宋体" w:hAnsi="宋体" w:eastAsia="宋体" w:cs="宋体"/>
                <w:spacing w:val="2"/>
              </w:rPr>
              <w:t>1.5</w:t>
            </w:r>
            <w:r>
              <w:rPr>
                <w:spacing w:val="2"/>
              </w:rPr>
              <w:t>万元以</w:t>
            </w:r>
            <w:r>
              <w:rPr>
                <w:spacing w:val="4"/>
              </w:rPr>
              <w:t>上</w:t>
            </w:r>
            <w:r>
              <w:rPr>
                <w:rFonts w:ascii="宋体" w:hAnsi="宋体" w:eastAsia="宋体" w:cs="宋体"/>
                <w:spacing w:val="4"/>
              </w:rPr>
              <w:t>2</w:t>
            </w:r>
            <w:r>
              <w:rPr>
                <w:spacing w:val="4"/>
              </w:rPr>
              <w:t>万元以下的罚款，对</w:t>
            </w:r>
            <w:r>
              <w:rPr>
                <w:spacing w:val="3"/>
              </w:rPr>
              <w:t>相关责任人处</w:t>
            </w:r>
            <w:r>
              <w:rPr>
                <w:rFonts w:ascii="宋体" w:hAnsi="宋体" w:eastAsia="宋体" w:cs="宋体"/>
                <w:spacing w:val="3"/>
              </w:rPr>
              <w:t>1</w:t>
            </w:r>
            <w:r>
              <w:rPr>
                <w:spacing w:val="3"/>
              </w:rPr>
              <w:t>千元以上</w:t>
            </w:r>
            <w:r>
              <w:rPr>
                <w:rFonts w:ascii="宋体" w:hAnsi="宋体" w:eastAsia="宋体" w:cs="宋体"/>
                <w:spacing w:val="9"/>
              </w:rPr>
              <w:t>5</w:t>
            </w:r>
            <w:r>
              <w:rPr>
                <w:spacing w:val="9"/>
              </w:rPr>
              <w:t>千元以下的罚款；情节</w:t>
            </w:r>
            <w:r>
              <w:rPr>
                <w:spacing w:val="2"/>
              </w:rPr>
              <w:t>严重的，处</w:t>
            </w:r>
            <w:r>
              <w:rPr>
                <w:rFonts w:ascii="宋体" w:hAnsi="宋体" w:eastAsia="宋体" w:cs="宋体"/>
                <w:spacing w:val="2"/>
              </w:rPr>
              <w:t>1.5</w:t>
            </w:r>
            <w:r>
              <w:rPr>
                <w:spacing w:val="2"/>
              </w:rPr>
              <w:t>万元以上</w:t>
            </w:r>
            <w:r>
              <w:rPr>
                <w:rFonts w:ascii="宋体" w:hAnsi="宋体" w:eastAsia="宋体" w:cs="宋体"/>
                <w:spacing w:val="9"/>
              </w:rPr>
              <w:t>2</w:t>
            </w:r>
            <w:r>
              <w:rPr>
                <w:spacing w:val="9"/>
              </w:rPr>
              <w:t>万元以下的罚款，对相</w:t>
            </w:r>
            <w:r>
              <w:rPr>
                <w:spacing w:val="8"/>
              </w:rPr>
              <w:t>关责任人处</w:t>
            </w:r>
            <w:r>
              <w:rPr>
                <w:rFonts w:ascii="宋体" w:hAnsi="宋体" w:eastAsia="宋体" w:cs="宋体"/>
                <w:spacing w:val="8"/>
              </w:rPr>
              <w:t>5</w:t>
            </w:r>
            <w:r>
              <w:rPr>
                <w:spacing w:val="8"/>
              </w:rPr>
              <w:t>千元以上</w:t>
            </w:r>
            <w:r>
              <w:rPr>
                <w:rFonts w:ascii="宋体" w:hAnsi="宋体" w:eastAsia="宋体" w:cs="宋体"/>
                <w:spacing w:val="8"/>
              </w:rPr>
              <w:t>1</w:t>
            </w:r>
            <w:r>
              <w:rPr>
                <w:spacing w:val="7"/>
              </w:rPr>
              <w:t>万元以下的罚款</w:t>
            </w:r>
          </w:p>
        </w:tc>
        <w:tc>
          <w:tcPr>
            <w:tcW w:w="811" w:type="dxa"/>
            <w:vMerge w:val="continue"/>
            <w:tcBorders>
              <w:top w:val="nil"/>
              <w:bottom w:val="nil"/>
            </w:tcBorders>
            <w:vAlign w:val="top"/>
          </w:tcPr>
          <w:p w14:paraId="34605DC9">
            <w:pPr>
              <w:rPr>
                <w:rFonts w:ascii="Arial"/>
                <w:sz w:val="21"/>
              </w:rPr>
            </w:pPr>
          </w:p>
        </w:tc>
      </w:tr>
      <w:tr w14:paraId="0C43F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818" w:type="dxa"/>
            <w:vMerge w:val="continue"/>
            <w:tcBorders>
              <w:top w:val="nil"/>
            </w:tcBorders>
            <w:vAlign w:val="top"/>
          </w:tcPr>
          <w:p w14:paraId="70716458">
            <w:pPr>
              <w:rPr>
                <w:rFonts w:ascii="Arial"/>
                <w:sz w:val="21"/>
              </w:rPr>
            </w:pPr>
          </w:p>
        </w:tc>
        <w:tc>
          <w:tcPr>
            <w:tcW w:w="1440" w:type="dxa"/>
            <w:vMerge w:val="continue"/>
            <w:tcBorders>
              <w:top w:val="nil"/>
            </w:tcBorders>
            <w:vAlign w:val="top"/>
          </w:tcPr>
          <w:p w14:paraId="6299CE88">
            <w:pPr>
              <w:rPr>
                <w:rFonts w:ascii="Arial"/>
                <w:sz w:val="21"/>
              </w:rPr>
            </w:pPr>
          </w:p>
        </w:tc>
        <w:tc>
          <w:tcPr>
            <w:tcW w:w="3202" w:type="dxa"/>
            <w:vMerge w:val="continue"/>
            <w:tcBorders>
              <w:top w:val="nil"/>
            </w:tcBorders>
            <w:vAlign w:val="top"/>
          </w:tcPr>
          <w:p w14:paraId="51F3D82C">
            <w:pPr>
              <w:rPr>
                <w:rFonts w:ascii="Arial"/>
                <w:sz w:val="21"/>
              </w:rPr>
            </w:pPr>
          </w:p>
        </w:tc>
        <w:tc>
          <w:tcPr>
            <w:tcW w:w="2859" w:type="dxa"/>
            <w:vMerge w:val="continue"/>
            <w:tcBorders>
              <w:top w:val="nil"/>
            </w:tcBorders>
            <w:vAlign w:val="top"/>
          </w:tcPr>
          <w:p w14:paraId="26D7DCE9">
            <w:pPr>
              <w:rPr>
                <w:rFonts w:ascii="Arial"/>
                <w:sz w:val="21"/>
              </w:rPr>
            </w:pPr>
          </w:p>
        </w:tc>
        <w:tc>
          <w:tcPr>
            <w:tcW w:w="803" w:type="dxa"/>
            <w:vAlign w:val="top"/>
          </w:tcPr>
          <w:p w14:paraId="56D5BC40">
            <w:pPr>
              <w:spacing w:line="248" w:lineRule="auto"/>
              <w:rPr>
                <w:rFonts w:ascii="Arial"/>
                <w:sz w:val="21"/>
              </w:rPr>
            </w:pPr>
          </w:p>
          <w:p w14:paraId="0F5A8120">
            <w:pPr>
              <w:spacing w:line="248" w:lineRule="auto"/>
              <w:rPr>
                <w:rFonts w:ascii="Arial"/>
                <w:sz w:val="21"/>
              </w:rPr>
            </w:pPr>
          </w:p>
          <w:p w14:paraId="15E1240A">
            <w:pPr>
              <w:spacing w:line="248" w:lineRule="auto"/>
              <w:rPr>
                <w:rFonts w:ascii="Arial"/>
                <w:sz w:val="21"/>
              </w:rPr>
            </w:pPr>
          </w:p>
          <w:p w14:paraId="06D41EE6">
            <w:pPr>
              <w:spacing w:line="249" w:lineRule="auto"/>
              <w:rPr>
                <w:rFonts w:ascii="Arial"/>
                <w:sz w:val="21"/>
              </w:rPr>
            </w:pPr>
          </w:p>
          <w:p w14:paraId="6D57C8D0">
            <w:pPr>
              <w:spacing w:line="249" w:lineRule="auto"/>
              <w:rPr>
                <w:rFonts w:ascii="Arial"/>
                <w:sz w:val="21"/>
              </w:rPr>
            </w:pPr>
          </w:p>
          <w:p w14:paraId="48FF4FC0">
            <w:pPr>
              <w:spacing w:line="249" w:lineRule="auto"/>
              <w:rPr>
                <w:rFonts w:ascii="Arial"/>
                <w:sz w:val="21"/>
              </w:rPr>
            </w:pPr>
          </w:p>
          <w:p w14:paraId="3ACB07D8">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23A0D302">
            <w:pPr>
              <w:spacing w:line="337" w:lineRule="auto"/>
              <w:rPr>
                <w:rFonts w:ascii="Arial"/>
                <w:sz w:val="21"/>
              </w:rPr>
            </w:pPr>
          </w:p>
          <w:p w14:paraId="301722AB">
            <w:pPr>
              <w:spacing w:line="338" w:lineRule="auto"/>
              <w:rPr>
                <w:rFonts w:ascii="Arial"/>
                <w:sz w:val="21"/>
              </w:rPr>
            </w:pPr>
          </w:p>
          <w:p w14:paraId="4DFAF446">
            <w:pPr>
              <w:pStyle w:val="6"/>
              <w:spacing w:before="98" w:line="187" w:lineRule="auto"/>
              <w:ind w:left="117" w:right="105" w:firstLine="5"/>
              <w:jc w:val="both"/>
            </w:pPr>
            <w:r>
              <w:rPr>
                <w:spacing w:val="25"/>
              </w:rPr>
              <w:t>安全生产检测检验</w:t>
            </w:r>
            <w:r>
              <w:rPr>
                <w:spacing w:val="26"/>
              </w:rPr>
              <w:t>报告存在法规标准</w:t>
            </w:r>
            <w:r>
              <w:rPr>
                <w:spacing w:val="-3"/>
              </w:rPr>
              <w:t>引用错误、关键项目漏检、结论不明确等</w:t>
            </w:r>
            <w:r>
              <w:rPr>
                <w:spacing w:val="17"/>
              </w:rPr>
              <w:t>重大疏漏，存在</w:t>
            </w:r>
            <w:r>
              <w:rPr>
                <w:rFonts w:ascii="宋体" w:hAnsi="宋体" w:eastAsia="宋体" w:cs="宋体"/>
                <w:spacing w:val="17"/>
              </w:rPr>
              <w:t>3</w:t>
            </w:r>
            <w:r>
              <w:rPr>
                <w:spacing w:val="6"/>
              </w:rPr>
              <w:t>处以上的</w:t>
            </w:r>
          </w:p>
        </w:tc>
        <w:tc>
          <w:tcPr>
            <w:tcW w:w="2894" w:type="dxa"/>
            <w:vAlign w:val="top"/>
          </w:tcPr>
          <w:p w14:paraId="55C51029">
            <w:pPr>
              <w:pStyle w:val="6"/>
              <w:spacing w:before="37" w:line="180" w:lineRule="auto"/>
              <w:ind w:left="120" w:right="103" w:firstLine="7"/>
              <w:jc w:val="both"/>
            </w:pPr>
            <w:r>
              <w:rPr>
                <w:spacing w:val="10"/>
              </w:rPr>
              <w:t>责令改正或者责令限期改</w:t>
            </w:r>
            <w:r>
              <w:rPr>
                <w:spacing w:val="8"/>
              </w:rPr>
              <w:t>正，给予警告，可以并处</w:t>
            </w:r>
            <w:r>
              <w:rPr>
                <w:rFonts w:ascii="宋体" w:hAnsi="宋体" w:eastAsia="宋体" w:cs="宋体"/>
                <w:spacing w:val="9"/>
              </w:rPr>
              <w:t>1</w:t>
            </w:r>
            <w:r>
              <w:rPr>
                <w:spacing w:val="9"/>
              </w:rPr>
              <w:t>万元以下的罚款；逾期</w:t>
            </w:r>
            <w:r>
              <w:rPr>
                <w:spacing w:val="4"/>
              </w:rPr>
              <w:t>未改正的，处</w:t>
            </w:r>
            <w:r>
              <w:rPr>
                <w:rFonts w:ascii="宋体" w:hAnsi="宋体" w:eastAsia="宋体" w:cs="宋体"/>
                <w:spacing w:val="4"/>
              </w:rPr>
              <w:t>2</w:t>
            </w:r>
            <w:r>
              <w:rPr>
                <w:spacing w:val="4"/>
              </w:rPr>
              <w:t>万元以上</w:t>
            </w:r>
            <w:r>
              <w:rPr>
                <w:rFonts w:ascii="宋体" w:hAnsi="宋体" w:eastAsia="宋体" w:cs="宋体"/>
                <w:spacing w:val="9"/>
              </w:rPr>
              <w:t>3</w:t>
            </w:r>
            <w:r>
              <w:rPr>
                <w:spacing w:val="9"/>
              </w:rPr>
              <w:t>万元以下的罚款，对相</w:t>
            </w:r>
            <w:r>
              <w:rPr>
                <w:spacing w:val="8"/>
              </w:rPr>
              <w:t>关责任人处</w:t>
            </w:r>
            <w:r>
              <w:rPr>
                <w:rFonts w:ascii="宋体" w:hAnsi="宋体" w:eastAsia="宋体" w:cs="宋体"/>
                <w:spacing w:val="8"/>
              </w:rPr>
              <w:t>1</w:t>
            </w:r>
            <w:r>
              <w:rPr>
                <w:spacing w:val="8"/>
              </w:rPr>
              <w:t>千元以上</w:t>
            </w:r>
            <w:r>
              <w:rPr>
                <w:rFonts w:ascii="宋体" w:hAnsi="宋体" w:eastAsia="宋体" w:cs="宋体"/>
                <w:spacing w:val="8"/>
              </w:rPr>
              <w:t>5</w:t>
            </w:r>
            <w:r>
              <w:rPr>
                <w:spacing w:val="8"/>
              </w:rPr>
              <w:t>千元以下的罚款；情节严</w:t>
            </w:r>
            <w:r>
              <w:rPr>
                <w:spacing w:val="1"/>
              </w:rPr>
              <w:t>重的，处</w:t>
            </w:r>
            <w:r>
              <w:rPr>
                <w:rFonts w:ascii="宋体" w:hAnsi="宋体" w:eastAsia="宋体" w:cs="宋体"/>
                <w:spacing w:val="1"/>
              </w:rPr>
              <w:t>2</w:t>
            </w:r>
            <w:r>
              <w:rPr>
                <w:spacing w:val="1"/>
              </w:rPr>
              <w:t>万元以上</w:t>
            </w:r>
            <w:r>
              <w:rPr>
                <w:rFonts w:ascii="宋体" w:hAnsi="宋体" w:eastAsia="宋体" w:cs="宋体"/>
                <w:spacing w:val="1"/>
              </w:rPr>
              <w:t>3</w:t>
            </w:r>
            <w:r>
              <w:rPr>
                <w:spacing w:val="1"/>
              </w:rPr>
              <w:t>万</w:t>
            </w:r>
            <w:r>
              <w:rPr>
                <w:spacing w:val="8"/>
              </w:rPr>
              <w:t>元以下的罚款，对相关责</w:t>
            </w:r>
            <w:r>
              <w:rPr>
                <w:spacing w:val="2"/>
              </w:rPr>
              <w:t>任人处</w:t>
            </w:r>
            <w:r>
              <w:rPr>
                <w:rFonts w:ascii="宋体" w:hAnsi="宋体" w:eastAsia="宋体" w:cs="宋体"/>
                <w:spacing w:val="2"/>
              </w:rPr>
              <w:t>5</w:t>
            </w:r>
            <w:r>
              <w:rPr>
                <w:spacing w:val="2"/>
              </w:rPr>
              <w:t>千元以上</w:t>
            </w:r>
            <w:r>
              <w:rPr>
                <w:rFonts w:ascii="宋体" w:hAnsi="宋体" w:eastAsia="宋体" w:cs="宋体"/>
                <w:spacing w:val="2"/>
              </w:rPr>
              <w:t>1</w:t>
            </w:r>
            <w:r>
              <w:rPr>
                <w:spacing w:val="2"/>
              </w:rPr>
              <w:t>万元</w:t>
            </w:r>
            <w:r>
              <w:rPr>
                <w:spacing w:val="6"/>
              </w:rPr>
              <w:t>以下的罚款</w:t>
            </w:r>
          </w:p>
        </w:tc>
        <w:tc>
          <w:tcPr>
            <w:tcW w:w="811" w:type="dxa"/>
            <w:vMerge w:val="continue"/>
            <w:tcBorders>
              <w:top w:val="nil"/>
            </w:tcBorders>
            <w:vAlign w:val="top"/>
          </w:tcPr>
          <w:p w14:paraId="445B3826">
            <w:pPr>
              <w:rPr>
                <w:rFonts w:ascii="Arial"/>
                <w:sz w:val="21"/>
              </w:rPr>
            </w:pPr>
          </w:p>
        </w:tc>
      </w:tr>
      <w:tr w14:paraId="549E0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818" w:type="dxa"/>
            <w:vAlign w:val="top"/>
          </w:tcPr>
          <w:p w14:paraId="55A165E1">
            <w:pPr>
              <w:spacing w:line="301" w:lineRule="auto"/>
              <w:rPr>
                <w:rFonts w:ascii="Arial"/>
                <w:sz w:val="21"/>
              </w:rPr>
            </w:pPr>
          </w:p>
          <w:p w14:paraId="49D7D58A">
            <w:pPr>
              <w:spacing w:line="301" w:lineRule="auto"/>
              <w:rPr>
                <w:rFonts w:ascii="Arial"/>
                <w:sz w:val="21"/>
              </w:rPr>
            </w:pPr>
          </w:p>
          <w:p w14:paraId="235B7758">
            <w:pPr>
              <w:spacing w:before="74" w:line="185" w:lineRule="auto"/>
              <w:ind w:left="146"/>
              <w:rPr>
                <w:rFonts w:ascii="仿宋" w:hAnsi="仿宋" w:eastAsia="仿宋" w:cs="仿宋"/>
                <w:sz w:val="23"/>
                <w:szCs w:val="23"/>
              </w:rPr>
            </w:pPr>
            <w:r>
              <w:rPr>
                <w:rFonts w:ascii="仿宋" w:hAnsi="仿宋" w:eastAsia="仿宋" w:cs="仿宋"/>
                <w:sz w:val="23"/>
                <w:szCs w:val="23"/>
              </w:rPr>
              <w:t>230</w:t>
            </w:r>
          </w:p>
        </w:tc>
        <w:tc>
          <w:tcPr>
            <w:tcW w:w="1440" w:type="dxa"/>
            <w:vAlign w:val="top"/>
          </w:tcPr>
          <w:p w14:paraId="524FE05C">
            <w:pPr>
              <w:pStyle w:val="6"/>
              <w:spacing w:before="33" w:line="178" w:lineRule="auto"/>
              <w:ind w:left="116" w:right="109"/>
              <w:jc w:val="both"/>
            </w:pPr>
            <w:r>
              <w:rPr>
                <w:spacing w:val="11"/>
              </w:rPr>
              <w:t>未按照规定采取预防措</w:t>
            </w:r>
            <w:r>
              <w:rPr>
                <w:spacing w:val="2"/>
              </w:rPr>
              <w:t>施，导致发</w:t>
            </w:r>
            <w:r>
              <w:rPr>
                <w:spacing w:val="11"/>
              </w:rPr>
              <w:t>生较大以上</w:t>
            </w:r>
            <w:r>
              <w:rPr>
                <w:spacing w:val="6"/>
              </w:rPr>
              <w:t>突发事件的</w:t>
            </w:r>
          </w:p>
        </w:tc>
        <w:tc>
          <w:tcPr>
            <w:tcW w:w="3202" w:type="dxa"/>
            <w:vAlign w:val="top"/>
          </w:tcPr>
          <w:p w14:paraId="6A6C79BB">
            <w:pPr>
              <w:pStyle w:val="6"/>
              <w:spacing w:before="33" w:line="178" w:lineRule="auto"/>
              <w:ind w:left="118" w:right="111" w:hanging="20"/>
              <w:jc w:val="both"/>
            </w:pPr>
            <w:r>
              <w:rPr>
                <w:spacing w:val="18"/>
              </w:rPr>
              <w:t>【法律】《中华人民共和国</w:t>
            </w:r>
            <w:r>
              <w:rPr>
                <w:spacing w:val="17"/>
              </w:rPr>
              <w:t>突发事件应对法》第三十五</w:t>
            </w:r>
            <w:r>
              <w:rPr>
                <w:spacing w:val="13"/>
              </w:rPr>
              <w:t>条：所有单位应当建立健全安全管理制度，定期开展危险源辨识评估，制定安全防</w:t>
            </w:r>
          </w:p>
        </w:tc>
        <w:tc>
          <w:tcPr>
            <w:tcW w:w="2859" w:type="dxa"/>
            <w:vAlign w:val="top"/>
          </w:tcPr>
          <w:p w14:paraId="0E004D5C">
            <w:pPr>
              <w:pStyle w:val="6"/>
              <w:spacing w:before="33" w:line="178" w:lineRule="auto"/>
              <w:ind w:left="124" w:right="110" w:hanging="27"/>
            </w:pPr>
            <w:r>
              <w:rPr>
                <w:spacing w:val="10"/>
              </w:rPr>
              <w:t>【法律】《中华人民共和</w:t>
            </w:r>
            <w:r>
              <w:rPr>
                <w:spacing w:val="7"/>
              </w:rPr>
              <w:t>国突发事件应对法》第九</w:t>
            </w:r>
            <w:r>
              <w:rPr>
                <w:spacing w:val="5"/>
              </w:rPr>
              <w:t>十六条第一款第一项：有</w:t>
            </w:r>
            <w:r>
              <w:rPr>
                <w:spacing w:val="4"/>
              </w:rPr>
              <w:t>关单位有下列情形之一，</w:t>
            </w:r>
            <w:r>
              <w:rPr>
                <w:spacing w:val="8"/>
              </w:rPr>
              <w:t>由所在地履行统一领导职</w:t>
            </w:r>
          </w:p>
        </w:tc>
        <w:tc>
          <w:tcPr>
            <w:tcW w:w="803" w:type="dxa"/>
            <w:vAlign w:val="top"/>
          </w:tcPr>
          <w:p w14:paraId="2341163D">
            <w:pPr>
              <w:spacing w:line="297" w:lineRule="auto"/>
              <w:rPr>
                <w:rFonts w:ascii="Arial"/>
                <w:sz w:val="21"/>
              </w:rPr>
            </w:pPr>
          </w:p>
          <w:p w14:paraId="1E5264CE">
            <w:pPr>
              <w:spacing w:line="298" w:lineRule="auto"/>
              <w:rPr>
                <w:rFonts w:ascii="Arial"/>
                <w:sz w:val="21"/>
              </w:rPr>
            </w:pPr>
          </w:p>
          <w:p w14:paraId="56035823">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6D81A63E">
            <w:pPr>
              <w:pStyle w:val="6"/>
              <w:spacing w:before="334" w:line="191" w:lineRule="auto"/>
              <w:ind w:left="125" w:right="109" w:hanging="7"/>
              <w:jc w:val="both"/>
            </w:pPr>
            <w:r>
              <w:rPr>
                <w:spacing w:val="26"/>
              </w:rPr>
              <w:t>未按照规定采取预</w:t>
            </w:r>
            <w:r>
              <w:rPr>
                <w:spacing w:val="-4"/>
              </w:rPr>
              <w:t>防措施，导致发生较</w:t>
            </w:r>
            <w:r>
              <w:rPr>
                <w:spacing w:val="5"/>
              </w:rPr>
              <w:t>大突发事件的</w:t>
            </w:r>
          </w:p>
        </w:tc>
        <w:tc>
          <w:tcPr>
            <w:tcW w:w="2894" w:type="dxa"/>
            <w:vAlign w:val="top"/>
          </w:tcPr>
          <w:p w14:paraId="466193B6">
            <w:pPr>
              <w:pStyle w:val="6"/>
              <w:spacing w:before="33" w:line="178" w:lineRule="auto"/>
              <w:ind w:left="119" w:right="103" w:firstLine="8"/>
              <w:jc w:val="both"/>
            </w:pPr>
            <w:r>
              <w:rPr>
                <w:spacing w:val="7"/>
              </w:rPr>
              <w:t>责令停产停业，暂扣或者</w:t>
            </w:r>
            <w:r>
              <w:rPr>
                <w:spacing w:val="4"/>
              </w:rPr>
              <w:t>吊销许可证件，并处</w:t>
            </w:r>
            <w:r>
              <w:rPr>
                <w:rFonts w:ascii="宋体" w:hAnsi="宋体" w:eastAsia="宋体" w:cs="宋体"/>
                <w:spacing w:val="4"/>
              </w:rPr>
              <w:t>5</w:t>
            </w:r>
            <w:r>
              <w:rPr>
                <w:spacing w:val="4"/>
              </w:rPr>
              <w:t>万</w:t>
            </w:r>
            <w:r>
              <w:rPr>
                <w:spacing w:val="11"/>
              </w:rPr>
              <w:t>元以上</w:t>
            </w:r>
            <w:r>
              <w:rPr>
                <w:rFonts w:ascii="宋体" w:hAnsi="宋体" w:eastAsia="宋体" w:cs="宋体"/>
                <w:spacing w:val="11"/>
              </w:rPr>
              <w:t>10</w:t>
            </w:r>
            <w:r>
              <w:rPr>
                <w:spacing w:val="11"/>
              </w:rPr>
              <w:t>万元以下的罚</w:t>
            </w:r>
            <w:r>
              <w:rPr>
                <w:spacing w:val="4"/>
              </w:rPr>
              <w:t>款；情节特别严重的，并</w:t>
            </w:r>
            <w:r>
              <w:rPr>
                <w:spacing w:val="2"/>
              </w:rPr>
              <w:t>处</w:t>
            </w:r>
            <w:r>
              <w:rPr>
                <w:rFonts w:ascii="宋体" w:hAnsi="宋体" w:eastAsia="宋体" w:cs="宋体"/>
                <w:spacing w:val="2"/>
              </w:rPr>
              <w:t>20</w:t>
            </w:r>
            <w:r>
              <w:rPr>
                <w:spacing w:val="2"/>
              </w:rPr>
              <w:t>万元以上</w:t>
            </w:r>
            <w:r>
              <w:rPr>
                <w:rFonts w:ascii="宋体" w:hAnsi="宋体" w:eastAsia="宋体" w:cs="宋体"/>
                <w:spacing w:val="2"/>
              </w:rPr>
              <w:t>50</w:t>
            </w:r>
            <w:r>
              <w:rPr>
                <w:spacing w:val="2"/>
              </w:rPr>
              <w:t>万元以</w:t>
            </w:r>
          </w:p>
        </w:tc>
        <w:tc>
          <w:tcPr>
            <w:tcW w:w="811" w:type="dxa"/>
            <w:vAlign w:val="top"/>
          </w:tcPr>
          <w:p w14:paraId="5C553754">
            <w:pPr>
              <w:rPr>
                <w:rFonts w:ascii="Arial"/>
                <w:sz w:val="21"/>
              </w:rPr>
            </w:pPr>
          </w:p>
        </w:tc>
      </w:tr>
    </w:tbl>
    <w:p w14:paraId="4C867E1F">
      <w:pPr>
        <w:pStyle w:val="2"/>
      </w:pPr>
    </w:p>
    <w:p w14:paraId="304EF2E8">
      <w:pPr>
        <w:sectPr>
          <w:footerReference r:id="rId231" w:type="default"/>
          <w:pgSz w:w="16839" w:h="11906"/>
          <w:pgMar w:top="1012" w:right="821" w:bottom="666" w:left="901" w:header="0" w:footer="388" w:gutter="0"/>
          <w:cols w:space="720" w:num="1"/>
        </w:sectPr>
      </w:pPr>
    </w:p>
    <w:p w14:paraId="0FC0A89D">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473A1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475F16EC">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16DA434C">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19AB2939">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6B153508">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1BD5DF1">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0CF3F484">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8E6FF32">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66F53373">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60B56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818" w:type="dxa"/>
            <w:vMerge w:val="restart"/>
            <w:tcBorders>
              <w:bottom w:val="nil"/>
            </w:tcBorders>
            <w:vAlign w:val="top"/>
          </w:tcPr>
          <w:p w14:paraId="17DD0EC0">
            <w:pPr>
              <w:rPr>
                <w:rFonts w:ascii="Arial"/>
                <w:sz w:val="21"/>
              </w:rPr>
            </w:pPr>
          </w:p>
        </w:tc>
        <w:tc>
          <w:tcPr>
            <w:tcW w:w="1440" w:type="dxa"/>
            <w:vMerge w:val="restart"/>
            <w:tcBorders>
              <w:bottom w:val="nil"/>
            </w:tcBorders>
            <w:vAlign w:val="top"/>
          </w:tcPr>
          <w:p w14:paraId="6A5835E0">
            <w:pPr>
              <w:rPr>
                <w:rFonts w:ascii="Arial"/>
                <w:sz w:val="21"/>
              </w:rPr>
            </w:pPr>
          </w:p>
        </w:tc>
        <w:tc>
          <w:tcPr>
            <w:tcW w:w="3202" w:type="dxa"/>
            <w:vMerge w:val="restart"/>
            <w:tcBorders>
              <w:bottom w:val="nil"/>
            </w:tcBorders>
            <w:vAlign w:val="top"/>
          </w:tcPr>
          <w:p w14:paraId="0C65FEEA">
            <w:pPr>
              <w:pStyle w:val="6"/>
              <w:spacing w:before="25" w:line="185" w:lineRule="auto"/>
              <w:ind w:left="116" w:right="110" w:firstLine="19"/>
              <w:jc w:val="both"/>
            </w:pPr>
            <w:r>
              <w:rPr>
                <w:spacing w:val="12"/>
              </w:rPr>
              <w:t>范措施；定期检查本单位各</w:t>
            </w:r>
            <w:bookmarkStart w:id="741" w:name="bookmark469"/>
            <w:bookmarkEnd w:id="741"/>
            <w:r>
              <w:rPr>
                <w:spacing w:val="39"/>
              </w:rPr>
              <w:t>项安全防范措施的落实情</w:t>
            </w:r>
            <w:r>
              <w:rPr>
                <w:spacing w:val="9"/>
              </w:rPr>
              <w:t>况，及时消除事故隐患；掌</w:t>
            </w:r>
            <w:r>
              <w:rPr>
                <w:spacing w:val="17"/>
              </w:rPr>
              <w:t>握并及时处理本单位存在的可能引发社会安全事件的问</w:t>
            </w:r>
            <w:r>
              <w:rPr>
                <w:spacing w:val="10"/>
              </w:rPr>
              <w:t>题，防止矛盾激化和事态扩</w:t>
            </w:r>
            <w:r>
              <w:rPr>
                <w:spacing w:val="13"/>
              </w:rPr>
              <w:t>大；对本单位可能发生的突</w:t>
            </w:r>
            <w:r>
              <w:rPr>
                <w:spacing w:val="17"/>
              </w:rPr>
              <w:t>发事件和采取安全防范措施</w:t>
            </w:r>
            <w:r>
              <w:rPr>
                <w:spacing w:val="13"/>
              </w:rPr>
              <w:t>的情况，应当按照规定及时</w:t>
            </w:r>
            <w:r>
              <w:rPr>
                <w:spacing w:val="17"/>
              </w:rPr>
              <w:t>向所在地人民政府或者有关</w:t>
            </w:r>
            <w:r>
              <w:t>部门报告。</w:t>
            </w:r>
          </w:p>
        </w:tc>
        <w:tc>
          <w:tcPr>
            <w:tcW w:w="2859" w:type="dxa"/>
            <w:vMerge w:val="restart"/>
            <w:tcBorders>
              <w:bottom w:val="nil"/>
            </w:tcBorders>
            <w:vAlign w:val="top"/>
          </w:tcPr>
          <w:p w14:paraId="12AC41DD">
            <w:pPr>
              <w:pStyle w:val="6"/>
              <w:spacing w:before="33" w:line="182" w:lineRule="auto"/>
              <w:ind w:left="115" w:right="110" w:firstLine="10"/>
              <w:jc w:val="both"/>
            </w:pPr>
            <w:r>
              <w:rPr>
                <w:spacing w:val="7"/>
              </w:rPr>
              <w:t>责的人民政府有关部门责</w:t>
            </w:r>
            <w:r>
              <w:rPr>
                <w:spacing w:val="8"/>
              </w:rPr>
              <w:t>令停产停业，暂扣或者吊销许可证件，并处五万元</w:t>
            </w:r>
            <w:r>
              <w:rPr>
                <w:spacing w:val="32"/>
              </w:rPr>
              <w:t>以上二十万元以下的罚</w:t>
            </w:r>
            <w:r>
              <w:rPr>
                <w:spacing w:val="2"/>
              </w:rPr>
              <w:t>款；情节特别严重的，并</w:t>
            </w:r>
            <w:r>
              <w:rPr>
                <w:spacing w:val="8"/>
              </w:rPr>
              <w:t>处二十万元以上一百万元</w:t>
            </w:r>
            <w:r>
              <w:rPr>
                <w:spacing w:val="3"/>
              </w:rPr>
              <w:t>以下的罚款</w:t>
            </w:r>
            <w:r>
              <w:rPr>
                <w:spacing w:val="-2"/>
              </w:rPr>
              <w:t>：（</w:t>
            </w:r>
            <w:r>
              <w:rPr>
                <w:spacing w:val="3"/>
              </w:rPr>
              <w:t>一）未按</w:t>
            </w:r>
            <w:r>
              <w:rPr>
                <w:spacing w:val="2"/>
              </w:rPr>
              <w:t>照规定采取预防措施，导</w:t>
            </w:r>
          </w:p>
          <w:p w14:paraId="76053321">
            <w:pPr>
              <w:pStyle w:val="6"/>
              <w:spacing w:line="182" w:lineRule="auto"/>
              <w:ind w:left="119"/>
              <w:outlineLvl w:val="0"/>
            </w:pPr>
            <w:r>
              <w:rPr>
                <w:spacing w:val="8"/>
              </w:rPr>
              <w:t>致发生较大以上突发事件</w:t>
            </w:r>
          </w:p>
          <w:p w14:paraId="57C6DB8B">
            <w:pPr>
              <w:pStyle w:val="6"/>
              <w:spacing w:line="208" w:lineRule="auto"/>
              <w:ind w:left="139"/>
            </w:pPr>
            <w:r>
              <w:rPr>
                <w:spacing w:val="-16"/>
              </w:rPr>
              <w:t>的；</w:t>
            </w:r>
          </w:p>
        </w:tc>
        <w:tc>
          <w:tcPr>
            <w:tcW w:w="803" w:type="dxa"/>
            <w:vAlign w:val="top"/>
          </w:tcPr>
          <w:p w14:paraId="60D1789D">
            <w:pPr>
              <w:rPr>
                <w:rFonts w:ascii="Arial"/>
                <w:sz w:val="21"/>
              </w:rPr>
            </w:pPr>
          </w:p>
        </w:tc>
        <w:tc>
          <w:tcPr>
            <w:tcW w:w="2283" w:type="dxa"/>
            <w:vAlign w:val="top"/>
          </w:tcPr>
          <w:p w14:paraId="420EC5A7">
            <w:pPr>
              <w:rPr>
                <w:rFonts w:ascii="Arial"/>
                <w:sz w:val="21"/>
              </w:rPr>
            </w:pPr>
          </w:p>
        </w:tc>
        <w:tc>
          <w:tcPr>
            <w:tcW w:w="2894" w:type="dxa"/>
            <w:vAlign w:val="top"/>
          </w:tcPr>
          <w:p w14:paraId="0F8CAF40">
            <w:pPr>
              <w:pStyle w:val="6"/>
              <w:spacing w:before="28" w:line="162" w:lineRule="auto"/>
              <w:ind w:left="124"/>
            </w:pPr>
            <w:r>
              <w:rPr>
                <w:spacing w:val="4"/>
              </w:rPr>
              <w:t>下的罚款</w:t>
            </w:r>
          </w:p>
        </w:tc>
        <w:tc>
          <w:tcPr>
            <w:tcW w:w="811" w:type="dxa"/>
            <w:vMerge w:val="restart"/>
            <w:tcBorders>
              <w:bottom w:val="nil"/>
            </w:tcBorders>
            <w:vAlign w:val="top"/>
          </w:tcPr>
          <w:p w14:paraId="1B59E812">
            <w:pPr>
              <w:rPr>
                <w:rFonts w:ascii="Arial"/>
                <w:sz w:val="21"/>
              </w:rPr>
            </w:pPr>
          </w:p>
        </w:tc>
      </w:tr>
      <w:tr w14:paraId="1100E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bottom w:val="nil"/>
            </w:tcBorders>
            <w:vAlign w:val="top"/>
          </w:tcPr>
          <w:p w14:paraId="2BE93B22">
            <w:pPr>
              <w:rPr>
                <w:rFonts w:ascii="Arial"/>
                <w:sz w:val="21"/>
              </w:rPr>
            </w:pPr>
          </w:p>
        </w:tc>
        <w:tc>
          <w:tcPr>
            <w:tcW w:w="1440" w:type="dxa"/>
            <w:vMerge w:val="continue"/>
            <w:tcBorders>
              <w:top w:val="nil"/>
              <w:bottom w:val="nil"/>
            </w:tcBorders>
            <w:vAlign w:val="top"/>
          </w:tcPr>
          <w:p w14:paraId="55D63E78">
            <w:pPr>
              <w:rPr>
                <w:rFonts w:ascii="Arial"/>
                <w:sz w:val="21"/>
              </w:rPr>
            </w:pPr>
          </w:p>
        </w:tc>
        <w:tc>
          <w:tcPr>
            <w:tcW w:w="3202" w:type="dxa"/>
            <w:vMerge w:val="continue"/>
            <w:tcBorders>
              <w:top w:val="nil"/>
              <w:bottom w:val="nil"/>
            </w:tcBorders>
            <w:vAlign w:val="top"/>
          </w:tcPr>
          <w:p w14:paraId="0087AAC5">
            <w:pPr>
              <w:rPr>
                <w:rFonts w:ascii="Arial"/>
                <w:sz w:val="21"/>
              </w:rPr>
            </w:pPr>
          </w:p>
        </w:tc>
        <w:tc>
          <w:tcPr>
            <w:tcW w:w="2859" w:type="dxa"/>
            <w:vMerge w:val="continue"/>
            <w:tcBorders>
              <w:top w:val="nil"/>
              <w:bottom w:val="nil"/>
            </w:tcBorders>
            <w:vAlign w:val="top"/>
          </w:tcPr>
          <w:p w14:paraId="1CEE0DA0">
            <w:pPr>
              <w:rPr>
                <w:rFonts w:ascii="Arial"/>
                <w:sz w:val="21"/>
              </w:rPr>
            </w:pPr>
          </w:p>
        </w:tc>
        <w:tc>
          <w:tcPr>
            <w:tcW w:w="803" w:type="dxa"/>
            <w:vAlign w:val="top"/>
          </w:tcPr>
          <w:p w14:paraId="056E8EE0">
            <w:pPr>
              <w:spacing w:line="248" w:lineRule="auto"/>
              <w:rPr>
                <w:rFonts w:ascii="Arial"/>
                <w:sz w:val="21"/>
              </w:rPr>
            </w:pPr>
          </w:p>
          <w:p w14:paraId="07560F74">
            <w:pPr>
              <w:spacing w:line="248" w:lineRule="auto"/>
              <w:rPr>
                <w:rFonts w:ascii="Arial"/>
                <w:sz w:val="21"/>
              </w:rPr>
            </w:pPr>
          </w:p>
          <w:p w14:paraId="10DCA489">
            <w:pPr>
              <w:spacing w:line="248" w:lineRule="auto"/>
              <w:rPr>
                <w:rFonts w:ascii="Arial"/>
                <w:sz w:val="21"/>
              </w:rPr>
            </w:pPr>
          </w:p>
          <w:p w14:paraId="5A59D67D">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75CB2EF0">
            <w:pPr>
              <w:spacing w:line="379" w:lineRule="auto"/>
              <w:rPr>
                <w:rFonts w:ascii="Arial"/>
                <w:sz w:val="21"/>
              </w:rPr>
            </w:pPr>
          </w:p>
          <w:p w14:paraId="1722583B">
            <w:pPr>
              <w:pStyle w:val="6"/>
              <w:spacing w:before="99" w:line="191" w:lineRule="auto"/>
              <w:ind w:left="125" w:right="109" w:hanging="7"/>
              <w:jc w:val="both"/>
            </w:pPr>
            <w:r>
              <w:rPr>
                <w:spacing w:val="26"/>
              </w:rPr>
              <w:t>未按照规定采取预</w:t>
            </w:r>
            <w:r>
              <w:rPr>
                <w:spacing w:val="-4"/>
              </w:rPr>
              <w:t>防措施，导致发生重</w:t>
            </w:r>
            <w:r>
              <w:rPr>
                <w:spacing w:val="5"/>
              </w:rPr>
              <w:t>大突发事件的</w:t>
            </w:r>
          </w:p>
        </w:tc>
        <w:tc>
          <w:tcPr>
            <w:tcW w:w="2894" w:type="dxa"/>
            <w:vAlign w:val="top"/>
          </w:tcPr>
          <w:p w14:paraId="1675B24C">
            <w:pPr>
              <w:pStyle w:val="6"/>
              <w:spacing w:before="28" w:line="179" w:lineRule="auto"/>
              <w:ind w:left="119" w:right="103" w:firstLine="8"/>
              <w:jc w:val="both"/>
            </w:pPr>
            <w:r>
              <w:rPr>
                <w:spacing w:val="7"/>
              </w:rPr>
              <w:t>责令停产停业，暂扣或者</w:t>
            </w:r>
            <w:r>
              <w:rPr>
                <w:spacing w:val="-4"/>
              </w:rPr>
              <w:t>吊销许可证件，并处</w:t>
            </w:r>
            <w:r>
              <w:rPr>
                <w:rFonts w:ascii="宋体" w:hAnsi="宋体" w:eastAsia="宋体" w:cs="宋体"/>
                <w:spacing w:val="-4"/>
              </w:rPr>
              <w:t>10</w:t>
            </w:r>
            <w:r>
              <w:rPr>
                <w:spacing w:val="-4"/>
              </w:rPr>
              <w:t>万</w:t>
            </w:r>
            <w:r>
              <w:rPr>
                <w:spacing w:val="11"/>
              </w:rPr>
              <w:t>元以上</w:t>
            </w:r>
            <w:r>
              <w:rPr>
                <w:rFonts w:ascii="宋体" w:hAnsi="宋体" w:eastAsia="宋体" w:cs="宋体"/>
                <w:spacing w:val="11"/>
              </w:rPr>
              <w:t>15</w:t>
            </w:r>
            <w:r>
              <w:rPr>
                <w:spacing w:val="11"/>
              </w:rPr>
              <w:t>万元以下的罚</w:t>
            </w:r>
            <w:r>
              <w:rPr>
                <w:spacing w:val="4"/>
              </w:rPr>
              <w:t>款；情节特别严重的，并</w:t>
            </w:r>
            <w:r>
              <w:rPr>
                <w:spacing w:val="3"/>
              </w:rPr>
              <w:t>处</w:t>
            </w:r>
            <w:r>
              <w:rPr>
                <w:rFonts w:ascii="宋体" w:hAnsi="宋体" w:eastAsia="宋体" w:cs="宋体"/>
                <w:spacing w:val="3"/>
              </w:rPr>
              <w:t>50</w:t>
            </w:r>
            <w:r>
              <w:rPr>
                <w:spacing w:val="3"/>
              </w:rPr>
              <w:t>万元以上</w:t>
            </w:r>
            <w:r>
              <w:rPr>
                <w:rFonts w:ascii="宋体" w:hAnsi="宋体" w:eastAsia="宋体" w:cs="宋体"/>
                <w:spacing w:val="3"/>
              </w:rPr>
              <w:t>80</w:t>
            </w:r>
            <w:r>
              <w:rPr>
                <w:spacing w:val="3"/>
              </w:rPr>
              <w:t>万元以</w:t>
            </w:r>
            <w:r>
              <w:rPr>
                <w:spacing w:val="6"/>
              </w:rPr>
              <w:t>下的罚款</w:t>
            </w:r>
          </w:p>
        </w:tc>
        <w:tc>
          <w:tcPr>
            <w:tcW w:w="811" w:type="dxa"/>
            <w:vMerge w:val="continue"/>
            <w:tcBorders>
              <w:top w:val="nil"/>
              <w:bottom w:val="nil"/>
            </w:tcBorders>
            <w:vAlign w:val="top"/>
          </w:tcPr>
          <w:p w14:paraId="585D6562">
            <w:pPr>
              <w:rPr>
                <w:rFonts w:ascii="Arial"/>
                <w:sz w:val="21"/>
              </w:rPr>
            </w:pPr>
          </w:p>
        </w:tc>
      </w:tr>
      <w:tr w14:paraId="59288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tcBorders>
            <w:vAlign w:val="top"/>
          </w:tcPr>
          <w:p w14:paraId="39E37483">
            <w:pPr>
              <w:rPr>
                <w:rFonts w:ascii="Arial"/>
                <w:sz w:val="21"/>
              </w:rPr>
            </w:pPr>
          </w:p>
        </w:tc>
        <w:tc>
          <w:tcPr>
            <w:tcW w:w="1440" w:type="dxa"/>
            <w:vMerge w:val="continue"/>
            <w:tcBorders>
              <w:top w:val="nil"/>
            </w:tcBorders>
            <w:vAlign w:val="top"/>
          </w:tcPr>
          <w:p w14:paraId="175BAF4F">
            <w:pPr>
              <w:rPr>
                <w:rFonts w:ascii="Arial"/>
                <w:sz w:val="21"/>
              </w:rPr>
            </w:pPr>
          </w:p>
        </w:tc>
        <w:tc>
          <w:tcPr>
            <w:tcW w:w="3202" w:type="dxa"/>
            <w:vMerge w:val="continue"/>
            <w:tcBorders>
              <w:top w:val="nil"/>
            </w:tcBorders>
            <w:vAlign w:val="top"/>
          </w:tcPr>
          <w:p w14:paraId="6C6BA34B">
            <w:pPr>
              <w:rPr>
                <w:rFonts w:ascii="Arial"/>
                <w:sz w:val="21"/>
              </w:rPr>
            </w:pPr>
          </w:p>
        </w:tc>
        <w:tc>
          <w:tcPr>
            <w:tcW w:w="2859" w:type="dxa"/>
            <w:vMerge w:val="continue"/>
            <w:tcBorders>
              <w:top w:val="nil"/>
            </w:tcBorders>
            <w:vAlign w:val="top"/>
          </w:tcPr>
          <w:p w14:paraId="1A04A839">
            <w:pPr>
              <w:rPr>
                <w:rFonts w:ascii="Arial"/>
                <w:sz w:val="21"/>
              </w:rPr>
            </w:pPr>
          </w:p>
        </w:tc>
        <w:tc>
          <w:tcPr>
            <w:tcW w:w="803" w:type="dxa"/>
            <w:vAlign w:val="top"/>
          </w:tcPr>
          <w:p w14:paraId="4809A056">
            <w:pPr>
              <w:spacing w:line="248" w:lineRule="auto"/>
              <w:rPr>
                <w:rFonts w:ascii="Arial"/>
                <w:sz w:val="21"/>
              </w:rPr>
            </w:pPr>
          </w:p>
          <w:p w14:paraId="18E70B42">
            <w:pPr>
              <w:spacing w:line="249" w:lineRule="auto"/>
              <w:rPr>
                <w:rFonts w:ascii="Arial"/>
                <w:sz w:val="21"/>
              </w:rPr>
            </w:pPr>
          </w:p>
          <w:p w14:paraId="68A852CB">
            <w:pPr>
              <w:spacing w:line="249" w:lineRule="auto"/>
              <w:rPr>
                <w:rFonts w:ascii="Arial"/>
                <w:sz w:val="21"/>
              </w:rPr>
            </w:pPr>
          </w:p>
          <w:p w14:paraId="1AB66BEF">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6F31F52F">
            <w:pPr>
              <w:spacing w:line="380" w:lineRule="auto"/>
              <w:rPr>
                <w:rFonts w:ascii="Arial"/>
                <w:sz w:val="21"/>
              </w:rPr>
            </w:pPr>
          </w:p>
          <w:p w14:paraId="5D4BEA17">
            <w:pPr>
              <w:pStyle w:val="6"/>
              <w:spacing w:before="98" w:line="191" w:lineRule="auto"/>
              <w:ind w:left="118" w:right="109"/>
              <w:jc w:val="both"/>
            </w:pPr>
            <w:r>
              <w:rPr>
                <w:spacing w:val="26"/>
              </w:rPr>
              <w:t>未按照规定采取预</w:t>
            </w:r>
            <w:r>
              <w:rPr>
                <w:spacing w:val="-3"/>
              </w:rPr>
              <w:t>防措施，导致发生特</w:t>
            </w:r>
            <w:r>
              <w:rPr>
                <w:spacing w:val="7"/>
              </w:rPr>
              <w:t>别重大突发事件的</w:t>
            </w:r>
          </w:p>
        </w:tc>
        <w:tc>
          <w:tcPr>
            <w:tcW w:w="2894" w:type="dxa"/>
            <w:vAlign w:val="top"/>
          </w:tcPr>
          <w:p w14:paraId="7E843F36">
            <w:pPr>
              <w:pStyle w:val="6"/>
              <w:spacing w:before="28" w:line="179" w:lineRule="auto"/>
              <w:ind w:left="119" w:right="103" w:firstLine="8"/>
              <w:jc w:val="both"/>
            </w:pPr>
            <w:r>
              <w:rPr>
                <w:spacing w:val="7"/>
              </w:rPr>
              <w:t>责令停产停业，暂扣或者</w:t>
            </w:r>
            <w:r>
              <w:rPr>
                <w:spacing w:val="-4"/>
              </w:rPr>
              <w:t>吊销许可证件，并处</w:t>
            </w:r>
            <w:r>
              <w:rPr>
                <w:rFonts w:ascii="宋体" w:hAnsi="宋体" w:eastAsia="宋体" w:cs="宋体"/>
                <w:spacing w:val="-4"/>
              </w:rPr>
              <w:t>15</w:t>
            </w:r>
            <w:r>
              <w:rPr>
                <w:spacing w:val="-4"/>
              </w:rPr>
              <w:t>万</w:t>
            </w:r>
            <w:r>
              <w:rPr>
                <w:spacing w:val="13"/>
              </w:rPr>
              <w:t>元以上</w:t>
            </w:r>
            <w:r>
              <w:rPr>
                <w:rFonts w:ascii="宋体" w:hAnsi="宋体" w:eastAsia="宋体" w:cs="宋体"/>
                <w:spacing w:val="13"/>
              </w:rPr>
              <w:t>20</w:t>
            </w:r>
            <w:r>
              <w:rPr>
                <w:spacing w:val="13"/>
              </w:rPr>
              <w:t>万元以下的罚</w:t>
            </w:r>
            <w:r>
              <w:rPr>
                <w:spacing w:val="4"/>
              </w:rPr>
              <w:t>款；情节特别严重的，并</w:t>
            </w:r>
            <w:r>
              <w:rPr>
                <w:spacing w:val="9"/>
              </w:rPr>
              <w:t>处</w:t>
            </w:r>
            <w:r>
              <w:rPr>
                <w:rFonts w:ascii="宋体" w:hAnsi="宋体" w:eastAsia="宋体" w:cs="宋体"/>
                <w:spacing w:val="9"/>
              </w:rPr>
              <w:t>80</w:t>
            </w:r>
            <w:r>
              <w:rPr>
                <w:spacing w:val="9"/>
              </w:rPr>
              <w:t>万元以上</w:t>
            </w:r>
            <w:r>
              <w:rPr>
                <w:rFonts w:ascii="宋体" w:hAnsi="宋体" w:eastAsia="宋体" w:cs="宋体"/>
                <w:spacing w:val="9"/>
              </w:rPr>
              <w:t>100</w:t>
            </w:r>
            <w:r>
              <w:rPr>
                <w:spacing w:val="9"/>
              </w:rPr>
              <w:t>万元以</w:t>
            </w:r>
            <w:r>
              <w:rPr>
                <w:spacing w:val="6"/>
              </w:rPr>
              <w:t>下的罚款</w:t>
            </w:r>
          </w:p>
        </w:tc>
        <w:tc>
          <w:tcPr>
            <w:tcW w:w="811" w:type="dxa"/>
            <w:vMerge w:val="continue"/>
            <w:tcBorders>
              <w:top w:val="nil"/>
            </w:tcBorders>
            <w:vAlign w:val="top"/>
          </w:tcPr>
          <w:p w14:paraId="318D38C4">
            <w:pPr>
              <w:rPr>
                <w:rFonts w:ascii="Arial"/>
                <w:sz w:val="21"/>
              </w:rPr>
            </w:pPr>
          </w:p>
        </w:tc>
      </w:tr>
      <w:tr w14:paraId="132F1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restart"/>
            <w:tcBorders>
              <w:bottom w:val="nil"/>
            </w:tcBorders>
            <w:vAlign w:val="top"/>
          </w:tcPr>
          <w:p w14:paraId="1A1C949E">
            <w:pPr>
              <w:spacing w:line="266" w:lineRule="auto"/>
              <w:rPr>
                <w:rFonts w:ascii="Arial"/>
                <w:sz w:val="21"/>
              </w:rPr>
            </w:pPr>
          </w:p>
          <w:p w14:paraId="797D5979">
            <w:pPr>
              <w:spacing w:line="266" w:lineRule="auto"/>
              <w:rPr>
                <w:rFonts w:ascii="Arial"/>
                <w:sz w:val="21"/>
              </w:rPr>
            </w:pPr>
          </w:p>
          <w:p w14:paraId="0DC5CF38">
            <w:pPr>
              <w:spacing w:line="266" w:lineRule="auto"/>
              <w:rPr>
                <w:rFonts w:ascii="Arial"/>
                <w:sz w:val="21"/>
              </w:rPr>
            </w:pPr>
          </w:p>
          <w:p w14:paraId="39BFA3E5">
            <w:pPr>
              <w:spacing w:line="266" w:lineRule="auto"/>
              <w:rPr>
                <w:rFonts w:ascii="Arial"/>
                <w:sz w:val="21"/>
              </w:rPr>
            </w:pPr>
          </w:p>
          <w:p w14:paraId="6D55F2AD">
            <w:pPr>
              <w:spacing w:line="266" w:lineRule="auto"/>
              <w:rPr>
                <w:rFonts w:ascii="Arial"/>
                <w:sz w:val="21"/>
              </w:rPr>
            </w:pPr>
          </w:p>
          <w:p w14:paraId="7EAAF393">
            <w:pPr>
              <w:spacing w:line="266" w:lineRule="auto"/>
              <w:rPr>
                <w:rFonts w:ascii="Arial"/>
                <w:sz w:val="21"/>
              </w:rPr>
            </w:pPr>
          </w:p>
          <w:p w14:paraId="7C618E04">
            <w:pPr>
              <w:spacing w:line="267" w:lineRule="auto"/>
              <w:rPr>
                <w:rFonts w:ascii="Arial"/>
                <w:sz w:val="21"/>
              </w:rPr>
            </w:pPr>
          </w:p>
          <w:p w14:paraId="6CE2614C">
            <w:pPr>
              <w:spacing w:line="267" w:lineRule="auto"/>
              <w:rPr>
                <w:rFonts w:ascii="Arial"/>
                <w:sz w:val="21"/>
              </w:rPr>
            </w:pPr>
          </w:p>
          <w:p w14:paraId="2BC70821">
            <w:pPr>
              <w:spacing w:line="267" w:lineRule="auto"/>
              <w:rPr>
                <w:rFonts w:ascii="Arial"/>
                <w:sz w:val="21"/>
              </w:rPr>
            </w:pPr>
          </w:p>
          <w:p w14:paraId="19AC2BD5">
            <w:pPr>
              <w:spacing w:before="75" w:line="186" w:lineRule="auto"/>
              <w:ind w:left="146"/>
              <w:rPr>
                <w:rFonts w:ascii="仿宋" w:hAnsi="仿宋" w:eastAsia="仿宋" w:cs="仿宋"/>
                <w:sz w:val="23"/>
                <w:szCs w:val="23"/>
              </w:rPr>
            </w:pPr>
            <w:r>
              <w:rPr>
                <w:rFonts w:ascii="仿宋" w:hAnsi="仿宋" w:eastAsia="仿宋" w:cs="仿宋"/>
                <w:sz w:val="23"/>
                <w:szCs w:val="23"/>
              </w:rPr>
              <w:t>231</w:t>
            </w:r>
          </w:p>
        </w:tc>
        <w:tc>
          <w:tcPr>
            <w:tcW w:w="1440" w:type="dxa"/>
            <w:vMerge w:val="restart"/>
            <w:tcBorders>
              <w:bottom w:val="nil"/>
            </w:tcBorders>
            <w:vAlign w:val="top"/>
          </w:tcPr>
          <w:p w14:paraId="4ABDC433">
            <w:pPr>
              <w:spacing w:line="287" w:lineRule="auto"/>
              <w:rPr>
                <w:rFonts w:ascii="Arial"/>
                <w:sz w:val="21"/>
              </w:rPr>
            </w:pPr>
          </w:p>
          <w:p w14:paraId="43D5C9FF">
            <w:pPr>
              <w:spacing w:line="287" w:lineRule="auto"/>
              <w:rPr>
                <w:rFonts w:ascii="Arial"/>
                <w:sz w:val="21"/>
              </w:rPr>
            </w:pPr>
          </w:p>
          <w:p w14:paraId="7B480C49">
            <w:pPr>
              <w:spacing w:line="287" w:lineRule="auto"/>
              <w:rPr>
                <w:rFonts w:ascii="Arial"/>
                <w:sz w:val="21"/>
              </w:rPr>
            </w:pPr>
          </w:p>
          <w:p w14:paraId="3B0F7F06">
            <w:pPr>
              <w:spacing w:line="287" w:lineRule="auto"/>
              <w:rPr>
                <w:rFonts w:ascii="Arial"/>
                <w:sz w:val="21"/>
              </w:rPr>
            </w:pPr>
          </w:p>
          <w:p w14:paraId="59AF4B0D">
            <w:pPr>
              <w:spacing w:line="288" w:lineRule="auto"/>
              <w:rPr>
                <w:rFonts w:ascii="Arial"/>
                <w:sz w:val="21"/>
              </w:rPr>
            </w:pPr>
          </w:p>
          <w:p w14:paraId="780653D7">
            <w:pPr>
              <w:pStyle w:val="6"/>
              <w:spacing w:before="99" w:line="186" w:lineRule="auto"/>
              <w:ind w:left="120" w:right="111" w:hanging="4"/>
              <w:jc w:val="both"/>
            </w:pPr>
            <w:r>
              <w:rPr>
                <w:spacing w:val="11"/>
              </w:rPr>
              <w:t>未及时消除</w:t>
            </w:r>
            <w:r>
              <w:rPr>
                <w:spacing w:val="10"/>
              </w:rPr>
              <w:t>已发现的可能引发突发</w:t>
            </w:r>
            <w:r>
              <w:rPr>
                <w:spacing w:val="-9"/>
                <w:w w:val="96"/>
              </w:rPr>
              <w:t>事件的隐</w:t>
            </w:r>
            <w:r>
              <w:rPr>
                <w:spacing w:val="1"/>
              </w:rPr>
              <w:t>患，导致发</w:t>
            </w:r>
            <w:r>
              <w:rPr>
                <w:spacing w:val="10"/>
              </w:rPr>
              <w:t>生较大以上</w:t>
            </w:r>
            <w:r>
              <w:rPr>
                <w:spacing w:val="5"/>
              </w:rPr>
              <w:t>突发事件的</w:t>
            </w:r>
          </w:p>
        </w:tc>
        <w:tc>
          <w:tcPr>
            <w:tcW w:w="3202" w:type="dxa"/>
            <w:vMerge w:val="restart"/>
            <w:tcBorders>
              <w:bottom w:val="nil"/>
            </w:tcBorders>
            <w:vAlign w:val="top"/>
          </w:tcPr>
          <w:p w14:paraId="7CB6A9A8">
            <w:pPr>
              <w:pStyle w:val="6"/>
              <w:spacing w:before="42" w:line="182" w:lineRule="auto"/>
              <w:ind w:left="116" w:right="110" w:hanging="18"/>
              <w:jc w:val="both"/>
            </w:pPr>
            <w:r>
              <w:rPr>
                <w:spacing w:val="18"/>
              </w:rPr>
              <w:t>【法律】《中华人民共和国</w:t>
            </w:r>
            <w:r>
              <w:rPr>
                <w:spacing w:val="17"/>
              </w:rPr>
              <w:t>突发事件应对法》第三十五</w:t>
            </w:r>
            <w:r>
              <w:rPr>
                <w:spacing w:val="13"/>
              </w:rPr>
              <w:t>条：所有单位应当建立健全安全管理制度，定期开展危险源辨识评估，制定安全防范措施；定期检查本单位各</w:t>
            </w:r>
            <w:r>
              <w:rPr>
                <w:spacing w:val="39"/>
              </w:rPr>
              <w:t>项安全防范措施的落实情</w:t>
            </w:r>
            <w:r>
              <w:rPr>
                <w:spacing w:val="9"/>
              </w:rPr>
              <w:t>况，及时消除事故隐患；掌</w:t>
            </w:r>
            <w:r>
              <w:rPr>
                <w:spacing w:val="17"/>
              </w:rPr>
              <w:t>握并及时处理本单位存在的可能引发社会安全事件的问</w:t>
            </w:r>
            <w:r>
              <w:rPr>
                <w:spacing w:val="10"/>
              </w:rPr>
              <w:t>题，防止矛盾激化和事态扩</w:t>
            </w:r>
            <w:r>
              <w:rPr>
                <w:spacing w:val="13"/>
              </w:rPr>
              <w:t>大；对本单位可能发生的突</w:t>
            </w:r>
            <w:r>
              <w:rPr>
                <w:spacing w:val="17"/>
              </w:rPr>
              <w:t>发事件和采取安全防范措施</w:t>
            </w:r>
            <w:r>
              <w:rPr>
                <w:spacing w:val="13"/>
              </w:rPr>
              <w:t>的情况，应当按照规定及时</w:t>
            </w:r>
            <w:r>
              <w:rPr>
                <w:spacing w:val="17"/>
              </w:rPr>
              <w:t>向所在地人民政府或者有关</w:t>
            </w:r>
            <w:r>
              <w:t>部门报告。</w:t>
            </w:r>
          </w:p>
          <w:p w14:paraId="636A3C65">
            <w:pPr>
              <w:pStyle w:val="6"/>
              <w:spacing w:before="1" w:line="172" w:lineRule="auto"/>
              <w:ind w:left="128"/>
            </w:pPr>
            <w:r>
              <w:rPr>
                <w:spacing w:val="12"/>
              </w:rPr>
              <w:t>第三十六条：矿山、金属冶</w:t>
            </w:r>
          </w:p>
        </w:tc>
        <w:tc>
          <w:tcPr>
            <w:tcW w:w="2859" w:type="dxa"/>
            <w:vMerge w:val="restart"/>
            <w:tcBorders>
              <w:bottom w:val="nil"/>
            </w:tcBorders>
            <w:vAlign w:val="top"/>
          </w:tcPr>
          <w:p w14:paraId="55816B5D">
            <w:pPr>
              <w:pStyle w:val="6"/>
              <w:spacing w:before="35" w:line="184" w:lineRule="auto"/>
              <w:ind w:left="114" w:right="110" w:hanging="17"/>
            </w:pPr>
            <w:r>
              <w:rPr>
                <w:spacing w:val="10"/>
              </w:rPr>
              <w:t>【法律】《中华人民共和</w:t>
            </w:r>
            <w:r>
              <w:rPr>
                <w:spacing w:val="8"/>
              </w:rPr>
              <w:t>国突发事件应对法》第九</w:t>
            </w:r>
            <w:r>
              <w:rPr>
                <w:spacing w:val="6"/>
              </w:rPr>
              <w:t>十六条第一款第二项：有</w:t>
            </w:r>
            <w:r>
              <w:rPr>
                <w:spacing w:val="4"/>
              </w:rPr>
              <w:t>关单位有下列情形之一，</w:t>
            </w:r>
            <w:r>
              <w:rPr>
                <w:spacing w:val="8"/>
              </w:rPr>
              <w:t>由所在地履行统一领导职责的人民政府有关部门责令停产停业，暂扣或者吊销许可证件，并处五万元</w:t>
            </w:r>
            <w:r>
              <w:rPr>
                <w:spacing w:val="32"/>
              </w:rPr>
              <w:t>以上二十万元以下的罚</w:t>
            </w:r>
            <w:r>
              <w:rPr>
                <w:spacing w:val="2"/>
              </w:rPr>
              <w:t>款；情节特别严重的，并</w:t>
            </w:r>
            <w:r>
              <w:rPr>
                <w:spacing w:val="8"/>
              </w:rPr>
              <w:t>处二十万元以上一百万元以下的罚款</w:t>
            </w:r>
            <w:r>
              <w:rPr>
                <w:spacing w:val="12"/>
              </w:rPr>
              <w:t>：（</w:t>
            </w:r>
            <w:r>
              <w:rPr>
                <w:spacing w:val="8"/>
              </w:rPr>
              <w:t>二）未及时消除已发现的可能引发突发事件的隐患，导致发</w:t>
            </w:r>
            <w:r>
              <w:rPr>
                <w:spacing w:val="4"/>
              </w:rPr>
              <w:t>生较大以上突发事件的；</w:t>
            </w:r>
          </w:p>
        </w:tc>
        <w:tc>
          <w:tcPr>
            <w:tcW w:w="803" w:type="dxa"/>
            <w:vAlign w:val="top"/>
          </w:tcPr>
          <w:p w14:paraId="0BB6C349">
            <w:pPr>
              <w:spacing w:line="248" w:lineRule="auto"/>
              <w:rPr>
                <w:rFonts w:ascii="Arial"/>
                <w:sz w:val="21"/>
              </w:rPr>
            </w:pPr>
          </w:p>
          <w:p w14:paraId="4A544ECC">
            <w:pPr>
              <w:spacing w:line="248" w:lineRule="auto"/>
              <w:rPr>
                <w:rFonts w:ascii="Arial"/>
                <w:sz w:val="21"/>
              </w:rPr>
            </w:pPr>
          </w:p>
          <w:p w14:paraId="0065A29B">
            <w:pPr>
              <w:spacing w:line="248" w:lineRule="auto"/>
              <w:rPr>
                <w:rFonts w:ascii="Arial"/>
                <w:sz w:val="21"/>
              </w:rPr>
            </w:pPr>
          </w:p>
          <w:p w14:paraId="32BD23C1">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3F74C91">
            <w:pPr>
              <w:pStyle w:val="6"/>
              <w:spacing w:before="332" w:line="189" w:lineRule="auto"/>
              <w:ind w:left="118" w:right="109"/>
              <w:jc w:val="both"/>
            </w:pPr>
            <w:r>
              <w:rPr>
                <w:spacing w:val="26"/>
              </w:rPr>
              <w:t>未及时消除已发现的可能引发突发事</w:t>
            </w:r>
            <w:r>
              <w:rPr>
                <w:spacing w:val="-3"/>
              </w:rPr>
              <w:t>件的隐患，导致发生</w:t>
            </w:r>
            <w:r>
              <w:rPr>
                <w:spacing w:val="7"/>
              </w:rPr>
              <w:t>较大突发事件的</w:t>
            </w:r>
          </w:p>
        </w:tc>
        <w:tc>
          <w:tcPr>
            <w:tcW w:w="2894" w:type="dxa"/>
            <w:vAlign w:val="top"/>
          </w:tcPr>
          <w:p w14:paraId="0442F514">
            <w:pPr>
              <w:pStyle w:val="6"/>
              <w:spacing w:before="28" w:line="179" w:lineRule="auto"/>
              <w:ind w:left="119" w:right="103" w:firstLine="8"/>
              <w:jc w:val="both"/>
            </w:pPr>
            <w:r>
              <w:rPr>
                <w:spacing w:val="7"/>
              </w:rPr>
              <w:t>责令停产停业，暂扣或者</w:t>
            </w:r>
            <w:r>
              <w:rPr>
                <w:spacing w:val="4"/>
              </w:rPr>
              <w:t>吊销许可证件，并处</w:t>
            </w:r>
            <w:r>
              <w:rPr>
                <w:rFonts w:ascii="宋体" w:hAnsi="宋体" w:eastAsia="宋体" w:cs="宋体"/>
                <w:spacing w:val="4"/>
              </w:rPr>
              <w:t>5</w:t>
            </w:r>
            <w:r>
              <w:rPr>
                <w:spacing w:val="4"/>
              </w:rPr>
              <w:t>万</w:t>
            </w:r>
            <w:r>
              <w:rPr>
                <w:spacing w:val="11"/>
              </w:rPr>
              <w:t>元以上</w:t>
            </w:r>
            <w:r>
              <w:rPr>
                <w:rFonts w:ascii="宋体" w:hAnsi="宋体" w:eastAsia="宋体" w:cs="宋体"/>
                <w:spacing w:val="11"/>
              </w:rPr>
              <w:t>10</w:t>
            </w:r>
            <w:r>
              <w:rPr>
                <w:spacing w:val="11"/>
              </w:rPr>
              <w:t>万元以下的罚</w:t>
            </w:r>
            <w:r>
              <w:rPr>
                <w:spacing w:val="4"/>
              </w:rPr>
              <w:t>款；情节特别严重的，并</w:t>
            </w:r>
            <w:r>
              <w:rPr>
                <w:spacing w:val="2"/>
              </w:rPr>
              <w:t>处</w:t>
            </w:r>
            <w:r>
              <w:rPr>
                <w:rFonts w:ascii="宋体" w:hAnsi="宋体" w:eastAsia="宋体" w:cs="宋体"/>
                <w:spacing w:val="2"/>
              </w:rPr>
              <w:t>20</w:t>
            </w:r>
            <w:r>
              <w:rPr>
                <w:spacing w:val="2"/>
              </w:rPr>
              <w:t>万元以上</w:t>
            </w:r>
            <w:r>
              <w:rPr>
                <w:rFonts w:ascii="宋体" w:hAnsi="宋体" w:eastAsia="宋体" w:cs="宋体"/>
                <w:spacing w:val="2"/>
              </w:rPr>
              <w:t>50</w:t>
            </w:r>
            <w:r>
              <w:rPr>
                <w:spacing w:val="2"/>
              </w:rPr>
              <w:t>万元以</w:t>
            </w:r>
            <w:r>
              <w:rPr>
                <w:spacing w:val="6"/>
              </w:rPr>
              <w:t>下的罚款</w:t>
            </w:r>
          </w:p>
        </w:tc>
        <w:tc>
          <w:tcPr>
            <w:tcW w:w="811" w:type="dxa"/>
            <w:vMerge w:val="restart"/>
            <w:tcBorders>
              <w:bottom w:val="nil"/>
            </w:tcBorders>
            <w:vAlign w:val="top"/>
          </w:tcPr>
          <w:p w14:paraId="3B78176A">
            <w:pPr>
              <w:rPr>
                <w:rFonts w:ascii="Arial"/>
                <w:sz w:val="21"/>
              </w:rPr>
            </w:pPr>
          </w:p>
        </w:tc>
      </w:tr>
      <w:tr w14:paraId="29834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bottom w:val="nil"/>
            </w:tcBorders>
            <w:vAlign w:val="top"/>
          </w:tcPr>
          <w:p w14:paraId="2DF37299">
            <w:pPr>
              <w:rPr>
                <w:rFonts w:ascii="Arial"/>
                <w:sz w:val="21"/>
              </w:rPr>
            </w:pPr>
          </w:p>
        </w:tc>
        <w:tc>
          <w:tcPr>
            <w:tcW w:w="1440" w:type="dxa"/>
            <w:vMerge w:val="continue"/>
            <w:tcBorders>
              <w:top w:val="nil"/>
              <w:bottom w:val="nil"/>
            </w:tcBorders>
            <w:vAlign w:val="top"/>
          </w:tcPr>
          <w:p w14:paraId="33C6D602">
            <w:pPr>
              <w:rPr>
                <w:rFonts w:ascii="Arial"/>
                <w:sz w:val="21"/>
              </w:rPr>
            </w:pPr>
          </w:p>
        </w:tc>
        <w:tc>
          <w:tcPr>
            <w:tcW w:w="3202" w:type="dxa"/>
            <w:vMerge w:val="continue"/>
            <w:tcBorders>
              <w:top w:val="nil"/>
              <w:bottom w:val="nil"/>
            </w:tcBorders>
            <w:vAlign w:val="top"/>
          </w:tcPr>
          <w:p w14:paraId="56A68009">
            <w:pPr>
              <w:rPr>
                <w:rFonts w:ascii="Arial"/>
                <w:sz w:val="21"/>
              </w:rPr>
            </w:pPr>
          </w:p>
        </w:tc>
        <w:tc>
          <w:tcPr>
            <w:tcW w:w="2859" w:type="dxa"/>
            <w:vMerge w:val="continue"/>
            <w:tcBorders>
              <w:top w:val="nil"/>
              <w:bottom w:val="nil"/>
            </w:tcBorders>
            <w:vAlign w:val="top"/>
          </w:tcPr>
          <w:p w14:paraId="77FF3C39">
            <w:pPr>
              <w:rPr>
                <w:rFonts w:ascii="Arial"/>
                <w:sz w:val="21"/>
              </w:rPr>
            </w:pPr>
          </w:p>
        </w:tc>
        <w:tc>
          <w:tcPr>
            <w:tcW w:w="803" w:type="dxa"/>
            <w:vAlign w:val="top"/>
          </w:tcPr>
          <w:p w14:paraId="1272B305">
            <w:pPr>
              <w:spacing w:line="249" w:lineRule="auto"/>
              <w:rPr>
                <w:rFonts w:ascii="Arial"/>
                <w:sz w:val="21"/>
              </w:rPr>
            </w:pPr>
          </w:p>
          <w:p w14:paraId="08405693">
            <w:pPr>
              <w:spacing w:line="249" w:lineRule="auto"/>
              <w:rPr>
                <w:rFonts w:ascii="Arial"/>
                <w:sz w:val="21"/>
              </w:rPr>
            </w:pPr>
          </w:p>
          <w:p w14:paraId="3641B334">
            <w:pPr>
              <w:spacing w:line="250" w:lineRule="auto"/>
              <w:rPr>
                <w:rFonts w:ascii="Arial"/>
                <w:sz w:val="21"/>
              </w:rPr>
            </w:pPr>
          </w:p>
          <w:p w14:paraId="777CB138">
            <w:pPr>
              <w:spacing w:before="75"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8B5EEC7">
            <w:pPr>
              <w:pStyle w:val="6"/>
              <w:spacing w:before="332" w:line="189" w:lineRule="auto"/>
              <w:ind w:left="118" w:right="109"/>
              <w:jc w:val="both"/>
            </w:pPr>
            <w:r>
              <w:rPr>
                <w:spacing w:val="26"/>
              </w:rPr>
              <w:t>未及时消除已发现的可能引发突发事</w:t>
            </w:r>
            <w:r>
              <w:rPr>
                <w:spacing w:val="-3"/>
              </w:rPr>
              <w:t>件的隐患，导致发生</w:t>
            </w:r>
            <w:r>
              <w:rPr>
                <w:spacing w:val="7"/>
              </w:rPr>
              <w:t>重大突发事件的</w:t>
            </w:r>
          </w:p>
        </w:tc>
        <w:tc>
          <w:tcPr>
            <w:tcW w:w="2894" w:type="dxa"/>
            <w:vAlign w:val="top"/>
          </w:tcPr>
          <w:p w14:paraId="4EF72B02">
            <w:pPr>
              <w:pStyle w:val="6"/>
              <w:spacing w:before="28" w:line="179" w:lineRule="auto"/>
              <w:ind w:left="119" w:right="103" w:firstLine="8"/>
              <w:jc w:val="both"/>
            </w:pPr>
            <w:r>
              <w:rPr>
                <w:spacing w:val="7"/>
              </w:rPr>
              <w:t>责令停产停业，暂扣或者</w:t>
            </w:r>
            <w:r>
              <w:rPr>
                <w:spacing w:val="-4"/>
              </w:rPr>
              <w:t>吊销许可证件，并处</w:t>
            </w:r>
            <w:r>
              <w:rPr>
                <w:rFonts w:ascii="宋体" w:hAnsi="宋体" w:eastAsia="宋体" w:cs="宋体"/>
                <w:spacing w:val="-4"/>
              </w:rPr>
              <w:t>10</w:t>
            </w:r>
            <w:r>
              <w:rPr>
                <w:spacing w:val="-4"/>
              </w:rPr>
              <w:t>万</w:t>
            </w:r>
            <w:r>
              <w:rPr>
                <w:spacing w:val="11"/>
              </w:rPr>
              <w:t>元以上</w:t>
            </w:r>
            <w:r>
              <w:rPr>
                <w:rFonts w:ascii="宋体" w:hAnsi="宋体" w:eastAsia="宋体" w:cs="宋体"/>
                <w:spacing w:val="11"/>
              </w:rPr>
              <w:t>15</w:t>
            </w:r>
            <w:r>
              <w:rPr>
                <w:spacing w:val="11"/>
              </w:rPr>
              <w:t>万元以下的罚</w:t>
            </w:r>
            <w:r>
              <w:rPr>
                <w:spacing w:val="4"/>
              </w:rPr>
              <w:t>款；情节特别严重的，并</w:t>
            </w:r>
            <w:r>
              <w:rPr>
                <w:spacing w:val="3"/>
              </w:rPr>
              <w:t>处</w:t>
            </w:r>
            <w:r>
              <w:rPr>
                <w:rFonts w:ascii="宋体" w:hAnsi="宋体" w:eastAsia="宋体" w:cs="宋体"/>
                <w:spacing w:val="3"/>
              </w:rPr>
              <w:t>50</w:t>
            </w:r>
            <w:r>
              <w:rPr>
                <w:spacing w:val="3"/>
              </w:rPr>
              <w:t>万元以上</w:t>
            </w:r>
            <w:r>
              <w:rPr>
                <w:rFonts w:ascii="宋体" w:hAnsi="宋体" w:eastAsia="宋体" w:cs="宋体"/>
                <w:spacing w:val="3"/>
              </w:rPr>
              <w:t>80</w:t>
            </w:r>
            <w:r>
              <w:rPr>
                <w:spacing w:val="3"/>
              </w:rPr>
              <w:t>万元以</w:t>
            </w:r>
            <w:r>
              <w:rPr>
                <w:spacing w:val="6"/>
              </w:rPr>
              <w:t>下的罚款</w:t>
            </w:r>
          </w:p>
        </w:tc>
        <w:tc>
          <w:tcPr>
            <w:tcW w:w="811" w:type="dxa"/>
            <w:vMerge w:val="continue"/>
            <w:tcBorders>
              <w:top w:val="nil"/>
              <w:bottom w:val="nil"/>
            </w:tcBorders>
            <w:vAlign w:val="top"/>
          </w:tcPr>
          <w:p w14:paraId="4E7ACF60">
            <w:pPr>
              <w:rPr>
                <w:rFonts w:ascii="Arial"/>
                <w:sz w:val="21"/>
              </w:rPr>
            </w:pPr>
          </w:p>
        </w:tc>
      </w:tr>
      <w:tr w14:paraId="0FD78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818" w:type="dxa"/>
            <w:vMerge w:val="continue"/>
            <w:tcBorders>
              <w:top w:val="nil"/>
            </w:tcBorders>
            <w:vAlign w:val="top"/>
          </w:tcPr>
          <w:p w14:paraId="0F39F45A">
            <w:pPr>
              <w:rPr>
                <w:rFonts w:ascii="Arial"/>
                <w:sz w:val="21"/>
              </w:rPr>
            </w:pPr>
          </w:p>
        </w:tc>
        <w:tc>
          <w:tcPr>
            <w:tcW w:w="1440" w:type="dxa"/>
            <w:vMerge w:val="continue"/>
            <w:tcBorders>
              <w:top w:val="nil"/>
            </w:tcBorders>
            <w:vAlign w:val="top"/>
          </w:tcPr>
          <w:p w14:paraId="0D4C93A3">
            <w:pPr>
              <w:rPr>
                <w:rFonts w:ascii="Arial"/>
                <w:sz w:val="21"/>
              </w:rPr>
            </w:pPr>
          </w:p>
        </w:tc>
        <w:tc>
          <w:tcPr>
            <w:tcW w:w="3202" w:type="dxa"/>
            <w:vMerge w:val="continue"/>
            <w:tcBorders>
              <w:top w:val="nil"/>
            </w:tcBorders>
            <w:vAlign w:val="top"/>
          </w:tcPr>
          <w:p w14:paraId="2163143A">
            <w:pPr>
              <w:rPr>
                <w:rFonts w:ascii="Arial"/>
                <w:sz w:val="21"/>
              </w:rPr>
            </w:pPr>
          </w:p>
        </w:tc>
        <w:tc>
          <w:tcPr>
            <w:tcW w:w="2859" w:type="dxa"/>
            <w:vMerge w:val="continue"/>
            <w:tcBorders>
              <w:top w:val="nil"/>
            </w:tcBorders>
            <w:vAlign w:val="top"/>
          </w:tcPr>
          <w:p w14:paraId="1B17E8DA">
            <w:pPr>
              <w:rPr>
                <w:rFonts w:ascii="Arial"/>
                <w:sz w:val="21"/>
              </w:rPr>
            </w:pPr>
          </w:p>
        </w:tc>
        <w:tc>
          <w:tcPr>
            <w:tcW w:w="803" w:type="dxa"/>
            <w:vAlign w:val="top"/>
          </w:tcPr>
          <w:p w14:paraId="6C231A79">
            <w:pPr>
              <w:spacing w:line="300" w:lineRule="auto"/>
              <w:rPr>
                <w:rFonts w:ascii="Arial"/>
                <w:sz w:val="21"/>
              </w:rPr>
            </w:pPr>
          </w:p>
          <w:p w14:paraId="78C153D5">
            <w:pPr>
              <w:spacing w:line="300" w:lineRule="auto"/>
              <w:rPr>
                <w:rFonts w:ascii="Arial"/>
                <w:sz w:val="21"/>
              </w:rPr>
            </w:pPr>
          </w:p>
          <w:p w14:paraId="2D315A93">
            <w:pPr>
              <w:spacing w:before="74"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07720045">
            <w:pPr>
              <w:pStyle w:val="6"/>
              <w:spacing w:before="33" w:line="178" w:lineRule="auto"/>
              <w:ind w:left="115" w:right="109" w:firstLine="2"/>
              <w:jc w:val="both"/>
            </w:pPr>
            <w:r>
              <w:rPr>
                <w:spacing w:val="26"/>
              </w:rPr>
              <w:t>未及时消除已发现的可能引发突发事</w:t>
            </w:r>
            <w:r>
              <w:rPr>
                <w:spacing w:val="-2"/>
              </w:rPr>
              <w:t>件的隐患，导致发生</w:t>
            </w:r>
            <w:r>
              <w:rPr>
                <w:spacing w:val="26"/>
              </w:rPr>
              <w:t>特别重大突发事件</w:t>
            </w:r>
            <w:r>
              <w:t>的</w:t>
            </w:r>
          </w:p>
        </w:tc>
        <w:tc>
          <w:tcPr>
            <w:tcW w:w="2894" w:type="dxa"/>
            <w:vAlign w:val="top"/>
          </w:tcPr>
          <w:p w14:paraId="0FC7D604">
            <w:pPr>
              <w:pStyle w:val="6"/>
              <w:spacing w:before="33" w:line="178" w:lineRule="auto"/>
              <w:ind w:left="119" w:right="103" w:firstLine="8"/>
              <w:jc w:val="both"/>
            </w:pPr>
            <w:r>
              <w:rPr>
                <w:spacing w:val="7"/>
              </w:rPr>
              <w:t>责令停产停业，暂扣或者</w:t>
            </w:r>
            <w:r>
              <w:rPr>
                <w:spacing w:val="-4"/>
              </w:rPr>
              <w:t>吊销许可证件，并处</w:t>
            </w:r>
            <w:r>
              <w:rPr>
                <w:rFonts w:ascii="宋体" w:hAnsi="宋体" w:eastAsia="宋体" w:cs="宋体"/>
                <w:spacing w:val="-4"/>
              </w:rPr>
              <w:t>15</w:t>
            </w:r>
            <w:r>
              <w:rPr>
                <w:spacing w:val="-4"/>
              </w:rPr>
              <w:t>万</w:t>
            </w:r>
            <w:r>
              <w:rPr>
                <w:spacing w:val="13"/>
              </w:rPr>
              <w:t>元以上</w:t>
            </w:r>
            <w:r>
              <w:rPr>
                <w:rFonts w:ascii="宋体" w:hAnsi="宋体" w:eastAsia="宋体" w:cs="宋体"/>
                <w:spacing w:val="13"/>
              </w:rPr>
              <w:t>20</w:t>
            </w:r>
            <w:r>
              <w:rPr>
                <w:spacing w:val="13"/>
              </w:rPr>
              <w:t>万元以下的罚</w:t>
            </w:r>
            <w:r>
              <w:rPr>
                <w:spacing w:val="4"/>
              </w:rPr>
              <w:t>款；情节特别严重的，并</w:t>
            </w:r>
            <w:r>
              <w:rPr>
                <w:spacing w:val="9"/>
              </w:rPr>
              <w:t>处</w:t>
            </w:r>
            <w:r>
              <w:rPr>
                <w:rFonts w:ascii="宋体" w:hAnsi="宋体" w:eastAsia="宋体" w:cs="宋体"/>
                <w:spacing w:val="9"/>
              </w:rPr>
              <w:t>80</w:t>
            </w:r>
            <w:r>
              <w:rPr>
                <w:spacing w:val="9"/>
              </w:rPr>
              <w:t>万元以上</w:t>
            </w:r>
            <w:r>
              <w:rPr>
                <w:rFonts w:ascii="宋体" w:hAnsi="宋体" w:eastAsia="宋体" w:cs="宋体"/>
                <w:spacing w:val="9"/>
              </w:rPr>
              <w:t>100</w:t>
            </w:r>
            <w:r>
              <w:rPr>
                <w:spacing w:val="9"/>
              </w:rPr>
              <w:t>万元以</w:t>
            </w:r>
          </w:p>
        </w:tc>
        <w:tc>
          <w:tcPr>
            <w:tcW w:w="811" w:type="dxa"/>
            <w:vMerge w:val="continue"/>
            <w:tcBorders>
              <w:top w:val="nil"/>
            </w:tcBorders>
            <w:vAlign w:val="top"/>
          </w:tcPr>
          <w:p w14:paraId="19974FED">
            <w:pPr>
              <w:rPr>
                <w:rFonts w:ascii="Arial"/>
                <w:sz w:val="21"/>
              </w:rPr>
            </w:pPr>
          </w:p>
        </w:tc>
      </w:tr>
    </w:tbl>
    <w:p w14:paraId="4C9C1F01">
      <w:pPr>
        <w:pStyle w:val="2"/>
      </w:pPr>
    </w:p>
    <w:p w14:paraId="07A6B7B6">
      <w:pPr>
        <w:sectPr>
          <w:footerReference r:id="rId232" w:type="default"/>
          <w:pgSz w:w="16839" w:h="11906"/>
          <w:pgMar w:top="1012" w:right="821" w:bottom="667" w:left="901" w:header="0" w:footer="388" w:gutter="0"/>
          <w:cols w:space="720" w:num="1"/>
        </w:sectPr>
      </w:pPr>
    </w:p>
    <w:p w14:paraId="13FA628B">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72B98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613D23C2">
            <w:pPr>
              <w:spacing w:before="222" w:line="241" w:lineRule="auto"/>
              <w:ind w:left="131"/>
              <w:outlineLvl w:val="0"/>
              <w:rPr>
                <w:rFonts w:ascii="黑体" w:hAnsi="黑体" w:eastAsia="黑体" w:cs="黑体"/>
                <w:sz w:val="28"/>
                <w:szCs w:val="28"/>
              </w:rPr>
            </w:pPr>
            <w:bookmarkStart w:id="742" w:name="bookmark471"/>
            <w:bookmarkEnd w:id="742"/>
            <w:bookmarkStart w:id="743" w:name="bookmark619"/>
            <w:bookmarkEnd w:id="743"/>
            <w:r>
              <w:rPr>
                <w:rFonts w:ascii="黑体" w:hAnsi="黑体" w:eastAsia="黑体" w:cs="黑体"/>
                <w:spacing w:val="-2"/>
                <w:sz w:val="28"/>
                <w:szCs w:val="28"/>
              </w:rPr>
              <w:t>序号</w:t>
            </w:r>
          </w:p>
        </w:tc>
        <w:tc>
          <w:tcPr>
            <w:tcW w:w="1440" w:type="dxa"/>
            <w:vAlign w:val="top"/>
          </w:tcPr>
          <w:p w14:paraId="1A37FA94">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48E5294">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7253856E">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5729243">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D21151D">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4502483B">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7619D815">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1EC84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trPr>
        <w:tc>
          <w:tcPr>
            <w:tcW w:w="818" w:type="dxa"/>
            <w:vAlign w:val="top"/>
          </w:tcPr>
          <w:p w14:paraId="2596C7BB">
            <w:pPr>
              <w:rPr>
                <w:rFonts w:ascii="Arial"/>
                <w:sz w:val="21"/>
              </w:rPr>
            </w:pPr>
          </w:p>
        </w:tc>
        <w:tc>
          <w:tcPr>
            <w:tcW w:w="1440" w:type="dxa"/>
            <w:vAlign w:val="top"/>
          </w:tcPr>
          <w:p w14:paraId="111C8FF4">
            <w:pPr>
              <w:rPr>
                <w:rFonts w:ascii="Arial"/>
                <w:sz w:val="21"/>
              </w:rPr>
            </w:pPr>
          </w:p>
        </w:tc>
        <w:tc>
          <w:tcPr>
            <w:tcW w:w="3202" w:type="dxa"/>
            <w:vAlign w:val="top"/>
          </w:tcPr>
          <w:p w14:paraId="6F599503">
            <w:pPr>
              <w:pStyle w:val="6"/>
              <w:spacing w:before="21" w:line="181" w:lineRule="auto"/>
              <w:ind w:left="116" w:right="21" w:firstLine="7"/>
            </w:pPr>
            <w:r>
              <w:rPr>
                <w:spacing w:val="16"/>
              </w:rPr>
              <w:t>炼、建筑施工单位和易燃易</w:t>
            </w:r>
            <w:r>
              <w:rPr>
                <w:spacing w:val="17"/>
              </w:rPr>
              <w:t>爆物品、危险化学品、放射</w:t>
            </w:r>
            <w:r>
              <w:rPr>
                <w:spacing w:val="15"/>
              </w:rPr>
              <w:t>性物品等危险物品的生产、</w:t>
            </w:r>
            <w:r>
              <w:rPr>
                <w:spacing w:val="17"/>
              </w:rPr>
              <w:t>经营、运输、储存、使用单</w:t>
            </w:r>
            <w:r>
              <w:rPr>
                <w:spacing w:val="3"/>
              </w:rPr>
              <w:t>位，应当制定具体应急预案，</w:t>
            </w:r>
            <w:r>
              <w:rPr>
                <w:spacing w:val="15"/>
              </w:rPr>
              <w:t>配备必要的应急救援器材、</w:t>
            </w:r>
            <w:r>
              <w:rPr>
                <w:spacing w:val="13"/>
              </w:rPr>
              <w:t>设备和物资，并对生产经营</w:t>
            </w:r>
            <w:r>
              <w:rPr>
                <w:spacing w:val="5"/>
              </w:rPr>
              <w:t>场所、有危险物品的建筑物、</w:t>
            </w:r>
            <w:r>
              <w:rPr>
                <w:spacing w:val="17"/>
              </w:rPr>
              <w:t>构筑物及周边环境开展隐患</w:t>
            </w:r>
            <w:r>
              <w:rPr>
                <w:spacing w:val="14"/>
              </w:rPr>
              <w:t>排查，及时采取措施管控风</w:t>
            </w:r>
            <w:r>
              <w:rPr>
                <w:spacing w:val="10"/>
              </w:rPr>
              <w:t>险和消除隐患，防止发生突</w:t>
            </w:r>
            <w:r>
              <w:rPr>
                <w:spacing w:val="-2"/>
              </w:rPr>
              <w:t>发事件。</w:t>
            </w:r>
          </w:p>
        </w:tc>
        <w:tc>
          <w:tcPr>
            <w:tcW w:w="2859" w:type="dxa"/>
            <w:vAlign w:val="top"/>
          </w:tcPr>
          <w:p w14:paraId="6766F97D">
            <w:pPr>
              <w:rPr>
                <w:rFonts w:ascii="Arial"/>
                <w:sz w:val="21"/>
              </w:rPr>
            </w:pPr>
          </w:p>
        </w:tc>
        <w:tc>
          <w:tcPr>
            <w:tcW w:w="803" w:type="dxa"/>
            <w:vAlign w:val="top"/>
          </w:tcPr>
          <w:p w14:paraId="7882E70F">
            <w:pPr>
              <w:rPr>
                <w:rFonts w:ascii="Arial"/>
                <w:sz w:val="21"/>
              </w:rPr>
            </w:pPr>
          </w:p>
        </w:tc>
        <w:tc>
          <w:tcPr>
            <w:tcW w:w="2283" w:type="dxa"/>
            <w:vAlign w:val="top"/>
          </w:tcPr>
          <w:p w14:paraId="38E84781">
            <w:pPr>
              <w:rPr>
                <w:rFonts w:ascii="Arial"/>
                <w:sz w:val="21"/>
              </w:rPr>
            </w:pPr>
          </w:p>
        </w:tc>
        <w:tc>
          <w:tcPr>
            <w:tcW w:w="2894" w:type="dxa"/>
            <w:vAlign w:val="top"/>
          </w:tcPr>
          <w:p w14:paraId="7509D835">
            <w:pPr>
              <w:pStyle w:val="6"/>
              <w:spacing w:before="28" w:line="209" w:lineRule="auto"/>
              <w:ind w:left="124"/>
            </w:pPr>
            <w:r>
              <w:rPr>
                <w:spacing w:val="4"/>
              </w:rPr>
              <w:t>下的罚款</w:t>
            </w:r>
          </w:p>
        </w:tc>
        <w:tc>
          <w:tcPr>
            <w:tcW w:w="811" w:type="dxa"/>
            <w:vAlign w:val="top"/>
          </w:tcPr>
          <w:p w14:paraId="5FF62DC3">
            <w:pPr>
              <w:rPr>
                <w:rFonts w:ascii="Arial"/>
                <w:sz w:val="21"/>
              </w:rPr>
            </w:pPr>
          </w:p>
        </w:tc>
      </w:tr>
      <w:tr w14:paraId="564D7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7" w:hRule="atLeast"/>
        </w:trPr>
        <w:tc>
          <w:tcPr>
            <w:tcW w:w="818" w:type="dxa"/>
            <w:vMerge w:val="restart"/>
            <w:tcBorders>
              <w:bottom w:val="nil"/>
            </w:tcBorders>
            <w:vAlign w:val="top"/>
          </w:tcPr>
          <w:p w14:paraId="445E6960">
            <w:pPr>
              <w:spacing w:line="257" w:lineRule="auto"/>
              <w:rPr>
                <w:rFonts w:ascii="Arial"/>
                <w:sz w:val="21"/>
              </w:rPr>
            </w:pPr>
          </w:p>
          <w:p w14:paraId="6E6F0BD8">
            <w:pPr>
              <w:spacing w:line="257" w:lineRule="auto"/>
              <w:rPr>
                <w:rFonts w:ascii="Arial"/>
                <w:sz w:val="21"/>
              </w:rPr>
            </w:pPr>
          </w:p>
          <w:p w14:paraId="0A8B8F46">
            <w:pPr>
              <w:spacing w:line="257" w:lineRule="auto"/>
              <w:rPr>
                <w:rFonts w:ascii="Arial"/>
                <w:sz w:val="21"/>
              </w:rPr>
            </w:pPr>
          </w:p>
          <w:p w14:paraId="43EA1744">
            <w:pPr>
              <w:spacing w:line="257" w:lineRule="auto"/>
              <w:rPr>
                <w:rFonts w:ascii="Arial"/>
                <w:sz w:val="21"/>
              </w:rPr>
            </w:pPr>
          </w:p>
          <w:p w14:paraId="6EA759F0">
            <w:pPr>
              <w:spacing w:line="257" w:lineRule="auto"/>
              <w:rPr>
                <w:rFonts w:ascii="Arial"/>
                <w:sz w:val="21"/>
              </w:rPr>
            </w:pPr>
          </w:p>
          <w:p w14:paraId="3A00D243">
            <w:pPr>
              <w:spacing w:line="257" w:lineRule="auto"/>
              <w:rPr>
                <w:rFonts w:ascii="Arial"/>
                <w:sz w:val="21"/>
              </w:rPr>
            </w:pPr>
          </w:p>
          <w:p w14:paraId="0D90DDE4">
            <w:pPr>
              <w:spacing w:line="257" w:lineRule="auto"/>
              <w:rPr>
                <w:rFonts w:ascii="Arial"/>
                <w:sz w:val="21"/>
              </w:rPr>
            </w:pPr>
          </w:p>
          <w:p w14:paraId="178FC4A8">
            <w:pPr>
              <w:spacing w:line="258" w:lineRule="auto"/>
              <w:rPr>
                <w:rFonts w:ascii="Arial"/>
                <w:sz w:val="21"/>
              </w:rPr>
            </w:pPr>
          </w:p>
          <w:p w14:paraId="697CD133">
            <w:pPr>
              <w:spacing w:line="258" w:lineRule="auto"/>
              <w:rPr>
                <w:rFonts w:ascii="Arial"/>
                <w:sz w:val="21"/>
              </w:rPr>
            </w:pPr>
          </w:p>
          <w:p w14:paraId="5178B5F2">
            <w:pPr>
              <w:spacing w:line="258" w:lineRule="auto"/>
              <w:rPr>
                <w:rFonts w:ascii="Arial"/>
                <w:sz w:val="21"/>
              </w:rPr>
            </w:pPr>
          </w:p>
          <w:p w14:paraId="489EFBA4">
            <w:pPr>
              <w:spacing w:before="75" w:line="185" w:lineRule="auto"/>
              <w:ind w:left="146"/>
              <w:rPr>
                <w:rFonts w:ascii="仿宋" w:hAnsi="仿宋" w:eastAsia="仿宋" w:cs="仿宋"/>
                <w:sz w:val="23"/>
                <w:szCs w:val="23"/>
              </w:rPr>
            </w:pPr>
            <w:r>
              <w:rPr>
                <w:rFonts w:ascii="仿宋" w:hAnsi="仿宋" w:eastAsia="仿宋" w:cs="仿宋"/>
                <w:sz w:val="23"/>
                <w:szCs w:val="23"/>
              </w:rPr>
              <w:t>232</w:t>
            </w:r>
          </w:p>
        </w:tc>
        <w:tc>
          <w:tcPr>
            <w:tcW w:w="1440" w:type="dxa"/>
            <w:vMerge w:val="restart"/>
            <w:tcBorders>
              <w:bottom w:val="nil"/>
            </w:tcBorders>
            <w:vAlign w:val="top"/>
          </w:tcPr>
          <w:p w14:paraId="53980F75">
            <w:pPr>
              <w:spacing w:line="290" w:lineRule="auto"/>
              <w:rPr>
                <w:rFonts w:ascii="Arial"/>
                <w:sz w:val="21"/>
              </w:rPr>
            </w:pPr>
          </w:p>
          <w:p w14:paraId="3933A62D">
            <w:pPr>
              <w:spacing w:line="291" w:lineRule="auto"/>
              <w:rPr>
                <w:rFonts w:ascii="Arial"/>
                <w:sz w:val="21"/>
              </w:rPr>
            </w:pPr>
          </w:p>
          <w:p w14:paraId="0FAB664F">
            <w:pPr>
              <w:spacing w:line="291" w:lineRule="auto"/>
              <w:rPr>
                <w:rFonts w:ascii="Arial"/>
                <w:sz w:val="21"/>
              </w:rPr>
            </w:pPr>
          </w:p>
          <w:p w14:paraId="18D88B1A">
            <w:pPr>
              <w:spacing w:line="291" w:lineRule="auto"/>
              <w:rPr>
                <w:rFonts w:ascii="Arial"/>
                <w:sz w:val="21"/>
              </w:rPr>
            </w:pPr>
          </w:p>
          <w:p w14:paraId="441C5865">
            <w:pPr>
              <w:pStyle w:val="6"/>
              <w:spacing w:before="99" w:line="185" w:lineRule="auto"/>
              <w:ind w:left="114" w:right="111" w:firstLine="1"/>
            </w:pPr>
            <w:r>
              <w:rPr>
                <w:spacing w:val="11"/>
              </w:rPr>
              <w:t>未做好应急物资储备和</w:t>
            </w:r>
            <w:r>
              <w:rPr>
                <w:spacing w:val="6"/>
              </w:rPr>
              <w:t>应急设备、</w:t>
            </w:r>
            <w:r>
              <w:rPr>
                <w:spacing w:val="11"/>
              </w:rPr>
              <w:t>设施日常维护、检测工</w:t>
            </w:r>
            <w:r>
              <w:rPr>
                <w:spacing w:val="3"/>
              </w:rPr>
              <w:t>作，导致发</w:t>
            </w:r>
            <w:r>
              <w:rPr>
                <w:spacing w:val="11"/>
              </w:rPr>
              <w:t>生较大以上突发事件或者突发事件</w:t>
            </w:r>
            <w:r>
              <w:rPr>
                <w:spacing w:val="7"/>
              </w:rPr>
              <w:t>危害扩大的</w:t>
            </w:r>
          </w:p>
        </w:tc>
        <w:tc>
          <w:tcPr>
            <w:tcW w:w="3202" w:type="dxa"/>
            <w:vMerge w:val="restart"/>
            <w:tcBorders>
              <w:bottom w:val="nil"/>
            </w:tcBorders>
            <w:vAlign w:val="top"/>
          </w:tcPr>
          <w:p w14:paraId="51F91542">
            <w:pPr>
              <w:pStyle w:val="6"/>
              <w:spacing w:before="43" w:line="182" w:lineRule="auto"/>
              <w:ind w:left="117" w:right="110" w:hanging="19"/>
            </w:pPr>
            <w:r>
              <w:rPr>
                <w:spacing w:val="18"/>
              </w:rPr>
              <w:t>【法律】《中华人民共和国</w:t>
            </w:r>
            <w:r>
              <w:rPr>
                <w:spacing w:val="17"/>
              </w:rPr>
              <w:t>突发事件应对法》第三十六</w:t>
            </w:r>
            <w:r>
              <w:rPr>
                <w:spacing w:val="13"/>
              </w:rPr>
              <w:t>条：矿山、金属冶炼、建筑</w:t>
            </w:r>
            <w:r>
              <w:rPr>
                <w:spacing w:val="14"/>
              </w:rPr>
              <w:t>施工单位和易燃易爆物品、</w:t>
            </w:r>
            <w:r>
              <w:rPr>
                <w:spacing w:val="17"/>
              </w:rPr>
              <w:t>危险化学品、放射性物品等危险物品的生产、经营、运</w:t>
            </w:r>
            <w:r>
              <w:rPr>
                <w:spacing w:val="13"/>
              </w:rPr>
              <w:t>输、储存、使用单位，应当制定具体应急预案，配备必</w:t>
            </w:r>
            <w:r>
              <w:rPr>
                <w:spacing w:val="17"/>
              </w:rPr>
              <w:t>要的应急救援器材、设备和</w:t>
            </w:r>
            <w:r>
              <w:rPr>
                <w:spacing w:val="10"/>
              </w:rPr>
              <w:t>物资，并对生产经营场所、</w:t>
            </w:r>
            <w:r>
              <w:rPr>
                <w:spacing w:val="17"/>
              </w:rPr>
              <w:t>有危险物品的建筑物、构筑</w:t>
            </w:r>
            <w:r>
              <w:rPr>
                <w:spacing w:val="39"/>
              </w:rPr>
              <w:t>物及周边环境开展隐患排</w:t>
            </w:r>
            <w:r>
              <w:rPr>
                <w:spacing w:val="14"/>
              </w:rPr>
              <w:t>查，及时采取措施管控风险</w:t>
            </w:r>
            <w:r>
              <w:rPr>
                <w:spacing w:val="10"/>
              </w:rPr>
              <w:t>和消除隐患，防止发生突发</w:t>
            </w:r>
            <w:r>
              <w:rPr>
                <w:spacing w:val="-4"/>
              </w:rPr>
              <w:t>事件。</w:t>
            </w:r>
          </w:p>
          <w:p w14:paraId="20EC65E1">
            <w:pPr>
              <w:pStyle w:val="6"/>
              <w:spacing w:before="3" w:line="189" w:lineRule="auto"/>
              <w:ind w:left="118" w:right="21" w:firstLine="9"/>
              <w:jc w:val="both"/>
            </w:pPr>
            <w:r>
              <w:rPr>
                <w:spacing w:val="1"/>
              </w:rPr>
              <w:t>第三十七条：公共交通工具、</w:t>
            </w:r>
            <w:r>
              <w:rPr>
                <w:spacing w:val="17"/>
              </w:rPr>
              <w:t>公共场所和其他人员密集场所的经营单位或者管理单位</w:t>
            </w:r>
          </w:p>
        </w:tc>
        <w:tc>
          <w:tcPr>
            <w:tcW w:w="2859" w:type="dxa"/>
            <w:vMerge w:val="restart"/>
            <w:tcBorders>
              <w:bottom w:val="nil"/>
            </w:tcBorders>
            <w:vAlign w:val="top"/>
          </w:tcPr>
          <w:p w14:paraId="4C8FE88B">
            <w:pPr>
              <w:pStyle w:val="6"/>
              <w:spacing w:before="31" w:line="184" w:lineRule="auto"/>
              <w:ind w:left="114" w:right="110" w:hanging="17"/>
            </w:pPr>
            <w:r>
              <w:rPr>
                <w:spacing w:val="10"/>
              </w:rPr>
              <w:t>【法律】《中华人民共和</w:t>
            </w:r>
            <w:r>
              <w:rPr>
                <w:spacing w:val="8"/>
              </w:rPr>
              <w:t>国突发事件应对法》第九</w:t>
            </w:r>
            <w:r>
              <w:rPr>
                <w:spacing w:val="6"/>
              </w:rPr>
              <w:t>十六条第一款第三项：有</w:t>
            </w:r>
            <w:r>
              <w:rPr>
                <w:spacing w:val="4"/>
              </w:rPr>
              <w:t>关单位有下列情形之一，</w:t>
            </w:r>
            <w:r>
              <w:rPr>
                <w:spacing w:val="8"/>
              </w:rPr>
              <w:t>由所在地履行统一领导职责的人民政府有关部门责令停产停业，暂扣或者吊销许可证件，并处五万元</w:t>
            </w:r>
            <w:r>
              <w:rPr>
                <w:spacing w:val="32"/>
              </w:rPr>
              <w:t>以上二十万元以下的罚</w:t>
            </w:r>
            <w:r>
              <w:rPr>
                <w:spacing w:val="2"/>
              </w:rPr>
              <w:t>款；情节特别严重的，并</w:t>
            </w:r>
            <w:r>
              <w:rPr>
                <w:spacing w:val="8"/>
              </w:rPr>
              <w:t>处二十万元以上一百万元以下的罚款</w:t>
            </w:r>
            <w:r>
              <w:rPr>
                <w:spacing w:val="12"/>
              </w:rPr>
              <w:t>：（</w:t>
            </w:r>
            <w:r>
              <w:rPr>
                <w:spacing w:val="8"/>
              </w:rPr>
              <w:t>三）未做好应急物资储备和应急设备、设施日常维护、检测工作，导致发生较大以上突发事件或者突发事件危</w:t>
            </w:r>
            <w:r>
              <w:rPr>
                <w:spacing w:val="-2"/>
              </w:rPr>
              <w:t>害扩大的；</w:t>
            </w:r>
          </w:p>
        </w:tc>
        <w:tc>
          <w:tcPr>
            <w:tcW w:w="803" w:type="dxa"/>
            <w:vAlign w:val="top"/>
          </w:tcPr>
          <w:p w14:paraId="56406E36">
            <w:pPr>
              <w:spacing w:line="256" w:lineRule="auto"/>
              <w:rPr>
                <w:rFonts w:ascii="Arial"/>
                <w:sz w:val="21"/>
              </w:rPr>
            </w:pPr>
          </w:p>
          <w:p w14:paraId="175CE6E9">
            <w:pPr>
              <w:spacing w:line="256" w:lineRule="auto"/>
              <w:rPr>
                <w:rFonts w:ascii="Arial"/>
                <w:sz w:val="21"/>
              </w:rPr>
            </w:pPr>
          </w:p>
          <w:p w14:paraId="62D6BEEF">
            <w:pPr>
              <w:spacing w:line="256" w:lineRule="auto"/>
              <w:rPr>
                <w:rFonts w:ascii="Arial"/>
                <w:sz w:val="21"/>
              </w:rPr>
            </w:pPr>
          </w:p>
          <w:p w14:paraId="4C33152A">
            <w:pPr>
              <w:spacing w:before="75"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1AE15A1F">
            <w:pPr>
              <w:pStyle w:val="6"/>
              <w:spacing w:before="51" w:line="182" w:lineRule="auto"/>
              <w:ind w:left="116" w:right="109" w:firstLine="1"/>
              <w:jc w:val="both"/>
            </w:pPr>
            <w:r>
              <w:rPr>
                <w:spacing w:val="26"/>
              </w:rPr>
              <w:t>未做好应急物资储</w:t>
            </w:r>
            <w:r>
              <w:rPr>
                <w:spacing w:val="-2"/>
              </w:rPr>
              <w:t>备和应急设备、设施</w:t>
            </w:r>
            <w:r>
              <w:rPr>
                <w:spacing w:val="26"/>
              </w:rPr>
              <w:t>日常维护、检测工</w:t>
            </w:r>
            <w:r>
              <w:rPr>
                <w:spacing w:val="-2"/>
              </w:rPr>
              <w:t>作，导致发生较大突</w:t>
            </w:r>
            <w:r>
              <w:rPr>
                <w:spacing w:val="26"/>
              </w:rPr>
              <w:t>发事件或者突发事</w:t>
            </w:r>
            <w:r>
              <w:rPr>
                <w:spacing w:val="7"/>
              </w:rPr>
              <w:t>件危害扩大的</w:t>
            </w:r>
          </w:p>
        </w:tc>
        <w:tc>
          <w:tcPr>
            <w:tcW w:w="2894" w:type="dxa"/>
            <w:vAlign w:val="top"/>
          </w:tcPr>
          <w:p w14:paraId="7E4DBE4A">
            <w:pPr>
              <w:pStyle w:val="6"/>
              <w:spacing w:before="51" w:line="182" w:lineRule="auto"/>
              <w:ind w:left="119" w:right="103" w:firstLine="8"/>
              <w:jc w:val="both"/>
            </w:pPr>
            <w:r>
              <w:rPr>
                <w:spacing w:val="7"/>
              </w:rPr>
              <w:t>责令停产停业，暂扣或者</w:t>
            </w:r>
            <w:r>
              <w:rPr>
                <w:spacing w:val="4"/>
              </w:rPr>
              <w:t>吊销许可证件，并处</w:t>
            </w:r>
            <w:r>
              <w:rPr>
                <w:rFonts w:ascii="宋体" w:hAnsi="宋体" w:eastAsia="宋体" w:cs="宋体"/>
                <w:spacing w:val="4"/>
              </w:rPr>
              <w:t>5</w:t>
            </w:r>
            <w:r>
              <w:rPr>
                <w:spacing w:val="4"/>
              </w:rPr>
              <w:t>万</w:t>
            </w:r>
            <w:r>
              <w:rPr>
                <w:spacing w:val="11"/>
              </w:rPr>
              <w:t>元以上</w:t>
            </w:r>
            <w:r>
              <w:rPr>
                <w:rFonts w:ascii="宋体" w:hAnsi="宋体" w:eastAsia="宋体" w:cs="宋体"/>
                <w:spacing w:val="11"/>
              </w:rPr>
              <w:t>10</w:t>
            </w:r>
            <w:r>
              <w:rPr>
                <w:spacing w:val="11"/>
              </w:rPr>
              <w:t>万元以下的罚</w:t>
            </w:r>
            <w:r>
              <w:rPr>
                <w:spacing w:val="4"/>
              </w:rPr>
              <w:t>款；情节特别严重的，并</w:t>
            </w:r>
            <w:r>
              <w:rPr>
                <w:spacing w:val="2"/>
              </w:rPr>
              <w:t>处</w:t>
            </w:r>
            <w:r>
              <w:rPr>
                <w:rFonts w:ascii="宋体" w:hAnsi="宋体" w:eastAsia="宋体" w:cs="宋体"/>
                <w:spacing w:val="2"/>
              </w:rPr>
              <w:t>20</w:t>
            </w:r>
            <w:r>
              <w:rPr>
                <w:spacing w:val="2"/>
              </w:rPr>
              <w:t>万元以上</w:t>
            </w:r>
            <w:r>
              <w:rPr>
                <w:rFonts w:ascii="宋体" w:hAnsi="宋体" w:eastAsia="宋体" w:cs="宋体"/>
                <w:spacing w:val="2"/>
              </w:rPr>
              <w:t>50</w:t>
            </w:r>
            <w:r>
              <w:rPr>
                <w:spacing w:val="2"/>
              </w:rPr>
              <w:t>万元以</w:t>
            </w:r>
            <w:r>
              <w:rPr>
                <w:spacing w:val="6"/>
              </w:rPr>
              <w:t>下的罚款</w:t>
            </w:r>
          </w:p>
        </w:tc>
        <w:tc>
          <w:tcPr>
            <w:tcW w:w="811" w:type="dxa"/>
            <w:vMerge w:val="restart"/>
            <w:tcBorders>
              <w:bottom w:val="nil"/>
            </w:tcBorders>
            <w:vAlign w:val="top"/>
          </w:tcPr>
          <w:p w14:paraId="3D9B0015">
            <w:pPr>
              <w:rPr>
                <w:rFonts w:ascii="Arial"/>
                <w:sz w:val="21"/>
              </w:rPr>
            </w:pPr>
          </w:p>
        </w:tc>
      </w:tr>
      <w:tr w14:paraId="2D547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18" w:type="dxa"/>
            <w:vMerge w:val="continue"/>
            <w:tcBorders>
              <w:top w:val="nil"/>
              <w:bottom w:val="nil"/>
            </w:tcBorders>
            <w:vAlign w:val="top"/>
          </w:tcPr>
          <w:p w14:paraId="451A0BF3">
            <w:pPr>
              <w:rPr>
                <w:rFonts w:ascii="Arial"/>
                <w:sz w:val="21"/>
              </w:rPr>
            </w:pPr>
          </w:p>
        </w:tc>
        <w:tc>
          <w:tcPr>
            <w:tcW w:w="1440" w:type="dxa"/>
            <w:vMerge w:val="continue"/>
            <w:tcBorders>
              <w:top w:val="nil"/>
              <w:bottom w:val="nil"/>
            </w:tcBorders>
            <w:vAlign w:val="top"/>
          </w:tcPr>
          <w:p w14:paraId="54EDF496">
            <w:pPr>
              <w:rPr>
                <w:rFonts w:ascii="Arial"/>
                <w:sz w:val="21"/>
              </w:rPr>
            </w:pPr>
          </w:p>
        </w:tc>
        <w:tc>
          <w:tcPr>
            <w:tcW w:w="3202" w:type="dxa"/>
            <w:vMerge w:val="continue"/>
            <w:tcBorders>
              <w:top w:val="nil"/>
              <w:bottom w:val="nil"/>
            </w:tcBorders>
            <w:vAlign w:val="top"/>
          </w:tcPr>
          <w:p w14:paraId="6B7FDFF0">
            <w:pPr>
              <w:rPr>
                <w:rFonts w:ascii="Arial"/>
                <w:sz w:val="21"/>
              </w:rPr>
            </w:pPr>
          </w:p>
        </w:tc>
        <w:tc>
          <w:tcPr>
            <w:tcW w:w="2859" w:type="dxa"/>
            <w:vMerge w:val="continue"/>
            <w:tcBorders>
              <w:top w:val="nil"/>
              <w:bottom w:val="nil"/>
            </w:tcBorders>
            <w:vAlign w:val="top"/>
          </w:tcPr>
          <w:p w14:paraId="201D5982">
            <w:pPr>
              <w:rPr>
                <w:rFonts w:ascii="Arial"/>
                <w:sz w:val="21"/>
              </w:rPr>
            </w:pPr>
          </w:p>
        </w:tc>
        <w:tc>
          <w:tcPr>
            <w:tcW w:w="803" w:type="dxa"/>
            <w:vAlign w:val="top"/>
          </w:tcPr>
          <w:p w14:paraId="152A7E02">
            <w:pPr>
              <w:spacing w:line="249" w:lineRule="auto"/>
              <w:rPr>
                <w:rFonts w:ascii="Arial"/>
                <w:sz w:val="21"/>
              </w:rPr>
            </w:pPr>
          </w:p>
          <w:p w14:paraId="0B445952">
            <w:pPr>
              <w:spacing w:line="250" w:lineRule="auto"/>
              <w:rPr>
                <w:rFonts w:ascii="Arial"/>
                <w:sz w:val="21"/>
              </w:rPr>
            </w:pPr>
          </w:p>
          <w:p w14:paraId="4F7D20F9">
            <w:pPr>
              <w:spacing w:line="250" w:lineRule="auto"/>
              <w:rPr>
                <w:rFonts w:ascii="Arial"/>
                <w:sz w:val="21"/>
              </w:rPr>
            </w:pPr>
          </w:p>
          <w:p w14:paraId="310B1DC7">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07537833">
            <w:pPr>
              <w:pStyle w:val="6"/>
              <w:spacing w:before="28" w:line="179" w:lineRule="auto"/>
              <w:ind w:left="116" w:right="109" w:firstLine="1"/>
              <w:jc w:val="both"/>
            </w:pPr>
            <w:r>
              <w:rPr>
                <w:spacing w:val="26"/>
              </w:rPr>
              <w:t>未做好应急物资储</w:t>
            </w:r>
            <w:r>
              <w:rPr>
                <w:spacing w:val="-2"/>
              </w:rPr>
              <w:t>备和应急设备、设施</w:t>
            </w:r>
            <w:r>
              <w:rPr>
                <w:spacing w:val="26"/>
              </w:rPr>
              <w:t>日常维护、检测工</w:t>
            </w:r>
            <w:r>
              <w:rPr>
                <w:spacing w:val="-2"/>
              </w:rPr>
              <w:t>作，导致发生重大突</w:t>
            </w:r>
            <w:r>
              <w:rPr>
                <w:spacing w:val="26"/>
              </w:rPr>
              <w:t>发事件或者突发事</w:t>
            </w:r>
            <w:r>
              <w:rPr>
                <w:spacing w:val="7"/>
              </w:rPr>
              <w:t>件危害扩大的</w:t>
            </w:r>
          </w:p>
        </w:tc>
        <w:tc>
          <w:tcPr>
            <w:tcW w:w="2894" w:type="dxa"/>
            <w:vAlign w:val="top"/>
          </w:tcPr>
          <w:p w14:paraId="3F81D968">
            <w:pPr>
              <w:pStyle w:val="6"/>
              <w:spacing w:before="28" w:line="179" w:lineRule="auto"/>
              <w:ind w:left="119" w:right="103" w:firstLine="8"/>
              <w:jc w:val="both"/>
            </w:pPr>
            <w:r>
              <w:rPr>
                <w:spacing w:val="7"/>
              </w:rPr>
              <w:t>责令停产停业，暂扣或者</w:t>
            </w:r>
            <w:r>
              <w:rPr>
                <w:spacing w:val="-4"/>
              </w:rPr>
              <w:t>吊销许可证件，并处</w:t>
            </w:r>
            <w:r>
              <w:rPr>
                <w:rFonts w:ascii="宋体" w:hAnsi="宋体" w:eastAsia="宋体" w:cs="宋体"/>
                <w:spacing w:val="-4"/>
              </w:rPr>
              <w:t>10</w:t>
            </w:r>
            <w:r>
              <w:rPr>
                <w:spacing w:val="-4"/>
              </w:rPr>
              <w:t>万</w:t>
            </w:r>
            <w:r>
              <w:rPr>
                <w:spacing w:val="11"/>
              </w:rPr>
              <w:t>元以上</w:t>
            </w:r>
            <w:r>
              <w:rPr>
                <w:rFonts w:ascii="宋体" w:hAnsi="宋体" w:eastAsia="宋体" w:cs="宋体"/>
                <w:spacing w:val="11"/>
              </w:rPr>
              <w:t>15</w:t>
            </w:r>
            <w:r>
              <w:rPr>
                <w:spacing w:val="11"/>
              </w:rPr>
              <w:t>万元以下的罚</w:t>
            </w:r>
            <w:r>
              <w:rPr>
                <w:spacing w:val="4"/>
              </w:rPr>
              <w:t>款；情节特别严重的，并</w:t>
            </w:r>
            <w:r>
              <w:rPr>
                <w:spacing w:val="3"/>
              </w:rPr>
              <w:t>处</w:t>
            </w:r>
            <w:r>
              <w:rPr>
                <w:rFonts w:ascii="宋体" w:hAnsi="宋体" w:eastAsia="宋体" w:cs="宋体"/>
                <w:spacing w:val="3"/>
              </w:rPr>
              <w:t>50</w:t>
            </w:r>
            <w:r>
              <w:rPr>
                <w:spacing w:val="3"/>
              </w:rPr>
              <w:t>万元以上</w:t>
            </w:r>
            <w:r>
              <w:rPr>
                <w:rFonts w:ascii="宋体" w:hAnsi="宋体" w:eastAsia="宋体" w:cs="宋体"/>
                <w:spacing w:val="3"/>
              </w:rPr>
              <w:t>80</w:t>
            </w:r>
            <w:r>
              <w:rPr>
                <w:spacing w:val="3"/>
              </w:rPr>
              <w:t>万元以</w:t>
            </w:r>
            <w:r>
              <w:rPr>
                <w:spacing w:val="6"/>
              </w:rPr>
              <w:t>下的罚款</w:t>
            </w:r>
          </w:p>
        </w:tc>
        <w:tc>
          <w:tcPr>
            <w:tcW w:w="811" w:type="dxa"/>
            <w:vMerge w:val="continue"/>
            <w:tcBorders>
              <w:top w:val="nil"/>
              <w:bottom w:val="nil"/>
            </w:tcBorders>
            <w:vAlign w:val="top"/>
          </w:tcPr>
          <w:p w14:paraId="31CFC021">
            <w:pPr>
              <w:rPr>
                <w:rFonts w:ascii="Arial"/>
                <w:sz w:val="21"/>
              </w:rPr>
            </w:pPr>
          </w:p>
        </w:tc>
      </w:tr>
      <w:tr w14:paraId="5EDCD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818" w:type="dxa"/>
            <w:vMerge w:val="continue"/>
            <w:tcBorders>
              <w:top w:val="nil"/>
            </w:tcBorders>
            <w:vAlign w:val="top"/>
          </w:tcPr>
          <w:p w14:paraId="54279992">
            <w:pPr>
              <w:rPr>
                <w:rFonts w:ascii="Arial"/>
                <w:sz w:val="21"/>
              </w:rPr>
            </w:pPr>
          </w:p>
        </w:tc>
        <w:tc>
          <w:tcPr>
            <w:tcW w:w="1440" w:type="dxa"/>
            <w:vMerge w:val="continue"/>
            <w:tcBorders>
              <w:top w:val="nil"/>
            </w:tcBorders>
            <w:vAlign w:val="top"/>
          </w:tcPr>
          <w:p w14:paraId="4E9272FC">
            <w:pPr>
              <w:rPr>
                <w:rFonts w:ascii="Arial"/>
                <w:sz w:val="21"/>
              </w:rPr>
            </w:pPr>
          </w:p>
        </w:tc>
        <w:tc>
          <w:tcPr>
            <w:tcW w:w="3202" w:type="dxa"/>
            <w:vMerge w:val="continue"/>
            <w:tcBorders>
              <w:top w:val="nil"/>
            </w:tcBorders>
            <w:vAlign w:val="top"/>
          </w:tcPr>
          <w:p w14:paraId="58E34F21">
            <w:pPr>
              <w:rPr>
                <w:rFonts w:ascii="Arial"/>
                <w:sz w:val="21"/>
              </w:rPr>
            </w:pPr>
          </w:p>
        </w:tc>
        <w:tc>
          <w:tcPr>
            <w:tcW w:w="2859" w:type="dxa"/>
            <w:vMerge w:val="continue"/>
            <w:tcBorders>
              <w:top w:val="nil"/>
            </w:tcBorders>
            <w:vAlign w:val="top"/>
          </w:tcPr>
          <w:p w14:paraId="4BCC3C97">
            <w:pPr>
              <w:rPr>
                <w:rFonts w:ascii="Arial"/>
                <w:sz w:val="21"/>
              </w:rPr>
            </w:pPr>
          </w:p>
        </w:tc>
        <w:tc>
          <w:tcPr>
            <w:tcW w:w="803" w:type="dxa"/>
            <w:vAlign w:val="top"/>
          </w:tcPr>
          <w:p w14:paraId="35D82033">
            <w:pPr>
              <w:spacing w:line="249" w:lineRule="auto"/>
              <w:rPr>
                <w:rFonts w:ascii="Arial"/>
                <w:sz w:val="21"/>
              </w:rPr>
            </w:pPr>
          </w:p>
          <w:p w14:paraId="0E1FBBF9">
            <w:pPr>
              <w:spacing w:line="249" w:lineRule="auto"/>
              <w:rPr>
                <w:rFonts w:ascii="Arial"/>
                <w:sz w:val="21"/>
              </w:rPr>
            </w:pPr>
          </w:p>
          <w:p w14:paraId="5357F0EB">
            <w:pPr>
              <w:spacing w:line="250" w:lineRule="auto"/>
              <w:rPr>
                <w:rFonts w:ascii="Arial"/>
                <w:sz w:val="21"/>
              </w:rPr>
            </w:pPr>
          </w:p>
          <w:p w14:paraId="336B0B5B">
            <w:pPr>
              <w:spacing w:before="75"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21C75C19">
            <w:pPr>
              <w:pStyle w:val="6"/>
              <w:spacing w:before="31" w:line="179" w:lineRule="auto"/>
              <w:ind w:left="116" w:right="109" w:firstLine="1"/>
              <w:jc w:val="both"/>
            </w:pPr>
            <w:r>
              <w:rPr>
                <w:spacing w:val="26"/>
              </w:rPr>
              <w:t>未做好应急物资储</w:t>
            </w:r>
            <w:r>
              <w:rPr>
                <w:spacing w:val="-2"/>
              </w:rPr>
              <w:t>备和应急设备、设施</w:t>
            </w:r>
            <w:r>
              <w:rPr>
                <w:spacing w:val="26"/>
              </w:rPr>
              <w:t>日常维护、检测工</w:t>
            </w:r>
            <w:r>
              <w:rPr>
                <w:spacing w:val="-2"/>
              </w:rPr>
              <w:t>作，导致发生特别重</w:t>
            </w:r>
            <w:r>
              <w:rPr>
                <w:spacing w:val="26"/>
              </w:rPr>
              <w:t>大突发事件或者突</w:t>
            </w:r>
            <w:r>
              <w:rPr>
                <w:spacing w:val="7"/>
              </w:rPr>
              <w:t>发事件危害扩大的</w:t>
            </w:r>
          </w:p>
        </w:tc>
        <w:tc>
          <w:tcPr>
            <w:tcW w:w="2894" w:type="dxa"/>
            <w:vAlign w:val="top"/>
          </w:tcPr>
          <w:p w14:paraId="7EC257FE">
            <w:pPr>
              <w:pStyle w:val="6"/>
              <w:spacing w:before="31" w:line="179" w:lineRule="auto"/>
              <w:ind w:left="119" w:right="103" w:firstLine="8"/>
              <w:jc w:val="both"/>
            </w:pPr>
            <w:r>
              <w:rPr>
                <w:spacing w:val="7"/>
              </w:rPr>
              <w:t>责令停产停业，暂扣或者</w:t>
            </w:r>
            <w:r>
              <w:rPr>
                <w:spacing w:val="-4"/>
              </w:rPr>
              <w:t>吊销许可证件，并处</w:t>
            </w:r>
            <w:r>
              <w:rPr>
                <w:rFonts w:ascii="宋体" w:hAnsi="宋体" w:eastAsia="宋体" w:cs="宋体"/>
                <w:spacing w:val="-4"/>
              </w:rPr>
              <w:t>15</w:t>
            </w:r>
            <w:r>
              <w:rPr>
                <w:spacing w:val="-4"/>
              </w:rPr>
              <w:t>万</w:t>
            </w:r>
            <w:r>
              <w:rPr>
                <w:spacing w:val="13"/>
              </w:rPr>
              <w:t>元以上</w:t>
            </w:r>
            <w:r>
              <w:rPr>
                <w:rFonts w:ascii="宋体" w:hAnsi="宋体" w:eastAsia="宋体" w:cs="宋体"/>
                <w:spacing w:val="13"/>
              </w:rPr>
              <w:t>20</w:t>
            </w:r>
            <w:r>
              <w:rPr>
                <w:spacing w:val="13"/>
              </w:rPr>
              <w:t>万元以下的罚</w:t>
            </w:r>
            <w:r>
              <w:rPr>
                <w:spacing w:val="4"/>
              </w:rPr>
              <w:t>款；情节特别严重的，并</w:t>
            </w:r>
            <w:r>
              <w:rPr>
                <w:spacing w:val="9"/>
              </w:rPr>
              <w:t>处</w:t>
            </w:r>
            <w:r>
              <w:rPr>
                <w:rFonts w:ascii="宋体" w:hAnsi="宋体" w:eastAsia="宋体" w:cs="宋体"/>
                <w:spacing w:val="9"/>
              </w:rPr>
              <w:t>80</w:t>
            </w:r>
            <w:r>
              <w:rPr>
                <w:spacing w:val="9"/>
              </w:rPr>
              <w:t>万元以上</w:t>
            </w:r>
            <w:r>
              <w:rPr>
                <w:rFonts w:ascii="宋体" w:hAnsi="宋体" w:eastAsia="宋体" w:cs="宋体"/>
                <w:spacing w:val="9"/>
              </w:rPr>
              <w:t>100</w:t>
            </w:r>
            <w:r>
              <w:rPr>
                <w:spacing w:val="9"/>
              </w:rPr>
              <w:t>万元以</w:t>
            </w:r>
            <w:r>
              <w:rPr>
                <w:spacing w:val="6"/>
              </w:rPr>
              <w:t>下的罚款</w:t>
            </w:r>
          </w:p>
        </w:tc>
        <w:tc>
          <w:tcPr>
            <w:tcW w:w="811" w:type="dxa"/>
            <w:vMerge w:val="continue"/>
            <w:tcBorders>
              <w:top w:val="nil"/>
            </w:tcBorders>
            <w:vAlign w:val="top"/>
          </w:tcPr>
          <w:p w14:paraId="07BC2246">
            <w:pPr>
              <w:rPr>
                <w:rFonts w:ascii="Arial"/>
                <w:sz w:val="21"/>
              </w:rPr>
            </w:pPr>
          </w:p>
        </w:tc>
      </w:tr>
    </w:tbl>
    <w:p w14:paraId="0BB3A534">
      <w:pPr>
        <w:pStyle w:val="2"/>
      </w:pPr>
    </w:p>
    <w:p w14:paraId="510AD516">
      <w:pPr>
        <w:sectPr>
          <w:footerReference r:id="rId233" w:type="default"/>
          <w:pgSz w:w="16839" w:h="11906"/>
          <w:pgMar w:top="1012" w:right="821" w:bottom="666" w:left="901" w:header="0" w:footer="388" w:gutter="0"/>
          <w:cols w:space="720" w:num="1"/>
        </w:sectPr>
      </w:pPr>
    </w:p>
    <w:p w14:paraId="282228C8">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63BBD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18" w:type="dxa"/>
            <w:vAlign w:val="top"/>
          </w:tcPr>
          <w:p w14:paraId="29908B61">
            <w:pPr>
              <w:spacing w:before="222" w:line="241" w:lineRule="auto"/>
              <w:ind w:left="131"/>
              <w:rPr>
                <w:rFonts w:ascii="黑体" w:hAnsi="黑体" w:eastAsia="黑体" w:cs="黑体"/>
                <w:sz w:val="28"/>
                <w:szCs w:val="28"/>
              </w:rPr>
            </w:pPr>
            <w:bookmarkStart w:id="744" w:name="bookmark473"/>
            <w:bookmarkEnd w:id="744"/>
            <w:r>
              <w:rPr>
                <w:rFonts w:ascii="黑体" w:hAnsi="黑体" w:eastAsia="黑体" w:cs="黑体"/>
                <w:spacing w:val="-2"/>
                <w:sz w:val="28"/>
                <w:szCs w:val="28"/>
              </w:rPr>
              <w:t>序号</w:t>
            </w:r>
          </w:p>
        </w:tc>
        <w:tc>
          <w:tcPr>
            <w:tcW w:w="1440" w:type="dxa"/>
            <w:vAlign w:val="top"/>
          </w:tcPr>
          <w:p w14:paraId="472778E6">
            <w:pPr>
              <w:spacing w:before="221"/>
              <w:ind w:left="163"/>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3D6F98F1">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5DADE92E">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7EC4EEE7">
            <w:pPr>
              <w:spacing w:before="40" w:line="224"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185C89CC">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61276960">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584D4F7F">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2D024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818" w:type="dxa"/>
            <w:vAlign w:val="top"/>
          </w:tcPr>
          <w:p w14:paraId="131E99D5">
            <w:pPr>
              <w:rPr>
                <w:rFonts w:ascii="Arial"/>
                <w:sz w:val="21"/>
              </w:rPr>
            </w:pPr>
          </w:p>
        </w:tc>
        <w:tc>
          <w:tcPr>
            <w:tcW w:w="1440" w:type="dxa"/>
            <w:vAlign w:val="top"/>
          </w:tcPr>
          <w:p w14:paraId="2DF9F255">
            <w:pPr>
              <w:rPr>
                <w:rFonts w:ascii="Arial"/>
                <w:sz w:val="21"/>
              </w:rPr>
            </w:pPr>
          </w:p>
        </w:tc>
        <w:tc>
          <w:tcPr>
            <w:tcW w:w="3202" w:type="dxa"/>
            <w:vAlign w:val="top"/>
          </w:tcPr>
          <w:p w14:paraId="129BF17F">
            <w:pPr>
              <w:pStyle w:val="6"/>
              <w:spacing w:before="33" w:line="182" w:lineRule="auto"/>
              <w:ind w:left="116" w:right="37" w:firstLine="7"/>
            </w:pPr>
            <w:r>
              <w:rPr>
                <w:spacing w:val="12"/>
              </w:rPr>
              <w:t>应当制定具体应急预案，为</w:t>
            </w:r>
            <w:r>
              <w:rPr>
                <w:spacing w:val="17"/>
              </w:rPr>
              <w:t>交通工具和有关场所配备报警装置和必要的应急救援设</w:t>
            </w:r>
            <w:r>
              <w:rPr>
                <w:spacing w:val="-10"/>
              </w:rPr>
              <w:t>备、设施，注明其使用方法，</w:t>
            </w:r>
            <w:r>
              <w:rPr>
                <w:spacing w:val="39"/>
              </w:rPr>
              <w:t>并显著标明安全撤离的通</w:t>
            </w:r>
            <w:r>
              <w:rPr>
                <w:spacing w:val="11"/>
              </w:rPr>
              <w:t>道、路线，保证安全通道、</w:t>
            </w:r>
            <w:r>
              <w:rPr>
                <w:spacing w:val="1"/>
              </w:rPr>
              <w:t>出口的畅通。</w:t>
            </w:r>
          </w:p>
          <w:p w14:paraId="2D5B069C">
            <w:pPr>
              <w:pStyle w:val="6"/>
              <w:spacing w:line="177" w:lineRule="auto"/>
              <w:ind w:left="116" w:right="111" w:firstLine="6"/>
              <w:jc w:val="both"/>
            </w:pPr>
            <w:r>
              <w:rPr>
                <w:spacing w:val="16"/>
              </w:rPr>
              <w:t>有关单位应当定期检测、维</w:t>
            </w:r>
            <w:r>
              <w:rPr>
                <w:spacing w:val="17"/>
              </w:rPr>
              <w:t>护其报警装置和应急救援设</w:t>
            </w:r>
            <w:r>
              <w:rPr>
                <w:spacing w:val="14"/>
              </w:rPr>
              <w:t>备、设施，使其处于良好状</w:t>
            </w:r>
            <w:r>
              <w:rPr>
                <w:spacing w:val="4"/>
              </w:rPr>
              <w:t>态，确保正常使用。</w:t>
            </w:r>
          </w:p>
        </w:tc>
        <w:tc>
          <w:tcPr>
            <w:tcW w:w="2859" w:type="dxa"/>
            <w:vAlign w:val="top"/>
          </w:tcPr>
          <w:p w14:paraId="28CBFF25">
            <w:pPr>
              <w:rPr>
                <w:rFonts w:ascii="Arial"/>
                <w:sz w:val="21"/>
              </w:rPr>
            </w:pPr>
          </w:p>
        </w:tc>
        <w:tc>
          <w:tcPr>
            <w:tcW w:w="803" w:type="dxa"/>
            <w:vAlign w:val="top"/>
          </w:tcPr>
          <w:p w14:paraId="71CD5D51">
            <w:pPr>
              <w:rPr>
                <w:rFonts w:ascii="Arial"/>
                <w:sz w:val="21"/>
              </w:rPr>
            </w:pPr>
          </w:p>
        </w:tc>
        <w:tc>
          <w:tcPr>
            <w:tcW w:w="2283" w:type="dxa"/>
            <w:vAlign w:val="top"/>
          </w:tcPr>
          <w:p w14:paraId="16F4BBCA">
            <w:pPr>
              <w:rPr>
                <w:rFonts w:ascii="Arial"/>
                <w:sz w:val="21"/>
              </w:rPr>
            </w:pPr>
          </w:p>
        </w:tc>
        <w:tc>
          <w:tcPr>
            <w:tcW w:w="2894" w:type="dxa"/>
            <w:vAlign w:val="top"/>
          </w:tcPr>
          <w:p w14:paraId="26A25EAE">
            <w:pPr>
              <w:rPr>
                <w:rFonts w:ascii="Arial"/>
                <w:sz w:val="21"/>
              </w:rPr>
            </w:pPr>
          </w:p>
        </w:tc>
        <w:tc>
          <w:tcPr>
            <w:tcW w:w="811" w:type="dxa"/>
            <w:vAlign w:val="top"/>
          </w:tcPr>
          <w:p w14:paraId="1B9F226A">
            <w:pPr>
              <w:rPr>
                <w:rFonts w:ascii="Arial"/>
                <w:sz w:val="21"/>
              </w:rPr>
            </w:pPr>
          </w:p>
        </w:tc>
      </w:tr>
      <w:tr w14:paraId="43DEE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5" w:hRule="atLeast"/>
        </w:trPr>
        <w:tc>
          <w:tcPr>
            <w:tcW w:w="818" w:type="dxa"/>
            <w:vMerge w:val="restart"/>
            <w:tcBorders>
              <w:bottom w:val="nil"/>
            </w:tcBorders>
            <w:vAlign w:val="top"/>
          </w:tcPr>
          <w:p w14:paraId="4F02E5CF">
            <w:pPr>
              <w:spacing w:line="244" w:lineRule="auto"/>
              <w:rPr>
                <w:rFonts w:ascii="Arial"/>
                <w:sz w:val="21"/>
              </w:rPr>
            </w:pPr>
          </w:p>
          <w:p w14:paraId="060DA116">
            <w:pPr>
              <w:spacing w:line="244" w:lineRule="auto"/>
              <w:rPr>
                <w:rFonts w:ascii="Arial"/>
                <w:sz w:val="21"/>
              </w:rPr>
            </w:pPr>
          </w:p>
          <w:p w14:paraId="22EE7441">
            <w:pPr>
              <w:spacing w:line="244" w:lineRule="auto"/>
              <w:rPr>
                <w:rFonts w:ascii="Arial"/>
                <w:sz w:val="21"/>
              </w:rPr>
            </w:pPr>
          </w:p>
          <w:p w14:paraId="285C34A3">
            <w:pPr>
              <w:spacing w:line="244" w:lineRule="auto"/>
              <w:rPr>
                <w:rFonts w:ascii="Arial"/>
                <w:sz w:val="21"/>
              </w:rPr>
            </w:pPr>
          </w:p>
          <w:p w14:paraId="54E8B3F6">
            <w:pPr>
              <w:spacing w:line="244" w:lineRule="auto"/>
              <w:rPr>
                <w:rFonts w:ascii="Arial"/>
                <w:sz w:val="21"/>
              </w:rPr>
            </w:pPr>
          </w:p>
          <w:p w14:paraId="70023012">
            <w:pPr>
              <w:spacing w:line="244" w:lineRule="auto"/>
              <w:rPr>
                <w:rFonts w:ascii="Arial"/>
                <w:sz w:val="21"/>
              </w:rPr>
            </w:pPr>
          </w:p>
          <w:p w14:paraId="20E0B5AB">
            <w:pPr>
              <w:spacing w:line="244" w:lineRule="auto"/>
              <w:rPr>
                <w:rFonts w:ascii="Arial"/>
                <w:sz w:val="21"/>
              </w:rPr>
            </w:pPr>
          </w:p>
          <w:p w14:paraId="1180643D">
            <w:pPr>
              <w:spacing w:line="245" w:lineRule="auto"/>
              <w:rPr>
                <w:rFonts w:ascii="Arial"/>
                <w:sz w:val="21"/>
              </w:rPr>
            </w:pPr>
          </w:p>
          <w:p w14:paraId="364E9A14">
            <w:pPr>
              <w:spacing w:line="245" w:lineRule="auto"/>
              <w:rPr>
                <w:rFonts w:ascii="Arial"/>
                <w:sz w:val="21"/>
              </w:rPr>
            </w:pPr>
          </w:p>
          <w:p w14:paraId="0319A8E4">
            <w:pPr>
              <w:spacing w:line="245" w:lineRule="auto"/>
              <w:rPr>
                <w:rFonts w:ascii="Arial"/>
                <w:sz w:val="21"/>
              </w:rPr>
            </w:pPr>
          </w:p>
          <w:p w14:paraId="7E377012">
            <w:pPr>
              <w:spacing w:line="245" w:lineRule="auto"/>
              <w:rPr>
                <w:rFonts w:ascii="Arial"/>
                <w:sz w:val="21"/>
              </w:rPr>
            </w:pPr>
          </w:p>
          <w:p w14:paraId="5975C884">
            <w:pPr>
              <w:spacing w:before="74" w:line="185" w:lineRule="auto"/>
              <w:ind w:left="146"/>
              <w:rPr>
                <w:rFonts w:ascii="仿宋" w:hAnsi="仿宋" w:eastAsia="仿宋" w:cs="仿宋"/>
                <w:sz w:val="23"/>
                <w:szCs w:val="23"/>
              </w:rPr>
            </w:pPr>
            <w:r>
              <w:rPr>
                <w:rFonts w:ascii="仿宋" w:hAnsi="仿宋" w:eastAsia="仿宋" w:cs="仿宋"/>
                <w:sz w:val="23"/>
                <w:szCs w:val="23"/>
              </w:rPr>
              <w:t>233</w:t>
            </w:r>
          </w:p>
        </w:tc>
        <w:tc>
          <w:tcPr>
            <w:tcW w:w="1440" w:type="dxa"/>
            <w:vMerge w:val="restart"/>
            <w:tcBorders>
              <w:bottom w:val="nil"/>
            </w:tcBorders>
            <w:vAlign w:val="top"/>
          </w:tcPr>
          <w:p w14:paraId="222800B2">
            <w:pPr>
              <w:spacing w:line="267" w:lineRule="auto"/>
              <w:rPr>
                <w:rFonts w:ascii="Arial"/>
                <w:sz w:val="21"/>
              </w:rPr>
            </w:pPr>
          </w:p>
          <w:p w14:paraId="66C75D43">
            <w:pPr>
              <w:spacing w:line="267" w:lineRule="auto"/>
              <w:rPr>
                <w:rFonts w:ascii="Arial"/>
                <w:sz w:val="21"/>
              </w:rPr>
            </w:pPr>
          </w:p>
          <w:p w14:paraId="6F39A09C">
            <w:pPr>
              <w:spacing w:line="267" w:lineRule="auto"/>
              <w:rPr>
                <w:rFonts w:ascii="Arial"/>
                <w:sz w:val="21"/>
              </w:rPr>
            </w:pPr>
          </w:p>
          <w:p w14:paraId="4E6FB632">
            <w:pPr>
              <w:spacing w:line="267" w:lineRule="auto"/>
              <w:rPr>
                <w:rFonts w:ascii="Arial"/>
                <w:sz w:val="21"/>
              </w:rPr>
            </w:pPr>
          </w:p>
          <w:p w14:paraId="0E7623FE">
            <w:pPr>
              <w:spacing w:line="267" w:lineRule="auto"/>
              <w:rPr>
                <w:rFonts w:ascii="Arial"/>
                <w:sz w:val="21"/>
              </w:rPr>
            </w:pPr>
          </w:p>
          <w:p w14:paraId="6D1CEB44">
            <w:pPr>
              <w:spacing w:line="267" w:lineRule="auto"/>
              <w:rPr>
                <w:rFonts w:ascii="Arial"/>
                <w:sz w:val="21"/>
              </w:rPr>
            </w:pPr>
          </w:p>
          <w:p w14:paraId="30794285">
            <w:pPr>
              <w:spacing w:line="268" w:lineRule="auto"/>
              <w:rPr>
                <w:rFonts w:ascii="Arial"/>
                <w:sz w:val="21"/>
              </w:rPr>
            </w:pPr>
          </w:p>
          <w:p w14:paraId="717D1459">
            <w:pPr>
              <w:pStyle w:val="6"/>
              <w:spacing w:before="98" w:line="187" w:lineRule="auto"/>
              <w:ind w:left="116" w:right="111" w:firstLine="11"/>
              <w:jc w:val="both"/>
            </w:pPr>
            <w:r>
              <w:rPr>
                <w:spacing w:val="9"/>
              </w:rPr>
              <w:t>突发事件发</w:t>
            </w:r>
            <w:r>
              <w:rPr>
                <w:spacing w:val="3"/>
              </w:rPr>
              <w:t>生后，不及</w:t>
            </w:r>
            <w:r>
              <w:rPr>
                <w:spacing w:val="11"/>
              </w:rPr>
              <w:t>时组织开展应急救援工</w:t>
            </w:r>
            <w:r>
              <w:rPr>
                <w:spacing w:val="4"/>
              </w:rPr>
              <w:t>作，造成严</w:t>
            </w:r>
            <w:r>
              <w:rPr>
                <w:spacing w:val="5"/>
              </w:rPr>
              <w:t>重后果的</w:t>
            </w:r>
          </w:p>
        </w:tc>
        <w:tc>
          <w:tcPr>
            <w:tcW w:w="3202" w:type="dxa"/>
            <w:vMerge w:val="restart"/>
            <w:tcBorders>
              <w:bottom w:val="nil"/>
            </w:tcBorders>
            <w:vAlign w:val="top"/>
          </w:tcPr>
          <w:p w14:paraId="1347A4DF">
            <w:pPr>
              <w:pStyle w:val="6"/>
              <w:spacing w:before="45" w:line="182" w:lineRule="auto"/>
              <w:ind w:left="118" w:right="40" w:hanging="20"/>
            </w:pPr>
            <w:r>
              <w:rPr>
                <w:spacing w:val="18"/>
              </w:rPr>
              <w:t>【法律】《中华人民共和国</w:t>
            </w:r>
            <w:r>
              <w:rPr>
                <w:spacing w:val="17"/>
              </w:rPr>
              <w:t>突发事件应对法》第七十八</w:t>
            </w:r>
            <w:r>
              <w:rPr>
                <w:spacing w:val="12"/>
              </w:rPr>
              <w:t>条：受到自然灾害危害或者</w:t>
            </w:r>
            <w:r>
              <w:rPr>
                <w:spacing w:val="17"/>
              </w:rPr>
              <w:t>发生事故灾难、公共卫生事</w:t>
            </w:r>
            <w:r>
              <w:rPr>
                <w:spacing w:val="13"/>
              </w:rPr>
              <w:t>件的单位，应当立即组织本</w:t>
            </w:r>
            <w:r>
              <w:rPr>
                <w:spacing w:val="17"/>
              </w:rPr>
              <w:t>单位应急救援队伍和工作人</w:t>
            </w:r>
            <w:r>
              <w:rPr>
                <w:spacing w:val="13"/>
              </w:rPr>
              <w:t>员营救受害人员，疏散、撤离、安置受到威胁的人员，</w:t>
            </w:r>
            <w:r>
              <w:t>控制危险源，标明危险区域，</w:t>
            </w:r>
            <w:r>
              <w:rPr>
                <w:spacing w:val="13"/>
              </w:rPr>
              <w:t>封锁危险场所，并采取其他防止危害扩大的必要措施，</w:t>
            </w:r>
            <w:r>
              <w:rPr>
                <w:spacing w:val="17"/>
              </w:rPr>
              <w:t>同时向所在地县级人民政府</w:t>
            </w:r>
            <w:r>
              <w:rPr>
                <w:spacing w:val="13"/>
              </w:rPr>
              <w:t>报告；对因本单位的问题引</w:t>
            </w:r>
            <w:r>
              <w:rPr>
                <w:spacing w:val="17"/>
              </w:rPr>
              <w:t>发的或者主体是本单位人员</w:t>
            </w:r>
            <w:r>
              <w:rPr>
                <w:spacing w:val="13"/>
              </w:rPr>
              <w:t>的社会安全事件，有关单位</w:t>
            </w:r>
            <w:r>
              <w:rPr>
                <w:spacing w:val="12"/>
              </w:rPr>
              <w:t>应当按照规定上报情况，并</w:t>
            </w:r>
            <w:r>
              <w:rPr>
                <w:spacing w:val="17"/>
              </w:rPr>
              <w:t>迅速派出负责人赶赴现场开</w:t>
            </w:r>
            <w:r>
              <w:rPr>
                <w:spacing w:val="4"/>
              </w:rPr>
              <w:t>展劝解、疏导工作。</w:t>
            </w:r>
          </w:p>
          <w:p w14:paraId="0438ED52">
            <w:pPr>
              <w:pStyle w:val="6"/>
              <w:spacing w:line="160" w:lineRule="auto"/>
              <w:ind w:left="129"/>
            </w:pPr>
            <w:r>
              <w:rPr>
                <w:spacing w:val="16"/>
              </w:rPr>
              <w:t>突发事件发生地的其他单位</w:t>
            </w:r>
          </w:p>
        </w:tc>
        <w:tc>
          <w:tcPr>
            <w:tcW w:w="2859" w:type="dxa"/>
            <w:vMerge w:val="restart"/>
            <w:tcBorders>
              <w:bottom w:val="nil"/>
            </w:tcBorders>
            <w:vAlign w:val="top"/>
          </w:tcPr>
          <w:p w14:paraId="5D56E7A2">
            <w:pPr>
              <w:pStyle w:val="6"/>
              <w:spacing w:before="38" w:line="184" w:lineRule="auto"/>
              <w:ind w:left="114" w:right="110" w:hanging="17"/>
            </w:pPr>
            <w:r>
              <w:rPr>
                <w:spacing w:val="10"/>
              </w:rPr>
              <w:t>【法律】《中华人民共和</w:t>
            </w:r>
            <w:r>
              <w:rPr>
                <w:spacing w:val="8"/>
              </w:rPr>
              <w:t>国突发事件应对法》第九</w:t>
            </w:r>
            <w:r>
              <w:rPr>
                <w:spacing w:val="6"/>
              </w:rPr>
              <w:t>十六条第一款第四项：有</w:t>
            </w:r>
            <w:r>
              <w:rPr>
                <w:spacing w:val="4"/>
              </w:rPr>
              <w:t>关单位有下列情形之一，</w:t>
            </w:r>
            <w:r>
              <w:rPr>
                <w:spacing w:val="8"/>
              </w:rPr>
              <w:t>由所在地履行统一领导职责的人民政府有关部门责令停产停业，暂扣或者吊销许可证件，并处五万元</w:t>
            </w:r>
            <w:r>
              <w:rPr>
                <w:spacing w:val="32"/>
              </w:rPr>
              <w:t>以上二十万元以下的罚</w:t>
            </w:r>
            <w:r>
              <w:rPr>
                <w:spacing w:val="2"/>
              </w:rPr>
              <w:t>款；情节特别严重的，并</w:t>
            </w:r>
            <w:r>
              <w:rPr>
                <w:spacing w:val="8"/>
              </w:rPr>
              <w:t>处二十万元以上一百万元以下的罚款</w:t>
            </w:r>
            <w:r>
              <w:rPr>
                <w:spacing w:val="12"/>
              </w:rPr>
              <w:t>：（</w:t>
            </w:r>
            <w:r>
              <w:rPr>
                <w:spacing w:val="8"/>
              </w:rPr>
              <w:t>四）突发事件发生后，不及时组织开展应急救援工作，造成</w:t>
            </w:r>
            <w:r>
              <w:rPr>
                <w:spacing w:val="2"/>
              </w:rPr>
              <w:t>严重后果的。</w:t>
            </w:r>
          </w:p>
        </w:tc>
        <w:tc>
          <w:tcPr>
            <w:tcW w:w="803" w:type="dxa"/>
            <w:vAlign w:val="top"/>
          </w:tcPr>
          <w:p w14:paraId="1301D951">
            <w:pPr>
              <w:spacing w:line="257" w:lineRule="auto"/>
              <w:rPr>
                <w:rFonts w:ascii="Arial"/>
                <w:sz w:val="21"/>
              </w:rPr>
            </w:pPr>
          </w:p>
          <w:p w14:paraId="134032DF">
            <w:pPr>
              <w:spacing w:line="258" w:lineRule="auto"/>
              <w:rPr>
                <w:rFonts w:ascii="Arial"/>
                <w:sz w:val="21"/>
              </w:rPr>
            </w:pPr>
          </w:p>
          <w:p w14:paraId="5E2A8A33">
            <w:pPr>
              <w:spacing w:line="258" w:lineRule="auto"/>
              <w:rPr>
                <w:rFonts w:ascii="Arial"/>
                <w:sz w:val="21"/>
              </w:rPr>
            </w:pPr>
          </w:p>
          <w:p w14:paraId="7FA5CA81">
            <w:pPr>
              <w:spacing w:line="258" w:lineRule="auto"/>
              <w:rPr>
                <w:rFonts w:ascii="Arial"/>
                <w:sz w:val="21"/>
              </w:rPr>
            </w:pPr>
          </w:p>
          <w:p w14:paraId="31C92DDA">
            <w:pPr>
              <w:spacing w:before="74" w:line="190" w:lineRule="auto"/>
              <w:ind w:left="340"/>
              <w:rPr>
                <w:rFonts w:ascii="宋体" w:hAnsi="宋体" w:eastAsia="宋体" w:cs="宋体"/>
                <w:sz w:val="23"/>
                <w:szCs w:val="23"/>
              </w:rPr>
            </w:pPr>
            <w:r>
              <w:rPr>
                <w:rFonts w:ascii="宋体" w:hAnsi="宋体" w:eastAsia="宋体" w:cs="宋体"/>
                <w:spacing w:val="2"/>
                <w:sz w:val="23"/>
                <w:szCs w:val="23"/>
              </w:rPr>
              <w:t>A</w:t>
            </w:r>
          </w:p>
        </w:tc>
        <w:tc>
          <w:tcPr>
            <w:tcW w:w="2283" w:type="dxa"/>
            <w:vAlign w:val="top"/>
          </w:tcPr>
          <w:p w14:paraId="3BF800F7">
            <w:pPr>
              <w:pStyle w:val="6"/>
              <w:spacing w:before="171" w:line="182" w:lineRule="auto"/>
              <w:ind w:left="129"/>
              <w:outlineLvl w:val="0"/>
            </w:pPr>
            <w:r>
              <w:rPr>
                <w:spacing w:val="-4"/>
              </w:rPr>
              <w:t>突发事件发生后，不</w:t>
            </w:r>
          </w:p>
          <w:p w14:paraId="23837700">
            <w:pPr>
              <w:pStyle w:val="6"/>
              <w:spacing w:before="8" w:line="186" w:lineRule="auto"/>
              <w:ind w:left="117" w:right="105" w:hanging="2"/>
              <w:jc w:val="both"/>
            </w:pPr>
            <w:r>
              <w:rPr>
                <w:spacing w:val="26"/>
              </w:rPr>
              <w:t>及时组织开展应急</w:t>
            </w:r>
            <w:r>
              <w:rPr>
                <w:spacing w:val="16"/>
              </w:rPr>
              <w:t>救援工作，造成</w:t>
            </w:r>
            <w:r>
              <w:rPr>
                <w:rFonts w:ascii="宋体" w:hAnsi="宋体" w:eastAsia="宋体" w:cs="宋体"/>
                <w:spacing w:val="16"/>
              </w:rPr>
              <w:t>3</w:t>
            </w:r>
            <w:r>
              <w:rPr>
                <w:spacing w:val="15"/>
              </w:rPr>
              <w:t>人以下死亡，或者</w:t>
            </w:r>
            <w:r>
              <w:rPr>
                <w:rFonts w:ascii="宋体" w:hAnsi="宋体" w:eastAsia="宋体" w:cs="宋体"/>
                <w:spacing w:val="7"/>
              </w:rPr>
              <w:t>10</w:t>
            </w:r>
            <w:r>
              <w:rPr>
                <w:spacing w:val="7"/>
              </w:rPr>
              <w:t>人以下重伤，或</w:t>
            </w:r>
            <w:r>
              <w:rPr>
                <w:spacing w:val="2"/>
              </w:rPr>
              <w:t>者</w:t>
            </w:r>
            <w:r>
              <w:rPr>
                <w:rFonts w:ascii="宋体" w:hAnsi="宋体" w:eastAsia="宋体" w:cs="宋体"/>
                <w:spacing w:val="2"/>
              </w:rPr>
              <w:t>1000</w:t>
            </w:r>
            <w:r>
              <w:rPr>
                <w:spacing w:val="2"/>
              </w:rPr>
              <w:t>万元以下直</w:t>
            </w:r>
            <w:r>
              <w:rPr>
                <w:spacing w:val="7"/>
              </w:rPr>
              <w:t>接经济损失的</w:t>
            </w:r>
          </w:p>
        </w:tc>
        <w:tc>
          <w:tcPr>
            <w:tcW w:w="2894" w:type="dxa"/>
            <w:vAlign w:val="top"/>
          </w:tcPr>
          <w:p w14:paraId="24E5A708">
            <w:pPr>
              <w:pStyle w:val="6"/>
              <w:spacing w:before="319" w:line="187" w:lineRule="auto"/>
              <w:ind w:left="119" w:right="103" w:firstLine="8"/>
              <w:jc w:val="both"/>
            </w:pPr>
            <w:r>
              <w:rPr>
                <w:spacing w:val="7"/>
              </w:rPr>
              <w:t>责令停产停业，暂扣或者</w:t>
            </w:r>
            <w:r>
              <w:rPr>
                <w:spacing w:val="4"/>
              </w:rPr>
              <w:t>吊销许可证件，并处</w:t>
            </w:r>
            <w:r>
              <w:rPr>
                <w:rFonts w:ascii="宋体" w:hAnsi="宋体" w:eastAsia="宋体" w:cs="宋体"/>
                <w:spacing w:val="4"/>
              </w:rPr>
              <w:t>5</w:t>
            </w:r>
            <w:r>
              <w:rPr>
                <w:spacing w:val="4"/>
              </w:rPr>
              <w:t>万</w:t>
            </w:r>
            <w:r>
              <w:rPr>
                <w:spacing w:val="23"/>
              </w:rPr>
              <w:t>元以上</w:t>
            </w:r>
            <w:r>
              <w:rPr>
                <w:rFonts w:ascii="宋体" w:hAnsi="宋体" w:eastAsia="宋体" w:cs="宋体"/>
                <w:spacing w:val="23"/>
              </w:rPr>
              <w:t>7</w:t>
            </w:r>
            <w:r>
              <w:rPr>
                <w:spacing w:val="23"/>
              </w:rPr>
              <w:t>万元以下的罚</w:t>
            </w:r>
            <w:r>
              <w:rPr>
                <w:spacing w:val="4"/>
              </w:rPr>
              <w:t>款；情节特别严重的，并</w:t>
            </w:r>
            <w:r>
              <w:rPr>
                <w:spacing w:val="3"/>
              </w:rPr>
              <w:t>处</w:t>
            </w:r>
            <w:r>
              <w:rPr>
                <w:rFonts w:ascii="宋体" w:hAnsi="宋体" w:eastAsia="宋体" w:cs="宋体"/>
                <w:spacing w:val="3"/>
              </w:rPr>
              <w:t>20</w:t>
            </w:r>
            <w:r>
              <w:rPr>
                <w:spacing w:val="3"/>
              </w:rPr>
              <w:t>万元以上</w:t>
            </w:r>
            <w:r>
              <w:rPr>
                <w:rFonts w:ascii="宋体" w:hAnsi="宋体" w:eastAsia="宋体" w:cs="宋体"/>
                <w:spacing w:val="3"/>
              </w:rPr>
              <w:t>40</w:t>
            </w:r>
            <w:r>
              <w:rPr>
                <w:spacing w:val="3"/>
              </w:rPr>
              <w:t>万元以</w:t>
            </w:r>
            <w:r>
              <w:rPr>
                <w:spacing w:val="6"/>
              </w:rPr>
              <w:t>下的罚款</w:t>
            </w:r>
          </w:p>
        </w:tc>
        <w:tc>
          <w:tcPr>
            <w:tcW w:w="811" w:type="dxa"/>
            <w:vMerge w:val="restart"/>
            <w:tcBorders>
              <w:bottom w:val="nil"/>
            </w:tcBorders>
            <w:vAlign w:val="top"/>
          </w:tcPr>
          <w:p w14:paraId="06DE22C9">
            <w:pPr>
              <w:rPr>
                <w:rFonts w:ascii="Arial"/>
                <w:sz w:val="21"/>
              </w:rPr>
            </w:pPr>
          </w:p>
        </w:tc>
      </w:tr>
      <w:tr w14:paraId="00445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trPr>
        <w:tc>
          <w:tcPr>
            <w:tcW w:w="818" w:type="dxa"/>
            <w:vMerge w:val="continue"/>
            <w:tcBorders>
              <w:top w:val="nil"/>
              <w:bottom w:val="nil"/>
            </w:tcBorders>
            <w:vAlign w:val="top"/>
          </w:tcPr>
          <w:p w14:paraId="347112A9">
            <w:pPr>
              <w:rPr>
                <w:rFonts w:ascii="Arial"/>
                <w:sz w:val="21"/>
              </w:rPr>
            </w:pPr>
          </w:p>
        </w:tc>
        <w:tc>
          <w:tcPr>
            <w:tcW w:w="1440" w:type="dxa"/>
            <w:vMerge w:val="continue"/>
            <w:tcBorders>
              <w:top w:val="nil"/>
              <w:bottom w:val="nil"/>
            </w:tcBorders>
            <w:vAlign w:val="top"/>
          </w:tcPr>
          <w:p w14:paraId="27EE8D19">
            <w:pPr>
              <w:rPr>
                <w:rFonts w:ascii="Arial"/>
                <w:sz w:val="21"/>
              </w:rPr>
            </w:pPr>
          </w:p>
        </w:tc>
        <w:tc>
          <w:tcPr>
            <w:tcW w:w="3202" w:type="dxa"/>
            <w:vMerge w:val="continue"/>
            <w:tcBorders>
              <w:top w:val="nil"/>
              <w:bottom w:val="nil"/>
            </w:tcBorders>
            <w:vAlign w:val="top"/>
          </w:tcPr>
          <w:p w14:paraId="59B23697">
            <w:pPr>
              <w:rPr>
                <w:rFonts w:ascii="Arial"/>
                <w:sz w:val="21"/>
              </w:rPr>
            </w:pPr>
          </w:p>
        </w:tc>
        <w:tc>
          <w:tcPr>
            <w:tcW w:w="2859" w:type="dxa"/>
            <w:vMerge w:val="continue"/>
            <w:tcBorders>
              <w:top w:val="nil"/>
              <w:bottom w:val="nil"/>
            </w:tcBorders>
            <w:vAlign w:val="top"/>
          </w:tcPr>
          <w:p w14:paraId="6563E061">
            <w:pPr>
              <w:rPr>
                <w:rFonts w:ascii="Arial"/>
                <w:sz w:val="21"/>
              </w:rPr>
            </w:pPr>
          </w:p>
        </w:tc>
        <w:tc>
          <w:tcPr>
            <w:tcW w:w="803" w:type="dxa"/>
            <w:vAlign w:val="top"/>
          </w:tcPr>
          <w:p w14:paraId="08265341">
            <w:pPr>
              <w:spacing w:line="298" w:lineRule="auto"/>
              <w:rPr>
                <w:rFonts w:ascii="Arial"/>
                <w:sz w:val="21"/>
              </w:rPr>
            </w:pPr>
          </w:p>
          <w:p w14:paraId="7294240E">
            <w:pPr>
              <w:spacing w:line="299" w:lineRule="auto"/>
              <w:rPr>
                <w:rFonts w:ascii="Arial"/>
                <w:sz w:val="21"/>
              </w:rPr>
            </w:pPr>
          </w:p>
          <w:p w14:paraId="2A9E50ED">
            <w:pPr>
              <w:spacing w:line="299" w:lineRule="auto"/>
              <w:rPr>
                <w:rFonts w:ascii="Arial"/>
                <w:sz w:val="21"/>
              </w:rPr>
            </w:pPr>
          </w:p>
          <w:p w14:paraId="1409C7C4">
            <w:pPr>
              <w:spacing w:line="299" w:lineRule="auto"/>
              <w:rPr>
                <w:rFonts w:ascii="Arial"/>
                <w:sz w:val="21"/>
              </w:rPr>
            </w:pPr>
          </w:p>
          <w:p w14:paraId="2E4AB45E">
            <w:pPr>
              <w:spacing w:before="74" w:line="187" w:lineRule="auto"/>
              <w:ind w:left="342"/>
              <w:rPr>
                <w:rFonts w:ascii="宋体" w:hAnsi="宋体" w:eastAsia="宋体" w:cs="宋体"/>
                <w:sz w:val="23"/>
                <w:szCs w:val="23"/>
              </w:rPr>
            </w:pPr>
            <w:r>
              <w:rPr>
                <w:rFonts w:ascii="宋体" w:hAnsi="宋体" w:eastAsia="宋体" w:cs="宋体"/>
                <w:sz w:val="23"/>
                <w:szCs w:val="23"/>
              </w:rPr>
              <w:t>B</w:t>
            </w:r>
          </w:p>
        </w:tc>
        <w:tc>
          <w:tcPr>
            <w:tcW w:w="2283" w:type="dxa"/>
            <w:vAlign w:val="top"/>
          </w:tcPr>
          <w:p w14:paraId="61F3D17F">
            <w:pPr>
              <w:pStyle w:val="6"/>
              <w:spacing w:before="29" w:line="180" w:lineRule="auto"/>
              <w:ind w:left="115" w:right="105" w:firstLine="13"/>
              <w:jc w:val="both"/>
            </w:pPr>
            <w:r>
              <w:rPr>
                <w:spacing w:val="-4"/>
              </w:rPr>
              <w:t>突发事件发生后，不</w:t>
            </w:r>
            <w:r>
              <w:rPr>
                <w:spacing w:val="26"/>
              </w:rPr>
              <w:t>及时组织开展应急</w:t>
            </w:r>
            <w:r>
              <w:rPr>
                <w:spacing w:val="17"/>
              </w:rPr>
              <w:t>救援工作，造成</w:t>
            </w:r>
            <w:r>
              <w:rPr>
                <w:rFonts w:ascii="宋体" w:hAnsi="宋体" w:eastAsia="宋体" w:cs="宋体"/>
                <w:spacing w:val="17"/>
              </w:rPr>
              <w:t>3</w:t>
            </w:r>
            <w:r>
              <w:rPr>
                <w:spacing w:val="4"/>
              </w:rPr>
              <w:t>人以上</w:t>
            </w:r>
            <w:r>
              <w:rPr>
                <w:rFonts w:ascii="宋体" w:hAnsi="宋体" w:eastAsia="宋体" w:cs="宋体"/>
                <w:spacing w:val="4"/>
              </w:rPr>
              <w:t>10</w:t>
            </w:r>
            <w:r>
              <w:rPr>
                <w:spacing w:val="4"/>
              </w:rPr>
              <w:t>人以下死</w:t>
            </w:r>
            <w:r>
              <w:rPr>
                <w:spacing w:val="2"/>
              </w:rPr>
              <w:t>亡，或者</w:t>
            </w:r>
            <w:r>
              <w:rPr>
                <w:rFonts w:ascii="宋体" w:hAnsi="宋体" w:eastAsia="宋体" w:cs="宋体"/>
                <w:spacing w:val="2"/>
              </w:rPr>
              <w:t>10</w:t>
            </w:r>
            <w:r>
              <w:rPr>
                <w:spacing w:val="2"/>
              </w:rPr>
              <w:t>人以上</w:t>
            </w:r>
            <w:r>
              <w:rPr>
                <w:rFonts w:ascii="宋体" w:hAnsi="宋体" w:eastAsia="宋体" w:cs="宋体"/>
                <w:spacing w:val="7"/>
              </w:rPr>
              <w:t>50</w:t>
            </w:r>
            <w:r>
              <w:rPr>
                <w:spacing w:val="7"/>
              </w:rPr>
              <w:t>人以下重伤，或</w:t>
            </w:r>
            <w:r>
              <w:rPr>
                <w:spacing w:val="-7"/>
              </w:rPr>
              <w:t>者</w:t>
            </w:r>
            <w:r>
              <w:rPr>
                <w:rFonts w:ascii="宋体" w:hAnsi="宋体" w:eastAsia="宋体" w:cs="宋体"/>
                <w:spacing w:val="-7"/>
              </w:rPr>
              <w:t>1000</w:t>
            </w:r>
            <w:r>
              <w:rPr>
                <w:spacing w:val="-7"/>
              </w:rPr>
              <w:t>万元以上</w:t>
            </w:r>
            <w:r>
              <w:rPr>
                <w:rFonts w:ascii="宋体" w:hAnsi="宋体" w:eastAsia="宋体" w:cs="宋体"/>
                <w:spacing w:val="11"/>
              </w:rPr>
              <w:t>5000</w:t>
            </w:r>
            <w:r>
              <w:rPr>
                <w:spacing w:val="11"/>
              </w:rPr>
              <w:t>万元以下直接</w:t>
            </w:r>
            <w:r>
              <w:rPr>
                <w:spacing w:val="7"/>
              </w:rPr>
              <w:t>经济损失的</w:t>
            </w:r>
          </w:p>
        </w:tc>
        <w:tc>
          <w:tcPr>
            <w:tcW w:w="2894" w:type="dxa"/>
            <w:vAlign w:val="top"/>
          </w:tcPr>
          <w:p w14:paraId="72EDA2B9">
            <w:pPr>
              <w:spacing w:line="379" w:lineRule="auto"/>
              <w:rPr>
                <w:rFonts w:ascii="Arial"/>
                <w:sz w:val="21"/>
              </w:rPr>
            </w:pPr>
          </w:p>
          <w:p w14:paraId="08DB1253">
            <w:pPr>
              <w:pStyle w:val="6"/>
              <w:spacing w:before="99" w:line="187" w:lineRule="auto"/>
              <w:ind w:left="119" w:right="103" w:firstLine="8"/>
              <w:jc w:val="both"/>
            </w:pPr>
            <w:r>
              <w:rPr>
                <w:spacing w:val="7"/>
              </w:rPr>
              <w:t>责令停产停业，暂扣或者</w:t>
            </w:r>
            <w:r>
              <w:rPr>
                <w:spacing w:val="4"/>
              </w:rPr>
              <w:t>吊销许可证件，并处</w:t>
            </w:r>
            <w:r>
              <w:rPr>
                <w:rFonts w:ascii="宋体" w:hAnsi="宋体" w:eastAsia="宋体" w:cs="宋体"/>
                <w:spacing w:val="4"/>
              </w:rPr>
              <w:t>7</w:t>
            </w:r>
            <w:r>
              <w:rPr>
                <w:spacing w:val="4"/>
              </w:rPr>
              <w:t>万</w:t>
            </w:r>
            <w:r>
              <w:rPr>
                <w:spacing w:val="11"/>
              </w:rPr>
              <w:t>元以上</w:t>
            </w:r>
            <w:r>
              <w:rPr>
                <w:rFonts w:ascii="宋体" w:hAnsi="宋体" w:eastAsia="宋体" w:cs="宋体"/>
                <w:spacing w:val="11"/>
              </w:rPr>
              <w:t>10</w:t>
            </w:r>
            <w:r>
              <w:rPr>
                <w:spacing w:val="11"/>
              </w:rPr>
              <w:t>万元以下的罚</w:t>
            </w:r>
            <w:r>
              <w:rPr>
                <w:spacing w:val="4"/>
              </w:rPr>
              <w:t>款；情节特别严重的，并</w:t>
            </w:r>
            <w:r>
              <w:rPr>
                <w:spacing w:val="3"/>
              </w:rPr>
              <w:t>处</w:t>
            </w:r>
            <w:r>
              <w:rPr>
                <w:rFonts w:ascii="宋体" w:hAnsi="宋体" w:eastAsia="宋体" w:cs="宋体"/>
                <w:spacing w:val="3"/>
              </w:rPr>
              <w:t>40</w:t>
            </w:r>
            <w:r>
              <w:rPr>
                <w:spacing w:val="3"/>
              </w:rPr>
              <w:t>万元以上</w:t>
            </w:r>
            <w:r>
              <w:rPr>
                <w:rFonts w:ascii="宋体" w:hAnsi="宋体" w:eastAsia="宋体" w:cs="宋体"/>
                <w:spacing w:val="3"/>
              </w:rPr>
              <w:t>60</w:t>
            </w:r>
            <w:r>
              <w:rPr>
                <w:spacing w:val="3"/>
              </w:rPr>
              <w:t>万元以</w:t>
            </w:r>
            <w:r>
              <w:rPr>
                <w:spacing w:val="6"/>
              </w:rPr>
              <w:t>下的罚款</w:t>
            </w:r>
          </w:p>
        </w:tc>
        <w:tc>
          <w:tcPr>
            <w:tcW w:w="811" w:type="dxa"/>
            <w:vMerge w:val="continue"/>
            <w:tcBorders>
              <w:top w:val="nil"/>
              <w:bottom w:val="nil"/>
            </w:tcBorders>
            <w:vAlign w:val="top"/>
          </w:tcPr>
          <w:p w14:paraId="1E837B37">
            <w:pPr>
              <w:rPr>
                <w:rFonts w:ascii="Arial"/>
                <w:sz w:val="21"/>
              </w:rPr>
            </w:pPr>
          </w:p>
        </w:tc>
      </w:tr>
      <w:tr w14:paraId="0B29E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18" w:type="dxa"/>
            <w:vMerge w:val="continue"/>
            <w:tcBorders>
              <w:top w:val="nil"/>
            </w:tcBorders>
            <w:vAlign w:val="top"/>
          </w:tcPr>
          <w:p w14:paraId="55FCE14B">
            <w:pPr>
              <w:rPr>
                <w:rFonts w:ascii="Arial"/>
                <w:sz w:val="21"/>
              </w:rPr>
            </w:pPr>
          </w:p>
        </w:tc>
        <w:tc>
          <w:tcPr>
            <w:tcW w:w="1440" w:type="dxa"/>
            <w:vMerge w:val="continue"/>
            <w:tcBorders>
              <w:top w:val="nil"/>
            </w:tcBorders>
            <w:vAlign w:val="top"/>
          </w:tcPr>
          <w:p w14:paraId="196A1CDB">
            <w:pPr>
              <w:rPr>
                <w:rFonts w:ascii="Arial"/>
                <w:sz w:val="21"/>
              </w:rPr>
            </w:pPr>
          </w:p>
        </w:tc>
        <w:tc>
          <w:tcPr>
            <w:tcW w:w="3202" w:type="dxa"/>
            <w:vMerge w:val="continue"/>
            <w:tcBorders>
              <w:top w:val="nil"/>
            </w:tcBorders>
            <w:vAlign w:val="top"/>
          </w:tcPr>
          <w:p w14:paraId="50F21F6C">
            <w:pPr>
              <w:rPr>
                <w:rFonts w:ascii="Arial"/>
                <w:sz w:val="21"/>
              </w:rPr>
            </w:pPr>
          </w:p>
        </w:tc>
        <w:tc>
          <w:tcPr>
            <w:tcW w:w="2859" w:type="dxa"/>
            <w:vMerge w:val="continue"/>
            <w:tcBorders>
              <w:top w:val="nil"/>
            </w:tcBorders>
            <w:vAlign w:val="top"/>
          </w:tcPr>
          <w:p w14:paraId="34F59D88">
            <w:pPr>
              <w:rPr>
                <w:rFonts w:ascii="Arial"/>
                <w:sz w:val="21"/>
              </w:rPr>
            </w:pPr>
          </w:p>
        </w:tc>
        <w:tc>
          <w:tcPr>
            <w:tcW w:w="803" w:type="dxa"/>
            <w:vAlign w:val="top"/>
          </w:tcPr>
          <w:p w14:paraId="55D6C5D0">
            <w:pPr>
              <w:spacing w:before="228" w:line="188" w:lineRule="auto"/>
              <w:ind w:left="346"/>
              <w:rPr>
                <w:rFonts w:ascii="宋体" w:hAnsi="宋体" w:eastAsia="宋体" w:cs="宋体"/>
                <w:sz w:val="23"/>
                <w:szCs w:val="23"/>
              </w:rPr>
            </w:pPr>
            <w:r>
              <w:rPr>
                <w:rFonts w:ascii="宋体" w:hAnsi="宋体" w:eastAsia="宋体" w:cs="宋体"/>
                <w:sz w:val="23"/>
                <w:szCs w:val="23"/>
              </w:rPr>
              <w:t>C</w:t>
            </w:r>
          </w:p>
        </w:tc>
        <w:tc>
          <w:tcPr>
            <w:tcW w:w="2283" w:type="dxa"/>
            <w:vAlign w:val="top"/>
          </w:tcPr>
          <w:p w14:paraId="5705579D">
            <w:pPr>
              <w:pStyle w:val="6"/>
              <w:spacing w:before="32" w:line="172" w:lineRule="auto"/>
              <w:ind w:left="115" w:right="109" w:firstLine="13"/>
            </w:pPr>
            <w:r>
              <w:rPr>
                <w:spacing w:val="-4"/>
              </w:rPr>
              <w:t>突发事件发生后，不</w:t>
            </w:r>
            <w:r>
              <w:rPr>
                <w:spacing w:val="26"/>
              </w:rPr>
              <w:t>及时组织开展应急</w:t>
            </w:r>
          </w:p>
        </w:tc>
        <w:tc>
          <w:tcPr>
            <w:tcW w:w="2894" w:type="dxa"/>
            <w:vAlign w:val="top"/>
          </w:tcPr>
          <w:p w14:paraId="28B5B872">
            <w:pPr>
              <w:pStyle w:val="6"/>
              <w:spacing w:before="32" w:line="172" w:lineRule="auto"/>
              <w:ind w:left="156" w:right="104" w:hanging="29"/>
            </w:pPr>
            <w:r>
              <w:rPr>
                <w:spacing w:val="7"/>
              </w:rPr>
              <w:t>责令停产停业，暂扣或者</w:t>
            </w:r>
            <w:r>
              <w:rPr>
                <w:spacing w:val="-7"/>
              </w:rPr>
              <w:t>吊销许可证件，并处</w:t>
            </w:r>
            <w:r>
              <w:rPr>
                <w:rFonts w:ascii="宋体" w:hAnsi="宋体" w:eastAsia="宋体" w:cs="宋体"/>
                <w:spacing w:val="-7"/>
              </w:rPr>
              <w:t>10</w:t>
            </w:r>
            <w:r>
              <w:rPr>
                <w:spacing w:val="-7"/>
              </w:rPr>
              <w:t>万</w:t>
            </w:r>
          </w:p>
        </w:tc>
        <w:tc>
          <w:tcPr>
            <w:tcW w:w="811" w:type="dxa"/>
            <w:vMerge w:val="continue"/>
            <w:tcBorders>
              <w:top w:val="nil"/>
            </w:tcBorders>
            <w:vAlign w:val="top"/>
          </w:tcPr>
          <w:p w14:paraId="0B7DDE29">
            <w:pPr>
              <w:rPr>
                <w:rFonts w:ascii="Arial"/>
                <w:sz w:val="21"/>
              </w:rPr>
            </w:pPr>
          </w:p>
        </w:tc>
      </w:tr>
    </w:tbl>
    <w:p w14:paraId="71429D61">
      <w:pPr>
        <w:pStyle w:val="2"/>
      </w:pPr>
    </w:p>
    <w:p w14:paraId="4C8FD8D5">
      <w:pPr>
        <w:sectPr>
          <w:footerReference r:id="rId234" w:type="default"/>
          <w:pgSz w:w="16839" w:h="11906"/>
          <w:pgMar w:top="1012" w:right="821" w:bottom="666" w:left="901" w:header="0" w:footer="388" w:gutter="0"/>
          <w:cols w:space="720" w:num="1"/>
        </w:sectPr>
      </w:pPr>
    </w:p>
    <w:p w14:paraId="65AB8E14">
      <w:pPr>
        <w:spacing w:line="121" w:lineRule="exact"/>
      </w:pPr>
    </w:p>
    <w:tbl>
      <w:tblPr>
        <w:tblStyle w:val="5"/>
        <w:tblW w:w="15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440"/>
        <w:gridCol w:w="3202"/>
        <w:gridCol w:w="2859"/>
        <w:gridCol w:w="803"/>
        <w:gridCol w:w="2283"/>
        <w:gridCol w:w="2894"/>
        <w:gridCol w:w="811"/>
      </w:tblGrid>
      <w:tr w14:paraId="103F1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818" w:type="dxa"/>
            <w:vAlign w:val="top"/>
          </w:tcPr>
          <w:p w14:paraId="25A95C32">
            <w:pPr>
              <w:spacing w:before="222" w:line="241" w:lineRule="auto"/>
              <w:ind w:left="131"/>
              <w:rPr>
                <w:rFonts w:ascii="黑体" w:hAnsi="黑体" w:eastAsia="黑体" w:cs="黑体"/>
                <w:sz w:val="28"/>
                <w:szCs w:val="28"/>
              </w:rPr>
            </w:pPr>
            <w:r>
              <w:rPr>
                <w:rFonts w:ascii="黑体" w:hAnsi="黑体" w:eastAsia="黑体" w:cs="黑体"/>
                <w:spacing w:val="-2"/>
                <w:sz w:val="28"/>
                <w:szCs w:val="28"/>
              </w:rPr>
              <w:t>序号</w:t>
            </w:r>
          </w:p>
        </w:tc>
        <w:tc>
          <w:tcPr>
            <w:tcW w:w="1440" w:type="dxa"/>
            <w:vAlign w:val="top"/>
          </w:tcPr>
          <w:p w14:paraId="456469C1">
            <w:pPr>
              <w:spacing w:before="221"/>
              <w:ind w:left="163"/>
              <w:outlineLvl w:val="0"/>
              <w:rPr>
                <w:rFonts w:ascii="黑体" w:hAnsi="黑体" w:eastAsia="黑体" w:cs="黑体"/>
                <w:sz w:val="28"/>
                <w:szCs w:val="28"/>
              </w:rPr>
            </w:pPr>
            <w:r>
              <w:rPr>
                <w:rFonts w:ascii="黑体" w:hAnsi="黑体" w:eastAsia="黑体" w:cs="黑体"/>
                <w:spacing w:val="-3"/>
                <w:sz w:val="28"/>
                <w:szCs w:val="28"/>
              </w:rPr>
              <w:t>违法行为</w:t>
            </w:r>
          </w:p>
        </w:tc>
        <w:tc>
          <w:tcPr>
            <w:tcW w:w="3202" w:type="dxa"/>
            <w:vAlign w:val="top"/>
          </w:tcPr>
          <w:p w14:paraId="6707BB74">
            <w:pPr>
              <w:spacing w:before="222"/>
              <w:ind w:left="1051"/>
              <w:rPr>
                <w:rFonts w:ascii="黑体" w:hAnsi="黑体" w:eastAsia="黑体" w:cs="黑体"/>
                <w:sz w:val="28"/>
                <w:szCs w:val="28"/>
              </w:rPr>
            </w:pPr>
            <w:r>
              <w:rPr>
                <w:rFonts w:ascii="黑体" w:hAnsi="黑体" w:eastAsia="黑体" w:cs="黑体"/>
                <w:spacing w:val="-4"/>
                <w:sz w:val="28"/>
                <w:szCs w:val="28"/>
              </w:rPr>
              <w:t>法律规定</w:t>
            </w:r>
          </w:p>
        </w:tc>
        <w:tc>
          <w:tcPr>
            <w:tcW w:w="2859" w:type="dxa"/>
            <w:vAlign w:val="top"/>
          </w:tcPr>
          <w:p w14:paraId="4129B667">
            <w:pPr>
              <w:spacing w:before="221"/>
              <w:ind w:left="878"/>
              <w:rPr>
                <w:rFonts w:ascii="黑体" w:hAnsi="黑体" w:eastAsia="黑体" w:cs="黑体"/>
                <w:sz w:val="28"/>
                <w:szCs w:val="28"/>
              </w:rPr>
            </w:pPr>
            <w:r>
              <w:rPr>
                <w:rFonts w:ascii="黑体" w:hAnsi="黑体" w:eastAsia="黑体" w:cs="黑体"/>
                <w:spacing w:val="-3"/>
                <w:sz w:val="28"/>
                <w:szCs w:val="28"/>
              </w:rPr>
              <w:t>处罚依据</w:t>
            </w:r>
          </w:p>
        </w:tc>
        <w:tc>
          <w:tcPr>
            <w:tcW w:w="803" w:type="dxa"/>
            <w:vAlign w:val="top"/>
          </w:tcPr>
          <w:p w14:paraId="24FC876F">
            <w:pPr>
              <w:spacing w:before="42" w:line="223" w:lineRule="auto"/>
              <w:ind w:left="146" w:right="119" w:hanging="22"/>
              <w:rPr>
                <w:rFonts w:ascii="黑体" w:hAnsi="黑体" w:eastAsia="黑体" w:cs="黑体"/>
                <w:sz w:val="28"/>
                <w:szCs w:val="28"/>
              </w:rPr>
            </w:pPr>
            <w:r>
              <w:rPr>
                <w:rFonts w:ascii="黑体" w:hAnsi="黑体" w:eastAsia="黑体" w:cs="黑体"/>
                <w:spacing w:val="-3"/>
                <w:sz w:val="28"/>
                <w:szCs w:val="28"/>
              </w:rPr>
              <w:t>裁量</w:t>
            </w:r>
            <w:r>
              <w:rPr>
                <w:rFonts w:ascii="黑体" w:hAnsi="黑体" w:eastAsia="黑体" w:cs="黑体"/>
                <w:spacing w:val="-15"/>
                <w:sz w:val="28"/>
                <w:szCs w:val="28"/>
              </w:rPr>
              <w:t>阶次</w:t>
            </w:r>
          </w:p>
        </w:tc>
        <w:tc>
          <w:tcPr>
            <w:tcW w:w="2283" w:type="dxa"/>
            <w:vAlign w:val="top"/>
          </w:tcPr>
          <w:p w14:paraId="58212C6B">
            <w:pPr>
              <w:spacing w:before="222" w:line="241" w:lineRule="auto"/>
              <w:ind w:left="591"/>
              <w:rPr>
                <w:rFonts w:ascii="黑体" w:hAnsi="黑体" w:eastAsia="黑体" w:cs="黑体"/>
                <w:sz w:val="28"/>
                <w:szCs w:val="28"/>
              </w:rPr>
            </w:pPr>
            <w:r>
              <w:rPr>
                <w:rFonts w:ascii="黑体" w:hAnsi="黑体" w:eastAsia="黑体" w:cs="黑体"/>
                <w:spacing w:val="-4"/>
                <w:sz w:val="28"/>
                <w:szCs w:val="28"/>
              </w:rPr>
              <w:t>适用条件</w:t>
            </w:r>
          </w:p>
        </w:tc>
        <w:tc>
          <w:tcPr>
            <w:tcW w:w="2894" w:type="dxa"/>
            <w:vAlign w:val="top"/>
          </w:tcPr>
          <w:p w14:paraId="2D467CC4">
            <w:pPr>
              <w:spacing w:before="221" w:line="242" w:lineRule="auto"/>
              <w:ind w:left="897"/>
              <w:rPr>
                <w:rFonts w:ascii="黑体" w:hAnsi="黑体" w:eastAsia="黑体" w:cs="黑体"/>
                <w:sz w:val="28"/>
                <w:szCs w:val="28"/>
              </w:rPr>
            </w:pPr>
            <w:r>
              <w:rPr>
                <w:rFonts w:ascii="黑体" w:hAnsi="黑体" w:eastAsia="黑体" w:cs="黑体"/>
                <w:spacing w:val="-3"/>
                <w:sz w:val="28"/>
                <w:szCs w:val="28"/>
              </w:rPr>
              <w:t>具体标准</w:t>
            </w:r>
          </w:p>
        </w:tc>
        <w:tc>
          <w:tcPr>
            <w:tcW w:w="811" w:type="dxa"/>
            <w:vAlign w:val="top"/>
          </w:tcPr>
          <w:p w14:paraId="21023C9C">
            <w:pPr>
              <w:spacing w:before="221"/>
              <w:ind w:left="135"/>
              <w:rPr>
                <w:rFonts w:ascii="黑体" w:hAnsi="黑体" w:eastAsia="黑体" w:cs="黑体"/>
                <w:sz w:val="28"/>
                <w:szCs w:val="28"/>
              </w:rPr>
            </w:pPr>
            <w:r>
              <w:rPr>
                <w:rFonts w:ascii="黑体" w:hAnsi="黑体" w:eastAsia="黑体" w:cs="黑体"/>
                <w:spacing w:val="-3"/>
                <w:sz w:val="28"/>
                <w:szCs w:val="28"/>
              </w:rPr>
              <w:t>备注</w:t>
            </w:r>
          </w:p>
        </w:tc>
      </w:tr>
      <w:tr w14:paraId="62D86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3" w:hRule="atLeast"/>
        </w:trPr>
        <w:tc>
          <w:tcPr>
            <w:tcW w:w="818" w:type="dxa"/>
            <w:vMerge w:val="restart"/>
            <w:tcBorders>
              <w:bottom w:val="nil"/>
            </w:tcBorders>
            <w:vAlign w:val="top"/>
          </w:tcPr>
          <w:p w14:paraId="681B516C">
            <w:pPr>
              <w:rPr>
                <w:rFonts w:ascii="Arial"/>
                <w:sz w:val="21"/>
              </w:rPr>
            </w:pPr>
          </w:p>
        </w:tc>
        <w:tc>
          <w:tcPr>
            <w:tcW w:w="1440" w:type="dxa"/>
            <w:vMerge w:val="restart"/>
            <w:tcBorders>
              <w:bottom w:val="nil"/>
            </w:tcBorders>
            <w:vAlign w:val="top"/>
          </w:tcPr>
          <w:p w14:paraId="512C3C9E">
            <w:pPr>
              <w:rPr>
                <w:rFonts w:ascii="Arial"/>
                <w:sz w:val="21"/>
              </w:rPr>
            </w:pPr>
          </w:p>
        </w:tc>
        <w:tc>
          <w:tcPr>
            <w:tcW w:w="3202" w:type="dxa"/>
            <w:vMerge w:val="restart"/>
            <w:tcBorders>
              <w:bottom w:val="nil"/>
            </w:tcBorders>
            <w:vAlign w:val="top"/>
          </w:tcPr>
          <w:p w14:paraId="735A2686">
            <w:pPr>
              <w:pStyle w:val="6"/>
              <w:spacing w:before="26" w:line="187" w:lineRule="auto"/>
              <w:ind w:left="116" w:right="111" w:firstLine="7"/>
              <w:jc w:val="both"/>
            </w:pPr>
            <w:r>
              <w:rPr>
                <w:spacing w:val="16"/>
              </w:rPr>
              <w:t>应当服从人民政府发布的决</w:t>
            </w:r>
            <w:r>
              <w:rPr>
                <w:spacing w:val="13"/>
              </w:rPr>
              <w:t>定、命令，配合人民政府采</w:t>
            </w:r>
            <w:r>
              <w:rPr>
                <w:spacing w:val="14"/>
              </w:rPr>
              <w:t>取的应急处置措施，做好本</w:t>
            </w:r>
            <w:r>
              <w:rPr>
                <w:spacing w:val="13"/>
              </w:rPr>
              <w:t>单位的应急救援工作，并积</w:t>
            </w:r>
            <w:r>
              <w:rPr>
                <w:spacing w:val="17"/>
              </w:rPr>
              <w:t>极组织人员参加所在地的应</w:t>
            </w:r>
            <w:r>
              <w:rPr>
                <w:spacing w:val="4"/>
              </w:rPr>
              <w:t>急救援和处置工作。</w:t>
            </w:r>
          </w:p>
        </w:tc>
        <w:tc>
          <w:tcPr>
            <w:tcW w:w="2859" w:type="dxa"/>
            <w:vMerge w:val="restart"/>
            <w:tcBorders>
              <w:bottom w:val="nil"/>
            </w:tcBorders>
            <w:vAlign w:val="top"/>
          </w:tcPr>
          <w:p w14:paraId="2CFE39E5">
            <w:pPr>
              <w:rPr>
                <w:rFonts w:ascii="Arial"/>
                <w:sz w:val="21"/>
              </w:rPr>
            </w:pPr>
          </w:p>
        </w:tc>
        <w:tc>
          <w:tcPr>
            <w:tcW w:w="803" w:type="dxa"/>
            <w:vAlign w:val="top"/>
          </w:tcPr>
          <w:p w14:paraId="28C139C4">
            <w:pPr>
              <w:rPr>
                <w:rFonts w:ascii="Arial"/>
                <w:sz w:val="21"/>
              </w:rPr>
            </w:pPr>
          </w:p>
        </w:tc>
        <w:tc>
          <w:tcPr>
            <w:tcW w:w="2283" w:type="dxa"/>
            <w:vAlign w:val="top"/>
          </w:tcPr>
          <w:p w14:paraId="11BE2F09">
            <w:pPr>
              <w:pStyle w:val="6"/>
              <w:spacing w:before="32" w:line="179" w:lineRule="auto"/>
              <w:ind w:left="118" w:right="105" w:firstLine="1"/>
              <w:jc w:val="both"/>
            </w:pPr>
            <w:r>
              <w:rPr>
                <w:spacing w:val="6"/>
              </w:rPr>
              <w:t>救援工作，造成</w:t>
            </w:r>
            <w:r>
              <w:rPr>
                <w:rFonts w:ascii="宋体" w:hAnsi="宋体" w:eastAsia="宋体" w:cs="宋体"/>
                <w:spacing w:val="6"/>
              </w:rPr>
              <w:t>10</w:t>
            </w:r>
            <w:r>
              <w:rPr>
                <w:spacing w:val="6"/>
              </w:rPr>
              <w:t>人以上</w:t>
            </w:r>
            <w:r>
              <w:rPr>
                <w:rFonts w:ascii="宋体" w:hAnsi="宋体" w:eastAsia="宋体" w:cs="宋体"/>
                <w:spacing w:val="6"/>
              </w:rPr>
              <w:t>30</w:t>
            </w:r>
            <w:r>
              <w:rPr>
                <w:spacing w:val="6"/>
              </w:rPr>
              <w:t>人以下死</w:t>
            </w:r>
            <w:r>
              <w:rPr>
                <w:spacing w:val="3"/>
              </w:rPr>
              <w:t>亡，或者</w:t>
            </w:r>
            <w:r>
              <w:rPr>
                <w:rFonts w:ascii="宋体" w:hAnsi="宋体" w:eastAsia="宋体" w:cs="宋体"/>
                <w:spacing w:val="3"/>
              </w:rPr>
              <w:t>50</w:t>
            </w:r>
            <w:r>
              <w:rPr>
                <w:spacing w:val="3"/>
              </w:rPr>
              <w:t>人以上</w:t>
            </w:r>
            <w:r>
              <w:rPr>
                <w:rFonts w:ascii="宋体" w:hAnsi="宋体" w:eastAsia="宋体" w:cs="宋体"/>
                <w:spacing w:val="-1"/>
              </w:rPr>
              <w:t>100</w:t>
            </w:r>
            <w:r>
              <w:rPr>
                <w:spacing w:val="-1"/>
              </w:rPr>
              <w:t>人以下重伤，或</w:t>
            </w:r>
            <w:r>
              <w:rPr>
                <w:spacing w:val="1"/>
              </w:rPr>
              <w:t>者</w:t>
            </w:r>
            <w:r>
              <w:rPr>
                <w:rFonts w:ascii="宋体" w:hAnsi="宋体" w:eastAsia="宋体" w:cs="宋体"/>
                <w:spacing w:val="1"/>
              </w:rPr>
              <w:t>5000</w:t>
            </w:r>
            <w:r>
              <w:rPr>
                <w:spacing w:val="1"/>
              </w:rPr>
              <w:t>万元以上</w:t>
            </w:r>
            <w:r>
              <w:rPr>
                <w:rFonts w:ascii="宋体" w:hAnsi="宋体" w:eastAsia="宋体" w:cs="宋体"/>
                <w:spacing w:val="1"/>
              </w:rPr>
              <w:t>1</w:t>
            </w:r>
            <w:r>
              <w:rPr>
                <w:spacing w:val="26"/>
              </w:rPr>
              <w:t>亿元以下直接经济</w:t>
            </w:r>
            <w:r>
              <w:rPr>
                <w:spacing w:val="4"/>
              </w:rPr>
              <w:t>损失的</w:t>
            </w:r>
          </w:p>
        </w:tc>
        <w:tc>
          <w:tcPr>
            <w:tcW w:w="2894" w:type="dxa"/>
            <w:vAlign w:val="top"/>
          </w:tcPr>
          <w:p w14:paraId="5BB6893E">
            <w:pPr>
              <w:pStyle w:val="6"/>
              <w:spacing w:before="30" w:line="189" w:lineRule="auto"/>
              <w:ind w:left="119" w:right="103" w:firstLine="5"/>
              <w:jc w:val="both"/>
            </w:pPr>
            <w:r>
              <w:rPr>
                <w:spacing w:val="11"/>
              </w:rPr>
              <w:t>元以上</w:t>
            </w:r>
            <w:r>
              <w:rPr>
                <w:rFonts w:ascii="宋体" w:hAnsi="宋体" w:eastAsia="宋体" w:cs="宋体"/>
                <w:spacing w:val="11"/>
              </w:rPr>
              <w:t>15</w:t>
            </w:r>
            <w:r>
              <w:rPr>
                <w:spacing w:val="11"/>
              </w:rPr>
              <w:t>万元以下的罚</w:t>
            </w:r>
            <w:r>
              <w:rPr>
                <w:spacing w:val="4"/>
              </w:rPr>
              <w:t>款；情节特别严重的，并</w:t>
            </w:r>
            <w:r>
              <w:rPr>
                <w:spacing w:val="3"/>
              </w:rPr>
              <w:t>处</w:t>
            </w:r>
            <w:r>
              <w:rPr>
                <w:rFonts w:ascii="宋体" w:hAnsi="宋体" w:eastAsia="宋体" w:cs="宋体"/>
                <w:spacing w:val="3"/>
              </w:rPr>
              <w:t>60</w:t>
            </w:r>
            <w:r>
              <w:rPr>
                <w:spacing w:val="3"/>
              </w:rPr>
              <w:t>万元以上</w:t>
            </w:r>
            <w:r>
              <w:rPr>
                <w:rFonts w:ascii="宋体" w:hAnsi="宋体" w:eastAsia="宋体" w:cs="宋体"/>
                <w:spacing w:val="3"/>
              </w:rPr>
              <w:t>80</w:t>
            </w:r>
            <w:r>
              <w:rPr>
                <w:spacing w:val="3"/>
              </w:rPr>
              <w:t>万元以</w:t>
            </w:r>
            <w:r>
              <w:rPr>
                <w:spacing w:val="6"/>
              </w:rPr>
              <w:t>下的罚款</w:t>
            </w:r>
          </w:p>
        </w:tc>
        <w:tc>
          <w:tcPr>
            <w:tcW w:w="811" w:type="dxa"/>
            <w:vMerge w:val="restart"/>
            <w:tcBorders>
              <w:bottom w:val="nil"/>
            </w:tcBorders>
            <w:vAlign w:val="top"/>
          </w:tcPr>
          <w:p w14:paraId="592E7CC5">
            <w:pPr>
              <w:rPr>
                <w:rFonts w:ascii="Arial"/>
                <w:sz w:val="21"/>
              </w:rPr>
            </w:pPr>
          </w:p>
        </w:tc>
      </w:tr>
      <w:tr w14:paraId="293A7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6" w:hRule="atLeast"/>
        </w:trPr>
        <w:tc>
          <w:tcPr>
            <w:tcW w:w="818" w:type="dxa"/>
            <w:vMerge w:val="continue"/>
            <w:tcBorders>
              <w:top w:val="nil"/>
            </w:tcBorders>
            <w:vAlign w:val="top"/>
          </w:tcPr>
          <w:p w14:paraId="19CFB7A8">
            <w:pPr>
              <w:rPr>
                <w:rFonts w:ascii="Arial"/>
                <w:sz w:val="21"/>
              </w:rPr>
            </w:pPr>
          </w:p>
        </w:tc>
        <w:tc>
          <w:tcPr>
            <w:tcW w:w="1440" w:type="dxa"/>
            <w:vMerge w:val="continue"/>
            <w:tcBorders>
              <w:top w:val="nil"/>
            </w:tcBorders>
            <w:vAlign w:val="top"/>
          </w:tcPr>
          <w:p w14:paraId="3D116D6F">
            <w:pPr>
              <w:rPr>
                <w:rFonts w:ascii="Arial"/>
                <w:sz w:val="21"/>
              </w:rPr>
            </w:pPr>
          </w:p>
        </w:tc>
        <w:tc>
          <w:tcPr>
            <w:tcW w:w="3202" w:type="dxa"/>
            <w:vMerge w:val="continue"/>
            <w:tcBorders>
              <w:top w:val="nil"/>
            </w:tcBorders>
            <w:vAlign w:val="top"/>
          </w:tcPr>
          <w:p w14:paraId="50046220">
            <w:pPr>
              <w:rPr>
                <w:rFonts w:ascii="Arial"/>
                <w:sz w:val="21"/>
              </w:rPr>
            </w:pPr>
          </w:p>
        </w:tc>
        <w:tc>
          <w:tcPr>
            <w:tcW w:w="2859" w:type="dxa"/>
            <w:vMerge w:val="continue"/>
            <w:tcBorders>
              <w:top w:val="nil"/>
            </w:tcBorders>
            <w:vAlign w:val="top"/>
          </w:tcPr>
          <w:p w14:paraId="387D575F">
            <w:pPr>
              <w:rPr>
                <w:rFonts w:ascii="Arial"/>
                <w:sz w:val="21"/>
              </w:rPr>
            </w:pPr>
          </w:p>
        </w:tc>
        <w:tc>
          <w:tcPr>
            <w:tcW w:w="803" w:type="dxa"/>
            <w:vAlign w:val="top"/>
          </w:tcPr>
          <w:p w14:paraId="4A10E8CC">
            <w:pPr>
              <w:spacing w:line="305" w:lineRule="auto"/>
              <w:rPr>
                <w:rFonts w:ascii="Arial"/>
                <w:sz w:val="21"/>
              </w:rPr>
            </w:pPr>
          </w:p>
          <w:p w14:paraId="2BC524A2">
            <w:pPr>
              <w:spacing w:line="305" w:lineRule="auto"/>
              <w:rPr>
                <w:rFonts w:ascii="Arial"/>
                <w:sz w:val="21"/>
              </w:rPr>
            </w:pPr>
          </w:p>
          <w:p w14:paraId="3BCF5A00">
            <w:pPr>
              <w:spacing w:line="306" w:lineRule="auto"/>
              <w:rPr>
                <w:rFonts w:ascii="Arial"/>
                <w:sz w:val="21"/>
              </w:rPr>
            </w:pPr>
          </w:p>
          <w:p w14:paraId="418BB623">
            <w:pPr>
              <w:spacing w:before="75" w:line="187" w:lineRule="auto"/>
              <w:ind w:left="343"/>
              <w:rPr>
                <w:rFonts w:ascii="宋体" w:hAnsi="宋体" w:eastAsia="宋体" w:cs="宋体"/>
                <w:sz w:val="23"/>
                <w:szCs w:val="23"/>
              </w:rPr>
            </w:pPr>
            <w:r>
              <w:rPr>
                <w:rFonts w:ascii="宋体" w:hAnsi="宋体" w:eastAsia="宋体" w:cs="宋体"/>
                <w:sz w:val="23"/>
                <w:szCs w:val="23"/>
              </w:rPr>
              <w:t>D</w:t>
            </w:r>
          </w:p>
        </w:tc>
        <w:tc>
          <w:tcPr>
            <w:tcW w:w="2283" w:type="dxa"/>
            <w:vAlign w:val="top"/>
          </w:tcPr>
          <w:p w14:paraId="3127DD2B">
            <w:pPr>
              <w:pStyle w:val="6"/>
              <w:spacing w:before="52" w:line="181" w:lineRule="auto"/>
              <w:ind w:left="115" w:right="105" w:firstLine="13"/>
              <w:jc w:val="both"/>
            </w:pPr>
            <w:r>
              <w:rPr>
                <w:spacing w:val="-4"/>
              </w:rPr>
              <w:t>突发事件发生后，不</w:t>
            </w:r>
            <w:r>
              <w:rPr>
                <w:spacing w:val="26"/>
              </w:rPr>
              <w:t>及时组织开展应急</w:t>
            </w:r>
            <w:r>
              <w:rPr>
                <w:spacing w:val="8"/>
              </w:rPr>
              <w:t>救援工作，造成</w:t>
            </w:r>
            <w:r>
              <w:rPr>
                <w:rFonts w:ascii="宋体" w:hAnsi="宋体" w:eastAsia="宋体" w:cs="宋体"/>
                <w:spacing w:val="8"/>
              </w:rPr>
              <w:t>30</w:t>
            </w:r>
            <w:r>
              <w:rPr>
                <w:spacing w:val="16"/>
              </w:rPr>
              <w:t>人以上死亡，或者</w:t>
            </w:r>
            <w:r>
              <w:rPr>
                <w:rFonts w:ascii="宋体" w:hAnsi="宋体" w:eastAsia="宋体" w:cs="宋体"/>
                <w:spacing w:val="-1"/>
              </w:rPr>
              <w:t>100</w:t>
            </w:r>
            <w:r>
              <w:rPr>
                <w:spacing w:val="-1"/>
              </w:rPr>
              <w:t>人以上重伤，或</w:t>
            </w:r>
            <w:r>
              <w:rPr>
                <w:spacing w:val="15"/>
              </w:rPr>
              <w:t>者</w:t>
            </w:r>
            <w:r>
              <w:rPr>
                <w:rFonts w:ascii="宋体" w:hAnsi="宋体" w:eastAsia="宋体" w:cs="宋体"/>
                <w:spacing w:val="15"/>
              </w:rPr>
              <w:t>1</w:t>
            </w:r>
            <w:r>
              <w:rPr>
                <w:spacing w:val="15"/>
              </w:rPr>
              <w:t>亿元以上直接</w:t>
            </w:r>
            <w:r>
              <w:rPr>
                <w:spacing w:val="7"/>
              </w:rPr>
              <w:t>经济损失的</w:t>
            </w:r>
          </w:p>
        </w:tc>
        <w:tc>
          <w:tcPr>
            <w:tcW w:w="2894" w:type="dxa"/>
            <w:vAlign w:val="top"/>
          </w:tcPr>
          <w:p w14:paraId="5628EE7F">
            <w:pPr>
              <w:pStyle w:val="6"/>
              <w:spacing w:before="200" w:line="187" w:lineRule="auto"/>
              <w:ind w:left="119" w:right="103" w:firstLine="8"/>
              <w:jc w:val="both"/>
            </w:pPr>
            <w:r>
              <w:rPr>
                <w:spacing w:val="7"/>
              </w:rPr>
              <w:t>责令停产停业，暂扣或者</w:t>
            </w:r>
            <w:r>
              <w:rPr>
                <w:spacing w:val="-4"/>
              </w:rPr>
              <w:t>吊销许可证件，并处</w:t>
            </w:r>
            <w:r>
              <w:rPr>
                <w:rFonts w:ascii="宋体" w:hAnsi="宋体" w:eastAsia="宋体" w:cs="宋体"/>
                <w:spacing w:val="-4"/>
              </w:rPr>
              <w:t>15</w:t>
            </w:r>
            <w:r>
              <w:rPr>
                <w:spacing w:val="-4"/>
              </w:rPr>
              <w:t>万</w:t>
            </w:r>
            <w:r>
              <w:rPr>
                <w:spacing w:val="13"/>
              </w:rPr>
              <w:t>元以上</w:t>
            </w:r>
            <w:r>
              <w:rPr>
                <w:rFonts w:ascii="宋体" w:hAnsi="宋体" w:eastAsia="宋体" w:cs="宋体"/>
                <w:spacing w:val="13"/>
              </w:rPr>
              <w:t>20</w:t>
            </w:r>
            <w:r>
              <w:rPr>
                <w:spacing w:val="13"/>
              </w:rPr>
              <w:t>万元以下的罚</w:t>
            </w:r>
            <w:r>
              <w:rPr>
                <w:spacing w:val="4"/>
              </w:rPr>
              <w:t>款；情节特别严重的，并</w:t>
            </w:r>
            <w:r>
              <w:rPr>
                <w:spacing w:val="9"/>
              </w:rPr>
              <w:t>处</w:t>
            </w:r>
            <w:r>
              <w:rPr>
                <w:rFonts w:ascii="宋体" w:hAnsi="宋体" w:eastAsia="宋体" w:cs="宋体"/>
                <w:spacing w:val="9"/>
              </w:rPr>
              <w:t>80</w:t>
            </w:r>
            <w:r>
              <w:rPr>
                <w:spacing w:val="9"/>
              </w:rPr>
              <w:t>万元以上</w:t>
            </w:r>
            <w:r>
              <w:rPr>
                <w:rFonts w:ascii="宋体" w:hAnsi="宋体" w:eastAsia="宋体" w:cs="宋体"/>
                <w:spacing w:val="9"/>
              </w:rPr>
              <w:t>100</w:t>
            </w:r>
            <w:r>
              <w:rPr>
                <w:spacing w:val="9"/>
              </w:rPr>
              <w:t>万元以</w:t>
            </w:r>
            <w:r>
              <w:rPr>
                <w:spacing w:val="6"/>
              </w:rPr>
              <w:t>下的罚款</w:t>
            </w:r>
          </w:p>
        </w:tc>
        <w:tc>
          <w:tcPr>
            <w:tcW w:w="811" w:type="dxa"/>
            <w:vMerge w:val="continue"/>
            <w:tcBorders>
              <w:top w:val="nil"/>
            </w:tcBorders>
            <w:vAlign w:val="top"/>
          </w:tcPr>
          <w:p w14:paraId="081F17AA">
            <w:pPr>
              <w:rPr>
                <w:rFonts w:ascii="Arial"/>
                <w:sz w:val="21"/>
              </w:rPr>
            </w:pPr>
          </w:p>
        </w:tc>
      </w:tr>
    </w:tbl>
    <w:p w14:paraId="730FEF81">
      <w:pPr>
        <w:pStyle w:val="2"/>
      </w:pPr>
    </w:p>
    <w:p w14:paraId="6EC10533">
      <w:pPr>
        <w:sectPr>
          <w:footerReference r:id="rId235" w:type="default"/>
          <w:pgSz w:w="16839" w:h="11906"/>
          <w:pgMar w:top="1012" w:right="821" w:bottom="666" w:left="901" w:header="0" w:footer="388" w:gutter="0"/>
          <w:cols w:space="720" w:num="1"/>
        </w:sectPr>
      </w:pPr>
    </w:p>
    <w:p w14:paraId="4D3CCFE8">
      <w:pPr>
        <w:spacing w:before="191" w:line="183" w:lineRule="auto"/>
        <w:ind w:left="696"/>
        <w:rPr>
          <w:rFonts w:ascii="微软雅黑" w:hAnsi="微软雅黑" w:eastAsia="微软雅黑" w:cs="微软雅黑"/>
          <w:sz w:val="43"/>
          <w:szCs w:val="43"/>
        </w:rPr>
      </w:pPr>
      <w:bookmarkStart w:id="745" w:name="bookmark475"/>
      <w:bookmarkEnd w:id="745"/>
      <w:r>
        <w:rPr>
          <w:rFonts w:ascii="微软雅黑" w:hAnsi="微软雅黑" w:eastAsia="微软雅黑" w:cs="微软雅黑"/>
          <w:spacing w:val="9"/>
          <w:sz w:val="43"/>
          <w:szCs w:val="43"/>
        </w:rPr>
        <w:t>第三部分应急管理轻微违法行为可以不予行政处罚事项</w:t>
      </w:r>
      <w:r>
        <w:rPr>
          <w:rFonts w:ascii="微软雅黑" w:hAnsi="微软雅黑" w:eastAsia="微软雅黑" w:cs="微软雅黑"/>
          <w:spacing w:val="8"/>
          <w:sz w:val="43"/>
          <w:szCs w:val="43"/>
        </w:rPr>
        <w:t>清单（试行）</w:t>
      </w:r>
    </w:p>
    <w:p w14:paraId="0A35079F">
      <w:pPr>
        <w:spacing w:line="47" w:lineRule="exact"/>
      </w:pPr>
    </w:p>
    <w:tbl>
      <w:tblPr>
        <w:tblStyle w:val="5"/>
        <w:tblW w:w="147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0"/>
        <w:gridCol w:w="2436"/>
        <w:gridCol w:w="5735"/>
        <w:gridCol w:w="5797"/>
      </w:tblGrid>
      <w:tr w14:paraId="325CF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820" w:type="dxa"/>
            <w:vAlign w:val="top"/>
          </w:tcPr>
          <w:p w14:paraId="7F8487CA">
            <w:pPr>
              <w:spacing w:before="163" w:line="241" w:lineRule="auto"/>
              <w:ind w:left="133"/>
              <w:rPr>
                <w:rFonts w:ascii="黑体" w:hAnsi="黑体" w:eastAsia="黑体" w:cs="黑体"/>
                <w:sz w:val="28"/>
                <w:szCs w:val="28"/>
              </w:rPr>
            </w:pPr>
            <w:r>
              <w:rPr>
                <w:rFonts w:ascii="黑体" w:hAnsi="黑体" w:eastAsia="黑体" w:cs="黑体"/>
                <w:spacing w:val="-2"/>
                <w:sz w:val="28"/>
                <w:szCs w:val="28"/>
              </w:rPr>
              <w:t>序号</w:t>
            </w:r>
          </w:p>
        </w:tc>
        <w:tc>
          <w:tcPr>
            <w:tcW w:w="2436" w:type="dxa"/>
            <w:vAlign w:val="top"/>
          </w:tcPr>
          <w:p w14:paraId="43E078B8">
            <w:pPr>
              <w:spacing w:before="163"/>
              <w:ind w:left="663"/>
              <w:rPr>
                <w:rFonts w:ascii="黑体" w:hAnsi="黑体" w:eastAsia="黑体" w:cs="黑体"/>
                <w:sz w:val="28"/>
                <w:szCs w:val="28"/>
              </w:rPr>
            </w:pPr>
            <w:r>
              <w:rPr>
                <w:rFonts w:ascii="黑体" w:hAnsi="黑体" w:eastAsia="黑体" w:cs="黑体"/>
                <w:spacing w:val="-3"/>
                <w:sz w:val="28"/>
                <w:szCs w:val="28"/>
              </w:rPr>
              <w:t>违法行为</w:t>
            </w:r>
          </w:p>
        </w:tc>
        <w:tc>
          <w:tcPr>
            <w:tcW w:w="5735" w:type="dxa"/>
            <w:vAlign w:val="top"/>
          </w:tcPr>
          <w:p w14:paraId="35DE7B96">
            <w:pPr>
              <w:spacing w:before="164"/>
              <w:ind w:left="2321"/>
              <w:rPr>
                <w:rFonts w:ascii="黑体" w:hAnsi="黑体" w:eastAsia="黑体" w:cs="黑体"/>
                <w:sz w:val="28"/>
                <w:szCs w:val="28"/>
              </w:rPr>
            </w:pPr>
            <w:r>
              <w:rPr>
                <w:rFonts w:ascii="黑体" w:hAnsi="黑体" w:eastAsia="黑体" w:cs="黑体"/>
                <w:spacing w:val="-4"/>
                <w:sz w:val="28"/>
                <w:szCs w:val="28"/>
              </w:rPr>
              <w:t>法律规定</w:t>
            </w:r>
          </w:p>
        </w:tc>
        <w:tc>
          <w:tcPr>
            <w:tcW w:w="5797" w:type="dxa"/>
            <w:vAlign w:val="top"/>
          </w:tcPr>
          <w:p w14:paraId="517E3BC6">
            <w:pPr>
              <w:spacing w:before="163"/>
              <w:ind w:left="2346"/>
              <w:rPr>
                <w:rFonts w:ascii="黑体" w:hAnsi="黑体" w:eastAsia="黑体" w:cs="黑体"/>
                <w:sz w:val="28"/>
                <w:szCs w:val="28"/>
              </w:rPr>
            </w:pPr>
            <w:r>
              <w:rPr>
                <w:rFonts w:ascii="黑体" w:hAnsi="黑体" w:eastAsia="黑体" w:cs="黑体"/>
                <w:spacing w:val="-3"/>
                <w:sz w:val="28"/>
                <w:szCs w:val="28"/>
              </w:rPr>
              <w:t>处罚依据</w:t>
            </w:r>
          </w:p>
        </w:tc>
      </w:tr>
      <w:tr w14:paraId="271E5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1" w:hRule="atLeast"/>
        </w:trPr>
        <w:tc>
          <w:tcPr>
            <w:tcW w:w="820" w:type="dxa"/>
            <w:vAlign w:val="top"/>
          </w:tcPr>
          <w:p w14:paraId="4455F93D">
            <w:pPr>
              <w:spacing w:line="243" w:lineRule="auto"/>
              <w:rPr>
                <w:rFonts w:ascii="Arial"/>
                <w:sz w:val="21"/>
              </w:rPr>
            </w:pPr>
          </w:p>
          <w:p w14:paraId="691DDC2A">
            <w:pPr>
              <w:spacing w:line="243" w:lineRule="auto"/>
              <w:rPr>
                <w:rFonts w:ascii="Arial"/>
                <w:sz w:val="21"/>
              </w:rPr>
            </w:pPr>
          </w:p>
          <w:p w14:paraId="19501440">
            <w:pPr>
              <w:spacing w:line="243" w:lineRule="auto"/>
              <w:rPr>
                <w:rFonts w:ascii="Arial"/>
                <w:sz w:val="21"/>
              </w:rPr>
            </w:pPr>
          </w:p>
          <w:p w14:paraId="1183263F">
            <w:pPr>
              <w:spacing w:line="244" w:lineRule="auto"/>
              <w:rPr>
                <w:rFonts w:ascii="Arial"/>
                <w:sz w:val="21"/>
              </w:rPr>
            </w:pPr>
          </w:p>
          <w:p w14:paraId="334760D2">
            <w:pPr>
              <w:spacing w:line="244" w:lineRule="auto"/>
              <w:rPr>
                <w:rFonts w:ascii="Arial"/>
                <w:sz w:val="21"/>
              </w:rPr>
            </w:pPr>
          </w:p>
          <w:p w14:paraId="63945539">
            <w:pPr>
              <w:spacing w:line="244" w:lineRule="auto"/>
              <w:rPr>
                <w:rFonts w:ascii="Arial"/>
                <w:sz w:val="21"/>
              </w:rPr>
            </w:pPr>
          </w:p>
          <w:p w14:paraId="665751DA">
            <w:pPr>
              <w:spacing w:line="244" w:lineRule="auto"/>
              <w:rPr>
                <w:rFonts w:ascii="Arial"/>
                <w:sz w:val="21"/>
              </w:rPr>
            </w:pPr>
          </w:p>
          <w:p w14:paraId="103136AA">
            <w:pPr>
              <w:spacing w:line="244" w:lineRule="auto"/>
              <w:rPr>
                <w:rFonts w:ascii="Arial"/>
                <w:sz w:val="21"/>
              </w:rPr>
            </w:pPr>
          </w:p>
          <w:p w14:paraId="4F07881B">
            <w:pPr>
              <w:spacing w:line="244" w:lineRule="auto"/>
              <w:rPr>
                <w:rFonts w:ascii="Arial"/>
                <w:sz w:val="21"/>
              </w:rPr>
            </w:pPr>
          </w:p>
          <w:p w14:paraId="05B1114E">
            <w:pPr>
              <w:spacing w:line="244" w:lineRule="auto"/>
              <w:rPr>
                <w:rFonts w:ascii="Arial"/>
                <w:sz w:val="21"/>
              </w:rPr>
            </w:pPr>
          </w:p>
          <w:p w14:paraId="15D38075">
            <w:pPr>
              <w:spacing w:line="244" w:lineRule="auto"/>
              <w:rPr>
                <w:rFonts w:ascii="Arial"/>
                <w:sz w:val="21"/>
              </w:rPr>
            </w:pPr>
          </w:p>
          <w:p w14:paraId="6970C17A">
            <w:pPr>
              <w:spacing w:before="91" w:line="181" w:lineRule="auto"/>
              <w:ind w:left="333"/>
              <w:rPr>
                <w:rFonts w:ascii="仿宋" w:hAnsi="仿宋" w:eastAsia="仿宋" w:cs="仿宋"/>
                <w:sz w:val="28"/>
                <w:szCs w:val="28"/>
              </w:rPr>
            </w:pPr>
            <w:r>
              <w:rPr>
                <w:rFonts w:ascii="仿宋" w:hAnsi="仿宋" w:eastAsia="仿宋" w:cs="仿宋"/>
                <w:sz w:val="28"/>
                <w:szCs w:val="28"/>
              </w:rPr>
              <w:t>1</w:t>
            </w:r>
          </w:p>
        </w:tc>
        <w:tc>
          <w:tcPr>
            <w:tcW w:w="2436" w:type="dxa"/>
            <w:vAlign w:val="top"/>
          </w:tcPr>
          <w:p w14:paraId="635A3D7A">
            <w:pPr>
              <w:spacing w:line="267" w:lineRule="auto"/>
              <w:rPr>
                <w:rFonts w:ascii="Arial"/>
                <w:sz w:val="21"/>
              </w:rPr>
            </w:pPr>
          </w:p>
          <w:p w14:paraId="1AFFFAE2">
            <w:pPr>
              <w:spacing w:line="267" w:lineRule="auto"/>
              <w:rPr>
                <w:rFonts w:ascii="Arial"/>
                <w:sz w:val="21"/>
              </w:rPr>
            </w:pPr>
          </w:p>
          <w:p w14:paraId="07D75BDC">
            <w:pPr>
              <w:spacing w:line="268" w:lineRule="auto"/>
              <w:rPr>
                <w:rFonts w:ascii="Arial"/>
                <w:sz w:val="21"/>
              </w:rPr>
            </w:pPr>
          </w:p>
          <w:p w14:paraId="0918EC0F">
            <w:pPr>
              <w:spacing w:line="268" w:lineRule="auto"/>
              <w:rPr>
                <w:rFonts w:ascii="Arial"/>
                <w:sz w:val="21"/>
              </w:rPr>
            </w:pPr>
          </w:p>
          <w:p w14:paraId="26AD08A8">
            <w:pPr>
              <w:spacing w:line="268" w:lineRule="auto"/>
              <w:rPr>
                <w:rFonts w:ascii="Arial"/>
                <w:sz w:val="21"/>
              </w:rPr>
            </w:pPr>
          </w:p>
          <w:p w14:paraId="24FFA944">
            <w:pPr>
              <w:spacing w:line="268" w:lineRule="auto"/>
              <w:rPr>
                <w:rFonts w:ascii="Arial"/>
                <w:sz w:val="21"/>
              </w:rPr>
            </w:pPr>
          </w:p>
          <w:p w14:paraId="3E666614">
            <w:pPr>
              <w:spacing w:line="268" w:lineRule="auto"/>
              <w:rPr>
                <w:rFonts w:ascii="Arial"/>
                <w:sz w:val="21"/>
              </w:rPr>
            </w:pPr>
          </w:p>
          <w:p w14:paraId="58043E73">
            <w:pPr>
              <w:spacing w:line="268" w:lineRule="auto"/>
              <w:rPr>
                <w:rFonts w:ascii="Arial"/>
                <w:sz w:val="21"/>
              </w:rPr>
            </w:pPr>
          </w:p>
          <w:p w14:paraId="397E67A2">
            <w:pPr>
              <w:spacing w:before="75" w:line="280" w:lineRule="auto"/>
              <w:ind w:left="110" w:right="113" w:firstLine="9"/>
              <w:jc w:val="both"/>
              <w:rPr>
                <w:rFonts w:ascii="黑体" w:hAnsi="黑体" w:eastAsia="黑体" w:cs="黑体"/>
                <w:sz w:val="23"/>
                <w:szCs w:val="23"/>
              </w:rPr>
            </w:pPr>
            <w:r>
              <w:rPr>
                <w:rFonts w:ascii="黑体" w:hAnsi="黑体" w:eastAsia="黑体" w:cs="黑体"/>
                <w:spacing w:val="14"/>
                <w:sz w:val="23"/>
                <w:szCs w:val="23"/>
              </w:rPr>
              <w:t>生产经营单位未将事</w:t>
            </w:r>
            <w:r>
              <w:rPr>
                <w:rFonts w:ascii="黑体" w:hAnsi="黑体" w:eastAsia="黑体" w:cs="黑体"/>
                <w:spacing w:val="15"/>
                <w:sz w:val="23"/>
                <w:szCs w:val="23"/>
              </w:rPr>
              <w:t>故隐患排查治理情况如实记录或者未向从</w:t>
            </w:r>
            <w:r>
              <w:rPr>
                <w:rFonts w:ascii="黑体" w:hAnsi="黑体" w:eastAsia="黑体" w:cs="黑体"/>
                <w:spacing w:val="8"/>
                <w:sz w:val="23"/>
                <w:szCs w:val="23"/>
              </w:rPr>
              <w:t>业人员通报的</w:t>
            </w:r>
          </w:p>
        </w:tc>
        <w:tc>
          <w:tcPr>
            <w:tcW w:w="5735" w:type="dxa"/>
            <w:vAlign w:val="top"/>
          </w:tcPr>
          <w:p w14:paraId="6E686416">
            <w:pPr>
              <w:pStyle w:val="6"/>
              <w:spacing w:before="71" w:line="218" w:lineRule="auto"/>
              <w:ind w:left="118" w:right="116" w:firstLine="13"/>
              <w:jc w:val="both"/>
            </w:pPr>
            <w:r>
              <w:rPr>
                <w:rFonts w:ascii="宋体" w:hAnsi="宋体" w:eastAsia="宋体" w:cs="宋体"/>
                <w:spacing w:val="1"/>
              </w:rPr>
              <w:t>1.</w:t>
            </w:r>
            <w:r>
              <w:rPr>
                <w:spacing w:val="1"/>
              </w:rPr>
              <w:t>【法律】《中华人民共和国安全生产法》</w:t>
            </w:r>
            <w:r>
              <w:t>第四十一</w:t>
            </w:r>
            <w:r>
              <w:rPr>
                <w:spacing w:val="9"/>
              </w:rPr>
              <w:t>条第二款：生产经营单位应当建立健全并落</w:t>
            </w:r>
            <w:r>
              <w:rPr>
                <w:spacing w:val="8"/>
              </w:rPr>
              <w:t>实生产安</w:t>
            </w:r>
            <w:r>
              <w:rPr>
                <w:spacing w:val="9"/>
              </w:rPr>
              <w:t>全事故隐患排查治理制度，采取技术、管理</w:t>
            </w:r>
            <w:r>
              <w:rPr>
                <w:spacing w:val="8"/>
              </w:rPr>
              <w:t>措施，及</w:t>
            </w:r>
            <w:r>
              <w:rPr>
                <w:spacing w:val="9"/>
              </w:rPr>
              <w:t>时发现并消除事故隐患。事故隐患排查治理</w:t>
            </w:r>
            <w:r>
              <w:rPr>
                <w:spacing w:val="8"/>
              </w:rPr>
              <w:t>情况应当</w:t>
            </w:r>
            <w:r>
              <w:rPr>
                <w:spacing w:val="9"/>
              </w:rPr>
              <w:t>如实记录，并通过职工大会或者职工代表大</w:t>
            </w:r>
            <w:r>
              <w:rPr>
                <w:spacing w:val="8"/>
              </w:rPr>
              <w:t>会、信息</w:t>
            </w:r>
            <w:r>
              <w:rPr>
                <w:spacing w:val="9"/>
              </w:rPr>
              <w:t>公示栏等方式向从业人员通报。其中，重大</w:t>
            </w:r>
            <w:r>
              <w:rPr>
                <w:spacing w:val="8"/>
              </w:rPr>
              <w:t>事故隐患</w:t>
            </w:r>
            <w:r>
              <w:rPr>
                <w:spacing w:val="9"/>
              </w:rPr>
              <w:t>排查治理情况应当及时向负有安全生产监督</w:t>
            </w:r>
            <w:r>
              <w:rPr>
                <w:spacing w:val="8"/>
              </w:rPr>
              <w:t>管理职责</w:t>
            </w:r>
            <w:r>
              <w:rPr>
                <w:spacing w:val="7"/>
              </w:rPr>
              <w:t>的部门和职工大会或者职工代表大会报告。</w:t>
            </w:r>
          </w:p>
          <w:p w14:paraId="76A43409">
            <w:pPr>
              <w:pStyle w:val="6"/>
              <w:spacing w:before="22" w:line="217" w:lineRule="auto"/>
              <w:ind w:left="118" w:right="117" w:hanging="1"/>
              <w:jc w:val="both"/>
            </w:pPr>
            <w:r>
              <w:rPr>
                <w:rFonts w:ascii="宋体" w:hAnsi="宋体" w:eastAsia="宋体" w:cs="宋体"/>
                <w:spacing w:val="2"/>
              </w:rPr>
              <w:t>2.</w:t>
            </w:r>
            <w:r>
              <w:rPr>
                <w:spacing w:val="2"/>
              </w:rPr>
              <w:t>【部门规章】《工贸企业粉尘防爆安全规定》第十</w:t>
            </w:r>
            <w:r>
              <w:rPr>
                <w:spacing w:val="8"/>
              </w:rPr>
              <w:t>二条第一款：粉尘涉爆企业应当根据《粉尘防爆安全规程》等有关国家标准或者行业标准，结合粉尘爆炸风险管控措施，建立事故隐患排查清单，明确和细化排查事项、具体内容、排查周期及责任人员，及时组织开展事故隐患排查治理，如实记录隐患排查治理情</w:t>
            </w:r>
            <w:r>
              <w:rPr>
                <w:spacing w:val="5"/>
              </w:rPr>
              <w:t>况，并向从业人员通报。</w:t>
            </w:r>
          </w:p>
        </w:tc>
        <w:tc>
          <w:tcPr>
            <w:tcW w:w="5797" w:type="dxa"/>
            <w:vAlign w:val="top"/>
          </w:tcPr>
          <w:p w14:paraId="34AE21DF">
            <w:pPr>
              <w:pStyle w:val="6"/>
              <w:spacing w:before="81" w:line="217" w:lineRule="auto"/>
              <w:ind w:left="119" w:right="47" w:firstLine="12"/>
              <w:jc w:val="both"/>
            </w:pPr>
            <w:r>
              <w:rPr>
                <w:rFonts w:ascii="宋体" w:hAnsi="宋体" w:eastAsia="宋体" w:cs="宋体"/>
                <w:spacing w:val="10"/>
              </w:rPr>
              <w:t>1.</w:t>
            </w:r>
            <w:r>
              <w:rPr>
                <w:spacing w:val="10"/>
              </w:rPr>
              <w:t>【法律】《中华人民共和国安全生产法》第九十七</w:t>
            </w:r>
            <w:r>
              <w:rPr>
                <w:spacing w:val="8"/>
              </w:rPr>
              <w:t>条第五项：生产经营单位有下列行为之一的</w:t>
            </w:r>
            <w:r>
              <w:rPr>
                <w:spacing w:val="7"/>
              </w:rPr>
              <w:t>，责令限期改正，处十万元以下的罚款；逾期未改正的，责令</w:t>
            </w:r>
            <w:r>
              <w:rPr>
                <w:spacing w:val="4"/>
              </w:rPr>
              <w:t>停产停业整顿，并处十万元以上二十万元以下的罚款，</w:t>
            </w:r>
            <w:r>
              <w:rPr>
                <w:spacing w:val="11"/>
              </w:rPr>
              <w:t>对其直接负责的主管人员和其他直接责任人员处二万</w:t>
            </w:r>
            <w:r>
              <w:rPr>
                <w:spacing w:val="13"/>
              </w:rPr>
              <w:t>元以上五万元以下的罚款</w:t>
            </w:r>
            <w:r>
              <w:rPr>
                <w:spacing w:val="-21"/>
              </w:rPr>
              <w:t>：（</w:t>
            </w:r>
            <w:r>
              <w:rPr>
                <w:spacing w:val="13"/>
              </w:rPr>
              <w:t>五）未将事故隐患排查</w:t>
            </w:r>
            <w:r>
              <w:rPr>
                <w:spacing w:val="6"/>
              </w:rPr>
              <w:t>治理情况如实记录或者未向从业人员通报的；</w:t>
            </w:r>
          </w:p>
          <w:p w14:paraId="11229275">
            <w:pPr>
              <w:pStyle w:val="6"/>
              <w:spacing w:before="19" w:line="213" w:lineRule="auto"/>
              <w:ind w:left="118" w:right="109"/>
            </w:pPr>
            <w:r>
              <w:rPr>
                <w:rFonts w:ascii="宋体" w:hAnsi="宋体" w:eastAsia="宋体" w:cs="宋体"/>
                <w:spacing w:val="11"/>
              </w:rPr>
              <w:t>2.</w:t>
            </w:r>
            <w:r>
              <w:rPr>
                <w:spacing w:val="11"/>
              </w:rPr>
              <w:t>【部门规章】《工贸企业粉尘防爆安全规定》</w:t>
            </w:r>
            <w:r>
              <w:rPr>
                <w:spacing w:val="10"/>
              </w:rPr>
              <w:t>第二</w:t>
            </w:r>
            <w:r>
              <w:rPr>
                <w:spacing w:val="7"/>
              </w:rPr>
              <w:t>十八条第二项：粉尘涉爆企业有下列行为之</w:t>
            </w:r>
            <w:r>
              <w:rPr>
                <w:spacing w:val="6"/>
              </w:rPr>
              <w:t>一的，由</w:t>
            </w:r>
            <w:r>
              <w:rPr>
                <w:spacing w:val="11"/>
              </w:rPr>
              <w:t>负责粉尘涉爆企业安全监管的部门依照《中华人民共</w:t>
            </w:r>
            <w:r>
              <w:rPr>
                <w:spacing w:val="-3"/>
              </w:rPr>
              <w:t>和国安全生产法》有关规定，责令限期改</w:t>
            </w:r>
            <w:r>
              <w:rPr>
                <w:spacing w:val="-4"/>
              </w:rPr>
              <w:t>正，处</w:t>
            </w:r>
            <w:r>
              <w:rPr>
                <w:rFonts w:ascii="宋体" w:hAnsi="宋体" w:eastAsia="宋体" w:cs="宋体"/>
                <w:spacing w:val="-4"/>
              </w:rPr>
              <w:t>10</w:t>
            </w:r>
            <w:r>
              <w:rPr>
                <w:spacing w:val="-4"/>
              </w:rPr>
              <w:t>万</w:t>
            </w:r>
            <w:r>
              <w:rPr>
                <w:spacing w:val="8"/>
              </w:rPr>
              <w:t>元以下的罚款；逾期未改正的，责令停产停业整顿，</w:t>
            </w:r>
            <w:r>
              <w:rPr>
                <w:spacing w:val="5"/>
              </w:rPr>
              <w:t>并处</w:t>
            </w:r>
            <w:r>
              <w:rPr>
                <w:rFonts w:ascii="宋体" w:hAnsi="宋体" w:eastAsia="宋体" w:cs="宋体"/>
                <w:spacing w:val="5"/>
              </w:rPr>
              <w:t>10</w:t>
            </w:r>
            <w:r>
              <w:rPr>
                <w:spacing w:val="5"/>
              </w:rPr>
              <w:t>万元以上</w:t>
            </w:r>
            <w:r>
              <w:rPr>
                <w:rFonts w:ascii="宋体" w:hAnsi="宋体" w:eastAsia="宋体" w:cs="宋体"/>
                <w:spacing w:val="5"/>
              </w:rPr>
              <w:t>20</w:t>
            </w:r>
            <w:r>
              <w:rPr>
                <w:spacing w:val="5"/>
              </w:rPr>
              <w:t>万元以下的罚款，对其直接负责</w:t>
            </w:r>
            <w:r>
              <w:rPr>
                <w:spacing w:val="7"/>
              </w:rPr>
              <w:t>的主管人员和其他直接责任人员处</w:t>
            </w:r>
            <w:r>
              <w:rPr>
                <w:rFonts w:ascii="宋体" w:hAnsi="宋体" w:eastAsia="宋体" w:cs="宋体"/>
                <w:spacing w:val="7"/>
              </w:rPr>
              <w:t>2</w:t>
            </w:r>
            <w:r>
              <w:rPr>
                <w:spacing w:val="7"/>
              </w:rPr>
              <w:t>万元以上</w:t>
            </w:r>
            <w:r>
              <w:rPr>
                <w:rFonts w:ascii="宋体" w:hAnsi="宋体" w:eastAsia="宋体" w:cs="宋体"/>
                <w:spacing w:val="7"/>
              </w:rPr>
              <w:t>5</w:t>
            </w:r>
            <w:r>
              <w:rPr>
                <w:spacing w:val="7"/>
              </w:rPr>
              <w:t>万元</w:t>
            </w:r>
            <w:r>
              <w:rPr>
                <w:spacing w:val="13"/>
              </w:rPr>
              <w:t>以下的罚款</w:t>
            </w:r>
            <w:r>
              <w:rPr>
                <w:spacing w:val="-20"/>
              </w:rPr>
              <w:t>：（</w:t>
            </w:r>
            <w:r>
              <w:rPr>
                <w:spacing w:val="13"/>
              </w:rPr>
              <w:t>二）未如实记录粉尘防爆隐患排查治</w:t>
            </w:r>
            <w:r>
              <w:rPr>
                <w:spacing w:val="5"/>
              </w:rPr>
              <w:t>理情况或者未向从业人员通报的；</w:t>
            </w:r>
          </w:p>
        </w:tc>
      </w:tr>
      <w:tr w14:paraId="703FE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6" w:hRule="atLeast"/>
        </w:trPr>
        <w:tc>
          <w:tcPr>
            <w:tcW w:w="820" w:type="dxa"/>
            <w:vAlign w:val="top"/>
          </w:tcPr>
          <w:p w14:paraId="2E1258DF">
            <w:pPr>
              <w:spacing w:line="299" w:lineRule="auto"/>
              <w:rPr>
                <w:rFonts w:ascii="Arial"/>
                <w:sz w:val="21"/>
              </w:rPr>
            </w:pPr>
          </w:p>
          <w:p w14:paraId="190537F9">
            <w:pPr>
              <w:spacing w:line="299" w:lineRule="auto"/>
              <w:rPr>
                <w:rFonts w:ascii="Arial"/>
                <w:sz w:val="21"/>
              </w:rPr>
            </w:pPr>
          </w:p>
          <w:p w14:paraId="34BD435E">
            <w:pPr>
              <w:spacing w:line="299" w:lineRule="auto"/>
              <w:rPr>
                <w:rFonts w:ascii="Arial"/>
                <w:sz w:val="21"/>
              </w:rPr>
            </w:pPr>
          </w:p>
          <w:p w14:paraId="029E4898">
            <w:pPr>
              <w:spacing w:before="91" w:line="180" w:lineRule="auto"/>
              <w:ind w:left="316"/>
              <w:rPr>
                <w:rFonts w:ascii="仿宋" w:hAnsi="仿宋" w:eastAsia="仿宋" w:cs="仿宋"/>
                <w:sz w:val="28"/>
                <w:szCs w:val="28"/>
              </w:rPr>
            </w:pPr>
            <w:r>
              <w:rPr>
                <w:rFonts w:ascii="仿宋" w:hAnsi="仿宋" w:eastAsia="仿宋" w:cs="仿宋"/>
                <w:sz w:val="28"/>
                <w:szCs w:val="28"/>
              </w:rPr>
              <w:t>2</w:t>
            </w:r>
          </w:p>
        </w:tc>
        <w:tc>
          <w:tcPr>
            <w:tcW w:w="2436" w:type="dxa"/>
            <w:vAlign w:val="top"/>
          </w:tcPr>
          <w:p w14:paraId="21972C1D">
            <w:pPr>
              <w:spacing w:line="271" w:lineRule="auto"/>
              <w:rPr>
                <w:rFonts w:ascii="Arial"/>
                <w:sz w:val="21"/>
              </w:rPr>
            </w:pPr>
          </w:p>
          <w:p w14:paraId="5BD97D3A">
            <w:pPr>
              <w:spacing w:line="271" w:lineRule="auto"/>
              <w:rPr>
                <w:rFonts w:ascii="Arial"/>
                <w:sz w:val="21"/>
              </w:rPr>
            </w:pPr>
          </w:p>
          <w:p w14:paraId="63069674">
            <w:pPr>
              <w:spacing w:before="75" w:line="276" w:lineRule="auto"/>
              <w:ind w:left="110" w:right="113" w:firstLine="9"/>
              <w:jc w:val="both"/>
              <w:rPr>
                <w:rFonts w:ascii="黑体" w:hAnsi="黑体" w:eastAsia="黑体" w:cs="黑体"/>
                <w:sz w:val="23"/>
                <w:szCs w:val="23"/>
              </w:rPr>
            </w:pPr>
            <w:r>
              <w:rPr>
                <w:rFonts w:ascii="黑体" w:hAnsi="黑体" w:eastAsia="黑体" w:cs="黑体"/>
                <w:spacing w:val="14"/>
                <w:sz w:val="23"/>
                <w:szCs w:val="23"/>
              </w:rPr>
              <w:t>生产经营单位未按规</w:t>
            </w:r>
            <w:r>
              <w:rPr>
                <w:rFonts w:ascii="黑体" w:hAnsi="黑体" w:eastAsia="黑体" w:cs="黑体"/>
                <w:spacing w:val="15"/>
                <w:sz w:val="23"/>
                <w:szCs w:val="23"/>
              </w:rPr>
              <w:t>定上报事故隐患排查</w:t>
            </w:r>
            <w:r>
              <w:rPr>
                <w:rFonts w:ascii="黑体" w:hAnsi="黑体" w:eastAsia="黑体" w:cs="黑体"/>
                <w:spacing w:val="8"/>
                <w:sz w:val="23"/>
                <w:szCs w:val="23"/>
              </w:rPr>
              <w:t>治理统计分析表的</w:t>
            </w:r>
          </w:p>
        </w:tc>
        <w:tc>
          <w:tcPr>
            <w:tcW w:w="5735" w:type="dxa"/>
            <w:vAlign w:val="top"/>
          </w:tcPr>
          <w:p w14:paraId="26EC0612">
            <w:pPr>
              <w:pStyle w:val="6"/>
              <w:spacing w:before="84" w:line="210" w:lineRule="auto"/>
              <w:ind w:left="118" w:hanging="20"/>
              <w:jc w:val="both"/>
            </w:pPr>
            <w:r>
              <w:rPr>
                <w:spacing w:val="4"/>
              </w:rPr>
              <w:t>【部门规章】《安全生产事故隐患排查治理暂行规定》</w:t>
            </w:r>
            <w:r>
              <w:rPr>
                <w:spacing w:val="8"/>
              </w:rPr>
              <w:t>第十四条第一款：生产经营单位应当每季、每年对本单位事故隐患排查治理情况进行统计分析，并分别于</w:t>
            </w:r>
            <w:r>
              <w:rPr>
                <w:spacing w:val="-1"/>
              </w:rPr>
              <w:t>下一季度</w:t>
            </w:r>
            <w:r>
              <w:rPr>
                <w:rFonts w:ascii="宋体" w:hAnsi="宋体" w:eastAsia="宋体" w:cs="宋体"/>
                <w:spacing w:val="-1"/>
              </w:rPr>
              <w:t>15</w:t>
            </w:r>
            <w:r>
              <w:rPr>
                <w:spacing w:val="-1"/>
              </w:rPr>
              <w:t>日前和下一年</w:t>
            </w:r>
            <w:r>
              <w:rPr>
                <w:rFonts w:ascii="宋体" w:hAnsi="宋体" w:eastAsia="宋体" w:cs="宋体"/>
                <w:spacing w:val="-1"/>
              </w:rPr>
              <w:t>1</w:t>
            </w:r>
            <w:r>
              <w:rPr>
                <w:spacing w:val="-1"/>
              </w:rPr>
              <w:t>月</w:t>
            </w:r>
            <w:r>
              <w:rPr>
                <w:rFonts w:ascii="宋体" w:hAnsi="宋体" w:eastAsia="宋体" w:cs="宋体"/>
                <w:spacing w:val="-1"/>
              </w:rPr>
              <w:t>31</w:t>
            </w:r>
            <w:r>
              <w:rPr>
                <w:spacing w:val="-1"/>
              </w:rPr>
              <w:t>日前向安全监管监</w:t>
            </w:r>
            <w:r>
              <w:rPr>
                <w:spacing w:val="8"/>
              </w:rPr>
              <w:t>察部门和有关部门报送书面统计分析表。统计分析表</w:t>
            </w:r>
            <w:r>
              <w:rPr>
                <w:spacing w:val="5"/>
              </w:rPr>
              <w:t>应当由生产经营单位主要负责人签字。</w:t>
            </w:r>
          </w:p>
        </w:tc>
        <w:tc>
          <w:tcPr>
            <w:tcW w:w="5797" w:type="dxa"/>
            <w:vAlign w:val="top"/>
          </w:tcPr>
          <w:p w14:paraId="07F3E9CB">
            <w:pPr>
              <w:pStyle w:val="6"/>
              <w:spacing w:before="81" w:line="217" w:lineRule="auto"/>
              <w:ind w:left="119" w:hanging="20"/>
              <w:jc w:val="both"/>
            </w:pPr>
            <w:r>
              <w:rPr>
                <w:spacing w:val="7"/>
              </w:rPr>
              <w:t>【部门规章】《安全生产事故隐患排查治理暂行规定》第二十六条第二项：生产经营单位违反本规定，有下</w:t>
            </w:r>
            <w:r>
              <w:rPr>
                <w:spacing w:val="6"/>
              </w:rPr>
              <w:t>列行为之一的，由安全监管监察部门给予警告，并处</w:t>
            </w:r>
            <w:r>
              <w:rPr>
                <w:spacing w:val="12"/>
              </w:rPr>
              <w:t>三万元以下的罚款</w:t>
            </w:r>
            <w:r>
              <w:rPr>
                <w:spacing w:val="-17"/>
              </w:rPr>
              <w:t>：（</w:t>
            </w:r>
            <w:r>
              <w:rPr>
                <w:spacing w:val="12"/>
              </w:rPr>
              <w:t>二）未按规定上报事故隐患排</w:t>
            </w:r>
            <w:r>
              <w:rPr>
                <w:spacing w:val="3"/>
              </w:rPr>
              <w:t>查治理统计分析表的；</w:t>
            </w:r>
          </w:p>
        </w:tc>
      </w:tr>
    </w:tbl>
    <w:p w14:paraId="00179FA9">
      <w:pPr>
        <w:pStyle w:val="2"/>
      </w:pPr>
    </w:p>
    <w:p w14:paraId="689D2CA5">
      <w:pPr>
        <w:sectPr>
          <w:footerReference r:id="rId236" w:type="default"/>
          <w:pgSz w:w="16839" w:h="11906"/>
          <w:pgMar w:top="1012" w:right="1023" w:bottom="666" w:left="1021" w:header="0" w:footer="388" w:gutter="0"/>
          <w:cols w:space="720" w:num="1"/>
        </w:sectPr>
      </w:pPr>
    </w:p>
    <w:p w14:paraId="22DA04E2">
      <w:pPr>
        <w:spacing w:line="121" w:lineRule="exact"/>
      </w:pPr>
    </w:p>
    <w:tbl>
      <w:tblPr>
        <w:tblStyle w:val="5"/>
        <w:tblW w:w="147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0"/>
        <w:gridCol w:w="2436"/>
        <w:gridCol w:w="5735"/>
        <w:gridCol w:w="5797"/>
      </w:tblGrid>
      <w:tr w14:paraId="4483F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820" w:type="dxa"/>
            <w:vAlign w:val="top"/>
          </w:tcPr>
          <w:p w14:paraId="72C77756">
            <w:pPr>
              <w:spacing w:before="164" w:line="241" w:lineRule="auto"/>
              <w:ind w:left="133"/>
              <w:rPr>
                <w:rFonts w:ascii="黑体" w:hAnsi="黑体" w:eastAsia="黑体" w:cs="黑体"/>
                <w:sz w:val="28"/>
                <w:szCs w:val="28"/>
              </w:rPr>
            </w:pPr>
            <w:r>
              <w:rPr>
                <w:rFonts w:ascii="黑体" w:hAnsi="黑体" w:eastAsia="黑体" w:cs="黑体"/>
                <w:spacing w:val="-2"/>
                <w:sz w:val="28"/>
                <w:szCs w:val="28"/>
              </w:rPr>
              <w:t>序号</w:t>
            </w:r>
          </w:p>
        </w:tc>
        <w:tc>
          <w:tcPr>
            <w:tcW w:w="2436" w:type="dxa"/>
            <w:vAlign w:val="top"/>
          </w:tcPr>
          <w:p w14:paraId="4AC939F4">
            <w:pPr>
              <w:spacing w:before="163"/>
              <w:ind w:left="663"/>
              <w:rPr>
                <w:rFonts w:ascii="黑体" w:hAnsi="黑体" w:eastAsia="黑体" w:cs="黑体"/>
                <w:sz w:val="28"/>
                <w:szCs w:val="28"/>
              </w:rPr>
            </w:pPr>
            <w:r>
              <w:rPr>
                <w:rFonts w:ascii="黑体" w:hAnsi="黑体" w:eastAsia="黑体" w:cs="黑体"/>
                <w:spacing w:val="-3"/>
                <w:sz w:val="28"/>
                <w:szCs w:val="28"/>
              </w:rPr>
              <w:t>违法行为</w:t>
            </w:r>
          </w:p>
        </w:tc>
        <w:tc>
          <w:tcPr>
            <w:tcW w:w="5735" w:type="dxa"/>
            <w:vAlign w:val="top"/>
          </w:tcPr>
          <w:p w14:paraId="1CA85F23">
            <w:pPr>
              <w:spacing w:before="165"/>
              <w:ind w:left="2321"/>
              <w:rPr>
                <w:rFonts w:ascii="黑体" w:hAnsi="黑体" w:eastAsia="黑体" w:cs="黑体"/>
                <w:sz w:val="28"/>
                <w:szCs w:val="28"/>
              </w:rPr>
            </w:pPr>
            <w:r>
              <w:rPr>
                <w:rFonts w:ascii="黑体" w:hAnsi="黑体" w:eastAsia="黑体" w:cs="黑体"/>
                <w:spacing w:val="-4"/>
                <w:sz w:val="28"/>
                <w:szCs w:val="28"/>
              </w:rPr>
              <w:t>法律规定</w:t>
            </w:r>
          </w:p>
        </w:tc>
        <w:tc>
          <w:tcPr>
            <w:tcW w:w="5797" w:type="dxa"/>
            <w:vAlign w:val="top"/>
          </w:tcPr>
          <w:p w14:paraId="4E22E2CE">
            <w:pPr>
              <w:spacing w:before="163"/>
              <w:ind w:left="2346"/>
              <w:rPr>
                <w:rFonts w:ascii="黑体" w:hAnsi="黑体" w:eastAsia="黑体" w:cs="黑体"/>
                <w:sz w:val="28"/>
                <w:szCs w:val="28"/>
              </w:rPr>
            </w:pPr>
            <w:r>
              <w:rPr>
                <w:rFonts w:ascii="黑体" w:hAnsi="黑体" w:eastAsia="黑体" w:cs="黑体"/>
                <w:spacing w:val="-3"/>
                <w:sz w:val="28"/>
                <w:szCs w:val="28"/>
              </w:rPr>
              <w:t>处罚依据</w:t>
            </w:r>
          </w:p>
        </w:tc>
      </w:tr>
      <w:tr w14:paraId="634F3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5" w:hRule="atLeast"/>
        </w:trPr>
        <w:tc>
          <w:tcPr>
            <w:tcW w:w="820" w:type="dxa"/>
            <w:vAlign w:val="top"/>
          </w:tcPr>
          <w:p w14:paraId="753900B0">
            <w:pPr>
              <w:spacing w:line="247" w:lineRule="auto"/>
              <w:rPr>
                <w:rFonts w:ascii="Arial"/>
                <w:sz w:val="21"/>
              </w:rPr>
            </w:pPr>
          </w:p>
          <w:p w14:paraId="386292E5">
            <w:pPr>
              <w:spacing w:line="247" w:lineRule="auto"/>
              <w:rPr>
                <w:rFonts w:ascii="Arial"/>
                <w:sz w:val="21"/>
              </w:rPr>
            </w:pPr>
          </w:p>
          <w:p w14:paraId="1B1CFAA8">
            <w:pPr>
              <w:spacing w:line="248" w:lineRule="auto"/>
              <w:rPr>
                <w:rFonts w:ascii="Arial"/>
                <w:sz w:val="21"/>
              </w:rPr>
            </w:pPr>
          </w:p>
          <w:p w14:paraId="23A1479A">
            <w:pPr>
              <w:spacing w:line="248" w:lineRule="auto"/>
              <w:rPr>
                <w:rFonts w:ascii="Arial"/>
                <w:sz w:val="21"/>
              </w:rPr>
            </w:pPr>
          </w:p>
          <w:p w14:paraId="1B4F4AB1">
            <w:pPr>
              <w:spacing w:line="248" w:lineRule="auto"/>
              <w:rPr>
                <w:rFonts w:ascii="Arial"/>
                <w:sz w:val="21"/>
              </w:rPr>
            </w:pPr>
          </w:p>
          <w:p w14:paraId="0F248EEF">
            <w:pPr>
              <w:spacing w:line="248" w:lineRule="auto"/>
              <w:rPr>
                <w:rFonts w:ascii="Arial"/>
                <w:sz w:val="21"/>
              </w:rPr>
            </w:pPr>
          </w:p>
          <w:p w14:paraId="6C56A3DA">
            <w:pPr>
              <w:spacing w:line="248" w:lineRule="auto"/>
              <w:rPr>
                <w:rFonts w:ascii="Arial"/>
                <w:sz w:val="21"/>
              </w:rPr>
            </w:pPr>
          </w:p>
          <w:p w14:paraId="72F7195A">
            <w:pPr>
              <w:spacing w:before="91" w:line="180" w:lineRule="auto"/>
              <w:ind w:left="318"/>
              <w:rPr>
                <w:rFonts w:ascii="仿宋" w:hAnsi="仿宋" w:eastAsia="仿宋" w:cs="仿宋"/>
                <w:sz w:val="28"/>
                <w:szCs w:val="28"/>
              </w:rPr>
            </w:pPr>
            <w:r>
              <w:rPr>
                <w:rFonts w:ascii="仿宋" w:hAnsi="仿宋" w:eastAsia="仿宋" w:cs="仿宋"/>
                <w:sz w:val="28"/>
                <w:szCs w:val="28"/>
              </w:rPr>
              <w:t>3</w:t>
            </w:r>
          </w:p>
        </w:tc>
        <w:tc>
          <w:tcPr>
            <w:tcW w:w="2436" w:type="dxa"/>
            <w:vAlign w:val="top"/>
          </w:tcPr>
          <w:p w14:paraId="47329FF2">
            <w:pPr>
              <w:spacing w:line="299" w:lineRule="auto"/>
              <w:rPr>
                <w:rFonts w:ascii="Arial"/>
                <w:sz w:val="21"/>
              </w:rPr>
            </w:pPr>
          </w:p>
          <w:p w14:paraId="320C9716">
            <w:pPr>
              <w:spacing w:line="299" w:lineRule="auto"/>
              <w:rPr>
                <w:rFonts w:ascii="Arial"/>
                <w:sz w:val="21"/>
              </w:rPr>
            </w:pPr>
          </w:p>
          <w:p w14:paraId="7AB661EB">
            <w:pPr>
              <w:spacing w:line="299" w:lineRule="auto"/>
              <w:rPr>
                <w:rFonts w:ascii="Arial"/>
                <w:sz w:val="21"/>
              </w:rPr>
            </w:pPr>
          </w:p>
          <w:p w14:paraId="62F7020F">
            <w:pPr>
              <w:spacing w:line="299" w:lineRule="auto"/>
              <w:rPr>
                <w:rFonts w:ascii="Arial"/>
                <w:sz w:val="21"/>
              </w:rPr>
            </w:pPr>
          </w:p>
          <w:p w14:paraId="25D75ABE">
            <w:pPr>
              <w:spacing w:before="75" w:line="280" w:lineRule="auto"/>
              <w:ind w:left="109" w:right="113" w:firstLine="10"/>
              <w:jc w:val="both"/>
              <w:rPr>
                <w:rFonts w:ascii="黑体" w:hAnsi="黑体" w:eastAsia="黑体" w:cs="黑体"/>
                <w:sz w:val="23"/>
                <w:szCs w:val="23"/>
              </w:rPr>
            </w:pPr>
            <w:r>
              <w:rPr>
                <w:rFonts w:ascii="黑体" w:hAnsi="黑体" w:eastAsia="黑体" w:cs="黑体"/>
                <w:spacing w:val="14"/>
                <w:sz w:val="23"/>
                <w:szCs w:val="23"/>
              </w:rPr>
              <w:t>生产经营单位在应急</w:t>
            </w:r>
            <w:r>
              <w:rPr>
                <w:rFonts w:ascii="黑体" w:hAnsi="黑体" w:eastAsia="黑体" w:cs="黑体"/>
                <w:spacing w:val="15"/>
                <w:sz w:val="23"/>
                <w:szCs w:val="23"/>
              </w:rPr>
              <w:t>预案编制前未按照规定开展风险辨识、评</w:t>
            </w:r>
            <w:r>
              <w:rPr>
                <w:rFonts w:ascii="黑体" w:hAnsi="黑体" w:eastAsia="黑体" w:cs="黑体"/>
                <w:spacing w:val="8"/>
                <w:sz w:val="23"/>
                <w:szCs w:val="23"/>
              </w:rPr>
              <w:t>估和应急资源调查的</w:t>
            </w:r>
          </w:p>
        </w:tc>
        <w:tc>
          <w:tcPr>
            <w:tcW w:w="5735" w:type="dxa"/>
            <w:vAlign w:val="top"/>
          </w:tcPr>
          <w:p w14:paraId="09BA3D8B">
            <w:pPr>
              <w:pStyle w:val="6"/>
              <w:spacing w:before="74" w:line="216" w:lineRule="auto"/>
              <w:ind w:left="126" w:right="117" w:hanging="28"/>
              <w:jc w:val="both"/>
            </w:pPr>
            <w:r>
              <w:rPr>
                <w:spacing w:val="8"/>
              </w:rPr>
              <w:t>【部门规章】《生产安全事故应急预案管理办法》第十条第一款：编制应急预案前，编制单位应当进行事</w:t>
            </w:r>
            <w:r>
              <w:rPr>
                <w:spacing w:val="6"/>
              </w:rPr>
              <w:t>故风险辨识、评估和应急资源调查。</w:t>
            </w:r>
          </w:p>
        </w:tc>
        <w:tc>
          <w:tcPr>
            <w:tcW w:w="5797" w:type="dxa"/>
            <w:vAlign w:val="top"/>
          </w:tcPr>
          <w:p w14:paraId="06538BF7">
            <w:pPr>
              <w:pStyle w:val="6"/>
              <w:spacing w:before="79" w:line="217" w:lineRule="auto"/>
              <w:ind w:left="125" w:right="120" w:hanging="26"/>
              <w:jc w:val="both"/>
            </w:pPr>
            <w:r>
              <w:rPr>
                <w:spacing w:val="12"/>
              </w:rPr>
              <w:t>【部门规章】《生产安全事故应急预案管理办法》第</w:t>
            </w:r>
            <w:r>
              <w:rPr>
                <w:spacing w:val="9"/>
              </w:rPr>
              <w:t>四十五条第一款第一项：生产经营单位有下列情形之</w:t>
            </w:r>
            <w:r>
              <w:rPr>
                <w:spacing w:val="7"/>
              </w:rPr>
              <w:t>一的，由县级以上人民政府应急管理部门责令限期改</w:t>
            </w:r>
            <w:r>
              <w:rPr>
                <w:spacing w:val="1"/>
              </w:rPr>
              <w:t>正，可以处</w:t>
            </w:r>
            <w:r>
              <w:rPr>
                <w:rFonts w:ascii="宋体" w:hAnsi="宋体" w:eastAsia="宋体" w:cs="宋体"/>
                <w:spacing w:val="1"/>
              </w:rPr>
              <w:t>1</w:t>
            </w:r>
            <w:r>
              <w:rPr>
                <w:spacing w:val="1"/>
              </w:rPr>
              <w:t>万元以上</w:t>
            </w:r>
            <w:r>
              <w:rPr>
                <w:rFonts w:ascii="宋体" w:hAnsi="宋体" w:eastAsia="宋体" w:cs="宋体"/>
                <w:spacing w:val="1"/>
              </w:rPr>
              <w:t>3</w:t>
            </w:r>
            <w:r>
              <w:rPr>
                <w:spacing w:val="1"/>
              </w:rPr>
              <w:t>万元以下的罚款</w:t>
            </w:r>
            <w:r>
              <w:rPr>
                <w:spacing w:val="-7"/>
              </w:rPr>
              <w:t>：（</w:t>
            </w:r>
            <w:r>
              <w:rPr>
                <w:spacing w:val="1"/>
              </w:rPr>
              <w:t>一）在</w:t>
            </w:r>
            <w:r>
              <w:rPr>
                <w:spacing w:val="11"/>
              </w:rPr>
              <w:t>应急预案编制前未按照规定开展风险辨识、评估和应</w:t>
            </w:r>
            <w:r>
              <w:t>急资源调查的；</w:t>
            </w:r>
          </w:p>
        </w:tc>
      </w:tr>
      <w:tr w14:paraId="2942B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3" w:hRule="atLeast"/>
        </w:trPr>
        <w:tc>
          <w:tcPr>
            <w:tcW w:w="820" w:type="dxa"/>
            <w:vAlign w:val="top"/>
          </w:tcPr>
          <w:p w14:paraId="4FEA1BEF">
            <w:pPr>
              <w:spacing w:line="286" w:lineRule="auto"/>
              <w:rPr>
                <w:rFonts w:ascii="Arial"/>
                <w:sz w:val="21"/>
              </w:rPr>
            </w:pPr>
          </w:p>
          <w:p w14:paraId="38CCFACE">
            <w:pPr>
              <w:spacing w:line="286" w:lineRule="auto"/>
              <w:rPr>
                <w:rFonts w:ascii="Arial"/>
                <w:sz w:val="21"/>
              </w:rPr>
            </w:pPr>
          </w:p>
          <w:p w14:paraId="25FBCFD5">
            <w:pPr>
              <w:spacing w:line="286" w:lineRule="auto"/>
              <w:rPr>
                <w:rFonts w:ascii="Arial"/>
                <w:sz w:val="21"/>
              </w:rPr>
            </w:pPr>
          </w:p>
          <w:p w14:paraId="2C648114">
            <w:pPr>
              <w:spacing w:line="286" w:lineRule="auto"/>
              <w:rPr>
                <w:rFonts w:ascii="Arial"/>
                <w:sz w:val="21"/>
              </w:rPr>
            </w:pPr>
          </w:p>
          <w:p w14:paraId="0C0574AB">
            <w:pPr>
              <w:spacing w:line="286" w:lineRule="auto"/>
              <w:rPr>
                <w:rFonts w:ascii="Arial"/>
                <w:sz w:val="21"/>
              </w:rPr>
            </w:pPr>
          </w:p>
          <w:p w14:paraId="6BC2543C">
            <w:pPr>
              <w:spacing w:before="91" w:line="180" w:lineRule="auto"/>
              <w:ind w:left="312"/>
              <w:rPr>
                <w:rFonts w:ascii="仿宋" w:hAnsi="仿宋" w:eastAsia="仿宋" w:cs="仿宋"/>
                <w:sz w:val="28"/>
                <w:szCs w:val="28"/>
              </w:rPr>
            </w:pPr>
            <w:r>
              <w:rPr>
                <w:rFonts w:ascii="仿宋" w:hAnsi="仿宋" w:eastAsia="仿宋" w:cs="仿宋"/>
                <w:sz w:val="28"/>
                <w:szCs w:val="28"/>
              </w:rPr>
              <w:t>4</w:t>
            </w:r>
          </w:p>
        </w:tc>
        <w:tc>
          <w:tcPr>
            <w:tcW w:w="2436" w:type="dxa"/>
            <w:vAlign w:val="top"/>
          </w:tcPr>
          <w:p w14:paraId="361ECA40">
            <w:pPr>
              <w:spacing w:line="268" w:lineRule="auto"/>
              <w:rPr>
                <w:rFonts w:ascii="Arial"/>
                <w:sz w:val="21"/>
              </w:rPr>
            </w:pPr>
          </w:p>
          <w:p w14:paraId="390F6005">
            <w:pPr>
              <w:spacing w:line="268" w:lineRule="auto"/>
              <w:rPr>
                <w:rFonts w:ascii="Arial"/>
                <w:sz w:val="21"/>
              </w:rPr>
            </w:pPr>
          </w:p>
          <w:p w14:paraId="1F328775">
            <w:pPr>
              <w:spacing w:line="268" w:lineRule="auto"/>
              <w:rPr>
                <w:rFonts w:ascii="Arial"/>
                <w:sz w:val="21"/>
              </w:rPr>
            </w:pPr>
          </w:p>
          <w:p w14:paraId="231E7C4F">
            <w:pPr>
              <w:spacing w:line="269" w:lineRule="auto"/>
              <w:rPr>
                <w:rFonts w:ascii="Arial"/>
                <w:sz w:val="21"/>
              </w:rPr>
            </w:pPr>
          </w:p>
          <w:p w14:paraId="592D33DF">
            <w:pPr>
              <w:spacing w:before="75" w:line="277" w:lineRule="auto"/>
              <w:ind w:left="110" w:right="113" w:firstLine="8"/>
              <w:jc w:val="both"/>
              <w:rPr>
                <w:rFonts w:ascii="黑体" w:hAnsi="黑体" w:eastAsia="黑体" w:cs="黑体"/>
                <w:sz w:val="23"/>
                <w:szCs w:val="23"/>
              </w:rPr>
            </w:pPr>
            <w:r>
              <w:rPr>
                <w:rFonts w:ascii="黑体" w:hAnsi="黑体" w:eastAsia="黑体" w:cs="黑体"/>
                <w:spacing w:val="14"/>
                <w:sz w:val="23"/>
                <w:szCs w:val="23"/>
              </w:rPr>
              <w:t>生产经营单位未按照</w:t>
            </w:r>
            <w:r>
              <w:rPr>
                <w:rFonts w:ascii="黑体" w:hAnsi="黑体" w:eastAsia="黑体" w:cs="黑体"/>
                <w:spacing w:val="15"/>
                <w:sz w:val="23"/>
                <w:szCs w:val="23"/>
              </w:rPr>
              <w:t>规定开展应急预案评</w:t>
            </w:r>
            <w:r>
              <w:rPr>
                <w:rFonts w:ascii="黑体" w:hAnsi="黑体" w:eastAsia="黑体" w:cs="黑体"/>
                <w:spacing w:val="5"/>
                <w:sz w:val="23"/>
                <w:szCs w:val="23"/>
              </w:rPr>
              <w:t>审的</w:t>
            </w:r>
          </w:p>
        </w:tc>
        <w:tc>
          <w:tcPr>
            <w:tcW w:w="5735" w:type="dxa"/>
            <w:vAlign w:val="top"/>
          </w:tcPr>
          <w:p w14:paraId="0E4C572C">
            <w:pPr>
              <w:pStyle w:val="6"/>
              <w:spacing w:before="72" w:line="218" w:lineRule="auto"/>
              <w:ind w:left="117" w:right="117" w:hanging="19"/>
              <w:jc w:val="both"/>
            </w:pPr>
            <w:r>
              <w:rPr>
                <w:spacing w:val="8"/>
              </w:rPr>
              <w:t>【部门规章】《生产安全事故应急预案管理办法》第</w:t>
            </w:r>
            <w:r>
              <w:rPr>
                <w:spacing w:val="9"/>
              </w:rPr>
              <w:t>二十一条：矿山、金属冶炼企业和易燃易爆</w:t>
            </w:r>
            <w:r>
              <w:rPr>
                <w:spacing w:val="8"/>
              </w:rPr>
              <w:t>物品、危</w:t>
            </w:r>
            <w:r>
              <w:rPr>
                <w:spacing w:val="9"/>
              </w:rPr>
              <w:t>险化学品的生产、经营（带储存设施的，下</w:t>
            </w:r>
            <w:r>
              <w:rPr>
                <w:spacing w:val="8"/>
              </w:rPr>
              <w:t>同）、储</w:t>
            </w:r>
            <w:r>
              <w:rPr>
                <w:spacing w:val="9"/>
              </w:rPr>
              <w:t>存、运输企业，以及使用危险化学品达到国</w:t>
            </w:r>
            <w:r>
              <w:rPr>
                <w:spacing w:val="8"/>
              </w:rPr>
              <w:t>家规定数</w:t>
            </w:r>
            <w:r>
              <w:rPr>
                <w:spacing w:val="9"/>
              </w:rPr>
              <w:t>量的化工企业、烟花爆竹生产、批发经营企</w:t>
            </w:r>
            <w:r>
              <w:rPr>
                <w:spacing w:val="8"/>
              </w:rPr>
              <w:t>业和中型</w:t>
            </w:r>
            <w:r>
              <w:rPr>
                <w:spacing w:val="9"/>
              </w:rPr>
              <w:t>规模以上的其他生产经营单位，应当对本单</w:t>
            </w:r>
            <w:r>
              <w:rPr>
                <w:spacing w:val="8"/>
              </w:rPr>
              <w:t>位编制的</w:t>
            </w:r>
            <w:r>
              <w:rPr>
                <w:spacing w:val="7"/>
              </w:rPr>
              <w:t>应急预案进行评审，并形成书面评审纪要。</w:t>
            </w:r>
          </w:p>
          <w:p w14:paraId="6D1B164F">
            <w:pPr>
              <w:pStyle w:val="6"/>
              <w:spacing w:before="16" w:line="193" w:lineRule="auto"/>
              <w:ind w:left="124" w:right="116" w:hanging="3"/>
            </w:pPr>
            <w:r>
              <w:rPr>
                <w:spacing w:val="19"/>
              </w:rPr>
              <w:t>前款规定以外的其他生产经营单位可以根据自身需</w:t>
            </w:r>
            <w:r>
              <w:rPr>
                <w:spacing w:val="6"/>
              </w:rPr>
              <w:t>要，对本单位编制的应急预案进行论证。</w:t>
            </w:r>
          </w:p>
        </w:tc>
        <w:tc>
          <w:tcPr>
            <w:tcW w:w="5797" w:type="dxa"/>
            <w:vAlign w:val="top"/>
          </w:tcPr>
          <w:p w14:paraId="13A7A7E0">
            <w:pPr>
              <w:pStyle w:val="6"/>
              <w:spacing w:before="78" w:line="217" w:lineRule="auto"/>
              <w:ind w:left="117" w:right="114" w:hanging="18"/>
              <w:jc w:val="both"/>
            </w:pPr>
            <w:r>
              <w:rPr>
                <w:spacing w:val="12"/>
              </w:rPr>
              <w:t>【部门规章】《生产安全事故应急预案管理办法》第</w:t>
            </w:r>
            <w:r>
              <w:rPr>
                <w:spacing w:val="9"/>
              </w:rPr>
              <w:t>四十五条第一款第二项：生产经营单位有下列情形之</w:t>
            </w:r>
            <w:r>
              <w:rPr>
                <w:spacing w:val="8"/>
              </w:rPr>
              <w:t>一的，由县级以上人民政府应急管理部门责令限期改</w:t>
            </w:r>
            <w:r>
              <w:rPr>
                <w:spacing w:val="6"/>
              </w:rPr>
              <w:t>正，可以处</w:t>
            </w:r>
            <w:r>
              <w:rPr>
                <w:rFonts w:ascii="宋体" w:hAnsi="宋体" w:eastAsia="宋体" w:cs="宋体"/>
                <w:spacing w:val="6"/>
              </w:rPr>
              <w:t>1</w:t>
            </w:r>
            <w:r>
              <w:rPr>
                <w:spacing w:val="6"/>
              </w:rPr>
              <w:t>万元以上</w:t>
            </w:r>
            <w:r>
              <w:rPr>
                <w:rFonts w:ascii="宋体" w:hAnsi="宋体" w:eastAsia="宋体" w:cs="宋体"/>
                <w:spacing w:val="6"/>
              </w:rPr>
              <w:t>3</w:t>
            </w:r>
            <w:r>
              <w:rPr>
                <w:spacing w:val="6"/>
              </w:rPr>
              <w:t>万元以下的罚款</w:t>
            </w:r>
            <w:r>
              <w:rPr>
                <w:spacing w:val="-18"/>
              </w:rPr>
              <w:t>：（</w:t>
            </w:r>
            <w:r>
              <w:rPr>
                <w:spacing w:val="6"/>
              </w:rPr>
              <w:t>二）未</w:t>
            </w:r>
            <w:r>
              <w:rPr>
                <w:spacing w:val="5"/>
              </w:rPr>
              <w:t>按照规定开展应急预案评审的；</w:t>
            </w:r>
          </w:p>
        </w:tc>
      </w:tr>
      <w:tr w14:paraId="188D5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6" w:hRule="atLeast"/>
        </w:trPr>
        <w:tc>
          <w:tcPr>
            <w:tcW w:w="820" w:type="dxa"/>
            <w:vAlign w:val="top"/>
          </w:tcPr>
          <w:p w14:paraId="5F9EB6F4">
            <w:pPr>
              <w:spacing w:line="299" w:lineRule="auto"/>
              <w:rPr>
                <w:rFonts w:ascii="Arial"/>
                <w:sz w:val="21"/>
              </w:rPr>
            </w:pPr>
          </w:p>
          <w:p w14:paraId="0604B247">
            <w:pPr>
              <w:spacing w:line="299" w:lineRule="auto"/>
              <w:rPr>
                <w:rFonts w:ascii="Arial"/>
                <w:sz w:val="21"/>
              </w:rPr>
            </w:pPr>
          </w:p>
          <w:p w14:paraId="54C69261">
            <w:pPr>
              <w:spacing w:line="299" w:lineRule="auto"/>
              <w:rPr>
                <w:rFonts w:ascii="Arial"/>
                <w:sz w:val="21"/>
              </w:rPr>
            </w:pPr>
          </w:p>
          <w:p w14:paraId="3945B0ED">
            <w:pPr>
              <w:spacing w:before="91" w:line="179" w:lineRule="auto"/>
              <w:ind w:left="318"/>
              <w:rPr>
                <w:rFonts w:ascii="仿宋" w:hAnsi="仿宋" w:eastAsia="仿宋" w:cs="仿宋"/>
                <w:sz w:val="28"/>
                <w:szCs w:val="28"/>
              </w:rPr>
            </w:pPr>
            <w:r>
              <w:rPr>
                <w:rFonts w:ascii="仿宋" w:hAnsi="仿宋" w:eastAsia="仿宋" w:cs="仿宋"/>
                <w:sz w:val="28"/>
                <w:szCs w:val="28"/>
              </w:rPr>
              <w:t>5</w:t>
            </w:r>
          </w:p>
        </w:tc>
        <w:tc>
          <w:tcPr>
            <w:tcW w:w="2436" w:type="dxa"/>
            <w:vAlign w:val="top"/>
          </w:tcPr>
          <w:p w14:paraId="338209A7">
            <w:pPr>
              <w:spacing w:before="77" w:line="278" w:lineRule="auto"/>
              <w:ind w:left="105" w:right="113" w:firstLine="9"/>
              <w:jc w:val="both"/>
              <w:rPr>
                <w:rFonts w:ascii="黑体" w:hAnsi="黑体" w:eastAsia="黑体" w:cs="黑体"/>
                <w:sz w:val="23"/>
                <w:szCs w:val="23"/>
              </w:rPr>
            </w:pPr>
            <w:r>
              <w:rPr>
                <w:rFonts w:ascii="黑体" w:hAnsi="黑体" w:eastAsia="黑体" w:cs="黑体"/>
                <w:spacing w:val="14"/>
                <w:sz w:val="23"/>
                <w:szCs w:val="23"/>
              </w:rPr>
              <w:t>事故风险可能影响周</w:t>
            </w:r>
            <w:r>
              <w:rPr>
                <w:rFonts w:ascii="黑体" w:hAnsi="黑体" w:eastAsia="黑体" w:cs="黑体"/>
                <w:spacing w:val="15"/>
                <w:sz w:val="23"/>
                <w:szCs w:val="23"/>
              </w:rPr>
              <w:t>边单位、人员的，生产经营单位未将事故风险的性质、影响范围和应急防范措施告</w:t>
            </w:r>
            <w:r>
              <w:rPr>
                <w:rFonts w:ascii="黑体" w:hAnsi="黑体" w:eastAsia="黑体" w:cs="黑体"/>
                <w:spacing w:val="9"/>
                <w:sz w:val="23"/>
                <w:szCs w:val="23"/>
              </w:rPr>
              <w:t>知周边单位和人员的</w:t>
            </w:r>
          </w:p>
        </w:tc>
        <w:tc>
          <w:tcPr>
            <w:tcW w:w="5735" w:type="dxa"/>
            <w:vAlign w:val="top"/>
          </w:tcPr>
          <w:p w14:paraId="0C1D655F">
            <w:pPr>
              <w:pStyle w:val="6"/>
              <w:spacing w:before="79" w:line="217" w:lineRule="auto"/>
              <w:ind w:left="120" w:right="116" w:hanging="22"/>
            </w:pPr>
            <w:r>
              <w:rPr>
                <w:spacing w:val="8"/>
              </w:rPr>
              <w:t>【部门规章】《生产安全事故应急预案管理办法》第</w:t>
            </w:r>
            <w:r>
              <w:rPr>
                <w:spacing w:val="7"/>
              </w:rPr>
              <w:t>二十四条第二款：事故风险可能影响周边其他单位、人员的，生产经营单位应当将有关事故风险的性质、</w:t>
            </w:r>
            <w:r>
              <w:rPr>
                <w:spacing w:val="19"/>
              </w:rPr>
              <w:t>影响范围和应急防范措施告知周边的其他单位和人</w:t>
            </w:r>
            <w:r>
              <w:rPr>
                <w:spacing w:val="-8"/>
              </w:rPr>
              <w:t>员。</w:t>
            </w:r>
          </w:p>
        </w:tc>
        <w:tc>
          <w:tcPr>
            <w:tcW w:w="5797" w:type="dxa"/>
            <w:vAlign w:val="top"/>
          </w:tcPr>
          <w:p w14:paraId="205A22D3">
            <w:pPr>
              <w:pStyle w:val="6"/>
              <w:spacing w:before="84" w:line="210" w:lineRule="auto"/>
              <w:ind w:left="127" w:right="114" w:hanging="28"/>
              <w:jc w:val="both"/>
            </w:pPr>
            <w:r>
              <w:rPr>
                <w:spacing w:val="12"/>
              </w:rPr>
              <w:t>【部门规章】《生产安全事故应急预案管理办法》第</w:t>
            </w:r>
            <w:r>
              <w:rPr>
                <w:spacing w:val="9"/>
              </w:rPr>
              <w:t>四十五条第一款第三项：生产经营单位有下列情形之</w:t>
            </w:r>
            <w:r>
              <w:rPr>
                <w:spacing w:val="7"/>
              </w:rPr>
              <w:t>一的，由县级以上人民政府应急管理部门责令限期改</w:t>
            </w:r>
            <w:r>
              <w:rPr>
                <w:spacing w:val="5"/>
              </w:rPr>
              <w:t>正，可以处</w:t>
            </w:r>
            <w:r>
              <w:rPr>
                <w:rFonts w:ascii="宋体" w:hAnsi="宋体" w:eastAsia="宋体" w:cs="宋体"/>
                <w:spacing w:val="5"/>
              </w:rPr>
              <w:t>1</w:t>
            </w:r>
            <w:r>
              <w:rPr>
                <w:spacing w:val="5"/>
              </w:rPr>
              <w:t>万元以上</w:t>
            </w:r>
            <w:r>
              <w:rPr>
                <w:rFonts w:ascii="宋体" w:hAnsi="宋体" w:eastAsia="宋体" w:cs="宋体"/>
                <w:spacing w:val="5"/>
              </w:rPr>
              <w:t>3</w:t>
            </w:r>
            <w:r>
              <w:rPr>
                <w:spacing w:val="5"/>
              </w:rPr>
              <w:t>万元以下的罚款</w:t>
            </w:r>
            <w:r>
              <w:rPr>
                <w:spacing w:val="-14"/>
              </w:rPr>
              <w:t>：（</w:t>
            </w:r>
            <w:r>
              <w:rPr>
                <w:spacing w:val="5"/>
              </w:rPr>
              <w:t>三）事</w:t>
            </w:r>
            <w:r>
              <w:rPr>
                <w:spacing w:val="9"/>
              </w:rPr>
              <w:t>故风险可能影响周边单位、人员的，未将事故风险的</w:t>
            </w:r>
            <w:r>
              <w:rPr>
                <w:spacing w:val="11"/>
              </w:rPr>
              <w:t>性质、影响范围和应急防范措施告知周边单位和人员</w:t>
            </w:r>
          </w:p>
        </w:tc>
      </w:tr>
    </w:tbl>
    <w:p w14:paraId="3F93F8D0">
      <w:pPr>
        <w:pStyle w:val="2"/>
        <w:spacing w:line="169" w:lineRule="exact"/>
        <w:rPr>
          <w:sz w:val="14"/>
        </w:rPr>
      </w:pPr>
    </w:p>
    <w:p w14:paraId="6B9D0CEE">
      <w:pPr>
        <w:spacing w:line="169" w:lineRule="exact"/>
        <w:rPr>
          <w:sz w:val="14"/>
          <w:szCs w:val="14"/>
        </w:rPr>
        <w:sectPr>
          <w:footerReference r:id="rId237" w:type="default"/>
          <w:pgSz w:w="16839" w:h="11906"/>
          <w:pgMar w:top="1012" w:right="1023" w:bottom="666" w:left="1021" w:header="0" w:footer="388" w:gutter="0"/>
          <w:cols w:space="720" w:num="1"/>
        </w:sectPr>
      </w:pPr>
    </w:p>
    <w:p w14:paraId="3E17BE76">
      <w:pPr>
        <w:spacing w:line="121" w:lineRule="exact"/>
      </w:pPr>
    </w:p>
    <w:tbl>
      <w:tblPr>
        <w:tblStyle w:val="5"/>
        <w:tblW w:w="147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0"/>
        <w:gridCol w:w="2436"/>
        <w:gridCol w:w="5735"/>
        <w:gridCol w:w="5797"/>
      </w:tblGrid>
      <w:tr w14:paraId="3C96D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820" w:type="dxa"/>
            <w:vAlign w:val="top"/>
          </w:tcPr>
          <w:p w14:paraId="57881AB2">
            <w:pPr>
              <w:spacing w:before="164" w:line="241" w:lineRule="auto"/>
              <w:ind w:left="133"/>
              <w:rPr>
                <w:rFonts w:ascii="黑体" w:hAnsi="黑体" w:eastAsia="黑体" w:cs="黑体"/>
                <w:sz w:val="28"/>
                <w:szCs w:val="28"/>
              </w:rPr>
            </w:pPr>
            <w:r>
              <w:rPr>
                <w:rFonts w:ascii="黑体" w:hAnsi="黑体" w:eastAsia="黑体" w:cs="黑体"/>
                <w:spacing w:val="-2"/>
                <w:sz w:val="28"/>
                <w:szCs w:val="28"/>
              </w:rPr>
              <w:t>序号</w:t>
            </w:r>
          </w:p>
        </w:tc>
        <w:tc>
          <w:tcPr>
            <w:tcW w:w="2436" w:type="dxa"/>
            <w:vAlign w:val="top"/>
          </w:tcPr>
          <w:p w14:paraId="385D50A1">
            <w:pPr>
              <w:spacing w:before="163"/>
              <w:ind w:left="663"/>
              <w:rPr>
                <w:rFonts w:ascii="黑体" w:hAnsi="黑体" w:eastAsia="黑体" w:cs="黑体"/>
                <w:sz w:val="28"/>
                <w:szCs w:val="28"/>
              </w:rPr>
            </w:pPr>
            <w:r>
              <w:rPr>
                <w:rFonts w:ascii="黑体" w:hAnsi="黑体" w:eastAsia="黑体" w:cs="黑体"/>
                <w:spacing w:val="-3"/>
                <w:sz w:val="28"/>
                <w:szCs w:val="28"/>
              </w:rPr>
              <w:t>违法行为</w:t>
            </w:r>
          </w:p>
        </w:tc>
        <w:tc>
          <w:tcPr>
            <w:tcW w:w="5735" w:type="dxa"/>
            <w:vAlign w:val="top"/>
          </w:tcPr>
          <w:p w14:paraId="11618235">
            <w:pPr>
              <w:spacing w:before="165"/>
              <w:ind w:left="2321"/>
              <w:rPr>
                <w:rFonts w:ascii="黑体" w:hAnsi="黑体" w:eastAsia="黑体" w:cs="黑体"/>
                <w:sz w:val="28"/>
                <w:szCs w:val="28"/>
              </w:rPr>
            </w:pPr>
            <w:r>
              <w:rPr>
                <w:rFonts w:ascii="黑体" w:hAnsi="黑体" w:eastAsia="黑体" w:cs="黑体"/>
                <w:spacing w:val="-4"/>
                <w:sz w:val="28"/>
                <w:szCs w:val="28"/>
              </w:rPr>
              <w:t>法律规定</w:t>
            </w:r>
          </w:p>
        </w:tc>
        <w:tc>
          <w:tcPr>
            <w:tcW w:w="5797" w:type="dxa"/>
            <w:vAlign w:val="top"/>
          </w:tcPr>
          <w:p w14:paraId="76F163A6">
            <w:pPr>
              <w:spacing w:before="163"/>
              <w:ind w:left="2346"/>
              <w:rPr>
                <w:rFonts w:ascii="黑体" w:hAnsi="黑体" w:eastAsia="黑体" w:cs="黑体"/>
                <w:sz w:val="28"/>
                <w:szCs w:val="28"/>
              </w:rPr>
            </w:pPr>
            <w:r>
              <w:rPr>
                <w:rFonts w:ascii="黑体" w:hAnsi="黑体" w:eastAsia="黑体" w:cs="黑体"/>
                <w:spacing w:val="-3"/>
                <w:sz w:val="28"/>
                <w:szCs w:val="28"/>
              </w:rPr>
              <w:t>处罚依据</w:t>
            </w:r>
          </w:p>
        </w:tc>
      </w:tr>
      <w:tr w14:paraId="61E35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20" w:type="dxa"/>
            <w:vAlign w:val="top"/>
          </w:tcPr>
          <w:p w14:paraId="34BEF61D">
            <w:pPr>
              <w:rPr>
                <w:rFonts w:ascii="Arial"/>
                <w:sz w:val="21"/>
              </w:rPr>
            </w:pPr>
          </w:p>
        </w:tc>
        <w:tc>
          <w:tcPr>
            <w:tcW w:w="2436" w:type="dxa"/>
            <w:vAlign w:val="top"/>
          </w:tcPr>
          <w:p w14:paraId="31B3E29F">
            <w:pPr>
              <w:rPr>
                <w:rFonts w:ascii="Arial"/>
                <w:sz w:val="21"/>
              </w:rPr>
            </w:pPr>
          </w:p>
        </w:tc>
        <w:tc>
          <w:tcPr>
            <w:tcW w:w="5735" w:type="dxa"/>
            <w:vAlign w:val="top"/>
          </w:tcPr>
          <w:p w14:paraId="357F3400">
            <w:pPr>
              <w:rPr>
                <w:rFonts w:ascii="Arial"/>
                <w:sz w:val="21"/>
              </w:rPr>
            </w:pPr>
          </w:p>
        </w:tc>
        <w:tc>
          <w:tcPr>
            <w:tcW w:w="5797" w:type="dxa"/>
            <w:vAlign w:val="top"/>
          </w:tcPr>
          <w:p w14:paraId="7051F1EB">
            <w:pPr>
              <w:pStyle w:val="6"/>
              <w:spacing w:before="77" w:line="169" w:lineRule="auto"/>
              <w:ind w:left="141"/>
            </w:pPr>
            <w:r>
              <w:rPr>
                <w:spacing w:val="-16"/>
              </w:rPr>
              <w:t>的；</w:t>
            </w:r>
          </w:p>
        </w:tc>
      </w:tr>
      <w:tr w14:paraId="2E844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2" w:hRule="atLeast"/>
        </w:trPr>
        <w:tc>
          <w:tcPr>
            <w:tcW w:w="820" w:type="dxa"/>
            <w:vAlign w:val="top"/>
          </w:tcPr>
          <w:p w14:paraId="204FBD85">
            <w:pPr>
              <w:spacing w:line="245" w:lineRule="auto"/>
              <w:rPr>
                <w:rFonts w:ascii="Arial"/>
                <w:sz w:val="21"/>
              </w:rPr>
            </w:pPr>
          </w:p>
          <w:p w14:paraId="38E9EFD3">
            <w:pPr>
              <w:spacing w:line="245" w:lineRule="auto"/>
              <w:rPr>
                <w:rFonts w:ascii="Arial"/>
                <w:sz w:val="21"/>
              </w:rPr>
            </w:pPr>
          </w:p>
          <w:p w14:paraId="20516C6F">
            <w:pPr>
              <w:spacing w:line="246" w:lineRule="auto"/>
              <w:rPr>
                <w:rFonts w:ascii="Arial"/>
                <w:sz w:val="21"/>
              </w:rPr>
            </w:pPr>
          </w:p>
          <w:p w14:paraId="4FC352E0">
            <w:pPr>
              <w:spacing w:line="246" w:lineRule="auto"/>
              <w:rPr>
                <w:rFonts w:ascii="Arial"/>
                <w:sz w:val="21"/>
              </w:rPr>
            </w:pPr>
          </w:p>
          <w:p w14:paraId="30CDF742">
            <w:pPr>
              <w:spacing w:line="246" w:lineRule="auto"/>
              <w:rPr>
                <w:rFonts w:ascii="Arial"/>
                <w:sz w:val="21"/>
              </w:rPr>
            </w:pPr>
          </w:p>
          <w:p w14:paraId="10CF5732">
            <w:pPr>
              <w:spacing w:line="246" w:lineRule="auto"/>
              <w:rPr>
                <w:rFonts w:ascii="Arial"/>
                <w:sz w:val="21"/>
              </w:rPr>
            </w:pPr>
          </w:p>
          <w:p w14:paraId="56F0FC1E">
            <w:pPr>
              <w:spacing w:line="246" w:lineRule="auto"/>
              <w:rPr>
                <w:rFonts w:ascii="Arial"/>
                <w:sz w:val="21"/>
              </w:rPr>
            </w:pPr>
          </w:p>
          <w:p w14:paraId="238345B8">
            <w:pPr>
              <w:spacing w:line="246" w:lineRule="auto"/>
              <w:rPr>
                <w:rFonts w:ascii="Arial"/>
                <w:sz w:val="21"/>
              </w:rPr>
            </w:pPr>
          </w:p>
          <w:p w14:paraId="66D2245E">
            <w:pPr>
              <w:spacing w:before="91" w:line="180" w:lineRule="auto"/>
              <w:ind w:left="315"/>
              <w:rPr>
                <w:rFonts w:ascii="仿宋" w:hAnsi="仿宋" w:eastAsia="仿宋" w:cs="仿宋"/>
                <w:sz w:val="28"/>
                <w:szCs w:val="28"/>
              </w:rPr>
            </w:pPr>
            <w:r>
              <w:rPr>
                <w:rFonts w:ascii="仿宋" w:hAnsi="仿宋" w:eastAsia="仿宋" w:cs="仿宋"/>
                <w:sz w:val="28"/>
                <w:szCs w:val="28"/>
              </w:rPr>
              <w:t>6</w:t>
            </w:r>
          </w:p>
        </w:tc>
        <w:tc>
          <w:tcPr>
            <w:tcW w:w="2436" w:type="dxa"/>
            <w:vAlign w:val="top"/>
          </w:tcPr>
          <w:p w14:paraId="514D3FAD">
            <w:pPr>
              <w:spacing w:line="268" w:lineRule="auto"/>
              <w:rPr>
                <w:rFonts w:ascii="Arial"/>
                <w:sz w:val="21"/>
              </w:rPr>
            </w:pPr>
          </w:p>
          <w:p w14:paraId="299FDA13">
            <w:pPr>
              <w:spacing w:line="268" w:lineRule="auto"/>
              <w:rPr>
                <w:rFonts w:ascii="Arial"/>
                <w:sz w:val="21"/>
              </w:rPr>
            </w:pPr>
          </w:p>
          <w:p w14:paraId="63BCCF9C">
            <w:pPr>
              <w:spacing w:line="268" w:lineRule="auto"/>
              <w:rPr>
                <w:rFonts w:ascii="Arial"/>
                <w:sz w:val="21"/>
              </w:rPr>
            </w:pPr>
          </w:p>
          <w:p w14:paraId="1984CB35">
            <w:pPr>
              <w:spacing w:line="268" w:lineRule="auto"/>
              <w:rPr>
                <w:rFonts w:ascii="Arial"/>
                <w:sz w:val="21"/>
              </w:rPr>
            </w:pPr>
          </w:p>
          <w:p w14:paraId="4515206E">
            <w:pPr>
              <w:spacing w:line="269" w:lineRule="auto"/>
              <w:rPr>
                <w:rFonts w:ascii="Arial"/>
                <w:sz w:val="21"/>
              </w:rPr>
            </w:pPr>
          </w:p>
          <w:p w14:paraId="2DFE9F78">
            <w:pPr>
              <w:spacing w:line="269" w:lineRule="auto"/>
              <w:rPr>
                <w:rFonts w:ascii="Arial"/>
                <w:sz w:val="21"/>
              </w:rPr>
            </w:pPr>
          </w:p>
          <w:p w14:paraId="2AC30ACE">
            <w:pPr>
              <w:spacing w:before="74" w:line="277" w:lineRule="auto"/>
              <w:ind w:left="109" w:right="113" w:firstLine="10"/>
              <w:jc w:val="both"/>
              <w:rPr>
                <w:rFonts w:ascii="黑体" w:hAnsi="黑体" w:eastAsia="黑体" w:cs="黑体"/>
                <w:sz w:val="23"/>
                <w:szCs w:val="23"/>
              </w:rPr>
            </w:pPr>
            <w:r>
              <w:rPr>
                <w:rFonts w:ascii="黑体" w:hAnsi="黑体" w:eastAsia="黑体" w:cs="黑体"/>
                <w:spacing w:val="14"/>
                <w:sz w:val="23"/>
                <w:szCs w:val="23"/>
              </w:rPr>
              <w:t>生产经营单位未按照</w:t>
            </w:r>
            <w:r>
              <w:rPr>
                <w:rFonts w:ascii="黑体" w:hAnsi="黑体" w:eastAsia="黑体" w:cs="黑体"/>
                <w:spacing w:val="15"/>
                <w:sz w:val="23"/>
                <w:szCs w:val="23"/>
              </w:rPr>
              <w:t>规定开展应急预案评</w:t>
            </w:r>
            <w:r>
              <w:rPr>
                <w:rFonts w:ascii="黑体" w:hAnsi="黑体" w:eastAsia="黑体" w:cs="黑体"/>
                <w:spacing w:val="6"/>
                <w:sz w:val="23"/>
                <w:szCs w:val="23"/>
              </w:rPr>
              <w:t>估的</w:t>
            </w:r>
          </w:p>
        </w:tc>
        <w:tc>
          <w:tcPr>
            <w:tcW w:w="5735" w:type="dxa"/>
            <w:vAlign w:val="top"/>
          </w:tcPr>
          <w:p w14:paraId="41BEFC6D">
            <w:pPr>
              <w:pStyle w:val="6"/>
              <w:spacing w:before="80" w:line="216" w:lineRule="auto"/>
              <w:ind w:left="117" w:right="117" w:hanging="19"/>
            </w:pPr>
            <w:r>
              <w:rPr>
                <w:spacing w:val="8"/>
              </w:rPr>
              <w:t>【部门规章】《生产安全事故应急预案管理办法》第</w:t>
            </w:r>
            <w:r>
              <w:rPr>
                <w:spacing w:val="9"/>
              </w:rPr>
              <w:t>三十五条：应急预案编制单位应当建立应急</w:t>
            </w:r>
            <w:r>
              <w:rPr>
                <w:spacing w:val="8"/>
              </w:rPr>
              <w:t>预案定期</w:t>
            </w:r>
            <w:r>
              <w:rPr>
                <w:spacing w:val="6"/>
              </w:rPr>
              <w:t>评估制度，对预案内容的针对性和实用性进行分析，并对应急预案是否需要修订作出结论。</w:t>
            </w:r>
          </w:p>
          <w:p w14:paraId="43B9AA35">
            <w:pPr>
              <w:pStyle w:val="6"/>
              <w:spacing w:before="15" w:line="217" w:lineRule="auto"/>
              <w:ind w:left="113" w:right="22" w:firstLine="5"/>
              <w:jc w:val="both"/>
            </w:pPr>
            <w:r>
              <w:rPr>
                <w:spacing w:val="8"/>
              </w:rPr>
              <w:t>矿山、金属冶炼、建筑施工企业和易燃易爆物品、危</w:t>
            </w:r>
            <w:r>
              <w:rPr>
                <w:spacing w:val="3"/>
              </w:rPr>
              <w:t>险化学品等危险物品的生产、经营、储存、运输企业、</w:t>
            </w:r>
            <w:r>
              <w:rPr>
                <w:spacing w:val="9"/>
              </w:rPr>
              <w:t>使用危险化学品达到国家规定数量的化工企业、烟花爆竹生产、批发经营企业和中型规模以上的其他生产</w:t>
            </w:r>
            <w:r>
              <w:rPr>
                <w:spacing w:val="7"/>
              </w:rPr>
              <w:t>经营单位，应当每三年进行一次应急预案评估。</w:t>
            </w:r>
          </w:p>
          <w:p w14:paraId="10D45FA2">
            <w:pPr>
              <w:pStyle w:val="6"/>
              <w:spacing w:before="14" w:line="202" w:lineRule="auto"/>
              <w:ind w:left="118" w:right="117" w:firstLine="6"/>
            </w:pPr>
            <w:r>
              <w:rPr>
                <w:spacing w:val="7"/>
              </w:rPr>
              <w:t>应急预案评估可以邀请相关专业机构或者有关专家、</w:t>
            </w:r>
            <w:r>
              <w:rPr>
                <w:spacing w:val="9"/>
              </w:rPr>
              <w:t>有实际应急救援工作经验的人员参加，必要</w:t>
            </w:r>
            <w:r>
              <w:rPr>
                <w:spacing w:val="8"/>
              </w:rPr>
              <w:t>时可以委</w:t>
            </w:r>
            <w:r>
              <w:rPr>
                <w:spacing w:val="6"/>
              </w:rPr>
              <w:t>托安全生产技术服务机构实施。</w:t>
            </w:r>
          </w:p>
        </w:tc>
        <w:tc>
          <w:tcPr>
            <w:tcW w:w="5797" w:type="dxa"/>
            <w:vAlign w:val="top"/>
          </w:tcPr>
          <w:p w14:paraId="0AE14F25">
            <w:pPr>
              <w:pStyle w:val="6"/>
              <w:spacing w:before="77" w:line="217" w:lineRule="auto"/>
              <w:ind w:left="117" w:right="114" w:hanging="18"/>
              <w:jc w:val="both"/>
            </w:pPr>
            <w:r>
              <w:rPr>
                <w:spacing w:val="12"/>
              </w:rPr>
              <w:t>【部门规章】《生产安全事故应急预案管理办法》第</w:t>
            </w:r>
            <w:r>
              <w:rPr>
                <w:spacing w:val="9"/>
              </w:rPr>
              <w:t>四十五条第一款第四项：生产经营单位有下列情形之</w:t>
            </w:r>
            <w:r>
              <w:rPr>
                <w:spacing w:val="8"/>
              </w:rPr>
              <w:t>一的，由县级以上人民政府应急管理部门责令限期改</w:t>
            </w:r>
            <w:r>
              <w:rPr>
                <w:spacing w:val="6"/>
              </w:rPr>
              <w:t>正，可以处</w:t>
            </w:r>
            <w:r>
              <w:rPr>
                <w:rFonts w:ascii="宋体" w:hAnsi="宋体" w:eastAsia="宋体" w:cs="宋体"/>
                <w:spacing w:val="6"/>
              </w:rPr>
              <w:t>1</w:t>
            </w:r>
            <w:r>
              <w:rPr>
                <w:spacing w:val="6"/>
              </w:rPr>
              <w:t>万元以上</w:t>
            </w:r>
            <w:r>
              <w:rPr>
                <w:rFonts w:ascii="宋体" w:hAnsi="宋体" w:eastAsia="宋体" w:cs="宋体"/>
                <w:spacing w:val="6"/>
              </w:rPr>
              <w:t>3</w:t>
            </w:r>
            <w:r>
              <w:rPr>
                <w:spacing w:val="6"/>
              </w:rPr>
              <w:t>万元以下的罚款</w:t>
            </w:r>
            <w:r>
              <w:rPr>
                <w:spacing w:val="-18"/>
              </w:rPr>
              <w:t>：（</w:t>
            </w:r>
            <w:r>
              <w:rPr>
                <w:spacing w:val="6"/>
              </w:rPr>
              <w:t>四）未</w:t>
            </w:r>
            <w:r>
              <w:rPr>
                <w:spacing w:val="5"/>
              </w:rPr>
              <w:t>按照规定开展应急预案评估的；</w:t>
            </w:r>
          </w:p>
        </w:tc>
      </w:tr>
      <w:tr w14:paraId="0D62A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8" w:hRule="atLeast"/>
        </w:trPr>
        <w:tc>
          <w:tcPr>
            <w:tcW w:w="820" w:type="dxa"/>
            <w:vAlign w:val="top"/>
          </w:tcPr>
          <w:p w14:paraId="1821E481">
            <w:pPr>
              <w:spacing w:line="359" w:lineRule="auto"/>
              <w:rPr>
                <w:rFonts w:ascii="Arial"/>
                <w:sz w:val="21"/>
              </w:rPr>
            </w:pPr>
          </w:p>
          <w:p w14:paraId="4B2009A6">
            <w:pPr>
              <w:spacing w:line="359" w:lineRule="auto"/>
              <w:rPr>
                <w:rFonts w:ascii="Arial"/>
                <w:sz w:val="21"/>
              </w:rPr>
            </w:pPr>
          </w:p>
          <w:p w14:paraId="79F09557">
            <w:pPr>
              <w:spacing w:before="91" w:line="179" w:lineRule="auto"/>
              <w:ind w:left="319"/>
              <w:rPr>
                <w:rFonts w:ascii="仿宋" w:hAnsi="仿宋" w:eastAsia="仿宋" w:cs="仿宋"/>
                <w:sz w:val="28"/>
                <w:szCs w:val="28"/>
              </w:rPr>
            </w:pPr>
            <w:r>
              <w:rPr>
                <w:rFonts w:ascii="仿宋" w:hAnsi="仿宋" w:eastAsia="仿宋" w:cs="仿宋"/>
                <w:sz w:val="28"/>
                <w:szCs w:val="28"/>
              </w:rPr>
              <w:t>7</w:t>
            </w:r>
          </w:p>
        </w:tc>
        <w:tc>
          <w:tcPr>
            <w:tcW w:w="2436" w:type="dxa"/>
            <w:vAlign w:val="top"/>
          </w:tcPr>
          <w:p w14:paraId="46425886">
            <w:pPr>
              <w:spacing w:line="358" w:lineRule="auto"/>
              <w:rPr>
                <w:rFonts w:ascii="Arial"/>
                <w:sz w:val="21"/>
              </w:rPr>
            </w:pPr>
          </w:p>
          <w:p w14:paraId="65D68FC4">
            <w:pPr>
              <w:spacing w:before="75" w:line="277" w:lineRule="auto"/>
              <w:ind w:left="109" w:right="113" w:firstLine="10"/>
              <w:jc w:val="both"/>
              <w:rPr>
                <w:rFonts w:ascii="黑体" w:hAnsi="黑体" w:eastAsia="黑体" w:cs="黑体"/>
                <w:sz w:val="23"/>
                <w:szCs w:val="23"/>
              </w:rPr>
            </w:pPr>
            <w:r>
              <w:rPr>
                <w:rFonts w:ascii="黑体" w:hAnsi="黑体" w:eastAsia="黑体" w:cs="黑体"/>
                <w:spacing w:val="14"/>
                <w:sz w:val="23"/>
                <w:szCs w:val="23"/>
              </w:rPr>
              <w:t>生产经营单位未落实</w:t>
            </w:r>
            <w:r>
              <w:rPr>
                <w:rFonts w:ascii="黑体" w:hAnsi="黑体" w:eastAsia="黑体" w:cs="黑体"/>
                <w:spacing w:val="15"/>
                <w:sz w:val="23"/>
                <w:szCs w:val="23"/>
              </w:rPr>
              <w:t>应急预案规定的应急</w:t>
            </w:r>
            <w:r>
              <w:rPr>
                <w:rFonts w:ascii="黑体" w:hAnsi="黑体" w:eastAsia="黑体" w:cs="黑体"/>
                <w:spacing w:val="8"/>
                <w:sz w:val="23"/>
                <w:szCs w:val="23"/>
              </w:rPr>
              <w:t>物资及装备的</w:t>
            </w:r>
          </w:p>
        </w:tc>
        <w:tc>
          <w:tcPr>
            <w:tcW w:w="5735" w:type="dxa"/>
            <w:vAlign w:val="top"/>
          </w:tcPr>
          <w:p w14:paraId="2A1CE1AA">
            <w:pPr>
              <w:pStyle w:val="6"/>
              <w:spacing w:before="79" w:line="209" w:lineRule="auto"/>
              <w:ind w:left="117" w:right="41" w:hanging="19"/>
            </w:pPr>
            <w:r>
              <w:rPr>
                <w:spacing w:val="8"/>
              </w:rPr>
              <w:t>【部门规章】《生产安全事故应急预案管理办法》第</w:t>
            </w:r>
            <w:r>
              <w:rPr>
                <w:spacing w:val="6"/>
              </w:rPr>
              <w:t>三十八条：生产经营单位应当按照应急预案的规定，</w:t>
            </w:r>
            <w:r>
              <w:rPr>
                <w:spacing w:val="2"/>
              </w:rPr>
              <w:t>落实应急指挥体系、应急救援队伍、应急物资及装备，</w:t>
            </w:r>
            <w:r>
              <w:rPr>
                <w:spacing w:val="9"/>
              </w:rPr>
              <w:t>建立应急物资、装备配备及其使用档案，并</w:t>
            </w:r>
            <w:r>
              <w:rPr>
                <w:spacing w:val="8"/>
              </w:rPr>
              <w:t>对应急物</w:t>
            </w:r>
            <w:r>
              <w:rPr>
                <w:spacing w:val="7"/>
              </w:rPr>
              <w:t>资、装备进行定期检测和维护，使其处于适用状态。</w:t>
            </w:r>
          </w:p>
        </w:tc>
        <w:tc>
          <w:tcPr>
            <w:tcW w:w="5797" w:type="dxa"/>
            <w:vAlign w:val="top"/>
          </w:tcPr>
          <w:p w14:paraId="49D050B5">
            <w:pPr>
              <w:pStyle w:val="6"/>
              <w:spacing w:before="79" w:line="209" w:lineRule="auto"/>
              <w:ind w:left="127" w:right="114" w:hanging="28"/>
              <w:jc w:val="both"/>
            </w:pPr>
            <w:r>
              <w:rPr>
                <w:spacing w:val="12"/>
              </w:rPr>
              <w:t>【部门规章】《生产安全事故应急预案管理办法》第</w:t>
            </w:r>
            <w:r>
              <w:rPr>
                <w:spacing w:val="9"/>
              </w:rPr>
              <w:t>四十五条第一款第六项：生产经营单位有下列情形之</w:t>
            </w:r>
            <w:r>
              <w:rPr>
                <w:spacing w:val="7"/>
              </w:rPr>
              <w:t>一的，由县级以上人民政府应急管理部门责令限期改</w:t>
            </w:r>
            <w:r>
              <w:rPr>
                <w:spacing w:val="5"/>
              </w:rPr>
              <w:t>正，可以处</w:t>
            </w:r>
            <w:r>
              <w:rPr>
                <w:rFonts w:ascii="宋体" w:hAnsi="宋体" w:eastAsia="宋体" w:cs="宋体"/>
                <w:spacing w:val="5"/>
              </w:rPr>
              <w:t>1</w:t>
            </w:r>
            <w:r>
              <w:rPr>
                <w:spacing w:val="5"/>
              </w:rPr>
              <w:t>万元以上</w:t>
            </w:r>
            <w:r>
              <w:rPr>
                <w:rFonts w:ascii="宋体" w:hAnsi="宋体" w:eastAsia="宋体" w:cs="宋体"/>
                <w:spacing w:val="5"/>
              </w:rPr>
              <w:t>3</w:t>
            </w:r>
            <w:r>
              <w:rPr>
                <w:spacing w:val="5"/>
              </w:rPr>
              <w:t>万元以下的罚款</w:t>
            </w:r>
            <w:r>
              <w:rPr>
                <w:spacing w:val="-12"/>
              </w:rPr>
              <w:t>：（</w:t>
            </w:r>
            <w:r>
              <w:rPr>
                <w:spacing w:val="5"/>
              </w:rPr>
              <w:t>六）未</w:t>
            </w:r>
            <w:r>
              <w:rPr>
                <w:spacing w:val="6"/>
              </w:rPr>
              <w:t>落实应急预案规定的应急物资及装备的。</w:t>
            </w:r>
          </w:p>
        </w:tc>
      </w:tr>
    </w:tbl>
    <w:p w14:paraId="0CF200AD">
      <w:pPr>
        <w:spacing w:before="82" w:line="206" w:lineRule="auto"/>
        <w:ind w:left="102" w:right="157" w:firstLine="682"/>
        <w:rPr>
          <w:rFonts w:ascii="微软雅黑" w:hAnsi="微软雅黑" w:eastAsia="微软雅黑" w:cs="微软雅黑"/>
          <w:sz w:val="31"/>
          <w:szCs w:val="31"/>
        </w:rPr>
      </w:pPr>
      <w:r>
        <w:rPr>
          <w:rFonts w:ascii="黑体" w:hAnsi="黑体" w:eastAsia="黑体" w:cs="黑体"/>
          <w:spacing w:val="5"/>
          <w:sz w:val="31"/>
          <w:szCs w:val="31"/>
        </w:rPr>
        <w:t>附注：</w:t>
      </w:r>
      <w:r>
        <w:rPr>
          <w:rFonts w:ascii="微软雅黑" w:hAnsi="微软雅黑" w:eastAsia="微软雅黑" w:cs="微软雅黑"/>
          <w:spacing w:val="5"/>
          <w:sz w:val="31"/>
          <w:szCs w:val="31"/>
        </w:rPr>
        <w:t>一、本清单适用于近三年未发生生产安全事故，且未被纳入严重失信</w:t>
      </w:r>
      <w:r>
        <w:rPr>
          <w:rFonts w:ascii="微软雅黑" w:hAnsi="微软雅黑" w:eastAsia="微软雅黑" w:cs="微软雅黑"/>
          <w:spacing w:val="4"/>
          <w:sz w:val="31"/>
          <w:szCs w:val="31"/>
        </w:rPr>
        <w:t>主体名单的生产经营单位</w:t>
      </w:r>
      <w:r>
        <w:rPr>
          <w:rFonts w:ascii="微软雅黑" w:hAnsi="微软雅黑" w:eastAsia="微软雅黑" w:cs="微软雅黑"/>
          <w:spacing w:val="7"/>
          <w:sz w:val="31"/>
          <w:szCs w:val="31"/>
        </w:rPr>
        <w:t>（高危行业领域生产经营单位除外）。</w:t>
      </w:r>
    </w:p>
    <w:p w14:paraId="3CF1D004">
      <w:pPr>
        <w:spacing w:before="11" w:line="206" w:lineRule="auto"/>
        <w:ind w:left="783"/>
        <w:rPr>
          <w:rFonts w:ascii="微软雅黑" w:hAnsi="微软雅黑" w:eastAsia="微软雅黑" w:cs="微软雅黑"/>
          <w:sz w:val="31"/>
          <w:szCs w:val="31"/>
        </w:rPr>
      </w:pPr>
      <w:r>
        <w:rPr>
          <w:rFonts w:ascii="微软雅黑" w:hAnsi="微软雅黑" w:eastAsia="微软雅黑" w:cs="微软雅黑"/>
          <w:spacing w:val="8"/>
          <w:sz w:val="31"/>
          <w:szCs w:val="31"/>
        </w:rPr>
        <w:t>二、本清单可以不予行政处罚的适用情形需同时满足初次违法、危害后果轻</w:t>
      </w:r>
      <w:r>
        <w:rPr>
          <w:rFonts w:ascii="微软雅黑" w:hAnsi="微软雅黑" w:eastAsia="微软雅黑" w:cs="微软雅黑"/>
          <w:spacing w:val="7"/>
          <w:sz w:val="31"/>
          <w:szCs w:val="31"/>
        </w:rPr>
        <w:t>微、及时改正等情形。</w:t>
      </w:r>
    </w:p>
    <w:p w14:paraId="171AB860">
      <w:pPr>
        <w:spacing w:before="2" w:line="207" w:lineRule="auto"/>
        <w:ind w:left="133" w:right="20" w:firstLine="654"/>
        <w:rPr>
          <w:rFonts w:ascii="微软雅黑" w:hAnsi="微软雅黑" w:eastAsia="微软雅黑" w:cs="微软雅黑"/>
          <w:sz w:val="31"/>
          <w:szCs w:val="31"/>
        </w:rPr>
      </w:pPr>
      <w:r>
        <w:rPr>
          <w:rFonts w:ascii="微软雅黑" w:hAnsi="微软雅黑" w:eastAsia="微软雅黑" w:cs="微软雅黑"/>
          <w:spacing w:val="7"/>
          <w:sz w:val="31"/>
          <w:szCs w:val="31"/>
        </w:rPr>
        <w:t>三、对于清单中首次被发现，可以不予行政处罚的具体违法行为，执</w:t>
      </w:r>
      <w:r>
        <w:rPr>
          <w:rFonts w:ascii="微软雅黑" w:hAnsi="微软雅黑" w:eastAsia="微软雅黑" w:cs="微软雅黑"/>
          <w:spacing w:val="6"/>
          <w:sz w:val="31"/>
          <w:szCs w:val="31"/>
        </w:rPr>
        <w:t>法人员应当对当事人进行教育，</w:t>
      </w:r>
      <w:r>
        <w:rPr>
          <w:rFonts w:ascii="微软雅黑" w:hAnsi="微软雅黑" w:eastAsia="微软雅黑" w:cs="微软雅黑"/>
          <w:spacing w:val="2"/>
          <w:sz w:val="31"/>
          <w:szCs w:val="31"/>
        </w:rPr>
        <w:t>并依法下达现场检查记录、责令限期整改指令书</w:t>
      </w:r>
      <w:r>
        <w:rPr>
          <w:rFonts w:ascii="微软雅黑" w:hAnsi="微软雅黑" w:eastAsia="微软雅黑" w:cs="微软雅黑"/>
          <w:spacing w:val="1"/>
          <w:sz w:val="31"/>
          <w:szCs w:val="31"/>
        </w:rPr>
        <w:t>等文书，并按期复查。对逾期不予整改、整改不符合要求、</w:t>
      </w:r>
      <w:r>
        <w:rPr>
          <w:rFonts w:ascii="微软雅黑" w:hAnsi="微软雅黑" w:eastAsia="微软雅黑" w:cs="微软雅黑"/>
          <w:spacing w:val="7"/>
          <w:sz w:val="31"/>
          <w:szCs w:val="31"/>
        </w:rPr>
        <w:t>拒不整改、弄虚作假、再次发现同项或者其他违法行为的，执法人员应当依法立案查处。</w:t>
      </w:r>
    </w:p>
    <w:sectPr>
      <w:footerReference r:id="rId238" w:type="default"/>
      <w:pgSz w:w="16839" w:h="11906"/>
      <w:pgMar w:top="1012" w:right="1023" w:bottom="666" w:left="1021" w:header="0" w:footer="38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21BC8">
    <w:pPr>
      <w:spacing w:line="176" w:lineRule="auto"/>
      <w:jc w:val="right"/>
      <w:rPr>
        <w:rFonts w:ascii="宋体" w:hAnsi="宋体" w:eastAsia="宋体" w:cs="宋体"/>
        <w:sz w:val="28"/>
        <w:szCs w:val="28"/>
      </w:rPr>
    </w:pPr>
    <w:r>
      <w:rPr>
        <w:rFonts w:ascii="宋体" w:hAnsi="宋体" w:eastAsia="宋体" w:cs="宋体"/>
        <w:spacing w:val="-4"/>
        <w:sz w:val="28"/>
        <w:szCs w:val="28"/>
      </w:rPr>
      <w:t>—3—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E607D">
    <w:pPr>
      <w:spacing w:line="177" w:lineRule="auto"/>
      <w:ind w:left="7715"/>
      <w:rPr>
        <w:rFonts w:ascii="宋体" w:hAnsi="宋体" w:eastAsia="宋体" w:cs="宋体"/>
        <w:sz w:val="28"/>
        <w:szCs w:val="28"/>
      </w:rPr>
    </w:pPr>
    <w:r>
      <w:rPr>
        <w:rFonts w:ascii="宋体" w:hAnsi="宋体" w:eastAsia="宋体" w:cs="宋体"/>
        <w:spacing w:val="-7"/>
        <w:sz w:val="28"/>
        <w:szCs w:val="28"/>
      </w:rPr>
      <w:t>—13—</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2CAAA">
    <w:pPr>
      <w:spacing w:line="177" w:lineRule="auto"/>
      <w:ind w:left="13541"/>
      <w:rPr>
        <w:rFonts w:ascii="宋体" w:hAnsi="宋体" w:eastAsia="宋体" w:cs="宋体"/>
        <w:sz w:val="28"/>
        <w:szCs w:val="28"/>
      </w:rPr>
    </w:pPr>
    <w:r>
      <w:rPr>
        <w:rFonts w:ascii="宋体" w:hAnsi="宋体" w:eastAsia="宋体" w:cs="宋体"/>
        <w:spacing w:val="-5"/>
        <w:sz w:val="28"/>
        <w:szCs w:val="28"/>
      </w:rPr>
      <w:t>—103—</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CF0B9">
    <w:pPr>
      <w:spacing w:line="177" w:lineRule="auto"/>
      <w:ind w:left="231"/>
      <w:rPr>
        <w:rFonts w:ascii="宋体" w:hAnsi="宋体" w:eastAsia="宋体" w:cs="宋体"/>
        <w:sz w:val="28"/>
        <w:szCs w:val="28"/>
      </w:rPr>
    </w:pPr>
    <w:r>
      <w:rPr>
        <w:rFonts w:ascii="宋体" w:hAnsi="宋体" w:eastAsia="宋体" w:cs="宋体"/>
        <w:spacing w:val="-5"/>
        <w:sz w:val="28"/>
        <w:szCs w:val="28"/>
      </w:rPr>
      <w:t>—104—</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D292E">
    <w:pPr>
      <w:spacing w:line="177" w:lineRule="auto"/>
      <w:ind w:left="13541"/>
      <w:rPr>
        <w:rFonts w:ascii="宋体" w:hAnsi="宋体" w:eastAsia="宋体" w:cs="宋体"/>
        <w:sz w:val="28"/>
        <w:szCs w:val="28"/>
      </w:rPr>
    </w:pPr>
    <w:r>
      <w:rPr>
        <w:rFonts w:ascii="宋体" w:hAnsi="宋体" w:eastAsia="宋体" w:cs="宋体"/>
        <w:spacing w:val="-5"/>
        <w:sz w:val="28"/>
        <w:szCs w:val="28"/>
      </w:rPr>
      <w:t>—105—</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DE4A0">
    <w:pPr>
      <w:pStyle w:val="2"/>
      <w:spacing w:line="14" w:lineRule="auto"/>
      <w:rPr>
        <w:sz w:val="2"/>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C39AF">
    <w:pPr>
      <w:spacing w:line="177" w:lineRule="auto"/>
      <w:ind w:left="13541"/>
      <w:rPr>
        <w:rFonts w:ascii="宋体" w:hAnsi="宋体" w:eastAsia="宋体" w:cs="宋体"/>
        <w:sz w:val="28"/>
        <w:szCs w:val="28"/>
      </w:rPr>
    </w:pPr>
    <w:r>
      <w:rPr>
        <w:rFonts w:ascii="宋体" w:hAnsi="宋体" w:eastAsia="宋体" w:cs="宋体"/>
        <w:spacing w:val="-5"/>
        <w:sz w:val="28"/>
        <w:szCs w:val="28"/>
      </w:rPr>
      <w:t>—107—</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43DA5">
    <w:pPr>
      <w:spacing w:line="177" w:lineRule="auto"/>
      <w:ind w:left="231"/>
      <w:rPr>
        <w:rFonts w:ascii="宋体" w:hAnsi="宋体" w:eastAsia="宋体" w:cs="宋体"/>
        <w:sz w:val="28"/>
        <w:szCs w:val="28"/>
      </w:rPr>
    </w:pPr>
    <w:r>
      <w:rPr>
        <w:rFonts w:ascii="宋体" w:hAnsi="宋体" w:eastAsia="宋体" w:cs="宋体"/>
        <w:spacing w:val="-5"/>
        <w:sz w:val="28"/>
        <w:szCs w:val="28"/>
      </w:rPr>
      <w:t>—108—</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11BD0">
    <w:pPr>
      <w:spacing w:line="177" w:lineRule="auto"/>
      <w:ind w:left="13541"/>
      <w:rPr>
        <w:rFonts w:ascii="宋体" w:hAnsi="宋体" w:eastAsia="宋体" w:cs="宋体"/>
        <w:sz w:val="28"/>
        <w:szCs w:val="28"/>
      </w:rPr>
    </w:pPr>
    <w:r>
      <w:rPr>
        <w:rFonts w:ascii="宋体" w:hAnsi="宋体" w:eastAsia="宋体" w:cs="宋体"/>
        <w:spacing w:val="-5"/>
        <w:sz w:val="28"/>
        <w:szCs w:val="28"/>
      </w:rPr>
      <w:t>—109—</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76FDA">
    <w:pPr>
      <w:spacing w:line="177" w:lineRule="auto"/>
      <w:ind w:left="231"/>
      <w:rPr>
        <w:rFonts w:ascii="宋体" w:hAnsi="宋体" w:eastAsia="宋体" w:cs="宋体"/>
        <w:sz w:val="28"/>
        <w:szCs w:val="28"/>
      </w:rPr>
    </w:pPr>
    <w:r>
      <w:rPr>
        <w:rFonts w:ascii="宋体" w:hAnsi="宋体" w:eastAsia="宋体" w:cs="宋体"/>
        <w:spacing w:val="-5"/>
        <w:sz w:val="28"/>
        <w:szCs w:val="28"/>
      </w:rPr>
      <w:t>—110—</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FB8AB">
    <w:pPr>
      <w:spacing w:line="177" w:lineRule="auto"/>
      <w:ind w:left="13541"/>
      <w:rPr>
        <w:rFonts w:ascii="宋体" w:hAnsi="宋体" w:eastAsia="宋体" w:cs="宋体"/>
        <w:sz w:val="28"/>
        <w:szCs w:val="28"/>
      </w:rPr>
    </w:pPr>
    <w:r>
      <w:rPr>
        <w:rFonts w:ascii="宋体" w:hAnsi="宋体" w:eastAsia="宋体" w:cs="宋体"/>
        <w:spacing w:val="-5"/>
        <w:sz w:val="28"/>
        <w:szCs w:val="28"/>
      </w:rPr>
      <w:t>—111—</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B02E2">
    <w:pPr>
      <w:spacing w:line="177" w:lineRule="auto"/>
      <w:ind w:left="231"/>
      <w:rPr>
        <w:rFonts w:ascii="宋体" w:hAnsi="宋体" w:eastAsia="宋体" w:cs="宋体"/>
        <w:sz w:val="28"/>
        <w:szCs w:val="28"/>
      </w:rPr>
    </w:pPr>
    <w:r>
      <w:rPr>
        <w:rFonts w:ascii="宋体" w:hAnsi="宋体" w:eastAsia="宋体" w:cs="宋体"/>
        <w:spacing w:val="-5"/>
        <w:sz w:val="28"/>
        <w:szCs w:val="28"/>
      </w:rPr>
      <w:t>—112—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80974">
    <w:pPr>
      <w:spacing w:line="177" w:lineRule="auto"/>
      <w:rPr>
        <w:rFonts w:ascii="宋体" w:hAnsi="宋体" w:eastAsia="宋体" w:cs="宋体"/>
        <w:sz w:val="28"/>
        <w:szCs w:val="28"/>
      </w:rPr>
    </w:pPr>
    <w:r>
      <w:rPr>
        <w:rFonts w:ascii="宋体" w:hAnsi="宋体" w:eastAsia="宋体" w:cs="宋体"/>
        <w:spacing w:val="-7"/>
        <w:sz w:val="28"/>
        <w:szCs w:val="28"/>
      </w:rPr>
      <w:t>—14—</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7AB92">
    <w:pPr>
      <w:spacing w:line="177" w:lineRule="auto"/>
      <w:ind w:left="13541"/>
      <w:rPr>
        <w:rFonts w:ascii="宋体" w:hAnsi="宋体" w:eastAsia="宋体" w:cs="宋体"/>
        <w:sz w:val="28"/>
        <w:szCs w:val="28"/>
      </w:rPr>
    </w:pPr>
    <w:r>
      <w:rPr>
        <w:rFonts w:ascii="宋体" w:hAnsi="宋体" w:eastAsia="宋体" w:cs="宋体"/>
        <w:spacing w:val="-5"/>
        <w:sz w:val="28"/>
        <w:szCs w:val="28"/>
      </w:rPr>
      <w:t>—113—</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EFD3B">
    <w:pPr>
      <w:spacing w:line="177" w:lineRule="auto"/>
      <w:ind w:left="231"/>
      <w:rPr>
        <w:rFonts w:ascii="宋体" w:hAnsi="宋体" w:eastAsia="宋体" w:cs="宋体"/>
        <w:sz w:val="28"/>
        <w:szCs w:val="28"/>
      </w:rPr>
    </w:pPr>
    <w:r>
      <w:rPr>
        <w:rFonts w:ascii="宋体" w:hAnsi="宋体" w:eastAsia="宋体" w:cs="宋体"/>
        <w:spacing w:val="-5"/>
        <w:sz w:val="28"/>
        <w:szCs w:val="28"/>
      </w:rPr>
      <w:t>—114—</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19B62">
    <w:pPr>
      <w:spacing w:line="177" w:lineRule="auto"/>
      <w:ind w:left="13541"/>
      <w:rPr>
        <w:rFonts w:ascii="宋体" w:hAnsi="宋体" w:eastAsia="宋体" w:cs="宋体"/>
        <w:sz w:val="28"/>
        <w:szCs w:val="28"/>
      </w:rPr>
    </w:pPr>
    <w:r>
      <w:rPr>
        <w:rFonts w:ascii="宋体" w:hAnsi="宋体" w:eastAsia="宋体" w:cs="宋体"/>
        <w:spacing w:val="-5"/>
        <w:sz w:val="28"/>
        <w:szCs w:val="28"/>
      </w:rPr>
      <w:t>—115—</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BC1B1">
    <w:pPr>
      <w:spacing w:line="177" w:lineRule="auto"/>
      <w:ind w:left="231"/>
      <w:rPr>
        <w:rFonts w:ascii="宋体" w:hAnsi="宋体" w:eastAsia="宋体" w:cs="宋体"/>
        <w:sz w:val="28"/>
        <w:szCs w:val="28"/>
      </w:rPr>
    </w:pPr>
    <w:r>
      <w:rPr>
        <w:rFonts w:ascii="宋体" w:hAnsi="宋体" w:eastAsia="宋体" w:cs="宋体"/>
        <w:spacing w:val="-5"/>
        <w:sz w:val="28"/>
        <w:szCs w:val="28"/>
      </w:rPr>
      <w:t>—116—</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8141F">
    <w:pPr>
      <w:spacing w:line="177" w:lineRule="auto"/>
      <w:ind w:left="13541"/>
      <w:rPr>
        <w:rFonts w:ascii="宋体" w:hAnsi="宋体" w:eastAsia="宋体" w:cs="宋体"/>
        <w:sz w:val="28"/>
        <w:szCs w:val="28"/>
      </w:rPr>
    </w:pPr>
    <w:r>
      <w:rPr>
        <w:rFonts w:ascii="宋体" w:hAnsi="宋体" w:eastAsia="宋体" w:cs="宋体"/>
        <w:spacing w:val="-5"/>
        <w:sz w:val="28"/>
        <w:szCs w:val="28"/>
      </w:rPr>
      <w:t>—117—</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4310B">
    <w:pPr>
      <w:spacing w:line="177" w:lineRule="auto"/>
      <w:ind w:left="231"/>
      <w:rPr>
        <w:rFonts w:ascii="宋体" w:hAnsi="宋体" w:eastAsia="宋体" w:cs="宋体"/>
        <w:sz w:val="28"/>
        <w:szCs w:val="28"/>
      </w:rPr>
    </w:pPr>
    <w:r>
      <w:rPr>
        <w:rFonts w:ascii="宋体" w:hAnsi="宋体" w:eastAsia="宋体" w:cs="宋体"/>
        <w:spacing w:val="-5"/>
        <w:sz w:val="28"/>
        <w:szCs w:val="28"/>
      </w:rPr>
      <w:t>—118—</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A81C0">
    <w:pPr>
      <w:spacing w:line="177" w:lineRule="auto"/>
      <w:ind w:left="13541"/>
      <w:rPr>
        <w:rFonts w:ascii="宋体" w:hAnsi="宋体" w:eastAsia="宋体" w:cs="宋体"/>
        <w:sz w:val="28"/>
        <w:szCs w:val="28"/>
      </w:rPr>
    </w:pPr>
    <w:r>
      <w:rPr>
        <w:rFonts w:ascii="宋体" w:hAnsi="宋体" w:eastAsia="宋体" w:cs="宋体"/>
        <w:spacing w:val="-5"/>
        <w:sz w:val="28"/>
        <w:szCs w:val="28"/>
      </w:rPr>
      <w:t>—119—</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B2985">
    <w:pPr>
      <w:spacing w:line="177" w:lineRule="auto"/>
      <w:ind w:left="231"/>
      <w:rPr>
        <w:rFonts w:ascii="宋体" w:hAnsi="宋体" w:eastAsia="宋体" w:cs="宋体"/>
        <w:sz w:val="28"/>
        <w:szCs w:val="28"/>
      </w:rPr>
    </w:pPr>
    <w:r>
      <w:rPr>
        <w:rFonts w:ascii="宋体" w:hAnsi="宋体" w:eastAsia="宋体" w:cs="宋体"/>
        <w:spacing w:val="-5"/>
        <w:sz w:val="28"/>
        <w:szCs w:val="28"/>
      </w:rPr>
      <w:t>—120—</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97CC0">
    <w:pPr>
      <w:spacing w:line="177" w:lineRule="auto"/>
      <w:ind w:left="13541"/>
      <w:rPr>
        <w:rFonts w:ascii="宋体" w:hAnsi="宋体" w:eastAsia="宋体" w:cs="宋体"/>
        <w:sz w:val="28"/>
        <w:szCs w:val="28"/>
      </w:rPr>
    </w:pPr>
    <w:r>
      <w:rPr>
        <w:rFonts w:ascii="宋体" w:hAnsi="宋体" w:eastAsia="宋体" w:cs="宋体"/>
        <w:spacing w:val="-5"/>
        <w:sz w:val="28"/>
        <w:szCs w:val="28"/>
      </w:rPr>
      <w:t>—121—</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274B9">
    <w:pPr>
      <w:spacing w:line="177" w:lineRule="auto"/>
      <w:ind w:left="231"/>
      <w:rPr>
        <w:rFonts w:ascii="宋体" w:hAnsi="宋体" w:eastAsia="宋体" w:cs="宋体"/>
        <w:sz w:val="28"/>
        <w:szCs w:val="28"/>
      </w:rPr>
    </w:pPr>
    <w:r>
      <w:rPr>
        <w:rFonts w:ascii="宋体" w:hAnsi="宋体" w:eastAsia="宋体" w:cs="宋体"/>
        <w:spacing w:val="-5"/>
        <w:sz w:val="28"/>
        <w:szCs w:val="28"/>
      </w:rPr>
      <w:t>—122—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63E34">
    <w:pPr>
      <w:spacing w:line="177" w:lineRule="auto"/>
      <w:ind w:left="7746"/>
      <w:rPr>
        <w:rFonts w:ascii="宋体" w:hAnsi="宋体" w:eastAsia="宋体" w:cs="宋体"/>
        <w:sz w:val="28"/>
        <w:szCs w:val="28"/>
      </w:rPr>
    </w:pPr>
    <w:r>
      <w:rPr>
        <w:rFonts w:ascii="宋体" w:hAnsi="宋体" w:eastAsia="宋体" w:cs="宋体"/>
        <w:spacing w:val="-7"/>
        <w:sz w:val="28"/>
        <w:szCs w:val="28"/>
      </w:rPr>
      <w:t>—15—</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20B7B">
    <w:pPr>
      <w:spacing w:line="177" w:lineRule="auto"/>
      <w:ind w:left="13541"/>
      <w:rPr>
        <w:rFonts w:ascii="宋体" w:hAnsi="宋体" w:eastAsia="宋体" w:cs="宋体"/>
        <w:sz w:val="28"/>
        <w:szCs w:val="28"/>
      </w:rPr>
    </w:pPr>
    <w:r>
      <w:rPr>
        <w:rFonts w:ascii="宋体" w:hAnsi="宋体" w:eastAsia="宋体" w:cs="宋体"/>
        <w:spacing w:val="-5"/>
        <w:sz w:val="28"/>
        <w:szCs w:val="28"/>
      </w:rPr>
      <w:t>—123—</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A698E">
    <w:pPr>
      <w:spacing w:line="177" w:lineRule="auto"/>
      <w:ind w:left="231"/>
      <w:rPr>
        <w:rFonts w:ascii="宋体" w:hAnsi="宋体" w:eastAsia="宋体" w:cs="宋体"/>
        <w:sz w:val="28"/>
        <w:szCs w:val="28"/>
      </w:rPr>
    </w:pPr>
    <w:r>
      <w:rPr>
        <w:rFonts w:ascii="宋体" w:hAnsi="宋体" w:eastAsia="宋体" w:cs="宋体"/>
        <w:spacing w:val="-5"/>
        <w:sz w:val="28"/>
        <w:szCs w:val="28"/>
      </w:rPr>
      <w:t>—124—</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51F5E">
    <w:pPr>
      <w:spacing w:line="177" w:lineRule="auto"/>
      <w:ind w:left="13541"/>
      <w:rPr>
        <w:rFonts w:ascii="宋体" w:hAnsi="宋体" w:eastAsia="宋体" w:cs="宋体"/>
        <w:sz w:val="28"/>
        <w:szCs w:val="28"/>
      </w:rPr>
    </w:pPr>
    <w:r>
      <w:rPr>
        <w:rFonts w:ascii="宋体" w:hAnsi="宋体" w:eastAsia="宋体" w:cs="宋体"/>
        <w:spacing w:val="-5"/>
        <w:sz w:val="28"/>
        <w:szCs w:val="28"/>
      </w:rPr>
      <w:t>—125—</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A6193">
    <w:pPr>
      <w:spacing w:line="177" w:lineRule="auto"/>
      <w:ind w:left="231"/>
      <w:rPr>
        <w:rFonts w:ascii="宋体" w:hAnsi="宋体" w:eastAsia="宋体" w:cs="宋体"/>
        <w:sz w:val="28"/>
        <w:szCs w:val="28"/>
      </w:rPr>
    </w:pPr>
    <w:r>
      <w:rPr>
        <w:rFonts w:ascii="宋体" w:hAnsi="宋体" w:eastAsia="宋体" w:cs="宋体"/>
        <w:spacing w:val="-5"/>
        <w:sz w:val="28"/>
        <w:szCs w:val="28"/>
      </w:rPr>
      <w:t>—126—</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D0DD9">
    <w:pPr>
      <w:spacing w:line="177" w:lineRule="auto"/>
      <w:ind w:left="13541"/>
      <w:rPr>
        <w:rFonts w:ascii="宋体" w:hAnsi="宋体" w:eastAsia="宋体" w:cs="宋体"/>
        <w:sz w:val="28"/>
        <w:szCs w:val="28"/>
      </w:rPr>
    </w:pPr>
    <w:r>
      <w:rPr>
        <w:rFonts w:ascii="宋体" w:hAnsi="宋体" w:eastAsia="宋体" w:cs="宋体"/>
        <w:spacing w:val="-5"/>
        <w:sz w:val="28"/>
        <w:szCs w:val="28"/>
      </w:rPr>
      <w:t>—127—</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832EC">
    <w:pPr>
      <w:spacing w:line="177" w:lineRule="auto"/>
      <w:ind w:left="231"/>
      <w:rPr>
        <w:rFonts w:ascii="宋体" w:hAnsi="宋体" w:eastAsia="宋体" w:cs="宋体"/>
        <w:sz w:val="28"/>
        <w:szCs w:val="28"/>
      </w:rPr>
    </w:pPr>
    <w:r>
      <w:rPr>
        <w:rFonts w:ascii="宋体" w:hAnsi="宋体" w:eastAsia="宋体" w:cs="宋体"/>
        <w:spacing w:val="-5"/>
        <w:sz w:val="28"/>
        <w:szCs w:val="28"/>
      </w:rPr>
      <w:t>—128—</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07513">
    <w:pPr>
      <w:spacing w:line="177" w:lineRule="auto"/>
      <w:ind w:left="13541"/>
      <w:rPr>
        <w:rFonts w:ascii="宋体" w:hAnsi="宋体" w:eastAsia="宋体" w:cs="宋体"/>
        <w:sz w:val="28"/>
        <w:szCs w:val="28"/>
      </w:rPr>
    </w:pPr>
    <w:r>
      <w:rPr>
        <w:rFonts w:ascii="宋体" w:hAnsi="宋体" w:eastAsia="宋体" w:cs="宋体"/>
        <w:spacing w:val="-5"/>
        <w:sz w:val="28"/>
        <w:szCs w:val="28"/>
      </w:rPr>
      <w:t>—129—</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4F7D2">
    <w:pPr>
      <w:spacing w:line="177" w:lineRule="auto"/>
      <w:ind w:left="231"/>
      <w:rPr>
        <w:rFonts w:ascii="宋体" w:hAnsi="宋体" w:eastAsia="宋体" w:cs="宋体"/>
        <w:sz w:val="28"/>
        <w:szCs w:val="28"/>
      </w:rPr>
    </w:pPr>
    <w:r>
      <w:rPr>
        <w:rFonts w:ascii="宋体" w:hAnsi="宋体" w:eastAsia="宋体" w:cs="宋体"/>
        <w:spacing w:val="-5"/>
        <w:sz w:val="28"/>
        <w:szCs w:val="28"/>
      </w:rPr>
      <w:t>—130—</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3C6AC">
    <w:pPr>
      <w:spacing w:line="177" w:lineRule="auto"/>
      <w:ind w:left="13541"/>
      <w:rPr>
        <w:rFonts w:ascii="宋体" w:hAnsi="宋体" w:eastAsia="宋体" w:cs="宋体"/>
        <w:sz w:val="28"/>
        <w:szCs w:val="28"/>
      </w:rPr>
    </w:pPr>
    <w:r>
      <w:rPr>
        <w:rFonts w:ascii="宋体" w:hAnsi="宋体" w:eastAsia="宋体" w:cs="宋体"/>
        <w:spacing w:val="-5"/>
        <w:sz w:val="28"/>
        <w:szCs w:val="28"/>
      </w:rPr>
      <w:t>—131—</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7064E">
    <w:pPr>
      <w:spacing w:line="177" w:lineRule="auto"/>
      <w:ind w:left="231"/>
      <w:rPr>
        <w:rFonts w:ascii="宋体" w:hAnsi="宋体" w:eastAsia="宋体" w:cs="宋体"/>
        <w:sz w:val="28"/>
        <w:szCs w:val="28"/>
      </w:rPr>
    </w:pPr>
    <w:r>
      <w:rPr>
        <w:rFonts w:ascii="宋体" w:hAnsi="宋体" w:eastAsia="宋体" w:cs="宋体"/>
        <w:spacing w:val="-5"/>
        <w:sz w:val="28"/>
        <w:szCs w:val="28"/>
      </w:rPr>
      <w:t>—132—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95743">
    <w:pPr>
      <w:spacing w:line="177" w:lineRule="auto"/>
      <w:rPr>
        <w:rFonts w:ascii="宋体" w:hAnsi="宋体" w:eastAsia="宋体" w:cs="宋体"/>
        <w:sz w:val="28"/>
        <w:szCs w:val="28"/>
      </w:rPr>
    </w:pPr>
    <w:r>
      <w:rPr>
        <w:rFonts w:ascii="宋体" w:hAnsi="宋体" w:eastAsia="宋体" w:cs="宋体"/>
        <w:spacing w:val="-7"/>
        <w:sz w:val="28"/>
        <w:szCs w:val="28"/>
      </w:rPr>
      <w:t>—16—</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47295">
    <w:pPr>
      <w:spacing w:line="177" w:lineRule="auto"/>
      <w:ind w:left="13541"/>
      <w:rPr>
        <w:rFonts w:ascii="宋体" w:hAnsi="宋体" w:eastAsia="宋体" w:cs="宋体"/>
        <w:sz w:val="28"/>
        <w:szCs w:val="28"/>
      </w:rPr>
    </w:pPr>
    <w:r>
      <w:rPr>
        <w:rFonts w:ascii="宋体" w:hAnsi="宋体" w:eastAsia="宋体" w:cs="宋体"/>
        <w:spacing w:val="-5"/>
        <w:sz w:val="28"/>
        <w:szCs w:val="28"/>
      </w:rPr>
      <w:t>—133—</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C0516">
    <w:pPr>
      <w:spacing w:line="177" w:lineRule="auto"/>
      <w:ind w:left="231"/>
      <w:rPr>
        <w:rFonts w:ascii="宋体" w:hAnsi="宋体" w:eastAsia="宋体" w:cs="宋体"/>
        <w:sz w:val="28"/>
        <w:szCs w:val="28"/>
      </w:rPr>
    </w:pPr>
    <w:r>
      <w:rPr>
        <w:rFonts w:ascii="宋体" w:hAnsi="宋体" w:eastAsia="宋体" w:cs="宋体"/>
        <w:spacing w:val="-5"/>
        <w:sz w:val="28"/>
        <w:szCs w:val="28"/>
      </w:rPr>
      <w:t>—134—</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40D79">
    <w:pPr>
      <w:spacing w:line="177" w:lineRule="auto"/>
      <w:ind w:left="13541"/>
      <w:rPr>
        <w:rFonts w:ascii="宋体" w:hAnsi="宋体" w:eastAsia="宋体" w:cs="宋体"/>
        <w:sz w:val="28"/>
        <w:szCs w:val="28"/>
      </w:rPr>
    </w:pPr>
    <w:r>
      <w:rPr>
        <w:rFonts w:ascii="宋体" w:hAnsi="宋体" w:eastAsia="宋体" w:cs="宋体"/>
        <w:spacing w:val="-5"/>
        <w:sz w:val="28"/>
        <w:szCs w:val="28"/>
      </w:rPr>
      <w:t>—135—</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E10F9">
    <w:pPr>
      <w:spacing w:line="177" w:lineRule="auto"/>
      <w:ind w:left="231"/>
      <w:rPr>
        <w:rFonts w:ascii="宋体" w:hAnsi="宋体" w:eastAsia="宋体" w:cs="宋体"/>
        <w:sz w:val="28"/>
        <w:szCs w:val="28"/>
      </w:rPr>
    </w:pPr>
    <w:r>
      <w:rPr>
        <w:rFonts w:ascii="宋体" w:hAnsi="宋体" w:eastAsia="宋体" w:cs="宋体"/>
        <w:spacing w:val="-5"/>
        <w:sz w:val="28"/>
        <w:szCs w:val="28"/>
      </w:rPr>
      <w:t>—136—</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64E39">
    <w:pPr>
      <w:spacing w:line="177" w:lineRule="auto"/>
      <w:ind w:left="13541"/>
      <w:rPr>
        <w:rFonts w:ascii="宋体" w:hAnsi="宋体" w:eastAsia="宋体" w:cs="宋体"/>
        <w:sz w:val="28"/>
        <w:szCs w:val="28"/>
      </w:rPr>
    </w:pPr>
    <w:r>
      <w:rPr>
        <w:rFonts w:ascii="宋体" w:hAnsi="宋体" w:eastAsia="宋体" w:cs="宋体"/>
        <w:spacing w:val="-5"/>
        <w:sz w:val="28"/>
        <w:szCs w:val="28"/>
      </w:rPr>
      <w:t>—137—</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D2E37">
    <w:pPr>
      <w:spacing w:line="177" w:lineRule="auto"/>
      <w:ind w:left="231"/>
      <w:rPr>
        <w:rFonts w:ascii="宋体" w:hAnsi="宋体" w:eastAsia="宋体" w:cs="宋体"/>
        <w:sz w:val="28"/>
        <w:szCs w:val="28"/>
      </w:rPr>
    </w:pPr>
    <w:r>
      <w:rPr>
        <w:rFonts w:ascii="宋体" w:hAnsi="宋体" w:eastAsia="宋体" w:cs="宋体"/>
        <w:spacing w:val="-5"/>
        <w:sz w:val="28"/>
        <w:szCs w:val="28"/>
      </w:rPr>
      <w:t>—138—</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C4C8C">
    <w:pPr>
      <w:spacing w:line="177" w:lineRule="auto"/>
      <w:ind w:left="13541"/>
      <w:rPr>
        <w:rFonts w:ascii="宋体" w:hAnsi="宋体" w:eastAsia="宋体" w:cs="宋体"/>
        <w:sz w:val="28"/>
        <w:szCs w:val="28"/>
      </w:rPr>
    </w:pPr>
    <w:r>
      <w:rPr>
        <w:rFonts w:ascii="宋体" w:hAnsi="宋体" w:eastAsia="宋体" w:cs="宋体"/>
        <w:spacing w:val="-5"/>
        <w:sz w:val="28"/>
        <w:szCs w:val="28"/>
      </w:rPr>
      <w:t>—139—</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B7C67">
    <w:pPr>
      <w:spacing w:line="177" w:lineRule="auto"/>
      <w:ind w:left="231"/>
      <w:rPr>
        <w:rFonts w:ascii="宋体" w:hAnsi="宋体" w:eastAsia="宋体" w:cs="宋体"/>
        <w:sz w:val="28"/>
        <w:szCs w:val="28"/>
      </w:rPr>
    </w:pPr>
    <w:r>
      <w:rPr>
        <w:rFonts w:ascii="宋体" w:hAnsi="宋体" w:eastAsia="宋体" w:cs="宋体"/>
        <w:spacing w:val="-5"/>
        <w:sz w:val="28"/>
        <w:szCs w:val="28"/>
      </w:rPr>
      <w:t>—140—</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A4D7C">
    <w:pPr>
      <w:spacing w:line="177" w:lineRule="auto"/>
      <w:ind w:left="13541"/>
      <w:rPr>
        <w:rFonts w:ascii="宋体" w:hAnsi="宋体" w:eastAsia="宋体" w:cs="宋体"/>
        <w:sz w:val="28"/>
        <w:szCs w:val="28"/>
      </w:rPr>
    </w:pPr>
    <w:r>
      <w:rPr>
        <w:rFonts w:ascii="宋体" w:hAnsi="宋体" w:eastAsia="宋体" w:cs="宋体"/>
        <w:spacing w:val="-5"/>
        <w:sz w:val="28"/>
        <w:szCs w:val="28"/>
      </w:rPr>
      <w:t>—141—</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9FBE3">
    <w:pPr>
      <w:spacing w:line="177" w:lineRule="auto"/>
      <w:ind w:left="231"/>
      <w:rPr>
        <w:rFonts w:ascii="宋体" w:hAnsi="宋体" w:eastAsia="宋体" w:cs="宋体"/>
        <w:sz w:val="28"/>
        <w:szCs w:val="28"/>
      </w:rPr>
    </w:pPr>
    <w:r>
      <w:rPr>
        <w:rFonts w:ascii="宋体" w:hAnsi="宋体" w:eastAsia="宋体" w:cs="宋体"/>
        <w:spacing w:val="-5"/>
        <w:sz w:val="28"/>
        <w:szCs w:val="28"/>
      </w:rPr>
      <w:t>—142—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9A4EE">
    <w:pPr>
      <w:spacing w:line="177" w:lineRule="auto"/>
      <w:ind w:left="7710"/>
      <w:rPr>
        <w:rFonts w:ascii="宋体" w:hAnsi="宋体" w:eastAsia="宋体" w:cs="宋体"/>
        <w:sz w:val="28"/>
        <w:szCs w:val="28"/>
      </w:rPr>
    </w:pPr>
    <w:r>
      <w:rPr>
        <w:rFonts w:ascii="宋体" w:hAnsi="宋体" w:eastAsia="宋体" w:cs="宋体"/>
        <w:spacing w:val="-7"/>
        <w:sz w:val="28"/>
        <w:szCs w:val="28"/>
      </w:rPr>
      <w:t>—17—</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D175A">
    <w:pPr>
      <w:spacing w:line="177" w:lineRule="auto"/>
      <w:ind w:left="13541"/>
      <w:rPr>
        <w:rFonts w:ascii="宋体" w:hAnsi="宋体" w:eastAsia="宋体" w:cs="宋体"/>
        <w:sz w:val="28"/>
        <w:szCs w:val="28"/>
      </w:rPr>
    </w:pPr>
    <w:r>
      <w:rPr>
        <w:rFonts w:ascii="宋体" w:hAnsi="宋体" w:eastAsia="宋体" w:cs="宋体"/>
        <w:spacing w:val="-5"/>
        <w:sz w:val="28"/>
        <w:szCs w:val="28"/>
      </w:rPr>
      <w:t>—143—</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EC929">
    <w:pPr>
      <w:spacing w:line="177" w:lineRule="auto"/>
      <w:ind w:left="231"/>
      <w:rPr>
        <w:rFonts w:ascii="宋体" w:hAnsi="宋体" w:eastAsia="宋体" w:cs="宋体"/>
        <w:sz w:val="28"/>
        <w:szCs w:val="28"/>
      </w:rPr>
    </w:pPr>
    <w:r>
      <w:rPr>
        <w:rFonts w:ascii="宋体" w:hAnsi="宋体" w:eastAsia="宋体" w:cs="宋体"/>
        <w:spacing w:val="-5"/>
        <w:sz w:val="28"/>
        <w:szCs w:val="28"/>
      </w:rPr>
      <w:t>—144—</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7C851">
    <w:pPr>
      <w:spacing w:line="177" w:lineRule="auto"/>
      <w:ind w:left="13541"/>
      <w:rPr>
        <w:rFonts w:ascii="宋体" w:hAnsi="宋体" w:eastAsia="宋体" w:cs="宋体"/>
        <w:sz w:val="28"/>
        <w:szCs w:val="28"/>
      </w:rPr>
    </w:pPr>
    <w:r>
      <w:rPr>
        <w:rFonts w:ascii="宋体" w:hAnsi="宋体" w:eastAsia="宋体" w:cs="宋体"/>
        <w:spacing w:val="-5"/>
        <w:sz w:val="28"/>
        <w:szCs w:val="28"/>
      </w:rPr>
      <w:t>—145—</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C9E81">
    <w:pPr>
      <w:spacing w:line="177" w:lineRule="auto"/>
      <w:ind w:left="231"/>
      <w:rPr>
        <w:rFonts w:ascii="宋体" w:hAnsi="宋体" w:eastAsia="宋体" w:cs="宋体"/>
        <w:sz w:val="28"/>
        <w:szCs w:val="28"/>
      </w:rPr>
    </w:pPr>
    <w:r>
      <w:rPr>
        <w:rFonts w:ascii="宋体" w:hAnsi="宋体" w:eastAsia="宋体" w:cs="宋体"/>
        <w:spacing w:val="-5"/>
        <w:sz w:val="28"/>
        <w:szCs w:val="28"/>
      </w:rPr>
      <w:t>—146—</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912AE">
    <w:pPr>
      <w:spacing w:line="177" w:lineRule="auto"/>
      <w:ind w:left="13541"/>
      <w:rPr>
        <w:rFonts w:ascii="宋体" w:hAnsi="宋体" w:eastAsia="宋体" w:cs="宋体"/>
        <w:sz w:val="28"/>
        <w:szCs w:val="28"/>
      </w:rPr>
    </w:pPr>
    <w:r>
      <w:rPr>
        <w:rFonts w:ascii="宋体" w:hAnsi="宋体" w:eastAsia="宋体" w:cs="宋体"/>
        <w:spacing w:val="-5"/>
        <w:sz w:val="28"/>
        <w:szCs w:val="28"/>
      </w:rPr>
      <w:t>—147—</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03D7B">
    <w:pPr>
      <w:spacing w:line="177" w:lineRule="auto"/>
      <w:ind w:left="231"/>
      <w:rPr>
        <w:rFonts w:ascii="宋体" w:hAnsi="宋体" w:eastAsia="宋体" w:cs="宋体"/>
        <w:sz w:val="28"/>
        <w:szCs w:val="28"/>
      </w:rPr>
    </w:pPr>
    <w:r>
      <w:rPr>
        <w:rFonts w:ascii="宋体" w:hAnsi="宋体" w:eastAsia="宋体" w:cs="宋体"/>
        <w:spacing w:val="-5"/>
        <w:sz w:val="28"/>
        <w:szCs w:val="28"/>
      </w:rPr>
      <w:t>—148—</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03F51">
    <w:pPr>
      <w:spacing w:line="177" w:lineRule="auto"/>
      <w:ind w:left="13541"/>
      <w:rPr>
        <w:rFonts w:ascii="宋体" w:hAnsi="宋体" w:eastAsia="宋体" w:cs="宋体"/>
        <w:sz w:val="28"/>
        <w:szCs w:val="28"/>
      </w:rPr>
    </w:pPr>
    <w:r>
      <w:rPr>
        <w:rFonts w:ascii="宋体" w:hAnsi="宋体" w:eastAsia="宋体" w:cs="宋体"/>
        <w:spacing w:val="-5"/>
        <w:sz w:val="28"/>
        <w:szCs w:val="28"/>
      </w:rPr>
      <w:t>—149—</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28D70">
    <w:pPr>
      <w:spacing w:line="177" w:lineRule="auto"/>
      <w:ind w:left="231"/>
      <w:rPr>
        <w:rFonts w:ascii="宋体" w:hAnsi="宋体" w:eastAsia="宋体" w:cs="宋体"/>
        <w:sz w:val="28"/>
        <w:szCs w:val="28"/>
      </w:rPr>
    </w:pPr>
    <w:r>
      <w:rPr>
        <w:rFonts w:ascii="宋体" w:hAnsi="宋体" w:eastAsia="宋体" w:cs="宋体"/>
        <w:spacing w:val="-5"/>
        <w:sz w:val="28"/>
        <w:szCs w:val="28"/>
      </w:rPr>
      <w:t>—150—</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057B4">
    <w:pPr>
      <w:spacing w:line="177" w:lineRule="auto"/>
      <w:ind w:left="13541"/>
      <w:rPr>
        <w:rFonts w:ascii="宋体" w:hAnsi="宋体" w:eastAsia="宋体" w:cs="宋体"/>
        <w:sz w:val="28"/>
        <w:szCs w:val="28"/>
      </w:rPr>
    </w:pPr>
    <w:r>
      <w:rPr>
        <w:rFonts w:ascii="宋体" w:hAnsi="宋体" w:eastAsia="宋体" w:cs="宋体"/>
        <w:spacing w:val="-5"/>
        <w:sz w:val="28"/>
        <w:szCs w:val="28"/>
      </w:rPr>
      <w:t>—151—</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1BF65">
    <w:pPr>
      <w:spacing w:line="177" w:lineRule="auto"/>
      <w:ind w:left="231"/>
      <w:rPr>
        <w:rFonts w:ascii="宋体" w:hAnsi="宋体" w:eastAsia="宋体" w:cs="宋体"/>
        <w:sz w:val="28"/>
        <w:szCs w:val="28"/>
      </w:rPr>
    </w:pPr>
    <w:r>
      <w:rPr>
        <w:rFonts w:ascii="宋体" w:hAnsi="宋体" w:eastAsia="宋体" w:cs="宋体"/>
        <w:spacing w:val="-5"/>
        <w:sz w:val="28"/>
        <w:szCs w:val="28"/>
      </w:rPr>
      <w:t>—152—</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6663E">
    <w:pPr>
      <w:spacing w:line="177" w:lineRule="auto"/>
      <w:rPr>
        <w:rFonts w:ascii="宋体" w:hAnsi="宋体" w:eastAsia="宋体" w:cs="宋体"/>
        <w:sz w:val="28"/>
        <w:szCs w:val="28"/>
      </w:rPr>
    </w:pPr>
    <w:r>
      <w:rPr>
        <w:rFonts w:ascii="宋体" w:hAnsi="宋体" w:eastAsia="宋体" w:cs="宋体"/>
        <w:spacing w:val="-7"/>
        <w:sz w:val="28"/>
        <w:szCs w:val="28"/>
      </w:rPr>
      <w:t>—18—</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9B1AB">
    <w:pPr>
      <w:spacing w:line="177" w:lineRule="auto"/>
      <w:ind w:left="13541"/>
      <w:rPr>
        <w:rFonts w:ascii="宋体" w:hAnsi="宋体" w:eastAsia="宋体" w:cs="宋体"/>
        <w:sz w:val="28"/>
        <w:szCs w:val="28"/>
      </w:rPr>
    </w:pPr>
    <w:r>
      <w:rPr>
        <w:rFonts w:ascii="宋体" w:hAnsi="宋体" w:eastAsia="宋体" w:cs="宋体"/>
        <w:spacing w:val="-5"/>
        <w:sz w:val="28"/>
        <w:szCs w:val="28"/>
      </w:rPr>
      <w:t>—153—</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50B69">
    <w:pPr>
      <w:spacing w:line="177" w:lineRule="auto"/>
      <w:ind w:left="231"/>
      <w:rPr>
        <w:rFonts w:ascii="宋体" w:hAnsi="宋体" w:eastAsia="宋体" w:cs="宋体"/>
        <w:sz w:val="28"/>
        <w:szCs w:val="28"/>
      </w:rPr>
    </w:pPr>
    <w:r>
      <w:rPr>
        <w:rFonts w:ascii="宋体" w:hAnsi="宋体" w:eastAsia="宋体" w:cs="宋体"/>
        <w:spacing w:val="-5"/>
        <w:sz w:val="28"/>
        <w:szCs w:val="28"/>
      </w:rPr>
      <w:t>—154—</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85066">
    <w:pPr>
      <w:spacing w:line="177" w:lineRule="auto"/>
      <w:ind w:left="13541"/>
      <w:rPr>
        <w:rFonts w:ascii="宋体" w:hAnsi="宋体" w:eastAsia="宋体" w:cs="宋体"/>
        <w:sz w:val="28"/>
        <w:szCs w:val="28"/>
      </w:rPr>
    </w:pPr>
    <w:r>
      <w:rPr>
        <w:rFonts w:ascii="宋体" w:hAnsi="宋体" w:eastAsia="宋体" w:cs="宋体"/>
        <w:spacing w:val="-5"/>
        <w:sz w:val="28"/>
        <w:szCs w:val="28"/>
      </w:rPr>
      <w:t>—155—</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360F8">
    <w:pPr>
      <w:spacing w:line="177" w:lineRule="auto"/>
      <w:ind w:left="231"/>
      <w:rPr>
        <w:rFonts w:ascii="宋体" w:hAnsi="宋体" w:eastAsia="宋体" w:cs="宋体"/>
        <w:sz w:val="28"/>
        <w:szCs w:val="28"/>
      </w:rPr>
    </w:pPr>
    <w:r>
      <w:rPr>
        <w:rFonts w:ascii="宋体" w:hAnsi="宋体" w:eastAsia="宋体" w:cs="宋体"/>
        <w:spacing w:val="-5"/>
        <w:sz w:val="28"/>
        <w:szCs w:val="28"/>
      </w:rPr>
      <w:t>—156—</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AD1BA">
    <w:pPr>
      <w:spacing w:line="177" w:lineRule="auto"/>
      <w:ind w:left="13541"/>
      <w:rPr>
        <w:rFonts w:ascii="宋体" w:hAnsi="宋体" w:eastAsia="宋体" w:cs="宋体"/>
        <w:sz w:val="28"/>
        <w:szCs w:val="28"/>
      </w:rPr>
    </w:pPr>
    <w:r>
      <w:rPr>
        <w:rFonts w:ascii="宋体" w:hAnsi="宋体" w:eastAsia="宋体" w:cs="宋体"/>
        <w:spacing w:val="-5"/>
        <w:sz w:val="28"/>
        <w:szCs w:val="28"/>
      </w:rPr>
      <w:t>—157—</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7EC49">
    <w:pPr>
      <w:spacing w:line="177" w:lineRule="auto"/>
      <w:ind w:left="231"/>
      <w:rPr>
        <w:rFonts w:ascii="宋体" w:hAnsi="宋体" w:eastAsia="宋体" w:cs="宋体"/>
        <w:sz w:val="28"/>
        <w:szCs w:val="28"/>
      </w:rPr>
    </w:pPr>
    <w:r>
      <w:rPr>
        <w:rFonts w:ascii="宋体" w:hAnsi="宋体" w:eastAsia="宋体" w:cs="宋体"/>
        <w:spacing w:val="-5"/>
        <w:sz w:val="28"/>
        <w:szCs w:val="28"/>
      </w:rPr>
      <w:t>—158—</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F3707">
    <w:pPr>
      <w:spacing w:line="177" w:lineRule="auto"/>
      <w:ind w:left="13541"/>
      <w:rPr>
        <w:rFonts w:ascii="宋体" w:hAnsi="宋体" w:eastAsia="宋体" w:cs="宋体"/>
        <w:sz w:val="28"/>
        <w:szCs w:val="28"/>
      </w:rPr>
    </w:pPr>
    <w:r>
      <w:rPr>
        <w:rFonts w:ascii="宋体" w:hAnsi="宋体" w:eastAsia="宋体" w:cs="宋体"/>
        <w:spacing w:val="-5"/>
        <w:sz w:val="28"/>
        <w:szCs w:val="28"/>
      </w:rPr>
      <w:t>—159—</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28424">
    <w:pPr>
      <w:spacing w:line="177" w:lineRule="auto"/>
      <w:ind w:left="231"/>
      <w:rPr>
        <w:rFonts w:ascii="宋体" w:hAnsi="宋体" w:eastAsia="宋体" w:cs="宋体"/>
        <w:sz w:val="28"/>
        <w:szCs w:val="28"/>
      </w:rPr>
    </w:pPr>
    <w:r>
      <w:rPr>
        <w:rFonts w:ascii="宋体" w:hAnsi="宋体" w:eastAsia="宋体" w:cs="宋体"/>
        <w:spacing w:val="-5"/>
        <w:sz w:val="28"/>
        <w:szCs w:val="28"/>
      </w:rPr>
      <w:t>—160—</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7DD1F">
    <w:pPr>
      <w:spacing w:line="177" w:lineRule="auto"/>
      <w:ind w:left="13541"/>
      <w:rPr>
        <w:rFonts w:ascii="宋体" w:hAnsi="宋体" w:eastAsia="宋体" w:cs="宋体"/>
        <w:sz w:val="28"/>
        <w:szCs w:val="28"/>
      </w:rPr>
    </w:pPr>
    <w:r>
      <w:rPr>
        <w:rFonts w:ascii="宋体" w:hAnsi="宋体" w:eastAsia="宋体" w:cs="宋体"/>
        <w:spacing w:val="-5"/>
        <w:sz w:val="28"/>
        <w:szCs w:val="28"/>
      </w:rPr>
      <w:t>—161—</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F21FA">
    <w:pPr>
      <w:spacing w:line="177" w:lineRule="auto"/>
      <w:ind w:left="231"/>
      <w:rPr>
        <w:rFonts w:ascii="宋体" w:hAnsi="宋体" w:eastAsia="宋体" w:cs="宋体"/>
        <w:sz w:val="28"/>
        <w:szCs w:val="28"/>
      </w:rPr>
    </w:pPr>
    <w:r>
      <w:rPr>
        <w:rFonts w:ascii="宋体" w:hAnsi="宋体" w:eastAsia="宋体" w:cs="宋体"/>
        <w:spacing w:val="-5"/>
        <w:sz w:val="28"/>
        <w:szCs w:val="28"/>
      </w:rPr>
      <w:t>—162—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97E4F">
    <w:pPr>
      <w:spacing w:line="177" w:lineRule="auto"/>
      <w:ind w:left="7711"/>
      <w:rPr>
        <w:rFonts w:ascii="宋体" w:hAnsi="宋体" w:eastAsia="宋体" w:cs="宋体"/>
        <w:sz w:val="28"/>
        <w:szCs w:val="28"/>
      </w:rPr>
    </w:pPr>
    <w:r>
      <w:rPr>
        <w:rFonts w:ascii="宋体" w:hAnsi="宋体" w:eastAsia="宋体" w:cs="宋体"/>
        <w:spacing w:val="-7"/>
        <w:sz w:val="28"/>
        <w:szCs w:val="28"/>
      </w:rPr>
      <w:t>—19—</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73AF1">
    <w:pPr>
      <w:spacing w:line="177" w:lineRule="auto"/>
      <w:ind w:left="13541"/>
      <w:rPr>
        <w:rFonts w:ascii="宋体" w:hAnsi="宋体" w:eastAsia="宋体" w:cs="宋体"/>
        <w:sz w:val="28"/>
        <w:szCs w:val="28"/>
      </w:rPr>
    </w:pPr>
    <w:r>
      <w:rPr>
        <w:rFonts w:ascii="宋体" w:hAnsi="宋体" w:eastAsia="宋体" w:cs="宋体"/>
        <w:spacing w:val="-5"/>
        <w:sz w:val="28"/>
        <w:szCs w:val="28"/>
      </w:rPr>
      <w:t>—163—</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52C2F">
    <w:pPr>
      <w:spacing w:line="177" w:lineRule="auto"/>
      <w:ind w:left="231"/>
      <w:rPr>
        <w:rFonts w:ascii="宋体" w:hAnsi="宋体" w:eastAsia="宋体" w:cs="宋体"/>
        <w:sz w:val="28"/>
        <w:szCs w:val="28"/>
      </w:rPr>
    </w:pPr>
    <w:r>
      <w:rPr>
        <w:rFonts w:ascii="宋体" w:hAnsi="宋体" w:eastAsia="宋体" w:cs="宋体"/>
        <w:spacing w:val="-5"/>
        <w:sz w:val="28"/>
        <w:szCs w:val="28"/>
      </w:rPr>
      <w:t>—164—</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4F2FA">
    <w:pPr>
      <w:spacing w:line="177" w:lineRule="auto"/>
      <w:ind w:left="13541"/>
      <w:rPr>
        <w:rFonts w:ascii="宋体" w:hAnsi="宋体" w:eastAsia="宋体" w:cs="宋体"/>
        <w:sz w:val="28"/>
        <w:szCs w:val="28"/>
      </w:rPr>
    </w:pPr>
    <w:r>
      <w:rPr>
        <w:rFonts w:ascii="宋体" w:hAnsi="宋体" w:eastAsia="宋体" w:cs="宋体"/>
        <w:spacing w:val="-5"/>
        <w:sz w:val="28"/>
        <w:szCs w:val="28"/>
      </w:rPr>
      <w:t>—165—</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5D1A4">
    <w:pPr>
      <w:spacing w:line="177" w:lineRule="auto"/>
      <w:ind w:left="231"/>
      <w:rPr>
        <w:rFonts w:ascii="宋体" w:hAnsi="宋体" w:eastAsia="宋体" w:cs="宋体"/>
        <w:sz w:val="28"/>
        <w:szCs w:val="28"/>
      </w:rPr>
    </w:pPr>
    <w:r>
      <w:rPr>
        <w:rFonts w:ascii="宋体" w:hAnsi="宋体" w:eastAsia="宋体" w:cs="宋体"/>
        <w:spacing w:val="-5"/>
        <w:sz w:val="28"/>
        <w:szCs w:val="28"/>
      </w:rPr>
      <w:t>—166—</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5D94D">
    <w:pPr>
      <w:spacing w:line="177" w:lineRule="auto"/>
      <w:ind w:left="13541"/>
      <w:rPr>
        <w:rFonts w:ascii="宋体" w:hAnsi="宋体" w:eastAsia="宋体" w:cs="宋体"/>
        <w:sz w:val="28"/>
        <w:szCs w:val="28"/>
      </w:rPr>
    </w:pPr>
    <w:r>
      <w:rPr>
        <w:rFonts w:ascii="宋体" w:hAnsi="宋体" w:eastAsia="宋体" w:cs="宋体"/>
        <w:spacing w:val="-5"/>
        <w:sz w:val="28"/>
        <w:szCs w:val="28"/>
      </w:rPr>
      <w:t>—167—</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12925">
    <w:pPr>
      <w:spacing w:line="177" w:lineRule="auto"/>
      <w:ind w:left="231"/>
      <w:rPr>
        <w:rFonts w:ascii="宋体" w:hAnsi="宋体" w:eastAsia="宋体" w:cs="宋体"/>
        <w:sz w:val="28"/>
        <w:szCs w:val="28"/>
      </w:rPr>
    </w:pPr>
    <w:r>
      <w:rPr>
        <w:rFonts w:ascii="宋体" w:hAnsi="宋体" w:eastAsia="宋体" w:cs="宋体"/>
        <w:spacing w:val="-5"/>
        <w:sz w:val="28"/>
        <w:szCs w:val="28"/>
      </w:rPr>
      <w:t>—168—</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97365">
    <w:pPr>
      <w:spacing w:line="177" w:lineRule="auto"/>
      <w:ind w:left="13541"/>
      <w:rPr>
        <w:rFonts w:ascii="宋体" w:hAnsi="宋体" w:eastAsia="宋体" w:cs="宋体"/>
        <w:sz w:val="28"/>
        <w:szCs w:val="28"/>
      </w:rPr>
    </w:pPr>
    <w:r>
      <w:rPr>
        <w:rFonts w:ascii="宋体" w:hAnsi="宋体" w:eastAsia="宋体" w:cs="宋体"/>
        <w:spacing w:val="-5"/>
        <w:sz w:val="28"/>
        <w:szCs w:val="28"/>
      </w:rPr>
      <w:t>—169—</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72159">
    <w:pPr>
      <w:spacing w:line="177" w:lineRule="auto"/>
      <w:ind w:left="231"/>
      <w:rPr>
        <w:rFonts w:ascii="宋体" w:hAnsi="宋体" w:eastAsia="宋体" w:cs="宋体"/>
        <w:sz w:val="28"/>
        <w:szCs w:val="28"/>
      </w:rPr>
    </w:pPr>
    <w:r>
      <w:rPr>
        <w:rFonts w:ascii="宋体" w:hAnsi="宋体" w:eastAsia="宋体" w:cs="宋体"/>
        <w:spacing w:val="-5"/>
        <w:sz w:val="28"/>
        <w:szCs w:val="28"/>
      </w:rPr>
      <w:t>—170—</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DE91D">
    <w:pPr>
      <w:spacing w:line="177" w:lineRule="auto"/>
      <w:ind w:left="13541"/>
      <w:rPr>
        <w:rFonts w:ascii="宋体" w:hAnsi="宋体" w:eastAsia="宋体" w:cs="宋体"/>
        <w:sz w:val="28"/>
        <w:szCs w:val="28"/>
      </w:rPr>
    </w:pPr>
    <w:r>
      <w:rPr>
        <w:rFonts w:ascii="宋体" w:hAnsi="宋体" w:eastAsia="宋体" w:cs="宋体"/>
        <w:spacing w:val="-5"/>
        <w:sz w:val="28"/>
        <w:szCs w:val="28"/>
      </w:rPr>
      <w:t>—171—</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968C4">
    <w:pPr>
      <w:spacing w:line="177" w:lineRule="auto"/>
      <w:ind w:left="231"/>
      <w:rPr>
        <w:rFonts w:ascii="宋体" w:hAnsi="宋体" w:eastAsia="宋体" w:cs="宋体"/>
        <w:sz w:val="28"/>
        <w:szCs w:val="28"/>
      </w:rPr>
    </w:pPr>
    <w:r>
      <w:rPr>
        <w:rFonts w:ascii="宋体" w:hAnsi="宋体" w:eastAsia="宋体" w:cs="宋体"/>
        <w:spacing w:val="-5"/>
        <w:sz w:val="28"/>
        <w:szCs w:val="28"/>
      </w:rPr>
      <w:t>—172—</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18A95">
    <w:pPr>
      <w:spacing w:line="176" w:lineRule="auto"/>
      <w:ind w:left="231"/>
      <w:rPr>
        <w:rFonts w:ascii="宋体" w:hAnsi="宋体" w:eastAsia="宋体" w:cs="宋体"/>
        <w:sz w:val="28"/>
        <w:szCs w:val="28"/>
      </w:rPr>
    </w:pPr>
    <w:r>
      <w:rPr>
        <w:rFonts w:ascii="宋体" w:hAnsi="宋体" w:eastAsia="宋体" w:cs="宋体"/>
        <w:spacing w:val="-3"/>
        <w:sz w:val="28"/>
        <w:szCs w:val="28"/>
      </w:rPr>
      <w:t>—20—</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3BE13">
    <w:pPr>
      <w:spacing w:line="177" w:lineRule="auto"/>
      <w:ind w:left="13541"/>
      <w:rPr>
        <w:rFonts w:ascii="宋体" w:hAnsi="宋体" w:eastAsia="宋体" w:cs="宋体"/>
        <w:sz w:val="28"/>
        <w:szCs w:val="28"/>
      </w:rPr>
    </w:pPr>
    <w:r>
      <w:rPr>
        <w:rFonts w:ascii="宋体" w:hAnsi="宋体" w:eastAsia="宋体" w:cs="宋体"/>
        <w:spacing w:val="-5"/>
        <w:sz w:val="28"/>
        <w:szCs w:val="28"/>
      </w:rPr>
      <w:t>—173—</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1652B">
    <w:pPr>
      <w:spacing w:line="177" w:lineRule="auto"/>
      <w:ind w:left="231"/>
      <w:rPr>
        <w:rFonts w:ascii="宋体" w:hAnsi="宋体" w:eastAsia="宋体" w:cs="宋体"/>
        <w:sz w:val="28"/>
        <w:szCs w:val="28"/>
      </w:rPr>
    </w:pPr>
    <w:r>
      <w:rPr>
        <w:rFonts w:ascii="宋体" w:hAnsi="宋体" w:eastAsia="宋体" w:cs="宋体"/>
        <w:spacing w:val="-5"/>
        <w:sz w:val="28"/>
        <w:szCs w:val="28"/>
      </w:rPr>
      <w:t>—174—</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362CB">
    <w:pPr>
      <w:spacing w:line="177" w:lineRule="auto"/>
      <w:ind w:left="13541"/>
      <w:rPr>
        <w:rFonts w:ascii="宋体" w:hAnsi="宋体" w:eastAsia="宋体" w:cs="宋体"/>
        <w:sz w:val="28"/>
        <w:szCs w:val="28"/>
      </w:rPr>
    </w:pPr>
    <w:r>
      <w:rPr>
        <w:rFonts w:ascii="宋体" w:hAnsi="宋体" w:eastAsia="宋体" w:cs="宋体"/>
        <w:spacing w:val="-5"/>
        <w:sz w:val="28"/>
        <w:szCs w:val="28"/>
      </w:rPr>
      <w:t>—175—</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D1CAB">
    <w:pPr>
      <w:spacing w:line="177" w:lineRule="auto"/>
      <w:ind w:left="231"/>
      <w:rPr>
        <w:rFonts w:ascii="宋体" w:hAnsi="宋体" w:eastAsia="宋体" w:cs="宋体"/>
        <w:sz w:val="28"/>
        <w:szCs w:val="28"/>
      </w:rPr>
    </w:pPr>
    <w:r>
      <w:rPr>
        <w:rFonts w:ascii="宋体" w:hAnsi="宋体" w:eastAsia="宋体" w:cs="宋体"/>
        <w:spacing w:val="-5"/>
        <w:sz w:val="28"/>
        <w:szCs w:val="28"/>
      </w:rPr>
      <w:t>—176—</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17C37">
    <w:pPr>
      <w:spacing w:line="177" w:lineRule="auto"/>
      <w:ind w:left="13541"/>
      <w:rPr>
        <w:rFonts w:ascii="宋体" w:hAnsi="宋体" w:eastAsia="宋体" w:cs="宋体"/>
        <w:sz w:val="28"/>
        <w:szCs w:val="28"/>
      </w:rPr>
    </w:pPr>
    <w:r>
      <w:rPr>
        <w:rFonts w:ascii="宋体" w:hAnsi="宋体" w:eastAsia="宋体" w:cs="宋体"/>
        <w:spacing w:val="-5"/>
        <w:sz w:val="28"/>
        <w:szCs w:val="28"/>
      </w:rPr>
      <w:t>—177—</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22A86">
    <w:pPr>
      <w:spacing w:line="177" w:lineRule="auto"/>
      <w:ind w:left="231"/>
      <w:rPr>
        <w:rFonts w:ascii="宋体" w:hAnsi="宋体" w:eastAsia="宋体" w:cs="宋体"/>
        <w:sz w:val="28"/>
        <w:szCs w:val="28"/>
      </w:rPr>
    </w:pPr>
    <w:r>
      <w:rPr>
        <w:rFonts w:ascii="宋体" w:hAnsi="宋体" w:eastAsia="宋体" w:cs="宋体"/>
        <w:spacing w:val="-5"/>
        <w:sz w:val="28"/>
        <w:szCs w:val="28"/>
      </w:rPr>
      <w:t>—178—</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67F57">
    <w:pPr>
      <w:spacing w:line="177" w:lineRule="auto"/>
      <w:ind w:left="13541"/>
      <w:rPr>
        <w:rFonts w:ascii="宋体" w:hAnsi="宋体" w:eastAsia="宋体" w:cs="宋体"/>
        <w:sz w:val="28"/>
        <w:szCs w:val="28"/>
      </w:rPr>
    </w:pPr>
    <w:r>
      <w:rPr>
        <w:rFonts w:ascii="宋体" w:hAnsi="宋体" w:eastAsia="宋体" w:cs="宋体"/>
        <w:spacing w:val="-5"/>
        <w:sz w:val="28"/>
        <w:szCs w:val="28"/>
      </w:rPr>
      <w:t>—179—</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02A89">
    <w:pPr>
      <w:spacing w:line="177" w:lineRule="auto"/>
      <w:ind w:left="231"/>
      <w:rPr>
        <w:rFonts w:ascii="宋体" w:hAnsi="宋体" w:eastAsia="宋体" w:cs="宋体"/>
        <w:sz w:val="28"/>
        <w:szCs w:val="28"/>
      </w:rPr>
    </w:pPr>
    <w:r>
      <w:rPr>
        <w:rFonts w:ascii="宋体" w:hAnsi="宋体" w:eastAsia="宋体" w:cs="宋体"/>
        <w:spacing w:val="-5"/>
        <w:sz w:val="28"/>
        <w:szCs w:val="28"/>
      </w:rPr>
      <w:t>—180—</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6ECDC">
    <w:pPr>
      <w:spacing w:line="177" w:lineRule="auto"/>
      <w:ind w:left="13541"/>
      <w:rPr>
        <w:rFonts w:ascii="宋体" w:hAnsi="宋体" w:eastAsia="宋体" w:cs="宋体"/>
        <w:sz w:val="28"/>
        <w:szCs w:val="28"/>
      </w:rPr>
    </w:pPr>
    <w:r>
      <w:rPr>
        <w:rFonts w:ascii="宋体" w:hAnsi="宋体" w:eastAsia="宋体" w:cs="宋体"/>
        <w:spacing w:val="-5"/>
        <w:sz w:val="28"/>
        <w:szCs w:val="28"/>
      </w:rPr>
      <w:t>—181—</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D4367">
    <w:pPr>
      <w:spacing w:line="177" w:lineRule="auto"/>
      <w:ind w:left="231"/>
      <w:rPr>
        <w:rFonts w:ascii="宋体" w:hAnsi="宋体" w:eastAsia="宋体" w:cs="宋体"/>
        <w:sz w:val="28"/>
        <w:szCs w:val="28"/>
      </w:rPr>
    </w:pPr>
    <w:r>
      <w:rPr>
        <w:rFonts w:ascii="宋体" w:hAnsi="宋体" w:eastAsia="宋体" w:cs="宋体"/>
        <w:spacing w:val="-5"/>
        <w:sz w:val="28"/>
        <w:szCs w:val="28"/>
      </w:rPr>
      <w:t>—182—</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78061">
    <w:pPr>
      <w:spacing w:line="177" w:lineRule="auto"/>
      <w:ind w:left="13683"/>
      <w:rPr>
        <w:rFonts w:ascii="宋体" w:hAnsi="宋体" w:eastAsia="宋体" w:cs="宋体"/>
        <w:sz w:val="28"/>
        <w:szCs w:val="28"/>
      </w:rPr>
    </w:pPr>
    <w:r>
      <w:rPr>
        <w:rFonts w:ascii="宋体" w:hAnsi="宋体" w:eastAsia="宋体" w:cs="宋体"/>
        <w:spacing w:val="-3"/>
        <w:sz w:val="28"/>
        <w:szCs w:val="28"/>
      </w:rPr>
      <w:t>—21—</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F1F46">
    <w:pPr>
      <w:spacing w:line="177" w:lineRule="auto"/>
      <w:ind w:left="13541"/>
      <w:rPr>
        <w:rFonts w:ascii="宋体" w:hAnsi="宋体" w:eastAsia="宋体" w:cs="宋体"/>
        <w:sz w:val="28"/>
        <w:szCs w:val="28"/>
      </w:rPr>
    </w:pPr>
    <w:r>
      <w:rPr>
        <w:rFonts w:ascii="宋体" w:hAnsi="宋体" w:eastAsia="宋体" w:cs="宋体"/>
        <w:spacing w:val="-5"/>
        <w:sz w:val="28"/>
        <w:szCs w:val="28"/>
      </w:rPr>
      <w:t>—183—</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A00B6">
    <w:pPr>
      <w:spacing w:line="177" w:lineRule="auto"/>
      <w:ind w:left="231"/>
      <w:rPr>
        <w:rFonts w:ascii="宋体" w:hAnsi="宋体" w:eastAsia="宋体" w:cs="宋体"/>
        <w:sz w:val="28"/>
        <w:szCs w:val="28"/>
      </w:rPr>
    </w:pPr>
    <w:r>
      <w:rPr>
        <w:rFonts w:ascii="宋体" w:hAnsi="宋体" w:eastAsia="宋体" w:cs="宋体"/>
        <w:spacing w:val="-5"/>
        <w:sz w:val="28"/>
        <w:szCs w:val="28"/>
      </w:rPr>
      <w:t>—184—</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C7C48">
    <w:pPr>
      <w:spacing w:line="177" w:lineRule="auto"/>
      <w:ind w:left="13541"/>
      <w:rPr>
        <w:rFonts w:ascii="宋体" w:hAnsi="宋体" w:eastAsia="宋体" w:cs="宋体"/>
        <w:sz w:val="28"/>
        <w:szCs w:val="28"/>
      </w:rPr>
    </w:pPr>
    <w:r>
      <w:rPr>
        <w:rFonts w:ascii="宋体" w:hAnsi="宋体" w:eastAsia="宋体" w:cs="宋体"/>
        <w:spacing w:val="-5"/>
        <w:sz w:val="28"/>
        <w:szCs w:val="28"/>
      </w:rPr>
      <w:t>—185—</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A320B">
    <w:pPr>
      <w:spacing w:line="177" w:lineRule="auto"/>
      <w:ind w:left="231"/>
      <w:rPr>
        <w:rFonts w:ascii="宋体" w:hAnsi="宋体" w:eastAsia="宋体" w:cs="宋体"/>
        <w:sz w:val="28"/>
        <w:szCs w:val="28"/>
      </w:rPr>
    </w:pPr>
    <w:r>
      <w:rPr>
        <w:rFonts w:ascii="宋体" w:hAnsi="宋体" w:eastAsia="宋体" w:cs="宋体"/>
        <w:spacing w:val="-5"/>
        <w:sz w:val="28"/>
        <w:szCs w:val="28"/>
      </w:rPr>
      <w:t>—186—</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93BAD">
    <w:pPr>
      <w:spacing w:line="177" w:lineRule="auto"/>
      <w:ind w:left="13541"/>
      <w:rPr>
        <w:rFonts w:ascii="宋体" w:hAnsi="宋体" w:eastAsia="宋体" w:cs="宋体"/>
        <w:sz w:val="28"/>
        <w:szCs w:val="28"/>
      </w:rPr>
    </w:pPr>
    <w:r>
      <w:rPr>
        <w:rFonts w:ascii="宋体" w:hAnsi="宋体" w:eastAsia="宋体" w:cs="宋体"/>
        <w:spacing w:val="-5"/>
        <w:sz w:val="28"/>
        <w:szCs w:val="28"/>
      </w:rPr>
      <w:t>—187—</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EF743">
    <w:pPr>
      <w:spacing w:line="177" w:lineRule="auto"/>
      <w:ind w:left="231"/>
      <w:rPr>
        <w:rFonts w:ascii="宋体" w:hAnsi="宋体" w:eastAsia="宋体" w:cs="宋体"/>
        <w:sz w:val="28"/>
        <w:szCs w:val="28"/>
      </w:rPr>
    </w:pPr>
    <w:r>
      <w:rPr>
        <w:rFonts w:ascii="宋体" w:hAnsi="宋体" w:eastAsia="宋体" w:cs="宋体"/>
        <w:spacing w:val="-5"/>
        <w:sz w:val="28"/>
        <w:szCs w:val="28"/>
      </w:rPr>
      <w:t>—188—</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12AAF">
    <w:pPr>
      <w:spacing w:line="177" w:lineRule="auto"/>
      <w:ind w:left="13541"/>
      <w:rPr>
        <w:rFonts w:ascii="宋体" w:hAnsi="宋体" w:eastAsia="宋体" w:cs="宋体"/>
        <w:sz w:val="28"/>
        <w:szCs w:val="28"/>
      </w:rPr>
    </w:pPr>
    <w:r>
      <w:rPr>
        <w:rFonts w:ascii="宋体" w:hAnsi="宋体" w:eastAsia="宋体" w:cs="宋体"/>
        <w:spacing w:val="-5"/>
        <w:sz w:val="28"/>
        <w:szCs w:val="28"/>
      </w:rPr>
      <w:t>—189—</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9FC57">
    <w:pPr>
      <w:spacing w:line="177" w:lineRule="auto"/>
      <w:ind w:left="231"/>
      <w:rPr>
        <w:rFonts w:ascii="宋体" w:hAnsi="宋体" w:eastAsia="宋体" w:cs="宋体"/>
        <w:sz w:val="28"/>
        <w:szCs w:val="28"/>
      </w:rPr>
    </w:pPr>
    <w:r>
      <w:rPr>
        <w:rFonts w:ascii="宋体" w:hAnsi="宋体" w:eastAsia="宋体" w:cs="宋体"/>
        <w:spacing w:val="-5"/>
        <w:sz w:val="28"/>
        <w:szCs w:val="28"/>
      </w:rPr>
      <w:t>—190—</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FF82E">
    <w:pPr>
      <w:spacing w:line="177" w:lineRule="auto"/>
      <w:ind w:left="13541"/>
      <w:rPr>
        <w:rFonts w:ascii="宋体" w:hAnsi="宋体" w:eastAsia="宋体" w:cs="宋体"/>
        <w:sz w:val="28"/>
        <w:szCs w:val="28"/>
      </w:rPr>
    </w:pPr>
    <w:r>
      <w:rPr>
        <w:rFonts w:ascii="宋体" w:hAnsi="宋体" w:eastAsia="宋体" w:cs="宋体"/>
        <w:spacing w:val="-5"/>
        <w:sz w:val="28"/>
        <w:szCs w:val="28"/>
      </w:rPr>
      <w:t>—191—</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2D668">
    <w:pPr>
      <w:spacing w:line="177" w:lineRule="auto"/>
      <w:ind w:left="231"/>
      <w:rPr>
        <w:rFonts w:ascii="宋体" w:hAnsi="宋体" w:eastAsia="宋体" w:cs="宋体"/>
        <w:sz w:val="28"/>
        <w:szCs w:val="28"/>
      </w:rPr>
    </w:pPr>
    <w:r>
      <w:rPr>
        <w:rFonts w:ascii="宋体" w:hAnsi="宋体" w:eastAsia="宋体" w:cs="宋体"/>
        <w:spacing w:val="-5"/>
        <w:sz w:val="28"/>
        <w:szCs w:val="28"/>
      </w:rPr>
      <w:t>—192—</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3CC42">
    <w:pPr>
      <w:spacing w:line="176" w:lineRule="auto"/>
      <w:ind w:left="231"/>
      <w:rPr>
        <w:rFonts w:ascii="宋体" w:hAnsi="宋体" w:eastAsia="宋体" w:cs="宋体"/>
        <w:sz w:val="28"/>
        <w:szCs w:val="28"/>
      </w:rPr>
    </w:pPr>
    <w:r>
      <w:rPr>
        <w:rFonts w:ascii="宋体" w:hAnsi="宋体" w:eastAsia="宋体" w:cs="宋体"/>
        <w:spacing w:val="-3"/>
        <w:sz w:val="28"/>
        <w:szCs w:val="28"/>
      </w:rPr>
      <w:t>—22—</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A8BE5">
    <w:pPr>
      <w:spacing w:line="177" w:lineRule="auto"/>
      <w:ind w:left="13541"/>
      <w:rPr>
        <w:rFonts w:ascii="宋体" w:hAnsi="宋体" w:eastAsia="宋体" w:cs="宋体"/>
        <w:sz w:val="28"/>
        <w:szCs w:val="28"/>
      </w:rPr>
    </w:pPr>
    <w:r>
      <w:rPr>
        <w:rFonts w:ascii="宋体" w:hAnsi="宋体" w:eastAsia="宋体" w:cs="宋体"/>
        <w:spacing w:val="-5"/>
        <w:sz w:val="28"/>
        <w:szCs w:val="28"/>
      </w:rPr>
      <w:t>—193—</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5F62D">
    <w:pPr>
      <w:spacing w:line="177" w:lineRule="auto"/>
      <w:ind w:left="231"/>
      <w:rPr>
        <w:rFonts w:ascii="宋体" w:hAnsi="宋体" w:eastAsia="宋体" w:cs="宋体"/>
        <w:sz w:val="28"/>
        <w:szCs w:val="28"/>
      </w:rPr>
    </w:pPr>
    <w:r>
      <w:rPr>
        <w:rFonts w:ascii="宋体" w:hAnsi="宋体" w:eastAsia="宋体" w:cs="宋体"/>
        <w:spacing w:val="-5"/>
        <w:sz w:val="28"/>
        <w:szCs w:val="28"/>
      </w:rPr>
      <w:t>—194—</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1860F">
    <w:pPr>
      <w:spacing w:line="177" w:lineRule="auto"/>
      <w:ind w:left="13541"/>
      <w:rPr>
        <w:rFonts w:ascii="宋体" w:hAnsi="宋体" w:eastAsia="宋体" w:cs="宋体"/>
        <w:sz w:val="28"/>
        <w:szCs w:val="28"/>
      </w:rPr>
    </w:pPr>
    <w:r>
      <w:rPr>
        <w:rFonts w:ascii="宋体" w:hAnsi="宋体" w:eastAsia="宋体" w:cs="宋体"/>
        <w:spacing w:val="-5"/>
        <w:sz w:val="28"/>
        <w:szCs w:val="28"/>
      </w:rPr>
      <w:t>—195—</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E4976">
    <w:pPr>
      <w:spacing w:line="177" w:lineRule="auto"/>
      <w:ind w:left="231"/>
      <w:rPr>
        <w:rFonts w:ascii="宋体" w:hAnsi="宋体" w:eastAsia="宋体" w:cs="宋体"/>
        <w:sz w:val="28"/>
        <w:szCs w:val="28"/>
      </w:rPr>
    </w:pPr>
    <w:r>
      <w:rPr>
        <w:rFonts w:ascii="宋体" w:hAnsi="宋体" w:eastAsia="宋体" w:cs="宋体"/>
        <w:spacing w:val="-5"/>
        <w:sz w:val="28"/>
        <w:szCs w:val="28"/>
      </w:rPr>
      <w:t>—196—</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ABE9B">
    <w:pPr>
      <w:spacing w:line="177" w:lineRule="auto"/>
      <w:ind w:left="13541"/>
      <w:rPr>
        <w:rFonts w:ascii="宋体" w:hAnsi="宋体" w:eastAsia="宋体" w:cs="宋体"/>
        <w:sz w:val="28"/>
        <w:szCs w:val="28"/>
      </w:rPr>
    </w:pPr>
    <w:r>
      <w:rPr>
        <w:rFonts w:ascii="宋体" w:hAnsi="宋体" w:eastAsia="宋体" w:cs="宋体"/>
        <w:spacing w:val="-5"/>
        <w:sz w:val="28"/>
        <w:szCs w:val="28"/>
      </w:rPr>
      <w:t>—197—</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E9BDD">
    <w:pPr>
      <w:spacing w:line="177" w:lineRule="auto"/>
      <w:ind w:left="231"/>
      <w:rPr>
        <w:rFonts w:ascii="宋体" w:hAnsi="宋体" w:eastAsia="宋体" w:cs="宋体"/>
        <w:sz w:val="28"/>
        <w:szCs w:val="28"/>
      </w:rPr>
    </w:pPr>
    <w:r>
      <w:rPr>
        <w:rFonts w:ascii="宋体" w:hAnsi="宋体" w:eastAsia="宋体" w:cs="宋体"/>
        <w:spacing w:val="-5"/>
        <w:sz w:val="28"/>
        <w:szCs w:val="28"/>
      </w:rPr>
      <w:t>—198—</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F278D">
    <w:pPr>
      <w:spacing w:line="177" w:lineRule="auto"/>
      <w:ind w:left="13541"/>
      <w:rPr>
        <w:rFonts w:ascii="宋体" w:hAnsi="宋体" w:eastAsia="宋体" w:cs="宋体"/>
        <w:sz w:val="28"/>
        <w:szCs w:val="28"/>
      </w:rPr>
    </w:pPr>
    <w:r>
      <w:rPr>
        <w:rFonts w:ascii="宋体" w:hAnsi="宋体" w:eastAsia="宋体" w:cs="宋体"/>
        <w:spacing w:val="-5"/>
        <w:sz w:val="28"/>
        <w:szCs w:val="28"/>
      </w:rPr>
      <w:t>—199—</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3DE86">
    <w:pPr>
      <w:spacing w:line="176" w:lineRule="auto"/>
      <w:ind w:left="231"/>
      <w:rPr>
        <w:rFonts w:ascii="宋体" w:hAnsi="宋体" w:eastAsia="宋体" w:cs="宋体"/>
        <w:sz w:val="28"/>
        <w:szCs w:val="28"/>
      </w:rPr>
    </w:pPr>
    <w:r>
      <w:rPr>
        <w:rFonts w:ascii="宋体" w:hAnsi="宋体" w:eastAsia="宋体" w:cs="宋体"/>
        <w:spacing w:val="-2"/>
        <w:sz w:val="28"/>
        <w:szCs w:val="28"/>
      </w:rPr>
      <w:t>—200—</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4BA67">
    <w:pPr>
      <w:spacing w:line="177" w:lineRule="auto"/>
      <w:ind w:left="13541"/>
      <w:rPr>
        <w:rFonts w:ascii="宋体" w:hAnsi="宋体" w:eastAsia="宋体" w:cs="宋体"/>
        <w:sz w:val="28"/>
        <w:szCs w:val="28"/>
      </w:rPr>
    </w:pPr>
    <w:r>
      <w:rPr>
        <w:rFonts w:ascii="宋体" w:hAnsi="宋体" w:eastAsia="宋体" w:cs="宋体"/>
        <w:spacing w:val="-2"/>
        <w:sz w:val="28"/>
        <w:szCs w:val="28"/>
      </w:rPr>
      <w:t>—201—</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36E65">
    <w:pPr>
      <w:spacing w:line="176" w:lineRule="auto"/>
      <w:ind w:left="231"/>
      <w:rPr>
        <w:rFonts w:ascii="宋体" w:hAnsi="宋体" w:eastAsia="宋体" w:cs="宋体"/>
        <w:sz w:val="28"/>
        <w:szCs w:val="28"/>
      </w:rPr>
    </w:pPr>
    <w:r>
      <w:rPr>
        <w:rFonts w:ascii="宋体" w:hAnsi="宋体" w:eastAsia="宋体" w:cs="宋体"/>
        <w:spacing w:val="-2"/>
        <w:sz w:val="28"/>
        <w:szCs w:val="28"/>
      </w:rPr>
      <w:t>—202—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5D2E4">
    <w:pPr>
      <w:spacing w:line="175" w:lineRule="auto"/>
      <w:ind w:left="7859"/>
      <w:rPr>
        <w:rFonts w:ascii="宋体" w:hAnsi="宋体" w:eastAsia="宋体" w:cs="宋体"/>
        <w:sz w:val="28"/>
        <w:szCs w:val="28"/>
      </w:rPr>
    </w:pPr>
    <w:r>
      <w:rPr>
        <w:rFonts w:ascii="宋体" w:hAnsi="宋体" w:eastAsia="宋体" w:cs="宋体"/>
        <w:spacing w:val="-4"/>
        <w:sz w:val="28"/>
        <w:szCs w:val="28"/>
      </w:rPr>
      <w:t>—5—</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FF0EB">
    <w:pPr>
      <w:spacing w:line="176" w:lineRule="auto"/>
      <w:ind w:left="13683"/>
      <w:rPr>
        <w:rFonts w:ascii="宋体" w:hAnsi="宋体" w:eastAsia="宋体" w:cs="宋体"/>
        <w:sz w:val="28"/>
        <w:szCs w:val="28"/>
      </w:rPr>
    </w:pPr>
    <w:r>
      <w:rPr>
        <w:rFonts w:ascii="宋体" w:hAnsi="宋体" w:eastAsia="宋体" w:cs="宋体"/>
        <w:spacing w:val="-3"/>
        <w:sz w:val="28"/>
        <w:szCs w:val="28"/>
      </w:rPr>
      <w:t>—23—</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1118E">
    <w:pPr>
      <w:spacing w:line="176" w:lineRule="auto"/>
      <w:ind w:left="13541"/>
      <w:rPr>
        <w:rFonts w:ascii="宋体" w:hAnsi="宋体" w:eastAsia="宋体" w:cs="宋体"/>
        <w:sz w:val="28"/>
        <w:szCs w:val="28"/>
      </w:rPr>
    </w:pPr>
    <w:r>
      <w:rPr>
        <w:rFonts w:ascii="宋体" w:hAnsi="宋体" w:eastAsia="宋体" w:cs="宋体"/>
        <w:spacing w:val="-2"/>
        <w:sz w:val="28"/>
        <w:szCs w:val="28"/>
      </w:rPr>
      <w:t>—203—</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FE7B0">
    <w:pPr>
      <w:spacing w:line="176" w:lineRule="auto"/>
      <w:ind w:left="231"/>
      <w:rPr>
        <w:rFonts w:ascii="宋体" w:hAnsi="宋体" w:eastAsia="宋体" w:cs="宋体"/>
        <w:sz w:val="28"/>
        <w:szCs w:val="28"/>
      </w:rPr>
    </w:pPr>
    <w:r>
      <w:rPr>
        <w:rFonts w:ascii="宋体" w:hAnsi="宋体" w:eastAsia="宋体" w:cs="宋体"/>
        <w:spacing w:val="-2"/>
        <w:sz w:val="28"/>
        <w:szCs w:val="28"/>
      </w:rPr>
      <w:t>—204—</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B67CE">
    <w:pPr>
      <w:spacing w:line="176" w:lineRule="auto"/>
      <w:ind w:left="13541"/>
      <w:rPr>
        <w:rFonts w:ascii="宋体" w:hAnsi="宋体" w:eastAsia="宋体" w:cs="宋体"/>
        <w:sz w:val="28"/>
        <w:szCs w:val="28"/>
      </w:rPr>
    </w:pPr>
    <w:r>
      <w:rPr>
        <w:rFonts w:ascii="宋体" w:hAnsi="宋体" w:eastAsia="宋体" w:cs="宋体"/>
        <w:spacing w:val="-2"/>
        <w:sz w:val="28"/>
        <w:szCs w:val="28"/>
      </w:rPr>
      <w:t>—205—</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FAF4C">
    <w:pPr>
      <w:spacing w:line="176" w:lineRule="auto"/>
      <w:ind w:left="231"/>
      <w:rPr>
        <w:rFonts w:ascii="宋体" w:hAnsi="宋体" w:eastAsia="宋体" w:cs="宋体"/>
        <w:sz w:val="28"/>
        <w:szCs w:val="28"/>
      </w:rPr>
    </w:pPr>
    <w:r>
      <w:rPr>
        <w:rFonts w:ascii="宋体" w:hAnsi="宋体" w:eastAsia="宋体" w:cs="宋体"/>
        <w:spacing w:val="-2"/>
        <w:sz w:val="28"/>
        <w:szCs w:val="28"/>
      </w:rPr>
      <w:t>—206—</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C4504">
    <w:pPr>
      <w:spacing w:line="176" w:lineRule="auto"/>
      <w:ind w:left="13541"/>
      <w:rPr>
        <w:rFonts w:ascii="宋体" w:hAnsi="宋体" w:eastAsia="宋体" w:cs="宋体"/>
        <w:sz w:val="28"/>
        <w:szCs w:val="28"/>
      </w:rPr>
    </w:pPr>
    <w:r>
      <w:rPr>
        <w:rFonts w:ascii="宋体" w:hAnsi="宋体" w:eastAsia="宋体" w:cs="宋体"/>
        <w:spacing w:val="-2"/>
        <w:sz w:val="28"/>
        <w:szCs w:val="28"/>
      </w:rPr>
      <w:t>—207—</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113CC">
    <w:pPr>
      <w:spacing w:line="176" w:lineRule="auto"/>
      <w:ind w:left="231"/>
      <w:rPr>
        <w:rFonts w:ascii="宋体" w:hAnsi="宋体" w:eastAsia="宋体" w:cs="宋体"/>
        <w:sz w:val="28"/>
        <w:szCs w:val="28"/>
      </w:rPr>
    </w:pPr>
    <w:r>
      <w:rPr>
        <w:rFonts w:ascii="宋体" w:hAnsi="宋体" w:eastAsia="宋体" w:cs="宋体"/>
        <w:spacing w:val="-2"/>
        <w:sz w:val="28"/>
        <w:szCs w:val="28"/>
      </w:rPr>
      <w:t>—208—</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DD455">
    <w:pPr>
      <w:spacing w:line="176" w:lineRule="auto"/>
      <w:ind w:left="13541"/>
      <w:rPr>
        <w:rFonts w:ascii="宋体" w:hAnsi="宋体" w:eastAsia="宋体" w:cs="宋体"/>
        <w:sz w:val="28"/>
        <w:szCs w:val="28"/>
      </w:rPr>
    </w:pPr>
    <w:r>
      <w:rPr>
        <w:rFonts w:ascii="宋体" w:hAnsi="宋体" w:eastAsia="宋体" w:cs="宋体"/>
        <w:spacing w:val="-2"/>
        <w:sz w:val="28"/>
        <w:szCs w:val="28"/>
      </w:rPr>
      <w:t>—209—</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E475B">
    <w:pPr>
      <w:spacing w:line="177" w:lineRule="auto"/>
      <w:ind w:left="231"/>
      <w:rPr>
        <w:rFonts w:ascii="宋体" w:hAnsi="宋体" w:eastAsia="宋体" w:cs="宋体"/>
        <w:sz w:val="28"/>
        <w:szCs w:val="28"/>
      </w:rPr>
    </w:pPr>
    <w:r>
      <w:rPr>
        <w:rFonts w:ascii="宋体" w:hAnsi="宋体" w:eastAsia="宋体" w:cs="宋体"/>
        <w:spacing w:val="-2"/>
        <w:sz w:val="28"/>
        <w:szCs w:val="28"/>
      </w:rPr>
      <w:t>—210—</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68B7F">
    <w:pPr>
      <w:spacing w:line="177" w:lineRule="auto"/>
      <w:ind w:left="13541"/>
      <w:rPr>
        <w:rFonts w:ascii="宋体" w:hAnsi="宋体" w:eastAsia="宋体" w:cs="宋体"/>
        <w:sz w:val="28"/>
        <w:szCs w:val="28"/>
      </w:rPr>
    </w:pPr>
    <w:r>
      <w:rPr>
        <w:rFonts w:ascii="宋体" w:hAnsi="宋体" w:eastAsia="宋体" w:cs="宋体"/>
        <w:spacing w:val="-2"/>
        <w:sz w:val="28"/>
        <w:szCs w:val="28"/>
      </w:rPr>
      <w:t>—211—</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126C2">
    <w:pPr>
      <w:spacing w:line="177" w:lineRule="auto"/>
      <w:ind w:left="231"/>
      <w:rPr>
        <w:rFonts w:ascii="宋体" w:hAnsi="宋体" w:eastAsia="宋体" w:cs="宋体"/>
        <w:sz w:val="28"/>
        <w:szCs w:val="28"/>
      </w:rPr>
    </w:pPr>
    <w:r>
      <w:rPr>
        <w:rFonts w:ascii="宋体" w:hAnsi="宋体" w:eastAsia="宋体" w:cs="宋体"/>
        <w:spacing w:val="-2"/>
        <w:sz w:val="28"/>
        <w:szCs w:val="28"/>
      </w:rPr>
      <w:t>—212—</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6774E">
    <w:pPr>
      <w:spacing w:line="176" w:lineRule="auto"/>
      <w:ind w:left="231"/>
      <w:rPr>
        <w:rFonts w:ascii="宋体" w:hAnsi="宋体" w:eastAsia="宋体" w:cs="宋体"/>
        <w:sz w:val="28"/>
        <w:szCs w:val="28"/>
      </w:rPr>
    </w:pPr>
    <w:r>
      <w:rPr>
        <w:rFonts w:ascii="宋体" w:hAnsi="宋体" w:eastAsia="宋体" w:cs="宋体"/>
        <w:spacing w:val="-3"/>
        <w:sz w:val="28"/>
        <w:szCs w:val="28"/>
      </w:rPr>
      <w:t>—24—</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D4EF9">
    <w:pPr>
      <w:spacing w:line="177" w:lineRule="auto"/>
      <w:ind w:left="13541"/>
      <w:rPr>
        <w:rFonts w:ascii="宋体" w:hAnsi="宋体" w:eastAsia="宋体" w:cs="宋体"/>
        <w:sz w:val="28"/>
        <w:szCs w:val="28"/>
      </w:rPr>
    </w:pPr>
    <w:r>
      <w:rPr>
        <w:rFonts w:ascii="宋体" w:hAnsi="宋体" w:eastAsia="宋体" w:cs="宋体"/>
        <w:spacing w:val="-2"/>
        <w:sz w:val="28"/>
        <w:szCs w:val="28"/>
      </w:rPr>
      <w:t>—213—</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7973E">
    <w:pPr>
      <w:spacing w:line="177" w:lineRule="auto"/>
      <w:ind w:left="231"/>
      <w:rPr>
        <w:rFonts w:ascii="宋体" w:hAnsi="宋体" w:eastAsia="宋体" w:cs="宋体"/>
        <w:sz w:val="28"/>
        <w:szCs w:val="28"/>
      </w:rPr>
    </w:pPr>
    <w:r>
      <w:rPr>
        <w:rFonts w:ascii="宋体" w:hAnsi="宋体" w:eastAsia="宋体" w:cs="宋体"/>
        <w:spacing w:val="-2"/>
        <w:sz w:val="28"/>
        <w:szCs w:val="28"/>
      </w:rPr>
      <w:t>—214—</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7A764">
    <w:pPr>
      <w:spacing w:line="177" w:lineRule="auto"/>
      <w:ind w:left="13541"/>
      <w:rPr>
        <w:rFonts w:ascii="宋体" w:hAnsi="宋体" w:eastAsia="宋体" w:cs="宋体"/>
        <w:sz w:val="28"/>
        <w:szCs w:val="28"/>
      </w:rPr>
    </w:pPr>
    <w:r>
      <w:rPr>
        <w:rFonts w:ascii="宋体" w:hAnsi="宋体" w:eastAsia="宋体" w:cs="宋体"/>
        <w:spacing w:val="-2"/>
        <w:sz w:val="28"/>
        <w:szCs w:val="28"/>
      </w:rPr>
      <w:t>—215—</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8D189">
    <w:pPr>
      <w:spacing w:line="177" w:lineRule="auto"/>
      <w:ind w:left="231"/>
      <w:rPr>
        <w:rFonts w:ascii="宋体" w:hAnsi="宋体" w:eastAsia="宋体" w:cs="宋体"/>
        <w:sz w:val="28"/>
        <w:szCs w:val="28"/>
      </w:rPr>
    </w:pPr>
    <w:r>
      <w:rPr>
        <w:rFonts w:ascii="宋体" w:hAnsi="宋体" w:eastAsia="宋体" w:cs="宋体"/>
        <w:spacing w:val="-2"/>
        <w:sz w:val="28"/>
        <w:szCs w:val="28"/>
      </w:rPr>
      <w:t>—216—</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18703">
    <w:pPr>
      <w:spacing w:line="177" w:lineRule="auto"/>
      <w:ind w:left="13541"/>
      <w:rPr>
        <w:rFonts w:ascii="宋体" w:hAnsi="宋体" w:eastAsia="宋体" w:cs="宋体"/>
        <w:sz w:val="28"/>
        <w:szCs w:val="28"/>
      </w:rPr>
    </w:pPr>
    <w:r>
      <w:rPr>
        <w:rFonts w:ascii="宋体" w:hAnsi="宋体" w:eastAsia="宋体" w:cs="宋体"/>
        <w:spacing w:val="-2"/>
        <w:sz w:val="28"/>
        <w:szCs w:val="28"/>
      </w:rPr>
      <w:t>—217—</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E826B">
    <w:pPr>
      <w:spacing w:line="177" w:lineRule="auto"/>
      <w:ind w:left="231"/>
      <w:rPr>
        <w:rFonts w:ascii="宋体" w:hAnsi="宋体" w:eastAsia="宋体" w:cs="宋体"/>
        <w:sz w:val="28"/>
        <w:szCs w:val="28"/>
      </w:rPr>
    </w:pPr>
    <w:r>
      <w:rPr>
        <w:rFonts w:ascii="宋体" w:hAnsi="宋体" w:eastAsia="宋体" w:cs="宋体"/>
        <w:spacing w:val="-2"/>
        <w:sz w:val="28"/>
        <w:szCs w:val="28"/>
      </w:rPr>
      <w:t>—218—</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C8FFF">
    <w:pPr>
      <w:spacing w:line="177" w:lineRule="auto"/>
      <w:ind w:left="13541"/>
      <w:rPr>
        <w:rFonts w:ascii="宋体" w:hAnsi="宋体" w:eastAsia="宋体" w:cs="宋体"/>
        <w:sz w:val="28"/>
        <w:szCs w:val="28"/>
      </w:rPr>
    </w:pPr>
    <w:r>
      <w:rPr>
        <w:rFonts w:ascii="宋体" w:hAnsi="宋体" w:eastAsia="宋体" w:cs="宋体"/>
        <w:spacing w:val="-2"/>
        <w:sz w:val="28"/>
        <w:szCs w:val="28"/>
      </w:rPr>
      <w:t>—219—</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AF4BA">
    <w:pPr>
      <w:spacing w:line="176" w:lineRule="auto"/>
      <w:ind w:left="231"/>
      <w:rPr>
        <w:rFonts w:ascii="宋体" w:hAnsi="宋体" w:eastAsia="宋体" w:cs="宋体"/>
        <w:sz w:val="28"/>
        <w:szCs w:val="28"/>
      </w:rPr>
    </w:pPr>
    <w:r>
      <w:rPr>
        <w:rFonts w:ascii="宋体" w:hAnsi="宋体" w:eastAsia="宋体" w:cs="宋体"/>
        <w:spacing w:val="-2"/>
        <w:sz w:val="28"/>
        <w:szCs w:val="28"/>
      </w:rPr>
      <w:t>—220—</w: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633ED">
    <w:pPr>
      <w:spacing w:line="177" w:lineRule="auto"/>
      <w:ind w:left="13541"/>
      <w:rPr>
        <w:rFonts w:ascii="宋体" w:hAnsi="宋体" w:eastAsia="宋体" w:cs="宋体"/>
        <w:sz w:val="28"/>
        <w:szCs w:val="28"/>
      </w:rPr>
    </w:pPr>
    <w:r>
      <w:rPr>
        <w:rFonts w:ascii="宋体" w:hAnsi="宋体" w:eastAsia="宋体" w:cs="宋体"/>
        <w:spacing w:val="-2"/>
        <w:sz w:val="28"/>
        <w:szCs w:val="28"/>
      </w:rPr>
      <w:t>—221—</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4FAC6">
    <w:pPr>
      <w:spacing w:line="176" w:lineRule="auto"/>
      <w:ind w:left="231"/>
      <w:rPr>
        <w:rFonts w:ascii="宋体" w:hAnsi="宋体" w:eastAsia="宋体" w:cs="宋体"/>
        <w:sz w:val="28"/>
        <w:szCs w:val="28"/>
      </w:rPr>
    </w:pPr>
    <w:r>
      <w:rPr>
        <w:rFonts w:ascii="宋体" w:hAnsi="宋体" w:eastAsia="宋体" w:cs="宋体"/>
        <w:spacing w:val="-2"/>
        <w:sz w:val="28"/>
        <w:szCs w:val="28"/>
      </w:rPr>
      <w:t>—222—</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9B1E3">
    <w:pPr>
      <w:spacing w:line="176" w:lineRule="auto"/>
      <w:ind w:left="13683"/>
      <w:rPr>
        <w:rFonts w:ascii="宋体" w:hAnsi="宋体" w:eastAsia="宋体" w:cs="宋体"/>
        <w:sz w:val="28"/>
        <w:szCs w:val="28"/>
      </w:rPr>
    </w:pPr>
    <w:r>
      <w:rPr>
        <w:rFonts w:ascii="宋体" w:hAnsi="宋体" w:eastAsia="宋体" w:cs="宋体"/>
        <w:spacing w:val="-3"/>
        <w:sz w:val="28"/>
        <w:szCs w:val="28"/>
      </w:rPr>
      <w:t>—25—</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EDCFD">
    <w:pPr>
      <w:spacing w:line="176" w:lineRule="auto"/>
      <w:ind w:left="13541"/>
      <w:rPr>
        <w:rFonts w:ascii="宋体" w:hAnsi="宋体" w:eastAsia="宋体" w:cs="宋体"/>
        <w:sz w:val="28"/>
        <w:szCs w:val="28"/>
      </w:rPr>
    </w:pPr>
    <w:r>
      <w:rPr>
        <w:rFonts w:ascii="宋体" w:hAnsi="宋体" w:eastAsia="宋体" w:cs="宋体"/>
        <w:spacing w:val="-2"/>
        <w:sz w:val="28"/>
        <w:szCs w:val="28"/>
      </w:rPr>
      <w:t>—223—</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85E9E">
    <w:pPr>
      <w:spacing w:line="176" w:lineRule="auto"/>
      <w:ind w:left="231"/>
      <w:rPr>
        <w:rFonts w:ascii="宋体" w:hAnsi="宋体" w:eastAsia="宋体" w:cs="宋体"/>
        <w:sz w:val="28"/>
        <w:szCs w:val="28"/>
      </w:rPr>
    </w:pPr>
    <w:r>
      <w:rPr>
        <w:rFonts w:ascii="宋体" w:hAnsi="宋体" w:eastAsia="宋体" w:cs="宋体"/>
        <w:spacing w:val="-2"/>
        <w:sz w:val="28"/>
        <w:szCs w:val="28"/>
      </w:rPr>
      <w:t>—224—</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5C659">
    <w:pPr>
      <w:spacing w:line="176" w:lineRule="auto"/>
      <w:ind w:left="13541"/>
      <w:rPr>
        <w:rFonts w:ascii="宋体" w:hAnsi="宋体" w:eastAsia="宋体" w:cs="宋体"/>
        <w:sz w:val="28"/>
        <w:szCs w:val="28"/>
      </w:rPr>
    </w:pPr>
    <w:r>
      <w:rPr>
        <w:rFonts w:ascii="宋体" w:hAnsi="宋体" w:eastAsia="宋体" w:cs="宋体"/>
        <w:spacing w:val="-2"/>
        <w:sz w:val="28"/>
        <w:szCs w:val="28"/>
      </w:rPr>
      <w:t>—225—</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2FF4E">
    <w:pPr>
      <w:pStyle w:val="2"/>
      <w:spacing w:line="14" w:lineRule="auto"/>
      <w:rPr>
        <w:sz w:val="2"/>
      </w:rP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5E1E1">
    <w:pPr>
      <w:spacing w:line="176" w:lineRule="auto"/>
      <w:ind w:left="13541"/>
      <w:rPr>
        <w:rFonts w:ascii="宋体" w:hAnsi="宋体" w:eastAsia="宋体" w:cs="宋体"/>
        <w:sz w:val="28"/>
        <w:szCs w:val="28"/>
      </w:rPr>
    </w:pPr>
    <w:r>
      <w:rPr>
        <w:rFonts w:ascii="宋体" w:hAnsi="宋体" w:eastAsia="宋体" w:cs="宋体"/>
        <w:spacing w:val="-2"/>
        <w:sz w:val="28"/>
        <w:szCs w:val="28"/>
      </w:rPr>
      <w:t>—227—</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42675">
    <w:pPr>
      <w:spacing w:line="176" w:lineRule="auto"/>
      <w:ind w:left="231"/>
      <w:rPr>
        <w:rFonts w:ascii="宋体" w:hAnsi="宋体" w:eastAsia="宋体" w:cs="宋体"/>
        <w:sz w:val="28"/>
        <w:szCs w:val="28"/>
      </w:rPr>
    </w:pPr>
    <w:r>
      <w:rPr>
        <w:rFonts w:ascii="宋体" w:hAnsi="宋体" w:eastAsia="宋体" w:cs="宋体"/>
        <w:spacing w:val="-2"/>
        <w:sz w:val="28"/>
        <w:szCs w:val="28"/>
      </w:rPr>
      <w:t>—228—</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66325">
    <w:pPr>
      <w:spacing w:line="176" w:lineRule="auto"/>
      <w:ind w:left="13541"/>
      <w:rPr>
        <w:rFonts w:ascii="宋体" w:hAnsi="宋体" w:eastAsia="宋体" w:cs="宋体"/>
        <w:sz w:val="28"/>
        <w:szCs w:val="28"/>
      </w:rPr>
    </w:pPr>
    <w:r>
      <w:rPr>
        <w:rFonts w:ascii="宋体" w:hAnsi="宋体" w:eastAsia="宋体" w:cs="宋体"/>
        <w:spacing w:val="-2"/>
        <w:sz w:val="28"/>
        <w:szCs w:val="28"/>
      </w:rPr>
      <w:t>—229—</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5667A">
    <w:pPr>
      <w:spacing w:line="176" w:lineRule="auto"/>
      <w:ind w:left="231"/>
      <w:rPr>
        <w:rFonts w:ascii="宋体" w:hAnsi="宋体" w:eastAsia="宋体" w:cs="宋体"/>
        <w:sz w:val="28"/>
        <w:szCs w:val="28"/>
      </w:rPr>
    </w:pPr>
    <w:r>
      <w:rPr>
        <w:rFonts w:ascii="宋体" w:hAnsi="宋体" w:eastAsia="宋体" w:cs="宋体"/>
        <w:spacing w:val="-2"/>
        <w:sz w:val="28"/>
        <w:szCs w:val="28"/>
      </w:rPr>
      <w:t>—230—</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4F0D4">
    <w:pPr>
      <w:spacing w:line="177" w:lineRule="auto"/>
      <w:ind w:left="13541"/>
      <w:rPr>
        <w:rFonts w:ascii="宋体" w:hAnsi="宋体" w:eastAsia="宋体" w:cs="宋体"/>
        <w:sz w:val="28"/>
        <w:szCs w:val="28"/>
      </w:rPr>
    </w:pPr>
    <w:r>
      <w:rPr>
        <w:rFonts w:ascii="宋体" w:hAnsi="宋体" w:eastAsia="宋体" w:cs="宋体"/>
        <w:spacing w:val="-2"/>
        <w:sz w:val="28"/>
        <w:szCs w:val="28"/>
      </w:rPr>
      <w:t>—231—</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98975">
    <w:pPr>
      <w:spacing w:line="176" w:lineRule="auto"/>
      <w:ind w:left="231"/>
      <w:rPr>
        <w:rFonts w:ascii="宋体" w:hAnsi="宋体" w:eastAsia="宋体" w:cs="宋体"/>
        <w:sz w:val="28"/>
        <w:szCs w:val="28"/>
      </w:rPr>
    </w:pPr>
    <w:r>
      <w:rPr>
        <w:rFonts w:ascii="宋体" w:hAnsi="宋体" w:eastAsia="宋体" w:cs="宋体"/>
        <w:spacing w:val="-2"/>
        <w:sz w:val="28"/>
        <w:szCs w:val="28"/>
      </w:rPr>
      <w:t>—232—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52D27">
    <w:pPr>
      <w:spacing w:line="176" w:lineRule="auto"/>
      <w:ind w:left="231"/>
      <w:rPr>
        <w:rFonts w:ascii="宋体" w:hAnsi="宋体" w:eastAsia="宋体" w:cs="宋体"/>
        <w:sz w:val="28"/>
        <w:szCs w:val="28"/>
      </w:rPr>
    </w:pPr>
    <w:r>
      <w:rPr>
        <w:rFonts w:ascii="宋体" w:hAnsi="宋体" w:eastAsia="宋体" w:cs="宋体"/>
        <w:spacing w:val="-3"/>
        <w:sz w:val="28"/>
        <w:szCs w:val="28"/>
      </w:rPr>
      <w:t>—26—</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DD7C5">
    <w:pPr>
      <w:spacing w:line="176" w:lineRule="auto"/>
      <w:ind w:left="13541"/>
      <w:rPr>
        <w:rFonts w:ascii="宋体" w:hAnsi="宋体" w:eastAsia="宋体" w:cs="宋体"/>
        <w:sz w:val="28"/>
        <w:szCs w:val="28"/>
      </w:rPr>
    </w:pPr>
    <w:r>
      <w:rPr>
        <w:rFonts w:ascii="宋体" w:hAnsi="宋体" w:eastAsia="宋体" w:cs="宋体"/>
        <w:spacing w:val="-2"/>
        <w:sz w:val="28"/>
        <w:szCs w:val="28"/>
      </w:rPr>
      <w:t>—233—</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43CE6">
    <w:pPr>
      <w:spacing w:line="176" w:lineRule="auto"/>
      <w:ind w:left="231"/>
      <w:rPr>
        <w:rFonts w:ascii="宋体" w:hAnsi="宋体" w:eastAsia="宋体" w:cs="宋体"/>
        <w:sz w:val="28"/>
        <w:szCs w:val="28"/>
      </w:rPr>
    </w:pPr>
    <w:r>
      <w:rPr>
        <w:rFonts w:ascii="宋体" w:hAnsi="宋体" w:eastAsia="宋体" w:cs="宋体"/>
        <w:spacing w:val="-2"/>
        <w:sz w:val="28"/>
        <w:szCs w:val="28"/>
      </w:rPr>
      <w:t>—234—</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B0A54">
    <w:pPr>
      <w:spacing w:line="176" w:lineRule="auto"/>
      <w:ind w:left="13421"/>
      <w:rPr>
        <w:rFonts w:ascii="宋体" w:hAnsi="宋体" w:eastAsia="宋体" w:cs="宋体"/>
        <w:sz w:val="28"/>
        <w:szCs w:val="28"/>
      </w:rPr>
    </w:pPr>
    <w:r>
      <w:rPr>
        <w:rFonts w:ascii="宋体" w:hAnsi="宋体" w:eastAsia="宋体" w:cs="宋体"/>
        <w:spacing w:val="-2"/>
        <w:sz w:val="28"/>
        <w:szCs w:val="28"/>
      </w:rPr>
      <w:t>—235—</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BDAE6">
    <w:pPr>
      <w:spacing w:line="176" w:lineRule="auto"/>
      <w:ind w:left="111"/>
      <w:rPr>
        <w:rFonts w:ascii="宋体" w:hAnsi="宋体" w:eastAsia="宋体" w:cs="宋体"/>
        <w:sz w:val="28"/>
        <w:szCs w:val="28"/>
      </w:rPr>
    </w:pPr>
    <w:r>
      <w:rPr>
        <w:rFonts w:ascii="宋体" w:hAnsi="宋体" w:eastAsia="宋体" w:cs="宋体"/>
        <w:spacing w:val="-2"/>
        <w:sz w:val="28"/>
        <w:szCs w:val="28"/>
      </w:rPr>
      <w:t>—236—</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444BE">
    <w:pPr>
      <w:spacing w:line="176" w:lineRule="auto"/>
      <w:ind w:left="13421"/>
      <w:rPr>
        <w:rFonts w:ascii="宋体" w:hAnsi="宋体" w:eastAsia="宋体" w:cs="宋体"/>
        <w:sz w:val="28"/>
        <w:szCs w:val="28"/>
      </w:rPr>
    </w:pPr>
    <w:r>
      <w:rPr>
        <w:rFonts w:ascii="宋体" w:hAnsi="宋体" w:eastAsia="宋体" w:cs="宋体"/>
        <w:spacing w:val="-2"/>
        <w:sz w:val="28"/>
        <w:szCs w:val="28"/>
      </w:rPr>
      <w:t>—237—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DA678">
    <w:pPr>
      <w:spacing w:line="176" w:lineRule="auto"/>
      <w:ind w:left="13683"/>
      <w:rPr>
        <w:rFonts w:ascii="宋体" w:hAnsi="宋体" w:eastAsia="宋体" w:cs="宋体"/>
        <w:sz w:val="28"/>
        <w:szCs w:val="28"/>
      </w:rPr>
    </w:pPr>
    <w:r>
      <w:rPr>
        <w:rFonts w:ascii="宋体" w:hAnsi="宋体" w:eastAsia="宋体" w:cs="宋体"/>
        <w:spacing w:val="-3"/>
        <w:sz w:val="28"/>
        <w:szCs w:val="28"/>
      </w:rPr>
      <w:t>—27—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71B98">
    <w:pPr>
      <w:spacing w:line="176" w:lineRule="auto"/>
      <w:ind w:left="231"/>
      <w:rPr>
        <w:rFonts w:ascii="宋体" w:hAnsi="宋体" w:eastAsia="宋体" w:cs="宋体"/>
        <w:sz w:val="28"/>
        <w:szCs w:val="28"/>
      </w:rPr>
    </w:pPr>
    <w:r>
      <w:rPr>
        <w:rFonts w:ascii="宋体" w:hAnsi="宋体" w:eastAsia="宋体" w:cs="宋体"/>
        <w:spacing w:val="-3"/>
        <w:sz w:val="28"/>
        <w:szCs w:val="28"/>
      </w:rPr>
      <w:t>—28—</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51372">
    <w:pPr>
      <w:spacing w:line="176" w:lineRule="auto"/>
      <w:ind w:left="13683"/>
      <w:rPr>
        <w:rFonts w:ascii="宋体" w:hAnsi="宋体" w:eastAsia="宋体" w:cs="宋体"/>
        <w:sz w:val="28"/>
        <w:szCs w:val="28"/>
      </w:rPr>
    </w:pPr>
    <w:r>
      <w:rPr>
        <w:rFonts w:ascii="宋体" w:hAnsi="宋体" w:eastAsia="宋体" w:cs="宋体"/>
        <w:spacing w:val="-3"/>
        <w:sz w:val="28"/>
        <w:szCs w:val="28"/>
      </w:rPr>
      <w:t>—29—</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1F0F2">
    <w:pPr>
      <w:spacing w:line="176" w:lineRule="auto"/>
      <w:ind w:left="231"/>
      <w:rPr>
        <w:rFonts w:ascii="宋体" w:hAnsi="宋体" w:eastAsia="宋体" w:cs="宋体"/>
        <w:sz w:val="28"/>
        <w:szCs w:val="28"/>
      </w:rPr>
    </w:pPr>
    <w:r>
      <w:rPr>
        <w:rFonts w:ascii="宋体" w:hAnsi="宋体" w:eastAsia="宋体" w:cs="宋体"/>
        <w:spacing w:val="-4"/>
        <w:sz w:val="28"/>
        <w:szCs w:val="28"/>
      </w:rPr>
      <w:t>—30—</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0CB19">
    <w:pPr>
      <w:spacing w:line="177" w:lineRule="auto"/>
      <w:ind w:left="13683"/>
      <w:rPr>
        <w:rFonts w:ascii="宋体" w:hAnsi="宋体" w:eastAsia="宋体" w:cs="宋体"/>
        <w:sz w:val="28"/>
        <w:szCs w:val="28"/>
      </w:rPr>
    </w:pPr>
    <w:r>
      <w:rPr>
        <w:rFonts w:ascii="宋体" w:hAnsi="宋体" w:eastAsia="宋体" w:cs="宋体"/>
        <w:spacing w:val="-3"/>
        <w:sz w:val="28"/>
        <w:szCs w:val="28"/>
      </w:rPr>
      <w:t>—31—</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361B2">
    <w:pPr>
      <w:spacing w:line="176" w:lineRule="auto"/>
      <w:ind w:left="231"/>
      <w:rPr>
        <w:rFonts w:ascii="宋体" w:hAnsi="宋体" w:eastAsia="宋体" w:cs="宋体"/>
        <w:sz w:val="28"/>
        <w:szCs w:val="28"/>
      </w:rPr>
    </w:pPr>
    <w:r>
      <w:rPr>
        <w:rFonts w:ascii="宋体" w:hAnsi="宋体" w:eastAsia="宋体" w:cs="宋体"/>
        <w:spacing w:val="-4"/>
        <w:sz w:val="28"/>
        <w:szCs w:val="28"/>
      </w:rPr>
      <w:t>—32—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CC406">
    <w:pPr>
      <w:spacing w:line="176" w:lineRule="auto"/>
      <w:rPr>
        <w:rFonts w:ascii="宋体" w:hAnsi="宋体" w:eastAsia="宋体" w:cs="宋体"/>
        <w:sz w:val="28"/>
        <w:szCs w:val="28"/>
      </w:rPr>
    </w:pPr>
    <w:r>
      <w:rPr>
        <w:rFonts w:ascii="宋体" w:hAnsi="宋体" w:eastAsia="宋体" w:cs="宋体"/>
        <w:spacing w:val="-3"/>
        <w:sz w:val="28"/>
        <w:szCs w:val="28"/>
      </w:rPr>
      <w:t>—6—</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0A1AE">
    <w:pPr>
      <w:spacing w:line="176" w:lineRule="auto"/>
      <w:ind w:left="13683"/>
      <w:rPr>
        <w:rFonts w:ascii="宋体" w:hAnsi="宋体" w:eastAsia="宋体" w:cs="宋体"/>
        <w:sz w:val="28"/>
        <w:szCs w:val="28"/>
      </w:rPr>
    </w:pPr>
    <w:r>
      <w:rPr>
        <w:rFonts w:ascii="宋体" w:hAnsi="宋体" w:eastAsia="宋体" w:cs="宋体"/>
        <w:spacing w:val="-3"/>
        <w:sz w:val="28"/>
        <w:szCs w:val="28"/>
      </w:rPr>
      <w:t>—33—</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2970A">
    <w:pPr>
      <w:spacing w:line="176" w:lineRule="auto"/>
      <w:ind w:left="231"/>
      <w:rPr>
        <w:rFonts w:ascii="宋体" w:hAnsi="宋体" w:eastAsia="宋体" w:cs="宋体"/>
        <w:sz w:val="28"/>
        <w:szCs w:val="28"/>
      </w:rPr>
    </w:pPr>
    <w:r>
      <w:rPr>
        <w:rFonts w:ascii="宋体" w:hAnsi="宋体" w:eastAsia="宋体" w:cs="宋体"/>
        <w:spacing w:val="-4"/>
        <w:sz w:val="28"/>
        <w:szCs w:val="28"/>
      </w:rPr>
      <w:t>—34—</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7A4D6">
    <w:pPr>
      <w:pStyle w:val="2"/>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CDEC">
    <w:pPr>
      <w:spacing w:line="176" w:lineRule="auto"/>
      <w:ind w:left="231"/>
      <w:rPr>
        <w:rFonts w:ascii="宋体" w:hAnsi="宋体" w:eastAsia="宋体" w:cs="宋体"/>
        <w:sz w:val="28"/>
        <w:szCs w:val="28"/>
      </w:rPr>
    </w:pPr>
    <w:r>
      <w:rPr>
        <w:rFonts w:ascii="宋体" w:hAnsi="宋体" w:eastAsia="宋体" w:cs="宋体"/>
        <w:spacing w:val="-4"/>
        <w:sz w:val="28"/>
        <w:szCs w:val="28"/>
      </w:rPr>
      <w:t>—36—</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8F9E6">
    <w:pPr>
      <w:spacing w:line="176" w:lineRule="auto"/>
      <w:ind w:left="13683"/>
      <w:rPr>
        <w:rFonts w:ascii="宋体" w:hAnsi="宋体" w:eastAsia="宋体" w:cs="宋体"/>
        <w:sz w:val="28"/>
        <w:szCs w:val="28"/>
      </w:rPr>
    </w:pPr>
    <w:r>
      <w:rPr>
        <w:rFonts w:ascii="宋体" w:hAnsi="宋体" w:eastAsia="宋体" w:cs="宋体"/>
        <w:spacing w:val="-3"/>
        <w:sz w:val="28"/>
        <w:szCs w:val="28"/>
      </w:rPr>
      <w:t>—37—</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B6CB4">
    <w:pPr>
      <w:spacing w:line="176" w:lineRule="auto"/>
      <w:ind w:left="231"/>
      <w:rPr>
        <w:rFonts w:ascii="宋体" w:hAnsi="宋体" w:eastAsia="宋体" w:cs="宋体"/>
        <w:sz w:val="28"/>
        <w:szCs w:val="28"/>
      </w:rPr>
    </w:pPr>
    <w:r>
      <w:rPr>
        <w:rFonts w:ascii="宋体" w:hAnsi="宋体" w:eastAsia="宋体" w:cs="宋体"/>
        <w:spacing w:val="-4"/>
        <w:sz w:val="28"/>
        <w:szCs w:val="28"/>
      </w:rPr>
      <w:t>—38—</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ACEA6">
    <w:pPr>
      <w:spacing w:line="176" w:lineRule="auto"/>
      <w:ind w:left="13683"/>
      <w:rPr>
        <w:rFonts w:ascii="宋体" w:hAnsi="宋体" w:eastAsia="宋体" w:cs="宋体"/>
        <w:sz w:val="28"/>
        <w:szCs w:val="28"/>
      </w:rPr>
    </w:pPr>
    <w:r>
      <w:rPr>
        <w:rFonts w:ascii="宋体" w:hAnsi="宋体" w:eastAsia="宋体" w:cs="宋体"/>
        <w:spacing w:val="-3"/>
        <w:sz w:val="28"/>
        <w:szCs w:val="28"/>
      </w:rPr>
      <w:t>—39—</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759BB">
    <w:pPr>
      <w:spacing w:line="176" w:lineRule="auto"/>
      <w:ind w:left="231"/>
      <w:rPr>
        <w:rFonts w:ascii="宋体" w:hAnsi="宋体" w:eastAsia="宋体" w:cs="宋体"/>
        <w:sz w:val="28"/>
        <w:szCs w:val="28"/>
      </w:rPr>
    </w:pPr>
    <w:r>
      <w:rPr>
        <w:rFonts w:ascii="宋体" w:hAnsi="宋体" w:eastAsia="宋体" w:cs="宋体"/>
        <w:spacing w:val="-2"/>
        <w:sz w:val="28"/>
        <w:szCs w:val="28"/>
      </w:rPr>
      <w:t>—40—</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2CACC">
    <w:pPr>
      <w:spacing w:line="177" w:lineRule="auto"/>
      <w:ind w:left="13683"/>
      <w:rPr>
        <w:rFonts w:ascii="宋体" w:hAnsi="宋体" w:eastAsia="宋体" w:cs="宋体"/>
        <w:sz w:val="28"/>
        <w:szCs w:val="28"/>
      </w:rPr>
    </w:pPr>
    <w:r>
      <w:rPr>
        <w:rFonts w:ascii="宋体" w:hAnsi="宋体" w:eastAsia="宋体" w:cs="宋体"/>
        <w:spacing w:val="-2"/>
        <w:sz w:val="28"/>
        <w:szCs w:val="28"/>
      </w:rPr>
      <w:t>—41—</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5553B">
    <w:pPr>
      <w:spacing w:line="176" w:lineRule="auto"/>
      <w:ind w:left="231"/>
      <w:rPr>
        <w:rFonts w:ascii="宋体" w:hAnsi="宋体" w:eastAsia="宋体" w:cs="宋体"/>
        <w:sz w:val="28"/>
        <w:szCs w:val="28"/>
      </w:rPr>
    </w:pPr>
    <w:r>
      <w:rPr>
        <w:rFonts w:ascii="宋体" w:hAnsi="宋体" w:eastAsia="宋体" w:cs="宋体"/>
        <w:spacing w:val="-2"/>
        <w:sz w:val="28"/>
        <w:szCs w:val="28"/>
      </w:rPr>
      <w:t>—42—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A1D6C">
    <w:pPr>
      <w:spacing w:line="175" w:lineRule="auto"/>
      <w:ind w:left="7857"/>
      <w:rPr>
        <w:rFonts w:ascii="宋体" w:hAnsi="宋体" w:eastAsia="宋体" w:cs="宋体"/>
        <w:sz w:val="28"/>
        <w:szCs w:val="28"/>
      </w:rPr>
    </w:pPr>
    <w:r>
      <w:rPr>
        <w:rFonts w:ascii="宋体" w:hAnsi="宋体" w:eastAsia="宋体" w:cs="宋体"/>
        <w:spacing w:val="-5"/>
        <w:sz w:val="28"/>
        <w:szCs w:val="28"/>
      </w:rPr>
      <w:t>—7—</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9285E">
    <w:pPr>
      <w:spacing w:line="176" w:lineRule="auto"/>
      <w:ind w:left="13683"/>
      <w:rPr>
        <w:rFonts w:ascii="宋体" w:hAnsi="宋体" w:eastAsia="宋体" w:cs="宋体"/>
        <w:sz w:val="28"/>
        <w:szCs w:val="28"/>
      </w:rPr>
    </w:pPr>
    <w:r>
      <w:rPr>
        <w:rFonts w:ascii="宋体" w:hAnsi="宋体" w:eastAsia="宋体" w:cs="宋体"/>
        <w:spacing w:val="-2"/>
        <w:sz w:val="28"/>
        <w:szCs w:val="28"/>
      </w:rPr>
      <w:t>—43—</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5AC28">
    <w:pPr>
      <w:spacing w:line="176" w:lineRule="auto"/>
      <w:ind w:left="231"/>
      <w:rPr>
        <w:rFonts w:ascii="宋体" w:hAnsi="宋体" w:eastAsia="宋体" w:cs="宋体"/>
        <w:sz w:val="28"/>
        <w:szCs w:val="28"/>
      </w:rPr>
    </w:pPr>
    <w:r>
      <w:rPr>
        <w:rFonts w:ascii="宋体" w:hAnsi="宋体" w:eastAsia="宋体" w:cs="宋体"/>
        <w:spacing w:val="-2"/>
        <w:sz w:val="28"/>
        <w:szCs w:val="28"/>
      </w:rPr>
      <w:t>—44—</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9E91F">
    <w:pPr>
      <w:spacing w:line="176" w:lineRule="auto"/>
      <w:ind w:left="13683"/>
      <w:rPr>
        <w:rFonts w:ascii="宋体" w:hAnsi="宋体" w:eastAsia="宋体" w:cs="宋体"/>
        <w:sz w:val="28"/>
        <w:szCs w:val="28"/>
      </w:rPr>
    </w:pPr>
    <w:r>
      <w:rPr>
        <w:rFonts w:ascii="宋体" w:hAnsi="宋体" w:eastAsia="宋体" w:cs="宋体"/>
        <w:spacing w:val="-2"/>
        <w:sz w:val="28"/>
        <w:szCs w:val="28"/>
      </w:rPr>
      <w:t>—45—</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BCAF0">
    <w:pPr>
      <w:spacing w:line="176" w:lineRule="auto"/>
      <w:ind w:left="231"/>
      <w:rPr>
        <w:rFonts w:ascii="宋体" w:hAnsi="宋体" w:eastAsia="宋体" w:cs="宋体"/>
        <w:sz w:val="28"/>
        <w:szCs w:val="28"/>
      </w:rPr>
    </w:pPr>
    <w:r>
      <w:rPr>
        <w:rFonts w:ascii="宋体" w:hAnsi="宋体" w:eastAsia="宋体" w:cs="宋体"/>
        <w:spacing w:val="-2"/>
        <w:sz w:val="28"/>
        <w:szCs w:val="28"/>
      </w:rPr>
      <w:t>—46—</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1C3A1">
    <w:pPr>
      <w:spacing w:line="176" w:lineRule="auto"/>
      <w:ind w:left="13683"/>
      <w:rPr>
        <w:rFonts w:ascii="宋体" w:hAnsi="宋体" w:eastAsia="宋体" w:cs="宋体"/>
        <w:sz w:val="28"/>
        <w:szCs w:val="28"/>
      </w:rPr>
    </w:pPr>
    <w:r>
      <w:rPr>
        <w:rFonts w:ascii="宋体" w:hAnsi="宋体" w:eastAsia="宋体" w:cs="宋体"/>
        <w:spacing w:val="-2"/>
        <w:sz w:val="28"/>
        <w:szCs w:val="28"/>
      </w:rPr>
      <w:t>—47—</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43A37">
    <w:pPr>
      <w:spacing w:line="176" w:lineRule="auto"/>
      <w:ind w:left="231"/>
      <w:rPr>
        <w:rFonts w:ascii="宋体" w:hAnsi="宋体" w:eastAsia="宋体" w:cs="宋体"/>
        <w:sz w:val="28"/>
        <w:szCs w:val="28"/>
      </w:rPr>
    </w:pPr>
    <w:r>
      <w:rPr>
        <w:rFonts w:ascii="宋体" w:hAnsi="宋体" w:eastAsia="宋体" w:cs="宋体"/>
        <w:spacing w:val="-2"/>
        <w:sz w:val="28"/>
        <w:szCs w:val="28"/>
      </w:rPr>
      <w:t>—48—</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99CDC">
    <w:pPr>
      <w:spacing w:line="176" w:lineRule="auto"/>
      <w:ind w:left="13683"/>
      <w:rPr>
        <w:rFonts w:ascii="宋体" w:hAnsi="宋体" w:eastAsia="宋体" w:cs="宋体"/>
        <w:sz w:val="28"/>
        <w:szCs w:val="28"/>
      </w:rPr>
    </w:pPr>
    <w:r>
      <w:rPr>
        <w:rFonts w:ascii="宋体" w:hAnsi="宋体" w:eastAsia="宋体" w:cs="宋体"/>
        <w:spacing w:val="-2"/>
        <w:sz w:val="28"/>
        <w:szCs w:val="28"/>
      </w:rPr>
      <w:t>—49—</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436FC">
    <w:pPr>
      <w:spacing w:line="176" w:lineRule="auto"/>
      <w:ind w:left="231"/>
      <w:rPr>
        <w:rFonts w:ascii="宋体" w:hAnsi="宋体" w:eastAsia="宋体" w:cs="宋体"/>
        <w:sz w:val="28"/>
        <w:szCs w:val="28"/>
      </w:rPr>
    </w:pPr>
    <w:r>
      <w:rPr>
        <w:rFonts w:ascii="宋体" w:hAnsi="宋体" w:eastAsia="宋体" w:cs="宋体"/>
        <w:spacing w:val="-4"/>
        <w:sz w:val="28"/>
        <w:szCs w:val="28"/>
      </w:rPr>
      <w:t>—50—</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72F70">
    <w:pPr>
      <w:spacing w:line="177" w:lineRule="auto"/>
      <w:ind w:left="13683"/>
      <w:rPr>
        <w:rFonts w:ascii="宋体" w:hAnsi="宋体" w:eastAsia="宋体" w:cs="宋体"/>
        <w:sz w:val="28"/>
        <w:szCs w:val="28"/>
      </w:rPr>
    </w:pPr>
    <w:r>
      <w:rPr>
        <w:rFonts w:ascii="宋体" w:hAnsi="宋体" w:eastAsia="宋体" w:cs="宋体"/>
        <w:spacing w:val="-3"/>
        <w:sz w:val="28"/>
        <w:szCs w:val="28"/>
      </w:rPr>
      <w:t>—51—</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9E45E">
    <w:pPr>
      <w:spacing w:line="176" w:lineRule="auto"/>
      <w:ind w:left="231"/>
      <w:rPr>
        <w:rFonts w:ascii="宋体" w:hAnsi="宋体" w:eastAsia="宋体" w:cs="宋体"/>
        <w:sz w:val="28"/>
        <w:szCs w:val="28"/>
      </w:rPr>
    </w:pPr>
    <w:r>
      <w:rPr>
        <w:rFonts w:ascii="宋体" w:hAnsi="宋体" w:eastAsia="宋体" w:cs="宋体"/>
        <w:spacing w:val="-4"/>
        <w:sz w:val="28"/>
        <w:szCs w:val="28"/>
      </w:rPr>
      <w:t>—52—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64D7">
    <w:pPr>
      <w:spacing w:line="176" w:lineRule="auto"/>
      <w:rPr>
        <w:rFonts w:ascii="宋体" w:hAnsi="宋体" w:eastAsia="宋体" w:cs="宋体"/>
        <w:sz w:val="28"/>
        <w:szCs w:val="28"/>
      </w:rPr>
    </w:pPr>
    <w:r>
      <w:rPr>
        <w:rFonts w:ascii="宋体" w:hAnsi="宋体" w:eastAsia="宋体" w:cs="宋体"/>
        <w:spacing w:val="-3"/>
        <w:sz w:val="28"/>
        <w:szCs w:val="28"/>
      </w:rPr>
      <w:t>—8—</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31613">
    <w:pPr>
      <w:spacing w:line="176" w:lineRule="auto"/>
      <w:ind w:left="13683"/>
      <w:rPr>
        <w:rFonts w:ascii="宋体" w:hAnsi="宋体" w:eastAsia="宋体" w:cs="宋体"/>
        <w:sz w:val="28"/>
        <w:szCs w:val="28"/>
      </w:rPr>
    </w:pPr>
    <w:r>
      <w:rPr>
        <w:rFonts w:ascii="宋体" w:hAnsi="宋体" w:eastAsia="宋体" w:cs="宋体"/>
        <w:spacing w:val="-3"/>
        <w:sz w:val="28"/>
        <w:szCs w:val="28"/>
      </w:rPr>
      <w:t>—53—</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47A09">
    <w:pPr>
      <w:spacing w:line="176" w:lineRule="auto"/>
      <w:ind w:left="231"/>
      <w:rPr>
        <w:rFonts w:ascii="宋体" w:hAnsi="宋体" w:eastAsia="宋体" w:cs="宋体"/>
        <w:sz w:val="28"/>
        <w:szCs w:val="28"/>
      </w:rPr>
    </w:pPr>
    <w:r>
      <w:rPr>
        <w:rFonts w:ascii="宋体" w:hAnsi="宋体" w:eastAsia="宋体" w:cs="宋体"/>
        <w:spacing w:val="-4"/>
        <w:sz w:val="28"/>
        <w:szCs w:val="28"/>
      </w:rPr>
      <w:t>—54—</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09A5B">
    <w:pPr>
      <w:pStyle w:val="2"/>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72761">
    <w:pPr>
      <w:spacing w:line="176" w:lineRule="auto"/>
      <w:ind w:left="231"/>
      <w:rPr>
        <w:rFonts w:ascii="宋体" w:hAnsi="宋体" w:eastAsia="宋体" w:cs="宋体"/>
        <w:sz w:val="28"/>
        <w:szCs w:val="28"/>
      </w:rPr>
    </w:pPr>
    <w:r>
      <w:rPr>
        <w:rFonts w:ascii="宋体" w:hAnsi="宋体" w:eastAsia="宋体" w:cs="宋体"/>
        <w:spacing w:val="-4"/>
        <w:sz w:val="28"/>
        <w:szCs w:val="28"/>
      </w:rPr>
      <w:t>—56—</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BAD04">
    <w:pPr>
      <w:spacing w:line="175" w:lineRule="auto"/>
      <w:ind w:left="13683"/>
      <w:rPr>
        <w:rFonts w:ascii="宋体" w:hAnsi="宋体" w:eastAsia="宋体" w:cs="宋体"/>
        <w:sz w:val="28"/>
        <w:szCs w:val="28"/>
      </w:rPr>
    </w:pPr>
    <w:r>
      <w:rPr>
        <w:rFonts w:ascii="宋体" w:hAnsi="宋体" w:eastAsia="宋体" w:cs="宋体"/>
        <w:spacing w:val="-3"/>
        <w:sz w:val="28"/>
        <w:szCs w:val="28"/>
      </w:rPr>
      <w:t>—57—</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75534">
    <w:pPr>
      <w:spacing w:line="176" w:lineRule="auto"/>
      <w:ind w:left="231"/>
      <w:rPr>
        <w:rFonts w:ascii="宋体" w:hAnsi="宋体" w:eastAsia="宋体" w:cs="宋体"/>
        <w:sz w:val="28"/>
        <w:szCs w:val="28"/>
      </w:rPr>
    </w:pPr>
    <w:r>
      <w:rPr>
        <w:rFonts w:ascii="宋体" w:hAnsi="宋体" w:eastAsia="宋体" w:cs="宋体"/>
        <w:spacing w:val="-4"/>
        <w:sz w:val="28"/>
        <w:szCs w:val="28"/>
      </w:rPr>
      <w:t>—58—</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D6B61">
    <w:pPr>
      <w:spacing w:line="176" w:lineRule="auto"/>
      <w:ind w:left="13683"/>
      <w:rPr>
        <w:rFonts w:ascii="宋体" w:hAnsi="宋体" w:eastAsia="宋体" w:cs="宋体"/>
        <w:sz w:val="28"/>
        <w:szCs w:val="28"/>
      </w:rPr>
    </w:pPr>
    <w:r>
      <w:rPr>
        <w:rFonts w:ascii="宋体" w:hAnsi="宋体" w:eastAsia="宋体" w:cs="宋体"/>
        <w:spacing w:val="-3"/>
        <w:sz w:val="28"/>
        <w:szCs w:val="28"/>
      </w:rPr>
      <w:t>—59—</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A3810">
    <w:pPr>
      <w:spacing w:line="176" w:lineRule="auto"/>
      <w:ind w:left="231"/>
      <w:rPr>
        <w:rFonts w:ascii="宋体" w:hAnsi="宋体" w:eastAsia="宋体" w:cs="宋体"/>
        <w:sz w:val="28"/>
        <w:szCs w:val="28"/>
      </w:rPr>
    </w:pPr>
    <w:r>
      <w:rPr>
        <w:rFonts w:ascii="宋体" w:hAnsi="宋体" w:eastAsia="宋体" w:cs="宋体"/>
        <w:spacing w:val="-3"/>
        <w:sz w:val="28"/>
        <w:szCs w:val="28"/>
      </w:rPr>
      <w:t>—60—</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BB6F9">
    <w:pPr>
      <w:spacing w:line="177" w:lineRule="auto"/>
      <w:ind w:left="13683"/>
      <w:rPr>
        <w:rFonts w:ascii="宋体" w:hAnsi="宋体" w:eastAsia="宋体" w:cs="宋体"/>
        <w:sz w:val="28"/>
        <w:szCs w:val="28"/>
      </w:rPr>
    </w:pPr>
    <w:r>
      <w:rPr>
        <w:rFonts w:ascii="宋体" w:hAnsi="宋体" w:eastAsia="宋体" w:cs="宋体"/>
        <w:spacing w:val="-3"/>
        <w:sz w:val="28"/>
        <w:szCs w:val="28"/>
      </w:rPr>
      <w:t>—61—</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39765">
    <w:pPr>
      <w:spacing w:line="176" w:lineRule="auto"/>
      <w:ind w:left="231"/>
      <w:rPr>
        <w:rFonts w:ascii="宋体" w:hAnsi="宋体" w:eastAsia="宋体" w:cs="宋体"/>
        <w:sz w:val="28"/>
        <w:szCs w:val="28"/>
      </w:rPr>
    </w:pPr>
    <w:r>
      <w:rPr>
        <w:rFonts w:ascii="宋体" w:hAnsi="宋体" w:eastAsia="宋体" w:cs="宋体"/>
        <w:spacing w:val="-3"/>
        <w:sz w:val="28"/>
        <w:szCs w:val="28"/>
      </w:rPr>
      <w:t>—62—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A2560">
    <w:pPr>
      <w:spacing w:line="176" w:lineRule="auto"/>
      <w:ind w:left="7856"/>
      <w:rPr>
        <w:rFonts w:ascii="宋体" w:hAnsi="宋体" w:eastAsia="宋体" w:cs="宋体"/>
        <w:sz w:val="28"/>
        <w:szCs w:val="28"/>
      </w:rPr>
    </w:pPr>
    <w:r>
      <w:rPr>
        <w:rFonts w:ascii="宋体" w:hAnsi="宋体" w:eastAsia="宋体" w:cs="宋体"/>
        <w:spacing w:val="-3"/>
        <w:sz w:val="28"/>
        <w:szCs w:val="28"/>
      </w:rPr>
      <w:t>—9—</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6344A">
    <w:pPr>
      <w:spacing w:line="176" w:lineRule="auto"/>
      <w:ind w:left="13683"/>
      <w:rPr>
        <w:rFonts w:ascii="宋体" w:hAnsi="宋体" w:eastAsia="宋体" w:cs="宋体"/>
        <w:sz w:val="28"/>
        <w:szCs w:val="28"/>
      </w:rPr>
    </w:pPr>
    <w:r>
      <w:rPr>
        <w:rFonts w:ascii="宋体" w:hAnsi="宋体" w:eastAsia="宋体" w:cs="宋体"/>
        <w:spacing w:val="-3"/>
        <w:sz w:val="28"/>
        <w:szCs w:val="28"/>
      </w:rPr>
      <w:t>—63—</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C6A32">
    <w:pPr>
      <w:spacing w:line="176" w:lineRule="auto"/>
      <w:ind w:left="231"/>
      <w:rPr>
        <w:rFonts w:ascii="宋体" w:hAnsi="宋体" w:eastAsia="宋体" w:cs="宋体"/>
        <w:sz w:val="28"/>
        <w:szCs w:val="28"/>
      </w:rPr>
    </w:pPr>
    <w:r>
      <w:rPr>
        <w:rFonts w:ascii="宋体" w:hAnsi="宋体" w:eastAsia="宋体" w:cs="宋体"/>
        <w:spacing w:val="-3"/>
        <w:sz w:val="28"/>
        <w:szCs w:val="28"/>
      </w:rPr>
      <w:t>—64—</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867EF">
    <w:pPr>
      <w:spacing w:line="176" w:lineRule="auto"/>
      <w:ind w:left="13683"/>
      <w:rPr>
        <w:rFonts w:ascii="宋体" w:hAnsi="宋体" w:eastAsia="宋体" w:cs="宋体"/>
        <w:sz w:val="28"/>
        <w:szCs w:val="28"/>
      </w:rPr>
    </w:pPr>
    <w:r>
      <w:rPr>
        <w:rFonts w:ascii="宋体" w:hAnsi="宋体" w:eastAsia="宋体" w:cs="宋体"/>
        <w:spacing w:val="-3"/>
        <w:sz w:val="28"/>
        <w:szCs w:val="28"/>
      </w:rPr>
      <w:t>—65—</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00CBB">
    <w:pPr>
      <w:spacing w:line="176" w:lineRule="auto"/>
      <w:ind w:left="231"/>
      <w:rPr>
        <w:rFonts w:ascii="宋体" w:hAnsi="宋体" w:eastAsia="宋体" w:cs="宋体"/>
        <w:sz w:val="28"/>
        <w:szCs w:val="28"/>
      </w:rPr>
    </w:pPr>
    <w:r>
      <w:rPr>
        <w:rFonts w:ascii="宋体" w:hAnsi="宋体" w:eastAsia="宋体" w:cs="宋体"/>
        <w:spacing w:val="-3"/>
        <w:sz w:val="28"/>
        <w:szCs w:val="28"/>
      </w:rPr>
      <w:t>—66—</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B3E7B">
    <w:pPr>
      <w:spacing w:line="176" w:lineRule="auto"/>
      <w:ind w:left="13683"/>
      <w:rPr>
        <w:rFonts w:ascii="宋体" w:hAnsi="宋体" w:eastAsia="宋体" w:cs="宋体"/>
        <w:sz w:val="28"/>
        <w:szCs w:val="28"/>
      </w:rPr>
    </w:pPr>
    <w:r>
      <w:rPr>
        <w:rFonts w:ascii="宋体" w:hAnsi="宋体" w:eastAsia="宋体" w:cs="宋体"/>
        <w:spacing w:val="-3"/>
        <w:sz w:val="28"/>
        <w:szCs w:val="28"/>
      </w:rPr>
      <w:t>—67—</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053BA">
    <w:pPr>
      <w:spacing w:line="176" w:lineRule="auto"/>
      <w:ind w:left="231"/>
      <w:rPr>
        <w:rFonts w:ascii="宋体" w:hAnsi="宋体" w:eastAsia="宋体" w:cs="宋体"/>
        <w:sz w:val="28"/>
        <w:szCs w:val="28"/>
      </w:rPr>
    </w:pPr>
    <w:r>
      <w:rPr>
        <w:rFonts w:ascii="宋体" w:hAnsi="宋体" w:eastAsia="宋体" w:cs="宋体"/>
        <w:spacing w:val="-3"/>
        <w:sz w:val="28"/>
        <w:szCs w:val="28"/>
      </w:rPr>
      <w:t>—68—</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4B8E5">
    <w:pPr>
      <w:spacing w:line="176" w:lineRule="auto"/>
      <w:ind w:left="13683"/>
      <w:rPr>
        <w:rFonts w:ascii="宋体" w:hAnsi="宋体" w:eastAsia="宋体" w:cs="宋体"/>
        <w:sz w:val="28"/>
        <w:szCs w:val="28"/>
      </w:rPr>
    </w:pPr>
    <w:r>
      <w:rPr>
        <w:rFonts w:ascii="宋体" w:hAnsi="宋体" w:eastAsia="宋体" w:cs="宋体"/>
        <w:spacing w:val="-3"/>
        <w:sz w:val="28"/>
        <w:szCs w:val="28"/>
      </w:rPr>
      <w:t>—69—</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AF90E">
    <w:pPr>
      <w:spacing w:line="176" w:lineRule="auto"/>
      <w:ind w:left="231"/>
      <w:rPr>
        <w:rFonts w:ascii="宋体" w:hAnsi="宋体" w:eastAsia="宋体" w:cs="宋体"/>
        <w:sz w:val="28"/>
        <w:szCs w:val="28"/>
      </w:rPr>
    </w:pPr>
    <w:r>
      <w:rPr>
        <w:rFonts w:ascii="宋体" w:hAnsi="宋体" w:eastAsia="宋体" w:cs="宋体"/>
        <w:spacing w:val="-4"/>
        <w:sz w:val="28"/>
        <w:szCs w:val="28"/>
      </w:rPr>
      <w:t>—70—</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C63C0">
    <w:pPr>
      <w:spacing w:line="177" w:lineRule="auto"/>
      <w:ind w:left="13683"/>
      <w:rPr>
        <w:rFonts w:ascii="宋体" w:hAnsi="宋体" w:eastAsia="宋体" w:cs="宋体"/>
        <w:sz w:val="28"/>
        <w:szCs w:val="28"/>
      </w:rPr>
    </w:pPr>
    <w:r>
      <w:rPr>
        <w:rFonts w:ascii="宋体" w:hAnsi="宋体" w:eastAsia="宋体" w:cs="宋体"/>
        <w:spacing w:val="-4"/>
        <w:sz w:val="28"/>
        <w:szCs w:val="28"/>
      </w:rPr>
      <w:t>—71—</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82268">
    <w:pPr>
      <w:spacing w:line="176" w:lineRule="auto"/>
      <w:ind w:left="231"/>
      <w:rPr>
        <w:rFonts w:ascii="宋体" w:hAnsi="宋体" w:eastAsia="宋体" w:cs="宋体"/>
        <w:sz w:val="28"/>
        <w:szCs w:val="28"/>
      </w:rPr>
    </w:pPr>
    <w:r>
      <w:rPr>
        <w:rFonts w:ascii="宋体" w:hAnsi="宋体" w:eastAsia="宋体" w:cs="宋体"/>
        <w:spacing w:val="-4"/>
        <w:sz w:val="28"/>
        <w:szCs w:val="28"/>
      </w:rPr>
      <w:t>—72—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17C69">
    <w:pPr>
      <w:spacing w:line="177" w:lineRule="auto"/>
      <w:rPr>
        <w:rFonts w:ascii="宋体" w:hAnsi="宋体" w:eastAsia="宋体" w:cs="宋体"/>
        <w:sz w:val="28"/>
        <w:szCs w:val="28"/>
      </w:rPr>
    </w:pPr>
    <w:r>
      <w:rPr>
        <w:rFonts w:ascii="宋体" w:hAnsi="宋体" w:eastAsia="宋体" w:cs="宋体"/>
        <w:spacing w:val="-7"/>
        <w:sz w:val="28"/>
        <w:szCs w:val="28"/>
      </w:rPr>
      <w:t>—10—</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B6693">
    <w:pPr>
      <w:spacing w:line="176" w:lineRule="auto"/>
      <w:ind w:left="13683"/>
      <w:rPr>
        <w:rFonts w:ascii="宋体" w:hAnsi="宋体" w:eastAsia="宋体" w:cs="宋体"/>
        <w:sz w:val="28"/>
        <w:szCs w:val="28"/>
      </w:rPr>
    </w:pPr>
    <w:r>
      <w:rPr>
        <w:rFonts w:ascii="宋体" w:hAnsi="宋体" w:eastAsia="宋体" w:cs="宋体"/>
        <w:spacing w:val="-4"/>
        <w:sz w:val="28"/>
        <w:szCs w:val="28"/>
      </w:rPr>
      <w:t>—73—</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6FEE6">
    <w:pPr>
      <w:spacing w:line="176" w:lineRule="auto"/>
      <w:ind w:left="231"/>
      <w:rPr>
        <w:rFonts w:ascii="宋体" w:hAnsi="宋体" w:eastAsia="宋体" w:cs="宋体"/>
        <w:sz w:val="28"/>
        <w:szCs w:val="28"/>
      </w:rPr>
    </w:pPr>
    <w:r>
      <w:rPr>
        <w:rFonts w:ascii="宋体" w:hAnsi="宋体" w:eastAsia="宋体" w:cs="宋体"/>
        <w:spacing w:val="-4"/>
        <w:sz w:val="28"/>
        <w:szCs w:val="28"/>
      </w:rPr>
      <w:t>—74—</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CC3F5">
    <w:pPr>
      <w:spacing w:line="175" w:lineRule="auto"/>
      <w:ind w:left="13683"/>
      <w:rPr>
        <w:rFonts w:ascii="宋体" w:hAnsi="宋体" w:eastAsia="宋体" w:cs="宋体"/>
        <w:sz w:val="28"/>
        <w:szCs w:val="28"/>
      </w:rPr>
    </w:pPr>
    <w:r>
      <w:rPr>
        <w:rFonts w:ascii="宋体" w:hAnsi="宋体" w:eastAsia="宋体" w:cs="宋体"/>
        <w:spacing w:val="-4"/>
        <w:sz w:val="28"/>
        <w:szCs w:val="28"/>
      </w:rPr>
      <w:t>—75—</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824D6">
    <w:pPr>
      <w:spacing w:line="176" w:lineRule="auto"/>
      <w:ind w:left="231"/>
      <w:rPr>
        <w:rFonts w:ascii="宋体" w:hAnsi="宋体" w:eastAsia="宋体" w:cs="宋体"/>
        <w:sz w:val="28"/>
        <w:szCs w:val="28"/>
      </w:rPr>
    </w:pPr>
    <w:r>
      <w:rPr>
        <w:rFonts w:ascii="宋体" w:hAnsi="宋体" w:eastAsia="宋体" w:cs="宋体"/>
        <w:spacing w:val="-4"/>
        <w:sz w:val="28"/>
        <w:szCs w:val="28"/>
      </w:rPr>
      <w:t>—76—</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F235">
    <w:pPr>
      <w:pStyle w:val="2"/>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4662C">
    <w:pPr>
      <w:spacing w:line="176" w:lineRule="auto"/>
      <w:ind w:left="231"/>
      <w:rPr>
        <w:rFonts w:ascii="宋体" w:hAnsi="宋体" w:eastAsia="宋体" w:cs="宋体"/>
        <w:sz w:val="28"/>
        <w:szCs w:val="28"/>
      </w:rPr>
    </w:pPr>
    <w:r>
      <w:rPr>
        <w:rFonts w:ascii="宋体" w:hAnsi="宋体" w:eastAsia="宋体" w:cs="宋体"/>
        <w:spacing w:val="-4"/>
        <w:sz w:val="28"/>
        <w:szCs w:val="28"/>
      </w:rPr>
      <w:t>—78—</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AC78F">
    <w:pPr>
      <w:spacing w:line="176" w:lineRule="auto"/>
      <w:ind w:left="13683"/>
      <w:rPr>
        <w:rFonts w:ascii="宋体" w:hAnsi="宋体" w:eastAsia="宋体" w:cs="宋体"/>
        <w:sz w:val="28"/>
        <w:szCs w:val="28"/>
      </w:rPr>
    </w:pPr>
    <w:r>
      <w:rPr>
        <w:rFonts w:ascii="宋体" w:hAnsi="宋体" w:eastAsia="宋体" w:cs="宋体"/>
        <w:spacing w:val="-4"/>
        <w:sz w:val="28"/>
        <w:szCs w:val="28"/>
      </w:rPr>
      <w:t>—79—</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DC41C">
    <w:pPr>
      <w:spacing w:line="176" w:lineRule="auto"/>
      <w:ind w:left="231"/>
      <w:rPr>
        <w:rFonts w:ascii="宋体" w:hAnsi="宋体" w:eastAsia="宋体" w:cs="宋体"/>
        <w:sz w:val="28"/>
        <w:szCs w:val="28"/>
      </w:rPr>
    </w:pPr>
    <w:r>
      <w:rPr>
        <w:rFonts w:ascii="宋体" w:hAnsi="宋体" w:eastAsia="宋体" w:cs="宋体"/>
        <w:spacing w:val="-3"/>
        <w:sz w:val="28"/>
        <w:szCs w:val="28"/>
      </w:rPr>
      <w:t>—80—</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64668">
    <w:pPr>
      <w:spacing w:line="177" w:lineRule="auto"/>
      <w:ind w:left="13683"/>
      <w:rPr>
        <w:rFonts w:ascii="宋体" w:hAnsi="宋体" w:eastAsia="宋体" w:cs="宋体"/>
        <w:sz w:val="28"/>
        <w:szCs w:val="28"/>
      </w:rPr>
    </w:pPr>
    <w:r>
      <w:rPr>
        <w:rFonts w:ascii="宋体" w:hAnsi="宋体" w:eastAsia="宋体" w:cs="宋体"/>
        <w:spacing w:val="-3"/>
        <w:sz w:val="28"/>
        <w:szCs w:val="28"/>
      </w:rPr>
      <w:t>—81—</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56DE0">
    <w:pPr>
      <w:spacing w:line="176" w:lineRule="auto"/>
      <w:ind w:left="231"/>
      <w:rPr>
        <w:rFonts w:ascii="宋体" w:hAnsi="宋体" w:eastAsia="宋体" w:cs="宋体"/>
        <w:sz w:val="28"/>
        <w:szCs w:val="28"/>
      </w:rPr>
    </w:pPr>
    <w:r>
      <w:rPr>
        <w:rFonts w:ascii="宋体" w:hAnsi="宋体" w:eastAsia="宋体" w:cs="宋体"/>
        <w:spacing w:val="-3"/>
        <w:sz w:val="28"/>
        <w:szCs w:val="28"/>
      </w:rPr>
      <w:t>—82—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C31BD">
    <w:pPr>
      <w:spacing w:line="177" w:lineRule="auto"/>
      <w:ind w:left="7713"/>
      <w:rPr>
        <w:rFonts w:ascii="宋体" w:hAnsi="宋体" w:eastAsia="宋体" w:cs="宋体"/>
        <w:sz w:val="28"/>
        <w:szCs w:val="28"/>
      </w:rPr>
    </w:pPr>
    <w:r>
      <w:rPr>
        <w:rFonts w:ascii="宋体" w:hAnsi="宋体" w:eastAsia="宋体" w:cs="宋体"/>
        <w:spacing w:val="-7"/>
        <w:sz w:val="28"/>
        <w:szCs w:val="28"/>
      </w:rPr>
      <w:t>—11—</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20431">
    <w:pPr>
      <w:spacing w:line="176" w:lineRule="auto"/>
      <w:ind w:left="13683"/>
      <w:rPr>
        <w:rFonts w:ascii="宋体" w:hAnsi="宋体" w:eastAsia="宋体" w:cs="宋体"/>
        <w:sz w:val="28"/>
        <w:szCs w:val="28"/>
      </w:rPr>
    </w:pPr>
    <w:r>
      <w:rPr>
        <w:rFonts w:ascii="宋体" w:hAnsi="宋体" w:eastAsia="宋体" w:cs="宋体"/>
        <w:spacing w:val="-3"/>
        <w:sz w:val="28"/>
        <w:szCs w:val="28"/>
      </w:rPr>
      <w:t>—83—</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C2A0F">
    <w:pPr>
      <w:spacing w:line="176" w:lineRule="auto"/>
      <w:ind w:left="231"/>
      <w:rPr>
        <w:rFonts w:ascii="宋体" w:hAnsi="宋体" w:eastAsia="宋体" w:cs="宋体"/>
        <w:sz w:val="28"/>
        <w:szCs w:val="28"/>
      </w:rPr>
    </w:pPr>
    <w:r>
      <w:rPr>
        <w:rFonts w:ascii="宋体" w:hAnsi="宋体" w:eastAsia="宋体" w:cs="宋体"/>
        <w:spacing w:val="-3"/>
        <w:sz w:val="28"/>
        <w:szCs w:val="28"/>
      </w:rPr>
      <w:t>—84—</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AB9A6">
    <w:pPr>
      <w:spacing w:line="176" w:lineRule="auto"/>
      <w:ind w:left="13683"/>
      <w:rPr>
        <w:rFonts w:ascii="宋体" w:hAnsi="宋体" w:eastAsia="宋体" w:cs="宋体"/>
        <w:sz w:val="28"/>
        <w:szCs w:val="28"/>
      </w:rPr>
    </w:pPr>
    <w:r>
      <w:rPr>
        <w:rFonts w:ascii="宋体" w:hAnsi="宋体" w:eastAsia="宋体" w:cs="宋体"/>
        <w:spacing w:val="-3"/>
        <w:sz w:val="28"/>
        <w:szCs w:val="28"/>
      </w:rPr>
      <w:t>—85—</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DD679">
    <w:pPr>
      <w:spacing w:line="176" w:lineRule="auto"/>
      <w:ind w:left="231"/>
      <w:rPr>
        <w:rFonts w:ascii="宋体" w:hAnsi="宋体" w:eastAsia="宋体" w:cs="宋体"/>
        <w:sz w:val="28"/>
        <w:szCs w:val="28"/>
      </w:rPr>
    </w:pPr>
    <w:r>
      <w:rPr>
        <w:rFonts w:ascii="宋体" w:hAnsi="宋体" w:eastAsia="宋体" w:cs="宋体"/>
        <w:spacing w:val="-3"/>
        <w:sz w:val="28"/>
        <w:szCs w:val="28"/>
      </w:rPr>
      <w:t>—86—</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B1EE7">
    <w:pPr>
      <w:spacing w:line="176" w:lineRule="auto"/>
      <w:ind w:left="13683"/>
      <w:rPr>
        <w:rFonts w:ascii="宋体" w:hAnsi="宋体" w:eastAsia="宋体" w:cs="宋体"/>
        <w:sz w:val="28"/>
        <w:szCs w:val="28"/>
      </w:rPr>
    </w:pPr>
    <w:r>
      <w:rPr>
        <w:rFonts w:ascii="宋体" w:hAnsi="宋体" w:eastAsia="宋体" w:cs="宋体"/>
        <w:spacing w:val="-3"/>
        <w:sz w:val="28"/>
        <w:szCs w:val="28"/>
      </w:rPr>
      <w:t>—87—</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05F41">
    <w:pPr>
      <w:spacing w:line="176" w:lineRule="auto"/>
      <w:ind w:left="231"/>
      <w:rPr>
        <w:rFonts w:ascii="宋体" w:hAnsi="宋体" w:eastAsia="宋体" w:cs="宋体"/>
        <w:sz w:val="28"/>
        <w:szCs w:val="28"/>
      </w:rPr>
    </w:pPr>
    <w:r>
      <w:rPr>
        <w:rFonts w:ascii="宋体" w:hAnsi="宋体" w:eastAsia="宋体" w:cs="宋体"/>
        <w:spacing w:val="-3"/>
        <w:sz w:val="28"/>
        <w:szCs w:val="28"/>
      </w:rPr>
      <w:t>—88—</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5CDA5">
    <w:pPr>
      <w:spacing w:line="176" w:lineRule="auto"/>
      <w:ind w:left="13683"/>
      <w:rPr>
        <w:rFonts w:ascii="宋体" w:hAnsi="宋体" w:eastAsia="宋体" w:cs="宋体"/>
        <w:sz w:val="28"/>
        <w:szCs w:val="28"/>
      </w:rPr>
    </w:pPr>
    <w:r>
      <w:rPr>
        <w:rFonts w:ascii="宋体" w:hAnsi="宋体" w:eastAsia="宋体" w:cs="宋体"/>
        <w:spacing w:val="-3"/>
        <w:sz w:val="28"/>
        <w:szCs w:val="28"/>
      </w:rPr>
      <w:t>—89—</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62018">
    <w:pPr>
      <w:spacing w:line="176" w:lineRule="auto"/>
      <w:ind w:left="231"/>
      <w:rPr>
        <w:rFonts w:ascii="宋体" w:hAnsi="宋体" w:eastAsia="宋体" w:cs="宋体"/>
        <w:sz w:val="28"/>
        <w:szCs w:val="28"/>
      </w:rPr>
    </w:pPr>
    <w:r>
      <w:rPr>
        <w:rFonts w:ascii="宋体" w:hAnsi="宋体" w:eastAsia="宋体" w:cs="宋体"/>
        <w:spacing w:val="-3"/>
        <w:sz w:val="28"/>
        <w:szCs w:val="28"/>
      </w:rPr>
      <w:t>—90—</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44BF7">
    <w:pPr>
      <w:spacing w:line="177" w:lineRule="auto"/>
      <w:ind w:left="13683"/>
      <w:rPr>
        <w:rFonts w:ascii="宋体" w:hAnsi="宋体" w:eastAsia="宋体" w:cs="宋体"/>
        <w:sz w:val="28"/>
        <w:szCs w:val="28"/>
      </w:rPr>
    </w:pPr>
    <w:r>
      <w:rPr>
        <w:rFonts w:ascii="宋体" w:hAnsi="宋体" w:eastAsia="宋体" w:cs="宋体"/>
        <w:spacing w:val="-3"/>
        <w:sz w:val="28"/>
        <w:szCs w:val="28"/>
      </w:rPr>
      <w:t>—91—</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E82E2">
    <w:pPr>
      <w:spacing w:line="176" w:lineRule="auto"/>
      <w:ind w:left="231"/>
      <w:rPr>
        <w:rFonts w:ascii="宋体" w:hAnsi="宋体" w:eastAsia="宋体" w:cs="宋体"/>
        <w:sz w:val="28"/>
        <w:szCs w:val="28"/>
      </w:rPr>
    </w:pPr>
    <w:r>
      <w:rPr>
        <w:rFonts w:ascii="宋体" w:hAnsi="宋体" w:eastAsia="宋体" w:cs="宋体"/>
        <w:spacing w:val="-3"/>
        <w:sz w:val="28"/>
        <w:szCs w:val="28"/>
      </w:rPr>
      <w:t>—92—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B5EE8">
    <w:pPr>
      <w:spacing w:line="177" w:lineRule="auto"/>
      <w:rPr>
        <w:rFonts w:ascii="宋体" w:hAnsi="宋体" w:eastAsia="宋体" w:cs="宋体"/>
        <w:sz w:val="28"/>
        <w:szCs w:val="28"/>
      </w:rPr>
    </w:pPr>
    <w:r>
      <w:rPr>
        <w:rFonts w:ascii="宋体" w:hAnsi="宋体" w:eastAsia="宋体" w:cs="宋体"/>
        <w:spacing w:val="-7"/>
        <w:sz w:val="28"/>
        <w:szCs w:val="28"/>
      </w:rPr>
      <w:t>—12—</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273FC">
    <w:pPr>
      <w:spacing w:line="176" w:lineRule="auto"/>
      <w:ind w:left="13683"/>
      <w:rPr>
        <w:rFonts w:ascii="宋体" w:hAnsi="宋体" w:eastAsia="宋体" w:cs="宋体"/>
        <w:sz w:val="28"/>
        <w:szCs w:val="28"/>
      </w:rPr>
    </w:pPr>
    <w:r>
      <w:rPr>
        <w:rFonts w:ascii="宋体" w:hAnsi="宋体" w:eastAsia="宋体" w:cs="宋体"/>
        <w:spacing w:val="-3"/>
        <w:sz w:val="28"/>
        <w:szCs w:val="28"/>
      </w:rPr>
      <w:t>—93—</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132B7">
    <w:pPr>
      <w:pStyle w:val="2"/>
      <w:spacing w:line="14" w:lineRule="auto"/>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9127A">
    <w:pPr>
      <w:spacing w:line="176" w:lineRule="auto"/>
      <w:ind w:left="13683"/>
      <w:rPr>
        <w:rFonts w:ascii="宋体" w:hAnsi="宋体" w:eastAsia="宋体" w:cs="宋体"/>
        <w:sz w:val="28"/>
        <w:szCs w:val="28"/>
      </w:rPr>
    </w:pPr>
    <w:r>
      <w:rPr>
        <w:rFonts w:ascii="宋体" w:hAnsi="宋体" w:eastAsia="宋体" w:cs="宋体"/>
        <w:spacing w:val="-3"/>
        <w:sz w:val="28"/>
        <w:szCs w:val="28"/>
      </w:rPr>
      <w:t>—95—</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C4EDC">
    <w:pPr>
      <w:spacing w:line="176" w:lineRule="auto"/>
      <w:ind w:left="231"/>
      <w:rPr>
        <w:rFonts w:ascii="宋体" w:hAnsi="宋体" w:eastAsia="宋体" w:cs="宋体"/>
        <w:sz w:val="28"/>
        <w:szCs w:val="28"/>
      </w:rPr>
    </w:pPr>
    <w:r>
      <w:rPr>
        <w:rFonts w:ascii="宋体" w:hAnsi="宋体" w:eastAsia="宋体" w:cs="宋体"/>
        <w:spacing w:val="-3"/>
        <w:sz w:val="28"/>
        <w:szCs w:val="28"/>
      </w:rPr>
      <w:t>—96—</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CFBD1">
    <w:pPr>
      <w:spacing w:line="176" w:lineRule="auto"/>
      <w:ind w:left="13683"/>
      <w:rPr>
        <w:rFonts w:ascii="宋体" w:hAnsi="宋体" w:eastAsia="宋体" w:cs="宋体"/>
        <w:sz w:val="28"/>
        <w:szCs w:val="28"/>
      </w:rPr>
    </w:pPr>
    <w:r>
      <w:rPr>
        <w:rFonts w:ascii="宋体" w:hAnsi="宋体" w:eastAsia="宋体" w:cs="宋体"/>
        <w:spacing w:val="-3"/>
        <w:sz w:val="28"/>
        <w:szCs w:val="28"/>
      </w:rPr>
      <w:t>—97—</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67D7F">
    <w:pPr>
      <w:spacing w:line="176" w:lineRule="auto"/>
      <w:ind w:left="231"/>
      <w:rPr>
        <w:rFonts w:ascii="宋体" w:hAnsi="宋体" w:eastAsia="宋体" w:cs="宋体"/>
        <w:sz w:val="28"/>
        <w:szCs w:val="28"/>
      </w:rPr>
    </w:pPr>
    <w:r>
      <w:rPr>
        <w:rFonts w:ascii="宋体" w:hAnsi="宋体" w:eastAsia="宋体" w:cs="宋体"/>
        <w:spacing w:val="-3"/>
        <w:sz w:val="28"/>
        <w:szCs w:val="28"/>
      </w:rPr>
      <w:t>—98—</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18291">
    <w:pPr>
      <w:spacing w:line="176" w:lineRule="auto"/>
      <w:ind w:left="13683"/>
      <w:rPr>
        <w:rFonts w:ascii="宋体" w:hAnsi="宋体" w:eastAsia="宋体" w:cs="宋体"/>
        <w:sz w:val="28"/>
        <w:szCs w:val="28"/>
      </w:rPr>
    </w:pPr>
    <w:r>
      <w:rPr>
        <w:rFonts w:ascii="宋体" w:hAnsi="宋体" w:eastAsia="宋体" w:cs="宋体"/>
        <w:spacing w:val="-3"/>
        <w:sz w:val="28"/>
        <w:szCs w:val="28"/>
      </w:rPr>
      <w:t>—99—</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0B765">
    <w:pPr>
      <w:spacing w:line="177" w:lineRule="auto"/>
      <w:ind w:left="231"/>
      <w:rPr>
        <w:rFonts w:ascii="宋体" w:hAnsi="宋体" w:eastAsia="宋体" w:cs="宋体"/>
        <w:sz w:val="28"/>
        <w:szCs w:val="28"/>
      </w:rPr>
    </w:pPr>
    <w:r>
      <w:rPr>
        <w:rFonts w:ascii="宋体" w:hAnsi="宋体" w:eastAsia="宋体" w:cs="宋体"/>
        <w:spacing w:val="-5"/>
        <w:sz w:val="28"/>
        <w:szCs w:val="28"/>
      </w:rPr>
      <w:t>—100—</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48091">
    <w:pPr>
      <w:spacing w:line="177" w:lineRule="auto"/>
      <w:ind w:left="13541"/>
      <w:rPr>
        <w:rFonts w:ascii="宋体" w:hAnsi="宋体" w:eastAsia="宋体" w:cs="宋体"/>
        <w:sz w:val="28"/>
        <w:szCs w:val="28"/>
      </w:rPr>
    </w:pPr>
    <w:r>
      <w:rPr>
        <w:rFonts w:ascii="宋体" w:hAnsi="宋体" w:eastAsia="宋体" w:cs="宋体"/>
        <w:spacing w:val="-5"/>
        <w:sz w:val="28"/>
        <w:szCs w:val="28"/>
      </w:rPr>
      <w:t>—101—</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708FD">
    <w:pPr>
      <w:spacing w:line="177" w:lineRule="auto"/>
      <w:ind w:left="231"/>
      <w:rPr>
        <w:rFonts w:ascii="宋体" w:hAnsi="宋体" w:eastAsia="宋体" w:cs="宋体"/>
        <w:sz w:val="28"/>
        <w:szCs w:val="28"/>
      </w:rPr>
    </w:pPr>
    <w:r>
      <w:rPr>
        <w:rFonts w:ascii="宋体" w:hAnsi="宋体" w:eastAsia="宋体" w:cs="宋体"/>
        <w:spacing w:val="-5"/>
        <w:sz w:val="28"/>
        <w:szCs w:val="28"/>
      </w:rPr>
      <w:t>—102—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E718B71"/>
    <w:rsid w:val="57462608"/>
    <w:rsid w:val="79BF013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微软雅黑" w:hAnsi="微软雅黑" w:eastAsia="微软雅黑" w:cs="微软雅黑"/>
      <w:sz w:val="23"/>
      <w:szCs w:val="23"/>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0" Type="http://schemas.openxmlformats.org/officeDocument/2006/relationships/fontTable" Target="fontTable.xml"/><Relationship Id="rId24" Type="http://schemas.openxmlformats.org/officeDocument/2006/relationships/footer" Target="footer20.xml"/><Relationship Id="rId239" Type="http://schemas.openxmlformats.org/officeDocument/2006/relationships/theme" Target="theme/theme1.xml"/><Relationship Id="rId238" Type="http://schemas.openxmlformats.org/officeDocument/2006/relationships/footer" Target="footer234.xml"/><Relationship Id="rId237" Type="http://schemas.openxmlformats.org/officeDocument/2006/relationships/footer" Target="footer233.xml"/><Relationship Id="rId236" Type="http://schemas.openxmlformats.org/officeDocument/2006/relationships/footer" Target="footer232.xml"/><Relationship Id="rId235" Type="http://schemas.openxmlformats.org/officeDocument/2006/relationships/footer" Target="footer231.xml"/><Relationship Id="rId234" Type="http://schemas.openxmlformats.org/officeDocument/2006/relationships/footer" Target="footer230.xml"/><Relationship Id="rId233" Type="http://schemas.openxmlformats.org/officeDocument/2006/relationships/footer" Target="footer229.xml"/><Relationship Id="rId232" Type="http://schemas.openxmlformats.org/officeDocument/2006/relationships/footer" Target="footer228.xml"/><Relationship Id="rId231" Type="http://schemas.openxmlformats.org/officeDocument/2006/relationships/footer" Target="footer227.xml"/><Relationship Id="rId230" Type="http://schemas.openxmlformats.org/officeDocument/2006/relationships/footer" Target="footer226.xml"/><Relationship Id="rId23" Type="http://schemas.openxmlformats.org/officeDocument/2006/relationships/footer" Target="footer19.xml"/><Relationship Id="rId229" Type="http://schemas.openxmlformats.org/officeDocument/2006/relationships/footer" Target="footer225.xml"/><Relationship Id="rId228" Type="http://schemas.openxmlformats.org/officeDocument/2006/relationships/footer" Target="footer224.xml"/><Relationship Id="rId227" Type="http://schemas.openxmlformats.org/officeDocument/2006/relationships/footer" Target="footer223.xml"/><Relationship Id="rId226" Type="http://schemas.openxmlformats.org/officeDocument/2006/relationships/footer" Target="footer222.xml"/><Relationship Id="rId225" Type="http://schemas.openxmlformats.org/officeDocument/2006/relationships/footer" Target="footer221.xml"/><Relationship Id="rId224" Type="http://schemas.openxmlformats.org/officeDocument/2006/relationships/footer" Target="footer220.xml"/><Relationship Id="rId223" Type="http://schemas.openxmlformats.org/officeDocument/2006/relationships/footer" Target="footer219.xml"/><Relationship Id="rId222" Type="http://schemas.openxmlformats.org/officeDocument/2006/relationships/footer" Target="footer218.xml"/><Relationship Id="rId221" Type="http://schemas.openxmlformats.org/officeDocument/2006/relationships/footer" Target="footer217.xml"/><Relationship Id="rId220" Type="http://schemas.openxmlformats.org/officeDocument/2006/relationships/footer" Target="footer216.xml"/><Relationship Id="rId22" Type="http://schemas.openxmlformats.org/officeDocument/2006/relationships/footer" Target="footer18.xml"/><Relationship Id="rId219" Type="http://schemas.openxmlformats.org/officeDocument/2006/relationships/footer" Target="footer215.xml"/><Relationship Id="rId218" Type="http://schemas.openxmlformats.org/officeDocument/2006/relationships/footer" Target="footer214.xml"/><Relationship Id="rId217" Type="http://schemas.openxmlformats.org/officeDocument/2006/relationships/footer" Target="footer213.xml"/><Relationship Id="rId216" Type="http://schemas.openxmlformats.org/officeDocument/2006/relationships/footer" Target="footer212.xml"/><Relationship Id="rId215" Type="http://schemas.openxmlformats.org/officeDocument/2006/relationships/footer" Target="footer211.xml"/><Relationship Id="rId214" Type="http://schemas.openxmlformats.org/officeDocument/2006/relationships/footer" Target="footer210.xml"/><Relationship Id="rId213" Type="http://schemas.openxmlformats.org/officeDocument/2006/relationships/footer" Target="footer209.xml"/><Relationship Id="rId212" Type="http://schemas.openxmlformats.org/officeDocument/2006/relationships/footer" Target="footer208.xml"/><Relationship Id="rId211" Type="http://schemas.openxmlformats.org/officeDocument/2006/relationships/footer" Target="footer207.xml"/><Relationship Id="rId210" Type="http://schemas.openxmlformats.org/officeDocument/2006/relationships/footer" Target="footer206.xml"/><Relationship Id="rId21" Type="http://schemas.openxmlformats.org/officeDocument/2006/relationships/footer" Target="footer17.xml"/><Relationship Id="rId209" Type="http://schemas.openxmlformats.org/officeDocument/2006/relationships/footer" Target="footer205.xml"/><Relationship Id="rId208" Type="http://schemas.openxmlformats.org/officeDocument/2006/relationships/footer" Target="footer204.xml"/><Relationship Id="rId207" Type="http://schemas.openxmlformats.org/officeDocument/2006/relationships/footer" Target="footer203.xml"/><Relationship Id="rId206" Type="http://schemas.openxmlformats.org/officeDocument/2006/relationships/footer" Target="footer202.xml"/><Relationship Id="rId205" Type="http://schemas.openxmlformats.org/officeDocument/2006/relationships/footer" Target="footer201.xml"/><Relationship Id="rId204" Type="http://schemas.openxmlformats.org/officeDocument/2006/relationships/footer" Target="footer200.xml"/><Relationship Id="rId203" Type="http://schemas.openxmlformats.org/officeDocument/2006/relationships/footer" Target="footer199.xml"/><Relationship Id="rId202" Type="http://schemas.openxmlformats.org/officeDocument/2006/relationships/footer" Target="footer198.xml"/><Relationship Id="rId201" Type="http://schemas.openxmlformats.org/officeDocument/2006/relationships/footer" Target="footer197.xml"/><Relationship Id="rId200" Type="http://schemas.openxmlformats.org/officeDocument/2006/relationships/footer" Target="footer196.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footer" Target="footer195.xml"/><Relationship Id="rId198" Type="http://schemas.openxmlformats.org/officeDocument/2006/relationships/footer" Target="footer194.xml"/><Relationship Id="rId197" Type="http://schemas.openxmlformats.org/officeDocument/2006/relationships/footer" Target="footer193.xml"/><Relationship Id="rId196" Type="http://schemas.openxmlformats.org/officeDocument/2006/relationships/footer" Target="footer192.xml"/><Relationship Id="rId195" Type="http://schemas.openxmlformats.org/officeDocument/2006/relationships/footer" Target="footer191.xml"/><Relationship Id="rId194" Type="http://schemas.openxmlformats.org/officeDocument/2006/relationships/footer" Target="footer190.xml"/><Relationship Id="rId193" Type="http://schemas.openxmlformats.org/officeDocument/2006/relationships/footer" Target="footer189.xml"/><Relationship Id="rId192" Type="http://schemas.openxmlformats.org/officeDocument/2006/relationships/footer" Target="footer188.xml"/><Relationship Id="rId191" Type="http://schemas.openxmlformats.org/officeDocument/2006/relationships/footer" Target="footer187.xml"/><Relationship Id="rId190" Type="http://schemas.openxmlformats.org/officeDocument/2006/relationships/footer" Target="footer186.xml"/><Relationship Id="rId19" Type="http://schemas.openxmlformats.org/officeDocument/2006/relationships/footer" Target="footer15.xml"/><Relationship Id="rId189" Type="http://schemas.openxmlformats.org/officeDocument/2006/relationships/footer" Target="footer185.xml"/><Relationship Id="rId188" Type="http://schemas.openxmlformats.org/officeDocument/2006/relationships/footer" Target="footer184.xml"/><Relationship Id="rId187" Type="http://schemas.openxmlformats.org/officeDocument/2006/relationships/footer" Target="footer183.xml"/><Relationship Id="rId186" Type="http://schemas.openxmlformats.org/officeDocument/2006/relationships/footer" Target="footer182.xml"/><Relationship Id="rId185" Type="http://schemas.openxmlformats.org/officeDocument/2006/relationships/footer" Target="footer181.xml"/><Relationship Id="rId184" Type="http://schemas.openxmlformats.org/officeDocument/2006/relationships/footer" Target="footer180.xml"/><Relationship Id="rId183" Type="http://schemas.openxmlformats.org/officeDocument/2006/relationships/footer" Target="footer179.xml"/><Relationship Id="rId182" Type="http://schemas.openxmlformats.org/officeDocument/2006/relationships/footer" Target="footer178.xml"/><Relationship Id="rId181" Type="http://schemas.openxmlformats.org/officeDocument/2006/relationships/footer" Target="footer177.xml"/><Relationship Id="rId180" Type="http://schemas.openxmlformats.org/officeDocument/2006/relationships/footer" Target="footer176.xml"/><Relationship Id="rId18" Type="http://schemas.openxmlformats.org/officeDocument/2006/relationships/footer" Target="footer14.xml"/><Relationship Id="rId179" Type="http://schemas.openxmlformats.org/officeDocument/2006/relationships/footer" Target="footer175.xml"/><Relationship Id="rId178" Type="http://schemas.openxmlformats.org/officeDocument/2006/relationships/footer" Target="footer174.xml"/><Relationship Id="rId177" Type="http://schemas.openxmlformats.org/officeDocument/2006/relationships/footer" Target="footer173.xml"/><Relationship Id="rId176" Type="http://schemas.openxmlformats.org/officeDocument/2006/relationships/footer" Target="footer172.xml"/><Relationship Id="rId175" Type="http://schemas.openxmlformats.org/officeDocument/2006/relationships/footer" Target="footer171.xml"/><Relationship Id="rId174" Type="http://schemas.openxmlformats.org/officeDocument/2006/relationships/footer" Target="footer170.xml"/><Relationship Id="rId173" Type="http://schemas.openxmlformats.org/officeDocument/2006/relationships/footer" Target="footer169.xml"/><Relationship Id="rId172" Type="http://schemas.openxmlformats.org/officeDocument/2006/relationships/footer" Target="footer168.xml"/><Relationship Id="rId171" Type="http://schemas.openxmlformats.org/officeDocument/2006/relationships/footer" Target="footer167.xml"/><Relationship Id="rId170" Type="http://schemas.openxmlformats.org/officeDocument/2006/relationships/footer" Target="footer166.xml"/><Relationship Id="rId17" Type="http://schemas.openxmlformats.org/officeDocument/2006/relationships/footer" Target="footer13.xml"/><Relationship Id="rId169" Type="http://schemas.openxmlformats.org/officeDocument/2006/relationships/footer" Target="footer165.xml"/><Relationship Id="rId168" Type="http://schemas.openxmlformats.org/officeDocument/2006/relationships/footer" Target="footer164.xml"/><Relationship Id="rId167" Type="http://schemas.openxmlformats.org/officeDocument/2006/relationships/footer" Target="footer163.xml"/><Relationship Id="rId166" Type="http://schemas.openxmlformats.org/officeDocument/2006/relationships/footer" Target="footer162.xml"/><Relationship Id="rId165" Type="http://schemas.openxmlformats.org/officeDocument/2006/relationships/footer" Target="footer161.xml"/><Relationship Id="rId164" Type="http://schemas.openxmlformats.org/officeDocument/2006/relationships/footer" Target="footer160.xml"/><Relationship Id="rId163" Type="http://schemas.openxmlformats.org/officeDocument/2006/relationships/footer" Target="footer159.xml"/><Relationship Id="rId162" Type="http://schemas.openxmlformats.org/officeDocument/2006/relationships/footer" Target="footer158.xml"/><Relationship Id="rId161" Type="http://schemas.openxmlformats.org/officeDocument/2006/relationships/footer" Target="footer157.xml"/><Relationship Id="rId160" Type="http://schemas.openxmlformats.org/officeDocument/2006/relationships/footer" Target="footer156.xml"/><Relationship Id="rId16" Type="http://schemas.openxmlformats.org/officeDocument/2006/relationships/footer" Target="footer12.xml"/><Relationship Id="rId159" Type="http://schemas.openxmlformats.org/officeDocument/2006/relationships/footer" Target="footer155.xml"/><Relationship Id="rId158" Type="http://schemas.openxmlformats.org/officeDocument/2006/relationships/footer" Target="footer154.xml"/><Relationship Id="rId157" Type="http://schemas.openxmlformats.org/officeDocument/2006/relationships/footer" Target="footer153.xml"/><Relationship Id="rId156" Type="http://schemas.openxmlformats.org/officeDocument/2006/relationships/footer" Target="footer152.xml"/><Relationship Id="rId155" Type="http://schemas.openxmlformats.org/officeDocument/2006/relationships/footer" Target="footer151.xml"/><Relationship Id="rId154" Type="http://schemas.openxmlformats.org/officeDocument/2006/relationships/footer" Target="footer150.xml"/><Relationship Id="rId153" Type="http://schemas.openxmlformats.org/officeDocument/2006/relationships/footer" Target="footer149.xml"/><Relationship Id="rId152" Type="http://schemas.openxmlformats.org/officeDocument/2006/relationships/footer" Target="footer148.xml"/><Relationship Id="rId151" Type="http://schemas.openxmlformats.org/officeDocument/2006/relationships/footer" Target="footer147.xml"/><Relationship Id="rId150" Type="http://schemas.openxmlformats.org/officeDocument/2006/relationships/footer" Target="footer146.xml"/><Relationship Id="rId15" Type="http://schemas.openxmlformats.org/officeDocument/2006/relationships/footer" Target="footer11.xml"/><Relationship Id="rId149" Type="http://schemas.openxmlformats.org/officeDocument/2006/relationships/footer" Target="footer145.xml"/><Relationship Id="rId148" Type="http://schemas.openxmlformats.org/officeDocument/2006/relationships/footer" Target="footer144.xml"/><Relationship Id="rId147" Type="http://schemas.openxmlformats.org/officeDocument/2006/relationships/footer" Target="footer143.xml"/><Relationship Id="rId146" Type="http://schemas.openxmlformats.org/officeDocument/2006/relationships/footer" Target="footer142.xml"/><Relationship Id="rId145" Type="http://schemas.openxmlformats.org/officeDocument/2006/relationships/footer" Target="footer141.xml"/><Relationship Id="rId144" Type="http://schemas.openxmlformats.org/officeDocument/2006/relationships/footer" Target="footer140.xml"/><Relationship Id="rId143" Type="http://schemas.openxmlformats.org/officeDocument/2006/relationships/footer" Target="footer139.xml"/><Relationship Id="rId142" Type="http://schemas.openxmlformats.org/officeDocument/2006/relationships/footer" Target="footer138.xml"/><Relationship Id="rId141" Type="http://schemas.openxmlformats.org/officeDocument/2006/relationships/footer" Target="footer137.xml"/><Relationship Id="rId140" Type="http://schemas.openxmlformats.org/officeDocument/2006/relationships/footer" Target="footer136.xml"/><Relationship Id="rId14" Type="http://schemas.openxmlformats.org/officeDocument/2006/relationships/footer" Target="footer10.xml"/><Relationship Id="rId139" Type="http://schemas.openxmlformats.org/officeDocument/2006/relationships/footer" Target="footer135.xml"/><Relationship Id="rId138" Type="http://schemas.openxmlformats.org/officeDocument/2006/relationships/footer" Target="footer134.xml"/><Relationship Id="rId137" Type="http://schemas.openxmlformats.org/officeDocument/2006/relationships/footer" Target="footer133.xml"/><Relationship Id="rId136" Type="http://schemas.openxmlformats.org/officeDocument/2006/relationships/footer" Target="footer132.xml"/><Relationship Id="rId135" Type="http://schemas.openxmlformats.org/officeDocument/2006/relationships/footer" Target="footer131.xml"/><Relationship Id="rId134" Type="http://schemas.openxmlformats.org/officeDocument/2006/relationships/footer" Target="footer130.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28</Pages>
  <Words>9524</Words>
  <Characters>10209</Characters>
  <TotalTime>32</TotalTime>
  <ScaleCrop>false</ScaleCrop>
  <LinksUpToDate>false</LinksUpToDate>
  <CharactersWithSpaces>10803</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2024-11-12T03:28:00Z</dcterms:created>
  <dc:creator>刘涛(相关司局综合处)</dc:creator>
  <cp:lastModifiedBy>12</cp:lastModifiedBy>
  <dcterms:modified xsi:type="dcterms:W3CDTF">2025-06-17T06:58:15Z</dcterms:modified>
  <dc:title>内部</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2024-12-06T08:44:16Z</vt:filetime>
  </property>
  <property fmtid="{D5CDD505-2E9C-101B-9397-08002B2CF9AE}" pid="4" name="KSOProductBuildVer">
    <vt:lpwstr>2052-12.1.0.21541</vt:lpwstr>
  </property>
  <property fmtid="{D5CDD505-2E9C-101B-9397-08002B2CF9AE}" pid="5" name="ICV">
    <vt:lpwstr>87B5D84613D243CBAA70C1F3B2CC210F_13</vt:lpwstr>
  </property>
</Properties>
</file>